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43F14" w14:textId="4E91523A" w:rsidR="009816A2" w:rsidRPr="00B7032A" w:rsidRDefault="002411DE" w:rsidP="008B6649">
      <w:pPr>
        <w:jc w:val="right"/>
        <w:rPr>
          <w:rFonts w:ascii="Arial" w:eastAsia="Calibri" w:hAnsi="Arial" w:cs="Arial"/>
          <w:b/>
          <w:color w:val="000000" w:themeColor="text1"/>
          <w:sz w:val="20"/>
          <w:szCs w:val="20"/>
          <w:lang w:val="es-ES_tradnl"/>
        </w:rPr>
      </w:pPr>
      <w:bookmarkStart w:id="0" w:name="_Hlk28946138"/>
      <w:bookmarkStart w:id="1" w:name="_Hlk29548183"/>
      <w:bookmarkStart w:id="2" w:name="_Hlk103146590"/>
      <w:r w:rsidRPr="00B7032A">
        <w:rPr>
          <w:rFonts w:ascii="Arial" w:hAnsi="Arial" w:cs="Arial"/>
          <w:b/>
          <w:color w:val="000000" w:themeColor="text1"/>
          <w:sz w:val="16"/>
          <w:szCs w:val="16"/>
          <w:lang w:val="es-ES_tradnl" w:eastAsia="es-ES"/>
        </w:rPr>
        <w:t xml:space="preserve"> </w:t>
      </w:r>
      <w:r w:rsidR="00B55C69" w:rsidRPr="00B7032A">
        <w:rPr>
          <w:rFonts w:ascii="Arial" w:hAnsi="Arial" w:cs="Arial"/>
          <w:b/>
          <w:color w:val="000000" w:themeColor="text1"/>
          <w:sz w:val="16"/>
          <w:szCs w:val="16"/>
          <w:lang w:val="es-ES_tradnl" w:eastAsia="es-ES"/>
        </w:rPr>
        <w:t>CCE-DES-FM-17</w:t>
      </w:r>
      <w:bookmarkStart w:id="3" w:name="_Hlk50481752"/>
      <w:bookmarkEnd w:id="0"/>
      <w:bookmarkEnd w:id="1"/>
    </w:p>
    <w:bookmarkEnd w:id="3"/>
    <w:p w14:paraId="0F655D62" w14:textId="77777777" w:rsidR="00276905" w:rsidRPr="00B7032A" w:rsidRDefault="00276905" w:rsidP="00276905">
      <w:pPr>
        <w:jc w:val="both"/>
        <w:rPr>
          <w:rFonts w:ascii="Arial" w:eastAsia="Calibri" w:hAnsi="Arial" w:cs="Arial"/>
          <w:b/>
          <w:sz w:val="22"/>
          <w:szCs w:val="22"/>
          <w:lang w:eastAsia="en-US"/>
        </w:rPr>
      </w:pPr>
    </w:p>
    <w:p w14:paraId="3EBC3D3C" w14:textId="77777777" w:rsidR="00276905" w:rsidRPr="00B7032A" w:rsidRDefault="00276905" w:rsidP="00276905">
      <w:pPr>
        <w:jc w:val="both"/>
        <w:rPr>
          <w:rFonts w:ascii="Arial" w:eastAsia="Calibri" w:hAnsi="Arial" w:cs="Arial"/>
          <w:b/>
          <w:sz w:val="22"/>
          <w:szCs w:val="22"/>
          <w:lang w:eastAsia="en-US"/>
        </w:rPr>
      </w:pPr>
      <w:r w:rsidRPr="00B7032A">
        <w:rPr>
          <w:rFonts w:ascii="Arial" w:eastAsia="Calibri" w:hAnsi="Arial" w:cs="Arial"/>
          <w:b/>
          <w:bCs/>
          <w:sz w:val="22"/>
          <w:lang w:val="es-ES_tradnl"/>
        </w:rPr>
        <w:t>DOCUMENTOS TIPO – Infraestructura social – Sector educativo</w:t>
      </w:r>
    </w:p>
    <w:p w14:paraId="56860F52" w14:textId="77777777" w:rsidR="00276905" w:rsidRPr="00B7032A" w:rsidRDefault="00276905" w:rsidP="00276905">
      <w:pPr>
        <w:jc w:val="both"/>
        <w:rPr>
          <w:rFonts w:ascii="Arial" w:eastAsia="Calibri" w:hAnsi="Arial" w:cs="Arial"/>
          <w:sz w:val="20"/>
          <w:szCs w:val="20"/>
          <w:lang w:eastAsia="en-US"/>
        </w:rPr>
      </w:pPr>
    </w:p>
    <w:p w14:paraId="4F831FC3" w14:textId="0FA8CDA3" w:rsidR="007F323C" w:rsidRDefault="00276905" w:rsidP="007F323C">
      <w:pPr>
        <w:jc w:val="both"/>
        <w:rPr>
          <w:rFonts w:ascii="Arial" w:eastAsia="Calibri" w:hAnsi="Arial" w:cs="Arial"/>
          <w:bCs/>
          <w:sz w:val="20"/>
          <w:szCs w:val="20"/>
          <w:lang w:val="es-ES"/>
        </w:rPr>
      </w:pPr>
      <w:r w:rsidRPr="00B7032A">
        <w:rPr>
          <w:rFonts w:ascii="Arial" w:eastAsia="Calibri" w:hAnsi="Arial" w:cs="Arial"/>
          <w:bCs/>
          <w:sz w:val="20"/>
          <w:szCs w:val="20"/>
          <w:lang w:val="es-ES"/>
        </w:rPr>
        <w:t xml:space="preserve">[…] </w:t>
      </w:r>
      <w:r w:rsidR="007F323C" w:rsidRPr="007F323C">
        <w:rPr>
          <w:rFonts w:ascii="Arial" w:eastAsia="Calibri" w:hAnsi="Arial" w:cs="Arial"/>
          <w:bCs/>
          <w:sz w:val="20"/>
          <w:szCs w:val="20"/>
          <w:lang w:val="es-ES"/>
        </w:rPr>
        <w:t xml:space="preserve">en materia de infraestructura social debe tenerse en cuenta que existen dos (2) clases de documentos tipo que se integran en cada proceso: i) los documentos </w:t>
      </w:r>
      <w:r w:rsidR="007F323C" w:rsidRPr="007F323C">
        <w:rPr>
          <w:rFonts w:ascii="Arial" w:eastAsia="Calibri" w:hAnsi="Arial" w:cs="Arial"/>
          <w:bCs/>
          <w:i/>
          <w:sz w:val="20"/>
          <w:szCs w:val="20"/>
          <w:lang w:val="es-ES"/>
        </w:rPr>
        <w:t>transversales</w:t>
      </w:r>
      <w:r w:rsidR="007F323C" w:rsidRPr="007F323C">
        <w:rPr>
          <w:rFonts w:ascii="Arial" w:eastAsia="Calibri" w:hAnsi="Arial" w:cs="Arial"/>
          <w:bCs/>
          <w:sz w:val="20"/>
          <w:szCs w:val="20"/>
          <w:lang w:val="es-ES"/>
        </w:rPr>
        <w:t xml:space="preserve"> a todos los sectores de infraestructura social, es decir, el documento base, los anexos, los formatos, los formularios y las matrices adoptados mediante la Resolución No. 219 de 2021; y </w:t>
      </w:r>
      <w:proofErr w:type="spellStart"/>
      <w:r w:rsidR="007F323C" w:rsidRPr="007F323C">
        <w:rPr>
          <w:rFonts w:ascii="Arial" w:eastAsia="Calibri" w:hAnsi="Arial" w:cs="Arial"/>
          <w:bCs/>
          <w:sz w:val="20"/>
          <w:szCs w:val="20"/>
          <w:lang w:val="es-ES"/>
        </w:rPr>
        <w:t>ii</w:t>
      </w:r>
      <w:proofErr w:type="spellEnd"/>
      <w:r w:rsidR="007F323C" w:rsidRPr="007F323C">
        <w:rPr>
          <w:rFonts w:ascii="Arial" w:eastAsia="Calibri" w:hAnsi="Arial" w:cs="Arial"/>
          <w:bCs/>
          <w:sz w:val="20"/>
          <w:szCs w:val="20"/>
          <w:lang w:val="es-ES"/>
        </w:rPr>
        <w:t xml:space="preserve">) los documentos tipo </w:t>
      </w:r>
      <w:r w:rsidR="007F323C" w:rsidRPr="007F323C">
        <w:rPr>
          <w:rFonts w:ascii="Arial" w:eastAsia="Calibri" w:hAnsi="Arial" w:cs="Arial"/>
          <w:bCs/>
          <w:i/>
          <w:sz w:val="20"/>
          <w:szCs w:val="20"/>
          <w:lang w:val="es-ES"/>
        </w:rPr>
        <w:t>complementarios</w:t>
      </w:r>
      <w:r w:rsidR="007F323C" w:rsidRPr="007F323C">
        <w:rPr>
          <w:rFonts w:ascii="Arial" w:eastAsia="Calibri" w:hAnsi="Arial" w:cs="Arial"/>
          <w:bCs/>
          <w:iCs/>
          <w:sz w:val="20"/>
          <w:szCs w:val="20"/>
          <w:lang w:val="es-ES"/>
        </w:rPr>
        <w:t>,</w:t>
      </w:r>
      <w:r w:rsidR="007F323C" w:rsidRPr="007F323C">
        <w:rPr>
          <w:rFonts w:ascii="Arial" w:eastAsia="Calibri" w:hAnsi="Arial" w:cs="Arial"/>
          <w:bCs/>
          <w:i/>
          <w:sz w:val="20"/>
          <w:szCs w:val="20"/>
          <w:lang w:val="es-ES"/>
        </w:rPr>
        <w:t xml:space="preserve"> </w:t>
      </w:r>
      <w:r w:rsidR="007F323C" w:rsidRPr="007F323C">
        <w:rPr>
          <w:rFonts w:ascii="Arial" w:eastAsia="Calibri" w:hAnsi="Arial" w:cs="Arial"/>
          <w:bCs/>
          <w:sz w:val="20"/>
          <w:szCs w:val="20"/>
          <w:lang w:val="es-ES"/>
        </w:rPr>
        <w:t>referentes a la matriz de experiencia y el glosario, los cuales han sido adoptados en la resolución para cada sector específico.</w:t>
      </w:r>
    </w:p>
    <w:p w14:paraId="59E5A12F" w14:textId="77777777" w:rsidR="007F323C" w:rsidRPr="007F323C" w:rsidRDefault="007F323C" w:rsidP="007F323C">
      <w:pPr>
        <w:jc w:val="both"/>
        <w:rPr>
          <w:rFonts w:ascii="Arial" w:eastAsia="Calibri" w:hAnsi="Arial" w:cs="Arial"/>
          <w:bCs/>
          <w:sz w:val="20"/>
          <w:szCs w:val="20"/>
          <w:lang w:val="es-ES"/>
        </w:rPr>
      </w:pPr>
    </w:p>
    <w:p w14:paraId="746667F5" w14:textId="77777777" w:rsidR="007F323C" w:rsidRPr="007F323C" w:rsidRDefault="007F323C" w:rsidP="007F323C">
      <w:pPr>
        <w:jc w:val="both"/>
        <w:rPr>
          <w:rFonts w:ascii="Arial" w:eastAsia="Calibri" w:hAnsi="Arial" w:cs="Arial"/>
          <w:bCs/>
          <w:sz w:val="20"/>
          <w:szCs w:val="20"/>
          <w:lang w:val="es-ES"/>
        </w:rPr>
      </w:pPr>
      <w:r w:rsidRPr="007F323C">
        <w:rPr>
          <w:rFonts w:ascii="Arial" w:eastAsia="Calibri" w:hAnsi="Arial" w:cs="Arial"/>
          <w:bCs/>
          <w:sz w:val="20"/>
          <w:szCs w:val="20"/>
          <w:lang w:val="es-ES"/>
        </w:rPr>
        <w:t xml:space="preserve">En tal sentido, el 6 de agosto de 2021 se adoptaron los documentos tipo complementarios para los procesos de licitación de obra pública de infraestructura social relacionados con el </w:t>
      </w:r>
      <w:r w:rsidRPr="007F323C">
        <w:rPr>
          <w:rFonts w:ascii="Arial" w:eastAsia="Calibri" w:hAnsi="Arial" w:cs="Arial"/>
          <w:bCs/>
          <w:i/>
          <w:iCs/>
          <w:sz w:val="20"/>
          <w:szCs w:val="20"/>
          <w:lang w:val="es-ES"/>
        </w:rPr>
        <w:t>sector educ</w:t>
      </w:r>
      <w:r w:rsidRPr="007F323C">
        <w:rPr>
          <w:rFonts w:ascii="Arial" w:eastAsia="Calibri" w:hAnsi="Arial" w:cs="Arial"/>
          <w:bCs/>
          <w:i/>
          <w:sz w:val="20"/>
          <w:szCs w:val="20"/>
          <w:lang w:val="es-ES"/>
        </w:rPr>
        <w:t xml:space="preserve">ativo, </w:t>
      </w:r>
      <w:r w:rsidRPr="007F323C">
        <w:rPr>
          <w:rFonts w:ascii="Arial" w:eastAsia="Calibri" w:hAnsi="Arial" w:cs="Arial"/>
          <w:bCs/>
          <w:sz w:val="20"/>
          <w:szCs w:val="20"/>
          <w:lang w:val="es-ES"/>
        </w:rPr>
        <w:t>mediante la Resolución No. 220 de 2021. Esta Resolución, en el artículo 2, desarrolla el «Anexo -Glosario Sector Educativo» y la «Matriz -Experiencia Sector Educativo», lo que significa que estos documentos definen el alcance para ese sector específicamente. Igualmente, la Matriz de experiencia de cada sector, además de estandarizar el requisito habilitante de experiencia, señala los proyectos o contratos concretos a los cuales aplican los documentos tipo, en el entendido de que aplicarán a los procesos contractuales cuyo objeto se relacione con alguna de las actividades establecidas de forma detallada en la Matriz de experiencia respectiva.</w:t>
      </w:r>
    </w:p>
    <w:p w14:paraId="67FC13AF" w14:textId="77777777" w:rsidR="00276905" w:rsidRPr="00B7032A" w:rsidRDefault="00276905" w:rsidP="00276905">
      <w:pPr>
        <w:spacing w:line="276" w:lineRule="auto"/>
        <w:jc w:val="both"/>
        <w:rPr>
          <w:rFonts w:ascii="Arial" w:eastAsia="Calibri" w:hAnsi="Arial" w:cs="Arial"/>
          <w:b/>
          <w:sz w:val="22"/>
          <w:lang w:val="es-ES_tradnl"/>
        </w:rPr>
      </w:pPr>
    </w:p>
    <w:p w14:paraId="4C8C0953" w14:textId="77777777" w:rsidR="00276905" w:rsidRPr="00B7032A" w:rsidRDefault="00276905" w:rsidP="00276905">
      <w:pPr>
        <w:jc w:val="both"/>
        <w:rPr>
          <w:rFonts w:ascii="Arial" w:eastAsia="Calibri" w:hAnsi="Arial" w:cs="Arial"/>
          <w:b/>
          <w:sz w:val="22"/>
          <w:lang w:val="es-ES_tradnl" w:eastAsia="en-GB"/>
        </w:rPr>
      </w:pPr>
      <w:r w:rsidRPr="00B7032A">
        <w:rPr>
          <w:rFonts w:ascii="Arial" w:eastAsia="Calibri" w:hAnsi="Arial" w:cs="Arial"/>
          <w:b/>
          <w:sz w:val="22"/>
          <w:lang w:val="es-ES_tradnl"/>
        </w:rPr>
        <w:t>DOCUMENTOS TIPO – Obligatoriedad – Inalterabilidad</w:t>
      </w:r>
    </w:p>
    <w:p w14:paraId="334E8C72" w14:textId="77777777" w:rsidR="00276905" w:rsidRPr="00B7032A" w:rsidRDefault="00276905" w:rsidP="00276905">
      <w:pPr>
        <w:jc w:val="both"/>
        <w:rPr>
          <w:rFonts w:ascii="Arial" w:eastAsia="Calibri" w:hAnsi="Arial" w:cs="Arial"/>
          <w:sz w:val="20"/>
          <w:szCs w:val="20"/>
          <w:lang w:val="es-ES_tradnl"/>
        </w:rPr>
      </w:pPr>
    </w:p>
    <w:p w14:paraId="3B63A5BB" w14:textId="4A29A75F" w:rsidR="007F323C" w:rsidRPr="007F323C" w:rsidRDefault="007F323C" w:rsidP="007F323C">
      <w:pPr>
        <w:jc w:val="both"/>
        <w:rPr>
          <w:rFonts w:ascii="Arial" w:eastAsia="Calibri" w:hAnsi="Arial" w:cs="Arial"/>
          <w:b/>
          <w:bCs/>
          <w:sz w:val="20"/>
          <w:szCs w:val="20"/>
        </w:rPr>
      </w:pPr>
      <w:r w:rsidRPr="007F323C">
        <w:rPr>
          <w:rFonts w:ascii="Arial" w:eastAsia="Calibri" w:hAnsi="Arial" w:cs="Arial"/>
          <w:bCs/>
          <w:sz w:val="20"/>
          <w:szCs w:val="20"/>
          <w:lang w:val="es-ES_tradnl"/>
        </w:rPr>
        <w:t xml:space="preserve">El artículo 3 de la Resolución </w:t>
      </w:r>
      <w:r w:rsidRPr="007F323C">
        <w:rPr>
          <w:rFonts w:ascii="Arial" w:eastAsia="Calibri" w:hAnsi="Arial" w:cs="Arial"/>
          <w:bCs/>
          <w:sz w:val="20"/>
          <w:szCs w:val="20"/>
          <w:lang w:val="es-MX"/>
        </w:rPr>
        <w:t xml:space="preserve">220 de 2021 </w:t>
      </w:r>
      <w:r w:rsidRPr="007F323C">
        <w:rPr>
          <w:rFonts w:ascii="Arial" w:eastAsia="Calibri" w:hAnsi="Arial" w:cs="Arial"/>
          <w:bCs/>
          <w:sz w:val="20"/>
          <w:szCs w:val="20"/>
          <w:lang w:val="es-ES_tradnl"/>
        </w:rPr>
        <w:t>dispone la inalterabilidad de los documentos tipo de obra pública de infraestructura social relacionadas con el sector educativo. En consecuencia, las condiciones establecidas en los documentos que adopte la Agencia, en ejercicio del mandato establecido en el artículo 1 de la Ley 2022 de 2020 son de obligatorio cumplimiento para las entidades sometidas al Estatuto General de Contratación de la Administración Pública que adelanten procesos que deban regirse por su contenido y, salvo que se permita expresamente, no pueden variarse los requisitos fijados en ellos. Esta prohibición la ratifica la parta introductoria del documento base transversal a todos los documentos, al disponer la inalterabilidad de los documentos tipo en los siguientes términos: «</w:t>
      </w:r>
      <w:r w:rsidRPr="007F323C">
        <w:rPr>
          <w:rFonts w:ascii="Arial" w:eastAsia="Calibri" w:hAnsi="Arial" w:cs="Arial"/>
          <w:bCs/>
          <w:sz w:val="20"/>
          <w:szCs w:val="20"/>
          <w:lang w:val="es-MX"/>
        </w:rPr>
        <w:t>La Entidad no podrá modificar los Formatos, Anexos, Matrices y Formularios, ni solicitar soportes o requisitos adicionales a los establecidos en el Documento Tipo</w:t>
      </w:r>
      <w:r w:rsidRPr="007F323C">
        <w:rPr>
          <w:rFonts w:ascii="Arial" w:eastAsia="Calibri" w:hAnsi="Arial" w:cs="Arial"/>
          <w:bCs/>
          <w:sz w:val="20"/>
          <w:szCs w:val="20"/>
          <w:lang w:val="es-ES_tradnl"/>
        </w:rPr>
        <w:t xml:space="preserve">». </w:t>
      </w:r>
    </w:p>
    <w:p w14:paraId="7E9E7F53" w14:textId="77777777" w:rsidR="00276905" w:rsidRPr="00B7032A" w:rsidRDefault="00276905" w:rsidP="00993CD6">
      <w:pPr>
        <w:tabs>
          <w:tab w:val="left" w:pos="6551"/>
        </w:tabs>
        <w:jc w:val="both"/>
        <w:rPr>
          <w:rFonts w:ascii="Arial" w:eastAsia="Calibri" w:hAnsi="Arial" w:cs="Arial"/>
          <w:b/>
          <w:color w:val="000000" w:themeColor="text1"/>
          <w:sz w:val="22"/>
          <w:lang w:val="es-ES_tradnl"/>
        </w:rPr>
      </w:pPr>
    </w:p>
    <w:p w14:paraId="17E3F276" w14:textId="0038277D" w:rsidR="00993CD6" w:rsidRPr="00B7032A" w:rsidRDefault="00350171" w:rsidP="00993CD6">
      <w:pPr>
        <w:tabs>
          <w:tab w:val="left" w:pos="6551"/>
        </w:tabs>
        <w:jc w:val="both"/>
        <w:rPr>
          <w:rFonts w:ascii="Arial" w:eastAsia="Calibri" w:hAnsi="Arial" w:cs="Arial"/>
          <w:b/>
          <w:color w:val="000000" w:themeColor="text1"/>
          <w:sz w:val="22"/>
          <w:lang w:val="es-ES_tradnl"/>
        </w:rPr>
      </w:pPr>
      <w:r w:rsidRPr="00B7032A">
        <w:rPr>
          <w:rFonts w:ascii="Arial" w:eastAsia="Calibri" w:hAnsi="Arial" w:cs="Arial"/>
          <w:b/>
          <w:color w:val="000000" w:themeColor="text1"/>
          <w:sz w:val="22"/>
          <w:lang w:val="es-ES_tradnl"/>
        </w:rPr>
        <w:t>EXPERIENCIA</w:t>
      </w:r>
      <w:r w:rsidR="00993CD6" w:rsidRPr="00B7032A">
        <w:rPr>
          <w:rFonts w:ascii="Arial" w:eastAsia="Calibri" w:hAnsi="Arial" w:cs="Arial"/>
          <w:b/>
          <w:color w:val="000000" w:themeColor="text1"/>
          <w:sz w:val="22"/>
          <w:lang w:val="es-ES_tradnl"/>
        </w:rPr>
        <w:t xml:space="preserve"> –</w:t>
      </w:r>
      <w:r w:rsidRPr="00B7032A">
        <w:rPr>
          <w:rFonts w:ascii="Arial" w:eastAsia="Calibri" w:hAnsi="Arial" w:cs="Arial"/>
          <w:b/>
          <w:color w:val="000000" w:themeColor="text1"/>
          <w:sz w:val="22"/>
          <w:lang w:val="es-ES_tradnl"/>
        </w:rPr>
        <w:t xml:space="preserve"> Acreditación</w:t>
      </w:r>
    </w:p>
    <w:p w14:paraId="1ED94B72" w14:textId="77777777" w:rsidR="00993CD6" w:rsidRPr="00B7032A" w:rsidRDefault="00993CD6" w:rsidP="00993CD6">
      <w:pPr>
        <w:tabs>
          <w:tab w:val="left" w:pos="6551"/>
        </w:tabs>
        <w:jc w:val="both"/>
        <w:rPr>
          <w:rFonts w:ascii="Arial" w:eastAsia="Calibri" w:hAnsi="Arial" w:cs="Arial"/>
          <w:color w:val="000000" w:themeColor="text1"/>
          <w:sz w:val="20"/>
          <w:szCs w:val="20"/>
          <w:lang w:val="es-ES_tradnl"/>
        </w:rPr>
      </w:pPr>
    </w:p>
    <w:p w14:paraId="428AE2BF" w14:textId="77777777" w:rsidR="00943172" w:rsidRDefault="00943172" w:rsidP="00993CD6">
      <w:pPr>
        <w:tabs>
          <w:tab w:val="left" w:pos="6551"/>
        </w:tabs>
        <w:jc w:val="both"/>
        <w:rPr>
          <w:rFonts w:ascii="Arial" w:eastAsia="Calibri" w:hAnsi="Arial" w:cs="Arial"/>
          <w:color w:val="000000" w:themeColor="text1"/>
          <w:sz w:val="20"/>
          <w:szCs w:val="20"/>
          <w:lang w:val="es-MX"/>
        </w:rPr>
      </w:pPr>
      <w:r w:rsidRPr="00943172">
        <w:rPr>
          <w:rFonts w:ascii="Arial" w:eastAsia="Calibri" w:hAnsi="Arial" w:cs="Arial"/>
          <w:color w:val="000000" w:themeColor="text1"/>
          <w:sz w:val="20"/>
          <w:szCs w:val="20"/>
          <w:lang w:val="es-ES"/>
        </w:rPr>
        <w:t>De</w:t>
      </w:r>
      <w:r w:rsidRPr="00943172">
        <w:rPr>
          <w:rFonts w:ascii="Arial" w:eastAsia="Calibri" w:hAnsi="Arial" w:cs="Arial"/>
          <w:color w:val="000000" w:themeColor="text1"/>
          <w:sz w:val="20"/>
          <w:szCs w:val="20"/>
        </w:rPr>
        <w:t xml:space="preserve"> acuerdo con las condiciones fijadas en el documento base de infraestructura social la acreditación del requisito habilitante de experiencia se aborda desde distintos criterios. </w:t>
      </w:r>
      <w:r w:rsidRPr="00943172">
        <w:rPr>
          <w:rFonts w:ascii="Arial" w:eastAsia="Calibri" w:hAnsi="Arial" w:cs="Arial"/>
          <w:color w:val="000000" w:themeColor="text1"/>
          <w:sz w:val="20"/>
          <w:szCs w:val="20"/>
          <w:lang w:val="es-MX"/>
        </w:rPr>
        <w:t>En primer lugar, los contratos presentados por los proponentes deben corresponder a la actividad o actividades de experiencia general y específica que la entidad exija en el pliego de condiciones de acuerdo con los parámetros señalados en la Matriz Experiencia aplicable. En segundo lugar, los proponentes deben acreditar el cumplimiento de las condiciones fijadas con mínimo uno (1) y máximo seis (6) contratos, que debieron terminar antes de la fecha de cierre del proceso de contratación, sin perjuicio de las combinaciones de experiencia señalada en el literal A del numeral 3.5.1 y la acreditación de experiencia de los bienes o servicios adicionales a la obra pública de infraestructura social. Por último, el número de contratos aportados por el proponente debe certificar un valor mínimo correspondiente a un porcentaje del presupuesto oficial del proceso de obra expresado en SMMLV, cuya evaluación se realizará teniendo en cuenta la tabla establecida en el numeral 3.5.7. del pliego de condiciones</w:t>
      </w:r>
      <w:r>
        <w:rPr>
          <w:rFonts w:ascii="Arial" w:eastAsia="Calibri" w:hAnsi="Arial" w:cs="Arial"/>
          <w:color w:val="000000" w:themeColor="text1"/>
          <w:sz w:val="20"/>
          <w:szCs w:val="20"/>
          <w:lang w:val="es-MX"/>
        </w:rPr>
        <w:t>.</w:t>
      </w:r>
    </w:p>
    <w:p w14:paraId="7E297F47" w14:textId="12DC7C24" w:rsidR="00993CD6" w:rsidRPr="00B7032A" w:rsidRDefault="00993CD6" w:rsidP="00993CD6">
      <w:pPr>
        <w:tabs>
          <w:tab w:val="left" w:pos="6551"/>
        </w:tabs>
        <w:jc w:val="both"/>
        <w:rPr>
          <w:rFonts w:ascii="Arial" w:eastAsia="Calibri" w:hAnsi="Arial" w:cs="Arial"/>
          <w:b/>
          <w:color w:val="000000" w:themeColor="text1"/>
          <w:sz w:val="22"/>
          <w:lang w:val="es-ES_tradnl"/>
        </w:rPr>
      </w:pPr>
    </w:p>
    <w:p w14:paraId="1904B6E3" w14:textId="68E42AB2" w:rsidR="00993CD6" w:rsidRPr="00B7032A" w:rsidRDefault="00350171" w:rsidP="00993CD6">
      <w:pPr>
        <w:tabs>
          <w:tab w:val="left" w:pos="6551"/>
        </w:tabs>
        <w:jc w:val="both"/>
        <w:rPr>
          <w:rFonts w:ascii="Arial" w:eastAsia="Calibri" w:hAnsi="Arial" w:cs="Arial"/>
          <w:b/>
          <w:color w:val="000000" w:themeColor="text1"/>
          <w:sz w:val="22"/>
          <w:lang w:val="es-ES_tradnl"/>
        </w:rPr>
      </w:pPr>
      <w:r w:rsidRPr="00B7032A">
        <w:rPr>
          <w:rFonts w:ascii="Arial" w:eastAsia="Calibri" w:hAnsi="Arial" w:cs="Arial"/>
          <w:b/>
          <w:color w:val="000000" w:themeColor="text1"/>
          <w:sz w:val="22"/>
          <w:lang w:val="es-ES_tradnl"/>
        </w:rPr>
        <w:lastRenderedPageBreak/>
        <w:t xml:space="preserve">EXPERIENCIA </w:t>
      </w:r>
      <w:r w:rsidR="00993CD6" w:rsidRPr="00B7032A">
        <w:rPr>
          <w:rFonts w:ascii="Arial" w:eastAsia="Calibri" w:hAnsi="Arial" w:cs="Arial"/>
          <w:b/>
          <w:color w:val="000000" w:themeColor="text1"/>
          <w:sz w:val="22"/>
          <w:lang w:val="es-ES_tradnl"/>
        </w:rPr>
        <w:t xml:space="preserve">– </w:t>
      </w:r>
      <w:r w:rsidRPr="00B7032A">
        <w:rPr>
          <w:rFonts w:ascii="Arial" w:eastAsia="Calibri" w:hAnsi="Arial" w:cs="Arial"/>
          <w:b/>
          <w:color w:val="000000" w:themeColor="text1"/>
          <w:sz w:val="22"/>
          <w:lang w:val="es-ES_tradnl"/>
        </w:rPr>
        <w:t>Subcontratos</w:t>
      </w:r>
      <w:r w:rsidR="00C82DA5" w:rsidRPr="00B7032A">
        <w:rPr>
          <w:rFonts w:ascii="Arial" w:eastAsia="Calibri" w:hAnsi="Arial" w:cs="Arial"/>
          <w:b/>
          <w:color w:val="000000" w:themeColor="text1"/>
          <w:sz w:val="22"/>
          <w:lang w:val="es-ES_tradnl"/>
        </w:rPr>
        <w:t xml:space="preserve"> – RUP</w:t>
      </w:r>
    </w:p>
    <w:p w14:paraId="64E8F21D" w14:textId="77777777" w:rsidR="00993CD6" w:rsidRPr="00B7032A" w:rsidRDefault="00993CD6" w:rsidP="00993CD6">
      <w:pPr>
        <w:tabs>
          <w:tab w:val="left" w:pos="6551"/>
        </w:tabs>
        <w:spacing w:line="276" w:lineRule="auto"/>
        <w:jc w:val="both"/>
        <w:rPr>
          <w:rFonts w:ascii="Arial" w:hAnsi="Arial" w:cs="Arial"/>
          <w:noProof/>
          <w:color w:val="000000" w:themeColor="text1"/>
          <w:sz w:val="22"/>
          <w:lang w:val="es-ES_tradnl"/>
        </w:rPr>
      </w:pPr>
    </w:p>
    <w:p w14:paraId="42BC17C1" w14:textId="77777777" w:rsidR="00943172" w:rsidRDefault="00C82DA5" w:rsidP="00C82DA5">
      <w:pPr>
        <w:tabs>
          <w:tab w:val="left" w:pos="6551"/>
        </w:tabs>
        <w:jc w:val="both"/>
        <w:rPr>
          <w:rFonts w:ascii="Arial" w:eastAsia="Calibri" w:hAnsi="Arial" w:cs="Arial"/>
          <w:color w:val="000000" w:themeColor="text1"/>
          <w:sz w:val="20"/>
          <w:szCs w:val="20"/>
        </w:rPr>
      </w:pPr>
      <w:r w:rsidRPr="00B7032A">
        <w:rPr>
          <w:rFonts w:ascii="Arial" w:eastAsia="Calibri" w:hAnsi="Arial" w:cs="Arial"/>
          <w:color w:val="000000" w:themeColor="text1"/>
          <w:sz w:val="20"/>
          <w:szCs w:val="20"/>
          <w:lang w:val="es-MX"/>
        </w:rPr>
        <w:t xml:space="preserve">[…] </w:t>
      </w:r>
      <w:r w:rsidR="00943172" w:rsidRPr="00943172">
        <w:rPr>
          <w:rFonts w:ascii="Arial" w:eastAsia="Calibri" w:hAnsi="Arial" w:cs="Arial"/>
          <w:color w:val="000000" w:themeColor="text1"/>
          <w:sz w:val="20"/>
          <w:szCs w:val="20"/>
          <w:lang w:val="es-MX"/>
        </w:rPr>
        <w:t xml:space="preserve">el numeral 3.5.6 determina las reglas que deben seguir las entidades para la verificación de la información adicional que se deriva de la experiencia de subcontratos, de tal forma que sea posible constatar las condiciones de ejecución del contrato en el marco de la subcontratación, las actividades específicas ejecutadas, así como la autorización de dicha subcontratación en el caso de los subcontratos derivados de un contrato suscrito con una entidad estatal. No obstante, esto no significa que la experiencia derivada de subcontratos no deba estar registrada en el RUP, pues como se explicó, </w:t>
      </w:r>
      <w:r w:rsidR="00943172" w:rsidRPr="00943172">
        <w:rPr>
          <w:rFonts w:ascii="Arial" w:eastAsia="Calibri" w:hAnsi="Arial" w:cs="Arial"/>
          <w:color w:val="000000" w:themeColor="text1"/>
          <w:sz w:val="20"/>
          <w:szCs w:val="20"/>
        </w:rPr>
        <w:t xml:space="preserve">el requisito habilitante de experiencia debe ser acreditado mediante el RUP para los proponentes obligados a tenerlo, sin perjuicio de requerir la información adicional necesaria, propósito que cumple el numeral 3.5.6. </w:t>
      </w:r>
    </w:p>
    <w:p w14:paraId="3B5B4232" w14:textId="77777777" w:rsidR="00993CD6" w:rsidRPr="00B7032A" w:rsidRDefault="00993CD6" w:rsidP="00993CD6">
      <w:pPr>
        <w:tabs>
          <w:tab w:val="left" w:pos="6551"/>
        </w:tabs>
        <w:jc w:val="both"/>
        <w:rPr>
          <w:rFonts w:ascii="Arial" w:eastAsia="Calibri" w:hAnsi="Arial" w:cs="Arial"/>
          <w:b/>
          <w:color w:val="000000" w:themeColor="text1"/>
          <w:sz w:val="22"/>
          <w:lang w:val="es-ES_tradnl"/>
        </w:rPr>
      </w:pPr>
    </w:p>
    <w:p w14:paraId="7A122665" w14:textId="181F27B8" w:rsidR="00802C7B" w:rsidRPr="00B7032A" w:rsidRDefault="00802C7B" w:rsidP="00993CD6">
      <w:pPr>
        <w:tabs>
          <w:tab w:val="left" w:pos="6551"/>
        </w:tabs>
        <w:jc w:val="both"/>
        <w:rPr>
          <w:rFonts w:ascii="Arial" w:eastAsia="Calibri" w:hAnsi="Arial" w:cs="Arial"/>
          <w:b/>
          <w:color w:val="000000" w:themeColor="text1"/>
          <w:sz w:val="22"/>
          <w:lang w:val="es-ES_tradnl"/>
        </w:rPr>
      </w:pPr>
      <w:r w:rsidRPr="00B7032A">
        <w:rPr>
          <w:rFonts w:ascii="Arial" w:eastAsia="Calibri" w:hAnsi="Arial" w:cs="Arial"/>
          <w:b/>
          <w:color w:val="000000" w:themeColor="text1"/>
          <w:sz w:val="22"/>
          <w:lang w:val="es-ES_tradnl"/>
        </w:rPr>
        <w:t>DOCUMENTOS TIPO – Apoyo a la industria nacional – Metodología – Bienes nacionales relevantes – Matriz 3</w:t>
      </w:r>
    </w:p>
    <w:p w14:paraId="39C9F2A0" w14:textId="77777777" w:rsidR="00802C7B" w:rsidRPr="00B7032A" w:rsidRDefault="00802C7B" w:rsidP="00993CD6">
      <w:pPr>
        <w:tabs>
          <w:tab w:val="left" w:pos="6551"/>
        </w:tabs>
        <w:jc w:val="both"/>
        <w:rPr>
          <w:rFonts w:ascii="Arial" w:eastAsia="Calibri" w:hAnsi="Arial" w:cs="Arial"/>
          <w:b/>
          <w:color w:val="000000" w:themeColor="text1"/>
          <w:sz w:val="22"/>
          <w:lang w:val="es-ES_tradnl"/>
        </w:rPr>
      </w:pPr>
    </w:p>
    <w:p w14:paraId="370745F1" w14:textId="462D3F28" w:rsidR="00993CD6" w:rsidRPr="00943172" w:rsidRDefault="00802C7B" w:rsidP="00993CD6">
      <w:pPr>
        <w:tabs>
          <w:tab w:val="left" w:pos="6551"/>
        </w:tabs>
        <w:jc w:val="both"/>
        <w:rPr>
          <w:rFonts w:ascii="Arial" w:eastAsia="Calibri" w:hAnsi="Arial" w:cs="Arial"/>
          <w:bCs/>
          <w:color w:val="000000" w:themeColor="text1"/>
          <w:sz w:val="20"/>
          <w:szCs w:val="20"/>
        </w:rPr>
      </w:pPr>
      <w:r w:rsidRPr="00B7032A">
        <w:rPr>
          <w:rFonts w:ascii="Arial" w:eastAsia="Calibri" w:hAnsi="Arial" w:cs="Arial"/>
          <w:color w:val="000000" w:themeColor="text1"/>
          <w:sz w:val="20"/>
          <w:szCs w:val="20"/>
          <w:lang w:val="es-MX"/>
        </w:rPr>
        <w:t xml:space="preserve">[…] </w:t>
      </w:r>
      <w:r w:rsidR="00943172" w:rsidRPr="00943172">
        <w:rPr>
          <w:rFonts w:ascii="Arial" w:eastAsia="Calibri" w:hAnsi="Arial" w:cs="Arial"/>
          <w:bCs/>
          <w:color w:val="000000" w:themeColor="text1"/>
          <w:sz w:val="20"/>
          <w:szCs w:val="20"/>
        </w:rPr>
        <w:t xml:space="preserve">para determinar uno o varios bienes nacionales relevantes la entidad estatal debe aplicar los criterios establecidos en el artículo </w:t>
      </w:r>
      <w:r w:rsidR="00943172" w:rsidRPr="00943172">
        <w:rPr>
          <w:rFonts w:ascii="Arial" w:eastAsia="Calibri" w:hAnsi="Arial" w:cs="Arial"/>
          <w:color w:val="000000" w:themeColor="text1"/>
          <w:sz w:val="20"/>
          <w:szCs w:val="20"/>
          <w:lang w:val="es-419"/>
        </w:rPr>
        <w:t xml:space="preserve">2.2.1.2.4.2.9. del Decreto 1082 de 2015 </w:t>
      </w:r>
      <w:r w:rsidR="00943172" w:rsidRPr="00943172">
        <w:rPr>
          <w:rFonts w:ascii="Arial" w:eastAsia="Calibri" w:hAnsi="Arial" w:cs="Arial"/>
          <w:bCs/>
          <w:color w:val="000000" w:themeColor="text1"/>
          <w:sz w:val="20"/>
          <w:szCs w:val="20"/>
          <w:lang w:val="es-ES_tradnl"/>
        </w:rPr>
        <w:t xml:space="preserve">adicionado por el Decreto 680 de 2021, a saber: i) «el análisis del sector económico y de los oferentes, y, toda aquella información adicional con la que cuente la entidad estatal en la etapa de planeación del Proceso de Contratación», </w:t>
      </w:r>
      <w:proofErr w:type="spellStart"/>
      <w:r w:rsidR="00943172" w:rsidRPr="00943172">
        <w:rPr>
          <w:rFonts w:ascii="Arial" w:eastAsia="Calibri" w:hAnsi="Arial" w:cs="Arial"/>
          <w:bCs/>
          <w:color w:val="000000" w:themeColor="text1"/>
          <w:sz w:val="20"/>
          <w:szCs w:val="20"/>
          <w:lang w:val="es-ES_tradnl"/>
        </w:rPr>
        <w:t>ii</w:t>
      </w:r>
      <w:proofErr w:type="spellEnd"/>
      <w:r w:rsidR="00943172" w:rsidRPr="00943172">
        <w:rPr>
          <w:rFonts w:ascii="Arial" w:eastAsia="Calibri" w:hAnsi="Arial" w:cs="Arial"/>
          <w:bCs/>
          <w:color w:val="000000" w:themeColor="text1"/>
          <w:sz w:val="20"/>
          <w:szCs w:val="20"/>
          <w:lang w:val="es-ES_tradnl"/>
        </w:rPr>
        <w:t xml:space="preserve">) el porcentaje de participación de los bienes en el presupuesto del Proceso de Contratación y </w:t>
      </w:r>
      <w:proofErr w:type="spellStart"/>
      <w:r w:rsidR="00943172" w:rsidRPr="00943172">
        <w:rPr>
          <w:rFonts w:ascii="Arial" w:eastAsia="Calibri" w:hAnsi="Arial" w:cs="Arial"/>
          <w:bCs/>
          <w:color w:val="000000" w:themeColor="text1"/>
          <w:sz w:val="20"/>
          <w:szCs w:val="20"/>
          <w:lang w:val="es-ES_tradnl"/>
        </w:rPr>
        <w:t>iii</w:t>
      </w:r>
      <w:proofErr w:type="spellEnd"/>
      <w:r w:rsidR="00943172" w:rsidRPr="00943172">
        <w:rPr>
          <w:rFonts w:ascii="Arial" w:eastAsia="Calibri" w:hAnsi="Arial" w:cs="Arial"/>
          <w:bCs/>
          <w:color w:val="000000" w:themeColor="text1"/>
          <w:sz w:val="20"/>
          <w:szCs w:val="20"/>
          <w:lang w:val="es-ES_tradnl"/>
        </w:rPr>
        <w:t xml:space="preserve">) la existencia de los bienes en el Registro de Productores de Bienes Nacionales, en los términos del Decreto 2680 de 2009. </w:t>
      </w:r>
      <w:r w:rsidR="00943172" w:rsidRPr="00943172">
        <w:rPr>
          <w:rFonts w:ascii="Arial" w:eastAsia="Calibri" w:hAnsi="Arial" w:cs="Arial"/>
          <w:color w:val="000000" w:themeColor="text1"/>
          <w:sz w:val="20"/>
          <w:szCs w:val="20"/>
          <w:lang w:val="es-419"/>
        </w:rPr>
        <w:t xml:space="preserve">Además de estos tres criterios, la entidad estatal deberá aplicar los parámetros contenidos en la </w:t>
      </w:r>
      <w:r w:rsidR="00943172" w:rsidRPr="00943172">
        <w:rPr>
          <w:rFonts w:ascii="Arial" w:eastAsia="Calibri" w:hAnsi="Arial" w:cs="Arial"/>
          <w:bCs/>
          <w:color w:val="000000" w:themeColor="text1"/>
          <w:sz w:val="20"/>
          <w:szCs w:val="20"/>
          <w:lang w:val="es-ES_tradnl"/>
        </w:rPr>
        <w:t>«</w:t>
      </w:r>
      <w:r w:rsidR="00943172" w:rsidRPr="00943172">
        <w:rPr>
          <w:rFonts w:ascii="Arial" w:eastAsia="Calibri" w:hAnsi="Arial" w:cs="Arial"/>
          <w:bCs/>
          <w:color w:val="000000" w:themeColor="text1"/>
          <w:sz w:val="20"/>
          <w:szCs w:val="20"/>
        </w:rPr>
        <w:t>Matriz 3 – Bienes nacionales relevantes para la obra pública de infraestructura social</w:t>
      </w:r>
      <w:r w:rsidR="00943172" w:rsidRPr="00943172">
        <w:rPr>
          <w:rFonts w:ascii="Arial" w:eastAsia="Calibri" w:hAnsi="Arial" w:cs="Arial"/>
          <w:bCs/>
          <w:color w:val="000000" w:themeColor="text1"/>
          <w:sz w:val="20"/>
          <w:szCs w:val="20"/>
          <w:lang w:val="es-ES_tradnl"/>
        </w:rPr>
        <w:t>»,</w:t>
      </w:r>
      <w:r w:rsidR="00943172" w:rsidRPr="00943172">
        <w:rPr>
          <w:rFonts w:ascii="Arial" w:eastAsia="Calibri" w:hAnsi="Arial" w:cs="Arial"/>
          <w:bCs/>
          <w:color w:val="000000" w:themeColor="text1"/>
          <w:sz w:val="20"/>
          <w:szCs w:val="20"/>
        </w:rPr>
        <w:t xml:space="preserve"> en la que se </w:t>
      </w:r>
      <w:r w:rsidR="00943172" w:rsidRPr="00943172">
        <w:rPr>
          <w:rFonts w:ascii="Arial" w:eastAsia="Calibri" w:hAnsi="Arial" w:cs="Arial"/>
          <w:bCs/>
          <w:color w:val="000000" w:themeColor="text1"/>
          <w:sz w:val="20"/>
          <w:szCs w:val="20"/>
          <w:lang w:val="es-ES_tradnl"/>
        </w:rPr>
        <w:t>desarrolla una metodología para identificar los bienes nacionales relevantes para la ejecución del objeto a contratar</w:t>
      </w:r>
      <w:r w:rsidRPr="00B7032A">
        <w:rPr>
          <w:rFonts w:ascii="Arial" w:eastAsia="Calibri" w:hAnsi="Arial" w:cs="Arial"/>
          <w:color w:val="000000" w:themeColor="text1"/>
          <w:sz w:val="20"/>
          <w:szCs w:val="20"/>
          <w:lang w:val="es-MX"/>
        </w:rPr>
        <w:t>.</w:t>
      </w:r>
      <w:r w:rsidR="00580A2C" w:rsidRPr="00B7032A">
        <w:rPr>
          <w:rFonts w:ascii="Arial" w:eastAsia="Calibri" w:hAnsi="Arial" w:cs="Arial"/>
          <w:color w:val="000000" w:themeColor="text1"/>
          <w:sz w:val="20"/>
          <w:szCs w:val="20"/>
          <w:lang w:val="es-MX"/>
        </w:rPr>
        <w:t xml:space="preserve"> […]</w:t>
      </w:r>
    </w:p>
    <w:p w14:paraId="20C393B9" w14:textId="0A06F062" w:rsidR="0068258C" w:rsidRPr="00B7032A" w:rsidRDefault="0068258C" w:rsidP="00993CD6">
      <w:pPr>
        <w:tabs>
          <w:tab w:val="left" w:pos="6551"/>
        </w:tabs>
        <w:jc w:val="both"/>
        <w:rPr>
          <w:rFonts w:ascii="Arial" w:eastAsia="Calibri" w:hAnsi="Arial" w:cs="Arial"/>
          <w:color w:val="000000" w:themeColor="text1"/>
          <w:sz w:val="20"/>
          <w:szCs w:val="20"/>
          <w:lang w:val="es-MX"/>
        </w:rPr>
      </w:pPr>
    </w:p>
    <w:p w14:paraId="6329A3BE" w14:textId="77777777" w:rsidR="00943172" w:rsidRPr="00943172" w:rsidRDefault="00943172" w:rsidP="00943172">
      <w:pPr>
        <w:tabs>
          <w:tab w:val="left" w:pos="6551"/>
        </w:tabs>
        <w:jc w:val="both"/>
        <w:rPr>
          <w:rFonts w:ascii="Arial" w:eastAsia="Calibri" w:hAnsi="Arial" w:cs="Arial"/>
          <w:bCs/>
          <w:color w:val="000000" w:themeColor="text1"/>
          <w:sz w:val="20"/>
          <w:szCs w:val="20"/>
        </w:rPr>
      </w:pPr>
      <w:r w:rsidRPr="00943172">
        <w:rPr>
          <w:rFonts w:ascii="Arial" w:eastAsia="Calibri" w:hAnsi="Arial" w:cs="Arial"/>
          <w:bCs/>
          <w:color w:val="000000" w:themeColor="text1"/>
          <w:sz w:val="20"/>
          <w:szCs w:val="20"/>
        </w:rPr>
        <w:t xml:space="preserve">De conformidad la metodología expuesta, como primer paso la entidad estatal deberá identificar dentro del presupuesto oficial todos los bienes o insumos requeridos para la ejecución del proyecto y con base en esta información aplicará los siguientes pasos descritos en los numerales 2 a 10 de la matriz. Lo anterior encuentra fundamento en el mismo artículo </w:t>
      </w:r>
      <w:r w:rsidRPr="00943172">
        <w:rPr>
          <w:rFonts w:ascii="Arial" w:eastAsia="Calibri" w:hAnsi="Arial" w:cs="Arial"/>
          <w:bCs/>
          <w:color w:val="000000" w:themeColor="text1"/>
          <w:sz w:val="20"/>
          <w:szCs w:val="20"/>
          <w:lang w:val="es-419"/>
        </w:rPr>
        <w:t xml:space="preserve">2.2.1.2.4.2.9. del Decreto 1082 de 2015 </w:t>
      </w:r>
      <w:r w:rsidRPr="00943172">
        <w:rPr>
          <w:rFonts w:ascii="Arial" w:eastAsia="Calibri" w:hAnsi="Arial" w:cs="Arial"/>
          <w:bCs/>
          <w:color w:val="000000" w:themeColor="text1"/>
          <w:sz w:val="20"/>
          <w:szCs w:val="20"/>
          <w:lang w:val="es-ES_tradnl"/>
        </w:rPr>
        <w:t xml:space="preserve">adicionado por el Decreto 680 de 2021, en el cual se contempla la obligación de la entidad estatal de determinar de manera razonable y proporcionada los bienes nacionales relevantes teniendo en cuenta </w:t>
      </w:r>
      <w:r w:rsidRPr="00943172">
        <w:rPr>
          <w:rFonts w:ascii="Arial" w:eastAsia="Calibri" w:hAnsi="Arial" w:cs="Arial"/>
          <w:bCs/>
          <w:color w:val="000000" w:themeColor="text1"/>
          <w:sz w:val="20"/>
          <w:szCs w:val="20"/>
        </w:rPr>
        <w:t xml:space="preserve">«el porcentaje de participación de los bienes en el presupuesto del Proceso de Contratación». Según se evidencia, la norma se refiere de forma general a los bienes que se incluyen en el presupuesto del proceso de contratación y no hace distinción si estos bienes deben ser considerados </w:t>
      </w:r>
      <w:proofErr w:type="gramStart"/>
      <w:r w:rsidRPr="00943172">
        <w:rPr>
          <w:rFonts w:ascii="Arial" w:eastAsia="Calibri" w:hAnsi="Arial" w:cs="Arial"/>
          <w:bCs/>
          <w:color w:val="000000" w:themeColor="text1"/>
          <w:sz w:val="20"/>
          <w:szCs w:val="20"/>
        </w:rPr>
        <w:t>en razón de</w:t>
      </w:r>
      <w:proofErr w:type="gramEnd"/>
      <w:r w:rsidRPr="00943172">
        <w:rPr>
          <w:rFonts w:ascii="Arial" w:eastAsia="Calibri" w:hAnsi="Arial" w:cs="Arial"/>
          <w:bCs/>
          <w:color w:val="000000" w:themeColor="text1"/>
          <w:sz w:val="20"/>
          <w:szCs w:val="20"/>
        </w:rPr>
        <w:t xml:space="preserve"> las actividades relevantes del proyecto. </w:t>
      </w:r>
    </w:p>
    <w:p w14:paraId="17F43E7F" w14:textId="77777777" w:rsidR="00993CD6" w:rsidRPr="00B7032A" w:rsidRDefault="00993CD6" w:rsidP="00993CD6">
      <w:pPr>
        <w:tabs>
          <w:tab w:val="left" w:pos="6551"/>
        </w:tabs>
        <w:jc w:val="both"/>
        <w:rPr>
          <w:rFonts w:ascii="Arial" w:eastAsia="Calibri" w:hAnsi="Arial" w:cs="Arial"/>
          <w:b/>
          <w:color w:val="000000" w:themeColor="text1"/>
          <w:sz w:val="22"/>
          <w:lang w:val="es-ES_tradnl"/>
        </w:rPr>
      </w:pPr>
    </w:p>
    <w:p w14:paraId="66EE0EEE" w14:textId="4C9364F0" w:rsidR="00384CB9" w:rsidRPr="00B7032A" w:rsidRDefault="00384CB9" w:rsidP="00580A2C">
      <w:pPr>
        <w:jc w:val="both"/>
        <w:rPr>
          <w:rFonts w:ascii="Arial" w:eastAsia="Calibri" w:hAnsi="Arial" w:cs="Arial"/>
          <w:b/>
          <w:color w:val="000000" w:themeColor="text1"/>
          <w:sz w:val="22"/>
        </w:rPr>
      </w:pPr>
      <w:r w:rsidRPr="00B7032A">
        <w:rPr>
          <w:rFonts w:ascii="Arial" w:eastAsia="Calibri" w:hAnsi="Arial" w:cs="Arial"/>
          <w:b/>
          <w:bCs/>
          <w:color w:val="000000" w:themeColor="text1"/>
          <w:sz w:val="22"/>
        </w:rPr>
        <w:t>A.I.U.</w:t>
      </w:r>
      <w:r w:rsidRPr="00B7032A">
        <w:rPr>
          <w:rFonts w:ascii="Arial" w:eastAsia="Calibri" w:hAnsi="Arial" w:cs="Arial"/>
          <w:b/>
          <w:color w:val="000000" w:themeColor="text1"/>
          <w:sz w:val="22"/>
        </w:rPr>
        <w:t xml:space="preserve"> </w:t>
      </w:r>
      <w:bookmarkStart w:id="4" w:name="_Hlk102408993"/>
      <w:r w:rsidRPr="00B7032A">
        <w:rPr>
          <w:rFonts w:ascii="Arial" w:eastAsia="Calibri" w:hAnsi="Arial" w:cs="Arial"/>
          <w:b/>
          <w:color w:val="000000" w:themeColor="text1"/>
          <w:sz w:val="22"/>
        </w:rPr>
        <w:t>–</w:t>
      </w:r>
      <w:bookmarkEnd w:id="4"/>
      <w:r w:rsidRPr="00B7032A">
        <w:rPr>
          <w:rFonts w:ascii="Arial" w:eastAsia="Calibri" w:hAnsi="Arial" w:cs="Arial"/>
          <w:b/>
          <w:color w:val="000000" w:themeColor="text1"/>
          <w:sz w:val="22"/>
        </w:rPr>
        <w:t xml:space="preserve"> Porcentajes – Libertad empresarial del proponente</w:t>
      </w:r>
    </w:p>
    <w:p w14:paraId="6E90AF13" w14:textId="3F994CEF" w:rsidR="00384CB9" w:rsidRPr="00B7032A" w:rsidRDefault="00384CB9" w:rsidP="00580A2C">
      <w:pPr>
        <w:jc w:val="both"/>
        <w:rPr>
          <w:rFonts w:ascii="Arial" w:eastAsia="Calibri" w:hAnsi="Arial" w:cs="Arial"/>
          <w:b/>
          <w:color w:val="000000" w:themeColor="text1"/>
          <w:sz w:val="22"/>
        </w:rPr>
      </w:pPr>
    </w:p>
    <w:p w14:paraId="7A2705A0" w14:textId="20600586" w:rsidR="00943172" w:rsidRPr="00943172" w:rsidRDefault="00943172" w:rsidP="00943172">
      <w:pPr>
        <w:jc w:val="both"/>
        <w:rPr>
          <w:rFonts w:ascii="Arial" w:eastAsia="Calibri" w:hAnsi="Arial" w:cs="Arial"/>
          <w:bCs/>
          <w:color w:val="000000" w:themeColor="text1"/>
          <w:sz w:val="20"/>
          <w:szCs w:val="20"/>
          <w:lang w:val="es-ES_tradnl"/>
        </w:rPr>
      </w:pPr>
      <w:r w:rsidRPr="00943172">
        <w:rPr>
          <w:rFonts w:ascii="Arial" w:eastAsia="Calibri" w:hAnsi="Arial" w:cs="Arial"/>
          <w:bCs/>
          <w:color w:val="000000" w:themeColor="text1"/>
          <w:sz w:val="20"/>
          <w:szCs w:val="20"/>
          <w:lang w:val="es-ES_tradnl"/>
        </w:rPr>
        <w:t xml:space="preserve">en el numeral 4.1.1 se incluyen reglas imperativas que las entidades y proponentes deben acoger en su totalidad, estas son: i) incluir este numeral en los procesos de contratación que sea por precios unitarios, </w:t>
      </w:r>
      <w:proofErr w:type="spellStart"/>
      <w:r w:rsidRPr="00943172">
        <w:rPr>
          <w:rFonts w:ascii="Arial" w:eastAsia="Calibri" w:hAnsi="Arial" w:cs="Arial"/>
          <w:bCs/>
          <w:color w:val="000000" w:themeColor="text1"/>
          <w:sz w:val="20"/>
          <w:szCs w:val="20"/>
          <w:lang w:val="es-ES_tradnl"/>
        </w:rPr>
        <w:t>ii</w:t>
      </w:r>
      <w:proofErr w:type="spellEnd"/>
      <w:r w:rsidRPr="00943172">
        <w:rPr>
          <w:rFonts w:ascii="Arial" w:eastAsia="Calibri" w:hAnsi="Arial" w:cs="Arial"/>
          <w:bCs/>
          <w:color w:val="000000" w:themeColor="text1"/>
          <w:sz w:val="20"/>
          <w:szCs w:val="20"/>
          <w:lang w:val="es-ES_tradnl"/>
        </w:rPr>
        <w:t xml:space="preserve">) el proponente calculará un AIU que contenga todos los costos en que los que incurre el contratista, esto es, los costos directos y la administración, imprevistos y utilidad y </w:t>
      </w:r>
      <w:proofErr w:type="spellStart"/>
      <w:r w:rsidRPr="00943172">
        <w:rPr>
          <w:rFonts w:ascii="Arial" w:eastAsia="Calibri" w:hAnsi="Arial" w:cs="Arial"/>
          <w:bCs/>
          <w:color w:val="000000" w:themeColor="text1"/>
          <w:sz w:val="20"/>
          <w:szCs w:val="20"/>
          <w:lang w:val="es-ES_tradnl"/>
        </w:rPr>
        <w:t>iii</w:t>
      </w:r>
      <w:proofErr w:type="spellEnd"/>
      <w:r w:rsidRPr="00943172">
        <w:rPr>
          <w:rFonts w:ascii="Arial" w:eastAsia="Calibri" w:hAnsi="Arial" w:cs="Arial"/>
          <w:bCs/>
          <w:color w:val="000000" w:themeColor="text1"/>
          <w:sz w:val="20"/>
          <w:szCs w:val="20"/>
          <w:lang w:val="es-ES_tradnl"/>
        </w:rPr>
        <w:t>) el valor debe expresarse en un porcentaje. En otras palabras, el documento tipo no prevé la posibilidad a las entidades de adaptar o modificar ningún aparte del contenido de este numeral.</w:t>
      </w:r>
      <w:r>
        <w:rPr>
          <w:rFonts w:ascii="Arial" w:eastAsia="Calibri" w:hAnsi="Arial" w:cs="Arial"/>
          <w:bCs/>
          <w:color w:val="000000" w:themeColor="text1"/>
          <w:sz w:val="20"/>
          <w:szCs w:val="20"/>
          <w:lang w:val="es-ES_tradnl"/>
        </w:rPr>
        <w:t xml:space="preserve"> </w:t>
      </w:r>
      <w:r w:rsidRPr="00943172">
        <w:rPr>
          <w:rFonts w:ascii="Arial" w:eastAsia="Calibri" w:hAnsi="Arial" w:cs="Arial"/>
          <w:bCs/>
          <w:color w:val="000000" w:themeColor="text1"/>
          <w:sz w:val="20"/>
          <w:szCs w:val="20"/>
          <w:lang w:val="es-ES_tradnl"/>
        </w:rPr>
        <w:t>Así mismo, el numeral establece las condiciones en las cuales se deberá estructurar el A.I.U en los procesos con precios unitarios, indicando que e</w:t>
      </w:r>
      <w:r w:rsidRPr="00943172">
        <w:rPr>
          <w:rFonts w:ascii="Arial" w:eastAsia="Calibri" w:hAnsi="Arial" w:cs="Arial"/>
          <w:bCs/>
          <w:color w:val="000000" w:themeColor="text1"/>
          <w:sz w:val="20"/>
          <w:szCs w:val="20"/>
          <w:lang w:val="es-MX"/>
        </w:rPr>
        <w:t xml:space="preserve">l porcentaje del A.I.U. que presenten los proponentes no debe ser superior al porcentaje total del A.I.U establecido en el </w:t>
      </w:r>
      <w:r w:rsidRPr="00943172">
        <w:rPr>
          <w:rFonts w:ascii="Arial" w:eastAsia="Calibri" w:hAnsi="Arial" w:cs="Arial"/>
          <w:bCs/>
          <w:color w:val="000000" w:themeColor="text1"/>
          <w:sz w:val="20"/>
          <w:szCs w:val="20"/>
          <w:lang w:val="es-MX"/>
        </w:rPr>
        <w:fldChar w:fldCharType="begin"/>
      </w:r>
      <w:r w:rsidRPr="00943172">
        <w:rPr>
          <w:rFonts w:ascii="Arial" w:eastAsia="Calibri" w:hAnsi="Arial" w:cs="Arial"/>
          <w:bCs/>
          <w:color w:val="000000" w:themeColor="text1"/>
          <w:sz w:val="20"/>
          <w:szCs w:val="20"/>
          <w:lang w:val="es-MX"/>
        </w:rPr>
        <w:instrText xml:space="preserve"> REF _Ref57725061 \h  \* MERGEFORMAT </w:instrText>
      </w:r>
      <w:r w:rsidRPr="00943172">
        <w:rPr>
          <w:rFonts w:ascii="Arial" w:eastAsia="Calibri" w:hAnsi="Arial" w:cs="Arial"/>
          <w:bCs/>
          <w:color w:val="000000" w:themeColor="text1"/>
          <w:sz w:val="20"/>
          <w:szCs w:val="20"/>
          <w:lang w:val="es-MX"/>
        </w:rPr>
      </w:r>
      <w:r w:rsidRPr="00943172">
        <w:rPr>
          <w:rFonts w:ascii="Arial" w:eastAsia="Calibri" w:hAnsi="Arial" w:cs="Arial"/>
          <w:bCs/>
          <w:color w:val="000000" w:themeColor="text1"/>
          <w:sz w:val="20"/>
          <w:szCs w:val="20"/>
          <w:lang w:val="es-MX"/>
        </w:rPr>
        <w:fldChar w:fldCharType="separate"/>
      </w:r>
      <w:r w:rsidRPr="00943172">
        <w:rPr>
          <w:rFonts w:ascii="Arial" w:eastAsia="Calibri" w:hAnsi="Arial" w:cs="Arial"/>
          <w:bCs/>
          <w:color w:val="000000" w:themeColor="text1"/>
          <w:sz w:val="20"/>
          <w:szCs w:val="20"/>
          <w:lang w:val="es-MX"/>
        </w:rPr>
        <w:t>Formulario 1– Formulario de Presupuesto Oficial</w:t>
      </w:r>
      <w:r w:rsidRPr="00943172">
        <w:rPr>
          <w:rFonts w:ascii="Arial" w:eastAsia="Calibri" w:hAnsi="Arial" w:cs="Arial"/>
          <w:color w:val="000000" w:themeColor="text1"/>
          <w:sz w:val="20"/>
          <w:szCs w:val="20"/>
          <w:lang w:val="es-ES_tradnl"/>
        </w:rPr>
        <w:fldChar w:fldCharType="end"/>
      </w:r>
      <w:r w:rsidRPr="00943172">
        <w:rPr>
          <w:rFonts w:ascii="Arial" w:eastAsia="Calibri" w:hAnsi="Arial" w:cs="Arial"/>
          <w:bCs/>
          <w:color w:val="000000" w:themeColor="text1"/>
          <w:sz w:val="20"/>
          <w:szCs w:val="20"/>
          <w:lang w:val="es-MX"/>
        </w:rPr>
        <w:t xml:space="preserve">. De igual forma, se resalta que el proponente puede configurar libremente el porcentaje individual de la «A», de la «I» y de la «U», siempre que la sumatoria de ellos no exceda el porcentaje total definido por la Entidad en el </w:t>
      </w:r>
      <w:r w:rsidRPr="00943172">
        <w:rPr>
          <w:rFonts w:ascii="Arial" w:eastAsia="Calibri" w:hAnsi="Arial" w:cs="Arial"/>
          <w:bCs/>
          <w:color w:val="000000" w:themeColor="text1"/>
          <w:sz w:val="20"/>
          <w:szCs w:val="20"/>
          <w:lang w:val="es-MX"/>
        </w:rPr>
        <w:fldChar w:fldCharType="begin"/>
      </w:r>
      <w:r w:rsidRPr="00943172">
        <w:rPr>
          <w:rFonts w:ascii="Arial" w:eastAsia="Calibri" w:hAnsi="Arial" w:cs="Arial"/>
          <w:bCs/>
          <w:color w:val="000000" w:themeColor="text1"/>
          <w:sz w:val="20"/>
          <w:szCs w:val="20"/>
          <w:lang w:val="es-MX"/>
        </w:rPr>
        <w:instrText xml:space="preserve"> REF _Ref57725061 \h  \* MERGEFORMAT </w:instrText>
      </w:r>
      <w:r w:rsidRPr="00943172">
        <w:rPr>
          <w:rFonts w:ascii="Arial" w:eastAsia="Calibri" w:hAnsi="Arial" w:cs="Arial"/>
          <w:bCs/>
          <w:color w:val="000000" w:themeColor="text1"/>
          <w:sz w:val="20"/>
          <w:szCs w:val="20"/>
          <w:lang w:val="es-MX"/>
        </w:rPr>
      </w:r>
      <w:r w:rsidRPr="00943172">
        <w:rPr>
          <w:rFonts w:ascii="Arial" w:eastAsia="Calibri" w:hAnsi="Arial" w:cs="Arial"/>
          <w:bCs/>
          <w:color w:val="000000" w:themeColor="text1"/>
          <w:sz w:val="20"/>
          <w:szCs w:val="20"/>
          <w:lang w:val="es-MX"/>
        </w:rPr>
        <w:fldChar w:fldCharType="separate"/>
      </w:r>
      <w:r w:rsidRPr="00943172">
        <w:rPr>
          <w:rFonts w:ascii="Arial" w:eastAsia="Calibri" w:hAnsi="Arial" w:cs="Arial"/>
          <w:bCs/>
          <w:color w:val="000000" w:themeColor="text1"/>
          <w:sz w:val="20"/>
          <w:szCs w:val="20"/>
          <w:lang w:val="es-MX"/>
        </w:rPr>
        <w:t>Formulario 1– Formulario de Presupuesto Oficial</w:t>
      </w:r>
      <w:r w:rsidRPr="00943172">
        <w:rPr>
          <w:rFonts w:ascii="Arial" w:eastAsia="Calibri" w:hAnsi="Arial" w:cs="Arial"/>
          <w:color w:val="000000" w:themeColor="text1"/>
          <w:sz w:val="20"/>
          <w:szCs w:val="20"/>
          <w:lang w:val="es-ES_tradnl"/>
        </w:rPr>
        <w:fldChar w:fldCharType="end"/>
      </w:r>
      <w:r w:rsidRPr="00943172">
        <w:rPr>
          <w:rFonts w:ascii="Arial" w:eastAsia="Calibri" w:hAnsi="Arial" w:cs="Arial"/>
          <w:bCs/>
          <w:color w:val="000000" w:themeColor="text1"/>
          <w:sz w:val="20"/>
          <w:szCs w:val="20"/>
          <w:lang w:val="es-MX"/>
        </w:rPr>
        <w:t xml:space="preserve">. Esto </w:t>
      </w:r>
      <w:r w:rsidRPr="00943172">
        <w:rPr>
          <w:rFonts w:ascii="Arial" w:eastAsia="Calibri" w:hAnsi="Arial" w:cs="Arial"/>
          <w:color w:val="000000" w:themeColor="text1"/>
          <w:sz w:val="20"/>
          <w:szCs w:val="20"/>
          <w:lang w:val="es-MX"/>
        </w:rPr>
        <w:t xml:space="preserve">significa </w:t>
      </w:r>
      <w:r w:rsidRPr="00943172">
        <w:rPr>
          <w:rFonts w:ascii="Arial" w:eastAsia="Calibri" w:hAnsi="Arial" w:cs="Arial"/>
          <w:color w:val="000000" w:themeColor="text1"/>
          <w:sz w:val="20"/>
          <w:szCs w:val="20"/>
          <w:lang w:val="es-MX"/>
        </w:rPr>
        <w:lastRenderedPageBreak/>
        <w:t xml:space="preserve">que el proponente goza de libertad </w:t>
      </w:r>
      <w:r w:rsidRPr="00943172">
        <w:rPr>
          <w:rFonts w:ascii="Arial" w:eastAsia="Calibri" w:hAnsi="Arial" w:cs="Arial"/>
          <w:bCs/>
          <w:color w:val="000000" w:themeColor="text1"/>
          <w:sz w:val="20"/>
          <w:szCs w:val="20"/>
          <w:lang w:val="es-ES_tradnl"/>
        </w:rPr>
        <w:t>empresarial para fijar en cualquiera de estos componentes un porcentaje específico, incluyendo el cero por ciento (%), teniendo como único límite que la sumatoria total de los porcentajes incluidos en cada componente no exceda el porcentaje total definido por la entidad.</w:t>
      </w:r>
    </w:p>
    <w:p w14:paraId="37AE12AC" w14:textId="77777777" w:rsidR="00384CB9" w:rsidRPr="00B7032A" w:rsidRDefault="00384CB9" w:rsidP="00580A2C">
      <w:pPr>
        <w:jc w:val="both"/>
        <w:rPr>
          <w:rFonts w:ascii="Arial" w:eastAsia="Calibri" w:hAnsi="Arial" w:cs="Arial"/>
          <w:b/>
          <w:bCs/>
          <w:color w:val="000000" w:themeColor="text1"/>
          <w:sz w:val="22"/>
        </w:rPr>
      </w:pPr>
    </w:p>
    <w:p w14:paraId="35901CC9" w14:textId="18185C81" w:rsidR="00580A2C" w:rsidRPr="00B7032A" w:rsidRDefault="00580A2C" w:rsidP="00580A2C">
      <w:pPr>
        <w:jc w:val="both"/>
        <w:rPr>
          <w:rFonts w:ascii="Arial" w:eastAsia="Calibri" w:hAnsi="Arial" w:cs="Arial"/>
          <w:b/>
          <w:bCs/>
          <w:color w:val="000000" w:themeColor="text1"/>
          <w:sz w:val="22"/>
          <w:szCs w:val="22"/>
          <w:lang w:eastAsia="en-US"/>
        </w:rPr>
      </w:pPr>
      <w:r w:rsidRPr="00B7032A">
        <w:rPr>
          <w:rFonts w:ascii="Arial" w:eastAsia="Calibri" w:hAnsi="Arial" w:cs="Arial"/>
          <w:b/>
          <w:bCs/>
          <w:color w:val="000000" w:themeColor="text1"/>
          <w:sz w:val="22"/>
        </w:rPr>
        <w:t xml:space="preserve">PRECIOS ARTIFICIALMENTE BAJOS </w:t>
      </w:r>
      <w:r w:rsidRPr="00B7032A">
        <w:rPr>
          <w:rFonts w:ascii="Arial" w:eastAsia="Calibri" w:hAnsi="Arial" w:cs="Arial"/>
          <w:b/>
          <w:color w:val="000000" w:themeColor="text1"/>
          <w:sz w:val="22"/>
        </w:rPr>
        <w:t>– Criterios de identificación</w:t>
      </w:r>
      <w:r w:rsidR="00503A38" w:rsidRPr="00B7032A">
        <w:rPr>
          <w:rFonts w:ascii="Arial" w:eastAsia="Calibri" w:hAnsi="Arial" w:cs="Arial"/>
          <w:b/>
          <w:color w:val="000000" w:themeColor="text1"/>
          <w:sz w:val="22"/>
        </w:rPr>
        <w:t xml:space="preserve"> – Documentos tipo</w:t>
      </w:r>
    </w:p>
    <w:p w14:paraId="74AD1F76" w14:textId="77777777" w:rsidR="00580A2C" w:rsidRPr="00B7032A" w:rsidRDefault="00580A2C" w:rsidP="00580A2C">
      <w:pPr>
        <w:jc w:val="both"/>
        <w:rPr>
          <w:rFonts w:ascii="Arial" w:eastAsia="Calibri" w:hAnsi="Arial" w:cs="Arial"/>
          <w:color w:val="000000" w:themeColor="text1"/>
          <w:sz w:val="20"/>
          <w:szCs w:val="20"/>
          <w:lang w:val="es-ES"/>
        </w:rPr>
      </w:pPr>
    </w:p>
    <w:p w14:paraId="4FC4F70A" w14:textId="16CBA5CD" w:rsidR="00943172" w:rsidRPr="00943172" w:rsidRDefault="00943172" w:rsidP="00943172">
      <w:pPr>
        <w:jc w:val="both"/>
        <w:rPr>
          <w:rFonts w:ascii="Arial" w:eastAsia="Calibri" w:hAnsi="Arial" w:cs="Arial"/>
          <w:color w:val="000000" w:themeColor="text1"/>
          <w:sz w:val="20"/>
          <w:szCs w:val="20"/>
          <w:lang w:val="es-ES"/>
        </w:rPr>
      </w:pPr>
      <w:r>
        <w:rPr>
          <w:rFonts w:ascii="Arial" w:eastAsia="Calibri" w:hAnsi="Arial" w:cs="Arial"/>
          <w:bCs/>
          <w:color w:val="000000" w:themeColor="text1"/>
          <w:sz w:val="20"/>
          <w:szCs w:val="20"/>
          <w:lang w:val="es-ES_tradnl"/>
        </w:rPr>
        <w:t>P</w:t>
      </w:r>
      <w:r w:rsidRPr="00943172">
        <w:rPr>
          <w:rFonts w:ascii="Arial" w:eastAsia="Calibri" w:hAnsi="Arial" w:cs="Arial"/>
          <w:bCs/>
          <w:color w:val="000000" w:themeColor="text1"/>
          <w:sz w:val="20"/>
          <w:szCs w:val="20"/>
          <w:lang w:val="es-ES_tradnl"/>
        </w:rPr>
        <w:t xml:space="preserve">ara la identificación de la oferta artificialmente baja en el marco de los documentos tipo la entidad estatal podrá </w:t>
      </w:r>
      <w:r w:rsidRPr="00943172">
        <w:rPr>
          <w:rFonts w:ascii="Arial" w:eastAsia="Calibri" w:hAnsi="Arial" w:cs="Arial"/>
          <w:color w:val="000000" w:themeColor="text1"/>
          <w:sz w:val="20"/>
          <w:szCs w:val="20"/>
          <w:lang w:val="es-ES"/>
        </w:rPr>
        <w:t xml:space="preserve">tener en cuenta como insumos del mencionado análisis la información señalada en esta Guía, esto es: i) el promedio del valor de las ofertas, </w:t>
      </w:r>
      <w:proofErr w:type="spellStart"/>
      <w:r w:rsidRPr="00943172">
        <w:rPr>
          <w:rFonts w:ascii="Arial" w:eastAsia="Calibri" w:hAnsi="Arial" w:cs="Arial"/>
          <w:color w:val="000000" w:themeColor="text1"/>
          <w:sz w:val="20"/>
          <w:szCs w:val="20"/>
          <w:lang w:val="es-ES"/>
        </w:rPr>
        <w:t>ii</w:t>
      </w:r>
      <w:proofErr w:type="spellEnd"/>
      <w:r w:rsidRPr="00943172">
        <w:rPr>
          <w:rFonts w:ascii="Arial" w:eastAsia="Calibri" w:hAnsi="Arial" w:cs="Arial"/>
          <w:color w:val="000000" w:themeColor="text1"/>
          <w:sz w:val="20"/>
          <w:szCs w:val="20"/>
          <w:lang w:val="es-ES"/>
        </w:rPr>
        <w:t xml:space="preserve">) la mediana del valor de las ofertas, </w:t>
      </w:r>
      <w:proofErr w:type="spellStart"/>
      <w:r w:rsidRPr="00943172">
        <w:rPr>
          <w:rFonts w:ascii="Arial" w:eastAsia="Calibri" w:hAnsi="Arial" w:cs="Arial"/>
          <w:color w:val="000000" w:themeColor="text1"/>
          <w:sz w:val="20"/>
          <w:szCs w:val="20"/>
          <w:lang w:val="es-ES"/>
        </w:rPr>
        <w:t>iii</w:t>
      </w:r>
      <w:proofErr w:type="spellEnd"/>
      <w:r w:rsidRPr="00943172">
        <w:rPr>
          <w:rFonts w:ascii="Arial" w:eastAsia="Calibri" w:hAnsi="Arial" w:cs="Arial"/>
          <w:color w:val="000000" w:themeColor="text1"/>
          <w:sz w:val="20"/>
          <w:szCs w:val="20"/>
          <w:lang w:val="es-ES"/>
        </w:rPr>
        <w:t xml:space="preserve">) la desviación estándar del valor de las ofertas, </w:t>
      </w:r>
      <w:proofErr w:type="spellStart"/>
      <w:r w:rsidRPr="00943172">
        <w:rPr>
          <w:rFonts w:ascii="Arial" w:eastAsia="Calibri" w:hAnsi="Arial" w:cs="Arial"/>
          <w:color w:val="000000" w:themeColor="text1"/>
          <w:sz w:val="20"/>
          <w:szCs w:val="20"/>
          <w:lang w:val="es-ES"/>
        </w:rPr>
        <w:t>iv</w:t>
      </w:r>
      <w:proofErr w:type="spellEnd"/>
      <w:r w:rsidRPr="00943172">
        <w:rPr>
          <w:rFonts w:ascii="Arial" w:eastAsia="Calibri" w:hAnsi="Arial" w:cs="Arial"/>
          <w:color w:val="000000" w:themeColor="text1"/>
          <w:sz w:val="20"/>
          <w:szCs w:val="20"/>
          <w:lang w:val="es-ES"/>
        </w:rPr>
        <w:t xml:space="preserve">) la diferencia entre el costo estimado del contrato y el promedio o mediana del valor de las ofertas, v) la diferencia entre el valor de la oferta que puede ser artificialmente baja y el promedio del valor de las ofertas, vi) la diferencia entre el valor de la oferta que puede ser artificialmente baja y el costo estimado del contrato y </w:t>
      </w:r>
      <w:proofErr w:type="spellStart"/>
      <w:r w:rsidRPr="00943172">
        <w:rPr>
          <w:rFonts w:ascii="Arial" w:eastAsia="Calibri" w:hAnsi="Arial" w:cs="Arial"/>
          <w:color w:val="000000" w:themeColor="text1"/>
          <w:sz w:val="20"/>
          <w:szCs w:val="20"/>
          <w:lang w:val="es-ES"/>
        </w:rPr>
        <w:t>vii</w:t>
      </w:r>
      <w:proofErr w:type="spellEnd"/>
      <w:r w:rsidRPr="00943172">
        <w:rPr>
          <w:rFonts w:ascii="Arial" w:eastAsia="Calibri" w:hAnsi="Arial" w:cs="Arial"/>
          <w:color w:val="000000" w:themeColor="text1"/>
          <w:sz w:val="20"/>
          <w:szCs w:val="20"/>
          <w:lang w:val="es-ES"/>
        </w:rPr>
        <w:t xml:space="preserve">) la información histórica de ofertas y contratos del objeto del proceso de contratación. Dentro de las herramientas para su identificación, podrá determinar si la comparación de las ofertas será absoluta o relativa en los términos señalados en la Guía. En tal sentido, como se explicó anteriormente, con base en esta metodología si se reciben menos de cinco (5) ofertas, se solicitará aclaración a los proponentes cuyas ofertas sean menores en un 20%, o un mayor porcentaje en relación con el costo estimado por la entidad estatal. Por su parte, </w:t>
      </w:r>
      <w:r w:rsidRPr="00943172">
        <w:rPr>
          <w:rFonts w:ascii="Arial" w:eastAsia="Calibri" w:hAnsi="Arial" w:cs="Arial"/>
          <w:bCs/>
          <w:color w:val="000000" w:themeColor="text1"/>
          <w:sz w:val="20"/>
          <w:szCs w:val="20"/>
        </w:rPr>
        <w:t xml:space="preserve">cuando se presentan más de cinco (5) ofertas la Guía </w:t>
      </w:r>
      <w:r w:rsidRPr="00943172">
        <w:rPr>
          <w:rFonts w:ascii="Arial" w:eastAsia="Calibri" w:hAnsi="Arial" w:cs="Arial"/>
          <w:color w:val="000000" w:themeColor="text1"/>
          <w:sz w:val="20"/>
          <w:szCs w:val="20"/>
          <w:lang w:val="es-ES"/>
        </w:rPr>
        <w:t xml:space="preserve">sugiere aplicar una metodología para identificar ofertas con precios artificialmente bajos, dentro de la que se incluye la fijación de un valor mínimo aceptable. De este modo, la entidad puede identificar como ofertas artificialmente bajas las que se encuentren por debajo de ese valor mínimo. </w:t>
      </w:r>
    </w:p>
    <w:p w14:paraId="0E5321A2" w14:textId="77777777" w:rsidR="00580A2C" w:rsidRPr="00B7032A" w:rsidRDefault="00580A2C" w:rsidP="00580A2C">
      <w:pPr>
        <w:jc w:val="both"/>
        <w:rPr>
          <w:rFonts w:ascii="Arial" w:eastAsia="Calibri" w:hAnsi="Arial" w:cs="Arial"/>
          <w:b/>
          <w:bCs/>
          <w:color w:val="000000" w:themeColor="text1"/>
          <w:sz w:val="22"/>
          <w:szCs w:val="22"/>
          <w:lang w:val="es-MX"/>
        </w:rPr>
      </w:pPr>
    </w:p>
    <w:p w14:paraId="100E5027" w14:textId="7353B784" w:rsidR="00993CD6" w:rsidRPr="00B7032A" w:rsidRDefault="00906E69" w:rsidP="00993CD6">
      <w:pPr>
        <w:tabs>
          <w:tab w:val="left" w:pos="6551"/>
        </w:tabs>
        <w:jc w:val="both"/>
        <w:rPr>
          <w:rFonts w:ascii="Arial" w:eastAsia="Calibri" w:hAnsi="Arial" w:cs="Arial"/>
          <w:b/>
          <w:color w:val="000000" w:themeColor="text1"/>
          <w:sz w:val="22"/>
          <w:lang w:val="es-ES_tradnl"/>
        </w:rPr>
      </w:pPr>
      <w:r w:rsidRPr="00B7032A">
        <w:rPr>
          <w:rFonts w:ascii="Arial" w:eastAsia="Calibri" w:hAnsi="Arial" w:cs="Arial"/>
          <w:b/>
          <w:color w:val="000000" w:themeColor="text1"/>
          <w:sz w:val="22"/>
          <w:lang w:val="es-ES_tradnl"/>
        </w:rPr>
        <w:t>PROCESOS ESTRUCTURADOS POR LOTES</w:t>
      </w:r>
      <w:r w:rsidR="00993CD6" w:rsidRPr="00B7032A">
        <w:rPr>
          <w:rFonts w:ascii="Arial" w:eastAsia="Calibri" w:hAnsi="Arial" w:cs="Arial"/>
          <w:b/>
          <w:color w:val="000000" w:themeColor="text1"/>
          <w:sz w:val="22"/>
          <w:lang w:val="es-ES_tradnl"/>
        </w:rPr>
        <w:t xml:space="preserve"> – </w:t>
      </w:r>
      <w:r w:rsidRPr="00B7032A">
        <w:rPr>
          <w:rFonts w:ascii="Arial" w:eastAsia="Calibri" w:hAnsi="Arial" w:cs="Arial"/>
          <w:b/>
          <w:color w:val="000000" w:themeColor="text1"/>
          <w:sz w:val="22"/>
          <w:lang w:val="es-ES_tradnl"/>
        </w:rPr>
        <w:t xml:space="preserve">Numeral 2.10 – Reglas </w:t>
      </w:r>
    </w:p>
    <w:p w14:paraId="10259C9F" w14:textId="77777777" w:rsidR="00993CD6" w:rsidRPr="00B7032A" w:rsidRDefault="00993CD6" w:rsidP="00993CD6">
      <w:pPr>
        <w:tabs>
          <w:tab w:val="left" w:pos="6551"/>
        </w:tabs>
        <w:spacing w:line="276" w:lineRule="auto"/>
        <w:jc w:val="both"/>
        <w:rPr>
          <w:rFonts w:ascii="Arial" w:hAnsi="Arial" w:cs="Arial"/>
          <w:noProof/>
          <w:color w:val="000000" w:themeColor="text1"/>
          <w:sz w:val="22"/>
          <w:lang w:val="es-ES_tradnl"/>
        </w:rPr>
      </w:pPr>
    </w:p>
    <w:p w14:paraId="76DF7D50" w14:textId="2FD612F4" w:rsidR="00943172" w:rsidRPr="00943172" w:rsidRDefault="0049127B" w:rsidP="00943172">
      <w:pPr>
        <w:tabs>
          <w:tab w:val="left" w:pos="6551"/>
        </w:tabs>
        <w:jc w:val="both"/>
        <w:rPr>
          <w:rFonts w:ascii="Arial" w:eastAsia="Calibri" w:hAnsi="Arial" w:cs="Arial"/>
          <w:color w:val="000000" w:themeColor="text1"/>
          <w:sz w:val="20"/>
          <w:szCs w:val="20"/>
          <w:lang w:val="es-ES_tradnl"/>
        </w:rPr>
      </w:pPr>
      <w:r>
        <w:rPr>
          <w:rFonts w:ascii="Arial" w:eastAsia="Calibri" w:hAnsi="Arial" w:cs="Arial"/>
          <w:color w:val="000000" w:themeColor="text1"/>
          <w:sz w:val="20"/>
          <w:szCs w:val="20"/>
          <w:lang w:val="es-ES_tradnl"/>
        </w:rPr>
        <w:t>D</w:t>
      </w:r>
      <w:r w:rsidR="00943172" w:rsidRPr="00943172">
        <w:rPr>
          <w:rFonts w:ascii="Arial" w:eastAsia="Calibri" w:hAnsi="Arial" w:cs="Arial"/>
          <w:color w:val="000000" w:themeColor="text1"/>
          <w:sz w:val="20"/>
          <w:szCs w:val="20"/>
          <w:lang w:val="es-ES_tradnl"/>
        </w:rPr>
        <w:t xml:space="preserve">e conformidad con los documentos tipo para licitación de obra pública de infraestructura social, las entidades estatales cuentan con discrecionalidad para estructurar sus procesos por lotes o grupos. En segundo lugar, habiendo optado por configurar así el procedimiento de selección, las entidades estatales igualmente tienen libertad para indicar si los proponentes pueden presentar oferta para más de un lote o grupo. En tercer lugar, una vez definido que si es posible lo anterior, las entidades estatales deben indicar si es viable que un oferente sea adjudicatario de más de un lote o grupo. En cuarto lugar, los proponentes deberán acreditar las condiciones habilitantes requeridas para cada uno de los lotes a los que se presente, teniendo en cuenta los requisitos establecidos por la entidad en el pliego de condiciones. Así las cosas, es claro que en los procesos regidos por los documentos tipo de infraestructura social los proponentes podrán presentar propuesta a dos o más lotes o grupos, ya sea que se presente como proponente singular o integrante de un proponente plural, siempre que la entidad haya establecido esta posibilidad en los términos señalados en el numeral 2.10 del documento base. Por consiguiente, no es posible rechazar a un proponente que se presente a dos o más lotes en el evento en que la entidad haya permitido esta posibilidad, máxime que no se prevé una causal de rechazo que contemple esta circunstancia. </w:t>
      </w:r>
    </w:p>
    <w:p w14:paraId="34596BB2" w14:textId="77777777" w:rsidR="00906E69" w:rsidRPr="00B7032A" w:rsidRDefault="00906E69" w:rsidP="00993CD6">
      <w:pPr>
        <w:tabs>
          <w:tab w:val="left" w:pos="6551"/>
        </w:tabs>
        <w:spacing w:line="276" w:lineRule="auto"/>
        <w:jc w:val="both"/>
        <w:rPr>
          <w:rFonts w:ascii="Arial" w:eastAsia="Calibri" w:hAnsi="Arial" w:cs="Arial"/>
          <w:b/>
          <w:color w:val="000000" w:themeColor="text1"/>
          <w:sz w:val="22"/>
          <w:lang w:val="es-ES_tradnl"/>
        </w:rPr>
      </w:pPr>
    </w:p>
    <w:p w14:paraId="4AD19E8B" w14:textId="2431A1AC" w:rsidR="00993CD6" w:rsidRPr="00B7032A" w:rsidRDefault="00906E69" w:rsidP="00993CD6">
      <w:pPr>
        <w:tabs>
          <w:tab w:val="left" w:pos="6551"/>
        </w:tabs>
        <w:spacing w:line="276" w:lineRule="auto"/>
        <w:jc w:val="both"/>
        <w:rPr>
          <w:rFonts w:ascii="Arial" w:eastAsia="Calibri" w:hAnsi="Arial" w:cs="Arial"/>
          <w:b/>
          <w:color w:val="000000" w:themeColor="text1"/>
          <w:sz w:val="22"/>
          <w:lang w:val="es-ES_tradnl"/>
        </w:rPr>
      </w:pPr>
      <w:r w:rsidRPr="00B7032A">
        <w:rPr>
          <w:rFonts w:ascii="Arial" w:eastAsia="Calibri" w:hAnsi="Arial" w:cs="Arial"/>
          <w:b/>
          <w:color w:val="000000" w:themeColor="text1"/>
          <w:sz w:val="22"/>
          <w:lang w:val="es-ES_tradnl"/>
        </w:rPr>
        <w:t xml:space="preserve">CAUSALES DE RECHAZO </w:t>
      </w:r>
      <w:r w:rsidR="00993CD6" w:rsidRPr="00B7032A">
        <w:rPr>
          <w:rFonts w:ascii="Arial" w:eastAsia="Calibri" w:hAnsi="Arial" w:cs="Arial"/>
          <w:b/>
          <w:color w:val="000000" w:themeColor="text1"/>
          <w:sz w:val="22"/>
          <w:lang w:val="es-ES_tradnl"/>
        </w:rPr>
        <w:t>–</w:t>
      </w:r>
      <w:r w:rsidR="00D87485" w:rsidRPr="00B7032A">
        <w:rPr>
          <w:rFonts w:ascii="Arial" w:eastAsia="Calibri" w:hAnsi="Arial" w:cs="Arial"/>
          <w:b/>
          <w:color w:val="000000" w:themeColor="text1"/>
          <w:sz w:val="22"/>
          <w:lang w:val="es-ES_tradnl"/>
        </w:rPr>
        <w:t xml:space="preserve"> </w:t>
      </w:r>
      <w:r w:rsidRPr="00B7032A">
        <w:rPr>
          <w:rFonts w:ascii="Arial" w:eastAsia="Calibri" w:hAnsi="Arial" w:cs="Arial"/>
          <w:b/>
          <w:color w:val="000000" w:themeColor="text1"/>
          <w:sz w:val="22"/>
          <w:lang w:val="es-ES_tradnl"/>
        </w:rPr>
        <w:t xml:space="preserve">Literal B numeral 1.15 </w:t>
      </w:r>
    </w:p>
    <w:p w14:paraId="0F0520D4" w14:textId="77777777" w:rsidR="00906E69" w:rsidRPr="0049127B" w:rsidRDefault="00906E69" w:rsidP="0049127B">
      <w:pPr>
        <w:tabs>
          <w:tab w:val="left" w:pos="6551"/>
        </w:tabs>
        <w:jc w:val="both"/>
        <w:rPr>
          <w:rFonts w:ascii="Arial" w:hAnsi="Arial" w:cs="Arial"/>
          <w:noProof/>
          <w:color w:val="000000" w:themeColor="text1"/>
          <w:sz w:val="20"/>
          <w:szCs w:val="20"/>
          <w:lang w:val="pt-BR"/>
        </w:rPr>
      </w:pPr>
    </w:p>
    <w:p w14:paraId="66453100" w14:textId="6236C090" w:rsidR="0049127B" w:rsidRPr="0049127B" w:rsidRDefault="00906E69" w:rsidP="0049127B">
      <w:pPr>
        <w:tabs>
          <w:tab w:val="left" w:pos="6551"/>
        </w:tabs>
        <w:jc w:val="both"/>
        <w:rPr>
          <w:rFonts w:ascii="Arial" w:hAnsi="Arial" w:cs="Arial"/>
          <w:bCs/>
          <w:noProof/>
          <w:color w:val="000000" w:themeColor="text1"/>
          <w:sz w:val="20"/>
          <w:szCs w:val="20"/>
          <w:lang w:val="es-ES_tradnl"/>
        </w:rPr>
      </w:pPr>
      <w:r w:rsidRPr="0049127B">
        <w:rPr>
          <w:rFonts w:ascii="Arial" w:hAnsi="Arial" w:cs="Arial"/>
          <w:noProof/>
          <w:color w:val="000000" w:themeColor="text1"/>
          <w:sz w:val="20"/>
          <w:szCs w:val="20"/>
          <w:lang w:val="pt-BR"/>
        </w:rPr>
        <w:t xml:space="preserve">[...] </w:t>
      </w:r>
      <w:r w:rsidR="0049127B" w:rsidRPr="0049127B">
        <w:rPr>
          <w:rFonts w:ascii="Arial" w:hAnsi="Arial" w:cs="Arial"/>
          <w:bCs/>
          <w:noProof/>
          <w:color w:val="000000" w:themeColor="text1"/>
          <w:sz w:val="20"/>
          <w:szCs w:val="20"/>
          <w:lang w:val="es-ES_tradnl"/>
        </w:rPr>
        <w:t>se rechazará la oferta «Cuando una misma persona natural o jurídica, o integrante de un Proponente Plural presente o haga parte en más de una propuesta para el proceso de selección. [Cuando el proceso se estructure por lotes o grupos reemplazar el texto anterior por el siguiente: Cuando en el mismo procedimiento de selección se presentan oferentes para un mismo lote o grupo, estando incursos en la situación descrita en los literales g) y h) del numeral 1 del artículo 8 de la Ley 80 de 1993, la Entidad solo admitirá la primera oferta presentada en el tiempo]</w:t>
      </w:r>
      <w:r w:rsidR="0049127B" w:rsidRPr="0049127B">
        <w:rPr>
          <w:rFonts w:ascii="Arial" w:hAnsi="Arial" w:cs="Arial"/>
          <w:noProof/>
          <w:color w:val="000000" w:themeColor="text1"/>
          <w:sz w:val="20"/>
          <w:szCs w:val="20"/>
          <w:lang w:val="es-ES_tradnl"/>
        </w:rPr>
        <w:t>»</w:t>
      </w:r>
      <w:r w:rsidR="0049127B" w:rsidRPr="0049127B">
        <w:rPr>
          <w:rFonts w:ascii="Arial" w:hAnsi="Arial" w:cs="Arial"/>
          <w:bCs/>
          <w:noProof/>
          <w:color w:val="000000" w:themeColor="text1"/>
          <w:sz w:val="20"/>
          <w:szCs w:val="20"/>
          <w:lang w:val="es-ES_tradnl"/>
        </w:rPr>
        <w:t xml:space="preserve"> </w:t>
      </w:r>
      <w:r w:rsidR="0049127B" w:rsidRPr="0049127B">
        <w:rPr>
          <w:rFonts w:ascii="Arial" w:hAnsi="Arial" w:cs="Arial"/>
          <w:bCs/>
          <w:noProof/>
          <w:color w:val="000000" w:themeColor="text1"/>
          <w:sz w:val="20"/>
          <w:szCs w:val="20"/>
          <w:lang w:val="es-ES_tradnl"/>
        </w:rPr>
        <w:t xml:space="preserve">Conforme se </w:t>
      </w:r>
      <w:r w:rsidR="0049127B" w:rsidRPr="0049127B">
        <w:rPr>
          <w:rFonts w:ascii="Arial" w:hAnsi="Arial" w:cs="Arial"/>
          <w:bCs/>
          <w:noProof/>
          <w:color w:val="000000" w:themeColor="text1"/>
          <w:sz w:val="20"/>
          <w:szCs w:val="20"/>
          <w:lang w:val="es-ES_tradnl"/>
        </w:rPr>
        <w:lastRenderedPageBreak/>
        <w:t>desprende de lo anterior, en esta causal se regulan dos supuestos: i) en los procesos se rechazará si la misma persona presenta o hace parte en más de una propuesta y ii) en los procesos estructurados por lote se rechazará la oferta si se presentan oferentes para un mismo lote o grupo que estén incursos en los literales g y h del numera 1 del artículo 8 de la Ley 80 de 1993. El único supuesto dirigido a los procesos estructurados por lotes es el segundo, mientras que el primero procederá en aquellos procesos que no estén estructurados por lotes. Por tanto, se reitera que no hay causales que conlleve al rechazo de la oferta por presentar propuesta en más de dos lotes.</w:t>
      </w:r>
    </w:p>
    <w:p w14:paraId="2919B1FF" w14:textId="77777777" w:rsidR="00FB0F29" w:rsidRPr="0049127B" w:rsidRDefault="00FB0F29" w:rsidP="0049127B">
      <w:pPr>
        <w:tabs>
          <w:tab w:val="left" w:pos="6551"/>
        </w:tabs>
        <w:jc w:val="both"/>
        <w:rPr>
          <w:rFonts w:ascii="Arial" w:eastAsia="Calibri" w:hAnsi="Arial" w:cs="Arial"/>
          <w:color w:val="000000" w:themeColor="text1"/>
          <w:sz w:val="20"/>
          <w:szCs w:val="20"/>
          <w:lang w:val="es-ES_tradnl"/>
        </w:rPr>
      </w:pPr>
    </w:p>
    <w:p w14:paraId="28281768" w14:textId="10C381ED" w:rsidR="00FB0F29" w:rsidRPr="00B7032A" w:rsidRDefault="00D87485" w:rsidP="00C118DB">
      <w:pPr>
        <w:spacing w:line="276" w:lineRule="auto"/>
        <w:jc w:val="both"/>
        <w:rPr>
          <w:rFonts w:ascii="Arial" w:eastAsia="Calibri" w:hAnsi="Arial" w:cs="Arial"/>
          <w:b/>
          <w:sz w:val="22"/>
          <w:lang w:val="es-ES_tradnl"/>
        </w:rPr>
      </w:pPr>
      <w:r w:rsidRPr="00B7032A">
        <w:rPr>
          <w:rFonts w:ascii="Arial" w:eastAsia="Calibri" w:hAnsi="Arial" w:cs="Arial"/>
          <w:b/>
          <w:sz w:val="22"/>
        </w:rPr>
        <w:t xml:space="preserve">ANEXO 4 MINUTA DEL CONTRATO </w:t>
      </w:r>
      <w:r w:rsidRPr="00B7032A">
        <w:rPr>
          <w:rFonts w:ascii="Arial" w:eastAsia="Calibri" w:hAnsi="Arial" w:cs="Arial"/>
          <w:b/>
          <w:color w:val="000000" w:themeColor="text1"/>
          <w:sz w:val="22"/>
          <w:lang w:val="es-ES_tradnl"/>
        </w:rPr>
        <w:t xml:space="preserve">– Contenido – Obligatoriedad – Cláusula 9 – Porcentajes </w:t>
      </w:r>
    </w:p>
    <w:p w14:paraId="757F31E8" w14:textId="2BAA8592" w:rsidR="00FB0F29" w:rsidRPr="00B7032A" w:rsidRDefault="00FB0F29" w:rsidP="00C118DB">
      <w:pPr>
        <w:spacing w:line="276" w:lineRule="auto"/>
        <w:jc w:val="both"/>
        <w:rPr>
          <w:rFonts w:ascii="Arial" w:eastAsia="Calibri" w:hAnsi="Arial" w:cs="Arial"/>
          <w:b/>
          <w:sz w:val="22"/>
          <w:lang w:val="es-ES_tradnl"/>
        </w:rPr>
      </w:pPr>
    </w:p>
    <w:p w14:paraId="3F7BAA0E" w14:textId="03D4A7C6" w:rsidR="0049127B" w:rsidRPr="0049127B" w:rsidRDefault="0049127B" w:rsidP="0049127B">
      <w:pPr>
        <w:jc w:val="both"/>
        <w:rPr>
          <w:rFonts w:ascii="Arial" w:eastAsia="Calibri" w:hAnsi="Arial" w:cs="Arial"/>
          <w:bCs/>
          <w:color w:val="000000" w:themeColor="text1"/>
          <w:sz w:val="20"/>
          <w:szCs w:val="20"/>
          <w:lang w:val="es-MX"/>
        </w:rPr>
      </w:pPr>
      <w:r>
        <w:rPr>
          <w:rFonts w:ascii="Arial" w:eastAsia="Calibri" w:hAnsi="Arial" w:cs="Arial"/>
          <w:bCs/>
          <w:color w:val="000000" w:themeColor="text1"/>
          <w:sz w:val="20"/>
          <w:szCs w:val="20"/>
          <w:lang w:val="es-MX"/>
        </w:rPr>
        <w:t xml:space="preserve">El </w:t>
      </w:r>
      <w:r w:rsidRPr="0049127B">
        <w:rPr>
          <w:rFonts w:ascii="Arial" w:eastAsia="Calibri" w:hAnsi="Arial" w:cs="Arial"/>
          <w:bCs/>
          <w:color w:val="000000" w:themeColor="text1"/>
          <w:sz w:val="20"/>
          <w:szCs w:val="20"/>
          <w:lang w:val="es-MX"/>
        </w:rPr>
        <w:t xml:space="preserve">Anexo 4 al hacer parte de los listados de documentos tipo adoptados mediante Resoluciones 219 y 220 de 2020, es de obligatoria aplicación por las entidades regidas por el EGCAP que adelanten procesos de selección de infraestructura social. Estas entidades están facultadas para modificar el contenido del Anexo 4 en los aspectos previstos para ello, esto es, en los apartados grises entre corchetes de acuerdo con las instrucciones allí consignadas. Por tal razón, para efectos de la cláusula 9 del Anexo 4, la entidad únicamente está facultada para determinar los porcentajes de mano de obra no calificada de la región de acuerdo con los rangos expresamente contemplados, de manera que la inclusión de porcentajes diferentes vulneraría la regla de inalterabilidad de los documentos tipo. </w:t>
      </w:r>
    </w:p>
    <w:p w14:paraId="0637B694" w14:textId="77777777" w:rsidR="0049127B" w:rsidRPr="0049127B" w:rsidRDefault="0049127B" w:rsidP="0049127B">
      <w:pPr>
        <w:jc w:val="both"/>
        <w:rPr>
          <w:rFonts w:ascii="Arial" w:eastAsia="Calibri" w:hAnsi="Arial" w:cs="Arial"/>
          <w:b/>
          <w:bCs/>
          <w:color w:val="000000" w:themeColor="text1"/>
          <w:sz w:val="20"/>
          <w:szCs w:val="20"/>
        </w:rPr>
      </w:pPr>
    </w:p>
    <w:p w14:paraId="1EF922C9" w14:textId="31F02388" w:rsidR="00FB0F29" w:rsidRPr="00B7032A" w:rsidRDefault="00FB0F29" w:rsidP="00C118DB">
      <w:pPr>
        <w:spacing w:line="276" w:lineRule="auto"/>
        <w:jc w:val="both"/>
        <w:rPr>
          <w:rFonts w:ascii="Arial" w:eastAsia="Calibri" w:hAnsi="Arial" w:cs="Arial"/>
          <w:b/>
          <w:sz w:val="22"/>
          <w:lang w:val="es-ES_tradnl"/>
        </w:rPr>
      </w:pPr>
    </w:p>
    <w:p w14:paraId="648FD732" w14:textId="733D3AFB" w:rsidR="00337178" w:rsidRPr="00412A1B" w:rsidRDefault="00337178" w:rsidP="00C118DB">
      <w:pPr>
        <w:spacing w:line="276" w:lineRule="auto"/>
        <w:jc w:val="both"/>
        <w:rPr>
          <w:rFonts w:ascii="Arial" w:eastAsia="Calibri" w:hAnsi="Arial" w:cs="Arial"/>
          <w:bCs/>
          <w:sz w:val="22"/>
          <w:lang w:val="es-ES_tradnl"/>
        </w:rPr>
      </w:pPr>
    </w:p>
    <w:p w14:paraId="712CE8A3" w14:textId="7105BBA5" w:rsidR="00337178" w:rsidRPr="00B7032A" w:rsidRDefault="00337178" w:rsidP="00C118DB">
      <w:pPr>
        <w:spacing w:line="276" w:lineRule="auto"/>
        <w:jc w:val="both"/>
        <w:rPr>
          <w:rFonts w:ascii="Arial" w:eastAsia="Calibri" w:hAnsi="Arial" w:cs="Arial"/>
          <w:b/>
          <w:sz w:val="22"/>
          <w:lang w:val="es-ES_tradnl"/>
        </w:rPr>
      </w:pPr>
    </w:p>
    <w:p w14:paraId="03FC990A" w14:textId="0C87BDEC" w:rsidR="000C7746" w:rsidRPr="00B7032A" w:rsidRDefault="000C7746" w:rsidP="00C118DB">
      <w:pPr>
        <w:spacing w:line="276" w:lineRule="auto"/>
        <w:jc w:val="both"/>
        <w:rPr>
          <w:rFonts w:ascii="Arial" w:eastAsia="Calibri" w:hAnsi="Arial" w:cs="Arial"/>
          <w:b/>
          <w:sz w:val="22"/>
          <w:lang w:val="es-ES_tradnl"/>
        </w:rPr>
      </w:pPr>
    </w:p>
    <w:p w14:paraId="4E8DBD6E" w14:textId="2EA915BB" w:rsidR="000C7746" w:rsidRPr="00B7032A" w:rsidRDefault="000C7746" w:rsidP="00C118DB">
      <w:pPr>
        <w:spacing w:line="276" w:lineRule="auto"/>
        <w:jc w:val="both"/>
        <w:rPr>
          <w:rFonts w:ascii="Arial" w:eastAsia="Calibri" w:hAnsi="Arial" w:cs="Arial"/>
          <w:b/>
          <w:sz w:val="22"/>
          <w:lang w:val="es-ES_tradnl"/>
        </w:rPr>
      </w:pPr>
    </w:p>
    <w:p w14:paraId="27B36893" w14:textId="28BF8760" w:rsidR="000C7746" w:rsidRPr="00B7032A" w:rsidRDefault="000C7746" w:rsidP="00C118DB">
      <w:pPr>
        <w:spacing w:line="276" w:lineRule="auto"/>
        <w:jc w:val="both"/>
        <w:rPr>
          <w:rFonts w:ascii="Arial" w:eastAsia="Calibri" w:hAnsi="Arial" w:cs="Arial"/>
          <w:b/>
          <w:sz w:val="22"/>
          <w:lang w:val="es-ES_tradnl"/>
        </w:rPr>
      </w:pPr>
    </w:p>
    <w:p w14:paraId="56B93BA6" w14:textId="1B323DFA" w:rsidR="000C7746" w:rsidRPr="00B7032A" w:rsidRDefault="000C7746" w:rsidP="00C118DB">
      <w:pPr>
        <w:spacing w:line="276" w:lineRule="auto"/>
        <w:jc w:val="both"/>
        <w:rPr>
          <w:rFonts w:ascii="Arial" w:eastAsia="Calibri" w:hAnsi="Arial" w:cs="Arial"/>
          <w:b/>
          <w:sz w:val="22"/>
          <w:lang w:val="es-ES_tradnl"/>
        </w:rPr>
      </w:pPr>
    </w:p>
    <w:p w14:paraId="71805E28" w14:textId="64A92987" w:rsidR="000C7746" w:rsidRPr="00B7032A" w:rsidRDefault="000C7746" w:rsidP="00C118DB">
      <w:pPr>
        <w:spacing w:line="276" w:lineRule="auto"/>
        <w:jc w:val="both"/>
        <w:rPr>
          <w:rFonts w:ascii="Arial" w:eastAsia="Calibri" w:hAnsi="Arial" w:cs="Arial"/>
          <w:b/>
          <w:sz w:val="22"/>
          <w:lang w:val="es-ES_tradnl"/>
        </w:rPr>
      </w:pPr>
    </w:p>
    <w:p w14:paraId="48AB09C4" w14:textId="64A2895B" w:rsidR="000C7746" w:rsidRPr="00B7032A" w:rsidRDefault="000C7746" w:rsidP="00C118DB">
      <w:pPr>
        <w:spacing w:line="276" w:lineRule="auto"/>
        <w:jc w:val="both"/>
        <w:rPr>
          <w:rFonts w:ascii="Arial" w:eastAsia="Calibri" w:hAnsi="Arial" w:cs="Arial"/>
          <w:b/>
          <w:sz w:val="22"/>
          <w:lang w:val="es-ES_tradnl"/>
        </w:rPr>
      </w:pPr>
    </w:p>
    <w:p w14:paraId="4A7C4A24" w14:textId="1D351801" w:rsidR="000C7746" w:rsidRPr="00B7032A" w:rsidRDefault="000C7746" w:rsidP="00C118DB">
      <w:pPr>
        <w:spacing w:line="276" w:lineRule="auto"/>
        <w:jc w:val="both"/>
        <w:rPr>
          <w:rFonts w:ascii="Arial" w:eastAsia="Calibri" w:hAnsi="Arial" w:cs="Arial"/>
          <w:b/>
          <w:sz w:val="22"/>
          <w:lang w:val="es-ES_tradnl"/>
        </w:rPr>
      </w:pPr>
    </w:p>
    <w:p w14:paraId="18E6986F" w14:textId="6172AB65" w:rsidR="000C7746" w:rsidRPr="00B7032A" w:rsidRDefault="000C7746" w:rsidP="00C118DB">
      <w:pPr>
        <w:spacing w:line="276" w:lineRule="auto"/>
        <w:jc w:val="both"/>
        <w:rPr>
          <w:rFonts w:ascii="Arial" w:eastAsia="Calibri" w:hAnsi="Arial" w:cs="Arial"/>
          <w:b/>
          <w:sz w:val="22"/>
          <w:lang w:val="es-ES_tradnl"/>
        </w:rPr>
      </w:pPr>
    </w:p>
    <w:p w14:paraId="07263011" w14:textId="5F0E9EA4" w:rsidR="000C7746" w:rsidRPr="00B7032A" w:rsidRDefault="000C7746" w:rsidP="00C118DB">
      <w:pPr>
        <w:spacing w:line="276" w:lineRule="auto"/>
        <w:jc w:val="both"/>
        <w:rPr>
          <w:rFonts w:ascii="Arial" w:eastAsia="Calibri" w:hAnsi="Arial" w:cs="Arial"/>
          <w:b/>
          <w:sz w:val="22"/>
          <w:lang w:val="es-ES_tradnl"/>
        </w:rPr>
      </w:pPr>
    </w:p>
    <w:p w14:paraId="4EE8E8B2" w14:textId="5833DCD0" w:rsidR="000C7746" w:rsidRPr="00B7032A" w:rsidRDefault="000C7746" w:rsidP="00C118DB">
      <w:pPr>
        <w:spacing w:line="276" w:lineRule="auto"/>
        <w:jc w:val="both"/>
        <w:rPr>
          <w:rFonts w:ascii="Arial" w:eastAsia="Calibri" w:hAnsi="Arial" w:cs="Arial"/>
          <w:b/>
          <w:sz w:val="22"/>
          <w:lang w:val="es-ES_tradnl"/>
        </w:rPr>
      </w:pPr>
    </w:p>
    <w:p w14:paraId="58AB03D5" w14:textId="33BEEE47" w:rsidR="000C7746" w:rsidRPr="00B7032A" w:rsidRDefault="000C7746" w:rsidP="00C118DB">
      <w:pPr>
        <w:spacing w:line="276" w:lineRule="auto"/>
        <w:jc w:val="both"/>
        <w:rPr>
          <w:rFonts w:ascii="Arial" w:eastAsia="Calibri" w:hAnsi="Arial" w:cs="Arial"/>
          <w:b/>
          <w:sz w:val="22"/>
          <w:lang w:val="es-ES_tradnl"/>
        </w:rPr>
      </w:pPr>
    </w:p>
    <w:p w14:paraId="3EC7E2D9" w14:textId="15567C7F" w:rsidR="000C7746" w:rsidRPr="00B7032A" w:rsidRDefault="000C7746" w:rsidP="00C118DB">
      <w:pPr>
        <w:spacing w:line="276" w:lineRule="auto"/>
        <w:jc w:val="both"/>
        <w:rPr>
          <w:rFonts w:ascii="Arial" w:eastAsia="Calibri" w:hAnsi="Arial" w:cs="Arial"/>
          <w:b/>
          <w:sz w:val="22"/>
          <w:lang w:val="es-ES_tradnl"/>
        </w:rPr>
      </w:pPr>
    </w:p>
    <w:p w14:paraId="31F2C990" w14:textId="77777777" w:rsidR="000C7746" w:rsidRPr="00B7032A" w:rsidRDefault="000C7746" w:rsidP="00C118DB">
      <w:pPr>
        <w:spacing w:line="276" w:lineRule="auto"/>
        <w:jc w:val="both"/>
        <w:rPr>
          <w:rFonts w:ascii="Arial" w:eastAsia="Calibri" w:hAnsi="Arial" w:cs="Arial"/>
          <w:b/>
          <w:sz w:val="22"/>
          <w:lang w:val="es-ES_tradnl"/>
        </w:rPr>
      </w:pPr>
    </w:p>
    <w:p w14:paraId="2B6BA614" w14:textId="4A2B6058" w:rsidR="00E803A6" w:rsidRPr="00B7032A" w:rsidRDefault="00E803A6" w:rsidP="00C118DB">
      <w:pPr>
        <w:spacing w:line="276" w:lineRule="auto"/>
        <w:jc w:val="both"/>
        <w:rPr>
          <w:rFonts w:ascii="Arial" w:eastAsia="Calibri" w:hAnsi="Arial" w:cs="Arial"/>
          <w:b/>
          <w:sz w:val="22"/>
          <w:lang w:val="es-ES_tradnl"/>
        </w:rPr>
      </w:pPr>
    </w:p>
    <w:p w14:paraId="7D1BF14C" w14:textId="2779254D" w:rsidR="000C7746" w:rsidRDefault="000C7746" w:rsidP="00C118DB">
      <w:pPr>
        <w:spacing w:line="276" w:lineRule="auto"/>
        <w:jc w:val="both"/>
        <w:rPr>
          <w:rFonts w:ascii="Arial" w:eastAsia="Calibri" w:hAnsi="Arial" w:cs="Arial"/>
          <w:b/>
          <w:sz w:val="22"/>
          <w:lang w:val="es-ES_tradnl"/>
        </w:rPr>
      </w:pPr>
    </w:p>
    <w:p w14:paraId="6D98B856" w14:textId="16E4B262" w:rsidR="00AE5764" w:rsidRDefault="00AE5764" w:rsidP="00C118DB">
      <w:pPr>
        <w:spacing w:line="276" w:lineRule="auto"/>
        <w:jc w:val="both"/>
        <w:rPr>
          <w:rFonts w:ascii="Arial" w:eastAsia="Calibri" w:hAnsi="Arial" w:cs="Arial"/>
          <w:b/>
          <w:sz w:val="22"/>
          <w:lang w:val="es-ES_tradnl"/>
        </w:rPr>
      </w:pPr>
    </w:p>
    <w:p w14:paraId="5E9C05E2" w14:textId="229A965B" w:rsidR="00AE5764" w:rsidRDefault="00AE5764" w:rsidP="00C118DB">
      <w:pPr>
        <w:spacing w:line="276" w:lineRule="auto"/>
        <w:jc w:val="both"/>
        <w:rPr>
          <w:rFonts w:ascii="Arial" w:eastAsia="Calibri" w:hAnsi="Arial" w:cs="Arial"/>
          <w:b/>
          <w:sz w:val="22"/>
          <w:lang w:val="es-ES_tradnl"/>
        </w:rPr>
      </w:pPr>
    </w:p>
    <w:p w14:paraId="1F86E013" w14:textId="144F0987" w:rsidR="00AE5764" w:rsidRDefault="00AE5764" w:rsidP="00C118DB">
      <w:pPr>
        <w:spacing w:line="276" w:lineRule="auto"/>
        <w:jc w:val="both"/>
        <w:rPr>
          <w:rFonts w:ascii="Arial" w:eastAsia="Calibri" w:hAnsi="Arial" w:cs="Arial"/>
          <w:b/>
          <w:sz w:val="22"/>
          <w:lang w:val="es-ES_tradnl"/>
        </w:rPr>
      </w:pPr>
    </w:p>
    <w:p w14:paraId="372D449A" w14:textId="5EADA980" w:rsidR="00AE5764" w:rsidRDefault="00AE5764" w:rsidP="00C118DB">
      <w:pPr>
        <w:spacing w:line="276" w:lineRule="auto"/>
        <w:jc w:val="both"/>
        <w:rPr>
          <w:rFonts w:ascii="Arial" w:eastAsia="Calibri" w:hAnsi="Arial" w:cs="Arial"/>
          <w:b/>
          <w:sz w:val="22"/>
          <w:lang w:val="es-ES_tradnl"/>
        </w:rPr>
      </w:pPr>
    </w:p>
    <w:p w14:paraId="474C805F" w14:textId="5CE5936D" w:rsidR="00AE5764" w:rsidRDefault="00AE5764" w:rsidP="00C118DB">
      <w:pPr>
        <w:spacing w:line="276" w:lineRule="auto"/>
        <w:jc w:val="both"/>
        <w:rPr>
          <w:rFonts w:ascii="Arial" w:eastAsia="Calibri" w:hAnsi="Arial" w:cs="Arial"/>
          <w:b/>
          <w:sz w:val="22"/>
          <w:lang w:val="es-ES_tradnl"/>
        </w:rPr>
      </w:pPr>
    </w:p>
    <w:p w14:paraId="6E55B169" w14:textId="77777777" w:rsidR="00AE5764" w:rsidRPr="00B7032A" w:rsidRDefault="00AE5764" w:rsidP="00C118DB">
      <w:pPr>
        <w:spacing w:line="276" w:lineRule="auto"/>
        <w:jc w:val="both"/>
        <w:rPr>
          <w:rFonts w:ascii="Arial" w:eastAsia="Calibri" w:hAnsi="Arial" w:cs="Arial"/>
          <w:b/>
          <w:sz w:val="22"/>
          <w:lang w:val="es-ES_tradnl"/>
        </w:rPr>
      </w:pPr>
    </w:p>
    <w:p w14:paraId="745DC542" w14:textId="77777777" w:rsidR="001A0EC8" w:rsidRPr="00B7032A" w:rsidRDefault="001A0EC8" w:rsidP="00C118DB">
      <w:pPr>
        <w:spacing w:line="276" w:lineRule="auto"/>
        <w:jc w:val="both"/>
        <w:rPr>
          <w:rFonts w:ascii="Arial" w:eastAsia="Calibri" w:hAnsi="Arial" w:cs="Arial"/>
          <w:b/>
          <w:sz w:val="22"/>
          <w:lang w:val="es-ES_tradnl"/>
        </w:rPr>
      </w:pPr>
    </w:p>
    <w:p w14:paraId="198D314C" w14:textId="73453DEF" w:rsidR="00E6292B" w:rsidRDefault="00E6292B" w:rsidP="00E6292B">
      <w:pPr>
        <w:spacing w:line="276" w:lineRule="auto"/>
        <w:jc w:val="right"/>
        <w:rPr>
          <w:rFonts w:ascii="Arial" w:hAnsi="Arial" w:cs="Arial"/>
          <w:noProof/>
          <w:color w:val="000000" w:themeColor="text1"/>
          <w:sz w:val="22"/>
        </w:rPr>
      </w:pPr>
      <w:r w:rsidRPr="00E6292B">
        <w:rPr>
          <w:rFonts w:ascii="Arial" w:hAnsi="Arial" w:cs="Arial"/>
          <w:noProof/>
          <w:color w:val="000000" w:themeColor="text1"/>
          <w:sz w:val="22"/>
        </w:rPr>
        <w:drawing>
          <wp:inline distT="0" distB="0" distL="0" distR="0" wp14:anchorId="5417B961" wp14:editId="64700A82">
            <wp:extent cx="2543175" cy="6953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3175" cy="695325"/>
                    </a:xfrm>
                    <a:prstGeom prst="rect">
                      <a:avLst/>
                    </a:prstGeom>
                    <a:noFill/>
                    <a:ln>
                      <a:noFill/>
                    </a:ln>
                  </pic:spPr>
                </pic:pic>
              </a:graphicData>
            </a:graphic>
          </wp:inline>
        </w:drawing>
      </w:r>
    </w:p>
    <w:p w14:paraId="660E85F3" w14:textId="77777777" w:rsidR="00E6292B" w:rsidRDefault="00E6292B" w:rsidP="00E6292B">
      <w:pPr>
        <w:spacing w:line="276" w:lineRule="auto"/>
        <w:jc w:val="both"/>
        <w:rPr>
          <w:rFonts w:ascii="Arial" w:hAnsi="Arial" w:cs="Arial"/>
          <w:noProof/>
          <w:color w:val="000000" w:themeColor="text1"/>
          <w:sz w:val="22"/>
        </w:rPr>
      </w:pPr>
    </w:p>
    <w:p w14:paraId="6A8A869B" w14:textId="370110BA" w:rsidR="00B95C30" w:rsidRPr="00E6292B" w:rsidRDefault="00B95C30" w:rsidP="00E6292B">
      <w:pPr>
        <w:spacing w:line="276" w:lineRule="auto"/>
        <w:jc w:val="both"/>
        <w:rPr>
          <w:rFonts w:ascii="Arial" w:hAnsi="Arial" w:cs="Arial"/>
          <w:b/>
          <w:bCs/>
          <w:color w:val="000000" w:themeColor="text1"/>
          <w:sz w:val="22"/>
        </w:rPr>
      </w:pPr>
      <w:r w:rsidRPr="00B7032A">
        <w:rPr>
          <w:rFonts w:ascii="Arial" w:hAnsi="Arial" w:cs="Arial"/>
          <w:noProof/>
          <w:color w:val="000000" w:themeColor="text1"/>
          <w:sz w:val="22"/>
        </w:rPr>
        <w:t>Bogotá D.C.,</w:t>
      </w:r>
      <w:r w:rsidR="00E6292B">
        <w:rPr>
          <w:rFonts w:ascii="Arial" w:hAnsi="Arial" w:cs="Arial"/>
          <w:noProof/>
          <w:color w:val="000000" w:themeColor="text1"/>
          <w:sz w:val="22"/>
        </w:rPr>
        <w:t xml:space="preserve"> </w:t>
      </w:r>
      <w:r w:rsidR="00E6292B" w:rsidRPr="00E6292B">
        <w:rPr>
          <w:rFonts w:ascii="Arial" w:hAnsi="Arial" w:cs="Arial"/>
          <w:b/>
          <w:bCs/>
          <w:noProof/>
          <w:color w:val="000000" w:themeColor="text1"/>
          <w:sz w:val="22"/>
        </w:rPr>
        <w:t>11/05/2022</w:t>
      </w:r>
    </w:p>
    <w:p w14:paraId="5FDF9495" w14:textId="77777777" w:rsidR="00631A31" w:rsidRPr="00B7032A" w:rsidRDefault="00631A31" w:rsidP="00B95C30">
      <w:pPr>
        <w:jc w:val="both"/>
        <w:rPr>
          <w:rFonts w:ascii="Arial" w:hAnsi="Arial" w:cs="Arial"/>
          <w:b/>
          <w:color w:val="000000" w:themeColor="text1"/>
          <w:sz w:val="22"/>
          <w:lang w:val="pt-BR"/>
        </w:rPr>
      </w:pPr>
    </w:p>
    <w:p w14:paraId="5F5AE9EF" w14:textId="73EA07D3" w:rsidR="00B95C30" w:rsidRPr="00B7032A" w:rsidRDefault="002900B0" w:rsidP="00B95C30">
      <w:pPr>
        <w:jc w:val="both"/>
        <w:rPr>
          <w:rFonts w:ascii="Arial" w:eastAsia="Calibri" w:hAnsi="Arial" w:cs="Arial"/>
          <w:color w:val="000000" w:themeColor="text1"/>
          <w:sz w:val="22"/>
        </w:rPr>
      </w:pPr>
      <w:r w:rsidRPr="00B7032A">
        <w:rPr>
          <w:rFonts w:ascii="Arial" w:eastAsia="Calibri" w:hAnsi="Arial" w:cs="Arial"/>
          <w:color w:val="000000" w:themeColor="text1"/>
          <w:sz w:val="22"/>
        </w:rPr>
        <w:t>Doctor</w:t>
      </w:r>
    </w:p>
    <w:p w14:paraId="798A20AC" w14:textId="5D9AEAA5" w:rsidR="005F5F37" w:rsidRPr="00B7032A" w:rsidRDefault="002900B0" w:rsidP="00BF4EC5">
      <w:pPr>
        <w:jc w:val="both"/>
        <w:rPr>
          <w:rFonts w:ascii="Arial" w:eastAsia="Calibri" w:hAnsi="Arial" w:cs="Arial"/>
          <w:b/>
          <w:color w:val="000000" w:themeColor="text1"/>
          <w:sz w:val="22"/>
        </w:rPr>
      </w:pPr>
      <w:r w:rsidRPr="00B7032A">
        <w:rPr>
          <w:rFonts w:ascii="Arial" w:eastAsia="Calibri" w:hAnsi="Arial" w:cs="Arial"/>
          <w:b/>
          <w:color w:val="000000" w:themeColor="text1"/>
          <w:sz w:val="22"/>
        </w:rPr>
        <w:t xml:space="preserve">Jon Alberto Rodríguez Hernández  </w:t>
      </w:r>
      <w:r w:rsidR="00F73317" w:rsidRPr="00B7032A">
        <w:rPr>
          <w:rFonts w:ascii="Arial" w:eastAsia="Calibri" w:hAnsi="Arial" w:cs="Arial"/>
          <w:b/>
          <w:color w:val="000000" w:themeColor="text1"/>
          <w:sz w:val="22"/>
        </w:rPr>
        <w:t xml:space="preserve"> </w:t>
      </w:r>
      <w:r w:rsidR="00AE0D1C" w:rsidRPr="00B7032A">
        <w:rPr>
          <w:rFonts w:ascii="Arial" w:eastAsia="Calibri" w:hAnsi="Arial" w:cs="Arial"/>
          <w:b/>
          <w:color w:val="000000" w:themeColor="text1"/>
          <w:sz w:val="22"/>
        </w:rPr>
        <w:t xml:space="preserve"> </w:t>
      </w:r>
    </w:p>
    <w:p w14:paraId="0131B25F" w14:textId="08F449F4" w:rsidR="002900B0" w:rsidRPr="00B7032A" w:rsidRDefault="002900B0" w:rsidP="00BF4EC5">
      <w:pPr>
        <w:jc w:val="both"/>
        <w:rPr>
          <w:rFonts w:ascii="Arial" w:eastAsia="Calibri" w:hAnsi="Arial" w:cs="Arial"/>
          <w:bCs/>
          <w:color w:val="000000" w:themeColor="text1"/>
          <w:sz w:val="22"/>
        </w:rPr>
      </w:pPr>
      <w:r w:rsidRPr="00B7032A">
        <w:rPr>
          <w:rFonts w:ascii="Arial" w:eastAsia="Calibri" w:hAnsi="Arial" w:cs="Arial"/>
          <w:bCs/>
          <w:color w:val="000000" w:themeColor="text1"/>
          <w:sz w:val="22"/>
        </w:rPr>
        <w:t>Jefe de Oficina de Apoyo Precontractual</w:t>
      </w:r>
    </w:p>
    <w:p w14:paraId="1EC5DACD" w14:textId="31267C3A" w:rsidR="002900B0" w:rsidRPr="00B7032A" w:rsidRDefault="002900B0" w:rsidP="00BF4EC5">
      <w:pPr>
        <w:jc w:val="both"/>
        <w:rPr>
          <w:rFonts w:ascii="Arial" w:eastAsia="Calibri" w:hAnsi="Arial" w:cs="Arial"/>
          <w:bCs/>
          <w:color w:val="000000" w:themeColor="text1"/>
          <w:sz w:val="22"/>
        </w:rPr>
      </w:pPr>
      <w:r w:rsidRPr="00B7032A">
        <w:rPr>
          <w:rFonts w:ascii="Arial" w:eastAsia="Calibri" w:hAnsi="Arial" w:cs="Arial"/>
          <w:bCs/>
          <w:color w:val="000000" w:themeColor="text1"/>
          <w:sz w:val="22"/>
        </w:rPr>
        <w:t>Dirección de Contratación</w:t>
      </w:r>
    </w:p>
    <w:p w14:paraId="2C789A5C" w14:textId="2C7B4CD6" w:rsidR="002900B0" w:rsidRPr="00B7032A" w:rsidRDefault="002900B0" w:rsidP="00BF4EC5">
      <w:pPr>
        <w:jc w:val="both"/>
        <w:rPr>
          <w:rFonts w:ascii="Arial" w:eastAsia="Calibri" w:hAnsi="Arial" w:cs="Arial"/>
          <w:bCs/>
          <w:color w:val="000000" w:themeColor="text1"/>
          <w:sz w:val="22"/>
        </w:rPr>
      </w:pPr>
      <w:r w:rsidRPr="00B7032A">
        <w:rPr>
          <w:rFonts w:ascii="Arial" w:eastAsia="Calibri" w:hAnsi="Arial" w:cs="Arial"/>
          <w:bCs/>
          <w:color w:val="000000" w:themeColor="text1"/>
          <w:sz w:val="22"/>
        </w:rPr>
        <w:t>Secretaria de Educación del Distrito</w:t>
      </w:r>
    </w:p>
    <w:p w14:paraId="411CBCE1" w14:textId="1B28A43F" w:rsidR="00BF4EC5" w:rsidRPr="00B7032A" w:rsidRDefault="00E803A6" w:rsidP="00BF4EC5">
      <w:pPr>
        <w:jc w:val="both"/>
        <w:rPr>
          <w:rFonts w:ascii="Arial" w:eastAsia="Calibri" w:hAnsi="Arial" w:cs="Arial"/>
          <w:bCs/>
          <w:color w:val="000000" w:themeColor="text1"/>
          <w:sz w:val="22"/>
        </w:rPr>
      </w:pPr>
      <w:r w:rsidRPr="00B7032A">
        <w:rPr>
          <w:rFonts w:ascii="Arial" w:eastAsia="Calibri" w:hAnsi="Arial" w:cs="Arial"/>
          <w:bCs/>
          <w:color w:val="000000" w:themeColor="text1"/>
          <w:sz w:val="22"/>
        </w:rPr>
        <w:t>Bogotá D.C.</w:t>
      </w:r>
      <w:r w:rsidR="00BF4EC5" w:rsidRPr="00B7032A">
        <w:rPr>
          <w:rFonts w:ascii="Arial" w:eastAsia="Calibri" w:hAnsi="Arial" w:cs="Arial"/>
          <w:bCs/>
          <w:color w:val="000000" w:themeColor="text1"/>
          <w:sz w:val="22"/>
        </w:rPr>
        <w:t xml:space="preserve"> </w:t>
      </w:r>
    </w:p>
    <w:p w14:paraId="4A1C8FFE" w14:textId="77777777" w:rsidR="008120C4" w:rsidRPr="00B7032A" w:rsidRDefault="008120C4" w:rsidP="003C0791">
      <w:pPr>
        <w:rPr>
          <w:rFonts w:ascii="Arial" w:eastAsia="Calibri" w:hAnsi="Arial" w:cs="Arial"/>
          <w:b/>
          <w:bCs/>
          <w:color w:val="000000" w:themeColor="text1"/>
          <w:sz w:val="22"/>
        </w:rPr>
      </w:pPr>
    </w:p>
    <w:p w14:paraId="1BD594F9" w14:textId="2BAF642D" w:rsidR="00B95C30" w:rsidRPr="00B7032A" w:rsidRDefault="005B1504" w:rsidP="003C0791">
      <w:pPr>
        <w:rPr>
          <w:rFonts w:ascii="Arial" w:eastAsia="Calibri" w:hAnsi="Arial" w:cs="Arial"/>
          <w:b/>
          <w:bCs/>
          <w:color w:val="000000" w:themeColor="text1"/>
          <w:sz w:val="22"/>
          <w:lang w:val="pt-BR"/>
        </w:rPr>
      </w:pPr>
      <w:r w:rsidRPr="00B7032A">
        <w:rPr>
          <w:rFonts w:ascii="Arial" w:eastAsia="Calibri" w:hAnsi="Arial" w:cs="Arial"/>
          <w:b/>
          <w:bCs/>
          <w:color w:val="000000" w:themeColor="text1"/>
          <w:sz w:val="22"/>
        </w:rPr>
        <w:t xml:space="preserve">                     </w:t>
      </w:r>
      <w:r w:rsidR="00923FA6" w:rsidRPr="00B7032A">
        <w:rPr>
          <w:rFonts w:ascii="Arial" w:eastAsia="Calibri" w:hAnsi="Arial" w:cs="Arial"/>
          <w:b/>
          <w:bCs/>
          <w:color w:val="000000" w:themeColor="text1"/>
          <w:sz w:val="22"/>
        </w:rPr>
        <w:t xml:space="preserve">                      </w:t>
      </w:r>
      <w:r w:rsidRPr="00B7032A">
        <w:rPr>
          <w:rFonts w:ascii="Arial" w:eastAsia="Calibri" w:hAnsi="Arial" w:cs="Arial"/>
          <w:b/>
          <w:bCs/>
          <w:color w:val="000000" w:themeColor="text1"/>
          <w:sz w:val="22"/>
        </w:rPr>
        <w:t xml:space="preserve"> </w:t>
      </w:r>
      <w:r w:rsidR="00023FA5" w:rsidRPr="00B7032A">
        <w:rPr>
          <w:rFonts w:ascii="Arial" w:eastAsia="Calibri" w:hAnsi="Arial" w:cs="Arial"/>
          <w:b/>
          <w:bCs/>
          <w:color w:val="000000" w:themeColor="text1"/>
          <w:sz w:val="22"/>
          <w:lang w:val="pt-BR"/>
        </w:rPr>
        <w:t>Concepto C ‒</w:t>
      </w:r>
      <w:r w:rsidR="006461D7" w:rsidRPr="00B7032A">
        <w:rPr>
          <w:rFonts w:ascii="Arial" w:eastAsia="Calibri" w:hAnsi="Arial" w:cs="Arial"/>
          <w:b/>
          <w:bCs/>
          <w:color w:val="000000" w:themeColor="text1"/>
          <w:sz w:val="22"/>
          <w:lang w:val="pt-BR"/>
        </w:rPr>
        <w:t>287</w:t>
      </w:r>
      <w:r w:rsidR="00275FBF" w:rsidRPr="00B7032A">
        <w:rPr>
          <w:rFonts w:ascii="Arial" w:eastAsia="Calibri" w:hAnsi="Arial" w:cs="Arial"/>
          <w:b/>
          <w:bCs/>
          <w:color w:val="000000" w:themeColor="text1"/>
          <w:sz w:val="22"/>
          <w:lang w:val="pt-BR"/>
        </w:rPr>
        <w:t xml:space="preserve"> de 202</w:t>
      </w:r>
      <w:r w:rsidR="00BF4EC5" w:rsidRPr="00B7032A">
        <w:rPr>
          <w:rFonts w:ascii="Arial" w:eastAsia="Calibri" w:hAnsi="Arial" w:cs="Arial"/>
          <w:b/>
          <w:bCs/>
          <w:color w:val="000000" w:themeColor="text1"/>
          <w:sz w:val="22"/>
          <w:lang w:val="pt-BR"/>
        </w:rPr>
        <w:t>2</w:t>
      </w:r>
    </w:p>
    <w:p w14:paraId="7063750E" w14:textId="77777777" w:rsidR="005F5F37" w:rsidRPr="00B7032A" w:rsidRDefault="005F5F37" w:rsidP="003C0791">
      <w:pPr>
        <w:rPr>
          <w:rFonts w:ascii="Arial" w:eastAsia="Calibri" w:hAnsi="Arial" w:cs="Arial"/>
          <w:b/>
          <w:bCs/>
          <w:color w:val="000000" w:themeColor="text1"/>
          <w:sz w:val="22"/>
          <w:lang w:val="pt-BR"/>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B7032A" w14:paraId="19DFC051" w14:textId="77777777" w:rsidTr="00D15356">
        <w:tc>
          <w:tcPr>
            <w:tcW w:w="2689" w:type="dxa"/>
          </w:tcPr>
          <w:p w14:paraId="6BC0D1AC" w14:textId="569BAEB9" w:rsidR="00B95C30" w:rsidRPr="00B7032A" w:rsidRDefault="00B95C30" w:rsidP="00D15356">
            <w:pPr>
              <w:jc w:val="both"/>
              <w:rPr>
                <w:rFonts w:ascii="Arial" w:eastAsia="Calibri" w:hAnsi="Arial" w:cs="Arial"/>
                <w:color w:val="000000" w:themeColor="text1"/>
                <w:lang w:val="es-ES_tradnl"/>
              </w:rPr>
            </w:pPr>
            <w:r w:rsidRPr="00B7032A">
              <w:rPr>
                <w:rFonts w:ascii="Arial" w:eastAsia="Calibri" w:hAnsi="Arial" w:cs="Arial"/>
                <w:b/>
                <w:color w:val="000000" w:themeColor="text1"/>
                <w:lang w:val="es-ES_tradnl"/>
              </w:rPr>
              <w:t>Temas:</w:t>
            </w:r>
            <w:r w:rsidR="005B1504" w:rsidRPr="00B7032A">
              <w:rPr>
                <w:rFonts w:ascii="Arial" w:eastAsia="Calibri" w:hAnsi="Arial" w:cs="Arial"/>
                <w:color w:val="000000" w:themeColor="text1"/>
                <w:lang w:val="es-ES_tradnl"/>
              </w:rPr>
              <w:t xml:space="preserve">                   </w:t>
            </w:r>
          </w:p>
        </w:tc>
        <w:tc>
          <w:tcPr>
            <w:tcW w:w="6237" w:type="dxa"/>
          </w:tcPr>
          <w:p w14:paraId="5F389CAF" w14:textId="7C2AC85B" w:rsidR="00337178" w:rsidRPr="009D34ED" w:rsidRDefault="008F5858" w:rsidP="009D34ED">
            <w:pPr>
              <w:tabs>
                <w:tab w:val="left" w:pos="6551"/>
              </w:tabs>
              <w:jc w:val="both"/>
              <w:rPr>
                <w:rFonts w:ascii="Arial" w:eastAsia="Calibri" w:hAnsi="Arial" w:cs="Arial"/>
                <w:color w:val="000000" w:themeColor="text1"/>
                <w:sz w:val="22"/>
                <w:szCs w:val="22"/>
                <w:lang w:val="es-ES_tradnl"/>
              </w:rPr>
            </w:pPr>
            <w:r w:rsidRPr="009D34ED">
              <w:rPr>
                <w:rFonts w:ascii="Arial" w:eastAsia="Calibri" w:hAnsi="Arial" w:cs="Arial"/>
                <w:color w:val="000000" w:themeColor="text1"/>
                <w:sz w:val="22"/>
                <w:szCs w:val="22"/>
                <w:lang w:val="es-ES_tradnl"/>
              </w:rPr>
              <w:t xml:space="preserve">DOCUMENTOS TIPO – Infraestructura social – Sector educativo </w:t>
            </w:r>
            <w:r w:rsidR="00993CD6" w:rsidRPr="009D34ED">
              <w:rPr>
                <w:rFonts w:ascii="Arial" w:eastAsia="Calibri" w:hAnsi="Arial" w:cs="Arial"/>
                <w:color w:val="000000" w:themeColor="text1"/>
                <w:sz w:val="22"/>
                <w:szCs w:val="22"/>
                <w:lang w:val="es-ES_tradnl"/>
              </w:rPr>
              <w:t xml:space="preserve">/ </w:t>
            </w:r>
            <w:r w:rsidRPr="009D34ED">
              <w:rPr>
                <w:rFonts w:ascii="Arial" w:eastAsia="Calibri" w:hAnsi="Arial" w:cs="Arial"/>
                <w:sz w:val="22"/>
                <w:szCs w:val="22"/>
                <w:lang w:val="es-ES_tradnl"/>
              </w:rPr>
              <w:t xml:space="preserve">DOCUMENTOS TIPO – Obligatoriedad – Inalterabilidad </w:t>
            </w:r>
            <w:r w:rsidR="00993CD6" w:rsidRPr="009D34ED">
              <w:rPr>
                <w:rFonts w:ascii="Arial" w:eastAsia="Calibri" w:hAnsi="Arial" w:cs="Arial"/>
                <w:color w:val="000000" w:themeColor="text1"/>
                <w:sz w:val="22"/>
                <w:szCs w:val="22"/>
                <w:lang w:val="es-ES_tradnl"/>
              </w:rPr>
              <w:t xml:space="preserve">/ </w:t>
            </w:r>
            <w:r w:rsidRPr="009D34ED">
              <w:rPr>
                <w:rFonts w:ascii="Arial" w:eastAsia="Calibri" w:hAnsi="Arial" w:cs="Arial"/>
                <w:color w:val="000000" w:themeColor="text1"/>
                <w:sz w:val="22"/>
                <w:szCs w:val="22"/>
                <w:lang w:val="es-ES_tradnl"/>
              </w:rPr>
              <w:t xml:space="preserve">EXPERIENCIA – Acreditación </w:t>
            </w:r>
            <w:r w:rsidR="00993CD6" w:rsidRPr="009D34ED">
              <w:rPr>
                <w:rFonts w:ascii="Arial" w:eastAsia="Calibri" w:hAnsi="Arial" w:cs="Arial"/>
                <w:color w:val="000000" w:themeColor="text1"/>
                <w:sz w:val="22"/>
                <w:szCs w:val="22"/>
                <w:lang w:val="es-ES_tradnl"/>
              </w:rPr>
              <w:t xml:space="preserve">/ </w:t>
            </w:r>
            <w:r w:rsidRPr="009D34ED">
              <w:rPr>
                <w:rFonts w:ascii="Arial" w:eastAsia="Calibri" w:hAnsi="Arial" w:cs="Arial"/>
                <w:color w:val="000000" w:themeColor="text1"/>
                <w:sz w:val="22"/>
                <w:szCs w:val="22"/>
                <w:lang w:val="es-ES_tradnl"/>
              </w:rPr>
              <w:t xml:space="preserve">EXPERIENCIA – Subcontratos – RUP </w:t>
            </w:r>
            <w:r w:rsidR="00993CD6" w:rsidRPr="009D34ED">
              <w:rPr>
                <w:rFonts w:ascii="Arial" w:eastAsia="Calibri" w:hAnsi="Arial" w:cs="Arial"/>
                <w:color w:val="000000" w:themeColor="text1"/>
                <w:sz w:val="22"/>
                <w:szCs w:val="22"/>
                <w:lang w:val="es-ES_tradnl"/>
              </w:rPr>
              <w:t>/</w:t>
            </w:r>
            <w:r w:rsidR="004B151B" w:rsidRPr="009D34ED">
              <w:rPr>
                <w:rFonts w:ascii="Arial" w:eastAsia="Calibri" w:hAnsi="Arial" w:cs="Arial"/>
                <w:color w:val="000000" w:themeColor="text1"/>
                <w:sz w:val="22"/>
                <w:szCs w:val="22"/>
                <w:lang w:val="es-ES_tradnl"/>
              </w:rPr>
              <w:t xml:space="preserve"> </w:t>
            </w:r>
            <w:r w:rsidRPr="009D34ED">
              <w:rPr>
                <w:rFonts w:ascii="Arial" w:eastAsia="Calibri" w:hAnsi="Arial" w:cs="Arial"/>
                <w:color w:val="000000" w:themeColor="text1"/>
                <w:sz w:val="22"/>
                <w:szCs w:val="22"/>
                <w:lang w:val="es-ES_tradnl"/>
              </w:rPr>
              <w:t>DOCUMENTOS TIPO – Apoyo a la industria nacional – Metodología – Bienes nacionales relevantes – Matriz 3</w:t>
            </w:r>
            <w:r w:rsidR="004B151B" w:rsidRPr="009D34ED">
              <w:rPr>
                <w:rFonts w:ascii="Arial" w:eastAsia="Calibri" w:hAnsi="Arial" w:cs="Arial"/>
                <w:color w:val="000000" w:themeColor="text1"/>
                <w:sz w:val="22"/>
                <w:szCs w:val="22"/>
                <w:lang w:val="es-ES_tradnl"/>
              </w:rPr>
              <w:t xml:space="preserve"> / </w:t>
            </w:r>
            <w:r w:rsidR="004B151B" w:rsidRPr="009D34ED">
              <w:rPr>
                <w:rFonts w:ascii="Arial" w:eastAsia="Calibri" w:hAnsi="Arial" w:cs="Arial"/>
                <w:color w:val="000000" w:themeColor="text1"/>
                <w:sz w:val="22"/>
                <w:szCs w:val="22"/>
              </w:rPr>
              <w:t xml:space="preserve">A.I.U. – Porcentajes – Libertad empresarial del proponente / PRECIOS ARTIFICIALMENTE BAJOS – Criterios de identificación – Documentos tipo / </w:t>
            </w:r>
            <w:r w:rsidR="004B151B" w:rsidRPr="009D34ED">
              <w:rPr>
                <w:rFonts w:ascii="Arial" w:eastAsia="Calibri" w:hAnsi="Arial" w:cs="Arial"/>
                <w:color w:val="000000" w:themeColor="text1"/>
                <w:sz w:val="22"/>
                <w:szCs w:val="22"/>
                <w:lang w:val="es-ES_tradnl"/>
              </w:rPr>
              <w:t xml:space="preserve">PROCESOS ESTRUCTURADOS POR LOTES – Numeral 2.10 – Reglas / CAUSALES DE RECHAZO – Literal B numeral 1.15 / </w:t>
            </w:r>
            <w:r w:rsidR="004B151B" w:rsidRPr="009D34ED">
              <w:rPr>
                <w:rFonts w:ascii="Arial" w:eastAsia="Calibri" w:hAnsi="Arial" w:cs="Arial"/>
                <w:color w:val="000000" w:themeColor="text1"/>
                <w:sz w:val="22"/>
                <w:szCs w:val="22"/>
              </w:rPr>
              <w:t xml:space="preserve">ANEXO 4 MINUTA DEL CONTRATO </w:t>
            </w:r>
            <w:r w:rsidR="004B151B" w:rsidRPr="009D34ED">
              <w:rPr>
                <w:rFonts w:ascii="Arial" w:eastAsia="Calibri" w:hAnsi="Arial" w:cs="Arial"/>
                <w:color w:val="000000" w:themeColor="text1"/>
                <w:sz w:val="22"/>
                <w:szCs w:val="22"/>
                <w:lang w:val="es-ES_tradnl"/>
              </w:rPr>
              <w:t>– Contenido – Obligatoriedad – Cláusula 9 – Porcentajes</w:t>
            </w:r>
          </w:p>
        </w:tc>
      </w:tr>
      <w:tr w:rsidR="00B95C30" w:rsidRPr="00B7032A" w14:paraId="27CD52AB" w14:textId="77777777" w:rsidTr="00D15356">
        <w:tc>
          <w:tcPr>
            <w:tcW w:w="2689" w:type="dxa"/>
          </w:tcPr>
          <w:p w14:paraId="37E195A1" w14:textId="017D9507" w:rsidR="00B95C30" w:rsidRPr="00B7032A" w:rsidRDefault="00B95C30" w:rsidP="00D15356">
            <w:pPr>
              <w:spacing w:before="120"/>
              <w:jc w:val="both"/>
              <w:rPr>
                <w:rFonts w:ascii="Arial" w:eastAsia="Calibri" w:hAnsi="Arial" w:cs="Arial"/>
                <w:b/>
                <w:color w:val="000000" w:themeColor="text1"/>
                <w:lang w:val="es-ES_tradnl"/>
              </w:rPr>
            </w:pPr>
            <w:r w:rsidRPr="00B7032A">
              <w:rPr>
                <w:rFonts w:ascii="Arial" w:eastAsia="Calibri" w:hAnsi="Arial" w:cs="Arial"/>
                <w:b/>
                <w:color w:val="000000" w:themeColor="text1"/>
                <w:lang w:val="es-ES_tradnl"/>
              </w:rPr>
              <w:t>Radicación:</w:t>
            </w:r>
            <w:r w:rsidR="005B1504" w:rsidRPr="00B7032A">
              <w:rPr>
                <w:rFonts w:ascii="Arial" w:eastAsia="Calibri" w:hAnsi="Arial" w:cs="Arial"/>
                <w:color w:val="000000" w:themeColor="text1"/>
                <w:lang w:val="es-ES_tradnl"/>
              </w:rPr>
              <w:t xml:space="preserve">               </w:t>
            </w:r>
          </w:p>
        </w:tc>
        <w:tc>
          <w:tcPr>
            <w:tcW w:w="6237" w:type="dxa"/>
          </w:tcPr>
          <w:p w14:paraId="09088B1B" w14:textId="41FED7FF" w:rsidR="00B95C30" w:rsidRPr="009D34ED" w:rsidRDefault="00B95C30" w:rsidP="00FF7134">
            <w:pPr>
              <w:spacing w:before="120"/>
              <w:jc w:val="both"/>
              <w:rPr>
                <w:rFonts w:ascii="Arial" w:eastAsia="Calibri" w:hAnsi="Arial" w:cs="Arial"/>
                <w:color w:val="000000" w:themeColor="text1"/>
                <w:sz w:val="22"/>
                <w:szCs w:val="22"/>
                <w:lang w:val="es-ES_tradnl"/>
              </w:rPr>
            </w:pPr>
            <w:r w:rsidRPr="009D34ED">
              <w:rPr>
                <w:rFonts w:ascii="Arial" w:eastAsia="Calibri" w:hAnsi="Arial" w:cs="Arial"/>
                <w:color w:val="000000" w:themeColor="text1"/>
                <w:sz w:val="22"/>
                <w:szCs w:val="22"/>
                <w:lang w:val="es-ES_tradnl"/>
              </w:rPr>
              <w:t>Respuesta a consulta</w:t>
            </w:r>
            <w:r w:rsidR="00B06F15" w:rsidRPr="009D34ED">
              <w:rPr>
                <w:rFonts w:ascii="Arial" w:eastAsia="Calibri" w:hAnsi="Arial" w:cs="Arial"/>
                <w:color w:val="000000" w:themeColor="text1"/>
                <w:sz w:val="22"/>
                <w:szCs w:val="22"/>
                <w:lang w:val="es-ES_tradnl"/>
              </w:rPr>
              <w:t xml:space="preserve"> P20220325002996</w:t>
            </w:r>
          </w:p>
        </w:tc>
      </w:tr>
    </w:tbl>
    <w:p w14:paraId="635FAA34" w14:textId="77777777" w:rsidR="006D69FA" w:rsidRPr="00B7032A" w:rsidRDefault="006D69FA" w:rsidP="003C3339">
      <w:pPr>
        <w:jc w:val="both"/>
        <w:rPr>
          <w:rFonts w:ascii="Arial" w:eastAsia="Calibri" w:hAnsi="Arial" w:cs="Arial"/>
          <w:color w:val="000000" w:themeColor="text1"/>
          <w:sz w:val="22"/>
        </w:rPr>
      </w:pPr>
    </w:p>
    <w:p w14:paraId="234C0002" w14:textId="77777777" w:rsidR="005F5F37" w:rsidRPr="00B7032A" w:rsidRDefault="005F5F37" w:rsidP="003C3339">
      <w:pPr>
        <w:jc w:val="both"/>
        <w:rPr>
          <w:rFonts w:ascii="Arial" w:eastAsia="Calibri" w:hAnsi="Arial" w:cs="Arial"/>
          <w:color w:val="000000" w:themeColor="text1"/>
          <w:sz w:val="22"/>
          <w:lang w:val="es-ES_tradnl"/>
        </w:rPr>
      </w:pPr>
    </w:p>
    <w:p w14:paraId="1CF4AEA0" w14:textId="7A0E0CE7" w:rsidR="003C3339" w:rsidRPr="00B7032A" w:rsidRDefault="003C3339" w:rsidP="003C3339">
      <w:pPr>
        <w:jc w:val="both"/>
        <w:rPr>
          <w:rFonts w:ascii="Arial" w:eastAsia="Calibri" w:hAnsi="Arial" w:cs="Arial"/>
          <w:color w:val="000000" w:themeColor="text1"/>
          <w:sz w:val="22"/>
          <w:lang w:val="es-ES_tradnl"/>
        </w:rPr>
      </w:pPr>
      <w:r w:rsidRPr="00B7032A">
        <w:rPr>
          <w:rFonts w:ascii="Arial" w:eastAsia="Calibri" w:hAnsi="Arial" w:cs="Arial"/>
          <w:color w:val="000000" w:themeColor="text1"/>
          <w:sz w:val="22"/>
          <w:lang w:val="es-ES_tradnl"/>
        </w:rPr>
        <w:t>Estimad</w:t>
      </w:r>
      <w:r w:rsidR="00BF4EC5" w:rsidRPr="00B7032A">
        <w:rPr>
          <w:rFonts w:ascii="Arial" w:eastAsia="Calibri" w:hAnsi="Arial" w:cs="Arial"/>
          <w:color w:val="000000" w:themeColor="text1"/>
          <w:sz w:val="22"/>
          <w:lang w:val="es-ES_tradnl"/>
        </w:rPr>
        <w:t>o</w:t>
      </w:r>
      <w:r w:rsidRPr="00B7032A">
        <w:rPr>
          <w:rFonts w:ascii="Arial" w:eastAsia="Calibri" w:hAnsi="Arial" w:cs="Arial"/>
          <w:color w:val="000000" w:themeColor="text1"/>
          <w:sz w:val="22"/>
          <w:lang w:val="es-ES_tradnl"/>
        </w:rPr>
        <w:t xml:space="preserve"> </w:t>
      </w:r>
      <w:r w:rsidR="002900B0" w:rsidRPr="00B7032A">
        <w:rPr>
          <w:rFonts w:ascii="Arial" w:eastAsia="Calibri" w:hAnsi="Arial" w:cs="Arial"/>
          <w:color w:val="000000" w:themeColor="text1"/>
          <w:sz w:val="22"/>
          <w:lang w:val="es-ES_tradnl"/>
        </w:rPr>
        <w:t xml:space="preserve">Doctor Rodríguez, </w:t>
      </w:r>
      <w:r w:rsidR="008C3FFC" w:rsidRPr="00B7032A">
        <w:rPr>
          <w:rFonts w:ascii="Arial" w:eastAsia="Calibri" w:hAnsi="Arial" w:cs="Arial"/>
          <w:color w:val="000000" w:themeColor="text1"/>
          <w:sz w:val="22"/>
          <w:lang w:val="es-ES_tradnl"/>
        </w:rPr>
        <w:t xml:space="preserve"> </w:t>
      </w:r>
    </w:p>
    <w:p w14:paraId="1EAE5543" w14:textId="37990AD8" w:rsidR="00DD5B04" w:rsidRPr="00B7032A" w:rsidRDefault="00DD5B04" w:rsidP="00DF76A2">
      <w:pPr>
        <w:jc w:val="both"/>
        <w:rPr>
          <w:rFonts w:ascii="Arial" w:eastAsia="Calibri" w:hAnsi="Arial" w:cs="Arial"/>
          <w:color w:val="000000" w:themeColor="text1"/>
          <w:sz w:val="22"/>
          <w:lang w:val="es-ES_tradnl"/>
        </w:rPr>
      </w:pPr>
    </w:p>
    <w:p w14:paraId="2109B2D3" w14:textId="0C3E6C46" w:rsidR="00DD5B04" w:rsidRPr="00B7032A" w:rsidRDefault="00DD5B04" w:rsidP="00DF76A2">
      <w:pPr>
        <w:spacing w:line="276" w:lineRule="auto"/>
        <w:jc w:val="both"/>
        <w:rPr>
          <w:rFonts w:ascii="Arial" w:eastAsia="Calibri" w:hAnsi="Arial" w:cs="Arial"/>
          <w:color w:val="000000" w:themeColor="text1"/>
          <w:sz w:val="22"/>
          <w:lang w:val="es-ES_tradnl"/>
        </w:rPr>
      </w:pPr>
      <w:r w:rsidRPr="00B7032A">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CE69CC" w:rsidRPr="00B7032A">
        <w:rPr>
          <w:rFonts w:ascii="Arial" w:eastAsia="Calibri" w:hAnsi="Arial" w:cs="Arial"/>
          <w:color w:val="000000" w:themeColor="text1"/>
          <w:sz w:val="22"/>
          <w:lang w:val="es-ES_tradnl"/>
        </w:rPr>
        <w:t xml:space="preserve">, </w:t>
      </w:r>
      <w:r w:rsidRPr="00B7032A">
        <w:rPr>
          <w:rFonts w:ascii="Arial" w:eastAsia="Calibri" w:hAnsi="Arial" w:cs="Arial"/>
          <w:color w:val="000000" w:themeColor="text1"/>
          <w:sz w:val="22"/>
          <w:lang w:val="es-ES_tradnl"/>
        </w:rPr>
        <w:t>responde su consulta</w:t>
      </w:r>
      <w:r w:rsidR="00E8414B" w:rsidRPr="00B7032A">
        <w:rPr>
          <w:rFonts w:ascii="Arial" w:eastAsia="Calibri" w:hAnsi="Arial" w:cs="Arial"/>
          <w:color w:val="000000" w:themeColor="text1"/>
          <w:sz w:val="22"/>
          <w:lang w:val="es-ES_tradnl"/>
        </w:rPr>
        <w:t xml:space="preserve"> </w:t>
      </w:r>
      <w:r w:rsidRPr="00B7032A">
        <w:rPr>
          <w:rFonts w:ascii="Arial" w:eastAsia="Calibri" w:hAnsi="Arial" w:cs="Arial"/>
          <w:color w:val="000000" w:themeColor="text1"/>
          <w:sz w:val="22"/>
          <w:lang w:val="es-ES_tradnl"/>
        </w:rPr>
        <w:t xml:space="preserve">del </w:t>
      </w:r>
      <w:r w:rsidR="002900B0" w:rsidRPr="00B7032A">
        <w:rPr>
          <w:rFonts w:ascii="Arial" w:eastAsia="Calibri" w:hAnsi="Arial" w:cs="Arial"/>
          <w:color w:val="000000" w:themeColor="text1"/>
          <w:sz w:val="22"/>
          <w:lang w:val="es-ES_tradnl"/>
        </w:rPr>
        <w:t>25</w:t>
      </w:r>
      <w:r w:rsidR="008C3FFC" w:rsidRPr="00B7032A">
        <w:rPr>
          <w:rFonts w:ascii="Arial" w:eastAsia="Calibri" w:hAnsi="Arial" w:cs="Arial"/>
          <w:color w:val="000000" w:themeColor="text1"/>
          <w:sz w:val="22"/>
          <w:lang w:val="es-ES_tradnl"/>
        </w:rPr>
        <w:t xml:space="preserve"> </w:t>
      </w:r>
      <w:r w:rsidR="00F21D6D" w:rsidRPr="00B7032A">
        <w:rPr>
          <w:rFonts w:ascii="Arial" w:eastAsia="Calibri" w:hAnsi="Arial" w:cs="Arial"/>
          <w:color w:val="000000" w:themeColor="text1"/>
          <w:sz w:val="22"/>
          <w:lang w:val="es-ES_tradnl"/>
        </w:rPr>
        <w:t xml:space="preserve">de </w:t>
      </w:r>
      <w:r w:rsidR="00F73317" w:rsidRPr="00B7032A">
        <w:rPr>
          <w:rFonts w:ascii="Arial" w:eastAsia="Calibri" w:hAnsi="Arial" w:cs="Arial"/>
          <w:color w:val="000000" w:themeColor="text1"/>
          <w:sz w:val="22"/>
          <w:lang w:val="es-ES_tradnl"/>
        </w:rPr>
        <w:t>marzo</w:t>
      </w:r>
      <w:r w:rsidR="00F21D6D" w:rsidRPr="00B7032A">
        <w:rPr>
          <w:rFonts w:ascii="Arial" w:eastAsia="Calibri" w:hAnsi="Arial" w:cs="Arial"/>
          <w:color w:val="000000" w:themeColor="text1"/>
          <w:sz w:val="22"/>
          <w:lang w:val="es-ES_tradnl"/>
        </w:rPr>
        <w:t xml:space="preserve"> </w:t>
      </w:r>
      <w:r w:rsidR="00990BC7" w:rsidRPr="00B7032A">
        <w:rPr>
          <w:rFonts w:ascii="Arial" w:eastAsia="Calibri" w:hAnsi="Arial" w:cs="Arial"/>
          <w:color w:val="000000" w:themeColor="text1"/>
          <w:sz w:val="22"/>
          <w:lang w:val="es-ES_tradnl"/>
        </w:rPr>
        <w:t xml:space="preserve">de </w:t>
      </w:r>
      <w:r w:rsidR="00F21D6D" w:rsidRPr="00B7032A">
        <w:rPr>
          <w:rFonts w:ascii="Arial" w:eastAsia="Calibri" w:hAnsi="Arial" w:cs="Arial"/>
          <w:color w:val="000000" w:themeColor="text1"/>
          <w:sz w:val="22"/>
          <w:lang w:val="es-ES_tradnl"/>
        </w:rPr>
        <w:t>202</w:t>
      </w:r>
      <w:r w:rsidR="00BF4EC5" w:rsidRPr="00B7032A">
        <w:rPr>
          <w:rFonts w:ascii="Arial" w:eastAsia="Calibri" w:hAnsi="Arial" w:cs="Arial"/>
          <w:color w:val="000000" w:themeColor="text1"/>
          <w:sz w:val="22"/>
          <w:lang w:val="es-ES_tradnl"/>
        </w:rPr>
        <w:t>2</w:t>
      </w:r>
      <w:r w:rsidR="00F21D6D" w:rsidRPr="00B7032A">
        <w:rPr>
          <w:rFonts w:ascii="Arial" w:eastAsia="Calibri" w:hAnsi="Arial" w:cs="Arial"/>
          <w:color w:val="000000" w:themeColor="text1"/>
          <w:sz w:val="22"/>
          <w:lang w:val="es-ES_tradnl"/>
        </w:rPr>
        <w:t>.</w:t>
      </w:r>
    </w:p>
    <w:p w14:paraId="0C1E0712" w14:textId="77777777" w:rsidR="00DD5B04" w:rsidRPr="00B7032A"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B7032A"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B7032A">
        <w:rPr>
          <w:rFonts w:ascii="Arial" w:eastAsia="Calibri" w:hAnsi="Arial" w:cs="Arial"/>
          <w:b/>
          <w:color w:val="000000" w:themeColor="text1"/>
          <w:sz w:val="22"/>
          <w:lang w:val="es-ES_tradnl"/>
        </w:rPr>
        <w:t xml:space="preserve">Problema planteado </w:t>
      </w:r>
    </w:p>
    <w:p w14:paraId="224B43D3" w14:textId="77777777" w:rsidR="00DD5B04" w:rsidRPr="00B7032A"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70102F2D" w14:textId="4CF8367F" w:rsidR="00BF4EC5" w:rsidRPr="00B7032A" w:rsidRDefault="00827203" w:rsidP="00BF4EC5">
      <w:pPr>
        <w:spacing w:line="276" w:lineRule="auto"/>
        <w:jc w:val="both"/>
        <w:rPr>
          <w:rFonts w:ascii="Arial" w:hAnsi="Arial" w:cs="Arial"/>
          <w:color w:val="000000" w:themeColor="text1"/>
          <w:sz w:val="22"/>
          <w:szCs w:val="22"/>
          <w:lang w:val="es-ES"/>
        </w:rPr>
      </w:pPr>
      <w:r w:rsidRPr="00B7032A">
        <w:rPr>
          <w:rFonts w:ascii="Arial" w:hAnsi="Arial" w:cs="Arial"/>
          <w:color w:val="000000" w:themeColor="text1"/>
          <w:sz w:val="22"/>
          <w:szCs w:val="22"/>
          <w:lang w:val="es-ES_tradnl"/>
        </w:rPr>
        <w:t xml:space="preserve">Usted formula </w:t>
      </w:r>
      <w:r w:rsidR="00026092" w:rsidRPr="00B7032A">
        <w:rPr>
          <w:rFonts w:ascii="Arial" w:hAnsi="Arial" w:cs="Arial"/>
          <w:color w:val="000000" w:themeColor="text1"/>
          <w:sz w:val="22"/>
          <w:szCs w:val="22"/>
          <w:lang w:val="es-ES_tradnl"/>
        </w:rPr>
        <w:t>la</w:t>
      </w:r>
      <w:r w:rsidR="00F603D3" w:rsidRPr="00B7032A">
        <w:rPr>
          <w:rFonts w:ascii="Arial" w:hAnsi="Arial" w:cs="Arial"/>
          <w:color w:val="000000" w:themeColor="text1"/>
          <w:sz w:val="22"/>
          <w:szCs w:val="22"/>
          <w:lang w:val="es-ES_tradnl"/>
        </w:rPr>
        <w:t>s</w:t>
      </w:r>
      <w:r w:rsidR="00026092" w:rsidRPr="00B7032A">
        <w:rPr>
          <w:rFonts w:ascii="Arial" w:hAnsi="Arial" w:cs="Arial"/>
          <w:color w:val="000000" w:themeColor="text1"/>
          <w:sz w:val="22"/>
          <w:szCs w:val="22"/>
          <w:lang w:val="es-ES_tradnl"/>
        </w:rPr>
        <w:t xml:space="preserve"> siguiente</w:t>
      </w:r>
      <w:r w:rsidR="00F603D3" w:rsidRPr="00B7032A">
        <w:rPr>
          <w:rFonts w:ascii="Arial" w:hAnsi="Arial" w:cs="Arial"/>
          <w:color w:val="000000" w:themeColor="text1"/>
          <w:sz w:val="22"/>
          <w:szCs w:val="22"/>
          <w:lang w:val="es-ES_tradnl"/>
        </w:rPr>
        <w:t>s</w:t>
      </w:r>
      <w:r w:rsidR="00AC4D8F" w:rsidRPr="00B7032A">
        <w:rPr>
          <w:rFonts w:ascii="Arial" w:hAnsi="Arial" w:cs="Arial"/>
          <w:color w:val="000000" w:themeColor="text1"/>
          <w:sz w:val="22"/>
          <w:szCs w:val="22"/>
          <w:lang w:val="es-ES_tradnl"/>
        </w:rPr>
        <w:t xml:space="preserve"> consulta</w:t>
      </w:r>
      <w:r w:rsidR="00F603D3" w:rsidRPr="00B7032A">
        <w:rPr>
          <w:rFonts w:ascii="Arial" w:hAnsi="Arial" w:cs="Arial"/>
          <w:color w:val="000000" w:themeColor="text1"/>
          <w:sz w:val="22"/>
          <w:szCs w:val="22"/>
          <w:lang w:val="es-ES_tradnl"/>
        </w:rPr>
        <w:t>s</w:t>
      </w:r>
      <w:r w:rsidR="00853973" w:rsidRPr="00B7032A">
        <w:rPr>
          <w:rFonts w:ascii="Arial" w:hAnsi="Arial" w:cs="Arial"/>
          <w:sz w:val="22"/>
          <w:lang w:val="es-ES_tradnl"/>
        </w:rPr>
        <w:t xml:space="preserve"> relacionada</w:t>
      </w:r>
      <w:r w:rsidR="00F603D3" w:rsidRPr="00B7032A">
        <w:rPr>
          <w:rFonts w:ascii="Arial" w:hAnsi="Arial" w:cs="Arial"/>
          <w:sz w:val="22"/>
          <w:lang w:val="es-ES_tradnl"/>
        </w:rPr>
        <w:t>s</w:t>
      </w:r>
      <w:r w:rsidR="00853973" w:rsidRPr="00B7032A">
        <w:rPr>
          <w:rFonts w:ascii="Arial" w:hAnsi="Arial" w:cs="Arial"/>
          <w:sz w:val="22"/>
          <w:lang w:val="es-ES_tradnl"/>
        </w:rPr>
        <w:t xml:space="preserve"> con </w:t>
      </w:r>
      <w:r w:rsidR="00F603D3" w:rsidRPr="00B7032A">
        <w:rPr>
          <w:rFonts w:ascii="Arial" w:hAnsi="Arial" w:cs="Arial"/>
          <w:sz w:val="22"/>
          <w:lang w:val="es-ES_tradnl"/>
        </w:rPr>
        <w:t xml:space="preserve">los documentos tipo de infraestructura social relacionados con el sector educativo: </w:t>
      </w:r>
    </w:p>
    <w:p w14:paraId="0B7FAA28" w14:textId="77777777" w:rsidR="00BF4EC5" w:rsidRPr="00B7032A" w:rsidRDefault="00BF4EC5" w:rsidP="00BF4EC5">
      <w:pPr>
        <w:spacing w:line="276" w:lineRule="auto"/>
        <w:jc w:val="both"/>
        <w:rPr>
          <w:rFonts w:ascii="Arial" w:hAnsi="Arial" w:cs="Arial"/>
          <w:color w:val="000000" w:themeColor="text1"/>
          <w:sz w:val="22"/>
          <w:szCs w:val="22"/>
        </w:rPr>
      </w:pPr>
    </w:p>
    <w:p w14:paraId="7EA73752" w14:textId="159CBF7A" w:rsidR="00F603D3" w:rsidRPr="00B7032A" w:rsidRDefault="00BF4EC5" w:rsidP="00F603D3">
      <w:pPr>
        <w:ind w:left="709" w:right="618"/>
        <w:jc w:val="both"/>
        <w:rPr>
          <w:rFonts w:ascii="Arial" w:eastAsia="Calibri" w:hAnsi="Arial" w:cs="Arial"/>
          <w:bCs/>
          <w:sz w:val="21"/>
          <w:szCs w:val="21"/>
        </w:rPr>
      </w:pPr>
      <w:r w:rsidRPr="00B7032A">
        <w:rPr>
          <w:rFonts w:ascii="Arial" w:eastAsia="Calibri" w:hAnsi="Arial" w:cs="Arial"/>
          <w:sz w:val="21"/>
          <w:szCs w:val="21"/>
          <w:lang w:val="es-ES"/>
        </w:rPr>
        <w:lastRenderedPageBreak/>
        <w:t>«</w:t>
      </w:r>
      <w:r w:rsidR="00F603D3" w:rsidRPr="00B7032A">
        <w:rPr>
          <w:rFonts w:ascii="Arial" w:eastAsia="Calibri" w:hAnsi="Arial" w:cs="Arial"/>
          <w:bCs/>
          <w:sz w:val="21"/>
          <w:szCs w:val="21"/>
          <w:lang w:val="es-ES_tradnl"/>
        </w:rPr>
        <w:t xml:space="preserve">I. </w:t>
      </w:r>
      <w:r w:rsidR="00F603D3" w:rsidRPr="00B7032A">
        <w:rPr>
          <w:rFonts w:ascii="Arial" w:eastAsia="Calibri" w:hAnsi="Arial" w:cs="Arial"/>
          <w:bCs/>
          <w:sz w:val="21"/>
          <w:szCs w:val="21"/>
        </w:rPr>
        <w:t>El Documento Base CCE-EICP-GI-14 dispone en el numeral 4.4.1. “</w:t>
      </w:r>
      <w:r w:rsidR="00F603D3" w:rsidRPr="00B7032A">
        <w:rPr>
          <w:rFonts w:ascii="Arial" w:eastAsia="Calibri" w:hAnsi="Arial" w:cs="Arial"/>
          <w:bCs/>
          <w:i/>
          <w:iCs/>
          <w:sz w:val="21"/>
          <w:szCs w:val="21"/>
        </w:rPr>
        <w:t>PROMOCIÓN DE SERVICIOS NACIONALES O CON TRATO NACIONAL</w:t>
      </w:r>
      <w:r w:rsidR="00F603D3" w:rsidRPr="00B7032A">
        <w:rPr>
          <w:rFonts w:ascii="Arial" w:eastAsia="Calibri" w:hAnsi="Arial" w:cs="Arial"/>
          <w:bCs/>
          <w:sz w:val="21"/>
          <w:szCs w:val="21"/>
        </w:rPr>
        <w:t xml:space="preserve">”, lo siguiente: </w:t>
      </w:r>
    </w:p>
    <w:p w14:paraId="396A5B20" w14:textId="77777777" w:rsidR="00437461" w:rsidRPr="00B7032A" w:rsidRDefault="00437461" w:rsidP="00F603D3">
      <w:pPr>
        <w:ind w:left="709" w:right="618"/>
        <w:jc w:val="both"/>
        <w:rPr>
          <w:rFonts w:ascii="Arial" w:eastAsia="Calibri" w:hAnsi="Arial" w:cs="Arial"/>
          <w:bCs/>
          <w:sz w:val="21"/>
          <w:szCs w:val="21"/>
          <w:lang w:val="es-ES_tradnl"/>
        </w:rPr>
      </w:pPr>
    </w:p>
    <w:p w14:paraId="70022F8F" w14:textId="77777777" w:rsidR="00F603D3" w:rsidRPr="00B7032A" w:rsidRDefault="00F603D3" w:rsidP="00F603D3">
      <w:pPr>
        <w:ind w:left="709" w:right="618"/>
        <w:jc w:val="both"/>
        <w:rPr>
          <w:rFonts w:ascii="Arial" w:eastAsia="Calibri" w:hAnsi="Arial" w:cs="Arial"/>
          <w:bCs/>
          <w:i/>
          <w:iCs/>
          <w:sz w:val="21"/>
          <w:szCs w:val="21"/>
        </w:rPr>
      </w:pPr>
      <w:r w:rsidRPr="00B7032A">
        <w:rPr>
          <w:rFonts w:ascii="Arial" w:eastAsia="Calibri" w:hAnsi="Arial" w:cs="Arial"/>
          <w:bCs/>
          <w:i/>
          <w:iCs/>
          <w:sz w:val="21"/>
          <w:szCs w:val="21"/>
        </w:rPr>
        <w:t xml:space="preserve">“(…) B. Cuando se determine la existencia de oferta de los bienes nacionales relevantes requeridos para el desarrollo </w:t>
      </w:r>
      <w:r w:rsidRPr="00B7032A">
        <w:rPr>
          <w:rFonts w:ascii="Arial" w:eastAsia="Calibri" w:hAnsi="Arial" w:cs="Arial"/>
          <w:bCs/>
          <w:sz w:val="21"/>
          <w:szCs w:val="21"/>
        </w:rPr>
        <w:t xml:space="preserve">del </w:t>
      </w:r>
      <w:r w:rsidRPr="00B7032A">
        <w:rPr>
          <w:rFonts w:ascii="Arial" w:eastAsia="Calibri" w:hAnsi="Arial" w:cs="Arial"/>
          <w:bCs/>
          <w:i/>
          <w:iCs/>
          <w:sz w:val="21"/>
          <w:szCs w:val="21"/>
        </w:rPr>
        <w:t xml:space="preserve">presente objeto contractual dentro del Registro de Productores de Bienes Nacionales, no se otorgará puntaje a los Proponentes que no ofrezcan alguno de los bienes mencionados. (…)” </w:t>
      </w:r>
    </w:p>
    <w:p w14:paraId="1EE77B02" w14:textId="77777777" w:rsidR="00F603D3" w:rsidRPr="00B7032A" w:rsidRDefault="00F603D3" w:rsidP="00F603D3">
      <w:pPr>
        <w:ind w:left="709" w:right="618"/>
        <w:jc w:val="both"/>
        <w:rPr>
          <w:rFonts w:ascii="Arial" w:eastAsia="Calibri" w:hAnsi="Arial" w:cs="Arial"/>
          <w:bCs/>
          <w:sz w:val="21"/>
          <w:szCs w:val="21"/>
        </w:rPr>
      </w:pPr>
    </w:p>
    <w:p w14:paraId="3166D185" w14:textId="77777777" w:rsidR="00F603D3" w:rsidRPr="00B7032A" w:rsidRDefault="00F603D3" w:rsidP="00F603D3">
      <w:pPr>
        <w:ind w:left="709" w:right="618"/>
        <w:jc w:val="both"/>
        <w:rPr>
          <w:rFonts w:ascii="Arial" w:eastAsia="Calibri" w:hAnsi="Arial" w:cs="Arial"/>
          <w:bCs/>
          <w:sz w:val="21"/>
          <w:szCs w:val="21"/>
        </w:rPr>
      </w:pPr>
      <w:r w:rsidRPr="00B7032A">
        <w:rPr>
          <w:rFonts w:ascii="Arial" w:eastAsia="Calibri" w:hAnsi="Arial" w:cs="Arial"/>
          <w:bCs/>
          <w:sz w:val="21"/>
          <w:szCs w:val="21"/>
        </w:rPr>
        <w:t xml:space="preserve">Teniendo en cuenta que, los Bienes que se encuentran en la Plataforma denominada </w:t>
      </w:r>
      <w:r w:rsidRPr="00B7032A">
        <w:rPr>
          <w:rFonts w:ascii="Arial" w:eastAsia="Calibri" w:hAnsi="Arial" w:cs="Arial"/>
          <w:bCs/>
          <w:i/>
          <w:iCs/>
          <w:sz w:val="21"/>
          <w:szCs w:val="21"/>
        </w:rPr>
        <w:t>Ventanilla Única de Comercio Exterior</w:t>
      </w:r>
      <w:r w:rsidRPr="00B7032A">
        <w:rPr>
          <w:rFonts w:ascii="Arial" w:eastAsia="Calibri" w:hAnsi="Arial" w:cs="Arial"/>
          <w:bCs/>
          <w:sz w:val="21"/>
          <w:szCs w:val="21"/>
        </w:rPr>
        <w:t xml:space="preserve">, ubicada en la página web www.vuce.gov.co, y que dentro del Registro de Productores y Bienes Nacionales se puede observar una fecha de vencimiento a tal registro, surge la necesidad de solicitar las siguientes aclaraciones: </w:t>
      </w:r>
    </w:p>
    <w:p w14:paraId="5080B455" w14:textId="77777777" w:rsidR="00F603D3" w:rsidRPr="00B7032A" w:rsidRDefault="00F603D3" w:rsidP="00F603D3">
      <w:pPr>
        <w:ind w:left="709" w:right="618"/>
        <w:jc w:val="both"/>
        <w:rPr>
          <w:rFonts w:ascii="Arial" w:eastAsia="Calibri" w:hAnsi="Arial" w:cs="Arial"/>
          <w:bCs/>
          <w:sz w:val="21"/>
          <w:szCs w:val="21"/>
        </w:rPr>
      </w:pPr>
    </w:p>
    <w:p w14:paraId="7492F29F" w14:textId="77777777" w:rsidR="00F603D3" w:rsidRPr="00B7032A" w:rsidRDefault="00F603D3" w:rsidP="00F603D3">
      <w:pPr>
        <w:ind w:left="709" w:right="618"/>
        <w:jc w:val="both"/>
        <w:rPr>
          <w:rFonts w:ascii="Arial" w:eastAsia="Calibri" w:hAnsi="Arial" w:cs="Arial"/>
          <w:bCs/>
          <w:sz w:val="21"/>
          <w:szCs w:val="21"/>
        </w:rPr>
      </w:pPr>
      <w:r w:rsidRPr="00B7032A">
        <w:rPr>
          <w:rFonts w:ascii="Arial" w:eastAsia="Calibri" w:hAnsi="Arial" w:cs="Arial"/>
          <w:bCs/>
          <w:sz w:val="21"/>
          <w:szCs w:val="21"/>
        </w:rPr>
        <w:t xml:space="preserve">1. ¿Cómo debe proceder la Entidad, cuando el registro de uno de los Bienes determinados como relevantes, vence durante el desarrollo del proceso de selección de contratistas? </w:t>
      </w:r>
    </w:p>
    <w:p w14:paraId="4472C47C" w14:textId="77777777" w:rsidR="00F603D3" w:rsidRPr="00B7032A" w:rsidRDefault="00F603D3" w:rsidP="00F603D3">
      <w:pPr>
        <w:ind w:left="709" w:right="618"/>
        <w:jc w:val="both"/>
        <w:rPr>
          <w:rFonts w:ascii="Arial" w:eastAsia="Calibri" w:hAnsi="Arial" w:cs="Arial"/>
          <w:bCs/>
          <w:sz w:val="21"/>
          <w:szCs w:val="21"/>
        </w:rPr>
      </w:pPr>
    </w:p>
    <w:p w14:paraId="01E8934E" w14:textId="77777777" w:rsidR="00F603D3" w:rsidRPr="00B7032A" w:rsidRDefault="00F603D3" w:rsidP="00F603D3">
      <w:pPr>
        <w:ind w:left="709" w:right="618"/>
        <w:jc w:val="both"/>
        <w:rPr>
          <w:rFonts w:ascii="Arial" w:eastAsia="Calibri" w:hAnsi="Arial" w:cs="Arial"/>
          <w:bCs/>
          <w:sz w:val="21"/>
          <w:szCs w:val="21"/>
        </w:rPr>
      </w:pPr>
      <w:r w:rsidRPr="00B7032A">
        <w:rPr>
          <w:rFonts w:ascii="Arial" w:eastAsia="Calibri" w:hAnsi="Arial" w:cs="Arial"/>
          <w:bCs/>
          <w:sz w:val="21"/>
          <w:szCs w:val="21"/>
        </w:rPr>
        <w:t xml:space="preserve">2. ¿Cómo debe proceder la Entidad, cuando el registro de uno de los Bienes determinados como relevantes, vence dentro o durante el plazo de ejecución contractual? </w:t>
      </w:r>
    </w:p>
    <w:p w14:paraId="5267CB09" w14:textId="77777777" w:rsidR="00F603D3" w:rsidRPr="00B7032A" w:rsidRDefault="00F603D3" w:rsidP="00F603D3">
      <w:pPr>
        <w:ind w:left="709" w:right="618"/>
        <w:jc w:val="both"/>
        <w:rPr>
          <w:rFonts w:ascii="Arial" w:eastAsia="Calibri" w:hAnsi="Arial" w:cs="Arial"/>
          <w:bCs/>
          <w:sz w:val="21"/>
          <w:szCs w:val="21"/>
        </w:rPr>
      </w:pPr>
    </w:p>
    <w:p w14:paraId="72E4FED9" w14:textId="0A902634" w:rsidR="00F603D3" w:rsidRPr="00B7032A" w:rsidRDefault="00F603D3" w:rsidP="00F603D3">
      <w:pPr>
        <w:ind w:left="709" w:right="618"/>
        <w:jc w:val="both"/>
        <w:rPr>
          <w:rFonts w:ascii="Arial" w:eastAsia="Calibri" w:hAnsi="Arial" w:cs="Arial"/>
          <w:bCs/>
          <w:sz w:val="21"/>
          <w:szCs w:val="21"/>
        </w:rPr>
      </w:pPr>
      <w:r w:rsidRPr="00B7032A">
        <w:rPr>
          <w:rFonts w:ascii="Arial" w:eastAsia="Calibri" w:hAnsi="Arial" w:cs="Arial"/>
          <w:bCs/>
          <w:sz w:val="21"/>
          <w:szCs w:val="21"/>
        </w:rPr>
        <w:t xml:space="preserve">3. En cuanto a la metodología para establecer la condición de Bienes relevantes de origen nacional para los Proyectos de Infraestructura Social Educativa, ¿la Entidad podría hacer el análisis a partir de ítems o actividades de obra relevantes partiendo de la premisa que los insumos que componen dichas actividades generan los insumos relevantes de un presupuesto? </w:t>
      </w:r>
    </w:p>
    <w:p w14:paraId="57165EDF" w14:textId="77777777" w:rsidR="003840E0" w:rsidRPr="00B7032A" w:rsidRDefault="003840E0" w:rsidP="00F603D3">
      <w:pPr>
        <w:ind w:left="709" w:right="618"/>
        <w:jc w:val="both"/>
        <w:rPr>
          <w:rFonts w:ascii="Arial" w:eastAsia="Calibri" w:hAnsi="Arial" w:cs="Arial"/>
          <w:bCs/>
          <w:sz w:val="21"/>
          <w:szCs w:val="21"/>
        </w:rPr>
      </w:pPr>
    </w:p>
    <w:p w14:paraId="10219B61" w14:textId="77777777" w:rsidR="003840E0" w:rsidRPr="00B7032A" w:rsidRDefault="003840E0" w:rsidP="003840E0">
      <w:pPr>
        <w:ind w:left="709" w:right="618"/>
        <w:jc w:val="both"/>
        <w:rPr>
          <w:rFonts w:ascii="Arial" w:eastAsia="Calibri" w:hAnsi="Arial" w:cs="Arial"/>
          <w:bCs/>
          <w:sz w:val="21"/>
          <w:szCs w:val="21"/>
        </w:rPr>
      </w:pPr>
      <w:r w:rsidRPr="00B7032A">
        <w:rPr>
          <w:rFonts w:ascii="Arial" w:eastAsia="Calibri" w:hAnsi="Arial" w:cs="Arial"/>
          <w:bCs/>
          <w:sz w:val="21"/>
          <w:szCs w:val="21"/>
        </w:rPr>
        <w:t>[…]</w:t>
      </w:r>
      <w:r w:rsidRPr="00B7032A">
        <w:rPr>
          <w:rFonts w:ascii="Arial" w:eastAsia="Calibri" w:hAnsi="Arial" w:cs="Arial"/>
          <w:bCs/>
          <w:sz w:val="21"/>
          <w:szCs w:val="21"/>
        </w:rPr>
        <w:br/>
      </w:r>
    </w:p>
    <w:p w14:paraId="74528797" w14:textId="77777777" w:rsidR="003840E0" w:rsidRPr="00B7032A" w:rsidRDefault="003840E0" w:rsidP="003840E0">
      <w:pPr>
        <w:ind w:left="709" w:right="618"/>
        <w:jc w:val="both"/>
        <w:rPr>
          <w:rFonts w:ascii="Arial" w:eastAsia="Calibri" w:hAnsi="Arial" w:cs="Arial"/>
          <w:bCs/>
          <w:sz w:val="21"/>
          <w:szCs w:val="21"/>
        </w:rPr>
      </w:pPr>
      <w:r w:rsidRPr="00B7032A">
        <w:rPr>
          <w:rFonts w:ascii="Arial" w:eastAsia="Calibri" w:hAnsi="Arial" w:cs="Arial"/>
          <w:bCs/>
          <w:sz w:val="21"/>
          <w:szCs w:val="21"/>
        </w:rPr>
        <w:t>Con el propósito de ilustrar la propuesta, adjuntamos a la presente un documento con la metodología (ejemplo práctico en PowerPoint) que adoptaríamos para los presupuestos recibidos producto de las consultorías contratadas por la Entidad, en caso de que fuera aprobado por Colombia Compra Eficiente</w:t>
      </w:r>
    </w:p>
    <w:p w14:paraId="5611AEDC" w14:textId="77777777" w:rsidR="00F603D3" w:rsidRPr="00B7032A" w:rsidRDefault="00F603D3" w:rsidP="00F603D3">
      <w:pPr>
        <w:ind w:left="709" w:right="618"/>
        <w:jc w:val="both"/>
        <w:rPr>
          <w:rFonts w:ascii="Arial" w:eastAsia="Calibri" w:hAnsi="Arial" w:cs="Arial"/>
          <w:bCs/>
          <w:sz w:val="21"/>
          <w:szCs w:val="21"/>
        </w:rPr>
      </w:pPr>
    </w:p>
    <w:p w14:paraId="7F6E1AA4" w14:textId="77777777" w:rsidR="00F603D3" w:rsidRPr="00B7032A" w:rsidRDefault="00F603D3" w:rsidP="00F603D3">
      <w:pPr>
        <w:ind w:left="709" w:right="618"/>
        <w:jc w:val="both"/>
        <w:rPr>
          <w:rFonts w:ascii="Arial" w:eastAsia="Calibri" w:hAnsi="Arial" w:cs="Arial"/>
          <w:bCs/>
          <w:sz w:val="21"/>
          <w:szCs w:val="21"/>
        </w:rPr>
      </w:pPr>
      <w:r w:rsidRPr="00B7032A">
        <w:rPr>
          <w:rFonts w:ascii="Arial" w:eastAsia="Calibri" w:hAnsi="Arial" w:cs="Arial"/>
          <w:b/>
          <w:bCs/>
          <w:sz w:val="21"/>
          <w:szCs w:val="21"/>
        </w:rPr>
        <w:t xml:space="preserve">II. </w:t>
      </w:r>
      <w:r w:rsidRPr="00B7032A">
        <w:rPr>
          <w:rFonts w:ascii="Arial" w:eastAsia="Calibri" w:hAnsi="Arial" w:cs="Arial"/>
          <w:bCs/>
          <w:sz w:val="21"/>
          <w:szCs w:val="21"/>
        </w:rPr>
        <w:t>El Documento Base CCE-EICP-GI-14 dispone en el numeral 4.1.1. “</w:t>
      </w:r>
      <w:r w:rsidRPr="00B7032A">
        <w:rPr>
          <w:rFonts w:ascii="Arial" w:eastAsia="Calibri" w:hAnsi="Arial" w:cs="Arial"/>
          <w:bCs/>
          <w:i/>
          <w:iCs/>
          <w:sz w:val="21"/>
          <w:szCs w:val="21"/>
        </w:rPr>
        <w:t>A.I.U.</w:t>
      </w:r>
      <w:r w:rsidRPr="00B7032A">
        <w:rPr>
          <w:rFonts w:ascii="Arial" w:eastAsia="Calibri" w:hAnsi="Arial" w:cs="Arial"/>
          <w:bCs/>
          <w:sz w:val="21"/>
          <w:szCs w:val="21"/>
        </w:rPr>
        <w:t xml:space="preserve">”, lo siguiente: </w:t>
      </w:r>
    </w:p>
    <w:p w14:paraId="3E00F4EC" w14:textId="77777777" w:rsidR="00F603D3" w:rsidRPr="00B7032A" w:rsidRDefault="00F603D3" w:rsidP="00F603D3">
      <w:pPr>
        <w:ind w:left="709" w:right="618"/>
        <w:jc w:val="both"/>
        <w:rPr>
          <w:rFonts w:ascii="Arial" w:eastAsia="Calibri" w:hAnsi="Arial" w:cs="Arial"/>
          <w:bCs/>
          <w:sz w:val="21"/>
          <w:szCs w:val="21"/>
        </w:rPr>
      </w:pPr>
    </w:p>
    <w:p w14:paraId="45C0D894" w14:textId="77777777" w:rsidR="00F603D3" w:rsidRPr="00B7032A" w:rsidRDefault="00F603D3" w:rsidP="00F603D3">
      <w:pPr>
        <w:ind w:left="709" w:right="618"/>
        <w:jc w:val="both"/>
        <w:rPr>
          <w:rFonts w:ascii="Arial" w:eastAsia="Calibri" w:hAnsi="Arial" w:cs="Arial"/>
          <w:bCs/>
          <w:i/>
          <w:iCs/>
          <w:sz w:val="21"/>
          <w:szCs w:val="21"/>
        </w:rPr>
      </w:pPr>
      <w:r w:rsidRPr="00B7032A">
        <w:rPr>
          <w:rFonts w:ascii="Arial" w:eastAsia="Calibri" w:hAnsi="Arial" w:cs="Arial"/>
          <w:bCs/>
          <w:i/>
          <w:iCs/>
          <w:sz w:val="21"/>
          <w:szCs w:val="21"/>
        </w:rPr>
        <w:t xml:space="preserve">“(…) Cuando el Proponente exprese el A.I.U. en porcentaje (%) y en Pesos, prevalece el valor expresado en porcentaje (%). El porcentaje del A.I.U. que presenten los Proponentes no debe ser superior al porcentaje total del A.I.U establecido en el Formulario 1– Formulario de Presupuesto Oficial. En consecuencia, el Proponente puede configurar libremente el porcentaje individual de la “A”, de la “I” y de la “U”, siempre que la sumatoria de ellos no exceda el porcentaje total definido por la Entidad en el Formulario 1– Formulario de Presupuesto Oficial.” </w:t>
      </w:r>
    </w:p>
    <w:p w14:paraId="12416D40" w14:textId="77777777" w:rsidR="00F603D3" w:rsidRPr="00B7032A" w:rsidRDefault="00F603D3" w:rsidP="00F603D3">
      <w:pPr>
        <w:ind w:left="709" w:right="618"/>
        <w:jc w:val="both"/>
        <w:rPr>
          <w:rFonts w:ascii="Arial" w:eastAsia="Calibri" w:hAnsi="Arial" w:cs="Arial"/>
          <w:bCs/>
          <w:sz w:val="21"/>
          <w:szCs w:val="21"/>
        </w:rPr>
      </w:pPr>
    </w:p>
    <w:p w14:paraId="7308EEAA" w14:textId="77777777" w:rsidR="00F603D3" w:rsidRPr="00B7032A" w:rsidRDefault="00F603D3" w:rsidP="00F603D3">
      <w:pPr>
        <w:ind w:left="709" w:right="618"/>
        <w:jc w:val="both"/>
        <w:rPr>
          <w:rFonts w:ascii="Arial" w:eastAsia="Calibri" w:hAnsi="Arial" w:cs="Arial"/>
          <w:bCs/>
          <w:sz w:val="21"/>
          <w:szCs w:val="21"/>
        </w:rPr>
      </w:pPr>
      <w:r w:rsidRPr="00B7032A">
        <w:rPr>
          <w:rFonts w:ascii="Arial" w:eastAsia="Calibri" w:hAnsi="Arial" w:cs="Arial"/>
          <w:bCs/>
          <w:sz w:val="21"/>
          <w:szCs w:val="21"/>
        </w:rPr>
        <w:lastRenderedPageBreak/>
        <w:t xml:space="preserve">Teniendo en cuenta las indicaciones anteriormente trascritas, donde la única limitación frente a los porcentajes a establecer en los costos indirectos (Administración, Imprevistos y Utilidad – A.I.U.); es la de no exceder el porcentaje definido total por la Entidad, surge la necesidad de formular las siguientes preguntas: </w:t>
      </w:r>
    </w:p>
    <w:p w14:paraId="38B8D55D" w14:textId="77777777" w:rsidR="00F603D3" w:rsidRPr="00B7032A" w:rsidRDefault="00F603D3" w:rsidP="00F603D3">
      <w:pPr>
        <w:ind w:left="709" w:right="618"/>
        <w:jc w:val="both"/>
        <w:rPr>
          <w:rFonts w:ascii="Arial" w:eastAsia="Calibri" w:hAnsi="Arial" w:cs="Arial"/>
          <w:bCs/>
          <w:sz w:val="21"/>
          <w:szCs w:val="21"/>
        </w:rPr>
      </w:pPr>
    </w:p>
    <w:p w14:paraId="25DE0FF4" w14:textId="77777777" w:rsidR="00F603D3" w:rsidRPr="00B7032A" w:rsidRDefault="00F603D3" w:rsidP="00F603D3">
      <w:pPr>
        <w:ind w:left="709" w:right="618"/>
        <w:jc w:val="both"/>
        <w:rPr>
          <w:rFonts w:ascii="Arial" w:eastAsia="Calibri" w:hAnsi="Arial" w:cs="Arial"/>
          <w:bCs/>
          <w:sz w:val="21"/>
          <w:szCs w:val="21"/>
        </w:rPr>
      </w:pPr>
      <w:r w:rsidRPr="00B7032A">
        <w:rPr>
          <w:rFonts w:ascii="Arial" w:eastAsia="Calibri" w:hAnsi="Arial" w:cs="Arial"/>
          <w:bCs/>
          <w:sz w:val="21"/>
          <w:szCs w:val="21"/>
        </w:rPr>
        <w:t xml:space="preserve">1. ¿Puede aceptarse un porcentaje igual a CERO (0%), en caso de que un oferente presente dentro de su propuesta económica este valor para algunos de los factores que compone los costos indirectos de un presupuesto? </w:t>
      </w:r>
    </w:p>
    <w:p w14:paraId="5316BBD6" w14:textId="77777777" w:rsidR="00F603D3" w:rsidRPr="00B7032A" w:rsidRDefault="00F603D3" w:rsidP="00F603D3">
      <w:pPr>
        <w:ind w:left="709" w:right="618"/>
        <w:jc w:val="both"/>
        <w:rPr>
          <w:rFonts w:ascii="Arial" w:eastAsia="Calibri" w:hAnsi="Arial" w:cs="Arial"/>
          <w:bCs/>
          <w:sz w:val="21"/>
          <w:szCs w:val="21"/>
        </w:rPr>
      </w:pPr>
    </w:p>
    <w:p w14:paraId="2A30E36D" w14:textId="77777777" w:rsidR="00F603D3" w:rsidRPr="00B7032A" w:rsidRDefault="00F603D3" w:rsidP="00F603D3">
      <w:pPr>
        <w:ind w:left="709" w:right="618"/>
        <w:jc w:val="both"/>
        <w:rPr>
          <w:rFonts w:ascii="Arial" w:eastAsia="Calibri" w:hAnsi="Arial" w:cs="Arial"/>
          <w:bCs/>
          <w:sz w:val="21"/>
          <w:szCs w:val="21"/>
        </w:rPr>
      </w:pPr>
      <w:r w:rsidRPr="00B7032A">
        <w:rPr>
          <w:rFonts w:ascii="Arial" w:eastAsia="Calibri" w:hAnsi="Arial" w:cs="Arial"/>
          <w:bCs/>
          <w:sz w:val="21"/>
          <w:szCs w:val="21"/>
        </w:rPr>
        <w:t xml:space="preserve">2. ¿La Entidad podría establecer un porcentaje mínimo para cada uno de los componentes del costo indirecto?, lo anterior teniendo en cuenta que, por ejemplo, para el caso de los imprevistos, el proyecto requiere tener presupuestado un rubro para atender aquellas situaciones sobrevinientes e imprevistas, agilizando así las actividades necesarias y no contempladas, sin acudir a las modificaciones contractuales. </w:t>
      </w:r>
    </w:p>
    <w:p w14:paraId="3091888B" w14:textId="77777777" w:rsidR="00F603D3" w:rsidRPr="00B7032A" w:rsidRDefault="00F603D3" w:rsidP="00F603D3">
      <w:pPr>
        <w:ind w:left="709" w:right="618"/>
        <w:jc w:val="both"/>
        <w:rPr>
          <w:rFonts w:ascii="Arial" w:eastAsia="Calibri" w:hAnsi="Arial" w:cs="Arial"/>
          <w:bCs/>
          <w:sz w:val="21"/>
          <w:szCs w:val="21"/>
        </w:rPr>
      </w:pPr>
    </w:p>
    <w:p w14:paraId="5A2FFBF6" w14:textId="77777777" w:rsidR="00F603D3" w:rsidRPr="00B7032A" w:rsidRDefault="00F603D3" w:rsidP="00F603D3">
      <w:pPr>
        <w:ind w:left="709" w:right="618"/>
        <w:jc w:val="both"/>
        <w:rPr>
          <w:rFonts w:ascii="Arial" w:eastAsia="Calibri" w:hAnsi="Arial" w:cs="Arial"/>
          <w:bCs/>
          <w:sz w:val="21"/>
          <w:szCs w:val="21"/>
        </w:rPr>
      </w:pPr>
      <w:r w:rsidRPr="00B7032A">
        <w:rPr>
          <w:rFonts w:ascii="Arial" w:eastAsia="Calibri" w:hAnsi="Arial" w:cs="Arial"/>
          <w:b/>
          <w:bCs/>
          <w:sz w:val="21"/>
          <w:szCs w:val="21"/>
        </w:rPr>
        <w:t xml:space="preserve">III. </w:t>
      </w:r>
      <w:r w:rsidRPr="00B7032A">
        <w:rPr>
          <w:rFonts w:ascii="Arial" w:eastAsia="Calibri" w:hAnsi="Arial" w:cs="Arial"/>
          <w:bCs/>
          <w:sz w:val="21"/>
          <w:szCs w:val="21"/>
        </w:rPr>
        <w:t>El Documento Base CCE-EICP-GI-14 dispone en el numeral 4.1.3. “</w:t>
      </w:r>
      <w:r w:rsidRPr="00B7032A">
        <w:rPr>
          <w:rFonts w:ascii="Arial" w:eastAsia="Calibri" w:hAnsi="Arial" w:cs="Arial"/>
          <w:bCs/>
          <w:i/>
          <w:iCs/>
          <w:sz w:val="21"/>
          <w:szCs w:val="21"/>
        </w:rPr>
        <w:t>PRECIO ARTIFICIALMENTE BAJO</w:t>
      </w:r>
      <w:r w:rsidRPr="00B7032A">
        <w:rPr>
          <w:rFonts w:ascii="Arial" w:eastAsia="Calibri" w:hAnsi="Arial" w:cs="Arial"/>
          <w:bCs/>
          <w:sz w:val="21"/>
          <w:szCs w:val="21"/>
        </w:rPr>
        <w:t xml:space="preserve">”, lo siguiente: </w:t>
      </w:r>
    </w:p>
    <w:p w14:paraId="7DE1E06F" w14:textId="77777777" w:rsidR="00F603D3" w:rsidRPr="00B7032A" w:rsidRDefault="00F603D3" w:rsidP="00F603D3">
      <w:pPr>
        <w:ind w:left="709" w:right="618"/>
        <w:jc w:val="both"/>
        <w:rPr>
          <w:rFonts w:ascii="Arial" w:eastAsia="Calibri" w:hAnsi="Arial" w:cs="Arial"/>
          <w:bCs/>
          <w:sz w:val="21"/>
          <w:szCs w:val="21"/>
        </w:rPr>
      </w:pPr>
    </w:p>
    <w:p w14:paraId="5D6BFAE2" w14:textId="77777777" w:rsidR="00F603D3" w:rsidRPr="00B7032A" w:rsidRDefault="00F603D3" w:rsidP="00F603D3">
      <w:pPr>
        <w:ind w:left="709" w:right="618"/>
        <w:jc w:val="both"/>
        <w:rPr>
          <w:rFonts w:ascii="Arial" w:eastAsia="Calibri" w:hAnsi="Arial" w:cs="Arial"/>
          <w:bCs/>
          <w:sz w:val="21"/>
          <w:szCs w:val="21"/>
        </w:rPr>
      </w:pPr>
      <w:r w:rsidRPr="00B7032A">
        <w:rPr>
          <w:rFonts w:ascii="Arial" w:eastAsia="Calibri" w:hAnsi="Arial" w:cs="Arial"/>
          <w:bCs/>
          <w:sz w:val="21"/>
          <w:szCs w:val="21"/>
        </w:rPr>
        <w:t>“</w:t>
      </w:r>
      <w:r w:rsidRPr="00B7032A">
        <w:rPr>
          <w:rFonts w:ascii="Arial" w:eastAsia="Calibri" w:hAnsi="Arial" w:cs="Arial"/>
          <w:bCs/>
          <w:i/>
          <w:iCs/>
          <w:sz w:val="21"/>
          <w:szCs w:val="21"/>
        </w:rPr>
        <w:t>En el evento en el que el precio de una oferta, al momento de su evaluación, no parezca suficiente para garantizar una correcta ejecución del Contrato, de acuerdo con la información recogida durante la etapa de planeación y particularmente en el estudio del sector, la Entidad aplicará el proceso descrito en el artículo 2.2.1.1.2.2.4. del Decreto 1082 de 2015, además podrá acudir a los parámetros definidos en la Guía para el manejo de ofertas artificialmente bajas en Procesos de Contratación de Colombia Compra Eficiente, como un criterio metodológico.</w:t>
      </w:r>
      <w:r w:rsidRPr="00B7032A">
        <w:rPr>
          <w:rFonts w:ascii="Arial" w:eastAsia="Calibri" w:hAnsi="Arial" w:cs="Arial"/>
          <w:bCs/>
          <w:sz w:val="21"/>
          <w:szCs w:val="21"/>
        </w:rPr>
        <w:t xml:space="preserve">” </w:t>
      </w:r>
    </w:p>
    <w:p w14:paraId="128493FC" w14:textId="77777777" w:rsidR="00F603D3" w:rsidRPr="00B7032A" w:rsidRDefault="00F603D3" w:rsidP="00F603D3">
      <w:pPr>
        <w:ind w:left="709" w:right="618"/>
        <w:jc w:val="both"/>
        <w:rPr>
          <w:rFonts w:ascii="Arial" w:eastAsia="Calibri" w:hAnsi="Arial" w:cs="Arial"/>
          <w:bCs/>
          <w:sz w:val="21"/>
          <w:szCs w:val="21"/>
        </w:rPr>
      </w:pPr>
    </w:p>
    <w:p w14:paraId="032DE2E6" w14:textId="77777777" w:rsidR="00F603D3" w:rsidRPr="00B7032A" w:rsidRDefault="00F603D3" w:rsidP="00F603D3">
      <w:pPr>
        <w:ind w:left="709" w:right="618"/>
        <w:jc w:val="both"/>
        <w:rPr>
          <w:rFonts w:ascii="Arial" w:eastAsia="Calibri" w:hAnsi="Arial" w:cs="Arial"/>
          <w:bCs/>
          <w:sz w:val="21"/>
          <w:szCs w:val="21"/>
        </w:rPr>
      </w:pPr>
      <w:r w:rsidRPr="00B7032A">
        <w:rPr>
          <w:rFonts w:ascii="Arial" w:eastAsia="Calibri" w:hAnsi="Arial" w:cs="Arial"/>
          <w:bCs/>
          <w:sz w:val="21"/>
          <w:szCs w:val="21"/>
        </w:rPr>
        <w:t xml:space="preserve">Teniendo en cuenta las indicaciones señaladas anteriormente, surge la necesidad de solicitar la siguiente aclaración: </w:t>
      </w:r>
    </w:p>
    <w:p w14:paraId="12663573" w14:textId="77777777" w:rsidR="00F603D3" w:rsidRPr="00B7032A" w:rsidRDefault="00F603D3" w:rsidP="00F603D3">
      <w:pPr>
        <w:ind w:left="709" w:right="618"/>
        <w:jc w:val="both"/>
        <w:rPr>
          <w:rFonts w:ascii="Arial" w:eastAsia="Calibri" w:hAnsi="Arial" w:cs="Arial"/>
          <w:bCs/>
          <w:sz w:val="21"/>
          <w:szCs w:val="21"/>
        </w:rPr>
      </w:pPr>
    </w:p>
    <w:p w14:paraId="761D307A" w14:textId="77777777" w:rsidR="00F603D3" w:rsidRPr="00B7032A" w:rsidRDefault="00F603D3" w:rsidP="00F603D3">
      <w:pPr>
        <w:ind w:left="709" w:right="618"/>
        <w:jc w:val="both"/>
        <w:rPr>
          <w:rFonts w:ascii="Arial" w:eastAsia="Calibri" w:hAnsi="Arial" w:cs="Arial"/>
          <w:bCs/>
          <w:sz w:val="21"/>
          <w:szCs w:val="21"/>
        </w:rPr>
      </w:pPr>
      <w:r w:rsidRPr="00B7032A">
        <w:rPr>
          <w:rFonts w:ascii="Arial" w:eastAsia="Calibri" w:hAnsi="Arial" w:cs="Arial"/>
          <w:bCs/>
          <w:sz w:val="21"/>
          <w:szCs w:val="21"/>
        </w:rPr>
        <w:t xml:space="preserve">1. ¿La Entidad puede establecer un porcentaje mínimo [precios piso] de oferta por parte de los proponentes sobre las actividades y/o presupuesto oficial que deba cumplirse en la oferta económica, con el fin de evitar los precios artificialmente bajos y las diferentes dilaciones que esto pueda producir dentro del proceso de selección de contratistas? </w:t>
      </w:r>
    </w:p>
    <w:p w14:paraId="58D9B5E6" w14:textId="77777777" w:rsidR="00F603D3" w:rsidRPr="00B7032A" w:rsidRDefault="00F603D3" w:rsidP="00F603D3">
      <w:pPr>
        <w:ind w:left="709" w:right="618"/>
        <w:jc w:val="both"/>
        <w:rPr>
          <w:rFonts w:ascii="Arial" w:eastAsia="Calibri" w:hAnsi="Arial" w:cs="Arial"/>
          <w:bCs/>
          <w:sz w:val="21"/>
          <w:szCs w:val="21"/>
        </w:rPr>
      </w:pPr>
    </w:p>
    <w:p w14:paraId="332422E1" w14:textId="77777777" w:rsidR="00F603D3" w:rsidRPr="00B7032A" w:rsidRDefault="00F603D3" w:rsidP="00F603D3">
      <w:pPr>
        <w:ind w:left="709" w:right="618"/>
        <w:jc w:val="both"/>
        <w:rPr>
          <w:rFonts w:ascii="Arial" w:eastAsia="Calibri" w:hAnsi="Arial" w:cs="Arial"/>
          <w:bCs/>
          <w:sz w:val="21"/>
          <w:szCs w:val="21"/>
        </w:rPr>
      </w:pPr>
      <w:r w:rsidRPr="00B7032A">
        <w:rPr>
          <w:rFonts w:ascii="Arial" w:eastAsia="Calibri" w:hAnsi="Arial" w:cs="Arial"/>
          <w:bCs/>
          <w:sz w:val="21"/>
          <w:szCs w:val="21"/>
        </w:rPr>
        <w:t xml:space="preserve">2. ¿Este proceso se debe realizar a todas las propuestas habilitadas que considere que presentó u ofreció precios artificialmente bajos o sólo a la propuesta que obtuvo el mayor puntaje y que quedó en el primer orden de elegibilidad [probable adjudicatario]? </w:t>
      </w:r>
    </w:p>
    <w:p w14:paraId="0C5AE1EA" w14:textId="77777777" w:rsidR="00F603D3" w:rsidRPr="00B7032A" w:rsidRDefault="00F603D3" w:rsidP="00F603D3">
      <w:pPr>
        <w:ind w:left="709" w:right="618"/>
        <w:jc w:val="both"/>
        <w:rPr>
          <w:rFonts w:ascii="Arial" w:eastAsia="Calibri" w:hAnsi="Arial" w:cs="Arial"/>
          <w:bCs/>
          <w:sz w:val="21"/>
          <w:szCs w:val="21"/>
        </w:rPr>
      </w:pPr>
    </w:p>
    <w:p w14:paraId="15998F20" w14:textId="77777777" w:rsidR="00F603D3" w:rsidRPr="00B7032A" w:rsidRDefault="00F603D3" w:rsidP="00F603D3">
      <w:pPr>
        <w:ind w:left="709" w:right="618"/>
        <w:jc w:val="both"/>
        <w:rPr>
          <w:rFonts w:ascii="Arial" w:eastAsia="Calibri" w:hAnsi="Arial" w:cs="Arial"/>
          <w:bCs/>
          <w:sz w:val="21"/>
          <w:szCs w:val="21"/>
        </w:rPr>
      </w:pPr>
      <w:r w:rsidRPr="00B7032A">
        <w:rPr>
          <w:rFonts w:ascii="Arial" w:eastAsia="Calibri" w:hAnsi="Arial" w:cs="Arial"/>
          <w:b/>
          <w:bCs/>
          <w:sz w:val="21"/>
          <w:szCs w:val="21"/>
        </w:rPr>
        <w:t xml:space="preserve">IV. </w:t>
      </w:r>
      <w:r w:rsidRPr="00B7032A">
        <w:rPr>
          <w:rFonts w:ascii="Arial" w:eastAsia="Calibri" w:hAnsi="Arial" w:cs="Arial"/>
          <w:bCs/>
          <w:sz w:val="21"/>
          <w:szCs w:val="21"/>
        </w:rPr>
        <w:t>El Documento Base CCE-EICP-GI-14 dispone en el numeral 1.15. “</w:t>
      </w:r>
      <w:r w:rsidRPr="00B7032A">
        <w:rPr>
          <w:rFonts w:ascii="Arial" w:eastAsia="Calibri" w:hAnsi="Arial" w:cs="Arial"/>
          <w:bCs/>
          <w:i/>
          <w:iCs/>
          <w:sz w:val="21"/>
          <w:szCs w:val="21"/>
        </w:rPr>
        <w:t>CAUSALES DE RECHAZO</w:t>
      </w:r>
      <w:r w:rsidRPr="00B7032A">
        <w:rPr>
          <w:rFonts w:ascii="Arial" w:eastAsia="Calibri" w:hAnsi="Arial" w:cs="Arial"/>
          <w:bCs/>
          <w:sz w:val="21"/>
          <w:szCs w:val="21"/>
        </w:rPr>
        <w:t xml:space="preserve">”, lo siguiente: </w:t>
      </w:r>
    </w:p>
    <w:p w14:paraId="3F146C2F" w14:textId="77777777" w:rsidR="00F603D3" w:rsidRPr="00B7032A" w:rsidRDefault="00F603D3" w:rsidP="00F603D3">
      <w:pPr>
        <w:ind w:left="709" w:right="618"/>
        <w:jc w:val="both"/>
        <w:rPr>
          <w:rFonts w:ascii="Arial" w:eastAsia="Calibri" w:hAnsi="Arial" w:cs="Arial"/>
          <w:bCs/>
          <w:sz w:val="21"/>
          <w:szCs w:val="21"/>
        </w:rPr>
      </w:pPr>
    </w:p>
    <w:p w14:paraId="0D870B56" w14:textId="77777777" w:rsidR="00F603D3" w:rsidRPr="00B7032A" w:rsidRDefault="00F603D3" w:rsidP="00F603D3">
      <w:pPr>
        <w:ind w:left="709" w:right="618"/>
        <w:jc w:val="both"/>
        <w:rPr>
          <w:rFonts w:ascii="Arial" w:eastAsia="Calibri" w:hAnsi="Arial" w:cs="Arial"/>
          <w:bCs/>
          <w:sz w:val="21"/>
          <w:szCs w:val="21"/>
        </w:rPr>
      </w:pPr>
      <w:r w:rsidRPr="00B7032A">
        <w:rPr>
          <w:rFonts w:ascii="Arial" w:eastAsia="Calibri" w:hAnsi="Arial" w:cs="Arial"/>
          <w:bCs/>
          <w:i/>
          <w:iCs/>
          <w:sz w:val="21"/>
          <w:szCs w:val="21"/>
        </w:rPr>
        <w:t xml:space="preserve">"B. Cuando una misma persona natural o jurídica, o integrante de un Proponente Plural presente o haga parte en más de una propuesta para el proceso de selección. [Cuando el proceso se estructure por lotes o grupos reemplazar el </w:t>
      </w:r>
      <w:r w:rsidRPr="00B7032A">
        <w:rPr>
          <w:rFonts w:ascii="Arial" w:eastAsia="Calibri" w:hAnsi="Arial" w:cs="Arial"/>
          <w:bCs/>
          <w:i/>
          <w:iCs/>
          <w:sz w:val="21"/>
          <w:szCs w:val="21"/>
        </w:rPr>
        <w:lastRenderedPageBreak/>
        <w:t xml:space="preserve">texto anterior por el siguiente: Cuando en el mismo procedimiento de selección se presentan oferentes para un mismo lote o grupo, estando incursos en la situación descrita en los literales g) y h) del numeral 1 del artículo 8 de la Ley 80 de 1993, la Entidad solo admitirá la primera oferta presentada en el tiempo]" </w:t>
      </w:r>
    </w:p>
    <w:p w14:paraId="10CAA7EE" w14:textId="77777777" w:rsidR="00F603D3" w:rsidRPr="00B7032A" w:rsidRDefault="00F603D3" w:rsidP="00F603D3">
      <w:pPr>
        <w:ind w:left="709" w:right="618"/>
        <w:jc w:val="both"/>
        <w:rPr>
          <w:rFonts w:ascii="Arial" w:eastAsia="Calibri" w:hAnsi="Arial" w:cs="Arial"/>
          <w:bCs/>
          <w:sz w:val="21"/>
          <w:szCs w:val="21"/>
        </w:rPr>
      </w:pPr>
    </w:p>
    <w:p w14:paraId="49990617" w14:textId="77777777" w:rsidR="00F603D3" w:rsidRPr="00B7032A" w:rsidRDefault="00F603D3" w:rsidP="00F603D3">
      <w:pPr>
        <w:ind w:left="709" w:right="618"/>
        <w:jc w:val="both"/>
        <w:rPr>
          <w:rFonts w:ascii="Arial" w:eastAsia="Calibri" w:hAnsi="Arial" w:cs="Arial"/>
          <w:bCs/>
          <w:sz w:val="21"/>
          <w:szCs w:val="21"/>
        </w:rPr>
      </w:pPr>
      <w:r w:rsidRPr="00B7032A">
        <w:rPr>
          <w:rFonts w:ascii="Arial" w:eastAsia="Calibri" w:hAnsi="Arial" w:cs="Arial"/>
          <w:bCs/>
          <w:sz w:val="21"/>
          <w:szCs w:val="21"/>
        </w:rPr>
        <w:t xml:space="preserve">Teniendo en cuenta lo señalado anteriormente, surge la necesidad de solicitar la siguiente aclaración: </w:t>
      </w:r>
    </w:p>
    <w:p w14:paraId="0E8B75C7" w14:textId="77777777" w:rsidR="00F603D3" w:rsidRPr="00B7032A" w:rsidRDefault="00F603D3" w:rsidP="00F603D3">
      <w:pPr>
        <w:ind w:left="709" w:right="618"/>
        <w:jc w:val="both"/>
        <w:rPr>
          <w:rFonts w:ascii="Arial" w:eastAsia="Calibri" w:hAnsi="Arial" w:cs="Arial"/>
          <w:bCs/>
          <w:sz w:val="21"/>
          <w:szCs w:val="21"/>
        </w:rPr>
      </w:pPr>
    </w:p>
    <w:p w14:paraId="17320978" w14:textId="77777777" w:rsidR="00F603D3" w:rsidRPr="00B7032A" w:rsidRDefault="00F603D3" w:rsidP="00F603D3">
      <w:pPr>
        <w:ind w:left="709" w:right="618"/>
        <w:jc w:val="both"/>
        <w:rPr>
          <w:rFonts w:ascii="Arial" w:eastAsia="Calibri" w:hAnsi="Arial" w:cs="Arial"/>
          <w:bCs/>
          <w:sz w:val="21"/>
          <w:szCs w:val="21"/>
        </w:rPr>
      </w:pPr>
      <w:r w:rsidRPr="00B7032A">
        <w:rPr>
          <w:rFonts w:ascii="Arial" w:eastAsia="Calibri" w:hAnsi="Arial" w:cs="Arial"/>
          <w:bCs/>
          <w:sz w:val="21"/>
          <w:szCs w:val="21"/>
        </w:rPr>
        <w:t xml:space="preserve">1. ¿Si el proceso de contratación se establece por lotes o grupos, se debe rechazar a un proponente que presente propuesta a dos o más lotes o grupos, ya sea que se presente como proponente singular o integrante de un proponente plural? </w:t>
      </w:r>
    </w:p>
    <w:p w14:paraId="75A20094" w14:textId="77777777" w:rsidR="00F603D3" w:rsidRPr="00B7032A" w:rsidRDefault="00F603D3" w:rsidP="00F603D3">
      <w:pPr>
        <w:ind w:left="709" w:right="618"/>
        <w:jc w:val="both"/>
        <w:rPr>
          <w:rFonts w:ascii="Arial" w:eastAsia="Calibri" w:hAnsi="Arial" w:cs="Arial"/>
          <w:bCs/>
          <w:sz w:val="21"/>
          <w:szCs w:val="21"/>
        </w:rPr>
      </w:pPr>
    </w:p>
    <w:p w14:paraId="62FD329D" w14:textId="77777777" w:rsidR="00F603D3" w:rsidRPr="00B7032A" w:rsidRDefault="00F603D3" w:rsidP="00F603D3">
      <w:pPr>
        <w:ind w:left="709" w:right="618"/>
        <w:jc w:val="both"/>
        <w:rPr>
          <w:rFonts w:ascii="Arial" w:eastAsia="Calibri" w:hAnsi="Arial" w:cs="Arial"/>
          <w:bCs/>
          <w:sz w:val="21"/>
          <w:szCs w:val="21"/>
        </w:rPr>
      </w:pPr>
      <w:r w:rsidRPr="00B7032A">
        <w:rPr>
          <w:rFonts w:ascii="Arial" w:eastAsia="Calibri" w:hAnsi="Arial" w:cs="Arial"/>
          <w:bCs/>
          <w:sz w:val="21"/>
          <w:szCs w:val="21"/>
        </w:rPr>
        <w:t xml:space="preserve">2. ¿Solo será causal de rechazo, si el proponente presenta oferta para un mismo lote o grupo y estando incurso en la situación descrita en los literales g) y h) del numeral 1 del artículo 8 de la Ley 80 de 1993? Y ¿Qué pasa si presenta propuesta para varios lotes o grupos estando incurso en la situación descrita en los literales g) y h) del numeral 1 del artículo 8 de la Ley 80 de 1993? </w:t>
      </w:r>
    </w:p>
    <w:p w14:paraId="268B8CD3" w14:textId="77777777" w:rsidR="00F603D3" w:rsidRPr="00B7032A" w:rsidRDefault="00F603D3" w:rsidP="00F603D3">
      <w:pPr>
        <w:ind w:left="709" w:right="618"/>
        <w:jc w:val="both"/>
        <w:rPr>
          <w:rFonts w:ascii="Arial" w:eastAsia="Calibri" w:hAnsi="Arial" w:cs="Arial"/>
          <w:bCs/>
          <w:sz w:val="21"/>
          <w:szCs w:val="21"/>
        </w:rPr>
      </w:pPr>
    </w:p>
    <w:p w14:paraId="52A641AF" w14:textId="77777777" w:rsidR="00F603D3" w:rsidRPr="00B7032A" w:rsidRDefault="00F603D3" w:rsidP="00F603D3">
      <w:pPr>
        <w:ind w:left="709" w:right="618"/>
        <w:jc w:val="both"/>
        <w:rPr>
          <w:rFonts w:ascii="Arial" w:eastAsia="Calibri" w:hAnsi="Arial" w:cs="Arial"/>
          <w:bCs/>
          <w:sz w:val="21"/>
          <w:szCs w:val="21"/>
        </w:rPr>
      </w:pPr>
      <w:r w:rsidRPr="00B7032A">
        <w:rPr>
          <w:rFonts w:ascii="Arial" w:eastAsia="Calibri" w:hAnsi="Arial" w:cs="Arial"/>
          <w:b/>
          <w:bCs/>
          <w:sz w:val="21"/>
          <w:szCs w:val="21"/>
        </w:rPr>
        <w:t xml:space="preserve">V. </w:t>
      </w:r>
      <w:r w:rsidRPr="00B7032A">
        <w:rPr>
          <w:rFonts w:ascii="Arial" w:eastAsia="Calibri" w:hAnsi="Arial" w:cs="Arial"/>
          <w:bCs/>
          <w:sz w:val="21"/>
          <w:szCs w:val="21"/>
        </w:rPr>
        <w:t>El Documento Base CCE-EICP-GI-14 dispone en el numeral 3.5.6. “</w:t>
      </w:r>
      <w:r w:rsidRPr="00B7032A">
        <w:rPr>
          <w:rFonts w:ascii="Arial" w:eastAsia="Calibri" w:hAnsi="Arial" w:cs="Arial"/>
          <w:bCs/>
          <w:i/>
          <w:iCs/>
          <w:sz w:val="21"/>
          <w:szCs w:val="21"/>
        </w:rPr>
        <w:t>PARA SUBCONTRATOS</w:t>
      </w:r>
      <w:r w:rsidRPr="00B7032A">
        <w:rPr>
          <w:rFonts w:ascii="Arial" w:eastAsia="Calibri" w:hAnsi="Arial" w:cs="Arial"/>
          <w:bCs/>
          <w:sz w:val="21"/>
          <w:szCs w:val="21"/>
        </w:rPr>
        <w:t xml:space="preserve">”, lo siguiente: </w:t>
      </w:r>
    </w:p>
    <w:p w14:paraId="4F32B7E8" w14:textId="77777777" w:rsidR="00F603D3" w:rsidRPr="00B7032A" w:rsidRDefault="00F603D3" w:rsidP="00F603D3">
      <w:pPr>
        <w:ind w:left="709" w:right="618"/>
        <w:jc w:val="both"/>
        <w:rPr>
          <w:rFonts w:ascii="Arial" w:eastAsia="Calibri" w:hAnsi="Arial" w:cs="Arial"/>
          <w:bCs/>
          <w:sz w:val="21"/>
          <w:szCs w:val="21"/>
        </w:rPr>
      </w:pPr>
    </w:p>
    <w:p w14:paraId="67C6173F" w14:textId="77777777" w:rsidR="00F603D3" w:rsidRPr="00B7032A" w:rsidRDefault="00F603D3" w:rsidP="00F603D3">
      <w:pPr>
        <w:ind w:left="709" w:right="618"/>
        <w:jc w:val="both"/>
        <w:rPr>
          <w:rFonts w:ascii="Arial" w:eastAsia="Calibri" w:hAnsi="Arial" w:cs="Arial"/>
          <w:bCs/>
          <w:sz w:val="21"/>
          <w:szCs w:val="21"/>
        </w:rPr>
      </w:pPr>
      <w:r w:rsidRPr="00B7032A">
        <w:rPr>
          <w:rFonts w:ascii="Arial" w:eastAsia="Calibri" w:hAnsi="Arial" w:cs="Arial"/>
          <w:bCs/>
          <w:i/>
          <w:iCs/>
          <w:sz w:val="21"/>
          <w:szCs w:val="21"/>
        </w:rPr>
        <w:t xml:space="preserve">"Para la acreditación de experiencia de los contratos derivados de contratos suscritos con Entidades Estatales, el Proponente deberá aportar los documentos que se describen a continuación: </w:t>
      </w:r>
    </w:p>
    <w:p w14:paraId="3576AF2B" w14:textId="77777777" w:rsidR="00F603D3" w:rsidRPr="00B7032A" w:rsidRDefault="00F603D3" w:rsidP="00F603D3">
      <w:pPr>
        <w:ind w:left="709" w:right="618"/>
        <w:jc w:val="both"/>
        <w:rPr>
          <w:rFonts w:ascii="Arial" w:eastAsia="Calibri" w:hAnsi="Arial" w:cs="Arial"/>
          <w:bCs/>
          <w:sz w:val="21"/>
          <w:szCs w:val="21"/>
        </w:rPr>
      </w:pPr>
      <w:r w:rsidRPr="00B7032A">
        <w:rPr>
          <w:rFonts w:ascii="Arial" w:eastAsia="Calibri" w:hAnsi="Arial" w:cs="Arial"/>
          <w:bCs/>
          <w:i/>
          <w:iCs/>
          <w:sz w:val="21"/>
          <w:szCs w:val="21"/>
        </w:rPr>
        <w:t xml:space="preserve">A. Certificación del subcontrato. Certificación expedida con posterioridad a la fecha de terminación del subcontrato, la cual debe estar suscrita por el representante legal del Contratista del contrato principal, del Concesionario, o del EPC o Consorcio Constructor. Así mismo, debe contener la información requerida en el numeral 3.5.4 de este Pliego de Condiciones para efectos de constatar la experiencia. </w:t>
      </w:r>
    </w:p>
    <w:p w14:paraId="252AD1F3" w14:textId="77777777" w:rsidR="00F603D3" w:rsidRPr="00B7032A" w:rsidRDefault="00F603D3" w:rsidP="00F603D3">
      <w:pPr>
        <w:ind w:left="709" w:right="618"/>
        <w:jc w:val="both"/>
        <w:rPr>
          <w:rFonts w:ascii="Arial" w:eastAsia="Calibri" w:hAnsi="Arial" w:cs="Arial"/>
          <w:bCs/>
          <w:sz w:val="21"/>
          <w:szCs w:val="21"/>
        </w:rPr>
      </w:pPr>
      <w:r w:rsidRPr="00B7032A">
        <w:rPr>
          <w:rFonts w:ascii="Arial" w:eastAsia="Calibri" w:hAnsi="Arial" w:cs="Arial"/>
          <w:bCs/>
          <w:i/>
          <w:iCs/>
          <w:sz w:val="21"/>
          <w:szCs w:val="21"/>
        </w:rPr>
        <w:t xml:space="preserve">B. Certificación emitida por la Entidad Estatal del contrato principal del cual se derivó el subcontrato. </w:t>
      </w:r>
    </w:p>
    <w:p w14:paraId="76C51C22" w14:textId="77777777" w:rsidR="00F603D3" w:rsidRPr="00B7032A" w:rsidRDefault="00F603D3" w:rsidP="00F603D3">
      <w:pPr>
        <w:ind w:left="709" w:right="618"/>
        <w:jc w:val="both"/>
        <w:rPr>
          <w:rFonts w:ascii="Arial" w:eastAsia="Calibri" w:hAnsi="Arial" w:cs="Arial"/>
          <w:bCs/>
          <w:sz w:val="21"/>
          <w:szCs w:val="21"/>
        </w:rPr>
      </w:pPr>
    </w:p>
    <w:p w14:paraId="02D541C9" w14:textId="77777777" w:rsidR="00F603D3" w:rsidRPr="00B7032A" w:rsidRDefault="00F603D3" w:rsidP="00F603D3">
      <w:pPr>
        <w:ind w:left="709" w:right="618"/>
        <w:jc w:val="both"/>
        <w:rPr>
          <w:rFonts w:ascii="Arial" w:eastAsia="Calibri" w:hAnsi="Arial" w:cs="Arial"/>
          <w:bCs/>
          <w:sz w:val="21"/>
          <w:szCs w:val="21"/>
        </w:rPr>
      </w:pPr>
      <w:r w:rsidRPr="00B7032A">
        <w:rPr>
          <w:rFonts w:ascii="Arial" w:eastAsia="Calibri" w:hAnsi="Arial" w:cs="Arial"/>
          <w:bCs/>
          <w:sz w:val="21"/>
          <w:szCs w:val="21"/>
        </w:rPr>
        <w:t xml:space="preserve">Teniendo en cuenta lo señalado anteriormente, surge la necesidad de solicitar la siguiente aclaración: </w:t>
      </w:r>
    </w:p>
    <w:p w14:paraId="4A497231" w14:textId="77777777" w:rsidR="00F603D3" w:rsidRPr="00B7032A" w:rsidRDefault="00F603D3" w:rsidP="00F603D3">
      <w:pPr>
        <w:ind w:left="709" w:right="618"/>
        <w:jc w:val="both"/>
        <w:rPr>
          <w:rFonts w:ascii="Arial" w:eastAsia="Calibri" w:hAnsi="Arial" w:cs="Arial"/>
          <w:bCs/>
          <w:sz w:val="21"/>
          <w:szCs w:val="21"/>
        </w:rPr>
      </w:pPr>
    </w:p>
    <w:p w14:paraId="7EAEA827" w14:textId="77777777" w:rsidR="00F603D3" w:rsidRPr="00B7032A" w:rsidRDefault="00F603D3" w:rsidP="00F603D3">
      <w:pPr>
        <w:ind w:left="709" w:right="618"/>
        <w:jc w:val="both"/>
        <w:rPr>
          <w:rFonts w:ascii="Arial" w:eastAsia="Calibri" w:hAnsi="Arial" w:cs="Arial"/>
          <w:bCs/>
          <w:sz w:val="21"/>
          <w:szCs w:val="21"/>
        </w:rPr>
      </w:pPr>
      <w:r w:rsidRPr="00B7032A">
        <w:rPr>
          <w:rFonts w:ascii="Arial" w:eastAsia="Calibri" w:hAnsi="Arial" w:cs="Arial"/>
          <w:bCs/>
          <w:sz w:val="21"/>
          <w:szCs w:val="21"/>
        </w:rPr>
        <w:t xml:space="preserve">1. ¿La experiencia obtenida en subcontratos debe estar registrada en el Registro Único de Proponentes - RUP? o ¿Se cumple el requisito con la certificación del subcontrato emitida por la Entidad Estatal? </w:t>
      </w:r>
    </w:p>
    <w:p w14:paraId="0D75D5A9" w14:textId="77777777" w:rsidR="00F603D3" w:rsidRPr="00B7032A" w:rsidRDefault="00F603D3" w:rsidP="00F603D3">
      <w:pPr>
        <w:ind w:left="709" w:right="618"/>
        <w:jc w:val="both"/>
        <w:rPr>
          <w:rFonts w:ascii="Arial" w:eastAsia="Calibri" w:hAnsi="Arial" w:cs="Arial"/>
          <w:bCs/>
          <w:sz w:val="21"/>
          <w:szCs w:val="21"/>
        </w:rPr>
      </w:pPr>
    </w:p>
    <w:p w14:paraId="7C9260AC" w14:textId="77777777" w:rsidR="00F603D3" w:rsidRPr="00B7032A" w:rsidRDefault="00F603D3" w:rsidP="00F603D3">
      <w:pPr>
        <w:ind w:left="709" w:right="618"/>
        <w:jc w:val="both"/>
        <w:rPr>
          <w:rFonts w:ascii="Arial" w:eastAsia="Calibri" w:hAnsi="Arial" w:cs="Arial"/>
          <w:bCs/>
          <w:sz w:val="21"/>
          <w:szCs w:val="21"/>
        </w:rPr>
      </w:pPr>
      <w:r w:rsidRPr="00B7032A">
        <w:rPr>
          <w:rFonts w:ascii="Arial" w:eastAsia="Calibri" w:hAnsi="Arial" w:cs="Arial"/>
          <w:b/>
          <w:bCs/>
          <w:sz w:val="21"/>
          <w:szCs w:val="21"/>
        </w:rPr>
        <w:t xml:space="preserve">VI. </w:t>
      </w:r>
      <w:r w:rsidRPr="00B7032A">
        <w:rPr>
          <w:rFonts w:ascii="Arial" w:eastAsia="Calibri" w:hAnsi="Arial" w:cs="Arial"/>
          <w:bCs/>
          <w:sz w:val="21"/>
          <w:szCs w:val="21"/>
        </w:rPr>
        <w:t>El Documento Base CCE-EICP-GI-14 dispone en el numeral 4.1.1. “</w:t>
      </w:r>
      <w:r w:rsidRPr="00B7032A">
        <w:rPr>
          <w:rFonts w:ascii="Arial" w:eastAsia="Calibri" w:hAnsi="Arial" w:cs="Arial"/>
          <w:bCs/>
          <w:i/>
          <w:iCs/>
          <w:sz w:val="21"/>
          <w:szCs w:val="21"/>
        </w:rPr>
        <w:t>A.I.U.</w:t>
      </w:r>
      <w:r w:rsidRPr="00B7032A">
        <w:rPr>
          <w:rFonts w:ascii="Arial" w:eastAsia="Calibri" w:hAnsi="Arial" w:cs="Arial"/>
          <w:bCs/>
          <w:sz w:val="21"/>
          <w:szCs w:val="21"/>
        </w:rPr>
        <w:t xml:space="preserve">”, lo siguiente: </w:t>
      </w:r>
    </w:p>
    <w:p w14:paraId="1693B41A" w14:textId="77777777" w:rsidR="00F603D3" w:rsidRPr="00B7032A" w:rsidRDefault="00F603D3" w:rsidP="00F603D3">
      <w:pPr>
        <w:ind w:left="709" w:right="618"/>
        <w:jc w:val="both"/>
        <w:rPr>
          <w:rFonts w:ascii="Arial" w:eastAsia="Calibri" w:hAnsi="Arial" w:cs="Arial"/>
          <w:bCs/>
          <w:sz w:val="21"/>
          <w:szCs w:val="21"/>
        </w:rPr>
      </w:pPr>
    </w:p>
    <w:p w14:paraId="3B71089C" w14:textId="77777777" w:rsidR="00F603D3" w:rsidRPr="00B7032A" w:rsidRDefault="00F603D3" w:rsidP="00F603D3">
      <w:pPr>
        <w:ind w:left="709" w:right="618"/>
        <w:jc w:val="both"/>
        <w:rPr>
          <w:rFonts w:ascii="Arial" w:eastAsia="Calibri" w:hAnsi="Arial" w:cs="Arial"/>
          <w:bCs/>
          <w:sz w:val="21"/>
          <w:szCs w:val="21"/>
        </w:rPr>
      </w:pPr>
      <w:r w:rsidRPr="00B7032A">
        <w:rPr>
          <w:rFonts w:ascii="Arial" w:eastAsia="Calibri" w:hAnsi="Arial" w:cs="Arial"/>
          <w:bCs/>
          <w:i/>
          <w:iCs/>
          <w:sz w:val="21"/>
          <w:szCs w:val="21"/>
        </w:rPr>
        <w:t xml:space="preserve">"(...) El Proponente debe calcular un A.I.U. que contenga todos los costos en los que incurre el proponente, futuro contratista, para ejecutar y cumplir el contrato. El A.I.U. debe expresarse en un porcentaje (%) y debe consignarlo y discriminarlo en la propuesta económica. (...)" </w:t>
      </w:r>
    </w:p>
    <w:p w14:paraId="7A64273A" w14:textId="77777777" w:rsidR="00F603D3" w:rsidRPr="00B7032A" w:rsidRDefault="00F603D3" w:rsidP="00F603D3">
      <w:pPr>
        <w:ind w:left="709" w:right="618"/>
        <w:jc w:val="both"/>
        <w:rPr>
          <w:rFonts w:ascii="Arial" w:eastAsia="Calibri" w:hAnsi="Arial" w:cs="Arial"/>
          <w:bCs/>
          <w:sz w:val="21"/>
          <w:szCs w:val="21"/>
        </w:rPr>
      </w:pPr>
    </w:p>
    <w:p w14:paraId="6F41E51D" w14:textId="77777777" w:rsidR="00F603D3" w:rsidRPr="00B7032A" w:rsidRDefault="00F603D3" w:rsidP="00F603D3">
      <w:pPr>
        <w:ind w:left="709" w:right="618"/>
        <w:jc w:val="both"/>
        <w:rPr>
          <w:rFonts w:ascii="Arial" w:eastAsia="Calibri" w:hAnsi="Arial" w:cs="Arial"/>
          <w:bCs/>
          <w:sz w:val="21"/>
          <w:szCs w:val="21"/>
        </w:rPr>
      </w:pPr>
      <w:r w:rsidRPr="00B7032A">
        <w:rPr>
          <w:rFonts w:ascii="Arial" w:eastAsia="Calibri" w:hAnsi="Arial" w:cs="Arial"/>
          <w:bCs/>
          <w:sz w:val="21"/>
          <w:szCs w:val="21"/>
        </w:rPr>
        <w:lastRenderedPageBreak/>
        <w:t xml:space="preserve">Teniendo en cuenta lo señalado anteriormente, surge la necesidad de solicitar la siguiente aclaración: </w:t>
      </w:r>
    </w:p>
    <w:p w14:paraId="4DFF6BEA" w14:textId="77777777" w:rsidR="00F603D3" w:rsidRPr="00B7032A" w:rsidRDefault="00F603D3" w:rsidP="00F603D3">
      <w:pPr>
        <w:ind w:left="709" w:right="618"/>
        <w:jc w:val="both"/>
        <w:rPr>
          <w:rFonts w:ascii="Arial" w:eastAsia="Calibri" w:hAnsi="Arial" w:cs="Arial"/>
          <w:bCs/>
          <w:sz w:val="21"/>
          <w:szCs w:val="21"/>
        </w:rPr>
      </w:pPr>
    </w:p>
    <w:p w14:paraId="5ADBDCE1" w14:textId="77777777" w:rsidR="00F603D3" w:rsidRPr="00B7032A" w:rsidRDefault="00F603D3" w:rsidP="00F603D3">
      <w:pPr>
        <w:ind w:left="709" w:right="618"/>
        <w:jc w:val="both"/>
        <w:rPr>
          <w:rFonts w:ascii="Arial" w:eastAsia="Calibri" w:hAnsi="Arial" w:cs="Arial"/>
          <w:bCs/>
          <w:i/>
          <w:iCs/>
          <w:sz w:val="21"/>
          <w:szCs w:val="21"/>
        </w:rPr>
      </w:pPr>
      <w:r w:rsidRPr="00B7032A">
        <w:rPr>
          <w:rFonts w:ascii="Arial" w:eastAsia="Calibri" w:hAnsi="Arial" w:cs="Arial"/>
          <w:bCs/>
          <w:sz w:val="21"/>
          <w:szCs w:val="21"/>
        </w:rPr>
        <w:t xml:space="preserve">1. ¿El proponente puede expresar un porcentaje de (0%), por ejemplo, puede expresar en su oferta que el valor porcentual de Imprevistos es cero por ciento (0%)? Lo anterior, en razón a la causal de rechazo que señala </w:t>
      </w:r>
      <w:r w:rsidRPr="00B7032A">
        <w:rPr>
          <w:rFonts w:ascii="Arial" w:eastAsia="Calibri" w:hAnsi="Arial" w:cs="Arial"/>
          <w:bCs/>
          <w:i/>
          <w:iCs/>
          <w:sz w:val="21"/>
          <w:szCs w:val="21"/>
        </w:rPr>
        <w:t>" No ofrecer el valor de un precio unitario u ofrecerlo en cero (0) pesos."</w:t>
      </w:r>
    </w:p>
    <w:p w14:paraId="3FB57AA8" w14:textId="77777777" w:rsidR="00F603D3" w:rsidRPr="00B7032A" w:rsidRDefault="00F603D3" w:rsidP="00F603D3">
      <w:pPr>
        <w:ind w:left="709" w:right="618"/>
        <w:jc w:val="both"/>
        <w:rPr>
          <w:rFonts w:ascii="Arial" w:eastAsia="Calibri" w:hAnsi="Arial" w:cs="Arial"/>
          <w:bCs/>
          <w:i/>
          <w:iCs/>
          <w:sz w:val="21"/>
          <w:szCs w:val="21"/>
        </w:rPr>
      </w:pPr>
    </w:p>
    <w:p w14:paraId="302F4D7C" w14:textId="77777777" w:rsidR="00F603D3" w:rsidRPr="00B7032A" w:rsidRDefault="00F603D3" w:rsidP="00F603D3">
      <w:pPr>
        <w:ind w:left="709" w:right="618"/>
        <w:jc w:val="both"/>
        <w:rPr>
          <w:rFonts w:ascii="Arial" w:eastAsia="Calibri" w:hAnsi="Arial" w:cs="Arial"/>
          <w:bCs/>
          <w:i/>
          <w:iCs/>
          <w:sz w:val="21"/>
          <w:szCs w:val="21"/>
        </w:rPr>
      </w:pPr>
      <w:r w:rsidRPr="00B7032A">
        <w:rPr>
          <w:rFonts w:ascii="Arial" w:eastAsia="Calibri" w:hAnsi="Arial" w:cs="Arial"/>
          <w:b/>
          <w:bCs/>
          <w:sz w:val="21"/>
          <w:szCs w:val="21"/>
        </w:rPr>
        <w:t xml:space="preserve">VII. </w:t>
      </w:r>
      <w:r w:rsidRPr="00B7032A">
        <w:rPr>
          <w:rFonts w:ascii="Arial" w:eastAsia="Calibri" w:hAnsi="Arial" w:cs="Arial"/>
          <w:bCs/>
          <w:sz w:val="21"/>
          <w:szCs w:val="21"/>
        </w:rPr>
        <w:t xml:space="preserve">En cuanto a lo dispuesto en la Cláusula 9. "OBLIGACIONES GENERALES DEL CONTRATISTA", dentro de las obligaciones, en el evento de escoger la Opción A, el anexo 4 MINUTA DEL CONTRATO, establece lo siguiente: </w:t>
      </w:r>
    </w:p>
    <w:p w14:paraId="21BC4858" w14:textId="77777777" w:rsidR="00F603D3" w:rsidRPr="00B7032A" w:rsidRDefault="00F603D3" w:rsidP="00F603D3">
      <w:pPr>
        <w:ind w:left="709" w:right="618"/>
        <w:jc w:val="both"/>
        <w:rPr>
          <w:rFonts w:ascii="Arial" w:eastAsia="Calibri" w:hAnsi="Arial" w:cs="Arial"/>
          <w:bCs/>
          <w:i/>
          <w:iCs/>
          <w:sz w:val="21"/>
          <w:szCs w:val="21"/>
        </w:rPr>
      </w:pPr>
    </w:p>
    <w:p w14:paraId="4F301795" w14:textId="77777777" w:rsidR="00F603D3" w:rsidRPr="00B7032A" w:rsidRDefault="00F603D3" w:rsidP="00F603D3">
      <w:pPr>
        <w:ind w:left="709" w:right="618"/>
        <w:jc w:val="both"/>
        <w:rPr>
          <w:rFonts w:ascii="Arial" w:eastAsia="Calibri" w:hAnsi="Arial" w:cs="Arial"/>
          <w:bCs/>
          <w:i/>
          <w:iCs/>
          <w:sz w:val="21"/>
          <w:szCs w:val="21"/>
        </w:rPr>
      </w:pPr>
      <w:r w:rsidRPr="00B7032A">
        <w:rPr>
          <w:rFonts w:ascii="Arial" w:eastAsia="Calibri" w:hAnsi="Arial" w:cs="Arial"/>
          <w:bCs/>
          <w:i/>
          <w:iCs/>
          <w:sz w:val="21"/>
          <w:szCs w:val="21"/>
        </w:rPr>
        <w:t xml:space="preserve">1. “Destinar a la ejecución del contrato mano de obra no calificada de la región, en un porcentaje no inferior al </w:t>
      </w:r>
      <w:r w:rsidRPr="00B7032A">
        <w:rPr>
          <w:rFonts w:ascii="Arial" w:eastAsia="Calibri" w:hAnsi="Arial" w:cs="Arial"/>
          <w:b/>
          <w:bCs/>
          <w:i/>
          <w:iCs/>
          <w:sz w:val="21"/>
          <w:szCs w:val="21"/>
        </w:rPr>
        <w:t xml:space="preserve">[quince por ciento (15 %), sin perjuicio de incluir un porcentaje superior que no supere el treinta por ciento (30 %)] </w:t>
      </w:r>
      <w:r w:rsidRPr="00B7032A">
        <w:rPr>
          <w:rFonts w:ascii="Arial" w:eastAsia="Calibri" w:hAnsi="Arial" w:cs="Arial"/>
          <w:bCs/>
          <w:i/>
          <w:iCs/>
          <w:sz w:val="21"/>
          <w:szCs w:val="21"/>
        </w:rPr>
        <w:t xml:space="preserve">del total del personal del Contratista de obra, destinado a la ejecución del Contrato. En todo caso deberá cumplir con las siguientes condiciones: </w:t>
      </w:r>
    </w:p>
    <w:p w14:paraId="03059124" w14:textId="77777777" w:rsidR="00F603D3" w:rsidRPr="00B7032A" w:rsidRDefault="00F603D3" w:rsidP="00F603D3">
      <w:pPr>
        <w:ind w:left="709" w:right="618"/>
        <w:jc w:val="both"/>
        <w:rPr>
          <w:rFonts w:ascii="Arial" w:eastAsia="Calibri" w:hAnsi="Arial" w:cs="Arial"/>
          <w:bCs/>
          <w:i/>
          <w:iCs/>
          <w:sz w:val="21"/>
          <w:szCs w:val="21"/>
        </w:rPr>
      </w:pPr>
    </w:p>
    <w:p w14:paraId="079DB5AC" w14:textId="77777777" w:rsidR="00F603D3" w:rsidRPr="00B7032A" w:rsidRDefault="00F603D3" w:rsidP="00F603D3">
      <w:pPr>
        <w:ind w:left="709" w:right="618"/>
        <w:jc w:val="both"/>
        <w:rPr>
          <w:rFonts w:ascii="Arial" w:eastAsia="Calibri" w:hAnsi="Arial" w:cs="Arial"/>
          <w:bCs/>
          <w:i/>
          <w:iCs/>
          <w:sz w:val="21"/>
          <w:szCs w:val="21"/>
        </w:rPr>
      </w:pPr>
      <w:r w:rsidRPr="00B7032A">
        <w:rPr>
          <w:rFonts w:ascii="Arial" w:eastAsia="Calibri" w:hAnsi="Arial" w:cs="Arial"/>
          <w:bCs/>
          <w:i/>
          <w:iCs/>
          <w:sz w:val="21"/>
          <w:szCs w:val="21"/>
        </w:rPr>
        <w:t xml:space="preserve">1.1 En todo caso </w:t>
      </w:r>
      <w:r w:rsidRPr="00B7032A">
        <w:rPr>
          <w:rFonts w:ascii="Arial" w:eastAsia="Calibri" w:hAnsi="Arial" w:cs="Arial"/>
          <w:b/>
          <w:bCs/>
          <w:i/>
          <w:iCs/>
          <w:sz w:val="21"/>
          <w:szCs w:val="21"/>
        </w:rPr>
        <w:t xml:space="preserve">[el cinco por ciento (5 %) (sin perjuicio de establecer un porcentaje superior, de acuerdo con el estudio del sector y características propias de la región, que no podrá superar el diez por ciento (10 %)] </w:t>
      </w:r>
      <w:r w:rsidRPr="00B7032A">
        <w:rPr>
          <w:rFonts w:ascii="Arial" w:eastAsia="Calibri" w:hAnsi="Arial" w:cs="Arial"/>
          <w:bCs/>
          <w:i/>
          <w:iCs/>
          <w:sz w:val="21"/>
          <w:szCs w:val="21"/>
        </w:rPr>
        <w:t>de la mano de obra no calificada de la región, destinada a la ejecución del contrato, serán mujeres."</w:t>
      </w:r>
    </w:p>
    <w:p w14:paraId="484F45AD" w14:textId="77777777" w:rsidR="00F603D3" w:rsidRPr="00B7032A" w:rsidRDefault="00F603D3" w:rsidP="00F603D3">
      <w:pPr>
        <w:ind w:left="709" w:right="618"/>
        <w:jc w:val="both"/>
        <w:rPr>
          <w:rFonts w:ascii="Arial" w:eastAsia="Calibri" w:hAnsi="Arial" w:cs="Arial"/>
          <w:bCs/>
          <w:i/>
          <w:iCs/>
          <w:sz w:val="21"/>
          <w:szCs w:val="21"/>
        </w:rPr>
      </w:pPr>
    </w:p>
    <w:p w14:paraId="2430E58B" w14:textId="77777777" w:rsidR="00F603D3" w:rsidRPr="00B7032A" w:rsidRDefault="00F603D3" w:rsidP="00F603D3">
      <w:pPr>
        <w:ind w:left="709" w:right="618"/>
        <w:jc w:val="both"/>
        <w:rPr>
          <w:rFonts w:ascii="Arial" w:eastAsia="Calibri" w:hAnsi="Arial" w:cs="Arial"/>
          <w:bCs/>
          <w:i/>
          <w:iCs/>
          <w:sz w:val="21"/>
          <w:szCs w:val="21"/>
          <w:lang w:val="es-ES_tradnl"/>
        </w:rPr>
      </w:pPr>
      <w:r w:rsidRPr="00B7032A">
        <w:rPr>
          <w:rFonts w:ascii="Arial" w:eastAsia="Calibri" w:hAnsi="Arial" w:cs="Arial"/>
          <w:bCs/>
          <w:i/>
          <w:iCs/>
          <w:sz w:val="21"/>
          <w:szCs w:val="21"/>
        </w:rPr>
        <w:t xml:space="preserve"> </w:t>
      </w:r>
      <w:r w:rsidRPr="00B7032A">
        <w:rPr>
          <w:rFonts w:ascii="Arial" w:eastAsia="Calibri" w:hAnsi="Arial" w:cs="Arial"/>
          <w:bCs/>
          <w:i/>
          <w:iCs/>
          <w:sz w:val="21"/>
          <w:szCs w:val="21"/>
          <w:lang w:val="es-ES_tradnl"/>
        </w:rPr>
        <w:t xml:space="preserve">Teniendo en cuenta lo señalado anteriormente, surge la necesidad de solicitar la siguiente aclaración: </w:t>
      </w:r>
    </w:p>
    <w:p w14:paraId="02E2B8AD" w14:textId="77777777" w:rsidR="00F603D3" w:rsidRPr="00B7032A" w:rsidRDefault="00F603D3" w:rsidP="00F603D3">
      <w:pPr>
        <w:ind w:left="709" w:right="618"/>
        <w:jc w:val="both"/>
        <w:rPr>
          <w:rFonts w:ascii="Arial" w:eastAsia="Calibri" w:hAnsi="Arial" w:cs="Arial"/>
          <w:bCs/>
          <w:i/>
          <w:iCs/>
          <w:sz w:val="21"/>
          <w:szCs w:val="21"/>
          <w:lang w:val="es-ES_tradnl"/>
        </w:rPr>
      </w:pPr>
    </w:p>
    <w:p w14:paraId="4ED37AA5" w14:textId="77777777" w:rsidR="00F603D3" w:rsidRPr="00B7032A" w:rsidRDefault="00F603D3" w:rsidP="00F603D3">
      <w:pPr>
        <w:ind w:left="709" w:right="618"/>
        <w:jc w:val="both"/>
        <w:rPr>
          <w:rFonts w:ascii="Arial" w:eastAsia="Calibri" w:hAnsi="Arial" w:cs="Arial"/>
          <w:bCs/>
          <w:i/>
          <w:iCs/>
          <w:sz w:val="21"/>
          <w:szCs w:val="21"/>
        </w:rPr>
      </w:pPr>
      <w:r w:rsidRPr="00B7032A">
        <w:rPr>
          <w:rFonts w:ascii="Arial" w:eastAsia="Calibri" w:hAnsi="Arial" w:cs="Arial"/>
          <w:bCs/>
          <w:i/>
          <w:iCs/>
          <w:sz w:val="21"/>
          <w:szCs w:val="21"/>
        </w:rPr>
        <w:t xml:space="preserve">1. ¿Si del estudio de sector y de las características propias de la región, arroja un porcentaje (%) inferior o superior a los rangos establecidos en los textos transcritos, como se debe armonizar dicho porcentaje (%) cuando este se deriva de un estudio realizado? </w:t>
      </w:r>
    </w:p>
    <w:p w14:paraId="2214F5D2" w14:textId="77777777" w:rsidR="00F603D3" w:rsidRPr="00B7032A" w:rsidRDefault="00F603D3" w:rsidP="00F603D3">
      <w:pPr>
        <w:ind w:left="709" w:right="618"/>
        <w:jc w:val="both"/>
        <w:rPr>
          <w:rFonts w:ascii="Arial" w:eastAsia="Calibri" w:hAnsi="Arial" w:cs="Arial"/>
          <w:bCs/>
          <w:i/>
          <w:iCs/>
          <w:sz w:val="21"/>
          <w:szCs w:val="21"/>
        </w:rPr>
      </w:pPr>
    </w:p>
    <w:p w14:paraId="192736A8" w14:textId="77777777" w:rsidR="00F603D3" w:rsidRPr="00B7032A" w:rsidRDefault="00F603D3" w:rsidP="00F603D3">
      <w:pPr>
        <w:ind w:left="709" w:right="618"/>
        <w:jc w:val="both"/>
        <w:rPr>
          <w:rFonts w:ascii="Arial" w:eastAsia="Calibri" w:hAnsi="Arial" w:cs="Arial"/>
          <w:bCs/>
          <w:i/>
          <w:iCs/>
          <w:sz w:val="21"/>
          <w:szCs w:val="21"/>
        </w:rPr>
      </w:pPr>
      <w:r w:rsidRPr="00B7032A">
        <w:rPr>
          <w:rFonts w:ascii="Arial" w:eastAsia="Calibri" w:hAnsi="Arial" w:cs="Arial"/>
          <w:bCs/>
          <w:i/>
          <w:iCs/>
          <w:sz w:val="21"/>
          <w:szCs w:val="21"/>
        </w:rPr>
        <w:t xml:space="preserve">2. Por disposición del Decreto Distrital No. 332 de 2020, de la Alcaldía de Bogotá D.C., la vinculación de mujeres durante la ejecución de los contratos del sector económico de la construcción debe ser mínimo para las vigencias 2022 y 2023 del 9,3% y el 13,8% respectivamente. ¿Cómo se debe aplicar o armonizar los porcentajes de vinculación mínima exigida para ejecución de contratos durante la vigencia 2023, cuando lo establecido en el Anexo 4 señala que la mano de obra no calificada destinada a la ejecución del contrato serán mujeres y que no podrá superar el 10%? </w:t>
      </w:r>
    </w:p>
    <w:p w14:paraId="10689BCF" w14:textId="77777777" w:rsidR="00F603D3" w:rsidRPr="00B7032A" w:rsidRDefault="00F603D3" w:rsidP="00F603D3">
      <w:pPr>
        <w:ind w:left="709" w:right="618"/>
        <w:jc w:val="both"/>
        <w:rPr>
          <w:rFonts w:ascii="Arial" w:eastAsia="Calibri" w:hAnsi="Arial" w:cs="Arial"/>
          <w:bCs/>
          <w:i/>
          <w:iCs/>
          <w:sz w:val="21"/>
          <w:szCs w:val="21"/>
        </w:rPr>
      </w:pPr>
    </w:p>
    <w:p w14:paraId="182E0056" w14:textId="77777777" w:rsidR="00F603D3" w:rsidRPr="00B7032A" w:rsidRDefault="00F603D3" w:rsidP="00F603D3">
      <w:pPr>
        <w:ind w:left="709" w:right="618"/>
        <w:jc w:val="both"/>
        <w:rPr>
          <w:rFonts w:ascii="Arial" w:eastAsia="Calibri" w:hAnsi="Arial" w:cs="Arial"/>
          <w:bCs/>
          <w:i/>
          <w:iCs/>
          <w:sz w:val="21"/>
          <w:szCs w:val="21"/>
        </w:rPr>
      </w:pPr>
      <w:bookmarkStart w:id="5" w:name="_Hlk99797959"/>
      <w:r w:rsidRPr="00B7032A">
        <w:rPr>
          <w:rFonts w:ascii="Arial" w:eastAsia="Calibri" w:hAnsi="Arial" w:cs="Arial"/>
          <w:b/>
          <w:bCs/>
          <w:i/>
          <w:iCs/>
          <w:sz w:val="21"/>
          <w:szCs w:val="21"/>
        </w:rPr>
        <w:t xml:space="preserve">VIII. </w:t>
      </w:r>
      <w:r w:rsidRPr="00B7032A">
        <w:rPr>
          <w:rFonts w:ascii="Arial" w:eastAsia="Calibri" w:hAnsi="Arial" w:cs="Arial"/>
          <w:bCs/>
          <w:i/>
          <w:iCs/>
          <w:sz w:val="21"/>
          <w:szCs w:val="21"/>
        </w:rPr>
        <w:t xml:space="preserve">Conforme a lo dispuesto en el numeral 1.15. referente a "CAUSALES DE RECHAZO", el Documento tipo establece que: </w:t>
      </w:r>
    </w:p>
    <w:p w14:paraId="37CF9632" w14:textId="77777777" w:rsidR="00F603D3" w:rsidRPr="00B7032A" w:rsidRDefault="00F603D3" w:rsidP="00F603D3">
      <w:pPr>
        <w:ind w:left="709" w:right="618"/>
        <w:jc w:val="both"/>
        <w:rPr>
          <w:rFonts w:ascii="Arial" w:eastAsia="Calibri" w:hAnsi="Arial" w:cs="Arial"/>
          <w:bCs/>
          <w:i/>
          <w:iCs/>
          <w:sz w:val="21"/>
          <w:szCs w:val="21"/>
        </w:rPr>
      </w:pPr>
    </w:p>
    <w:p w14:paraId="31C1C36C" w14:textId="77777777" w:rsidR="00F603D3" w:rsidRPr="00B7032A" w:rsidRDefault="00F603D3" w:rsidP="00F603D3">
      <w:pPr>
        <w:ind w:left="709" w:right="618"/>
        <w:jc w:val="both"/>
        <w:rPr>
          <w:rFonts w:ascii="Arial" w:eastAsia="Calibri" w:hAnsi="Arial" w:cs="Arial"/>
          <w:bCs/>
          <w:i/>
          <w:iCs/>
          <w:sz w:val="21"/>
          <w:szCs w:val="21"/>
        </w:rPr>
      </w:pPr>
      <w:r w:rsidRPr="00B7032A">
        <w:rPr>
          <w:rFonts w:ascii="Arial" w:eastAsia="Calibri" w:hAnsi="Arial" w:cs="Arial"/>
          <w:bCs/>
          <w:i/>
          <w:iCs/>
          <w:sz w:val="21"/>
          <w:szCs w:val="21"/>
        </w:rPr>
        <w:t xml:space="preserve">"F. Que el Proponente no acredite la presentación de la información para renovar el Registro Único de Proponentes (RUP), a más tardar el quinto día hábil del mes de abril de cada año, o en la fecha que establezca la ley o el reglamento, si fuera una distinta." </w:t>
      </w:r>
    </w:p>
    <w:p w14:paraId="7172D61B" w14:textId="77777777" w:rsidR="00F603D3" w:rsidRPr="00B7032A" w:rsidRDefault="00F603D3" w:rsidP="00F603D3">
      <w:pPr>
        <w:ind w:left="709" w:right="618"/>
        <w:jc w:val="both"/>
        <w:rPr>
          <w:rFonts w:ascii="Arial" w:eastAsia="Calibri" w:hAnsi="Arial" w:cs="Arial"/>
          <w:bCs/>
          <w:i/>
          <w:iCs/>
          <w:sz w:val="21"/>
          <w:szCs w:val="21"/>
        </w:rPr>
      </w:pPr>
      <w:r w:rsidRPr="00B7032A">
        <w:rPr>
          <w:rFonts w:ascii="Arial" w:eastAsia="Calibri" w:hAnsi="Arial" w:cs="Arial"/>
          <w:bCs/>
          <w:i/>
          <w:iCs/>
          <w:sz w:val="21"/>
          <w:szCs w:val="21"/>
        </w:rPr>
        <w:lastRenderedPageBreak/>
        <w:t xml:space="preserve">Teniendo en cuenta las indicaciones anteriormente expresadas, surge la necesidad de solicitar la siguiente aclaración: </w:t>
      </w:r>
    </w:p>
    <w:p w14:paraId="5D8CBBC6" w14:textId="77777777" w:rsidR="00F603D3" w:rsidRPr="00B7032A" w:rsidRDefault="00F603D3" w:rsidP="00F603D3">
      <w:pPr>
        <w:ind w:left="709" w:right="618"/>
        <w:jc w:val="both"/>
        <w:rPr>
          <w:rFonts w:ascii="Arial" w:eastAsia="Calibri" w:hAnsi="Arial" w:cs="Arial"/>
          <w:bCs/>
          <w:i/>
          <w:iCs/>
          <w:sz w:val="21"/>
          <w:szCs w:val="21"/>
        </w:rPr>
      </w:pPr>
    </w:p>
    <w:p w14:paraId="4A7E3C68" w14:textId="7ACF5223" w:rsidR="00BF4EC5" w:rsidRPr="00B7032A" w:rsidRDefault="00F603D3" w:rsidP="00F603D3">
      <w:pPr>
        <w:ind w:left="709" w:right="618"/>
        <w:jc w:val="both"/>
        <w:rPr>
          <w:rFonts w:ascii="Arial" w:eastAsia="Calibri" w:hAnsi="Arial" w:cs="Arial"/>
          <w:bCs/>
          <w:i/>
          <w:iCs/>
          <w:sz w:val="21"/>
          <w:szCs w:val="21"/>
        </w:rPr>
      </w:pPr>
      <w:r w:rsidRPr="00B7032A">
        <w:rPr>
          <w:rFonts w:ascii="Arial" w:eastAsia="Calibri" w:hAnsi="Arial" w:cs="Arial"/>
          <w:bCs/>
          <w:i/>
          <w:iCs/>
          <w:sz w:val="21"/>
          <w:szCs w:val="21"/>
        </w:rPr>
        <w:t>1. ¿Si la información para renovar el Registro Único de Proponentes (RUP) no es aportada con la propuesta, es susceptible de subsanación por tratarse de un requisito que no afecta la asignación de puntaje en los términos del Parágrafo 1o del Artículo 5 de la Ley 1882 de 2018? o ¿Es causal de rechazo de plano?</w:t>
      </w:r>
      <w:bookmarkEnd w:id="5"/>
      <w:r w:rsidR="00BF4EC5" w:rsidRPr="00B7032A">
        <w:rPr>
          <w:rFonts w:ascii="Arial" w:eastAsia="Calibri" w:hAnsi="Arial" w:cs="Arial"/>
          <w:sz w:val="21"/>
          <w:szCs w:val="21"/>
          <w:lang w:val="es-ES"/>
        </w:rPr>
        <w:t>»</w:t>
      </w:r>
    </w:p>
    <w:p w14:paraId="5A9E4F83" w14:textId="77777777" w:rsidR="00991805" w:rsidRPr="00B7032A" w:rsidRDefault="00991805" w:rsidP="007D7503">
      <w:pPr>
        <w:spacing w:line="276" w:lineRule="auto"/>
        <w:ind w:right="709"/>
        <w:jc w:val="both"/>
        <w:rPr>
          <w:rFonts w:ascii="Arial" w:hAnsi="Arial" w:cs="Arial"/>
          <w:color w:val="000000" w:themeColor="text1"/>
          <w:sz w:val="21"/>
          <w:szCs w:val="21"/>
        </w:rPr>
      </w:pPr>
    </w:p>
    <w:p w14:paraId="124D2DCA" w14:textId="77777777" w:rsidR="00DD5B04" w:rsidRPr="00B7032A"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B7032A">
        <w:rPr>
          <w:rFonts w:ascii="Arial" w:eastAsia="Calibri" w:hAnsi="Arial" w:cs="Arial"/>
          <w:b/>
          <w:color w:val="000000" w:themeColor="text1"/>
          <w:sz w:val="22"/>
          <w:lang w:val="es-ES_tradnl"/>
        </w:rPr>
        <w:t>Consideraciones</w:t>
      </w:r>
    </w:p>
    <w:p w14:paraId="7FB25649" w14:textId="77777777" w:rsidR="00E07AAA" w:rsidRPr="00B7032A" w:rsidRDefault="00E07AAA" w:rsidP="00D40F8B">
      <w:pPr>
        <w:spacing w:line="276" w:lineRule="auto"/>
        <w:jc w:val="both"/>
        <w:rPr>
          <w:rFonts w:ascii="Arial" w:hAnsi="Arial" w:cs="Arial"/>
          <w:color w:val="000000" w:themeColor="text1"/>
          <w:sz w:val="22"/>
          <w:lang w:val="es-ES_tradnl"/>
        </w:rPr>
      </w:pPr>
    </w:p>
    <w:p w14:paraId="7CDC9492" w14:textId="77777777" w:rsidR="007F2D1F" w:rsidRPr="00B7032A" w:rsidRDefault="007F2D1F" w:rsidP="007F2D1F">
      <w:pPr>
        <w:spacing w:after="120" w:line="276" w:lineRule="auto"/>
        <w:jc w:val="both"/>
        <w:rPr>
          <w:rFonts w:ascii="Arial" w:hAnsi="Arial" w:cs="Arial"/>
          <w:bCs/>
          <w:sz w:val="22"/>
          <w:lang w:eastAsia="en-GB"/>
        </w:rPr>
      </w:pPr>
      <w:r w:rsidRPr="00B7032A">
        <w:rPr>
          <w:rFonts w:ascii="Arial" w:hAnsi="Arial" w:cs="Arial"/>
          <w:bCs/>
          <w:sz w:val="22"/>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id="6" w:name="_Hlk61701014"/>
      <w:bookmarkStart w:id="7" w:name="_Hlk62136649"/>
      <w:r w:rsidRPr="00B7032A">
        <w:rPr>
          <w:rFonts w:ascii="Arial" w:hAnsi="Arial" w:cs="Arial"/>
          <w:bCs/>
          <w:sz w:val="22"/>
        </w:rPr>
        <w:t xml:space="preserve"> </w:t>
      </w:r>
      <w:r w:rsidRPr="00B7032A">
        <w:rPr>
          <w:rFonts w:ascii="Arial" w:hAnsi="Arial" w:cs="Arial"/>
          <w:sz w:val="22"/>
          <w:lang w:val="es-ES"/>
        </w:rPr>
        <w:t xml:space="preserve">Es necesario tener en cuenta que </w:t>
      </w:r>
      <w:bookmarkStart w:id="8" w:name="_Hlk61026958"/>
      <w:r w:rsidRPr="00B7032A">
        <w:rPr>
          <w:rFonts w:ascii="Arial" w:hAnsi="Arial" w:cs="Arial"/>
          <w:sz w:val="22"/>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B7032A">
        <w:rPr>
          <w:rFonts w:ascii="Arial" w:hAnsi="Arial" w:cs="Arial"/>
          <w:bCs/>
          <w:sz w:val="22"/>
        </w:rPr>
        <w:t xml:space="preserve"> de todos los partícipes de la contratación estatal.</w:t>
      </w:r>
    </w:p>
    <w:p w14:paraId="6F0EC24D" w14:textId="77777777" w:rsidR="00B06F15" w:rsidRPr="00B7032A" w:rsidRDefault="007F2D1F" w:rsidP="006145C5">
      <w:pPr>
        <w:spacing w:before="120" w:line="276" w:lineRule="auto"/>
        <w:ind w:firstLine="709"/>
        <w:jc w:val="both"/>
        <w:rPr>
          <w:rFonts w:ascii="Arial" w:hAnsi="Arial" w:cs="Arial"/>
          <w:sz w:val="22"/>
          <w:lang w:val="es-ES"/>
        </w:rPr>
      </w:pPr>
      <w:r w:rsidRPr="00B7032A">
        <w:rPr>
          <w:rFonts w:ascii="Arial" w:hAnsi="Arial" w:cs="Arial"/>
          <w:sz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B7032A">
        <w:rPr>
          <w:rFonts w:ascii="Arial" w:hAnsi="Arial" w:cs="Arial"/>
          <w:vertAlign w:val="superscript"/>
        </w:rPr>
        <w:footnoteReference w:id="2"/>
      </w:r>
      <w:r w:rsidRPr="00B7032A">
        <w:rPr>
          <w:rFonts w:ascii="Arial" w:hAnsi="Arial" w:cs="Arial"/>
          <w:sz w:val="22"/>
          <w:vertAlign w:val="superscript"/>
          <w:lang w:val="es-ES"/>
        </w:rPr>
        <w:t>.</w:t>
      </w:r>
      <w:r w:rsidRPr="00B7032A">
        <w:rPr>
          <w:rFonts w:ascii="Arial" w:hAnsi="Arial" w:cs="Arial"/>
          <w:sz w:val="22"/>
          <w:lang w:val="es-ES"/>
        </w:rPr>
        <w:t xml:space="preserve"> Esta competencia de interpretación de normas generales, por definición, no puede extenderse a la resolución de controversias, ni a brindar asesorías sobre casos puntuales. </w:t>
      </w:r>
      <w:bookmarkEnd w:id="8"/>
      <w:r w:rsidRPr="00B7032A">
        <w:rPr>
          <w:rFonts w:ascii="Arial" w:hAnsi="Arial" w:cs="Arial"/>
          <w:sz w:val="22"/>
          <w:lang w:val="es-ES"/>
        </w:rPr>
        <w:t xml:space="preserve">Por lo anterior, previo concepto de sus órganos asesores, la solución de estos temas corresponde a la entidad que adelanta el procedimiento de selección y, en caso de conflicto, a las autoridades judiciales, fiscales y disciplinarias. </w:t>
      </w:r>
      <w:bookmarkEnd w:id="6"/>
      <w:bookmarkEnd w:id="7"/>
      <w:r w:rsidRPr="00B7032A">
        <w:rPr>
          <w:rFonts w:ascii="Arial" w:hAnsi="Arial" w:cs="Arial"/>
          <w:sz w:val="22"/>
          <w:lang w:val="es-ES"/>
        </w:rPr>
        <w:t>En este contexto</w:t>
      </w:r>
      <w:r w:rsidRPr="00B7032A">
        <w:rPr>
          <w:rFonts w:ascii="Arial" w:eastAsia="Calibri" w:hAnsi="Arial" w:cs="Arial"/>
          <w:color w:val="000000" w:themeColor="text1"/>
          <w:sz w:val="22"/>
        </w:rPr>
        <w:t xml:space="preserve">, </w:t>
      </w:r>
      <w:r w:rsidRPr="00B7032A">
        <w:rPr>
          <w:rFonts w:ascii="Arial" w:eastAsia="Calibri" w:hAnsi="Arial" w:cs="Arial"/>
          <w:color w:val="000000" w:themeColor="text1"/>
          <w:sz w:val="22"/>
          <w:lang w:val="es-ES"/>
        </w:rPr>
        <w:t xml:space="preserve">la Subdirección –dentro de los límites de sus atribuciones, esto es, </w:t>
      </w:r>
      <w:bookmarkStart w:id="9" w:name="_Hlk61025408"/>
      <w:r w:rsidRPr="00B7032A">
        <w:rPr>
          <w:rFonts w:ascii="Arial" w:eastAsia="Calibri" w:hAnsi="Arial" w:cs="Arial"/>
          <w:color w:val="000000" w:themeColor="text1"/>
          <w:sz w:val="22"/>
          <w:lang w:val="es-ES"/>
        </w:rPr>
        <w:t>haciendo abstracción del caso particular expuesto por el peticionario</w:t>
      </w:r>
      <w:bookmarkEnd w:id="9"/>
      <w:r w:rsidRPr="00B7032A">
        <w:rPr>
          <w:rFonts w:ascii="Arial" w:eastAsia="Calibri" w:hAnsi="Arial" w:cs="Arial"/>
          <w:color w:val="000000" w:themeColor="text1"/>
          <w:sz w:val="22"/>
          <w:lang w:val="es-ES"/>
        </w:rPr>
        <w:t>– resolverá la consulta conforme a las normas generales en materia de contratación estatal.</w:t>
      </w:r>
      <w:r w:rsidR="0042260A" w:rsidRPr="00B7032A">
        <w:rPr>
          <w:rFonts w:ascii="Arial" w:hAnsi="Arial" w:cs="Arial"/>
          <w:sz w:val="22"/>
          <w:lang w:val="es-ES"/>
        </w:rPr>
        <w:t xml:space="preserve"> </w:t>
      </w:r>
    </w:p>
    <w:p w14:paraId="353CA64B" w14:textId="27AD439A" w:rsidR="007F2D1F" w:rsidRPr="00B7032A" w:rsidRDefault="0042260A" w:rsidP="006145C5">
      <w:pPr>
        <w:spacing w:before="120" w:line="276" w:lineRule="auto"/>
        <w:ind w:firstLine="709"/>
        <w:jc w:val="both"/>
        <w:rPr>
          <w:rFonts w:ascii="Arial" w:hAnsi="Arial" w:cs="Arial"/>
          <w:sz w:val="22"/>
          <w:lang w:val="es-ES"/>
        </w:rPr>
      </w:pPr>
      <w:r w:rsidRPr="00B7032A">
        <w:rPr>
          <w:rFonts w:ascii="Arial" w:hAnsi="Arial" w:cs="Arial"/>
          <w:sz w:val="22"/>
          <w:lang w:val="es-ES"/>
        </w:rPr>
        <w:t xml:space="preserve">Con este objetivo se analizarán los siguientes temas: </w:t>
      </w:r>
      <w:r w:rsidRPr="00B7032A">
        <w:rPr>
          <w:rFonts w:ascii="Arial" w:hAnsi="Arial" w:cs="Arial"/>
          <w:sz w:val="22"/>
          <w:lang w:val="es-ES_tradnl"/>
        </w:rPr>
        <w:t xml:space="preserve">i) </w:t>
      </w:r>
      <w:r w:rsidR="006145C5" w:rsidRPr="00B7032A">
        <w:rPr>
          <w:rFonts w:ascii="Arial" w:hAnsi="Arial" w:cs="Arial"/>
          <w:sz w:val="22"/>
        </w:rPr>
        <w:t>c</w:t>
      </w:r>
      <w:r w:rsidRPr="00B7032A">
        <w:rPr>
          <w:rFonts w:ascii="Arial" w:hAnsi="Arial" w:cs="Arial"/>
          <w:sz w:val="22"/>
        </w:rPr>
        <w:t xml:space="preserve">ontexto normativo y ámbito de aplicación de los documentos tipo de licitación pública para obra de infraestructura social </w:t>
      </w:r>
      <w:r w:rsidRPr="00B7032A">
        <w:rPr>
          <w:rFonts w:ascii="Arial" w:hAnsi="Arial" w:cs="Arial"/>
          <w:sz w:val="22"/>
        </w:rPr>
        <w:lastRenderedPageBreak/>
        <w:t>relacionados con el sector educativo,</w:t>
      </w:r>
      <w:r w:rsidRPr="00B7032A">
        <w:rPr>
          <w:rFonts w:ascii="Arial" w:hAnsi="Arial" w:cs="Arial"/>
          <w:sz w:val="22"/>
          <w:lang w:val="es-ES"/>
        </w:rPr>
        <w:t xml:space="preserve"> </w:t>
      </w:r>
      <w:proofErr w:type="spellStart"/>
      <w:r w:rsidRPr="00B7032A">
        <w:rPr>
          <w:rFonts w:ascii="Arial" w:hAnsi="Arial" w:cs="Arial"/>
          <w:sz w:val="22"/>
          <w:lang w:val="es-ES"/>
        </w:rPr>
        <w:t>ii</w:t>
      </w:r>
      <w:proofErr w:type="spellEnd"/>
      <w:r w:rsidRPr="00B7032A">
        <w:rPr>
          <w:rFonts w:ascii="Arial" w:hAnsi="Arial" w:cs="Arial"/>
          <w:sz w:val="22"/>
          <w:lang w:val="es-ES"/>
        </w:rPr>
        <w:t xml:space="preserve">) </w:t>
      </w:r>
      <w:r w:rsidRPr="00B7032A">
        <w:rPr>
          <w:rFonts w:ascii="Arial" w:hAnsi="Arial" w:cs="Arial"/>
          <w:bCs/>
          <w:sz w:val="22"/>
          <w:lang w:val="es-ES"/>
        </w:rPr>
        <w:t xml:space="preserve">inalterabilidad de los documentos tipo, </w:t>
      </w:r>
      <w:proofErr w:type="spellStart"/>
      <w:r w:rsidRPr="00B7032A">
        <w:rPr>
          <w:rFonts w:ascii="Arial" w:hAnsi="Arial" w:cs="Arial"/>
          <w:bCs/>
          <w:sz w:val="22"/>
          <w:lang w:val="es-ES"/>
        </w:rPr>
        <w:t>iii</w:t>
      </w:r>
      <w:proofErr w:type="spellEnd"/>
      <w:r w:rsidRPr="00B7032A">
        <w:rPr>
          <w:rFonts w:ascii="Arial" w:hAnsi="Arial" w:cs="Arial"/>
          <w:bCs/>
          <w:sz w:val="22"/>
          <w:lang w:val="es-ES"/>
        </w:rPr>
        <w:t xml:space="preserve">) </w:t>
      </w:r>
      <w:bookmarkStart w:id="10" w:name="_Hlk99807870"/>
      <w:r w:rsidRPr="00B7032A">
        <w:rPr>
          <w:rFonts w:ascii="Arial" w:hAnsi="Arial" w:cs="Arial"/>
          <w:bCs/>
          <w:sz w:val="22"/>
          <w:lang w:val="es-ES_tradnl"/>
        </w:rPr>
        <w:t>acreditación de la experiencia en los documentos tipo de licitación de obra pública de infraestructura social</w:t>
      </w:r>
      <w:bookmarkEnd w:id="10"/>
      <w:r w:rsidR="001A0EC8" w:rsidRPr="00B7032A">
        <w:rPr>
          <w:rFonts w:ascii="Arial" w:hAnsi="Arial" w:cs="Arial"/>
          <w:bCs/>
          <w:sz w:val="22"/>
          <w:lang w:val="es-ES_tradnl"/>
        </w:rPr>
        <w:t>:</w:t>
      </w:r>
      <w:r w:rsidRPr="00B7032A">
        <w:rPr>
          <w:rFonts w:ascii="Arial" w:hAnsi="Arial" w:cs="Arial"/>
          <w:bCs/>
          <w:sz w:val="22"/>
          <w:lang w:val="es-ES_tradnl"/>
        </w:rPr>
        <w:t xml:space="preserve"> </w:t>
      </w:r>
      <w:r w:rsidR="001A0EC8" w:rsidRPr="00B7032A">
        <w:rPr>
          <w:rFonts w:ascii="Arial" w:hAnsi="Arial" w:cs="Arial"/>
          <w:bCs/>
          <w:sz w:val="22"/>
        </w:rPr>
        <w:t>e</w:t>
      </w:r>
      <w:r w:rsidRPr="00B7032A">
        <w:rPr>
          <w:rFonts w:ascii="Arial" w:hAnsi="Arial" w:cs="Arial"/>
          <w:bCs/>
          <w:sz w:val="22"/>
        </w:rPr>
        <w:t xml:space="preserve">xperiencia para subcontratos, </w:t>
      </w:r>
      <w:proofErr w:type="spellStart"/>
      <w:r w:rsidRPr="00B7032A">
        <w:rPr>
          <w:rFonts w:ascii="Arial" w:hAnsi="Arial" w:cs="Arial"/>
          <w:bCs/>
          <w:sz w:val="22"/>
        </w:rPr>
        <w:t>iv</w:t>
      </w:r>
      <w:proofErr w:type="spellEnd"/>
      <w:r w:rsidRPr="00B7032A">
        <w:rPr>
          <w:rFonts w:ascii="Arial" w:hAnsi="Arial" w:cs="Arial"/>
          <w:bCs/>
          <w:sz w:val="22"/>
        </w:rPr>
        <w:t xml:space="preserve">) </w:t>
      </w:r>
      <w:r w:rsidR="006145C5" w:rsidRPr="00B7032A">
        <w:rPr>
          <w:rFonts w:ascii="Arial" w:hAnsi="Arial" w:cs="Arial"/>
          <w:bCs/>
          <w:sz w:val="22"/>
          <w:lang w:val="es-ES_tradnl"/>
        </w:rPr>
        <w:t>r</w:t>
      </w:r>
      <w:r w:rsidRPr="00B7032A">
        <w:rPr>
          <w:rFonts w:ascii="Arial" w:hAnsi="Arial" w:cs="Arial"/>
          <w:bCs/>
          <w:sz w:val="22"/>
          <w:lang w:val="es-ES_tradnl"/>
        </w:rPr>
        <w:t>egulación del puntaje por apoyo a la industria nacional en procesos adelantados con documentos tipo después de la expedición del Decreto 680 de 2021, v) el A.I.U. en los documentos tipo de licitación</w:t>
      </w:r>
      <w:r w:rsidR="006145C5" w:rsidRPr="00B7032A">
        <w:rPr>
          <w:rFonts w:ascii="Arial" w:hAnsi="Arial" w:cs="Arial"/>
          <w:bCs/>
          <w:sz w:val="22"/>
          <w:lang w:val="es-ES_tradnl"/>
        </w:rPr>
        <w:t xml:space="preserve"> de obra pública de infraestructura social, vi) precio artificialmente bajo en los </w:t>
      </w:r>
      <w:r w:rsidR="001A0EC8" w:rsidRPr="00B7032A">
        <w:rPr>
          <w:rFonts w:ascii="Arial" w:hAnsi="Arial" w:cs="Arial"/>
          <w:bCs/>
          <w:sz w:val="22"/>
          <w:lang w:val="es-ES_tradnl"/>
        </w:rPr>
        <w:t xml:space="preserve">procesos regidos por </w:t>
      </w:r>
      <w:r w:rsidR="006145C5" w:rsidRPr="00B7032A">
        <w:rPr>
          <w:rFonts w:ascii="Arial" w:hAnsi="Arial" w:cs="Arial"/>
          <w:bCs/>
          <w:sz w:val="22"/>
          <w:lang w:val="es-ES_tradnl"/>
        </w:rPr>
        <w:t xml:space="preserve">documentos tipo, </w:t>
      </w:r>
      <w:proofErr w:type="spellStart"/>
      <w:r w:rsidR="006145C5" w:rsidRPr="00B7032A">
        <w:rPr>
          <w:rFonts w:ascii="Arial" w:hAnsi="Arial" w:cs="Arial"/>
          <w:bCs/>
          <w:sz w:val="22"/>
          <w:lang w:val="es-ES_tradnl"/>
        </w:rPr>
        <w:t>vii</w:t>
      </w:r>
      <w:proofErr w:type="spellEnd"/>
      <w:r w:rsidR="006145C5" w:rsidRPr="00B7032A">
        <w:rPr>
          <w:rFonts w:ascii="Arial" w:hAnsi="Arial" w:cs="Arial"/>
          <w:bCs/>
          <w:sz w:val="22"/>
          <w:lang w:val="es-ES_tradnl"/>
        </w:rPr>
        <w:t>) procesos estructurados por lotes, módulos o grupos en los documentos</w:t>
      </w:r>
      <w:r w:rsidR="00094959" w:rsidRPr="00B7032A">
        <w:rPr>
          <w:rFonts w:ascii="Arial" w:hAnsi="Arial" w:cs="Arial"/>
          <w:bCs/>
          <w:sz w:val="22"/>
          <w:lang w:val="es-ES_tradnl"/>
        </w:rPr>
        <w:t xml:space="preserve"> tipo</w:t>
      </w:r>
      <w:r w:rsidR="006145C5" w:rsidRPr="00B7032A">
        <w:rPr>
          <w:rFonts w:ascii="Arial" w:hAnsi="Arial" w:cs="Arial"/>
          <w:bCs/>
          <w:sz w:val="22"/>
          <w:lang w:val="es-ES_tradnl"/>
        </w:rPr>
        <w:t xml:space="preserve">, </w:t>
      </w:r>
      <w:proofErr w:type="spellStart"/>
      <w:r w:rsidR="006145C5" w:rsidRPr="00B7032A">
        <w:rPr>
          <w:rFonts w:ascii="Arial" w:hAnsi="Arial" w:cs="Arial"/>
          <w:bCs/>
          <w:sz w:val="22"/>
          <w:lang w:val="es-ES_tradnl"/>
        </w:rPr>
        <w:t>viii</w:t>
      </w:r>
      <w:proofErr w:type="spellEnd"/>
      <w:r w:rsidR="006145C5" w:rsidRPr="00B7032A">
        <w:rPr>
          <w:rFonts w:ascii="Arial" w:hAnsi="Arial" w:cs="Arial"/>
          <w:bCs/>
          <w:sz w:val="22"/>
          <w:lang w:val="es-ES_tradnl"/>
        </w:rPr>
        <w:t xml:space="preserve">) </w:t>
      </w:r>
      <w:r w:rsidR="00094959" w:rsidRPr="00B7032A">
        <w:rPr>
          <w:rFonts w:ascii="Arial" w:hAnsi="Arial" w:cs="Arial"/>
          <w:bCs/>
          <w:sz w:val="22"/>
          <w:lang w:val="es-ES_tradnl"/>
        </w:rPr>
        <w:t>c</w:t>
      </w:r>
      <w:r w:rsidR="0007790D" w:rsidRPr="00B7032A">
        <w:rPr>
          <w:rFonts w:ascii="Arial" w:hAnsi="Arial" w:cs="Arial"/>
          <w:bCs/>
          <w:sz w:val="22"/>
          <w:lang w:val="es-ES_tradnl"/>
        </w:rPr>
        <w:t xml:space="preserve">ontenido del </w:t>
      </w:r>
      <w:r w:rsidR="006145C5" w:rsidRPr="00B7032A">
        <w:rPr>
          <w:rFonts w:ascii="Arial" w:hAnsi="Arial" w:cs="Arial"/>
          <w:bCs/>
          <w:sz w:val="22"/>
          <w:lang w:val="es-ES_tradnl"/>
        </w:rPr>
        <w:t xml:space="preserve">«Anexo 4 – Minuta del contrato» </w:t>
      </w:r>
      <w:r w:rsidR="006145C5" w:rsidRPr="00B7032A">
        <w:rPr>
          <w:rFonts w:ascii="Arial" w:hAnsi="Arial" w:cs="Arial"/>
          <w:bCs/>
          <w:sz w:val="22"/>
          <w:lang w:val="es-ES"/>
        </w:rPr>
        <w:t>del documento tipo de infraestructura social</w:t>
      </w:r>
      <w:r w:rsidR="0007790D" w:rsidRPr="00B7032A">
        <w:rPr>
          <w:rFonts w:ascii="Arial" w:hAnsi="Arial" w:cs="Arial"/>
          <w:bCs/>
          <w:sz w:val="22"/>
          <w:lang w:val="es-ES"/>
        </w:rPr>
        <w:t xml:space="preserve"> </w:t>
      </w:r>
      <w:proofErr w:type="spellStart"/>
      <w:r w:rsidR="006145C5" w:rsidRPr="00B7032A">
        <w:rPr>
          <w:rFonts w:ascii="Arial" w:hAnsi="Arial" w:cs="Arial"/>
          <w:bCs/>
          <w:sz w:val="22"/>
          <w:lang w:val="es-ES"/>
        </w:rPr>
        <w:t>ix</w:t>
      </w:r>
      <w:proofErr w:type="spellEnd"/>
      <w:r w:rsidR="006145C5" w:rsidRPr="00B7032A">
        <w:rPr>
          <w:rFonts w:ascii="Arial" w:hAnsi="Arial" w:cs="Arial"/>
          <w:bCs/>
          <w:sz w:val="22"/>
          <w:lang w:val="es-ES"/>
        </w:rPr>
        <w:t xml:space="preserve">) </w:t>
      </w:r>
      <w:r w:rsidR="006145C5" w:rsidRPr="00B7032A">
        <w:rPr>
          <w:rFonts w:ascii="Arial" w:hAnsi="Arial" w:cs="Arial"/>
          <w:bCs/>
          <w:sz w:val="22"/>
        </w:rPr>
        <w:t xml:space="preserve">renovación del Registro Único de Proponentes – RUP y sus efectos durante la verificación de la información. </w:t>
      </w:r>
    </w:p>
    <w:p w14:paraId="2828D3BD" w14:textId="77777777" w:rsidR="00DA0A1E" w:rsidRPr="00B7032A" w:rsidRDefault="007F2D1F" w:rsidP="006145C5">
      <w:pPr>
        <w:spacing w:before="120" w:line="276" w:lineRule="auto"/>
        <w:ind w:firstLine="708"/>
        <w:jc w:val="both"/>
        <w:rPr>
          <w:rFonts w:ascii="Arial" w:eastAsia="Calibri" w:hAnsi="Arial" w:cs="Arial"/>
          <w:color w:val="000000" w:themeColor="text1"/>
          <w:sz w:val="22"/>
          <w:szCs w:val="22"/>
        </w:rPr>
      </w:pPr>
      <w:r w:rsidRPr="00B7032A">
        <w:rPr>
          <w:rFonts w:ascii="Arial" w:eastAsia="Calibri" w:hAnsi="Arial" w:cs="Arial"/>
          <w:color w:val="000000" w:themeColor="text1"/>
          <w:sz w:val="22"/>
          <w:szCs w:val="22"/>
        </w:rPr>
        <w:t xml:space="preserve">Para estos efectos, la Agencia Nacional de Contratación Pública ‒ Colombia Compra Eficiente, en los conceptos C-645 del 6 de noviembre de 2020, C-673 del 11 de noviembre de 2020, C-692 del 27 de noviembre de 2020, C-778 del 18 de enero de 2021, C-021 del 22 de febrero de 2021, C-064 del 8 de marzo de 2021, C-071 del 17 de marzo de 2021, C-076 del 17 de marzo de 2021, C-375 de 27 de septiembre de 2021, C-536 de 29 de septiembre de 2021, y C-719 de 24 de enero de 2022, analizó </w:t>
      </w:r>
      <w:r w:rsidRPr="00B7032A">
        <w:rPr>
          <w:rFonts w:ascii="Arial" w:eastAsia="Calibri" w:hAnsi="Arial" w:cs="Arial"/>
          <w:color w:val="000000" w:themeColor="text1"/>
          <w:sz w:val="22"/>
          <w:lang w:val="es-ES_tradnl"/>
        </w:rPr>
        <w:t>el ámbito de aplicación de los documentos tipo</w:t>
      </w:r>
      <w:r w:rsidRPr="00B7032A">
        <w:rPr>
          <w:rFonts w:ascii="Arial" w:eastAsia="Calibri" w:hAnsi="Arial" w:cs="Arial"/>
          <w:color w:val="000000" w:themeColor="text1"/>
          <w:sz w:val="22"/>
          <w:szCs w:val="22"/>
        </w:rPr>
        <w:t>.</w:t>
      </w:r>
      <w:r w:rsidR="006145C5" w:rsidRPr="00B7032A">
        <w:rPr>
          <w:rFonts w:ascii="Arial" w:eastAsia="Calibri" w:hAnsi="Arial" w:cs="Arial"/>
          <w:color w:val="000000" w:themeColor="text1"/>
          <w:sz w:val="22"/>
          <w:szCs w:val="22"/>
        </w:rPr>
        <w:t xml:space="preserve"> </w:t>
      </w:r>
    </w:p>
    <w:p w14:paraId="35642FDD" w14:textId="3334F034" w:rsidR="00DA0A1E" w:rsidRPr="00B7032A" w:rsidRDefault="006145C5" w:rsidP="006145C5">
      <w:pPr>
        <w:spacing w:before="120" w:line="276" w:lineRule="auto"/>
        <w:ind w:firstLine="708"/>
        <w:jc w:val="both"/>
        <w:rPr>
          <w:rFonts w:ascii="Arial" w:eastAsia="Calibri" w:hAnsi="Arial" w:cs="Arial"/>
          <w:color w:val="000000" w:themeColor="text1"/>
          <w:sz w:val="22"/>
          <w:szCs w:val="22"/>
        </w:rPr>
      </w:pPr>
      <w:r w:rsidRPr="00B7032A">
        <w:rPr>
          <w:rFonts w:ascii="Arial" w:eastAsia="Calibri" w:hAnsi="Arial" w:cs="Arial"/>
          <w:color w:val="000000" w:themeColor="text1"/>
          <w:sz w:val="22"/>
          <w:szCs w:val="22"/>
        </w:rPr>
        <w:t xml:space="preserve">Por su parte, </w:t>
      </w:r>
      <w:r w:rsidR="00DA0A1E" w:rsidRPr="00B7032A">
        <w:rPr>
          <w:rFonts w:ascii="Arial" w:eastAsia="Calibri" w:hAnsi="Arial" w:cs="Arial"/>
          <w:color w:val="000000" w:themeColor="text1"/>
          <w:sz w:val="22"/>
          <w:szCs w:val="22"/>
        </w:rPr>
        <w:t xml:space="preserve">Las problemáticas asociadas al RUP, relacionadas con la firmeza de la inscripción, renovación y actualización fueron tratadas por la Agencia en los siguientes conceptos: </w:t>
      </w:r>
      <w:r w:rsidR="00DA0A1E" w:rsidRPr="00B7032A">
        <w:rPr>
          <w:rFonts w:ascii="Arial" w:eastAsia="Calibri" w:hAnsi="Arial" w:cs="Arial"/>
          <w:color w:val="000000"/>
          <w:sz w:val="22"/>
        </w:rPr>
        <w:t xml:space="preserve">4201713000001182 del 24 de marzo de 2017; 4201814000002917 del 11 de mayo de 2018; 4201813000003018 del 11 de mayo de 2018; 4201814000004174 del 18 de mayo de 2018; 4201814000004014 del 20 de junio de 2018; 4201813000004073 del 21 de junio de 2018; 4201912000003350 del 4 de julio de 2019; 4201912000007418 del 11 de diciembre de 2019; y C−005  del 14 de febrero de 2020, C−454 del 06 de julio de  2020, C−466 del 24 de julio de 2020, C−420 del 28 de julio de 2020, C−534 del 12 de agosto de 2020, C−553 del 24 de agosto de 2021, C−576 del 31 de agosto de 2021, C−786 de 2020 del 19 de enero de 2021, C−800 del 1 de febrero de 2021, </w:t>
      </w:r>
      <w:r w:rsidR="00DA0A1E" w:rsidRPr="00B7032A">
        <w:rPr>
          <w:rFonts w:ascii="Arial" w:eastAsia="Calibri" w:hAnsi="Arial" w:cs="Arial"/>
          <w:color w:val="000000"/>
          <w:sz w:val="22"/>
          <w:lang w:val="es-ES_tradnl"/>
        </w:rPr>
        <w:t xml:space="preserve">C-240 del 26 de mayo de 2021, C-330 del 27 de mayo de 2021, </w:t>
      </w:r>
      <w:r w:rsidR="00DA0A1E" w:rsidRPr="00B7032A">
        <w:rPr>
          <w:rFonts w:ascii="Arial" w:eastAsia="Calibri" w:hAnsi="Arial" w:cs="Arial"/>
          <w:color w:val="000000"/>
          <w:sz w:val="22"/>
        </w:rPr>
        <w:t xml:space="preserve">C-269 del 3 de junio de 2021, </w:t>
      </w:r>
      <w:r w:rsidR="00DA0A1E" w:rsidRPr="00B7032A">
        <w:rPr>
          <w:rFonts w:ascii="Arial" w:eastAsia="Calibri" w:hAnsi="Arial" w:cs="Arial"/>
          <w:color w:val="000000"/>
          <w:sz w:val="22"/>
          <w:lang w:val="es-ES_tradnl"/>
        </w:rPr>
        <w:t>C-329 del 8 de julio de 2021 y C-480 del 9 de septiembre de 2021.</w:t>
      </w:r>
    </w:p>
    <w:p w14:paraId="6D8C9074" w14:textId="4036B01E" w:rsidR="00100AAB" w:rsidRPr="00B7032A" w:rsidRDefault="0065084D" w:rsidP="002A63B6">
      <w:pPr>
        <w:spacing w:before="120" w:line="276" w:lineRule="auto"/>
        <w:ind w:firstLine="708"/>
        <w:jc w:val="both"/>
        <w:rPr>
          <w:rFonts w:ascii="Arial" w:eastAsia="Arial MT" w:hAnsi="Arial" w:cs="Arial"/>
          <w:sz w:val="22"/>
          <w:szCs w:val="22"/>
          <w:lang w:val="es-ES_tradnl" w:eastAsia="en-US"/>
        </w:rPr>
      </w:pPr>
      <w:r w:rsidRPr="00B7032A">
        <w:rPr>
          <w:rFonts w:ascii="Arial" w:hAnsi="Arial" w:cs="Arial"/>
          <w:color w:val="000000" w:themeColor="text1"/>
          <w:sz w:val="22"/>
          <w:lang w:val="es-ES"/>
        </w:rPr>
        <w:t xml:space="preserve">Asimismo, esta Agencia </w:t>
      </w:r>
      <w:r w:rsidRPr="00B7032A">
        <w:rPr>
          <w:rFonts w:ascii="Arial" w:eastAsia="Calibri" w:hAnsi="Arial" w:cs="Arial"/>
          <w:color w:val="000000" w:themeColor="text1"/>
          <w:sz w:val="22"/>
          <w:lang w:val="es-ES"/>
        </w:rPr>
        <w:t xml:space="preserve">analizó la noción y alcance de los precios artificialmente bajos en los conceptos 2201913000007853 </w:t>
      </w:r>
      <w:r w:rsidRPr="00B7032A">
        <w:rPr>
          <w:rFonts w:ascii="Arial" w:eastAsia="Calibri" w:hAnsi="Arial" w:cs="Arial"/>
          <w:color w:val="000000"/>
          <w:sz w:val="22"/>
          <w:lang w:val="es-ES" w:eastAsia="en-GB"/>
        </w:rPr>
        <w:t>del 21 de octubre de 2019; 2201913000008058 del 28 de octubre de 2019; 2201913000008288 del 7 de noviembre de 2019; 2201913000009110 del 11 de diciembre de 2019; 2201913000009489 del 20 de diciembre de 2019; 2202013000000038 del 7 de enero de 2020; C</w:t>
      </w:r>
      <w:bookmarkStart w:id="11" w:name="_Hlk68610319"/>
      <w:r w:rsidRPr="00B7032A">
        <w:rPr>
          <w:rFonts w:ascii="Arial" w:eastAsia="Calibri" w:hAnsi="Arial" w:cs="Arial"/>
          <w:color w:val="000000"/>
          <w:sz w:val="22"/>
          <w:lang w:val="es-ES" w:eastAsia="en-GB"/>
        </w:rPr>
        <w:t>–</w:t>
      </w:r>
      <w:bookmarkEnd w:id="11"/>
      <w:r w:rsidRPr="00B7032A">
        <w:rPr>
          <w:rFonts w:ascii="Arial" w:eastAsia="Calibri" w:hAnsi="Arial" w:cs="Arial"/>
          <w:color w:val="000000"/>
          <w:sz w:val="22"/>
          <w:lang w:val="es-ES" w:eastAsia="en-GB"/>
        </w:rPr>
        <w:t>012 del 28 de enero de 2020, C–163 del 31 de marzo de 2020, C–200 del 14 de abril de 2020</w:t>
      </w:r>
      <w:r w:rsidR="002A63B6" w:rsidRPr="00B7032A">
        <w:rPr>
          <w:rFonts w:ascii="Arial" w:eastAsia="Calibri" w:hAnsi="Arial" w:cs="Arial"/>
          <w:color w:val="000000"/>
          <w:sz w:val="22"/>
          <w:lang w:val="es-ES" w:eastAsia="en-GB"/>
        </w:rPr>
        <w:t>, C–767 del 7 de enero de 2021, C-205 del 7 de mayo del 2021 y C-737 del 27 de enero de 2022</w:t>
      </w:r>
      <w:r w:rsidR="00437461" w:rsidRPr="00B7032A">
        <w:rPr>
          <w:rStyle w:val="Refdenotaalpie"/>
          <w:rFonts w:ascii="Arial" w:eastAsia="Calibri" w:hAnsi="Arial" w:cs="Arial"/>
          <w:color w:val="000000"/>
          <w:sz w:val="22"/>
          <w:lang w:val="es-ES" w:eastAsia="en-GB"/>
        </w:rPr>
        <w:footnoteReference w:id="3"/>
      </w:r>
      <w:r w:rsidR="002A63B6" w:rsidRPr="00B7032A">
        <w:rPr>
          <w:rFonts w:ascii="Arial" w:eastAsia="Calibri" w:hAnsi="Arial" w:cs="Arial"/>
          <w:color w:val="000000"/>
          <w:sz w:val="22"/>
          <w:lang w:val="es-ES" w:eastAsia="en-GB"/>
        </w:rPr>
        <w:t>.</w:t>
      </w:r>
      <w:r w:rsidR="002A63B6" w:rsidRPr="00B7032A">
        <w:rPr>
          <w:rFonts w:ascii="Arial" w:eastAsia="Arial MT" w:hAnsi="Arial" w:cs="Arial"/>
          <w:sz w:val="22"/>
          <w:szCs w:val="22"/>
          <w:lang w:val="es-ES_tradnl" w:eastAsia="en-US"/>
        </w:rPr>
        <w:t xml:space="preserve"> </w:t>
      </w:r>
      <w:r w:rsidR="00100AAB" w:rsidRPr="00B7032A">
        <w:rPr>
          <w:rFonts w:ascii="Arial" w:eastAsia="Arial MT" w:hAnsi="Arial" w:cs="Arial"/>
          <w:sz w:val="22"/>
          <w:szCs w:val="22"/>
          <w:lang w:eastAsia="en-US"/>
        </w:rPr>
        <w:t xml:space="preserve">Las tesis </w:t>
      </w:r>
      <w:r w:rsidR="00100AAB" w:rsidRPr="00B7032A">
        <w:rPr>
          <w:rFonts w:ascii="Arial" w:eastAsia="Arial MT" w:hAnsi="Arial" w:cs="Arial"/>
          <w:sz w:val="22"/>
          <w:szCs w:val="22"/>
          <w:lang w:eastAsia="en-US"/>
        </w:rPr>
        <w:lastRenderedPageBreak/>
        <w:t xml:space="preserve">desarrolladas en estos conceptos se reiteran a continuación </w:t>
      </w:r>
      <w:r w:rsidR="00100AAB" w:rsidRPr="00B7032A">
        <w:rPr>
          <w:rFonts w:ascii="Arial" w:eastAsia="Arial MT" w:hAnsi="Arial" w:cs="Arial"/>
          <w:bCs/>
          <w:sz w:val="22"/>
          <w:szCs w:val="22"/>
          <w:lang w:val="es-MX" w:eastAsia="en-US"/>
        </w:rPr>
        <w:t xml:space="preserve">y se complementa en lo pertinente: </w:t>
      </w:r>
    </w:p>
    <w:p w14:paraId="6B45556A" w14:textId="77777777" w:rsidR="007F2D1F" w:rsidRPr="00B7032A" w:rsidRDefault="007F2D1F" w:rsidP="0055356C">
      <w:pPr>
        <w:jc w:val="both"/>
        <w:rPr>
          <w:rFonts w:ascii="Arial" w:eastAsia="Calibri" w:hAnsi="Arial" w:cs="Arial"/>
          <w:color w:val="000000" w:themeColor="text1"/>
          <w:sz w:val="22"/>
          <w:szCs w:val="22"/>
        </w:rPr>
      </w:pPr>
    </w:p>
    <w:p w14:paraId="3A5E41AC" w14:textId="2655887D" w:rsidR="008C377F" w:rsidRPr="00B7032A" w:rsidRDefault="0055356C" w:rsidP="008C377F">
      <w:pPr>
        <w:spacing w:line="276" w:lineRule="auto"/>
        <w:jc w:val="both"/>
        <w:rPr>
          <w:rFonts w:ascii="Arial" w:eastAsia="Calibri" w:hAnsi="Arial" w:cs="Arial"/>
          <w:b/>
          <w:bCs/>
          <w:color w:val="000000"/>
          <w:sz w:val="22"/>
          <w:lang w:eastAsia="en-GB"/>
        </w:rPr>
      </w:pPr>
      <w:r w:rsidRPr="00B7032A">
        <w:rPr>
          <w:rFonts w:ascii="Arial" w:eastAsia="Calibri" w:hAnsi="Arial" w:cs="Arial"/>
          <w:b/>
          <w:sz w:val="22"/>
        </w:rPr>
        <w:t xml:space="preserve">2.1 </w:t>
      </w:r>
      <w:bookmarkStart w:id="12" w:name="_Hlk99816484"/>
      <w:r w:rsidR="008C377F" w:rsidRPr="00B7032A">
        <w:rPr>
          <w:rFonts w:ascii="Arial" w:eastAsia="Calibri" w:hAnsi="Arial" w:cs="Arial"/>
          <w:b/>
          <w:bCs/>
          <w:color w:val="000000"/>
          <w:sz w:val="22"/>
          <w:lang w:eastAsia="en-GB"/>
        </w:rPr>
        <w:t>Contexto normativo</w:t>
      </w:r>
      <w:r w:rsidR="00CF212C" w:rsidRPr="00B7032A">
        <w:rPr>
          <w:rFonts w:ascii="Arial" w:eastAsia="Calibri" w:hAnsi="Arial" w:cs="Arial"/>
          <w:b/>
          <w:bCs/>
          <w:color w:val="000000"/>
          <w:sz w:val="22"/>
          <w:lang w:eastAsia="en-GB"/>
        </w:rPr>
        <w:t xml:space="preserve"> y ámbito de aplicación </w:t>
      </w:r>
      <w:r w:rsidR="008C377F" w:rsidRPr="00B7032A">
        <w:rPr>
          <w:rFonts w:ascii="Arial" w:eastAsia="Calibri" w:hAnsi="Arial" w:cs="Arial"/>
          <w:b/>
          <w:bCs/>
          <w:color w:val="000000"/>
          <w:sz w:val="22"/>
          <w:lang w:eastAsia="en-GB"/>
        </w:rPr>
        <w:t xml:space="preserve">de los documentos tipo de licitación pública para obra de infraestructura social </w:t>
      </w:r>
      <w:r w:rsidR="008C377F" w:rsidRPr="00B7032A">
        <w:rPr>
          <w:rFonts w:ascii="Arial" w:eastAsia="Calibri" w:hAnsi="Arial" w:cs="Arial"/>
          <w:b/>
          <w:bCs/>
          <w:sz w:val="22"/>
        </w:rPr>
        <w:t>relacionados con el sector educativo</w:t>
      </w:r>
    </w:p>
    <w:bookmarkEnd w:id="12"/>
    <w:p w14:paraId="4D0A38AD" w14:textId="77777777" w:rsidR="008C377F" w:rsidRPr="00B7032A" w:rsidRDefault="008C377F" w:rsidP="008C377F">
      <w:pPr>
        <w:spacing w:line="276" w:lineRule="auto"/>
        <w:jc w:val="both"/>
        <w:rPr>
          <w:rFonts w:ascii="Arial" w:eastAsia="Calibri" w:hAnsi="Arial" w:cs="Arial"/>
          <w:b/>
          <w:bCs/>
          <w:color w:val="000000" w:themeColor="text1"/>
          <w:sz w:val="22"/>
          <w:szCs w:val="22"/>
          <w:lang w:eastAsia="en-US"/>
        </w:rPr>
      </w:pPr>
    </w:p>
    <w:p w14:paraId="1C2D32D8" w14:textId="77777777" w:rsidR="008C377F" w:rsidRPr="00B7032A" w:rsidRDefault="008C377F" w:rsidP="008C377F">
      <w:pPr>
        <w:spacing w:line="276" w:lineRule="auto"/>
        <w:jc w:val="both"/>
        <w:rPr>
          <w:rFonts w:ascii="Arial" w:eastAsiaTheme="minorHAnsi" w:hAnsi="Arial" w:cs="Arial"/>
          <w:color w:val="0D0D0D" w:themeColor="text1" w:themeTint="F2"/>
          <w:sz w:val="22"/>
          <w:szCs w:val="22"/>
          <w:lang w:val="es-MX" w:eastAsia="en-US"/>
        </w:rPr>
      </w:pPr>
      <w:r w:rsidRPr="00B7032A">
        <w:rPr>
          <w:rFonts w:ascii="Arial" w:eastAsia="Calibri" w:hAnsi="Arial" w:cs="Arial"/>
          <w:color w:val="000000"/>
          <w:sz w:val="22"/>
        </w:rPr>
        <w:t>El artículo 4 de la Ley 1882 de 2018 determinó la obligatoriedad por parte de todas las entidades públicas sometidas al estatuto general de contratación pública de aplicar los documentos tipo adoptados por el gobierno nacional. Esta norma establecía que el Gobierno nacional adoptaría los documentos tipo para los pliegos de condiciones de los procesos de selección de obras públicas, interventoría para las obras públicas, interventoría para consultoría de estudios y diseños para obras públicas, consultoría en ingeniería para obras, los cuales debían ser utilizados por todas las entidades sometidas al Estatuto General de la Contratación de la Administración Pública en los procesos de selección que adelantaran</w:t>
      </w:r>
      <w:r w:rsidRPr="00B7032A">
        <w:rPr>
          <w:rStyle w:val="Refdenotaalpie"/>
          <w:rFonts w:ascii="Arial" w:eastAsia="Calibri" w:hAnsi="Arial" w:cs="Arial"/>
          <w:color w:val="000000"/>
          <w:sz w:val="22"/>
        </w:rPr>
        <w:footnoteReference w:id="4"/>
      </w:r>
      <w:r w:rsidRPr="00B7032A">
        <w:rPr>
          <w:rFonts w:ascii="Arial" w:eastAsia="Calibri" w:hAnsi="Arial" w:cs="Arial"/>
          <w:color w:val="000000"/>
          <w:sz w:val="22"/>
        </w:rPr>
        <w:t>.</w:t>
      </w:r>
      <w:r w:rsidRPr="00B7032A">
        <w:rPr>
          <w:rFonts w:ascii="Arial" w:eastAsiaTheme="minorHAnsi" w:hAnsi="Arial" w:cs="Arial"/>
          <w:color w:val="0D0D0D" w:themeColor="text1" w:themeTint="F2"/>
          <w:sz w:val="22"/>
          <w:szCs w:val="22"/>
          <w:lang w:val="es-MX" w:eastAsia="en-US"/>
        </w:rPr>
        <w:t xml:space="preserve"> </w:t>
      </w:r>
    </w:p>
    <w:p w14:paraId="0D0454D3" w14:textId="77777777" w:rsidR="008C377F" w:rsidRPr="00B7032A" w:rsidRDefault="008C377F" w:rsidP="008C377F">
      <w:pPr>
        <w:spacing w:before="120" w:line="276" w:lineRule="auto"/>
        <w:ind w:firstLine="708"/>
        <w:jc w:val="both"/>
        <w:rPr>
          <w:rFonts w:ascii="Arial" w:eastAsiaTheme="minorHAnsi" w:hAnsi="Arial" w:cs="Arial"/>
          <w:color w:val="0D0D0D" w:themeColor="text1" w:themeTint="F2"/>
          <w:sz w:val="22"/>
          <w:szCs w:val="22"/>
          <w:lang w:val="es-MX" w:eastAsia="en-US"/>
        </w:rPr>
      </w:pPr>
      <w:r w:rsidRPr="00B7032A">
        <w:rPr>
          <w:rFonts w:ascii="Arial" w:eastAsiaTheme="minorHAnsi" w:hAnsi="Arial" w:cs="Arial"/>
          <w:color w:val="0D0D0D" w:themeColor="text1" w:themeTint="F2"/>
          <w:sz w:val="22"/>
          <w:szCs w:val="22"/>
          <w:lang w:val="es-MX" w:eastAsia="en-US"/>
        </w:rPr>
        <w:t xml:space="preserve">Posteriormente, el 22 de julio de 2020, el Gobierno Nacional sancionó la Ley 2022, que rige a partir de su publicación y cuyo artículo 1 modifica el artículo 4 de la Ley 1882 de 2018 en relación con los siguientes aspectos: i) el sujeto encargado de la adopción de los documentos tipo, ya que antes se señalaba al Gobierno Nacional y ahora la entidad encargada directamente por la Ley es la Agencia Nacional de Contratación Pública – Colombia Compra Eficiente o quien haga sus veces; </w:t>
      </w:r>
      <w:proofErr w:type="spellStart"/>
      <w:r w:rsidRPr="00B7032A">
        <w:rPr>
          <w:rFonts w:ascii="Arial" w:eastAsiaTheme="minorHAnsi" w:hAnsi="Arial" w:cs="Arial"/>
          <w:color w:val="0D0D0D" w:themeColor="text1" w:themeTint="F2"/>
          <w:sz w:val="22"/>
          <w:szCs w:val="22"/>
          <w:lang w:val="es-MX" w:eastAsia="en-US"/>
        </w:rPr>
        <w:t>ii</w:t>
      </w:r>
      <w:proofErr w:type="spellEnd"/>
      <w:r w:rsidRPr="00B7032A">
        <w:rPr>
          <w:rFonts w:ascii="Arial" w:eastAsiaTheme="minorHAnsi" w:hAnsi="Arial" w:cs="Arial"/>
          <w:color w:val="0D0D0D" w:themeColor="text1" w:themeTint="F2"/>
          <w:sz w:val="22"/>
          <w:szCs w:val="22"/>
          <w:lang w:val="es-MX" w:eastAsia="en-US"/>
        </w:rPr>
        <w:t xml:space="preserve">) la inclusión de buenas prácticas contractuales y los principios de la contratación pública para establecer los requisitos habilitantes, factores técnicos, económicos y otros factores de escogencia en los documentos tipo; </w:t>
      </w:r>
      <w:proofErr w:type="spellStart"/>
      <w:r w:rsidRPr="00B7032A">
        <w:rPr>
          <w:rFonts w:ascii="Arial" w:eastAsiaTheme="minorHAnsi" w:hAnsi="Arial" w:cs="Arial"/>
          <w:color w:val="0D0D0D" w:themeColor="text1" w:themeTint="F2"/>
          <w:sz w:val="22"/>
          <w:szCs w:val="22"/>
          <w:lang w:val="es-MX" w:eastAsia="en-US"/>
        </w:rPr>
        <w:t>iii</w:t>
      </w:r>
      <w:proofErr w:type="spellEnd"/>
      <w:r w:rsidRPr="00B7032A">
        <w:rPr>
          <w:rFonts w:ascii="Arial" w:eastAsiaTheme="minorHAnsi" w:hAnsi="Arial" w:cs="Arial"/>
          <w:color w:val="0D0D0D" w:themeColor="text1" w:themeTint="F2"/>
          <w:sz w:val="22"/>
          <w:szCs w:val="22"/>
          <w:lang w:val="es-MX" w:eastAsia="en-US"/>
        </w:rPr>
        <w:t xml:space="preserve">) la implementación de procesos de capacitación en los municipios para la utilización de los documentos tipo buscando el desarrollo de la economía local; y </w:t>
      </w:r>
      <w:proofErr w:type="spellStart"/>
      <w:r w:rsidRPr="00B7032A">
        <w:rPr>
          <w:rFonts w:ascii="Arial" w:eastAsiaTheme="minorHAnsi" w:hAnsi="Arial" w:cs="Arial"/>
          <w:color w:val="0D0D0D" w:themeColor="text1" w:themeTint="F2"/>
          <w:sz w:val="22"/>
          <w:szCs w:val="22"/>
          <w:lang w:val="es-MX" w:eastAsia="en-US"/>
        </w:rPr>
        <w:t>iv</w:t>
      </w:r>
      <w:proofErr w:type="spellEnd"/>
      <w:r w:rsidRPr="00B7032A">
        <w:rPr>
          <w:rFonts w:ascii="Arial" w:eastAsiaTheme="minorHAnsi" w:hAnsi="Arial" w:cs="Arial"/>
          <w:color w:val="0D0D0D" w:themeColor="text1" w:themeTint="F2"/>
          <w:sz w:val="22"/>
          <w:szCs w:val="22"/>
          <w:lang w:val="es-MX" w:eastAsia="en-US"/>
        </w:rPr>
        <w:t xml:space="preserve">) las responsabilidades para Colombia Compra Eficiente en la definición del desarrollo e implementación de los documentos tipo mediante cronogramas, coordinación con otras </w:t>
      </w:r>
      <w:r w:rsidRPr="00B7032A">
        <w:rPr>
          <w:rFonts w:ascii="Arial" w:eastAsiaTheme="minorHAnsi" w:hAnsi="Arial" w:cs="Arial"/>
          <w:color w:val="0D0D0D" w:themeColor="text1" w:themeTint="F2"/>
          <w:sz w:val="22"/>
          <w:szCs w:val="22"/>
          <w:lang w:val="es-MX" w:eastAsia="en-US"/>
        </w:rPr>
        <w:lastRenderedPageBreak/>
        <w:t>entidades especializadas, recepción de comentarios de los interesados y revisión de los documentos tipo expedidos</w:t>
      </w:r>
      <w:r w:rsidRPr="00B7032A">
        <w:rPr>
          <w:rFonts w:ascii="Arial" w:eastAsiaTheme="minorHAnsi" w:hAnsi="Arial" w:cs="Arial"/>
          <w:color w:val="0D0D0D" w:themeColor="text1" w:themeTint="F2"/>
          <w:sz w:val="22"/>
          <w:szCs w:val="22"/>
          <w:vertAlign w:val="superscript"/>
          <w:lang w:val="es-MX" w:eastAsia="en-US"/>
        </w:rPr>
        <w:footnoteReference w:id="5"/>
      </w:r>
      <w:r w:rsidRPr="00B7032A">
        <w:rPr>
          <w:rFonts w:ascii="Arial" w:eastAsiaTheme="minorHAnsi" w:hAnsi="Arial" w:cs="Arial"/>
          <w:color w:val="0D0D0D" w:themeColor="text1" w:themeTint="F2"/>
          <w:sz w:val="22"/>
          <w:szCs w:val="22"/>
          <w:lang w:val="es-MX" w:eastAsia="en-US"/>
        </w:rPr>
        <w:t xml:space="preserve">. </w:t>
      </w:r>
    </w:p>
    <w:p w14:paraId="14A21574" w14:textId="77777777" w:rsidR="004327A7" w:rsidRPr="00B7032A" w:rsidRDefault="008C377F" w:rsidP="004327A7">
      <w:pPr>
        <w:spacing w:before="120" w:line="276" w:lineRule="auto"/>
        <w:ind w:firstLine="709"/>
        <w:jc w:val="both"/>
        <w:rPr>
          <w:rFonts w:ascii="Arial" w:eastAsia="Calibri" w:hAnsi="Arial" w:cs="Arial"/>
          <w:sz w:val="22"/>
          <w:szCs w:val="22"/>
          <w:lang w:val="es-MX" w:eastAsia="en-US"/>
        </w:rPr>
      </w:pPr>
      <w:r w:rsidRPr="00B7032A">
        <w:rPr>
          <w:rFonts w:ascii="Arial" w:eastAsia="Calibri" w:hAnsi="Arial" w:cs="Arial"/>
          <w:sz w:val="22"/>
          <w:szCs w:val="22"/>
          <w:lang w:val="es-MX" w:eastAsia="en-US"/>
        </w:rPr>
        <w:t>De conformidad con esta Ley, se otorgó a la Agencia Nacional de Contratación Pública – Colombia Compra Eficiente la competencia para adoptar los documentos tipo; entidad que para el cumplimiento de las funciones atribuidas por el Decreto Ley 4170 de 2011, requiere la «coordinación con entidades técnicas o especializadas». Lo anterior con la finalidad de elaborar los cronogramas y procedimientos indispensables para implementarlos de forma estratégica en los distintos sectores de la economía, facilitando su incorporación en el sistema de compra pública.</w:t>
      </w:r>
    </w:p>
    <w:p w14:paraId="6016B3DE" w14:textId="3D073487" w:rsidR="008C377F" w:rsidRPr="00B7032A" w:rsidRDefault="008C377F" w:rsidP="004327A7">
      <w:pPr>
        <w:spacing w:before="120" w:line="276" w:lineRule="auto"/>
        <w:ind w:firstLine="709"/>
        <w:jc w:val="both"/>
        <w:rPr>
          <w:rFonts w:ascii="Arial" w:eastAsia="Calibri" w:hAnsi="Arial" w:cs="Arial"/>
          <w:sz w:val="22"/>
          <w:szCs w:val="22"/>
          <w:lang w:val="es-MX" w:eastAsia="en-US"/>
        </w:rPr>
      </w:pPr>
      <w:r w:rsidRPr="00B7032A">
        <w:rPr>
          <w:rFonts w:ascii="Arial" w:eastAsia="Calibri" w:hAnsi="Arial" w:cs="Arial"/>
          <w:sz w:val="22"/>
        </w:rPr>
        <w:t>Además</w:t>
      </w:r>
      <w:r w:rsidRPr="00B7032A">
        <w:rPr>
          <w:rFonts w:ascii="Arial" w:eastAsia="Calibri" w:hAnsi="Arial" w:cs="Arial"/>
          <w:sz w:val="22"/>
        </w:rPr>
        <w:t xml:space="preserve">, por disposición expresa de la Ley 2022 de 2020, los «Documentos tipo» adoptados por la Agencia Nacional de Contratación Pública son de obligatorio cumplimiento por todas las entidades públicas, cuyo régimen de contratación </w:t>
      </w:r>
      <w:r w:rsidR="001A0EC8" w:rsidRPr="00B7032A">
        <w:rPr>
          <w:rFonts w:ascii="Arial" w:eastAsia="Calibri" w:hAnsi="Arial" w:cs="Arial"/>
          <w:sz w:val="22"/>
        </w:rPr>
        <w:t>sea el</w:t>
      </w:r>
      <w:r w:rsidRPr="00B7032A">
        <w:rPr>
          <w:rFonts w:ascii="Arial" w:eastAsia="Calibri" w:hAnsi="Arial" w:cs="Arial"/>
          <w:sz w:val="22"/>
        </w:rPr>
        <w:t xml:space="preserve"> Estatuto General de la Contratación de la Administración Pública ‒EGCAP‒. Esta obligatoriedad implica que las autoridades deben implementar los documentos tipo que encuentren dentro de su ámbito de aplicación, sin perjuicio de su «inalterabilidad»</w:t>
      </w:r>
      <w:r w:rsidRPr="00B7032A">
        <w:rPr>
          <w:rFonts w:ascii="Arial" w:hAnsi="Arial" w:cs="Arial"/>
          <w:color w:val="000000"/>
          <w:sz w:val="22"/>
          <w:bdr w:val="none" w:sz="0" w:space="0" w:color="auto" w:frame="1"/>
        </w:rPr>
        <w:t xml:space="preserve">. Lo anterior significa que las entidades </w:t>
      </w:r>
      <w:r w:rsidRPr="00B7032A">
        <w:rPr>
          <w:rFonts w:ascii="Arial" w:hAnsi="Arial" w:cs="Arial"/>
          <w:color w:val="000000"/>
          <w:sz w:val="22"/>
          <w:bdr w:val="none" w:sz="0" w:space="0" w:color="auto" w:frame="1"/>
        </w:rPr>
        <w:t>públicas carecen de la facultad para modificarlos, con excepción de aquellos aspectos que pueden diligenciar, es decir, los espacios que están incluidos entre corchetes y resaltados en gris</w:t>
      </w:r>
      <w:r w:rsidR="00C61602" w:rsidRPr="00B7032A">
        <w:rPr>
          <w:rFonts w:ascii="Arial" w:hAnsi="Arial" w:cs="Arial"/>
          <w:color w:val="000000" w:themeColor="text1"/>
          <w:sz w:val="22"/>
        </w:rPr>
        <w:t xml:space="preserve"> o cuya modificación sea permitida por los mismos documentos tipo</w:t>
      </w:r>
      <w:r w:rsidRPr="00B7032A">
        <w:rPr>
          <w:rFonts w:ascii="Arial" w:hAnsi="Arial" w:cs="Arial"/>
          <w:color w:val="000000"/>
          <w:sz w:val="22"/>
          <w:bdr w:val="none" w:sz="0" w:space="0" w:color="auto" w:frame="1"/>
        </w:rPr>
        <w:t xml:space="preserve">. </w:t>
      </w:r>
    </w:p>
    <w:p w14:paraId="68809E39" w14:textId="5C811BDC" w:rsidR="0055356C" w:rsidRPr="00B7032A" w:rsidRDefault="008C377F" w:rsidP="008C377F">
      <w:pPr>
        <w:pStyle w:val="Prrafodelista"/>
        <w:tabs>
          <w:tab w:val="left" w:pos="0"/>
          <w:tab w:val="left" w:pos="284"/>
        </w:tabs>
        <w:spacing w:before="120" w:line="276" w:lineRule="auto"/>
        <w:ind w:left="0" w:firstLine="709"/>
        <w:jc w:val="both"/>
        <w:rPr>
          <w:rFonts w:ascii="Arial" w:eastAsia="Times New Roman" w:hAnsi="Arial" w:cs="Arial"/>
          <w:color w:val="000000"/>
          <w:sz w:val="22"/>
          <w:bdr w:val="none" w:sz="0" w:space="0" w:color="auto" w:frame="1"/>
          <w:lang w:val="es-CO" w:eastAsia="es-ES_tradnl"/>
        </w:rPr>
      </w:pPr>
      <w:r w:rsidRPr="00B7032A">
        <w:rPr>
          <w:rFonts w:ascii="Arial" w:eastAsia="Calibri" w:hAnsi="Arial" w:cs="Arial"/>
          <w:sz w:val="22"/>
        </w:rPr>
        <w:t xml:space="preserve">Así, en desarrollo de la Ley 2022 de 2020, la Agencia Nacional de Contratación Pública expidió </w:t>
      </w:r>
      <w:r w:rsidR="0055356C" w:rsidRPr="00B7032A">
        <w:rPr>
          <w:rFonts w:ascii="Arial" w:eastAsia="Calibri" w:hAnsi="Arial" w:cs="Arial"/>
          <w:sz w:val="22"/>
        </w:rPr>
        <w:t xml:space="preserve">la Resolución 219 del 6 de agosto de 2021, «Por la cual se adoptan los </w:t>
      </w:r>
      <w:r w:rsidR="0055356C" w:rsidRPr="00B7032A">
        <w:rPr>
          <w:rFonts w:ascii="Arial" w:eastAsia="Calibri" w:hAnsi="Arial" w:cs="Arial"/>
          <w:sz w:val="22"/>
        </w:rPr>
        <w:lastRenderedPageBreak/>
        <w:t xml:space="preserve">documentos tipo para los procesos de licitación de obra pública de infraestructura social». Dentro de esta categoría fue incluida la infraestructura asociada a los sectores de la salud, el educativo y el de cultura, recreación y deporte, tal como lo establece el parágrafo 2 del artículo 2 de la resolución indicada, de la siguiente manera: </w:t>
      </w:r>
    </w:p>
    <w:p w14:paraId="2942DF27" w14:textId="77777777" w:rsidR="0055356C" w:rsidRPr="00B7032A" w:rsidRDefault="0055356C" w:rsidP="008C377F">
      <w:pPr>
        <w:spacing w:line="276" w:lineRule="auto"/>
        <w:jc w:val="both"/>
        <w:rPr>
          <w:rFonts w:ascii="Arial" w:hAnsi="Arial" w:cs="Arial"/>
          <w:sz w:val="22"/>
          <w:lang w:val="es-ES"/>
        </w:rPr>
      </w:pPr>
    </w:p>
    <w:p w14:paraId="0577AAF8" w14:textId="77777777" w:rsidR="0055356C" w:rsidRPr="00B7032A" w:rsidRDefault="0055356C" w:rsidP="008C377F">
      <w:pPr>
        <w:ind w:left="709" w:right="709"/>
        <w:jc w:val="both"/>
        <w:rPr>
          <w:rFonts w:ascii="Arial" w:hAnsi="Arial" w:cs="Arial"/>
          <w:sz w:val="21"/>
          <w:szCs w:val="21"/>
          <w:lang w:val="es-ES"/>
        </w:rPr>
      </w:pPr>
      <w:r w:rsidRPr="00B7032A">
        <w:rPr>
          <w:rFonts w:ascii="Arial" w:hAnsi="Arial" w:cs="Arial"/>
          <w:sz w:val="21"/>
          <w:szCs w:val="21"/>
          <w:lang w:val="es-ES"/>
        </w:rPr>
        <w:t xml:space="preserve">Estos documentos tipo aplicarán a los proyectos de infraestructura social, tales como, </w:t>
      </w:r>
      <w:r w:rsidRPr="00B7032A">
        <w:rPr>
          <w:rFonts w:ascii="Arial" w:hAnsi="Arial" w:cs="Arial"/>
          <w:i/>
          <w:iCs/>
          <w:sz w:val="21"/>
          <w:szCs w:val="21"/>
          <w:lang w:val="es-ES"/>
        </w:rPr>
        <w:t>sector educativo</w:t>
      </w:r>
      <w:r w:rsidRPr="00B7032A">
        <w:rPr>
          <w:rFonts w:ascii="Arial" w:hAnsi="Arial" w:cs="Arial"/>
          <w:sz w:val="21"/>
          <w:szCs w:val="21"/>
          <w:lang w:val="es-ES"/>
        </w:rPr>
        <w:t xml:space="preserve">, sector salud y sector cultural, recreación y deporte, </w:t>
      </w:r>
      <w:r w:rsidRPr="00B7032A">
        <w:rPr>
          <w:rFonts w:ascii="Arial" w:hAnsi="Arial" w:cs="Arial"/>
          <w:i/>
          <w:iCs/>
          <w:sz w:val="21"/>
          <w:szCs w:val="21"/>
          <w:lang w:val="es-ES"/>
        </w:rPr>
        <w:t>de conformidad con cada una de las resoluciones que expida la Agencia Nacional de Contratación Pública -Colombia Compra Eficiente-</w:t>
      </w:r>
      <w:r w:rsidRPr="00B7032A">
        <w:rPr>
          <w:rFonts w:ascii="Arial" w:hAnsi="Arial" w:cs="Arial"/>
          <w:sz w:val="21"/>
          <w:szCs w:val="21"/>
          <w:lang w:val="es-ES"/>
        </w:rPr>
        <w:t>, donde se precisará el alcance concreto de estos documentos tipo; sin perjuicio de que se incluyan otros tipos de infraestructura social. (Énfasis fuera del texto)</w:t>
      </w:r>
    </w:p>
    <w:p w14:paraId="5AE6B0BA" w14:textId="77777777" w:rsidR="0055356C" w:rsidRPr="00B7032A" w:rsidRDefault="0055356C" w:rsidP="0055356C">
      <w:pPr>
        <w:spacing w:line="276" w:lineRule="auto"/>
        <w:jc w:val="both"/>
        <w:rPr>
          <w:rFonts w:ascii="Arial" w:hAnsi="Arial" w:cs="Arial"/>
          <w:sz w:val="22"/>
          <w:lang w:val="es-ES"/>
        </w:rPr>
      </w:pPr>
      <w:r w:rsidRPr="00B7032A">
        <w:rPr>
          <w:rFonts w:ascii="Arial" w:hAnsi="Arial" w:cs="Arial"/>
          <w:sz w:val="22"/>
          <w:lang w:val="es-ES"/>
        </w:rPr>
        <w:tab/>
      </w:r>
    </w:p>
    <w:p w14:paraId="5F16B818" w14:textId="07099F88" w:rsidR="0055356C" w:rsidRPr="00B7032A" w:rsidRDefault="0055356C" w:rsidP="004327A7">
      <w:pPr>
        <w:spacing w:line="276" w:lineRule="auto"/>
        <w:ind w:firstLine="708"/>
        <w:jc w:val="both"/>
        <w:rPr>
          <w:rFonts w:ascii="Arial" w:hAnsi="Arial" w:cs="Arial"/>
          <w:sz w:val="22"/>
          <w:lang w:val="es-ES"/>
        </w:rPr>
      </w:pPr>
      <w:r w:rsidRPr="00B7032A">
        <w:rPr>
          <w:rFonts w:ascii="Arial" w:hAnsi="Arial" w:cs="Arial"/>
          <w:sz w:val="22"/>
          <w:lang w:val="es-ES"/>
        </w:rPr>
        <w:t xml:space="preserve">Como </w:t>
      </w:r>
      <w:r w:rsidR="001A0EC8" w:rsidRPr="00B7032A">
        <w:rPr>
          <w:rFonts w:ascii="Arial" w:hAnsi="Arial" w:cs="Arial"/>
          <w:sz w:val="22"/>
          <w:lang w:val="es-ES"/>
        </w:rPr>
        <w:t xml:space="preserve">se </w:t>
      </w:r>
      <w:r w:rsidRPr="00B7032A">
        <w:rPr>
          <w:rFonts w:ascii="Arial" w:hAnsi="Arial" w:cs="Arial"/>
          <w:sz w:val="22"/>
          <w:lang w:val="es-ES"/>
        </w:rPr>
        <w:t>observ</w:t>
      </w:r>
      <w:r w:rsidR="001A0EC8" w:rsidRPr="00B7032A">
        <w:rPr>
          <w:rFonts w:ascii="Arial" w:hAnsi="Arial" w:cs="Arial"/>
          <w:sz w:val="22"/>
          <w:lang w:val="es-ES"/>
        </w:rPr>
        <w:t>a</w:t>
      </w:r>
      <w:r w:rsidRPr="00B7032A">
        <w:rPr>
          <w:rFonts w:ascii="Arial" w:hAnsi="Arial" w:cs="Arial"/>
          <w:sz w:val="22"/>
          <w:lang w:val="es-ES"/>
        </w:rPr>
        <w:t>, la Resolución 219 de 2021 contiene un listado enunciativo de los sectores relacionados con los proyectos de infraestructura social a los cuales aplican los documentos tipo –</w:t>
      </w:r>
      <w:bookmarkStart w:id="13" w:name="_Hlk99816609"/>
      <w:r w:rsidRPr="00B7032A">
        <w:rPr>
          <w:rFonts w:ascii="Arial" w:hAnsi="Arial" w:cs="Arial"/>
          <w:sz w:val="22"/>
          <w:lang w:val="es-ES"/>
        </w:rPr>
        <w:t>educativo; salud; cultura, recreación y deporte</w:t>
      </w:r>
      <w:bookmarkEnd w:id="13"/>
      <w:r w:rsidRPr="00B7032A">
        <w:rPr>
          <w:rFonts w:ascii="Arial" w:hAnsi="Arial" w:cs="Arial"/>
          <w:sz w:val="22"/>
          <w:lang w:val="es-ES"/>
        </w:rPr>
        <w:t>–. También precisa que el alcance de cada sector estará dado por las resoluciones posteriores que expida la Agencia. A su vez, esas resoluciones desarrollarán las matrices de experiencia y los glosarios que definirán concretamente cada sector, mediante los cuales se precisará de forma detallada su ámbito de aplicación</w:t>
      </w:r>
      <w:r w:rsidRPr="00B7032A">
        <w:rPr>
          <w:rFonts w:ascii="Arial" w:hAnsi="Arial" w:cs="Arial"/>
          <w:sz w:val="22"/>
          <w:lang w:val="es-ES"/>
        </w:rPr>
        <w:t xml:space="preserve">.  </w:t>
      </w:r>
    </w:p>
    <w:p w14:paraId="05A15979" w14:textId="77777777" w:rsidR="0055356C" w:rsidRPr="00B7032A" w:rsidRDefault="0055356C" w:rsidP="0055356C">
      <w:pPr>
        <w:spacing w:before="120" w:after="120" w:line="276" w:lineRule="auto"/>
        <w:ind w:firstLine="708"/>
        <w:jc w:val="both"/>
        <w:rPr>
          <w:rFonts w:ascii="Arial" w:hAnsi="Arial" w:cs="Arial"/>
          <w:bCs/>
          <w:color w:val="000000" w:themeColor="text1"/>
          <w:sz w:val="22"/>
          <w:lang w:val="es-ES"/>
        </w:rPr>
      </w:pPr>
      <w:r w:rsidRPr="00B7032A">
        <w:rPr>
          <w:rFonts w:ascii="Arial" w:hAnsi="Arial" w:cs="Arial"/>
          <w:sz w:val="22"/>
          <w:szCs w:val="22"/>
          <w:lang w:val="es-ES"/>
        </w:rPr>
        <w:t>Así lo señala el parágrafo 3 del artículo 2 que dispone lo siguiente:</w:t>
      </w:r>
      <w:r w:rsidRPr="00B7032A">
        <w:rPr>
          <w:rFonts w:ascii="Arial" w:eastAsia="Calibri" w:hAnsi="Arial" w:cs="Arial"/>
          <w:sz w:val="22"/>
          <w:szCs w:val="22"/>
          <w:lang w:val="es-ES"/>
        </w:rPr>
        <w:t xml:space="preserve"> </w:t>
      </w:r>
      <w:r w:rsidRPr="00B7032A">
        <w:rPr>
          <w:rFonts w:ascii="Arial" w:eastAsia="Calibri" w:hAnsi="Arial" w:cs="Arial"/>
          <w:sz w:val="22"/>
          <w:szCs w:val="22"/>
        </w:rPr>
        <w:t>«</w:t>
      </w:r>
      <w:r w:rsidRPr="00B7032A">
        <w:rPr>
          <w:rFonts w:ascii="Arial" w:hAnsi="Arial" w:cs="Arial"/>
          <w:sz w:val="22"/>
          <w:szCs w:val="22"/>
          <w:lang w:val="es-ES"/>
        </w:rPr>
        <w:t>Los documentos tipo de infraestructura social empezarán a regir para cada sector, esto es, educativo, salud y cultura, recreación y deporte, de acuerdo con lo dispuesto en las resoluciones mediante las cuales se adopten cada una de las matrices de experiencia y glosarios aplicables a cada sector</w:t>
      </w:r>
      <w:r w:rsidRPr="00B7032A">
        <w:rPr>
          <w:rFonts w:ascii="Arial" w:eastAsia="Calibri" w:hAnsi="Arial" w:cs="Arial"/>
          <w:sz w:val="22"/>
          <w:szCs w:val="22"/>
        </w:rPr>
        <w:t>».</w:t>
      </w:r>
      <w:r w:rsidRPr="00B7032A">
        <w:rPr>
          <w:rFonts w:ascii="Arial" w:hAnsi="Arial" w:cs="Arial"/>
          <w:sz w:val="22"/>
          <w:szCs w:val="22"/>
          <w:lang w:val="es-ES"/>
        </w:rPr>
        <w:t xml:space="preserve"> En concordancia, el «Documento Base» de </w:t>
      </w:r>
      <w:r w:rsidRPr="00B7032A">
        <w:rPr>
          <w:rFonts w:ascii="Arial" w:eastAsia="Calibri" w:hAnsi="Arial" w:cs="Arial"/>
          <w:sz w:val="22"/>
          <w:szCs w:val="22"/>
        </w:rPr>
        <w:t>licitación de obra pública de infraestructura social</w:t>
      </w:r>
      <w:r w:rsidRPr="00B7032A">
        <w:rPr>
          <w:rStyle w:val="Refdenotaalpie"/>
          <w:rFonts w:ascii="Arial" w:hAnsi="Arial" w:cs="Arial"/>
          <w:sz w:val="22"/>
          <w:szCs w:val="22"/>
          <w:lang w:val="es-ES"/>
        </w:rPr>
        <w:footnoteReference w:id="6"/>
      </w:r>
      <w:r w:rsidRPr="00B7032A">
        <w:rPr>
          <w:rFonts w:ascii="Arial" w:eastAsia="Calibri" w:hAnsi="Arial" w:cs="Arial"/>
          <w:sz w:val="22"/>
          <w:szCs w:val="22"/>
        </w:rPr>
        <w:t xml:space="preserve"> prescribe en la parte introductoria que «</w:t>
      </w:r>
      <w:r w:rsidRPr="00B7032A">
        <w:rPr>
          <w:rFonts w:ascii="Arial" w:hAnsi="Arial" w:cs="Arial"/>
          <w:bCs/>
          <w:color w:val="000000"/>
          <w:sz w:val="22"/>
          <w:szCs w:val="22"/>
          <w:lang w:eastAsia="es-CO"/>
        </w:rPr>
        <w:t>Este Documento Tipo de “infraestructura social” aplica a los procesos que correspondan a las actividades definidas en las matrices de experiencia, expedidas por la Agencia Nacional de Contratación Pública – Colombia Compra Eficiente para los sectores educativo, salud y cultura, recreación y deporte, sin perjuicio de que dicha Agencia incluya otros tipos de “infraestructura social”</w:t>
      </w:r>
      <w:r w:rsidRPr="00B7032A">
        <w:rPr>
          <w:rFonts w:ascii="Arial" w:eastAsia="Calibri" w:hAnsi="Arial" w:cs="Arial"/>
          <w:sz w:val="22"/>
          <w:szCs w:val="22"/>
        </w:rPr>
        <w:t>».</w:t>
      </w:r>
    </w:p>
    <w:p w14:paraId="19F227E3" w14:textId="77777777" w:rsidR="0055356C" w:rsidRPr="00B7032A" w:rsidRDefault="0055356C" w:rsidP="0055356C">
      <w:pPr>
        <w:spacing w:before="120" w:after="120" w:line="276" w:lineRule="auto"/>
        <w:ind w:firstLine="708"/>
        <w:jc w:val="both"/>
        <w:rPr>
          <w:rFonts w:ascii="Arial" w:hAnsi="Arial" w:cs="Arial"/>
          <w:sz w:val="22"/>
          <w:lang w:val="es-ES" w:eastAsia="en-GB"/>
        </w:rPr>
      </w:pPr>
      <w:r w:rsidRPr="00B7032A">
        <w:rPr>
          <w:rFonts w:ascii="Arial" w:hAnsi="Arial" w:cs="Arial"/>
          <w:bCs/>
          <w:color w:val="000000" w:themeColor="text1"/>
          <w:sz w:val="22"/>
          <w:lang w:val="es-ES"/>
        </w:rPr>
        <w:t xml:space="preserve">Cabe anotar que </w:t>
      </w:r>
      <w:r w:rsidRPr="00B7032A">
        <w:rPr>
          <w:rFonts w:ascii="Arial" w:hAnsi="Arial" w:cs="Arial"/>
          <w:bCs/>
          <w:color w:val="000000" w:themeColor="text1"/>
          <w:sz w:val="22"/>
        </w:rPr>
        <w:t xml:space="preserve">la Resolución 219 del 6 de agosto de 2021 contiene los documentos tipo que aplican </w:t>
      </w:r>
      <w:r w:rsidRPr="00B7032A">
        <w:rPr>
          <w:rFonts w:ascii="Arial" w:hAnsi="Arial" w:cs="Arial"/>
          <w:sz w:val="22"/>
          <w:lang w:val="es-ES"/>
        </w:rPr>
        <w:t>de forma transversal a los proyectos de infraestructura social en los sectores educativo; salud; cultura, recreación y deporte. Estos documentos son el documento base, los anexos, los formatos, los formularios y las matrices, los cuales se complementarán con cada una de las resoluciones que adoptan las matrices de experiencia y los anexos de glosario para cada uno de los sectores, definiendo así su alcance y vigencia.</w:t>
      </w:r>
    </w:p>
    <w:p w14:paraId="79F0FA64" w14:textId="0920536F" w:rsidR="0055356C" w:rsidRPr="00B7032A" w:rsidRDefault="0055356C" w:rsidP="0055356C">
      <w:pPr>
        <w:spacing w:before="120" w:after="120" w:line="276" w:lineRule="auto"/>
        <w:ind w:firstLine="708"/>
        <w:jc w:val="both"/>
        <w:rPr>
          <w:rFonts w:ascii="Arial" w:hAnsi="Arial" w:cs="Arial"/>
          <w:sz w:val="22"/>
          <w:lang w:val="es-ES"/>
        </w:rPr>
      </w:pPr>
      <w:r w:rsidRPr="00B7032A">
        <w:rPr>
          <w:rFonts w:ascii="Arial" w:hAnsi="Arial" w:cs="Arial"/>
          <w:sz w:val="22"/>
          <w:lang w:val="es-ES"/>
        </w:rPr>
        <w:t>En consecuencia, en materia de infraestructura social debe tenerse en cuenta que existen dos (2) clases de documentos tipo que se integran en cada proceso:</w:t>
      </w:r>
      <w:r w:rsidR="004B657F" w:rsidRPr="00B7032A">
        <w:rPr>
          <w:rFonts w:ascii="Arial" w:hAnsi="Arial" w:cs="Arial"/>
          <w:sz w:val="22"/>
          <w:lang w:val="es-ES"/>
        </w:rPr>
        <w:t xml:space="preserve"> </w:t>
      </w:r>
      <w:r w:rsidRPr="00B7032A">
        <w:rPr>
          <w:rFonts w:ascii="Arial" w:hAnsi="Arial" w:cs="Arial"/>
          <w:sz w:val="22"/>
          <w:lang w:val="es-ES"/>
        </w:rPr>
        <w:t xml:space="preserve">i) los documentos </w:t>
      </w:r>
      <w:r w:rsidRPr="00B7032A">
        <w:rPr>
          <w:rFonts w:ascii="Arial" w:hAnsi="Arial" w:cs="Arial"/>
          <w:i/>
          <w:sz w:val="22"/>
          <w:lang w:val="es-ES"/>
        </w:rPr>
        <w:t>transversales</w:t>
      </w:r>
      <w:r w:rsidRPr="00B7032A">
        <w:rPr>
          <w:rFonts w:ascii="Arial" w:hAnsi="Arial" w:cs="Arial"/>
          <w:sz w:val="22"/>
          <w:lang w:val="es-ES"/>
        </w:rPr>
        <w:t xml:space="preserve"> a todos los sectores de infraestructura social, es decir, el </w:t>
      </w:r>
      <w:r w:rsidRPr="00B7032A">
        <w:rPr>
          <w:rFonts w:ascii="Arial" w:hAnsi="Arial" w:cs="Arial"/>
          <w:sz w:val="22"/>
          <w:lang w:val="es-ES"/>
        </w:rPr>
        <w:lastRenderedPageBreak/>
        <w:t xml:space="preserve">documento base, los anexos, los formatos, los formularios y las matrices adoptados mediante la Resolución No. 219 de 2021; y </w:t>
      </w:r>
      <w:proofErr w:type="spellStart"/>
      <w:r w:rsidRPr="00B7032A">
        <w:rPr>
          <w:rFonts w:ascii="Arial" w:hAnsi="Arial" w:cs="Arial"/>
          <w:sz w:val="22"/>
          <w:lang w:val="es-ES"/>
        </w:rPr>
        <w:t>ii</w:t>
      </w:r>
      <w:proofErr w:type="spellEnd"/>
      <w:r w:rsidRPr="00B7032A">
        <w:rPr>
          <w:rFonts w:ascii="Arial" w:hAnsi="Arial" w:cs="Arial"/>
          <w:sz w:val="22"/>
          <w:lang w:val="es-ES"/>
        </w:rPr>
        <w:t xml:space="preserve">) los documentos tipo </w:t>
      </w:r>
      <w:r w:rsidRPr="00B7032A">
        <w:rPr>
          <w:rFonts w:ascii="Arial" w:hAnsi="Arial" w:cs="Arial"/>
          <w:i/>
          <w:sz w:val="22"/>
          <w:lang w:val="es-ES"/>
        </w:rPr>
        <w:t>complementarios</w:t>
      </w:r>
      <w:r w:rsidRPr="00B7032A">
        <w:rPr>
          <w:rFonts w:ascii="Arial" w:hAnsi="Arial" w:cs="Arial"/>
          <w:iCs/>
          <w:sz w:val="22"/>
          <w:lang w:val="es-ES"/>
        </w:rPr>
        <w:t>,</w:t>
      </w:r>
      <w:r w:rsidRPr="00B7032A">
        <w:rPr>
          <w:rFonts w:ascii="Arial" w:hAnsi="Arial" w:cs="Arial"/>
          <w:i/>
          <w:sz w:val="22"/>
          <w:lang w:val="es-ES"/>
        </w:rPr>
        <w:t xml:space="preserve"> </w:t>
      </w:r>
      <w:r w:rsidRPr="00B7032A">
        <w:rPr>
          <w:rFonts w:ascii="Arial" w:hAnsi="Arial" w:cs="Arial"/>
          <w:sz w:val="22"/>
          <w:lang w:val="es-ES"/>
        </w:rPr>
        <w:t>referentes a la matriz de experiencia y el glosario, los cuales han sido adoptados en la resolución para cada sector específico.</w:t>
      </w:r>
    </w:p>
    <w:p w14:paraId="2CC2C0BF" w14:textId="077E096A" w:rsidR="0055356C" w:rsidRPr="00B7032A" w:rsidRDefault="0055356C" w:rsidP="0055356C">
      <w:pPr>
        <w:spacing w:before="120" w:after="120" w:line="276" w:lineRule="auto"/>
        <w:ind w:firstLine="708"/>
        <w:jc w:val="both"/>
        <w:rPr>
          <w:rFonts w:ascii="Arial" w:hAnsi="Arial" w:cs="Arial"/>
          <w:sz w:val="22"/>
          <w:lang w:val="es-ES"/>
        </w:rPr>
      </w:pPr>
      <w:r w:rsidRPr="00B7032A">
        <w:rPr>
          <w:rFonts w:ascii="Arial" w:hAnsi="Arial" w:cs="Arial"/>
          <w:bCs/>
          <w:color w:val="000000" w:themeColor="text1"/>
          <w:sz w:val="22"/>
          <w:lang w:val="es-ES"/>
        </w:rPr>
        <w:t>En tal sentido, el</w:t>
      </w:r>
      <w:r w:rsidR="004327A7" w:rsidRPr="00B7032A">
        <w:rPr>
          <w:rFonts w:ascii="Arial" w:hAnsi="Arial" w:cs="Arial"/>
          <w:bCs/>
          <w:color w:val="000000" w:themeColor="text1"/>
          <w:sz w:val="22"/>
          <w:lang w:val="es-ES"/>
        </w:rPr>
        <w:t xml:space="preserve"> </w:t>
      </w:r>
      <w:r w:rsidRPr="00B7032A">
        <w:rPr>
          <w:rFonts w:ascii="Arial" w:hAnsi="Arial" w:cs="Arial"/>
          <w:bCs/>
          <w:color w:val="000000" w:themeColor="text1"/>
          <w:sz w:val="22"/>
          <w:lang w:val="es-ES"/>
        </w:rPr>
        <w:t>6 de agosto</w:t>
      </w:r>
      <w:r w:rsidR="004327A7" w:rsidRPr="00B7032A">
        <w:rPr>
          <w:rFonts w:ascii="Arial" w:hAnsi="Arial" w:cs="Arial"/>
          <w:bCs/>
          <w:color w:val="000000" w:themeColor="text1"/>
          <w:sz w:val="22"/>
          <w:lang w:val="es-ES"/>
        </w:rPr>
        <w:t xml:space="preserve"> de 2021</w:t>
      </w:r>
      <w:r w:rsidRPr="00B7032A">
        <w:rPr>
          <w:rFonts w:ascii="Arial" w:hAnsi="Arial" w:cs="Arial"/>
          <w:bCs/>
          <w:color w:val="000000" w:themeColor="text1"/>
          <w:sz w:val="22"/>
          <w:lang w:val="es-ES"/>
        </w:rPr>
        <w:t xml:space="preserve"> se </w:t>
      </w:r>
      <w:bookmarkStart w:id="14" w:name="_Hlk83803153"/>
      <w:r w:rsidRPr="00B7032A">
        <w:rPr>
          <w:rFonts w:ascii="Arial" w:hAnsi="Arial" w:cs="Arial"/>
          <w:bCs/>
          <w:color w:val="000000" w:themeColor="text1"/>
          <w:sz w:val="22"/>
          <w:lang w:val="es-ES"/>
        </w:rPr>
        <w:t xml:space="preserve">adoptaron los documentos tipo complementarios para los procesos de licitación de obra pública de infraestructura social relacionados con el </w:t>
      </w:r>
      <w:r w:rsidRPr="00B7032A">
        <w:rPr>
          <w:rFonts w:ascii="Arial" w:hAnsi="Arial" w:cs="Arial"/>
          <w:bCs/>
          <w:i/>
          <w:iCs/>
          <w:color w:val="000000" w:themeColor="text1"/>
          <w:sz w:val="22"/>
          <w:lang w:val="es-ES"/>
        </w:rPr>
        <w:t>sector educ</w:t>
      </w:r>
      <w:r w:rsidRPr="00B7032A">
        <w:rPr>
          <w:rFonts w:ascii="Arial" w:hAnsi="Arial" w:cs="Arial"/>
          <w:bCs/>
          <w:i/>
          <w:color w:val="000000" w:themeColor="text1"/>
          <w:sz w:val="22"/>
          <w:lang w:val="es-ES"/>
        </w:rPr>
        <w:t>ativo</w:t>
      </w:r>
      <w:bookmarkEnd w:id="14"/>
      <w:r w:rsidRPr="00B7032A">
        <w:rPr>
          <w:rFonts w:ascii="Arial" w:hAnsi="Arial" w:cs="Arial"/>
          <w:bCs/>
          <w:i/>
          <w:color w:val="000000" w:themeColor="text1"/>
          <w:sz w:val="22"/>
          <w:lang w:val="es-ES"/>
        </w:rPr>
        <w:t xml:space="preserve">, </w:t>
      </w:r>
      <w:r w:rsidRPr="00B7032A">
        <w:rPr>
          <w:rFonts w:ascii="Arial" w:hAnsi="Arial" w:cs="Arial"/>
          <w:bCs/>
          <w:color w:val="000000" w:themeColor="text1"/>
          <w:sz w:val="22"/>
          <w:lang w:val="es-ES"/>
        </w:rPr>
        <w:t xml:space="preserve">mediante la </w:t>
      </w:r>
      <w:r w:rsidRPr="00B7032A">
        <w:rPr>
          <w:rFonts w:ascii="Arial" w:hAnsi="Arial" w:cs="Arial"/>
          <w:sz w:val="22"/>
          <w:lang w:val="es-ES"/>
        </w:rPr>
        <w:t>Resolución No. 220 de 202</w:t>
      </w:r>
      <w:r w:rsidR="004327A7" w:rsidRPr="00B7032A">
        <w:rPr>
          <w:rFonts w:ascii="Arial" w:hAnsi="Arial" w:cs="Arial"/>
          <w:sz w:val="22"/>
          <w:lang w:val="es-ES"/>
        </w:rPr>
        <w:t>1</w:t>
      </w:r>
      <w:r w:rsidRPr="00B7032A">
        <w:rPr>
          <w:rFonts w:ascii="Arial" w:hAnsi="Arial" w:cs="Arial"/>
          <w:sz w:val="22"/>
          <w:lang w:val="es-ES"/>
        </w:rPr>
        <w:t>. Esta Resolución, en el artículo 2, desarrolla el «Anexo -Glosario Sector Educativo» y la «Matriz -Experiencia Sector Educativo», lo que significa que estos documentos definen el alcance para ese sector específicamente. Igualmente, la Matriz de experiencia de cada sector, además de estandarizar el requisito habilitante de experiencia, señala los proyectos o contratos concretos a los cuales aplican los documentos tipo, en el entendido de que aplicarán a los procesos contractuales cuyo objeto se relacione con alguna de las actividades establecidas de forma detallada en la Matriz de experiencia respectiva.</w:t>
      </w:r>
    </w:p>
    <w:p w14:paraId="466920F3" w14:textId="576BE0F3" w:rsidR="0086572B" w:rsidRPr="00B7032A" w:rsidRDefault="0055356C" w:rsidP="0086572B">
      <w:pPr>
        <w:spacing w:before="120" w:after="120" w:line="276" w:lineRule="auto"/>
        <w:ind w:firstLine="708"/>
        <w:jc w:val="both"/>
        <w:rPr>
          <w:rFonts w:ascii="Arial" w:eastAsia="Calibri" w:hAnsi="Arial" w:cs="Arial"/>
          <w:sz w:val="22"/>
          <w:lang w:val="es-ES_tradnl"/>
        </w:rPr>
      </w:pPr>
      <w:r w:rsidRPr="00B7032A">
        <w:rPr>
          <w:rFonts w:ascii="Arial" w:hAnsi="Arial" w:cs="Arial"/>
          <w:sz w:val="22"/>
          <w:lang w:val="es-ES"/>
        </w:rPr>
        <w:t xml:space="preserve">Así las cosas, la </w:t>
      </w:r>
      <w:r w:rsidR="00797CA6" w:rsidRPr="00B7032A">
        <w:rPr>
          <w:rFonts w:ascii="Arial" w:hAnsi="Arial" w:cs="Arial"/>
          <w:sz w:val="22"/>
          <w:lang w:val="es-ES"/>
        </w:rPr>
        <w:t>«</w:t>
      </w:r>
      <w:r w:rsidR="004327A7" w:rsidRPr="00B7032A">
        <w:rPr>
          <w:rFonts w:ascii="Arial" w:hAnsi="Arial" w:cs="Arial"/>
          <w:sz w:val="22"/>
          <w:lang w:val="es-ES"/>
        </w:rPr>
        <w:t>M</w:t>
      </w:r>
      <w:r w:rsidRPr="00B7032A">
        <w:rPr>
          <w:rFonts w:ascii="Arial" w:hAnsi="Arial" w:cs="Arial"/>
          <w:sz w:val="22"/>
          <w:lang w:val="es-ES"/>
        </w:rPr>
        <w:t xml:space="preserve">atriz </w:t>
      </w:r>
      <w:r w:rsidR="004327A7" w:rsidRPr="00B7032A">
        <w:rPr>
          <w:rFonts w:ascii="Arial" w:hAnsi="Arial" w:cs="Arial"/>
          <w:sz w:val="22"/>
          <w:lang w:val="es-ES"/>
        </w:rPr>
        <w:t>- E</w:t>
      </w:r>
      <w:r w:rsidRPr="00B7032A">
        <w:rPr>
          <w:rFonts w:ascii="Arial" w:hAnsi="Arial" w:cs="Arial"/>
          <w:sz w:val="22"/>
          <w:lang w:val="es-ES"/>
        </w:rPr>
        <w:t xml:space="preserve">xperiencia </w:t>
      </w:r>
      <w:r w:rsidR="004327A7" w:rsidRPr="00B7032A">
        <w:rPr>
          <w:rFonts w:ascii="Arial" w:hAnsi="Arial" w:cs="Arial"/>
          <w:sz w:val="22"/>
          <w:lang w:val="es-ES"/>
        </w:rPr>
        <w:t>Sector Educativo</w:t>
      </w:r>
      <w:r w:rsidR="00797CA6" w:rsidRPr="00B7032A">
        <w:rPr>
          <w:rFonts w:ascii="Arial" w:hAnsi="Arial" w:cs="Arial"/>
          <w:sz w:val="22"/>
          <w:lang w:val="es-ES"/>
        </w:rPr>
        <w:t>»</w:t>
      </w:r>
      <w:r w:rsidR="004327A7" w:rsidRPr="00B7032A">
        <w:rPr>
          <w:rFonts w:ascii="Arial" w:hAnsi="Arial" w:cs="Arial"/>
          <w:sz w:val="22"/>
          <w:lang w:val="es-ES"/>
        </w:rPr>
        <w:t xml:space="preserve"> </w:t>
      </w:r>
      <w:r w:rsidRPr="00B7032A">
        <w:rPr>
          <w:rFonts w:ascii="Arial" w:hAnsi="Arial" w:cs="Arial"/>
          <w:sz w:val="22"/>
          <w:lang w:val="es-ES"/>
        </w:rPr>
        <w:t xml:space="preserve">de los documentos tipo complementarios que se adoptaron con la Resolución 220 del 6 de agosto de 2021 aplica a cuatro (4) tipos de obras: i) obras en infraestructura vertical en instituciones educativas, </w:t>
      </w:r>
      <w:proofErr w:type="spellStart"/>
      <w:r w:rsidRPr="00B7032A">
        <w:rPr>
          <w:rFonts w:ascii="Arial" w:hAnsi="Arial" w:cs="Arial"/>
          <w:sz w:val="22"/>
          <w:lang w:val="es-ES"/>
        </w:rPr>
        <w:t>ii</w:t>
      </w:r>
      <w:proofErr w:type="spellEnd"/>
      <w:r w:rsidRPr="00B7032A">
        <w:rPr>
          <w:rFonts w:ascii="Arial" w:hAnsi="Arial" w:cs="Arial"/>
          <w:sz w:val="22"/>
          <w:lang w:val="es-ES"/>
        </w:rPr>
        <w:t xml:space="preserve">) obras en infraestructura recreo-deportiva y cultural en instituciones educativas, </w:t>
      </w:r>
      <w:proofErr w:type="spellStart"/>
      <w:r w:rsidRPr="00B7032A">
        <w:rPr>
          <w:rFonts w:ascii="Arial" w:hAnsi="Arial" w:cs="Arial"/>
          <w:sz w:val="22"/>
          <w:lang w:val="es-ES"/>
        </w:rPr>
        <w:t>iii</w:t>
      </w:r>
      <w:proofErr w:type="spellEnd"/>
      <w:r w:rsidRPr="00B7032A">
        <w:rPr>
          <w:rFonts w:ascii="Arial" w:hAnsi="Arial" w:cs="Arial"/>
          <w:sz w:val="22"/>
          <w:lang w:val="es-ES"/>
        </w:rPr>
        <w:t xml:space="preserve">) obras en vías de acceso y/o parqueaderos y/o zonas de circulación –vehicular y/o peatonal– en instituciones educativas y </w:t>
      </w:r>
      <w:proofErr w:type="spellStart"/>
      <w:r w:rsidRPr="00B7032A">
        <w:rPr>
          <w:rFonts w:ascii="Arial" w:hAnsi="Arial" w:cs="Arial"/>
          <w:sz w:val="22"/>
          <w:lang w:val="es-ES"/>
        </w:rPr>
        <w:t>iv</w:t>
      </w:r>
      <w:proofErr w:type="spellEnd"/>
      <w:r w:rsidRPr="00B7032A">
        <w:rPr>
          <w:rFonts w:ascii="Arial" w:hAnsi="Arial" w:cs="Arial"/>
          <w:sz w:val="22"/>
          <w:lang w:val="es-ES"/>
        </w:rPr>
        <w:t>) obras en bibliotecas públicas.</w:t>
      </w:r>
    </w:p>
    <w:p w14:paraId="4A21E1A5" w14:textId="1739C6BA" w:rsidR="0055356C" w:rsidRPr="00B7032A" w:rsidRDefault="00CF212C" w:rsidP="0055356C">
      <w:pPr>
        <w:spacing w:after="120" w:line="276" w:lineRule="auto"/>
        <w:ind w:firstLine="709"/>
        <w:jc w:val="both"/>
        <w:rPr>
          <w:rFonts w:ascii="Arial" w:eastAsia="Calibri" w:hAnsi="Arial" w:cs="Arial"/>
          <w:sz w:val="22"/>
          <w:lang w:val="es-ES_tradnl"/>
        </w:rPr>
      </w:pPr>
      <w:r w:rsidRPr="00B7032A">
        <w:rPr>
          <w:rFonts w:ascii="Arial" w:hAnsi="Arial" w:cs="Arial"/>
          <w:sz w:val="22"/>
          <w:lang w:val="es-ES"/>
        </w:rPr>
        <w:t>Así las cosas</w:t>
      </w:r>
      <w:r w:rsidR="0055356C" w:rsidRPr="00B7032A">
        <w:rPr>
          <w:rFonts w:ascii="Arial" w:hAnsi="Arial" w:cs="Arial"/>
          <w:sz w:val="22"/>
          <w:lang w:val="es-ES"/>
        </w:rPr>
        <w:t xml:space="preserve">, siempre que el objeto esté relacionado con alguna de dichas actividades, los documentos tipo adoptados mediante las Resoluciones 219 y 220 del 6 de agosto de 2021 son </w:t>
      </w:r>
      <w:r w:rsidR="0055356C" w:rsidRPr="00B7032A">
        <w:rPr>
          <w:rFonts w:ascii="Arial" w:hAnsi="Arial" w:cs="Arial"/>
          <w:sz w:val="22"/>
          <w:lang w:val="es-ES"/>
        </w:rPr>
        <w:t xml:space="preserve">obligatorios para las entidades sometidas a la Ley 80 de 1993 que contraten la ejecución de obras públicas de infraestructura social del sector educativo </w:t>
      </w:r>
      <w:r w:rsidR="00572E5A" w:rsidRPr="00B7032A">
        <w:rPr>
          <w:rFonts w:ascii="Arial" w:hAnsi="Arial" w:cs="Arial"/>
          <w:sz w:val="22"/>
          <w:lang w:val="es-ES"/>
        </w:rPr>
        <w:t>mediante</w:t>
      </w:r>
      <w:r w:rsidR="0055356C" w:rsidRPr="00B7032A">
        <w:rPr>
          <w:rFonts w:ascii="Arial" w:hAnsi="Arial" w:cs="Arial"/>
          <w:sz w:val="22"/>
          <w:lang w:val="es-ES"/>
        </w:rPr>
        <w:t xml:space="preserve"> licitación pública. </w:t>
      </w:r>
    </w:p>
    <w:p w14:paraId="51280AA0" w14:textId="502A7220" w:rsidR="0086572B" w:rsidRPr="00B7032A" w:rsidRDefault="0055356C" w:rsidP="00CF212C">
      <w:pPr>
        <w:spacing w:line="276" w:lineRule="auto"/>
        <w:ind w:firstLine="708"/>
        <w:jc w:val="both"/>
        <w:rPr>
          <w:rFonts w:ascii="Arial" w:eastAsia="Calibri" w:hAnsi="Arial" w:cs="Arial"/>
          <w:color w:val="000000"/>
          <w:sz w:val="22"/>
          <w:lang w:val="es-ES_tradnl" w:eastAsia="es-ES"/>
        </w:rPr>
      </w:pPr>
      <w:r w:rsidRPr="00B7032A">
        <w:rPr>
          <w:rFonts w:ascii="Arial" w:hAnsi="Arial" w:cs="Arial"/>
          <w:sz w:val="22"/>
          <w:lang w:val="es-ES"/>
        </w:rPr>
        <w:t xml:space="preserve"> </w:t>
      </w:r>
      <w:r w:rsidR="006138EB" w:rsidRPr="00B7032A">
        <w:rPr>
          <w:rFonts w:ascii="Arial" w:hAnsi="Arial" w:cs="Arial"/>
          <w:sz w:val="22"/>
          <w:lang w:val="es-ES"/>
        </w:rPr>
        <w:t xml:space="preserve">Vale anotar </w:t>
      </w:r>
      <w:r w:rsidRPr="00B7032A">
        <w:rPr>
          <w:rFonts w:ascii="Arial" w:eastAsia="Calibri" w:hAnsi="Arial" w:cs="Arial"/>
          <w:color w:val="000000"/>
          <w:sz w:val="22"/>
          <w:lang w:val="es-ES_tradnl" w:eastAsia="es-ES"/>
        </w:rPr>
        <w:t xml:space="preserve">que mediante la Resolución 336 del 2 de noviembre de 2021, se aplazó y se dispuso la implementación </w:t>
      </w:r>
      <w:r w:rsidRPr="00B7032A">
        <w:rPr>
          <w:rFonts w:ascii="Arial" w:eastAsia="Calibri" w:hAnsi="Arial" w:cs="Arial"/>
          <w:color w:val="000000"/>
          <w:sz w:val="22"/>
          <w:lang w:val="es-ES_tradnl" w:eastAsia="es-ES"/>
        </w:rPr>
        <w:t>gradual y progresiva de los documentos tipo complementarios para procesos de licitación de obra pública de infraestructura social, de acuerdo con los grupos de entidades y fechas señaladas en el cronograma del artículo 6 de la Resolución No. 219 de 2021</w:t>
      </w:r>
      <w:r w:rsidRPr="00B7032A">
        <w:rPr>
          <w:rStyle w:val="Refdenotaalpie"/>
          <w:rFonts w:ascii="Arial" w:eastAsia="Calibri" w:hAnsi="Arial" w:cs="Arial"/>
          <w:color w:val="000000"/>
          <w:sz w:val="22"/>
          <w:lang w:val="es-ES_tradnl" w:eastAsia="es-ES"/>
        </w:rPr>
        <w:footnoteReference w:id="7"/>
      </w:r>
      <w:r w:rsidR="00CF212C" w:rsidRPr="00B7032A">
        <w:rPr>
          <w:rFonts w:ascii="Arial" w:eastAsia="Calibri" w:hAnsi="Arial" w:cs="Arial"/>
          <w:color w:val="000000"/>
          <w:sz w:val="22"/>
          <w:lang w:val="es-ES_tradnl" w:eastAsia="es-ES"/>
        </w:rPr>
        <w:t xml:space="preserve">. Teniendo en cuenta lo anterior, a partir del 1 de abril </w:t>
      </w:r>
      <w:r w:rsidR="00CF212C" w:rsidRPr="00B7032A">
        <w:rPr>
          <w:rFonts w:ascii="Arial" w:eastAsia="Calibri" w:hAnsi="Arial" w:cs="Arial"/>
          <w:color w:val="000000"/>
          <w:sz w:val="22"/>
          <w:lang w:val="es-ES_tradnl" w:eastAsia="es-ES"/>
        </w:rPr>
        <w:lastRenderedPageBreak/>
        <w:t xml:space="preserve">de 2022 estos documentos tipo deben ser implementados en todas las entidades en las que resulte obligatorio </w:t>
      </w:r>
      <w:r w:rsidR="006138EB" w:rsidRPr="00B7032A">
        <w:rPr>
          <w:rFonts w:ascii="Arial" w:eastAsia="Calibri" w:hAnsi="Arial" w:cs="Arial"/>
          <w:color w:val="000000"/>
          <w:sz w:val="22"/>
          <w:lang w:val="es-ES_tradnl" w:eastAsia="es-ES"/>
        </w:rPr>
        <w:t>para</w:t>
      </w:r>
      <w:r w:rsidRPr="00B7032A">
        <w:rPr>
          <w:rFonts w:ascii="Arial" w:eastAsia="Calibri" w:hAnsi="Arial" w:cs="Arial"/>
          <w:color w:val="000000"/>
          <w:sz w:val="22"/>
          <w:lang w:val="es-ES_tradnl" w:eastAsia="es-ES"/>
        </w:rPr>
        <w:t xml:space="preserve"> los procedimientos de selección de licitación de obra pública de infraestructura social</w:t>
      </w:r>
      <w:r w:rsidR="00CF212C" w:rsidRPr="00B7032A">
        <w:rPr>
          <w:rFonts w:ascii="Arial" w:eastAsia="Calibri" w:hAnsi="Arial" w:cs="Arial"/>
          <w:color w:val="000000"/>
          <w:sz w:val="22"/>
          <w:lang w:val="es-ES_tradnl" w:eastAsia="es-ES"/>
        </w:rPr>
        <w:t xml:space="preserve"> que </w:t>
      </w:r>
      <w:r w:rsidR="006138EB" w:rsidRPr="00B7032A">
        <w:rPr>
          <w:rFonts w:ascii="Arial" w:eastAsia="Calibri" w:hAnsi="Arial" w:cs="Arial"/>
          <w:color w:val="000000"/>
          <w:sz w:val="22"/>
          <w:lang w:val="es-ES_tradnl" w:eastAsia="es-ES"/>
        </w:rPr>
        <w:t xml:space="preserve">estas </w:t>
      </w:r>
      <w:r w:rsidR="00CF212C" w:rsidRPr="00B7032A">
        <w:rPr>
          <w:rFonts w:ascii="Arial" w:eastAsia="Calibri" w:hAnsi="Arial" w:cs="Arial"/>
          <w:color w:val="000000"/>
          <w:sz w:val="22"/>
          <w:lang w:val="es-ES_tradnl" w:eastAsia="es-ES"/>
        </w:rPr>
        <w:t>adelante</w:t>
      </w:r>
      <w:r w:rsidR="006138EB" w:rsidRPr="00B7032A">
        <w:rPr>
          <w:rFonts w:ascii="Arial" w:eastAsia="Calibri" w:hAnsi="Arial" w:cs="Arial"/>
          <w:color w:val="000000"/>
          <w:sz w:val="22"/>
          <w:lang w:val="es-ES_tradnl" w:eastAsia="es-ES"/>
        </w:rPr>
        <w:t xml:space="preserve">n. </w:t>
      </w:r>
    </w:p>
    <w:p w14:paraId="56272D34" w14:textId="37FE0B71" w:rsidR="00CF212C" w:rsidRPr="00B7032A" w:rsidRDefault="00CF212C" w:rsidP="00CF212C">
      <w:pPr>
        <w:spacing w:line="276" w:lineRule="auto"/>
        <w:jc w:val="both"/>
        <w:rPr>
          <w:rFonts w:ascii="Arial" w:eastAsia="Calibri" w:hAnsi="Arial" w:cs="Arial"/>
          <w:sz w:val="22"/>
          <w:szCs w:val="22"/>
          <w:lang w:val="es-ES_tradnl" w:eastAsia="en-US"/>
        </w:rPr>
      </w:pPr>
    </w:p>
    <w:p w14:paraId="1ED203F3" w14:textId="0D1A0A1B" w:rsidR="006138EB" w:rsidRPr="00B7032A" w:rsidRDefault="00CF212C" w:rsidP="006138EB">
      <w:pPr>
        <w:spacing w:line="276" w:lineRule="auto"/>
        <w:jc w:val="both"/>
        <w:rPr>
          <w:rFonts w:ascii="Arial" w:eastAsia="Calibri" w:hAnsi="Arial" w:cs="Arial"/>
          <w:b/>
          <w:bCs/>
          <w:color w:val="000000"/>
          <w:sz w:val="22"/>
          <w:lang w:eastAsia="en-GB"/>
        </w:rPr>
      </w:pPr>
      <w:r w:rsidRPr="00B7032A">
        <w:rPr>
          <w:rFonts w:ascii="Arial" w:eastAsia="Calibri" w:hAnsi="Arial" w:cs="Arial"/>
          <w:b/>
          <w:bCs/>
          <w:sz w:val="22"/>
          <w:szCs w:val="22"/>
          <w:lang w:val="es-ES_tradnl" w:eastAsia="en-US"/>
        </w:rPr>
        <w:t>2.2</w:t>
      </w:r>
      <w:r w:rsidRPr="00B7032A">
        <w:rPr>
          <w:rFonts w:ascii="Arial" w:eastAsia="Calibri" w:hAnsi="Arial" w:cs="Arial"/>
          <w:sz w:val="22"/>
          <w:szCs w:val="22"/>
          <w:lang w:val="es-ES_tradnl" w:eastAsia="en-US"/>
        </w:rPr>
        <w:t xml:space="preserve">. </w:t>
      </w:r>
      <w:r w:rsidR="006138EB" w:rsidRPr="00B7032A">
        <w:rPr>
          <w:rFonts w:ascii="Arial" w:eastAsia="Arial" w:hAnsi="Arial" w:cs="Arial"/>
          <w:b/>
          <w:bCs/>
          <w:color w:val="000000"/>
          <w:sz w:val="22"/>
          <w:szCs w:val="22"/>
          <w:lang w:val="es-ES_tradnl"/>
        </w:rPr>
        <w:t xml:space="preserve">Alcance de la regla de la inalterabilidad de los documentos tipo de infraestructura social </w:t>
      </w:r>
      <w:r w:rsidR="006138EB" w:rsidRPr="00B7032A">
        <w:rPr>
          <w:rFonts w:ascii="Arial" w:eastAsia="Calibri" w:hAnsi="Arial" w:cs="Arial"/>
          <w:b/>
          <w:bCs/>
          <w:sz w:val="22"/>
        </w:rPr>
        <w:t>relacionados con el sector educativo</w:t>
      </w:r>
    </w:p>
    <w:p w14:paraId="79EE4037" w14:textId="77777777" w:rsidR="006138EB" w:rsidRPr="00B7032A" w:rsidRDefault="006138EB" w:rsidP="006138EB">
      <w:pPr>
        <w:tabs>
          <w:tab w:val="left" w:pos="0"/>
        </w:tabs>
        <w:spacing w:line="276" w:lineRule="auto"/>
        <w:jc w:val="both"/>
        <w:rPr>
          <w:rFonts w:ascii="Arial" w:eastAsia="Calibri" w:hAnsi="Arial" w:cs="Arial"/>
          <w:b/>
          <w:color w:val="000000"/>
          <w:lang w:val="es-ES_tradnl"/>
        </w:rPr>
      </w:pPr>
    </w:p>
    <w:p w14:paraId="44226E00" w14:textId="1E898864" w:rsidR="006138EB" w:rsidRPr="00B7032A" w:rsidRDefault="006138EB" w:rsidP="006138EB">
      <w:pPr>
        <w:shd w:val="clear" w:color="auto" w:fill="FFFFFF"/>
        <w:spacing w:line="276" w:lineRule="auto"/>
        <w:jc w:val="both"/>
        <w:textAlignment w:val="baseline"/>
        <w:rPr>
          <w:rFonts w:ascii="Arial" w:hAnsi="Arial" w:cs="Arial"/>
          <w:b/>
          <w:bCs/>
          <w:color w:val="000000"/>
          <w:sz w:val="22"/>
          <w:lang w:eastAsia="es-CO"/>
        </w:rPr>
      </w:pPr>
      <w:bookmarkStart w:id="15" w:name="_Hlk72774853"/>
      <w:r w:rsidRPr="00B7032A">
        <w:rPr>
          <w:rFonts w:ascii="Arial" w:hAnsi="Arial" w:cs="Arial"/>
          <w:bCs/>
          <w:sz w:val="22"/>
          <w:lang w:val="es-ES_tradnl"/>
        </w:rPr>
        <w:t xml:space="preserve">El </w:t>
      </w:r>
      <w:bookmarkStart w:id="16" w:name="_Hlk81313863"/>
      <w:r w:rsidRPr="00B7032A">
        <w:rPr>
          <w:rFonts w:ascii="Arial" w:hAnsi="Arial" w:cs="Arial"/>
          <w:bCs/>
          <w:sz w:val="22"/>
          <w:lang w:val="es-ES_tradnl"/>
        </w:rPr>
        <w:t>artículo 3 de la Resoluci</w:t>
      </w:r>
      <w:bookmarkStart w:id="17" w:name="_Hlk87533586"/>
      <w:r w:rsidR="000D3418" w:rsidRPr="00B7032A">
        <w:rPr>
          <w:rFonts w:ascii="Arial" w:hAnsi="Arial" w:cs="Arial"/>
          <w:bCs/>
          <w:sz w:val="22"/>
          <w:lang w:val="es-ES_tradnl"/>
        </w:rPr>
        <w:t xml:space="preserve">ón </w:t>
      </w:r>
      <w:bookmarkEnd w:id="16"/>
      <w:bookmarkEnd w:id="17"/>
      <w:r w:rsidR="000D3418" w:rsidRPr="00B7032A">
        <w:rPr>
          <w:rFonts w:ascii="Arial" w:eastAsia="Calibri" w:hAnsi="Arial" w:cs="Arial"/>
          <w:sz w:val="22"/>
          <w:szCs w:val="22"/>
          <w:lang w:val="es-MX" w:eastAsia="en-US"/>
        </w:rPr>
        <w:t xml:space="preserve">220 de 2021 </w:t>
      </w:r>
      <w:r w:rsidRPr="00B7032A">
        <w:rPr>
          <w:rFonts w:ascii="Arial" w:hAnsi="Arial" w:cs="Arial"/>
          <w:bCs/>
          <w:sz w:val="22"/>
          <w:lang w:val="es-ES_tradnl"/>
        </w:rPr>
        <w:t xml:space="preserve">dispone la inalterabilidad de los documentos tipo de obra pública de infraestructura </w:t>
      </w:r>
      <w:r w:rsidR="000D3418" w:rsidRPr="00B7032A">
        <w:rPr>
          <w:rFonts w:ascii="Arial" w:hAnsi="Arial" w:cs="Arial"/>
          <w:bCs/>
          <w:sz w:val="22"/>
          <w:lang w:val="es-ES_tradnl"/>
        </w:rPr>
        <w:t xml:space="preserve">social relacionadas con el sector educativo. </w:t>
      </w:r>
      <w:r w:rsidRPr="00B7032A">
        <w:rPr>
          <w:rFonts w:ascii="Arial" w:hAnsi="Arial" w:cs="Arial"/>
          <w:bCs/>
          <w:sz w:val="22"/>
          <w:lang w:val="es-ES_tradnl"/>
        </w:rPr>
        <w:t>En consecuencia</w:t>
      </w:r>
      <w:bookmarkStart w:id="18" w:name="_Hlk64290904"/>
      <w:r w:rsidRPr="00B7032A">
        <w:rPr>
          <w:rFonts w:ascii="Arial" w:hAnsi="Arial" w:cs="Arial"/>
          <w:bCs/>
          <w:sz w:val="22"/>
          <w:lang w:val="es-ES_tradnl"/>
        </w:rPr>
        <w:t xml:space="preserve">, las condiciones establecidas en </w:t>
      </w:r>
      <w:r w:rsidRPr="00B7032A">
        <w:rPr>
          <w:rFonts w:ascii="Arial" w:hAnsi="Arial" w:cs="Arial"/>
          <w:bCs/>
          <w:sz w:val="22"/>
          <w:lang w:val="es-ES_tradnl"/>
        </w:rPr>
        <w:t xml:space="preserve">los documentos que adopte la Agencia, en ejercicio del mandato establecido en el artículo 1 de la Ley 2022 de 2020 son de obligatorio cumplimiento para las entidades sometidas al Estatuto General de Contratación de la Administración </w:t>
      </w:r>
      <w:r w:rsidR="00572E5A" w:rsidRPr="00B7032A">
        <w:rPr>
          <w:rFonts w:ascii="Arial" w:hAnsi="Arial" w:cs="Arial"/>
          <w:bCs/>
          <w:sz w:val="22"/>
          <w:lang w:val="es-ES_tradnl"/>
        </w:rPr>
        <w:t>P</w:t>
      </w:r>
      <w:r w:rsidRPr="00B7032A">
        <w:rPr>
          <w:rFonts w:ascii="Arial" w:hAnsi="Arial" w:cs="Arial"/>
          <w:bCs/>
          <w:sz w:val="22"/>
          <w:lang w:val="es-ES_tradnl"/>
        </w:rPr>
        <w:t>ública que adelanten procesos que deban regirse por su contenido y, salvo que se permita expresamente, no pueden variarse los requisitos fijados en ellos.</w:t>
      </w:r>
      <w:bookmarkEnd w:id="18"/>
      <w:r w:rsidRPr="00B7032A">
        <w:rPr>
          <w:rFonts w:ascii="Arial" w:hAnsi="Arial" w:cs="Arial"/>
          <w:bCs/>
          <w:sz w:val="22"/>
          <w:lang w:val="es-ES_tradnl"/>
        </w:rPr>
        <w:t xml:space="preserve"> </w:t>
      </w:r>
    </w:p>
    <w:p w14:paraId="77E2BEC1" w14:textId="705CB72C" w:rsidR="006138EB" w:rsidRPr="00B7032A" w:rsidRDefault="006138EB" w:rsidP="003D7F16">
      <w:pPr>
        <w:spacing w:before="120" w:line="276" w:lineRule="auto"/>
        <w:ind w:firstLine="709"/>
        <w:jc w:val="both"/>
        <w:rPr>
          <w:rFonts w:ascii="Arial" w:hAnsi="Arial" w:cs="Arial"/>
          <w:bCs/>
          <w:sz w:val="22"/>
          <w:lang w:val="es-MX"/>
        </w:rPr>
      </w:pPr>
      <w:r w:rsidRPr="00B7032A">
        <w:rPr>
          <w:rFonts w:ascii="Arial" w:hAnsi="Arial" w:cs="Arial"/>
          <w:bCs/>
          <w:sz w:val="22"/>
          <w:lang w:val="es-ES_tradnl"/>
        </w:rPr>
        <w:t xml:space="preserve">Esta prohibición la ratifica </w:t>
      </w:r>
      <w:r w:rsidR="005F589B" w:rsidRPr="00B7032A">
        <w:rPr>
          <w:rFonts w:ascii="Arial" w:hAnsi="Arial" w:cs="Arial"/>
          <w:bCs/>
          <w:sz w:val="22"/>
          <w:lang w:val="es-ES_tradnl"/>
        </w:rPr>
        <w:t xml:space="preserve">la parta introductoria </w:t>
      </w:r>
      <w:r w:rsidRPr="00B7032A">
        <w:rPr>
          <w:rFonts w:ascii="Arial" w:hAnsi="Arial" w:cs="Arial"/>
          <w:bCs/>
          <w:sz w:val="22"/>
          <w:lang w:val="es-ES_tradnl"/>
        </w:rPr>
        <w:t>del</w:t>
      </w:r>
      <w:r w:rsidR="000D3418" w:rsidRPr="00B7032A">
        <w:rPr>
          <w:rFonts w:ascii="Arial" w:hAnsi="Arial" w:cs="Arial"/>
          <w:bCs/>
          <w:sz w:val="22"/>
          <w:lang w:val="es-ES_tradnl"/>
        </w:rPr>
        <w:t xml:space="preserve"> documento base transversal a todos los documentos</w:t>
      </w:r>
      <w:r w:rsidRPr="00B7032A">
        <w:rPr>
          <w:rFonts w:ascii="Arial" w:hAnsi="Arial" w:cs="Arial"/>
          <w:bCs/>
          <w:sz w:val="22"/>
          <w:lang w:val="es-ES_tradnl"/>
        </w:rPr>
        <w:t>, al disponer la inalterabilidad de los documentos tipo en los siguientes términos: «</w:t>
      </w:r>
      <w:r w:rsidR="003D7F16" w:rsidRPr="00B7032A">
        <w:rPr>
          <w:rFonts w:ascii="Arial" w:hAnsi="Arial" w:cs="Arial"/>
          <w:bCs/>
          <w:sz w:val="22"/>
          <w:lang w:val="es-MX"/>
        </w:rPr>
        <w:t>La Entidad no podrá modificar los Formatos, Anexos, Matrices y Formularios, ni solicitar soportes o requisitos adicionales a los establecidos en el Documento Tipo</w:t>
      </w:r>
      <w:r w:rsidRPr="00B7032A">
        <w:rPr>
          <w:rFonts w:ascii="Arial" w:hAnsi="Arial" w:cs="Arial"/>
          <w:bCs/>
          <w:sz w:val="22"/>
          <w:lang w:val="es-ES_tradnl"/>
        </w:rPr>
        <w:t xml:space="preserve">». </w:t>
      </w:r>
    </w:p>
    <w:bookmarkEnd w:id="15"/>
    <w:p w14:paraId="50BCDA43" w14:textId="77777777" w:rsidR="006138EB" w:rsidRPr="00B7032A" w:rsidRDefault="006138EB" w:rsidP="006138EB">
      <w:pPr>
        <w:spacing w:before="120" w:line="276" w:lineRule="auto"/>
        <w:ind w:firstLine="708"/>
        <w:jc w:val="both"/>
        <w:rPr>
          <w:rFonts w:ascii="Arial" w:hAnsi="Arial" w:cs="Arial"/>
          <w:bCs/>
          <w:sz w:val="22"/>
          <w:lang w:val="es-ES_tradnl"/>
        </w:rPr>
      </w:pPr>
      <w:r w:rsidRPr="00B7032A">
        <w:rPr>
          <w:rFonts w:ascii="Arial" w:hAnsi="Arial" w:cs="Arial"/>
          <w:bCs/>
          <w:sz w:val="22"/>
          <w:lang w:val="es-ES_tradnl"/>
        </w:rPr>
        <w:t xml:space="preserve">Además, las entidades estatales deben garantizar el </w:t>
      </w:r>
      <w:r w:rsidRPr="00B7032A">
        <w:rPr>
          <w:rFonts w:ascii="Arial" w:hAnsi="Arial" w:cs="Arial"/>
          <w:bCs/>
          <w:i/>
          <w:iCs/>
          <w:sz w:val="22"/>
          <w:lang w:val="es-ES_tradnl"/>
        </w:rPr>
        <w:t>principio de economía</w:t>
      </w:r>
      <w:r w:rsidRPr="00B7032A">
        <w:rPr>
          <w:rFonts w:ascii="Arial" w:hAnsi="Arial" w:cs="Arial"/>
          <w:bCs/>
          <w:sz w:val="22"/>
          <w:lang w:val="es-ES_tradnl"/>
        </w:rPr>
        <w:t>, del cual se desprende que no pueden exigir documentos o requisitos más allá de los que permitan la Constitución, la ley y los reglamentos. Este postulado ha encontrado eco no solo en la contratación estatal</w:t>
      </w:r>
      <w:r w:rsidRPr="00B7032A">
        <w:rPr>
          <w:rStyle w:val="Refdenotaalpie"/>
          <w:rFonts w:ascii="Arial" w:hAnsi="Arial" w:cs="Arial"/>
          <w:bCs/>
          <w:sz w:val="22"/>
          <w:lang w:val="es-ES_tradnl"/>
        </w:rPr>
        <w:footnoteReference w:id="8"/>
      </w:r>
      <w:r w:rsidRPr="00B7032A">
        <w:rPr>
          <w:rFonts w:ascii="Arial" w:hAnsi="Arial" w:cs="Arial"/>
          <w:bCs/>
          <w:sz w:val="22"/>
          <w:lang w:val="es-ES_tradnl"/>
        </w:rPr>
        <w:t xml:space="preserve"> sino además en la normativa </w:t>
      </w:r>
      <w:proofErr w:type="spellStart"/>
      <w:r w:rsidRPr="00B7032A">
        <w:rPr>
          <w:rFonts w:ascii="Arial" w:hAnsi="Arial" w:cs="Arial"/>
          <w:bCs/>
          <w:sz w:val="22"/>
          <w:lang w:val="es-ES_tradnl"/>
        </w:rPr>
        <w:t>antitrámites</w:t>
      </w:r>
      <w:proofErr w:type="spellEnd"/>
      <w:r w:rsidRPr="00B7032A">
        <w:rPr>
          <w:rFonts w:ascii="Arial" w:hAnsi="Arial" w:cs="Arial"/>
          <w:bCs/>
          <w:sz w:val="22"/>
          <w:lang w:val="es-ES_tradnl"/>
        </w:rPr>
        <w:t xml:space="preserve">, pues se inscribe dentro de </w:t>
      </w:r>
      <w:r w:rsidRPr="00B7032A">
        <w:rPr>
          <w:rFonts w:ascii="Arial" w:hAnsi="Arial" w:cs="Arial"/>
          <w:bCs/>
          <w:sz w:val="22"/>
          <w:lang w:val="es-ES_tradnl"/>
        </w:rPr>
        <w:lastRenderedPageBreak/>
        <w:t>la tendencia de simplificación y racionalización de los procedimientos administrativos</w:t>
      </w:r>
      <w:r w:rsidRPr="00B7032A">
        <w:rPr>
          <w:rStyle w:val="Refdenotaalpie"/>
          <w:rFonts w:ascii="Arial" w:hAnsi="Arial" w:cs="Arial"/>
          <w:bCs/>
          <w:sz w:val="22"/>
          <w:lang w:val="es-ES_tradnl"/>
        </w:rPr>
        <w:footnoteReference w:id="9"/>
      </w:r>
      <w:r w:rsidRPr="00B7032A">
        <w:rPr>
          <w:rFonts w:ascii="Arial" w:hAnsi="Arial" w:cs="Arial"/>
          <w:bCs/>
          <w:sz w:val="22"/>
          <w:lang w:val="es-ES_tradnl"/>
        </w:rPr>
        <w:t xml:space="preserve">. De ahí que cuando las autoridades solicitan la entrega de documentación innecesaria, menoscaban el principio de </w:t>
      </w:r>
      <w:r w:rsidRPr="00B7032A">
        <w:rPr>
          <w:rFonts w:ascii="Arial" w:hAnsi="Arial" w:cs="Arial"/>
          <w:bCs/>
          <w:sz w:val="22"/>
          <w:lang w:val="es-ES_tradnl"/>
        </w:rPr>
        <w:t>economía.</w:t>
      </w:r>
    </w:p>
    <w:p w14:paraId="780E28C2" w14:textId="77777777" w:rsidR="006138EB" w:rsidRPr="00B7032A" w:rsidRDefault="006138EB" w:rsidP="006138EB">
      <w:pPr>
        <w:spacing w:before="120" w:line="276" w:lineRule="auto"/>
        <w:ind w:firstLine="709"/>
        <w:jc w:val="both"/>
        <w:rPr>
          <w:rFonts w:ascii="Arial" w:hAnsi="Arial" w:cs="Arial"/>
          <w:sz w:val="22"/>
        </w:rPr>
      </w:pPr>
      <w:r w:rsidRPr="00B7032A">
        <w:rPr>
          <w:rFonts w:ascii="Arial" w:hAnsi="Arial" w:cs="Arial"/>
          <w:sz w:val="22"/>
        </w:rPr>
        <w:t>Por su parte, la sección introductoria del documento base dispone que los aspectos incluidos en corchetes y resaltado gris –[</w:t>
      </w:r>
      <w:r w:rsidRPr="00AE5764">
        <w:rPr>
          <w:rFonts w:ascii="Arial" w:hAnsi="Arial" w:cs="Arial"/>
          <w:sz w:val="22"/>
          <w:highlight w:val="lightGray"/>
        </w:rPr>
        <w:t>texto de ejemplo</w:t>
      </w:r>
      <w:r w:rsidRPr="00B7032A">
        <w:rPr>
          <w:rFonts w:ascii="Arial" w:hAnsi="Arial" w:cs="Arial"/>
          <w:sz w:val="22"/>
        </w:rPr>
        <w:t xml:space="preserve">]– deben ser diligenciados por la entidad. Excepcionalmente le corresponde al proponente consignar la información incluida en corchetes y resaltada en gris, como, por ejemplo, los formatos que requieren de la firma del proponente o su representante legal. De todos modos, en cada acápite que esté resaltado en gris la entidad tendrá la libertad de determinar la información que se diligenciará en los documentos tipo, de acuerdo con su necesidad y las instrucciones del pliego. </w:t>
      </w:r>
    </w:p>
    <w:p w14:paraId="523E944F" w14:textId="12FD4858" w:rsidR="006138EB" w:rsidRPr="00B7032A" w:rsidRDefault="006138EB" w:rsidP="006138EB">
      <w:pPr>
        <w:spacing w:before="120" w:line="276" w:lineRule="auto"/>
        <w:ind w:firstLine="709"/>
        <w:jc w:val="both"/>
        <w:rPr>
          <w:rFonts w:ascii="Arial" w:hAnsi="Arial" w:cs="Arial"/>
          <w:bCs/>
          <w:sz w:val="22"/>
        </w:rPr>
      </w:pPr>
      <w:r w:rsidRPr="00B7032A">
        <w:rPr>
          <w:rFonts w:ascii="Arial" w:hAnsi="Arial" w:cs="Arial"/>
          <w:bCs/>
          <w:sz w:val="22"/>
        </w:rPr>
        <w:t>Es de precisar que la entidad durante la etapa de planeación</w:t>
      </w:r>
      <w:r w:rsidR="00572E5A" w:rsidRPr="00B7032A">
        <w:rPr>
          <w:rFonts w:ascii="Arial" w:hAnsi="Arial" w:cs="Arial"/>
          <w:bCs/>
          <w:sz w:val="22"/>
        </w:rPr>
        <w:t>,</w:t>
      </w:r>
      <w:r w:rsidRPr="00B7032A">
        <w:rPr>
          <w:rFonts w:ascii="Arial" w:hAnsi="Arial" w:cs="Arial"/>
          <w:bCs/>
          <w:sz w:val="22"/>
        </w:rPr>
        <w:t xml:space="preserve"> como resultado del estudio del sector y del análisis de riesgo, debe establecer las condiciones necesarias para garantizar la ejecución del contrato, teniendo en cuenta la necesidad que pretende satisfacer, el objeto, alcance, especificaciones técnicas, forma de pago y demás aspectos inherentes al proyecto. De allí que estas condiciones, al ser fijadas por parte de la entidad, pueden implicar modificaciones a los documentos tipo, las cuales deben ser adecuadas, proporcionales y consecuentes con su contenido, respetando </w:t>
      </w:r>
      <w:r w:rsidR="003D7F16" w:rsidRPr="00B7032A">
        <w:rPr>
          <w:rFonts w:ascii="Arial" w:hAnsi="Arial" w:cs="Arial"/>
          <w:bCs/>
          <w:sz w:val="22"/>
        </w:rPr>
        <w:t xml:space="preserve">la regla </w:t>
      </w:r>
      <w:r w:rsidRPr="00B7032A">
        <w:rPr>
          <w:rFonts w:ascii="Arial" w:hAnsi="Arial" w:cs="Arial"/>
          <w:bCs/>
          <w:sz w:val="22"/>
        </w:rPr>
        <w:t>de inalterabilidad.</w:t>
      </w:r>
    </w:p>
    <w:p w14:paraId="45CC8206" w14:textId="4866EF2C" w:rsidR="006138EB" w:rsidRPr="00B7032A" w:rsidRDefault="006138EB" w:rsidP="006138EB">
      <w:pPr>
        <w:spacing w:before="120" w:line="276" w:lineRule="auto"/>
        <w:ind w:firstLine="709"/>
        <w:jc w:val="both"/>
        <w:rPr>
          <w:rFonts w:ascii="Arial" w:hAnsi="Arial" w:cs="Arial"/>
          <w:sz w:val="22"/>
        </w:rPr>
      </w:pPr>
      <w:r w:rsidRPr="00B7032A">
        <w:rPr>
          <w:rFonts w:ascii="Arial" w:hAnsi="Arial" w:cs="Arial"/>
          <w:sz w:val="22"/>
        </w:rPr>
        <w:t>Además, el artículo 4 de la</w:t>
      </w:r>
      <w:r w:rsidR="00997F84" w:rsidRPr="00B7032A">
        <w:rPr>
          <w:rFonts w:ascii="Arial" w:hAnsi="Arial" w:cs="Arial"/>
          <w:sz w:val="22"/>
        </w:rPr>
        <w:t xml:space="preserve"> Resolución 219 de 2021</w:t>
      </w:r>
      <w:r w:rsidRPr="00B7032A">
        <w:rPr>
          <w:rFonts w:ascii="Arial" w:hAnsi="Arial" w:cs="Arial"/>
          <w:sz w:val="22"/>
        </w:rPr>
        <w:t xml:space="preserve"> prevé los eventos en los que el objeto contractual incluye bienes o servicios adicionales a la obra pública de infraestructura</w:t>
      </w:r>
      <w:r w:rsidR="00997F84" w:rsidRPr="00B7032A">
        <w:rPr>
          <w:rFonts w:ascii="Arial" w:hAnsi="Arial" w:cs="Arial"/>
          <w:sz w:val="22"/>
        </w:rPr>
        <w:t xml:space="preserve"> social</w:t>
      </w:r>
      <w:r w:rsidRPr="00B7032A">
        <w:rPr>
          <w:rStyle w:val="Refdenotaalpie"/>
          <w:rFonts w:ascii="Arial" w:hAnsi="Arial" w:cs="Arial"/>
          <w:sz w:val="22"/>
        </w:rPr>
        <w:footnoteReference w:id="10"/>
      </w:r>
      <w:r w:rsidRPr="00B7032A">
        <w:rPr>
          <w:rFonts w:ascii="Arial" w:hAnsi="Arial" w:cs="Arial"/>
          <w:sz w:val="22"/>
        </w:rPr>
        <w:t xml:space="preserve">. En este caso, la entidad estatal puede </w:t>
      </w:r>
      <w:r w:rsidR="00572E5A" w:rsidRPr="00B7032A">
        <w:rPr>
          <w:rFonts w:ascii="Arial" w:hAnsi="Arial" w:cs="Arial"/>
          <w:sz w:val="22"/>
        </w:rPr>
        <w:t xml:space="preserve">exigir </w:t>
      </w:r>
      <w:r w:rsidRPr="00B7032A">
        <w:rPr>
          <w:rFonts w:ascii="Arial" w:hAnsi="Arial" w:cs="Arial"/>
          <w:sz w:val="22"/>
        </w:rPr>
        <w:t xml:space="preserve">experiencia adicional </w:t>
      </w:r>
      <w:r w:rsidRPr="00B7032A">
        <w:rPr>
          <w:rFonts w:ascii="Arial" w:hAnsi="Arial" w:cs="Arial"/>
          <w:sz w:val="22"/>
        </w:rPr>
        <w:t xml:space="preserve">para evaluar la </w:t>
      </w:r>
      <w:r w:rsidRPr="00B7032A">
        <w:rPr>
          <w:rFonts w:ascii="Arial" w:hAnsi="Arial" w:cs="Arial"/>
          <w:sz w:val="22"/>
        </w:rPr>
        <w:lastRenderedPageBreak/>
        <w:t>idoneidad respecto de los bienes o servicios ajenos a la obra pública d</w:t>
      </w:r>
      <w:r w:rsidR="00CA13AC" w:rsidRPr="00B7032A">
        <w:rPr>
          <w:rFonts w:ascii="Arial" w:hAnsi="Arial" w:cs="Arial"/>
          <w:sz w:val="22"/>
        </w:rPr>
        <w:t>e infraestructura social</w:t>
      </w:r>
      <w:r w:rsidRPr="00B7032A">
        <w:rPr>
          <w:rFonts w:ascii="Arial" w:hAnsi="Arial" w:cs="Arial"/>
          <w:sz w:val="22"/>
        </w:rPr>
        <w:t xml:space="preserve">. No obstante, se deberán seguir los siguientes parámetros: i) demostrar en los estudios previos que ha verificado las condiciones de mercado para la adquisición de los bienes o servicios adicionales al componente de obra pública, de tal manera que la experiencia adicional que se exija procure la pluralidad de oferentes y no limite la concurrencia de proponentes al proceso de contratación, </w:t>
      </w:r>
      <w:proofErr w:type="spellStart"/>
      <w:r w:rsidRPr="00B7032A">
        <w:rPr>
          <w:rFonts w:ascii="Arial" w:hAnsi="Arial" w:cs="Arial"/>
          <w:sz w:val="22"/>
        </w:rPr>
        <w:t>ii</w:t>
      </w:r>
      <w:proofErr w:type="spellEnd"/>
      <w:r w:rsidRPr="00B7032A">
        <w:rPr>
          <w:rFonts w:ascii="Arial" w:hAnsi="Arial" w:cs="Arial"/>
          <w:sz w:val="22"/>
        </w:rPr>
        <w:t xml:space="preserve">) conservar los requisitos exigidos en los documentos tipo, </w:t>
      </w:r>
      <w:proofErr w:type="spellStart"/>
      <w:r w:rsidRPr="00B7032A">
        <w:rPr>
          <w:rFonts w:ascii="Arial" w:hAnsi="Arial" w:cs="Arial"/>
          <w:sz w:val="22"/>
        </w:rPr>
        <w:t>iii</w:t>
      </w:r>
      <w:proofErr w:type="spellEnd"/>
      <w:r w:rsidRPr="00B7032A">
        <w:rPr>
          <w:rFonts w:ascii="Arial" w:hAnsi="Arial" w:cs="Arial"/>
          <w:sz w:val="22"/>
        </w:rPr>
        <w:t xml:space="preserve">) abstenerse de pedir experiencia exclusiva con entidades estatales, experiencia previa en un territorio específico, limitada en el tiempo o que incluya volúmenes o cantidades de obra específica, y  </w:t>
      </w:r>
      <w:proofErr w:type="spellStart"/>
      <w:r w:rsidRPr="00B7032A">
        <w:rPr>
          <w:rFonts w:ascii="Arial" w:hAnsi="Arial" w:cs="Arial"/>
          <w:sz w:val="22"/>
        </w:rPr>
        <w:t>iv</w:t>
      </w:r>
      <w:proofErr w:type="spellEnd"/>
      <w:r w:rsidRPr="00B7032A">
        <w:rPr>
          <w:rFonts w:ascii="Arial" w:hAnsi="Arial" w:cs="Arial"/>
          <w:sz w:val="22"/>
        </w:rPr>
        <w:t xml:space="preserve">) clasificar la experiencia requerida solo hasta el tercer nivel del Clasificador de Bienes y Servicios e incluir exclusivamente los códigos que estén relacionados directamente con el objeto a contratar. </w:t>
      </w:r>
    </w:p>
    <w:p w14:paraId="51A50C86" w14:textId="75CD6F61" w:rsidR="006138EB" w:rsidRPr="00B7032A" w:rsidRDefault="006138EB" w:rsidP="006138EB">
      <w:pPr>
        <w:spacing w:before="120" w:line="276" w:lineRule="auto"/>
        <w:ind w:firstLine="709"/>
        <w:jc w:val="both"/>
        <w:rPr>
          <w:rFonts w:ascii="Arial" w:hAnsi="Arial" w:cs="Arial"/>
          <w:bCs/>
          <w:sz w:val="22"/>
        </w:rPr>
      </w:pPr>
      <w:r w:rsidRPr="00B7032A">
        <w:rPr>
          <w:rFonts w:ascii="Arial" w:hAnsi="Arial" w:cs="Arial"/>
          <w:bCs/>
          <w:sz w:val="22"/>
        </w:rPr>
        <w:t xml:space="preserve">En suma, la regla general frente la aplicación de los documentos tipo es su inalterabilidad, y no se podrán incluir o modificar en los documentos del proceso las condiciones habilitantes, los factores técnicos y económicos de escogencia y los sistemas de ponderación distintos a los señalados en los documentos tipo. Lo anterior, salvo que el objeto contractual incluya bienes o servicios ajenos a la obra pública de infraestructura de </w:t>
      </w:r>
      <w:r w:rsidR="00CA13AC" w:rsidRPr="00B7032A">
        <w:rPr>
          <w:rFonts w:ascii="Arial" w:hAnsi="Arial" w:cs="Arial"/>
          <w:bCs/>
          <w:sz w:val="22"/>
        </w:rPr>
        <w:t xml:space="preserve">infraestructura social relacionadas con el sector educativo, </w:t>
      </w:r>
      <w:r w:rsidRPr="00B7032A">
        <w:rPr>
          <w:rFonts w:ascii="Arial" w:hAnsi="Arial" w:cs="Arial"/>
          <w:bCs/>
          <w:sz w:val="22"/>
        </w:rPr>
        <w:t>caso en el que se podrá incluir experiencia adicional de manera excepcional; y, además, cuando el pliego tipo de forma expresa lo permita, es decir, en los aspectos incluidos en corchetes y resaltados en gris.</w:t>
      </w:r>
    </w:p>
    <w:p w14:paraId="43DE638B" w14:textId="2F6C0D73" w:rsidR="006138EB" w:rsidRPr="00B7032A" w:rsidRDefault="006138EB" w:rsidP="006138EB">
      <w:pPr>
        <w:spacing w:before="120" w:line="276" w:lineRule="auto"/>
        <w:ind w:firstLine="709"/>
        <w:jc w:val="both"/>
        <w:rPr>
          <w:rFonts w:ascii="Arial" w:hAnsi="Arial" w:cs="Arial"/>
          <w:bCs/>
          <w:sz w:val="22"/>
        </w:rPr>
      </w:pPr>
      <w:r w:rsidRPr="00B7032A">
        <w:rPr>
          <w:rFonts w:ascii="Arial" w:hAnsi="Arial" w:cs="Arial"/>
          <w:bCs/>
          <w:sz w:val="22"/>
        </w:rPr>
        <w:t>Est</w:t>
      </w:r>
      <w:r w:rsidR="00CA13AC" w:rsidRPr="00B7032A">
        <w:rPr>
          <w:rFonts w:ascii="Arial" w:hAnsi="Arial" w:cs="Arial"/>
          <w:bCs/>
          <w:sz w:val="22"/>
        </w:rPr>
        <w:t>a regla</w:t>
      </w:r>
      <w:r w:rsidRPr="00B7032A">
        <w:rPr>
          <w:rFonts w:ascii="Arial" w:hAnsi="Arial" w:cs="Arial"/>
          <w:bCs/>
          <w:sz w:val="22"/>
        </w:rPr>
        <w:t xml:space="preserve"> de inalterabilidad se extiende a los formatos y anexos implementados junto con el «Documento Base», los cuales deben usarse para desarrollar el procedimiento </w:t>
      </w:r>
      <w:r w:rsidRPr="00B7032A">
        <w:rPr>
          <w:rFonts w:ascii="Arial" w:hAnsi="Arial" w:cs="Arial"/>
          <w:bCs/>
          <w:sz w:val="22"/>
        </w:rPr>
        <w:lastRenderedPageBreak/>
        <w:t xml:space="preserve">de contratación y que los proponentes acrediten los diferentes requisitos establecidos para participar en él. Estos, al igual que el pliego de condiciones, contienen apartes entre corchetes y resaltados en gris, los cuales deben ser diligenciados por la entidad, al igual que otros aspectos relativos a información que debe ser completada por los oferentes al hacer uso del formato. </w:t>
      </w:r>
    </w:p>
    <w:p w14:paraId="459DB6CB" w14:textId="0C658F37" w:rsidR="006138EB" w:rsidRPr="00B7032A" w:rsidRDefault="006138EB" w:rsidP="006138EB">
      <w:pPr>
        <w:spacing w:before="120" w:after="120" w:line="276" w:lineRule="auto"/>
        <w:ind w:firstLine="709"/>
        <w:jc w:val="both"/>
        <w:rPr>
          <w:rFonts w:ascii="Arial" w:hAnsi="Arial" w:cs="Arial"/>
          <w:sz w:val="22"/>
        </w:rPr>
      </w:pPr>
      <w:r w:rsidRPr="00B7032A">
        <w:rPr>
          <w:rFonts w:ascii="Arial" w:hAnsi="Arial" w:cs="Arial"/>
          <w:sz w:val="22"/>
        </w:rPr>
        <w:t xml:space="preserve">Con todo, </w:t>
      </w:r>
      <w:r w:rsidR="00CA13AC" w:rsidRPr="00B7032A">
        <w:rPr>
          <w:rFonts w:ascii="Arial" w:hAnsi="Arial" w:cs="Arial"/>
          <w:sz w:val="22"/>
        </w:rPr>
        <w:t>la regla</w:t>
      </w:r>
      <w:r w:rsidRPr="00B7032A">
        <w:rPr>
          <w:rFonts w:ascii="Arial" w:hAnsi="Arial" w:cs="Arial"/>
          <w:sz w:val="22"/>
        </w:rPr>
        <w:t xml:space="preserve"> de inalterabilidad de los documentos tipo debe armonizase con principios de orden constitucional, especialmente con el de prevalencia del derecho sustancial, consagrado en el artículo 228 de la Constitución Política. La interpretación armónica de tales principios, a juicio de la Agencia Nacional de Contratación Pública, impide que la entidad que adelanta el proceso contractual le rinda culto a las formas, pues, en últimas, el deber que le asiste es el de tener en cuenta y aplicar los aspectos sustanciales de los documentos tipo, sin distingo de la formalidad de la que se sirva para ello los actores de la contratación pública. En relación con el principio constitucional </w:t>
      </w:r>
      <w:r w:rsidRPr="00B7032A">
        <w:rPr>
          <w:rFonts w:ascii="Arial" w:hAnsi="Arial" w:cs="Arial"/>
          <w:i/>
          <w:iCs/>
          <w:sz w:val="22"/>
        </w:rPr>
        <w:t>sub examine</w:t>
      </w:r>
      <w:r w:rsidRPr="00B7032A">
        <w:rPr>
          <w:rFonts w:ascii="Arial" w:hAnsi="Arial" w:cs="Arial"/>
          <w:sz w:val="22"/>
        </w:rPr>
        <w:t>, la Corte Constitucional explica que «[…] por disposición del artículo 228 Superior, las formas no deben convertirse en un obstáculo para la efectividad del derecho sustancial, sino que deben propender por su realización. Es decir, que las normas procesales son un medio para lograr la efectividad de los derechos subjetivos y no fines en sí mismas»</w:t>
      </w:r>
      <w:r w:rsidRPr="00B7032A">
        <w:rPr>
          <w:rStyle w:val="Refdenotaalpie"/>
          <w:rFonts w:ascii="Arial" w:hAnsi="Arial" w:cs="Arial"/>
          <w:sz w:val="22"/>
        </w:rPr>
        <w:footnoteReference w:id="11"/>
      </w:r>
      <w:r w:rsidRPr="00B7032A">
        <w:rPr>
          <w:rFonts w:ascii="Arial" w:hAnsi="Arial" w:cs="Arial"/>
          <w:sz w:val="22"/>
        </w:rPr>
        <w:t xml:space="preserve">. </w:t>
      </w:r>
    </w:p>
    <w:p w14:paraId="4E7A67C8" w14:textId="77777777" w:rsidR="006138EB" w:rsidRPr="00B7032A" w:rsidRDefault="006138EB" w:rsidP="006138EB">
      <w:pPr>
        <w:tabs>
          <w:tab w:val="left" w:pos="0"/>
        </w:tabs>
        <w:spacing w:line="276" w:lineRule="auto"/>
        <w:jc w:val="both"/>
        <w:rPr>
          <w:rFonts w:ascii="Arial" w:hAnsi="Arial" w:cs="Arial"/>
          <w:sz w:val="22"/>
        </w:rPr>
      </w:pPr>
      <w:r w:rsidRPr="00B7032A">
        <w:rPr>
          <w:rFonts w:ascii="Arial" w:hAnsi="Arial" w:cs="Arial"/>
          <w:sz w:val="22"/>
        </w:rPr>
        <w:tab/>
        <w:t xml:space="preserve">De acuerdo con lo anterior, el carácter inalterable de los documentos tipo no puede hacerse extensivo a los aspectos simplemente formales de tales documentos, esto es, el tamaño y tipo de letra, las márgenes o las expresiones que pretenden hacer más comprensible el documento, como es el caso de aquellas que informan que una expresión larga será referida con otra similar pero más corta. Lo anterior teniendo en cuenta que estos aspectos en nada afectan la aplicación y alcance de los documentos tipo, esto es, no afectan su contenido esencial y, mucho menos, las obligaciones, deberes y derechos que se derivan para las partes contratantes. </w:t>
      </w:r>
    </w:p>
    <w:p w14:paraId="2809C8F1" w14:textId="29C3A587" w:rsidR="00CF212C" w:rsidRPr="00B7032A" w:rsidRDefault="00CF212C" w:rsidP="00CF212C">
      <w:pPr>
        <w:spacing w:line="276" w:lineRule="auto"/>
        <w:jc w:val="both"/>
        <w:rPr>
          <w:rFonts w:ascii="Arial" w:eastAsia="Calibri" w:hAnsi="Arial" w:cs="Arial"/>
          <w:sz w:val="22"/>
          <w:szCs w:val="22"/>
          <w:lang w:val="es-ES_tradnl" w:eastAsia="en-US"/>
        </w:rPr>
      </w:pPr>
    </w:p>
    <w:p w14:paraId="2C826F22" w14:textId="5FED8B2C" w:rsidR="00F46C3A" w:rsidRPr="00B7032A" w:rsidRDefault="00F46C3A" w:rsidP="00F603D3">
      <w:pPr>
        <w:spacing w:line="276" w:lineRule="auto"/>
        <w:jc w:val="both"/>
        <w:rPr>
          <w:rFonts w:ascii="Arial" w:eastAsia="Calibri" w:hAnsi="Arial" w:cs="Arial"/>
          <w:b/>
          <w:bCs/>
          <w:color w:val="000000" w:themeColor="text1"/>
          <w:sz w:val="22"/>
          <w:szCs w:val="22"/>
        </w:rPr>
      </w:pPr>
      <w:r w:rsidRPr="00B7032A">
        <w:rPr>
          <w:rFonts w:ascii="Arial" w:hAnsi="Arial" w:cs="Arial"/>
          <w:b/>
          <w:bCs/>
          <w:color w:val="000000" w:themeColor="text1"/>
          <w:sz w:val="22"/>
        </w:rPr>
        <w:t>2.</w:t>
      </w:r>
      <w:r w:rsidR="00E70238" w:rsidRPr="00B7032A">
        <w:rPr>
          <w:rFonts w:ascii="Arial" w:hAnsi="Arial" w:cs="Arial"/>
          <w:b/>
          <w:bCs/>
          <w:color w:val="000000" w:themeColor="text1"/>
          <w:sz w:val="22"/>
        </w:rPr>
        <w:t>3</w:t>
      </w:r>
      <w:r w:rsidRPr="00B7032A">
        <w:rPr>
          <w:rFonts w:ascii="Arial" w:hAnsi="Arial" w:cs="Arial"/>
          <w:color w:val="000000" w:themeColor="text1"/>
          <w:sz w:val="22"/>
        </w:rPr>
        <w:t xml:space="preserve"> </w:t>
      </w:r>
      <w:r w:rsidRPr="00B7032A">
        <w:rPr>
          <w:rFonts w:ascii="Arial" w:eastAsia="Calibri" w:hAnsi="Arial" w:cs="Arial"/>
          <w:b/>
          <w:bCs/>
          <w:color w:val="000000" w:themeColor="text1"/>
          <w:sz w:val="22"/>
          <w:szCs w:val="22"/>
        </w:rPr>
        <w:t>Acreditación de la</w:t>
      </w:r>
      <w:r w:rsidRPr="00B7032A">
        <w:rPr>
          <w:rFonts w:ascii="Arial" w:eastAsia="Calibri" w:hAnsi="Arial" w:cs="Arial"/>
          <w:b/>
          <w:bCs/>
          <w:color w:val="000000" w:themeColor="text1"/>
          <w:sz w:val="22"/>
          <w:szCs w:val="22"/>
          <w:lang w:val="es-ES_tradnl"/>
        </w:rPr>
        <w:t xml:space="preserve"> experiencia en los documentos tipo de licitación de obra pública de infraestructura </w:t>
      </w:r>
      <w:r w:rsidRPr="00B7032A">
        <w:rPr>
          <w:rFonts w:ascii="Arial" w:eastAsia="Calibri" w:hAnsi="Arial" w:cs="Arial"/>
          <w:b/>
          <w:bCs/>
          <w:color w:val="000000" w:themeColor="text1"/>
          <w:sz w:val="22"/>
          <w:szCs w:val="22"/>
        </w:rPr>
        <w:t xml:space="preserve">social. </w:t>
      </w:r>
      <w:bookmarkStart w:id="20" w:name="_Hlk99817066"/>
      <w:r w:rsidRPr="00B7032A">
        <w:rPr>
          <w:rFonts w:ascii="Arial" w:eastAsia="Calibri" w:hAnsi="Arial" w:cs="Arial"/>
          <w:b/>
          <w:bCs/>
          <w:color w:val="000000" w:themeColor="text1"/>
          <w:sz w:val="22"/>
          <w:szCs w:val="22"/>
        </w:rPr>
        <w:t xml:space="preserve">Experiencia para subcontratos </w:t>
      </w:r>
      <w:bookmarkEnd w:id="20"/>
    </w:p>
    <w:p w14:paraId="37E8E6D8" w14:textId="77777777" w:rsidR="00C356C5" w:rsidRPr="00B7032A" w:rsidRDefault="00C356C5" w:rsidP="00C356C5">
      <w:pPr>
        <w:spacing w:line="276" w:lineRule="auto"/>
        <w:jc w:val="both"/>
        <w:rPr>
          <w:rFonts w:ascii="Arial" w:eastAsia="Calibri" w:hAnsi="Arial" w:cs="Arial"/>
          <w:b/>
          <w:bCs/>
          <w:color w:val="000000"/>
          <w:sz w:val="22"/>
          <w:lang w:val="es-ES_tradnl" w:eastAsia="en-GB"/>
        </w:rPr>
      </w:pPr>
    </w:p>
    <w:p w14:paraId="1C9B3F51" w14:textId="77777777" w:rsidR="00481640" w:rsidRPr="00B7032A" w:rsidRDefault="00481640" w:rsidP="00C356C5">
      <w:pPr>
        <w:spacing w:line="276" w:lineRule="auto"/>
        <w:jc w:val="both"/>
        <w:rPr>
          <w:rFonts w:ascii="Arial" w:hAnsi="Arial" w:cs="Arial"/>
          <w:color w:val="0D0D0D" w:themeColor="text1" w:themeTint="F2"/>
          <w:sz w:val="22"/>
        </w:rPr>
      </w:pPr>
      <w:r w:rsidRPr="00B7032A">
        <w:rPr>
          <w:rFonts w:ascii="Arial" w:eastAsia="Calibri" w:hAnsi="Arial" w:cs="Arial"/>
          <w:color w:val="000000" w:themeColor="text1"/>
          <w:sz w:val="22"/>
        </w:rPr>
        <w:t>La experiencia que se deriva de los contratos que el proponente ha celebrado y ejecutado con diferentes contratantes, se verifica con el Registro Único de Proponentes (RUP)</w:t>
      </w:r>
      <w:r w:rsidRPr="00B7032A">
        <w:rPr>
          <w:rFonts w:ascii="Arial" w:eastAsia="Calibri" w:hAnsi="Arial" w:cs="Arial"/>
          <w:color w:val="000000" w:themeColor="text1"/>
          <w:sz w:val="22"/>
          <w:vertAlign w:val="superscript"/>
        </w:rPr>
        <w:footnoteReference w:id="12"/>
      </w:r>
      <w:r w:rsidRPr="00B7032A">
        <w:rPr>
          <w:rFonts w:ascii="Arial" w:eastAsia="Calibri" w:hAnsi="Arial" w:cs="Arial"/>
          <w:color w:val="000000" w:themeColor="text1"/>
          <w:sz w:val="22"/>
        </w:rPr>
        <w:t xml:space="preserve">, </w:t>
      </w:r>
      <w:r w:rsidRPr="00B7032A">
        <w:rPr>
          <w:rFonts w:ascii="Arial" w:eastAsia="Calibri" w:hAnsi="Arial" w:cs="Arial"/>
          <w:color w:val="000000" w:themeColor="text1"/>
          <w:sz w:val="22"/>
        </w:rPr>
        <w:lastRenderedPageBreak/>
        <w:t>cuando este certificado sea exigible de acuerdo con la ley.</w:t>
      </w:r>
      <w:r w:rsidRPr="00B7032A">
        <w:rPr>
          <w:rFonts w:ascii="Arial" w:hAnsi="Arial" w:cs="Arial"/>
          <w:color w:val="000000" w:themeColor="text1"/>
          <w:sz w:val="22"/>
        </w:rPr>
        <w:t xml:space="preserve"> Lo anterior, sin perjuicio de lo dispuesto en el inciso 3 del numeral 6.1.del artículo 6 de la Ley 1150 de 2007, en el que se prevé que la entidad podrá verificar requisitos adicionales a los contenidos en el registro cuando se requiera en virtud de la naturaleza del objeto a contratar. La misma norma señala que solo en este último evento la entidad podrá hacer la verificación en forma directa, es decir, cuando por el objeto del contrato se requieran verificar requisitos adicionales a los contenidos en el registro.</w:t>
      </w:r>
    </w:p>
    <w:p w14:paraId="7CB75FB7" w14:textId="7CF0BCB1" w:rsidR="00CC3A2F" w:rsidRPr="00B7032A" w:rsidRDefault="00481640" w:rsidP="00B278C7">
      <w:pPr>
        <w:spacing w:before="120" w:line="276" w:lineRule="auto"/>
        <w:ind w:firstLine="709"/>
        <w:jc w:val="both"/>
        <w:rPr>
          <w:rFonts w:ascii="Arial" w:eastAsia="Arial" w:hAnsi="Arial" w:cs="Arial"/>
          <w:color w:val="000000"/>
          <w:sz w:val="22"/>
          <w:szCs w:val="22"/>
          <w:lang w:val="es-MX" w:eastAsia="es-ES" w:bidi="es-ES"/>
        </w:rPr>
      </w:pPr>
      <w:r w:rsidRPr="00B7032A">
        <w:rPr>
          <w:rFonts w:ascii="Arial" w:hAnsi="Arial" w:cs="Arial"/>
          <w:color w:val="0D0D0D" w:themeColor="text1" w:themeTint="F2"/>
          <w:sz w:val="22"/>
        </w:rPr>
        <w:t>En este sentido, e</w:t>
      </w:r>
      <w:r w:rsidR="00C356C5" w:rsidRPr="00B7032A">
        <w:rPr>
          <w:rFonts w:ascii="Arial" w:hAnsi="Arial" w:cs="Arial"/>
          <w:color w:val="0D0D0D" w:themeColor="text1" w:themeTint="F2"/>
          <w:sz w:val="22"/>
        </w:rPr>
        <w:t xml:space="preserve">l documento </w:t>
      </w:r>
      <w:r w:rsidR="00C0137C" w:rsidRPr="00B7032A">
        <w:rPr>
          <w:rFonts w:ascii="Arial" w:hAnsi="Arial" w:cs="Arial"/>
          <w:color w:val="0D0D0D" w:themeColor="text1" w:themeTint="F2"/>
          <w:sz w:val="22"/>
        </w:rPr>
        <w:t xml:space="preserve">base </w:t>
      </w:r>
      <w:r w:rsidR="00C0137C" w:rsidRPr="00B7032A">
        <w:rPr>
          <w:rFonts w:ascii="Arial" w:hAnsi="Arial" w:cs="Arial"/>
          <w:bCs/>
          <w:color w:val="000000" w:themeColor="text1"/>
          <w:sz w:val="22"/>
        </w:rPr>
        <w:t xml:space="preserve">que aplica </w:t>
      </w:r>
      <w:r w:rsidR="00C0137C" w:rsidRPr="00B7032A">
        <w:rPr>
          <w:rFonts w:ascii="Arial" w:hAnsi="Arial" w:cs="Arial"/>
          <w:sz w:val="22"/>
          <w:lang w:val="es-ES"/>
        </w:rPr>
        <w:t>de forma transversal a los proyectos de infraestructura social en los sectores educativo, salud, cultura, recreación y deporte</w:t>
      </w:r>
      <w:r w:rsidR="00C0137C" w:rsidRPr="00B7032A">
        <w:rPr>
          <w:rFonts w:ascii="Arial" w:hAnsi="Arial" w:cs="Arial"/>
          <w:color w:val="0D0D0D" w:themeColor="text1" w:themeTint="F2"/>
          <w:sz w:val="22"/>
        </w:rPr>
        <w:t>, establece en</w:t>
      </w:r>
      <w:r w:rsidR="00C356C5" w:rsidRPr="00B7032A">
        <w:rPr>
          <w:rFonts w:ascii="Arial" w:hAnsi="Arial" w:cs="Arial"/>
          <w:color w:val="0D0D0D" w:themeColor="text1" w:themeTint="F2"/>
          <w:sz w:val="22"/>
        </w:rPr>
        <w:t xml:space="preserve"> </w:t>
      </w:r>
      <w:r w:rsidR="00C356C5" w:rsidRPr="00B7032A">
        <w:rPr>
          <w:rFonts w:ascii="Arial" w:hAnsi="Arial" w:cs="Arial"/>
          <w:sz w:val="22"/>
        </w:rPr>
        <w:t>el numeral 3.5</w:t>
      </w:r>
      <w:r w:rsidR="00C0137C" w:rsidRPr="00B7032A">
        <w:rPr>
          <w:rFonts w:ascii="Arial" w:hAnsi="Arial" w:cs="Arial"/>
          <w:sz w:val="22"/>
        </w:rPr>
        <w:t xml:space="preserve"> </w:t>
      </w:r>
      <w:r w:rsidR="00C356C5" w:rsidRPr="00B7032A">
        <w:rPr>
          <w:rFonts w:ascii="Arial" w:hAnsi="Arial" w:cs="Arial"/>
          <w:sz w:val="22"/>
        </w:rPr>
        <w:t>«</w:t>
      </w:r>
      <w:r w:rsidR="00C0137C" w:rsidRPr="00B7032A">
        <w:rPr>
          <w:rFonts w:ascii="Arial" w:hAnsi="Arial" w:cs="Arial"/>
          <w:sz w:val="22"/>
        </w:rPr>
        <w:t>Experiencia</w:t>
      </w:r>
      <w:r w:rsidR="00C356C5" w:rsidRPr="00B7032A">
        <w:rPr>
          <w:rFonts w:ascii="Arial" w:hAnsi="Arial" w:cs="Arial"/>
          <w:sz w:val="22"/>
        </w:rPr>
        <w:t>»</w:t>
      </w:r>
      <w:r w:rsidR="00C0137C" w:rsidRPr="00B7032A">
        <w:rPr>
          <w:rFonts w:ascii="Arial" w:hAnsi="Arial" w:cs="Arial"/>
          <w:sz w:val="22"/>
        </w:rPr>
        <w:t xml:space="preserve"> </w:t>
      </w:r>
      <w:r w:rsidR="00C356C5" w:rsidRPr="00B7032A">
        <w:rPr>
          <w:rFonts w:ascii="Arial" w:hAnsi="Arial" w:cs="Arial"/>
          <w:sz w:val="22"/>
        </w:rPr>
        <w:t>las reglas para acreditar y evaluar la experiencia requerida en el procedimiento de contratación</w:t>
      </w:r>
      <w:r w:rsidR="00C356C5" w:rsidRPr="00B7032A">
        <w:rPr>
          <w:rFonts w:ascii="Arial" w:hAnsi="Arial" w:cs="Arial"/>
          <w:color w:val="0D0D0D" w:themeColor="text1" w:themeTint="F2"/>
          <w:sz w:val="22"/>
        </w:rPr>
        <w:t>. Este numeral dispone que los proponentes deben acreditar la</w:t>
      </w:r>
      <w:r w:rsidR="00C356C5" w:rsidRPr="00B7032A">
        <w:rPr>
          <w:rFonts w:ascii="Arial" w:eastAsia="Calibri" w:hAnsi="Arial" w:cs="Arial"/>
          <w:sz w:val="22"/>
          <w:szCs w:val="22"/>
          <w:lang w:val="es-MX" w:eastAsia="en-US"/>
        </w:rPr>
        <w:t xml:space="preserve"> </w:t>
      </w:r>
      <w:r w:rsidR="00C356C5" w:rsidRPr="00B7032A">
        <w:rPr>
          <w:rFonts w:ascii="Arial" w:eastAsia="Calibri" w:hAnsi="Arial" w:cs="Arial"/>
          <w:sz w:val="22"/>
          <w:szCs w:val="22"/>
          <w:lang w:val="es-MX" w:eastAsia="en-US"/>
        </w:rPr>
        <w:t xml:space="preserve">experiencia </w:t>
      </w:r>
      <w:r w:rsidR="00C356C5" w:rsidRPr="00B7032A">
        <w:rPr>
          <w:rFonts w:ascii="Arial" w:eastAsia="Arial" w:hAnsi="Arial" w:cs="Arial"/>
          <w:color w:val="000000"/>
          <w:sz w:val="22"/>
          <w:szCs w:val="22"/>
          <w:lang w:val="es-ES" w:eastAsia="es-ES" w:bidi="es-ES"/>
        </w:rPr>
        <w:t xml:space="preserve">a través de: i) la información consignada en el RUP para aquellos que estén obligados a tenerlo, </w:t>
      </w:r>
      <w:proofErr w:type="spellStart"/>
      <w:r w:rsidR="00C356C5" w:rsidRPr="00B7032A">
        <w:rPr>
          <w:rFonts w:ascii="Arial" w:eastAsia="Arial" w:hAnsi="Arial" w:cs="Arial"/>
          <w:color w:val="000000"/>
          <w:sz w:val="22"/>
          <w:szCs w:val="22"/>
          <w:lang w:val="es-ES" w:eastAsia="es-ES" w:bidi="es-ES"/>
        </w:rPr>
        <w:t>ii</w:t>
      </w:r>
      <w:proofErr w:type="spellEnd"/>
      <w:r w:rsidR="00C356C5" w:rsidRPr="00B7032A">
        <w:rPr>
          <w:rFonts w:ascii="Arial" w:eastAsia="Arial" w:hAnsi="Arial" w:cs="Arial"/>
          <w:color w:val="000000"/>
          <w:sz w:val="22"/>
          <w:szCs w:val="22"/>
          <w:lang w:val="es-ES" w:eastAsia="es-ES" w:bidi="es-ES"/>
        </w:rPr>
        <w:t xml:space="preserve">) la presentación del «Formato 3 – Experiencia» para todos los proponentes y </w:t>
      </w:r>
      <w:proofErr w:type="spellStart"/>
      <w:r w:rsidR="00C356C5" w:rsidRPr="00B7032A">
        <w:rPr>
          <w:rFonts w:ascii="Arial" w:eastAsia="Arial" w:hAnsi="Arial" w:cs="Arial"/>
          <w:color w:val="000000"/>
          <w:sz w:val="22"/>
          <w:szCs w:val="22"/>
          <w:lang w:val="es-ES" w:eastAsia="es-ES" w:bidi="es-ES"/>
        </w:rPr>
        <w:t>iii</w:t>
      </w:r>
      <w:proofErr w:type="spellEnd"/>
      <w:r w:rsidR="00C356C5" w:rsidRPr="00B7032A">
        <w:rPr>
          <w:rFonts w:ascii="Arial" w:eastAsia="Arial" w:hAnsi="Arial" w:cs="Arial"/>
          <w:color w:val="000000"/>
          <w:sz w:val="22"/>
          <w:szCs w:val="22"/>
          <w:lang w:val="es-ES" w:eastAsia="es-ES" w:bidi="es-ES"/>
        </w:rPr>
        <w:t>) alguno de los documentos válidos para la acreditación de la experiencia señalados en el numeral 3.5.</w:t>
      </w:r>
      <w:r w:rsidR="00C0137C" w:rsidRPr="00B7032A">
        <w:rPr>
          <w:rFonts w:ascii="Arial" w:eastAsia="Arial" w:hAnsi="Arial" w:cs="Arial"/>
          <w:color w:val="000000"/>
          <w:sz w:val="22"/>
          <w:szCs w:val="22"/>
          <w:lang w:val="es-ES" w:eastAsia="es-ES" w:bidi="es-ES"/>
        </w:rPr>
        <w:t>5</w:t>
      </w:r>
      <w:r w:rsidR="00C356C5" w:rsidRPr="00B7032A">
        <w:rPr>
          <w:rFonts w:ascii="Arial" w:eastAsia="Arial" w:hAnsi="Arial" w:cs="Arial"/>
          <w:color w:val="000000"/>
          <w:sz w:val="22"/>
          <w:szCs w:val="22"/>
          <w:lang w:val="es-ES" w:eastAsia="es-ES" w:bidi="es-ES"/>
        </w:rPr>
        <w:t xml:space="preserve"> cuando se requiera la verificación de información del proponente adicional a la contenida en el RUP. </w:t>
      </w:r>
      <w:r w:rsidR="00731C59" w:rsidRPr="00B7032A">
        <w:rPr>
          <w:rFonts w:ascii="Arial" w:eastAsia="Arial" w:hAnsi="Arial" w:cs="Arial"/>
          <w:color w:val="000000"/>
          <w:sz w:val="22"/>
          <w:szCs w:val="22"/>
          <w:lang w:val="es-ES" w:eastAsia="es-ES" w:bidi="es-ES"/>
        </w:rPr>
        <w:t xml:space="preserve">Además, señala que </w:t>
      </w:r>
      <w:r w:rsidR="00731C59" w:rsidRPr="00B7032A">
        <w:rPr>
          <w:rFonts w:ascii="Arial" w:eastAsia="Arial" w:hAnsi="Arial" w:cs="Arial"/>
          <w:color w:val="000000"/>
          <w:sz w:val="22"/>
          <w:szCs w:val="22"/>
          <w:lang w:val="es-MX" w:eastAsia="es-ES" w:bidi="es-ES"/>
        </w:rPr>
        <w:t xml:space="preserve">la evaluación de los proponentes se efectuará de acuerdo con la experiencia contenida en el Registro Único de Proponentes </w:t>
      </w:r>
      <w:r w:rsidR="008A6053" w:rsidRPr="00B7032A">
        <w:rPr>
          <w:rFonts w:ascii="Arial" w:eastAsia="Arial" w:hAnsi="Arial" w:cs="Arial"/>
          <w:color w:val="000000"/>
          <w:sz w:val="22"/>
          <w:szCs w:val="22"/>
          <w:lang w:val="es-MX" w:eastAsia="es-ES" w:bidi="es-ES"/>
        </w:rPr>
        <w:t>–</w:t>
      </w:r>
      <w:r w:rsidR="00731C59" w:rsidRPr="00B7032A">
        <w:rPr>
          <w:rFonts w:ascii="Arial" w:eastAsia="Arial" w:hAnsi="Arial" w:cs="Arial"/>
          <w:color w:val="000000"/>
          <w:sz w:val="22"/>
          <w:szCs w:val="22"/>
          <w:lang w:val="es-MX" w:eastAsia="es-ES" w:bidi="es-ES"/>
        </w:rPr>
        <w:t>RUP</w:t>
      </w:r>
      <w:r w:rsidR="008A6053" w:rsidRPr="00B7032A">
        <w:rPr>
          <w:rFonts w:ascii="Arial" w:eastAsia="Arial" w:hAnsi="Arial" w:cs="Arial"/>
          <w:color w:val="000000"/>
          <w:sz w:val="22"/>
          <w:szCs w:val="22"/>
          <w:lang w:val="es-MX" w:eastAsia="es-ES" w:bidi="es-ES"/>
        </w:rPr>
        <w:t>–</w:t>
      </w:r>
      <w:r w:rsidR="00731C59" w:rsidRPr="00B7032A">
        <w:rPr>
          <w:rFonts w:ascii="Arial" w:eastAsia="Arial" w:hAnsi="Arial" w:cs="Arial"/>
          <w:color w:val="000000"/>
          <w:sz w:val="22"/>
          <w:szCs w:val="22"/>
          <w:lang w:val="es-MX" w:eastAsia="es-ES" w:bidi="es-ES"/>
        </w:rPr>
        <w:t xml:space="preserve"> vigente y en firme antes del cierre del proceso</w:t>
      </w:r>
      <w:r w:rsidR="00B278C7" w:rsidRPr="00B7032A">
        <w:rPr>
          <w:rFonts w:ascii="Arial" w:eastAsia="Arial" w:hAnsi="Arial" w:cs="Arial"/>
          <w:color w:val="000000"/>
          <w:sz w:val="22"/>
          <w:szCs w:val="22"/>
          <w:lang w:val="es-MX" w:eastAsia="es-ES" w:bidi="es-ES"/>
        </w:rPr>
        <w:t xml:space="preserve">. </w:t>
      </w:r>
    </w:p>
    <w:p w14:paraId="7070A237" w14:textId="7B81F530" w:rsidR="00B278C7" w:rsidRPr="00B7032A" w:rsidRDefault="00481640" w:rsidP="00B278C7">
      <w:pPr>
        <w:spacing w:before="120" w:line="276" w:lineRule="auto"/>
        <w:ind w:firstLine="709"/>
        <w:jc w:val="both"/>
        <w:rPr>
          <w:rFonts w:ascii="Arial" w:hAnsi="Arial" w:cs="Arial"/>
          <w:color w:val="0D0D0D" w:themeColor="text1" w:themeTint="F2"/>
          <w:sz w:val="22"/>
        </w:rPr>
      </w:pPr>
      <w:r w:rsidRPr="00B7032A">
        <w:rPr>
          <w:rFonts w:ascii="Arial" w:eastAsia="Calibri" w:hAnsi="Arial" w:cs="Arial"/>
          <w:color w:val="000000" w:themeColor="text1"/>
          <w:sz w:val="22"/>
        </w:rPr>
        <w:t>De esta manera,</w:t>
      </w:r>
      <w:r w:rsidR="00B278C7" w:rsidRPr="00B7032A">
        <w:rPr>
          <w:rFonts w:ascii="Arial" w:eastAsia="Calibri" w:hAnsi="Arial" w:cs="Arial"/>
          <w:color w:val="000000" w:themeColor="text1"/>
          <w:sz w:val="22"/>
        </w:rPr>
        <w:t xml:space="preserve"> en los documentos tipo</w:t>
      </w:r>
      <w:r w:rsidRPr="00B7032A">
        <w:rPr>
          <w:rFonts w:ascii="Arial" w:eastAsia="Calibri" w:hAnsi="Arial" w:cs="Arial"/>
          <w:color w:val="000000" w:themeColor="text1"/>
          <w:sz w:val="22"/>
        </w:rPr>
        <w:t xml:space="preserve"> la experiencia </w:t>
      </w:r>
      <w:r w:rsidR="00654A81" w:rsidRPr="00B7032A">
        <w:rPr>
          <w:rFonts w:ascii="Arial" w:eastAsia="Calibri" w:hAnsi="Arial" w:cs="Arial"/>
          <w:color w:val="000000" w:themeColor="text1"/>
          <w:sz w:val="22"/>
        </w:rPr>
        <w:t>se acreditará a través del RUP</w:t>
      </w:r>
      <w:r w:rsidR="00CC3A2F" w:rsidRPr="00B7032A">
        <w:rPr>
          <w:rFonts w:ascii="Arial" w:eastAsia="Calibri" w:hAnsi="Arial" w:cs="Arial"/>
          <w:color w:val="000000" w:themeColor="text1"/>
          <w:sz w:val="22"/>
        </w:rPr>
        <w:t xml:space="preserve"> para los </w:t>
      </w:r>
      <w:r w:rsidR="008125E4" w:rsidRPr="00B7032A">
        <w:rPr>
          <w:rFonts w:ascii="Arial" w:eastAsia="Calibri" w:hAnsi="Arial" w:cs="Arial"/>
          <w:color w:val="000000" w:themeColor="text1"/>
          <w:sz w:val="22"/>
        </w:rPr>
        <w:t xml:space="preserve">proponentes </w:t>
      </w:r>
      <w:r w:rsidR="00CC3A2F" w:rsidRPr="00B7032A">
        <w:rPr>
          <w:rFonts w:ascii="Arial" w:eastAsia="Calibri" w:hAnsi="Arial" w:cs="Arial"/>
          <w:color w:val="000000" w:themeColor="text1"/>
          <w:sz w:val="22"/>
        </w:rPr>
        <w:t>que estén obligados a tenerlo</w:t>
      </w:r>
      <w:r w:rsidR="00B278C7" w:rsidRPr="00B7032A">
        <w:rPr>
          <w:rFonts w:ascii="Arial" w:eastAsia="Calibri" w:hAnsi="Arial" w:cs="Arial"/>
          <w:color w:val="000000" w:themeColor="text1"/>
          <w:sz w:val="22"/>
        </w:rPr>
        <w:t xml:space="preserve"> y para la verificación de la información adicional a la contenida en el RUP</w:t>
      </w:r>
      <w:r w:rsidR="00085B65" w:rsidRPr="00B7032A">
        <w:rPr>
          <w:rFonts w:ascii="Arial" w:eastAsia="Calibri" w:hAnsi="Arial" w:cs="Arial"/>
          <w:color w:val="000000" w:themeColor="text1"/>
          <w:sz w:val="22"/>
        </w:rPr>
        <w:t>,</w:t>
      </w:r>
      <w:r w:rsidR="00B278C7" w:rsidRPr="00B7032A">
        <w:rPr>
          <w:rFonts w:ascii="Arial" w:eastAsia="Calibri" w:hAnsi="Arial" w:cs="Arial"/>
          <w:color w:val="000000" w:themeColor="text1"/>
          <w:sz w:val="22"/>
        </w:rPr>
        <w:t xml:space="preserve"> el proponente deberá aportar la documentación requerida en los pliegos de condiciones. </w:t>
      </w:r>
    </w:p>
    <w:p w14:paraId="61E7CF18" w14:textId="6C2CE7AF" w:rsidR="00C356C5" w:rsidRPr="00B7032A" w:rsidRDefault="00411FF6" w:rsidP="00B278C7">
      <w:pPr>
        <w:spacing w:before="120" w:line="276" w:lineRule="auto"/>
        <w:ind w:firstLine="709"/>
        <w:jc w:val="both"/>
        <w:rPr>
          <w:rFonts w:ascii="Arial" w:hAnsi="Arial" w:cs="Arial"/>
          <w:color w:val="0D0D0D" w:themeColor="text1" w:themeTint="F2"/>
          <w:sz w:val="22"/>
        </w:rPr>
      </w:pPr>
      <w:r w:rsidRPr="00B7032A">
        <w:rPr>
          <w:rFonts w:ascii="Arial" w:hAnsi="Arial" w:cs="Arial"/>
          <w:sz w:val="22"/>
          <w:lang w:val="es-ES"/>
        </w:rPr>
        <w:t>D</w:t>
      </w:r>
      <w:r w:rsidR="00C356C5" w:rsidRPr="00B7032A">
        <w:rPr>
          <w:rFonts w:ascii="Arial" w:hAnsi="Arial" w:cs="Arial"/>
          <w:sz w:val="22"/>
          <w:lang w:val="es-ES"/>
        </w:rPr>
        <w:t>e</w:t>
      </w:r>
      <w:r w:rsidR="00C356C5" w:rsidRPr="00B7032A">
        <w:rPr>
          <w:rFonts w:ascii="Arial" w:hAnsi="Arial" w:cs="Arial"/>
          <w:sz w:val="22"/>
        </w:rPr>
        <w:t xml:space="preserve"> acuerdo con las condiciones fijadas en </w:t>
      </w:r>
      <w:r w:rsidR="008A6053" w:rsidRPr="00B7032A">
        <w:rPr>
          <w:rFonts w:ascii="Arial" w:hAnsi="Arial" w:cs="Arial"/>
          <w:sz w:val="22"/>
        </w:rPr>
        <w:t xml:space="preserve">el </w:t>
      </w:r>
      <w:r w:rsidR="00C356C5" w:rsidRPr="00B7032A">
        <w:rPr>
          <w:rFonts w:ascii="Arial" w:hAnsi="Arial" w:cs="Arial"/>
          <w:sz w:val="22"/>
        </w:rPr>
        <w:t xml:space="preserve">documento base </w:t>
      </w:r>
      <w:r w:rsidR="00B827E2" w:rsidRPr="00B7032A">
        <w:rPr>
          <w:rFonts w:ascii="Arial" w:hAnsi="Arial" w:cs="Arial"/>
          <w:sz w:val="22"/>
        </w:rPr>
        <w:t xml:space="preserve">de infraestructura social </w:t>
      </w:r>
      <w:r w:rsidR="00C356C5" w:rsidRPr="00B7032A">
        <w:rPr>
          <w:rFonts w:ascii="Arial" w:hAnsi="Arial" w:cs="Arial"/>
          <w:sz w:val="22"/>
        </w:rPr>
        <w:t xml:space="preserve">la acreditación del requisito habilitante de experiencia </w:t>
      </w:r>
      <w:r w:rsidR="00C356C5" w:rsidRPr="00B7032A">
        <w:rPr>
          <w:rFonts w:ascii="Arial" w:hAnsi="Arial" w:cs="Arial"/>
          <w:sz w:val="22"/>
        </w:rPr>
        <w:t>se aborda desde distintos criterios.</w:t>
      </w:r>
      <w:r w:rsidR="00C356C5" w:rsidRPr="00B7032A">
        <w:rPr>
          <w:rFonts w:ascii="Arial" w:eastAsiaTheme="minorHAnsi" w:hAnsi="Arial" w:cs="Arial"/>
          <w:color w:val="0D0D0D" w:themeColor="text1" w:themeTint="F2"/>
          <w:sz w:val="22"/>
          <w:szCs w:val="22"/>
          <w:lang w:eastAsia="en-US"/>
        </w:rPr>
        <w:t xml:space="preserve"> </w:t>
      </w:r>
      <w:r w:rsidR="00C356C5" w:rsidRPr="00B7032A">
        <w:rPr>
          <w:rFonts w:ascii="Arial" w:eastAsiaTheme="minorHAnsi" w:hAnsi="Arial" w:cs="Arial"/>
          <w:sz w:val="22"/>
          <w:szCs w:val="22"/>
          <w:lang w:val="es-MX" w:eastAsia="en-US"/>
        </w:rPr>
        <w:t xml:space="preserve">En primer lugar, los contratos presentados por los proponentes deben corresponder a la actividad o actividades de experiencia general y específica que la entidad exija en el pliego de condiciones de acuerdo con los parámetros señalados en la Matriz </w:t>
      </w:r>
      <w:r w:rsidRPr="00B7032A">
        <w:rPr>
          <w:rFonts w:ascii="Arial" w:eastAsiaTheme="minorHAnsi" w:hAnsi="Arial" w:cs="Arial"/>
          <w:sz w:val="22"/>
          <w:szCs w:val="22"/>
          <w:lang w:val="es-MX" w:eastAsia="en-US"/>
        </w:rPr>
        <w:t>Experiencia</w:t>
      </w:r>
      <w:r w:rsidR="00182D5C" w:rsidRPr="00B7032A">
        <w:rPr>
          <w:rFonts w:ascii="Arial" w:eastAsiaTheme="minorHAnsi" w:hAnsi="Arial" w:cs="Arial"/>
          <w:sz w:val="22"/>
          <w:szCs w:val="22"/>
          <w:lang w:val="es-MX" w:eastAsia="en-US"/>
        </w:rPr>
        <w:t xml:space="preserve"> aplicable</w:t>
      </w:r>
      <w:r w:rsidR="00C356C5" w:rsidRPr="00B7032A">
        <w:rPr>
          <w:rFonts w:ascii="Arial" w:eastAsiaTheme="minorHAnsi" w:hAnsi="Arial" w:cs="Arial"/>
          <w:sz w:val="22"/>
          <w:szCs w:val="22"/>
          <w:lang w:val="es-MX" w:eastAsia="en-US"/>
        </w:rPr>
        <w:t>. En segundo lugar, los proponentes deben acreditar el cumplimiento de las condiciones fijadas con mínimo uno (1) y máximo seis (6) contratos, que debieron terminar antes de la fecha de cierre del proceso de contratación</w:t>
      </w:r>
      <w:r w:rsidR="00BF746D" w:rsidRPr="00B7032A">
        <w:rPr>
          <w:rFonts w:ascii="Arial" w:eastAsiaTheme="minorHAnsi" w:hAnsi="Arial" w:cs="Arial"/>
          <w:sz w:val="22"/>
          <w:szCs w:val="22"/>
          <w:lang w:val="es-MX" w:eastAsia="en-US"/>
        </w:rPr>
        <w:t xml:space="preserve">, </w:t>
      </w:r>
      <w:r w:rsidRPr="00B7032A">
        <w:rPr>
          <w:rFonts w:ascii="Arial" w:eastAsiaTheme="minorHAnsi" w:hAnsi="Arial" w:cs="Arial"/>
          <w:sz w:val="22"/>
          <w:szCs w:val="22"/>
          <w:lang w:val="es-MX" w:eastAsia="en-US"/>
        </w:rPr>
        <w:t xml:space="preserve">sin </w:t>
      </w:r>
      <w:r w:rsidR="00BF746D" w:rsidRPr="00B7032A">
        <w:rPr>
          <w:rFonts w:ascii="Arial" w:eastAsiaTheme="minorHAnsi" w:hAnsi="Arial" w:cs="Arial"/>
          <w:sz w:val="22"/>
          <w:szCs w:val="22"/>
          <w:lang w:val="es-MX" w:eastAsia="en-US"/>
        </w:rPr>
        <w:t>perjuicio d</w:t>
      </w:r>
      <w:r w:rsidR="00B827E2" w:rsidRPr="00B7032A">
        <w:rPr>
          <w:rFonts w:ascii="Arial" w:eastAsiaTheme="minorHAnsi" w:hAnsi="Arial" w:cs="Arial"/>
          <w:sz w:val="22"/>
          <w:szCs w:val="22"/>
          <w:lang w:val="es-MX" w:eastAsia="en-US"/>
        </w:rPr>
        <w:t>e</w:t>
      </w:r>
      <w:r w:rsidR="00BF746D" w:rsidRPr="00B7032A">
        <w:rPr>
          <w:rFonts w:ascii="Arial" w:eastAsiaTheme="minorHAnsi" w:hAnsi="Arial" w:cs="Arial"/>
          <w:sz w:val="22"/>
          <w:szCs w:val="22"/>
          <w:lang w:val="es-MX" w:eastAsia="en-US"/>
        </w:rPr>
        <w:t xml:space="preserve"> la</w:t>
      </w:r>
      <w:r w:rsidR="00B827E2" w:rsidRPr="00B7032A">
        <w:rPr>
          <w:rFonts w:ascii="Arial" w:eastAsiaTheme="minorHAnsi" w:hAnsi="Arial" w:cs="Arial"/>
          <w:sz w:val="22"/>
          <w:szCs w:val="22"/>
          <w:lang w:val="es-MX" w:eastAsia="en-US"/>
        </w:rPr>
        <w:t>s</w:t>
      </w:r>
      <w:r w:rsidR="00BF746D" w:rsidRPr="00B7032A">
        <w:rPr>
          <w:rFonts w:ascii="Arial" w:eastAsiaTheme="minorHAnsi" w:hAnsi="Arial" w:cs="Arial"/>
          <w:sz w:val="22"/>
          <w:szCs w:val="22"/>
          <w:lang w:val="es-MX" w:eastAsia="en-US"/>
        </w:rPr>
        <w:t xml:space="preserve"> combinaci</w:t>
      </w:r>
      <w:r w:rsidR="00182D5C" w:rsidRPr="00B7032A">
        <w:rPr>
          <w:rFonts w:ascii="Arial" w:eastAsiaTheme="minorHAnsi" w:hAnsi="Arial" w:cs="Arial"/>
          <w:sz w:val="22"/>
          <w:szCs w:val="22"/>
          <w:lang w:val="es-MX" w:eastAsia="en-US"/>
        </w:rPr>
        <w:t>ones</w:t>
      </w:r>
      <w:r w:rsidR="00BF746D" w:rsidRPr="00B7032A">
        <w:rPr>
          <w:rFonts w:ascii="Arial" w:eastAsiaTheme="minorHAnsi" w:hAnsi="Arial" w:cs="Arial"/>
          <w:sz w:val="22"/>
          <w:szCs w:val="22"/>
          <w:lang w:val="es-MX" w:eastAsia="en-US"/>
        </w:rPr>
        <w:t xml:space="preserve"> de experiencia señalada en el literal A del numeral 3.5.1</w:t>
      </w:r>
      <w:r w:rsidR="00182D5C" w:rsidRPr="00B7032A">
        <w:rPr>
          <w:rFonts w:ascii="Arial" w:eastAsiaTheme="minorHAnsi" w:hAnsi="Arial" w:cs="Arial"/>
          <w:sz w:val="22"/>
          <w:szCs w:val="22"/>
          <w:lang w:val="es-MX" w:eastAsia="en-US"/>
        </w:rPr>
        <w:t xml:space="preserve"> y la acreditación de experiencia de los bienes o servicios adicionales a la obra pública de infraestructura social</w:t>
      </w:r>
      <w:r w:rsidR="00C356C5" w:rsidRPr="00B7032A">
        <w:rPr>
          <w:rFonts w:ascii="Arial" w:eastAsiaTheme="minorHAnsi" w:hAnsi="Arial" w:cs="Arial"/>
          <w:sz w:val="22"/>
          <w:szCs w:val="22"/>
          <w:lang w:val="es-MX" w:eastAsia="en-US"/>
        </w:rPr>
        <w:t xml:space="preserve">. Por último, el número de contratos aportados por el proponente debe certificar un valor mínimo correspondiente a un porcentaje del presupuesto oficial del proceso de obra expresado en SMMLV, cuya </w:t>
      </w:r>
      <w:r w:rsidR="00992703" w:rsidRPr="00B7032A">
        <w:rPr>
          <w:rFonts w:ascii="Arial" w:eastAsiaTheme="minorHAnsi" w:hAnsi="Arial" w:cs="Arial"/>
          <w:sz w:val="22"/>
          <w:szCs w:val="22"/>
          <w:lang w:val="es-MX" w:eastAsia="en-US"/>
        </w:rPr>
        <w:t>evaluación se realizará teniendo en cuenta la tabla establecida en el numeral 3.5.7. d</w:t>
      </w:r>
      <w:r w:rsidR="00C356C5" w:rsidRPr="00B7032A">
        <w:rPr>
          <w:rFonts w:ascii="Arial" w:eastAsiaTheme="minorHAnsi" w:hAnsi="Arial" w:cs="Arial"/>
          <w:sz w:val="22"/>
          <w:szCs w:val="22"/>
          <w:lang w:val="es-MX" w:eastAsia="en-US"/>
        </w:rPr>
        <w:t>el pliego de condiciones</w:t>
      </w:r>
      <w:r w:rsidR="00C356C5" w:rsidRPr="00B7032A">
        <w:rPr>
          <w:rFonts w:ascii="Arial" w:eastAsia="Calibri" w:hAnsi="Arial" w:cs="Arial"/>
          <w:sz w:val="22"/>
          <w:szCs w:val="22"/>
          <w:vertAlign w:val="superscript"/>
          <w:lang w:eastAsia="en-US"/>
        </w:rPr>
        <w:footnoteReference w:id="13"/>
      </w:r>
      <w:r w:rsidR="00C356C5" w:rsidRPr="00B7032A">
        <w:rPr>
          <w:rFonts w:ascii="Arial" w:eastAsiaTheme="minorHAnsi" w:hAnsi="Arial" w:cs="Arial"/>
          <w:sz w:val="22"/>
          <w:szCs w:val="22"/>
          <w:lang w:val="es-MX" w:eastAsia="en-US"/>
        </w:rPr>
        <w:t xml:space="preserve">. </w:t>
      </w:r>
    </w:p>
    <w:p w14:paraId="1500B7C5" w14:textId="2C2F5BE3" w:rsidR="00C356C5" w:rsidRPr="00B7032A" w:rsidRDefault="00C356C5" w:rsidP="00C356C5">
      <w:pPr>
        <w:spacing w:before="120" w:line="276" w:lineRule="auto"/>
        <w:ind w:firstLine="709"/>
        <w:jc w:val="both"/>
        <w:rPr>
          <w:rFonts w:ascii="Arial" w:eastAsiaTheme="minorHAnsi" w:hAnsi="Arial" w:cs="Arial"/>
          <w:color w:val="0D0D0D" w:themeColor="text1" w:themeTint="F2"/>
          <w:sz w:val="22"/>
          <w:szCs w:val="22"/>
          <w:lang w:val="es-MX" w:eastAsia="en-US"/>
        </w:rPr>
      </w:pPr>
      <w:r w:rsidRPr="00B7032A">
        <w:rPr>
          <w:rFonts w:ascii="Arial" w:eastAsia="Calibri" w:hAnsi="Arial" w:cs="Arial"/>
          <w:sz w:val="22"/>
          <w:szCs w:val="22"/>
          <w:lang w:val="es-MX" w:eastAsia="en-US"/>
        </w:rPr>
        <w:lastRenderedPageBreak/>
        <w:t xml:space="preserve">En este sentido, </w:t>
      </w:r>
      <w:r w:rsidRPr="00B7032A">
        <w:rPr>
          <w:rFonts w:ascii="Arial" w:eastAsia="Calibri" w:hAnsi="Arial" w:cs="Arial"/>
          <w:sz w:val="22"/>
          <w:szCs w:val="22"/>
          <w:lang w:eastAsia="en-US"/>
        </w:rPr>
        <w:t>los proponentes podrán optar por acreditar los requisitos de experiencia exigibles mediante mínimo uno (1) y máximo seis (6) contratos y tendrán en cuenta que, de acuerdo con el numeral 3.5.</w:t>
      </w:r>
      <w:r w:rsidR="00BB25A0" w:rsidRPr="00B7032A">
        <w:rPr>
          <w:rFonts w:ascii="Arial" w:eastAsia="Calibri" w:hAnsi="Arial" w:cs="Arial"/>
          <w:sz w:val="22"/>
          <w:szCs w:val="22"/>
          <w:lang w:eastAsia="en-US"/>
        </w:rPr>
        <w:t>7</w:t>
      </w:r>
      <w:r w:rsidRPr="00B7032A">
        <w:rPr>
          <w:rFonts w:ascii="Arial" w:eastAsia="Calibri" w:hAnsi="Arial" w:cs="Arial"/>
          <w:sz w:val="22"/>
          <w:szCs w:val="22"/>
          <w:lang w:eastAsia="en-US"/>
        </w:rPr>
        <w:t xml:space="preserve"> del documento base, la cantidad de contratos que aporte para acreditar dicha experiencia determinará el porcentaje del valor del presupuesto oficial que la sumatoria de dichos contratos debe alcanzar para poder cumplir con el requisito habilitante. </w:t>
      </w:r>
    </w:p>
    <w:p w14:paraId="6BAA69A0" w14:textId="352C0BFA" w:rsidR="00963B1C" w:rsidRPr="00AE5764" w:rsidRDefault="00C356C5" w:rsidP="006063CE">
      <w:pPr>
        <w:tabs>
          <w:tab w:val="left" w:pos="426"/>
        </w:tabs>
        <w:spacing w:before="120" w:line="276" w:lineRule="auto"/>
        <w:ind w:firstLine="709"/>
        <w:jc w:val="both"/>
        <w:rPr>
          <w:rFonts w:ascii="Arial" w:hAnsi="Arial" w:cs="Arial"/>
          <w:sz w:val="22"/>
        </w:rPr>
      </w:pPr>
      <w:r w:rsidRPr="00B7032A">
        <w:rPr>
          <w:rFonts w:ascii="Arial" w:hAnsi="Arial" w:cs="Arial"/>
          <w:sz w:val="22"/>
        </w:rPr>
        <w:t>En relación con cada uno de los contratos aportados, conforme lo indica el numeral 3.5.</w:t>
      </w:r>
      <w:r w:rsidR="00A061A8" w:rsidRPr="00B7032A">
        <w:rPr>
          <w:rFonts w:ascii="Arial" w:hAnsi="Arial" w:cs="Arial"/>
          <w:sz w:val="22"/>
        </w:rPr>
        <w:t>4</w:t>
      </w:r>
      <w:r w:rsidRPr="00B7032A">
        <w:rPr>
          <w:rFonts w:ascii="Arial" w:hAnsi="Arial" w:cs="Arial"/>
          <w:sz w:val="22"/>
        </w:rPr>
        <w:t xml:space="preserve"> del </w:t>
      </w:r>
      <w:r w:rsidR="00B827E2" w:rsidRPr="00B7032A">
        <w:rPr>
          <w:rFonts w:ascii="Arial" w:hAnsi="Arial" w:cs="Arial"/>
          <w:sz w:val="22"/>
        </w:rPr>
        <w:t>d</w:t>
      </w:r>
      <w:r w:rsidRPr="00B7032A">
        <w:rPr>
          <w:rFonts w:ascii="Arial" w:hAnsi="Arial" w:cs="Arial"/>
          <w:sz w:val="22"/>
        </w:rPr>
        <w:t xml:space="preserve">ocumento </w:t>
      </w:r>
      <w:r w:rsidR="00B827E2" w:rsidRPr="00B7032A">
        <w:rPr>
          <w:rFonts w:ascii="Arial" w:hAnsi="Arial" w:cs="Arial"/>
          <w:sz w:val="22"/>
        </w:rPr>
        <w:t>b</w:t>
      </w:r>
      <w:r w:rsidRPr="00B7032A">
        <w:rPr>
          <w:rFonts w:ascii="Arial" w:hAnsi="Arial" w:cs="Arial"/>
          <w:sz w:val="22"/>
        </w:rPr>
        <w:t xml:space="preserve">ase, los proponentes </w:t>
      </w:r>
      <w:r w:rsidRPr="00B7032A">
        <w:rPr>
          <w:rFonts w:ascii="Arial" w:hAnsi="Arial" w:cs="Arial"/>
          <w:sz w:val="22"/>
        </w:rPr>
        <w:t>deberán acreditar</w:t>
      </w:r>
      <w:r w:rsidR="006063CE" w:rsidRPr="00B7032A">
        <w:rPr>
          <w:rFonts w:ascii="Arial" w:hAnsi="Arial" w:cs="Arial"/>
          <w:sz w:val="22"/>
        </w:rPr>
        <w:t xml:space="preserve"> la siguiente información</w:t>
      </w:r>
      <w:r w:rsidRPr="00B7032A">
        <w:rPr>
          <w:rFonts w:ascii="Arial" w:hAnsi="Arial" w:cs="Arial"/>
          <w:sz w:val="22"/>
        </w:rPr>
        <w:t xml:space="preserve">: a) contratante; b) objeto del contrato; c) principales actividades ejecutadas; d) las </w:t>
      </w:r>
      <w:r w:rsidR="006063CE" w:rsidRPr="00B7032A">
        <w:rPr>
          <w:rFonts w:ascii="Arial" w:hAnsi="Arial" w:cs="Arial"/>
          <w:sz w:val="22"/>
        </w:rPr>
        <w:t>magnitudes</w:t>
      </w:r>
      <w:r w:rsidRPr="00B7032A">
        <w:rPr>
          <w:rFonts w:ascii="Arial" w:hAnsi="Arial" w:cs="Arial"/>
          <w:sz w:val="22"/>
        </w:rPr>
        <w:t xml:space="preserve">, </w:t>
      </w:r>
      <w:r w:rsidR="006063CE" w:rsidRPr="00B7032A">
        <w:rPr>
          <w:rFonts w:ascii="Arial" w:hAnsi="Arial" w:cs="Arial"/>
          <w:sz w:val="22"/>
        </w:rPr>
        <w:t xml:space="preserve">área intervenida o construida y demás condiciones de experiencia contenida en la matriz de experiencia aplicable en el proyecto de infraestructura social que permita establecer su alcance, en los casos que aplique; e) </w:t>
      </w:r>
      <w:r w:rsidR="008A6053" w:rsidRPr="00B7032A">
        <w:rPr>
          <w:rFonts w:ascii="Arial" w:hAnsi="Arial" w:cs="Arial"/>
          <w:sz w:val="22"/>
        </w:rPr>
        <w:t>l</w:t>
      </w:r>
      <w:r w:rsidR="006063CE" w:rsidRPr="00B7032A">
        <w:rPr>
          <w:rFonts w:ascii="Arial" w:hAnsi="Arial" w:cs="Arial"/>
          <w:sz w:val="22"/>
        </w:rPr>
        <w:t xml:space="preserve">a fecha de </w:t>
      </w:r>
      <w:r w:rsidR="006063CE" w:rsidRPr="00B7032A">
        <w:rPr>
          <w:rFonts w:ascii="Arial" w:hAnsi="Arial" w:cs="Arial"/>
          <w:sz w:val="22"/>
        </w:rPr>
        <w:t xml:space="preserve">iniciación de la ejecución del Contrato; </w:t>
      </w:r>
      <w:r w:rsidRPr="00B7032A">
        <w:rPr>
          <w:rFonts w:ascii="Arial" w:hAnsi="Arial" w:cs="Arial"/>
          <w:sz w:val="22"/>
        </w:rPr>
        <w:t xml:space="preserve">f) </w:t>
      </w:r>
      <w:r w:rsidRPr="00B7032A">
        <w:rPr>
          <w:rFonts w:ascii="Arial" w:hAnsi="Arial" w:cs="Arial"/>
          <w:sz w:val="22"/>
        </w:rPr>
        <w:lastRenderedPageBreak/>
        <w:t xml:space="preserve">la fecha de terminación de la ejecución del </w:t>
      </w:r>
      <w:r w:rsidRPr="00AE5764">
        <w:rPr>
          <w:rFonts w:ascii="Arial" w:hAnsi="Arial" w:cs="Arial"/>
          <w:sz w:val="22"/>
        </w:rPr>
        <w:t>contrato; g) nombre y cargo de la persona que expide la certificación</w:t>
      </w:r>
      <w:r w:rsidR="00963B1C" w:rsidRPr="00AE5764">
        <w:rPr>
          <w:rFonts w:ascii="Arial" w:hAnsi="Arial" w:cs="Arial"/>
          <w:sz w:val="22"/>
        </w:rPr>
        <w:t xml:space="preserve"> y</w:t>
      </w:r>
      <w:r w:rsidRPr="00AE5764">
        <w:rPr>
          <w:rFonts w:ascii="Arial" w:hAnsi="Arial" w:cs="Arial"/>
          <w:sz w:val="22"/>
        </w:rPr>
        <w:t xml:space="preserve"> h) el porcentaje de participación del integrante del contratista plural</w:t>
      </w:r>
      <w:r w:rsidR="00963B1C" w:rsidRPr="00AE5764">
        <w:rPr>
          <w:rFonts w:ascii="Arial" w:hAnsi="Arial" w:cs="Arial"/>
          <w:sz w:val="22"/>
        </w:rPr>
        <w:t>.</w:t>
      </w:r>
    </w:p>
    <w:p w14:paraId="4B18A095" w14:textId="29737C08" w:rsidR="00C356C5" w:rsidRPr="00B7032A" w:rsidRDefault="00963B1C" w:rsidP="00963B1C">
      <w:pPr>
        <w:tabs>
          <w:tab w:val="left" w:pos="426"/>
        </w:tabs>
        <w:spacing w:before="120" w:line="276" w:lineRule="auto"/>
        <w:ind w:firstLine="709"/>
        <w:jc w:val="both"/>
        <w:rPr>
          <w:rFonts w:ascii="Arial" w:hAnsi="Arial" w:cs="Arial"/>
          <w:sz w:val="22"/>
        </w:rPr>
      </w:pPr>
      <w:r w:rsidRPr="00AE5764">
        <w:rPr>
          <w:rFonts w:ascii="Arial" w:hAnsi="Arial" w:cs="Arial"/>
          <w:sz w:val="22"/>
        </w:rPr>
        <w:t xml:space="preserve">Como se indicó, </w:t>
      </w:r>
      <w:r w:rsidR="00C356C5" w:rsidRPr="00AE5764">
        <w:rPr>
          <w:rFonts w:ascii="Arial" w:hAnsi="Arial" w:cs="Arial"/>
          <w:sz w:val="22"/>
        </w:rPr>
        <w:t>de conformidad con el</w:t>
      </w:r>
      <w:r w:rsidR="00044B71" w:rsidRPr="00AE5764">
        <w:rPr>
          <w:rFonts w:ascii="Arial" w:hAnsi="Arial" w:cs="Arial"/>
          <w:color w:val="000000" w:themeColor="text1"/>
          <w:sz w:val="22"/>
        </w:rPr>
        <w:t xml:space="preserve"> inciso 3 del numeral 6.1.</w:t>
      </w:r>
      <w:r w:rsidR="00C356C5" w:rsidRPr="00AE5764">
        <w:rPr>
          <w:rFonts w:ascii="Arial" w:hAnsi="Arial" w:cs="Arial"/>
          <w:sz w:val="22"/>
        </w:rPr>
        <w:t xml:space="preserve"> </w:t>
      </w:r>
      <w:r w:rsidR="008A6053" w:rsidRPr="00AE5764">
        <w:rPr>
          <w:rFonts w:ascii="Arial" w:hAnsi="Arial" w:cs="Arial"/>
          <w:sz w:val="22"/>
        </w:rPr>
        <w:t xml:space="preserve">del </w:t>
      </w:r>
      <w:r w:rsidR="00C356C5" w:rsidRPr="00AE5764">
        <w:rPr>
          <w:rFonts w:ascii="Arial" w:hAnsi="Arial" w:cs="Arial"/>
          <w:sz w:val="22"/>
        </w:rPr>
        <w:t>artículo 6 de la Ley 1150 de 2007 el requisito habilitante de experiencia debe ser acreditado mediante el RUP</w:t>
      </w:r>
      <w:r w:rsidR="00044B71" w:rsidRPr="00AE5764">
        <w:rPr>
          <w:rFonts w:ascii="Arial" w:hAnsi="Arial" w:cs="Arial"/>
          <w:sz w:val="22"/>
        </w:rPr>
        <w:t>. S</w:t>
      </w:r>
      <w:r w:rsidRPr="00AE5764">
        <w:rPr>
          <w:rFonts w:ascii="Arial" w:hAnsi="Arial" w:cs="Arial"/>
          <w:sz w:val="22"/>
        </w:rPr>
        <w:t xml:space="preserve">in embargo, </w:t>
      </w:r>
      <w:r w:rsidR="00C356C5" w:rsidRPr="00AE5764">
        <w:rPr>
          <w:rFonts w:ascii="Arial" w:hAnsi="Arial" w:cs="Arial"/>
          <w:sz w:val="22"/>
        </w:rPr>
        <w:t>en la medida que este no registra toda la información relacionada en el numeral 3.5.</w:t>
      </w:r>
      <w:r w:rsidRPr="00AE5764">
        <w:rPr>
          <w:rFonts w:ascii="Arial" w:hAnsi="Arial" w:cs="Arial"/>
          <w:sz w:val="22"/>
        </w:rPr>
        <w:t>4</w:t>
      </w:r>
      <w:r w:rsidR="00C356C5" w:rsidRPr="00AE5764">
        <w:rPr>
          <w:rFonts w:ascii="Arial" w:hAnsi="Arial" w:cs="Arial"/>
          <w:sz w:val="22"/>
        </w:rPr>
        <w:t xml:space="preserve">, los proponentes deberán recurrir a </w:t>
      </w:r>
      <w:r w:rsidR="00085B65" w:rsidRPr="00AE5764">
        <w:rPr>
          <w:rFonts w:ascii="Arial" w:hAnsi="Arial" w:cs="Arial"/>
          <w:sz w:val="22"/>
        </w:rPr>
        <w:t xml:space="preserve">lo dispuesto en </w:t>
      </w:r>
      <w:r w:rsidR="00C356C5" w:rsidRPr="00AE5764">
        <w:rPr>
          <w:rFonts w:ascii="Arial" w:hAnsi="Arial" w:cs="Arial"/>
          <w:sz w:val="22"/>
        </w:rPr>
        <w:t>el numeral 3.5.</w:t>
      </w:r>
      <w:r w:rsidRPr="00AE5764">
        <w:rPr>
          <w:rFonts w:ascii="Arial" w:hAnsi="Arial" w:cs="Arial"/>
          <w:sz w:val="22"/>
        </w:rPr>
        <w:t>5</w:t>
      </w:r>
      <w:r w:rsidR="00C356C5" w:rsidRPr="00AE5764">
        <w:rPr>
          <w:rFonts w:ascii="Arial" w:hAnsi="Arial" w:cs="Arial"/>
          <w:sz w:val="22"/>
        </w:rPr>
        <w:t xml:space="preserve"> para acreditar dicha información</w:t>
      </w:r>
      <w:r w:rsidR="00CC3A2F" w:rsidRPr="00AE5764">
        <w:rPr>
          <w:rFonts w:ascii="Arial" w:hAnsi="Arial" w:cs="Arial"/>
          <w:sz w:val="22"/>
        </w:rPr>
        <w:t xml:space="preserve">. Este numeral </w:t>
      </w:r>
      <w:r w:rsidR="00C356C5" w:rsidRPr="00AE5764">
        <w:rPr>
          <w:rStyle w:val="normaltextrun"/>
          <w:rFonts w:ascii="Arial" w:hAnsi="Arial" w:cs="Arial"/>
          <w:sz w:val="22"/>
        </w:rPr>
        <w:t xml:space="preserve">establece </w:t>
      </w:r>
      <w:r w:rsidR="00C356C5" w:rsidRPr="00AE5764">
        <w:rPr>
          <w:rFonts w:ascii="Arial" w:hAnsi="Arial" w:cs="Arial"/>
          <w:sz w:val="22"/>
        </w:rPr>
        <w:t xml:space="preserve">los documentos a los que se acudirá cuando el proponente no esté obligado a tener RUP o cuando la entidad requiera verificar información adicional. En tal sentido, </w:t>
      </w:r>
      <w:r w:rsidR="00C356C5" w:rsidRPr="00AE5764">
        <w:rPr>
          <w:rFonts w:ascii="Arial" w:hAnsi="Arial" w:cs="Arial"/>
          <w:sz w:val="22"/>
          <w:lang w:val="es-MX"/>
        </w:rPr>
        <w:t xml:space="preserve">el proponente podrá aportar </w:t>
      </w:r>
      <w:bookmarkStart w:id="24" w:name="_Hlk83811650"/>
      <w:r w:rsidR="00C356C5" w:rsidRPr="00AE5764">
        <w:rPr>
          <w:rFonts w:ascii="Arial" w:hAnsi="Arial" w:cs="Arial"/>
          <w:sz w:val="22"/>
          <w:lang w:val="es-MX"/>
        </w:rPr>
        <w:t>uno o algunos de los siguientes documentos</w:t>
      </w:r>
      <w:bookmarkEnd w:id="24"/>
      <w:r w:rsidR="00C356C5" w:rsidRPr="00AE5764">
        <w:rPr>
          <w:rFonts w:ascii="Arial" w:hAnsi="Arial" w:cs="Arial"/>
          <w:sz w:val="22"/>
          <w:lang w:val="es-MX"/>
        </w:rPr>
        <w:t>, para que la entidad realice la verificación en forma directa:</w:t>
      </w:r>
    </w:p>
    <w:p w14:paraId="0AD550AB" w14:textId="77777777" w:rsidR="00C356C5" w:rsidRPr="00B7032A" w:rsidRDefault="00C356C5" w:rsidP="00C356C5">
      <w:pPr>
        <w:ind w:firstLine="708"/>
        <w:jc w:val="both"/>
        <w:rPr>
          <w:rFonts w:ascii="Arial" w:hAnsi="Arial" w:cs="Arial"/>
          <w:sz w:val="22"/>
        </w:rPr>
      </w:pPr>
    </w:p>
    <w:p w14:paraId="3484701C" w14:textId="77777777" w:rsidR="00C356C5" w:rsidRPr="00B7032A" w:rsidRDefault="00C356C5" w:rsidP="00C356C5">
      <w:pPr>
        <w:numPr>
          <w:ilvl w:val="0"/>
          <w:numId w:val="40"/>
        </w:numPr>
        <w:tabs>
          <w:tab w:val="left" w:pos="993"/>
        </w:tabs>
        <w:ind w:left="709" w:right="616" w:firstLine="0"/>
        <w:jc w:val="both"/>
        <w:rPr>
          <w:rFonts w:ascii="Arial" w:hAnsi="Arial" w:cs="Arial"/>
          <w:sz w:val="21"/>
          <w:szCs w:val="21"/>
          <w:lang w:val="es-MX"/>
        </w:rPr>
      </w:pPr>
      <w:r w:rsidRPr="00B7032A">
        <w:rPr>
          <w:rFonts w:ascii="Arial" w:hAnsi="Arial" w:cs="Arial"/>
          <w:sz w:val="21"/>
          <w:szCs w:val="21"/>
          <w:lang w:val="es-MX"/>
        </w:rPr>
        <w:t>Acta de liquidación</w:t>
      </w:r>
    </w:p>
    <w:p w14:paraId="57CDC0A8" w14:textId="77777777" w:rsidR="00C356C5" w:rsidRPr="00B7032A" w:rsidRDefault="00C356C5" w:rsidP="00C356C5">
      <w:pPr>
        <w:tabs>
          <w:tab w:val="left" w:pos="993"/>
        </w:tabs>
        <w:ind w:left="709" w:right="616"/>
        <w:jc w:val="both"/>
        <w:rPr>
          <w:rFonts w:ascii="Arial" w:hAnsi="Arial" w:cs="Arial"/>
          <w:sz w:val="21"/>
          <w:szCs w:val="21"/>
          <w:lang w:val="es-MX"/>
        </w:rPr>
      </w:pPr>
    </w:p>
    <w:p w14:paraId="0B64C8BF" w14:textId="77777777" w:rsidR="00C356C5" w:rsidRPr="00B7032A" w:rsidRDefault="00C356C5" w:rsidP="00C356C5">
      <w:pPr>
        <w:numPr>
          <w:ilvl w:val="0"/>
          <w:numId w:val="40"/>
        </w:numPr>
        <w:tabs>
          <w:tab w:val="left" w:pos="993"/>
        </w:tabs>
        <w:ind w:left="709" w:right="616" w:firstLine="0"/>
        <w:jc w:val="both"/>
        <w:rPr>
          <w:rFonts w:ascii="Arial" w:hAnsi="Arial" w:cs="Arial"/>
          <w:sz w:val="21"/>
          <w:szCs w:val="21"/>
          <w:lang w:val="es-MX"/>
        </w:rPr>
      </w:pPr>
      <w:r w:rsidRPr="00B7032A">
        <w:rPr>
          <w:rFonts w:ascii="Arial" w:hAnsi="Arial" w:cs="Arial"/>
          <w:sz w:val="21"/>
          <w:szCs w:val="21"/>
          <w:lang w:val="es-MX"/>
        </w:rPr>
        <w:t xml:space="preserve">Acta de entrega, terminación, final o de recibo definitivo. </w:t>
      </w:r>
    </w:p>
    <w:p w14:paraId="34760774" w14:textId="77777777" w:rsidR="00C356C5" w:rsidRPr="00B7032A" w:rsidRDefault="00C356C5" w:rsidP="00C356C5">
      <w:pPr>
        <w:tabs>
          <w:tab w:val="left" w:pos="993"/>
        </w:tabs>
        <w:ind w:left="709" w:right="616"/>
        <w:jc w:val="both"/>
        <w:rPr>
          <w:rFonts w:ascii="Arial" w:hAnsi="Arial" w:cs="Arial"/>
          <w:sz w:val="21"/>
          <w:szCs w:val="21"/>
          <w:lang w:val="es-MX"/>
        </w:rPr>
      </w:pPr>
    </w:p>
    <w:p w14:paraId="2F08AC3B" w14:textId="77777777" w:rsidR="00C356C5" w:rsidRPr="00B7032A" w:rsidRDefault="00C356C5" w:rsidP="00C356C5">
      <w:pPr>
        <w:numPr>
          <w:ilvl w:val="0"/>
          <w:numId w:val="40"/>
        </w:numPr>
        <w:tabs>
          <w:tab w:val="left" w:pos="993"/>
        </w:tabs>
        <w:ind w:left="709" w:right="616" w:firstLine="0"/>
        <w:jc w:val="both"/>
        <w:rPr>
          <w:rFonts w:ascii="Arial" w:hAnsi="Arial" w:cs="Arial"/>
          <w:sz w:val="21"/>
          <w:szCs w:val="21"/>
          <w:lang w:val="es-MX"/>
        </w:rPr>
      </w:pPr>
      <w:r w:rsidRPr="00B7032A">
        <w:rPr>
          <w:rFonts w:ascii="Arial" w:hAnsi="Arial" w:cs="Arial"/>
          <w:sz w:val="21"/>
          <w:szCs w:val="21"/>
          <w:lang w:val="es-MX"/>
        </w:rPr>
        <w:t>Certificación de experiencia. Expedida con posterioridad a la fecha de terminación del contrato en la que conste el recibo a satisfacción de la obra contratada debidamente suscrita por quien esté en capacidad u obligación de hacerlo.</w:t>
      </w:r>
    </w:p>
    <w:p w14:paraId="7AC42B06" w14:textId="77777777" w:rsidR="00C356C5" w:rsidRPr="00B7032A" w:rsidRDefault="00C356C5" w:rsidP="00C356C5">
      <w:pPr>
        <w:tabs>
          <w:tab w:val="left" w:pos="993"/>
        </w:tabs>
        <w:ind w:left="709" w:right="616"/>
        <w:jc w:val="both"/>
        <w:rPr>
          <w:rFonts w:ascii="Arial" w:hAnsi="Arial" w:cs="Arial"/>
          <w:sz w:val="21"/>
          <w:szCs w:val="21"/>
          <w:lang w:val="es-MX"/>
        </w:rPr>
      </w:pPr>
    </w:p>
    <w:p w14:paraId="309F7E19" w14:textId="77777777" w:rsidR="00B1039C" w:rsidRPr="00B7032A" w:rsidRDefault="00C356C5" w:rsidP="00B1039C">
      <w:pPr>
        <w:numPr>
          <w:ilvl w:val="0"/>
          <w:numId w:val="40"/>
        </w:numPr>
        <w:tabs>
          <w:tab w:val="left" w:pos="993"/>
        </w:tabs>
        <w:ind w:left="709" w:right="616" w:firstLine="0"/>
        <w:jc w:val="both"/>
        <w:rPr>
          <w:rFonts w:ascii="Arial" w:hAnsi="Arial" w:cs="Arial"/>
          <w:sz w:val="21"/>
          <w:szCs w:val="21"/>
          <w:lang w:val="es-MX"/>
        </w:rPr>
      </w:pPr>
      <w:r w:rsidRPr="00B7032A">
        <w:rPr>
          <w:rFonts w:ascii="Arial" w:hAnsi="Arial" w:cs="Arial"/>
          <w:sz w:val="21"/>
          <w:szCs w:val="21"/>
          <w:lang w:val="es-MX"/>
        </w:rPr>
        <w:t>Acta de inicio o la orden de inicio. La misma sólo será válida para efectos de acreditar la fecha de inicio.</w:t>
      </w:r>
    </w:p>
    <w:p w14:paraId="71B563CA" w14:textId="77777777" w:rsidR="00B1039C" w:rsidRPr="00B7032A" w:rsidRDefault="00B1039C" w:rsidP="00B1039C">
      <w:pPr>
        <w:pStyle w:val="Prrafodelista"/>
        <w:rPr>
          <w:rFonts w:ascii="Arial" w:hAnsi="Arial" w:cs="Arial"/>
          <w:sz w:val="21"/>
          <w:szCs w:val="21"/>
        </w:rPr>
      </w:pPr>
    </w:p>
    <w:p w14:paraId="27DEE991" w14:textId="636CD15B" w:rsidR="00B1039C" w:rsidRPr="00B7032A" w:rsidRDefault="00293F1B" w:rsidP="00B1039C">
      <w:pPr>
        <w:numPr>
          <w:ilvl w:val="0"/>
          <w:numId w:val="40"/>
        </w:numPr>
        <w:tabs>
          <w:tab w:val="left" w:pos="993"/>
        </w:tabs>
        <w:ind w:left="709" w:right="616" w:firstLine="0"/>
        <w:jc w:val="both"/>
        <w:rPr>
          <w:rFonts w:ascii="Arial" w:hAnsi="Arial" w:cs="Arial"/>
          <w:sz w:val="21"/>
          <w:szCs w:val="21"/>
          <w:lang w:val="es-MX"/>
        </w:rPr>
      </w:pPr>
      <w:r w:rsidRPr="00B7032A">
        <w:rPr>
          <w:rFonts w:ascii="Arial" w:hAnsi="Arial" w:cs="Arial"/>
          <w:sz w:val="21"/>
          <w:szCs w:val="21"/>
          <w:lang w:val="es-MX"/>
        </w:rPr>
        <w:t>[</w:t>
      </w:r>
      <w:r w:rsidR="00B1039C" w:rsidRPr="00AE5764">
        <w:rPr>
          <w:rFonts w:ascii="Arial" w:hAnsi="Arial" w:cs="Arial"/>
          <w:sz w:val="21"/>
          <w:szCs w:val="21"/>
          <w:highlight w:val="lightGray"/>
          <w:lang w:val="es-MX"/>
        </w:rPr>
        <w:t>Para los proyectos de edificaciones emplee este literal, de lo contrario eliminarlo</w:t>
      </w:r>
      <w:r w:rsidR="00B1039C" w:rsidRPr="00B7032A">
        <w:rPr>
          <w:rFonts w:ascii="Arial" w:hAnsi="Arial" w:cs="Arial"/>
          <w:sz w:val="21"/>
          <w:szCs w:val="21"/>
          <w:lang w:val="es-MX"/>
        </w:rPr>
        <w:t>.] Copia de la licencia de construcción y/o licencia de urbanismo.</w:t>
      </w:r>
    </w:p>
    <w:p w14:paraId="2DB334CC" w14:textId="77777777" w:rsidR="00B1039C" w:rsidRPr="00B7032A" w:rsidRDefault="00B1039C" w:rsidP="00B1039C">
      <w:pPr>
        <w:pStyle w:val="Prrafodelista"/>
        <w:rPr>
          <w:rFonts w:ascii="Arial" w:hAnsi="Arial" w:cs="Arial"/>
          <w:sz w:val="21"/>
          <w:szCs w:val="21"/>
        </w:rPr>
      </w:pPr>
    </w:p>
    <w:p w14:paraId="5AEC592A" w14:textId="77777777" w:rsidR="00B1039C" w:rsidRPr="00B7032A" w:rsidRDefault="00B1039C" w:rsidP="00B1039C">
      <w:pPr>
        <w:numPr>
          <w:ilvl w:val="0"/>
          <w:numId w:val="40"/>
        </w:numPr>
        <w:tabs>
          <w:tab w:val="left" w:pos="993"/>
        </w:tabs>
        <w:ind w:left="709" w:right="616" w:firstLine="0"/>
        <w:jc w:val="both"/>
        <w:rPr>
          <w:rFonts w:ascii="Arial" w:hAnsi="Arial" w:cs="Arial"/>
          <w:sz w:val="21"/>
          <w:szCs w:val="21"/>
          <w:lang w:val="es-MX"/>
        </w:rPr>
      </w:pPr>
      <w:r w:rsidRPr="00B7032A">
        <w:rPr>
          <w:rFonts w:ascii="Arial" w:hAnsi="Arial" w:cs="Arial"/>
          <w:sz w:val="21"/>
          <w:szCs w:val="21"/>
          <w:lang w:val="es-MX"/>
        </w:rPr>
        <w:t>Planos récord finales de obra.</w:t>
      </w:r>
    </w:p>
    <w:p w14:paraId="38258137" w14:textId="77777777" w:rsidR="00B1039C" w:rsidRPr="00B7032A" w:rsidRDefault="00B1039C" w:rsidP="00B1039C">
      <w:pPr>
        <w:pStyle w:val="Prrafodelista"/>
        <w:rPr>
          <w:rFonts w:ascii="Arial" w:hAnsi="Arial" w:cs="Arial"/>
          <w:sz w:val="21"/>
          <w:szCs w:val="21"/>
        </w:rPr>
      </w:pPr>
    </w:p>
    <w:p w14:paraId="7E060FC9" w14:textId="77777777" w:rsidR="00B1039C" w:rsidRPr="00B7032A" w:rsidRDefault="00B1039C" w:rsidP="00B1039C">
      <w:pPr>
        <w:numPr>
          <w:ilvl w:val="0"/>
          <w:numId w:val="40"/>
        </w:numPr>
        <w:tabs>
          <w:tab w:val="left" w:pos="993"/>
        </w:tabs>
        <w:ind w:left="709" w:right="616" w:firstLine="0"/>
        <w:jc w:val="both"/>
        <w:rPr>
          <w:rFonts w:ascii="Arial" w:hAnsi="Arial" w:cs="Arial"/>
          <w:sz w:val="21"/>
          <w:szCs w:val="21"/>
          <w:lang w:val="es-MX"/>
        </w:rPr>
      </w:pPr>
      <w:r w:rsidRPr="00B7032A">
        <w:rPr>
          <w:rFonts w:ascii="Arial" w:hAnsi="Arial" w:cs="Arial"/>
          <w:sz w:val="21"/>
          <w:szCs w:val="21"/>
          <w:lang w:val="es-MX"/>
        </w:rPr>
        <w:t>Para los contratos que hayan sido objeto de cesión, el Contrato deberá encontrarse inscrito y clasificado en el RUP o en uno o alguno de los documentos considerados como válidos para la acreditación de experiencia de la persona jurídica o natural cesionaria, según aplique. La experiencia se admitirá para el cesionario y no se reconocerá experiencia alguna al cedente.</w:t>
      </w:r>
    </w:p>
    <w:p w14:paraId="49989F09" w14:textId="77777777" w:rsidR="00B1039C" w:rsidRPr="00B7032A" w:rsidRDefault="00B1039C" w:rsidP="00B1039C">
      <w:pPr>
        <w:pStyle w:val="Prrafodelista"/>
        <w:rPr>
          <w:rFonts w:ascii="Arial" w:hAnsi="Arial" w:cs="Arial"/>
          <w:sz w:val="21"/>
          <w:szCs w:val="21"/>
        </w:rPr>
      </w:pPr>
    </w:p>
    <w:p w14:paraId="13191A86" w14:textId="0585EDF2" w:rsidR="00B1039C" w:rsidRPr="00B7032A" w:rsidRDefault="00B1039C" w:rsidP="00B1039C">
      <w:pPr>
        <w:numPr>
          <w:ilvl w:val="0"/>
          <w:numId w:val="40"/>
        </w:numPr>
        <w:tabs>
          <w:tab w:val="left" w:pos="993"/>
        </w:tabs>
        <w:ind w:left="709" w:right="616" w:firstLine="0"/>
        <w:jc w:val="both"/>
        <w:rPr>
          <w:rFonts w:ascii="Arial" w:hAnsi="Arial" w:cs="Arial"/>
          <w:sz w:val="21"/>
          <w:szCs w:val="21"/>
          <w:lang w:val="es-MX"/>
        </w:rPr>
      </w:pPr>
      <w:r w:rsidRPr="00B7032A">
        <w:rPr>
          <w:rFonts w:ascii="Arial" w:hAnsi="Arial" w:cs="Arial"/>
          <w:sz w:val="21"/>
          <w:szCs w:val="21"/>
          <w:lang w:val="es-MX"/>
        </w:rPr>
        <w:t xml:space="preserve">Cualquier otro documento idóneo que acredite la experiencia exigida, tales como: el Contrato y/o los Documentos del Proceso Contractual, los cuales deben estar suscritos por las personas que intervinieron en su formación o estar publicados en el SECOP. </w:t>
      </w:r>
    </w:p>
    <w:p w14:paraId="5D9B31C6" w14:textId="77777777" w:rsidR="00C356C5" w:rsidRPr="00B7032A" w:rsidRDefault="00C356C5" w:rsidP="00C356C5">
      <w:pPr>
        <w:tabs>
          <w:tab w:val="left" w:pos="993"/>
        </w:tabs>
        <w:spacing w:line="276" w:lineRule="auto"/>
        <w:ind w:left="709" w:right="618"/>
        <w:jc w:val="both"/>
        <w:rPr>
          <w:rFonts w:ascii="Arial" w:hAnsi="Arial" w:cs="Arial"/>
          <w:sz w:val="21"/>
          <w:szCs w:val="21"/>
          <w:lang w:val="es-MX"/>
        </w:rPr>
      </w:pPr>
    </w:p>
    <w:p w14:paraId="25D16F9E" w14:textId="03E0DE02" w:rsidR="00C356C5" w:rsidRPr="00B7032A" w:rsidRDefault="00C356C5" w:rsidP="00C356C5">
      <w:pPr>
        <w:tabs>
          <w:tab w:val="left" w:pos="993"/>
        </w:tabs>
        <w:spacing w:line="276" w:lineRule="auto"/>
        <w:ind w:right="49" w:firstLine="709"/>
        <w:jc w:val="both"/>
        <w:rPr>
          <w:rFonts w:ascii="Arial" w:hAnsi="Arial" w:cs="Arial"/>
          <w:sz w:val="22"/>
          <w:szCs w:val="22"/>
          <w:lang w:val="es-MX"/>
        </w:rPr>
      </w:pPr>
      <w:r w:rsidRPr="00B7032A">
        <w:rPr>
          <w:rFonts w:ascii="Arial" w:hAnsi="Arial" w:cs="Arial"/>
          <w:sz w:val="22"/>
        </w:rPr>
        <w:t>Los documentos relacionados son válidos para que los proponentes acrediten «las actividades ejecutadas»</w:t>
      </w:r>
      <w:r w:rsidR="00293F1B" w:rsidRPr="00B7032A">
        <w:rPr>
          <w:rFonts w:ascii="Arial" w:hAnsi="Arial" w:cs="Arial"/>
          <w:sz w:val="22"/>
        </w:rPr>
        <w:t xml:space="preserve"> </w:t>
      </w:r>
      <w:r w:rsidRPr="00B7032A">
        <w:rPr>
          <w:rFonts w:ascii="Arial" w:hAnsi="Arial" w:cs="Arial"/>
          <w:sz w:val="22"/>
        </w:rPr>
        <w:t>definidas en la Matriz Experiencia</w:t>
      </w:r>
      <w:r w:rsidR="00293F1B" w:rsidRPr="00B7032A">
        <w:rPr>
          <w:rFonts w:ascii="Arial" w:hAnsi="Arial" w:cs="Arial"/>
          <w:sz w:val="22"/>
        </w:rPr>
        <w:t xml:space="preserve"> aplicable</w:t>
      </w:r>
      <w:r w:rsidRPr="00B7032A">
        <w:rPr>
          <w:rFonts w:ascii="Arial" w:hAnsi="Arial" w:cs="Arial"/>
          <w:sz w:val="22"/>
        </w:rPr>
        <w:t>, cuando el contenido de estos permita identificar el alcance de dichas actividades y siempre que la información cumpla con las exigencias del numeral 3.5.</w:t>
      </w:r>
      <w:r w:rsidR="00293F1B" w:rsidRPr="00B7032A">
        <w:rPr>
          <w:rFonts w:ascii="Arial" w:hAnsi="Arial" w:cs="Arial"/>
          <w:sz w:val="22"/>
        </w:rPr>
        <w:t>4</w:t>
      </w:r>
      <w:r w:rsidRPr="00B7032A">
        <w:rPr>
          <w:rFonts w:ascii="Arial" w:hAnsi="Arial" w:cs="Arial"/>
          <w:sz w:val="22"/>
        </w:rPr>
        <w:t>. del documento base</w:t>
      </w:r>
      <w:r w:rsidRPr="00B7032A">
        <w:rPr>
          <w:rFonts w:ascii="Arial" w:hAnsi="Arial" w:cs="Arial"/>
          <w:sz w:val="22"/>
          <w:lang w:val="es-MX"/>
        </w:rPr>
        <w:t xml:space="preserve">. En caso de existir discrepancias entre dos (2) o más documentos aportados por el proponente para la </w:t>
      </w:r>
      <w:r w:rsidRPr="00B7032A">
        <w:rPr>
          <w:rFonts w:ascii="Arial" w:hAnsi="Arial" w:cs="Arial"/>
          <w:sz w:val="22"/>
          <w:lang w:val="es-MX"/>
        </w:rPr>
        <w:lastRenderedPageBreak/>
        <w:t xml:space="preserve">acreditación de experiencia, el numeral establece un orden de prevalencia de los documentos señalados. </w:t>
      </w:r>
    </w:p>
    <w:p w14:paraId="211AC9EF" w14:textId="774519DB" w:rsidR="00F4062F" w:rsidRPr="00AE5764" w:rsidRDefault="00F4062F" w:rsidP="00F4062F">
      <w:pPr>
        <w:tabs>
          <w:tab w:val="left" w:pos="993"/>
        </w:tabs>
        <w:spacing w:before="120" w:line="276" w:lineRule="auto"/>
        <w:ind w:right="49" w:firstLine="709"/>
        <w:jc w:val="both"/>
        <w:rPr>
          <w:rFonts w:ascii="Arial" w:hAnsi="Arial" w:cs="Arial"/>
          <w:sz w:val="22"/>
          <w:szCs w:val="22"/>
        </w:rPr>
      </w:pPr>
      <w:r w:rsidRPr="00AE5764">
        <w:rPr>
          <w:rFonts w:ascii="Arial" w:hAnsi="Arial" w:cs="Arial"/>
          <w:sz w:val="22"/>
          <w:szCs w:val="22"/>
          <w:lang w:val="es-MX"/>
        </w:rPr>
        <w:t>P</w:t>
      </w:r>
      <w:r w:rsidR="00C356C5" w:rsidRPr="00AE5764">
        <w:rPr>
          <w:rFonts w:ascii="Arial" w:hAnsi="Arial" w:cs="Arial"/>
          <w:sz w:val="22"/>
          <w:szCs w:val="22"/>
          <w:lang w:val="es-MX"/>
        </w:rPr>
        <w:t>ara acreditar la experiencia entre particulares, el numeral 3.5.</w:t>
      </w:r>
      <w:r w:rsidR="00044B71" w:rsidRPr="00AE5764">
        <w:rPr>
          <w:rFonts w:ascii="Arial" w:hAnsi="Arial" w:cs="Arial"/>
          <w:sz w:val="22"/>
          <w:szCs w:val="22"/>
          <w:lang w:val="es-MX"/>
        </w:rPr>
        <w:t>5</w:t>
      </w:r>
      <w:r w:rsidR="00C356C5" w:rsidRPr="00AE5764">
        <w:rPr>
          <w:rFonts w:ascii="Arial" w:hAnsi="Arial" w:cs="Arial"/>
          <w:sz w:val="22"/>
          <w:szCs w:val="22"/>
          <w:lang w:val="es-MX"/>
        </w:rPr>
        <w:t xml:space="preserve"> del documento base señala que el proponente deberá aportar, adicionalmente, alguno de estos documentos: </w:t>
      </w:r>
      <w:r w:rsidR="00C356C5" w:rsidRPr="00AE5764">
        <w:rPr>
          <w:rFonts w:ascii="Arial" w:hAnsi="Arial" w:cs="Arial"/>
          <w:sz w:val="22"/>
        </w:rPr>
        <w:t>«</w:t>
      </w:r>
      <w:r w:rsidR="00C356C5" w:rsidRPr="00AE5764">
        <w:rPr>
          <w:rFonts w:ascii="Arial" w:hAnsi="Arial" w:cs="Arial"/>
          <w:sz w:val="22"/>
          <w:szCs w:val="22"/>
          <w:lang w:val="es-MX"/>
        </w:rPr>
        <w:t>Certificación de facturación expedida con posterioridad a la fecha de terminación del contrato emitida por el revisor fiscal o contador público del proponente que acredita la experiencia, según corresponda, con la copia de la tarjeta profesional y certificado de antecedente disciplinarios vigente, expedido por la Junta Central de Contadores, o los documentos equivalentes que hagan sus veces en el país donde se expide el documento del profesional</w:t>
      </w:r>
      <w:bookmarkStart w:id="25" w:name="_Hlk83811008"/>
      <w:r w:rsidR="00C356C5" w:rsidRPr="00AE5764">
        <w:rPr>
          <w:rFonts w:ascii="Arial" w:hAnsi="Arial" w:cs="Arial"/>
          <w:sz w:val="22"/>
        </w:rPr>
        <w:t>»</w:t>
      </w:r>
      <w:bookmarkEnd w:id="25"/>
      <w:r w:rsidR="00C356C5" w:rsidRPr="00AE5764">
        <w:rPr>
          <w:rFonts w:ascii="Arial" w:hAnsi="Arial" w:cs="Arial"/>
          <w:sz w:val="22"/>
          <w:szCs w:val="22"/>
        </w:rPr>
        <w:t xml:space="preserve">. </w:t>
      </w:r>
    </w:p>
    <w:p w14:paraId="1E2BCB24" w14:textId="54847296" w:rsidR="00C356C5" w:rsidRPr="00AE5764" w:rsidRDefault="00F4062F" w:rsidP="00F4062F">
      <w:pPr>
        <w:tabs>
          <w:tab w:val="left" w:pos="993"/>
        </w:tabs>
        <w:spacing w:before="120" w:line="276" w:lineRule="auto"/>
        <w:ind w:right="49" w:firstLine="709"/>
        <w:jc w:val="both"/>
        <w:rPr>
          <w:rFonts w:ascii="Arial" w:hAnsi="Arial" w:cs="Arial"/>
          <w:sz w:val="22"/>
          <w:szCs w:val="22"/>
        </w:rPr>
      </w:pPr>
      <w:r w:rsidRPr="00AE5764">
        <w:rPr>
          <w:rFonts w:ascii="Arial" w:eastAsiaTheme="minorHAnsi" w:hAnsi="Arial" w:cs="Arial"/>
          <w:color w:val="0D0D0D" w:themeColor="text1" w:themeTint="F2"/>
          <w:sz w:val="22"/>
          <w:szCs w:val="22"/>
          <w:lang w:val="es-ES_tradnl" w:eastAsia="en-US"/>
        </w:rPr>
        <w:t>Por su parte, e</w:t>
      </w:r>
      <w:r w:rsidR="00C356C5" w:rsidRPr="00AE5764">
        <w:rPr>
          <w:rFonts w:ascii="Arial" w:eastAsiaTheme="minorHAnsi" w:hAnsi="Arial" w:cs="Arial"/>
          <w:color w:val="0D0D0D" w:themeColor="text1" w:themeTint="F2"/>
          <w:sz w:val="22"/>
          <w:szCs w:val="22"/>
          <w:lang w:val="es-ES_tradnl" w:eastAsia="en-US"/>
        </w:rPr>
        <w:t>l numeral 3.5.</w:t>
      </w:r>
      <w:r w:rsidR="00044B71" w:rsidRPr="00AE5764">
        <w:rPr>
          <w:rFonts w:ascii="Arial" w:eastAsiaTheme="minorHAnsi" w:hAnsi="Arial" w:cs="Arial"/>
          <w:color w:val="0D0D0D" w:themeColor="text1" w:themeTint="F2"/>
          <w:sz w:val="22"/>
          <w:szCs w:val="22"/>
          <w:lang w:val="es-ES_tradnl" w:eastAsia="en-US"/>
        </w:rPr>
        <w:t>6</w:t>
      </w:r>
      <w:r w:rsidR="00C356C5" w:rsidRPr="00AE5764">
        <w:rPr>
          <w:rFonts w:ascii="Arial" w:eastAsiaTheme="minorHAnsi" w:hAnsi="Arial" w:cs="Arial"/>
          <w:color w:val="0D0D0D" w:themeColor="text1" w:themeTint="F2"/>
          <w:sz w:val="22"/>
          <w:szCs w:val="22"/>
          <w:lang w:val="es-ES_tradnl" w:eastAsia="en-US"/>
        </w:rPr>
        <w:t xml:space="preserve"> del documento base establece la forma de acreditación de experiencia para subcontratos. Este numeral</w:t>
      </w:r>
      <w:bookmarkStart w:id="26" w:name="_Hlk83993557"/>
      <w:r w:rsidR="00C356C5" w:rsidRPr="00AE5764">
        <w:rPr>
          <w:rFonts w:ascii="Arial" w:eastAsiaTheme="minorHAnsi" w:hAnsi="Arial" w:cs="Arial"/>
          <w:color w:val="0D0D0D" w:themeColor="text1" w:themeTint="F2"/>
          <w:sz w:val="22"/>
          <w:szCs w:val="22"/>
          <w:lang w:val="es-ES_tradnl" w:eastAsia="en-US"/>
        </w:rPr>
        <w:t xml:space="preserve"> </w:t>
      </w:r>
      <w:r w:rsidR="00C356C5" w:rsidRPr="00AE5764">
        <w:rPr>
          <w:rFonts w:ascii="Arial" w:eastAsiaTheme="minorHAnsi" w:hAnsi="Arial" w:cs="Arial"/>
          <w:color w:val="0D0D0D" w:themeColor="text1" w:themeTint="F2"/>
          <w:sz w:val="22"/>
          <w:szCs w:val="22"/>
          <w:lang w:val="es-ES" w:eastAsia="en-US"/>
        </w:rPr>
        <w:t>diferencia los subcontratos derivados de contratos suscritos con particulares, de los suscritos con entidades estatales</w:t>
      </w:r>
      <w:bookmarkEnd w:id="26"/>
      <w:r w:rsidR="00C356C5" w:rsidRPr="00AE5764">
        <w:rPr>
          <w:rFonts w:ascii="Arial" w:eastAsiaTheme="minorHAnsi" w:hAnsi="Arial" w:cs="Arial"/>
          <w:color w:val="0D0D0D" w:themeColor="text1" w:themeTint="F2"/>
          <w:sz w:val="22"/>
          <w:szCs w:val="22"/>
          <w:lang w:val="es-ES" w:eastAsia="en-US"/>
        </w:rPr>
        <w:t xml:space="preserve">. </w:t>
      </w:r>
      <w:r w:rsidR="00C356C5" w:rsidRPr="00AE5764">
        <w:rPr>
          <w:rFonts w:ascii="Arial" w:eastAsiaTheme="minorHAnsi" w:hAnsi="Arial" w:cs="Arial"/>
          <w:i/>
          <w:iCs/>
          <w:color w:val="0D0D0D" w:themeColor="text1" w:themeTint="F2"/>
          <w:sz w:val="22"/>
          <w:szCs w:val="22"/>
          <w:lang w:val="es-ES" w:eastAsia="en-US"/>
        </w:rPr>
        <w:t>Para el primer evento</w:t>
      </w:r>
      <w:r w:rsidR="00C356C5" w:rsidRPr="00AE5764">
        <w:rPr>
          <w:rFonts w:ascii="Arial" w:eastAsiaTheme="minorHAnsi" w:hAnsi="Arial" w:cs="Arial"/>
          <w:color w:val="0D0D0D" w:themeColor="text1" w:themeTint="F2"/>
          <w:sz w:val="22"/>
          <w:szCs w:val="22"/>
          <w:lang w:val="es-ES" w:eastAsia="en-US"/>
        </w:rPr>
        <w:t xml:space="preserve">, señala que </w:t>
      </w:r>
      <w:r w:rsidR="00C356C5" w:rsidRPr="00AE5764">
        <w:rPr>
          <w:rFonts w:ascii="Arial" w:hAnsi="Arial" w:cs="Arial"/>
          <w:sz w:val="22"/>
        </w:rPr>
        <w:t>«</w:t>
      </w:r>
      <w:r w:rsidR="00C356C5" w:rsidRPr="00AE5764">
        <w:rPr>
          <w:rFonts w:ascii="Arial" w:eastAsiaTheme="minorHAnsi" w:hAnsi="Arial" w:cs="Arial"/>
          <w:color w:val="0D0D0D" w:themeColor="text1" w:themeTint="F2"/>
          <w:sz w:val="22"/>
          <w:szCs w:val="22"/>
          <w:lang w:val="es-ES" w:eastAsia="en-US"/>
        </w:rPr>
        <w:t xml:space="preserve">para la acreditación de experiencia de subcontratos, cuyo contrato principal fue suscrito con particulares, se aplicarán las disposiciones </w:t>
      </w:r>
      <w:r w:rsidR="00C356C5" w:rsidRPr="00AE5764">
        <w:rPr>
          <w:rFonts w:ascii="Arial" w:eastAsiaTheme="minorHAnsi" w:hAnsi="Arial" w:cs="Arial"/>
          <w:color w:val="0D0D0D" w:themeColor="text1" w:themeTint="F2"/>
          <w:sz w:val="22"/>
          <w:szCs w:val="22"/>
          <w:lang w:val="es-ES" w:eastAsia="en-US"/>
        </w:rPr>
        <w:t>establecidas en el numeral anterior</w:t>
      </w:r>
      <w:r w:rsidR="00C356C5" w:rsidRPr="00AE5764">
        <w:rPr>
          <w:rFonts w:ascii="Arial" w:hAnsi="Arial" w:cs="Arial"/>
          <w:sz w:val="22"/>
        </w:rPr>
        <w:t>»</w:t>
      </w:r>
      <w:r w:rsidR="00C356C5" w:rsidRPr="00AE5764">
        <w:rPr>
          <w:rFonts w:ascii="Arial" w:eastAsiaTheme="minorHAnsi" w:hAnsi="Arial" w:cs="Arial"/>
          <w:color w:val="0D0D0D" w:themeColor="text1" w:themeTint="F2"/>
          <w:sz w:val="22"/>
          <w:szCs w:val="22"/>
          <w:lang w:val="es-ES" w:eastAsia="en-US"/>
        </w:rPr>
        <w:t xml:space="preserve">. </w:t>
      </w:r>
      <w:r w:rsidR="00C356C5" w:rsidRPr="00AE5764">
        <w:rPr>
          <w:rFonts w:ascii="Arial" w:eastAsiaTheme="minorHAnsi" w:hAnsi="Arial" w:cs="Arial"/>
          <w:color w:val="0D0D0D" w:themeColor="text1" w:themeTint="F2"/>
          <w:sz w:val="22"/>
          <w:szCs w:val="22"/>
          <w:lang w:val="es-ES_tradnl" w:eastAsia="en-US"/>
        </w:rPr>
        <w:t xml:space="preserve">De este modo, si el </w:t>
      </w:r>
      <w:r w:rsidR="00C356C5" w:rsidRPr="00AE5764">
        <w:rPr>
          <w:rFonts w:ascii="Arial" w:eastAsiaTheme="minorHAnsi" w:hAnsi="Arial" w:cs="Arial"/>
          <w:color w:val="0D0D0D" w:themeColor="text1" w:themeTint="F2"/>
          <w:sz w:val="22"/>
          <w:szCs w:val="22"/>
          <w:lang w:val="es-ES" w:eastAsia="en-US"/>
        </w:rPr>
        <w:t>contrato principal fue suscrito con particulares, las reglas de acreditación de experiencia para subcontratos son las establecidas en el numeral 3.5.</w:t>
      </w:r>
      <w:r w:rsidR="00044B71" w:rsidRPr="00AE5764">
        <w:rPr>
          <w:rFonts w:ascii="Arial" w:eastAsiaTheme="minorHAnsi" w:hAnsi="Arial" w:cs="Arial"/>
          <w:color w:val="0D0D0D" w:themeColor="text1" w:themeTint="F2"/>
          <w:sz w:val="22"/>
          <w:szCs w:val="22"/>
          <w:lang w:val="es-ES" w:eastAsia="en-US"/>
        </w:rPr>
        <w:t>5</w:t>
      </w:r>
      <w:r w:rsidR="00C356C5" w:rsidRPr="00AE5764">
        <w:rPr>
          <w:rFonts w:ascii="Arial" w:eastAsiaTheme="minorHAnsi" w:hAnsi="Arial" w:cs="Arial"/>
          <w:color w:val="0D0D0D" w:themeColor="text1" w:themeTint="F2"/>
          <w:sz w:val="22"/>
          <w:szCs w:val="22"/>
          <w:lang w:val="es-ES" w:eastAsia="en-US"/>
        </w:rPr>
        <w:t>.</w:t>
      </w:r>
      <w:r w:rsidR="00C356C5" w:rsidRPr="00AE5764">
        <w:rPr>
          <w:rFonts w:ascii="Arial" w:hAnsi="Arial" w:cs="Arial"/>
          <w:sz w:val="22"/>
          <w:lang w:val="es-MX"/>
        </w:rPr>
        <w:t xml:space="preserve"> </w:t>
      </w:r>
      <w:r w:rsidR="00C356C5" w:rsidRPr="00AE5764">
        <w:rPr>
          <w:rFonts w:ascii="Arial" w:eastAsiaTheme="minorHAnsi" w:hAnsi="Arial" w:cs="Arial"/>
          <w:i/>
          <w:iCs/>
          <w:color w:val="0D0D0D" w:themeColor="text1" w:themeTint="F2"/>
          <w:sz w:val="22"/>
          <w:szCs w:val="22"/>
          <w:lang w:val="es-MX" w:eastAsia="en-US"/>
        </w:rPr>
        <w:t>En el segundo evento</w:t>
      </w:r>
      <w:r w:rsidR="00C356C5" w:rsidRPr="00AE5764">
        <w:rPr>
          <w:rFonts w:ascii="Arial" w:eastAsiaTheme="minorHAnsi" w:hAnsi="Arial" w:cs="Arial"/>
          <w:color w:val="0D0D0D" w:themeColor="text1" w:themeTint="F2"/>
          <w:sz w:val="22"/>
          <w:szCs w:val="22"/>
          <w:lang w:val="es-MX" w:eastAsia="en-US"/>
        </w:rPr>
        <w:t xml:space="preserve">, dispone que para la acreditación de experiencia de los contratos derivados de contratos suscritos con entidades estatales el proponente deberá aportar los siguientes documentos: </w:t>
      </w:r>
    </w:p>
    <w:p w14:paraId="111CE5A5" w14:textId="77777777" w:rsidR="00C356C5" w:rsidRPr="00AE5764" w:rsidRDefault="00C356C5" w:rsidP="00C356C5">
      <w:pPr>
        <w:tabs>
          <w:tab w:val="left" w:pos="1134"/>
        </w:tabs>
        <w:spacing w:line="276" w:lineRule="auto"/>
        <w:ind w:left="709"/>
        <w:jc w:val="both"/>
        <w:rPr>
          <w:rFonts w:ascii="Arial" w:eastAsiaTheme="minorHAnsi" w:hAnsi="Arial" w:cs="Arial"/>
          <w:color w:val="0D0D0D" w:themeColor="text1" w:themeTint="F2"/>
          <w:sz w:val="22"/>
          <w:szCs w:val="22"/>
          <w:lang w:val="es-MX" w:eastAsia="en-US"/>
        </w:rPr>
      </w:pPr>
    </w:p>
    <w:p w14:paraId="1CA29BF2" w14:textId="77777777" w:rsidR="00C356C5" w:rsidRPr="00AE5764" w:rsidRDefault="00C356C5" w:rsidP="00C356C5">
      <w:pPr>
        <w:tabs>
          <w:tab w:val="left" w:pos="1134"/>
        </w:tabs>
        <w:ind w:left="709" w:right="618"/>
        <w:jc w:val="both"/>
        <w:rPr>
          <w:rFonts w:ascii="Arial" w:eastAsiaTheme="minorHAnsi" w:hAnsi="Arial" w:cs="Arial"/>
          <w:color w:val="0D0D0D" w:themeColor="text1" w:themeTint="F2"/>
          <w:sz w:val="21"/>
          <w:szCs w:val="21"/>
          <w:lang w:val="es-MX" w:eastAsia="en-US"/>
        </w:rPr>
      </w:pPr>
      <w:r w:rsidRPr="00AE5764">
        <w:rPr>
          <w:rFonts w:ascii="Arial" w:eastAsiaTheme="minorHAnsi" w:hAnsi="Arial" w:cs="Arial"/>
          <w:color w:val="0D0D0D" w:themeColor="text1" w:themeTint="F2"/>
          <w:sz w:val="21"/>
          <w:szCs w:val="21"/>
          <w:lang w:val="es-MX" w:eastAsia="en-US"/>
        </w:rPr>
        <w:t>A. Certificación del subcontrato. Certificación expedida con posterioridad a la fecha de terminación del subcontrato, la cual debe estar suscrita por el representante legal del contratista del contrato principal, del Concesionario, o del EPC o Consorcio Constructor. Así mismo, debe contener la información requerida en el presente Pliego de Condiciones para efectos de acreditación de la experiencia.</w:t>
      </w:r>
    </w:p>
    <w:p w14:paraId="254564D0" w14:textId="77777777" w:rsidR="00C356C5" w:rsidRPr="00AE5764" w:rsidRDefault="00C356C5" w:rsidP="00C356C5">
      <w:pPr>
        <w:tabs>
          <w:tab w:val="left" w:pos="1134"/>
        </w:tabs>
        <w:ind w:left="709" w:right="618"/>
        <w:jc w:val="both"/>
        <w:rPr>
          <w:rFonts w:ascii="Arial" w:eastAsiaTheme="minorHAnsi" w:hAnsi="Arial" w:cs="Arial"/>
          <w:color w:val="0D0D0D" w:themeColor="text1" w:themeTint="F2"/>
          <w:sz w:val="21"/>
          <w:szCs w:val="21"/>
          <w:lang w:val="es-MX" w:eastAsia="en-US"/>
        </w:rPr>
      </w:pPr>
    </w:p>
    <w:p w14:paraId="7239477E" w14:textId="77777777" w:rsidR="00C356C5" w:rsidRPr="00AE5764" w:rsidRDefault="00C356C5" w:rsidP="00C356C5">
      <w:pPr>
        <w:tabs>
          <w:tab w:val="left" w:pos="1134"/>
        </w:tabs>
        <w:ind w:left="709" w:right="618"/>
        <w:jc w:val="both"/>
        <w:rPr>
          <w:rFonts w:ascii="Arial" w:eastAsiaTheme="minorHAnsi" w:hAnsi="Arial" w:cs="Arial"/>
          <w:color w:val="0D0D0D" w:themeColor="text1" w:themeTint="F2"/>
          <w:sz w:val="21"/>
          <w:szCs w:val="21"/>
          <w:lang w:val="es-MX" w:eastAsia="en-US"/>
        </w:rPr>
      </w:pPr>
      <w:r w:rsidRPr="00AE5764">
        <w:rPr>
          <w:rFonts w:ascii="Arial" w:eastAsiaTheme="minorHAnsi" w:hAnsi="Arial" w:cs="Arial"/>
          <w:color w:val="0D0D0D" w:themeColor="text1" w:themeTint="F2"/>
          <w:sz w:val="21"/>
          <w:szCs w:val="21"/>
          <w:lang w:val="es-MX" w:eastAsia="en-US"/>
        </w:rPr>
        <w:t xml:space="preserve">B. Certificación expedida por la entidad estatal del contrato principal del cual se derivó el subcontrato. </w:t>
      </w:r>
    </w:p>
    <w:p w14:paraId="1A789500" w14:textId="77777777" w:rsidR="00C356C5" w:rsidRPr="00AE5764" w:rsidRDefault="00C356C5" w:rsidP="00C356C5">
      <w:pPr>
        <w:tabs>
          <w:tab w:val="left" w:pos="1134"/>
        </w:tabs>
        <w:ind w:left="709" w:right="618"/>
        <w:jc w:val="both"/>
        <w:rPr>
          <w:rFonts w:ascii="Arial" w:eastAsiaTheme="minorHAnsi" w:hAnsi="Arial" w:cs="Arial"/>
          <w:color w:val="0D0D0D" w:themeColor="text1" w:themeTint="F2"/>
          <w:sz w:val="21"/>
          <w:szCs w:val="21"/>
          <w:lang w:val="es-MX" w:eastAsia="en-US"/>
        </w:rPr>
      </w:pPr>
    </w:p>
    <w:p w14:paraId="1EF8EDF4" w14:textId="77777777" w:rsidR="00C356C5" w:rsidRPr="00AE5764" w:rsidRDefault="00C356C5" w:rsidP="00C356C5">
      <w:pPr>
        <w:tabs>
          <w:tab w:val="left" w:pos="1134"/>
        </w:tabs>
        <w:ind w:left="709" w:right="618"/>
        <w:jc w:val="both"/>
        <w:rPr>
          <w:rFonts w:ascii="Arial" w:eastAsiaTheme="minorHAnsi" w:hAnsi="Arial" w:cs="Arial"/>
          <w:color w:val="0D0D0D" w:themeColor="text1" w:themeTint="F2"/>
          <w:sz w:val="21"/>
          <w:szCs w:val="21"/>
          <w:lang w:val="es-MX" w:eastAsia="en-US"/>
        </w:rPr>
      </w:pPr>
      <w:r w:rsidRPr="00AE5764">
        <w:rPr>
          <w:rFonts w:ascii="Arial" w:eastAsiaTheme="minorHAnsi" w:hAnsi="Arial" w:cs="Arial"/>
          <w:color w:val="0D0D0D" w:themeColor="text1" w:themeTint="F2"/>
          <w:sz w:val="21"/>
          <w:szCs w:val="21"/>
          <w:lang w:val="es-MX" w:eastAsia="en-US"/>
        </w:rPr>
        <w:t xml:space="preserve">Dicha certificación debe contener la información requerida para acreditar experiencia y la siguiente: </w:t>
      </w:r>
    </w:p>
    <w:p w14:paraId="4ECD7205" w14:textId="77777777" w:rsidR="00C356C5" w:rsidRPr="00AE5764" w:rsidRDefault="00C356C5" w:rsidP="00C356C5">
      <w:pPr>
        <w:tabs>
          <w:tab w:val="left" w:pos="1134"/>
        </w:tabs>
        <w:ind w:left="709" w:right="618"/>
        <w:jc w:val="both"/>
        <w:rPr>
          <w:rFonts w:ascii="Arial" w:eastAsiaTheme="minorHAnsi" w:hAnsi="Arial" w:cs="Arial"/>
          <w:color w:val="0D0D0D" w:themeColor="text1" w:themeTint="F2"/>
          <w:sz w:val="21"/>
          <w:szCs w:val="21"/>
          <w:lang w:val="es-MX" w:eastAsia="en-US"/>
        </w:rPr>
      </w:pPr>
    </w:p>
    <w:p w14:paraId="3A9C157D" w14:textId="77777777" w:rsidR="00C356C5" w:rsidRPr="00AE5764" w:rsidRDefault="00C356C5" w:rsidP="00C356C5">
      <w:pPr>
        <w:tabs>
          <w:tab w:val="left" w:pos="1134"/>
        </w:tabs>
        <w:ind w:left="709" w:right="618"/>
        <w:jc w:val="both"/>
        <w:rPr>
          <w:rFonts w:ascii="Arial" w:eastAsiaTheme="minorHAnsi" w:hAnsi="Arial" w:cs="Arial"/>
          <w:color w:val="0D0D0D" w:themeColor="text1" w:themeTint="F2"/>
          <w:sz w:val="21"/>
          <w:szCs w:val="21"/>
          <w:lang w:val="es-MX" w:eastAsia="en-US"/>
        </w:rPr>
      </w:pPr>
      <w:r w:rsidRPr="00AE5764">
        <w:rPr>
          <w:rFonts w:ascii="Arial" w:eastAsiaTheme="minorHAnsi" w:hAnsi="Arial" w:cs="Arial"/>
          <w:color w:val="0D0D0D" w:themeColor="text1" w:themeTint="F2"/>
          <w:sz w:val="21"/>
          <w:szCs w:val="21"/>
          <w:lang w:val="es-MX" w:eastAsia="en-US"/>
        </w:rPr>
        <w:t>I. Alcance de las obras ejecutadas en el contrato, en las que se pueda evidenciar las obras subcontratadas que pretendan ser acreditadas para efectos de validación de experiencia, en el presente proceso de selección.</w:t>
      </w:r>
    </w:p>
    <w:p w14:paraId="10F136ED" w14:textId="77777777" w:rsidR="00C356C5" w:rsidRPr="00AE5764" w:rsidRDefault="00C356C5" w:rsidP="00C356C5">
      <w:pPr>
        <w:tabs>
          <w:tab w:val="left" w:pos="1134"/>
        </w:tabs>
        <w:ind w:left="709" w:right="618"/>
        <w:jc w:val="both"/>
        <w:rPr>
          <w:rFonts w:ascii="Arial" w:eastAsiaTheme="minorHAnsi" w:hAnsi="Arial" w:cs="Arial"/>
          <w:color w:val="0D0D0D" w:themeColor="text1" w:themeTint="F2"/>
          <w:sz w:val="21"/>
          <w:szCs w:val="21"/>
          <w:lang w:val="es-MX" w:eastAsia="en-US"/>
        </w:rPr>
      </w:pPr>
    </w:p>
    <w:p w14:paraId="10D4E5C3" w14:textId="77777777" w:rsidR="00C356C5" w:rsidRPr="00AE5764" w:rsidRDefault="00C356C5" w:rsidP="00C356C5">
      <w:pPr>
        <w:tabs>
          <w:tab w:val="left" w:pos="1134"/>
        </w:tabs>
        <w:ind w:left="709" w:right="618"/>
        <w:jc w:val="both"/>
        <w:rPr>
          <w:rFonts w:ascii="Arial" w:eastAsiaTheme="minorHAnsi" w:hAnsi="Arial" w:cs="Arial"/>
          <w:color w:val="0D0D0D" w:themeColor="text1" w:themeTint="F2"/>
          <w:sz w:val="21"/>
          <w:szCs w:val="21"/>
          <w:lang w:val="es-MX" w:eastAsia="en-US"/>
        </w:rPr>
      </w:pPr>
      <w:r w:rsidRPr="00AE5764">
        <w:rPr>
          <w:rFonts w:ascii="Arial" w:eastAsiaTheme="minorHAnsi" w:hAnsi="Arial" w:cs="Arial"/>
          <w:color w:val="0D0D0D" w:themeColor="text1" w:themeTint="F2"/>
          <w:sz w:val="21"/>
          <w:szCs w:val="21"/>
          <w:lang w:val="es-MX" w:eastAsia="en-US"/>
        </w:rPr>
        <w:t xml:space="preserve">II. Autorización de la entidad estatal a cargo de la infraestructura por medio de la cual se autoriza el subcontrato. En caso de que no requiera autorización, el Proponente podrá aportar con su propuesta alguno de los siguientes documentos que den cuenta de esa circunstancia: i) copia del contrato o </w:t>
      </w:r>
      <w:proofErr w:type="spellStart"/>
      <w:r w:rsidRPr="00AE5764">
        <w:rPr>
          <w:rFonts w:ascii="Arial" w:eastAsiaTheme="minorHAnsi" w:hAnsi="Arial" w:cs="Arial"/>
          <w:color w:val="0D0D0D" w:themeColor="text1" w:themeTint="F2"/>
          <w:sz w:val="21"/>
          <w:szCs w:val="21"/>
          <w:lang w:val="es-MX" w:eastAsia="en-US"/>
        </w:rPr>
        <w:t>ii</w:t>
      </w:r>
      <w:proofErr w:type="spellEnd"/>
      <w:r w:rsidRPr="00AE5764">
        <w:rPr>
          <w:rFonts w:ascii="Arial" w:eastAsiaTheme="minorHAnsi" w:hAnsi="Arial" w:cs="Arial"/>
          <w:color w:val="0D0D0D" w:themeColor="text1" w:themeTint="F2"/>
          <w:sz w:val="21"/>
          <w:szCs w:val="21"/>
          <w:lang w:val="es-MX" w:eastAsia="en-US"/>
        </w:rPr>
        <w:t>) certificación emitida por la entidad concedente, donde acredite que para subcontratar no se requería autorización.</w:t>
      </w:r>
    </w:p>
    <w:p w14:paraId="527F1E24" w14:textId="77777777" w:rsidR="00C356C5" w:rsidRPr="00AE5764" w:rsidRDefault="00C356C5" w:rsidP="00C356C5">
      <w:pPr>
        <w:spacing w:line="276" w:lineRule="auto"/>
        <w:jc w:val="both"/>
        <w:rPr>
          <w:rFonts w:ascii="Arial" w:eastAsiaTheme="minorHAnsi" w:hAnsi="Arial" w:cs="Arial"/>
          <w:color w:val="0D0D0D" w:themeColor="text1" w:themeTint="F2"/>
          <w:sz w:val="22"/>
          <w:szCs w:val="22"/>
          <w:lang w:val="es-ES_tradnl" w:eastAsia="en-US"/>
        </w:rPr>
      </w:pPr>
    </w:p>
    <w:p w14:paraId="71B41CAC" w14:textId="24C60E5A" w:rsidR="00C356C5" w:rsidRPr="00AE5764" w:rsidRDefault="00C356C5" w:rsidP="00C356C5">
      <w:pPr>
        <w:spacing w:line="276" w:lineRule="auto"/>
        <w:ind w:firstLine="709"/>
        <w:jc w:val="both"/>
        <w:rPr>
          <w:rFonts w:ascii="Arial" w:eastAsiaTheme="minorHAnsi" w:hAnsi="Arial" w:cs="Arial"/>
          <w:color w:val="0D0D0D" w:themeColor="text1" w:themeTint="F2"/>
          <w:sz w:val="22"/>
          <w:szCs w:val="22"/>
          <w:lang w:val="es-MX" w:eastAsia="en-US"/>
        </w:rPr>
      </w:pPr>
      <w:r w:rsidRPr="00AE5764">
        <w:rPr>
          <w:rFonts w:ascii="Arial" w:hAnsi="Arial" w:cs="Arial"/>
          <w:sz w:val="22"/>
          <w:szCs w:val="22"/>
          <w:lang w:val="es-MX"/>
        </w:rPr>
        <w:t xml:space="preserve">De conformidad con lo anterior, si la experiencia que se pretende acreditar procede de un contrato derivado de un contrato suscrito con una entidad estatal, </w:t>
      </w:r>
      <w:r w:rsidRPr="00AE5764">
        <w:rPr>
          <w:rFonts w:ascii="Arial" w:eastAsiaTheme="minorHAnsi" w:hAnsi="Arial" w:cs="Arial"/>
          <w:color w:val="0D0D0D" w:themeColor="text1" w:themeTint="F2"/>
          <w:sz w:val="22"/>
          <w:szCs w:val="22"/>
          <w:lang w:val="es-ES" w:eastAsia="en-US"/>
        </w:rPr>
        <w:t>las reglas de acreditación de experiencia para subcontratos son las establecidas en el numeral 3.5.</w:t>
      </w:r>
      <w:r w:rsidR="00174F1D" w:rsidRPr="00AE5764">
        <w:rPr>
          <w:rFonts w:ascii="Arial" w:eastAsiaTheme="minorHAnsi" w:hAnsi="Arial" w:cs="Arial"/>
          <w:color w:val="0D0D0D" w:themeColor="text1" w:themeTint="F2"/>
          <w:sz w:val="22"/>
          <w:szCs w:val="22"/>
          <w:lang w:val="es-ES" w:eastAsia="en-US"/>
        </w:rPr>
        <w:t>6</w:t>
      </w:r>
      <w:r w:rsidRPr="00AE5764">
        <w:rPr>
          <w:rFonts w:ascii="Arial" w:eastAsiaTheme="minorHAnsi" w:hAnsi="Arial" w:cs="Arial"/>
          <w:color w:val="0D0D0D" w:themeColor="text1" w:themeTint="F2"/>
          <w:sz w:val="22"/>
          <w:szCs w:val="22"/>
          <w:lang w:val="es-ES" w:eastAsia="en-US"/>
        </w:rPr>
        <w:t xml:space="preserve">. De esta manera, el proponente deberá allegar la certificación del subcontrato </w:t>
      </w:r>
      <w:r w:rsidRPr="00AE5764">
        <w:rPr>
          <w:rFonts w:ascii="Arial" w:eastAsiaTheme="minorHAnsi" w:hAnsi="Arial" w:cs="Arial"/>
          <w:color w:val="0D0D0D" w:themeColor="text1" w:themeTint="F2"/>
          <w:sz w:val="22"/>
          <w:szCs w:val="22"/>
          <w:lang w:val="es-MX" w:eastAsia="en-US"/>
        </w:rPr>
        <w:t xml:space="preserve">suscrita por el representante legal del contratista del contrato principal, del Concesionario, o del EPC o Consorcio Constructor, así como la certificación expedida por la entidad estatal del contrato principal, que incluya el alcance de las obras ejecutadas y la autorización del subcontrato por parte de la entidad estatal.  </w:t>
      </w:r>
    </w:p>
    <w:p w14:paraId="5D215EAC" w14:textId="73DF9C85" w:rsidR="00F01068" w:rsidRPr="00AE5764" w:rsidRDefault="0080495B" w:rsidP="0080495B">
      <w:pPr>
        <w:spacing w:before="120" w:line="276" w:lineRule="auto"/>
        <w:ind w:firstLine="709"/>
        <w:jc w:val="both"/>
        <w:rPr>
          <w:rFonts w:ascii="Arial" w:eastAsiaTheme="minorHAnsi" w:hAnsi="Arial" w:cs="Arial"/>
          <w:color w:val="0D0D0D" w:themeColor="text1" w:themeTint="F2"/>
          <w:sz w:val="22"/>
          <w:szCs w:val="22"/>
          <w:lang w:val="es-MX" w:eastAsia="en-US"/>
        </w:rPr>
      </w:pPr>
      <w:r w:rsidRPr="00AE5764">
        <w:rPr>
          <w:rFonts w:ascii="Arial" w:eastAsiaTheme="minorHAnsi" w:hAnsi="Arial" w:cs="Arial"/>
          <w:bCs/>
          <w:color w:val="0D0D0D" w:themeColor="text1" w:themeTint="F2"/>
          <w:sz w:val="22"/>
          <w:szCs w:val="22"/>
          <w:lang w:eastAsia="en-US"/>
        </w:rPr>
        <w:t>La información señalada permite verificar, por un lado, que la</w:t>
      </w:r>
      <w:r w:rsidRPr="00AE5764">
        <w:rPr>
          <w:rFonts w:ascii="Arial" w:eastAsiaTheme="minorHAnsi" w:hAnsi="Arial" w:cs="Arial"/>
          <w:bCs/>
          <w:color w:val="0D0D0D" w:themeColor="text1" w:themeTint="F2"/>
          <w:sz w:val="22"/>
          <w:szCs w:val="22"/>
          <w:lang w:val="es-ES_tradnl" w:eastAsia="en-US"/>
        </w:rPr>
        <w:t>s actividades del subcontrato guardan identidad con las del contrato principal, de manera que realmente se hayan ejecutado dichas actividades y se constate la experiencia del proponente. Por otro lado, se podrá verificar que la subcontratación ha sido previamente autorizada por la entidad estatal, en caso de que aplique. Esto por cuanto, aunque el subcontrato es un contrato autónomo e independiente del contrato principal, en materia de contratación estatal, es recomendable –en ciertos eventos–</w:t>
      </w:r>
      <w:r w:rsidRPr="00AE5764">
        <w:rPr>
          <w:rFonts w:ascii="Arial" w:eastAsiaTheme="minorHAnsi" w:hAnsi="Arial" w:cs="Arial"/>
          <w:color w:val="0D0D0D" w:themeColor="text1" w:themeTint="F2"/>
          <w:sz w:val="22"/>
          <w:szCs w:val="22"/>
          <w:lang w:val="es-MX" w:eastAsia="en-US"/>
        </w:rPr>
        <w:t xml:space="preserve">, que las entidades estatales, en virtud de la autonomía de la voluntad, exijan en el contrato la autorización previa y expresa para la subcontratación o la prohibición absoluta de esta, si es del caso. Esto permite a la entidad estatal controlar las condiciones bajo las cuales se ejecutará el contrato, asegurar el cumplimiento de este bajo un esquema de transparencia y garantizar que no se infrinjan los principios de la contratación estatal, así como las normas que limitan la subcontratación en algunos asuntos. De esta manera, la autorización de la entidad contratante es importante –aunque no obligatoria de acuerdo con la ley– para que las actividades contratadas puedan ejecutarse de forma parcial por un tercero, sin que el contratista se desprenda de las responsabilidades derivadas del contrato. Por consiguiente, en el evento en que en el contrato principal se haya pactado dicha autorización, los subcontratos que se celebren deberán respetar esta estipulación, so pena de un posible incumplimiento del contrato. </w:t>
      </w:r>
    </w:p>
    <w:p w14:paraId="7530CA37" w14:textId="6DF018C4" w:rsidR="00937AB3" w:rsidRPr="00AE5764" w:rsidRDefault="00937AB3" w:rsidP="00FB032F">
      <w:pPr>
        <w:spacing w:before="120" w:line="276" w:lineRule="auto"/>
        <w:ind w:firstLine="709"/>
        <w:jc w:val="both"/>
        <w:rPr>
          <w:rFonts w:ascii="Arial" w:eastAsiaTheme="minorHAnsi" w:hAnsi="Arial" w:cs="Arial"/>
          <w:color w:val="0D0D0D" w:themeColor="text1" w:themeTint="F2"/>
          <w:sz w:val="22"/>
          <w:szCs w:val="22"/>
          <w:lang w:val="es-MX" w:eastAsia="en-US"/>
        </w:rPr>
      </w:pPr>
      <w:r w:rsidRPr="00AE5764">
        <w:rPr>
          <w:rFonts w:ascii="Arial" w:eastAsiaTheme="minorHAnsi" w:hAnsi="Arial" w:cs="Arial"/>
          <w:color w:val="0D0D0D" w:themeColor="text1" w:themeTint="F2"/>
          <w:sz w:val="22"/>
          <w:szCs w:val="22"/>
          <w:lang w:val="es-MX" w:eastAsia="en-US"/>
        </w:rPr>
        <w:t>Como se evidencia</w:t>
      </w:r>
      <w:r w:rsidR="00FB032F" w:rsidRPr="00AE5764">
        <w:rPr>
          <w:rFonts w:ascii="Arial" w:eastAsiaTheme="minorHAnsi" w:hAnsi="Arial" w:cs="Arial"/>
          <w:color w:val="0D0D0D" w:themeColor="text1" w:themeTint="F2"/>
          <w:sz w:val="22"/>
          <w:szCs w:val="22"/>
          <w:lang w:val="es-MX" w:eastAsia="en-US"/>
        </w:rPr>
        <w:t xml:space="preserve">, </w:t>
      </w:r>
      <w:bookmarkStart w:id="27" w:name="_Hlk103170173"/>
      <w:r w:rsidR="00FB032F" w:rsidRPr="00AE5764">
        <w:rPr>
          <w:rFonts w:ascii="Arial" w:eastAsiaTheme="minorHAnsi" w:hAnsi="Arial" w:cs="Arial"/>
          <w:color w:val="0D0D0D" w:themeColor="text1" w:themeTint="F2"/>
          <w:sz w:val="22"/>
          <w:szCs w:val="22"/>
          <w:lang w:val="es-MX" w:eastAsia="en-US"/>
        </w:rPr>
        <w:t xml:space="preserve">el numeral 3.5.6 determina las reglas que deben seguir las entidades para la verificación de la información adicional que se deriva de la experiencia de subcontratos, de tal </w:t>
      </w:r>
      <w:r w:rsidR="00F87B55" w:rsidRPr="00AE5764">
        <w:rPr>
          <w:rFonts w:ascii="Arial" w:eastAsiaTheme="minorHAnsi" w:hAnsi="Arial" w:cs="Arial"/>
          <w:color w:val="0D0D0D" w:themeColor="text1" w:themeTint="F2"/>
          <w:sz w:val="22"/>
          <w:szCs w:val="22"/>
          <w:lang w:val="es-MX" w:eastAsia="en-US"/>
        </w:rPr>
        <w:t>forma</w:t>
      </w:r>
      <w:r w:rsidR="00FB032F" w:rsidRPr="00AE5764">
        <w:rPr>
          <w:rFonts w:ascii="Arial" w:eastAsiaTheme="minorHAnsi" w:hAnsi="Arial" w:cs="Arial"/>
          <w:color w:val="0D0D0D" w:themeColor="text1" w:themeTint="F2"/>
          <w:sz w:val="22"/>
          <w:szCs w:val="22"/>
          <w:lang w:val="es-MX" w:eastAsia="en-US"/>
        </w:rPr>
        <w:t xml:space="preserve"> que sea posible constatar las condiciones de ejecución del contrato en el marco de la subcontratación, las actividades específicas ejecutadas, así como la autorización de dicha subcontratación en el caso de los subcontratos derivados de un contrato suscrito con una entidad estatal. </w:t>
      </w:r>
      <w:r w:rsidRPr="00AE5764">
        <w:rPr>
          <w:rFonts w:ascii="Arial" w:eastAsiaTheme="minorHAnsi" w:hAnsi="Arial" w:cs="Arial"/>
          <w:color w:val="0D0D0D" w:themeColor="text1" w:themeTint="F2"/>
          <w:sz w:val="22"/>
          <w:szCs w:val="22"/>
          <w:lang w:val="es-MX" w:eastAsia="en-US"/>
        </w:rPr>
        <w:t>No obstante, esto no significa que la experiencia derivada de subcontratos no deba estar registrada en el RUP</w:t>
      </w:r>
      <w:r w:rsidR="00952B1E" w:rsidRPr="00AE5764">
        <w:rPr>
          <w:rFonts w:ascii="Arial" w:eastAsiaTheme="minorHAnsi" w:hAnsi="Arial" w:cs="Arial"/>
          <w:color w:val="0D0D0D" w:themeColor="text1" w:themeTint="F2"/>
          <w:sz w:val="22"/>
          <w:szCs w:val="22"/>
          <w:lang w:val="es-MX" w:eastAsia="en-US"/>
        </w:rPr>
        <w:t xml:space="preserve">, pues como se explicó, </w:t>
      </w:r>
      <w:r w:rsidR="00952B1E" w:rsidRPr="00AE5764">
        <w:rPr>
          <w:rFonts w:ascii="Arial" w:hAnsi="Arial" w:cs="Arial"/>
          <w:sz w:val="22"/>
        </w:rPr>
        <w:t>el requisito habilitante de experiencia debe ser acreditado mediante el RUP para los proponentes obligados a tenerl</w:t>
      </w:r>
      <w:r w:rsidR="00554537" w:rsidRPr="00AE5764">
        <w:rPr>
          <w:rFonts w:ascii="Arial" w:hAnsi="Arial" w:cs="Arial"/>
          <w:sz w:val="22"/>
        </w:rPr>
        <w:t>o</w:t>
      </w:r>
      <w:r w:rsidR="00F15C2D" w:rsidRPr="00AE5764">
        <w:rPr>
          <w:rFonts w:ascii="Arial" w:hAnsi="Arial" w:cs="Arial"/>
          <w:sz w:val="22"/>
        </w:rPr>
        <w:t xml:space="preserve">, sin perjuicio de requerir la información adicional necesaria, propósito que cumple el numeral 3.5.6. </w:t>
      </w:r>
      <w:bookmarkEnd w:id="27"/>
    </w:p>
    <w:p w14:paraId="088DCCD0" w14:textId="7B6F7D7C" w:rsidR="00EF7AB5" w:rsidRPr="00B7032A" w:rsidRDefault="00F15C2D" w:rsidP="00FB032F">
      <w:pPr>
        <w:spacing w:before="120" w:line="276" w:lineRule="auto"/>
        <w:ind w:firstLine="709"/>
        <w:jc w:val="both"/>
        <w:rPr>
          <w:rFonts w:ascii="Arial" w:eastAsia="Calibri" w:hAnsi="Arial" w:cs="Arial"/>
          <w:color w:val="000000"/>
          <w:sz w:val="22"/>
          <w:szCs w:val="22"/>
          <w:lang w:val="es-MX"/>
        </w:rPr>
      </w:pPr>
      <w:r w:rsidRPr="00AE5764">
        <w:rPr>
          <w:rFonts w:ascii="Arial" w:eastAsia="Calibri" w:hAnsi="Arial" w:cs="Arial"/>
          <w:sz w:val="22"/>
          <w:szCs w:val="22"/>
        </w:rPr>
        <w:t>En síntesis</w:t>
      </w:r>
      <w:r w:rsidR="00F4062F" w:rsidRPr="00AE5764">
        <w:rPr>
          <w:rFonts w:ascii="Arial" w:eastAsia="Calibri" w:hAnsi="Arial" w:cs="Arial"/>
          <w:sz w:val="22"/>
          <w:szCs w:val="22"/>
        </w:rPr>
        <w:t>,</w:t>
      </w:r>
      <w:r w:rsidR="00AC4D98" w:rsidRPr="00AE5764">
        <w:rPr>
          <w:rFonts w:ascii="Arial" w:eastAsia="Calibri" w:hAnsi="Arial" w:cs="Arial"/>
          <w:sz w:val="22"/>
          <w:szCs w:val="22"/>
        </w:rPr>
        <w:t xml:space="preserve"> conforme lo dispone el documento base de infraestructura social</w:t>
      </w:r>
      <w:r w:rsidR="00554537" w:rsidRPr="00AE5764">
        <w:rPr>
          <w:rFonts w:ascii="Arial" w:eastAsia="Calibri" w:hAnsi="Arial" w:cs="Arial"/>
          <w:sz w:val="22"/>
          <w:szCs w:val="22"/>
        </w:rPr>
        <w:t>,</w:t>
      </w:r>
      <w:r w:rsidR="00F4062F" w:rsidRPr="00AE5764">
        <w:rPr>
          <w:rFonts w:ascii="Arial" w:eastAsia="Calibri" w:hAnsi="Arial" w:cs="Arial"/>
          <w:sz w:val="22"/>
          <w:szCs w:val="22"/>
        </w:rPr>
        <w:t xml:space="preserve"> los proponentes deberán acreditar su experiencia en el RUP para aquellos que estén obligados </w:t>
      </w:r>
      <w:r w:rsidR="00F4062F" w:rsidRPr="00AE5764">
        <w:rPr>
          <w:rFonts w:ascii="Arial" w:eastAsia="Calibri" w:hAnsi="Arial" w:cs="Arial"/>
          <w:sz w:val="22"/>
          <w:szCs w:val="22"/>
        </w:rPr>
        <w:lastRenderedPageBreak/>
        <w:t xml:space="preserve">a tenerlo, sin perjuicio de que la entidad, debido a las características del objeto a contratar, solicite documentos para verificar información adicional que se requiera. De este modo, </w:t>
      </w:r>
      <w:r w:rsidR="00952B1E" w:rsidRPr="00AE5764">
        <w:rPr>
          <w:rFonts w:ascii="Arial" w:eastAsia="Calibri" w:hAnsi="Arial" w:cs="Arial"/>
          <w:sz w:val="22"/>
          <w:szCs w:val="22"/>
        </w:rPr>
        <w:t>para verificar la</w:t>
      </w:r>
      <w:r w:rsidR="00F4062F" w:rsidRPr="00AE5764">
        <w:rPr>
          <w:rFonts w:ascii="Arial" w:eastAsia="Calibri" w:hAnsi="Arial" w:cs="Arial"/>
          <w:color w:val="000000"/>
          <w:sz w:val="22"/>
          <w:szCs w:val="22"/>
          <w:lang w:val="es-MX"/>
        </w:rPr>
        <w:t xml:space="preserve"> información </w:t>
      </w:r>
      <w:r w:rsidR="00952B1E" w:rsidRPr="00AE5764">
        <w:rPr>
          <w:rFonts w:ascii="Arial" w:eastAsia="Calibri" w:hAnsi="Arial" w:cs="Arial"/>
          <w:color w:val="000000"/>
          <w:sz w:val="22"/>
          <w:szCs w:val="22"/>
          <w:lang w:val="es-MX"/>
        </w:rPr>
        <w:t xml:space="preserve">adicional requerida </w:t>
      </w:r>
      <w:r w:rsidR="00F4062F" w:rsidRPr="00AE5764">
        <w:rPr>
          <w:rFonts w:ascii="Arial" w:eastAsia="Calibri" w:hAnsi="Arial" w:cs="Arial"/>
          <w:color w:val="000000"/>
          <w:sz w:val="22"/>
          <w:szCs w:val="22"/>
          <w:lang w:val="es-MX"/>
        </w:rPr>
        <w:t>directamente, el proponente deberá aportar uno o alguno de los documentos señalados en el numeral 3.5.5. En caso de que la experiencia a acreditar se derive de subcontratos, el proponent</w:t>
      </w:r>
      <w:r w:rsidR="00EF7AB5" w:rsidRPr="00AE5764">
        <w:rPr>
          <w:rFonts w:ascii="Arial" w:eastAsia="Calibri" w:hAnsi="Arial" w:cs="Arial"/>
          <w:color w:val="000000"/>
          <w:sz w:val="22"/>
          <w:szCs w:val="22"/>
          <w:lang w:val="es-MX"/>
        </w:rPr>
        <w:t xml:space="preserve">e </w:t>
      </w:r>
      <w:r w:rsidR="00F4062F" w:rsidRPr="00AE5764">
        <w:rPr>
          <w:rFonts w:ascii="Arial" w:eastAsia="Calibri" w:hAnsi="Arial" w:cs="Arial"/>
          <w:color w:val="000000"/>
          <w:sz w:val="22"/>
          <w:szCs w:val="22"/>
          <w:lang w:val="es-MX"/>
        </w:rPr>
        <w:t xml:space="preserve">deberá aportar la documentación respectiva de conformidad con lo señalado en el numeral 3.5.6. </w:t>
      </w:r>
      <w:r w:rsidR="00FB032F" w:rsidRPr="00AE5764">
        <w:rPr>
          <w:rFonts w:ascii="Arial" w:eastAsia="Calibri" w:hAnsi="Arial" w:cs="Arial"/>
          <w:color w:val="000000"/>
          <w:sz w:val="22"/>
          <w:szCs w:val="22"/>
          <w:lang w:val="es-MX"/>
        </w:rPr>
        <w:t xml:space="preserve">Esta </w:t>
      </w:r>
      <w:r w:rsidR="00EF7AB5" w:rsidRPr="00AE5764">
        <w:rPr>
          <w:rFonts w:ascii="Arial" w:eastAsia="Calibri" w:hAnsi="Arial" w:cs="Arial"/>
          <w:color w:val="000000" w:themeColor="text1"/>
          <w:sz w:val="22"/>
        </w:rPr>
        <w:t>verificación de información no implica que la experiencia no deba estar registrada en el RUP, pues</w:t>
      </w:r>
      <w:r w:rsidR="00952B1E" w:rsidRPr="00AE5764">
        <w:rPr>
          <w:rFonts w:ascii="Arial" w:eastAsia="Calibri" w:hAnsi="Arial" w:cs="Arial"/>
          <w:color w:val="000000" w:themeColor="text1"/>
          <w:sz w:val="22"/>
        </w:rPr>
        <w:t xml:space="preserve">to que </w:t>
      </w:r>
      <w:r w:rsidR="00FB032F" w:rsidRPr="00AE5764">
        <w:rPr>
          <w:rFonts w:ascii="Arial" w:eastAsia="Calibri" w:hAnsi="Arial" w:cs="Arial"/>
          <w:color w:val="000000" w:themeColor="text1"/>
          <w:sz w:val="22"/>
        </w:rPr>
        <w:t>se trata de información adicional que requiere ser verificada por la entidad estatal a efectos de constatar si el proponente cumple con las condiciones de experiencia requerida</w:t>
      </w:r>
      <w:r w:rsidR="009E76E7" w:rsidRPr="00AE5764">
        <w:rPr>
          <w:rFonts w:ascii="Arial" w:eastAsia="Calibri" w:hAnsi="Arial" w:cs="Arial"/>
          <w:color w:val="000000" w:themeColor="text1"/>
          <w:sz w:val="22"/>
        </w:rPr>
        <w:t>s</w:t>
      </w:r>
      <w:r w:rsidR="00FB032F" w:rsidRPr="00AE5764">
        <w:rPr>
          <w:rFonts w:ascii="Arial" w:eastAsia="Calibri" w:hAnsi="Arial" w:cs="Arial"/>
          <w:color w:val="000000" w:themeColor="text1"/>
          <w:sz w:val="22"/>
        </w:rPr>
        <w:t xml:space="preserve"> en el pliego de condiciones.</w:t>
      </w:r>
      <w:r w:rsidR="00FB032F" w:rsidRPr="00B7032A">
        <w:rPr>
          <w:rFonts w:ascii="Arial" w:eastAsia="Calibri" w:hAnsi="Arial" w:cs="Arial"/>
          <w:color w:val="000000" w:themeColor="text1"/>
          <w:sz w:val="22"/>
        </w:rPr>
        <w:t xml:space="preserve"> </w:t>
      </w:r>
    </w:p>
    <w:p w14:paraId="4988AC6E" w14:textId="78E7B92B" w:rsidR="0086572B" w:rsidRPr="00B7032A" w:rsidRDefault="0086572B" w:rsidP="006461D7">
      <w:pPr>
        <w:tabs>
          <w:tab w:val="left" w:pos="0"/>
        </w:tabs>
        <w:spacing w:line="276" w:lineRule="auto"/>
        <w:jc w:val="both"/>
        <w:rPr>
          <w:rFonts w:ascii="Arial" w:eastAsia="Calibri" w:hAnsi="Arial" w:cs="Arial"/>
          <w:b/>
          <w:bCs/>
          <w:color w:val="000000" w:themeColor="text1"/>
          <w:sz w:val="22"/>
          <w:szCs w:val="22"/>
          <w:lang w:val="es-ES_tradnl"/>
        </w:rPr>
      </w:pPr>
    </w:p>
    <w:p w14:paraId="0CA16AFA" w14:textId="4F4C2A4B" w:rsidR="006E738A" w:rsidRPr="00B7032A" w:rsidRDefault="006E738A" w:rsidP="00AD772B">
      <w:pPr>
        <w:spacing w:line="276" w:lineRule="auto"/>
        <w:jc w:val="both"/>
        <w:rPr>
          <w:rFonts w:ascii="Arial" w:eastAsia="Calibri" w:hAnsi="Arial" w:cs="Arial"/>
          <w:b/>
          <w:bCs/>
          <w:color w:val="000000"/>
          <w:sz w:val="22"/>
          <w:lang w:val="es-MX" w:eastAsia="en-GB"/>
        </w:rPr>
      </w:pPr>
      <w:r w:rsidRPr="00B7032A">
        <w:rPr>
          <w:rFonts w:ascii="Arial" w:eastAsia="Calibri" w:hAnsi="Arial" w:cs="Arial"/>
          <w:b/>
          <w:bCs/>
          <w:color w:val="000000"/>
          <w:sz w:val="22"/>
          <w:lang w:val="es-MX" w:eastAsia="en-GB"/>
        </w:rPr>
        <w:t>2.4 Regulación del puntaje por apoyo a la industria nacional en procesos adelantados con documentos tipo después de la expedición del Decreto 680 de 2021</w:t>
      </w:r>
    </w:p>
    <w:p w14:paraId="37FF55DD" w14:textId="6E1D2532" w:rsidR="006E738A" w:rsidRPr="00B7032A" w:rsidRDefault="006E738A" w:rsidP="00AD772B">
      <w:pPr>
        <w:spacing w:line="276" w:lineRule="auto"/>
        <w:jc w:val="both"/>
        <w:rPr>
          <w:rFonts w:ascii="Arial" w:eastAsia="Calibri" w:hAnsi="Arial" w:cs="Arial"/>
          <w:b/>
          <w:bCs/>
          <w:color w:val="000000"/>
          <w:sz w:val="22"/>
          <w:lang w:val="es-MX" w:eastAsia="en-GB"/>
        </w:rPr>
      </w:pPr>
    </w:p>
    <w:p w14:paraId="77BC7AB6" w14:textId="77777777" w:rsidR="006301A0" w:rsidRPr="00B7032A" w:rsidRDefault="006301A0" w:rsidP="006301A0">
      <w:pPr>
        <w:spacing w:after="120" w:line="276" w:lineRule="auto"/>
        <w:jc w:val="both"/>
        <w:rPr>
          <w:rFonts w:ascii="Arial" w:eastAsia="Calibri" w:hAnsi="Arial" w:cs="Arial"/>
          <w:bCs/>
          <w:color w:val="000000"/>
          <w:sz w:val="22"/>
          <w:szCs w:val="22"/>
          <w:lang w:val="es-ES_tradnl" w:eastAsia="en-US"/>
        </w:rPr>
      </w:pPr>
      <w:r w:rsidRPr="00B7032A">
        <w:rPr>
          <w:rFonts w:ascii="Arial" w:eastAsia="Calibri" w:hAnsi="Arial" w:cs="Arial"/>
          <w:bCs/>
          <w:color w:val="000000"/>
          <w:sz w:val="22"/>
          <w:szCs w:val="22"/>
          <w:lang w:val="es-ES_tradnl" w:eastAsia="en-US"/>
        </w:rPr>
        <w:t>El Gobierno expidió el Decreto 680 del 22 de junio de 2021, «Por el cual se modifica parcialmente el artículo 2.2.1.1.1.3.1. y se adiciona el artículo 2.2.1.2.4.2.9. al Decreto 1082 de 2015, Único Reglamentario del Sector Administrativo de Planeación Nacional, en relación con la regla de origen de servicios en el Sistema de Compra Pública».</w:t>
      </w:r>
      <w:r w:rsidRPr="00B7032A">
        <w:rPr>
          <w:rFonts w:ascii="Arial" w:hAnsi="Arial" w:cs="Arial"/>
        </w:rPr>
        <w:t xml:space="preserve"> </w:t>
      </w:r>
      <w:r w:rsidRPr="00B7032A">
        <w:rPr>
          <w:rFonts w:ascii="Arial" w:eastAsia="Calibri" w:hAnsi="Arial" w:cs="Arial"/>
          <w:bCs/>
          <w:color w:val="000000"/>
          <w:sz w:val="22"/>
          <w:szCs w:val="22"/>
          <w:lang w:val="es-ES_tradnl" w:eastAsia="en-US"/>
        </w:rPr>
        <w:t xml:space="preserve">En las consideraciones del Decreto 680 de 2021 se indica que, con su expedición, se busca: i) precisar la aplicación de la regla de origen de los bienes y servicios nacionales, en los términos establecidos en el artículo 2 de la Ley 816 de 2003, respetando las estipulaciones de los tratados comerciales vigentes y el principio de reciprocidad, </w:t>
      </w:r>
      <w:proofErr w:type="spellStart"/>
      <w:r w:rsidRPr="00B7032A">
        <w:rPr>
          <w:rFonts w:ascii="Arial" w:eastAsia="Calibri" w:hAnsi="Arial" w:cs="Arial"/>
          <w:bCs/>
          <w:color w:val="000000"/>
          <w:sz w:val="22"/>
          <w:szCs w:val="22"/>
          <w:lang w:val="es-ES_tradnl" w:eastAsia="en-US"/>
        </w:rPr>
        <w:t>ii</w:t>
      </w:r>
      <w:proofErr w:type="spellEnd"/>
      <w:r w:rsidRPr="00B7032A">
        <w:rPr>
          <w:rFonts w:ascii="Arial" w:eastAsia="Calibri" w:hAnsi="Arial" w:cs="Arial"/>
          <w:bCs/>
          <w:color w:val="000000"/>
          <w:sz w:val="22"/>
          <w:szCs w:val="22"/>
          <w:lang w:val="es-ES_tradnl" w:eastAsia="en-US"/>
        </w:rPr>
        <w:t xml:space="preserve">) definir la metodología como debe aplicarse el puntaje señalado en la mencionada disposición legal en relación con los proponentes plurales, </w:t>
      </w:r>
      <w:proofErr w:type="spellStart"/>
      <w:r w:rsidRPr="00B7032A">
        <w:rPr>
          <w:rFonts w:ascii="Arial" w:eastAsia="Calibri" w:hAnsi="Arial" w:cs="Arial"/>
          <w:bCs/>
          <w:color w:val="000000"/>
          <w:sz w:val="22"/>
          <w:szCs w:val="22"/>
          <w:lang w:val="es-ES_tradnl" w:eastAsia="en-US"/>
        </w:rPr>
        <w:t>iii</w:t>
      </w:r>
      <w:proofErr w:type="spellEnd"/>
      <w:r w:rsidRPr="00B7032A">
        <w:rPr>
          <w:rFonts w:ascii="Arial" w:eastAsia="Calibri" w:hAnsi="Arial" w:cs="Arial"/>
          <w:bCs/>
          <w:color w:val="000000"/>
          <w:sz w:val="22"/>
          <w:szCs w:val="22"/>
          <w:lang w:val="es-ES_tradnl" w:eastAsia="en-US"/>
        </w:rPr>
        <w:t xml:space="preserve">) garantizar el uso, durante la ejecución del contrato estatal, de los bienes o servicios colombianos, para «[…] promover emparejamientos y encadenamientos productivos», así como «[…] el empleo en el país» y </w:t>
      </w:r>
      <w:proofErr w:type="spellStart"/>
      <w:r w:rsidRPr="00B7032A">
        <w:rPr>
          <w:rFonts w:ascii="Arial" w:eastAsia="Calibri" w:hAnsi="Arial" w:cs="Arial"/>
          <w:bCs/>
          <w:color w:val="000000"/>
          <w:sz w:val="22"/>
          <w:szCs w:val="22"/>
          <w:lang w:val="es-ES_tradnl" w:eastAsia="en-US"/>
        </w:rPr>
        <w:t>iv</w:t>
      </w:r>
      <w:proofErr w:type="spellEnd"/>
      <w:r w:rsidRPr="00B7032A">
        <w:rPr>
          <w:rFonts w:ascii="Arial" w:eastAsia="Calibri" w:hAnsi="Arial" w:cs="Arial"/>
          <w:bCs/>
          <w:color w:val="000000"/>
          <w:sz w:val="22"/>
          <w:szCs w:val="22"/>
          <w:lang w:val="es-ES_tradnl" w:eastAsia="en-US"/>
        </w:rPr>
        <w:t>) establecer una regla de origen distinta, según el lugar en el cual debe ejecutarse el contrato.</w:t>
      </w:r>
    </w:p>
    <w:p w14:paraId="4A4E097E" w14:textId="47C66040" w:rsidR="004B4F12" w:rsidRPr="00B7032A" w:rsidRDefault="006301A0" w:rsidP="004B4F12">
      <w:pPr>
        <w:spacing w:after="120" w:line="276" w:lineRule="auto"/>
        <w:ind w:firstLine="709"/>
        <w:jc w:val="both"/>
        <w:rPr>
          <w:rFonts w:ascii="Arial" w:eastAsia="Calibri" w:hAnsi="Arial" w:cs="Arial"/>
          <w:bCs/>
          <w:color w:val="000000"/>
          <w:sz w:val="22"/>
          <w:szCs w:val="22"/>
          <w:lang w:val="es-ES_tradnl" w:eastAsia="en-US"/>
        </w:rPr>
      </w:pPr>
      <w:r w:rsidRPr="00B7032A">
        <w:rPr>
          <w:rFonts w:ascii="Arial" w:eastAsia="Calibri" w:hAnsi="Arial" w:cs="Arial"/>
          <w:bCs/>
          <w:color w:val="000000"/>
          <w:sz w:val="22"/>
          <w:szCs w:val="22"/>
          <w:lang w:val="es-ES_tradnl" w:eastAsia="en-US" w:bidi="es-ES"/>
        </w:rPr>
        <w:t xml:space="preserve">Con la finalidad de determinar la manera en que se deben cumplir tales exigencias en los procesos de contratación que lleven a cabo las entidades, ha de tenerse en cuenta la nueva regulación de la «regla de origen» contemplada en el Decreto 680 de 2021, el cual establece algunos cambios al respecto. En primer lugar, el artículo 1 del mencionado Decreto modifica parcialmente el artículo 2.2.1.1.1.3.1. </w:t>
      </w:r>
      <w:r w:rsidR="004B4F12" w:rsidRPr="00B7032A">
        <w:rPr>
          <w:rFonts w:ascii="Arial" w:eastAsia="Calibri" w:hAnsi="Arial" w:cs="Arial"/>
          <w:bCs/>
          <w:color w:val="000000"/>
          <w:sz w:val="22"/>
          <w:szCs w:val="22"/>
          <w:lang w:val="es-ES_tradnl" w:eastAsia="en-US" w:bidi="es-ES"/>
        </w:rPr>
        <w:t xml:space="preserve">del Decreto </w:t>
      </w:r>
      <w:r w:rsidRPr="00B7032A">
        <w:rPr>
          <w:rFonts w:ascii="Arial" w:eastAsia="Calibri" w:hAnsi="Arial" w:cs="Arial"/>
          <w:bCs/>
          <w:color w:val="000000"/>
          <w:sz w:val="22"/>
          <w:szCs w:val="22"/>
          <w:lang w:val="es-ES_tradnl" w:eastAsia="en-US" w:bidi="es-ES"/>
        </w:rPr>
        <w:t>1082 de 2015, para definir los </w:t>
      </w:r>
      <w:r w:rsidRPr="00B7032A">
        <w:rPr>
          <w:rFonts w:ascii="Arial" w:eastAsia="Calibri" w:hAnsi="Arial" w:cs="Arial"/>
          <w:bCs/>
          <w:i/>
          <w:iCs/>
          <w:color w:val="000000"/>
          <w:sz w:val="22"/>
          <w:szCs w:val="22"/>
          <w:lang w:val="es-ES_tradnl" w:eastAsia="en-US" w:bidi="es-ES"/>
        </w:rPr>
        <w:t>servicios nacionales en</w:t>
      </w:r>
      <w:r w:rsidRPr="00B7032A">
        <w:rPr>
          <w:rFonts w:ascii="Arial" w:eastAsia="Calibri" w:hAnsi="Arial" w:cs="Arial"/>
          <w:bCs/>
          <w:color w:val="000000"/>
          <w:sz w:val="22"/>
          <w:szCs w:val="22"/>
          <w:lang w:val="es-ES_tradnl" w:eastAsia="en-US" w:bidi="es-ES"/>
        </w:rPr>
        <w:t xml:space="preserve"> forma distinta</w:t>
      </w:r>
      <w:r w:rsidR="00956737" w:rsidRPr="00B7032A">
        <w:rPr>
          <w:rStyle w:val="Refdenotaalpie"/>
          <w:rFonts w:ascii="Arial" w:eastAsia="Calibri" w:hAnsi="Arial" w:cs="Arial"/>
          <w:bCs/>
          <w:color w:val="000000"/>
          <w:sz w:val="22"/>
          <w:szCs w:val="22"/>
          <w:lang w:val="es-ES_tradnl" w:eastAsia="en-US" w:bidi="es-ES"/>
        </w:rPr>
        <w:footnoteReference w:id="14"/>
      </w:r>
      <w:r w:rsidR="00956737" w:rsidRPr="00B7032A">
        <w:rPr>
          <w:rFonts w:ascii="Arial" w:eastAsia="Calibri" w:hAnsi="Arial" w:cs="Arial"/>
          <w:bCs/>
          <w:color w:val="000000"/>
          <w:sz w:val="22"/>
          <w:szCs w:val="22"/>
          <w:lang w:val="es-ES_tradnl" w:eastAsia="en-US" w:bidi="es-ES"/>
        </w:rPr>
        <w:t xml:space="preserve">. Por su parte, el artículo 2 consagra la </w:t>
      </w:r>
      <w:r w:rsidR="00956737" w:rsidRPr="00B7032A">
        <w:rPr>
          <w:rFonts w:ascii="Arial" w:eastAsia="Calibri" w:hAnsi="Arial" w:cs="Arial"/>
          <w:bCs/>
          <w:color w:val="000000"/>
          <w:sz w:val="22"/>
          <w:szCs w:val="22"/>
          <w:lang w:val="es-ES_tradnl" w:eastAsia="en-US" w:bidi="es-ES"/>
        </w:rPr>
        <w:lastRenderedPageBreak/>
        <w:t xml:space="preserve">metodología con fundamento en la cual la entidad pública contratante debe definir los bienes colombianos relevantes en cada proceso de contratación y otorgar el puntaje de que trata el inciso </w:t>
      </w:r>
      <w:r w:rsidR="00956737" w:rsidRPr="00B7032A">
        <w:rPr>
          <w:rFonts w:ascii="Arial" w:eastAsia="Calibri" w:hAnsi="Arial" w:cs="Arial"/>
          <w:bCs/>
          <w:color w:val="000000"/>
          <w:sz w:val="22"/>
          <w:szCs w:val="22"/>
          <w:lang w:val="es-ES_tradnl" w:eastAsia="en-US" w:bidi="es-ES"/>
        </w:rPr>
        <w:t>primero del artículo 2 de la Ley 816 de 2003</w:t>
      </w:r>
      <w:r w:rsidR="00956737" w:rsidRPr="00B7032A">
        <w:rPr>
          <w:rStyle w:val="Refdenotaalpie"/>
          <w:rFonts w:ascii="Arial" w:eastAsia="Calibri" w:hAnsi="Arial" w:cs="Arial"/>
          <w:bCs/>
          <w:color w:val="000000"/>
          <w:sz w:val="22"/>
          <w:szCs w:val="22"/>
          <w:lang w:val="es-ES_tradnl" w:eastAsia="en-US" w:bidi="es-ES"/>
        </w:rPr>
        <w:footnoteReference w:id="15"/>
      </w:r>
      <w:r w:rsidR="00956737" w:rsidRPr="00B7032A">
        <w:rPr>
          <w:rFonts w:ascii="Arial" w:eastAsia="Calibri" w:hAnsi="Arial" w:cs="Arial"/>
          <w:bCs/>
          <w:color w:val="000000"/>
          <w:sz w:val="22"/>
          <w:szCs w:val="22"/>
          <w:lang w:val="es-ES_tradnl" w:eastAsia="en-US" w:bidi="es-ES"/>
        </w:rPr>
        <w:t xml:space="preserve">. </w:t>
      </w:r>
    </w:p>
    <w:p w14:paraId="597B4356" w14:textId="0D01233F" w:rsidR="009B5677" w:rsidRPr="00B7032A" w:rsidRDefault="002A520B" w:rsidP="00580A2C">
      <w:pPr>
        <w:spacing w:before="120" w:line="276" w:lineRule="auto"/>
        <w:ind w:firstLine="709"/>
        <w:jc w:val="both"/>
        <w:rPr>
          <w:rFonts w:ascii="Arial" w:eastAsia="Calibri" w:hAnsi="Arial" w:cs="Arial"/>
          <w:bCs/>
          <w:color w:val="000000"/>
          <w:sz w:val="22"/>
          <w:szCs w:val="22"/>
          <w:lang w:val="es-ES_tradnl" w:eastAsia="en-US"/>
        </w:rPr>
      </w:pPr>
      <w:r w:rsidRPr="00B7032A">
        <w:rPr>
          <w:rFonts w:ascii="Arial" w:eastAsia="Calibri" w:hAnsi="Arial" w:cs="Arial"/>
          <w:bCs/>
          <w:color w:val="000000"/>
          <w:sz w:val="22"/>
          <w:szCs w:val="22"/>
          <w:lang w:val="es-ES_tradnl" w:eastAsia="en-US"/>
        </w:rPr>
        <w:t>Con l</w:t>
      </w:r>
      <w:r w:rsidR="009B5677" w:rsidRPr="00B7032A">
        <w:rPr>
          <w:rFonts w:ascii="Arial" w:eastAsia="Calibri" w:hAnsi="Arial" w:cs="Arial"/>
          <w:bCs/>
          <w:color w:val="000000"/>
          <w:sz w:val="22"/>
          <w:szCs w:val="22"/>
          <w:lang w:val="es-ES_tradnl" w:eastAsia="en-US"/>
        </w:rPr>
        <w:t xml:space="preserve">a entrada en vigor del Decreto 680 de 2021, al modificar la noción de </w:t>
      </w:r>
      <w:r w:rsidR="009B5677" w:rsidRPr="00B7032A">
        <w:rPr>
          <w:rFonts w:ascii="Arial" w:eastAsia="Calibri" w:hAnsi="Arial" w:cs="Arial"/>
          <w:bCs/>
          <w:i/>
          <w:iCs/>
          <w:color w:val="000000"/>
          <w:sz w:val="22"/>
          <w:szCs w:val="22"/>
          <w:lang w:val="es-ES_tradnl" w:eastAsia="en-US"/>
        </w:rPr>
        <w:t xml:space="preserve">Servicios Nacionales </w:t>
      </w:r>
      <w:r w:rsidR="009B5677" w:rsidRPr="00B7032A">
        <w:rPr>
          <w:rFonts w:ascii="Arial" w:eastAsia="Calibri" w:hAnsi="Arial" w:cs="Arial"/>
          <w:bCs/>
          <w:color w:val="000000"/>
          <w:sz w:val="22"/>
          <w:szCs w:val="22"/>
          <w:lang w:val="es-ES_tradnl" w:eastAsia="en-US"/>
        </w:rPr>
        <w:t xml:space="preserve">contenida en el Decreto 1082 de 2015, </w:t>
      </w:r>
      <w:r w:rsidR="000E5553" w:rsidRPr="00B7032A">
        <w:rPr>
          <w:rFonts w:ascii="Arial" w:eastAsia="Calibri" w:hAnsi="Arial" w:cs="Arial"/>
          <w:bCs/>
          <w:color w:val="000000"/>
          <w:sz w:val="22"/>
          <w:szCs w:val="22"/>
          <w:lang w:val="es-ES_tradnl" w:eastAsia="en-US"/>
        </w:rPr>
        <w:t xml:space="preserve">se </w:t>
      </w:r>
      <w:r w:rsidR="009B5677" w:rsidRPr="00B7032A">
        <w:rPr>
          <w:rFonts w:ascii="Arial" w:eastAsia="Calibri" w:hAnsi="Arial" w:cs="Arial"/>
          <w:bCs/>
          <w:color w:val="000000"/>
          <w:sz w:val="22"/>
          <w:szCs w:val="22"/>
          <w:lang w:val="es-ES_tradnl" w:eastAsia="en-US"/>
        </w:rPr>
        <w:t xml:space="preserve">generó la necesidad de adecuar los documentos tipo expedidos por la Agencia Nacional de Contratación Pública – Colombia Compra Eficiente en ejercicio de las potestades conferidas por la Ley 2022 de 2020. Lo anterior considerando que en los documentos vigentes antes de dicho Decreto, el puntaje por apoyo a la industria nacional y la verificación de la procedencia </w:t>
      </w:r>
      <w:r w:rsidR="009B5677" w:rsidRPr="00B7032A">
        <w:rPr>
          <w:rFonts w:ascii="Arial" w:eastAsia="Calibri" w:hAnsi="Arial" w:cs="Arial"/>
          <w:bCs/>
          <w:color w:val="000000"/>
          <w:sz w:val="22"/>
          <w:szCs w:val="22"/>
          <w:lang w:val="es-ES_tradnl" w:eastAsia="en-US"/>
        </w:rPr>
        <w:t xml:space="preserve">del trato nacional se encontraban desarrolladas conforme con la antigua concepción de servicio nacional, por lo que para acceder al máximo puntaje bastaba con acreditar ser una persona natural colombiana o una persona jurídica constituida de acuerdo con la ley colombiana. Debido a esto, el parágrafo 2 del artículo 3 de tal decreto, contempló un plazo de tres meses para que esta Agencia realizara la adecuación de los documentos tipo. </w:t>
      </w:r>
    </w:p>
    <w:p w14:paraId="4DFAF19F" w14:textId="77777777" w:rsidR="00D06B7D" w:rsidRPr="00B7032A" w:rsidRDefault="009B5677" w:rsidP="00580A2C">
      <w:pPr>
        <w:spacing w:before="120" w:line="276" w:lineRule="auto"/>
        <w:ind w:firstLine="709"/>
        <w:jc w:val="both"/>
        <w:rPr>
          <w:rFonts w:ascii="Arial" w:eastAsia="Calibri" w:hAnsi="Arial" w:cs="Arial"/>
          <w:bCs/>
          <w:color w:val="000000"/>
          <w:sz w:val="22"/>
          <w:szCs w:val="22"/>
          <w:lang w:val="es-ES_tradnl" w:eastAsia="en-US"/>
        </w:rPr>
      </w:pPr>
      <w:r w:rsidRPr="00B7032A">
        <w:rPr>
          <w:rFonts w:ascii="Arial" w:eastAsia="Calibri" w:hAnsi="Arial" w:cs="Arial"/>
          <w:bCs/>
          <w:color w:val="000000"/>
          <w:sz w:val="22"/>
          <w:szCs w:val="22"/>
          <w:lang w:val="es-ES_tradnl" w:eastAsia="en-US"/>
        </w:rPr>
        <w:lastRenderedPageBreak/>
        <w:t xml:space="preserve">En atención a este mandato, la Agencia Nacional de Contratación Pública, en desarrollo del procedimiento de actualización regulado por la Resolución 160 de 2020, expidió la Resolución 304 de 2021 «Por la cual se modifican los Documentos Tipo adoptados por la Agencia Nacional de Contratación Pública – Colombia Compra Eficiente». Esta resolución modificó y adicionó los documentos base, formatos y matrices de los documentos tipo de infraestructura de transporte –en sus distintas modalidades–, agua potable y saneamiento básico e infraestructura social, introduciendo una metodología aplicable a la mayoría de estos procedimientos, a partir de la cual, en aplicación de la definición de Servicios Nacionales del Decreto 680, se otorga el puntaje por apoyo a la industria nacional en consideración al ofrecimiento de los bienes nacionales relevantes. De acuerdo con esta metodología, las entidades pueden establecer de manera objetiva los bienes nacionales que resultan relevantes para el desarrollo del objeto contractual, que al estar incluidos en el Registro de Productores de Bienes Nacionales son determinantes para la asignación del puntaje por apoyo a la industria nacional. </w:t>
      </w:r>
    </w:p>
    <w:p w14:paraId="16369965" w14:textId="29BAA98F" w:rsidR="00D06B7D" w:rsidRPr="00B7032A" w:rsidRDefault="005C78C8" w:rsidP="00580A2C">
      <w:pPr>
        <w:spacing w:before="120" w:line="276" w:lineRule="auto"/>
        <w:ind w:firstLine="709"/>
        <w:jc w:val="both"/>
        <w:rPr>
          <w:rFonts w:ascii="Arial" w:eastAsia="Calibri" w:hAnsi="Arial" w:cs="Arial"/>
          <w:bCs/>
          <w:color w:val="000000"/>
          <w:sz w:val="22"/>
          <w:szCs w:val="22"/>
          <w:lang w:val="es-ES_tradnl" w:eastAsia="en-US"/>
        </w:rPr>
      </w:pPr>
      <w:r w:rsidRPr="00B7032A">
        <w:rPr>
          <w:rFonts w:ascii="Arial" w:eastAsia="Arial" w:hAnsi="Arial" w:cs="Arial"/>
          <w:bCs/>
          <w:sz w:val="22"/>
          <w:szCs w:val="22"/>
          <w:lang w:eastAsia="es-ES" w:bidi="es-ES"/>
        </w:rPr>
        <w:t xml:space="preserve">Concretamente, </w:t>
      </w:r>
      <w:r w:rsidR="0080698A" w:rsidRPr="00B7032A">
        <w:rPr>
          <w:rFonts w:ascii="Arial" w:eastAsia="Arial" w:hAnsi="Arial" w:cs="Arial"/>
          <w:bCs/>
          <w:sz w:val="22"/>
          <w:szCs w:val="22"/>
          <w:lang w:eastAsia="es-ES" w:bidi="es-ES"/>
        </w:rPr>
        <w:t xml:space="preserve">el numeral 4.4.1 del documento base de infraestructura social regula el puntaje referente a la promoción de servicios nacionales o con trato nacional. Según este numeral </w:t>
      </w:r>
      <w:r w:rsidR="00D06B7D" w:rsidRPr="00B7032A">
        <w:rPr>
          <w:rFonts w:ascii="Arial" w:eastAsia="Calibri" w:hAnsi="Arial" w:cs="Arial"/>
          <w:bCs/>
          <w:color w:val="000000"/>
          <w:sz w:val="22"/>
          <w:szCs w:val="22"/>
          <w:lang w:val="es-ES_tradnl" w:eastAsia="en-US"/>
        </w:rPr>
        <w:t xml:space="preserve">la noción de Servicios Nacionales no está determinada únicamente por la naturaleza jurídica de su prestador, ya que, además de tratarse de una persona natural colombiana o jurídica conformada según la ley colombiana, se requiere que la propuesta, en principio, incluya en la ejecución del contrato la utilización de los bienes nacionales relevantes. En consecuencia, si el contrato debe cumplirse en Colombia, la entidad estatal debe definir los </w:t>
      </w:r>
      <w:r w:rsidR="00D06B7D" w:rsidRPr="00B7032A">
        <w:rPr>
          <w:rFonts w:ascii="Arial" w:eastAsia="Calibri" w:hAnsi="Arial" w:cs="Arial"/>
          <w:bCs/>
          <w:color w:val="000000"/>
          <w:sz w:val="22"/>
          <w:szCs w:val="22"/>
          <w:lang w:val="es-ES_tradnl" w:eastAsia="en-US"/>
        </w:rPr>
        <w:t xml:space="preserve">bienes nacionales relevantes, pues el uso de estos por parte del proponente es uno de los criterios que permiten establecer si el servicio puede calificarse como nacional –el otro criterio </w:t>
      </w:r>
      <w:r w:rsidR="000E5553" w:rsidRPr="00B7032A">
        <w:rPr>
          <w:rFonts w:ascii="Arial" w:eastAsia="Calibri" w:hAnsi="Arial" w:cs="Arial"/>
          <w:bCs/>
          <w:color w:val="000000"/>
          <w:sz w:val="22"/>
          <w:szCs w:val="22"/>
          <w:lang w:val="es-ES_tradnl" w:eastAsia="en-US"/>
        </w:rPr>
        <w:t xml:space="preserve">residual </w:t>
      </w:r>
      <w:r w:rsidR="00D06B7D" w:rsidRPr="00B7032A">
        <w:rPr>
          <w:rFonts w:ascii="Arial" w:eastAsia="Calibri" w:hAnsi="Arial" w:cs="Arial"/>
          <w:bCs/>
          <w:color w:val="000000"/>
          <w:sz w:val="22"/>
          <w:szCs w:val="22"/>
          <w:lang w:val="es-ES_tradnl" w:eastAsia="en-US"/>
        </w:rPr>
        <w:t>es la vinculación del porcentaje mínimo de personal colombiano, según corresponda–. Si el contrato no debe cumplirse en Colombia, no es necesario que se usen bienes o personal colombianos, para que el servicio sea nacional, sino que basta con que sea prestado «por una persona natural colombiana o por un residente en Colombia, por una persona jurídica constituida de conformidad con la legislación colombiana o un proponente plural conformado por estos». Lo anterior en consonancia con el artículo 1 del Decreto 680 de 2021.</w:t>
      </w:r>
    </w:p>
    <w:p w14:paraId="47A76D7D" w14:textId="10D58493" w:rsidR="00D06B7D" w:rsidRPr="00B7032A" w:rsidRDefault="00D06B7D" w:rsidP="00580A2C">
      <w:pPr>
        <w:spacing w:before="120" w:line="276" w:lineRule="auto"/>
        <w:ind w:firstLine="708"/>
        <w:jc w:val="both"/>
        <w:rPr>
          <w:rFonts w:ascii="Arial" w:eastAsia="Calibri" w:hAnsi="Arial" w:cs="Arial"/>
          <w:sz w:val="22"/>
          <w:szCs w:val="22"/>
          <w:lang w:val="es-MX" w:eastAsia="en-US"/>
        </w:rPr>
      </w:pPr>
      <w:r w:rsidRPr="00B7032A">
        <w:rPr>
          <w:rFonts w:ascii="Arial" w:eastAsia="Arial" w:hAnsi="Arial" w:cs="Arial"/>
          <w:bCs/>
          <w:sz w:val="22"/>
          <w:szCs w:val="22"/>
          <w:lang w:eastAsia="es-ES" w:bidi="es-ES"/>
        </w:rPr>
        <w:t xml:space="preserve">Para los </w:t>
      </w:r>
      <w:r w:rsidR="00437461" w:rsidRPr="00B7032A">
        <w:rPr>
          <w:rFonts w:ascii="Arial" w:eastAsia="Calibri" w:hAnsi="Arial" w:cs="Arial"/>
          <w:sz w:val="22"/>
          <w:szCs w:val="22"/>
          <w:lang w:val="es-MX" w:eastAsia="en-US"/>
        </w:rPr>
        <w:t>p</w:t>
      </w:r>
      <w:r w:rsidRPr="00B7032A">
        <w:rPr>
          <w:rFonts w:ascii="Arial" w:eastAsia="Calibri" w:hAnsi="Arial" w:cs="Arial"/>
          <w:sz w:val="22"/>
          <w:szCs w:val="22"/>
          <w:lang w:val="es-MX" w:eastAsia="en-US"/>
        </w:rPr>
        <w:t xml:space="preserve">roponentes extranjeros con trato nacional que participen en el </w:t>
      </w:r>
      <w:r w:rsidR="00437461" w:rsidRPr="00B7032A">
        <w:rPr>
          <w:rFonts w:ascii="Arial" w:eastAsia="Calibri" w:hAnsi="Arial" w:cs="Arial"/>
          <w:sz w:val="22"/>
          <w:szCs w:val="22"/>
          <w:lang w:val="es-MX" w:eastAsia="en-US"/>
        </w:rPr>
        <w:t>p</w:t>
      </w:r>
      <w:r w:rsidRPr="00B7032A">
        <w:rPr>
          <w:rFonts w:ascii="Arial" w:eastAsia="Calibri" w:hAnsi="Arial" w:cs="Arial"/>
          <w:sz w:val="22"/>
          <w:szCs w:val="22"/>
          <w:lang w:val="es-MX" w:eastAsia="en-US"/>
        </w:rPr>
        <w:t xml:space="preserve">roceso de </w:t>
      </w:r>
      <w:r w:rsidR="00437461" w:rsidRPr="00B7032A">
        <w:rPr>
          <w:rFonts w:ascii="Arial" w:eastAsia="Calibri" w:hAnsi="Arial" w:cs="Arial"/>
          <w:sz w:val="22"/>
          <w:szCs w:val="22"/>
          <w:lang w:val="es-MX" w:eastAsia="en-US"/>
        </w:rPr>
        <w:t>c</w:t>
      </w:r>
      <w:r w:rsidRPr="00B7032A">
        <w:rPr>
          <w:rFonts w:ascii="Arial" w:eastAsia="Calibri" w:hAnsi="Arial" w:cs="Arial"/>
          <w:sz w:val="22"/>
          <w:szCs w:val="22"/>
          <w:lang w:val="es-MX" w:eastAsia="en-US"/>
        </w:rPr>
        <w:t xml:space="preserve">ontratación de manera singular o mediante la conformación de un </w:t>
      </w:r>
      <w:r w:rsidR="00437461" w:rsidRPr="00B7032A">
        <w:rPr>
          <w:rFonts w:ascii="Arial" w:eastAsia="Calibri" w:hAnsi="Arial" w:cs="Arial"/>
          <w:sz w:val="22"/>
          <w:szCs w:val="22"/>
          <w:lang w:val="es-MX" w:eastAsia="en-US"/>
        </w:rPr>
        <w:t>p</w:t>
      </w:r>
      <w:r w:rsidRPr="00B7032A">
        <w:rPr>
          <w:rFonts w:ascii="Arial" w:eastAsia="Calibri" w:hAnsi="Arial" w:cs="Arial"/>
          <w:sz w:val="22"/>
          <w:szCs w:val="22"/>
          <w:lang w:val="es-MX" w:eastAsia="en-US"/>
        </w:rPr>
        <w:t xml:space="preserve">roponente </w:t>
      </w:r>
      <w:r w:rsidR="00437461" w:rsidRPr="00B7032A">
        <w:rPr>
          <w:rFonts w:ascii="Arial" w:eastAsia="Calibri" w:hAnsi="Arial" w:cs="Arial"/>
          <w:sz w:val="22"/>
          <w:szCs w:val="22"/>
          <w:lang w:val="es-MX" w:eastAsia="en-US"/>
        </w:rPr>
        <w:t>p</w:t>
      </w:r>
      <w:r w:rsidRPr="00B7032A">
        <w:rPr>
          <w:rFonts w:ascii="Arial" w:eastAsia="Calibri" w:hAnsi="Arial" w:cs="Arial"/>
          <w:sz w:val="22"/>
          <w:szCs w:val="22"/>
          <w:lang w:val="es-MX" w:eastAsia="en-US"/>
        </w:rPr>
        <w:t xml:space="preserve">lural −según se dispone en el inciso tercero del numeral 4.4.1−, estos podrán definir si aplican las reglas previstas </w:t>
      </w:r>
      <w:r w:rsidR="0046706F" w:rsidRPr="00B7032A">
        <w:rPr>
          <w:rFonts w:ascii="Arial" w:eastAsia="Calibri" w:hAnsi="Arial" w:cs="Arial"/>
          <w:sz w:val="22"/>
          <w:szCs w:val="22"/>
          <w:lang w:val="es-MX" w:eastAsia="en-US"/>
        </w:rPr>
        <w:t xml:space="preserve">en dicho </w:t>
      </w:r>
      <w:r w:rsidRPr="00B7032A">
        <w:rPr>
          <w:rFonts w:ascii="Arial" w:eastAsia="Calibri" w:hAnsi="Arial" w:cs="Arial"/>
          <w:sz w:val="22"/>
          <w:szCs w:val="22"/>
          <w:lang w:val="es-MX" w:eastAsia="en-US"/>
        </w:rPr>
        <w:t>numeral</w:t>
      </w:r>
      <w:r w:rsidR="0046706F" w:rsidRPr="00B7032A">
        <w:rPr>
          <w:rFonts w:ascii="Arial" w:eastAsia="Calibri" w:hAnsi="Arial" w:cs="Arial"/>
          <w:sz w:val="22"/>
          <w:szCs w:val="22"/>
          <w:lang w:val="es-MX" w:eastAsia="en-US"/>
        </w:rPr>
        <w:t xml:space="preserve"> </w:t>
      </w:r>
      <w:r w:rsidRPr="00B7032A">
        <w:rPr>
          <w:rFonts w:ascii="Arial" w:eastAsia="Calibri" w:hAnsi="Arial" w:cs="Arial"/>
          <w:sz w:val="22"/>
          <w:szCs w:val="22"/>
          <w:lang w:val="es-MX" w:eastAsia="en-US"/>
        </w:rPr>
        <w:t xml:space="preserve">o, si por el contrario, se acogen a la regla de origen de su país. Para definir la regla aplicable al proceso, los </w:t>
      </w:r>
      <w:r w:rsidR="00437461" w:rsidRPr="00B7032A">
        <w:rPr>
          <w:rFonts w:ascii="Arial" w:eastAsia="Calibri" w:hAnsi="Arial" w:cs="Arial"/>
          <w:sz w:val="22"/>
          <w:szCs w:val="22"/>
          <w:lang w:val="es-MX" w:eastAsia="en-US"/>
        </w:rPr>
        <w:t>p</w:t>
      </w:r>
      <w:r w:rsidRPr="00B7032A">
        <w:rPr>
          <w:rFonts w:ascii="Arial" w:eastAsia="Calibri" w:hAnsi="Arial" w:cs="Arial"/>
          <w:sz w:val="22"/>
          <w:szCs w:val="22"/>
          <w:lang w:val="es-MX" w:eastAsia="en-US"/>
        </w:rPr>
        <w:t xml:space="preserve">roponentes extranjeros deben manifestarlo con el diligenciamiento de la opción 3 del Formato 9A – Promoción de Servicios Nacionales o con Trato Nacional, en la que manifiestan su voluntad de acogerse a la regla de origen de su país. Por otra parte, si no se diligencia este formato, la Entidad Estatal deberá evaluar la oferta de acuerdo con las reglas previstas en el numeral </w:t>
      </w:r>
      <w:r w:rsidRPr="00B7032A">
        <w:rPr>
          <w:rFonts w:ascii="Arial" w:eastAsia="Arial" w:hAnsi="Arial" w:cs="Arial"/>
          <w:bCs/>
          <w:sz w:val="22"/>
          <w:szCs w:val="22"/>
          <w:lang w:eastAsia="es-ES" w:bidi="es-ES"/>
        </w:rPr>
        <w:t>4.</w:t>
      </w:r>
      <w:r w:rsidR="0046706F" w:rsidRPr="00B7032A">
        <w:rPr>
          <w:rFonts w:ascii="Arial" w:eastAsia="Arial" w:hAnsi="Arial" w:cs="Arial"/>
          <w:bCs/>
          <w:sz w:val="22"/>
          <w:szCs w:val="22"/>
          <w:lang w:eastAsia="es-ES" w:bidi="es-ES"/>
        </w:rPr>
        <w:t>4</w:t>
      </w:r>
      <w:r w:rsidRPr="00B7032A">
        <w:rPr>
          <w:rFonts w:ascii="Arial" w:eastAsia="Arial" w:hAnsi="Arial" w:cs="Arial"/>
          <w:bCs/>
          <w:sz w:val="22"/>
          <w:szCs w:val="22"/>
          <w:lang w:eastAsia="es-ES" w:bidi="es-ES"/>
        </w:rPr>
        <w:t>.1</w:t>
      </w:r>
      <w:r w:rsidR="0046706F" w:rsidRPr="00B7032A">
        <w:rPr>
          <w:rFonts w:ascii="Arial" w:eastAsia="Arial" w:hAnsi="Arial" w:cs="Arial"/>
          <w:bCs/>
          <w:sz w:val="22"/>
          <w:szCs w:val="22"/>
          <w:lang w:eastAsia="es-ES" w:bidi="es-ES"/>
        </w:rPr>
        <w:t xml:space="preserve"> del documento base. </w:t>
      </w:r>
    </w:p>
    <w:p w14:paraId="7D203E48" w14:textId="38F5D4BA" w:rsidR="00D06B7D" w:rsidRPr="00B7032A" w:rsidRDefault="00D06B7D" w:rsidP="00580A2C">
      <w:pPr>
        <w:widowControl w:val="0"/>
        <w:autoSpaceDE w:val="0"/>
        <w:autoSpaceDN w:val="0"/>
        <w:spacing w:before="120" w:line="276" w:lineRule="auto"/>
        <w:ind w:firstLine="709"/>
        <w:jc w:val="both"/>
        <w:rPr>
          <w:rFonts w:ascii="Arial" w:eastAsia="Arial" w:hAnsi="Arial" w:cs="Arial"/>
          <w:bCs/>
          <w:sz w:val="22"/>
          <w:szCs w:val="22"/>
          <w:lang w:eastAsia="es-ES" w:bidi="es-ES"/>
        </w:rPr>
      </w:pPr>
      <w:r w:rsidRPr="00B7032A">
        <w:rPr>
          <w:rFonts w:ascii="Arial" w:eastAsia="Arial" w:hAnsi="Arial" w:cs="Arial"/>
          <w:bCs/>
          <w:sz w:val="22"/>
          <w:szCs w:val="22"/>
          <w:lang w:eastAsia="es-ES" w:bidi="es-ES"/>
        </w:rPr>
        <w:lastRenderedPageBreak/>
        <w:t xml:space="preserve">Asimismo, en el numeral </w:t>
      </w:r>
      <w:r w:rsidRPr="00B7032A">
        <w:rPr>
          <w:rFonts w:ascii="Arial" w:eastAsia="Calibri" w:hAnsi="Arial" w:cs="Arial"/>
          <w:sz w:val="22"/>
          <w:szCs w:val="22"/>
          <w:lang w:val="es-MX" w:eastAsia="en-US"/>
        </w:rPr>
        <w:t>4</w:t>
      </w:r>
      <w:r w:rsidRPr="00B7032A">
        <w:rPr>
          <w:rFonts w:ascii="Arial" w:eastAsia="Arial" w:hAnsi="Arial" w:cs="Arial"/>
          <w:bCs/>
          <w:sz w:val="22"/>
          <w:szCs w:val="22"/>
          <w:lang w:eastAsia="es-ES" w:bidi="es-ES"/>
        </w:rPr>
        <w:t>.</w:t>
      </w:r>
      <w:r w:rsidR="0046706F" w:rsidRPr="00B7032A">
        <w:rPr>
          <w:rFonts w:ascii="Arial" w:eastAsia="Arial" w:hAnsi="Arial" w:cs="Arial"/>
          <w:bCs/>
          <w:sz w:val="22"/>
          <w:szCs w:val="22"/>
          <w:lang w:eastAsia="es-ES" w:bidi="es-ES"/>
        </w:rPr>
        <w:t>4</w:t>
      </w:r>
      <w:r w:rsidRPr="00B7032A">
        <w:rPr>
          <w:rFonts w:ascii="Arial" w:eastAsia="Arial" w:hAnsi="Arial" w:cs="Arial"/>
          <w:bCs/>
          <w:sz w:val="22"/>
          <w:szCs w:val="22"/>
          <w:lang w:eastAsia="es-ES" w:bidi="es-ES"/>
        </w:rPr>
        <w:t>.1 «Promoción de servicios nacionales o con trato nacional»</w:t>
      </w:r>
      <w:r w:rsidR="00916C3B" w:rsidRPr="00B7032A">
        <w:rPr>
          <w:rFonts w:ascii="Arial" w:eastAsia="Arial" w:hAnsi="Arial" w:cs="Arial"/>
          <w:bCs/>
          <w:sz w:val="22"/>
          <w:szCs w:val="22"/>
          <w:lang w:eastAsia="es-ES" w:bidi="es-ES"/>
        </w:rPr>
        <w:t xml:space="preserve"> </w:t>
      </w:r>
      <w:r w:rsidRPr="00B7032A">
        <w:rPr>
          <w:rFonts w:ascii="Arial" w:eastAsia="Arial" w:hAnsi="Arial" w:cs="Arial"/>
          <w:bCs/>
          <w:sz w:val="22"/>
          <w:szCs w:val="22"/>
          <w:lang w:eastAsia="es-ES" w:bidi="es-ES"/>
        </w:rPr>
        <w:t>de</w:t>
      </w:r>
      <w:r w:rsidR="00916C3B" w:rsidRPr="00B7032A">
        <w:rPr>
          <w:rFonts w:ascii="Arial" w:eastAsia="Arial" w:hAnsi="Arial" w:cs="Arial"/>
          <w:bCs/>
          <w:sz w:val="22"/>
          <w:szCs w:val="22"/>
          <w:lang w:eastAsia="es-ES" w:bidi="es-ES"/>
        </w:rPr>
        <w:t>l documento base de infraestructura social</w:t>
      </w:r>
      <w:r w:rsidRPr="00B7032A">
        <w:rPr>
          <w:rFonts w:ascii="Arial" w:eastAsia="Arial" w:hAnsi="Arial" w:cs="Arial"/>
          <w:bCs/>
          <w:sz w:val="22"/>
          <w:szCs w:val="22"/>
          <w:lang w:eastAsia="es-ES" w:bidi="es-ES"/>
        </w:rPr>
        <w:t>, se implementan reglas que garantizan que las entidades estatales en sus procesos de contratación definan de manera razonable y proporcional los bienes nacionales relevantes. En este sentido, en el citado numeral se establece que:</w:t>
      </w:r>
    </w:p>
    <w:p w14:paraId="5902433F" w14:textId="77777777" w:rsidR="00D06B7D" w:rsidRPr="00B7032A" w:rsidRDefault="00D06B7D" w:rsidP="00D06B7D">
      <w:pPr>
        <w:widowControl w:val="0"/>
        <w:autoSpaceDE w:val="0"/>
        <w:autoSpaceDN w:val="0"/>
        <w:spacing w:line="276" w:lineRule="auto"/>
        <w:ind w:firstLine="709"/>
        <w:jc w:val="both"/>
        <w:rPr>
          <w:rFonts w:ascii="Arial" w:eastAsia="Arial" w:hAnsi="Arial" w:cs="Arial"/>
          <w:bCs/>
          <w:sz w:val="22"/>
          <w:szCs w:val="22"/>
          <w:lang w:eastAsia="es-ES" w:bidi="es-ES"/>
        </w:rPr>
      </w:pPr>
    </w:p>
    <w:p w14:paraId="46DAA1BA" w14:textId="3BA826C0" w:rsidR="00D06B7D" w:rsidRPr="00B7032A" w:rsidRDefault="00D06B7D" w:rsidP="00D06B7D">
      <w:pPr>
        <w:spacing w:line="256" w:lineRule="auto"/>
        <w:ind w:left="709" w:right="709"/>
        <w:jc w:val="both"/>
        <w:rPr>
          <w:rFonts w:ascii="Arial" w:eastAsia="Calibri" w:hAnsi="Arial" w:cs="Arial"/>
          <w:color w:val="000000"/>
          <w:sz w:val="21"/>
          <w:szCs w:val="21"/>
          <w:lang w:val="es-MX" w:eastAsia="en-US"/>
        </w:rPr>
      </w:pPr>
      <w:r w:rsidRPr="00B7032A">
        <w:rPr>
          <w:rFonts w:ascii="Arial" w:eastAsia="Calibri" w:hAnsi="Arial" w:cs="Arial"/>
          <w:color w:val="000000"/>
          <w:sz w:val="21"/>
          <w:szCs w:val="21"/>
          <w:highlight w:val="lightGray"/>
          <w:lang w:val="es-MX" w:eastAsia="en-US"/>
        </w:rPr>
        <w:t xml:space="preserve">[Para determinar uno o varios bienes nacionales relevantes, la Entidad Estatal debe aplicar los criterios establecidos en el artículo 2.2.1.2.4.2.9. del Decreto 1082 de 2015, lo cual constará en los estudios y documentos previos y en las reglas definidas en la Matriz </w:t>
      </w:r>
      <w:r w:rsidR="00916C3B" w:rsidRPr="00B7032A">
        <w:rPr>
          <w:rFonts w:ascii="Arial" w:eastAsia="Calibri" w:hAnsi="Arial" w:cs="Arial"/>
          <w:color w:val="000000"/>
          <w:sz w:val="21"/>
          <w:szCs w:val="21"/>
          <w:highlight w:val="lightGray"/>
          <w:lang w:val="es-MX" w:eastAsia="en-US"/>
        </w:rPr>
        <w:t>3</w:t>
      </w:r>
      <w:r w:rsidRPr="00B7032A">
        <w:rPr>
          <w:rFonts w:ascii="Arial" w:eastAsia="Calibri" w:hAnsi="Arial" w:cs="Arial"/>
          <w:color w:val="000000"/>
          <w:sz w:val="21"/>
          <w:szCs w:val="21"/>
          <w:highlight w:val="lightGray"/>
          <w:lang w:val="es-MX" w:eastAsia="en-US"/>
        </w:rPr>
        <w:t xml:space="preserve"> – Bienes nacionales relevantes para la obra pública del sector </w:t>
      </w:r>
      <w:r w:rsidR="00916C3B" w:rsidRPr="00B7032A">
        <w:rPr>
          <w:rFonts w:ascii="Arial" w:eastAsia="Calibri" w:hAnsi="Arial" w:cs="Arial"/>
          <w:color w:val="000000"/>
          <w:sz w:val="21"/>
          <w:szCs w:val="21"/>
          <w:highlight w:val="lightGray"/>
          <w:lang w:val="es-MX" w:eastAsia="en-US"/>
        </w:rPr>
        <w:t>de infraestructura social</w:t>
      </w:r>
      <w:r w:rsidRPr="00B7032A">
        <w:rPr>
          <w:rFonts w:ascii="Arial" w:eastAsia="Calibri" w:hAnsi="Arial" w:cs="Arial"/>
          <w:color w:val="000000"/>
          <w:sz w:val="21"/>
          <w:szCs w:val="21"/>
          <w:highlight w:val="lightGray"/>
          <w:lang w:val="es-MX" w:eastAsia="en-US"/>
        </w:rPr>
        <w:t>]:</w:t>
      </w:r>
    </w:p>
    <w:p w14:paraId="4C7B2E3E" w14:textId="77777777" w:rsidR="00D06B7D" w:rsidRPr="00B7032A" w:rsidRDefault="00D06B7D" w:rsidP="00D06B7D">
      <w:pPr>
        <w:widowControl w:val="0"/>
        <w:autoSpaceDE w:val="0"/>
        <w:autoSpaceDN w:val="0"/>
        <w:spacing w:line="276" w:lineRule="auto"/>
        <w:jc w:val="both"/>
        <w:rPr>
          <w:rFonts w:ascii="Arial" w:eastAsia="Arial" w:hAnsi="Arial" w:cs="Arial"/>
          <w:bCs/>
          <w:sz w:val="22"/>
          <w:szCs w:val="22"/>
          <w:lang w:eastAsia="es-ES" w:bidi="es-ES"/>
        </w:rPr>
      </w:pPr>
    </w:p>
    <w:p w14:paraId="2CA9D9EA" w14:textId="77777777" w:rsidR="00D06B7D" w:rsidRPr="00B7032A" w:rsidRDefault="00D06B7D" w:rsidP="00916C3B">
      <w:pPr>
        <w:widowControl w:val="0"/>
        <w:autoSpaceDE w:val="0"/>
        <w:autoSpaceDN w:val="0"/>
        <w:spacing w:line="276" w:lineRule="auto"/>
        <w:ind w:firstLine="709"/>
        <w:jc w:val="both"/>
        <w:rPr>
          <w:rFonts w:ascii="Arial" w:eastAsia="Arial" w:hAnsi="Arial" w:cs="Arial"/>
          <w:bCs/>
          <w:sz w:val="22"/>
          <w:szCs w:val="22"/>
          <w:lang w:eastAsia="es-ES" w:bidi="es-ES"/>
        </w:rPr>
      </w:pPr>
      <w:r w:rsidRPr="00B7032A">
        <w:rPr>
          <w:rFonts w:ascii="Arial" w:eastAsia="Arial" w:hAnsi="Arial" w:cs="Arial"/>
          <w:bCs/>
          <w:sz w:val="22"/>
          <w:szCs w:val="22"/>
          <w:lang w:eastAsia="es-ES" w:bidi="es-ES"/>
        </w:rPr>
        <w:t xml:space="preserve">Lo anterior guarda relación con los dispuesto en el artículo 2 del Decreto 680 de 2021, en donde se consagra la metodología con fundamento en la cual la entidad estatal debe definir los bienes colombianos relevantes y otorgar el puntaje de que trata el inciso 1 del artículo 2 de la Ley 816 de 2003. </w:t>
      </w:r>
    </w:p>
    <w:p w14:paraId="164EE470" w14:textId="3E0B6893" w:rsidR="00D06B7D" w:rsidRPr="00B7032A" w:rsidRDefault="002A520B" w:rsidP="00916C3B">
      <w:pPr>
        <w:widowControl w:val="0"/>
        <w:autoSpaceDE w:val="0"/>
        <w:autoSpaceDN w:val="0"/>
        <w:spacing w:before="120" w:line="276" w:lineRule="auto"/>
        <w:ind w:firstLine="709"/>
        <w:jc w:val="both"/>
        <w:rPr>
          <w:rFonts w:ascii="Arial" w:eastAsia="Arial" w:hAnsi="Arial" w:cs="Arial"/>
          <w:bCs/>
          <w:sz w:val="22"/>
          <w:szCs w:val="22"/>
          <w:lang w:eastAsia="es-ES" w:bidi="es-ES"/>
        </w:rPr>
      </w:pPr>
      <w:r w:rsidRPr="00B7032A">
        <w:rPr>
          <w:rFonts w:ascii="Arial" w:eastAsia="Arial" w:hAnsi="Arial" w:cs="Arial"/>
          <w:bCs/>
          <w:sz w:val="22"/>
          <w:szCs w:val="22"/>
          <w:lang w:eastAsia="es-ES" w:bidi="es-ES"/>
        </w:rPr>
        <w:t xml:space="preserve">De esta manera, </w:t>
      </w:r>
      <w:bookmarkStart w:id="29" w:name="_Hlk102408098"/>
      <w:r w:rsidRPr="00B7032A">
        <w:rPr>
          <w:rFonts w:ascii="Arial" w:eastAsia="Arial" w:hAnsi="Arial" w:cs="Arial"/>
          <w:bCs/>
          <w:sz w:val="22"/>
          <w:szCs w:val="22"/>
          <w:lang w:eastAsia="es-ES" w:bidi="es-ES"/>
        </w:rPr>
        <w:t>p</w:t>
      </w:r>
      <w:r w:rsidR="00D06B7D" w:rsidRPr="00B7032A">
        <w:rPr>
          <w:rFonts w:ascii="Arial" w:eastAsia="Arial" w:hAnsi="Arial" w:cs="Arial"/>
          <w:bCs/>
          <w:sz w:val="22"/>
          <w:szCs w:val="22"/>
          <w:lang w:eastAsia="es-ES" w:bidi="es-ES"/>
        </w:rPr>
        <w:t xml:space="preserve">ara determinar uno o varios bienes nacionales relevantes la entidad estatal debe aplicar los criterios establecidos en el artículo </w:t>
      </w:r>
      <w:r w:rsidR="00D06B7D" w:rsidRPr="00B7032A">
        <w:rPr>
          <w:rFonts w:ascii="Arial" w:eastAsia="Arial" w:hAnsi="Arial" w:cs="Arial"/>
          <w:sz w:val="22"/>
          <w:szCs w:val="22"/>
          <w:lang w:val="es-419" w:eastAsia="en-US"/>
        </w:rPr>
        <w:t xml:space="preserve">2.2.1.2.4.2.9. del Decreto 1082 de 2015 </w:t>
      </w:r>
      <w:r w:rsidR="00D06B7D" w:rsidRPr="00B7032A">
        <w:rPr>
          <w:rFonts w:ascii="Arial" w:eastAsia="Calibri" w:hAnsi="Arial" w:cs="Arial"/>
          <w:bCs/>
          <w:color w:val="000000"/>
          <w:sz w:val="22"/>
          <w:szCs w:val="22"/>
          <w:lang w:val="es-ES_tradnl" w:eastAsia="en-US"/>
        </w:rPr>
        <w:t xml:space="preserve">adicionado por el Decreto 680 de 2021, a saber: i) «el análisis del sector económico y de los oferentes, y, toda aquella información adicional con la que cuente la entidad estatal en la etapa de planeación del Proceso de Contratación», </w:t>
      </w:r>
      <w:proofErr w:type="spellStart"/>
      <w:r w:rsidR="00D06B7D" w:rsidRPr="00B7032A">
        <w:rPr>
          <w:rFonts w:ascii="Arial" w:eastAsia="Calibri" w:hAnsi="Arial" w:cs="Arial"/>
          <w:bCs/>
          <w:color w:val="000000"/>
          <w:sz w:val="22"/>
          <w:szCs w:val="22"/>
          <w:lang w:val="es-ES_tradnl" w:eastAsia="en-US"/>
        </w:rPr>
        <w:t>ii</w:t>
      </w:r>
      <w:proofErr w:type="spellEnd"/>
      <w:r w:rsidR="00D06B7D" w:rsidRPr="00B7032A">
        <w:rPr>
          <w:rFonts w:ascii="Arial" w:eastAsia="Calibri" w:hAnsi="Arial" w:cs="Arial"/>
          <w:bCs/>
          <w:color w:val="000000"/>
          <w:sz w:val="22"/>
          <w:szCs w:val="22"/>
          <w:lang w:val="es-ES_tradnl" w:eastAsia="en-US"/>
        </w:rPr>
        <w:t xml:space="preserve">) el porcentaje de participación de los bienes en el presupuesto del Proceso de Contratación y </w:t>
      </w:r>
      <w:proofErr w:type="spellStart"/>
      <w:r w:rsidR="00D06B7D" w:rsidRPr="00B7032A">
        <w:rPr>
          <w:rFonts w:ascii="Arial" w:eastAsia="Calibri" w:hAnsi="Arial" w:cs="Arial"/>
          <w:bCs/>
          <w:color w:val="000000"/>
          <w:sz w:val="22"/>
          <w:szCs w:val="22"/>
          <w:lang w:val="es-ES_tradnl" w:eastAsia="en-US"/>
        </w:rPr>
        <w:t>iii</w:t>
      </w:r>
      <w:proofErr w:type="spellEnd"/>
      <w:r w:rsidR="00D06B7D" w:rsidRPr="00B7032A">
        <w:rPr>
          <w:rFonts w:ascii="Arial" w:eastAsia="Calibri" w:hAnsi="Arial" w:cs="Arial"/>
          <w:bCs/>
          <w:color w:val="000000"/>
          <w:sz w:val="22"/>
          <w:szCs w:val="22"/>
          <w:lang w:val="es-ES_tradnl" w:eastAsia="en-US"/>
        </w:rPr>
        <w:t xml:space="preserve">) la existencia de los bienes en el Registro de Productores de Bienes Nacionales, en los términos del Decreto 2680 de 2009. </w:t>
      </w:r>
      <w:r w:rsidR="00D06B7D" w:rsidRPr="00B7032A">
        <w:rPr>
          <w:rFonts w:ascii="Arial" w:eastAsia="Arial" w:hAnsi="Arial" w:cs="Arial"/>
          <w:sz w:val="22"/>
          <w:szCs w:val="22"/>
          <w:lang w:val="es-419" w:eastAsia="en-US"/>
        </w:rPr>
        <w:t xml:space="preserve">Además de estos tres criterios, la entidad estatal deberá aplicar los parámetros contenidos en la </w:t>
      </w:r>
      <w:r w:rsidR="0046462F" w:rsidRPr="00B7032A">
        <w:rPr>
          <w:rFonts w:ascii="Arial" w:eastAsia="Calibri" w:hAnsi="Arial" w:cs="Arial"/>
          <w:bCs/>
          <w:color w:val="000000"/>
          <w:sz w:val="22"/>
          <w:szCs w:val="22"/>
          <w:lang w:val="es-ES_tradnl" w:eastAsia="en-US"/>
        </w:rPr>
        <w:t>«</w:t>
      </w:r>
      <w:r w:rsidR="00D06B7D" w:rsidRPr="00B7032A">
        <w:rPr>
          <w:rFonts w:ascii="Arial" w:eastAsia="Arial" w:hAnsi="Arial" w:cs="Arial"/>
          <w:bCs/>
          <w:sz w:val="22"/>
          <w:szCs w:val="22"/>
          <w:lang w:eastAsia="es-ES" w:bidi="es-ES"/>
        </w:rPr>
        <w:t xml:space="preserve">Matriz </w:t>
      </w:r>
      <w:r w:rsidR="00091553" w:rsidRPr="00B7032A">
        <w:rPr>
          <w:rFonts w:ascii="Arial" w:eastAsia="Arial" w:hAnsi="Arial" w:cs="Arial"/>
          <w:bCs/>
          <w:sz w:val="22"/>
          <w:szCs w:val="22"/>
          <w:lang w:eastAsia="es-ES" w:bidi="es-ES"/>
        </w:rPr>
        <w:t>3</w:t>
      </w:r>
      <w:r w:rsidR="00D06B7D" w:rsidRPr="00B7032A">
        <w:rPr>
          <w:rFonts w:ascii="Arial" w:eastAsia="Arial" w:hAnsi="Arial" w:cs="Arial"/>
          <w:bCs/>
          <w:sz w:val="22"/>
          <w:szCs w:val="22"/>
          <w:lang w:eastAsia="es-ES" w:bidi="es-ES"/>
        </w:rPr>
        <w:t xml:space="preserve"> – Bienes nacionales relevantes para la obra pública</w:t>
      </w:r>
      <w:r w:rsidRPr="00B7032A">
        <w:rPr>
          <w:rFonts w:ascii="Arial" w:eastAsia="Arial" w:hAnsi="Arial" w:cs="Arial"/>
          <w:bCs/>
          <w:sz w:val="22"/>
          <w:szCs w:val="22"/>
          <w:lang w:eastAsia="es-ES" w:bidi="es-ES"/>
        </w:rPr>
        <w:t xml:space="preserve"> de infraestructura social</w:t>
      </w:r>
      <w:r w:rsidR="0046462F" w:rsidRPr="00B7032A">
        <w:rPr>
          <w:rFonts w:ascii="Arial" w:eastAsia="Calibri" w:hAnsi="Arial" w:cs="Arial"/>
          <w:bCs/>
          <w:color w:val="000000"/>
          <w:sz w:val="22"/>
          <w:szCs w:val="22"/>
          <w:lang w:val="es-ES_tradnl" w:eastAsia="en-US"/>
        </w:rPr>
        <w:t>»,</w:t>
      </w:r>
      <w:r w:rsidR="00D06B7D" w:rsidRPr="00B7032A">
        <w:rPr>
          <w:rFonts w:ascii="Arial" w:eastAsia="Arial" w:hAnsi="Arial" w:cs="Arial"/>
          <w:bCs/>
          <w:sz w:val="22"/>
          <w:szCs w:val="22"/>
          <w:lang w:eastAsia="es-ES" w:bidi="es-ES"/>
        </w:rPr>
        <w:t xml:space="preserve"> en la que </w:t>
      </w:r>
      <w:r w:rsidRPr="00B7032A">
        <w:rPr>
          <w:rFonts w:ascii="Arial" w:eastAsia="Arial" w:hAnsi="Arial" w:cs="Arial"/>
          <w:bCs/>
          <w:sz w:val="22"/>
          <w:szCs w:val="22"/>
          <w:lang w:eastAsia="es-ES" w:bidi="es-ES"/>
        </w:rPr>
        <w:t xml:space="preserve">se </w:t>
      </w:r>
      <w:r w:rsidR="00D06B7D" w:rsidRPr="00B7032A">
        <w:rPr>
          <w:rFonts w:ascii="Arial" w:eastAsia="Calibri" w:hAnsi="Arial" w:cs="Arial"/>
          <w:bCs/>
          <w:color w:val="000000"/>
          <w:sz w:val="22"/>
          <w:szCs w:val="22"/>
          <w:lang w:val="es-ES_tradnl" w:eastAsia="en-US"/>
        </w:rPr>
        <w:t>desarrolla una metodología para identificar los bienes nacionales relevantes para la ejecución del objeto a contratar</w:t>
      </w:r>
      <w:r w:rsidR="00091553" w:rsidRPr="00B7032A">
        <w:rPr>
          <w:rFonts w:ascii="Arial" w:eastAsia="Calibri" w:hAnsi="Arial" w:cs="Arial"/>
          <w:bCs/>
          <w:color w:val="000000"/>
          <w:sz w:val="22"/>
          <w:szCs w:val="22"/>
          <w:lang w:val="es-ES_tradnl" w:eastAsia="en-US"/>
        </w:rPr>
        <w:t>.</w:t>
      </w:r>
      <w:r w:rsidR="0046462F" w:rsidRPr="00B7032A">
        <w:rPr>
          <w:rFonts w:ascii="Arial" w:eastAsia="Calibri" w:hAnsi="Arial" w:cs="Arial"/>
          <w:bCs/>
          <w:iCs/>
          <w:color w:val="000000"/>
          <w:sz w:val="22"/>
          <w:szCs w:val="22"/>
          <w:lang w:eastAsia="en-US"/>
        </w:rPr>
        <w:t xml:space="preserve"> </w:t>
      </w:r>
    </w:p>
    <w:bookmarkEnd w:id="29"/>
    <w:p w14:paraId="2AAE5245" w14:textId="1754E3E6" w:rsidR="0046462F" w:rsidRPr="00B7032A" w:rsidRDefault="0046462F" w:rsidP="00D82534">
      <w:pPr>
        <w:autoSpaceDE w:val="0"/>
        <w:autoSpaceDN w:val="0"/>
        <w:adjustRightInd w:val="0"/>
        <w:spacing w:before="120" w:line="276" w:lineRule="auto"/>
        <w:ind w:firstLine="709"/>
        <w:jc w:val="both"/>
        <w:rPr>
          <w:rFonts w:ascii="Arial" w:eastAsia="Calibri" w:hAnsi="Arial" w:cs="Arial"/>
          <w:bCs/>
          <w:color w:val="000000"/>
          <w:sz w:val="22"/>
          <w:szCs w:val="22"/>
          <w:lang w:val="es-ES_tradnl" w:eastAsia="en-US"/>
        </w:rPr>
      </w:pPr>
      <w:r w:rsidRPr="00B7032A">
        <w:rPr>
          <w:rFonts w:ascii="Arial" w:eastAsia="Calibri" w:hAnsi="Arial" w:cs="Arial"/>
          <w:bCs/>
          <w:color w:val="000000"/>
          <w:sz w:val="22"/>
          <w:szCs w:val="22"/>
          <w:lang w:val="es-ES_tradnl" w:eastAsia="en-US"/>
        </w:rPr>
        <w:t xml:space="preserve">A continuación, se enuncian los pasos a seguir que contiene la </w:t>
      </w:r>
      <w:r w:rsidR="00CE6622" w:rsidRPr="00B7032A">
        <w:rPr>
          <w:rFonts w:ascii="Arial" w:eastAsia="Calibri" w:hAnsi="Arial" w:cs="Arial"/>
          <w:bCs/>
          <w:color w:val="000000"/>
          <w:sz w:val="22"/>
          <w:szCs w:val="22"/>
          <w:lang w:val="es-ES_tradnl" w:eastAsia="en-US"/>
        </w:rPr>
        <w:t>m</w:t>
      </w:r>
      <w:r w:rsidRPr="00B7032A">
        <w:rPr>
          <w:rFonts w:ascii="Arial" w:eastAsia="Calibri" w:hAnsi="Arial" w:cs="Arial"/>
          <w:bCs/>
          <w:color w:val="000000"/>
          <w:sz w:val="22"/>
          <w:szCs w:val="22"/>
          <w:lang w:val="es-ES_tradnl" w:eastAsia="en-US"/>
        </w:rPr>
        <w:t>atriz para la identificación de los bienes nacionales relevantes:</w:t>
      </w:r>
    </w:p>
    <w:p w14:paraId="79B78DB2" w14:textId="77777777" w:rsidR="00E2002C" w:rsidRPr="00B7032A" w:rsidRDefault="00E2002C" w:rsidP="00E2002C">
      <w:pPr>
        <w:ind w:left="709" w:right="709"/>
        <w:jc w:val="both"/>
        <w:rPr>
          <w:rFonts w:ascii="Arial" w:eastAsia="Arial" w:hAnsi="Arial" w:cs="Arial"/>
          <w:bCs/>
          <w:sz w:val="21"/>
          <w:szCs w:val="21"/>
          <w:lang w:val="es-419" w:eastAsia="en-US"/>
        </w:rPr>
      </w:pPr>
    </w:p>
    <w:p w14:paraId="11C3D875" w14:textId="77777777" w:rsidR="00E2002C" w:rsidRPr="00B7032A" w:rsidRDefault="00E2002C" w:rsidP="00E2002C">
      <w:pPr>
        <w:numPr>
          <w:ilvl w:val="0"/>
          <w:numId w:val="43"/>
        </w:numPr>
        <w:tabs>
          <w:tab w:val="left" w:pos="993"/>
        </w:tabs>
        <w:ind w:left="709" w:right="709" w:firstLine="0"/>
        <w:jc w:val="both"/>
        <w:rPr>
          <w:rFonts w:ascii="Arial" w:eastAsia="Arial" w:hAnsi="Arial" w:cs="Arial"/>
          <w:bCs/>
          <w:i/>
          <w:sz w:val="21"/>
          <w:szCs w:val="21"/>
          <w:lang w:eastAsia="en-US"/>
        </w:rPr>
      </w:pPr>
      <w:r w:rsidRPr="00B7032A">
        <w:rPr>
          <w:rFonts w:ascii="Arial" w:eastAsia="Arial" w:hAnsi="Arial" w:cs="Arial"/>
          <w:bCs/>
          <w:iCs/>
          <w:sz w:val="21"/>
          <w:szCs w:val="21"/>
          <w:lang w:eastAsia="en-US"/>
        </w:rPr>
        <w:t xml:space="preserve">Identificar dentro del Presupuesto </w:t>
      </w:r>
      <w:r w:rsidRPr="00B7032A">
        <w:rPr>
          <w:rFonts w:ascii="Arial" w:eastAsia="Arial" w:hAnsi="Arial" w:cs="Arial"/>
          <w:bCs/>
          <w:sz w:val="21"/>
          <w:szCs w:val="21"/>
          <w:lang w:eastAsia="en-US"/>
        </w:rPr>
        <w:t>O</w:t>
      </w:r>
      <w:r w:rsidRPr="00B7032A">
        <w:rPr>
          <w:rFonts w:ascii="Arial" w:eastAsia="Arial" w:hAnsi="Arial" w:cs="Arial"/>
          <w:bCs/>
          <w:iCs/>
          <w:sz w:val="21"/>
          <w:szCs w:val="21"/>
          <w:lang w:eastAsia="en-US"/>
        </w:rPr>
        <w:t>ficial los bienes o insumos requeridos para la ejecución del proyecto.</w:t>
      </w:r>
    </w:p>
    <w:p w14:paraId="2153BE79" w14:textId="77777777" w:rsidR="00E2002C" w:rsidRPr="00B7032A" w:rsidRDefault="00E2002C" w:rsidP="00E2002C">
      <w:pPr>
        <w:ind w:left="709" w:right="709"/>
        <w:jc w:val="both"/>
        <w:rPr>
          <w:rFonts w:ascii="Arial" w:eastAsia="Arial" w:hAnsi="Arial" w:cs="Arial"/>
          <w:bCs/>
          <w:i/>
          <w:sz w:val="21"/>
          <w:szCs w:val="21"/>
          <w:lang w:eastAsia="en-US"/>
        </w:rPr>
      </w:pPr>
    </w:p>
    <w:p w14:paraId="24BEE3C0" w14:textId="77777777" w:rsidR="00E2002C" w:rsidRPr="00B7032A" w:rsidRDefault="00E2002C" w:rsidP="00E2002C">
      <w:pPr>
        <w:numPr>
          <w:ilvl w:val="0"/>
          <w:numId w:val="43"/>
        </w:numPr>
        <w:tabs>
          <w:tab w:val="left" w:pos="993"/>
        </w:tabs>
        <w:ind w:left="709" w:right="709" w:firstLine="0"/>
        <w:jc w:val="both"/>
        <w:rPr>
          <w:rFonts w:ascii="Arial" w:eastAsia="Arial" w:hAnsi="Arial" w:cs="Arial"/>
          <w:bCs/>
          <w:i/>
          <w:sz w:val="21"/>
          <w:szCs w:val="21"/>
          <w:lang w:eastAsia="en-US"/>
        </w:rPr>
      </w:pPr>
      <w:r w:rsidRPr="00B7032A">
        <w:rPr>
          <w:rFonts w:ascii="Arial" w:eastAsia="Arial" w:hAnsi="Arial" w:cs="Arial"/>
          <w:bCs/>
          <w:sz w:val="21"/>
          <w:szCs w:val="21"/>
          <w:lang w:eastAsia="en-US"/>
        </w:rPr>
        <w:t xml:space="preserve">Calcular el </w:t>
      </w:r>
      <w:r w:rsidRPr="00B7032A">
        <w:rPr>
          <w:rFonts w:ascii="Arial" w:eastAsia="Arial" w:hAnsi="Arial" w:cs="Arial"/>
          <w:b/>
          <w:bCs/>
          <w:i/>
          <w:sz w:val="21"/>
          <w:szCs w:val="21"/>
          <w:lang w:eastAsia="en-US"/>
        </w:rPr>
        <w:t xml:space="preserve">valor parcial </w:t>
      </w:r>
      <w:r w:rsidRPr="00B7032A">
        <w:rPr>
          <w:rFonts w:ascii="Arial" w:eastAsia="Arial" w:hAnsi="Arial" w:cs="Arial"/>
          <w:bCs/>
          <w:sz w:val="21"/>
          <w:szCs w:val="21"/>
          <w:lang w:eastAsia="en-US"/>
        </w:rPr>
        <w:t>de los bienes o insumos identificados, para lo cual se deberá multiplicar el valor unitario de cada uno por la cantidad requerida.</w:t>
      </w:r>
    </w:p>
    <w:p w14:paraId="4A3414A4" w14:textId="77777777" w:rsidR="00E2002C" w:rsidRPr="00B7032A" w:rsidRDefault="00E2002C" w:rsidP="00E2002C">
      <w:pPr>
        <w:ind w:left="709" w:right="709"/>
        <w:jc w:val="both"/>
        <w:rPr>
          <w:rFonts w:ascii="Arial" w:eastAsia="Arial" w:hAnsi="Arial" w:cs="Arial"/>
          <w:bCs/>
          <w:i/>
          <w:sz w:val="21"/>
          <w:szCs w:val="21"/>
          <w:lang w:eastAsia="en-US"/>
        </w:rPr>
      </w:pPr>
    </w:p>
    <w:p w14:paraId="4B08B3E4" w14:textId="77777777" w:rsidR="00E2002C" w:rsidRPr="00B7032A" w:rsidRDefault="00E2002C" w:rsidP="00E2002C">
      <w:pPr>
        <w:numPr>
          <w:ilvl w:val="0"/>
          <w:numId w:val="43"/>
        </w:numPr>
        <w:tabs>
          <w:tab w:val="left" w:pos="993"/>
        </w:tabs>
        <w:ind w:left="709" w:right="709" w:firstLine="0"/>
        <w:jc w:val="both"/>
        <w:rPr>
          <w:rFonts w:ascii="Arial" w:eastAsia="Arial" w:hAnsi="Arial" w:cs="Arial"/>
          <w:bCs/>
          <w:i/>
          <w:sz w:val="21"/>
          <w:szCs w:val="21"/>
          <w:lang w:eastAsia="en-US"/>
        </w:rPr>
      </w:pPr>
      <w:r w:rsidRPr="00B7032A">
        <w:rPr>
          <w:rFonts w:ascii="Arial" w:eastAsia="Arial" w:hAnsi="Arial" w:cs="Arial"/>
          <w:bCs/>
          <w:sz w:val="21"/>
          <w:szCs w:val="21"/>
          <w:lang w:eastAsia="en-US"/>
        </w:rPr>
        <w:t>Calcular el</w:t>
      </w:r>
      <w:r w:rsidRPr="00B7032A">
        <w:rPr>
          <w:rFonts w:ascii="Arial" w:eastAsia="Arial" w:hAnsi="Arial" w:cs="Arial"/>
          <w:b/>
          <w:bCs/>
          <w:i/>
          <w:sz w:val="21"/>
          <w:szCs w:val="21"/>
          <w:lang w:eastAsia="en-US"/>
        </w:rPr>
        <w:t xml:space="preserve"> valor total</w:t>
      </w:r>
      <w:r w:rsidRPr="00B7032A">
        <w:rPr>
          <w:rFonts w:ascii="Arial" w:eastAsia="Arial" w:hAnsi="Arial" w:cs="Arial"/>
          <w:bCs/>
          <w:iCs/>
          <w:sz w:val="21"/>
          <w:szCs w:val="21"/>
          <w:lang w:eastAsia="en-US"/>
        </w:rPr>
        <w:t xml:space="preserve"> </w:t>
      </w:r>
      <w:r w:rsidRPr="00B7032A">
        <w:rPr>
          <w:rFonts w:ascii="Arial" w:eastAsia="Arial" w:hAnsi="Arial" w:cs="Arial"/>
          <w:bCs/>
          <w:sz w:val="21"/>
          <w:szCs w:val="21"/>
          <w:lang w:eastAsia="en-US"/>
        </w:rPr>
        <w:t>realizando la sumatoria</w:t>
      </w:r>
      <w:r w:rsidRPr="00B7032A">
        <w:rPr>
          <w:rFonts w:ascii="Arial" w:eastAsia="Arial" w:hAnsi="Arial" w:cs="Arial"/>
          <w:b/>
          <w:bCs/>
          <w:i/>
          <w:sz w:val="21"/>
          <w:szCs w:val="21"/>
          <w:lang w:eastAsia="en-US"/>
        </w:rPr>
        <w:t xml:space="preserve"> </w:t>
      </w:r>
      <w:r w:rsidRPr="00B7032A">
        <w:rPr>
          <w:rFonts w:ascii="Arial" w:eastAsia="Arial" w:hAnsi="Arial" w:cs="Arial"/>
          <w:bCs/>
          <w:sz w:val="21"/>
          <w:szCs w:val="21"/>
          <w:lang w:eastAsia="en-US"/>
        </w:rPr>
        <w:t xml:space="preserve">de los </w:t>
      </w:r>
      <w:r w:rsidRPr="00B7032A">
        <w:rPr>
          <w:rFonts w:ascii="Arial" w:eastAsia="Arial" w:hAnsi="Arial" w:cs="Arial"/>
          <w:b/>
          <w:bCs/>
          <w:i/>
          <w:sz w:val="21"/>
          <w:szCs w:val="21"/>
          <w:lang w:eastAsia="en-US"/>
        </w:rPr>
        <w:t>valores parciales</w:t>
      </w:r>
      <w:r w:rsidRPr="00B7032A">
        <w:rPr>
          <w:rFonts w:ascii="Arial" w:eastAsia="Arial" w:hAnsi="Arial" w:cs="Arial"/>
          <w:bCs/>
          <w:sz w:val="21"/>
          <w:szCs w:val="21"/>
          <w:lang w:eastAsia="en-US"/>
        </w:rPr>
        <w:t xml:space="preserve"> de los bienes o insumos requeridos en el proyecto.</w:t>
      </w:r>
    </w:p>
    <w:p w14:paraId="27EA0347" w14:textId="77777777" w:rsidR="00E2002C" w:rsidRPr="00B7032A" w:rsidRDefault="00E2002C" w:rsidP="00E2002C">
      <w:pPr>
        <w:ind w:left="709" w:right="709"/>
        <w:jc w:val="both"/>
        <w:rPr>
          <w:rFonts w:ascii="Arial" w:eastAsia="Arial" w:hAnsi="Arial" w:cs="Arial"/>
          <w:bCs/>
          <w:i/>
          <w:sz w:val="21"/>
          <w:szCs w:val="21"/>
          <w:lang w:eastAsia="en-US"/>
        </w:rPr>
      </w:pPr>
    </w:p>
    <w:p w14:paraId="578C7F47" w14:textId="77777777" w:rsidR="00E2002C" w:rsidRPr="00B7032A" w:rsidRDefault="00E2002C" w:rsidP="00E2002C">
      <w:pPr>
        <w:numPr>
          <w:ilvl w:val="0"/>
          <w:numId w:val="43"/>
        </w:numPr>
        <w:tabs>
          <w:tab w:val="left" w:pos="993"/>
        </w:tabs>
        <w:ind w:left="709" w:right="709" w:firstLine="0"/>
        <w:jc w:val="both"/>
        <w:rPr>
          <w:rFonts w:ascii="Arial" w:eastAsia="Arial" w:hAnsi="Arial" w:cs="Arial"/>
          <w:bCs/>
          <w:i/>
          <w:sz w:val="21"/>
          <w:szCs w:val="21"/>
          <w:lang w:eastAsia="en-US"/>
        </w:rPr>
      </w:pPr>
      <w:r w:rsidRPr="00B7032A">
        <w:rPr>
          <w:rFonts w:ascii="Arial" w:eastAsia="Arial" w:hAnsi="Arial" w:cs="Arial"/>
          <w:bCs/>
          <w:sz w:val="21"/>
          <w:szCs w:val="21"/>
          <w:lang w:eastAsia="en-US"/>
        </w:rPr>
        <w:t xml:space="preserve">Determinar el </w:t>
      </w:r>
      <w:r w:rsidRPr="00B7032A">
        <w:rPr>
          <w:rFonts w:ascii="Arial" w:eastAsia="Arial" w:hAnsi="Arial" w:cs="Arial"/>
          <w:b/>
          <w:bCs/>
          <w:i/>
          <w:sz w:val="21"/>
          <w:szCs w:val="21"/>
          <w:lang w:eastAsia="en-US"/>
        </w:rPr>
        <w:t>porcentaje de participación</w:t>
      </w:r>
      <w:r w:rsidRPr="00B7032A">
        <w:rPr>
          <w:rFonts w:ascii="Arial" w:eastAsia="Arial" w:hAnsi="Arial" w:cs="Arial"/>
          <w:bCs/>
          <w:i/>
          <w:sz w:val="21"/>
          <w:szCs w:val="21"/>
          <w:lang w:eastAsia="en-US"/>
        </w:rPr>
        <w:t xml:space="preserve"> </w:t>
      </w:r>
      <w:r w:rsidRPr="00B7032A">
        <w:rPr>
          <w:rFonts w:ascii="Arial" w:eastAsia="Arial" w:hAnsi="Arial" w:cs="Arial"/>
          <w:bCs/>
          <w:sz w:val="21"/>
          <w:szCs w:val="21"/>
          <w:lang w:eastAsia="en-US"/>
        </w:rPr>
        <w:t xml:space="preserve">de cada bien o insumo usando su </w:t>
      </w:r>
      <w:r w:rsidRPr="00B7032A">
        <w:rPr>
          <w:rFonts w:ascii="Arial" w:eastAsia="Arial" w:hAnsi="Arial" w:cs="Arial"/>
          <w:b/>
          <w:bCs/>
          <w:i/>
          <w:sz w:val="21"/>
          <w:szCs w:val="21"/>
          <w:lang w:eastAsia="en-US"/>
        </w:rPr>
        <w:t>valor parcial</w:t>
      </w:r>
      <w:r w:rsidRPr="00B7032A">
        <w:rPr>
          <w:rFonts w:ascii="Arial" w:eastAsia="Arial" w:hAnsi="Arial" w:cs="Arial"/>
          <w:bCs/>
          <w:sz w:val="21"/>
          <w:szCs w:val="21"/>
          <w:lang w:eastAsia="en-US"/>
        </w:rPr>
        <w:t xml:space="preserve"> divido por el </w:t>
      </w:r>
      <w:r w:rsidRPr="00B7032A">
        <w:rPr>
          <w:rFonts w:ascii="Arial" w:eastAsia="Arial" w:hAnsi="Arial" w:cs="Arial"/>
          <w:b/>
          <w:bCs/>
          <w:i/>
          <w:sz w:val="21"/>
          <w:szCs w:val="21"/>
          <w:lang w:eastAsia="en-US"/>
        </w:rPr>
        <w:t>valor total</w:t>
      </w:r>
      <w:r w:rsidRPr="00B7032A">
        <w:rPr>
          <w:rFonts w:ascii="Arial" w:eastAsia="Arial" w:hAnsi="Arial" w:cs="Arial"/>
          <w:bCs/>
          <w:sz w:val="21"/>
          <w:szCs w:val="21"/>
          <w:lang w:eastAsia="en-US"/>
        </w:rPr>
        <w:t>, cociente que deberá ser multiplicado por cien (100). Para esto se aplicará la siguiente fórmula:</w:t>
      </w:r>
    </w:p>
    <w:p w14:paraId="43FBA162" w14:textId="77777777" w:rsidR="00E2002C" w:rsidRPr="00B7032A" w:rsidRDefault="00E2002C" w:rsidP="00E2002C">
      <w:pPr>
        <w:ind w:left="709" w:right="709"/>
        <w:jc w:val="both"/>
        <w:rPr>
          <w:rFonts w:ascii="Arial" w:eastAsia="Arial" w:hAnsi="Arial" w:cs="Arial"/>
          <w:bCs/>
          <w:i/>
          <w:sz w:val="21"/>
          <w:szCs w:val="21"/>
          <w:lang w:eastAsia="en-US"/>
        </w:rPr>
      </w:pPr>
    </w:p>
    <w:p w14:paraId="276AF73B" w14:textId="77777777" w:rsidR="00E2002C" w:rsidRPr="00B7032A" w:rsidRDefault="00E2002C" w:rsidP="00E2002C">
      <w:pPr>
        <w:ind w:left="709" w:right="709"/>
        <w:jc w:val="center"/>
        <w:rPr>
          <w:rFonts w:ascii="Arial" w:eastAsia="Arial" w:hAnsi="Arial" w:cs="Arial"/>
          <w:bCs/>
          <w:iCs/>
          <w:sz w:val="21"/>
          <w:szCs w:val="21"/>
          <w:lang w:eastAsia="en-US"/>
        </w:rPr>
      </w:pPr>
      <w:r w:rsidRPr="00B7032A">
        <w:rPr>
          <w:rFonts w:ascii="Arial" w:eastAsia="Arial" w:hAnsi="Arial" w:cs="Arial"/>
          <w:noProof/>
          <w:sz w:val="21"/>
          <w:szCs w:val="21"/>
          <w:lang w:val="es-MX" w:eastAsia="en-US"/>
        </w:rPr>
        <w:lastRenderedPageBreak/>
        <w:drawing>
          <wp:inline distT="0" distB="0" distL="0" distR="0" wp14:anchorId="36C4F557" wp14:editId="3D04E2A6">
            <wp:extent cx="2667000" cy="428625"/>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7000" cy="428625"/>
                    </a:xfrm>
                    <a:prstGeom prst="rect">
                      <a:avLst/>
                    </a:prstGeom>
                    <a:noFill/>
                    <a:ln>
                      <a:noFill/>
                    </a:ln>
                  </pic:spPr>
                </pic:pic>
              </a:graphicData>
            </a:graphic>
          </wp:inline>
        </w:drawing>
      </w:r>
    </w:p>
    <w:p w14:paraId="4D9B68FA" w14:textId="77777777" w:rsidR="00E2002C" w:rsidRPr="00B7032A" w:rsidRDefault="00E2002C" w:rsidP="00E2002C">
      <w:pPr>
        <w:ind w:left="709" w:right="709"/>
        <w:jc w:val="both"/>
        <w:rPr>
          <w:rFonts w:ascii="Arial" w:eastAsia="Arial" w:hAnsi="Arial" w:cs="Arial"/>
          <w:bCs/>
          <w:iCs/>
          <w:sz w:val="21"/>
          <w:szCs w:val="21"/>
          <w:lang w:eastAsia="en-US"/>
        </w:rPr>
      </w:pPr>
    </w:p>
    <w:p w14:paraId="5E1710CA" w14:textId="77777777" w:rsidR="00E2002C" w:rsidRPr="00B7032A" w:rsidRDefault="00E2002C" w:rsidP="00E2002C">
      <w:pPr>
        <w:numPr>
          <w:ilvl w:val="0"/>
          <w:numId w:val="43"/>
        </w:numPr>
        <w:tabs>
          <w:tab w:val="left" w:pos="993"/>
        </w:tabs>
        <w:ind w:left="709" w:right="709" w:firstLine="0"/>
        <w:jc w:val="both"/>
        <w:rPr>
          <w:rFonts w:ascii="Arial" w:eastAsia="Arial" w:hAnsi="Arial" w:cs="Arial"/>
          <w:bCs/>
          <w:iCs/>
          <w:sz w:val="21"/>
          <w:szCs w:val="21"/>
          <w:lang w:eastAsia="en-US"/>
        </w:rPr>
      </w:pPr>
      <w:r w:rsidRPr="00B7032A">
        <w:rPr>
          <w:rFonts w:ascii="Arial" w:eastAsia="Arial" w:hAnsi="Arial" w:cs="Arial"/>
          <w:bCs/>
          <w:sz w:val="21"/>
          <w:szCs w:val="21"/>
          <w:lang w:eastAsia="en-US"/>
        </w:rPr>
        <w:t>Determinar el</w:t>
      </w:r>
      <w:r w:rsidRPr="00B7032A">
        <w:rPr>
          <w:rFonts w:ascii="Arial" w:eastAsia="Arial" w:hAnsi="Arial" w:cs="Arial"/>
          <w:b/>
          <w:bCs/>
          <w:i/>
          <w:sz w:val="21"/>
          <w:szCs w:val="21"/>
          <w:lang w:eastAsia="en-US"/>
        </w:rPr>
        <w:t xml:space="preserve"> porcentaje acumulado </w:t>
      </w:r>
      <w:r w:rsidRPr="00B7032A">
        <w:rPr>
          <w:rFonts w:ascii="Arial" w:eastAsia="Arial" w:hAnsi="Arial" w:cs="Arial"/>
          <w:bCs/>
          <w:iCs/>
          <w:sz w:val="21"/>
          <w:szCs w:val="21"/>
          <w:lang w:eastAsia="en-US"/>
        </w:rPr>
        <w:t>entendido como la sumatoria de los porcentajes de participación definidos en el numeral anterior. P</w:t>
      </w:r>
      <w:r w:rsidRPr="00B7032A">
        <w:rPr>
          <w:rFonts w:ascii="Arial" w:eastAsia="Arial" w:hAnsi="Arial" w:cs="Arial"/>
          <w:bCs/>
          <w:sz w:val="21"/>
          <w:szCs w:val="21"/>
          <w:lang w:eastAsia="en-US"/>
        </w:rPr>
        <w:t xml:space="preserve">ara lo cual, se sugiere, organizar los bienes en una tabla, en orden descendente según su </w:t>
      </w:r>
      <w:r w:rsidRPr="00B7032A">
        <w:rPr>
          <w:rFonts w:ascii="Arial" w:eastAsia="Arial" w:hAnsi="Arial" w:cs="Arial"/>
          <w:b/>
          <w:bCs/>
          <w:i/>
          <w:sz w:val="21"/>
          <w:szCs w:val="21"/>
          <w:lang w:eastAsia="en-US"/>
        </w:rPr>
        <w:t>porcentaje de participación,</w:t>
      </w:r>
      <w:r w:rsidRPr="00B7032A">
        <w:rPr>
          <w:rFonts w:ascii="Arial" w:eastAsia="Arial" w:hAnsi="Arial" w:cs="Arial"/>
          <w:bCs/>
          <w:sz w:val="21"/>
          <w:szCs w:val="21"/>
          <w:lang w:eastAsia="en-US"/>
        </w:rPr>
        <w:t xml:space="preserve"> disponiendo una fila por cada bien, una columna para el nombre o descripción del bien, otra para el </w:t>
      </w:r>
      <w:r w:rsidRPr="00B7032A">
        <w:rPr>
          <w:rFonts w:ascii="Arial" w:eastAsia="Arial" w:hAnsi="Arial" w:cs="Arial"/>
          <w:b/>
          <w:bCs/>
          <w:i/>
          <w:sz w:val="21"/>
          <w:szCs w:val="21"/>
          <w:lang w:eastAsia="en-US"/>
        </w:rPr>
        <w:t>porcentaje de participación</w:t>
      </w:r>
      <w:r w:rsidRPr="00B7032A">
        <w:rPr>
          <w:rFonts w:ascii="Arial" w:eastAsia="Arial" w:hAnsi="Arial" w:cs="Arial"/>
          <w:b/>
          <w:bCs/>
          <w:sz w:val="21"/>
          <w:szCs w:val="21"/>
          <w:lang w:eastAsia="en-US"/>
        </w:rPr>
        <w:t xml:space="preserve"> </w:t>
      </w:r>
      <w:r w:rsidRPr="00B7032A">
        <w:rPr>
          <w:rFonts w:ascii="Arial" w:eastAsia="Arial" w:hAnsi="Arial" w:cs="Arial"/>
          <w:bCs/>
          <w:sz w:val="21"/>
          <w:szCs w:val="21"/>
          <w:lang w:eastAsia="en-US"/>
        </w:rPr>
        <w:t xml:space="preserve">y otra en la que se consignará el </w:t>
      </w:r>
      <w:r w:rsidRPr="00B7032A">
        <w:rPr>
          <w:rFonts w:ascii="Arial" w:eastAsia="Arial" w:hAnsi="Arial" w:cs="Arial"/>
          <w:b/>
          <w:bCs/>
          <w:i/>
          <w:sz w:val="21"/>
          <w:szCs w:val="21"/>
          <w:lang w:eastAsia="en-US"/>
        </w:rPr>
        <w:t>porcentaje acumulado.</w:t>
      </w:r>
      <w:r w:rsidRPr="00B7032A">
        <w:rPr>
          <w:rFonts w:ascii="Arial" w:eastAsia="Arial" w:hAnsi="Arial" w:cs="Arial"/>
          <w:b/>
          <w:bCs/>
          <w:sz w:val="21"/>
          <w:szCs w:val="21"/>
          <w:lang w:eastAsia="en-US"/>
        </w:rPr>
        <w:t xml:space="preserve"> </w:t>
      </w:r>
    </w:p>
    <w:p w14:paraId="35EC0AA6" w14:textId="77777777" w:rsidR="00E2002C" w:rsidRPr="00B7032A" w:rsidRDefault="00E2002C" w:rsidP="00E2002C">
      <w:pPr>
        <w:ind w:left="709" w:right="709"/>
        <w:jc w:val="both"/>
        <w:rPr>
          <w:rFonts w:ascii="Arial" w:eastAsia="Arial" w:hAnsi="Arial" w:cs="Arial"/>
          <w:bCs/>
          <w:iCs/>
          <w:sz w:val="21"/>
          <w:szCs w:val="21"/>
          <w:lang w:eastAsia="en-US"/>
        </w:rPr>
      </w:pPr>
    </w:p>
    <w:p w14:paraId="3B61400C" w14:textId="77777777" w:rsidR="00E2002C" w:rsidRPr="00B7032A" w:rsidRDefault="00E2002C" w:rsidP="00E2002C">
      <w:pPr>
        <w:ind w:left="709" w:right="709"/>
        <w:jc w:val="both"/>
        <w:rPr>
          <w:rFonts w:ascii="Arial" w:eastAsia="Arial" w:hAnsi="Arial" w:cs="Arial"/>
          <w:bCs/>
          <w:iCs/>
          <w:sz w:val="21"/>
          <w:szCs w:val="21"/>
          <w:lang w:eastAsia="en-US"/>
        </w:rPr>
      </w:pPr>
      <w:r w:rsidRPr="00B7032A">
        <w:rPr>
          <w:rFonts w:ascii="Arial" w:eastAsia="Arial" w:hAnsi="Arial" w:cs="Arial"/>
          <w:bCs/>
          <w:sz w:val="21"/>
          <w:szCs w:val="21"/>
          <w:lang w:eastAsia="en-US"/>
        </w:rPr>
        <w:t xml:space="preserve">Al bien o insumo que tiene la mayor participación, es decir el que ocupa el primer lugar en el listado, le corresponderá como </w:t>
      </w:r>
      <w:r w:rsidRPr="00B7032A">
        <w:rPr>
          <w:rFonts w:ascii="Arial" w:eastAsia="Arial" w:hAnsi="Arial" w:cs="Arial"/>
          <w:b/>
          <w:bCs/>
          <w:i/>
          <w:sz w:val="21"/>
          <w:szCs w:val="21"/>
          <w:lang w:eastAsia="en-US"/>
        </w:rPr>
        <w:t>porcentaje acumulado</w:t>
      </w:r>
      <w:r w:rsidRPr="00B7032A">
        <w:rPr>
          <w:rFonts w:ascii="Arial" w:eastAsia="Arial" w:hAnsi="Arial" w:cs="Arial"/>
          <w:bCs/>
          <w:sz w:val="21"/>
          <w:szCs w:val="21"/>
          <w:lang w:eastAsia="en-US"/>
        </w:rPr>
        <w:t xml:space="preserve"> el valor asignado como </w:t>
      </w:r>
      <w:r w:rsidRPr="00B7032A">
        <w:rPr>
          <w:rFonts w:ascii="Arial" w:eastAsia="Arial" w:hAnsi="Arial" w:cs="Arial"/>
          <w:b/>
          <w:bCs/>
          <w:i/>
          <w:sz w:val="21"/>
          <w:szCs w:val="21"/>
          <w:lang w:eastAsia="en-US"/>
        </w:rPr>
        <w:t>porcentaje de participación</w:t>
      </w:r>
      <w:r w:rsidRPr="00B7032A">
        <w:rPr>
          <w:rFonts w:ascii="Arial" w:eastAsia="Arial" w:hAnsi="Arial" w:cs="Arial"/>
          <w:bCs/>
          <w:sz w:val="21"/>
          <w:szCs w:val="21"/>
          <w:lang w:eastAsia="en-US"/>
        </w:rPr>
        <w:t xml:space="preserve">. Para el segundo bien el </w:t>
      </w:r>
      <w:r w:rsidRPr="00B7032A">
        <w:rPr>
          <w:rFonts w:ascii="Arial" w:eastAsia="Arial" w:hAnsi="Arial" w:cs="Arial"/>
          <w:b/>
          <w:bCs/>
          <w:i/>
          <w:iCs/>
          <w:sz w:val="21"/>
          <w:szCs w:val="21"/>
          <w:lang w:eastAsia="en-US"/>
        </w:rPr>
        <w:t xml:space="preserve">porcentaje acumulado </w:t>
      </w:r>
      <w:r w:rsidRPr="00B7032A">
        <w:rPr>
          <w:rFonts w:ascii="Arial" w:eastAsia="Arial" w:hAnsi="Arial" w:cs="Arial"/>
          <w:bCs/>
          <w:sz w:val="21"/>
          <w:szCs w:val="21"/>
          <w:lang w:eastAsia="en-US"/>
        </w:rPr>
        <w:t xml:space="preserve">será la suma de su porcentaje de participación con el </w:t>
      </w:r>
      <w:r w:rsidRPr="00B7032A">
        <w:rPr>
          <w:rFonts w:ascii="Arial" w:eastAsia="Arial" w:hAnsi="Arial" w:cs="Arial"/>
          <w:b/>
          <w:bCs/>
          <w:i/>
          <w:iCs/>
          <w:sz w:val="21"/>
          <w:szCs w:val="21"/>
          <w:lang w:eastAsia="en-US"/>
        </w:rPr>
        <w:t>porcentaje acumulado</w:t>
      </w:r>
      <w:r w:rsidRPr="00B7032A">
        <w:rPr>
          <w:rFonts w:ascii="Arial" w:eastAsia="Arial" w:hAnsi="Arial" w:cs="Arial"/>
          <w:bCs/>
          <w:sz w:val="21"/>
          <w:szCs w:val="21"/>
          <w:lang w:eastAsia="en-US"/>
        </w:rPr>
        <w:t xml:space="preserve"> asignado al bien que lo antecede en el listado. Del mismo modo, para el tercer bien el </w:t>
      </w:r>
      <w:r w:rsidRPr="00B7032A">
        <w:rPr>
          <w:rFonts w:ascii="Arial" w:eastAsia="Arial" w:hAnsi="Arial" w:cs="Arial"/>
          <w:b/>
          <w:bCs/>
          <w:i/>
          <w:iCs/>
          <w:sz w:val="21"/>
          <w:szCs w:val="21"/>
          <w:lang w:eastAsia="en-US"/>
        </w:rPr>
        <w:t>porcentaje acumulado</w:t>
      </w:r>
      <w:r w:rsidRPr="00B7032A">
        <w:rPr>
          <w:rFonts w:ascii="Arial" w:eastAsia="Arial" w:hAnsi="Arial" w:cs="Arial"/>
          <w:bCs/>
          <w:sz w:val="21"/>
          <w:szCs w:val="21"/>
          <w:lang w:eastAsia="en-US"/>
        </w:rPr>
        <w:t xml:space="preserve"> será la suma de su porcentaje de participación con el </w:t>
      </w:r>
      <w:r w:rsidRPr="00B7032A">
        <w:rPr>
          <w:rFonts w:ascii="Arial" w:eastAsia="Arial" w:hAnsi="Arial" w:cs="Arial"/>
          <w:b/>
          <w:bCs/>
          <w:i/>
          <w:iCs/>
          <w:sz w:val="21"/>
          <w:szCs w:val="21"/>
          <w:lang w:eastAsia="en-US"/>
        </w:rPr>
        <w:t>porcentaje acumulado</w:t>
      </w:r>
      <w:r w:rsidRPr="00B7032A">
        <w:rPr>
          <w:rFonts w:ascii="Arial" w:eastAsia="Arial" w:hAnsi="Arial" w:cs="Arial"/>
          <w:bCs/>
          <w:sz w:val="21"/>
          <w:szCs w:val="21"/>
          <w:lang w:eastAsia="en-US"/>
        </w:rPr>
        <w:t xml:space="preserve"> calculado para el anterior bien, y así sucesivamente deberá procederse respecto de los demás bienes hasta </w:t>
      </w:r>
      <w:r w:rsidRPr="00B7032A">
        <w:rPr>
          <w:rFonts w:ascii="Arial" w:eastAsia="Arial" w:hAnsi="Arial" w:cs="Arial"/>
          <w:bCs/>
          <w:sz w:val="21"/>
          <w:szCs w:val="21"/>
          <w:lang w:eastAsia="en-US"/>
        </w:rPr>
        <w:t xml:space="preserve">completar todos los porcentajes acumulados. Para mayor claridad se aplicará la siguiente fórmula: </w:t>
      </w:r>
    </w:p>
    <w:p w14:paraId="1CE2D99D" w14:textId="77777777" w:rsidR="00E2002C" w:rsidRPr="00B7032A" w:rsidRDefault="00E2002C" w:rsidP="00E2002C">
      <w:pPr>
        <w:ind w:left="709" w:right="709"/>
        <w:jc w:val="both"/>
        <w:rPr>
          <w:rFonts w:ascii="Arial" w:eastAsia="Arial" w:hAnsi="Arial" w:cs="Arial"/>
          <w:b/>
          <w:bCs/>
          <w:i/>
          <w:sz w:val="21"/>
          <w:szCs w:val="21"/>
          <w:lang w:eastAsia="en-US"/>
        </w:rPr>
      </w:pPr>
    </w:p>
    <w:p w14:paraId="45C319ED" w14:textId="77777777" w:rsidR="00E2002C" w:rsidRPr="00B7032A" w:rsidRDefault="00E2002C" w:rsidP="00E2002C">
      <w:pPr>
        <w:ind w:left="709" w:right="709"/>
        <w:jc w:val="center"/>
        <w:rPr>
          <w:rFonts w:ascii="Arial" w:eastAsia="Arial" w:hAnsi="Arial" w:cs="Arial"/>
          <w:bCs/>
          <w:sz w:val="21"/>
          <w:szCs w:val="21"/>
          <w:lang w:val="es-MX" w:eastAsia="en-US"/>
        </w:rPr>
      </w:pPr>
      <w:r w:rsidRPr="00B7032A">
        <w:rPr>
          <w:rFonts w:ascii="Arial" w:eastAsia="Arial" w:hAnsi="Arial" w:cs="Arial"/>
          <w:noProof/>
          <w:sz w:val="21"/>
          <w:szCs w:val="21"/>
          <w:lang w:val="es-MX" w:eastAsia="en-US"/>
        </w:rPr>
        <w:drawing>
          <wp:inline distT="0" distB="0" distL="0" distR="0" wp14:anchorId="7F77BE30" wp14:editId="2FC82702">
            <wp:extent cx="3057525" cy="514350"/>
            <wp:effectExtent l="0" t="0" r="9525" b="0"/>
            <wp:docPr id="10" name="Imagen 8" descr="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Dibujo de una persona&#10;&#10;Descripción generada automáticamente con confianza medi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57525" cy="514350"/>
                    </a:xfrm>
                    <a:prstGeom prst="rect">
                      <a:avLst/>
                    </a:prstGeom>
                    <a:noFill/>
                    <a:ln>
                      <a:noFill/>
                    </a:ln>
                  </pic:spPr>
                </pic:pic>
              </a:graphicData>
            </a:graphic>
          </wp:inline>
        </w:drawing>
      </w:r>
    </w:p>
    <w:p w14:paraId="68C67449" w14:textId="77777777" w:rsidR="00E2002C" w:rsidRPr="00B7032A" w:rsidRDefault="00E2002C" w:rsidP="00E2002C">
      <w:pPr>
        <w:ind w:left="709" w:right="709"/>
        <w:jc w:val="both"/>
        <w:rPr>
          <w:rFonts w:ascii="Arial" w:eastAsia="Arial" w:hAnsi="Arial" w:cs="Arial"/>
          <w:bCs/>
          <w:sz w:val="21"/>
          <w:szCs w:val="21"/>
          <w:lang w:eastAsia="en-US"/>
        </w:rPr>
      </w:pPr>
    </w:p>
    <w:p w14:paraId="2067F089" w14:textId="77777777" w:rsidR="00E2002C" w:rsidRPr="00B7032A" w:rsidRDefault="00E2002C" w:rsidP="00E2002C">
      <w:pPr>
        <w:ind w:left="709" w:right="709"/>
        <w:jc w:val="both"/>
        <w:rPr>
          <w:rFonts w:ascii="Arial" w:eastAsia="Arial" w:hAnsi="Arial" w:cs="Arial"/>
          <w:bCs/>
          <w:sz w:val="21"/>
          <w:szCs w:val="21"/>
          <w:lang w:eastAsia="en-US"/>
        </w:rPr>
      </w:pPr>
    </w:p>
    <w:p w14:paraId="4E836D58" w14:textId="77777777" w:rsidR="00E2002C" w:rsidRPr="00B7032A" w:rsidRDefault="00E2002C" w:rsidP="00E2002C">
      <w:pPr>
        <w:ind w:left="709" w:right="709"/>
        <w:jc w:val="both"/>
        <w:rPr>
          <w:rFonts w:ascii="Arial" w:eastAsia="Arial" w:hAnsi="Arial" w:cs="Arial"/>
          <w:bCs/>
          <w:sz w:val="21"/>
          <w:szCs w:val="21"/>
          <w:lang w:eastAsia="en-US"/>
        </w:rPr>
      </w:pPr>
      <w:r w:rsidRPr="00B7032A">
        <w:rPr>
          <w:rFonts w:ascii="Arial" w:eastAsia="Arial" w:hAnsi="Arial" w:cs="Arial"/>
          <w:bCs/>
          <w:sz w:val="21"/>
          <w:szCs w:val="21"/>
          <w:lang w:eastAsia="en-US"/>
        </w:rPr>
        <w:t xml:space="preserve">Donde </w:t>
      </w:r>
      <m:oMath>
        <m:sSub>
          <m:sSubPr>
            <m:ctrlPr>
              <w:rPr>
                <w:rFonts w:ascii="Cambria Math" w:eastAsia="Arial" w:hAnsi="Cambria Math" w:cs="Arial"/>
                <w:bCs/>
                <w:i/>
                <w:sz w:val="21"/>
                <w:szCs w:val="21"/>
                <w:lang w:val="es-MX" w:eastAsia="en-US"/>
              </w:rPr>
            </m:ctrlPr>
          </m:sSubPr>
          <m:e>
            <m:r>
              <w:rPr>
                <w:rFonts w:ascii="Cambria Math" w:eastAsia="Arial" w:hAnsi="Cambria Math" w:cs="Arial"/>
                <w:sz w:val="21"/>
                <w:szCs w:val="21"/>
                <w:lang w:eastAsia="en-US"/>
              </w:rPr>
              <m:t>participacion (%)</m:t>
            </m:r>
          </m:e>
          <m:sub>
            <m:r>
              <w:rPr>
                <w:rFonts w:ascii="Cambria Math" w:eastAsia="Arial" w:hAnsi="Cambria Math" w:cs="Arial"/>
                <w:sz w:val="21"/>
                <w:szCs w:val="21"/>
                <w:lang w:eastAsia="en-US"/>
              </w:rPr>
              <m:t>i</m:t>
            </m:r>
          </m:sub>
        </m:sSub>
      </m:oMath>
      <w:r w:rsidRPr="00B7032A">
        <w:rPr>
          <w:rFonts w:ascii="Arial" w:eastAsia="Arial" w:hAnsi="Arial" w:cs="Arial"/>
          <w:bCs/>
          <w:sz w:val="21"/>
          <w:szCs w:val="21"/>
          <w:lang w:eastAsia="en-US"/>
        </w:rPr>
        <w:t xml:space="preserve"> son las frecuencias acumuladas o porcentaje de participación (%) calculado.</w:t>
      </w:r>
    </w:p>
    <w:p w14:paraId="23069DF1" w14:textId="77777777" w:rsidR="00E2002C" w:rsidRPr="00B7032A" w:rsidRDefault="00E2002C" w:rsidP="00E2002C">
      <w:pPr>
        <w:ind w:left="709" w:right="709"/>
        <w:jc w:val="both"/>
        <w:rPr>
          <w:rFonts w:ascii="Arial" w:eastAsia="Arial" w:hAnsi="Arial" w:cs="Arial"/>
          <w:bCs/>
          <w:iCs/>
          <w:sz w:val="21"/>
          <w:szCs w:val="21"/>
          <w:lang w:eastAsia="en-US"/>
        </w:rPr>
      </w:pPr>
    </w:p>
    <w:p w14:paraId="4FE5D947" w14:textId="77777777" w:rsidR="00E2002C" w:rsidRPr="00B7032A" w:rsidRDefault="00E2002C" w:rsidP="00E2002C">
      <w:pPr>
        <w:numPr>
          <w:ilvl w:val="0"/>
          <w:numId w:val="43"/>
        </w:numPr>
        <w:tabs>
          <w:tab w:val="left" w:pos="993"/>
        </w:tabs>
        <w:ind w:left="709" w:right="709" w:firstLine="0"/>
        <w:jc w:val="both"/>
        <w:rPr>
          <w:rFonts w:ascii="Arial" w:eastAsia="Arial" w:hAnsi="Arial" w:cs="Arial"/>
          <w:bCs/>
          <w:iCs/>
          <w:sz w:val="21"/>
          <w:szCs w:val="21"/>
          <w:lang w:eastAsia="en-US"/>
        </w:rPr>
      </w:pPr>
      <w:r w:rsidRPr="00B7032A">
        <w:rPr>
          <w:rFonts w:ascii="Arial" w:eastAsia="Arial" w:hAnsi="Arial" w:cs="Arial"/>
          <w:bCs/>
          <w:sz w:val="21"/>
          <w:szCs w:val="21"/>
          <w:lang w:eastAsia="en-US"/>
        </w:rPr>
        <w:t xml:space="preserve">Identificar los bienes o insumos cuyo </w:t>
      </w:r>
      <w:r w:rsidRPr="00B7032A">
        <w:rPr>
          <w:rFonts w:ascii="Arial" w:eastAsia="Arial" w:hAnsi="Arial" w:cs="Arial"/>
          <w:b/>
          <w:bCs/>
          <w:i/>
          <w:iCs/>
          <w:sz w:val="21"/>
          <w:szCs w:val="21"/>
          <w:lang w:eastAsia="en-US"/>
        </w:rPr>
        <w:t>porcentaje acumulado</w:t>
      </w:r>
      <w:r w:rsidRPr="00B7032A">
        <w:rPr>
          <w:rFonts w:ascii="Arial" w:eastAsia="Arial" w:hAnsi="Arial" w:cs="Arial"/>
          <w:bCs/>
          <w:sz w:val="21"/>
          <w:szCs w:val="21"/>
          <w:lang w:eastAsia="en-US"/>
        </w:rPr>
        <w:t xml:space="preserve"> esté dentro del ochenta por ciento (80%</w:t>
      </w:r>
      <w:r w:rsidRPr="00B7032A">
        <w:rPr>
          <w:rFonts w:ascii="Arial" w:eastAsia="Arial" w:hAnsi="Arial" w:cs="Arial"/>
          <w:bCs/>
          <w:iCs/>
          <w:sz w:val="21"/>
          <w:szCs w:val="21"/>
          <w:vertAlign w:val="superscript"/>
          <w:lang w:eastAsia="en-US"/>
        </w:rPr>
        <w:footnoteReference w:id="16"/>
      </w:r>
      <w:r w:rsidRPr="00B7032A">
        <w:rPr>
          <w:rFonts w:ascii="Arial" w:eastAsia="Arial" w:hAnsi="Arial" w:cs="Arial"/>
          <w:bCs/>
          <w:sz w:val="21"/>
          <w:szCs w:val="21"/>
          <w:lang w:eastAsia="en-US"/>
        </w:rPr>
        <w:t>) o un valor aproximado por debajo.</w:t>
      </w:r>
    </w:p>
    <w:p w14:paraId="3FCD5182" w14:textId="77777777" w:rsidR="00E2002C" w:rsidRPr="00B7032A" w:rsidRDefault="00E2002C" w:rsidP="00E2002C">
      <w:pPr>
        <w:ind w:left="709" w:right="709"/>
        <w:jc w:val="both"/>
        <w:rPr>
          <w:rFonts w:ascii="Arial" w:eastAsia="Arial" w:hAnsi="Arial" w:cs="Arial"/>
          <w:bCs/>
          <w:iCs/>
          <w:sz w:val="21"/>
          <w:szCs w:val="21"/>
          <w:lang w:eastAsia="en-US"/>
        </w:rPr>
      </w:pPr>
    </w:p>
    <w:p w14:paraId="42BCC477" w14:textId="77777777" w:rsidR="00E2002C" w:rsidRPr="00B7032A" w:rsidRDefault="00E2002C" w:rsidP="00E2002C">
      <w:pPr>
        <w:numPr>
          <w:ilvl w:val="0"/>
          <w:numId w:val="43"/>
        </w:numPr>
        <w:tabs>
          <w:tab w:val="left" w:pos="993"/>
        </w:tabs>
        <w:ind w:left="709" w:right="709" w:firstLine="0"/>
        <w:jc w:val="both"/>
        <w:rPr>
          <w:rFonts w:ascii="Arial" w:eastAsia="Arial" w:hAnsi="Arial" w:cs="Arial"/>
          <w:bCs/>
          <w:sz w:val="21"/>
          <w:szCs w:val="21"/>
          <w:lang w:eastAsia="en-US"/>
        </w:rPr>
      </w:pPr>
      <w:r w:rsidRPr="00B7032A">
        <w:rPr>
          <w:rFonts w:ascii="Arial" w:eastAsia="Arial" w:hAnsi="Arial" w:cs="Arial"/>
          <w:bCs/>
          <w:sz w:val="21"/>
          <w:szCs w:val="21"/>
          <w:lang w:eastAsia="en-US"/>
        </w:rPr>
        <w:t xml:space="preserve">Identificar los bienes o insumos que cumplan con la condición anterior y en relación con estos se calculará el promedio de su </w:t>
      </w:r>
      <w:r w:rsidRPr="00B7032A">
        <w:rPr>
          <w:rFonts w:ascii="Arial" w:eastAsia="Arial" w:hAnsi="Arial" w:cs="Arial"/>
          <w:b/>
          <w:bCs/>
          <w:i/>
          <w:sz w:val="21"/>
          <w:szCs w:val="21"/>
          <w:lang w:eastAsia="en-US"/>
        </w:rPr>
        <w:t>porcentaje de participación</w:t>
      </w:r>
      <w:r w:rsidRPr="00B7032A">
        <w:rPr>
          <w:rFonts w:ascii="Arial" w:eastAsia="Arial" w:hAnsi="Arial" w:cs="Arial"/>
          <w:bCs/>
          <w:sz w:val="21"/>
          <w:szCs w:val="21"/>
          <w:lang w:eastAsia="en-US"/>
        </w:rPr>
        <w:t xml:space="preserve">. El promedio se calculará realizando la sumatoria de los </w:t>
      </w:r>
      <w:r w:rsidRPr="00B7032A">
        <w:rPr>
          <w:rFonts w:ascii="Arial" w:eastAsia="Arial" w:hAnsi="Arial" w:cs="Arial"/>
          <w:b/>
          <w:bCs/>
          <w:i/>
          <w:sz w:val="21"/>
          <w:szCs w:val="21"/>
          <w:lang w:eastAsia="en-US"/>
        </w:rPr>
        <w:t>porcentajes de participación</w:t>
      </w:r>
      <w:r w:rsidRPr="00B7032A">
        <w:rPr>
          <w:rFonts w:ascii="Arial" w:eastAsia="Arial" w:hAnsi="Arial" w:cs="Arial"/>
          <w:b/>
          <w:bCs/>
          <w:sz w:val="21"/>
          <w:szCs w:val="21"/>
          <w:lang w:eastAsia="en-US"/>
        </w:rPr>
        <w:t xml:space="preserve"> </w:t>
      </w:r>
      <w:r w:rsidRPr="00B7032A">
        <w:rPr>
          <w:rFonts w:ascii="Arial" w:eastAsia="Arial" w:hAnsi="Arial" w:cs="Arial"/>
          <w:bCs/>
          <w:sz w:val="21"/>
          <w:szCs w:val="21"/>
          <w:lang w:eastAsia="en-US"/>
        </w:rPr>
        <w:t xml:space="preserve">de cada bien, resultado que luego se dividirá entre el número de bienes que se promedian. </w:t>
      </w:r>
    </w:p>
    <w:p w14:paraId="5EC9D3B5" w14:textId="77777777" w:rsidR="00E2002C" w:rsidRPr="00B7032A" w:rsidRDefault="00E2002C" w:rsidP="00E2002C">
      <w:pPr>
        <w:ind w:left="709" w:right="709"/>
        <w:jc w:val="both"/>
        <w:rPr>
          <w:rFonts w:ascii="Arial" w:eastAsia="Arial" w:hAnsi="Arial" w:cs="Arial"/>
          <w:bCs/>
          <w:iCs/>
          <w:sz w:val="21"/>
          <w:szCs w:val="21"/>
          <w:lang w:eastAsia="en-US"/>
        </w:rPr>
      </w:pPr>
    </w:p>
    <w:p w14:paraId="7FCBB5B8" w14:textId="77777777" w:rsidR="00E2002C" w:rsidRPr="00B7032A" w:rsidRDefault="00E2002C" w:rsidP="00E2002C">
      <w:pPr>
        <w:numPr>
          <w:ilvl w:val="0"/>
          <w:numId w:val="43"/>
        </w:numPr>
        <w:tabs>
          <w:tab w:val="left" w:pos="851"/>
          <w:tab w:val="left" w:pos="993"/>
        </w:tabs>
        <w:ind w:left="709" w:right="709" w:firstLine="0"/>
        <w:jc w:val="both"/>
        <w:rPr>
          <w:rFonts w:ascii="Arial" w:eastAsia="Arial" w:hAnsi="Arial" w:cs="Arial"/>
          <w:bCs/>
          <w:iCs/>
          <w:sz w:val="21"/>
          <w:szCs w:val="21"/>
          <w:lang w:eastAsia="en-US"/>
        </w:rPr>
      </w:pPr>
      <w:r w:rsidRPr="00B7032A">
        <w:rPr>
          <w:rFonts w:ascii="Arial" w:eastAsia="Arial" w:hAnsi="Arial" w:cs="Arial"/>
          <w:bCs/>
          <w:iCs/>
          <w:sz w:val="21"/>
          <w:szCs w:val="21"/>
          <w:lang w:eastAsia="en-US"/>
        </w:rPr>
        <w:t xml:space="preserve">Los bienes relevantes serán aquellos cuyo </w:t>
      </w:r>
      <w:r w:rsidRPr="00B7032A">
        <w:rPr>
          <w:rFonts w:ascii="Arial" w:eastAsia="Arial" w:hAnsi="Arial" w:cs="Arial"/>
          <w:b/>
          <w:bCs/>
          <w:i/>
          <w:sz w:val="21"/>
          <w:szCs w:val="21"/>
          <w:lang w:eastAsia="en-US"/>
        </w:rPr>
        <w:t>porcentaje de participación</w:t>
      </w:r>
      <w:r w:rsidRPr="00B7032A">
        <w:rPr>
          <w:rFonts w:ascii="Arial" w:eastAsia="Arial" w:hAnsi="Arial" w:cs="Arial"/>
          <w:bCs/>
          <w:iCs/>
          <w:sz w:val="21"/>
          <w:szCs w:val="21"/>
          <w:lang w:eastAsia="en-US"/>
        </w:rPr>
        <w:t xml:space="preserve"> sea igual o superior al promedio calculado en el paso anterior. </w:t>
      </w:r>
    </w:p>
    <w:p w14:paraId="4507546C" w14:textId="77777777" w:rsidR="00E2002C" w:rsidRPr="00B7032A" w:rsidRDefault="00E2002C" w:rsidP="00E2002C">
      <w:pPr>
        <w:ind w:left="709" w:right="709"/>
        <w:jc w:val="both"/>
        <w:rPr>
          <w:rFonts w:ascii="Arial" w:eastAsia="Arial" w:hAnsi="Arial" w:cs="Arial"/>
          <w:bCs/>
          <w:iCs/>
          <w:sz w:val="21"/>
          <w:szCs w:val="21"/>
          <w:lang w:eastAsia="en-US"/>
        </w:rPr>
      </w:pPr>
    </w:p>
    <w:p w14:paraId="453E8162" w14:textId="77777777" w:rsidR="00E2002C" w:rsidRPr="00B7032A" w:rsidRDefault="00E2002C" w:rsidP="00E2002C">
      <w:pPr>
        <w:numPr>
          <w:ilvl w:val="0"/>
          <w:numId w:val="43"/>
        </w:numPr>
        <w:tabs>
          <w:tab w:val="left" w:pos="993"/>
        </w:tabs>
        <w:ind w:left="709" w:right="709" w:firstLine="0"/>
        <w:jc w:val="both"/>
        <w:rPr>
          <w:rFonts w:ascii="Arial" w:eastAsia="Arial" w:hAnsi="Arial" w:cs="Arial"/>
          <w:bCs/>
          <w:sz w:val="21"/>
          <w:szCs w:val="21"/>
          <w:lang w:val="es-MX" w:eastAsia="en-US"/>
        </w:rPr>
      </w:pPr>
      <w:r w:rsidRPr="00B7032A">
        <w:rPr>
          <w:rFonts w:ascii="Arial" w:eastAsia="Arial" w:hAnsi="Arial" w:cs="Arial"/>
          <w:bCs/>
          <w:sz w:val="21"/>
          <w:szCs w:val="21"/>
          <w:lang w:eastAsia="en-US"/>
        </w:rPr>
        <w:t xml:space="preserve">Verificar si </w:t>
      </w:r>
      <w:r w:rsidRPr="00B7032A">
        <w:rPr>
          <w:rFonts w:ascii="Arial" w:eastAsia="Arial" w:hAnsi="Arial" w:cs="Arial"/>
          <w:bCs/>
          <w:sz w:val="21"/>
          <w:szCs w:val="21"/>
          <w:lang w:val="es-419" w:eastAsia="en-US"/>
        </w:rPr>
        <w:t xml:space="preserve">uno o varios </w:t>
      </w:r>
      <w:r w:rsidRPr="00B7032A">
        <w:rPr>
          <w:rFonts w:ascii="Arial" w:eastAsia="Arial" w:hAnsi="Arial" w:cs="Arial"/>
          <w:bCs/>
          <w:sz w:val="21"/>
          <w:szCs w:val="21"/>
          <w:lang w:eastAsia="en-US"/>
        </w:rPr>
        <w:t xml:space="preserve">bienes que cumplan con lo previsto en el numeral anterior se encuentran incluidos en el Registro de Productores de Bienes </w:t>
      </w:r>
      <w:r w:rsidRPr="00B7032A">
        <w:rPr>
          <w:rFonts w:ascii="Arial" w:eastAsia="Arial" w:hAnsi="Arial" w:cs="Arial"/>
          <w:bCs/>
          <w:sz w:val="21"/>
          <w:szCs w:val="21"/>
          <w:lang w:eastAsia="en-US"/>
        </w:rPr>
        <w:lastRenderedPageBreak/>
        <w:t xml:space="preserve">Nacionales, en los términos del Decreto 2680 de 2009. De estar incorporados, la Entidad Estatal </w:t>
      </w:r>
      <w:r w:rsidRPr="00B7032A">
        <w:rPr>
          <w:rFonts w:ascii="Arial" w:eastAsia="Arial" w:hAnsi="Arial" w:cs="Arial"/>
          <w:bCs/>
          <w:sz w:val="21"/>
          <w:szCs w:val="21"/>
          <w:lang w:val="es-MX" w:eastAsia="en-US"/>
        </w:rPr>
        <w:t xml:space="preserve">verificará al momento de publicar el pliego de condiciones definitivo que el registro del bien o insumo esté vigente hasta una fecha posterior a la del cierre del proceso. Para tal efecto, se entiende por fecha del cierre la publicada en el pliego de condiciones definitivo. Verificada la fecha de registro de estos bienes estos serán los que incluya en el numeral 4.4.1 del Pliego de Condiciones. </w:t>
      </w:r>
    </w:p>
    <w:p w14:paraId="09F677C1" w14:textId="77777777" w:rsidR="00E2002C" w:rsidRPr="00B7032A" w:rsidRDefault="00E2002C" w:rsidP="00E2002C">
      <w:pPr>
        <w:ind w:left="709" w:right="709"/>
        <w:jc w:val="both"/>
        <w:rPr>
          <w:rFonts w:ascii="Arial" w:eastAsia="Arial" w:hAnsi="Arial" w:cs="Arial"/>
          <w:bCs/>
          <w:sz w:val="21"/>
          <w:szCs w:val="21"/>
          <w:lang w:eastAsia="en-US"/>
        </w:rPr>
      </w:pPr>
    </w:p>
    <w:p w14:paraId="4F5CD0D9" w14:textId="1FE99768" w:rsidR="00E2002C" w:rsidRPr="00B7032A" w:rsidRDefault="00D82534" w:rsidP="00E2002C">
      <w:pPr>
        <w:numPr>
          <w:ilvl w:val="0"/>
          <w:numId w:val="43"/>
        </w:numPr>
        <w:tabs>
          <w:tab w:val="left" w:pos="851"/>
          <w:tab w:val="left" w:pos="993"/>
        </w:tabs>
        <w:ind w:left="709" w:right="709" w:firstLine="0"/>
        <w:jc w:val="both"/>
        <w:rPr>
          <w:rFonts w:ascii="Arial" w:eastAsia="Arial" w:hAnsi="Arial" w:cs="Arial"/>
          <w:bCs/>
          <w:sz w:val="21"/>
          <w:szCs w:val="21"/>
          <w:lang w:eastAsia="en-US"/>
        </w:rPr>
      </w:pPr>
      <w:r w:rsidRPr="00B7032A">
        <w:rPr>
          <w:rFonts w:ascii="Arial" w:eastAsia="Arial" w:hAnsi="Arial" w:cs="Arial"/>
          <w:bCs/>
          <w:sz w:val="21"/>
          <w:szCs w:val="21"/>
          <w:lang w:eastAsia="en-US"/>
        </w:rPr>
        <w:t xml:space="preserve"> </w:t>
      </w:r>
      <w:r w:rsidR="00E2002C" w:rsidRPr="00B7032A">
        <w:rPr>
          <w:rFonts w:ascii="Arial" w:eastAsia="Arial" w:hAnsi="Arial" w:cs="Arial"/>
          <w:bCs/>
          <w:sz w:val="21"/>
          <w:szCs w:val="21"/>
          <w:lang w:eastAsia="en-US"/>
        </w:rPr>
        <w:t xml:space="preserve">Si </w:t>
      </w:r>
      <w:proofErr w:type="gramStart"/>
      <w:r w:rsidR="00E2002C" w:rsidRPr="00B7032A">
        <w:rPr>
          <w:rFonts w:ascii="Arial" w:eastAsia="Arial" w:hAnsi="Arial" w:cs="Arial"/>
          <w:bCs/>
          <w:sz w:val="21"/>
          <w:szCs w:val="21"/>
          <w:lang w:eastAsia="en-US"/>
        </w:rPr>
        <w:t>ninguno de los bienes relevantes están</w:t>
      </w:r>
      <w:proofErr w:type="gramEnd"/>
      <w:r w:rsidR="00E2002C" w:rsidRPr="00B7032A">
        <w:rPr>
          <w:rFonts w:ascii="Arial" w:eastAsia="Arial" w:hAnsi="Arial" w:cs="Arial"/>
          <w:bCs/>
          <w:sz w:val="21"/>
          <w:szCs w:val="21"/>
          <w:lang w:eastAsia="en-US"/>
        </w:rPr>
        <w:t xml:space="preserve"> incluidos en el Registro de Productores de Bienes Nacionales, la Entidad Estatal otorgará el puntaje a los Proponentes que se comprometan a vincular un porcentaje de empleados o contratistas por prestación de servicios colombianos de al menos el [</w:t>
      </w:r>
      <w:r w:rsidR="00E2002C" w:rsidRPr="00B7032A">
        <w:rPr>
          <w:rFonts w:ascii="Arial" w:eastAsia="Arial" w:hAnsi="Arial" w:cs="Arial"/>
          <w:bCs/>
          <w:sz w:val="21"/>
          <w:szCs w:val="21"/>
          <w:highlight w:val="lightGray"/>
          <w:lang w:val="es-MX" w:eastAsia="en-US"/>
        </w:rPr>
        <w:t>l</w:t>
      </w:r>
      <w:r w:rsidR="00E2002C" w:rsidRPr="00B7032A">
        <w:rPr>
          <w:rFonts w:ascii="Arial" w:eastAsia="Arial" w:hAnsi="Arial" w:cs="Arial"/>
          <w:bCs/>
          <w:sz w:val="21"/>
          <w:szCs w:val="21"/>
          <w:highlight w:val="lightGray"/>
          <w:lang w:val="es-ES" w:eastAsia="en-US"/>
        </w:rPr>
        <w:t>a Entidad Estatal incluirá el porcentaje definido en el numeral 4.4.1 del documento base</w:t>
      </w:r>
      <w:r w:rsidR="00E2002C" w:rsidRPr="00B7032A">
        <w:rPr>
          <w:rFonts w:ascii="Arial" w:eastAsia="Arial" w:hAnsi="Arial" w:cs="Arial"/>
          <w:bCs/>
          <w:sz w:val="21"/>
          <w:szCs w:val="21"/>
          <w:lang w:val="es-ES" w:eastAsia="en-US"/>
        </w:rPr>
        <w:t xml:space="preserve">] </w:t>
      </w:r>
      <w:r w:rsidR="00E2002C" w:rsidRPr="00B7032A">
        <w:rPr>
          <w:rFonts w:ascii="Arial" w:eastAsia="Arial" w:hAnsi="Arial" w:cs="Arial"/>
          <w:bCs/>
          <w:sz w:val="21"/>
          <w:szCs w:val="21"/>
          <w:lang w:eastAsia="en-US"/>
        </w:rPr>
        <w:t xml:space="preserve">del personal requerido para el cumplimiento del contrato. </w:t>
      </w:r>
    </w:p>
    <w:p w14:paraId="46C72878" w14:textId="77777777" w:rsidR="00E2002C" w:rsidRPr="00B7032A" w:rsidRDefault="00E2002C" w:rsidP="00D82534">
      <w:pPr>
        <w:widowControl w:val="0"/>
        <w:autoSpaceDE w:val="0"/>
        <w:autoSpaceDN w:val="0"/>
        <w:spacing w:after="120" w:line="276" w:lineRule="auto"/>
        <w:jc w:val="both"/>
        <w:rPr>
          <w:rFonts w:ascii="Arial" w:eastAsia="Arial" w:hAnsi="Arial" w:cs="Arial"/>
          <w:bCs/>
          <w:sz w:val="22"/>
          <w:szCs w:val="22"/>
          <w:lang w:eastAsia="es-ES" w:bidi="es-ES"/>
        </w:rPr>
      </w:pPr>
    </w:p>
    <w:p w14:paraId="24E284E8" w14:textId="0F2B67C5" w:rsidR="009B14A1" w:rsidRPr="00620F45" w:rsidRDefault="009B14A1" w:rsidP="009B14A1">
      <w:pPr>
        <w:widowControl w:val="0"/>
        <w:autoSpaceDE w:val="0"/>
        <w:autoSpaceDN w:val="0"/>
        <w:spacing w:line="276" w:lineRule="auto"/>
        <w:ind w:firstLine="709"/>
        <w:jc w:val="both"/>
        <w:rPr>
          <w:rFonts w:ascii="Arial" w:eastAsia="Arial" w:hAnsi="Arial" w:cs="Arial"/>
          <w:bCs/>
          <w:sz w:val="22"/>
          <w:szCs w:val="22"/>
          <w:lang w:eastAsia="es-ES" w:bidi="es-ES"/>
        </w:rPr>
      </w:pPr>
      <w:r w:rsidRPr="00B7032A">
        <w:rPr>
          <w:rFonts w:ascii="Arial" w:eastAsia="Arial" w:hAnsi="Arial" w:cs="Arial"/>
          <w:bCs/>
          <w:sz w:val="22"/>
          <w:szCs w:val="22"/>
          <w:lang w:eastAsia="es-ES" w:bidi="es-ES"/>
        </w:rPr>
        <w:t>Aplicando estos numerales</w:t>
      </w:r>
      <w:r w:rsidR="00F17C7B" w:rsidRPr="00B7032A">
        <w:rPr>
          <w:rFonts w:ascii="Arial" w:eastAsia="Arial" w:hAnsi="Arial" w:cs="Arial"/>
          <w:bCs/>
          <w:sz w:val="22"/>
          <w:szCs w:val="22"/>
          <w:lang w:eastAsia="es-ES" w:bidi="es-ES"/>
        </w:rPr>
        <w:t>,</w:t>
      </w:r>
      <w:r w:rsidRPr="00B7032A">
        <w:rPr>
          <w:rFonts w:ascii="Arial" w:eastAsia="Arial" w:hAnsi="Arial" w:cs="Arial"/>
          <w:bCs/>
          <w:sz w:val="22"/>
          <w:szCs w:val="22"/>
          <w:lang w:eastAsia="es-ES" w:bidi="es-ES"/>
        </w:rPr>
        <w:t xml:space="preserve"> las entidades estatales obligadas a </w:t>
      </w:r>
      <w:r w:rsidR="00CE6622" w:rsidRPr="00B7032A">
        <w:rPr>
          <w:rFonts w:ascii="Arial" w:eastAsia="Arial" w:hAnsi="Arial" w:cs="Arial"/>
          <w:bCs/>
          <w:sz w:val="22"/>
          <w:szCs w:val="22"/>
          <w:lang w:eastAsia="es-ES" w:bidi="es-ES"/>
        </w:rPr>
        <w:t xml:space="preserve">implementar </w:t>
      </w:r>
      <w:r w:rsidRPr="00B7032A">
        <w:rPr>
          <w:rFonts w:ascii="Arial" w:eastAsia="Arial" w:hAnsi="Arial" w:cs="Arial"/>
          <w:bCs/>
          <w:sz w:val="22"/>
          <w:szCs w:val="22"/>
          <w:lang w:eastAsia="es-ES" w:bidi="es-ES"/>
        </w:rPr>
        <w:t xml:space="preserve">los documentos tipo </w:t>
      </w:r>
      <w:bookmarkStart w:id="30" w:name="_Hlk89626908"/>
      <w:r w:rsidRPr="00B7032A">
        <w:rPr>
          <w:rFonts w:ascii="Arial" w:eastAsia="Arial" w:hAnsi="Arial" w:cs="Arial"/>
          <w:bCs/>
          <w:sz w:val="22"/>
          <w:szCs w:val="22"/>
          <w:lang w:eastAsia="es-ES" w:bidi="es-ES"/>
        </w:rPr>
        <w:t xml:space="preserve">deben definir los bienes nacionales que resultan relevantes para el cumplimiento </w:t>
      </w:r>
      <w:r w:rsidRPr="00620F45">
        <w:rPr>
          <w:rFonts w:ascii="Arial" w:eastAsia="Arial" w:hAnsi="Arial" w:cs="Arial"/>
          <w:bCs/>
          <w:sz w:val="22"/>
          <w:szCs w:val="22"/>
          <w:lang w:eastAsia="es-ES" w:bidi="es-ES"/>
        </w:rPr>
        <w:t>del objeto contractual</w:t>
      </w:r>
      <w:r w:rsidR="00CE6622" w:rsidRPr="00620F45">
        <w:rPr>
          <w:rFonts w:ascii="Arial" w:eastAsia="Arial" w:hAnsi="Arial" w:cs="Arial"/>
          <w:bCs/>
          <w:sz w:val="22"/>
          <w:szCs w:val="22"/>
          <w:lang w:eastAsia="es-ES" w:bidi="es-ES"/>
        </w:rPr>
        <w:t xml:space="preserve">, </w:t>
      </w:r>
      <w:r w:rsidR="004C33CB" w:rsidRPr="00620F45">
        <w:rPr>
          <w:rFonts w:ascii="Arial" w:eastAsia="Arial" w:hAnsi="Arial" w:cs="Arial"/>
          <w:bCs/>
          <w:sz w:val="22"/>
          <w:szCs w:val="22"/>
          <w:lang w:eastAsia="es-ES" w:bidi="es-ES"/>
        </w:rPr>
        <w:t xml:space="preserve">que son necesarios </w:t>
      </w:r>
      <w:r w:rsidRPr="00620F45">
        <w:rPr>
          <w:rFonts w:ascii="Arial" w:eastAsia="Arial" w:hAnsi="Arial" w:cs="Arial"/>
          <w:bCs/>
          <w:sz w:val="22"/>
          <w:szCs w:val="22"/>
          <w:lang w:eastAsia="es-ES" w:bidi="es-ES"/>
        </w:rPr>
        <w:t>para considerar un servicio como nacional</w:t>
      </w:r>
      <w:r w:rsidR="00CE6622" w:rsidRPr="00620F45">
        <w:rPr>
          <w:rFonts w:ascii="Arial" w:eastAsia="Arial" w:hAnsi="Arial" w:cs="Arial"/>
          <w:bCs/>
          <w:sz w:val="22"/>
          <w:szCs w:val="22"/>
          <w:lang w:eastAsia="es-ES" w:bidi="es-ES"/>
        </w:rPr>
        <w:t xml:space="preserve"> </w:t>
      </w:r>
      <w:r w:rsidRPr="00620F45">
        <w:rPr>
          <w:rFonts w:ascii="Arial" w:eastAsia="Arial" w:hAnsi="Arial" w:cs="Arial"/>
          <w:bCs/>
          <w:sz w:val="22"/>
          <w:szCs w:val="22"/>
          <w:lang w:eastAsia="es-ES" w:bidi="es-ES"/>
        </w:rPr>
        <w:t>y, por tanto, para determinar la aplicabilidad del puntaje por apoyo a la industria nacional regulado por el artículo 2 de la Ley 816 de 2003</w:t>
      </w:r>
      <w:bookmarkEnd w:id="30"/>
      <w:r w:rsidR="00E83A63" w:rsidRPr="00620F45">
        <w:rPr>
          <w:rStyle w:val="Refdenotaalpie"/>
          <w:rFonts w:ascii="Arial" w:eastAsia="Arial" w:hAnsi="Arial" w:cs="Arial"/>
          <w:bCs/>
          <w:sz w:val="22"/>
          <w:szCs w:val="22"/>
          <w:lang w:eastAsia="es-ES" w:bidi="es-ES"/>
        </w:rPr>
        <w:footnoteReference w:id="17"/>
      </w:r>
      <w:r w:rsidRPr="00620F45">
        <w:rPr>
          <w:rFonts w:ascii="Arial" w:eastAsia="Arial" w:hAnsi="Arial" w:cs="Arial"/>
          <w:bCs/>
          <w:sz w:val="22"/>
          <w:szCs w:val="22"/>
          <w:lang w:eastAsia="es-ES" w:bidi="es-ES"/>
        </w:rPr>
        <w:t xml:space="preserve">. </w:t>
      </w:r>
    </w:p>
    <w:p w14:paraId="6A37E54B" w14:textId="04A488C2" w:rsidR="00A57D39" w:rsidRPr="00620F45" w:rsidRDefault="0080698A" w:rsidP="00217B8D">
      <w:pPr>
        <w:widowControl w:val="0"/>
        <w:autoSpaceDE w:val="0"/>
        <w:autoSpaceDN w:val="0"/>
        <w:spacing w:before="120" w:line="276" w:lineRule="auto"/>
        <w:ind w:firstLine="709"/>
        <w:jc w:val="both"/>
        <w:rPr>
          <w:rFonts w:ascii="Arial" w:eastAsia="Arial" w:hAnsi="Arial" w:cs="Arial"/>
          <w:bCs/>
          <w:sz w:val="22"/>
          <w:szCs w:val="22"/>
          <w:lang w:eastAsia="es-ES" w:bidi="es-ES"/>
        </w:rPr>
      </w:pPr>
      <w:r w:rsidRPr="00620F45">
        <w:rPr>
          <w:rFonts w:ascii="Arial" w:eastAsia="Arial" w:hAnsi="Arial" w:cs="Arial"/>
          <w:bCs/>
          <w:sz w:val="22"/>
          <w:szCs w:val="22"/>
          <w:lang w:eastAsia="es-ES" w:bidi="es-ES"/>
        </w:rPr>
        <w:t xml:space="preserve">De conformidad </w:t>
      </w:r>
      <w:r w:rsidR="004C33CB" w:rsidRPr="00620F45">
        <w:rPr>
          <w:rFonts w:ascii="Arial" w:eastAsia="Arial" w:hAnsi="Arial" w:cs="Arial"/>
          <w:bCs/>
          <w:sz w:val="22"/>
          <w:szCs w:val="22"/>
          <w:lang w:eastAsia="es-ES" w:bidi="es-ES"/>
        </w:rPr>
        <w:t>la</w:t>
      </w:r>
      <w:r w:rsidRPr="00620F45">
        <w:rPr>
          <w:rFonts w:ascii="Arial" w:eastAsia="Arial" w:hAnsi="Arial" w:cs="Arial"/>
          <w:bCs/>
          <w:sz w:val="22"/>
          <w:szCs w:val="22"/>
          <w:lang w:eastAsia="es-ES" w:bidi="es-ES"/>
        </w:rPr>
        <w:t xml:space="preserve"> metodología</w:t>
      </w:r>
      <w:r w:rsidR="004C33CB" w:rsidRPr="00620F45">
        <w:rPr>
          <w:rFonts w:ascii="Arial" w:eastAsia="Arial" w:hAnsi="Arial" w:cs="Arial"/>
          <w:bCs/>
          <w:sz w:val="22"/>
          <w:szCs w:val="22"/>
          <w:lang w:eastAsia="es-ES" w:bidi="es-ES"/>
        </w:rPr>
        <w:t xml:space="preserve"> expuesta</w:t>
      </w:r>
      <w:r w:rsidR="00B36A03" w:rsidRPr="00620F45">
        <w:rPr>
          <w:rFonts w:ascii="Arial" w:eastAsia="Arial" w:hAnsi="Arial" w:cs="Arial"/>
          <w:bCs/>
          <w:sz w:val="22"/>
          <w:szCs w:val="22"/>
          <w:lang w:eastAsia="es-ES" w:bidi="es-ES"/>
        </w:rPr>
        <w:t>,</w:t>
      </w:r>
      <w:r w:rsidRPr="00620F45">
        <w:rPr>
          <w:rFonts w:ascii="Arial" w:eastAsia="Arial" w:hAnsi="Arial" w:cs="Arial"/>
          <w:bCs/>
          <w:sz w:val="22"/>
          <w:szCs w:val="22"/>
          <w:lang w:eastAsia="es-ES" w:bidi="es-ES"/>
        </w:rPr>
        <w:t xml:space="preserve"> </w:t>
      </w:r>
      <w:r w:rsidR="004C33CB" w:rsidRPr="00620F45">
        <w:rPr>
          <w:rFonts w:ascii="Arial" w:eastAsia="Arial" w:hAnsi="Arial" w:cs="Arial"/>
          <w:bCs/>
          <w:sz w:val="22"/>
          <w:szCs w:val="22"/>
          <w:lang w:eastAsia="es-ES" w:bidi="es-ES"/>
        </w:rPr>
        <w:t xml:space="preserve">como primer paso </w:t>
      </w:r>
      <w:r w:rsidRPr="00620F45">
        <w:rPr>
          <w:rFonts w:ascii="Arial" w:eastAsia="Arial" w:hAnsi="Arial" w:cs="Arial"/>
          <w:bCs/>
          <w:sz w:val="22"/>
          <w:szCs w:val="22"/>
          <w:lang w:eastAsia="es-ES" w:bidi="es-ES"/>
        </w:rPr>
        <w:t>la entidad estatal</w:t>
      </w:r>
      <w:r w:rsidR="00D82534" w:rsidRPr="00620F45">
        <w:rPr>
          <w:rFonts w:ascii="Arial" w:eastAsia="Arial" w:hAnsi="Arial" w:cs="Arial"/>
          <w:bCs/>
          <w:sz w:val="22"/>
          <w:szCs w:val="22"/>
          <w:lang w:eastAsia="es-ES" w:bidi="es-ES"/>
        </w:rPr>
        <w:t xml:space="preserve"> </w:t>
      </w:r>
      <w:r w:rsidRPr="00620F45">
        <w:rPr>
          <w:rFonts w:ascii="Arial" w:eastAsia="Arial" w:hAnsi="Arial" w:cs="Arial"/>
          <w:bCs/>
          <w:sz w:val="22"/>
          <w:szCs w:val="22"/>
          <w:lang w:eastAsia="es-ES" w:bidi="es-ES"/>
        </w:rPr>
        <w:t>deberá identificar dentro del presupuesto oficial</w:t>
      </w:r>
      <w:r w:rsidR="0069668C" w:rsidRPr="00620F45">
        <w:rPr>
          <w:rFonts w:ascii="Arial" w:eastAsia="Arial" w:hAnsi="Arial" w:cs="Arial"/>
          <w:bCs/>
          <w:sz w:val="22"/>
          <w:szCs w:val="22"/>
          <w:lang w:eastAsia="es-ES" w:bidi="es-ES"/>
        </w:rPr>
        <w:t xml:space="preserve"> todos</w:t>
      </w:r>
      <w:r w:rsidRPr="00620F45">
        <w:rPr>
          <w:rFonts w:ascii="Arial" w:eastAsia="Arial" w:hAnsi="Arial" w:cs="Arial"/>
          <w:bCs/>
          <w:sz w:val="22"/>
          <w:szCs w:val="22"/>
          <w:lang w:eastAsia="es-ES" w:bidi="es-ES"/>
        </w:rPr>
        <w:t xml:space="preserve"> los bienes o insumos requeridos para la ejecución del proyecto y</w:t>
      </w:r>
      <w:r w:rsidR="00D82534" w:rsidRPr="00620F45">
        <w:rPr>
          <w:rFonts w:ascii="Arial" w:eastAsia="Arial" w:hAnsi="Arial" w:cs="Arial"/>
          <w:bCs/>
          <w:sz w:val="22"/>
          <w:szCs w:val="22"/>
          <w:lang w:eastAsia="es-ES" w:bidi="es-ES"/>
        </w:rPr>
        <w:t xml:space="preserve"> </w:t>
      </w:r>
      <w:r w:rsidRPr="00620F45">
        <w:rPr>
          <w:rFonts w:ascii="Arial" w:eastAsia="Arial" w:hAnsi="Arial" w:cs="Arial"/>
          <w:bCs/>
          <w:sz w:val="22"/>
          <w:szCs w:val="22"/>
          <w:lang w:eastAsia="es-ES" w:bidi="es-ES"/>
        </w:rPr>
        <w:t>con base en est</w:t>
      </w:r>
      <w:r w:rsidR="00D82534" w:rsidRPr="00620F45">
        <w:rPr>
          <w:rFonts w:ascii="Arial" w:eastAsia="Arial" w:hAnsi="Arial" w:cs="Arial"/>
          <w:bCs/>
          <w:sz w:val="22"/>
          <w:szCs w:val="22"/>
          <w:lang w:eastAsia="es-ES" w:bidi="es-ES"/>
        </w:rPr>
        <w:t>a información</w:t>
      </w:r>
      <w:r w:rsidRPr="00620F45">
        <w:rPr>
          <w:rFonts w:ascii="Arial" w:eastAsia="Arial" w:hAnsi="Arial" w:cs="Arial"/>
          <w:bCs/>
          <w:sz w:val="22"/>
          <w:szCs w:val="22"/>
          <w:lang w:eastAsia="es-ES" w:bidi="es-ES"/>
        </w:rPr>
        <w:t xml:space="preserve"> aplicará los</w:t>
      </w:r>
      <w:r w:rsidR="00D82534" w:rsidRPr="00620F45">
        <w:rPr>
          <w:rFonts w:ascii="Arial" w:eastAsia="Arial" w:hAnsi="Arial" w:cs="Arial"/>
          <w:bCs/>
          <w:sz w:val="22"/>
          <w:szCs w:val="22"/>
          <w:lang w:eastAsia="es-ES" w:bidi="es-ES"/>
        </w:rPr>
        <w:t xml:space="preserve"> siguientes </w:t>
      </w:r>
      <w:r w:rsidRPr="00620F45">
        <w:rPr>
          <w:rFonts w:ascii="Arial" w:eastAsia="Arial" w:hAnsi="Arial" w:cs="Arial"/>
          <w:bCs/>
          <w:sz w:val="22"/>
          <w:szCs w:val="22"/>
          <w:lang w:eastAsia="es-ES" w:bidi="es-ES"/>
        </w:rPr>
        <w:t xml:space="preserve">pasos </w:t>
      </w:r>
      <w:r w:rsidR="00D82534" w:rsidRPr="00620F45">
        <w:rPr>
          <w:rFonts w:ascii="Arial" w:eastAsia="Arial" w:hAnsi="Arial" w:cs="Arial"/>
          <w:bCs/>
          <w:sz w:val="22"/>
          <w:szCs w:val="22"/>
          <w:lang w:eastAsia="es-ES" w:bidi="es-ES"/>
        </w:rPr>
        <w:t xml:space="preserve">descritos </w:t>
      </w:r>
      <w:r w:rsidRPr="00620F45">
        <w:rPr>
          <w:rFonts w:ascii="Arial" w:eastAsia="Arial" w:hAnsi="Arial" w:cs="Arial"/>
          <w:bCs/>
          <w:sz w:val="22"/>
          <w:szCs w:val="22"/>
          <w:lang w:eastAsia="es-ES" w:bidi="es-ES"/>
        </w:rPr>
        <w:t>en los numerales 2 a 10</w:t>
      </w:r>
      <w:r w:rsidR="00D82534" w:rsidRPr="00620F45">
        <w:rPr>
          <w:rFonts w:ascii="Arial" w:eastAsia="Arial" w:hAnsi="Arial" w:cs="Arial"/>
          <w:bCs/>
          <w:sz w:val="22"/>
          <w:szCs w:val="22"/>
          <w:lang w:eastAsia="es-ES" w:bidi="es-ES"/>
        </w:rPr>
        <w:t xml:space="preserve"> de la matriz</w:t>
      </w:r>
      <w:r w:rsidRPr="00620F45">
        <w:rPr>
          <w:rFonts w:ascii="Arial" w:eastAsia="Arial" w:hAnsi="Arial" w:cs="Arial"/>
          <w:bCs/>
          <w:sz w:val="22"/>
          <w:szCs w:val="22"/>
          <w:lang w:eastAsia="es-ES" w:bidi="es-ES"/>
        </w:rPr>
        <w:t xml:space="preserve">. </w:t>
      </w:r>
      <w:r w:rsidR="00A57D39" w:rsidRPr="00620F45">
        <w:rPr>
          <w:rFonts w:ascii="Arial" w:eastAsia="Arial" w:hAnsi="Arial" w:cs="Arial"/>
          <w:bCs/>
          <w:sz w:val="22"/>
          <w:szCs w:val="22"/>
          <w:lang w:eastAsia="es-ES" w:bidi="es-ES"/>
        </w:rPr>
        <w:t xml:space="preserve">Lo anterior encuentra fundamento en el mismo artículo </w:t>
      </w:r>
      <w:r w:rsidR="00A57D39" w:rsidRPr="00620F45">
        <w:rPr>
          <w:rFonts w:ascii="Arial" w:eastAsia="Arial" w:hAnsi="Arial" w:cs="Arial"/>
          <w:sz w:val="22"/>
          <w:szCs w:val="22"/>
          <w:lang w:val="es-419" w:eastAsia="en-US"/>
        </w:rPr>
        <w:t xml:space="preserve">2.2.1.2.4.2.9. del Decreto 1082 de 2015 </w:t>
      </w:r>
      <w:r w:rsidR="00A57D39" w:rsidRPr="00620F45">
        <w:rPr>
          <w:rFonts w:ascii="Arial" w:eastAsia="Calibri" w:hAnsi="Arial" w:cs="Arial"/>
          <w:bCs/>
          <w:color w:val="000000"/>
          <w:sz w:val="22"/>
          <w:szCs w:val="22"/>
          <w:lang w:val="es-ES_tradnl" w:eastAsia="en-US"/>
        </w:rPr>
        <w:t xml:space="preserve">adicionado por el Decreto 680 de 2021, en el cual se contempla la obligación de la entidad estatal de determinar de manera razonable y proporcionada los bienes nacionales relevantes teniendo en cuenta </w:t>
      </w:r>
      <w:r w:rsidR="00A57D39" w:rsidRPr="00620F45">
        <w:rPr>
          <w:rFonts w:ascii="Arial" w:eastAsia="Arial" w:hAnsi="Arial" w:cs="Arial"/>
          <w:bCs/>
          <w:sz w:val="22"/>
          <w:szCs w:val="22"/>
          <w:lang w:eastAsia="es-ES" w:bidi="es-ES"/>
        </w:rPr>
        <w:t xml:space="preserve">«el porcentaje de participación de los bienes en el presupuesto del Proceso de Contratación». </w:t>
      </w:r>
      <w:r w:rsidR="00CE2DB0" w:rsidRPr="00620F45">
        <w:rPr>
          <w:rFonts w:ascii="Arial" w:eastAsia="Arial" w:hAnsi="Arial" w:cs="Arial"/>
          <w:bCs/>
          <w:sz w:val="22"/>
          <w:szCs w:val="22"/>
          <w:lang w:eastAsia="es-ES" w:bidi="es-ES"/>
        </w:rPr>
        <w:t>Según se evidencia,</w:t>
      </w:r>
      <w:r w:rsidR="00A57D39" w:rsidRPr="00620F45">
        <w:rPr>
          <w:rFonts w:ascii="Arial" w:eastAsia="Arial" w:hAnsi="Arial" w:cs="Arial"/>
          <w:bCs/>
          <w:sz w:val="22"/>
          <w:szCs w:val="22"/>
          <w:lang w:eastAsia="es-ES" w:bidi="es-ES"/>
        </w:rPr>
        <w:t xml:space="preserve"> la norma se refiere de forma general a los bienes que se incluyen en el </w:t>
      </w:r>
      <w:r w:rsidR="000770D0" w:rsidRPr="00620F45">
        <w:rPr>
          <w:rFonts w:ascii="Arial" w:eastAsia="Arial" w:hAnsi="Arial" w:cs="Arial"/>
          <w:bCs/>
          <w:sz w:val="22"/>
          <w:szCs w:val="22"/>
          <w:lang w:eastAsia="es-ES" w:bidi="es-ES"/>
        </w:rPr>
        <w:t xml:space="preserve">presupuesto del </w:t>
      </w:r>
      <w:r w:rsidR="00A57D39" w:rsidRPr="00620F45">
        <w:rPr>
          <w:rFonts w:ascii="Arial" w:eastAsia="Arial" w:hAnsi="Arial" w:cs="Arial"/>
          <w:bCs/>
          <w:sz w:val="22"/>
          <w:szCs w:val="22"/>
          <w:lang w:eastAsia="es-ES" w:bidi="es-ES"/>
        </w:rPr>
        <w:t xml:space="preserve">proceso de contratación y no hace distinción si estos bienes </w:t>
      </w:r>
      <w:r w:rsidR="000770D0" w:rsidRPr="00620F45">
        <w:rPr>
          <w:rFonts w:ascii="Arial" w:eastAsia="Arial" w:hAnsi="Arial" w:cs="Arial"/>
          <w:bCs/>
          <w:sz w:val="22"/>
          <w:szCs w:val="22"/>
          <w:lang w:eastAsia="es-ES" w:bidi="es-ES"/>
        </w:rPr>
        <w:t xml:space="preserve">deben ser considerados </w:t>
      </w:r>
      <w:proofErr w:type="gramStart"/>
      <w:r w:rsidR="000770D0" w:rsidRPr="00620F45">
        <w:rPr>
          <w:rFonts w:ascii="Arial" w:eastAsia="Arial" w:hAnsi="Arial" w:cs="Arial"/>
          <w:bCs/>
          <w:sz w:val="22"/>
          <w:szCs w:val="22"/>
          <w:lang w:eastAsia="es-ES" w:bidi="es-ES"/>
        </w:rPr>
        <w:t>en razón de</w:t>
      </w:r>
      <w:proofErr w:type="gramEnd"/>
      <w:r w:rsidR="000770D0" w:rsidRPr="00620F45">
        <w:rPr>
          <w:rFonts w:ascii="Arial" w:eastAsia="Arial" w:hAnsi="Arial" w:cs="Arial"/>
          <w:bCs/>
          <w:sz w:val="22"/>
          <w:szCs w:val="22"/>
          <w:lang w:eastAsia="es-ES" w:bidi="es-ES"/>
        </w:rPr>
        <w:t xml:space="preserve"> </w:t>
      </w:r>
      <w:r w:rsidR="00A57D39" w:rsidRPr="00620F45">
        <w:rPr>
          <w:rFonts w:ascii="Arial" w:eastAsia="Arial" w:hAnsi="Arial" w:cs="Arial"/>
          <w:bCs/>
          <w:sz w:val="22"/>
          <w:szCs w:val="22"/>
          <w:lang w:eastAsia="es-ES" w:bidi="es-ES"/>
        </w:rPr>
        <w:t>las actividades relevantes del proyecto</w:t>
      </w:r>
      <w:r w:rsidR="00792E43" w:rsidRPr="00620F45">
        <w:rPr>
          <w:rFonts w:ascii="Arial" w:eastAsia="Arial" w:hAnsi="Arial" w:cs="Arial"/>
          <w:bCs/>
          <w:sz w:val="22"/>
          <w:szCs w:val="22"/>
          <w:lang w:eastAsia="es-ES" w:bidi="es-ES"/>
        </w:rPr>
        <w:t>.</w:t>
      </w:r>
      <w:r w:rsidR="000770D0" w:rsidRPr="00620F45">
        <w:rPr>
          <w:rFonts w:ascii="Arial" w:eastAsia="Arial" w:hAnsi="Arial" w:cs="Arial"/>
          <w:bCs/>
          <w:sz w:val="22"/>
          <w:szCs w:val="22"/>
          <w:lang w:eastAsia="es-ES" w:bidi="es-ES"/>
        </w:rPr>
        <w:t xml:space="preserve"> </w:t>
      </w:r>
    </w:p>
    <w:p w14:paraId="36EFAD55" w14:textId="5FAA999F" w:rsidR="0080698A" w:rsidRPr="00620F45" w:rsidRDefault="0080698A" w:rsidP="00E83E04">
      <w:pPr>
        <w:widowControl w:val="0"/>
        <w:autoSpaceDE w:val="0"/>
        <w:autoSpaceDN w:val="0"/>
        <w:spacing w:before="120" w:line="276" w:lineRule="auto"/>
        <w:ind w:firstLine="709"/>
        <w:jc w:val="both"/>
        <w:rPr>
          <w:rFonts w:ascii="Arial" w:eastAsia="Arial" w:hAnsi="Arial" w:cs="Arial"/>
          <w:bCs/>
          <w:sz w:val="22"/>
          <w:szCs w:val="22"/>
          <w:lang w:eastAsia="es-ES" w:bidi="es-ES"/>
        </w:rPr>
      </w:pPr>
      <w:r w:rsidRPr="00620F45">
        <w:rPr>
          <w:rFonts w:ascii="Arial" w:eastAsia="Arial" w:hAnsi="Arial" w:cs="Arial"/>
          <w:bCs/>
          <w:sz w:val="22"/>
          <w:szCs w:val="22"/>
          <w:lang w:eastAsia="es-ES" w:bidi="es-ES"/>
        </w:rPr>
        <w:t>Por tanto,</w:t>
      </w:r>
      <w:r w:rsidR="007B4834" w:rsidRPr="00620F45">
        <w:rPr>
          <w:rFonts w:ascii="Arial" w:eastAsia="Arial" w:hAnsi="Arial" w:cs="Arial"/>
          <w:bCs/>
          <w:sz w:val="22"/>
          <w:szCs w:val="22"/>
          <w:lang w:eastAsia="es-ES" w:bidi="es-ES"/>
        </w:rPr>
        <w:t xml:space="preserve"> </w:t>
      </w:r>
      <w:r w:rsidR="00B36A03" w:rsidRPr="00620F45">
        <w:rPr>
          <w:rFonts w:ascii="Arial" w:eastAsia="Arial" w:hAnsi="Arial" w:cs="Arial"/>
          <w:bCs/>
          <w:sz w:val="22"/>
          <w:szCs w:val="22"/>
          <w:lang w:eastAsia="es-ES" w:bidi="es-ES"/>
        </w:rPr>
        <w:t>para</w:t>
      </w:r>
      <w:r w:rsidR="00CE2DB0" w:rsidRPr="00620F45">
        <w:rPr>
          <w:rFonts w:ascii="Arial" w:eastAsia="Arial" w:hAnsi="Arial" w:cs="Arial"/>
          <w:bCs/>
          <w:sz w:val="22"/>
          <w:szCs w:val="22"/>
          <w:lang w:eastAsia="es-ES" w:bidi="es-ES"/>
        </w:rPr>
        <w:t xml:space="preserve"> identificar</w:t>
      </w:r>
      <w:r w:rsidR="00B36A03" w:rsidRPr="00620F45">
        <w:rPr>
          <w:rFonts w:ascii="Arial" w:eastAsia="Arial" w:hAnsi="Arial" w:cs="Arial"/>
          <w:bCs/>
          <w:sz w:val="22"/>
          <w:szCs w:val="22"/>
          <w:lang w:eastAsia="es-ES" w:bidi="es-ES"/>
        </w:rPr>
        <w:t xml:space="preserve"> los bienes o servicios relevante</w:t>
      </w:r>
      <w:r w:rsidR="00764D96" w:rsidRPr="00620F45">
        <w:rPr>
          <w:rFonts w:ascii="Arial" w:eastAsia="Arial" w:hAnsi="Arial" w:cs="Arial"/>
          <w:bCs/>
          <w:sz w:val="22"/>
          <w:szCs w:val="22"/>
          <w:lang w:eastAsia="es-ES" w:bidi="es-ES"/>
        </w:rPr>
        <w:t>s</w:t>
      </w:r>
      <w:r w:rsidR="00B36A03" w:rsidRPr="00620F45">
        <w:rPr>
          <w:rFonts w:ascii="Arial" w:eastAsia="Arial" w:hAnsi="Arial" w:cs="Arial"/>
          <w:bCs/>
          <w:sz w:val="22"/>
          <w:szCs w:val="22"/>
          <w:lang w:eastAsia="es-ES" w:bidi="es-ES"/>
        </w:rPr>
        <w:t xml:space="preserve"> para la ejecución del </w:t>
      </w:r>
      <w:r w:rsidR="00B36A03" w:rsidRPr="00620F45">
        <w:rPr>
          <w:rFonts w:ascii="Arial" w:eastAsia="Arial" w:hAnsi="Arial" w:cs="Arial"/>
          <w:bCs/>
          <w:sz w:val="22"/>
          <w:szCs w:val="22"/>
          <w:lang w:eastAsia="es-ES" w:bidi="es-ES"/>
        </w:rPr>
        <w:lastRenderedPageBreak/>
        <w:t xml:space="preserve">objeto a contratar, la entidad </w:t>
      </w:r>
      <w:r w:rsidR="0046648E" w:rsidRPr="00620F45">
        <w:rPr>
          <w:rFonts w:ascii="Arial" w:eastAsia="Arial" w:hAnsi="Arial" w:cs="Arial"/>
          <w:bCs/>
          <w:sz w:val="22"/>
          <w:szCs w:val="22"/>
          <w:lang w:eastAsia="es-ES" w:bidi="es-ES"/>
        </w:rPr>
        <w:t xml:space="preserve">debe </w:t>
      </w:r>
      <w:r w:rsidR="00CE2DB0" w:rsidRPr="00620F45">
        <w:rPr>
          <w:rFonts w:ascii="Arial" w:eastAsia="Arial" w:hAnsi="Arial" w:cs="Arial"/>
          <w:bCs/>
          <w:sz w:val="22"/>
          <w:szCs w:val="22"/>
          <w:lang w:eastAsia="es-ES" w:bidi="es-ES"/>
        </w:rPr>
        <w:t>tener en cuenta</w:t>
      </w:r>
      <w:r w:rsidR="0046648E" w:rsidRPr="00620F45">
        <w:rPr>
          <w:rFonts w:ascii="Arial" w:eastAsia="Arial" w:hAnsi="Arial" w:cs="Arial"/>
          <w:bCs/>
          <w:sz w:val="22"/>
          <w:szCs w:val="22"/>
          <w:lang w:eastAsia="es-ES" w:bidi="es-ES"/>
        </w:rPr>
        <w:t xml:space="preserve"> </w:t>
      </w:r>
      <w:r w:rsidR="00764D96" w:rsidRPr="00620F45">
        <w:rPr>
          <w:rFonts w:ascii="Arial" w:eastAsia="Arial" w:hAnsi="Arial" w:cs="Arial"/>
          <w:bCs/>
          <w:sz w:val="22"/>
          <w:szCs w:val="22"/>
          <w:lang w:eastAsia="es-ES" w:bidi="es-ES"/>
        </w:rPr>
        <w:t xml:space="preserve">todos </w:t>
      </w:r>
      <w:r w:rsidRPr="00620F45">
        <w:rPr>
          <w:rFonts w:ascii="Arial" w:eastAsia="Arial" w:hAnsi="Arial" w:cs="Arial"/>
          <w:bCs/>
          <w:sz w:val="22"/>
          <w:szCs w:val="22"/>
          <w:lang w:eastAsia="es-ES" w:bidi="es-ES"/>
        </w:rPr>
        <w:t>los bienes o insumos requeridos</w:t>
      </w:r>
      <w:r w:rsidR="00D82534" w:rsidRPr="00620F45">
        <w:rPr>
          <w:rFonts w:ascii="Arial" w:eastAsia="Arial" w:hAnsi="Arial" w:cs="Arial"/>
          <w:bCs/>
          <w:sz w:val="22"/>
          <w:szCs w:val="22"/>
          <w:lang w:eastAsia="es-ES" w:bidi="es-ES"/>
        </w:rPr>
        <w:t xml:space="preserve"> para el proyecto</w:t>
      </w:r>
      <w:r w:rsidR="001439D8" w:rsidRPr="00620F45">
        <w:rPr>
          <w:rFonts w:ascii="Arial" w:eastAsia="Arial" w:hAnsi="Arial" w:cs="Arial"/>
          <w:bCs/>
          <w:sz w:val="22"/>
          <w:szCs w:val="22"/>
          <w:lang w:eastAsia="es-ES" w:bidi="es-ES"/>
        </w:rPr>
        <w:t xml:space="preserve"> dentro del presupuesto oficial</w:t>
      </w:r>
      <w:r w:rsidR="0046648E" w:rsidRPr="00620F45">
        <w:rPr>
          <w:rFonts w:ascii="Arial" w:eastAsia="Arial" w:hAnsi="Arial" w:cs="Arial"/>
          <w:bCs/>
          <w:sz w:val="22"/>
          <w:szCs w:val="22"/>
          <w:lang w:eastAsia="es-ES" w:bidi="es-ES"/>
        </w:rPr>
        <w:t xml:space="preserve"> y no podrá </w:t>
      </w:r>
      <w:r w:rsidR="00764D96" w:rsidRPr="00620F45">
        <w:rPr>
          <w:rFonts w:ascii="Arial" w:eastAsia="Arial" w:hAnsi="Arial" w:cs="Arial"/>
          <w:bCs/>
          <w:sz w:val="22"/>
          <w:szCs w:val="22"/>
          <w:lang w:eastAsia="es-ES" w:bidi="es-ES"/>
        </w:rPr>
        <w:t>considerar aspectos</w:t>
      </w:r>
      <w:r w:rsidR="0046648E" w:rsidRPr="00620F45">
        <w:rPr>
          <w:rFonts w:ascii="Arial" w:eastAsia="Arial" w:hAnsi="Arial" w:cs="Arial"/>
          <w:bCs/>
          <w:sz w:val="22"/>
          <w:szCs w:val="22"/>
          <w:lang w:eastAsia="es-ES" w:bidi="es-ES"/>
        </w:rPr>
        <w:t xml:space="preserve"> </w:t>
      </w:r>
      <w:r w:rsidR="00764D96" w:rsidRPr="00620F45">
        <w:rPr>
          <w:rFonts w:ascii="Arial" w:eastAsia="Arial" w:hAnsi="Arial" w:cs="Arial"/>
          <w:bCs/>
          <w:sz w:val="22"/>
          <w:szCs w:val="22"/>
          <w:lang w:eastAsia="es-ES" w:bidi="es-ES"/>
        </w:rPr>
        <w:t>distintos</w:t>
      </w:r>
      <w:r w:rsidR="0046648E" w:rsidRPr="00620F45">
        <w:rPr>
          <w:rFonts w:ascii="Arial" w:eastAsia="Arial" w:hAnsi="Arial" w:cs="Arial"/>
          <w:bCs/>
          <w:sz w:val="22"/>
          <w:szCs w:val="22"/>
          <w:lang w:eastAsia="es-ES" w:bidi="es-ES"/>
        </w:rPr>
        <w:t xml:space="preserve"> a estos</w:t>
      </w:r>
      <w:r w:rsidR="00764D96" w:rsidRPr="00620F45">
        <w:rPr>
          <w:rFonts w:ascii="Arial" w:eastAsia="Arial" w:hAnsi="Arial" w:cs="Arial"/>
          <w:bCs/>
          <w:sz w:val="22"/>
          <w:szCs w:val="22"/>
          <w:lang w:eastAsia="es-ES" w:bidi="es-ES"/>
        </w:rPr>
        <w:t xml:space="preserve"> o </w:t>
      </w:r>
      <w:r w:rsidR="00CE2DB0" w:rsidRPr="00620F45">
        <w:rPr>
          <w:rFonts w:ascii="Arial" w:eastAsia="Arial" w:hAnsi="Arial" w:cs="Arial"/>
          <w:bCs/>
          <w:sz w:val="22"/>
          <w:szCs w:val="22"/>
          <w:lang w:eastAsia="es-ES" w:bidi="es-ES"/>
        </w:rPr>
        <w:t xml:space="preserve">determinar </w:t>
      </w:r>
      <w:r w:rsidR="00764D96" w:rsidRPr="00620F45">
        <w:rPr>
          <w:rFonts w:ascii="Arial" w:eastAsia="Arial" w:hAnsi="Arial" w:cs="Arial"/>
          <w:bCs/>
          <w:sz w:val="22"/>
          <w:szCs w:val="22"/>
          <w:lang w:eastAsia="es-ES" w:bidi="es-ES"/>
        </w:rPr>
        <w:t>únicamente l</w:t>
      </w:r>
      <w:r w:rsidR="001439D8" w:rsidRPr="00620F45">
        <w:rPr>
          <w:rFonts w:ascii="Arial" w:eastAsia="Arial" w:hAnsi="Arial" w:cs="Arial"/>
          <w:bCs/>
          <w:sz w:val="22"/>
          <w:szCs w:val="22"/>
          <w:lang w:eastAsia="es-ES" w:bidi="es-ES"/>
        </w:rPr>
        <w:t>o</w:t>
      </w:r>
      <w:r w:rsidR="00764D96" w:rsidRPr="00620F45">
        <w:rPr>
          <w:rFonts w:ascii="Arial" w:eastAsia="Arial" w:hAnsi="Arial" w:cs="Arial"/>
          <w:bCs/>
          <w:sz w:val="22"/>
          <w:szCs w:val="22"/>
          <w:lang w:eastAsia="es-ES" w:bidi="es-ES"/>
        </w:rPr>
        <w:t>s</w:t>
      </w:r>
      <w:r w:rsidR="001439D8" w:rsidRPr="00620F45">
        <w:rPr>
          <w:rFonts w:ascii="Arial" w:eastAsia="Arial" w:hAnsi="Arial" w:cs="Arial"/>
          <w:bCs/>
          <w:sz w:val="22"/>
          <w:szCs w:val="22"/>
          <w:lang w:eastAsia="es-ES" w:bidi="es-ES"/>
        </w:rPr>
        <w:t xml:space="preserve"> bienes de las</w:t>
      </w:r>
      <w:r w:rsidR="00764D96" w:rsidRPr="00620F45">
        <w:rPr>
          <w:rFonts w:ascii="Arial" w:eastAsia="Arial" w:hAnsi="Arial" w:cs="Arial"/>
          <w:bCs/>
          <w:sz w:val="22"/>
          <w:szCs w:val="22"/>
          <w:lang w:eastAsia="es-ES" w:bidi="es-ES"/>
        </w:rPr>
        <w:t xml:space="preserve"> actividades de obra relevante. </w:t>
      </w:r>
      <w:r w:rsidR="00E83E04" w:rsidRPr="00620F45">
        <w:rPr>
          <w:rFonts w:ascii="Arial" w:eastAsia="Arial" w:hAnsi="Arial" w:cs="Arial"/>
          <w:bCs/>
          <w:sz w:val="22"/>
          <w:szCs w:val="22"/>
          <w:lang w:eastAsia="es-ES" w:bidi="es-ES"/>
        </w:rPr>
        <w:t xml:space="preserve">En tal sentido, atendiendo la consulta planteada, en virtud de la regla de inalterabilidad de los documentos tipo, la entidad no podrá modificar la metodología establecida en dicha matriz, de manera que, en el primer paso a aplicar deberá identificar </w:t>
      </w:r>
      <w:r w:rsidR="00E83E04" w:rsidRPr="00620F45">
        <w:rPr>
          <w:rFonts w:ascii="Arial" w:eastAsia="Arial" w:hAnsi="Arial" w:cs="Arial"/>
          <w:bCs/>
          <w:iCs/>
          <w:sz w:val="22"/>
          <w:szCs w:val="22"/>
          <w:lang w:eastAsia="es-ES" w:bidi="es-ES"/>
        </w:rPr>
        <w:t xml:space="preserve">dentro del </w:t>
      </w:r>
      <w:r w:rsidR="00E05BA4" w:rsidRPr="00620F45">
        <w:rPr>
          <w:rFonts w:ascii="Arial" w:eastAsia="Arial" w:hAnsi="Arial" w:cs="Arial"/>
          <w:bCs/>
          <w:iCs/>
          <w:sz w:val="22"/>
          <w:szCs w:val="22"/>
          <w:lang w:eastAsia="es-ES" w:bidi="es-ES"/>
        </w:rPr>
        <w:t>p</w:t>
      </w:r>
      <w:r w:rsidR="00E83E04" w:rsidRPr="00620F45">
        <w:rPr>
          <w:rFonts w:ascii="Arial" w:eastAsia="Arial" w:hAnsi="Arial" w:cs="Arial"/>
          <w:bCs/>
          <w:iCs/>
          <w:sz w:val="22"/>
          <w:szCs w:val="22"/>
          <w:lang w:eastAsia="es-ES" w:bidi="es-ES"/>
        </w:rPr>
        <w:t xml:space="preserve">resupuesto </w:t>
      </w:r>
      <w:r w:rsidR="00E05BA4" w:rsidRPr="00620F45">
        <w:rPr>
          <w:rFonts w:ascii="Arial" w:eastAsia="Arial" w:hAnsi="Arial" w:cs="Arial"/>
          <w:bCs/>
          <w:sz w:val="22"/>
          <w:szCs w:val="22"/>
          <w:lang w:eastAsia="es-ES" w:bidi="es-ES"/>
        </w:rPr>
        <w:t>o</w:t>
      </w:r>
      <w:r w:rsidR="00E83E04" w:rsidRPr="00620F45">
        <w:rPr>
          <w:rFonts w:ascii="Arial" w:eastAsia="Arial" w:hAnsi="Arial" w:cs="Arial"/>
          <w:bCs/>
          <w:iCs/>
          <w:sz w:val="22"/>
          <w:szCs w:val="22"/>
          <w:lang w:eastAsia="es-ES" w:bidi="es-ES"/>
        </w:rPr>
        <w:t>ficial los bienes o insumos requeridos para la ejecución del proyecto.</w:t>
      </w:r>
    </w:p>
    <w:p w14:paraId="2418868F" w14:textId="418DD924" w:rsidR="00B0289B" w:rsidRPr="00620F45" w:rsidRDefault="008356FB" w:rsidP="00E83E04">
      <w:pPr>
        <w:widowControl w:val="0"/>
        <w:autoSpaceDE w:val="0"/>
        <w:autoSpaceDN w:val="0"/>
        <w:spacing w:before="120" w:line="276" w:lineRule="auto"/>
        <w:ind w:firstLine="709"/>
        <w:jc w:val="both"/>
        <w:rPr>
          <w:rFonts w:ascii="Arial" w:eastAsia="Arial" w:hAnsi="Arial" w:cs="Arial"/>
          <w:bCs/>
          <w:sz w:val="22"/>
          <w:szCs w:val="22"/>
          <w:lang w:eastAsia="es-ES" w:bidi="es-ES"/>
        </w:rPr>
      </w:pPr>
      <w:r w:rsidRPr="00620F45">
        <w:rPr>
          <w:rFonts w:ascii="Arial" w:eastAsia="Arial" w:hAnsi="Arial" w:cs="Arial"/>
          <w:bCs/>
          <w:sz w:val="22"/>
          <w:szCs w:val="22"/>
          <w:lang w:eastAsia="es-ES" w:bidi="es-ES"/>
        </w:rPr>
        <w:t xml:space="preserve">Ahora bien, en la consulta </w:t>
      </w:r>
      <w:r w:rsidR="000770D0" w:rsidRPr="00620F45">
        <w:rPr>
          <w:rFonts w:ascii="Arial" w:eastAsia="Arial" w:hAnsi="Arial" w:cs="Arial"/>
          <w:bCs/>
          <w:sz w:val="22"/>
          <w:szCs w:val="22"/>
          <w:lang w:eastAsia="es-ES" w:bidi="es-ES"/>
        </w:rPr>
        <w:t xml:space="preserve">también </w:t>
      </w:r>
      <w:r w:rsidRPr="00620F45">
        <w:rPr>
          <w:rFonts w:ascii="Arial" w:eastAsia="Arial" w:hAnsi="Arial" w:cs="Arial"/>
          <w:bCs/>
          <w:sz w:val="22"/>
          <w:szCs w:val="22"/>
          <w:lang w:eastAsia="es-ES" w:bidi="es-ES"/>
        </w:rPr>
        <w:t xml:space="preserve">se indaga </w:t>
      </w:r>
      <w:r w:rsidR="000770D0" w:rsidRPr="00620F45">
        <w:rPr>
          <w:rFonts w:ascii="Arial" w:eastAsia="Arial" w:hAnsi="Arial" w:cs="Arial"/>
          <w:bCs/>
          <w:sz w:val="22"/>
          <w:szCs w:val="22"/>
          <w:lang w:eastAsia="es-ES" w:bidi="es-ES"/>
        </w:rPr>
        <w:t xml:space="preserve">sobre </w:t>
      </w:r>
      <w:r w:rsidR="00792E43" w:rsidRPr="00620F45">
        <w:rPr>
          <w:rFonts w:ascii="Arial" w:eastAsia="Arial" w:hAnsi="Arial" w:cs="Arial"/>
          <w:bCs/>
          <w:sz w:val="22"/>
          <w:szCs w:val="22"/>
          <w:lang w:eastAsia="es-ES" w:bidi="es-ES"/>
        </w:rPr>
        <w:t xml:space="preserve">«¿Cómo debe proceder la Entidad, cuando el registro de uno de los Bienes determinados como relevantes, vence durante el desarrollo del proceso de selección de contratistas?» Al respecto, es preciso señalar </w:t>
      </w:r>
      <w:r w:rsidR="00437461" w:rsidRPr="00620F45">
        <w:rPr>
          <w:rFonts w:ascii="Arial" w:eastAsia="Arial" w:hAnsi="Arial" w:cs="Arial"/>
          <w:bCs/>
          <w:sz w:val="22"/>
          <w:szCs w:val="22"/>
          <w:lang w:eastAsia="es-ES" w:bidi="es-ES"/>
        </w:rPr>
        <w:t>que,</w:t>
      </w:r>
      <w:r w:rsidR="00CE2DB0" w:rsidRPr="00620F45">
        <w:rPr>
          <w:rFonts w:ascii="Arial" w:eastAsia="Arial" w:hAnsi="Arial" w:cs="Arial"/>
          <w:bCs/>
          <w:sz w:val="22"/>
          <w:szCs w:val="22"/>
          <w:lang w:eastAsia="es-ES" w:bidi="es-ES"/>
        </w:rPr>
        <w:t xml:space="preserve"> </w:t>
      </w:r>
      <w:r w:rsidRPr="00620F45">
        <w:rPr>
          <w:rFonts w:ascii="Arial" w:eastAsia="Arial" w:hAnsi="Arial" w:cs="Arial"/>
          <w:bCs/>
          <w:sz w:val="22"/>
          <w:szCs w:val="22"/>
          <w:lang w:eastAsia="es-ES" w:bidi="es-ES"/>
        </w:rPr>
        <w:t>d</w:t>
      </w:r>
      <w:r w:rsidR="0080698A" w:rsidRPr="00620F45">
        <w:rPr>
          <w:rFonts w:ascii="Arial" w:eastAsia="Arial" w:hAnsi="Arial" w:cs="Arial"/>
          <w:bCs/>
          <w:sz w:val="22"/>
          <w:szCs w:val="22"/>
          <w:lang w:eastAsia="es-ES" w:bidi="es-ES"/>
        </w:rPr>
        <w:t xml:space="preserve">entro de la metodología establecida en la </w:t>
      </w:r>
      <w:r w:rsidR="007B4834" w:rsidRPr="00620F45">
        <w:rPr>
          <w:rFonts w:ascii="Arial" w:eastAsia="Calibri" w:hAnsi="Arial" w:cs="Arial"/>
          <w:bCs/>
          <w:color w:val="000000"/>
          <w:sz w:val="22"/>
          <w:szCs w:val="22"/>
          <w:lang w:val="es-ES_tradnl" w:eastAsia="en-US"/>
        </w:rPr>
        <w:t>m</w:t>
      </w:r>
      <w:r w:rsidR="00792E43" w:rsidRPr="00620F45">
        <w:rPr>
          <w:rFonts w:ascii="Arial" w:eastAsia="Calibri" w:hAnsi="Arial" w:cs="Arial"/>
          <w:bCs/>
          <w:color w:val="000000"/>
          <w:sz w:val="22"/>
          <w:szCs w:val="22"/>
          <w:lang w:val="es-ES_tradnl" w:eastAsia="en-US"/>
        </w:rPr>
        <w:t>atriz</w:t>
      </w:r>
      <w:r w:rsidR="00C1393C" w:rsidRPr="00620F45">
        <w:rPr>
          <w:rFonts w:ascii="Arial" w:eastAsia="Calibri" w:hAnsi="Arial" w:cs="Arial"/>
          <w:bCs/>
          <w:color w:val="000000"/>
          <w:sz w:val="22"/>
          <w:szCs w:val="22"/>
          <w:lang w:val="es-ES_tradnl" w:eastAsia="en-US"/>
        </w:rPr>
        <w:t>,</w:t>
      </w:r>
      <w:r w:rsidR="0080698A" w:rsidRPr="00620F45">
        <w:rPr>
          <w:rFonts w:ascii="Arial" w:eastAsia="Arial" w:hAnsi="Arial" w:cs="Arial"/>
          <w:bCs/>
          <w:sz w:val="22"/>
          <w:szCs w:val="22"/>
          <w:lang w:eastAsia="es-ES" w:bidi="es-ES"/>
        </w:rPr>
        <w:t xml:space="preserve"> el numeral 9 </w:t>
      </w:r>
      <w:r w:rsidR="00D7735D" w:rsidRPr="00620F45">
        <w:rPr>
          <w:rFonts w:ascii="Arial" w:eastAsia="Arial" w:hAnsi="Arial" w:cs="Arial"/>
          <w:bCs/>
          <w:sz w:val="22"/>
          <w:szCs w:val="22"/>
          <w:lang w:eastAsia="es-ES" w:bidi="es-ES"/>
        </w:rPr>
        <w:t xml:space="preserve">contempla lo referente a la vigencia de los bienes relevantes identificados. En efecto, </w:t>
      </w:r>
      <w:r w:rsidR="00E05BA4" w:rsidRPr="00620F45">
        <w:rPr>
          <w:rFonts w:ascii="Arial" w:eastAsia="Arial" w:hAnsi="Arial" w:cs="Arial"/>
          <w:bCs/>
          <w:sz w:val="22"/>
          <w:szCs w:val="22"/>
          <w:lang w:eastAsia="es-ES" w:bidi="es-ES"/>
        </w:rPr>
        <w:t xml:space="preserve">luego de </w:t>
      </w:r>
      <w:r w:rsidR="004C33CB" w:rsidRPr="00620F45">
        <w:rPr>
          <w:rFonts w:ascii="Arial" w:eastAsia="Arial" w:hAnsi="Arial" w:cs="Arial"/>
          <w:bCs/>
          <w:sz w:val="22"/>
          <w:szCs w:val="22"/>
          <w:lang w:eastAsia="es-ES" w:bidi="es-ES"/>
        </w:rPr>
        <w:t xml:space="preserve">determinar </w:t>
      </w:r>
      <w:r w:rsidR="00E05BA4" w:rsidRPr="00620F45">
        <w:rPr>
          <w:rFonts w:ascii="Arial" w:eastAsia="Arial" w:hAnsi="Arial" w:cs="Arial"/>
          <w:bCs/>
          <w:sz w:val="22"/>
          <w:szCs w:val="22"/>
          <w:lang w:eastAsia="es-ES" w:bidi="es-ES"/>
        </w:rPr>
        <w:t>los bienes relevante</w:t>
      </w:r>
      <w:r w:rsidR="009B14A1" w:rsidRPr="00620F45">
        <w:rPr>
          <w:rFonts w:ascii="Arial" w:eastAsia="Arial" w:hAnsi="Arial" w:cs="Arial"/>
          <w:bCs/>
          <w:sz w:val="22"/>
          <w:szCs w:val="22"/>
          <w:lang w:eastAsia="es-ES" w:bidi="es-ES"/>
        </w:rPr>
        <w:t>s</w:t>
      </w:r>
      <w:r w:rsidR="00E05BA4" w:rsidRPr="00620F45">
        <w:rPr>
          <w:rFonts w:ascii="Arial" w:eastAsia="Arial" w:hAnsi="Arial" w:cs="Arial"/>
          <w:bCs/>
          <w:sz w:val="22"/>
          <w:szCs w:val="22"/>
          <w:lang w:eastAsia="es-ES" w:bidi="es-ES"/>
        </w:rPr>
        <w:t xml:space="preserve"> conforme al procedimiento descrito en los pasos 1 a 8</w:t>
      </w:r>
      <w:r w:rsidR="00CE2DB0" w:rsidRPr="00620F45">
        <w:rPr>
          <w:rFonts w:ascii="Arial" w:eastAsia="Arial" w:hAnsi="Arial" w:cs="Arial"/>
          <w:bCs/>
          <w:sz w:val="22"/>
          <w:szCs w:val="22"/>
          <w:lang w:eastAsia="es-ES" w:bidi="es-ES"/>
        </w:rPr>
        <w:t xml:space="preserve"> de la matriz</w:t>
      </w:r>
      <w:r w:rsidR="004C33CB" w:rsidRPr="00620F45">
        <w:rPr>
          <w:rFonts w:ascii="Arial" w:eastAsia="Arial" w:hAnsi="Arial" w:cs="Arial"/>
          <w:bCs/>
          <w:sz w:val="22"/>
          <w:szCs w:val="22"/>
          <w:lang w:eastAsia="es-ES" w:bidi="es-ES"/>
        </w:rPr>
        <w:t xml:space="preserve">, </w:t>
      </w:r>
      <w:r w:rsidR="0080698A" w:rsidRPr="00620F45">
        <w:rPr>
          <w:rFonts w:ascii="Arial" w:eastAsia="Arial" w:hAnsi="Arial" w:cs="Arial"/>
          <w:bCs/>
          <w:sz w:val="22"/>
          <w:szCs w:val="22"/>
          <w:lang w:eastAsia="es-ES" w:bidi="es-ES"/>
        </w:rPr>
        <w:t>la entidad deberá verificar si</w:t>
      </w:r>
      <w:r w:rsidR="007B4834" w:rsidRPr="00620F45">
        <w:rPr>
          <w:rFonts w:ascii="Arial" w:eastAsia="Arial" w:hAnsi="Arial" w:cs="Arial"/>
          <w:bCs/>
          <w:sz w:val="22"/>
          <w:szCs w:val="22"/>
          <w:lang w:eastAsia="es-ES" w:bidi="es-ES"/>
        </w:rPr>
        <w:t xml:space="preserve"> </w:t>
      </w:r>
      <w:r w:rsidR="009B14A1" w:rsidRPr="00620F45">
        <w:rPr>
          <w:rFonts w:ascii="Arial" w:eastAsia="Arial" w:hAnsi="Arial" w:cs="Arial"/>
          <w:bCs/>
          <w:sz w:val="22"/>
          <w:szCs w:val="22"/>
          <w:lang w:eastAsia="es-ES" w:bidi="es-ES"/>
        </w:rPr>
        <w:t xml:space="preserve">estos </w:t>
      </w:r>
      <w:r w:rsidR="004C33CB" w:rsidRPr="00620F45">
        <w:rPr>
          <w:rFonts w:ascii="Arial" w:eastAsia="Arial" w:hAnsi="Arial" w:cs="Arial"/>
          <w:bCs/>
          <w:sz w:val="22"/>
          <w:szCs w:val="22"/>
          <w:lang w:eastAsia="es-ES" w:bidi="es-ES"/>
        </w:rPr>
        <w:t xml:space="preserve">bienes </w:t>
      </w:r>
      <w:r w:rsidR="0080698A" w:rsidRPr="00620F45">
        <w:rPr>
          <w:rFonts w:ascii="Arial" w:eastAsia="Arial" w:hAnsi="Arial" w:cs="Arial"/>
          <w:bCs/>
          <w:sz w:val="22"/>
          <w:szCs w:val="22"/>
          <w:lang w:eastAsia="es-ES" w:bidi="es-ES"/>
        </w:rPr>
        <w:t xml:space="preserve">se encuentran incluidos en el Registro de Productores de Bienes Nacionales, en los términos del Decreto 2680 de 2009. De estar incorporados, la </w:t>
      </w:r>
      <w:r w:rsidR="007B4834" w:rsidRPr="00620F45">
        <w:rPr>
          <w:rFonts w:ascii="Arial" w:eastAsia="Arial" w:hAnsi="Arial" w:cs="Arial"/>
          <w:bCs/>
          <w:sz w:val="22"/>
          <w:szCs w:val="22"/>
          <w:lang w:eastAsia="es-ES" w:bidi="es-ES"/>
        </w:rPr>
        <w:t>e</w:t>
      </w:r>
      <w:r w:rsidR="0080698A" w:rsidRPr="00620F45">
        <w:rPr>
          <w:rFonts w:ascii="Arial" w:eastAsia="Arial" w:hAnsi="Arial" w:cs="Arial"/>
          <w:bCs/>
          <w:sz w:val="22"/>
          <w:szCs w:val="22"/>
          <w:lang w:eastAsia="es-ES" w:bidi="es-ES"/>
        </w:rPr>
        <w:t>ntidad verificará al momento de publicar el pliego de condiciones definitivo que el registro del bien o insumo esté vigente hasta una fecha posterior a la del cierre del proceso. Para tal efecto, se entiende por fecha del cierre la publicada en el pliego de condiciones definitivo.</w:t>
      </w:r>
      <w:r w:rsidR="007B4834" w:rsidRPr="00620F45">
        <w:rPr>
          <w:rFonts w:ascii="Arial" w:eastAsia="Arial" w:hAnsi="Arial" w:cs="Arial"/>
          <w:bCs/>
          <w:sz w:val="22"/>
          <w:szCs w:val="22"/>
          <w:lang w:eastAsia="es-ES" w:bidi="es-ES"/>
        </w:rPr>
        <w:t xml:space="preserve"> Una vez</w:t>
      </w:r>
      <w:r w:rsidR="0080698A" w:rsidRPr="00620F45">
        <w:rPr>
          <w:rFonts w:ascii="Arial" w:eastAsia="Arial" w:hAnsi="Arial" w:cs="Arial"/>
          <w:bCs/>
          <w:sz w:val="22"/>
          <w:szCs w:val="22"/>
          <w:lang w:eastAsia="es-ES" w:bidi="es-ES"/>
        </w:rPr>
        <w:t xml:space="preserve"> </w:t>
      </w:r>
      <w:r w:rsidR="007B4834" w:rsidRPr="00620F45">
        <w:rPr>
          <w:rFonts w:ascii="Arial" w:eastAsia="Arial" w:hAnsi="Arial" w:cs="Arial"/>
          <w:bCs/>
          <w:sz w:val="22"/>
          <w:szCs w:val="22"/>
          <w:lang w:eastAsia="es-ES" w:bidi="es-ES"/>
        </w:rPr>
        <w:t>v</w:t>
      </w:r>
      <w:r w:rsidR="0080698A" w:rsidRPr="00620F45">
        <w:rPr>
          <w:rFonts w:ascii="Arial" w:eastAsia="Arial" w:hAnsi="Arial" w:cs="Arial"/>
          <w:bCs/>
          <w:sz w:val="22"/>
          <w:szCs w:val="22"/>
          <w:lang w:eastAsia="es-ES" w:bidi="es-ES"/>
        </w:rPr>
        <w:t xml:space="preserve">erificada la fecha de registro de estos bienes estos serán los que incluya en el numeral 4.4.1 del </w:t>
      </w:r>
      <w:r w:rsidR="00B0289B" w:rsidRPr="00620F45">
        <w:rPr>
          <w:rFonts w:ascii="Arial" w:eastAsia="Arial" w:hAnsi="Arial" w:cs="Arial"/>
          <w:bCs/>
          <w:sz w:val="22"/>
          <w:szCs w:val="22"/>
          <w:lang w:eastAsia="es-ES" w:bidi="es-ES"/>
        </w:rPr>
        <w:t>p</w:t>
      </w:r>
      <w:r w:rsidR="0080698A" w:rsidRPr="00620F45">
        <w:rPr>
          <w:rFonts w:ascii="Arial" w:eastAsia="Arial" w:hAnsi="Arial" w:cs="Arial"/>
          <w:bCs/>
          <w:sz w:val="22"/>
          <w:szCs w:val="22"/>
          <w:lang w:eastAsia="es-ES" w:bidi="es-ES"/>
        </w:rPr>
        <w:t xml:space="preserve">liego de </w:t>
      </w:r>
      <w:r w:rsidR="00B0289B" w:rsidRPr="00620F45">
        <w:rPr>
          <w:rFonts w:ascii="Arial" w:eastAsia="Arial" w:hAnsi="Arial" w:cs="Arial"/>
          <w:bCs/>
          <w:sz w:val="22"/>
          <w:szCs w:val="22"/>
          <w:lang w:eastAsia="es-ES" w:bidi="es-ES"/>
        </w:rPr>
        <w:t>c</w:t>
      </w:r>
      <w:r w:rsidR="0080698A" w:rsidRPr="00620F45">
        <w:rPr>
          <w:rFonts w:ascii="Arial" w:eastAsia="Arial" w:hAnsi="Arial" w:cs="Arial"/>
          <w:bCs/>
          <w:sz w:val="22"/>
          <w:szCs w:val="22"/>
          <w:lang w:eastAsia="es-ES" w:bidi="es-ES"/>
        </w:rPr>
        <w:t xml:space="preserve">ondiciones. </w:t>
      </w:r>
    </w:p>
    <w:p w14:paraId="76329D96" w14:textId="47AD54AD" w:rsidR="00E950FE" w:rsidRPr="00620F45" w:rsidRDefault="0080698A" w:rsidP="00E05BA4">
      <w:pPr>
        <w:widowControl w:val="0"/>
        <w:autoSpaceDE w:val="0"/>
        <w:autoSpaceDN w:val="0"/>
        <w:spacing w:before="120" w:line="276" w:lineRule="auto"/>
        <w:ind w:firstLine="709"/>
        <w:jc w:val="both"/>
        <w:rPr>
          <w:rFonts w:ascii="Arial" w:eastAsia="Arial" w:hAnsi="Arial" w:cs="Arial"/>
          <w:bCs/>
          <w:sz w:val="22"/>
          <w:szCs w:val="22"/>
          <w:lang w:eastAsia="es-ES" w:bidi="es-ES"/>
        </w:rPr>
      </w:pPr>
      <w:r w:rsidRPr="00620F45">
        <w:rPr>
          <w:rFonts w:ascii="Arial" w:eastAsia="Arial" w:hAnsi="Arial" w:cs="Arial"/>
          <w:bCs/>
          <w:sz w:val="22"/>
          <w:szCs w:val="22"/>
          <w:lang w:eastAsia="es-ES" w:bidi="es-ES"/>
        </w:rPr>
        <w:t>De lo anterior se desprenden dos supuestos: i) que el bien</w:t>
      </w:r>
      <w:r w:rsidR="00B0289B" w:rsidRPr="00620F45">
        <w:rPr>
          <w:rFonts w:ascii="Arial" w:eastAsia="Arial" w:hAnsi="Arial" w:cs="Arial"/>
          <w:bCs/>
          <w:sz w:val="22"/>
          <w:szCs w:val="22"/>
          <w:lang w:eastAsia="es-ES" w:bidi="es-ES"/>
        </w:rPr>
        <w:t xml:space="preserve"> relevante </w:t>
      </w:r>
      <w:r w:rsidRPr="00620F45">
        <w:rPr>
          <w:rFonts w:ascii="Arial" w:eastAsia="Arial" w:hAnsi="Arial" w:cs="Arial"/>
          <w:bCs/>
          <w:sz w:val="22"/>
          <w:szCs w:val="22"/>
          <w:lang w:eastAsia="es-ES" w:bidi="es-ES"/>
        </w:rPr>
        <w:t xml:space="preserve">incluido en el </w:t>
      </w:r>
      <w:r w:rsidR="00B0289B" w:rsidRPr="00620F45">
        <w:rPr>
          <w:rFonts w:ascii="Arial" w:eastAsia="Arial" w:hAnsi="Arial" w:cs="Arial"/>
          <w:bCs/>
          <w:sz w:val="22"/>
          <w:szCs w:val="22"/>
          <w:lang w:eastAsia="es-ES" w:bidi="es-ES"/>
        </w:rPr>
        <w:t>registr</w:t>
      </w:r>
      <w:r w:rsidR="00217B8D" w:rsidRPr="00620F45">
        <w:rPr>
          <w:rFonts w:ascii="Arial" w:eastAsia="Arial" w:hAnsi="Arial" w:cs="Arial"/>
          <w:bCs/>
          <w:sz w:val="22"/>
          <w:szCs w:val="22"/>
          <w:lang w:eastAsia="es-ES" w:bidi="es-ES"/>
        </w:rPr>
        <w:t>o</w:t>
      </w:r>
      <w:r w:rsidRPr="00620F45">
        <w:rPr>
          <w:rFonts w:ascii="Arial" w:eastAsia="Arial" w:hAnsi="Arial" w:cs="Arial"/>
          <w:bCs/>
          <w:sz w:val="22"/>
          <w:szCs w:val="22"/>
          <w:lang w:eastAsia="es-ES" w:bidi="es-ES"/>
        </w:rPr>
        <w:t xml:space="preserve"> </w:t>
      </w:r>
      <w:r w:rsidR="00B0289B" w:rsidRPr="00620F45">
        <w:rPr>
          <w:rFonts w:ascii="Arial" w:eastAsia="Arial" w:hAnsi="Arial" w:cs="Arial"/>
          <w:bCs/>
          <w:sz w:val="22"/>
          <w:szCs w:val="22"/>
          <w:lang w:eastAsia="es-ES" w:bidi="es-ES"/>
        </w:rPr>
        <w:t xml:space="preserve">se encuentre </w:t>
      </w:r>
      <w:r w:rsidR="00217B8D" w:rsidRPr="00620F45">
        <w:rPr>
          <w:rFonts w:ascii="Arial" w:eastAsia="Arial" w:hAnsi="Arial" w:cs="Arial"/>
          <w:bCs/>
          <w:sz w:val="22"/>
          <w:szCs w:val="22"/>
          <w:lang w:eastAsia="es-ES" w:bidi="es-ES"/>
        </w:rPr>
        <w:t xml:space="preserve">vigente </w:t>
      </w:r>
      <w:r w:rsidRPr="00620F45">
        <w:rPr>
          <w:rFonts w:ascii="Arial" w:eastAsia="Arial" w:hAnsi="Arial" w:cs="Arial"/>
          <w:bCs/>
          <w:sz w:val="22"/>
          <w:szCs w:val="22"/>
          <w:lang w:eastAsia="es-ES" w:bidi="es-ES"/>
        </w:rPr>
        <w:t>hasta una fecha posterior a la del cierre del proceso</w:t>
      </w:r>
      <w:r w:rsidR="00B30BD7" w:rsidRPr="00620F45">
        <w:rPr>
          <w:rFonts w:ascii="Arial" w:eastAsia="Arial" w:hAnsi="Arial" w:cs="Arial"/>
          <w:bCs/>
          <w:sz w:val="22"/>
          <w:szCs w:val="22"/>
          <w:lang w:eastAsia="es-ES" w:bidi="es-ES"/>
        </w:rPr>
        <w:t>. En este caso</w:t>
      </w:r>
      <w:r w:rsidRPr="00620F45">
        <w:rPr>
          <w:rFonts w:ascii="Arial" w:eastAsia="Arial" w:hAnsi="Arial" w:cs="Arial"/>
          <w:bCs/>
          <w:sz w:val="22"/>
          <w:szCs w:val="22"/>
          <w:lang w:eastAsia="es-ES" w:bidi="es-ES"/>
        </w:rPr>
        <w:t xml:space="preserve"> </w:t>
      </w:r>
      <w:r w:rsidR="00B30BD7" w:rsidRPr="00620F45">
        <w:rPr>
          <w:rFonts w:ascii="Arial" w:eastAsia="Arial" w:hAnsi="Arial" w:cs="Arial"/>
          <w:bCs/>
          <w:sz w:val="22"/>
          <w:szCs w:val="22"/>
          <w:lang w:eastAsia="es-ES" w:bidi="es-ES"/>
        </w:rPr>
        <w:t xml:space="preserve">estos bienes </w:t>
      </w:r>
      <w:r w:rsidRPr="00620F45">
        <w:rPr>
          <w:rFonts w:ascii="Arial" w:eastAsia="Arial" w:hAnsi="Arial" w:cs="Arial"/>
          <w:bCs/>
          <w:sz w:val="22"/>
          <w:szCs w:val="22"/>
          <w:lang w:eastAsia="es-ES" w:bidi="es-ES"/>
        </w:rPr>
        <w:t>se incluirán en el numeral 4.4.1 del documento base</w:t>
      </w:r>
      <w:r w:rsidR="00D7735D" w:rsidRPr="00620F45">
        <w:rPr>
          <w:rFonts w:ascii="Arial" w:eastAsia="Arial" w:hAnsi="Arial" w:cs="Arial"/>
          <w:bCs/>
          <w:sz w:val="22"/>
          <w:szCs w:val="22"/>
          <w:lang w:eastAsia="es-ES" w:bidi="es-ES"/>
        </w:rPr>
        <w:t xml:space="preserve"> de conformidad con l</w:t>
      </w:r>
      <w:r w:rsidR="00E950FE" w:rsidRPr="00620F45">
        <w:rPr>
          <w:rFonts w:ascii="Arial" w:eastAsia="Arial" w:hAnsi="Arial" w:cs="Arial"/>
          <w:bCs/>
          <w:sz w:val="22"/>
          <w:szCs w:val="22"/>
          <w:lang w:eastAsia="es-ES" w:bidi="es-ES"/>
        </w:rPr>
        <w:t xml:space="preserve">as instrucciones indicadas </w:t>
      </w:r>
      <w:r w:rsidR="00D7735D" w:rsidRPr="00620F45">
        <w:rPr>
          <w:rFonts w:ascii="Arial" w:eastAsia="Arial" w:hAnsi="Arial" w:cs="Arial"/>
          <w:bCs/>
          <w:sz w:val="22"/>
          <w:szCs w:val="22"/>
          <w:lang w:eastAsia="es-ES" w:bidi="es-ES"/>
        </w:rPr>
        <w:t>en la opción 1</w:t>
      </w:r>
      <w:r w:rsidR="00E950FE" w:rsidRPr="00620F45">
        <w:rPr>
          <w:rFonts w:ascii="Arial" w:eastAsia="Arial" w:hAnsi="Arial" w:cs="Arial"/>
          <w:bCs/>
          <w:sz w:val="22"/>
          <w:szCs w:val="22"/>
          <w:lang w:eastAsia="es-ES" w:bidi="es-ES"/>
        </w:rPr>
        <w:t xml:space="preserve">, </w:t>
      </w:r>
      <w:r w:rsidR="00CE2DB0" w:rsidRPr="00620F45">
        <w:rPr>
          <w:rFonts w:ascii="Arial" w:eastAsia="Arial" w:hAnsi="Arial" w:cs="Arial"/>
          <w:bCs/>
          <w:sz w:val="22"/>
          <w:szCs w:val="22"/>
          <w:lang w:eastAsia="es-ES" w:bidi="es-ES"/>
        </w:rPr>
        <w:t xml:space="preserve">diligenciando una tabla con la información tomada del Registro de Productores de Bienes Nacionales, en la que se señalará: </w:t>
      </w:r>
      <w:r w:rsidR="00C1393C" w:rsidRPr="00620F45">
        <w:rPr>
          <w:rFonts w:ascii="Arial" w:eastAsia="Arial" w:hAnsi="Arial" w:cs="Arial"/>
          <w:bCs/>
          <w:sz w:val="22"/>
          <w:szCs w:val="22"/>
          <w:lang w:eastAsia="es-ES" w:bidi="es-ES"/>
        </w:rPr>
        <w:t>a</w:t>
      </w:r>
      <w:r w:rsidR="00CE2DB0" w:rsidRPr="00620F45">
        <w:rPr>
          <w:rFonts w:ascii="Arial" w:eastAsia="Arial" w:hAnsi="Arial" w:cs="Arial"/>
          <w:bCs/>
          <w:sz w:val="22"/>
          <w:szCs w:val="22"/>
          <w:lang w:eastAsia="es-ES" w:bidi="es-ES"/>
        </w:rPr>
        <w:t xml:space="preserve">) el bien nacional relevante, </w:t>
      </w:r>
      <w:r w:rsidR="00C1393C" w:rsidRPr="00620F45">
        <w:rPr>
          <w:rFonts w:ascii="Arial" w:eastAsia="Arial" w:hAnsi="Arial" w:cs="Arial"/>
          <w:bCs/>
          <w:sz w:val="22"/>
          <w:szCs w:val="22"/>
          <w:lang w:eastAsia="es-ES" w:bidi="es-ES"/>
        </w:rPr>
        <w:t>b</w:t>
      </w:r>
      <w:r w:rsidR="00CE2DB0" w:rsidRPr="00620F45">
        <w:rPr>
          <w:rFonts w:ascii="Arial" w:eastAsia="Arial" w:hAnsi="Arial" w:cs="Arial"/>
          <w:bCs/>
          <w:sz w:val="22"/>
          <w:szCs w:val="22"/>
          <w:lang w:eastAsia="es-ES" w:bidi="es-ES"/>
        </w:rPr>
        <w:t xml:space="preserve">) la fecha de inscripción, </w:t>
      </w:r>
      <w:r w:rsidR="00C1393C" w:rsidRPr="00620F45">
        <w:rPr>
          <w:rFonts w:ascii="Arial" w:eastAsia="Arial" w:hAnsi="Arial" w:cs="Arial"/>
          <w:bCs/>
          <w:sz w:val="22"/>
          <w:szCs w:val="22"/>
          <w:lang w:eastAsia="es-ES" w:bidi="es-ES"/>
        </w:rPr>
        <w:t>c)</w:t>
      </w:r>
      <w:r w:rsidR="00CE2DB0" w:rsidRPr="00620F45">
        <w:rPr>
          <w:rFonts w:ascii="Arial" w:eastAsia="Arial" w:hAnsi="Arial" w:cs="Arial"/>
          <w:bCs/>
          <w:sz w:val="22"/>
          <w:szCs w:val="22"/>
          <w:lang w:eastAsia="es-ES" w:bidi="es-ES"/>
        </w:rPr>
        <w:t xml:space="preserve"> la fecha de vigencia, </w:t>
      </w:r>
      <w:r w:rsidR="00C1393C" w:rsidRPr="00620F45">
        <w:rPr>
          <w:rFonts w:ascii="Arial" w:eastAsia="Arial" w:hAnsi="Arial" w:cs="Arial"/>
          <w:bCs/>
          <w:sz w:val="22"/>
          <w:szCs w:val="22"/>
          <w:lang w:eastAsia="es-ES" w:bidi="es-ES"/>
        </w:rPr>
        <w:t>d</w:t>
      </w:r>
      <w:r w:rsidR="00CE2DB0" w:rsidRPr="00620F45">
        <w:rPr>
          <w:rFonts w:ascii="Arial" w:eastAsia="Arial" w:hAnsi="Arial" w:cs="Arial"/>
          <w:bCs/>
          <w:sz w:val="22"/>
          <w:szCs w:val="22"/>
          <w:lang w:eastAsia="es-ES" w:bidi="es-ES"/>
        </w:rPr>
        <w:t xml:space="preserve">) el número de partida arancelaria, </w:t>
      </w:r>
      <w:r w:rsidR="00C1393C" w:rsidRPr="00620F45">
        <w:rPr>
          <w:rFonts w:ascii="Arial" w:eastAsia="Arial" w:hAnsi="Arial" w:cs="Arial"/>
          <w:bCs/>
          <w:sz w:val="22"/>
          <w:szCs w:val="22"/>
          <w:lang w:eastAsia="es-ES" w:bidi="es-ES"/>
        </w:rPr>
        <w:t>e</w:t>
      </w:r>
      <w:r w:rsidR="00CE2DB0" w:rsidRPr="00620F45">
        <w:rPr>
          <w:rFonts w:ascii="Arial" w:eastAsia="Arial" w:hAnsi="Arial" w:cs="Arial"/>
          <w:bCs/>
          <w:sz w:val="22"/>
          <w:szCs w:val="22"/>
          <w:lang w:eastAsia="es-ES" w:bidi="es-ES"/>
        </w:rPr>
        <w:t xml:space="preserve">) el porcentaje (%) de participación del bien y </w:t>
      </w:r>
      <w:r w:rsidR="00C1393C" w:rsidRPr="00620F45">
        <w:rPr>
          <w:rFonts w:ascii="Arial" w:eastAsia="Arial" w:hAnsi="Arial" w:cs="Arial"/>
          <w:bCs/>
          <w:sz w:val="22"/>
          <w:szCs w:val="22"/>
          <w:lang w:eastAsia="es-ES" w:bidi="es-ES"/>
        </w:rPr>
        <w:t>f</w:t>
      </w:r>
      <w:r w:rsidR="00CE2DB0" w:rsidRPr="00620F45">
        <w:rPr>
          <w:rFonts w:ascii="Arial" w:eastAsia="Arial" w:hAnsi="Arial" w:cs="Arial"/>
          <w:bCs/>
          <w:sz w:val="22"/>
          <w:szCs w:val="22"/>
          <w:lang w:eastAsia="es-ES" w:bidi="es-ES"/>
        </w:rPr>
        <w:t>) el puntaje individual de cada bien</w:t>
      </w:r>
      <w:r w:rsidR="0098768F" w:rsidRPr="00620F45">
        <w:rPr>
          <w:rStyle w:val="Refdenotaalpie"/>
          <w:rFonts w:ascii="Arial" w:eastAsia="Arial" w:hAnsi="Arial" w:cs="Arial"/>
          <w:bCs/>
          <w:sz w:val="22"/>
          <w:szCs w:val="22"/>
          <w:lang w:eastAsia="es-ES" w:bidi="es-ES"/>
        </w:rPr>
        <w:footnoteReference w:id="18"/>
      </w:r>
      <w:r w:rsidRPr="00620F45">
        <w:rPr>
          <w:rFonts w:ascii="Arial" w:eastAsia="Arial" w:hAnsi="Arial" w:cs="Arial"/>
          <w:bCs/>
          <w:sz w:val="22"/>
          <w:szCs w:val="22"/>
          <w:lang w:eastAsia="es-ES" w:bidi="es-ES"/>
        </w:rPr>
        <w:t>.</w:t>
      </w:r>
      <w:r w:rsidR="00E950FE" w:rsidRPr="00620F45">
        <w:rPr>
          <w:rFonts w:ascii="Arial" w:eastAsia="Arial" w:hAnsi="Arial" w:cs="Arial"/>
          <w:bCs/>
          <w:sz w:val="22"/>
          <w:szCs w:val="22"/>
          <w:lang w:eastAsia="es-ES" w:bidi="es-ES"/>
        </w:rPr>
        <w:t xml:space="preserve"> La asignación del puntaje del puntaje se realizará teniendo en cuenta las </w:t>
      </w:r>
      <w:r w:rsidR="00E950FE" w:rsidRPr="00620F45">
        <w:rPr>
          <w:rFonts w:ascii="Arial" w:eastAsia="Arial" w:hAnsi="Arial" w:cs="Arial"/>
          <w:bCs/>
          <w:sz w:val="22"/>
          <w:szCs w:val="22"/>
          <w:lang w:eastAsia="es-ES" w:bidi="es-ES"/>
        </w:rPr>
        <w:lastRenderedPageBreak/>
        <w:t xml:space="preserve">consideraciones </w:t>
      </w:r>
      <w:r w:rsidR="00C1393C" w:rsidRPr="00620F45">
        <w:rPr>
          <w:rFonts w:ascii="Arial" w:eastAsia="Arial" w:hAnsi="Arial" w:cs="Arial"/>
          <w:bCs/>
          <w:sz w:val="22"/>
          <w:szCs w:val="22"/>
          <w:lang w:eastAsia="es-ES" w:bidi="es-ES"/>
        </w:rPr>
        <w:t xml:space="preserve">contempladas en la opción 1 de dicho numeral. </w:t>
      </w:r>
    </w:p>
    <w:p w14:paraId="6479D930" w14:textId="47B78D13" w:rsidR="0080698A" w:rsidRPr="00620F45" w:rsidRDefault="004C5CCC" w:rsidP="004C5CCC">
      <w:pPr>
        <w:widowControl w:val="0"/>
        <w:autoSpaceDE w:val="0"/>
        <w:autoSpaceDN w:val="0"/>
        <w:spacing w:before="120" w:line="276" w:lineRule="auto"/>
        <w:ind w:firstLine="709"/>
        <w:jc w:val="both"/>
        <w:rPr>
          <w:rFonts w:ascii="Arial" w:eastAsia="Arial" w:hAnsi="Arial" w:cs="Arial"/>
          <w:bCs/>
          <w:sz w:val="22"/>
          <w:szCs w:val="22"/>
          <w:lang w:eastAsia="es-ES" w:bidi="es-ES"/>
        </w:rPr>
      </w:pPr>
      <w:r w:rsidRPr="00620F45">
        <w:rPr>
          <w:rFonts w:ascii="Arial" w:eastAsia="Arial" w:hAnsi="Arial" w:cs="Arial"/>
          <w:bCs/>
          <w:sz w:val="22"/>
          <w:szCs w:val="22"/>
          <w:lang w:eastAsia="es-ES" w:bidi="es-ES"/>
        </w:rPr>
        <w:t>Y</w:t>
      </w:r>
      <w:r w:rsidR="00105A09" w:rsidRPr="00620F45">
        <w:rPr>
          <w:rFonts w:ascii="Arial" w:eastAsia="Arial" w:hAnsi="Arial" w:cs="Arial"/>
          <w:bCs/>
          <w:sz w:val="22"/>
          <w:szCs w:val="22"/>
          <w:lang w:eastAsia="es-ES" w:bidi="es-ES"/>
        </w:rPr>
        <w:t xml:space="preserve"> en el segundo supuesto,</w:t>
      </w:r>
      <w:r w:rsidRPr="00620F45">
        <w:rPr>
          <w:rFonts w:ascii="Arial" w:eastAsia="Arial" w:hAnsi="Arial" w:cs="Arial"/>
          <w:bCs/>
          <w:sz w:val="22"/>
          <w:szCs w:val="22"/>
          <w:lang w:eastAsia="es-ES" w:bidi="es-ES"/>
        </w:rPr>
        <w:t xml:space="preserve"> </w:t>
      </w:r>
      <w:proofErr w:type="spellStart"/>
      <w:r w:rsidR="0080698A" w:rsidRPr="00620F45">
        <w:rPr>
          <w:rFonts w:ascii="Arial" w:eastAsia="Arial" w:hAnsi="Arial" w:cs="Arial"/>
          <w:bCs/>
          <w:sz w:val="22"/>
          <w:szCs w:val="22"/>
          <w:lang w:eastAsia="es-ES" w:bidi="es-ES"/>
        </w:rPr>
        <w:t>ii</w:t>
      </w:r>
      <w:proofErr w:type="spellEnd"/>
      <w:r w:rsidR="0080698A" w:rsidRPr="00620F45">
        <w:rPr>
          <w:rFonts w:ascii="Arial" w:eastAsia="Arial" w:hAnsi="Arial" w:cs="Arial"/>
          <w:bCs/>
          <w:sz w:val="22"/>
          <w:szCs w:val="22"/>
          <w:lang w:eastAsia="es-ES" w:bidi="es-ES"/>
        </w:rPr>
        <w:t xml:space="preserve">) que el bien </w:t>
      </w:r>
      <w:r w:rsidR="00C1393C" w:rsidRPr="00620F45">
        <w:rPr>
          <w:rFonts w:ascii="Arial" w:eastAsia="Arial" w:hAnsi="Arial" w:cs="Arial"/>
          <w:bCs/>
          <w:sz w:val="22"/>
          <w:szCs w:val="22"/>
          <w:lang w:eastAsia="es-ES" w:bidi="es-ES"/>
        </w:rPr>
        <w:t xml:space="preserve">relevante </w:t>
      </w:r>
      <w:r w:rsidR="0080698A" w:rsidRPr="00620F45">
        <w:rPr>
          <w:rFonts w:ascii="Arial" w:eastAsia="Arial" w:hAnsi="Arial" w:cs="Arial"/>
          <w:bCs/>
          <w:sz w:val="22"/>
          <w:szCs w:val="22"/>
          <w:lang w:eastAsia="es-ES" w:bidi="es-ES"/>
        </w:rPr>
        <w:t xml:space="preserve">incluido en el </w:t>
      </w:r>
      <w:r w:rsidR="00C1393C" w:rsidRPr="00620F45">
        <w:rPr>
          <w:rFonts w:ascii="Arial" w:eastAsia="Arial" w:hAnsi="Arial" w:cs="Arial"/>
          <w:bCs/>
          <w:sz w:val="22"/>
          <w:szCs w:val="22"/>
          <w:lang w:eastAsia="es-ES" w:bidi="es-ES"/>
        </w:rPr>
        <w:t>r</w:t>
      </w:r>
      <w:r w:rsidR="0080698A" w:rsidRPr="00620F45">
        <w:rPr>
          <w:rFonts w:ascii="Arial" w:eastAsia="Arial" w:hAnsi="Arial" w:cs="Arial"/>
          <w:bCs/>
          <w:sz w:val="22"/>
          <w:szCs w:val="22"/>
          <w:lang w:eastAsia="es-ES" w:bidi="es-ES"/>
        </w:rPr>
        <w:t>egistro tenga fecha de vencimiento con anterioridad a la</w:t>
      </w:r>
      <w:r w:rsidR="0098768F" w:rsidRPr="00620F45">
        <w:rPr>
          <w:rFonts w:ascii="Arial" w:eastAsia="Arial" w:hAnsi="Arial" w:cs="Arial"/>
          <w:bCs/>
          <w:sz w:val="22"/>
          <w:szCs w:val="22"/>
          <w:lang w:eastAsia="es-ES" w:bidi="es-ES"/>
        </w:rPr>
        <w:t xml:space="preserve"> fecha</w:t>
      </w:r>
      <w:r w:rsidR="0080698A" w:rsidRPr="00620F45">
        <w:rPr>
          <w:rFonts w:ascii="Arial" w:eastAsia="Arial" w:hAnsi="Arial" w:cs="Arial"/>
          <w:bCs/>
          <w:sz w:val="22"/>
          <w:szCs w:val="22"/>
          <w:lang w:eastAsia="es-ES" w:bidi="es-ES"/>
        </w:rPr>
        <w:t xml:space="preserve"> del cierre del proceso. En </w:t>
      </w:r>
      <w:r w:rsidR="00D1298E" w:rsidRPr="00620F45">
        <w:rPr>
          <w:rFonts w:ascii="Arial" w:eastAsia="Arial" w:hAnsi="Arial" w:cs="Arial"/>
          <w:bCs/>
          <w:sz w:val="22"/>
          <w:szCs w:val="22"/>
          <w:lang w:eastAsia="es-ES" w:bidi="es-ES"/>
        </w:rPr>
        <w:t>este evento</w:t>
      </w:r>
      <w:r w:rsidR="0080698A" w:rsidRPr="00620F45">
        <w:rPr>
          <w:rFonts w:ascii="Arial" w:eastAsia="Arial" w:hAnsi="Arial" w:cs="Arial"/>
          <w:bCs/>
          <w:sz w:val="22"/>
          <w:szCs w:val="22"/>
          <w:lang w:eastAsia="es-ES" w:bidi="es-ES"/>
        </w:rPr>
        <w:t xml:space="preserve"> </w:t>
      </w:r>
      <w:r w:rsidR="00B0289B" w:rsidRPr="00620F45">
        <w:rPr>
          <w:rFonts w:ascii="Arial" w:eastAsia="Arial" w:hAnsi="Arial" w:cs="Arial"/>
          <w:bCs/>
          <w:sz w:val="22"/>
          <w:szCs w:val="22"/>
          <w:lang w:eastAsia="es-ES" w:bidi="es-ES"/>
        </w:rPr>
        <w:t>el</w:t>
      </w:r>
      <w:r w:rsidR="0080698A" w:rsidRPr="00620F45">
        <w:rPr>
          <w:rFonts w:ascii="Arial" w:eastAsia="Arial" w:hAnsi="Arial" w:cs="Arial"/>
          <w:bCs/>
          <w:sz w:val="22"/>
          <w:szCs w:val="22"/>
          <w:lang w:eastAsia="es-ES" w:bidi="es-ES"/>
        </w:rPr>
        <w:t xml:space="preserve"> bien</w:t>
      </w:r>
      <w:r w:rsidR="00B0289B" w:rsidRPr="00620F45">
        <w:rPr>
          <w:rFonts w:ascii="Arial" w:eastAsia="Arial" w:hAnsi="Arial" w:cs="Arial"/>
          <w:bCs/>
          <w:sz w:val="22"/>
          <w:szCs w:val="22"/>
          <w:lang w:eastAsia="es-ES" w:bidi="es-ES"/>
        </w:rPr>
        <w:t xml:space="preserve"> relevante</w:t>
      </w:r>
      <w:r w:rsidR="0080698A" w:rsidRPr="00620F45">
        <w:rPr>
          <w:rFonts w:ascii="Arial" w:eastAsia="Arial" w:hAnsi="Arial" w:cs="Arial"/>
          <w:bCs/>
          <w:sz w:val="22"/>
          <w:szCs w:val="22"/>
          <w:lang w:eastAsia="es-ES" w:bidi="es-ES"/>
        </w:rPr>
        <w:t xml:space="preserve"> </w:t>
      </w:r>
      <w:r w:rsidR="00D1298E" w:rsidRPr="00620F45">
        <w:rPr>
          <w:rFonts w:ascii="Arial" w:eastAsia="Arial" w:hAnsi="Arial" w:cs="Arial"/>
          <w:bCs/>
          <w:sz w:val="22"/>
          <w:szCs w:val="22"/>
          <w:lang w:eastAsia="es-ES" w:bidi="es-ES"/>
        </w:rPr>
        <w:t xml:space="preserve">identificado </w:t>
      </w:r>
      <w:r w:rsidR="0080698A" w:rsidRPr="00620F45">
        <w:rPr>
          <w:rFonts w:ascii="Arial" w:eastAsia="Arial" w:hAnsi="Arial" w:cs="Arial"/>
          <w:bCs/>
          <w:sz w:val="22"/>
          <w:szCs w:val="22"/>
          <w:lang w:eastAsia="es-ES" w:bidi="es-ES"/>
        </w:rPr>
        <w:t xml:space="preserve">no podrá incluirse en </w:t>
      </w:r>
      <w:r w:rsidR="0098768F" w:rsidRPr="00620F45">
        <w:rPr>
          <w:rFonts w:ascii="Arial" w:eastAsia="Arial" w:hAnsi="Arial" w:cs="Arial"/>
          <w:bCs/>
          <w:sz w:val="22"/>
          <w:szCs w:val="22"/>
          <w:lang w:eastAsia="es-ES" w:bidi="es-ES"/>
        </w:rPr>
        <w:t>la opción 1 del</w:t>
      </w:r>
      <w:r w:rsidR="0080698A" w:rsidRPr="00620F45">
        <w:rPr>
          <w:rFonts w:ascii="Arial" w:eastAsia="Arial" w:hAnsi="Arial" w:cs="Arial"/>
          <w:bCs/>
          <w:sz w:val="22"/>
          <w:szCs w:val="22"/>
          <w:lang w:eastAsia="es-ES" w:bidi="es-ES"/>
        </w:rPr>
        <w:t xml:space="preserve"> numeral 4.4.1</w:t>
      </w:r>
      <w:r w:rsidR="00D7735D" w:rsidRPr="00620F45">
        <w:rPr>
          <w:rFonts w:ascii="Arial" w:eastAsia="Arial" w:hAnsi="Arial" w:cs="Arial"/>
          <w:bCs/>
          <w:sz w:val="22"/>
          <w:szCs w:val="22"/>
          <w:lang w:eastAsia="es-ES" w:bidi="es-ES"/>
        </w:rPr>
        <w:t xml:space="preserve"> </w:t>
      </w:r>
      <w:r w:rsidR="0098768F" w:rsidRPr="00620F45">
        <w:rPr>
          <w:rFonts w:ascii="Arial" w:eastAsia="Arial" w:hAnsi="Arial" w:cs="Arial"/>
          <w:bCs/>
          <w:sz w:val="22"/>
          <w:szCs w:val="22"/>
          <w:lang w:eastAsia="es-ES" w:bidi="es-ES"/>
        </w:rPr>
        <w:t>del documento base, pues no cumple con las condiciones expuesta</w:t>
      </w:r>
      <w:r w:rsidR="006E30F4" w:rsidRPr="00620F45">
        <w:rPr>
          <w:rFonts w:ascii="Arial" w:eastAsia="Arial" w:hAnsi="Arial" w:cs="Arial"/>
          <w:bCs/>
          <w:sz w:val="22"/>
          <w:szCs w:val="22"/>
          <w:lang w:eastAsia="es-ES" w:bidi="es-ES"/>
        </w:rPr>
        <w:t>s</w:t>
      </w:r>
      <w:r w:rsidR="0098768F" w:rsidRPr="00620F45">
        <w:rPr>
          <w:rFonts w:ascii="Arial" w:eastAsia="Arial" w:hAnsi="Arial" w:cs="Arial"/>
          <w:bCs/>
          <w:sz w:val="22"/>
          <w:szCs w:val="22"/>
          <w:lang w:eastAsia="es-ES" w:bidi="es-ES"/>
        </w:rPr>
        <w:t xml:space="preserve"> en el numeral 9 de la matriz para su incorporación</w:t>
      </w:r>
      <w:r w:rsidRPr="00620F45">
        <w:rPr>
          <w:rFonts w:ascii="Arial" w:eastAsia="Arial" w:hAnsi="Arial" w:cs="Arial"/>
          <w:bCs/>
          <w:sz w:val="22"/>
          <w:szCs w:val="22"/>
          <w:lang w:eastAsia="es-ES" w:bidi="es-ES"/>
        </w:rPr>
        <w:t>,</w:t>
      </w:r>
      <w:r w:rsidR="007E6355" w:rsidRPr="00620F45">
        <w:rPr>
          <w:rFonts w:ascii="Arial" w:eastAsia="Arial" w:hAnsi="Arial" w:cs="Arial"/>
          <w:bCs/>
          <w:sz w:val="22"/>
          <w:szCs w:val="22"/>
          <w:lang w:eastAsia="es-ES" w:bidi="es-ES"/>
        </w:rPr>
        <w:t xml:space="preserve"> en la medida en que la vigencia </w:t>
      </w:r>
      <w:r w:rsidRPr="00620F45">
        <w:rPr>
          <w:rFonts w:ascii="Arial" w:eastAsia="Arial" w:hAnsi="Arial" w:cs="Arial"/>
          <w:bCs/>
          <w:sz w:val="22"/>
          <w:szCs w:val="22"/>
          <w:lang w:eastAsia="es-ES" w:bidi="es-ES"/>
        </w:rPr>
        <w:t xml:space="preserve">del bien </w:t>
      </w:r>
      <w:r w:rsidR="007E6355" w:rsidRPr="00620F45">
        <w:rPr>
          <w:rFonts w:ascii="Arial" w:eastAsia="Arial" w:hAnsi="Arial" w:cs="Arial"/>
          <w:bCs/>
          <w:sz w:val="22"/>
          <w:szCs w:val="22"/>
          <w:lang w:eastAsia="es-ES" w:bidi="es-ES"/>
        </w:rPr>
        <w:t>no se extiende hasta una fecha posterior a la del cierre del proceso</w:t>
      </w:r>
      <w:r w:rsidR="0080698A" w:rsidRPr="00620F45">
        <w:rPr>
          <w:rFonts w:ascii="Arial" w:eastAsia="Arial" w:hAnsi="Arial" w:cs="Arial"/>
          <w:bCs/>
          <w:sz w:val="22"/>
          <w:szCs w:val="22"/>
          <w:lang w:eastAsia="es-ES" w:bidi="es-ES"/>
        </w:rPr>
        <w:t xml:space="preserve">. </w:t>
      </w:r>
      <w:r w:rsidR="00BB3EA1" w:rsidRPr="00620F45">
        <w:rPr>
          <w:rFonts w:ascii="Arial" w:eastAsia="Arial" w:hAnsi="Arial" w:cs="Arial"/>
          <w:bCs/>
          <w:sz w:val="22"/>
          <w:szCs w:val="22"/>
          <w:lang w:eastAsia="es-ES" w:bidi="es-ES"/>
        </w:rPr>
        <w:t xml:space="preserve">En este caso, </w:t>
      </w:r>
      <w:r w:rsidR="007E6355" w:rsidRPr="00620F45">
        <w:rPr>
          <w:rFonts w:ascii="Arial" w:eastAsia="Arial" w:hAnsi="Arial" w:cs="Arial"/>
          <w:bCs/>
          <w:sz w:val="22"/>
          <w:szCs w:val="22"/>
          <w:lang w:eastAsia="es-ES" w:bidi="es-ES"/>
        </w:rPr>
        <w:t xml:space="preserve">la entidad </w:t>
      </w:r>
      <w:r w:rsidR="0080698A" w:rsidRPr="00620F45">
        <w:rPr>
          <w:rFonts w:ascii="Arial" w:eastAsia="Arial" w:hAnsi="Arial" w:cs="Arial"/>
          <w:bCs/>
          <w:sz w:val="22"/>
          <w:szCs w:val="22"/>
          <w:lang w:eastAsia="es-ES" w:bidi="es-ES"/>
        </w:rPr>
        <w:t>aplicar</w:t>
      </w:r>
      <w:r w:rsidR="007E6355" w:rsidRPr="00620F45">
        <w:rPr>
          <w:rFonts w:ascii="Arial" w:eastAsia="Arial" w:hAnsi="Arial" w:cs="Arial"/>
          <w:bCs/>
          <w:sz w:val="22"/>
          <w:szCs w:val="22"/>
          <w:lang w:eastAsia="es-ES" w:bidi="es-ES"/>
        </w:rPr>
        <w:t>á</w:t>
      </w:r>
      <w:r w:rsidR="0080698A" w:rsidRPr="00620F45">
        <w:rPr>
          <w:rFonts w:ascii="Arial" w:eastAsia="Arial" w:hAnsi="Arial" w:cs="Arial"/>
          <w:bCs/>
          <w:sz w:val="22"/>
          <w:szCs w:val="22"/>
          <w:lang w:eastAsia="es-ES" w:bidi="es-ES"/>
        </w:rPr>
        <w:t xml:space="preserve"> lo dispuesto en el numeral 10</w:t>
      </w:r>
      <w:r w:rsidR="00330A6C" w:rsidRPr="00620F45">
        <w:rPr>
          <w:rFonts w:ascii="Arial" w:eastAsia="Arial" w:hAnsi="Arial" w:cs="Arial"/>
          <w:bCs/>
          <w:sz w:val="22"/>
          <w:szCs w:val="22"/>
          <w:lang w:eastAsia="es-ES" w:bidi="es-ES"/>
        </w:rPr>
        <w:t xml:space="preserve"> de la matriz</w:t>
      </w:r>
      <w:r w:rsidR="0080698A" w:rsidRPr="00620F45">
        <w:rPr>
          <w:rFonts w:ascii="Arial" w:eastAsia="Arial" w:hAnsi="Arial" w:cs="Arial"/>
          <w:bCs/>
          <w:sz w:val="22"/>
          <w:szCs w:val="22"/>
          <w:lang w:eastAsia="es-ES" w:bidi="es-ES"/>
        </w:rPr>
        <w:t xml:space="preserve"> según el </w:t>
      </w:r>
      <w:r w:rsidR="00BB3EA1" w:rsidRPr="00620F45">
        <w:rPr>
          <w:rFonts w:ascii="Arial" w:eastAsia="Arial" w:hAnsi="Arial" w:cs="Arial"/>
          <w:bCs/>
          <w:sz w:val="22"/>
          <w:szCs w:val="22"/>
          <w:lang w:eastAsia="es-ES" w:bidi="es-ES"/>
        </w:rPr>
        <w:t>cual</w:t>
      </w:r>
      <w:r w:rsidR="0080698A" w:rsidRPr="00620F45">
        <w:rPr>
          <w:rFonts w:ascii="Arial" w:eastAsia="Arial" w:hAnsi="Arial" w:cs="Arial"/>
          <w:bCs/>
          <w:sz w:val="22"/>
          <w:szCs w:val="22"/>
          <w:lang w:eastAsia="es-ES" w:bidi="es-ES"/>
        </w:rPr>
        <w:t xml:space="preserve"> </w:t>
      </w:r>
      <w:r w:rsidR="00D7735D" w:rsidRPr="00620F45">
        <w:rPr>
          <w:rFonts w:ascii="Arial" w:eastAsia="Arial" w:hAnsi="Arial" w:cs="Arial"/>
          <w:bCs/>
          <w:sz w:val="22"/>
          <w:szCs w:val="22"/>
          <w:lang w:eastAsia="es-ES" w:bidi="es-ES"/>
        </w:rPr>
        <w:t>si</w:t>
      </w:r>
      <w:r w:rsidR="0080698A" w:rsidRPr="00620F45">
        <w:rPr>
          <w:rFonts w:ascii="Arial" w:eastAsia="Arial" w:hAnsi="Arial" w:cs="Arial"/>
          <w:bCs/>
          <w:sz w:val="22"/>
          <w:szCs w:val="22"/>
          <w:lang w:eastAsia="es-ES" w:bidi="es-ES"/>
        </w:rPr>
        <w:t xml:space="preserve"> ninguno de los bienes relevantes están incluidos en el Registro de Productores de Bienes Nacionales, la </w:t>
      </w:r>
      <w:r w:rsidRPr="00620F45">
        <w:rPr>
          <w:rFonts w:ascii="Arial" w:eastAsia="Arial" w:hAnsi="Arial" w:cs="Arial"/>
          <w:bCs/>
          <w:sz w:val="22"/>
          <w:szCs w:val="22"/>
          <w:lang w:eastAsia="es-ES" w:bidi="es-ES"/>
        </w:rPr>
        <w:t>e</w:t>
      </w:r>
      <w:r w:rsidR="0080698A" w:rsidRPr="00620F45">
        <w:rPr>
          <w:rFonts w:ascii="Arial" w:eastAsia="Arial" w:hAnsi="Arial" w:cs="Arial"/>
          <w:bCs/>
          <w:sz w:val="22"/>
          <w:szCs w:val="22"/>
          <w:lang w:eastAsia="es-ES" w:bidi="es-ES"/>
        </w:rPr>
        <w:t>ntidad</w:t>
      </w:r>
      <w:r w:rsidRPr="00620F45">
        <w:rPr>
          <w:rFonts w:ascii="Arial" w:eastAsia="Arial" w:hAnsi="Arial" w:cs="Arial"/>
          <w:bCs/>
          <w:sz w:val="22"/>
          <w:szCs w:val="22"/>
          <w:lang w:eastAsia="es-ES" w:bidi="es-ES"/>
        </w:rPr>
        <w:t xml:space="preserve"> </w:t>
      </w:r>
      <w:r w:rsidR="0080698A" w:rsidRPr="00620F45">
        <w:rPr>
          <w:rFonts w:ascii="Arial" w:eastAsia="Arial" w:hAnsi="Arial" w:cs="Arial"/>
          <w:bCs/>
          <w:sz w:val="22"/>
          <w:szCs w:val="22"/>
          <w:lang w:eastAsia="es-ES" w:bidi="es-ES"/>
        </w:rPr>
        <w:t xml:space="preserve">otorgará el puntaje a los </w:t>
      </w:r>
      <w:r w:rsidR="00BB3EA1" w:rsidRPr="00620F45">
        <w:rPr>
          <w:rFonts w:ascii="Arial" w:eastAsia="Arial" w:hAnsi="Arial" w:cs="Arial"/>
          <w:bCs/>
          <w:sz w:val="22"/>
          <w:szCs w:val="22"/>
          <w:lang w:eastAsia="es-ES" w:bidi="es-ES"/>
        </w:rPr>
        <w:t>p</w:t>
      </w:r>
      <w:r w:rsidR="0080698A" w:rsidRPr="00620F45">
        <w:rPr>
          <w:rFonts w:ascii="Arial" w:eastAsia="Arial" w:hAnsi="Arial" w:cs="Arial"/>
          <w:bCs/>
          <w:sz w:val="22"/>
          <w:szCs w:val="22"/>
          <w:lang w:eastAsia="es-ES" w:bidi="es-ES"/>
        </w:rPr>
        <w:t>roponentes que se comprometan a vincular un porcentaje de empleados o contratistas por prestación de servicios colombianos</w:t>
      </w:r>
      <w:r w:rsidR="00BB3EA1" w:rsidRPr="00620F45">
        <w:rPr>
          <w:rFonts w:ascii="Arial" w:eastAsia="Arial" w:hAnsi="Arial" w:cs="Arial"/>
          <w:bCs/>
          <w:sz w:val="22"/>
          <w:szCs w:val="22"/>
          <w:lang w:eastAsia="es-ES" w:bidi="es-ES"/>
        </w:rPr>
        <w:t xml:space="preserve"> del personal requerido para el cumplimiento del contrato,</w:t>
      </w:r>
      <w:r w:rsidR="007E6355" w:rsidRPr="00620F45">
        <w:rPr>
          <w:rFonts w:ascii="Arial" w:eastAsia="Arial" w:hAnsi="Arial" w:cs="Arial"/>
          <w:bCs/>
          <w:sz w:val="22"/>
          <w:szCs w:val="22"/>
          <w:lang w:eastAsia="es-ES" w:bidi="es-ES"/>
        </w:rPr>
        <w:t xml:space="preserve"> porcentaje que</w:t>
      </w:r>
      <w:r w:rsidRPr="00620F45">
        <w:rPr>
          <w:rFonts w:ascii="Arial" w:eastAsia="Arial" w:hAnsi="Arial" w:cs="Arial"/>
          <w:bCs/>
          <w:sz w:val="22"/>
          <w:szCs w:val="22"/>
          <w:lang w:eastAsia="es-ES" w:bidi="es-ES"/>
        </w:rPr>
        <w:t xml:space="preserve"> no podrá ser menor al 40%</w:t>
      </w:r>
      <w:r w:rsidR="00BB3EA1" w:rsidRPr="00620F45">
        <w:rPr>
          <w:rFonts w:ascii="Arial" w:eastAsia="Arial" w:hAnsi="Arial" w:cs="Arial"/>
          <w:bCs/>
          <w:sz w:val="22"/>
          <w:szCs w:val="22"/>
          <w:lang w:eastAsia="es-ES" w:bidi="es-ES"/>
        </w:rPr>
        <w:t xml:space="preserve"> </w:t>
      </w:r>
      <w:r w:rsidR="007E6355" w:rsidRPr="00620F45">
        <w:rPr>
          <w:rFonts w:ascii="Arial" w:eastAsia="Arial" w:hAnsi="Arial" w:cs="Arial"/>
          <w:bCs/>
          <w:sz w:val="22"/>
          <w:szCs w:val="22"/>
          <w:lang w:eastAsia="es-ES" w:bidi="es-ES"/>
        </w:rPr>
        <w:t>de conformidad con las instrucciones de la opción 2 del numeral 4.4.1 del documento base</w:t>
      </w:r>
      <w:r w:rsidRPr="00620F45">
        <w:rPr>
          <w:rStyle w:val="Refdenotaalpie"/>
          <w:rFonts w:ascii="Arial" w:eastAsia="Arial" w:hAnsi="Arial" w:cs="Arial"/>
          <w:bCs/>
          <w:sz w:val="22"/>
          <w:szCs w:val="22"/>
          <w:lang w:eastAsia="es-ES" w:bidi="es-ES"/>
        </w:rPr>
        <w:footnoteReference w:id="19"/>
      </w:r>
      <w:r w:rsidR="007E6355" w:rsidRPr="00620F45">
        <w:rPr>
          <w:rFonts w:ascii="Arial" w:eastAsia="Arial" w:hAnsi="Arial" w:cs="Arial"/>
          <w:bCs/>
          <w:sz w:val="22"/>
          <w:szCs w:val="22"/>
          <w:lang w:eastAsia="es-ES" w:bidi="es-ES"/>
        </w:rPr>
        <w:t xml:space="preserve">. </w:t>
      </w:r>
    </w:p>
    <w:p w14:paraId="1358E190" w14:textId="37C91702" w:rsidR="00294E1D" w:rsidRPr="00620F45" w:rsidRDefault="00294E1D" w:rsidP="004C5CCC">
      <w:pPr>
        <w:widowControl w:val="0"/>
        <w:autoSpaceDE w:val="0"/>
        <w:autoSpaceDN w:val="0"/>
        <w:spacing w:before="120" w:line="276" w:lineRule="auto"/>
        <w:ind w:firstLine="709"/>
        <w:jc w:val="both"/>
        <w:rPr>
          <w:rFonts w:ascii="Arial" w:eastAsia="Arial" w:hAnsi="Arial" w:cs="Arial"/>
          <w:bCs/>
          <w:sz w:val="22"/>
          <w:szCs w:val="22"/>
          <w:lang w:eastAsia="es-ES" w:bidi="es-ES"/>
        </w:rPr>
      </w:pPr>
      <w:r w:rsidRPr="00620F45">
        <w:rPr>
          <w:rFonts w:ascii="Arial" w:eastAsia="Arial" w:hAnsi="Arial" w:cs="Arial"/>
          <w:bCs/>
          <w:sz w:val="22"/>
          <w:szCs w:val="22"/>
          <w:lang w:eastAsia="es-ES" w:bidi="es-ES"/>
        </w:rPr>
        <w:t xml:space="preserve">De esta manera, en los documentos tipo los aspectos relacionados con la vigencia de los bienes relevantes nacionales </w:t>
      </w:r>
      <w:r w:rsidR="007D2CE7" w:rsidRPr="00620F45">
        <w:rPr>
          <w:rFonts w:ascii="Arial" w:eastAsia="Arial" w:hAnsi="Arial" w:cs="Arial"/>
          <w:bCs/>
          <w:sz w:val="22"/>
          <w:szCs w:val="22"/>
          <w:lang w:eastAsia="es-ES" w:bidi="es-ES"/>
        </w:rPr>
        <w:t>incluidos en</w:t>
      </w:r>
      <w:r w:rsidRPr="00620F45">
        <w:rPr>
          <w:rFonts w:ascii="Arial" w:eastAsia="Arial" w:hAnsi="Arial" w:cs="Arial"/>
          <w:bCs/>
          <w:sz w:val="22"/>
          <w:szCs w:val="22"/>
          <w:lang w:eastAsia="es-ES" w:bidi="es-ES"/>
        </w:rPr>
        <w:t xml:space="preserve"> el Registro de Productores de Bienes Nacionales</w:t>
      </w:r>
      <w:r w:rsidR="00F72AA0" w:rsidRPr="00620F45">
        <w:rPr>
          <w:rFonts w:ascii="Arial" w:eastAsia="Arial" w:hAnsi="Arial" w:cs="Arial"/>
          <w:bCs/>
          <w:sz w:val="22"/>
          <w:szCs w:val="22"/>
          <w:lang w:eastAsia="es-ES" w:bidi="es-ES"/>
        </w:rPr>
        <w:t xml:space="preserve"> durante el proceso de contratación</w:t>
      </w:r>
      <w:r w:rsidRPr="00620F45">
        <w:rPr>
          <w:rFonts w:ascii="Arial" w:eastAsia="Arial" w:hAnsi="Arial" w:cs="Arial"/>
          <w:bCs/>
          <w:sz w:val="22"/>
          <w:szCs w:val="22"/>
          <w:lang w:eastAsia="es-ES" w:bidi="es-ES"/>
        </w:rPr>
        <w:t>, deberá</w:t>
      </w:r>
      <w:r w:rsidR="007D2CE7" w:rsidRPr="00620F45">
        <w:rPr>
          <w:rFonts w:ascii="Arial" w:eastAsia="Arial" w:hAnsi="Arial" w:cs="Arial"/>
          <w:bCs/>
          <w:sz w:val="22"/>
          <w:szCs w:val="22"/>
          <w:lang w:eastAsia="es-ES" w:bidi="es-ES"/>
        </w:rPr>
        <w:t>n</w:t>
      </w:r>
      <w:r w:rsidRPr="00620F45">
        <w:rPr>
          <w:rFonts w:ascii="Arial" w:eastAsia="Arial" w:hAnsi="Arial" w:cs="Arial"/>
          <w:bCs/>
          <w:sz w:val="22"/>
          <w:szCs w:val="22"/>
          <w:lang w:eastAsia="es-ES" w:bidi="es-ES"/>
        </w:rPr>
        <w:t xml:space="preserve"> verificarse de acuerdo con lo señalado en el numeral 9 de la </w:t>
      </w:r>
      <w:r w:rsidRPr="00620F45">
        <w:rPr>
          <w:rFonts w:ascii="Arial" w:eastAsia="Calibri" w:hAnsi="Arial" w:cs="Arial"/>
          <w:bCs/>
          <w:color w:val="000000"/>
          <w:sz w:val="22"/>
          <w:szCs w:val="22"/>
          <w:lang w:val="es-ES_tradnl" w:eastAsia="en-US"/>
        </w:rPr>
        <w:t>«</w:t>
      </w:r>
      <w:r w:rsidRPr="00620F45">
        <w:rPr>
          <w:rFonts w:ascii="Arial" w:eastAsia="Arial" w:hAnsi="Arial" w:cs="Arial"/>
          <w:bCs/>
          <w:sz w:val="22"/>
          <w:szCs w:val="22"/>
          <w:lang w:eastAsia="es-ES" w:bidi="es-ES"/>
        </w:rPr>
        <w:t>Matriz 3 – Bienes nacionales relevantes para la obra pública de infraestructura social</w:t>
      </w:r>
      <w:r w:rsidRPr="00620F45">
        <w:rPr>
          <w:rFonts w:ascii="Arial" w:eastAsia="Calibri" w:hAnsi="Arial" w:cs="Arial"/>
          <w:bCs/>
          <w:color w:val="000000"/>
          <w:sz w:val="22"/>
          <w:szCs w:val="22"/>
          <w:lang w:val="es-ES_tradnl" w:eastAsia="en-US"/>
        </w:rPr>
        <w:t xml:space="preserve">». </w:t>
      </w:r>
      <w:r w:rsidR="009F5082" w:rsidRPr="00620F45">
        <w:rPr>
          <w:rFonts w:ascii="Arial" w:eastAsia="Calibri" w:hAnsi="Arial" w:cs="Arial"/>
          <w:bCs/>
          <w:color w:val="000000"/>
          <w:sz w:val="22"/>
          <w:szCs w:val="22"/>
          <w:lang w:val="es-ES_tradnl" w:eastAsia="en-US"/>
        </w:rPr>
        <w:t>En este sentido</w:t>
      </w:r>
      <w:r w:rsidRPr="00620F45">
        <w:rPr>
          <w:rFonts w:ascii="Arial" w:eastAsia="Calibri" w:hAnsi="Arial" w:cs="Arial"/>
          <w:bCs/>
          <w:color w:val="000000"/>
          <w:sz w:val="22"/>
          <w:szCs w:val="22"/>
          <w:lang w:val="es-ES_tradnl" w:eastAsia="en-US"/>
        </w:rPr>
        <w:t>, su incorporación en el documento base estará supeditada a</w:t>
      </w:r>
      <w:r w:rsidR="007D2CE7" w:rsidRPr="00620F45">
        <w:rPr>
          <w:rFonts w:ascii="Arial" w:eastAsia="Calibri" w:hAnsi="Arial" w:cs="Arial"/>
          <w:bCs/>
          <w:color w:val="000000"/>
          <w:sz w:val="22"/>
          <w:szCs w:val="22"/>
          <w:lang w:val="es-ES_tradnl" w:eastAsia="en-US"/>
        </w:rPr>
        <w:t xml:space="preserve"> que el registro de estos bienes </w:t>
      </w:r>
      <w:r w:rsidR="007D2CE7" w:rsidRPr="00620F45">
        <w:rPr>
          <w:rFonts w:ascii="Arial" w:eastAsia="Arial" w:hAnsi="Arial" w:cs="Arial"/>
          <w:bCs/>
          <w:sz w:val="22"/>
          <w:szCs w:val="22"/>
          <w:lang w:eastAsia="es-ES" w:bidi="es-ES"/>
        </w:rPr>
        <w:t>esté vigente hasta una fecha posterior a la del cierre del proceso</w:t>
      </w:r>
      <w:r w:rsidR="009F5082" w:rsidRPr="00620F45">
        <w:rPr>
          <w:rFonts w:ascii="Arial" w:eastAsia="Arial" w:hAnsi="Arial" w:cs="Arial"/>
          <w:bCs/>
          <w:sz w:val="22"/>
          <w:szCs w:val="22"/>
          <w:lang w:eastAsia="es-ES" w:bidi="es-ES"/>
        </w:rPr>
        <w:t xml:space="preserve">, </w:t>
      </w:r>
      <w:r w:rsidR="00E83A63" w:rsidRPr="00620F45">
        <w:rPr>
          <w:rFonts w:ascii="Arial" w:eastAsia="Arial" w:hAnsi="Arial" w:cs="Arial"/>
          <w:bCs/>
          <w:sz w:val="22"/>
          <w:szCs w:val="22"/>
          <w:lang w:eastAsia="es-ES" w:bidi="es-ES"/>
        </w:rPr>
        <w:t>caso en el cual se deberán tener en cuenta para la aplicación del puntaje</w:t>
      </w:r>
      <w:r w:rsidR="006E30F4" w:rsidRPr="00620F45">
        <w:rPr>
          <w:rFonts w:ascii="Arial" w:eastAsia="Arial" w:hAnsi="Arial" w:cs="Arial"/>
          <w:bCs/>
          <w:sz w:val="22"/>
          <w:szCs w:val="22"/>
          <w:lang w:eastAsia="es-ES" w:bidi="es-ES"/>
        </w:rPr>
        <w:t>,</w:t>
      </w:r>
      <w:r w:rsidR="00E83A63" w:rsidRPr="00620F45">
        <w:rPr>
          <w:rFonts w:ascii="Arial" w:eastAsia="Arial" w:hAnsi="Arial" w:cs="Arial"/>
          <w:bCs/>
          <w:sz w:val="22"/>
          <w:szCs w:val="22"/>
          <w:lang w:eastAsia="es-ES" w:bidi="es-ES"/>
        </w:rPr>
        <w:t xml:space="preserve"> conforme lo señala la opción 1 del numeral 4.4.1. En caso contrario, </w:t>
      </w:r>
      <w:r w:rsidR="009F5082" w:rsidRPr="00620F45">
        <w:rPr>
          <w:rFonts w:ascii="Arial" w:eastAsia="Arial" w:hAnsi="Arial" w:cs="Arial"/>
          <w:bCs/>
          <w:sz w:val="22"/>
          <w:szCs w:val="22"/>
          <w:lang w:eastAsia="es-ES" w:bidi="es-ES"/>
        </w:rPr>
        <w:t xml:space="preserve">el puntaje se otorgará </w:t>
      </w:r>
      <w:r w:rsidR="00105A09" w:rsidRPr="00620F45">
        <w:rPr>
          <w:rFonts w:ascii="Arial" w:eastAsia="Arial" w:hAnsi="Arial" w:cs="Arial"/>
          <w:bCs/>
          <w:sz w:val="22"/>
          <w:szCs w:val="22"/>
          <w:lang w:eastAsia="es-ES" w:bidi="es-ES"/>
        </w:rPr>
        <w:t>teniendo en cuenta el porcentaje de empleados o contratistas que se comprometa a cumplir por prestación de servicios colombianos del personal requerido para el cumplimiento del contrato</w:t>
      </w:r>
      <w:r w:rsidR="00E83A63" w:rsidRPr="00620F45">
        <w:rPr>
          <w:rFonts w:ascii="Arial" w:eastAsia="Arial" w:hAnsi="Arial" w:cs="Arial"/>
          <w:bCs/>
          <w:sz w:val="22"/>
          <w:szCs w:val="22"/>
          <w:lang w:eastAsia="es-ES" w:bidi="es-ES"/>
        </w:rPr>
        <w:t xml:space="preserve">, de acuerdo con la opción 2. </w:t>
      </w:r>
    </w:p>
    <w:p w14:paraId="4F4F3073" w14:textId="403B341F" w:rsidR="00984D1A" w:rsidRPr="00B7032A" w:rsidRDefault="00B0289B" w:rsidP="00BB3EA1">
      <w:pPr>
        <w:widowControl w:val="0"/>
        <w:autoSpaceDE w:val="0"/>
        <w:autoSpaceDN w:val="0"/>
        <w:spacing w:before="120" w:line="276" w:lineRule="auto"/>
        <w:ind w:firstLine="709"/>
        <w:jc w:val="both"/>
        <w:rPr>
          <w:rFonts w:ascii="Arial" w:eastAsia="Arial" w:hAnsi="Arial" w:cs="Arial"/>
          <w:bCs/>
          <w:sz w:val="22"/>
          <w:szCs w:val="22"/>
          <w:lang w:eastAsia="es-ES" w:bidi="es-ES"/>
        </w:rPr>
      </w:pPr>
      <w:r w:rsidRPr="00620F45">
        <w:rPr>
          <w:rFonts w:ascii="Arial" w:eastAsia="Arial" w:hAnsi="Arial" w:cs="Arial"/>
          <w:bCs/>
          <w:sz w:val="22"/>
          <w:szCs w:val="22"/>
          <w:lang w:eastAsia="es-ES" w:bidi="es-ES"/>
        </w:rPr>
        <w:t>Por</w:t>
      </w:r>
      <w:r w:rsidR="00105A09" w:rsidRPr="00620F45">
        <w:rPr>
          <w:rFonts w:ascii="Arial" w:eastAsia="Arial" w:hAnsi="Arial" w:cs="Arial"/>
          <w:bCs/>
          <w:sz w:val="22"/>
          <w:szCs w:val="22"/>
          <w:lang w:eastAsia="es-ES" w:bidi="es-ES"/>
        </w:rPr>
        <w:t xml:space="preserve"> otro lado</w:t>
      </w:r>
      <w:r w:rsidR="0080698A" w:rsidRPr="00620F45">
        <w:rPr>
          <w:rFonts w:ascii="Arial" w:eastAsia="Arial" w:hAnsi="Arial" w:cs="Arial"/>
          <w:bCs/>
          <w:sz w:val="22"/>
          <w:szCs w:val="22"/>
          <w:lang w:eastAsia="es-ES" w:bidi="es-ES"/>
        </w:rPr>
        <w:t>,</w:t>
      </w:r>
      <w:r w:rsidR="00105A09" w:rsidRPr="00620F45">
        <w:rPr>
          <w:rFonts w:ascii="Arial" w:eastAsia="Arial" w:hAnsi="Arial" w:cs="Arial"/>
          <w:bCs/>
          <w:sz w:val="22"/>
          <w:szCs w:val="22"/>
          <w:lang w:eastAsia="es-ES" w:bidi="es-ES"/>
        </w:rPr>
        <w:t xml:space="preserve"> en la consulta se pregunta </w:t>
      </w:r>
      <w:r w:rsidR="00984D1A" w:rsidRPr="00620F45">
        <w:rPr>
          <w:rFonts w:ascii="Arial" w:eastAsia="Arial" w:hAnsi="Arial" w:cs="Arial"/>
          <w:bCs/>
          <w:sz w:val="22"/>
          <w:szCs w:val="22"/>
          <w:lang w:eastAsia="es-ES" w:bidi="es-ES"/>
        </w:rPr>
        <w:t xml:space="preserve">sobre la forma en la que debe </w:t>
      </w:r>
      <w:r w:rsidR="00105A09" w:rsidRPr="00620F45">
        <w:rPr>
          <w:rFonts w:ascii="Arial" w:eastAsia="Arial" w:hAnsi="Arial" w:cs="Arial"/>
          <w:bCs/>
          <w:sz w:val="22"/>
          <w:szCs w:val="22"/>
          <w:lang w:eastAsia="es-ES" w:bidi="es-ES"/>
        </w:rPr>
        <w:t xml:space="preserve">proceder la </w:t>
      </w:r>
      <w:r w:rsidR="00984D1A" w:rsidRPr="00620F45">
        <w:rPr>
          <w:rFonts w:ascii="Arial" w:eastAsia="Arial" w:hAnsi="Arial" w:cs="Arial"/>
          <w:bCs/>
          <w:sz w:val="22"/>
          <w:szCs w:val="22"/>
          <w:lang w:eastAsia="es-ES" w:bidi="es-ES"/>
        </w:rPr>
        <w:lastRenderedPageBreak/>
        <w:t>e</w:t>
      </w:r>
      <w:r w:rsidR="00105A09" w:rsidRPr="00620F45">
        <w:rPr>
          <w:rFonts w:ascii="Arial" w:eastAsia="Arial" w:hAnsi="Arial" w:cs="Arial"/>
          <w:bCs/>
          <w:sz w:val="22"/>
          <w:szCs w:val="22"/>
          <w:lang w:eastAsia="es-ES" w:bidi="es-ES"/>
        </w:rPr>
        <w:t xml:space="preserve">ntidad cuando el registro de uno de los </w:t>
      </w:r>
      <w:r w:rsidR="00984D1A" w:rsidRPr="00620F45">
        <w:rPr>
          <w:rFonts w:ascii="Arial" w:eastAsia="Arial" w:hAnsi="Arial" w:cs="Arial"/>
          <w:bCs/>
          <w:sz w:val="22"/>
          <w:szCs w:val="22"/>
          <w:lang w:eastAsia="es-ES" w:bidi="es-ES"/>
        </w:rPr>
        <w:t>b</w:t>
      </w:r>
      <w:r w:rsidR="00105A09" w:rsidRPr="00620F45">
        <w:rPr>
          <w:rFonts w:ascii="Arial" w:eastAsia="Arial" w:hAnsi="Arial" w:cs="Arial"/>
          <w:bCs/>
          <w:sz w:val="22"/>
          <w:szCs w:val="22"/>
          <w:lang w:eastAsia="es-ES" w:bidi="es-ES"/>
        </w:rPr>
        <w:t xml:space="preserve">ienes </w:t>
      </w:r>
      <w:r w:rsidR="00984D1A" w:rsidRPr="00620F45">
        <w:rPr>
          <w:rFonts w:ascii="Arial" w:eastAsia="Arial" w:hAnsi="Arial" w:cs="Arial"/>
          <w:bCs/>
          <w:sz w:val="22"/>
          <w:szCs w:val="22"/>
          <w:lang w:eastAsia="es-ES" w:bidi="es-ES"/>
        </w:rPr>
        <w:t>relevantes</w:t>
      </w:r>
      <w:r w:rsidR="00105A09" w:rsidRPr="00620F45">
        <w:rPr>
          <w:rFonts w:ascii="Arial" w:eastAsia="Arial" w:hAnsi="Arial" w:cs="Arial"/>
          <w:bCs/>
          <w:sz w:val="22"/>
          <w:szCs w:val="22"/>
          <w:lang w:eastAsia="es-ES" w:bidi="es-ES"/>
        </w:rPr>
        <w:t xml:space="preserve"> vence durante el plazo de ejecución contractual</w:t>
      </w:r>
      <w:r w:rsidR="00984D1A" w:rsidRPr="00620F45">
        <w:rPr>
          <w:rFonts w:ascii="Arial" w:eastAsia="Arial" w:hAnsi="Arial" w:cs="Arial"/>
          <w:bCs/>
          <w:sz w:val="22"/>
          <w:szCs w:val="22"/>
          <w:lang w:eastAsia="es-ES" w:bidi="es-ES"/>
        </w:rPr>
        <w:t>. Sobre el particular,</w:t>
      </w:r>
      <w:r w:rsidR="00F72AA0" w:rsidRPr="00620F45">
        <w:rPr>
          <w:rFonts w:ascii="Arial" w:eastAsia="Arial" w:hAnsi="Arial" w:cs="Arial"/>
          <w:bCs/>
          <w:sz w:val="22"/>
          <w:szCs w:val="22"/>
          <w:lang w:eastAsia="es-ES" w:bidi="es-ES"/>
        </w:rPr>
        <w:t xml:space="preserve"> conviene resaltar </w:t>
      </w:r>
      <w:r w:rsidR="00984D1A" w:rsidRPr="00620F45">
        <w:rPr>
          <w:rFonts w:ascii="Arial" w:eastAsia="Arial" w:hAnsi="Arial" w:cs="Arial"/>
          <w:bCs/>
          <w:sz w:val="22"/>
          <w:szCs w:val="22"/>
          <w:lang w:eastAsia="es-ES" w:bidi="es-ES"/>
        </w:rPr>
        <w:t>que la cláusula 9 del</w:t>
      </w:r>
      <w:r w:rsidR="00E83A63" w:rsidRPr="00620F45">
        <w:rPr>
          <w:rFonts w:ascii="Arial" w:eastAsia="Arial" w:hAnsi="Arial" w:cs="Arial"/>
          <w:bCs/>
          <w:sz w:val="22"/>
          <w:szCs w:val="22"/>
          <w:lang w:eastAsia="es-ES" w:bidi="es-ES"/>
        </w:rPr>
        <w:t xml:space="preserve"> </w:t>
      </w:r>
      <w:r w:rsidR="00E83A63" w:rsidRPr="00620F45">
        <w:rPr>
          <w:rFonts w:ascii="Arial" w:eastAsia="Calibri" w:hAnsi="Arial" w:cs="Arial"/>
          <w:bCs/>
          <w:color w:val="000000"/>
          <w:sz w:val="22"/>
          <w:szCs w:val="22"/>
          <w:lang w:val="es-ES_tradnl" w:eastAsia="en-US"/>
        </w:rPr>
        <w:t>«</w:t>
      </w:r>
      <w:r w:rsidR="00984D1A" w:rsidRPr="00620F45">
        <w:rPr>
          <w:rFonts w:ascii="Arial" w:eastAsia="Arial" w:hAnsi="Arial" w:cs="Arial"/>
          <w:bCs/>
          <w:sz w:val="22"/>
          <w:szCs w:val="22"/>
          <w:lang w:eastAsia="es-ES" w:bidi="es-ES"/>
        </w:rPr>
        <w:t xml:space="preserve">Anexo 4 – Minuta del </w:t>
      </w:r>
      <w:r w:rsidR="00F72AA0" w:rsidRPr="00620F45">
        <w:rPr>
          <w:rFonts w:ascii="Arial" w:eastAsia="Arial" w:hAnsi="Arial" w:cs="Arial"/>
          <w:bCs/>
          <w:sz w:val="22"/>
          <w:szCs w:val="22"/>
          <w:lang w:eastAsia="es-ES" w:bidi="es-ES"/>
        </w:rPr>
        <w:t>C</w:t>
      </w:r>
      <w:r w:rsidR="00984D1A" w:rsidRPr="00620F45">
        <w:rPr>
          <w:rFonts w:ascii="Arial" w:eastAsia="Arial" w:hAnsi="Arial" w:cs="Arial"/>
          <w:bCs/>
          <w:sz w:val="22"/>
          <w:szCs w:val="22"/>
          <w:lang w:eastAsia="es-ES" w:bidi="es-ES"/>
        </w:rPr>
        <w:t>ontrato</w:t>
      </w:r>
      <w:r w:rsidR="00E83A63" w:rsidRPr="00620F45">
        <w:rPr>
          <w:rFonts w:ascii="Arial" w:eastAsia="Calibri" w:hAnsi="Arial" w:cs="Arial"/>
          <w:bCs/>
          <w:color w:val="000000"/>
          <w:sz w:val="22"/>
          <w:szCs w:val="22"/>
          <w:lang w:val="es-ES_tradnl" w:eastAsia="en-US"/>
        </w:rPr>
        <w:t>»</w:t>
      </w:r>
      <w:r w:rsidR="00F72AA0" w:rsidRPr="00620F45">
        <w:rPr>
          <w:rFonts w:ascii="Arial" w:eastAsia="Arial" w:hAnsi="Arial" w:cs="Arial"/>
          <w:bCs/>
          <w:sz w:val="22"/>
          <w:szCs w:val="22"/>
          <w:lang w:eastAsia="es-ES" w:bidi="es-ES"/>
        </w:rPr>
        <w:t xml:space="preserve"> contempla varios supuestos en los que el contratista quedará exento de cumplir con las obligaciones relacionadas con la utilización de bienes nacionales relevantes durante la ejecución el contrato</w:t>
      </w:r>
      <w:r w:rsidR="00264770" w:rsidRPr="00620F45">
        <w:rPr>
          <w:rFonts w:ascii="Arial" w:eastAsia="Arial" w:hAnsi="Arial" w:cs="Arial"/>
          <w:bCs/>
          <w:sz w:val="22"/>
          <w:szCs w:val="22"/>
          <w:lang w:eastAsia="es-ES" w:bidi="es-ES"/>
        </w:rPr>
        <w:t>,</w:t>
      </w:r>
      <w:r w:rsidR="00F72AA0" w:rsidRPr="00620F45">
        <w:rPr>
          <w:rFonts w:ascii="Arial" w:eastAsia="Arial" w:hAnsi="Arial" w:cs="Arial"/>
          <w:bCs/>
          <w:sz w:val="22"/>
          <w:szCs w:val="22"/>
          <w:lang w:eastAsia="es-ES" w:bidi="es-ES"/>
        </w:rPr>
        <w:t xml:space="preserve"> así:</w:t>
      </w:r>
      <w:r w:rsidR="00F72AA0" w:rsidRPr="00B7032A">
        <w:rPr>
          <w:rFonts w:ascii="Arial" w:eastAsia="Arial" w:hAnsi="Arial" w:cs="Arial"/>
          <w:bCs/>
          <w:sz w:val="22"/>
          <w:szCs w:val="22"/>
          <w:lang w:eastAsia="es-ES" w:bidi="es-ES"/>
        </w:rPr>
        <w:t xml:space="preserve"> </w:t>
      </w:r>
    </w:p>
    <w:p w14:paraId="0323BA2C" w14:textId="77777777" w:rsidR="00F72AA0" w:rsidRPr="00B7032A" w:rsidRDefault="00F72AA0" w:rsidP="00437461">
      <w:pPr>
        <w:widowControl w:val="0"/>
        <w:autoSpaceDE w:val="0"/>
        <w:autoSpaceDN w:val="0"/>
        <w:spacing w:line="276" w:lineRule="auto"/>
        <w:ind w:firstLine="709"/>
        <w:jc w:val="both"/>
        <w:rPr>
          <w:rFonts w:ascii="Arial" w:eastAsia="Arial" w:hAnsi="Arial" w:cs="Arial"/>
          <w:bCs/>
          <w:sz w:val="22"/>
          <w:szCs w:val="22"/>
          <w:lang w:eastAsia="es-ES" w:bidi="es-ES"/>
        </w:rPr>
      </w:pPr>
    </w:p>
    <w:p w14:paraId="38A93C77" w14:textId="3CD30B11" w:rsidR="00F72AA0" w:rsidRPr="00B7032A" w:rsidRDefault="00F72AA0" w:rsidP="00F72AA0">
      <w:pPr>
        <w:ind w:left="709" w:right="709"/>
        <w:jc w:val="both"/>
        <w:rPr>
          <w:rFonts w:ascii="Arial" w:eastAsia="Arial" w:hAnsi="Arial" w:cs="Arial"/>
          <w:bCs/>
          <w:iCs/>
          <w:sz w:val="21"/>
          <w:szCs w:val="21"/>
          <w:lang w:eastAsia="en-US"/>
        </w:rPr>
      </w:pPr>
      <w:r w:rsidRPr="00B7032A">
        <w:rPr>
          <w:rFonts w:ascii="Arial" w:eastAsia="Arial" w:hAnsi="Arial" w:cs="Arial"/>
          <w:bCs/>
          <w:iCs/>
          <w:sz w:val="21"/>
          <w:szCs w:val="21"/>
          <w:shd w:val="clear" w:color="auto" w:fill="B5B5B5" w:themeFill="background2" w:themeFillShade="BF"/>
          <w:lang w:eastAsia="en-US"/>
        </w:rPr>
        <w:t>[Incluir el siguiente parágrafo en caso de que se ofrezcan bienes nacionales relevantes</w:t>
      </w:r>
      <w:r w:rsidRPr="00B7032A">
        <w:rPr>
          <w:rFonts w:ascii="Arial" w:eastAsia="Arial" w:hAnsi="Arial" w:cs="Arial"/>
          <w:bCs/>
          <w:iCs/>
          <w:sz w:val="21"/>
          <w:szCs w:val="21"/>
          <w:lang w:eastAsia="en-US"/>
        </w:rPr>
        <w:t>] Parágrafo: En caso de que el Contratista incorpore bienes nacionales relevantes durante la ejecución del contrato, quedará exento de cumplir con las obligaciones relacionadas con su utilización cuando se de alguno de los siguientes supuestos:</w:t>
      </w:r>
    </w:p>
    <w:p w14:paraId="075C6D43" w14:textId="77777777" w:rsidR="00264770" w:rsidRPr="00B7032A" w:rsidRDefault="00264770" w:rsidP="00F72AA0">
      <w:pPr>
        <w:ind w:left="709" w:right="709"/>
        <w:jc w:val="both"/>
        <w:rPr>
          <w:rFonts w:ascii="Arial" w:eastAsia="Arial" w:hAnsi="Arial" w:cs="Arial"/>
          <w:bCs/>
          <w:iCs/>
          <w:sz w:val="21"/>
          <w:szCs w:val="21"/>
          <w:lang w:eastAsia="en-US"/>
        </w:rPr>
      </w:pPr>
    </w:p>
    <w:p w14:paraId="4F816D48" w14:textId="0ECB062A" w:rsidR="00F72AA0" w:rsidRPr="00B7032A" w:rsidRDefault="00F72AA0" w:rsidP="00264770">
      <w:pPr>
        <w:pStyle w:val="Prrafodelista"/>
        <w:numPr>
          <w:ilvl w:val="0"/>
          <w:numId w:val="46"/>
        </w:numPr>
        <w:ind w:right="709" w:hanging="295"/>
        <w:jc w:val="both"/>
        <w:rPr>
          <w:rFonts w:ascii="Arial" w:eastAsia="Arial" w:hAnsi="Arial" w:cs="Arial"/>
          <w:bCs/>
          <w:iCs/>
          <w:sz w:val="21"/>
          <w:szCs w:val="21"/>
        </w:rPr>
      </w:pPr>
      <w:r w:rsidRPr="00B7032A">
        <w:rPr>
          <w:rFonts w:ascii="Arial" w:eastAsia="Arial" w:hAnsi="Arial" w:cs="Arial"/>
          <w:bCs/>
          <w:iCs/>
          <w:sz w:val="21"/>
          <w:szCs w:val="21"/>
        </w:rPr>
        <w:t xml:space="preserve">El bien nacional relevante no esté registrado en el Registro de Productores Bienes Nacionales al momento de su adquisición. </w:t>
      </w:r>
    </w:p>
    <w:p w14:paraId="334A4B02" w14:textId="4466168B" w:rsidR="00F72AA0" w:rsidRPr="00B7032A" w:rsidRDefault="00F72AA0" w:rsidP="00264770">
      <w:pPr>
        <w:pStyle w:val="Prrafodelista"/>
        <w:numPr>
          <w:ilvl w:val="0"/>
          <w:numId w:val="46"/>
        </w:numPr>
        <w:ind w:right="709" w:hanging="295"/>
        <w:jc w:val="both"/>
        <w:rPr>
          <w:rFonts w:ascii="Arial" w:eastAsia="Arial" w:hAnsi="Arial" w:cs="Arial"/>
          <w:bCs/>
          <w:iCs/>
          <w:sz w:val="21"/>
          <w:szCs w:val="21"/>
        </w:rPr>
      </w:pPr>
      <w:r w:rsidRPr="00B7032A">
        <w:rPr>
          <w:rFonts w:ascii="Arial" w:eastAsia="Arial" w:hAnsi="Arial" w:cs="Arial"/>
          <w:bCs/>
          <w:iCs/>
          <w:sz w:val="21"/>
          <w:szCs w:val="21"/>
        </w:rPr>
        <w:t>Los proveedores existentes no tienen la capacidad de suministrar el bien nacional relevante.</w:t>
      </w:r>
    </w:p>
    <w:p w14:paraId="442C5C20" w14:textId="77777777" w:rsidR="00F72AA0" w:rsidRPr="00B7032A" w:rsidRDefault="00F72AA0" w:rsidP="00264770">
      <w:pPr>
        <w:pStyle w:val="Prrafodelista"/>
        <w:numPr>
          <w:ilvl w:val="0"/>
          <w:numId w:val="46"/>
        </w:numPr>
        <w:ind w:right="709" w:hanging="295"/>
        <w:jc w:val="both"/>
        <w:rPr>
          <w:rFonts w:ascii="Arial" w:eastAsia="Arial" w:hAnsi="Arial" w:cs="Arial"/>
          <w:bCs/>
          <w:iCs/>
          <w:sz w:val="21"/>
          <w:szCs w:val="21"/>
        </w:rPr>
      </w:pPr>
      <w:r w:rsidRPr="00B7032A">
        <w:rPr>
          <w:rFonts w:ascii="Arial" w:eastAsia="Arial" w:hAnsi="Arial" w:cs="Arial"/>
          <w:bCs/>
          <w:iCs/>
          <w:sz w:val="21"/>
          <w:szCs w:val="21"/>
        </w:rPr>
        <w:t xml:space="preserve">El proveedor incrementa significativamente los precios del bien nacional relevante, por ausencia de otros proveedores que estén registrados en el Registro de Productores de Bienes Nacionales o sin que exista una justificación por condiciones de mercado, dificultando de manera grave la ejecución del contrato. </w:t>
      </w:r>
    </w:p>
    <w:p w14:paraId="74D70DA4" w14:textId="77777777" w:rsidR="00F72AA0" w:rsidRPr="00B7032A" w:rsidRDefault="00F72AA0" w:rsidP="00F72AA0">
      <w:pPr>
        <w:ind w:left="709" w:right="709"/>
        <w:jc w:val="both"/>
        <w:rPr>
          <w:rFonts w:ascii="Arial" w:eastAsia="Arial" w:hAnsi="Arial" w:cs="Arial"/>
          <w:bCs/>
          <w:iCs/>
          <w:sz w:val="21"/>
          <w:szCs w:val="21"/>
          <w:lang w:eastAsia="en-US"/>
        </w:rPr>
      </w:pPr>
    </w:p>
    <w:p w14:paraId="79333A7F" w14:textId="77777777" w:rsidR="00F72AA0" w:rsidRPr="00B7032A" w:rsidRDefault="00F72AA0" w:rsidP="00F72AA0">
      <w:pPr>
        <w:ind w:left="709" w:right="709"/>
        <w:jc w:val="both"/>
        <w:rPr>
          <w:rFonts w:ascii="Arial" w:eastAsia="Arial" w:hAnsi="Arial" w:cs="Arial"/>
          <w:bCs/>
          <w:iCs/>
          <w:sz w:val="21"/>
          <w:szCs w:val="21"/>
          <w:lang w:eastAsia="en-US"/>
        </w:rPr>
      </w:pPr>
      <w:r w:rsidRPr="00B7032A">
        <w:rPr>
          <w:rFonts w:ascii="Arial" w:eastAsia="Arial" w:hAnsi="Arial" w:cs="Arial"/>
          <w:bCs/>
          <w:iCs/>
          <w:sz w:val="21"/>
          <w:szCs w:val="21"/>
          <w:lang w:eastAsia="en-US"/>
        </w:rPr>
        <w:t>Para estos efectos, las partes deberán agotar las siguientes actuaciones para que se configure el evento eximente de responsabilidad:</w:t>
      </w:r>
    </w:p>
    <w:p w14:paraId="3D5805F6" w14:textId="77777777" w:rsidR="00F72AA0" w:rsidRPr="00B7032A" w:rsidRDefault="00F72AA0" w:rsidP="00F72AA0">
      <w:pPr>
        <w:ind w:left="709" w:right="709"/>
        <w:jc w:val="both"/>
        <w:rPr>
          <w:rFonts w:ascii="Arial" w:eastAsia="Arial" w:hAnsi="Arial" w:cs="Arial"/>
          <w:bCs/>
          <w:iCs/>
          <w:sz w:val="21"/>
          <w:szCs w:val="21"/>
          <w:lang w:eastAsia="en-US"/>
        </w:rPr>
      </w:pPr>
    </w:p>
    <w:p w14:paraId="33DC2D7A" w14:textId="77777777" w:rsidR="00264770" w:rsidRPr="00B7032A" w:rsidRDefault="00F72AA0" w:rsidP="00E83A63">
      <w:pPr>
        <w:pStyle w:val="Prrafodelista"/>
        <w:numPr>
          <w:ilvl w:val="0"/>
          <w:numId w:val="47"/>
        </w:numPr>
        <w:ind w:left="1418" w:right="709" w:hanging="284"/>
        <w:jc w:val="both"/>
        <w:rPr>
          <w:rFonts w:ascii="Arial" w:eastAsia="Arial" w:hAnsi="Arial" w:cs="Arial"/>
          <w:bCs/>
          <w:iCs/>
          <w:sz w:val="21"/>
          <w:szCs w:val="21"/>
        </w:rPr>
      </w:pPr>
      <w:r w:rsidRPr="00B7032A">
        <w:rPr>
          <w:rFonts w:ascii="Arial" w:eastAsia="Arial" w:hAnsi="Arial" w:cs="Arial"/>
          <w:bCs/>
          <w:iCs/>
          <w:sz w:val="21"/>
          <w:szCs w:val="21"/>
        </w:rPr>
        <w:t>El Contratista comunicará al supervisor o interventor del contrato la ocurrencia de uno de los supuestos eximentes de responsabilidad dentro de los [</w:t>
      </w:r>
      <w:r w:rsidRPr="00B7032A">
        <w:rPr>
          <w:rFonts w:ascii="Arial" w:eastAsia="Arial" w:hAnsi="Arial" w:cs="Arial"/>
          <w:bCs/>
          <w:iCs/>
          <w:sz w:val="21"/>
          <w:szCs w:val="21"/>
          <w:shd w:val="clear" w:color="auto" w:fill="B5B5B5" w:themeFill="background2" w:themeFillShade="BF"/>
        </w:rPr>
        <w:t>definir el número de días</w:t>
      </w:r>
      <w:r w:rsidRPr="00B7032A">
        <w:rPr>
          <w:rFonts w:ascii="Arial" w:eastAsia="Arial" w:hAnsi="Arial" w:cs="Arial"/>
          <w:bCs/>
          <w:iCs/>
          <w:sz w:val="21"/>
          <w:szCs w:val="21"/>
        </w:rPr>
        <w:t xml:space="preserve">] contados a partir de su ocurrencia, incluyendo la información con soportes o documentos, y demás detalles que fueran pertinentes sobre su acontecimiento. </w:t>
      </w:r>
    </w:p>
    <w:p w14:paraId="1653B793" w14:textId="77777777" w:rsidR="00264770" w:rsidRPr="00B7032A" w:rsidRDefault="00F72AA0" w:rsidP="00E83A63">
      <w:pPr>
        <w:pStyle w:val="Prrafodelista"/>
        <w:numPr>
          <w:ilvl w:val="0"/>
          <w:numId w:val="47"/>
        </w:numPr>
        <w:ind w:left="1418" w:right="709" w:hanging="284"/>
        <w:jc w:val="both"/>
        <w:rPr>
          <w:rFonts w:ascii="Arial" w:eastAsia="Arial" w:hAnsi="Arial" w:cs="Arial"/>
          <w:bCs/>
          <w:iCs/>
          <w:sz w:val="21"/>
          <w:szCs w:val="21"/>
        </w:rPr>
      </w:pPr>
      <w:r w:rsidRPr="00B7032A">
        <w:rPr>
          <w:rFonts w:ascii="Arial" w:eastAsia="Arial" w:hAnsi="Arial" w:cs="Arial"/>
          <w:bCs/>
          <w:iCs/>
          <w:sz w:val="21"/>
          <w:szCs w:val="21"/>
        </w:rPr>
        <w:t xml:space="preserve">La Entidad Estatal por medio del supervisor o interventor del contrato informará dentro de los </w:t>
      </w:r>
      <w:r w:rsidRPr="00B7032A">
        <w:rPr>
          <w:rFonts w:ascii="Arial" w:eastAsia="Arial" w:hAnsi="Arial" w:cs="Arial"/>
          <w:bCs/>
          <w:iCs/>
          <w:sz w:val="21"/>
          <w:szCs w:val="21"/>
          <w:shd w:val="clear" w:color="auto" w:fill="B5B5B5" w:themeFill="background2" w:themeFillShade="BF"/>
        </w:rPr>
        <w:t>[definir el número de días]</w:t>
      </w:r>
      <w:r w:rsidRPr="00B7032A">
        <w:rPr>
          <w:rFonts w:ascii="Arial" w:eastAsia="Arial" w:hAnsi="Arial" w:cs="Arial"/>
          <w:bCs/>
          <w:iCs/>
          <w:sz w:val="21"/>
          <w:szCs w:val="21"/>
        </w:rPr>
        <w:t xml:space="preserve"> hábiles siguientes contados a partir de la fecha de recibida la comunicación del Contratista, si efectivamente se configura o no uno de los supuestos definidos en este numeral.</w:t>
      </w:r>
    </w:p>
    <w:p w14:paraId="4D5AC914" w14:textId="77777777" w:rsidR="00264770" w:rsidRPr="00B7032A" w:rsidRDefault="00F72AA0" w:rsidP="00E83A63">
      <w:pPr>
        <w:pStyle w:val="Prrafodelista"/>
        <w:numPr>
          <w:ilvl w:val="0"/>
          <w:numId w:val="47"/>
        </w:numPr>
        <w:ind w:left="1418" w:right="709" w:hanging="284"/>
        <w:jc w:val="both"/>
        <w:rPr>
          <w:rFonts w:ascii="Arial" w:eastAsia="Arial" w:hAnsi="Arial" w:cs="Arial"/>
          <w:bCs/>
          <w:iCs/>
          <w:sz w:val="21"/>
          <w:szCs w:val="21"/>
        </w:rPr>
      </w:pPr>
      <w:r w:rsidRPr="00B7032A">
        <w:rPr>
          <w:rFonts w:ascii="Arial" w:eastAsia="Arial" w:hAnsi="Arial" w:cs="Arial"/>
          <w:bCs/>
          <w:iCs/>
          <w:sz w:val="21"/>
          <w:szCs w:val="21"/>
        </w:rPr>
        <w:t xml:space="preserve">En el evento que se compruebe la ocurrencia de uno de estos supuestos, la Entidad Estatal verificará si es posible que el Proponente adquiera un bien de características técnicas iguales o superiores que se encuentre en el Registro de Productores de Bienes Nacionales. En caso de que sea viable le informará al Contratista el bien nacional relevante que deberá adquirir durante la ejecución del proyecto. </w:t>
      </w:r>
    </w:p>
    <w:p w14:paraId="3EA80C4E" w14:textId="10DB6FC0" w:rsidR="00F72AA0" w:rsidRPr="00B7032A" w:rsidRDefault="00F72AA0" w:rsidP="00E83A63">
      <w:pPr>
        <w:pStyle w:val="Prrafodelista"/>
        <w:numPr>
          <w:ilvl w:val="0"/>
          <w:numId w:val="47"/>
        </w:numPr>
        <w:ind w:left="1418" w:right="709" w:hanging="284"/>
        <w:jc w:val="both"/>
        <w:rPr>
          <w:rFonts w:ascii="Arial" w:eastAsia="Arial" w:hAnsi="Arial" w:cs="Arial"/>
          <w:bCs/>
          <w:iCs/>
          <w:sz w:val="21"/>
          <w:szCs w:val="21"/>
        </w:rPr>
      </w:pPr>
      <w:r w:rsidRPr="00B7032A">
        <w:rPr>
          <w:rFonts w:ascii="Arial" w:eastAsia="Arial" w:hAnsi="Arial" w:cs="Arial"/>
          <w:bCs/>
          <w:iCs/>
          <w:sz w:val="21"/>
          <w:szCs w:val="21"/>
        </w:rPr>
        <w:t xml:space="preserve">En caso de que no sea posible adquirir un bien de características técnicas iguales o superiores para el cumplimiento del contrato, se configurará el evento eximente de responsabilidad. </w:t>
      </w:r>
    </w:p>
    <w:p w14:paraId="590B9B50" w14:textId="77777777" w:rsidR="00F72AA0" w:rsidRPr="00B7032A" w:rsidRDefault="00F72AA0" w:rsidP="0068258C">
      <w:pPr>
        <w:widowControl w:val="0"/>
        <w:autoSpaceDE w:val="0"/>
        <w:autoSpaceDN w:val="0"/>
        <w:spacing w:line="276" w:lineRule="auto"/>
        <w:ind w:firstLine="709"/>
        <w:jc w:val="both"/>
        <w:rPr>
          <w:rFonts w:ascii="Arial" w:eastAsia="Arial" w:hAnsi="Arial" w:cs="Arial"/>
          <w:bCs/>
          <w:sz w:val="22"/>
          <w:szCs w:val="22"/>
          <w:lang w:eastAsia="es-ES" w:bidi="es-ES"/>
        </w:rPr>
      </w:pPr>
    </w:p>
    <w:p w14:paraId="567464C5" w14:textId="16B3E1EC" w:rsidR="00933BF2" w:rsidRPr="00620F45" w:rsidRDefault="0080698A" w:rsidP="0068258C">
      <w:pPr>
        <w:widowControl w:val="0"/>
        <w:autoSpaceDE w:val="0"/>
        <w:autoSpaceDN w:val="0"/>
        <w:spacing w:line="276" w:lineRule="auto"/>
        <w:ind w:firstLine="709"/>
        <w:jc w:val="both"/>
        <w:rPr>
          <w:rFonts w:ascii="Arial" w:eastAsia="Arial" w:hAnsi="Arial" w:cs="Arial"/>
          <w:bCs/>
          <w:sz w:val="22"/>
          <w:szCs w:val="22"/>
          <w:lang w:eastAsia="es-ES" w:bidi="es-ES"/>
        </w:rPr>
      </w:pPr>
      <w:r w:rsidRPr="00620F45">
        <w:rPr>
          <w:rFonts w:ascii="Arial" w:eastAsia="Arial" w:hAnsi="Arial" w:cs="Arial"/>
          <w:bCs/>
          <w:sz w:val="22"/>
          <w:szCs w:val="22"/>
          <w:lang w:eastAsia="es-ES" w:bidi="es-ES"/>
        </w:rPr>
        <w:t xml:space="preserve">Conforme a </w:t>
      </w:r>
      <w:r w:rsidR="00264770" w:rsidRPr="00620F45">
        <w:rPr>
          <w:rFonts w:ascii="Arial" w:eastAsia="Arial" w:hAnsi="Arial" w:cs="Arial"/>
          <w:bCs/>
          <w:sz w:val="22"/>
          <w:szCs w:val="22"/>
          <w:lang w:eastAsia="es-ES" w:bidi="es-ES"/>
        </w:rPr>
        <w:t>lo señalado,</w:t>
      </w:r>
      <w:r w:rsidRPr="00620F45">
        <w:rPr>
          <w:rFonts w:ascii="Arial" w:eastAsia="Arial" w:hAnsi="Arial" w:cs="Arial"/>
          <w:bCs/>
          <w:sz w:val="22"/>
          <w:szCs w:val="22"/>
          <w:lang w:eastAsia="es-ES" w:bidi="es-ES"/>
        </w:rPr>
        <w:t xml:space="preserve"> </w:t>
      </w:r>
      <w:r w:rsidR="00036909" w:rsidRPr="00620F45">
        <w:rPr>
          <w:rFonts w:ascii="Arial" w:eastAsia="Arial" w:hAnsi="Arial" w:cs="Arial"/>
          <w:bCs/>
          <w:sz w:val="22"/>
          <w:szCs w:val="22"/>
          <w:lang w:eastAsia="es-ES" w:bidi="es-ES"/>
        </w:rPr>
        <w:t xml:space="preserve">el contratista quedará exento de cumplir con las obligaciones relacionadas con la utilización de bienes nacionales relevantes durante la </w:t>
      </w:r>
      <w:r w:rsidR="00036909" w:rsidRPr="00620F45">
        <w:rPr>
          <w:rFonts w:ascii="Arial" w:eastAsia="Arial" w:hAnsi="Arial" w:cs="Arial"/>
          <w:bCs/>
          <w:sz w:val="22"/>
          <w:szCs w:val="22"/>
          <w:lang w:eastAsia="es-ES" w:bidi="es-ES"/>
        </w:rPr>
        <w:lastRenderedPageBreak/>
        <w:t>ejecución del contrato, cuando se cumpla alguno de los tres supuestos anteriormente relacionados</w:t>
      </w:r>
      <w:r w:rsidR="00933BF2" w:rsidRPr="00620F45">
        <w:rPr>
          <w:rFonts w:ascii="Arial" w:eastAsia="Arial" w:hAnsi="Arial" w:cs="Arial"/>
          <w:bCs/>
          <w:sz w:val="22"/>
          <w:szCs w:val="22"/>
          <w:lang w:eastAsia="es-ES" w:bidi="es-ES"/>
        </w:rPr>
        <w:t xml:space="preserve">. </w:t>
      </w:r>
      <w:r w:rsidR="00592D40" w:rsidRPr="00620F45">
        <w:rPr>
          <w:rFonts w:ascii="Arial" w:eastAsia="Arial" w:hAnsi="Arial" w:cs="Arial"/>
          <w:bCs/>
          <w:sz w:val="22"/>
          <w:szCs w:val="22"/>
          <w:lang w:eastAsia="es-ES" w:bidi="es-ES"/>
        </w:rPr>
        <w:t xml:space="preserve">En estos casos, </w:t>
      </w:r>
      <w:r w:rsidR="0035011A" w:rsidRPr="00620F45">
        <w:rPr>
          <w:rFonts w:ascii="Arial" w:eastAsia="Arial" w:hAnsi="Arial" w:cs="Arial"/>
          <w:bCs/>
          <w:sz w:val="22"/>
          <w:szCs w:val="22"/>
          <w:lang w:eastAsia="es-ES" w:bidi="es-ES"/>
        </w:rPr>
        <w:t>el contratista deberá comunicar al supervisor o interventor del contrato</w:t>
      </w:r>
      <w:r w:rsidR="00036909" w:rsidRPr="00620F45">
        <w:rPr>
          <w:rFonts w:ascii="Arial" w:eastAsia="Arial" w:hAnsi="Arial" w:cs="Arial"/>
          <w:bCs/>
          <w:sz w:val="22"/>
          <w:szCs w:val="22"/>
          <w:lang w:eastAsia="es-ES" w:bidi="es-ES"/>
        </w:rPr>
        <w:t xml:space="preserve"> la</w:t>
      </w:r>
      <w:r w:rsidR="0035011A" w:rsidRPr="00620F45">
        <w:rPr>
          <w:rFonts w:ascii="Arial" w:eastAsia="Arial" w:hAnsi="Arial" w:cs="Arial"/>
          <w:bCs/>
          <w:sz w:val="22"/>
          <w:szCs w:val="22"/>
          <w:lang w:eastAsia="es-ES" w:bidi="es-ES"/>
        </w:rPr>
        <w:t xml:space="preserve"> ocurrencia</w:t>
      </w:r>
      <w:r w:rsidR="00036909" w:rsidRPr="00620F45">
        <w:rPr>
          <w:rFonts w:ascii="Arial" w:eastAsia="Arial" w:hAnsi="Arial" w:cs="Arial"/>
          <w:bCs/>
          <w:sz w:val="22"/>
          <w:szCs w:val="22"/>
          <w:lang w:eastAsia="es-ES" w:bidi="es-ES"/>
        </w:rPr>
        <w:t xml:space="preserve"> de alguno de estos supuestos</w:t>
      </w:r>
      <w:r w:rsidR="0035011A" w:rsidRPr="00620F45">
        <w:rPr>
          <w:rFonts w:ascii="Arial" w:eastAsia="Arial" w:hAnsi="Arial" w:cs="Arial"/>
          <w:bCs/>
          <w:sz w:val="22"/>
          <w:szCs w:val="22"/>
          <w:lang w:eastAsia="es-ES" w:bidi="es-ES"/>
        </w:rPr>
        <w:t xml:space="preserve"> y la entidad, previa verificación de </w:t>
      </w:r>
      <w:proofErr w:type="gramStart"/>
      <w:r w:rsidR="0035011A" w:rsidRPr="00620F45">
        <w:rPr>
          <w:rFonts w:ascii="Arial" w:eastAsia="Arial" w:hAnsi="Arial" w:cs="Arial"/>
          <w:bCs/>
          <w:sz w:val="22"/>
          <w:szCs w:val="22"/>
          <w:lang w:eastAsia="es-ES" w:bidi="es-ES"/>
        </w:rPr>
        <w:t>este,</w:t>
      </w:r>
      <w:proofErr w:type="gramEnd"/>
      <w:r w:rsidR="0035011A" w:rsidRPr="00620F45">
        <w:rPr>
          <w:rFonts w:ascii="Arial" w:eastAsia="Arial" w:hAnsi="Arial" w:cs="Arial"/>
          <w:bCs/>
          <w:sz w:val="22"/>
          <w:szCs w:val="22"/>
          <w:lang w:eastAsia="es-ES" w:bidi="es-ES"/>
        </w:rPr>
        <w:t xml:space="preserve"> revisará la posibilidad de que se adquiera un bien con características técnicas similares o superiores que se encuentren dentro del registro, caso en el cual se</w:t>
      </w:r>
      <w:r w:rsidR="00821264" w:rsidRPr="00620F45">
        <w:rPr>
          <w:rFonts w:ascii="Arial" w:eastAsia="Arial" w:hAnsi="Arial" w:cs="Arial"/>
          <w:bCs/>
          <w:sz w:val="22"/>
          <w:szCs w:val="22"/>
          <w:lang w:eastAsia="es-ES" w:bidi="es-ES"/>
        </w:rPr>
        <w:t xml:space="preserve"> podrá remplazar. De no ser posible el remplazo se configura un evento de eximente de responsabilidad. </w:t>
      </w:r>
    </w:p>
    <w:p w14:paraId="6F28DF67" w14:textId="4CB75650" w:rsidR="009B5677" w:rsidRPr="00B7032A" w:rsidRDefault="00933BF2" w:rsidP="0072118F">
      <w:pPr>
        <w:widowControl w:val="0"/>
        <w:autoSpaceDE w:val="0"/>
        <w:autoSpaceDN w:val="0"/>
        <w:spacing w:before="120" w:line="276" w:lineRule="auto"/>
        <w:ind w:firstLine="709"/>
        <w:jc w:val="both"/>
        <w:rPr>
          <w:rFonts w:ascii="Arial" w:eastAsia="Arial" w:hAnsi="Arial" w:cs="Arial"/>
          <w:bCs/>
          <w:sz w:val="22"/>
          <w:szCs w:val="22"/>
          <w:lang w:eastAsia="es-ES" w:bidi="es-ES"/>
        </w:rPr>
      </w:pPr>
      <w:r w:rsidRPr="00620F45">
        <w:rPr>
          <w:rFonts w:ascii="Arial" w:eastAsia="Arial" w:hAnsi="Arial" w:cs="Arial"/>
          <w:bCs/>
          <w:sz w:val="22"/>
          <w:szCs w:val="22"/>
          <w:lang w:eastAsia="es-ES" w:bidi="es-ES"/>
        </w:rPr>
        <w:t xml:space="preserve"> </w:t>
      </w:r>
      <w:r w:rsidR="00821264" w:rsidRPr="00620F45">
        <w:rPr>
          <w:rFonts w:ascii="Arial" w:eastAsia="Arial" w:hAnsi="Arial" w:cs="Arial"/>
          <w:bCs/>
          <w:sz w:val="22"/>
          <w:szCs w:val="22"/>
          <w:lang w:eastAsia="es-ES" w:bidi="es-ES"/>
        </w:rPr>
        <w:t xml:space="preserve">Concretamente, frente </w:t>
      </w:r>
      <w:r w:rsidR="00FA63C2" w:rsidRPr="00620F45">
        <w:rPr>
          <w:rFonts w:ascii="Arial" w:eastAsia="Arial" w:hAnsi="Arial" w:cs="Arial"/>
          <w:bCs/>
          <w:sz w:val="22"/>
          <w:szCs w:val="22"/>
          <w:lang w:eastAsia="es-ES" w:bidi="es-ES"/>
        </w:rPr>
        <w:t>a l</w:t>
      </w:r>
      <w:r w:rsidR="00036909" w:rsidRPr="00620F45">
        <w:rPr>
          <w:rFonts w:ascii="Arial" w:eastAsia="Arial" w:hAnsi="Arial" w:cs="Arial"/>
          <w:bCs/>
          <w:sz w:val="22"/>
          <w:szCs w:val="22"/>
          <w:lang w:eastAsia="es-ES" w:bidi="es-ES"/>
        </w:rPr>
        <w:t>a</w:t>
      </w:r>
      <w:r w:rsidR="00821264" w:rsidRPr="00620F45">
        <w:rPr>
          <w:rFonts w:ascii="Arial" w:eastAsia="Arial" w:hAnsi="Arial" w:cs="Arial"/>
          <w:bCs/>
          <w:sz w:val="22"/>
          <w:szCs w:val="22"/>
          <w:lang w:eastAsia="es-ES" w:bidi="es-ES"/>
        </w:rPr>
        <w:t xml:space="preserve"> consulta</w:t>
      </w:r>
      <w:r w:rsidR="00036909" w:rsidRPr="00620F45">
        <w:rPr>
          <w:rFonts w:ascii="Arial" w:eastAsia="Arial" w:hAnsi="Arial" w:cs="Arial"/>
          <w:bCs/>
          <w:sz w:val="22"/>
          <w:szCs w:val="22"/>
          <w:lang w:eastAsia="es-ES" w:bidi="es-ES"/>
        </w:rPr>
        <w:t xml:space="preserve"> planteada</w:t>
      </w:r>
      <w:r w:rsidR="00821264" w:rsidRPr="00620F45">
        <w:rPr>
          <w:rFonts w:ascii="Arial" w:eastAsia="Arial" w:hAnsi="Arial" w:cs="Arial"/>
          <w:bCs/>
          <w:sz w:val="22"/>
          <w:szCs w:val="22"/>
          <w:lang w:eastAsia="es-ES" w:bidi="es-ES"/>
        </w:rPr>
        <w:t xml:space="preserve">, se considera que el </w:t>
      </w:r>
      <w:r w:rsidR="0080698A" w:rsidRPr="00620F45">
        <w:rPr>
          <w:rFonts w:ascii="Arial" w:eastAsia="Arial" w:hAnsi="Arial" w:cs="Arial"/>
          <w:bCs/>
          <w:sz w:val="22"/>
          <w:szCs w:val="22"/>
          <w:lang w:eastAsia="es-ES" w:bidi="es-ES"/>
        </w:rPr>
        <w:t>vencimiento del</w:t>
      </w:r>
      <w:r w:rsidR="00821264" w:rsidRPr="00620F45">
        <w:rPr>
          <w:rFonts w:ascii="Arial" w:eastAsia="Arial" w:hAnsi="Arial" w:cs="Arial"/>
          <w:bCs/>
          <w:sz w:val="22"/>
          <w:szCs w:val="22"/>
          <w:lang w:eastAsia="es-ES" w:bidi="es-ES"/>
        </w:rPr>
        <w:t xml:space="preserve"> registro del</w:t>
      </w:r>
      <w:r w:rsidR="0080698A" w:rsidRPr="00620F45">
        <w:rPr>
          <w:rFonts w:ascii="Arial" w:eastAsia="Arial" w:hAnsi="Arial" w:cs="Arial"/>
          <w:bCs/>
          <w:sz w:val="22"/>
          <w:szCs w:val="22"/>
          <w:lang w:eastAsia="es-ES" w:bidi="es-ES"/>
        </w:rPr>
        <w:t xml:space="preserve"> bien</w:t>
      </w:r>
      <w:r w:rsidR="00821264" w:rsidRPr="00620F45">
        <w:rPr>
          <w:rFonts w:ascii="Arial" w:eastAsia="Arial" w:hAnsi="Arial" w:cs="Arial"/>
          <w:bCs/>
          <w:sz w:val="22"/>
          <w:szCs w:val="22"/>
          <w:lang w:eastAsia="es-ES" w:bidi="es-ES"/>
        </w:rPr>
        <w:t xml:space="preserve"> nacional</w:t>
      </w:r>
      <w:r w:rsidR="0080698A" w:rsidRPr="00620F45">
        <w:rPr>
          <w:rFonts w:ascii="Arial" w:eastAsia="Arial" w:hAnsi="Arial" w:cs="Arial"/>
          <w:bCs/>
          <w:sz w:val="22"/>
          <w:szCs w:val="22"/>
          <w:lang w:eastAsia="es-ES" w:bidi="es-ES"/>
        </w:rPr>
        <w:t xml:space="preserve"> </w:t>
      </w:r>
      <w:r w:rsidR="00821264" w:rsidRPr="00620F45">
        <w:rPr>
          <w:rFonts w:ascii="Arial" w:eastAsia="Arial" w:hAnsi="Arial" w:cs="Arial"/>
          <w:bCs/>
          <w:sz w:val="22"/>
          <w:szCs w:val="22"/>
          <w:lang w:eastAsia="es-ES" w:bidi="es-ES"/>
        </w:rPr>
        <w:t xml:space="preserve">relevante </w:t>
      </w:r>
      <w:r w:rsidR="0080698A" w:rsidRPr="00620F45">
        <w:rPr>
          <w:rFonts w:ascii="Arial" w:eastAsia="Arial" w:hAnsi="Arial" w:cs="Arial"/>
          <w:bCs/>
          <w:sz w:val="22"/>
          <w:szCs w:val="22"/>
          <w:lang w:eastAsia="es-ES" w:bidi="es-ES"/>
        </w:rPr>
        <w:t xml:space="preserve">durante la ejecución del </w:t>
      </w:r>
      <w:r w:rsidR="00FA63C2" w:rsidRPr="00620F45">
        <w:rPr>
          <w:rFonts w:ascii="Arial" w:eastAsia="Arial" w:hAnsi="Arial" w:cs="Arial"/>
          <w:bCs/>
          <w:sz w:val="22"/>
          <w:szCs w:val="22"/>
          <w:lang w:eastAsia="es-ES" w:bidi="es-ES"/>
        </w:rPr>
        <w:t>contrato</w:t>
      </w:r>
      <w:r w:rsidR="00821264" w:rsidRPr="00620F45">
        <w:rPr>
          <w:rFonts w:ascii="Arial" w:eastAsia="Arial" w:hAnsi="Arial" w:cs="Arial"/>
          <w:bCs/>
          <w:sz w:val="22"/>
          <w:szCs w:val="22"/>
          <w:lang w:eastAsia="es-ES" w:bidi="es-ES"/>
        </w:rPr>
        <w:t xml:space="preserve"> </w:t>
      </w:r>
      <w:r w:rsidR="00FA63C2" w:rsidRPr="00620F45">
        <w:rPr>
          <w:rFonts w:ascii="Arial" w:eastAsia="Arial" w:hAnsi="Arial" w:cs="Arial"/>
          <w:bCs/>
          <w:sz w:val="22"/>
          <w:szCs w:val="22"/>
          <w:lang w:eastAsia="es-ES" w:bidi="es-ES"/>
        </w:rPr>
        <w:t xml:space="preserve">puede enmarcarse </w:t>
      </w:r>
      <w:r w:rsidR="00821264" w:rsidRPr="00620F45">
        <w:rPr>
          <w:rFonts w:ascii="Arial" w:eastAsia="Arial" w:hAnsi="Arial" w:cs="Arial"/>
          <w:bCs/>
          <w:sz w:val="22"/>
          <w:szCs w:val="22"/>
          <w:lang w:eastAsia="es-ES" w:bidi="es-ES"/>
        </w:rPr>
        <w:t xml:space="preserve">en el primer supuesto señalado, esto es, </w:t>
      </w:r>
      <w:r w:rsidR="0080698A" w:rsidRPr="00620F45">
        <w:rPr>
          <w:rFonts w:ascii="Arial" w:eastAsia="Arial" w:hAnsi="Arial" w:cs="Arial"/>
          <w:bCs/>
          <w:sz w:val="22"/>
          <w:szCs w:val="22"/>
          <w:lang w:eastAsia="es-ES" w:bidi="es-ES"/>
        </w:rPr>
        <w:t xml:space="preserve">que </w:t>
      </w:r>
      <w:r w:rsidR="00FA63C2" w:rsidRPr="00620F45">
        <w:rPr>
          <w:rFonts w:ascii="Arial" w:eastAsia="Arial" w:hAnsi="Arial" w:cs="Arial"/>
          <w:bCs/>
          <w:sz w:val="22"/>
          <w:szCs w:val="22"/>
          <w:lang w:eastAsia="es-ES" w:bidi="es-ES"/>
        </w:rPr>
        <w:t>el bien no este registrado en el Registro de Productores</w:t>
      </w:r>
      <w:r w:rsidR="004E780F" w:rsidRPr="00620F45">
        <w:rPr>
          <w:rFonts w:ascii="Arial" w:eastAsia="Arial" w:hAnsi="Arial" w:cs="Arial"/>
          <w:bCs/>
          <w:sz w:val="22"/>
          <w:szCs w:val="22"/>
          <w:lang w:eastAsia="es-ES" w:bidi="es-ES"/>
        </w:rPr>
        <w:t xml:space="preserve"> de</w:t>
      </w:r>
      <w:r w:rsidR="00FA63C2" w:rsidRPr="00620F45">
        <w:rPr>
          <w:rFonts w:ascii="Arial" w:eastAsia="Arial" w:hAnsi="Arial" w:cs="Arial"/>
          <w:bCs/>
          <w:sz w:val="22"/>
          <w:szCs w:val="22"/>
          <w:lang w:eastAsia="es-ES" w:bidi="es-ES"/>
        </w:rPr>
        <w:t xml:space="preserve"> Bienes Nacionales al momento de su adquisición. </w:t>
      </w:r>
      <w:r w:rsidR="004E780F" w:rsidRPr="00620F45">
        <w:rPr>
          <w:rFonts w:ascii="Arial" w:eastAsia="Arial" w:hAnsi="Arial" w:cs="Arial"/>
          <w:bCs/>
          <w:sz w:val="22"/>
          <w:szCs w:val="22"/>
          <w:lang w:eastAsia="es-ES" w:bidi="es-ES"/>
        </w:rPr>
        <w:t xml:space="preserve">Lo anterior </w:t>
      </w:r>
      <w:r w:rsidR="00FA63C2" w:rsidRPr="00620F45">
        <w:rPr>
          <w:rFonts w:ascii="Arial" w:eastAsia="Arial" w:hAnsi="Arial" w:cs="Arial"/>
          <w:bCs/>
          <w:sz w:val="22"/>
          <w:szCs w:val="22"/>
          <w:lang w:eastAsia="es-ES" w:bidi="es-ES"/>
        </w:rPr>
        <w:t xml:space="preserve">debido a </w:t>
      </w:r>
      <w:r w:rsidR="004E780F" w:rsidRPr="00620F45">
        <w:rPr>
          <w:rFonts w:ascii="Arial" w:eastAsia="Arial" w:hAnsi="Arial" w:cs="Arial"/>
          <w:bCs/>
          <w:sz w:val="22"/>
          <w:szCs w:val="22"/>
          <w:lang w:eastAsia="es-ES" w:bidi="es-ES"/>
        </w:rPr>
        <w:t>que</w:t>
      </w:r>
      <w:r w:rsidR="00FA63C2" w:rsidRPr="00620F45">
        <w:rPr>
          <w:rFonts w:ascii="Arial" w:eastAsia="Arial" w:hAnsi="Arial" w:cs="Arial"/>
          <w:bCs/>
          <w:sz w:val="22"/>
          <w:szCs w:val="22"/>
          <w:lang w:eastAsia="es-ES" w:bidi="es-ES"/>
        </w:rPr>
        <w:t xml:space="preserve"> </w:t>
      </w:r>
      <w:r w:rsidR="0028432D" w:rsidRPr="00620F45">
        <w:rPr>
          <w:rFonts w:ascii="Arial" w:eastAsia="Arial" w:hAnsi="Arial" w:cs="Arial"/>
          <w:bCs/>
          <w:sz w:val="22"/>
          <w:szCs w:val="22"/>
          <w:lang w:eastAsia="es-ES" w:bidi="es-ES"/>
        </w:rPr>
        <w:t xml:space="preserve">si </w:t>
      </w:r>
      <w:r w:rsidR="00FA63C2" w:rsidRPr="00620F45">
        <w:rPr>
          <w:rFonts w:ascii="Arial" w:eastAsia="Arial" w:hAnsi="Arial" w:cs="Arial"/>
          <w:bCs/>
          <w:sz w:val="22"/>
          <w:szCs w:val="22"/>
          <w:lang w:eastAsia="es-ES" w:bidi="es-ES"/>
        </w:rPr>
        <w:t>el registro se encuentr</w:t>
      </w:r>
      <w:r w:rsidR="00530242" w:rsidRPr="00620F45">
        <w:rPr>
          <w:rFonts w:ascii="Arial" w:eastAsia="Arial" w:hAnsi="Arial" w:cs="Arial"/>
          <w:bCs/>
          <w:sz w:val="22"/>
          <w:szCs w:val="22"/>
          <w:lang w:eastAsia="es-ES" w:bidi="es-ES"/>
        </w:rPr>
        <w:t>e</w:t>
      </w:r>
      <w:r w:rsidR="00FA63C2" w:rsidRPr="00620F45">
        <w:rPr>
          <w:rFonts w:ascii="Arial" w:eastAsia="Arial" w:hAnsi="Arial" w:cs="Arial"/>
          <w:bCs/>
          <w:sz w:val="22"/>
          <w:szCs w:val="22"/>
          <w:lang w:eastAsia="es-ES" w:bidi="es-ES"/>
        </w:rPr>
        <w:t xml:space="preserve"> vencido en el momento de </w:t>
      </w:r>
      <w:r w:rsidR="004C22CA" w:rsidRPr="00620F45">
        <w:rPr>
          <w:rFonts w:ascii="Arial" w:eastAsia="Arial" w:hAnsi="Arial" w:cs="Arial"/>
          <w:bCs/>
          <w:sz w:val="22"/>
          <w:szCs w:val="22"/>
          <w:lang w:eastAsia="es-ES" w:bidi="es-ES"/>
        </w:rPr>
        <w:t xml:space="preserve">la </w:t>
      </w:r>
      <w:r w:rsidR="00FA63C2" w:rsidRPr="00620F45">
        <w:rPr>
          <w:rFonts w:ascii="Arial" w:eastAsia="Arial" w:hAnsi="Arial" w:cs="Arial"/>
          <w:bCs/>
          <w:sz w:val="22"/>
          <w:szCs w:val="22"/>
          <w:lang w:eastAsia="es-ES" w:bidi="es-ES"/>
        </w:rPr>
        <w:t>adquisición</w:t>
      </w:r>
      <w:r w:rsidR="00530242" w:rsidRPr="00620F45">
        <w:rPr>
          <w:rFonts w:ascii="Arial" w:eastAsia="Arial" w:hAnsi="Arial" w:cs="Arial"/>
          <w:bCs/>
          <w:sz w:val="22"/>
          <w:szCs w:val="22"/>
          <w:lang w:eastAsia="es-ES" w:bidi="es-ES"/>
        </w:rPr>
        <w:t xml:space="preserve"> del bien</w:t>
      </w:r>
      <w:r w:rsidR="004E780F" w:rsidRPr="00620F45">
        <w:rPr>
          <w:rFonts w:ascii="Arial" w:eastAsia="Arial" w:hAnsi="Arial" w:cs="Arial"/>
          <w:bCs/>
          <w:sz w:val="22"/>
          <w:szCs w:val="22"/>
          <w:lang w:eastAsia="es-ES" w:bidi="es-ES"/>
        </w:rPr>
        <w:t>, en principio podría concluirse que</w:t>
      </w:r>
      <w:r w:rsidR="00530242" w:rsidRPr="00620F45">
        <w:rPr>
          <w:rFonts w:ascii="Arial" w:eastAsia="Arial" w:hAnsi="Arial" w:cs="Arial"/>
          <w:bCs/>
          <w:sz w:val="22"/>
          <w:szCs w:val="22"/>
          <w:lang w:eastAsia="es-ES" w:bidi="es-ES"/>
        </w:rPr>
        <w:t xml:space="preserve"> este</w:t>
      </w:r>
      <w:r w:rsidR="004E780F" w:rsidRPr="00620F45">
        <w:rPr>
          <w:rFonts w:ascii="Arial" w:eastAsia="Arial" w:hAnsi="Arial" w:cs="Arial"/>
          <w:bCs/>
          <w:sz w:val="22"/>
          <w:szCs w:val="22"/>
          <w:lang w:eastAsia="es-ES" w:bidi="es-ES"/>
        </w:rPr>
        <w:t xml:space="preserve"> </w:t>
      </w:r>
      <w:r w:rsidR="00FA63C2" w:rsidRPr="00620F45">
        <w:rPr>
          <w:rFonts w:ascii="Arial" w:eastAsia="Arial" w:hAnsi="Arial" w:cs="Arial"/>
          <w:bCs/>
          <w:sz w:val="22"/>
          <w:szCs w:val="22"/>
          <w:lang w:eastAsia="es-ES" w:bidi="es-ES"/>
        </w:rPr>
        <w:t xml:space="preserve">no hace parte del Registro de Productores </w:t>
      </w:r>
      <w:r w:rsidR="004E780F" w:rsidRPr="00620F45">
        <w:rPr>
          <w:rFonts w:ascii="Arial" w:eastAsia="Arial" w:hAnsi="Arial" w:cs="Arial"/>
          <w:bCs/>
          <w:sz w:val="22"/>
          <w:szCs w:val="22"/>
          <w:lang w:eastAsia="es-ES" w:bidi="es-ES"/>
        </w:rPr>
        <w:t xml:space="preserve">de </w:t>
      </w:r>
      <w:r w:rsidR="00FA63C2" w:rsidRPr="00620F45">
        <w:rPr>
          <w:rFonts w:ascii="Arial" w:eastAsia="Arial" w:hAnsi="Arial" w:cs="Arial"/>
          <w:bCs/>
          <w:sz w:val="22"/>
          <w:szCs w:val="22"/>
          <w:lang w:eastAsia="es-ES" w:bidi="es-ES"/>
        </w:rPr>
        <w:t>Bienes Nacionales.</w:t>
      </w:r>
      <w:r w:rsidR="004C22CA" w:rsidRPr="00620F45">
        <w:rPr>
          <w:rFonts w:ascii="Arial" w:eastAsia="Arial" w:hAnsi="Arial" w:cs="Arial"/>
          <w:bCs/>
          <w:sz w:val="22"/>
          <w:szCs w:val="22"/>
          <w:lang w:eastAsia="es-ES" w:bidi="es-ES"/>
        </w:rPr>
        <w:t xml:space="preserve"> Por consiguiente, en este caso la entidad deberá dar aplicación al procedimiento señalado en la cláusula 9 del del </w:t>
      </w:r>
      <w:r w:rsidR="004C22CA" w:rsidRPr="00620F45">
        <w:rPr>
          <w:rFonts w:ascii="Arial" w:eastAsia="Calibri" w:hAnsi="Arial" w:cs="Arial"/>
          <w:bCs/>
          <w:color w:val="000000"/>
          <w:sz w:val="22"/>
          <w:szCs w:val="22"/>
          <w:lang w:val="es-ES_tradnl" w:eastAsia="en-US"/>
        </w:rPr>
        <w:t>«</w:t>
      </w:r>
      <w:r w:rsidR="004C22CA" w:rsidRPr="00620F45">
        <w:rPr>
          <w:rFonts w:ascii="Arial" w:eastAsia="Arial" w:hAnsi="Arial" w:cs="Arial"/>
          <w:bCs/>
          <w:sz w:val="22"/>
          <w:szCs w:val="22"/>
          <w:lang w:eastAsia="es-ES" w:bidi="es-ES"/>
        </w:rPr>
        <w:t>Anexo 4 – Minuta del Contrato</w:t>
      </w:r>
      <w:r w:rsidR="004C22CA" w:rsidRPr="00620F45">
        <w:rPr>
          <w:rFonts w:ascii="Arial" w:eastAsia="Calibri" w:hAnsi="Arial" w:cs="Arial"/>
          <w:bCs/>
          <w:color w:val="000000"/>
          <w:sz w:val="22"/>
          <w:szCs w:val="22"/>
          <w:lang w:val="es-ES_tradnl" w:eastAsia="en-US"/>
        </w:rPr>
        <w:t xml:space="preserve">». </w:t>
      </w:r>
      <w:r w:rsidR="00B55658" w:rsidRPr="00620F45">
        <w:rPr>
          <w:rFonts w:ascii="Arial" w:eastAsia="Calibri" w:hAnsi="Arial" w:cs="Arial"/>
          <w:bCs/>
          <w:color w:val="000000"/>
          <w:sz w:val="22"/>
          <w:szCs w:val="22"/>
          <w:lang w:val="es-ES_tradnl" w:eastAsia="en-US"/>
        </w:rPr>
        <w:t xml:space="preserve">De cualquier manera, </w:t>
      </w:r>
      <w:r w:rsidR="004C22CA" w:rsidRPr="00620F45">
        <w:rPr>
          <w:rFonts w:ascii="Arial" w:eastAsia="Calibri" w:hAnsi="Arial" w:cs="Arial"/>
          <w:bCs/>
          <w:color w:val="000000"/>
          <w:sz w:val="22"/>
          <w:szCs w:val="22"/>
          <w:lang w:val="es-ES_tradnl" w:eastAsia="en-US"/>
        </w:rPr>
        <w:t xml:space="preserve">corresponde a la entidad </w:t>
      </w:r>
      <w:r w:rsidR="0072118F" w:rsidRPr="00620F45">
        <w:rPr>
          <w:rFonts w:ascii="Arial" w:eastAsia="Calibri" w:hAnsi="Arial" w:cs="Arial"/>
          <w:bCs/>
          <w:color w:val="000000"/>
          <w:sz w:val="22"/>
          <w:szCs w:val="22"/>
          <w:lang w:val="es-ES_tradnl" w:eastAsia="en-US"/>
        </w:rPr>
        <w:t xml:space="preserve">revisar cada caso en concreto y tener en cuenta la normativa especial que regula la materia </w:t>
      </w:r>
      <w:r w:rsidR="00530242" w:rsidRPr="00620F45">
        <w:rPr>
          <w:rFonts w:ascii="Arial" w:eastAsia="Calibri" w:hAnsi="Arial" w:cs="Arial"/>
          <w:bCs/>
          <w:color w:val="000000"/>
          <w:sz w:val="22"/>
          <w:szCs w:val="22"/>
          <w:lang w:val="es-ES_tradnl" w:eastAsia="en-US"/>
        </w:rPr>
        <w:t>para</w:t>
      </w:r>
      <w:r w:rsidR="0072118F" w:rsidRPr="00620F45">
        <w:rPr>
          <w:rFonts w:ascii="Arial" w:eastAsia="Calibri" w:hAnsi="Arial" w:cs="Arial"/>
          <w:bCs/>
          <w:color w:val="000000"/>
          <w:sz w:val="22"/>
          <w:szCs w:val="22"/>
          <w:lang w:val="es-ES_tradnl" w:eastAsia="en-US"/>
        </w:rPr>
        <w:t xml:space="preserve"> efectos de verificar la vigencia </w:t>
      </w:r>
      <w:r w:rsidR="007035EE" w:rsidRPr="00620F45">
        <w:rPr>
          <w:rFonts w:ascii="Arial" w:eastAsia="Calibri" w:hAnsi="Arial" w:cs="Arial"/>
          <w:bCs/>
          <w:color w:val="000000"/>
          <w:sz w:val="22"/>
          <w:szCs w:val="22"/>
          <w:lang w:val="es-ES_tradnl" w:eastAsia="en-US"/>
        </w:rPr>
        <w:t xml:space="preserve">y demás aspectos respectivos </w:t>
      </w:r>
      <w:r w:rsidR="0072118F" w:rsidRPr="00620F45">
        <w:rPr>
          <w:rFonts w:ascii="Arial" w:eastAsia="Calibri" w:hAnsi="Arial" w:cs="Arial"/>
          <w:bCs/>
          <w:color w:val="000000"/>
          <w:sz w:val="22"/>
          <w:szCs w:val="22"/>
          <w:lang w:val="es-ES_tradnl" w:eastAsia="en-US"/>
        </w:rPr>
        <w:t>de los bienes</w:t>
      </w:r>
      <w:r w:rsidR="007035EE" w:rsidRPr="00620F45">
        <w:rPr>
          <w:rFonts w:ascii="Arial" w:eastAsia="Calibri" w:hAnsi="Arial" w:cs="Arial"/>
          <w:bCs/>
          <w:color w:val="000000"/>
          <w:sz w:val="22"/>
          <w:szCs w:val="22"/>
          <w:lang w:val="es-ES_tradnl" w:eastAsia="en-US"/>
        </w:rPr>
        <w:t xml:space="preserve"> relevantes</w:t>
      </w:r>
      <w:r w:rsidR="0072118F" w:rsidRPr="00620F45">
        <w:rPr>
          <w:rFonts w:ascii="Arial" w:eastAsia="Calibri" w:hAnsi="Arial" w:cs="Arial"/>
          <w:bCs/>
          <w:color w:val="000000"/>
          <w:sz w:val="22"/>
          <w:szCs w:val="22"/>
          <w:lang w:val="es-ES_tradnl" w:eastAsia="en-US"/>
        </w:rPr>
        <w:t xml:space="preserve"> en el </w:t>
      </w:r>
      <w:r w:rsidR="0072118F" w:rsidRPr="00620F45">
        <w:rPr>
          <w:rFonts w:ascii="Arial" w:eastAsia="Arial" w:hAnsi="Arial" w:cs="Arial"/>
          <w:bCs/>
          <w:sz w:val="22"/>
          <w:szCs w:val="22"/>
          <w:lang w:eastAsia="es-ES" w:bidi="es-ES"/>
        </w:rPr>
        <w:t>Registro de Productores de Bienes Nacionales</w:t>
      </w:r>
      <w:r w:rsidR="00530242" w:rsidRPr="00620F45">
        <w:rPr>
          <w:rStyle w:val="Refdenotaalpie"/>
          <w:rFonts w:ascii="Arial" w:eastAsia="Arial" w:hAnsi="Arial" w:cs="Arial"/>
          <w:bCs/>
          <w:sz w:val="22"/>
          <w:szCs w:val="22"/>
          <w:lang w:eastAsia="es-ES" w:bidi="es-ES"/>
        </w:rPr>
        <w:footnoteReference w:id="20"/>
      </w:r>
      <w:r w:rsidR="00530242" w:rsidRPr="00620F45">
        <w:rPr>
          <w:rFonts w:ascii="Arial" w:eastAsia="Arial" w:hAnsi="Arial" w:cs="Arial"/>
          <w:bCs/>
          <w:sz w:val="22"/>
          <w:szCs w:val="22"/>
          <w:lang w:eastAsia="es-ES" w:bidi="es-ES"/>
        </w:rPr>
        <w:t>.</w:t>
      </w:r>
    </w:p>
    <w:p w14:paraId="56FB9D04" w14:textId="77777777" w:rsidR="00320949" w:rsidRPr="00B7032A" w:rsidRDefault="00320949" w:rsidP="00AD772B">
      <w:pPr>
        <w:spacing w:line="276" w:lineRule="auto"/>
        <w:jc w:val="both"/>
        <w:rPr>
          <w:rFonts w:ascii="Arial" w:eastAsia="Calibri" w:hAnsi="Arial" w:cs="Arial"/>
          <w:b/>
          <w:bCs/>
          <w:color w:val="000000"/>
          <w:sz w:val="22"/>
          <w:lang w:val="es-MX" w:eastAsia="en-GB"/>
        </w:rPr>
      </w:pPr>
    </w:p>
    <w:p w14:paraId="13A4883A" w14:textId="1FFBA079" w:rsidR="004906BC" w:rsidRPr="00B7032A" w:rsidRDefault="00AD772B" w:rsidP="004906BC">
      <w:pPr>
        <w:spacing w:line="276" w:lineRule="auto"/>
        <w:jc w:val="both"/>
        <w:rPr>
          <w:rFonts w:ascii="Arial" w:eastAsia="Calibri" w:hAnsi="Arial" w:cs="Arial"/>
          <w:b/>
          <w:bCs/>
          <w:color w:val="000000"/>
          <w:sz w:val="22"/>
          <w:lang w:val="es-ES_tradnl" w:eastAsia="en-GB"/>
        </w:rPr>
      </w:pPr>
      <w:r w:rsidRPr="00B7032A">
        <w:rPr>
          <w:rFonts w:ascii="Arial" w:eastAsia="Calibri" w:hAnsi="Arial" w:cs="Arial"/>
          <w:b/>
          <w:bCs/>
          <w:color w:val="000000"/>
          <w:sz w:val="22"/>
          <w:lang w:val="es-MX" w:eastAsia="en-GB"/>
        </w:rPr>
        <w:t>2.</w:t>
      </w:r>
      <w:r w:rsidR="00433E69" w:rsidRPr="00B7032A">
        <w:rPr>
          <w:rFonts w:ascii="Arial" w:eastAsia="Calibri" w:hAnsi="Arial" w:cs="Arial"/>
          <w:b/>
          <w:bCs/>
          <w:color w:val="000000"/>
          <w:sz w:val="22"/>
          <w:lang w:val="es-MX" w:eastAsia="en-GB"/>
        </w:rPr>
        <w:t>5</w:t>
      </w:r>
      <w:r w:rsidRPr="00B7032A">
        <w:rPr>
          <w:rFonts w:ascii="Arial" w:eastAsia="Calibri" w:hAnsi="Arial" w:cs="Arial"/>
          <w:b/>
          <w:bCs/>
          <w:color w:val="000000"/>
          <w:sz w:val="22"/>
          <w:lang w:val="es-MX" w:eastAsia="en-GB"/>
        </w:rPr>
        <w:t xml:space="preserve">. </w:t>
      </w:r>
      <w:r w:rsidR="004906BC" w:rsidRPr="00B7032A">
        <w:rPr>
          <w:rFonts w:ascii="Arial" w:eastAsia="Calibri" w:hAnsi="Arial" w:cs="Arial"/>
          <w:b/>
          <w:bCs/>
          <w:color w:val="000000"/>
          <w:sz w:val="22"/>
          <w:lang w:val="es-ES_tradnl" w:eastAsia="en-GB"/>
        </w:rPr>
        <w:t>E</w:t>
      </w:r>
      <w:r w:rsidR="005C5D17" w:rsidRPr="00B7032A">
        <w:rPr>
          <w:rFonts w:ascii="Arial" w:eastAsia="Calibri" w:hAnsi="Arial" w:cs="Arial"/>
          <w:b/>
          <w:bCs/>
          <w:color w:val="000000"/>
          <w:sz w:val="22"/>
          <w:lang w:val="es-ES_tradnl" w:eastAsia="en-GB"/>
        </w:rPr>
        <w:t>l</w:t>
      </w:r>
      <w:r w:rsidR="00C42105" w:rsidRPr="00B7032A">
        <w:rPr>
          <w:rFonts w:ascii="Arial" w:eastAsia="Calibri" w:hAnsi="Arial" w:cs="Arial"/>
          <w:b/>
          <w:bCs/>
          <w:color w:val="000000"/>
          <w:sz w:val="22"/>
          <w:lang w:val="es-ES_tradnl" w:eastAsia="en-GB"/>
        </w:rPr>
        <w:t xml:space="preserve"> A.I.U en </w:t>
      </w:r>
      <w:r w:rsidR="005C5D17" w:rsidRPr="00B7032A">
        <w:rPr>
          <w:rFonts w:ascii="Arial" w:eastAsia="Calibri" w:hAnsi="Arial" w:cs="Arial"/>
          <w:b/>
          <w:bCs/>
          <w:color w:val="000000"/>
          <w:sz w:val="22"/>
          <w:lang w:val="es-ES_tradnl" w:eastAsia="en-GB"/>
        </w:rPr>
        <w:t xml:space="preserve">los documentos tipo </w:t>
      </w:r>
      <w:r w:rsidR="00C42105" w:rsidRPr="00B7032A">
        <w:rPr>
          <w:rFonts w:ascii="Arial" w:eastAsia="Calibri" w:hAnsi="Arial" w:cs="Arial"/>
          <w:b/>
          <w:bCs/>
          <w:color w:val="000000"/>
          <w:sz w:val="22"/>
          <w:lang w:val="es-ES_tradnl" w:eastAsia="en-GB"/>
        </w:rPr>
        <w:t xml:space="preserve">de infraestructura social </w:t>
      </w:r>
    </w:p>
    <w:p w14:paraId="0483EB9E" w14:textId="77777777" w:rsidR="004906BC" w:rsidRPr="00B7032A" w:rsidRDefault="004906BC" w:rsidP="004906BC">
      <w:pPr>
        <w:spacing w:line="276" w:lineRule="auto"/>
        <w:jc w:val="both"/>
        <w:rPr>
          <w:rFonts w:ascii="Arial" w:hAnsi="Arial" w:cs="Arial"/>
          <w:bCs/>
          <w:sz w:val="22"/>
          <w:lang w:val="es-ES_tradnl"/>
        </w:rPr>
      </w:pPr>
    </w:p>
    <w:p w14:paraId="52C02712" w14:textId="0F274E8D" w:rsidR="008E332B" w:rsidRPr="00B7032A" w:rsidRDefault="004906BC" w:rsidP="004906BC">
      <w:pPr>
        <w:spacing w:line="276" w:lineRule="auto"/>
        <w:jc w:val="both"/>
        <w:rPr>
          <w:rFonts w:ascii="Arial" w:hAnsi="Arial" w:cs="Arial"/>
          <w:bCs/>
          <w:sz w:val="22"/>
          <w:lang w:val="es-ES_tradnl"/>
        </w:rPr>
      </w:pPr>
      <w:r w:rsidRPr="00B7032A">
        <w:rPr>
          <w:rFonts w:ascii="Arial" w:hAnsi="Arial" w:cs="Arial"/>
          <w:bCs/>
          <w:sz w:val="22"/>
          <w:lang w:val="es-ES_tradnl"/>
        </w:rPr>
        <w:t xml:space="preserve">En </w:t>
      </w:r>
      <w:r w:rsidR="005C5D17" w:rsidRPr="00B7032A">
        <w:rPr>
          <w:rFonts w:ascii="Arial" w:hAnsi="Arial" w:cs="Arial"/>
          <w:bCs/>
          <w:sz w:val="22"/>
          <w:lang w:val="es-ES_tradnl"/>
        </w:rPr>
        <w:t>los documentos tipo de infraestructura social e</w:t>
      </w:r>
      <w:r w:rsidR="008E332B" w:rsidRPr="00B7032A">
        <w:rPr>
          <w:rFonts w:ascii="Arial" w:hAnsi="Arial" w:cs="Arial"/>
          <w:bCs/>
          <w:sz w:val="22"/>
          <w:lang w:val="es-ES_tradnl"/>
        </w:rPr>
        <w:t xml:space="preserve">l numeral 4.1.1 </w:t>
      </w:r>
      <w:r w:rsidR="00FD532E" w:rsidRPr="00B7032A">
        <w:rPr>
          <w:rFonts w:ascii="Arial" w:hAnsi="Arial" w:cs="Arial"/>
          <w:bCs/>
          <w:sz w:val="22"/>
          <w:lang w:val="es-ES_tradnl"/>
        </w:rPr>
        <w:t>«</w:t>
      </w:r>
      <w:r w:rsidR="008E332B" w:rsidRPr="00B7032A">
        <w:rPr>
          <w:rFonts w:ascii="Arial" w:hAnsi="Arial" w:cs="Arial"/>
          <w:bCs/>
          <w:sz w:val="22"/>
          <w:lang w:val="es-ES_tradnl"/>
        </w:rPr>
        <w:t>A.I.U.» establece la obligatoriedad de incluir el A</w:t>
      </w:r>
      <w:r w:rsidR="0082200C" w:rsidRPr="00B7032A">
        <w:rPr>
          <w:rFonts w:ascii="Arial" w:hAnsi="Arial" w:cs="Arial"/>
          <w:bCs/>
          <w:sz w:val="22"/>
          <w:lang w:val="es-ES_tradnl"/>
        </w:rPr>
        <w:t>.</w:t>
      </w:r>
      <w:r w:rsidR="008E332B" w:rsidRPr="00B7032A">
        <w:rPr>
          <w:rFonts w:ascii="Arial" w:hAnsi="Arial" w:cs="Arial"/>
          <w:bCs/>
          <w:sz w:val="22"/>
          <w:lang w:val="es-ES_tradnl"/>
        </w:rPr>
        <w:t>I</w:t>
      </w:r>
      <w:r w:rsidR="0082200C" w:rsidRPr="00B7032A">
        <w:rPr>
          <w:rFonts w:ascii="Arial" w:hAnsi="Arial" w:cs="Arial"/>
          <w:bCs/>
          <w:sz w:val="22"/>
          <w:lang w:val="es-ES_tradnl"/>
        </w:rPr>
        <w:t>.</w:t>
      </w:r>
      <w:r w:rsidR="008E332B" w:rsidRPr="00B7032A">
        <w:rPr>
          <w:rFonts w:ascii="Arial" w:hAnsi="Arial" w:cs="Arial"/>
          <w:bCs/>
          <w:sz w:val="22"/>
          <w:lang w:val="es-ES_tradnl"/>
        </w:rPr>
        <w:t xml:space="preserve">U cuando el proceso de contratación sea por precios unitarios. En </w:t>
      </w:r>
      <w:r w:rsidRPr="00B7032A">
        <w:rPr>
          <w:rFonts w:ascii="Arial" w:hAnsi="Arial" w:cs="Arial"/>
          <w:bCs/>
          <w:sz w:val="22"/>
          <w:lang w:val="es-ES_tradnl"/>
        </w:rPr>
        <w:t>este numeral</w:t>
      </w:r>
      <w:r w:rsidR="008E332B" w:rsidRPr="00B7032A">
        <w:rPr>
          <w:rFonts w:ascii="Arial" w:hAnsi="Arial" w:cs="Arial"/>
          <w:bCs/>
          <w:sz w:val="22"/>
          <w:lang w:val="es-ES_tradnl"/>
        </w:rPr>
        <w:t xml:space="preserve"> se indica el deber del proponente de calcular todos los gastos en los que incurre para poder remunerar los costos de administración, los imprevistos y la utilidad o beneficio económico que pretende percibir por la ejecución del contrato. </w:t>
      </w:r>
      <w:r w:rsidR="000147AA" w:rsidRPr="00B7032A">
        <w:rPr>
          <w:rFonts w:ascii="Arial" w:hAnsi="Arial" w:cs="Arial"/>
          <w:bCs/>
          <w:sz w:val="22"/>
          <w:lang w:val="es-ES_tradnl"/>
        </w:rPr>
        <w:t>L</w:t>
      </w:r>
      <w:r w:rsidR="008E332B" w:rsidRPr="00B7032A">
        <w:rPr>
          <w:rFonts w:ascii="Arial" w:hAnsi="Arial" w:cs="Arial"/>
          <w:bCs/>
          <w:sz w:val="22"/>
          <w:lang w:val="es-ES_tradnl"/>
        </w:rPr>
        <w:t xml:space="preserve">a instrucción prevista en el numeral 4.1.1 </w:t>
      </w:r>
      <w:r w:rsidR="00FD532E" w:rsidRPr="00B7032A">
        <w:rPr>
          <w:rFonts w:ascii="Arial" w:hAnsi="Arial" w:cs="Arial"/>
          <w:bCs/>
          <w:sz w:val="22"/>
          <w:lang w:val="es-ES_tradnl"/>
        </w:rPr>
        <w:t>«</w:t>
      </w:r>
      <w:r w:rsidR="008E332B" w:rsidRPr="00B7032A">
        <w:rPr>
          <w:rFonts w:ascii="Arial" w:hAnsi="Arial" w:cs="Arial"/>
          <w:bCs/>
          <w:sz w:val="22"/>
          <w:lang w:val="es-ES_tradnl"/>
        </w:rPr>
        <w:t xml:space="preserve">AIU» está dada en términos de deber y obligación, por tanto, no existe la posibilidad de modificar el contenido del documento base previsto en el numeral «4.1.1 A.I.U.», veamos: </w:t>
      </w:r>
      <w:r w:rsidR="00FD532E" w:rsidRPr="00B7032A">
        <w:rPr>
          <w:rFonts w:ascii="Arial" w:hAnsi="Arial" w:cs="Arial"/>
          <w:bCs/>
          <w:sz w:val="22"/>
          <w:lang w:val="es-ES_tradnl"/>
        </w:rPr>
        <w:t xml:space="preserve"> </w:t>
      </w:r>
    </w:p>
    <w:p w14:paraId="30A7B2E2" w14:textId="77777777" w:rsidR="008E332B" w:rsidRPr="00B7032A" w:rsidRDefault="008E332B" w:rsidP="008E332B">
      <w:pPr>
        <w:spacing w:line="276" w:lineRule="auto"/>
        <w:ind w:firstLine="709"/>
        <w:jc w:val="both"/>
        <w:rPr>
          <w:rFonts w:ascii="Arial" w:hAnsi="Arial" w:cs="Arial"/>
          <w:bCs/>
          <w:sz w:val="22"/>
          <w:lang w:val="es-ES_tradnl"/>
        </w:rPr>
      </w:pPr>
    </w:p>
    <w:p w14:paraId="2C865DAC" w14:textId="61802340" w:rsidR="008E332B" w:rsidRPr="00B7032A" w:rsidRDefault="008E332B" w:rsidP="008E332B">
      <w:pPr>
        <w:spacing w:after="120"/>
        <w:ind w:left="709" w:right="709"/>
        <w:jc w:val="both"/>
        <w:rPr>
          <w:rFonts w:ascii="Arial" w:hAnsi="Arial" w:cs="Arial"/>
          <w:color w:val="000000" w:themeColor="text1"/>
          <w:sz w:val="21"/>
          <w:szCs w:val="21"/>
        </w:rPr>
      </w:pPr>
      <w:r w:rsidRPr="00B7032A">
        <w:rPr>
          <w:rFonts w:ascii="Arial" w:hAnsi="Arial" w:cs="Arial"/>
          <w:bCs/>
          <w:color w:val="000000" w:themeColor="text1"/>
          <w:sz w:val="21"/>
          <w:szCs w:val="21"/>
          <w:highlight w:val="lightGray"/>
        </w:rPr>
        <w:t>[Esta sección se debe incluir en el evento en el que el proceso de contratación sea por precios unitarios</w:t>
      </w:r>
      <w:r w:rsidR="00FD532E" w:rsidRPr="00B7032A">
        <w:rPr>
          <w:rFonts w:ascii="Arial" w:hAnsi="Arial" w:cs="Arial"/>
          <w:bCs/>
          <w:color w:val="000000" w:themeColor="text1"/>
          <w:sz w:val="21"/>
          <w:szCs w:val="21"/>
          <w:highlight w:val="lightGray"/>
        </w:rPr>
        <w:t>.</w:t>
      </w:r>
      <w:r w:rsidR="00FD532E" w:rsidRPr="00B7032A">
        <w:rPr>
          <w:rFonts w:ascii="Arial" w:eastAsia="Calibri" w:hAnsi="Arial" w:cs="Arial"/>
          <w:bCs/>
          <w:color w:val="000000"/>
          <w:sz w:val="20"/>
          <w:szCs w:val="22"/>
          <w:highlight w:val="lightGray"/>
          <w:lang w:val="es-MX" w:eastAsia="en-US"/>
        </w:rPr>
        <w:t xml:space="preserve"> </w:t>
      </w:r>
      <w:r w:rsidR="00FD532E" w:rsidRPr="00B7032A">
        <w:rPr>
          <w:rFonts w:ascii="Arial" w:eastAsia="Calibri" w:hAnsi="Arial" w:cs="Arial"/>
          <w:bCs/>
          <w:color w:val="000000"/>
          <w:sz w:val="21"/>
          <w:szCs w:val="21"/>
          <w:highlight w:val="lightGray"/>
          <w:lang w:val="es-MX" w:eastAsia="en-US"/>
        </w:rPr>
        <w:t>La</w:t>
      </w:r>
      <w:r w:rsidR="00FD532E" w:rsidRPr="00B7032A">
        <w:rPr>
          <w:rFonts w:ascii="Arial" w:eastAsia="Calibri" w:hAnsi="Arial" w:cs="Arial"/>
          <w:color w:val="000000"/>
          <w:sz w:val="21"/>
          <w:szCs w:val="21"/>
          <w:highlight w:val="lightGray"/>
          <w:lang w:val="es-MX" w:eastAsia="en-US"/>
        </w:rPr>
        <w:t xml:space="preserve"> Entidad también podrá incorporar esta sección cuando opte por formas de pago distintas a la de Precios Unitarios, siempre que en la misma esté el A.I.U., pudiendo realizar las modificaciones necesarias para adecuar lo regulado en esta sección a las particularidades de la respectiva forma de pago para cumplir con su contraprestación frente al futuro contratista</w:t>
      </w:r>
      <w:r w:rsidRPr="00B7032A">
        <w:rPr>
          <w:rFonts w:ascii="Arial" w:hAnsi="Arial" w:cs="Arial"/>
          <w:color w:val="000000" w:themeColor="text1"/>
          <w:sz w:val="21"/>
          <w:szCs w:val="21"/>
          <w:highlight w:val="lightGray"/>
        </w:rPr>
        <w:t>]</w:t>
      </w:r>
    </w:p>
    <w:p w14:paraId="39C45398" w14:textId="0F03D550" w:rsidR="008E332B" w:rsidRPr="00B7032A" w:rsidRDefault="008E332B" w:rsidP="008E332B">
      <w:pPr>
        <w:spacing w:after="120"/>
        <w:ind w:left="709" w:right="709"/>
        <w:jc w:val="both"/>
        <w:rPr>
          <w:rFonts w:ascii="Arial" w:hAnsi="Arial" w:cs="Arial"/>
          <w:color w:val="000000" w:themeColor="text1"/>
          <w:sz w:val="21"/>
          <w:szCs w:val="21"/>
        </w:rPr>
      </w:pPr>
      <w:r w:rsidRPr="00B7032A">
        <w:rPr>
          <w:rFonts w:ascii="Arial" w:hAnsi="Arial" w:cs="Arial"/>
          <w:color w:val="000000" w:themeColor="text1"/>
          <w:sz w:val="21"/>
          <w:szCs w:val="21"/>
        </w:rPr>
        <w:lastRenderedPageBreak/>
        <w:t xml:space="preserve">El proponente debe calcular un AIU que contenga todos los costos </w:t>
      </w:r>
      <w:r w:rsidR="00881C33" w:rsidRPr="00B7032A">
        <w:rPr>
          <w:rFonts w:ascii="Arial" w:hAnsi="Arial" w:cs="Arial"/>
          <w:color w:val="000000" w:themeColor="text1"/>
          <w:sz w:val="21"/>
          <w:szCs w:val="21"/>
        </w:rPr>
        <w:t>en los que incurre el proponente, futuro contratista, para ejecutar y cumplir el contrato.</w:t>
      </w:r>
    </w:p>
    <w:p w14:paraId="070C025A" w14:textId="77777777" w:rsidR="00FB04B5" w:rsidRPr="00B7032A" w:rsidRDefault="00881C33" w:rsidP="000D16C9">
      <w:pPr>
        <w:ind w:left="709" w:right="709"/>
        <w:jc w:val="both"/>
        <w:rPr>
          <w:rFonts w:ascii="Arial" w:hAnsi="Arial" w:cs="Arial"/>
          <w:color w:val="000000" w:themeColor="text1"/>
          <w:sz w:val="21"/>
          <w:szCs w:val="21"/>
          <w:lang w:val="es-MX"/>
        </w:rPr>
      </w:pPr>
      <w:r w:rsidRPr="00B7032A">
        <w:rPr>
          <w:rFonts w:ascii="Arial" w:hAnsi="Arial" w:cs="Arial"/>
          <w:color w:val="000000" w:themeColor="text1"/>
          <w:sz w:val="21"/>
          <w:szCs w:val="21"/>
          <w:lang w:val="es-MX"/>
        </w:rPr>
        <w:t>El A.I.U. debe expresarse en un porcentaje (%) y debe consignarlo y discriminarlo en la propuesta económica. [</w:t>
      </w:r>
      <w:r w:rsidRPr="00B7032A">
        <w:rPr>
          <w:rFonts w:ascii="Arial" w:hAnsi="Arial" w:cs="Arial"/>
          <w:color w:val="000000" w:themeColor="text1"/>
          <w:sz w:val="21"/>
          <w:szCs w:val="21"/>
          <w:shd w:val="clear" w:color="auto" w:fill="B5B5B5" w:themeFill="background2" w:themeFillShade="BF"/>
          <w:lang w:val="es-MX"/>
        </w:rPr>
        <w:t>La Entidad no podrá exigir al Proponente el desglose del AIU o componentes internos de la administración (A) en la propuesta económica, sino solo la discriminación de su valor en porcentaje (%). Para el Proponente que resulte adjudicatario se podrá solicitar el desglose del A.I.U. ofertado</w:t>
      </w:r>
      <w:r w:rsidRPr="00B7032A">
        <w:rPr>
          <w:rFonts w:ascii="Arial" w:hAnsi="Arial" w:cs="Arial"/>
          <w:color w:val="000000" w:themeColor="text1"/>
          <w:sz w:val="21"/>
          <w:szCs w:val="21"/>
          <w:lang w:val="es-MX"/>
        </w:rPr>
        <w:t>.]</w:t>
      </w:r>
      <w:r w:rsidR="000D16C9" w:rsidRPr="00B7032A">
        <w:rPr>
          <w:rFonts w:ascii="Arial" w:hAnsi="Arial" w:cs="Arial"/>
          <w:color w:val="000000" w:themeColor="text1"/>
          <w:sz w:val="21"/>
          <w:szCs w:val="21"/>
          <w:lang w:val="es-MX"/>
        </w:rPr>
        <w:t xml:space="preserve"> </w:t>
      </w:r>
    </w:p>
    <w:p w14:paraId="3D4A8CE1" w14:textId="77777777" w:rsidR="00FB04B5" w:rsidRPr="00B7032A" w:rsidRDefault="00FB04B5" w:rsidP="000D16C9">
      <w:pPr>
        <w:ind w:left="709" w:right="709"/>
        <w:jc w:val="both"/>
        <w:rPr>
          <w:rFonts w:ascii="Arial" w:hAnsi="Arial" w:cs="Arial"/>
          <w:color w:val="000000" w:themeColor="text1"/>
          <w:sz w:val="21"/>
          <w:szCs w:val="21"/>
        </w:rPr>
      </w:pPr>
    </w:p>
    <w:p w14:paraId="42E3D506" w14:textId="79CA7767" w:rsidR="00FB04B5" w:rsidRPr="00B7032A" w:rsidRDefault="00FB04B5" w:rsidP="00FB04B5">
      <w:pPr>
        <w:ind w:left="709" w:right="709"/>
        <w:jc w:val="both"/>
        <w:rPr>
          <w:rFonts w:ascii="Arial" w:hAnsi="Arial" w:cs="Arial"/>
          <w:color w:val="000000" w:themeColor="text1"/>
          <w:sz w:val="21"/>
          <w:szCs w:val="21"/>
          <w:lang w:val="es-MX"/>
        </w:rPr>
      </w:pPr>
      <w:r w:rsidRPr="00B7032A">
        <w:rPr>
          <w:rFonts w:ascii="Arial" w:hAnsi="Arial" w:cs="Arial"/>
          <w:color w:val="000000" w:themeColor="text1"/>
          <w:sz w:val="21"/>
          <w:szCs w:val="21"/>
          <w:lang w:val="es-MX"/>
        </w:rPr>
        <w:t xml:space="preserve">Cuando el Proponente exprese el A.I.U. en porcentaje (%) y en Pesos, prevalece el valor expresado en porcentaje (%). El porcentaje del A.I.U. que presenten los Proponentes no debe ser superior al porcentaje total del A.I.U establecido en el </w:t>
      </w:r>
      <w:r w:rsidRPr="00B7032A">
        <w:rPr>
          <w:rFonts w:ascii="Arial" w:hAnsi="Arial" w:cs="Arial"/>
          <w:color w:val="000000" w:themeColor="text1"/>
          <w:sz w:val="21"/>
          <w:szCs w:val="21"/>
          <w:lang w:val="es-MX"/>
        </w:rPr>
        <w:fldChar w:fldCharType="begin"/>
      </w:r>
      <w:r w:rsidRPr="00B7032A">
        <w:rPr>
          <w:rFonts w:ascii="Arial" w:hAnsi="Arial" w:cs="Arial"/>
          <w:color w:val="000000" w:themeColor="text1"/>
          <w:sz w:val="21"/>
          <w:szCs w:val="21"/>
          <w:lang w:val="es-MX"/>
        </w:rPr>
        <w:instrText xml:space="preserve"> REF _Ref57725061 \h </w:instrText>
      </w:r>
      <w:r w:rsidR="0082200C" w:rsidRPr="00B7032A">
        <w:rPr>
          <w:rFonts w:ascii="Arial" w:hAnsi="Arial" w:cs="Arial"/>
          <w:color w:val="000000" w:themeColor="text1"/>
          <w:sz w:val="21"/>
          <w:szCs w:val="21"/>
          <w:lang w:val="es-MX"/>
        </w:rPr>
        <w:instrText xml:space="preserve"> \* MERGEFORMAT </w:instrText>
      </w:r>
      <w:r w:rsidRPr="00B7032A">
        <w:rPr>
          <w:rFonts w:ascii="Arial" w:hAnsi="Arial" w:cs="Arial"/>
          <w:color w:val="000000" w:themeColor="text1"/>
          <w:sz w:val="21"/>
          <w:szCs w:val="21"/>
          <w:lang w:val="es-MX"/>
        </w:rPr>
      </w:r>
      <w:r w:rsidRPr="00B7032A">
        <w:rPr>
          <w:rFonts w:ascii="Arial" w:hAnsi="Arial" w:cs="Arial"/>
          <w:color w:val="000000" w:themeColor="text1"/>
          <w:sz w:val="21"/>
          <w:szCs w:val="21"/>
          <w:lang w:val="es-MX"/>
        </w:rPr>
        <w:fldChar w:fldCharType="separate"/>
      </w:r>
      <w:r w:rsidRPr="00B7032A">
        <w:rPr>
          <w:rFonts w:ascii="Arial" w:hAnsi="Arial" w:cs="Arial"/>
          <w:color w:val="000000" w:themeColor="text1"/>
          <w:sz w:val="21"/>
          <w:szCs w:val="21"/>
          <w:lang w:val="es-MX"/>
        </w:rPr>
        <w:t>Formulario 1– Formulario de Presupuesto Oficial</w:t>
      </w:r>
      <w:r w:rsidRPr="00B7032A">
        <w:rPr>
          <w:rFonts w:ascii="Arial" w:hAnsi="Arial" w:cs="Arial"/>
          <w:color w:val="000000" w:themeColor="text1"/>
          <w:sz w:val="21"/>
          <w:szCs w:val="21"/>
        </w:rPr>
        <w:fldChar w:fldCharType="end"/>
      </w:r>
      <w:r w:rsidRPr="00B7032A">
        <w:rPr>
          <w:rFonts w:ascii="Arial" w:hAnsi="Arial" w:cs="Arial"/>
          <w:color w:val="000000" w:themeColor="text1"/>
          <w:sz w:val="21"/>
          <w:szCs w:val="21"/>
          <w:lang w:val="es-MX"/>
        </w:rPr>
        <w:t xml:space="preserve">. En consecuencia, el Proponente puede configurar libremente el porcentaje individual de la “A”, de la “I” y de la “U”, siempre que la sumatoria de ellos no exceda el porcentaje total definido por la Entidad en el </w:t>
      </w:r>
      <w:r w:rsidRPr="00B7032A">
        <w:rPr>
          <w:rFonts w:ascii="Arial" w:hAnsi="Arial" w:cs="Arial"/>
          <w:color w:val="000000" w:themeColor="text1"/>
          <w:sz w:val="21"/>
          <w:szCs w:val="21"/>
          <w:lang w:val="es-MX"/>
        </w:rPr>
        <w:fldChar w:fldCharType="begin"/>
      </w:r>
      <w:r w:rsidRPr="00B7032A">
        <w:rPr>
          <w:rFonts w:ascii="Arial" w:hAnsi="Arial" w:cs="Arial"/>
          <w:color w:val="000000" w:themeColor="text1"/>
          <w:sz w:val="21"/>
          <w:szCs w:val="21"/>
          <w:lang w:val="es-MX"/>
        </w:rPr>
        <w:instrText xml:space="preserve"> REF _Ref57725061 \h </w:instrText>
      </w:r>
      <w:r w:rsidR="0082200C" w:rsidRPr="00B7032A">
        <w:rPr>
          <w:rFonts w:ascii="Arial" w:hAnsi="Arial" w:cs="Arial"/>
          <w:color w:val="000000" w:themeColor="text1"/>
          <w:sz w:val="21"/>
          <w:szCs w:val="21"/>
          <w:lang w:val="es-MX"/>
        </w:rPr>
        <w:instrText xml:space="preserve"> \* MERGEFORMAT </w:instrText>
      </w:r>
      <w:r w:rsidRPr="00B7032A">
        <w:rPr>
          <w:rFonts w:ascii="Arial" w:hAnsi="Arial" w:cs="Arial"/>
          <w:color w:val="000000" w:themeColor="text1"/>
          <w:sz w:val="21"/>
          <w:szCs w:val="21"/>
          <w:lang w:val="es-MX"/>
        </w:rPr>
      </w:r>
      <w:r w:rsidRPr="00B7032A">
        <w:rPr>
          <w:rFonts w:ascii="Arial" w:hAnsi="Arial" w:cs="Arial"/>
          <w:color w:val="000000" w:themeColor="text1"/>
          <w:sz w:val="21"/>
          <w:szCs w:val="21"/>
          <w:lang w:val="es-MX"/>
        </w:rPr>
        <w:fldChar w:fldCharType="separate"/>
      </w:r>
      <w:r w:rsidRPr="00B7032A">
        <w:rPr>
          <w:rFonts w:ascii="Arial" w:hAnsi="Arial" w:cs="Arial"/>
          <w:color w:val="000000" w:themeColor="text1"/>
          <w:sz w:val="21"/>
          <w:szCs w:val="21"/>
          <w:lang w:val="es-MX"/>
        </w:rPr>
        <w:t>Formulario 1– Formulario de Presupuesto Oficial</w:t>
      </w:r>
      <w:r w:rsidRPr="00B7032A">
        <w:rPr>
          <w:rFonts w:ascii="Arial" w:hAnsi="Arial" w:cs="Arial"/>
          <w:color w:val="000000" w:themeColor="text1"/>
          <w:sz w:val="21"/>
          <w:szCs w:val="21"/>
        </w:rPr>
        <w:fldChar w:fldCharType="end"/>
      </w:r>
      <w:r w:rsidRPr="00B7032A">
        <w:rPr>
          <w:rFonts w:ascii="Arial" w:hAnsi="Arial" w:cs="Arial"/>
          <w:color w:val="000000" w:themeColor="text1"/>
          <w:sz w:val="21"/>
          <w:szCs w:val="21"/>
          <w:lang w:val="es-MX"/>
        </w:rPr>
        <w:t>.</w:t>
      </w:r>
    </w:p>
    <w:p w14:paraId="6819059B" w14:textId="77777777" w:rsidR="00FB04B5" w:rsidRPr="00B7032A" w:rsidRDefault="00FB04B5" w:rsidP="00FB04B5">
      <w:pPr>
        <w:ind w:left="709" w:right="709"/>
        <w:jc w:val="both"/>
        <w:rPr>
          <w:rFonts w:ascii="Arial" w:hAnsi="Arial" w:cs="Arial"/>
          <w:color w:val="000000" w:themeColor="text1"/>
          <w:sz w:val="21"/>
          <w:szCs w:val="21"/>
          <w:lang w:val="es-MX"/>
        </w:rPr>
      </w:pPr>
    </w:p>
    <w:p w14:paraId="3BC7CC54" w14:textId="404719E3" w:rsidR="008E332B" w:rsidRPr="008179FF" w:rsidRDefault="00FB04B5" w:rsidP="00FB04B5">
      <w:pPr>
        <w:ind w:left="709" w:right="709"/>
        <w:jc w:val="both"/>
        <w:rPr>
          <w:rFonts w:ascii="Arial" w:hAnsi="Arial" w:cs="Arial"/>
          <w:color w:val="000000" w:themeColor="text1"/>
          <w:sz w:val="21"/>
          <w:szCs w:val="21"/>
          <w:lang w:val="es-MX"/>
        </w:rPr>
      </w:pPr>
      <w:r w:rsidRPr="00B7032A">
        <w:rPr>
          <w:rFonts w:ascii="Arial" w:hAnsi="Arial" w:cs="Arial"/>
          <w:color w:val="000000" w:themeColor="text1"/>
          <w:sz w:val="21"/>
          <w:szCs w:val="21"/>
          <w:lang w:val="es-MX"/>
        </w:rPr>
        <w:t xml:space="preserve">Los componentes internos de la administración (A) deberán ser presentados por el adjudicatario del Proceso de Contratación en la oportunidad establecida en el </w:t>
      </w:r>
      <w:r w:rsidRPr="008179FF">
        <w:rPr>
          <w:rFonts w:ascii="Arial" w:hAnsi="Arial" w:cs="Arial"/>
          <w:color w:val="000000" w:themeColor="text1"/>
          <w:sz w:val="21"/>
          <w:szCs w:val="21"/>
          <w:lang w:val="es-MX"/>
        </w:rPr>
        <w:t xml:space="preserve">numeral 8.1 del Pliego de Condiciones. </w:t>
      </w:r>
    </w:p>
    <w:p w14:paraId="7AF691BF" w14:textId="77777777" w:rsidR="008E332B" w:rsidRPr="008179FF" w:rsidRDefault="008E332B" w:rsidP="00070310">
      <w:pPr>
        <w:spacing w:line="276" w:lineRule="auto"/>
        <w:jc w:val="both"/>
        <w:rPr>
          <w:rFonts w:ascii="Arial" w:hAnsi="Arial" w:cs="Arial"/>
          <w:sz w:val="22"/>
          <w:lang w:val="es-ES_tradnl"/>
        </w:rPr>
      </w:pPr>
      <w:r w:rsidRPr="008179FF">
        <w:rPr>
          <w:rFonts w:ascii="Arial" w:hAnsi="Arial" w:cs="Arial"/>
          <w:sz w:val="22"/>
          <w:lang w:val="es-ES_tradnl"/>
        </w:rPr>
        <w:tab/>
      </w:r>
    </w:p>
    <w:p w14:paraId="6042476B" w14:textId="71FD26B9" w:rsidR="008E332B" w:rsidRPr="008179FF" w:rsidRDefault="008E332B" w:rsidP="00070310">
      <w:pPr>
        <w:spacing w:line="276" w:lineRule="auto"/>
        <w:ind w:firstLine="709"/>
        <w:jc w:val="both"/>
        <w:rPr>
          <w:rFonts w:ascii="Arial" w:hAnsi="Arial" w:cs="Arial"/>
          <w:bCs/>
          <w:sz w:val="22"/>
          <w:lang w:val="es-ES_tradnl"/>
        </w:rPr>
      </w:pPr>
      <w:r w:rsidRPr="008179FF">
        <w:rPr>
          <w:rFonts w:ascii="Arial" w:hAnsi="Arial" w:cs="Arial"/>
          <w:bCs/>
          <w:sz w:val="22"/>
          <w:lang w:val="es-ES_tradnl"/>
        </w:rPr>
        <w:t xml:space="preserve">En este sentido, en </w:t>
      </w:r>
      <w:bookmarkStart w:id="31" w:name="_Hlk62829022"/>
      <w:r w:rsidRPr="008179FF">
        <w:rPr>
          <w:rFonts w:ascii="Arial" w:hAnsi="Arial" w:cs="Arial"/>
          <w:bCs/>
          <w:sz w:val="22"/>
          <w:lang w:val="es-ES_tradnl"/>
        </w:rPr>
        <w:t xml:space="preserve">el numeral 4.1.1 se incluyen reglas imperativas que las entidades y proponentes deben acoger en su totalidad, estas son: i) incluir este numeral en los procesos de contratación que sea por precios unitarios, </w:t>
      </w:r>
      <w:proofErr w:type="spellStart"/>
      <w:r w:rsidRPr="008179FF">
        <w:rPr>
          <w:rFonts w:ascii="Arial" w:hAnsi="Arial" w:cs="Arial"/>
          <w:bCs/>
          <w:sz w:val="22"/>
          <w:lang w:val="es-ES_tradnl"/>
        </w:rPr>
        <w:t>ii</w:t>
      </w:r>
      <w:proofErr w:type="spellEnd"/>
      <w:r w:rsidRPr="008179FF">
        <w:rPr>
          <w:rFonts w:ascii="Arial" w:hAnsi="Arial" w:cs="Arial"/>
          <w:bCs/>
          <w:sz w:val="22"/>
          <w:lang w:val="es-ES_tradnl"/>
        </w:rPr>
        <w:t xml:space="preserve">) el proponente calculará un AIU que contenga todos los costos en que los que incurre el contratista, esto es, los costos directos y la administración, imprevistos y utilidad y </w:t>
      </w:r>
      <w:proofErr w:type="spellStart"/>
      <w:r w:rsidRPr="008179FF">
        <w:rPr>
          <w:rFonts w:ascii="Arial" w:hAnsi="Arial" w:cs="Arial"/>
          <w:bCs/>
          <w:sz w:val="22"/>
          <w:lang w:val="es-ES_tradnl"/>
        </w:rPr>
        <w:t>iii</w:t>
      </w:r>
      <w:proofErr w:type="spellEnd"/>
      <w:r w:rsidRPr="008179FF">
        <w:rPr>
          <w:rFonts w:ascii="Arial" w:hAnsi="Arial" w:cs="Arial"/>
          <w:bCs/>
          <w:sz w:val="22"/>
          <w:lang w:val="es-ES_tradnl"/>
        </w:rPr>
        <w:t>) el valor debe expresarse en un porcentaje. En otras palabras, el documento tipo no prevé la posibilidad a las entidades de adaptar o modificar ningún aparte del contenido de este numeral.</w:t>
      </w:r>
    </w:p>
    <w:p w14:paraId="17C38D8E" w14:textId="23349706" w:rsidR="0082200C" w:rsidRPr="008179FF" w:rsidRDefault="0082200C" w:rsidP="00070310">
      <w:pPr>
        <w:spacing w:before="120" w:line="276" w:lineRule="auto"/>
        <w:ind w:firstLine="709"/>
        <w:jc w:val="both"/>
        <w:rPr>
          <w:rFonts w:ascii="Arial" w:eastAsiaTheme="minorHAnsi" w:hAnsi="Arial" w:cs="Arial"/>
          <w:color w:val="000000"/>
          <w:sz w:val="22"/>
          <w:szCs w:val="22"/>
          <w:shd w:val="clear" w:color="auto" w:fill="FFFFFF"/>
          <w:lang w:val="es-MX" w:eastAsia="en-US"/>
        </w:rPr>
      </w:pPr>
      <w:r w:rsidRPr="008179FF">
        <w:rPr>
          <w:rFonts w:ascii="Arial" w:hAnsi="Arial" w:cs="Arial"/>
          <w:bCs/>
          <w:sz w:val="22"/>
          <w:lang w:val="es-ES_tradnl"/>
        </w:rPr>
        <w:t>Así mismo, el numeral establece las condiciones en las cuales se deberá estructurar el A.I.U en los procesos con precios unitarios, indicando que e</w:t>
      </w:r>
      <w:r w:rsidRPr="008179FF">
        <w:rPr>
          <w:rFonts w:ascii="Arial" w:hAnsi="Arial" w:cs="Arial"/>
          <w:bCs/>
          <w:sz w:val="22"/>
          <w:lang w:val="es-MX"/>
        </w:rPr>
        <w:t xml:space="preserve">l porcentaje del A.I.U. que presenten los proponentes no debe ser superior al porcentaje total del A.I.U establecido en el </w:t>
      </w:r>
      <w:r w:rsidRPr="008179FF">
        <w:rPr>
          <w:rFonts w:ascii="Arial" w:hAnsi="Arial" w:cs="Arial"/>
          <w:bCs/>
          <w:sz w:val="22"/>
          <w:lang w:val="es-MX"/>
        </w:rPr>
        <w:fldChar w:fldCharType="begin"/>
      </w:r>
      <w:r w:rsidRPr="008179FF">
        <w:rPr>
          <w:rFonts w:ascii="Arial" w:hAnsi="Arial" w:cs="Arial"/>
          <w:bCs/>
          <w:sz w:val="22"/>
          <w:lang w:val="es-MX"/>
        </w:rPr>
        <w:instrText xml:space="preserve"> REF _Ref57725061 \h  \* MERGEFORMAT </w:instrText>
      </w:r>
      <w:r w:rsidRPr="008179FF">
        <w:rPr>
          <w:rFonts w:ascii="Arial" w:hAnsi="Arial" w:cs="Arial"/>
          <w:bCs/>
          <w:sz w:val="22"/>
          <w:lang w:val="es-MX"/>
        </w:rPr>
      </w:r>
      <w:r w:rsidRPr="008179FF">
        <w:rPr>
          <w:rFonts w:ascii="Arial" w:hAnsi="Arial" w:cs="Arial"/>
          <w:bCs/>
          <w:sz w:val="22"/>
          <w:lang w:val="es-MX"/>
        </w:rPr>
        <w:fldChar w:fldCharType="separate"/>
      </w:r>
      <w:r w:rsidRPr="008179FF">
        <w:rPr>
          <w:rFonts w:ascii="Arial" w:hAnsi="Arial" w:cs="Arial"/>
          <w:bCs/>
          <w:sz w:val="22"/>
          <w:lang w:val="es-MX"/>
        </w:rPr>
        <w:t>Formulario 1– Formulario de Presupuesto Oficial</w:t>
      </w:r>
      <w:r w:rsidRPr="008179FF">
        <w:rPr>
          <w:rFonts w:ascii="Arial" w:hAnsi="Arial" w:cs="Arial"/>
          <w:bCs/>
          <w:sz w:val="22"/>
          <w:lang w:val="es-ES_tradnl"/>
        </w:rPr>
        <w:fldChar w:fldCharType="end"/>
      </w:r>
      <w:r w:rsidRPr="008179FF">
        <w:rPr>
          <w:rFonts w:ascii="Arial" w:hAnsi="Arial" w:cs="Arial"/>
          <w:bCs/>
          <w:sz w:val="22"/>
          <w:lang w:val="es-MX"/>
        </w:rPr>
        <w:t xml:space="preserve">. </w:t>
      </w:r>
      <w:r w:rsidR="00014E87" w:rsidRPr="008179FF">
        <w:rPr>
          <w:rFonts w:ascii="Arial" w:hAnsi="Arial" w:cs="Arial"/>
          <w:bCs/>
          <w:sz w:val="22"/>
          <w:lang w:val="es-MX"/>
        </w:rPr>
        <w:t>De igual forma, se resalta que el p</w:t>
      </w:r>
      <w:r w:rsidRPr="008179FF">
        <w:rPr>
          <w:rFonts w:ascii="Arial" w:hAnsi="Arial" w:cs="Arial"/>
          <w:bCs/>
          <w:sz w:val="22"/>
          <w:lang w:val="es-MX"/>
        </w:rPr>
        <w:t xml:space="preserve">roponente puede configurar libremente el porcentaje individual de la </w:t>
      </w:r>
      <w:r w:rsidR="00A91E38" w:rsidRPr="008179FF">
        <w:rPr>
          <w:rFonts w:ascii="Arial" w:hAnsi="Arial" w:cs="Arial"/>
          <w:bCs/>
          <w:sz w:val="22"/>
          <w:lang w:val="es-MX"/>
        </w:rPr>
        <w:t>«</w:t>
      </w:r>
      <w:r w:rsidRPr="008179FF">
        <w:rPr>
          <w:rFonts w:ascii="Arial" w:hAnsi="Arial" w:cs="Arial"/>
          <w:bCs/>
          <w:sz w:val="22"/>
          <w:lang w:val="es-MX"/>
        </w:rPr>
        <w:t>A</w:t>
      </w:r>
      <w:r w:rsidR="00A91E38" w:rsidRPr="008179FF">
        <w:rPr>
          <w:rFonts w:ascii="Arial" w:hAnsi="Arial" w:cs="Arial"/>
          <w:bCs/>
          <w:sz w:val="22"/>
          <w:lang w:val="es-MX"/>
        </w:rPr>
        <w:t>»</w:t>
      </w:r>
      <w:r w:rsidRPr="008179FF">
        <w:rPr>
          <w:rFonts w:ascii="Arial" w:hAnsi="Arial" w:cs="Arial"/>
          <w:bCs/>
          <w:sz w:val="22"/>
          <w:lang w:val="es-MX"/>
        </w:rPr>
        <w:t xml:space="preserve">, de la </w:t>
      </w:r>
      <w:r w:rsidR="00A91E38" w:rsidRPr="008179FF">
        <w:rPr>
          <w:rFonts w:ascii="Arial" w:hAnsi="Arial" w:cs="Arial"/>
          <w:bCs/>
          <w:sz w:val="22"/>
          <w:lang w:val="es-MX"/>
        </w:rPr>
        <w:t>«</w:t>
      </w:r>
      <w:r w:rsidRPr="008179FF">
        <w:rPr>
          <w:rFonts w:ascii="Arial" w:hAnsi="Arial" w:cs="Arial"/>
          <w:bCs/>
          <w:sz w:val="22"/>
          <w:lang w:val="es-MX"/>
        </w:rPr>
        <w:t>I</w:t>
      </w:r>
      <w:r w:rsidR="00A91E38" w:rsidRPr="008179FF">
        <w:rPr>
          <w:rFonts w:ascii="Arial" w:hAnsi="Arial" w:cs="Arial"/>
          <w:bCs/>
          <w:sz w:val="22"/>
          <w:lang w:val="es-MX"/>
        </w:rPr>
        <w:t>»</w:t>
      </w:r>
      <w:r w:rsidRPr="008179FF">
        <w:rPr>
          <w:rFonts w:ascii="Arial" w:hAnsi="Arial" w:cs="Arial"/>
          <w:bCs/>
          <w:sz w:val="22"/>
          <w:lang w:val="es-MX"/>
        </w:rPr>
        <w:t xml:space="preserve"> y de la </w:t>
      </w:r>
      <w:r w:rsidR="00A91E38" w:rsidRPr="008179FF">
        <w:rPr>
          <w:rFonts w:ascii="Arial" w:hAnsi="Arial" w:cs="Arial"/>
          <w:bCs/>
          <w:sz w:val="22"/>
          <w:lang w:val="es-MX"/>
        </w:rPr>
        <w:t>«</w:t>
      </w:r>
      <w:r w:rsidRPr="008179FF">
        <w:rPr>
          <w:rFonts w:ascii="Arial" w:hAnsi="Arial" w:cs="Arial"/>
          <w:bCs/>
          <w:sz w:val="22"/>
          <w:lang w:val="es-MX"/>
        </w:rPr>
        <w:t>U</w:t>
      </w:r>
      <w:r w:rsidR="00A91E38" w:rsidRPr="008179FF">
        <w:rPr>
          <w:rFonts w:ascii="Arial" w:hAnsi="Arial" w:cs="Arial"/>
          <w:bCs/>
          <w:sz w:val="22"/>
          <w:lang w:val="es-MX"/>
        </w:rPr>
        <w:t>»</w:t>
      </w:r>
      <w:r w:rsidRPr="008179FF">
        <w:rPr>
          <w:rFonts w:ascii="Arial" w:hAnsi="Arial" w:cs="Arial"/>
          <w:bCs/>
          <w:sz w:val="22"/>
          <w:lang w:val="es-MX"/>
        </w:rPr>
        <w:t xml:space="preserve">, siempre que la sumatoria de ellos no exceda el porcentaje total definido por la Entidad en el </w:t>
      </w:r>
      <w:r w:rsidRPr="008179FF">
        <w:rPr>
          <w:rFonts w:ascii="Arial" w:hAnsi="Arial" w:cs="Arial"/>
          <w:bCs/>
          <w:sz w:val="22"/>
          <w:lang w:val="es-MX"/>
        </w:rPr>
        <w:fldChar w:fldCharType="begin"/>
      </w:r>
      <w:r w:rsidRPr="008179FF">
        <w:rPr>
          <w:rFonts w:ascii="Arial" w:hAnsi="Arial" w:cs="Arial"/>
          <w:bCs/>
          <w:sz w:val="22"/>
          <w:lang w:val="es-MX"/>
        </w:rPr>
        <w:instrText xml:space="preserve"> REF _Ref57725061 \h  \* MERGEFORMAT </w:instrText>
      </w:r>
      <w:r w:rsidRPr="008179FF">
        <w:rPr>
          <w:rFonts w:ascii="Arial" w:hAnsi="Arial" w:cs="Arial"/>
          <w:bCs/>
          <w:sz w:val="22"/>
          <w:lang w:val="es-MX"/>
        </w:rPr>
      </w:r>
      <w:r w:rsidRPr="008179FF">
        <w:rPr>
          <w:rFonts w:ascii="Arial" w:hAnsi="Arial" w:cs="Arial"/>
          <w:bCs/>
          <w:sz w:val="22"/>
          <w:lang w:val="es-MX"/>
        </w:rPr>
        <w:fldChar w:fldCharType="separate"/>
      </w:r>
      <w:r w:rsidRPr="008179FF">
        <w:rPr>
          <w:rFonts w:ascii="Arial" w:hAnsi="Arial" w:cs="Arial"/>
          <w:bCs/>
          <w:sz w:val="22"/>
          <w:lang w:val="es-MX"/>
        </w:rPr>
        <w:t>Formulario 1– Formulario de Presupuesto Oficial</w:t>
      </w:r>
      <w:r w:rsidRPr="008179FF">
        <w:rPr>
          <w:rFonts w:ascii="Arial" w:hAnsi="Arial" w:cs="Arial"/>
          <w:bCs/>
          <w:sz w:val="22"/>
          <w:lang w:val="es-ES_tradnl"/>
        </w:rPr>
        <w:fldChar w:fldCharType="end"/>
      </w:r>
      <w:r w:rsidRPr="008179FF">
        <w:rPr>
          <w:rFonts w:ascii="Arial" w:hAnsi="Arial" w:cs="Arial"/>
          <w:bCs/>
          <w:sz w:val="22"/>
          <w:lang w:val="es-MX"/>
        </w:rPr>
        <w:t>.</w:t>
      </w:r>
      <w:r w:rsidR="00014E87" w:rsidRPr="008179FF">
        <w:rPr>
          <w:rFonts w:ascii="Arial" w:hAnsi="Arial" w:cs="Arial"/>
          <w:bCs/>
          <w:sz w:val="22"/>
          <w:lang w:val="es-MX"/>
        </w:rPr>
        <w:t xml:space="preserve"> </w:t>
      </w:r>
      <w:r w:rsidR="00B65303" w:rsidRPr="008179FF">
        <w:rPr>
          <w:rFonts w:ascii="Arial" w:hAnsi="Arial" w:cs="Arial"/>
          <w:bCs/>
          <w:sz w:val="22"/>
          <w:lang w:val="es-MX"/>
        </w:rPr>
        <w:t xml:space="preserve">Esto </w:t>
      </w:r>
      <w:r w:rsidR="00014E87" w:rsidRPr="008179FF">
        <w:rPr>
          <w:rFonts w:ascii="Arial" w:eastAsiaTheme="minorHAnsi" w:hAnsi="Arial" w:cs="Arial"/>
          <w:color w:val="000000"/>
          <w:sz w:val="22"/>
          <w:szCs w:val="22"/>
          <w:shd w:val="clear" w:color="auto" w:fill="FFFFFF"/>
          <w:lang w:val="es-MX" w:eastAsia="en-US"/>
        </w:rPr>
        <w:t xml:space="preserve">significa que el proponente goza de libertad </w:t>
      </w:r>
      <w:r w:rsidR="00014E87" w:rsidRPr="008179FF">
        <w:rPr>
          <w:rFonts w:ascii="Arial" w:eastAsiaTheme="minorHAnsi" w:hAnsi="Arial" w:cs="Arial"/>
          <w:bCs/>
          <w:color w:val="000000"/>
          <w:sz w:val="22"/>
          <w:szCs w:val="22"/>
          <w:shd w:val="clear" w:color="auto" w:fill="FFFFFF"/>
          <w:lang w:val="es-ES_tradnl" w:eastAsia="en-US"/>
        </w:rPr>
        <w:t>empresarial para fijar en cualquiera de estos componentes un porcentaje específico, incluyendo el cero por ciento</w:t>
      </w:r>
      <w:r w:rsidR="00B65303" w:rsidRPr="008179FF">
        <w:rPr>
          <w:rFonts w:ascii="Arial" w:eastAsiaTheme="minorHAnsi" w:hAnsi="Arial" w:cs="Arial"/>
          <w:bCs/>
          <w:color w:val="000000"/>
          <w:sz w:val="22"/>
          <w:szCs w:val="22"/>
          <w:shd w:val="clear" w:color="auto" w:fill="FFFFFF"/>
          <w:lang w:val="es-ES_tradnl" w:eastAsia="en-US"/>
        </w:rPr>
        <w:t xml:space="preserve"> (%)</w:t>
      </w:r>
      <w:r w:rsidR="00014E87" w:rsidRPr="008179FF">
        <w:rPr>
          <w:rFonts w:ascii="Arial" w:eastAsiaTheme="minorHAnsi" w:hAnsi="Arial" w:cs="Arial"/>
          <w:bCs/>
          <w:color w:val="000000"/>
          <w:sz w:val="22"/>
          <w:szCs w:val="22"/>
          <w:shd w:val="clear" w:color="auto" w:fill="FFFFFF"/>
          <w:lang w:val="es-ES_tradnl" w:eastAsia="en-US"/>
        </w:rPr>
        <w:t>, teniendo como único límite que la sumatoria total de los porcentajes incluidos en cada componente no exceda el porcentaje total definido por la entidad.</w:t>
      </w:r>
    </w:p>
    <w:p w14:paraId="6D935A0A" w14:textId="03FDF882" w:rsidR="001856EB" w:rsidRPr="008179FF" w:rsidRDefault="008E332B" w:rsidP="00CC443E">
      <w:pPr>
        <w:spacing w:before="120" w:line="276" w:lineRule="auto"/>
        <w:ind w:firstLine="708"/>
        <w:jc w:val="both"/>
        <w:rPr>
          <w:rFonts w:ascii="Arial" w:hAnsi="Arial" w:cs="Arial"/>
          <w:bCs/>
          <w:sz w:val="22"/>
          <w:lang w:val="es-ES_tradnl"/>
        </w:rPr>
      </w:pPr>
      <w:r w:rsidRPr="008179FF">
        <w:rPr>
          <w:rFonts w:ascii="Arial" w:hAnsi="Arial" w:cs="Arial"/>
          <w:bCs/>
          <w:sz w:val="22"/>
          <w:lang w:val="es-ES_tradnl"/>
        </w:rPr>
        <w:t xml:space="preserve">En consecuencia, con fundamento en el principio de inalterabilidad de los documentos tipo, el numeral 4.1.1 </w:t>
      </w:r>
      <w:r w:rsidR="000D16C9" w:rsidRPr="008179FF">
        <w:rPr>
          <w:rFonts w:ascii="Arial" w:hAnsi="Arial" w:cs="Arial"/>
          <w:bCs/>
          <w:sz w:val="22"/>
          <w:lang w:val="es-ES_tradnl"/>
        </w:rPr>
        <w:t>«</w:t>
      </w:r>
      <w:r w:rsidRPr="008179FF">
        <w:rPr>
          <w:rFonts w:ascii="Arial" w:hAnsi="Arial" w:cs="Arial"/>
          <w:bCs/>
          <w:sz w:val="22"/>
          <w:lang w:val="es-ES_tradnl"/>
        </w:rPr>
        <w:t>A.I.U.</w:t>
      </w:r>
      <w:bookmarkStart w:id="32" w:name="_Hlk102315289"/>
      <w:r w:rsidRPr="008179FF">
        <w:rPr>
          <w:rFonts w:ascii="Arial" w:hAnsi="Arial" w:cs="Arial"/>
          <w:bCs/>
          <w:sz w:val="22"/>
          <w:lang w:val="es-ES_tradnl"/>
        </w:rPr>
        <w:t>»</w:t>
      </w:r>
      <w:bookmarkEnd w:id="32"/>
      <w:r w:rsidRPr="008179FF">
        <w:rPr>
          <w:rFonts w:ascii="Arial" w:hAnsi="Arial" w:cs="Arial"/>
          <w:bCs/>
          <w:sz w:val="22"/>
          <w:lang w:val="es-ES_tradnl"/>
        </w:rPr>
        <w:t xml:space="preserve"> no es posible alterarlo por parte de las entidades. Lo anterior, puesto que de la lectura de este acápite se establecen reglas </w:t>
      </w:r>
      <w:r w:rsidRPr="008179FF">
        <w:rPr>
          <w:rFonts w:ascii="Arial" w:hAnsi="Arial" w:cs="Arial"/>
          <w:bCs/>
          <w:sz w:val="22"/>
          <w:lang w:val="es-ES_tradnl"/>
        </w:rPr>
        <w:lastRenderedPageBreak/>
        <w:t xml:space="preserve">imperativas que obligan a aplicar este numeral cuando el proceso de contratación se adelanta por precios unitarios. </w:t>
      </w:r>
      <w:bookmarkEnd w:id="31"/>
      <w:r w:rsidR="000C7033" w:rsidRPr="008179FF">
        <w:rPr>
          <w:rFonts w:ascii="Arial" w:hAnsi="Arial" w:cs="Arial"/>
          <w:bCs/>
          <w:sz w:val="22"/>
          <w:lang w:val="es-ES_tradnl"/>
        </w:rPr>
        <w:t xml:space="preserve">En tal sentido, de acuerdo </w:t>
      </w:r>
      <w:r w:rsidR="003456E3" w:rsidRPr="008179FF">
        <w:rPr>
          <w:rFonts w:ascii="Arial" w:hAnsi="Arial" w:cs="Arial"/>
          <w:bCs/>
          <w:sz w:val="22"/>
          <w:lang w:val="es-ES_tradnl"/>
        </w:rPr>
        <w:t>con</w:t>
      </w:r>
      <w:r w:rsidR="000C7033" w:rsidRPr="008179FF">
        <w:rPr>
          <w:rFonts w:ascii="Arial" w:hAnsi="Arial" w:cs="Arial"/>
          <w:bCs/>
          <w:sz w:val="22"/>
          <w:lang w:val="es-ES_tradnl"/>
        </w:rPr>
        <w:t xml:space="preserve"> las instrucciones señaladas, el proponente goza de autonomía para configurar el porcentaje individual </w:t>
      </w:r>
      <w:r w:rsidR="000C7033" w:rsidRPr="008179FF">
        <w:rPr>
          <w:rFonts w:ascii="Arial" w:hAnsi="Arial" w:cs="Arial"/>
          <w:bCs/>
          <w:sz w:val="22"/>
          <w:lang w:val="es-MX"/>
        </w:rPr>
        <w:t xml:space="preserve">de la </w:t>
      </w:r>
      <w:r w:rsidR="003456E3" w:rsidRPr="008179FF">
        <w:rPr>
          <w:rFonts w:ascii="Arial" w:hAnsi="Arial" w:cs="Arial"/>
          <w:bCs/>
          <w:sz w:val="22"/>
          <w:lang w:val="es-MX"/>
        </w:rPr>
        <w:t>«</w:t>
      </w:r>
      <w:r w:rsidR="000C7033" w:rsidRPr="008179FF">
        <w:rPr>
          <w:rFonts w:ascii="Arial" w:hAnsi="Arial" w:cs="Arial"/>
          <w:bCs/>
          <w:sz w:val="22"/>
          <w:lang w:val="es-MX"/>
        </w:rPr>
        <w:t>A</w:t>
      </w:r>
      <w:r w:rsidR="003456E3" w:rsidRPr="008179FF">
        <w:rPr>
          <w:rFonts w:ascii="Arial" w:hAnsi="Arial" w:cs="Arial"/>
          <w:bCs/>
          <w:sz w:val="22"/>
          <w:lang w:val="es-MX"/>
        </w:rPr>
        <w:t>»</w:t>
      </w:r>
      <w:r w:rsidR="000C7033" w:rsidRPr="008179FF">
        <w:rPr>
          <w:rFonts w:ascii="Arial" w:hAnsi="Arial" w:cs="Arial"/>
          <w:bCs/>
          <w:sz w:val="22"/>
          <w:lang w:val="es-MX"/>
        </w:rPr>
        <w:t xml:space="preserve">, de la </w:t>
      </w:r>
      <w:r w:rsidR="003456E3" w:rsidRPr="008179FF">
        <w:rPr>
          <w:rFonts w:ascii="Arial" w:hAnsi="Arial" w:cs="Arial"/>
          <w:bCs/>
          <w:sz w:val="22"/>
          <w:lang w:val="es-MX"/>
        </w:rPr>
        <w:t>«</w:t>
      </w:r>
      <w:r w:rsidR="000C7033" w:rsidRPr="008179FF">
        <w:rPr>
          <w:rFonts w:ascii="Arial" w:hAnsi="Arial" w:cs="Arial"/>
          <w:bCs/>
          <w:sz w:val="22"/>
          <w:lang w:val="es-MX"/>
        </w:rPr>
        <w:t>I</w:t>
      </w:r>
      <w:r w:rsidR="003456E3" w:rsidRPr="008179FF">
        <w:rPr>
          <w:rFonts w:ascii="Arial" w:hAnsi="Arial" w:cs="Arial"/>
          <w:bCs/>
          <w:sz w:val="22"/>
          <w:lang w:val="es-MX"/>
        </w:rPr>
        <w:t>»</w:t>
      </w:r>
      <w:r w:rsidR="000C7033" w:rsidRPr="008179FF">
        <w:rPr>
          <w:rFonts w:ascii="Arial" w:hAnsi="Arial" w:cs="Arial"/>
          <w:bCs/>
          <w:sz w:val="22"/>
          <w:lang w:val="es-MX"/>
        </w:rPr>
        <w:t xml:space="preserve"> y de la </w:t>
      </w:r>
      <w:r w:rsidR="003456E3" w:rsidRPr="008179FF">
        <w:rPr>
          <w:rFonts w:ascii="Arial" w:hAnsi="Arial" w:cs="Arial"/>
          <w:bCs/>
          <w:sz w:val="22"/>
          <w:lang w:val="es-MX"/>
        </w:rPr>
        <w:t>«</w:t>
      </w:r>
      <w:r w:rsidR="000C7033" w:rsidRPr="008179FF">
        <w:rPr>
          <w:rFonts w:ascii="Arial" w:hAnsi="Arial" w:cs="Arial"/>
          <w:bCs/>
          <w:sz w:val="22"/>
          <w:lang w:val="es-MX"/>
        </w:rPr>
        <w:t>U</w:t>
      </w:r>
      <w:r w:rsidR="003456E3" w:rsidRPr="008179FF">
        <w:rPr>
          <w:rFonts w:ascii="Arial" w:hAnsi="Arial" w:cs="Arial"/>
          <w:bCs/>
          <w:sz w:val="22"/>
          <w:lang w:val="es-MX"/>
        </w:rPr>
        <w:t>»</w:t>
      </w:r>
      <w:r w:rsidR="000C7033" w:rsidRPr="008179FF">
        <w:rPr>
          <w:rFonts w:ascii="Arial" w:hAnsi="Arial" w:cs="Arial"/>
          <w:bCs/>
          <w:sz w:val="22"/>
          <w:lang w:val="es-MX"/>
        </w:rPr>
        <w:t xml:space="preserve">, siempre que la sumatoria de ellos no exceda el porcentaje total definido por la Entidad en el </w:t>
      </w:r>
      <w:r w:rsidR="000C7033" w:rsidRPr="008179FF">
        <w:rPr>
          <w:rFonts w:ascii="Arial" w:hAnsi="Arial" w:cs="Arial"/>
          <w:bCs/>
          <w:sz w:val="22"/>
          <w:lang w:val="es-MX"/>
        </w:rPr>
        <w:fldChar w:fldCharType="begin"/>
      </w:r>
      <w:r w:rsidR="000C7033" w:rsidRPr="008179FF">
        <w:rPr>
          <w:rFonts w:ascii="Arial" w:hAnsi="Arial" w:cs="Arial"/>
          <w:bCs/>
          <w:sz w:val="22"/>
          <w:lang w:val="es-MX"/>
        </w:rPr>
        <w:instrText xml:space="preserve"> REF _Ref57725061 \h  \* MERGEFORMAT </w:instrText>
      </w:r>
      <w:r w:rsidR="000C7033" w:rsidRPr="008179FF">
        <w:rPr>
          <w:rFonts w:ascii="Arial" w:hAnsi="Arial" w:cs="Arial"/>
          <w:bCs/>
          <w:sz w:val="22"/>
          <w:lang w:val="es-MX"/>
        </w:rPr>
      </w:r>
      <w:r w:rsidR="000C7033" w:rsidRPr="008179FF">
        <w:rPr>
          <w:rFonts w:ascii="Arial" w:hAnsi="Arial" w:cs="Arial"/>
          <w:bCs/>
          <w:sz w:val="22"/>
          <w:lang w:val="es-MX"/>
        </w:rPr>
        <w:fldChar w:fldCharType="separate"/>
      </w:r>
      <w:r w:rsidR="000C7033" w:rsidRPr="008179FF">
        <w:rPr>
          <w:rFonts w:ascii="Arial" w:hAnsi="Arial" w:cs="Arial"/>
          <w:bCs/>
          <w:sz w:val="22"/>
          <w:lang w:val="es-MX"/>
        </w:rPr>
        <w:t>Formulario 1– Formulario de Presupuesto Oficial</w:t>
      </w:r>
      <w:r w:rsidR="000C7033" w:rsidRPr="008179FF">
        <w:rPr>
          <w:rFonts w:ascii="Arial" w:hAnsi="Arial" w:cs="Arial"/>
          <w:bCs/>
          <w:sz w:val="22"/>
          <w:lang w:val="es-ES_tradnl"/>
        </w:rPr>
        <w:fldChar w:fldCharType="end"/>
      </w:r>
      <w:r w:rsidR="003C0BA8" w:rsidRPr="008179FF">
        <w:rPr>
          <w:rFonts w:ascii="Arial" w:hAnsi="Arial" w:cs="Arial"/>
          <w:bCs/>
          <w:sz w:val="22"/>
          <w:lang w:val="es-ES_tradnl"/>
        </w:rPr>
        <w:t>.</w:t>
      </w:r>
      <w:r w:rsidR="00070310" w:rsidRPr="008179FF">
        <w:rPr>
          <w:rFonts w:ascii="Arial" w:hAnsi="Arial" w:cs="Arial"/>
          <w:bCs/>
          <w:sz w:val="22"/>
          <w:lang w:val="es-ES_tradnl"/>
        </w:rPr>
        <w:t xml:space="preserve"> </w:t>
      </w:r>
      <w:r w:rsidR="003C0BA8" w:rsidRPr="008179FF">
        <w:rPr>
          <w:rFonts w:ascii="Arial" w:hAnsi="Arial" w:cs="Arial"/>
          <w:bCs/>
          <w:sz w:val="22"/>
          <w:lang w:val="es-ES_tradnl"/>
        </w:rPr>
        <w:t>Por ello,</w:t>
      </w:r>
      <w:r w:rsidR="00070310" w:rsidRPr="008179FF">
        <w:rPr>
          <w:rFonts w:ascii="Arial" w:hAnsi="Arial" w:cs="Arial"/>
          <w:bCs/>
          <w:sz w:val="22"/>
          <w:lang w:val="es-ES_tradnl"/>
        </w:rPr>
        <w:t xml:space="preserve"> </w:t>
      </w:r>
      <w:r w:rsidR="003C0BA8" w:rsidRPr="008179FF">
        <w:rPr>
          <w:rFonts w:ascii="Arial" w:hAnsi="Arial" w:cs="Arial"/>
          <w:bCs/>
          <w:sz w:val="22"/>
          <w:lang w:val="es-ES_tradnl"/>
        </w:rPr>
        <w:t>resultaría v</w:t>
      </w:r>
      <w:r w:rsidR="008954CE" w:rsidRPr="008179FF">
        <w:rPr>
          <w:rFonts w:ascii="Arial" w:hAnsi="Arial" w:cs="Arial"/>
          <w:bCs/>
          <w:sz w:val="22"/>
          <w:lang w:val="es-ES_tradnl"/>
        </w:rPr>
        <w:t>á</w:t>
      </w:r>
      <w:r w:rsidR="003C0BA8" w:rsidRPr="008179FF">
        <w:rPr>
          <w:rFonts w:ascii="Arial" w:hAnsi="Arial" w:cs="Arial"/>
          <w:bCs/>
          <w:sz w:val="22"/>
          <w:lang w:val="es-ES_tradnl"/>
        </w:rPr>
        <w:t>lido que el proponente</w:t>
      </w:r>
      <w:r w:rsidR="00F200A5" w:rsidRPr="008179FF">
        <w:rPr>
          <w:rFonts w:ascii="Arial" w:hAnsi="Arial" w:cs="Arial"/>
          <w:bCs/>
          <w:sz w:val="22"/>
          <w:lang w:val="es-ES_tradnl"/>
        </w:rPr>
        <w:t xml:space="preserve"> en el marco de los documentos tipo y</w:t>
      </w:r>
      <w:r w:rsidR="003C0BA8" w:rsidRPr="008179FF">
        <w:rPr>
          <w:rFonts w:ascii="Arial" w:hAnsi="Arial" w:cs="Arial"/>
          <w:bCs/>
          <w:sz w:val="22"/>
          <w:lang w:val="es-ES_tradnl"/>
        </w:rPr>
        <w:t xml:space="preserve"> en desarrollo de </w:t>
      </w:r>
      <w:r w:rsidR="009E625C" w:rsidRPr="008179FF">
        <w:rPr>
          <w:rFonts w:ascii="Arial" w:hAnsi="Arial" w:cs="Arial"/>
          <w:bCs/>
          <w:sz w:val="22"/>
          <w:lang w:val="es-ES_tradnl"/>
        </w:rPr>
        <w:t>la</w:t>
      </w:r>
      <w:r w:rsidR="003C0BA8" w:rsidRPr="008179FF">
        <w:rPr>
          <w:rFonts w:ascii="Arial" w:hAnsi="Arial" w:cs="Arial"/>
          <w:bCs/>
          <w:sz w:val="22"/>
          <w:lang w:val="es-ES_tradnl"/>
        </w:rPr>
        <w:t xml:space="preserve"> libertad empresarial, </w:t>
      </w:r>
      <w:r w:rsidR="00CE74D6" w:rsidRPr="008179FF">
        <w:rPr>
          <w:rFonts w:ascii="Arial" w:hAnsi="Arial" w:cs="Arial"/>
          <w:bCs/>
          <w:sz w:val="22"/>
          <w:lang w:val="es-ES_tradnl"/>
        </w:rPr>
        <w:t xml:space="preserve">fije un valor de </w:t>
      </w:r>
      <w:r w:rsidR="003C0BA8" w:rsidRPr="008179FF">
        <w:rPr>
          <w:rFonts w:ascii="Arial" w:hAnsi="Arial" w:cs="Arial"/>
          <w:bCs/>
          <w:sz w:val="22"/>
          <w:lang w:val="es-ES_tradnl"/>
        </w:rPr>
        <w:t>cero por ciento (</w:t>
      </w:r>
      <w:r w:rsidR="00AF1344" w:rsidRPr="008179FF">
        <w:rPr>
          <w:rFonts w:ascii="Arial" w:hAnsi="Arial" w:cs="Arial"/>
          <w:bCs/>
          <w:sz w:val="22"/>
          <w:lang w:val="es-ES_tradnl"/>
        </w:rPr>
        <w:t>0</w:t>
      </w:r>
      <w:r w:rsidR="003C0BA8" w:rsidRPr="008179FF">
        <w:rPr>
          <w:rFonts w:ascii="Arial" w:hAnsi="Arial" w:cs="Arial"/>
          <w:bCs/>
          <w:sz w:val="22"/>
          <w:lang w:val="es-ES_tradnl"/>
        </w:rPr>
        <w:t>%) en</w:t>
      </w:r>
      <w:r w:rsidR="009E625C" w:rsidRPr="008179FF">
        <w:rPr>
          <w:rFonts w:ascii="Arial" w:hAnsi="Arial" w:cs="Arial"/>
          <w:bCs/>
          <w:sz w:val="22"/>
          <w:lang w:val="es-ES_tradnl"/>
        </w:rPr>
        <w:t xml:space="preserve"> cualquiera de los</w:t>
      </w:r>
      <w:r w:rsidR="003C0BA8" w:rsidRPr="008179FF">
        <w:rPr>
          <w:rFonts w:ascii="Arial" w:hAnsi="Arial" w:cs="Arial"/>
          <w:bCs/>
          <w:sz w:val="22"/>
          <w:lang w:val="es-ES_tradnl"/>
        </w:rPr>
        <w:t xml:space="preserve"> componentes del A.I.U.</w:t>
      </w:r>
      <w:r w:rsidR="00B426D0" w:rsidRPr="008179FF">
        <w:rPr>
          <w:rFonts w:ascii="Arial" w:hAnsi="Arial" w:cs="Arial"/>
          <w:bCs/>
          <w:sz w:val="22"/>
          <w:lang w:val="es-ES_tradnl"/>
        </w:rPr>
        <w:t xml:space="preserve"> </w:t>
      </w:r>
      <w:r w:rsidR="00CE74D6" w:rsidRPr="008179FF">
        <w:rPr>
          <w:rFonts w:ascii="Arial" w:hAnsi="Arial" w:cs="Arial"/>
          <w:bCs/>
          <w:sz w:val="22"/>
          <w:lang w:val="es-ES_tradnl"/>
        </w:rPr>
        <w:t>pues se entiende que este es el ofrecimiento del proponent</w:t>
      </w:r>
      <w:r w:rsidR="009E625C" w:rsidRPr="008179FF">
        <w:rPr>
          <w:rFonts w:ascii="Arial" w:hAnsi="Arial" w:cs="Arial"/>
          <w:bCs/>
          <w:sz w:val="22"/>
          <w:lang w:val="es-ES_tradnl"/>
        </w:rPr>
        <w:t>e y no hay una prohibición en este sentido en los documentos tipo</w:t>
      </w:r>
      <w:r w:rsidR="003456E3" w:rsidRPr="008179FF">
        <w:rPr>
          <w:rFonts w:ascii="Arial" w:hAnsi="Arial" w:cs="Arial"/>
          <w:bCs/>
          <w:sz w:val="22"/>
          <w:lang w:val="es-ES_tradnl"/>
        </w:rPr>
        <w:t>, sin perjuicio de que eventualmente se apliquen las reglas establecidas en el documento base respecto a los posibles precios artificialmente bajos.</w:t>
      </w:r>
    </w:p>
    <w:p w14:paraId="39BC160C" w14:textId="1A2CAE80" w:rsidR="00F32A03" w:rsidRPr="008179FF" w:rsidRDefault="00F32A03" w:rsidP="00F32A03">
      <w:pPr>
        <w:widowControl w:val="0"/>
        <w:autoSpaceDE w:val="0"/>
        <w:autoSpaceDN w:val="0"/>
        <w:spacing w:before="120" w:line="276" w:lineRule="auto"/>
        <w:ind w:firstLine="709"/>
        <w:jc w:val="both"/>
        <w:rPr>
          <w:rFonts w:ascii="Arial" w:hAnsi="Arial" w:cs="Arial"/>
          <w:bCs/>
          <w:sz w:val="22"/>
          <w:lang w:val="es-ES_tradnl"/>
        </w:rPr>
      </w:pPr>
      <w:r w:rsidRPr="008179FF">
        <w:rPr>
          <w:rFonts w:ascii="Arial" w:hAnsi="Arial" w:cs="Arial"/>
          <w:bCs/>
          <w:sz w:val="22"/>
          <w:lang w:val="es-ES_tradnl"/>
        </w:rPr>
        <w:t xml:space="preserve">En este punto, es pertinente mencionar que el supuesto antes señalado no se enmarca en la causal de rechazo establecida en el literal O del numeral 1.15 del documento base. </w:t>
      </w:r>
      <w:r w:rsidRPr="008179FF">
        <w:rPr>
          <w:rFonts w:ascii="Arial" w:eastAsia="Arial" w:hAnsi="Arial" w:cs="Arial"/>
          <w:bCs/>
          <w:sz w:val="22"/>
          <w:szCs w:val="22"/>
          <w:lang w:val="es-ES_tradnl" w:eastAsia="es-ES" w:bidi="es-ES"/>
        </w:rPr>
        <w:t xml:space="preserve">En efecto, esta casual señala que se deberá rechazar al proponente por </w:t>
      </w:r>
      <w:r w:rsidRPr="008179FF">
        <w:rPr>
          <w:rFonts w:ascii="Arial" w:hAnsi="Arial" w:cs="Arial"/>
          <w:bCs/>
          <w:sz w:val="22"/>
          <w:lang w:val="es-ES_tradnl"/>
        </w:rPr>
        <w:t>«</w:t>
      </w:r>
      <w:r w:rsidRPr="008179FF">
        <w:rPr>
          <w:rFonts w:ascii="Arial" w:eastAsia="Arial" w:hAnsi="Arial" w:cs="Arial"/>
          <w:bCs/>
          <w:sz w:val="22"/>
          <w:szCs w:val="22"/>
          <w:lang w:val="es-ES_tradnl" w:eastAsia="es-ES" w:bidi="es-ES"/>
        </w:rPr>
        <w:t>No ofrecer el valor de un precio unitario u ofrecerlo en cero (0) pesos</w:t>
      </w:r>
      <w:r w:rsidRPr="008179FF">
        <w:rPr>
          <w:rFonts w:ascii="Arial" w:hAnsi="Arial" w:cs="Arial"/>
          <w:bCs/>
          <w:sz w:val="22"/>
          <w:lang w:val="es-ES_tradnl"/>
        </w:rPr>
        <w:t>»</w:t>
      </w:r>
      <w:r w:rsidRPr="008179FF">
        <w:rPr>
          <w:rFonts w:ascii="Arial" w:eastAsia="Arial" w:hAnsi="Arial" w:cs="Arial"/>
          <w:bCs/>
          <w:sz w:val="22"/>
          <w:szCs w:val="22"/>
          <w:lang w:val="es-ES_tradnl" w:eastAsia="es-ES" w:bidi="es-ES"/>
        </w:rPr>
        <w:t>. De esta manera, esta causal</w:t>
      </w:r>
      <w:r w:rsidR="00CE06CC" w:rsidRPr="008179FF">
        <w:rPr>
          <w:rFonts w:ascii="Arial" w:eastAsia="Arial" w:hAnsi="Arial" w:cs="Arial"/>
          <w:bCs/>
          <w:sz w:val="22"/>
          <w:szCs w:val="22"/>
          <w:lang w:val="es-ES_tradnl" w:eastAsia="es-ES" w:bidi="es-ES"/>
        </w:rPr>
        <w:t xml:space="preserve"> se refriere única y exclusivamente a los precios unitarios y</w:t>
      </w:r>
      <w:r w:rsidRPr="008179FF">
        <w:rPr>
          <w:rFonts w:ascii="Arial" w:eastAsia="Arial" w:hAnsi="Arial" w:cs="Arial"/>
          <w:bCs/>
          <w:sz w:val="22"/>
          <w:szCs w:val="22"/>
          <w:lang w:val="es-ES_tradnl" w:eastAsia="es-ES" w:bidi="es-ES"/>
        </w:rPr>
        <w:t xml:space="preserve"> procede cuando el proponente no determinó el valor de un precio unitario o cuando lo fijó en cero (0) pesos, independientemente del porcentaje establecido para el A.I.U</w:t>
      </w:r>
      <w:r w:rsidR="00EE1031" w:rsidRPr="008179FF">
        <w:rPr>
          <w:rFonts w:ascii="Arial" w:eastAsia="Arial" w:hAnsi="Arial" w:cs="Arial"/>
          <w:bCs/>
          <w:sz w:val="22"/>
          <w:szCs w:val="22"/>
          <w:lang w:val="es-ES_tradnl" w:eastAsia="es-ES" w:bidi="es-ES"/>
        </w:rPr>
        <w:t xml:space="preserve">. </w:t>
      </w:r>
      <w:r w:rsidRPr="008179FF">
        <w:rPr>
          <w:rFonts w:ascii="Arial" w:eastAsia="Arial" w:hAnsi="Arial" w:cs="Arial"/>
          <w:bCs/>
          <w:sz w:val="22"/>
          <w:szCs w:val="22"/>
          <w:lang w:val="es-ES_tradnl" w:eastAsia="es-ES" w:bidi="es-ES"/>
        </w:rPr>
        <w:t>Por tanto, no es procedente su aplicación en el evento en que el proponente determine el porcentaje de alguno de los componentes del A.I.U en cero por ciento (</w:t>
      </w:r>
      <w:r w:rsidR="00AF1344" w:rsidRPr="008179FF">
        <w:rPr>
          <w:rFonts w:ascii="Arial" w:eastAsia="Arial" w:hAnsi="Arial" w:cs="Arial"/>
          <w:bCs/>
          <w:sz w:val="22"/>
          <w:szCs w:val="22"/>
          <w:lang w:val="es-ES_tradnl" w:eastAsia="es-ES" w:bidi="es-ES"/>
        </w:rPr>
        <w:t>0</w:t>
      </w:r>
      <w:r w:rsidRPr="008179FF">
        <w:rPr>
          <w:rFonts w:ascii="Arial" w:eastAsia="Arial" w:hAnsi="Arial" w:cs="Arial"/>
          <w:bCs/>
          <w:sz w:val="22"/>
          <w:szCs w:val="22"/>
          <w:lang w:val="es-ES_tradnl" w:eastAsia="es-ES" w:bidi="es-ES"/>
        </w:rPr>
        <w:t xml:space="preserve">%), </w:t>
      </w:r>
      <w:r w:rsidR="00CE06CC" w:rsidRPr="008179FF">
        <w:rPr>
          <w:rFonts w:ascii="Arial" w:eastAsia="Arial" w:hAnsi="Arial" w:cs="Arial"/>
          <w:bCs/>
          <w:sz w:val="22"/>
          <w:szCs w:val="22"/>
          <w:lang w:val="es-ES_tradnl" w:eastAsia="es-ES" w:bidi="es-ES"/>
        </w:rPr>
        <w:t>debido a</w:t>
      </w:r>
      <w:r w:rsidRPr="008179FF">
        <w:rPr>
          <w:rFonts w:ascii="Arial" w:eastAsia="Arial" w:hAnsi="Arial" w:cs="Arial"/>
          <w:bCs/>
          <w:sz w:val="22"/>
          <w:szCs w:val="22"/>
          <w:lang w:val="es-ES_tradnl" w:eastAsia="es-ES" w:bidi="es-ES"/>
        </w:rPr>
        <w:t xml:space="preserve"> que </w:t>
      </w:r>
      <w:r w:rsidR="00CE06CC" w:rsidRPr="008179FF">
        <w:rPr>
          <w:rFonts w:ascii="Arial" w:eastAsia="Arial" w:hAnsi="Arial" w:cs="Arial"/>
          <w:bCs/>
          <w:sz w:val="22"/>
          <w:szCs w:val="22"/>
          <w:lang w:val="es-ES_tradnl" w:eastAsia="es-ES" w:bidi="es-ES"/>
        </w:rPr>
        <w:t xml:space="preserve">esta determinación difiere del supuesto de hecho establecido en esta causal. </w:t>
      </w:r>
    </w:p>
    <w:p w14:paraId="7FA69955" w14:textId="41333F6F" w:rsidR="00F32A03" w:rsidRPr="008179FF" w:rsidRDefault="00F32A03" w:rsidP="00F32A03">
      <w:pPr>
        <w:widowControl w:val="0"/>
        <w:autoSpaceDE w:val="0"/>
        <w:autoSpaceDN w:val="0"/>
        <w:spacing w:before="120" w:line="276" w:lineRule="auto"/>
        <w:ind w:firstLine="709"/>
        <w:jc w:val="both"/>
        <w:rPr>
          <w:rFonts w:ascii="Arial" w:eastAsia="Arial" w:hAnsi="Arial" w:cs="Arial"/>
          <w:bCs/>
          <w:sz w:val="22"/>
          <w:szCs w:val="22"/>
          <w:lang w:val="es-ES_tradnl" w:eastAsia="es-ES" w:bidi="es-ES"/>
        </w:rPr>
      </w:pPr>
      <w:r w:rsidRPr="008179FF">
        <w:rPr>
          <w:rFonts w:ascii="Arial" w:eastAsia="Arial" w:hAnsi="Arial" w:cs="Arial"/>
          <w:bCs/>
          <w:sz w:val="22"/>
          <w:szCs w:val="22"/>
          <w:lang w:val="es-ES_tradnl" w:eastAsia="es-ES" w:bidi="es-ES"/>
        </w:rPr>
        <w:t xml:space="preserve">Al respecto, es pertinente indicar </w:t>
      </w:r>
      <w:r w:rsidR="008C156B" w:rsidRPr="008179FF">
        <w:rPr>
          <w:rFonts w:ascii="Arial" w:eastAsia="Arial" w:hAnsi="Arial" w:cs="Arial"/>
          <w:bCs/>
          <w:sz w:val="22"/>
          <w:szCs w:val="22"/>
          <w:lang w:val="es-ES_tradnl" w:eastAsia="es-ES" w:bidi="es-ES"/>
        </w:rPr>
        <w:t xml:space="preserve">que </w:t>
      </w:r>
      <w:r w:rsidR="004164F7" w:rsidRPr="008179FF">
        <w:rPr>
          <w:rFonts w:ascii="Arial" w:hAnsi="Arial" w:cs="Arial"/>
          <w:sz w:val="22"/>
        </w:rPr>
        <w:t>las entidades solo podrán rechazar las ofertas en los casos definidos por el legislador o la entidad estatal, siempre y cuando se refieran a criterios objetivos definidos con anterioridad en el pliego de condiciones. Esto permite que el rechazo de las ofertas no dependa de la libre discrecionalidad de la administración, sino solo cuando se cumplan requisitos objetivos previamente definidos en el pliego de condiciones</w:t>
      </w:r>
      <w:r w:rsidR="006721FC" w:rsidRPr="008179FF">
        <w:rPr>
          <w:rFonts w:ascii="Arial" w:hAnsi="Arial" w:cs="Arial"/>
          <w:sz w:val="22"/>
        </w:rPr>
        <w:t>.</w:t>
      </w:r>
      <w:r w:rsidR="008C156B" w:rsidRPr="008179FF">
        <w:rPr>
          <w:rFonts w:ascii="Arial" w:hAnsi="Arial" w:cs="Arial"/>
          <w:sz w:val="22"/>
        </w:rPr>
        <w:t xml:space="preserve"> Por consiguiente, la aplicación de las causales de rechazo en los documentos tipo es restrictiva y solo procederá cuando se configuren los </w:t>
      </w:r>
      <w:r w:rsidR="00AF1344" w:rsidRPr="008179FF">
        <w:rPr>
          <w:rFonts w:ascii="Arial" w:hAnsi="Arial" w:cs="Arial"/>
          <w:sz w:val="22"/>
        </w:rPr>
        <w:t xml:space="preserve">supuestos </w:t>
      </w:r>
      <w:r w:rsidR="008C156B" w:rsidRPr="008179FF">
        <w:rPr>
          <w:rFonts w:ascii="Arial" w:hAnsi="Arial" w:cs="Arial"/>
          <w:sz w:val="22"/>
        </w:rPr>
        <w:t>allí contemplados.</w:t>
      </w:r>
    </w:p>
    <w:p w14:paraId="21118F88" w14:textId="629E43AB" w:rsidR="00F32A03" w:rsidRPr="008179FF" w:rsidRDefault="00F32A03" w:rsidP="008C156B">
      <w:pPr>
        <w:widowControl w:val="0"/>
        <w:autoSpaceDE w:val="0"/>
        <w:autoSpaceDN w:val="0"/>
        <w:spacing w:before="120" w:line="276" w:lineRule="auto"/>
        <w:ind w:firstLine="709"/>
        <w:jc w:val="both"/>
        <w:rPr>
          <w:rFonts w:ascii="Arial" w:eastAsia="Arial" w:hAnsi="Arial" w:cs="Arial"/>
          <w:bCs/>
          <w:sz w:val="22"/>
          <w:szCs w:val="22"/>
          <w:lang w:val="es-ES_tradnl" w:eastAsia="es-ES" w:bidi="es-ES"/>
        </w:rPr>
      </w:pPr>
      <w:r w:rsidRPr="008179FF">
        <w:rPr>
          <w:rFonts w:ascii="Arial" w:eastAsia="Arial" w:hAnsi="Arial" w:cs="Arial"/>
          <w:bCs/>
          <w:sz w:val="22"/>
          <w:szCs w:val="22"/>
          <w:lang w:val="es-ES_tradnl" w:eastAsia="es-ES" w:bidi="es-ES"/>
        </w:rPr>
        <w:t>Cabe aclarar que las únicas causales relacionadas con las del A</w:t>
      </w:r>
      <w:r w:rsidR="00EE1031" w:rsidRPr="008179FF">
        <w:rPr>
          <w:rFonts w:ascii="Arial" w:eastAsia="Arial" w:hAnsi="Arial" w:cs="Arial"/>
          <w:bCs/>
          <w:sz w:val="22"/>
          <w:szCs w:val="22"/>
          <w:lang w:val="es-ES_tradnl" w:eastAsia="es-ES" w:bidi="es-ES"/>
        </w:rPr>
        <w:t>.</w:t>
      </w:r>
      <w:r w:rsidRPr="008179FF">
        <w:rPr>
          <w:rFonts w:ascii="Arial" w:eastAsia="Arial" w:hAnsi="Arial" w:cs="Arial"/>
          <w:bCs/>
          <w:sz w:val="22"/>
          <w:szCs w:val="22"/>
          <w:lang w:val="es-ES_tradnl" w:eastAsia="es-ES" w:bidi="es-ES"/>
        </w:rPr>
        <w:t>I</w:t>
      </w:r>
      <w:r w:rsidR="00EE1031" w:rsidRPr="008179FF">
        <w:rPr>
          <w:rFonts w:ascii="Arial" w:eastAsia="Arial" w:hAnsi="Arial" w:cs="Arial"/>
          <w:bCs/>
          <w:sz w:val="22"/>
          <w:szCs w:val="22"/>
          <w:lang w:val="es-ES_tradnl" w:eastAsia="es-ES" w:bidi="es-ES"/>
        </w:rPr>
        <w:t>.</w:t>
      </w:r>
      <w:r w:rsidRPr="008179FF">
        <w:rPr>
          <w:rFonts w:ascii="Arial" w:eastAsia="Arial" w:hAnsi="Arial" w:cs="Arial"/>
          <w:bCs/>
          <w:sz w:val="22"/>
          <w:szCs w:val="22"/>
          <w:lang w:val="es-ES_tradnl" w:eastAsia="es-ES" w:bidi="es-ES"/>
        </w:rPr>
        <w:t xml:space="preserve">U son las establecidas en el literal Q </w:t>
      </w:r>
      <w:r w:rsidRPr="008179FF">
        <w:rPr>
          <w:rFonts w:ascii="Arial" w:eastAsia="Arial" w:hAnsi="Arial" w:cs="Arial"/>
          <w:sz w:val="22"/>
          <w:szCs w:val="22"/>
          <w:lang w:val="es-ES" w:eastAsia="es-ES" w:bidi="es-ES"/>
        </w:rPr>
        <w:t>«</w:t>
      </w:r>
      <w:r w:rsidRPr="008179FF">
        <w:rPr>
          <w:rFonts w:ascii="Arial" w:eastAsia="Arial" w:hAnsi="Arial" w:cs="Arial"/>
          <w:bCs/>
          <w:sz w:val="22"/>
          <w:szCs w:val="22"/>
          <w:lang w:val="es-MX" w:eastAsia="es-ES" w:bidi="es-ES"/>
        </w:rPr>
        <w:t>No discriminar en la oferta económica el porcentaje de AIU en la forma como lo establece el Pliego de Condiciones y el Formulario 1 – Formulario de Presupuesto Oficial</w:t>
      </w:r>
      <w:r w:rsidRPr="008179FF">
        <w:rPr>
          <w:rFonts w:ascii="Arial" w:eastAsia="Arial" w:hAnsi="Arial" w:cs="Arial"/>
          <w:sz w:val="22"/>
          <w:szCs w:val="22"/>
          <w:lang w:val="es-ES" w:eastAsia="es-ES" w:bidi="es-ES"/>
        </w:rPr>
        <w:t>»</w:t>
      </w:r>
      <w:r w:rsidRPr="008179FF">
        <w:rPr>
          <w:rFonts w:ascii="Arial" w:eastAsia="Arial" w:hAnsi="Arial" w:cs="Arial"/>
          <w:bCs/>
          <w:sz w:val="22"/>
          <w:szCs w:val="22"/>
          <w:lang w:val="es-MX" w:eastAsia="es-ES" w:bidi="es-ES"/>
        </w:rPr>
        <w:t xml:space="preserve"> y R </w:t>
      </w:r>
      <w:r w:rsidRPr="008179FF">
        <w:rPr>
          <w:rFonts w:ascii="Arial" w:eastAsia="Arial" w:hAnsi="Arial" w:cs="Arial"/>
          <w:sz w:val="22"/>
          <w:szCs w:val="22"/>
          <w:lang w:val="es-ES" w:eastAsia="es-ES" w:bidi="es-ES"/>
        </w:rPr>
        <w:t>«</w:t>
      </w:r>
      <w:r w:rsidRPr="008179FF">
        <w:rPr>
          <w:rFonts w:ascii="Arial" w:eastAsia="Arial" w:hAnsi="Arial" w:cs="Arial"/>
          <w:bCs/>
          <w:sz w:val="22"/>
          <w:szCs w:val="22"/>
          <w:lang w:val="es-MX" w:eastAsia="es-ES" w:bidi="es-ES"/>
        </w:rPr>
        <w:t>Ofrecer como AIU un porcentaje cuya sumatoria sea superior al establecido por la Entidad en el Formulario 1 – Formulario de Presupuesto Oficial</w:t>
      </w:r>
      <w:r w:rsidRPr="008179FF">
        <w:rPr>
          <w:rFonts w:ascii="Arial" w:eastAsia="Arial" w:hAnsi="Arial" w:cs="Arial"/>
          <w:sz w:val="22"/>
          <w:szCs w:val="22"/>
          <w:lang w:val="es-ES" w:eastAsia="es-ES" w:bidi="es-ES"/>
        </w:rPr>
        <w:t xml:space="preserve">». </w:t>
      </w:r>
      <w:r w:rsidR="00EE1031" w:rsidRPr="008179FF">
        <w:rPr>
          <w:rFonts w:ascii="Arial" w:eastAsia="Arial" w:hAnsi="Arial" w:cs="Arial"/>
          <w:sz w:val="22"/>
          <w:szCs w:val="22"/>
          <w:lang w:val="es-ES" w:eastAsia="es-ES" w:bidi="es-ES"/>
        </w:rPr>
        <w:t>Según se evidencia, n</w:t>
      </w:r>
      <w:r w:rsidRPr="008179FF">
        <w:rPr>
          <w:rFonts w:ascii="Arial" w:eastAsia="Arial" w:hAnsi="Arial" w:cs="Arial"/>
          <w:sz w:val="22"/>
          <w:szCs w:val="22"/>
          <w:lang w:val="es-ES" w:eastAsia="es-ES" w:bidi="es-ES"/>
        </w:rPr>
        <w:t>inguna de dichas causales se refiere al rechazo de la oferta por incluir el porcentaje de</w:t>
      </w:r>
      <w:r w:rsidR="00EE1031" w:rsidRPr="008179FF">
        <w:rPr>
          <w:rFonts w:ascii="Arial" w:eastAsia="Arial" w:hAnsi="Arial" w:cs="Arial"/>
          <w:sz w:val="22"/>
          <w:szCs w:val="22"/>
          <w:lang w:val="es-ES" w:eastAsia="es-ES" w:bidi="es-ES"/>
        </w:rPr>
        <w:t xml:space="preserve"> </w:t>
      </w:r>
      <w:r w:rsidR="00B46E11" w:rsidRPr="008179FF">
        <w:rPr>
          <w:rFonts w:ascii="Arial" w:eastAsia="Arial" w:hAnsi="Arial" w:cs="Arial"/>
          <w:sz w:val="22"/>
          <w:szCs w:val="22"/>
          <w:lang w:val="es-ES" w:eastAsia="es-ES" w:bidi="es-ES"/>
        </w:rPr>
        <w:t xml:space="preserve">alguno de los </w:t>
      </w:r>
      <w:r w:rsidRPr="008179FF">
        <w:rPr>
          <w:rFonts w:ascii="Arial" w:eastAsia="Arial" w:hAnsi="Arial" w:cs="Arial"/>
          <w:sz w:val="22"/>
          <w:szCs w:val="22"/>
          <w:lang w:val="es-ES" w:eastAsia="es-ES" w:bidi="es-ES"/>
        </w:rPr>
        <w:t>componente</w:t>
      </w:r>
      <w:r w:rsidR="008C156B" w:rsidRPr="008179FF">
        <w:rPr>
          <w:rFonts w:ascii="Arial" w:eastAsia="Arial" w:hAnsi="Arial" w:cs="Arial"/>
          <w:sz w:val="22"/>
          <w:szCs w:val="22"/>
          <w:lang w:val="es-ES" w:eastAsia="es-ES" w:bidi="es-ES"/>
        </w:rPr>
        <w:t>s</w:t>
      </w:r>
      <w:r w:rsidRPr="008179FF">
        <w:rPr>
          <w:rFonts w:ascii="Arial" w:eastAsia="Arial" w:hAnsi="Arial" w:cs="Arial"/>
          <w:sz w:val="22"/>
          <w:szCs w:val="22"/>
          <w:lang w:val="es-ES" w:eastAsia="es-ES" w:bidi="es-ES"/>
        </w:rPr>
        <w:t xml:space="preserve"> del A</w:t>
      </w:r>
      <w:r w:rsidR="00CE74D6" w:rsidRPr="008179FF">
        <w:rPr>
          <w:rFonts w:ascii="Arial" w:eastAsia="Arial" w:hAnsi="Arial" w:cs="Arial"/>
          <w:sz w:val="22"/>
          <w:szCs w:val="22"/>
          <w:lang w:val="es-ES" w:eastAsia="es-ES" w:bidi="es-ES"/>
        </w:rPr>
        <w:t>.</w:t>
      </w:r>
      <w:r w:rsidRPr="008179FF">
        <w:rPr>
          <w:rFonts w:ascii="Arial" w:eastAsia="Arial" w:hAnsi="Arial" w:cs="Arial"/>
          <w:sz w:val="22"/>
          <w:szCs w:val="22"/>
          <w:lang w:val="es-ES" w:eastAsia="es-ES" w:bidi="es-ES"/>
        </w:rPr>
        <w:t>I</w:t>
      </w:r>
      <w:r w:rsidR="00CE74D6" w:rsidRPr="008179FF">
        <w:rPr>
          <w:rFonts w:ascii="Arial" w:eastAsia="Arial" w:hAnsi="Arial" w:cs="Arial"/>
          <w:sz w:val="22"/>
          <w:szCs w:val="22"/>
          <w:lang w:val="es-ES" w:eastAsia="es-ES" w:bidi="es-ES"/>
        </w:rPr>
        <w:t>.</w:t>
      </w:r>
      <w:r w:rsidRPr="008179FF">
        <w:rPr>
          <w:rFonts w:ascii="Arial" w:eastAsia="Arial" w:hAnsi="Arial" w:cs="Arial"/>
          <w:sz w:val="22"/>
          <w:szCs w:val="22"/>
          <w:lang w:val="es-ES" w:eastAsia="es-ES" w:bidi="es-ES"/>
        </w:rPr>
        <w:t>U en cero</w:t>
      </w:r>
      <w:r w:rsidR="00EE1031" w:rsidRPr="008179FF">
        <w:rPr>
          <w:rFonts w:ascii="Arial" w:eastAsia="Arial" w:hAnsi="Arial" w:cs="Arial"/>
          <w:sz w:val="22"/>
          <w:szCs w:val="22"/>
          <w:lang w:val="es-ES" w:eastAsia="es-ES" w:bidi="es-ES"/>
        </w:rPr>
        <w:t xml:space="preserve"> por ciento (</w:t>
      </w:r>
      <w:r w:rsidR="00AF1344" w:rsidRPr="008179FF">
        <w:rPr>
          <w:rFonts w:ascii="Arial" w:eastAsia="Arial" w:hAnsi="Arial" w:cs="Arial"/>
          <w:sz w:val="22"/>
          <w:szCs w:val="22"/>
          <w:lang w:val="es-ES" w:eastAsia="es-ES" w:bidi="es-ES"/>
        </w:rPr>
        <w:t>0</w:t>
      </w:r>
      <w:r w:rsidR="00EE1031" w:rsidRPr="008179FF">
        <w:rPr>
          <w:rFonts w:ascii="Arial" w:eastAsia="Arial" w:hAnsi="Arial" w:cs="Arial"/>
          <w:sz w:val="22"/>
          <w:szCs w:val="22"/>
          <w:lang w:val="es-ES" w:eastAsia="es-ES" w:bidi="es-ES"/>
        </w:rPr>
        <w:t>%)</w:t>
      </w:r>
      <w:r w:rsidRPr="008179FF">
        <w:rPr>
          <w:rFonts w:ascii="Arial" w:eastAsia="Arial" w:hAnsi="Arial" w:cs="Arial"/>
          <w:sz w:val="22"/>
          <w:szCs w:val="22"/>
          <w:lang w:val="es-ES" w:eastAsia="es-ES" w:bidi="es-ES"/>
        </w:rPr>
        <w:t>.</w:t>
      </w:r>
    </w:p>
    <w:p w14:paraId="61D81554" w14:textId="17AB1518" w:rsidR="00920395" w:rsidRPr="00B7032A" w:rsidRDefault="000D3F5F" w:rsidP="00920395">
      <w:pPr>
        <w:spacing w:before="120" w:line="276" w:lineRule="auto"/>
        <w:ind w:firstLine="708"/>
        <w:jc w:val="both"/>
        <w:rPr>
          <w:rFonts w:ascii="Arial" w:hAnsi="Arial" w:cs="Arial"/>
          <w:bCs/>
          <w:sz w:val="22"/>
          <w:lang w:val="es-MX"/>
        </w:rPr>
      </w:pPr>
      <w:r w:rsidRPr="008179FF">
        <w:rPr>
          <w:rFonts w:ascii="Arial" w:hAnsi="Arial" w:cs="Arial"/>
          <w:bCs/>
          <w:sz w:val="22"/>
          <w:lang w:val="es-ES_tradnl"/>
        </w:rPr>
        <w:t>Ahora bien, p</w:t>
      </w:r>
      <w:r w:rsidR="00070310" w:rsidRPr="008179FF">
        <w:rPr>
          <w:rFonts w:ascii="Arial" w:hAnsi="Arial" w:cs="Arial"/>
          <w:bCs/>
          <w:sz w:val="22"/>
          <w:lang w:val="es-ES_tradnl"/>
        </w:rPr>
        <w:t xml:space="preserve">ara </w:t>
      </w:r>
      <w:r w:rsidRPr="008179FF">
        <w:rPr>
          <w:rFonts w:ascii="Arial" w:hAnsi="Arial" w:cs="Arial"/>
          <w:bCs/>
          <w:sz w:val="22"/>
          <w:lang w:val="es-ES_tradnl"/>
        </w:rPr>
        <w:t xml:space="preserve">comprender íntegramente la aplicación </w:t>
      </w:r>
      <w:r w:rsidR="00070310" w:rsidRPr="008179FF">
        <w:rPr>
          <w:rFonts w:ascii="Arial" w:hAnsi="Arial" w:cs="Arial"/>
          <w:bCs/>
          <w:sz w:val="22"/>
          <w:lang w:val="es-ES_tradnl"/>
        </w:rPr>
        <w:t>del numeral 4.1.1.</w:t>
      </w:r>
      <w:r w:rsidR="008954CE" w:rsidRPr="008179FF">
        <w:rPr>
          <w:rFonts w:ascii="Arial" w:hAnsi="Arial" w:cs="Arial"/>
          <w:bCs/>
          <w:sz w:val="22"/>
          <w:lang w:val="es-ES_tradnl"/>
        </w:rPr>
        <w:t xml:space="preserve"> «A.I.U.»</w:t>
      </w:r>
      <w:r w:rsidR="00070310" w:rsidRPr="008179FF">
        <w:rPr>
          <w:rFonts w:ascii="Arial" w:hAnsi="Arial" w:cs="Arial"/>
          <w:bCs/>
          <w:sz w:val="22"/>
          <w:lang w:val="es-ES_tradnl"/>
        </w:rPr>
        <w:t xml:space="preserve"> del documento base, es necesario </w:t>
      </w:r>
      <w:r w:rsidR="00070310" w:rsidRPr="008179FF">
        <w:rPr>
          <w:rFonts w:ascii="Arial" w:hAnsi="Arial" w:cs="Arial"/>
          <w:bCs/>
          <w:sz w:val="22"/>
          <w:lang w:val="es-MX"/>
        </w:rPr>
        <w:t>analizar el contenido del Formulario 1 – Formulario del Presupuesto Oficial, especialmente lo definido en</w:t>
      </w:r>
      <w:r w:rsidR="00920395" w:rsidRPr="008179FF">
        <w:rPr>
          <w:rFonts w:ascii="Arial" w:hAnsi="Arial" w:cs="Arial"/>
          <w:bCs/>
          <w:sz w:val="22"/>
          <w:lang w:val="es-MX"/>
        </w:rPr>
        <w:t xml:space="preserve"> relación con el A.I.U.</w:t>
      </w:r>
      <w:r w:rsidR="00920395" w:rsidRPr="00B7032A">
        <w:rPr>
          <w:rFonts w:ascii="Arial" w:hAnsi="Arial" w:cs="Arial"/>
          <w:bCs/>
          <w:sz w:val="22"/>
          <w:lang w:val="es-MX"/>
        </w:rPr>
        <w:t xml:space="preserve"> </w:t>
      </w:r>
    </w:p>
    <w:p w14:paraId="1F334105" w14:textId="4508753D" w:rsidR="00AD772B" w:rsidRPr="00B7032A" w:rsidRDefault="00873B65" w:rsidP="00920395">
      <w:pPr>
        <w:spacing w:before="120" w:line="276" w:lineRule="auto"/>
        <w:ind w:firstLine="708"/>
        <w:jc w:val="both"/>
        <w:rPr>
          <w:rFonts w:ascii="Arial" w:hAnsi="Arial" w:cs="Arial"/>
          <w:bCs/>
          <w:sz w:val="22"/>
          <w:lang w:val="es-MX"/>
        </w:rPr>
      </w:pPr>
      <w:r w:rsidRPr="00B7032A">
        <w:rPr>
          <w:rFonts w:ascii="Arial" w:hAnsi="Arial" w:cs="Arial"/>
          <w:bCs/>
          <w:sz w:val="22"/>
          <w:lang w:val="es-MX"/>
        </w:rPr>
        <w:lastRenderedPageBreak/>
        <w:t>En efecto, e</w:t>
      </w:r>
      <w:r w:rsidR="00920395" w:rsidRPr="00B7032A">
        <w:rPr>
          <w:rFonts w:ascii="Arial" w:hAnsi="Arial" w:cs="Arial"/>
          <w:bCs/>
          <w:sz w:val="22"/>
          <w:lang w:val="es-MX"/>
        </w:rPr>
        <w:t>n l</w:t>
      </w:r>
      <w:r w:rsidR="00AD772B" w:rsidRPr="00B7032A">
        <w:rPr>
          <w:rFonts w:ascii="Arial" w:eastAsia="Arial" w:hAnsi="Arial" w:cs="Arial"/>
          <w:sz w:val="22"/>
          <w:szCs w:val="22"/>
          <w:lang w:val="es-ES" w:eastAsia="es-ES" w:bidi="es-ES"/>
        </w:rPr>
        <w:t>os documentos tipo</w:t>
      </w:r>
      <w:r w:rsidR="00920395" w:rsidRPr="00B7032A">
        <w:rPr>
          <w:rFonts w:ascii="Arial" w:eastAsia="Arial" w:hAnsi="Arial" w:cs="Arial"/>
          <w:sz w:val="22"/>
          <w:szCs w:val="22"/>
          <w:lang w:val="es-ES" w:eastAsia="es-ES" w:bidi="es-ES"/>
        </w:rPr>
        <w:t xml:space="preserve"> de infraestructura social se</w:t>
      </w:r>
      <w:r w:rsidR="00AD772B" w:rsidRPr="00B7032A">
        <w:rPr>
          <w:rFonts w:ascii="Arial" w:eastAsia="Arial" w:hAnsi="Arial" w:cs="Arial"/>
          <w:sz w:val="22"/>
          <w:szCs w:val="22"/>
          <w:lang w:val="es-ES" w:eastAsia="es-ES" w:bidi="es-ES"/>
        </w:rPr>
        <w:t xml:space="preserve"> </w:t>
      </w:r>
      <w:r w:rsidR="00AD772B" w:rsidRPr="00B7032A">
        <w:rPr>
          <w:rFonts w:ascii="Arial" w:eastAsia="Calibri" w:hAnsi="Arial" w:cs="Arial"/>
          <w:sz w:val="22"/>
        </w:rPr>
        <w:t xml:space="preserve">contempla el </w:t>
      </w:r>
      <w:r w:rsidR="00AD772B" w:rsidRPr="00B7032A">
        <w:rPr>
          <w:rFonts w:ascii="Arial" w:eastAsia="Arial" w:hAnsi="Arial" w:cs="Arial"/>
          <w:sz w:val="22"/>
          <w:szCs w:val="22"/>
          <w:lang w:val="es-ES" w:eastAsia="es-ES" w:bidi="es-ES"/>
        </w:rPr>
        <w:t>«Formulario 1 - Formulario de Presupuesto Oficial</w:t>
      </w:r>
      <w:r w:rsidR="00AD772B" w:rsidRPr="00B7032A">
        <w:rPr>
          <w:rFonts w:ascii="Arial" w:eastAsia="Calibri" w:hAnsi="Arial" w:cs="Arial"/>
          <w:sz w:val="22"/>
          <w:szCs w:val="22"/>
          <w:lang w:val="es-ES" w:eastAsia="es-ES" w:bidi="es-ES"/>
        </w:rPr>
        <w:t>»</w:t>
      </w:r>
      <w:r w:rsidR="00AD772B" w:rsidRPr="00B7032A">
        <w:rPr>
          <w:rFonts w:ascii="Arial" w:eastAsia="Arial" w:hAnsi="Arial" w:cs="Arial"/>
          <w:sz w:val="22"/>
          <w:szCs w:val="22"/>
          <w:lang w:val="es-ES" w:eastAsia="es-ES" w:bidi="es-ES"/>
        </w:rPr>
        <w:t>, empleado por</w:t>
      </w:r>
      <w:r w:rsidR="00AD772B" w:rsidRPr="00B7032A">
        <w:rPr>
          <w:rFonts w:ascii="Arial" w:eastAsia="Arial" w:hAnsi="Arial" w:cs="Arial"/>
          <w:sz w:val="22"/>
          <w:szCs w:val="22"/>
          <w:lang w:eastAsia="es-ES" w:bidi="es-ES"/>
        </w:rPr>
        <w:t xml:space="preserve"> la entidad para elaborar y presentar el presupuesto oficial, y mediante el cual el proponente estructura la oferta económica. </w:t>
      </w:r>
      <w:r w:rsidR="00AD772B" w:rsidRPr="00B7032A">
        <w:rPr>
          <w:rFonts w:ascii="Arial" w:eastAsia="Calibri" w:hAnsi="Arial" w:cs="Arial"/>
          <w:sz w:val="22"/>
          <w:lang w:val="es-ES"/>
        </w:rPr>
        <w:t>Este formulario lo prepara la entidad en la etapa de planeación y le permite definir el valor oficial estimado del proceso de contratación. Por tanto, las entidades estatales, para su elaboración, deben tener en cuenta diferentes variables, como el objeto, alcance, obras a ejecutar, actividades, cantidades, particularidades de la zona de ejecución del proyecto, disponibilidad y distancia de fuentes de materiales, entre otros.</w:t>
      </w:r>
    </w:p>
    <w:p w14:paraId="0C520CC6" w14:textId="3EA04FA2" w:rsidR="00AD772B" w:rsidRPr="00B7032A" w:rsidRDefault="00920395" w:rsidP="00AD772B">
      <w:pPr>
        <w:widowControl w:val="0"/>
        <w:autoSpaceDE w:val="0"/>
        <w:autoSpaceDN w:val="0"/>
        <w:spacing w:before="120" w:line="276" w:lineRule="auto"/>
        <w:ind w:firstLine="709"/>
        <w:jc w:val="both"/>
        <w:rPr>
          <w:rFonts w:ascii="Arial" w:eastAsia="Calibri" w:hAnsi="Arial" w:cs="Arial"/>
          <w:sz w:val="22"/>
        </w:rPr>
      </w:pPr>
      <w:r w:rsidRPr="00B7032A">
        <w:rPr>
          <w:rFonts w:ascii="Arial" w:eastAsia="Calibri" w:hAnsi="Arial" w:cs="Arial"/>
          <w:sz w:val="22"/>
          <w:lang w:val="es-ES"/>
        </w:rPr>
        <w:t xml:space="preserve">Este </w:t>
      </w:r>
      <w:r w:rsidR="00AD772B" w:rsidRPr="00B7032A">
        <w:rPr>
          <w:rFonts w:ascii="Arial" w:eastAsia="Calibri" w:hAnsi="Arial" w:cs="Arial"/>
          <w:sz w:val="22"/>
          <w:lang w:val="es-ES"/>
        </w:rPr>
        <w:t xml:space="preserve">Formulario tiene dos connotaciones: i) por un lado, </w:t>
      </w:r>
      <w:r w:rsidR="00AD772B" w:rsidRPr="00B7032A">
        <w:rPr>
          <w:rFonts w:ascii="Arial" w:eastAsia="Calibri" w:hAnsi="Arial" w:cs="Arial"/>
          <w:sz w:val="22"/>
        </w:rPr>
        <w:t xml:space="preserve">es el formulario sobre el cual la entidad estructura y presenta el presupuesto oficial del procedimiento de contratación; y </w:t>
      </w:r>
      <w:proofErr w:type="spellStart"/>
      <w:r w:rsidR="00AD772B" w:rsidRPr="00B7032A">
        <w:rPr>
          <w:rFonts w:ascii="Arial" w:eastAsia="Calibri" w:hAnsi="Arial" w:cs="Arial"/>
          <w:sz w:val="22"/>
        </w:rPr>
        <w:t>ii</w:t>
      </w:r>
      <w:proofErr w:type="spellEnd"/>
      <w:r w:rsidR="00AD772B" w:rsidRPr="00B7032A">
        <w:rPr>
          <w:rFonts w:ascii="Arial" w:eastAsia="Calibri" w:hAnsi="Arial" w:cs="Arial"/>
          <w:sz w:val="22"/>
        </w:rPr>
        <w:t>) por el otro, es el formulario sobre el cual los proponentes elabora</w:t>
      </w:r>
      <w:r w:rsidR="00CF6A0F" w:rsidRPr="00B7032A">
        <w:rPr>
          <w:rFonts w:ascii="Arial" w:eastAsia="Calibri" w:hAnsi="Arial" w:cs="Arial"/>
          <w:sz w:val="22"/>
        </w:rPr>
        <w:t>rán</w:t>
      </w:r>
      <w:r w:rsidR="00AD772B" w:rsidRPr="00B7032A">
        <w:rPr>
          <w:rFonts w:ascii="Arial" w:eastAsia="Calibri" w:hAnsi="Arial" w:cs="Arial"/>
          <w:sz w:val="22"/>
        </w:rPr>
        <w:t xml:space="preserve"> y presenta</w:t>
      </w:r>
      <w:r w:rsidR="00CF6A0F" w:rsidRPr="00B7032A">
        <w:rPr>
          <w:rFonts w:ascii="Arial" w:eastAsia="Calibri" w:hAnsi="Arial" w:cs="Arial"/>
          <w:sz w:val="22"/>
        </w:rPr>
        <w:t>rán</w:t>
      </w:r>
      <w:r w:rsidR="00AD772B" w:rsidRPr="00B7032A">
        <w:rPr>
          <w:rFonts w:ascii="Arial" w:eastAsia="Calibri" w:hAnsi="Arial" w:cs="Arial"/>
          <w:sz w:val="22"/>
        </w:rPr>
        <w:t xml:space="preserve"> su oferta económica. El propósito de esto es evitar la duplicidad de información y permitir que las propuestas económicas sean evaluadas con las variables, cantidades, unidades de medida y reglas consideradas por la entidad al estructurar su presupuesto oficial.</w:t>
      </w:r>
    </w:p>
    <w:p w14:paraId="42C0C4FF" w14:textId="46A90A58" w:rsidR="00AD772B" w:rsidRPr="00B7032A" w:rsidRDefault="00AD772B" w:rsidP="00AD772B">
      <w:pPr>
        <w:widowControl w:val="0"/>
        <w:autoSpaceDE w:val="0"/>
        <w:autoSpaceDN w:val="0"/>
        <w:spacing w:before="120" w:after="120" w:line="276" w:lineRule="auto"/>
        <w:ind w:firstLine="709"/>
        <w:jc w:val="both"/>
        <w:rPr>
          <w:rFonts w:ascii="Arial" w:eastAsia="Arial" w:hAnsi="Arial" w:cs="Arial"/>
          <w:iCs/>
          <w:sz w:val="22"/>
          <w:szCs w:val="22"/>
          <w:lang w:val="es-ES" w:eastAsia="es-ES" w:bidi="es-ES"/>
        </w:rPr>
      </w:pPr>
      <w:r w:rsidRPr="00B7032A">
        <w:rPr>
          <w:rFonts w:ascii="Arial" w:eastAsia="Arial" w:hAnsi="Arial" w:cs="Arial"/>
          <w:sz w:val="22"/>
          <w:szCs w:val="22"/>
          <w:lang w:val="es-ES" w:eastAsia="es-ES" w:bidi="es-ES"/>
        </w:rPr>
        <w:t xml:space="preserve">En ese contexto, se tiene que en la primera hoja del Formulario 1, que corresponde al presupuesto oficial, la entidad debe enlistar los </w:t>
      </w:r>
      <w:r w:rsidRPr="00B7032A">
        <w:rPr>
          <w:rFonts w:ascii="Arial" w:eastAsia="Arial" w:hAnsi="Arial" w:cs="Arial"/>
          <w:i/>
          <w:sz w:val="22"/>
          <w:szCs w:val="22"/>
          <w:lang w:val="es-ES" w:eastAsia="es-ES" w:bidi="es-ES"/>
        </w:rPr>
        <w:t xml:space="preserve">ítems de pago </w:t>
      </w:r>
      <w:r w:rsidRPr="00B7032A">
        <w:rPr>
          <w:rFonts w:ascii="Arial" w:eastAsia="Arial" w:hAnsi="Arial" w:cs="Arial"/>
          <w:sz w:val="22"/>
          <w:szCs w:val="22"/>
          <w:lang w:val="es-ES" w:eastAsia="es-ES" w:bidi="es-ES"/>
        </w:rPr>
        <w:t xml:space="preserve">de los bienes, obras o servicios que se requieren para la ejecución de la obra pública de infraestructura </w:t>
      </w:r>
      <w:r w:rsidR="008954CE" w:rsidRPr="00B7032A">
        <w:rPr>
          <w:rFonts w:ascii="Arial" w:eastAsia="Arial" w:hAnsi="Arial" w:cs="Arial"/>
          <w:sz w:val="22"/>
          <w:szCs w:val="22"/>
          <w:lang w:val="es-ES" w:eastAsia="es-ES" w:bidi="es-ES"/>
        </w:rPr>
        <w:t>social</w:t>
      </w:r>
      <w:r w:rsidRPr="00B7032A">
        <w:rPr>
          <w:rFonts w:ascii="Arial" w:eastAsia="Arial" w:hAnsi="Arial" w:cs="Arial"/>
          <w:sz w:val="22"/>
          <w:szCs w:val="22"/>
          <w:lang w:val="es-ES" w:eastAsia="es-ES" w:bidi="es-ES"/>
        </w:rPr>
        <w:t xml:space="preserve"> que se contrata. Además, es posible establecer: i) sus especificaciones generales y particulares, </w:t>
      </w:r>
      <w:proofErr w:type="spellStart"/>
      <w:r w:rsidRPr="00B7032A">
        <w:rPr>
          <w:rFonts w:ascii="Arial" w:eastAsia="Arial" w:hAnsi="Arial" w:cs="Arial"/>
          <w:sz w:val="22"/>
          <w:szCs w:val="22"/>
          <w:lang w:val="es-ES" w:eastAsia="es-ES" w:bidi="es-ES"/>
        </w:rPr>
        <w:t>ii</w:t>
      </w:r>
      <w:proofErr w:type="spellEnd"/>
      <w:r w:rsidRPr="00B7032A">
        <w:rPr>
          <w:rFonts w:ascii="Arial" w:eastAsia="Arial" w:hAnsi="Arial" w:cs="Arial"/>
          <w:sz w:val="22"/>
          <w:szCs w:val="22"/>
          <w:lang w:val="es-ES" w:eastAsia="es-ES" w:bidi="es-ES"/>
        </w:rPr>
        <w:t xml:space="preserve">) la descripción, </w:t>
      </w:r>
      <w:proofErr w:type="spellStart"/>
      <w:r w:rsidRPr="00B7032A">
        <w:rPr>
          <w:rFonts w:ascii="Arial" w:eastAsia="Arial" w:hAnsi="Arial" w:cs="Arial"/>
          <w:sz w:val="22"/>
          <w:szCs w:val="22"/>
          <w:lang w:val="es-ES" w:eastAsia="es-ES" w:bidi="es-ES"/>
        </w:rPr>
        <w:t>iii</w:t>
      </w:r>
      <w:proofErr w:type="spellEnd"/>
      <w:r w:rsidRPr="00B7032A">
        <w:rPr>
          <w:rFonts w:ascii="Arial" w:eastAsia="Arial" w:hAnsi="Arial" w:cs="Arial"/>
          <w:sz w:val="22"/>
          <w:szCs w:val="22"/>
          <w:lang w:val="es-ES" w:eastAsia="es-ES" w:bidi="es-ES"/>
        </w:rPr>
        <w:t xml:space="preserve">) la unidad de medida, </w:t>
      </w:r>
      <w:proofErr w:type="spellStart"/>
      <w:r w:rsidRPr="00B7032A">
        <w:rPr>
          <w:rFonts w:ascii="Arial" w:eastAsia="Arial" w:hAnsi="Arial" w:cs="Arial"/>
          <w:sz w:val="22"/>
          <w:szCs w:val="22"/>
          <w:lang w:val="es-ES" w:eastAsia="es-ES" w:bidi="es-ES"/>
        </w:rPr>
        <w:t>iv</w:t>
      </w:r>
      <w:proofErr w:type="spellEnd"/>
      <w:r w:rsidRPr="00B7032A">
        <w:rPr>
          <w:rFonts w:ascii="Arial" w:eastAsia="Arial" w:hAnsi="Arial" w:cs="Arial"/>
          <w:sz w:val="22"/>
          <w:szCs w:val="22"/>
          <w:lang w:val="es-ES" w:eastAsia="es-ES" w:bidi="es-ES"/>
        </w:rPr>
        <w:t xml:space="preserve">) la cantidad, v) el valor unitario y vi) el valor total de los </w:t>
      </w:r>
      <w:r w:rsidRPr="00B7032A">
        <w:rPr>
          <w:rFonts w:ascii="Arial" w:eastAsia="Arial" w:hAnsi="Arial" w:cs="Arial"/>
          <w:i/>
          <w:sz w:val="22"/>
          <w:szCs w:val="22"/>
          <w:lang w:val="es-ES" w:eastAsia="es-ES" w:bidi="es-ES"/>
        </w:rPr>
        <w:t>ítems.</w:t>
      </w:r>
    </w:p>
    <w:p w14:paraId="785245E5" w14:textId="77777777" w:rsidR="00AD772B" w:rsidRPr="00B7032A" w:rsidRDefault="00AD772B" w:rsidP="00AD772B">
      <w:pPr>
        <w:widowControl w:val="0"/>
        <w:autoSpaceDE w:val="0"/>
        <w:autoSpaceDN w:val="0"/>
        <w:spacing w:before="120" w:after="120" w:line="276" w:lineRule="auto"/>
        <w:ind w:firstLine="709"/>
        <w:jc w:val="both"/>
        <w:rPr>
          <w:rFonts w:ascii="Arial" w:eastAsia="Arial" w:hAnsi="Arial" w:cs="Arial"/>
          <w:sz w:val="22"/>
          <w:szCs w:val="22"/>
          <w:lang w:val="es-ES" w:eastAsia="es-ES" w:bidi="es-ES"/>
        </w:rPr>
      </w:pPr>
      <w:r w:rsidRPr="00B7032A">
        <w:rPr>
          <w:rFonts w:ascii="Arial" w:eastAsia="Arial" w:hAnsi="Arial" w:cs="Arial"/>
          <w:iCs/>
          <w:sz w:val="22"/>
          <w:szCs w:val="22"/>
          <w:lang w:val="es-ES" w:eastAsia="es-ES" w:bidi="es-ES"/>
        </w:rPr>
        <w:t xml:space="preserve">En el marco del ejercicio de planeación, la entidad podrá determinar la necesidad de establecer algunos valores topes para algunos </w:t>
      </w:r>
      <w:r w:rsidRPr="00B7032A">
        <w:rPr>
          <w:rFonts w:ascii="Arial" w:eastAsia="Arial" w:hAnsi="Arial" w:cs="Arial"/>
          <w:i/>
          <w:sz w:val="22"/>
          <w:szCs w:val="22"/>
          <w:lang w:val="es-ES" w:eastAsia="es-ES" w:bidi="es-ES"/>
        </w:rPr>
        <w:t xml:space="preserve">ítems, </w:t>
      </w:r>
      <w:r w:rsidRPr="00B7032A">
        <w:rPr>
          <w:rFonts w:ascii="Arial" w:eastAsia="Arial" w:hAnsi="Arial" w:cs="Arial"/>
          <w:iCs/>
          <w:sz w:val="22"/>
          <w:szCs w:val="22"/>
          <w:lang w:val="es-ES" w:eastAsia="es-ES" w:bidi="es-ES"/>
        </w:rPr>
        <w:t>los cuales no podrán ser excedidos por los proponentes al presentar sus ofertas.</w:t>
      </w:r>
      <w:r w:rsidRPr="00B7032A">
        <w:rPr>
          <w:rFonts w:ascii="Arial" w:eastAsia="Arial" w:hAnsi="Arial" w:cs="Arial"/>
          <w:sz w:val="22"/>
          <w:szCs w:val="22"/>
          <w:lang w:val="es-ES" w:eastAsia="es-ES" w:bidi="es-ES"/>
        </w:rPr>
        <w:t xml:space="preserve"> La inclusión que hace la entidad de valores que no deben ser excedidos por los proponentes al presentar sus ofertas no es una práctica generalizada ni obligatoria para todas las entidades, por cuanto la inclusión de estos </w:t>
      </w:r>
      <w:r w:rsidRPr="00B7032A">
        <w:rPr>
          <w:rFonts w:ascii="Arial" w:eastAsia="Arial" w:hAnsi="Arial" w:cs="Arial"/>
          <w:i/>
          <w:sz w:val="22"/>
          <w:szCs w:val="22"/>
          <w:lang w:val="es-ES" w:eastAsia="es-ES" w:bidi="es-ES"/>
        </w:rPr>
        <w:t>ítems</w:t>
      </w:r>
      <w:r w:rsidRPr="00B7032A">
        <w:rPr>
          <w:rFonts w:ascii="Arial" w:eastAsia="Arial" w:hAnsi="Arial" w:cs="Arial"/>
          <w:sz w:val="22"/>
          <w:szCs w:val="22"/>
          <w:lang w:val="es-ES" w:eastAsia="es-ES" w:bidi="es-ES"/>
        </w:rPr>
        <w:t xml:space="preserve"> debe estar justificada en situaciones y eventos particulares de determinados procedimientos de contratación. Cuando las entidades estructuran el Formulario 1, incluyendo este tipo de </w:t>
      </w:r>
      <w:r w:rsidRPr="00B7032A">
        <w:rPr>
          <w:rFonts w:ascii="Arial" w:eastAsia="Arial" w:hAnsi="Arial" w:cs="Arial"/>
          <w:i/>
          <w:sz w:val="22"/>
          <w:szCs w:val="22"/>
          <w:lang w:val="es-ES" w:eastAsia="es-ES" w:bidi="es-ES"/>
        </w:rPr>
        <w:t>ítems</w:t>
      </w:r>
      <w:r w:rsidRPr="00B7032A">
        <w:rPr>
          <w:rFonts w:ascii="Arial" w:eastAsia="Arial" w:hAnsi="Arial" w:cs="Arial"/>
          <w:sz w:val="22"/>
          <w:szCs w:val="22"/>
          <w:lang w:val="es-ES" w:eastAsia="es-ES" w:bidi="es-ES"/>
        </w:rPr>
        <w:t xml:space="preserve"> y justificando su decisión, los proponentes deben incluirlos dentro de la oferta económica sin exceder el valor que la entidad ha definido, so pena del rechazo de la propuesta</w:t>
      </w:r>
      <w:r w:rsidRPr="00B7032A">
        <w:rPr>
          <w:rFonts w:ascii="Arial" w:eastAsia="Arial" w:hAnsi="Arial" w:cs="Arial"/>
          <w:sz w:val="22"/>
          <w:szCs w:val="22"/>
          <w:vertAlign w:val="superscript"/>
          <w:lang w:val="es-ES" w:eastAsia="es-ES" w:bidi="es-ES"/>
        </w:rPr>
        <w:footnoteReference w:id="21"/>
      </w:r>
      <w:r w:rsidRPr="00B7032A">
        <w:rPr>
          <w:rFonts w:ascii="Arial" w:eastAsia="Arial" w:hAnsi="Arial" w:cs="Arial"/>
          <w:sz w:val="22"/>
          <w:szCs w:val="22"/>
          <w:lang w:val="es-ES" w:eastAsia="es-ES" w:bidi="es-ES"/>
        </w:rPr>
        <w:t>.</w:t>
      </w:r>
    </w:p>
    <w:p w14:paraId="07506B8A" w14:textId="6EC2B9D1" w:rsidR="00AD772B" w:rsidRPr="00B7032A" w:rsidRDefault="00AD772B" w:rsidP="00AD772B">
      <w:pPr>
        <w:widowControl w:val="0"/>
        <w:autoSpaceDE w:val="0"/>
        <w:autoSpaceDN w:val="0"/>
        <w:spacing w:after="120" w:line="276" w:lineRule="auto"/>
        <w:ind w:firstLine="709"/>
        <w:jc w:val="both"/>
        <w:rPr>
          <w:rFonts w:ascii="Arial" w:eastAsia="Arial" w:hAnsi="Arial" w:cs="Arial"/>
          <w:sz w:val="22"/>
          <w:szCs w:val="22"/>
          <w:lang w:val="es-ES" w:eastAsia="es-ES" w:bidi="es-ES"/>
        </w:rPr>
      </w:pPr>
      <w:r w:rsidRPr="00B7032A">
        <w:rPr>
          <w:rFonts w:ascii="Arial" w:eastAsia="Arial" w:hAnsi="Arial" w:cs="Arial"/>
          <w:sz w:val="22"/>
          <w:szCs w:val="22"/>
          <w:lang w:val="es-ES" w:eastAsia="es-ES" w:bidi="es-ES"/>
        </w:rPr>
        <w:t xml:space="preserve">De igual manera, en la hoja 1 del «Formulario 1 – Formulario de Presupuesto oficial» </w:t>
      </w:r>
      <w:r w:rsidRPr="00B7032A">
        <w:rPr>
          <w:rFonts w:ascii="Arial" w:eastAsia="Arial" w:hAnsi="Arial" w:cs="Arial"/>
          <w:sz w:val="22"/>
          <w:szCs w:val="22"/>
          <w:lang w:val="es-ES" w:eastAsia="es-ES" w:bidi="es-ES"/>
        </w:rPr>
        <w:lastRenderedPageBreak/>
        <w:t xml:space="preserve">se señala que en los procesos de contratación estructurados por precios unitarios aplican las notas 1, 2 y 3 de dicho formato y, por tanto, se diligencian las casillas de «Descripción», «Porcentaje» de la Administración, Imprevistos, Utilidad y total del A.I.U resaltados en color amarillo. En otras palabras, las entidades estatales incluirán de manera obligatoria el porcentaje de la: i) administración, </w:t>
      </w:r>
      <w:proofErr w:type="spellStart"/>
      <w:r w:rsidRPr="00B7032A">
        <w:rPr>
          <w:rFonts w:ascii="Arial" w:eastAsia="Arial" w:hAnsi="Arial" w:cs="Arial"/>
          <w:sz w:val="22"/>
          <w:szCs w:val="22"/>
          <w:lang w:val="es-ES" w:eastAsia="es-ES" w:bidi="es-ES"/>
        </w:rPr>
        <w:t>ii</w:t>
      </w:r>
      <w:proofErr w:type="spellEnd"/>
      <w:r w:rsidRPr="00B7032A">
        <w:rPr>
          <w:rFonts w:ascii="Arial" w:eastAsia="Arial" w:hAnsi="Arial" w:cs="Arial"/>
          <w:sz w:val="22"/>
          <w:szCs w:val="22"/>
          <w:lang w:val="es-ES" w:eastAsia="es-ES" w:bidi="es-ES"/>
        </w:rPr>
        <w:t xml:space="preserve">) imprevistos y </w:t>
      </w:r>
      <w:proofErr w:type="spellStart"/>
      <w:r w:rsidRPr="00B7032A">
        <w:rPr>
          <w:rFonts w:ascii="Arial" w:eastAsia="Arial" w:hAnsi="Arial" w:cs="Arial"/>
          <w:sz w:val="22"/>
          <w:szCs w:val="22"/>
          <w:lang w:val="es-ES" w:eastAsia="es-ES" w:bidi="es-ES"/>
        </w:rPr>
        <w:t>iii</w:t>
      </w:r>
      <w:proofErr w:type="spellEnd"/>
      <w:r w:rsidRPr="00B7032A">
        <w:rPr>
          <w:rFonts w:ascii="Arial" w:eastAsia="Arial" w:hAnsi="Arial" w:cs="Arial"/>
          <w:sz w:val="22"/>
          <w:szCs w:val="22"/>
          <w:lang w:val="es-ES" w:eastAsia="es-ES" w:bidi="es-ES"/>
        </w:rPr>
        <w:t>) utilidad cuando el proceso de contratación sea por precios unitarios.</w:t>
      </w:r>
    </w:p>
    <w:p w14:paraId="5B8DB7E6" w14:textId="77777777" w:rsidR="000D5A46" w:rsidRPr="008179FF" w:rsidRDefault="000D5A46" w:rsidP="000D5A46">
      <w:pPr>
        <w:pStyle w:val="Textoindependiente"/>
        <w:ind w:firstLine="709"/>
        <w:jc w:val="both"/>
        <w:rPr>
          <w:rFonts w:ascii="Arial" w:hAnsi="Arial" w:cs="Arial"/>
        </w:rPr>
      </w:pPr>
      <w:r w:rsidRPr="00B7032A">
        <w:rPr>
          <w:rFonts w:ascii="Arial" w:hAnsi="Arial" w:cs="Arial"/>
        </w:rPr>
        <w:t xml:space="preserve">Al respecto, en la «Nota 1» se establece que el precio unitario incluye el valor de A.I.U. Por su parte, la «Nota 2» indica la regla que cuando la fracción decimal del peso sea igual o superior a 5 se aproximará por exceso al número entero siguiente del peso y cuando la fracción decimal del peso sea inferior a 5 se aproximará por defecto al número entero del peso. </w:t>
      </w:r>
      <w:r w:rsidRPr="008179FF">
        <w:rPr>
          <w:rFonts w:ascii="Arial" w:hAnsi="Arial" w:cs="Arial"/>
        </w:rPr>
        <w:t xml:space="preserve">Finalmente, en la «Nota 3» se indica que el A.I.U y su discriminación debe ser en porcentaje. </w:t>
      </w:r>
    </w:p>
    <w:p w14:paraId="66D4EAAA" w14:textId="4309D376" w:rsidR="000D5A46" w:rsidRPr="008179FF" w:rsidRDefault="000D5A46" w:rsidP="000D5A46">
      <w:pPr>
        <w:pStyle w:val="Textoindependiente"/>
        <w:ind w:firstLine="709"/>
        <w:jc w:val="both"/>
        <w:rPr>
          <w:rFonts w:ascii="Arial" w:hAnsi="Arial" w:cs="Arial"/>
        </w:rPr>
      </w:pPr>
      <w:r w:rsidRPr="008179FF">
        <w:rPr>
          <w:rFonts w:ascii="Arial" w:hAnsi="Arial" w:cs="Arial"/>
        </w:rPr>
        <w:t>De la redacción de estas notas se infiere que las entidades obligatoriamente aplicarán las notas definidas en el «Formulario 1 – Formulario del presupuesto oficial» y, por ende, se incluirá el porcentaje</w:t>
      </w:r>
      <w:r w:rsidR="00FB04B5" w:rsidRPr="008179FF">
        <w:rPr>
          <w:rFonts w:ascii="Arial" w:hAnsi="Arial" w:cs="Arial"/>
        </w:rPr>
        <w:t xml:space="preserve"> </w:t>
      </w:r>
      <w:r w:rsidRPr="008179FF">
        <w:rPr>
          <w:rFonts w:ascii="Arial" w:hAnsi="Arial" w:cs="Arial"/>
        </w:rPr>
        <w:t xml:space="preserve">respectivo a la i) administración, </w:t>
      </w:r>
      <w:proofErr w:type="spellStart"/>
      <w:r w:rsidRPr="008179FF">
        <w:rPr>
          <w:rFonts w:ascii="Arial" w:hAnsi="Arial" w:cs="Arial"/>
        </w:rPr>
        <w:t>ii</w:t>
      </w:r>
      <w:proofErr w:type="spellEnd"/>
      <w:r w:rsidRPr="008179FF">
        <w:rPr>
          <w:rFonts w:ascii="Arial" w:hAnsi="Arial" w:cs="Arial"/>
        </w:rPr>
        <w:t xml:space="preserve">) imprevistos y </w:t>
      </w:r>
      <w:proofErr w:type="spellStart"/>
      <w:r w:rsidRPr="008179FF">
        <w:rPr>
          <w:rFonts w:ascii="Arial" w:hAnsi="Arial" w:cs="Arial"/>
        </w:rPr>
        <w:t>iii</w:t>
      </w:r>
      <w:proofErr w:type="spellEnd"/>
      <w:r w:rsidRPr="008179FF">
        <w:rPr>
          <w:rFonts w:ascii="Arial" w:hAnsi="Arial" w:cs="Arial"/>
        </w:rPr>
        <w:t>) utilidad. En consecuencia, las entidades no podrán omitir alguno de sus componentes y lo definirán de acuerdo con el estudio de mercado y el sector, incluyendo el valor que consideren procedente.</w:t>
      </w:r>
    </w:p>
    <w:p w14:paraId="735D0E17" w14:textId="01693414" w:rsidR="00A00C55" w:rsidRPr="008179FF" w:rsidRDefault="00ED7CB0" w:rsidP="0063430C">
      <w:pPr>
        <w:pStyle w:val="Textoindependiente"/>
        <w:ind w:firstLine="567"/>
        <w:rPr>
          <w:rFonts w:ascii="Arial" w:hAnsi="Arial" w:cs="Arial"/>
          <w:lang w:bidi="es-ES"/>
        </w:rPr>
      </w:pPr>
      <w:r w:rsidRPr="008179FF">
        <w:rPr>
          <w:rFonts w:ascii="Arial" w:hAnsi="Arial" w:cs="Arial"/>
          <w:lang w:bidi="es-ES"/>
        </w:rPr>
        <w:t xml:space="preserve">Además, el «Formulario 1 – Formulario de Presupuesto Oficial» señala los espacios en los cuales se incluirá estos porcentajes. Así se determina en los siguientes términos: </w:t>
      </w:r>
    </w:p>
    <w:p w14:paraId="3BFF9F0F" w14:textId="77777777" w:rsidR="0063430C" w:rsidRPr="008179FF" w:rsidRDefault="0063430C" w:rsidP="0063430C">
      <w:pPr>
        <w:pStyle w:val="Textoindependiente"/>
        <w:spacing w:after="0"/>
        <w:ind w:firstLine="567"/>
        <w:rPr>
          <w:rFonts w:ascii="Arial" w:hAnsi="Arial" w:cs="Arial"/>
          <w:lang w:bidi="es-ES"/>
        </w:rPr>
      </w:pPr>
    </w:p>
    <w:tbl>
      <w:tblPr>
        <w:tblW w:w="8247" w:type="dxa"/>
        <w:jc w:val="center"/>
        <w:tblLook w:val="04A0" w:firstRow="1" w:lastRow="0" w:firstColumn="1" w:lastColumn="0" w:noHBand="0" w:noVBand="1"/>
      </w:tblPr>
      <w:tblGrid>
        <w:gridCol w:w="2794"/>
        <w:gridCol w:w="1897"/>
        <w:gridCol w:w="3556"/>
      </w:tblGrid>
      <w:tr w:rsidR="00ED7CB0" w:rsidRPr="008179FF" w14:paraId="10F4D8A2" w14:textId="77777777" w:rsidTr="00A00C55">
        <w:trPr>
          <w:trHeight w:val="541"/>
          <w:jc w:val="center"/>
        </w:trPr>
        <w:tc>
          <w:tcPr>
            <w:tcW w:w="4691" w:type="dxa"/>
            <w:gridSpan w:val="2"/>
            <w:tcBorders>
              <w:top w:val="single" w:sz="4" w:space="0" w:color="auto"/>
              <w:left w:val="single" w:sz="4" w:space="0" w:color="auto"/>
              <w:bottom w:val="single" w:sz="4" w:space="0" w:color="auto"/>
              <w:right w:val="single" w:sz="4" w:space="0" w:color="auto"/>
            </w:tcBorders>
            <w:hideMark/>
          </w:tcPr>
          <w:p w14:paraId="314099E8" w14:textId="77777777" w:rsidR="00ED7CB0" w:rsidRPr="008179FF" w:rsidRDefault="00ED7CB0" w:rsidP="00ED7CB0">
            <w:pPr>
              <w:pStyle w:val="Textoindependiente"/>
              <w:ind w:firstLine="709"/>
              <w:jc w:val="both"/>
              <w:rPr>
                <w:rFonts w:ascii="Arial" w:hAnsi="Arial" w:cs="Arial"/>
                <w:b/>
                <w:bCs/>
                <w:sz w:val="21"/>
                <w:szCs w:val="21"/>
              </w:rPr>
            </w:pPr>
            <w:r w:rsidRPr="008179FF">
              <w:rPr>
                <w:rFonts w:ascii="Arial" w:hAnsi="Arial" w:cs="Arial"/>
                <w:b/>
                <w:bCs/>
                <w:sz w:val="21"/>
                <w:szCs w:val="21"/>
              </w:rPr>
              <w:t>DESCRIPCION</w:t>
            </w:r>
          </w:p>
        </w:tc>
        <w:tc>
          <w:tcPr>
            <w:tcW w:w="3556" w:type="dxa"/>
            <w:tcBorders>
              <w:top w:val="single" w:sz="4" w:space="0" w:color="auto"/>
              <w:left w:val="single" w:sz="4" w:space="0" w:color="auto"/>
              <w:bottom w:val="single" w:sz="4" w:space="0" w:color="auto"/>
              <w:right w:val="single" w:sz="4" w:space="0" w:color="auto"/>
            </w:tcBorders>
            <w:noWrap/>
            <w:hideMark/>
          </w:tcPr>
          <w:p w14:paraId="165D3632" w14:textId="77777777" w:rsidR="00ED7CB0" w:rsidRPr="008179FF" w:rsidRDefault="00ED7CB0" w:rsidP="00ED7CB0">
            <w:pPr>
              <w:pStyle w:val="Textoindependiente"/>
              <w:ind w:firstLine="709"/>
              <w:jc w:val="both"/>
              <w:rPr>
                <w:rFonts w:ascii="Arial" w:hAnsi="Arial" w:cs="Arial"/>
                <w:b/>
                <w:bCs/>
                <w:sz w:val="21"/>
                <w:szCs w:val="21"/>
              </w:rPr>
            </w:pPr>
            <w:r w:rsidRPr="008179FF">
              <w:rPr>
                <w:rFonts w:ascii="Arial" w:hAnsi="Arial" w:cs="Arial"/>
                <w:b/>
                <w:bCs/>
                <w:sz w:val="21"/>
                <w:szCs w:val="21"/>
              </w:rPr>
              <w:t xml:space="preserve"> PORCENTAJE </w:t>
            </w:r>
          </w:p>
        </w:tc>
      </w:tr>
      <w:tr w:rsidR="00ED7CB0" w:rsidRPr="008179FF" w14:paraId="39A1C3DE" w14:textId="77777777" w:rsidTr="00A00C55">
        <w:trPr>
          <w:trHeight w:val="375"/>
          <w:jc w:val="center"/>
        </w:trPr>
        <w:tc>
          <w:tcPr>
            <w:tcW w:w="2794" w:type="dxa"/>
            <w:tcBorders>
              <w:top w:val="single" w:sz="4" w:space="0" w:color="auto"/>
              <w:left w:val="single" w:sz="4" w:space="0" w:color="auto"/>
              <w:bottom w:val="single" w:sz="4" w:space="0" w:color="auto"/>
              <w:right w:val="single" w:sz="4" w:space="0" w:color="auto"/>
            </w:tcBorders>
            <w:noWrap/>
            <w:hideMark/>
          </w:tcPr>
          <w:p w14:paraId="1C2788BC" w14:textId="77777777" w:rsidR="00ED7CB0" w:rsidRPr="008179FF" w:rsidRDefault="00ED7CB0" w:rsidP="00ED7CB0">
            <w:pPr>
              <w:pStyle w:val="Textoindependiente"/>
              <w:ind w:firstLine="709"/>
              <w:jc w:val="both"/>
              <w:rPr>
                <w:rFonts w:ascii="Arial" w:hAnsi="Arial" w:cs="Arial"/>
                <w:b/>
                <w:bCs/>
                <w:sz w:val="21"/>
                <w:szCs w:val="21"/>
              </w:rPr>
            </w:pPr>
            <w:r w:rsidRPr="008179FF">
              <w:rPr>
                <w:rFonts w:ascii="Arial" w:hAnsi="Arial" w:cs="Arial"/>
                <w:b/>
                <w:bCs/>
                <w:sz w:val="21"/>
                <w:szCs w:val="21"/>
              </w:rPr>
              <w:t>ADMINISTRACIÓN</w:t>
            </w:r>
          </w:p>
        </w:tc>
        <w:tc>
          <w:tcPr>
            <w:tcW w:w="1897" w:type="dxa"/>
            <w:tcBorders>
              <w:top w:val="single" w:sz="4" w:space="0" w:color="auto"/>
              <w:left w:val="single" w:sz="4" w:space="0" w:color="auto"/>
              <w:bottom w:val="single" w:sz="4" w:space="0" w:color="auto"/>
              <w:right w:val="single" w:sz="4" w:space="0" w:color="auto"/>
            </w:tcBorders>
            <w:noWrap/>
            <w:hideMark/>
          </w:tcPr>
          <w:p w14:paraId="33B54B85" w14:textId="77777777" w:rsidR="00ED7CB0" w:rsidRPr="008179FF" w:rsidRDefault="00ED7CB0" w:rsidP="00ED7CB0">
            <w:pPr>
              <w:pStyle w:val="Textoindependiente"/>
              <w:ind w:firstLine="709"/>
              <w:jc w:val="both"/>
              <w:rPr>
                <w:rFonts w:ascii="Arial" w:hAnsi="Arial" w:cs="Arial"/>
                <w:b/>
                <w:bCs/>
                <w:sz w:val="21"/>
                <w:szCs w:val="21"/>
              </w:rPr>
            </w:pPr>
            <w:r w:rsidRPr="008179FF">
              <w:rPr>
                <w:rFonts w:ascii="Arial" w:hAnsi="Arial" w:cs="Arial"/>
                <w:b/>
                <w:bCs/>
                <w:sz w:val="21"/>
                <w:szCs w:val="21"/>
              </w:rPr>
              <w:t xml:space="preserve"> A= </w:t>
            </w:r>
          </w:p>
        </w:tc>
        <w:tc>
          <w:tcPr>
            <w:tcW w:w="3556" w:type="dxa"/>
            <w:tcBorders>
              <w:top w:val="single" w:sz="4" w:space="0" w:color="auto"/>
              <w:left w:val="single" w:sz="4" w:space="0" w:color="auto"/>
              <w:bottom w:val="single" w:sz="4" w:space="0" w:color="auto"/>
              <w:right w:val="single" w:sz="4" w:space="0" w:color="auto"/>
            </w:tcBorders>
            <w:noWrap/>
            <w:hideMark/>
          </w:tcPr>
          <w:p w14:paraId="4D1F0222" w14:textId="77777777" w:rsidR="00ED7CB0" w:rsidRPr="008179FF" w:rsidRDefault="00ED7CB0" w:rsidP="00ED7CB0">
            <w:pPr>
              <w:pStyle w:val="Textoindependiente"/>
              <w:ind w:firstLine="709"/>
              <w:jc w:val="both"/>
              <w:rPr>
                <w:rFonts w:ascii="Arial" w:hAnsi="Arial" w:cs="Arial"/>
                <w:sz w:val="21"/>
                <w:szCs w:val="21"/>
              </w:rPr>
            </w:pPr>
            <w:r w:rsidRPr="008179FF">
              <w:rPr>
                <w:rFonts w:ascii="Arial" w:hAnsi="Arial" w:cs="Arial"/>
                <w:sz w:val="21"/>
                <w:szCs w:val="21"/>
              </w:rPr>
              <w:t>[Determinar por la Entidad]</w:t>
            </w:r>
          </w:p>
        </w:tc>
      </w:tr>
      <w:tr w:rsidR="00ED7CB0" w:rsidRPr="008179FF" w14:paraId="1EC3724F" w14:textId="77777777" w:rsidTr="00A00C55">
        <w:trPr>
          <w:trHeight w:val="349"/>
          <w:jc w:val="center"/>
        </w:trPr>
        <w:tc>
          <w:tcPr>
            <w:tcW w:w="2794" w:type="dxa"/>
            <w:tcBorders>
              <w:top w:val="single" w:sz="4" w:space="0" w:color="auto"/>
              <w:left w:val="single" w:sz="4" w:space="0" w:color="auto"/>
              <w:bottom w:val="single" w:sz="4" w:space="0" w:color="auto"/>
              <w:right w:val="single" w:sz="4" w:space="0" w:color="auto"/>
            </w:tcBorders>
            <w:hideMark/>
          </w:tcPr>
          <w:p w14:paraId="0DE3FC9C" w14:textId="77777777" w:rsidR="00ED7CB0" w:rsidRPr="008179FF" w:rsidRDefault="00ED7CB0" w:rsidP="00ED7CB0">
            <w:pPr>
              <w:pStyle w:val="Textoindependiente"/>
              <w:ind w:firstLine="709"/>
              <w:jc w:val="both"/>
              <w:rPr>
                <w:rFonts w:ascii="Arial" w:hAnsi="Arial" w:cs="Arial"/>
                <w:b/>
                <w:bCs/>
                <w:sz w:val="21"/>
                <w:szCs w:val="21"/>
              </w:rPr>
            </w:pPr>
            <w:r w:rsidRPr="008179FF">
              <w:rPr>
                <w:rFonts w:ascii="Arial" w:hAnsi="Arial" w:cs="Arial"/>
                <w:b/>
                <w:bCs/>
                <w:sz w:val="21"/>
                <w:szCs w:val="21"/>
              </w:rPr>
              <w:t>IMPREVISTO</w:t>
            </w:r>
          </w:p>
        </w:tc>
        <w:tc>
          <w:tcPr>
            <w:tcW w:w="1897" w:type="dxa"/>
            <w:tcBorders>
              <w:top w:val="single" w:sz="4" w:space="0" w:color="auto"/>
              <w:left w:val="single" w:sz="4" w:space="0" w:color="auto"/>
              <w:bottom w:val="single" w:sz="4" w:space="0" w:color="auto"/>
              <w:right w:val="single" w:sz="4" w:space="0" w:color="auto"/>
            </w:tcBorders>
            <w:noWrap/>
            <w:hideMark/>
          </w:tcPr>
          <w:p w14:paraId="7E5EA1CB" w14:textId="77777777" w:rsidR="00ED7CB0" w:rsidRPr="008179FF" w:rsidRDefault="00ED7CB0" w:rsidP="00ED7CB0">
            <w:pPr>
              <w:pStyle w:val="Textoindependiente"/>
              <w:ind w:firstLine="709"/>
              <w:jc w:val="both"/>
              <w:rPr>
                <w:rFonts w:ascii="Arial" w:hAnsi="Arial" w:cs="Arial"/>
                <w:b/>
                <w:bCs/>
                <w:sz w:val="21"/>
                <w:szCs w:val="21"/>
              </w:rPr>
            </w:pPr>
            <w:r w:rsidRPr="008179FF">
              <w:rPr>
                <w:rFonts w:ascii="Arial" w:hAnsi="Arial" w:cs="Arial"/>
                <w:b/>
                <w:bCs/>
                <w:sz w:val="21"/>
                <w:szCs w:val="21"/>
              </w:rPr>
              <w:t xml:space="preserve"> I= </w:t>
            </w:r>
          </w:p>
        </w:tc>
        <w:tc>
          <w:tcPr>
            <w:tcW w:w="3556" w:type="dxa"/>
            <w:tcBorders>
              <w:top w:val="single" w:sz="4" w:space="0" w:color="auto"/>
              <w:left w:val="single" w:sz="4" w:space="0" w:color="auto"/>
              <w:bottom w:val="single" w:sz="4" w:space="0" w:color="auto"/>
              <w:right w:val="single" w:sz="4" w:space="0" w:color="auto"/>
            </w:tcBorders>
            <w:noWrap/>
            <w:hideMark/>
          </w:tcPr>
          <w:p w14:paraId="0F71E0A2" w14:textId="77777777" w:rsidR="00ED7CB0" w:rsidRPr="008179FF" w:rsidRDefault="00ED7CB0" w:rsidP="00ED7CB0">
            <w:pPr>
              <w:pStyle w:val="Textoindependiente"/>
              <w:ind w:firstLine="709"/>
              <w:jc w:val="both"/>
              <w:rPr>
                <w:rFonts w:ascii="Arial" w:hAnsi="Arial" w:cs="Arial"/>
                <w:sz w:val="21"/>
                <w:szCs w:val="21"/>
              </w:rPr>
            </w:pPr>
            <w:r w:rsidRPr="008179FF">
              <w:rPr>
                <w:rFonts w:ascii="Arial" w:hAnsi="Arial" w:cs="Arial"/>
                <w:sz w:val="21"/>
                <w:szCs w:val="21"/>
              </w:rPr>
              <w:t>[Determinar por la Entidad]</w:t>
            </w:r>
          </w:p>
        </w:tc>
      </w:tr>
      <w:tr w:rsidR="00ED7CB0" w:rsidRPr="008179FF" w14:paraId="74B60F5A" w14:textId="77777777" w:rsidTr="00A00C55">
        <w:trPr>
          <w:trHeight w:val="132"/>
          <w:jc w:val="center"/>
        </w:trPr>
        <w:tc>
          <w:tcPr>
            <w:tcW w:w="2794" w:type="dxa"/>
            <w:tcBorders>
              <w:top w:val="single" w:sz="4" w:space="0" w:color="auto"/>
              <w:left w:val="single" w:sz="4" w:space="0" w:color="auto"/>
              <w:bottom w:val="single" w:sz="4" w:space="0" w:color="auto"/>
              <w:right w:val="single" w:sz="4" w:space="0" w:color="auto"/>
            </w:tcBorders>
            <w:hideMark/>
          </w:tcPr>
          <w:p w14:paraId="4B04F0CE" w14:textId="77777777" w:rsidR="00ED7CB0" w:rsidRPr="008179FF" w:rsidRDefault="00ED7CB0" w:rsidP="00ED7CB0">
            <w:pPr>
              <w:pStyle w:val="Textoindependiente"/>
              <w:ind w:firstLine="709"/>
              <w:jc w:val="both"/>
              <w:rPr>
                <w:rFonts w:ascii="Arial" w:hAnsi="Arial" w:cs="Arial"/>
                <w:b/>
                <w:bCs/>
                <w:sz w:val="21"/>
                <w:szCs w:val="21"/>
              </w:rPr>
            </w:pPr>
            <w:r w:rsidRPr="008179FF">
              <w:rPr>
                <w:rFonts w:ascii="Arial" w:hAnsi="Arial" w:cs="Arial"/>
                <w:b/>
                <w:bCs/>
                <w:sz w:val="21"/>
                <w:szCs w:val="21"/>
              </w:rPr>
              <w:t>UTILIDAD</w:t>
            </w:r>
          </w:p>
        </w:tc>
        <w:tc>
          <w:tcPr>
            <w:tcW w:w="1897" w:type="dxa"/>
            <w:tcBorders>
              <w:top w:val="single" w:sz="4" w:space="0" w:color="auto"/>
              <w:left w:val="single" w:sz="4" w:space="0" w:color="auto"/>
              <w:bottom w:val="single" w:sz="4" w:space="0" w:color="auto"/>
              <w:right w:val="single" w:sz="4" w:space="0" w:color="auto"/>
            </w:tcBorders>
            <w:noWrap/>
            <w:hideMark/>
          </w:tcPr>
          <w:p w14:paraId="1796D9D8" w14:textId="77777777" w:rsidR="00ED7CB0" w:rsidRPr="008179FF" w:rsidRDefault="00ED7CB0" w:rsidP="00ED7CB0">
            <w:pPr>
              <w:pStyle w:val="Textoindependiente"/>
              <w:ind w:firstLine="709"/>
              <w:jc w:val="both"/>
              <w:rPr>
                <w:rFonts w:ascii="Arial" w:hAnsi="Arial" w:cs="Arial"/>
                <w:b/>
                <w:bCs/>
                <w:sz w:val="21"/>
                <w:szCs w:val="21"/>
              </w:rPr>
            </w:pPr>
            <w:r w:rsidRPr="008179FF">
              <w:rPr>
                <w:rFonts w:ascii="Arial" w:hAnsi="Arial" w:cs="Arial"/>
                <w:b/>
                <w:bCs/>
                <w:sz w:val="21"/>
                <w:szCs w:val="21"/>
              </w:rPr>
              <w:t xml:space="preserve"> U= </w:t>
            </w:r>
          </w:p>
        </w:tc>
        <w:tc>
          <w:tcPr>
            <w:tcW w:w="3556" w:type="dxa"/>
            <w:tcBorders>
              <w:top w:val="single" w:sz="4" w:space="0" w:color="auto"/>
              <w:left w:val="single" w:sz="4" w:space="0" w:color="auto"/>
              <w:bottom w:val="single" w:sz="4" w:space="0" w:color="auto"/>
              <w:right w:val="single" w:sz="4" w:space="0" w:color="auto"/>
            </w:tcBorders>
            <w:noWrap/>
            <w:hideMark/>
          </w:tcPr>
          <w:p w14:paraId="112FE021" w14:textId="77777777" w:rsidR="00ED7CB0" w:rsidRPr="008179FF" w:rsidRDefault="00ED7CB0" w:rsidP="00ED7CB0">
            <w:pPr>
              <w:pStyle w:val="Textoindependiente"/>
              <w:ind w:firstLine="709"/>
              <w:jc w:val="both"/>
              <w:rPr>
                <w:rFonts w:ascii="Arial" w:hAnsi="Arial" w:cs="Arial"/>
                <w:sz w:val="21"/>
                <w:szCs w:val="21"/>
              </w:rPr>
            </w:pPr>
            <w:r w:rsidRPr="008179FF">
              <w:rPr>
                <w:rFonts w:ascii="Arial" w:hAnsi="Arial" w:cs="Arial"/>
                <w:sz w:val="21"/>
                <w:szCs w:val="21"/>
              </w:rPr>
              <w:t>[Determinar por la Entidad]</w:t>
            </w:r>
          </w:p>
        </w:tc>
      </w:tr>
      <w:tr w:rsidR="00A00C55" w:rsidRPr="008179FF" w14:paraId="3C3AB3A5" w14:textId="77777777" w:rsidTr="00A00C55">
        <w:trPr>
          <w:trHeight w:val="132"/>
          <w:jc w:val="center"/>
        </w:trPr>
        <w:tc>
          <w:tcPr>
            <w:tcW w:w="2794" w:type="dxa"/>
            <w:tcBorders>
              <w:top w:val="single" w:sz="4" w:space="0" w:color="auto"/>
              <w:left w:val="single" w:sz="4" w:space="0" w:color="auto"/>
              <w:bottom w:val="single" w:sz="4" w:space="0" w:color="auto"/>
              <w:right w:val="single" w:sz="4" w:space="0" w:color="auto"/>
            </w:tcBorders>
          </w:tcPr>
          <w:p w14:paraId="1ED01C02" w14:textId="61967C20" w:rsidR="00A00C55" w:rsidRPr="008179FF" w:rsidRDefault="0063430C" w:rsidP="00ED7CB0">
            <w:pPr>
              <w:pStyle w:val="Textoindependiente"/>
              <w:ind w:firstLine="709"/>
              <w:jc w:val="both"/>
              <w:rPr>
                <w:rFonts w:ascii="Arial" w:hAnsi="Arial" w:cs="Arial"/>
                <w:b/>
                <w:bCs/>
                <w:sz w:val="21"/>
                <w:szCs w:val="21"/>
              </w:rPr>
            </w:pPr>
            <w:r w:rsidRPr="008179FF">
              <w:rPr>
                <w:rFonts w:ascii="Arial" w:hAnsi="Arial" w:cs="Arial"/>
                <w:b/>
                <w:bCs/>
                <w:sz w:val="21"/>
                <w:szCs w:val="21"/>
              </w:rPr>
              <w:t>TOTAL A.</w:t>
            </w:r>
            <w:proofErr w:type="gramStart"/>
            <w:r w:rsidRPr="008179FF">
              <w:rPr>
                <w:rFonts w:ascii="Arial" w:hAnsi="Arial" w:cs="Arial"/>
                <w:b/>
                <w:bCs/>
                <w:sz w:val="21"/>
                <w:szCs w:val="21"/>
              </w:rPr>
              <w:t>I.U</w:t>
            </w:r>
            <w:proofErr w:type="gramEnd"/>
          </w:p>
        </w:tc>
        <w:tc>
          <w:tcPr>
            <w:tcW w:w="1897" w:type="dxa"/>
            <w:tcBorders>
              <w:top w:val="single" w:sz="4" w:space="0" w:color="auto"/>
              <w:left w:val="single" w:sz="4" w:space="0" w:color="auto"/>
              <w:bottom w:val="single" w:sz="4" w:space="0" w:color="auto"/>
              <w:right w:val="single" w:sz="4" w:space="0" w:color="auto"/>
            </w:tcBorders>
            <w:noWrap/>
          </w:tcPr>
          <w:p w14:paraId="30CF3319" w14:textId="472BF97A" w:rsidR="00A00C55" w:rsidRPr="008179FF" w:rsidRDefault="0063430C" w:rsidP="00ED7CB0">
            <w:pPr>
              <w:pStyle w:val="Textoindependiente"/>
              <w:ind w:firstLine="709"/>
              <w:jc w:val="both"/>
              <w:rPr>
                <w:rFonts w:ascii="Arial" w:hAnsi="Arial" w:cs="Arial"/>
                <w:b/>
                <w:bCs/>
                <w:sz w:val="21"/>
                <w:szCs w:val="21"/>
              </w:rPr>
            </w:pPr>
            <w:r w:rsidRPr="008179FF">
              <w:rPr>
                <w:rFonts w:ascii="Arial" w:hAnsi="Arial" w:cs="Arial"/>
                <w:b/>
                <w:bCs/>
                <w:sz w:val="21"/>
                <w:szCs w:val="21"/>
              </w:rPr>
              <w:t>A.I.U.=</w:t>
            </w:r>
          </w:p>
        </w:tc>
        <w:tc>
          <w:tcPr>
            <w:tcW w:w="3556" w:type="dxa"/>
            <w:tcBorders>
              <w:top w:val="single" w:sz="4" w:space="0" w:color="auto"/>
              <w:left w:val="single" w:sz="4" w:space="0" w:color="auto"/>
              <w:bottom w:val="single" w:sz="4" w:space="0" w:color="auto"/>
              <w:right w:val="single" w:sz="4" w:space="0" w:color="auto"/>
            </w:tcBorders>
            <w:noWrap/>
          </w:tcPr>
          <w:p w14:paraId="17E80CAB" w14:textId="77DB1706" w:rsidR="00A00C55" w:rsidRPr="008179FF" w:rsidRDefault="0063430C" w:rsidP="00ED7CB0">
            <w:pPr>
              <w:pStyle w:val="Textoindependiente"/>
              <w:ind w:firstLine="709"/>
              <w:jc w:val="both"/>
              <w:rPr>
                <w:rFonts w:ascii="Arial" w:hAnsi="Arial" w:cs="Arial"/>
                <w:sz w:val="21"/>
                <w:szCs w:val="21"/>
              </w:rPr>
            </w:pPr>
            <w:r w:rsidRPr="008179FF">
              <w:rPr>
                <w:rFonts w:ascii="Arial" w:hAnsi="Arial" w:cs="Arial"/>
                <w:sz w:val="21"/>
                <w:szCs w:val="21"/>
              </w:rPr>
              <w:t>[Determinar por la Entidad]</w:t>
            </w:r>
          </w:p>
        </w:tc>
      </w:tr>
    </w:tbl>
    <w:p w14:paraId="6B023001" w14:textId="77777777" w:rsidR="00ED7CB0" w:rsidRPr="008179FF" w:rsidRDefault="00ED7CB0" w:rsidP="000D5A46">
      <w:pPr>
        <w:pStyle w:val="Textoindependiente"/>
        <w:ind w:firstLine="709"/>
        <w:jc w:val="both"/>
        <w:rPr>
          <w:rFonts w:ascii="Arial" w:hAnsi="Arial" w:cs="Arial"/>
        </w:rPr>
      </w:pPr>
    </w:p>
    <w:p w14:paraId="7227BBA7" w14:textId="42A48DFA" w:rsidR="00873B65" w:rsidRPr="008179FF" w:rsidRDefault="0063430C" w:rsidP="00497F44">
      <w:pPr>
        <w:widowControl w:val="0"/>
        <w:autoSpaceDE w:val="0"/>
        <w:autoSpaceDN w:val="0"/>
        <w:spacing w:line="276" w:lineRule="auto"/>
        <w:ind w:firstLine="709"/>
        <w:jc w:val="both"/>
        <w:rPr>
          <w:rFonts w:ascii="Arial" w:eastAsia="Arial" w:hAnsi="Arial" w:cs="Arial"/>
          <w:sz w:val="22"/>
          <w:szCs w:val="22"/>
          <w:lang w:val="es-ES" w:eastAsia="es-ES" w:bidi="es-ES"/>
        </w:rPr>
      </w:pPr>
      <w:r w:rsidRPr="008179FF">
        <w:rPr>
          <w:rFonts w:ascii="Arial" w:eastAsia="Arial" w:hAnsi="Arial" w:cs="Arial"/>
          <w:sz w:val="22"/>
          <w:szCs w:val="22"/>
          <w:lang w:val="es-ES" w:eastAsia="es-ES" w:bidi="es-ES"/>
        </w:rPr>
        <w:t xml:space="preserve">Conforme se evidencia de las instrucciones del Formulario 1, la entidad deberá determinar el porcentaje de cada componente del A.I.U y el total de este. </w:t>
      </w:r>
      <w:r w:rsidR="004E5A71" w:rsidRPr="008179FF">
        <w:rPr>
          <w:rFonts w:ascii="Arial" w:eastAsia="Arial" w:hAnsi="Arial" w:cs="Arial"/>
          <w:sz w:val="22"/>
          <w:szCs w:val="22"/>
          <w:lang w:val="es-ES" w:eastAsia="es-ES" w:bidi="es-ES"/>
        </w:rPr>
        <w:t>Sin embargo, en las instrucciones no se establece la posibilidad para la entidad de fijar rangos de límites</w:t>
      </w:r>
      <w:r w:rsidR="00AF428F" w:rsidRPr="008179FF">
        <w:rPr>
          <w:rFonts w:ascii="Arial" w:eastAsia="Arial" w:hAnsi="Arial" w:cs="Arial"/>
          <w:sz w:val="22"/>
          <w:szCs w:val="22"/>
          <w:lang w:val="es-ES" w:eastAsia="es-ES" w:bidi="es-ES"/>
        </w:rPr>
        <w:t xml:space="preserve"> entre mínimo y máximo</w:t>
      </w:r>
      <w:r w:rsidR="004E5A71" w:rsidRPr="008179FF">
        <w:rPr>
          <w:rFonts w:ascii="Arial" w:eastAsia="Arial" w:hAnsi="Arial" w:cs="Arial"/>
          <w:sz w:val="22"/>
          <w:szCs w:val="22"/>
          <w:lang w:val="es-ES" w:eastAsia="es-ES" w:bidi="es-ES"/>
        </w:rPr>
        <w:t xml:space="preserve"> en estos</w:t>
      </w:r>
      <w:r w:rsidR="00497F44" w:rsidRPr="008179FF">
        <w:rPr>
          <w:rFonts w:ascii="Arial" w:eastAsia="Arial" w:hAnsi="Arial" w:cs="Arial"/>
          <w:sz w:val="22"/>
          <w:szCs w:val="22"/>
          <w:lang w:val="es-ES" w:eastAsia="es-ES" w:bidi="es-ES"/>
        </w:rPr>
        <w:t xml:space="preserve"> </w:t>
      </w:r>
      <w:r w:rsidR="004E5A71" w:rsidRPr="008179FF">
        <w:rPr>
          <w:rFonts w:ascii="Arial" w:eastAsia="Arial" w:hAnsi="Arial" w:cs="Arial"/>
          <w:sz w:val="22"/>
          <w:szCs w:val="22"/>
          <w:lang w:val="es-ES" w:eastAsia="es-ES" w:bidi="es-ES"/>
        </w:rPr>
        <w:t>componente</w:t>
      </w:r>
      <w:r w:rsidR="00497F44" w:rsidRPr="008179FF">
        <w:rPr>
          <w:rFonts w:ascii="Arial" w:eastAsia="Arial" w:hAnsi="Arial" w:cs="Arial"/>
          <w:sz w:val="22"/>
          <w:szCs w:val="22"/>
          <w:lang w:val="es-ES" w:eastAsia="es-ES" w:bidi="es-ES"/>
        </w:rPr>
        <w:t>s</w:t>
      </w:r>
      <w:r w:rsidR="004E5A71" w:rsidRPr="008179FF">
        <w:rPr>
          <w:rFonts w:ascii="Arial" w:eastAsia="Arial" w:hAnsi="Arial" w:cs="Arial"/>
          <w:sz w:val="22"/>
          <w:szCs w:val="22"/>
          <w:lang w:val="es-ES" w:eastAsia="es-ES" w:bidi="es-ES"/>
        </w:rPr>
        <w:t xml:space="preserve">, de manera que la entidad solo podrá establecer el porcentaje máximo </w:t>
      </w:r>
      <w:r w:rsidR="00497F44" w:rsidRPr="008179FF">
        <w:rPr>
          <w:rFonts w:ascii="Arial" w:eastAsia="Arial" w:hAnsi="Arial" w:cs="Arial"/>
          <w:sz w:val="22"/>
          <w:szCs w:val="22"/>
          <w:lang w:val="es-ES" w:eastAsia="es-ES" w:bidi="es-ES"/>
        </w:rPr>
        <w:t>y no un</w:t>
      </w:r>
      <w:r w:rsidR="00AF428F" w:rsidRPr="008179FF">
        <w:rPr>
          <w:rFonts w:ascii="Arial" w:eastAsia="Arial" w:hAnsi="Arial" w:cs="Arial"/>
          <w:sz w:val="22"/>
          <w:szCs w:val="22"/>
          <w:lang w:val="es-ES" w:eastAsia="es-ES" w:bidi="es-ES"/>
        </w:rPr>
        <w:t xml:space="preserve"> porcentaje mínimo</w:t>
      </w:r>
      <w:r w:rsidR="00497F44" w:rsidRPr="008179FF">
        <w:rPr>
          <w:rFonts w:ascii="Arial" w:eastAsia="Arial" w:hAnsi="Arial" w:cs="Arial"/>
          <w:sz w:val="22"/>
          <w:szCs w:val="22"/>
          <w:lang w:val="es-ES" w:eastAsia="es-ES" w:bidi="es-ES"/>
        </w:rPr>
        <w:t xml:space="preserve">. </w:t>
      </w:r>
      <w:r w:rsidR="00873B65" w:rsidRPr="008179FF">
        <w:rPr>
          <w:rFonts w:ascii="Arial" w:eastAsia="Arial" w:hAnsi="Arial" w:cs="Arial"/>
          <w:sz w:val="22"/>
          <w:szCs w:val="22"/>
          <w:lang w:val="es-ES" w:eastAsia="es-ES" w:bidi="es-ES"/>
        </w:rPr>
        <w:t xml:space="preserve">Lo anterior debe interpretarse en conjunto con lo dispuesto en el numeral 4.1.1. del documento base, </w:t>
      </w:r>
      <w:r w:rsidR="00AF428F" w:rsidRPr="008179FF">
        <w:rPr>
          <w:rFonts w:ascii="Arial" w:eastAsia="Arial" w:hAnsi="Arial" w:cs="Arial"/>
          <w:sz w:val="22"/>
          <w:szCs w:val="22"/>
          <w:lang w:val="es-ES" w:eastAsia="es-ES" w:bidi="es-ES"/>
        </w:rPr>
        <w:t xml:space="preserve">según el cual </w:t>
      </w:r>
      <w:r w:rsidR="005C6628" w:rsidRPr="008179FF">
        <w:rPr>
          <w:rFonts w:ascii="Arial" w:eastAsia="Arial" w:hAnsi="Arial" w:cs="Arial"/>
          <w:sz w:val="22"/>
          <w:szCs w:val="22"/>
          <w:lang w:val="es-MX" w:eastAsia="es-ES" w:bidi="es-ES"/>
        </w:rPr>
        <w:t xml:space="preserve">el porcentaje del A.I.U. que presenten los </w:t>
      </w:r>
      <w:r w:rsidR="00AF428F" w:rsidRPr="008179FF">
        <w:rPr>
          <w:rFonts w:ascii="Arial" w:eastAsia="Arial" w:hAnsi="Arial" w:cs="Arial"/>
          <w:sz w:val="22"/>
          <w:szCs w:val="22"/>
          <w:lang w:val="es-MX" w:eastAsia="es-ES" w:bidi="es-ES"/>
        </w:rPr>
        <w:t>p</w:t>
      </w:r>
      <w:r w:rsidR="005C6628" w:rsidRPr="008179FF">
        <w:rPr>
          <w:rFonts w:ascii="Arial" w:eastAsia="Arial" w:hAnsi="Arial" w:cs="Arial"/>
          <w:sz w:val="22"/>
          <w:szCs w:val="22"/>
          <w:lang w:val="es-MX" w:eastAsia="es-ES" w:bidi="es-ES"/>
        </w:rPr>
        <w:t xml:space="preserve">roponentes no debe ser superior al porcentaje total del A.I.U establecido en el </w:t>
      </w:r>
      <w:r w:rsidR="005C6628" w:rsidRPr="008179FF">
        <w:rPr>
          <w:rFonts w:ascii="Arial" w:eastAsia="Arial" w:hAnsi="Arial" w:cs="Arial"/>
          <w:sz w:val="22"/>
          <w:szCs w:val="22"/>
          <w:lang w:val="es-MX" w:eastAsia="es-ES" w:bidi="es-ES"/>
        </w:rPr>
        <w:fldChar w:fldCharType="begin"/>
      </w:r>
      <w:r w:rsidR="005C6628" w:rsidRPr="008179FF">
        <w:rPr>
          <w:rFonts w:ascii="Arial" w:eastAsia="Arial" w:hAnsi="Arial" w:cs="Arial"/>
          <w:sz w:val="22"/>
          <w:szCs w:val="22"/>
          <w:lang w:val="es-MX" w:eastAsia="es-ES" w:bidi="es-ES"/>
        </w:rPr>
        <w:instrText xml:space="preserve"> REF _Ref57725061 \h  \* MERGEFORMAT </w:instrText>
      </w:r>
      <w:r w:rsidR="005C6628" w:rsidRPr="008179FF">
        <w:rPr>
          <w:rFonts w:ascii="Arial" w:eastAsia="Arial" w:hAnsi="Arial" w:cs="Arial"/>
          <w:sz w:val="22"/>
          <w:szCs w:val="22"/>
          <w:lang w:val="es-MX" w:eastAsia="es-ES" w:bidi="es-ES"/>
        </w:rPr>
      </w:r>
      <w:r w:rsidR="005C6628" w:rsidRPr="008179FF">
        <w:rPr>
          <w:rFonts w:ascii="Arial" w:eastAsia="Arial" w:hAnsi="Arial" w:cs="Arial"/>
          <w:sz w:val="22"/>
          <w:szCs w:val="22"/>
          <w:lang w:val="es-MX" w:eastAsia="es-ES" w:bidi="es-ES"/>
        </w:rPr>
        <w:fldChar w:fldCharType="separate"/>
      </w:r>
      <w:r w:rsidR="005C6628" w:rsidRPr="008179FF">
        <w:rPr>
          <w:rFonts w:ascii="Arial" w:eastAsia="Arial" w:hAnsi="Arial" w:cs="Arial"/>
          <w:sz w:val="22"/>
          <w:szCs w:val="22"/>
          <w:lang w:val="es-MX" w:eastAsia="es-ES" w:bidi="es-ES"/>
        </w:rPr>
        <w:t>Formulario 1– Formulario de Presupuesto Oficial</w:t>
      </w:r>
      <w:r w:rsidR="005C6628" w:rsidRPr="008179FF">
        <w:rPr>
          <w:rFonts w:ascii="Arial" w:eastAsia="Arial" w:hAnsi="Arial" w:cs="Arial"/>
          <w:sz w:val="22"/>
          <w:szCs w:val="22"/>
          <w:lang w:val="es-ES" w:eastAsia="es-ES" w:bidi="es-ES"/>
        </w:rPr>
        <w:fldChar w:fldCharType="end"/>
      </w:r>
      <w:r w:rsidR="005C6628" w:rsidRPr="008179FF">
        <w:rPr>
          <w:rFonts w:ascii="Arial" w:eastAsia="Arial" w:hAnsi="Arial" w:cs="Arial"/>
          <w:sz w:val="22"/>
          <w:szCs w:val="22"/>
          <w:lang w:val="es-MX" w:eastAsia="es-ES" w:bidi="es-ES"/>
        </w:rPr>
        <w:t>.</w:t>
      </w:r>
      <w:r w:rsidR="00AF428F" w:rsidRPr="008179FF">
        <w:rPr>
          <w:rFonts w:ascii="Arial" w:eastAsia="Arial" w:hAnsi="Arial" w:cs="Arial"/>
          <w:sz w:val="22"/>
          <w:szCs w:val="22"/>
          <w:lang w:val="es-MX" w:eastAsia="es-ES" w:bidi="es-ES"/>
        </w:rPr>
        <w:t xml:space="preserve"> </w:t>
      </w:r>
      <w:r w:rsidR="000455BE" w:rsidRPr="008179FF">
        <w:rPr>
          <w:rFonts w:ascii="Arial" w:eastAsia="Arial" w:hAnsi="Arial" w:cs="Arial"/>
          <w:sz w:val="22"/>
          <w:szCs w:val="22"/>
          <w:lang w:val="es-MX" w:eastAsia="es-ES" w:bidi="es-ES"/>
        </w:rPr>
        <w:t xml:space="preserve">De ahí se sigue que el porcentaje determinado por la entidad debe ser un porcentaje máximo, el </w:t>
      </w:r>
      <w:r w:rsidR="000455BE" w:rsidRPr="008179FF">
        <w:rPr>
          <w:rFonts w:ascii="Arial" w:eastAsia="Arial" w:hAnsi="Arial" w:cs="Arial"/>
          <w:sz w:val="22"/>
          <w:szCs w:val="22"/>
          <w:lang w:val="es-MX" w:eastAsia="es-ES" w:bidi="es-ES"/>
        </w:rPr>
        <w:lastRenderedPageBreak/>
        <w:t xml:space="preserve">cual se tomará de referencia por el proponente para estructurar su oferta. </w:t>
      </w:r>
    </w:p>
    <w:p w14:paraId="7890E762" w14:textId="70892EED" w:rsidR="00AD772B" w:rsidRPr="008179FF" w:rsidRDefault="0063430C" w:rsidP="00485EF1">
      <w:pPr>
        <w:widowControl w:val="0"/>
        <w:autoSpaceDE w:val="0"/>
        <w:autoSpaceDN w:val="0"/>
        <w:spacing w:before="120" w:line="276" w:lineRule="auto"/>
        <w:ind w:firstLine="709"/>
        <w:jc w:val="both"/>
        <w:rPr>
          <w:rFonts w:ascii="Arial" w:eastAsia="Arial" w:hAnsi="Arial" w:cs="Arial"/>
          <w:sz w:val="22"/>
          <w:szCs w:val="22"/>
          <w:lang w:val="es-ES" w:eastAsia="es-ES" w:bidi="es-ES"/>
        </w:rPr>
      </w:pPr>
      <w:r w:rsidRPr="008179FF">
        <w:rPr>
          <w:rFonts w:ascii="Arial" w:eastAsia="Arial" w:hAnsi="Arial" w:cs="Arial"/>
          <w:sz w:val="22"/>
          <w:szCs w:val="22"/>
          <w:lang w:val="es-ES" w:eastAsia="es-ES" w:bidi="es-ES"/>
        </w:rPr>
        <w:t xml:space="preserve">En este sentido, reiterando </w:t>
      </w:r>
      <w:r w:rsidR="00C54F3E" w:rsidRPr="008179FF">
        <w:rPr>
          <w:rFonts w:ascii="Arial" w:eastAsia="Arial" w:hAnsi="Arial" w:cs="Arial"/>
          <w:sz w:val="22"/>
          <w:szCs w:val="22"/>
          <w:lang w:val="es-ES" w:eastAsia="es-ES" w:bidi="es-ES"/>
        </w:rPr>
        <w:t>la regla</w:t>
      </w:r>
      <w:r w:rsidRPr="008179FF">
        <w:rPr>
          <w:rFonts w:ascii="Arial" w:eastAsia="Arial" w:hAnsi="Arial" w:cs="Arial"/>
          <w:sz w:val="22"/>
          <w:szCs w:val="22"/>
          <w:lang w:val="es-ES" w:eastAsia="es-ES" w:bidi="es-ES"/>
        </w:rPr>
        <w:t xml:space="preserve"> de inalterabilidad, las entidades solo pueden modificar aquello que el documento tipo permita.</w:t>
      </w:r>
      <w:r w:rsidR="00026AA4" w:rsidRPr="008179FF">
        <w:rPr>
          <w:rFonts w:ascii="Arial" w:eastAsia="Arial" w:hAnsi="Arial" w:cs="Arial"/>
          <w:sz w:val="22"/>
          <w:szCs w:val="22"/>
          <w:lang w:val="es-ES" w:eastAsia="es-ES" w:bidi="es-ES"/>
        </w:rPr>
        <w:t xml:space="preserve"> </w:t>
      </w:r>
      <w:r w:rsidR="00AD772B" w:rsidRPr="008179FF">
        <w:rPr>
          <w:rFonts w:ascii="Arial" w:eastAsia="Arial" w:hAnsi="Arial" w:cs="Arial"/>
          <w:sz w:val="22"/>
          <w:szCs w:val="22"/>
          <w:lang w:val="es-ES" w:eastAsia="es-ES" w:bidi="es-ES"/>
        </w:rPr>
        <w:t xml:space="preserve">Por ello, debido a que la primera hoja del Formulario 1 – Formulario del Presupuesto Oficial no permite su modificación en los procesos </w:t>
      </w:r>
      <w:r w:rsidR="00AD772B" w:rsidRPr="008179FF">
        <w:rPr>
          <w:rFonts w:ascii="Arial" w:eastAsia="Arial" w:hAnsi="Arial" w:cs="Arial"/>
          <w:sz w:val="22"/>
          <w:szCs w:val="22"/>
          <w:lang w:val="es-ES" w:eastAsia="es-ES" w:bidi="es-ES"/>
        </w:rPr>
        <w:t xml:space="preserve">estructurados por precios unitarios, no será posible </w:t>
      </w:r>
      <w:r w:rsidR="00026AA4" w:rsidRPr="008179FF">
        <w:rPr>
          <w:rFonts w:ascii="Arial" w:eastAsia="Arial" w:hAnsi="Arial" w:cs="Arial"/>
          <w:sz w:val="22"/>
          <w:szCs w:val="22"/>
          <w:lang w:val="es-ES" w:eastAsia="es-ES" w:bidi="es-ES"/>
        </w:rPr>
        <w:t xml:space="preserve">establecer un porcentaje mínimo en </w:t>
      </w:r>
      <w:r w:rsidR="00AD772B" w:rsidRPr="008179FF">
        <w:rPr>
          <w:rFonts w:ascii="Arial" w:eastAsia="Arial" w:hAnsi="Arial" w:cs="Arial"/>
          <w:sz w:val="22"/>
          <w:szCs w:val="22"/>
          <w:lang w:val="es-ES" w:eastAsia="es-ES" w:bidi="es-ES"/>
        </w:rPr>
        <w:t>los componentes del A.I.U.</w:t>
      </w:r>
    </w:p>
    <w:p w14:paraId="59DA36A1" w14:textId="77777777" w:rsidR="009E625C" w:rsidRPr="008179FF" w:rsidRDefault="009E625C" w:rsidP="009E625C">
      <w:pPr>
        <w:widowControl w:val="0"/>
        <w:autoSpaceDE w:val="0"/>
        <w:autoSpaceDN w:val="0"/>
        <w:spacing w:line="276" w:lineRule="auto"/>
        <w:ind w:firstLine="709"/>
        <w:jc w:val="both"/>
        <w:rPr>
          <w:rFonts w:ascii="Arial" w:eastAsia="Arial" w:hAnsi="Arial" w:cs="Arial"/>
          <w:sz w:val="22"/>
          <w:szCs w:val="22"/>
          <w:lang w:val="es-ES" w:eastAsia="es-ES" w:bidi="es-ES"/>
        </w:rPr>
      </w:pPr>
    </w:p>
    <w:p w14:paraId="40349D65" w14:textId="71985EAA" w:rsidR="00E75602" w:rsidRPr="008179FF" w:rsidRDefault="00BA79B8" w:rsidP="006461D7">
      <w:pPr>
        <w:tabs>
          <w:tab w:val="left" w:pos="0"/>
        </w:tabs>
        <w:spacing w:line="276" w:lineRule="auto"/>
        <w:jc w:val="both"/>
        <w:rPr>
          <w:rFonts w:ascii="Arial" w:eastAsia="Calibri" w:hAnsi="Arial" w:cs="Arial"/>
          <w:b/>
          <w:bCs/>
          <w:color w:val="000000"/>
          <w:sz w:val="22"/>
          <w:lang w:val="pt-BR" w:eastAsia="en-GB"/>
        </w:rPr>
      </w:pPr>
      <w:r w:rsidRPr="008179FF">
        <w:rPr>
          <w:rFonts w:ascii="Arial" w:eastAsia="Calibri" w:hAnsi="Arial" w:cs="Arial"/>
          <w:b/>
          <w:bCs/>
          <w:color w:val="000000" w:themeColor="text1"/>
          <w:sz w:val="22"/>
          <w:szCs w:val="22"/>
          <w:lang w:val="es-ES_tradnl"/>
        </w:rPr>
        <w:t>2.</w:t>
      </w:r>
      <w:bookmarkStart w:id="33" w:name="_Hlk97102875"/>
      <w:r w:rsidR="008347BE" w:rsidRPr="008179FF">
        <w:rPr>
          <w:rFonts w:ascii="Arial" w:eastAsia="Calibri" w:hAnsi="Arial" w:cs="Arial"/>
          <w:b/>
          <w:bCs/>
          <w:color w:val="000000" w:themeColor="text1"/>
          <w:sz w:val="22"/>
          <w:szCs w:val="22"/>
          <w:lang w:val="es-ES_tradnl"/>
        </w:rPr>
        <w:t>6.</w:t>
      </w:r>
      <w:r w:rsidR="006461D7" w:rsidRPr="008179FF">
        <w:rPr>
          <w:rFonts w:ascii="Arial" w:eastAsia="Calibri" w:hAnsi="Arial" w:cs="Arial"/>
          <w:b/>
          <w:bCs/>
          <w:color w:val="000000"/>
          <w:sz w:val="22"/>
          <w:lang w:val="pt-BR" w:eastAsia="en-GB"/>
        </w:rPr>
        <w:t xml:space="preserve"> </w:t>
      </w:r>
      <w:r w:rsidR="00E75602" w:rsidRPr="008179FF">
        <w:rPr>
          <w:rFonts w:ascii="Arial" w:hAnsi="Arial" w:cs="Arial"/>
          <w:b/>
          <w:bCs/>
          <w:color w:val="000000" w:themeColor="text1"/>
          <w:sz w:val="22"/>
          <w:lang w:val="es-ES_tradnl"/>
        </w:rPr>
        <w:t>Precios artificialmente bajo</w:t>
      </w:r>
      <w:r w:rsidR="008347BE" w:rsidRPr="008179FF">
        <w:rPr>
          <w:rFonts w:ascii="Arial" w:hAnsi="Arial" w:cs="Arial"/>
          <w:b/>
          <w:bCs/>
          <w:color w:val="000000" w:themeColor="text1"/>
          <w:sz w:val="22"/>
          <w:lang w:val="es-ES_tradnl"/>
        </w:rPr>
        <w:t>s</w:t>
      </w:r>
    </w:p>
    <w:p w14:paraId="00987C53" w14:textId="77777777" w:rsidR="00E75602" w:rsidRPr="008179FF" w:rsidRDefault="00E75602" w:rsidP="006461D7">
      <w:pPr>
        <w:tabs>
          <w:tab w:val="left" w:pos="0"/>
        </w:tabs>
        <w:spacing w:line="276" w:lineRule="auto"/>
        <w:jc w:val="both"/>
        <w:rPr>
          <w:rFonts w:ascii="Arial" w:eastAsia="Calibri" w:hAnsi="Arial" w:cs="Arial"/>
          <w:b/>
          <w:bCs/>
          <w:color w:val="000000"/>
          <w:sz w:val="22"/>
          <w:lang w:val="pt-BR" w:eastAsia="en-GB"/>
        </w:rPr>
      </w:pPr>
    </w:p>
    <w:p w14:paraId="3BD7C6E3" w14:textId="048DA882" w:rsidR="002A63B6" w:rsidRPr="008179FF" w:rsidRDefault="00E75602" w:rsidP="002A63B6">
      <w:pPr>
        <w:tabs>
          <w:tab w:val="left" w:pos="0"/>
        </w:tabs>
        <w:spacing w:line="276" w:lineRule="auto"/>
        <w:jc w:val="both"/>
        <w:rPr>
          <w:rFonts w:ascii="Arial" w:eastAsia="Calibri" w:hAnsi="Arial" w:cs="Arial"/>
          <w:b/>
          <w:bCs/>
          <w:color w:val="000000"/>
          <w:sz w:val="22"/>
          <w:lang w:val="es-ES" w:eastAsia="en-GB"/>
        </w:rPr>
      </w:pPr>
      <w:r w:rsidRPr="008179FF">
        <w:rPr>
          <w:rFonts w:ascii="Arial" w:hAnsi="Arial" w:cs="Arial"/>
          <w:b/>
          <w:bCs/>
          <w:color w:val="000000" w:themeColor="text1"/>
          <w:sz w:val="22"/>
          <w:lang w:val="es-ES_tradnl"/>
        </w:rPr>
        <w:t>2.</w:t>
      </w:r>
      <w:r w:rsidR="009E6D57" w:rsidRPr="008179FF">
        <w:rPr>
          <w:rFonts w:ascii="Arial" w:hAnsi="Arial" w:cs="Arial"/>
          <w:b/>
          <w:bCs/>
          <w:color w:val="000000" w:themeColor="text1"/>
          <w:sz w:val="22"/>
          <w:lang w:val="es-ES_tradnl"/>
        </w:rPr>
        <w:t>6.1</w:t>
      </w:r>
      <w:r w:rsidR="002A63B6" w:rsidRPr="008179FF">
        <w:rPr>
          <w:rFonts w:ascii="Arial" w:hAnsi="Arial" w:cs="Arial"/>
          <w:b/>
          <w:bCs/>
          <w:color w:val="000000" w:themeColor="text1"/>
          <w:sz w:val="22"/>
          <w:lang w:val="es-ES_tradnl"/>
        </w:rPr>
        <w:t xml:space="preserve">. Definición, </w:t>
      </w:r>
      <w:r w:rsidR="002A63B6" w:rsidRPr="008179FF">
        <w:rPr>
          <w:rFonts w:ascii="Arial" w:eastAsia="Calibri" w:hAnsi="Arial" w:cs="Arial"/>
          <w:b/>
          <w:bCs/>
          <w:color w:val="000000"/>
          <w:sz w:val="22"/>
          <w:lang w:val="es-ES" w:eastAsia="en-GB"/>
        </w:rPr>
        <w:t>directrices y procedimiento en caso de recibir ofertas con precio</w:t>
      </w:r>
      <w:r w:rsidR="00AF1344" w:rsidRPr="008179FF">
        <w:rPr>
          <w:rFonts w:ascii="Arial" w:eastAsia="Calibri" w:hAnsi="Arial" w:cs="Arial"/>
          <w:b/>
          <w:bCs/>
          <w:color w:val="000000"/>
          <w:sz w:val="22"/>
          <w:lang w:val="es-ES" w:eastAsia="en-GB"/>
        </w:rPr>
        <w:t>s</w:t>
      </w:r>
      <w:r w:rsidR="002A63B6" w:rsidRPr="008179FF">
        <w:rPr>
          <w:rFonts w:ascii="Arial" w:eastAsia="Calibri" w:hAnsi="Arial" w:cs="Arial"/>
          <w:b/>
          <w:bCs/>
          <w:color w:val="000000"/>
          <w:sz w:val="22"/>
          <w:lang w:val="es-ES" w:eastAsia="en-GB"/>
        </w:rPr>
        <w:t xml:space="preserve"> artificialmente bajo</w:t>
      </w:r>
      <w:r w:rsidR="00AF1344" w:rsidRPr="008179FF">
        <w:rPr>
          <w:rFonts w:ascii="Arial" w:eastAsia="Calibri" w:hAnsi="Arial" w:cs="Arial"/>
          <w:b/>
          <w:bCs/>
          <w:color w:val="000000"/>
          <w:sz w:val="22"/>
          <w:lang w:val="es-ES" w:eastAsia="en-GB"/>
        </w:rPr>
        <w:t>s</w:t>
      </w:r>
    </w:p>
    <w:p w14:paraId="7E19385E" w14:textId="77777777" w:rsidR="002A63B6" w:rsidRPr="008179FF" w:rsidRDefault="002A63B6" w:rsidP="002A63B6">
      <w:pPr>
        <w:tabs>
          <w:tab w:val="left" w:pos="0"/>
        </w:tabs>
        <w:spacing w:line="276" w:lineRule="auto"/>
        <w:jc w:val="both"/>
        <w:rPr>
          <w:rFonts w:ascii="Arial" w:eastAsia="Calibri" w:hAnsi="Arial" w:cs="Arial"/>
          <w:b/>
          <w:bCs/>
          <w:color w:val="000000"/>
          <w:sz w:val="22"/>
          <w:lang w:val="es-ES" w:eastAsia="en-GB"/>
        </w:rPr>
      </w:pPr>
    </w:p>
    <w:p w14:paraId="2004BEF5" w14:textId="5DAC63DD" w:rsidR="002A63B6" w:rsidRPr="008179FF" w:rsidRDefault="002A63B6" w:rsidP="002A63B6">
      <w:pPr>
        <w:tabs>
          <w:tab w:val="left" w:pos="0"/>
        </w:tabs>
        <w:spacing w:before="120" w:line="276" w:lineRule="auto"/>
        <w:jc w:val="both"/>
        <w:rPr>
          <w:rFonts w:ascii="Arial" w:hAnsi="Arial" w:cs="Arial"/>
          <w:color w:val="000000" w:themeColor="text1"/>
          <w:sz w:val="22"/>
          <w:lang w:val="es-ES"/>
        </w:rPr>
      </w:pPr>
      <w:r w:rsidRPr="008179FF">
        <w:rPr>
          <w:rFonts w:ascii="Arial" w:hAnsi="Arial" w:cs="Arial"/>
          <w:color w:val="000000" w:themeColor="text1"/>
          <w:sz w:val="22"/>
          <w:lang w:val="es-ES"/>
        </w:rPr>
        <w:t>El precio artificialmente bajo es definido como aquel que, además de ser muy reducido, no encuentre fundamento en su estructuración en el tráfico comercial. Al respecto, la «Guía para el manejo de ofertas artificialmente bajas en Procesos de Contratación», establece que una oferta es artificialmente baja cuando, «a criterio de la Entidad Estatal, el precio no parece suficiente para garantizar una correcta ejecución del contrato, de acuerdo con la información recogida durante la etapa de planeación y particularmente durante el Estudio del Sector». En similar sentido, el Consejo de Estado definió los precios artificialmente bajos en los siguientes términos:</w:t>
      </w:r>
    </w:p>
    <w:p w14:paraId="711E8515" w14:textId="77777777" w:rsidR="002A63B6" w:rsidRPr="008179FF" w:rsidRDefault="002A63B6" w:rsidP="002A63B6">
      <w:pPr>
        <w:tabs>
          <w:tab w:val="left" w:pos="0"/>
        </w:tabs>
        <w:spacing w:line="276" w:lineRule="auto"/>
        <w:ind w:left="709" w:right="709"/>
        <w:jc w:val="both"/>
        <w:rPr>
          <w:rFonts w:ascii="Arial" w:hAnsi="Arial" w:cs="Arial"/>
          <w:color w:val="000000" w:themeColor="text1"/>
          <w:sz w:val="22"/>
          <w:lang w:val="es-ES"/>
        </w:rPr>
      </w:pPr>
    </w:p>
    <w:p w14:paraId="3AE46CCB" w14:textId="77777777" w:rsidR="002A63B6" w:rsidRPr="008179FF" w:rsidRDefault="002A63B6" w:rsidP="002A63B6">
      <w:pPr>
        <w:tabs>
          <w:tab w:val="left" w:pos="0"/>
        </w:tabs>
        <w:ind w:left="709" w:right="709"/>
        <w:jc w:val="both"/>
        <w:rPr>
          <w:rFonts w:ascii="Arial" w:hAnsi="Arial" w:cs="Arial"/>
          <w:color w:val="000000" w:themeColor="text1"/>
          <w:sz w:val="21"/>
          <w:szCs w:val="21"/>
          <w:lang w:val="es-ES"/>
        </w:rPr>
      </w:pPr>
      <w:r w:rsidRPr="008179FF">
        <w:rPr>
          <w:rFonts w:ascii="Arial" w:hAnsi="Arial" w:cs="Arial"/>
          <w:color w:val="000000" w:themeColor="text1"/>
          <w:sz w:val="21"/>
          <w:szCs w:val="21"/>
          <w:lang w:val="es-ES"/>
        </w:rPr>
        <w:t>El denominado «precio artificialmente bajo» de que trata la Ley 80, es aquel que resulta artificioso o falso, disimulado, muy reducido o disminuido, pero además, que no encuentre sustentación o fundamento alguno en su estructuración dentro del tráfico comercial en el cual se desarrolla el negocio, es decir, que dicho precio no pueda ser justificado y por lo tanto, la Administración estaría imposibilitada para admitirlo, so pena de incurrir en violación de los principios de transparencia, equilibrio e imparcialidad que gobiernan la actividad contractual y como parte de ella, el procedimiento de la licitación […]</w:t>
      </w:r>
      <w:r w:rsidRPr="008179FF">
        <w:rPr>
          <w:rStyle w:val="Refdenotaalpie"/>
          <w:rFonts w:ascii="Arial" w:hAnsi="Arial" w:cs="Arial"/>
          <w:color w:val="000000" w:themeColor="text1"/>
          <w:sz w:val="22"/>
          <w:lang w:val="es-ES"/>
        </w:rPr>
        <w:footnoteReference w:id="22"/>
      </w:r>
      <w:r w:rsidRPr="008179FF">
        <w:rPr>
          <w:rFonts w:ascii="Arial" w:hAnsi="Arial" w:cs="Arial"/>
          <w:color w:val="000000" w:themeColor="text1"/>
          <w:sz w:val="21"/>
          <w:szCs w:val="21"/>
          <w:lang w:val="es-ES"/>
        </w:rPr>
        <w:t>.</w:t>
      </w:r>
    </w:p>
    <w:p w14:paraId="682E6C74" w14:textId="77777777" w:rsidR="002A63B6" w:rsidRPr="008179FF" w:rsidRDefault="002A63B6" w:rsidP="002A63B6">
      <w:pPr>
        <w:tabs>
          <w:tab w:val="left" w:pos="0"/>
        </w:tabs>
        <w:spacing w:line="276" w:lineRule="auto"/>
        <w:ind w:left="709" w:right="709"/>
        <w:jc w:val="both"/>
        <w:rPr>
          <w:rFonts w:ascii="Arial" w:hAnsi="Arial" w:cs="Arial"/>
          <w:color w:val="000000" w:themeColor="text1"/>
          <w:sz w:val="22"/>
          <w:lang w:val="es-ES"/>
        </w:rPr>
      </w:pPr>
    </w:p>
    <w:p w14:paraId="58038DA2" w14:textId="77777777" w:rsidR="002A63B6" w:rsidRPr="008179FF" w:rsidRDefault="002A63B6" w:rsidP="002A63B6">
      <w:pPr>
        <w:tabs>
          <w:tab w:val="left" w:pos="0"/>
        </w:tabs>
        <w:spacing w:line="276" w:lineRule="auto"/>
        <w:jc w:val="both"/>
        <w:rPr>
          <w:rFonts w:ascii="Arial" w:hAnsi="Arial" w:cs="Arial"/>
          <w:color w:val="000000" w:themeColor="text1"/>
          <w:sz w:val="22"/>
          <w:lang w:val="es-ES"/>
        </w:rPr>
      </w:pPr>
      <w:r w:rsidRPr="008179FF">
        <w:rPr>
          <w:rFonts w:ascii="Arial" w:hAnsi="Arial" w:cs="Arial"/>
          <w:color w:val="000000" w:themeColor="text1"/>
          <w:sz w:val="22"/>
          <w:lang w:val="es-ES"/>
        </w:rPr>
        <w:tab/>
        <w:t>En este punto, es importante diferenciar las «ofertas artificialmente bajas» y las «ofertas competitivas», entendiendo por estas últimas aquellas «que tienen en su estructura de costos economías de escala o economías de alcance, que permiten generar un bien o un servicio a menor costo que el [del] resto de proveedores en el mercado», según lo establece la Guía antes mencionada.</w:t>
      </w:r>
    </w:p>
    <w:p w14:paraId="01A807FA" w14:textId="77777777" w:rsidR="00481623" w:rsidRPr="008179FF" w:rsidRDefault="002A63B6" w:rsidP="00481623">
      <w:pPr>
        <w:spacing w:before="120" w:line="276" w:lineRule="auto"/>
        <w:ind w:firstLine="709"/>
        <w:jc w:val="both"/>
        <w:rPr>
          <w:rFonts w:ascii="Arial" w:hAnsi="Arial" w:cs="Arial"/>
          <w:color w:val="000000" w:themeColor="text1"/>
          <w:sz w:val="22"/>
          <w:lang w:val="es-ES"/>
        </w:rPr>
      </w:pPr>
      <w:r w:rsidRPr="008179FF">
        <w:rPr>
          <w:rFonts w:ascii="Arial" w:hAnsi="Arial" w:cs="Arial"/>
          <w:color w:val="000000" w:themeColor="text1"/>
          <w:sz w:val="22"/>
          <w:lang w:val="es-ES"/>
        </w:rPr>
        <w:t xml:space="preserve">En consecuencia, las ofertas artificialmente bajas para efectos del proceso de selección son aquellas que, de acuerdo con las condiciones comerciales y económicas del mercado y con la información recaudada en la etapa de planeación, tienen apariencia de </w:t>
      </w:r>
      <w:r w:rsidRPr="008179FF">
        <w:rPr>
          <w:rFonts w:ascii="Arial" w:hAnsi="Arial" w:cs="Arial"/>
          <w:color w:val="000000" w:themeColor="text1"/>
          <w:sz w:val="22"/>
          <w:lang w:val="es-ES"/>
        </w:rPr>
        <w:lastRenderedPageBreak/>
        <w:t>insuficiencia para efectos de la ejecución adecuada del contrato. En estos casos, la entidad estaría imposibilitada para aceptar la propuesta artificialmente baja, so pena de la infracción de los principios de la contratación pública.</w:t>
      </w:r>
    </w:p>
    <w:p w14:paraId="67B9E456" w14:textId="27B263B6" w:rsidR="002A63B6" w:rsidRPr="008179FF" w:rsidRDefault="002A63B6" w:rsidP="00481623">
      <w:pPr>
        <w:spacing w:before="120" w:line="276" w:lineRule="auto"/>
        <w:ind w:firstLine="709"/>
        <w:jc w:val="both"/>
        <w:rPr>
          <w:rFonts w:ascii="Arial" w:hAnsi="Arial" w:cs="Arial"/>
          <w:color w:val="000000" w:themeColor="text1"/>
          <w:sz w:val="22"/>
          <w:lang w:val="es-ES"/>
        </w:rPr>
      </w:pPr>
      <w:r w:rsidRPr="008179FF">
        <w:rPr>
          <w:rFonts w:ascii="Arial" w:hAnsi="Arial" w:cs="Arial"/>
          <w:color w:val="000000" w:themeColor="text1"/>
          <w:sz w:val="22"/>
          <w:lang w:val="es-ES"/>
        </w:rPr>
        <w:t xml:space="preserve">El artículo </w:t>
      </w:r>
      <w:bookmarkStart w:id="34" w:name="_Hlk93994747"/>
      <w:r w:rsidRPr="008179FF">
        <w:rPr>
          <w:rFonts w:ascii="Arial" w:hAnsi="Arial" w:cs="Arial"/>
          <w:color w:val="000000" w:themeColor="text1"/>
          <w:sz w:val="22"/>
          <w:lang w:val="es-ES"/>
        </w:rPr>
        <w:t>2.2.1.1.2.2.4. del Decreto 1082 de 2015</w:t>
      </w:r>
      <w:bookmarkEnd w:id="34"/>
      <w:r w:rsidRPr="008179FF">
        <w:rPr>
          <w:rFonts w:ascii="Arial" w:hAnsi="Arial" w:cs="Arial"/>
          <w:color w:val="000000" w:themeColor="text1"/>
          <w:sz w:val="22"/>
          <w:lang w:val="es-ES"/>
        </w:rPr>
        <w:t xml:space="preserve"> regula el procedimiento a seguir en los eventos en que se presenten propuestas con valor artificialmente bajo, así: </w:t>
      </w:r>
    </w:p>
    <w:p w14:paraId="61799C65" w14:textId="77777777" w:rsidR="002A63B6" w:rsidRPr="008179FF" w:rsidRDefault="002A63B6" w:rsidP="002A63B6">
      <w:pPr>
        <w:spacing w:line="276" w:lineRule="auto"/>
        <w:ind w:firstLine="709"/>
        <w:jc w:val="both"/>
        <w:rPr>
          <w:rFonts w:ascii="Arial" w:hAnsi="Arial" w:cs="Arial"/>
          <w:color w:val="000000" w:themeColor="text1"/>
          <w:sz w:val="22"/>
          <w:lang w:val="es-ES"/>
        </w:rPr>
      </w:pPr>
    </w:p>
    <w:p w14:paraId="1171B0C7" w14:textId="77777777" w:rsidR="002A63B6" w:rsidRPr="008179FF" w:rsidRDefault="002A63B6" w:rsidP="002A63B6">
      <w:pPr>
        <w:spacing w:after="120"/>
        <w:ind w:left="709" w:right="709"/>
        <w:jc w:val="both"/>
        <w:rPr>
          <w:rFonts w:ascii="Arial" w:hAnsi="Arial" w:cs="Arial"/>
          <w:color w:val="000000" w:themeColor="text1"/>
          <w:sz w:val="21"/>
          <w:szCs w:val="21"/>
          <w:lang w:val="es-ES"/>
        </w:rPr>
      </w:pPr>
      <w:r w:rsidRPr="008179FF">
        <w:rPr>
          <w:rFonts w:ascii="Arial" w:hAnsi="Arial" w:cs="Arial"/>
          <w:color w:val="000000" w:themeColor="text1"/>
          <w:sz w:val="21"/>
          <w:szCs w:val="21"/>
          <w:lang w:val="es-ES"/>
        </w:rPr>
        <w:t xml:space="preserve">Si de acuerdo con la información obtenida por la Entidad Estatal en su deber de análisis de que trata el artículo 2.2.1.1.1.6.1 del presente decreto, el valor de una oferta parece artificialmente bajo, la Entidad Estatal debe requerir al oferente para que explique las razones que sustentan el valor ofrecido. Analizadas las explicaciones, el comité evaluador de que trata el artículo anterior, o quien haga la evaluación de las ofertas, debe recomendar rechazar la oferta o continuar con el análisis de </w:t>
      </w:r>
      <w:proofErr w:type="gramStart"/>
      <w:r w:rsidRPr="008179FF">
        <w:rPr>
          <w:rFonts w:ascii="Arial" w:hAnsi="Arial" w:cs="Arial"/>
          <w:color w:val="000000" w:themeColor="text1"/>
          <w:sz w:val="21"/>
          <w:szCs w:val="21"/>
          <w:lang w:val="es-ES"/>
        </w:rPr>
        <w:t>la misma</w:t>
      </w:r>
      <w:proofErr w:type="gramEnd"/>
      <w:r w:rsidRPr="008179FF">
        <w:rPr>
          <w:rFonts w:ascii="Arial" w:hAnsi="Arial" w:cs="Arial"/>
          <w:color w:val="000000" w:themeColor="text1"/>
          <w:sz w:val="21"/>
          <w:szCs w:val="21"/>
          <w:lang w:val="es-ES"/>
        </w:rPr>
        <w:t xml:space="preserve"> en la evaluación de las ofertas.</w:t>
      </w:r>
    </w:p>
    <w:p w14:paraId="51976CDA" w14:textId="77777777" w:rsidR="002A63B6" w:rsidRPr="008179FF" w:rsidRDefault="002A63B6" w:rsidP="002A63B6">
      <w:pPr>
        <w:spacing w:after="120"/>
        <w:ind w:left="709" w:right="709"/>
        <w:jc w:val="both"/>
        <w:rPr>
          <w:rFonts w:ascii="Arial" w:hAnsi="Arial" w:cs="Arial"/>
          <w:color w:val="000000" w:themeColor="text1"/>
          <w:sz w:val="21"/>
          <w:szCs w:val="21"/>
          <w:lang w:val="es-ES"/>
        </w:rPr>
      </w:pPr>
      <w:r w:rsidRPr="008179FF">
        <w:rPr>
          <w:rFonts w:ascii="Arial" w:hAnsi="Arial" w:cs="Arial"/>
          <w:color w:val="000000" w:themeColor="text1"/>
          <w:sz w:val="21"/>
          <w:szCs w:val="21"/>
          <w:lang w:val="es-ES"/>
        </w:rPr>
        <w:t xml:space="preserve">Cuando el valor de la oferta sobre la cual la Entidad Estatal tuvo dudas sobre su </w:t>
      </w:r>
      <w:proofErr w:type="gramStart"/>
      <w:r w:rsidRPr="008179FF">
        <w:rPr>
          <w:rFonts w:ascii="Arial" w:hAnsi="Arial" w:cs="Arial"/>
          <w:color w:val="000000" w:themeColor="text1"/>
          <w:sz w:val="21"/>
          <w:szCs w:val="21"/>
          <w:lang w:val="es-ES"/>
        </w:rPr>
        <w:t>valor,</w:t>
      </w:r>
      <w:proofErr w:type="gramEnd"/>
      <w:r w:rsidRPr="008179FF">
        <w:rPr>
          <w:rFonts w:ascii="Arial" w:hAnsi="Arial" w:cs="Arial"/>
          <w:color w:val="000000" w:themeColor="text1"/>
          <w:sz w:val="21"/>
          <w:szCs w:val="21"/>
          <w:lang w:val="es-ES"/>
        </w:rPr>
        <w:t xml:space="preserve"> responde a circunstancias objetivas del oferente y de su oferta que no ponen en riesgo el cumplimiento del contrato si este es adjudicado a tal oferta, la Entidad Estatal debe continuar con su análisis en el proceso de evaluación de ofertas.</w:t>
      </w:r>
    </w:p>
    <w:p w14:paraId="3937C7A1" w14:textId="77777777" w:rsidR="002A63B6" w:rsidRPr="008179FF" w:rsidRDefault="002A63B6" w:rsidP="002A63B6">
      <w:pPr>
        <w:ind w:left="708" w:right="709"/>
        <w:jc w:val="both"/>
        <w:rPr>
          <w:rFonts w:ascii="Arial" w:hAnsi="Arial" w:cs="Arial"/>
          <w:color w:val="000000" w:themeColor="text1"/>
          <w:sz w:val="21"/>
          <w:szCs w:val="21"/>
          <w:lang w:val="es-ES"/>
        </w:rPr>
      </w:pPr>
      <w:r w:rsidRPr="008179FF">
        <w:rPr>
          <w:rFonts w:ascii="Arial" w:hAnsi="Arial" w:cs="Arial"/>
          <w:color w:val="000000" w:themeColor="text1"/>
          <w:sz w:val="21"/>
          <w:szCs w:val="21"/>
          <w:lang w:val="es-ES"/>
        </w:rPr>
        <w:t xml:space="preserve">En la subasta inversa esta disposición es aplicable sobre el precio obtenido al final de </w:t>
      </w:r>
      <w:proofErr w:type="gramStart"/>
      <w:r w:rsidRPr="008179FF">
        <w:rPr>
          <w:rFonts w:ascii="Arial" w:hAnsi="Arial" w:cs="Arial"/>
          <w:color w:val="000000" w:themeColor="text1"/>
          <w:sz w:val="21"/>
          <w:szCs w:val="21"/>
          <w:lang w:val="es-ES"/>
        </w:rPr>
        <w:t>la misma</w:t>
      </w:r>
      <w:proofErr w:type="gramEnd"/>
      <w:r w:rsidRPr="008179FF">
        <w:rPr>
          <w:rFonts w:ascii="Arial" w:hAnsi="Arial" w:cs="Arial"/>
          <w:color w:val="000000" w:themeColor="text1"/>
          <w:sz w:val="21"/>
          <w:szCs w:val="21"/>
          <w:lang w:val="es-ES"/>
        </w:rPr>
        <w:t>.</w:t>
      </w:r>
    </w:p>
    <w:p w14:paraId="2BF23C90" w14:textId="77777777" w:rsidR="002A63B6" w:rsidRPr="008179FF" w:rsidRDefault="002A63B6" w:rsidP="002A63B6">
      <w:pPr>
        <w:spacing w:line="276" w:lineRule="auto"/>
        <w:ind w:left="709" w:right="709"/>
        <w:jc w:val="both"/>
        <w:rPr>
          <w:rFonts w:ascii="Arial" w:hAnsi="Arial" w:cs="Arial"/>
          <w:color w:val="000000" w:themeColor="text1"/>
          <w:sz w:val="22"/>
          <w:lang w:val="es-ES"/>
        </w:rPr>
      </w:pPr>
    </w:p>
    <w:p w14:paraId="070A2853" w14:textId="77777777" w:rsidR="002A63B6" w:rsidRPr="008179FF" w:rsidRDefault="002A63B6" w:rsidP="002A63B6">
      <w:pPr>
        <w:spacing w:line="276" w:lineRule="auto"/>
        <w:ind w:firstLine="708"/>
        <w:jc w:val="both"/>
        <w:rPr>
          <w:rFonts w:ascii="Arial" w:hAnsi="Arial" w:cs="Arial"/>
          <w:color w:val="000000" w:themeColor="text1"/>
          <w:sz w:val="22"/>
          <w:lang w:val="es-ES"/>
        </w:rPr>
      </w:pPr>
      <w:r w:rsidRPr="008179FF">
        <w:rPr>
          <w:rFonts w:ascii="Arial" w:hAnsi="Arial" w:cs="Arial"/>
          <w:color w:val="000000" w:themeColor="text1"/>
          <w:sz w:val="22"/>
          <w:lang w:val="es-ES"/>
        </w:rPr>
        <w:t xml:space="preserve">De lo expuesto se desprende que, </w:t>
      </w:r>
      <w:bookmarkStart w:id="35" w:name="_Hlk94166958"/>
      <w:r w:rsidRPr="008179FF">
        <w:rPr>
          <w:rFonts w:ascii="Arial" w:hAnsi="Arial" w:cs="Arial"/>
          <w:color w:val="000000" w:themeColor="text1"/>
          <w:sz w:val="22"/>
          <w:lang w:val="es-ES"/>
        </w:rPr>
        <w:t xml:space="preserve">ante una propuesta, la entidad estatal deberá determinar si esta es considerada artificialmente baja, de acuerdo con la información del análisis del sector. De ser así, está obligada a realizar los siguientes pasos: i) requerir al oferente para que explique las razones que sustentan el valor ofrecido, </w:t>
      </w:r>
      <w:proofErr w:type="spellStart"/>
      <w:r w:rsidRPr="008179FF">
        <w:rPr>
          <w:rFonts w:ascii="Arial" w:hAnsi="Arial" w:cs="Arial"/>
          <w:color w:val="000000" w:themeColor="text1"/>
          <w:sz w:val="22"/>
          <w:lang w:val="es-ES"/>
        </w:rPr>
        <w:t>ii</w:t>
      </w:r>
      <w:proofErr w:type="spellEnd"/>
      <w:r w:rsidRPr="008179FF">
        <w:rPr>
          <w:rFonts w:ascii="Arial" w:hAnsi="Arial" w:cs="Arial"/>
          <w:color w:val="000000" w:themeColor="text1"/>
          <w:sz w:val="22"/>
          <w:lang w:val="es-ES"/>
        </w:rPr>
        <w:t xml:space="preserve">) analizar las explicaciones y </w:t>
      </w:r>
      <w:proofErr w:type="spellStart"/>
      <w:r w:rsidRPr="008179FF">
        <w:rPr>
          <w:rFonts w:ascii="Arial" w:hAnsi="Arial" w:cs="Arial"/>
          <w:color w:val="000000" w:themeColor="text1"/>
          <w:sz w:val="22"/>
          <w:lang w:val="es-ES"/>
        </w:rPr>
        <w:t>iii</w:t>
      </w:r>
      <w:proofErr w:type="spellEnd"/>
      <w:r w:rsidRPr="008179FF">
        <w:rPr>
          <w:rFonts w:ascii="Arial" w:hAnsi="Arial" w:cs="Arial"/>
          <w:color w:val="000000" w:themeColor="text1"/>
          <w:sz w:val="22"/>
          <w:lang w:val="es-ES"/>
        </w:rPr>
        <w:t xml:space="preserve">) con base en lo anterior, rechazar la oferta o continuar con el análisis de esta en la evaluación de las ofertas. </w:t>
      </w:r>
    </w:p>
    <w:p w14:paraId="2BB99A9F" w14:textId="77777777" w:rsidR="002A63B6" w:rsidRPr="008179FF" w:rsidRDefault="002A63B6" w:rsidP="002A63B6">
      <w:pPr>
        <w:spacing w:before="120" w:line="276" w:lineRule="auto"/>
        <w:ind w:firstLine="708"/>
        <w:jc w:val="both"/>
        <w:rPr>
          <w:rFonts w:ascii="Arial" w:hAnsi="Arial" w:cs="Arial"/>
          <w:color w:val="000000" w:themeColor="text1"/>
          <w:sz w:val="22"/>
          <w:lang w:val="es-ES"/>
        </w:rPr>
      </w:pPr>
      <w:r w:rsidRPr="008179FF">
        <w:rPr>
          <w:rFonts w:ascii="Arial" w:hAnsi="Arial" w:cs="Arial"/>
          <w:color w:val="000000" w:themeColor="text1"/>
          <w:sz w:val="22"/>
          <w:lang w:val="es-ES"/>
        </w:rPr>
        <w:t xml:space="preserve">En cuanto al análisis de la oferta presentada, la «Guía para el manejo de ofertas artificialmente bajas en Procesos de Contratación» recomienda a las entidades estatales tener en cuenta como insumos del mencionado análisis la siguiente información: i) promedio del valor de las ofertas, </w:t>
      </w:r>
      <w:proofErr w:type="spellStart"/>
      <w:r w:rsidRPr="008179FF">
        <w:rPr>
          <w:rFonts w:ascii="Arial" w:hAnsi="Arial" w:cs="Arial"/>
          <w:color w:val="000000" w:themeColor="text1"/>
          <w:sz w:val="22"/>
          <w:lang w:val="es-ES"/>
        </w:rPr>
        <w:t>ii</w:t>
      </w:r>
      <w:proofErr w:type="spellEnd"/>
      <w:r w:rsidRPr="008179FF">
        <w:rPr>
          <w:rFonts w:ascii="Arial" w:hAnsi="Arial" w:cs="Arial"/>
          <w:color w:val="000000" w:themeColor="text1"/>
          <w:sz w:val="22"/>
          <w:lang w:val="es-ES"/>
        </w:rPr>
        <w:t xml:space="preserve">) mediana del valor de las ofertas, </w:t>
      </w:r>
      <w:proofErr w:type="spellStart"/>
      <w:r w:rsidRPr="008179FF">
        <w:rPr>
          <w:rFonts w:ascii="Arial" w:hAnsi="Arial" w:cs="Arial"/>
          <w:color w:val="000000" w:themeColor="text1"/>
          <w:sz w:val="22"/>
          <w:lang w:val="es-ES"/>
        </w:rPr>
        <w:t>iii</w:t>
      </w:r>
      <w:proofErr w:type="spellEnd"/>
      <w:r w:rsidRPr="008179FF">
        <w:rPr>
          <w:rFonts w:ascii="Arial" w:hAnsi="Arial" w:cs="Arial"/>
          <w:color w:val="000000" w:themeColor="text1"/>
          <w:sz w:val="22"/>
          <w:lang w:val="es-ES"/>
        </w:rPr>
        <w:t xml:space="preserve">) desviación estándar del valor de las ofertas, </w:t>
      </w:r>
      <w:proofErr w:type="spellStart"/>
      <w:r w:rsidRPr="008179FF">
        <w:rPr>
          <w:rFonts w:ascii="Arial" w:hAnsi="Arial" w:cs="Arial"/>
          <w:color w:val="000000" w:themeColor="text1"/>
          <w:sz w:val="22"/>
          <w:lang w:val="es-ES"/>
        </w:rPr>
        <w:t>iv</w:t>
      </w:r>
      <w:proofErr w:type="spellEnd"/>
      <w:r w:rsidRPr="008179FF">
        <w:rPr>
          <w:rFonts w:ascii="Arial" w:hAnsi="Arial" w:cs="Arial"/>
          <w:color w:val="000000" w:themeColor="text1"/>
          <w:sz w:val="22"/>
          <w:lang w:val="es-ES"/>
        </w:rPr>
        <w:t xml:space="preserve">) diferencia entre el costo estimado del contrato y el promedio o mediana del valor de las ofertas, v) diferencia entre el valor de la oferta que puede ser artificialmente baja y el promedio del valor de las ofertas, vi) diferencia entre el valor de la oferta que puede ser artificialmente baja y el costo estimado del contrato y </w:t>
      </w:r>
      <w:proofErr w:type="spellStart"/>
      <w:r w:rsidRPr="008179FF">
        <w:rPr>
          <w:rFonts w:ascii="Arial" w:hAnsi="Arial" w:cs="Arial"/>
          <w:color w:val="000000" w:themeColor="text1"/>
          <w:sz w:val="22"/>
          <w:lang w:val="es-ES"/>
        </w:rPr>
        <w:t>vii</w:t>
      </w:r>
      <w:proofErr w:type="spellEnd"/>
      <w:r w:rsidRPr="008179FF">
        <w:rPr>
          <w:rFonts w:ascii="Arial" w:hAnsi="Arial" w:cs="Arial"/>
          <w:color w:val="000000" w:themeColor="text1"/>
          <w:sz w:val="22"/>
          <w:lang w:val="es-ES"/>
        </w:rPr>
        <w:t xml:space="preserve">) la información histórica de ofertas y contratos del objeto del proceso de contratación. </w:t>
      </w:r>
    </w:p>
    <w:bookmarkEnd w:id="35"/>
    <w:p w14:paraId="0A6D8E85" w14:textId="5C849A91" w:rsidR="002A63B6" w:rsidRPr="008179FF" w:rsidRDefault="002A63B6" w:rsidP="002A63B6">
      <w:pPr>
        <w:spacing w:before="120" w:line="276" w:lineRule="auto"/>
        <w:ind w:firstLine="708"/>
        <w:jc w:val="both"/>
        <w:rPr>
          <w:rFonts w:ascii="Arial" w:hAnsi="Arial" w:cs="Arial"/>
          <w:color w:val="000000" w:themeColor="text1"/>
          <w:sz w:val="22"/>
          <w:lang w:val="es-ES"/>
        </w:rPr>
      </w:pPr>
      <w:r w:rsidRPr="008179FF">
        <w:rPr>
          <w:rFonts w:ascii="Arial" w:hAnsi="Arial" w:cs="Arial"/>
          <w:color w:val="000000" w:themeColor="text1"/>
          <w:sz w:val="22"/>
          <w:lang w:val="es-ES"/>
        </w:rPr>
        <w:t xml:space="preserve">Con base en estos datos, la entidad puede emplear herramientas que ayudan a identificar ofertas que pueden ser artificialmente bajas, tales como la comparación absoluta o la comparación relativa. La comparación absoluta consiste en contrastar cada oferta con el costo estimado del bien o servicio en el estudio del sector. En este caso, si se reciben menos de cinco (5) ofertas, se </w:t>
      </w:r>
      <w:r w:rsidR="00F03F1C" w:rsidRPr="008179FF">
        <w:rPr>
          <w:rFonts w:ascii="Arial" w:hAnsi="Arial" w:cs="Arial"/>
          <w:color w:val="000000" w:themeColor="text1"/>
          <w:sz w:val="22"/>
          <w:lang w:val="es-ES"/>
        </w:rPr>
        <w:t>solicitaría</w:t>
      </w:r>
      <w:r w:rsidRPr="008179FF">
        <w:rPr>
          <w:rFonts w:ascii="Arial" w:hAnsi="Arial" w:cs="Arial"/>
          <w:color w:val="000000" w:themeColor="text1"/>
          <w:sz w:val="22"/>
          <w:lang w:val="es-ES"/>
        </w:rPr>
        <w:t xml:space="preserve"> aclaración a los proponentes cuyas ofertas sean </w:t>
      </w:r>
      <w:r w:rsidRPr="008179FF">
        <w:rPr>
          <w:rFonts w:ascii="Arial" w:hAnsi="Arial" w:cs="Arial"/>
          <w:color w:val="000000" w:themeColor="text1"/>
          <w:sz w:val="22"/>
          <w:lang w:val="es-ES"/>
        </w:rPr>
        <w:lastRenderedPageBreak/>
        <w:t xml:space="preserve">menores en un 20%, o un mayor porcentaje en relación con el costo estimado por la entidad estatal. La comparación relativa consiste en comparar cada oferta con las demás ofertas. </w:t>
      </w:r>
    </w:p>
    <w:p w14:paraId="2801461B" w14:textId="77777777" w:rsidR="002A63B6" w:rsidRPr="008179FF" w:rsidRDefault="002A63B6" w:rsidP="002A63B6">
      <w:pPr>
        <w:spacing w:before="120" w:line="276" w:lineRule="auto"/>
        <w:ind w:firstLine="708"/>
        <w:jc w:val="both"/>
        <w:rPr>
          <w:rFonts w:ascii="Arial" w:hAnsi="Arial" w:cs="Arial"/>
          <w:color w:val="000000" w:themeColor="text1"/>
          <w:sz w:val="22"/>
          <w:lang w:val="es-ES"/>
        </w:rPr>
      </w:pPr>
      <w:r w:rsidRPr="008179FF">
        <w:rPr>
          <w:rFonts w:ascii="Arial" w:hAnsi="Arial" w:cs="Arial"/>
          <w:color w:val="000000" w:themeColor="text1"/>
          <w:sz w:val="22"/>
          <w:lang w:val="es-ES"/>
        </w:rPr>
        <w:t>En aquellos procesos en los que hay cinco (5) o más ofertas, la «Guía para el manejo de ofertas artificialmente bajas en Procesos de Contratación» sugiere a las entidades aplicar la siguiente metodología para identificar ofertas con «precios artificialmente bajos»:</w:t>
      </w:r>
    </w:p>
    <w:p w14:paraId="53EB3FB7" w14:textId="77777777" w:rsidR="002A63B6" w:rsidRPr="008179FF" w:rsidRDefault="002A63B6" w:rsidP="002A63B6">
      <w:pPr>
        <w:spacing w:line="276" w:lineRule="auto"/>
        <w:jc w:val="both"/>
        <w:rPr>
          <w:rFonts w:ascii="Arial" w:hAnsi="Arial" w:cs="Arial"/>
          <w:color w:val="000000" w:themeColor="text1"/>
          <w:sz w:val="22"/>
          <w:lang w:val="es-ES"/>
        </w:rPr>
      </w:pPr>
    </w:p>
    <w:p w14:paraId="02F83B62" w14:textId="77777777" w:rsidR="002A63B6" w:rsidRPr="008179FF" w:rsidRDefault="002A63B6" w:rsidP="002A63B6">
      <w:pPr>
        <w:ind w:left="709" w:right="709" w:hanging="2"/>
        <w:jc w:val="both"/>
        <w:rPr>
          <w:rFonts w:ascii="Arial" w:hAnsi="Arial" w:cs="Arial"/>
          <w:color w:val="000000" w:themeColor="text1"/>
          <w:sz w:val="21"/>
          <w:szCs w:val="21"/>
          <w:lang w:val="es-ES"/>
        </w:rPr>
      </w:pPr>
      <w:r w:rsidRPr="008179FF">
        <w:rPr>
          <w:rFonts w:ascii="Arial" w:hAnsi="Arial" w:cs="Arial"/>
          <w:color w:val="000000" w:themeColor="text1"/>
          <w:sz w:val="21"/>
          <w:szCs w:val="21"/>
          <w:lang w:val="es-ES"/>
        </w:rPr>
        <w:t xml:space="preserve">1. Tomar el conjunto de ofertas a evaluar. </w:t>
      </w:r>
    </w:p>
    <w:p w14:paraId="080AC14C" w14:textId="77777777" w:rsidR="002A63B6" w:rsidRPr="008179FF" w:rsidRDefault="002A63B6" w:rsidP="002A63B6">
      <w:pPr>
        <w:ind w:left="709" w:right="709" w:hanging="2"/>
        <w:jc w:val="both"/>
        <w:rPr>
          <w:rFonts w:ascii="Arial" w:hAnsi="Arial" w:cs="Arial"/>
          <w:color w:val="000000" w:themeColor="text1"/>
          <w:sz w:val="21"/>
          <w:szCs w:val="21"/>
          <w:lang w:val="es-ES"/>
        </w:rPr>
      </w:pPr>
      <w:r w:rsidRPr="008179FF">
        <w:rPr>
          <w:rFonts w:ascii="Arial" w:hAnsi="Arial" w:cs="Arial"/>
          <w:color w:val="000000" w:themeColor="text1"/>
          <w:sz w:val="21"/>
          <w:szCs w:val="21"/>
          <w:lang w:val="es-ES"/>
        </w:rPr>
        <w:t>2. Calcular la mediana, o dependiendo de la dispersión de los datos el promedio, del valor de cada oferta o de cada ítem dentro de la oferta.</w:t>
      </w:r>
    </w:p>
    <w:p w14:paraId="1FA637E9" w14:textId="77777777" w:rsidR="002A63B6" w:rsidRPr="008179FF" w:rsidRDefault="002A63B6" w:rsidP="002A63B6">
      <w:pPr>
        <w:ind w:left="709" w:right="709" w:hanging="2"/>
        <w:jc w:val="both"/>
        <w:rPr>
          <w:rFonts w:ascii="Arial" w:hAnsi="Arial" w:cs="Arial"/>
          <w:color w:val="000000" w:themeColor="text1"/>
          <w:sz w:val="21"/>
          <w:szCs w:val="21"/>
          <w:lang w:val="es-ES"/>
        </w:rPr>
      </w:pPr>
      <w:r w:rsidRPr="008179FF">
        <w:rPr>
          <w:rFonts w:ascii="Arial" w:hAnsi="Arial" w:cs="Arial"/>
          <w:color w:val="000000" w:themeColor="text1"/>
          <w:sz w:val="21"/>
          <w:szCs w:val="21"/>
          <w:lang w:val="es-ES"/>
        </w:rPr>
        <w:t xml:space="preserve">3. Calcular la desviación estándar del conjunto. </w:t>
      </w:r>
    </w:p>
    <w:p w14:paraId="46BBB210" w14:textId="77777777" w:rsidR="002A63B6" w:rsidRPr="008179FF" w:rsidRDefault="002A63B6" w:rsidP="002A63B6">
      <w:pPr>
        <w:ind w:left="709" w:right="709" w:hanging="2"/>
        <w:jc w:val="both"/>
        <w:rPr>
          <w:rFonts w:ascii="Arial" w:hAnsi="Arial" w:cs="Arial"/>
          <w:color w:val="000000" w:themeColor="text1"/>
          <w:sz w:val="21"/>
          <w:szCs w:val="21"/>
          <w:lang w:val="es-ES"/>
        </w:rPr>
      </w:pPr>
      <w:r w:rsidRPr="008179FF">
        <w:rPr>
          <w:rFonts w:ascii="Arial" w:hAnsi="Arial" w:cs="Arial"/>
          <w:color w:val="000000" w:themeColor="text1"/>
          <w:sz w:val="21"/>
          <w:szCs w:val="21"/>
          <w:lang w:val="es-ES"/>
        </w:rPr>
        <w:t>4. Determinar el valor mínimo aceptable.</w:t>
      </w:r>
      <w:r w:rsidRPr="008179FF">
        <w:rPr>
          <w:rStyle w:val="Refdenotaalpie"/>
          <w:rFonts w:ascii="Arial" w:hAnsi="Arial" w:cs="Arial"/>
          <w:color w:val="000000" w:themeColor="text1"/>
          <w:sz w:val="21"/>
          <w:szCs w:val="21"/>
          <w:lang w:val="es-ES"/>
        </w:rPr>
        <w:footnoteReference w:id="23"/>
      </w:r>
    </w:p>
    <w:p w14:paraId="29AAE4E5" w14:textId="77777777" w:rsidR="002A63B6" w:rsidRPr="008179FF" w:rsidRDefault="002A63B6" w:rsidP="002A63B6">
      <w:pPr>
        <w:spacing w:line="276" w:lineRule="auto"/>
        <w:jc w:val="both"/>
        <w:rPr>
          <w:rFonts w:ascii="Arial" w:hAnsi="Arial" w:cs="Arial"/>
          <w:color w:val="000000" w:themeColor="text1"/>
          <w:sz w:val="22"/>
          <w:lang w:val="es-ES"/>
        </w:rPr>
      </w:pPr>
    </w:p>
    <w:p w14:paraId="1C1BF584" w14:textId="77777777" w:rsidR="002A63B6" w:rsidRPr="008179FF" w:rsidRDefault="002A63B6" w:rsidP="002A63B6">
      <w:pPr>
        <w:spacing w:line="276" w:lineRule="auto"/>
        <w:ind w:firstLine="708"/>
        <w:jc w:val="both"/>
        <w:rPr>
          <w:rFonts w:ascii="Arial" w:hAnsi="Arial" w:cs="Arial"/>
          <w:color w:val="000000" w:themeColor="text1"/>
          <w:sz w:val="22"/>
          <w:lang w:val="es-ES"/>
        </w:rPr>
      </w:pPr>
      <w:r w:rsidRPr="008179FF">
        <w:rPr>
          <w:rFonts w:ascii="Arial" w:hAnsi="Arial" w:cs="Arial"/>
          <w:color w:val="000000" w:themeColor="text1"/>
          <w:sz w:val="22"/>
          <w:lang w:val="es-ES"/>
        </w:rPr>
        <w:t xml:space="preserve">La </w:t>
      </w:r>
      <w:r w:rsidRPr="008179FF">
        <w:rPr>
          <w:rFonts w:ascii="Arial" w:hAnsi="Arial" w:cs="Arial"/>
          <w:i/>
          <w:iCs/>
          <w:color w:val="000000" w:themeColor="text1"/>
          <w:sz w:val="22"/>
          <w:lang w:val="es-ES"/>
        </w:rPr>
        <w:t>mediana</w:t>
      </w:r>
      <w:r w:rsidRPr="008179FF">
        <w:rPr>
          <w:rFonts w:ascii="Arial" w:hAnsi="Arial" w:cs="Arial"/>
          <w:color w:val="000000" w:themeColor="text1"/>
          <w:sz w:val="22"/>
          <w:lang w:val="es-ES"/>
        </w:rPr>
        <w:t xml:space="preserve"> debe calcularse ordenando los valores de mayor a menor y tomando el valor de la oferta en la mitad de la lista. Si el número de ofertas es par, caso en el cual no habrá una oferta «en la mitad», se tienen que tomar los dos valores del medio y se suman y dividen en dos. Posteriormente, es necesario calcular la </w:t>
      </w:r>
      <w:r w:rsidRPr="008179FF">
        <w:rPr>
          <w:rFonts w:ascii="Arial" w:hAnsi="Arial" w:cs="Arial"/>
          <w:i/>
          <w:iCs/>
          <w:color w:val="000000" w:themeColor="text1"/>
          <w:sz w:val="22"/>
          <w:lang w:val="es-ES"/>
        </w:rPr>
        <w:t>desviación estándar</w:t>
      </w:r>
      <w:r w:rsidRPr="008179FF">
        <w:rPr>
          <w:rFonts w:ascii="Arial" w:hAnsi="Arial" w:cs="Arial"/>
          <w:color w:val="000000" w:themeColor="text1"/>
          <w:sz w:val="22"/>
          <w:lang w:val="es-ES"/>
        </w:rPr>
        <w:t xml:space="preserve">, utilizando la siguiente fórmula, en la que el </w:t>
      </w:r>
      <w:r w:rsidRPr="008179FF">
        <w:rPr>
          <w:rFonts w:ascii="Arial" w:eastAsia="Calibri" w:hAnsi="Arial" w:cs="Arial"/>
          <w:color w:val="000000" w:themeColor="text1"/>
          <w:sz w:val="22"/>
          <w:lang w:val="es-ES"/>
        </w:rPr>
        <w:t xml:space="preserve">valor </w:t>
      </w:r>
      <w:r w:rsidRPr="008179FF">
        <w:rPr>
          <w:rFonts w:ascii="Arial" w:eastAsia="Calibri" w:hAnsi="Arial" w:cs="Arial"/>
          <w:i/>
          <w:color w:val="000000" w:themeColor="text1"/>
          <w:sz w:val="22"/>
          <w:lang w:val="es-ES"/>
        </w:rPr>
        <w:t>n</w:t>
      </w:r>
      <w:r w:rsidRPr="008179FF">
        <w:rPr>
          <w:rFonts w:ascii="Arial" w:eastAsia="Calibri" w:hAnsi="Arial" w:cs="Arial"/>
          <w:color w:val="000000" w:themeColor="text1"/>
          <w:sz w:val="22"/>
          <w:lang w:val="es-ES"/>
        </w:rPr>
        <w:t xml:space="preserve"> es el número de ofertas</w:t>
      </w:r>
      <w:r w:rsidRPr="008179FF">
        <w:rPr>
          <w:rFonts w:ascii="Arial" w:hAnsi="Arial" w:cs="Arial"/>
          <w:color w:val="000000" w:themeColor="text1"/>
          <w:sz w:val="22"/>
          <w:lang w:val="es-ES"/>
        </w:rPr>
        <w:t xml:space="preserve">: </w:t>
      </w:r>
    </w:p>
    <w:p w14:paraId="77A69800" w14:textId="77777777" w:rsidR="002A63B6" w:rsidRPr="008179FF" w:rsidRDefault="002A63B6" w:rsidP="002A63B6">
      <w:pPr>
        <w:spacing w:line="276" w:lineRule="auto"/>
        <w:ind w:firstLine="708"/>
        <w:jc w:val="both"/>
        <w:rPr>
          <w:rFonts w:ascii="Arial" w:hAnsi="Arial" w:cs="Arial"/>
          <w:color w:val="000000" w:themeColor="text1"/>
          <w:sz w:val="22"/>
          <w:lang w:val="es-ES"/>
        </w:rPr>
      </w:pPr>
    </w:p>
    <w:p w14:paraId="4D222A0A" w14:textId="77777777" w:rsidR="002A63B6" w:rsidRPr="008179FF" w:rsidRDefault="002A63B6" w:rsidP="002A63B6">
      <w:pPr>
        <w:spacing w:line="276" w:lineRule="auto"/>
        <w:jc w:val="both"/>
        <w:rPr>
          <w:rFonts w:ascii="Arial" w:hAnsi="Arial" w:cs="Arial"/>
          <w:color w:val="000000" w:themeColor="text1"/>
          <w:sz w:val="22"/>
          <w:lang w:val="es-ES"/>
        </w:rPr>
      </w:pPr>
      <w:r w:rsidRPr="008179FF">
        <w:rPr>
          <w:rFonts w:ascii="Arial" w:hAnsi="Arial" w:cs="Arial"/>
          <w:noProof/>
          <w:color w:val="000000" w:themeColor="text1"/>
          <w:lang w:val="es-ES" w:eastAsia="es-CO"/>
        </w:rPr>
        <w:drawing>
          <wp:inline distT="0" distB="0" distL="0" distR="0" wp14:anchorId="3AB1E6D1" wp14:editId="55F0BDE3">
            <wp:extent cx="4967416" cy="460709"/>
            <wp:effectExtent l="0" t="0" r="5080" b="0"/>
            <wp:docPr id="9" name="Imagen 9"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28764" t="35856" r="28678" b="57127"/>
                    <a:stretch/>
                  </pic:blipFill>
                  <pic:spPr bwMode="auto">
                    <a:xfrm>
                      <a:off x="0" y="0"/>
                      <a:ext cx="5180439" cy="480466"/>
                    </a:xfrm>
                    <a:prstGeom prst="rect">
                      <a:avLst/>
                    </a:prstGeom>
                    <a:ln>
                      <a:noFill/>
                    </a:ln>
                    <a:extLst>
                      <a:ext uri="{53640926-AAD7-44D8-BBD7-CCE9431645EC}">
                        <a14:shadowObscured xmlns:a14="http://schemas.microsoft.com/office/drawing/2010/main"/>
                      </a:ext>
                    </a:extLst>
                  </pic:spPr>
                </pic:pic>
              </a:graphicData>
            </a:graphic>
          </wp:inline>
        </w:drawing>
      </w:r>
    </w:p>
    <w:p w14:paraId="32B3AD28" w14:textId="77777777" w:rsidR="002A63B6" w:rsidRPr="008179FF" w:rsidRDefault="002A63B6" w:rsidP="002A63B6">
      <w:pPr>
        <w:spacing w:line="276" w:lineRule="auto"/>
        <w:jc w:val="both"/>
        <w:rPr>
          <w:rFonts w:ascii="Arial" w:hAnsi="Arial" w:cs="Arial"/>
          <w:color w:val="000000" w:themeColor="text1"/>
          <w:sz w:val="22"/>
          <w:lang w:val="es-ES"/>
        </w:rPr>
      </w:pPr>
    </w:p>
    <w:p w14:paraId="3206A41C" w14:textId="76AFF8C8" w:rsidR="002A63B6" w:rsidRPr="008179FF" w:rsidRDefault="002A63B6" w:rsidP="002A63B6">
      <w:pPr>
        <w:spacing w:line="276" w:lineRule="auto"/>
        <w:ind w:firstLine="708"/>
        <w:jc w:val="both"/>
        <w:rPr>
          <w:rFonts w:ascii="Arial" w:hAnsi="Arial" w:cs="Arial"/>
          <w:color w:val="000000" w:themeColor="text1"/>
          <w:sz w:val="22"/>
          <w:lang w:val="es-ES"/>
        </w:rPr>
      </w:pPr>
      <w:r w:rsidRPr="008179FF">
        <w:rPr>
          <w:rFonts w:ascii="Arial" w:hAnsi="Arial" w:cs="Arial"/>
          <w:color w:val="000000" w:themeColor="text1"/>
          <w:sz w:val="22"/>
          <w:lang w:val="es-ES"/>
        </w:rPr>
        <w:t xml:space="preserve">Por último, el </w:t>
      </w:r>
      <w:r w:rsidRPr="008179FF">
        <w:rPr>
          <w:rFonts w:ascii="Arial" w:hAnsi="Arial" w:cs="Arial"/>
          <w:i/>
          <w:iCs/>
          <w:color w:val="000000" w:themeColor="text1"/>
          <w:sz w:val="22"/>
          <w:lang w:val="es-ES"/>
        </w:rPr>
        <w:t>valor mínimo aceptable</w:t>
      </w:r>
      <w:r w:rsidRPr="008179FF">
        <w:rPr>
          <w:rFonts w:ascii="Arial" w:hAnsi="Arial" w:cs="Arial"/>
          <w:color w:val="000000" w:themeColor="text1"/>
          <w:sz w:val="22"/>
          <w:lang w:val="es-ES"/>
        </w:rPr>
        <w:t xml:space="preserve">, será igual a la </w:t>
      </w:r>
      <w:r w:rsidRPr="008179FF">
        <w:rPr>
          <w:rFonts w:ascii="Arial" w:hAnsi="Arial" w:cs="Arial"/>
          <w:i/>
          <w:iCs/>
          <w:color w:val="000000" w:themeColor="text1"/>
          <w:sz w:val="22"/>
          <w:lang w:val="es-ES"/>
        </w:rPr>
        <w:t>mediana</w:t>
      </w:r>
      <w:r w:rsidRPr="008179FF">
        <w:rPr>
          <w:rFonts w:ascii="Arial" w:hAnsi="Arial" w:cs="Arial"/>
          <w:color w:val="000000" w:themeColor="text1"/>
          <w:sz w:val="22"/>
          <w:lang w:val="es-ES"/>
        </w:rPr>
        <w:t xml:space="preserve"> menos la </w:t>
      </w:r>
      <w:r w:rsidRPr="008179FF">
        <w:rPr>
          <w:rFonts w:ascii="Arial" w:hAnsi="Arial" w:cs="Arial"/>
          <w:i/>
          <w:iCs/>
          <w:color w:val="000000" w:themeColor="text1"/>
          <w:sz w:val="22"/>
          <w:lang w:val="es-ES"/>
        </w:rPr>
        <w:t>desviación estándar</w:t>
      </w:r>
      <w:r w:rsidRPr="008179FF">
        <w:rPr>
          <w:rFonts w:ascii="Arial" w:hAnsi="Arial" w:cs="Arial"/>
          <w:color w:val="000000" w:themeColor="text1"/>
          <w:sz w:val="22"/>
          <w:lang w:val="es-ES"/>
        </w:rPr>
        <w:t xml:space="preserve">. </w:t>
      </w:r>
      <w:bookmarkStart w:id="36" w:name="_Hlk102125835"/>
      <w:r w:rsidRPr="008179FF">
        <w:rPr>
          <w:rFonts w:ascii="Arial" w:hAnsi="Arial" w:cs="Arial"/>
          <w:color w:val="000000" w:themeColor="text1"/>
          <w:sz w:val="22"/>
          <w:lang w:val="es-ES"/>
        </w:rPr>
        <w:t xml:space="preserve">De esta manera, la entidad puede identificar como ofertas artificialmente bajas las que se encuentren por debajo de ese valor mínimo. Con todo, dicho valor puede ser diferente al obtenido con la anterior metodología, dependiendo de la información y los datos con los que cuenten las entidades. Lo anterior, por cuanto las entidades </w:t>
      </w:r>
      <w:r w:rsidRPr="008179FF">
        <w:rPr>
          <w:rFonts w:ascii="Arial" w:eastAsia="Calibri" w:hAnsi="Arial" w:cs="Arial"/>
          <w:color w:val="000000" w:themeColor="text1"/>
          <w:sz w:val="22"/>
          <w:lang w:val="es-ES"/>
        </w:rPr>
        <w:t xml:space="preserve">pueden o no acoger la metodología explicada, toda vez que la Guía no es de obligatorio cumplimiento, sino que se constituye en un criterio de orientación o </w:t>
      </w:r>
      <w:r w:rsidR="00F03F1C" w:rsidRPr="008179FF">
        <w:rPr>
          <w:rFonts w:ascii="Arial" w:eastAsia="Calibri" w:hAnsi="Arial" w:cs="Arial"/>
          <w:color w:val="000000" w:themeColor="text1"/>
          <w:sz w:val="22"/>
          <w:lang w:val="es-ES"/>
        </w:rPr>
        <w:t xml:space="preserve">recomendaciones </w:t>
      </w:r>
      <w:r w:rsidRPr="008179FF">
        <w:rPr>
          <w:rFonts w:ascii="Arial" w:eastAsia="Calibri" w:hAnsi="Arial" w:cs="Arial"/>
          <w:color w:val="000000" w:themeColor="text1"/>
          <w:sz w:val="22"/>
          <w:lang w:val="es-ES"/>
        </w:rPr>
        <w:t>para sus procesos de contratación.</w:t>
      </w:r>
      <w:bookmarkEnd w:id="36"/>
    </w:p>
    <w:p w14:paraId="686A7690" w14:textId="4FE5AF8D" w:rsidR="002A63B6" w:rsidRPr="008179FF" w:rsidRDefault="002A63B6" w:rsidP="002A63B6">
      <w:pPr>
        <w:spacing w:before="120" w:line="276" w:lineRule="auto"/>
        <w:ind w:firstLine="708"/>
        <w:jc w:val="both"/>
        <w:rPr>
          <w:rFonts w:ascii="Arial" w:hAnsi="Arial" w:cs="Arial"/>
          <w:color w:val="000000" w:themeColor="text1"/>
          <w:sz w:val="22"/>
          <w:lang w:val="es-ES"/>
        </w:rPr>
      </w:pPr>
      <w:r w:rsidRPr="008179FF">
        <w:rPr>
          <w:rFonts w:ascii="Arial" w:hAnsi="Arial" w:cs="Arial"/>
          <w:color w:val="000000" w:themeColor="text1"/>
          <w:sz w:val="22"/>
          <w:lang w:val="es-ES"/>
        </w:rPr>
        <w:t xml:space="preserve">Una vez la entidad haya surtido el proceso de determinación de una propuesta identificada como posiblemente artificialmente baja y considerando que la oferta se encuentra inmersa en esta circunstancia, resulta necesario que se requiera al oferente para que explique las razones que sustentan el valor ofrecido. Posteriormente, el comité evaluador analizará las explicaciones y decidirá si rechaza la oferta o continúa con el análisis de </w:t>
      </w:r>
      <w:proofErr w:type="gramStart"/>
      <w:r w:rsidRPr="008179FF">
        <w:rPr>
          <w:rFonts w:ascii="Arial" w:hAnsi="Arial" w:cs="Arial"/>
          <w:color w:val="000000" w:themeColor="text1"/>
          <w:sz w:val="22"/>
          <w:lang w:val="es-ES"/>
        </w:rPr>
        <w:t>la misma</w:t>
      </w:r>
      <w:proofErr w:type="gramEnd"/>
      <w:r w:rsidRPr="008179FF">
        <w:rPr>
          <w:rFonts w:ascii="Arial" w:hAnsi="Arial" w:cs="Arial"/>
          <w:color w:val="000000" w:themeColor="text1"/>
          <w:sz w:val="22"/>
          <w:lang w:val="es-ES"/>
        </w:rPr>
        <w:t xml:space="preserve"> en el proceso de evaluación. </w:t>
      </w:r>
    </w:p>
    <w:p w14:paraId="57536DF2" w14:textId="77777777" w:rsidR="002A63B6" w:rsidRPr="008179FF" w:rsidRDefault="002A63B6" w:rsidP="002A63B6">
      <w:pPr>
        <w:spacing w:before="120" w:line="276" w:lineRule="auto"/>
        <w:ind w:firstLine="709"/>
        <w:jc w:val="both"/>
        <w:rPr>
          <w:rFonts w:ascii="Arial" w:hAnsi="Arial" w:cs="Arial"/>
          <w:color w:val="000000" w:themeColor="text1"/>
          <w:sz w:val="22"/>
          <w:lang w:val="es-ES"/>
        </w:rPr>
      </w:pPr>
      <w:r w:rsidRPr="008179FF">
        <w:rPr>
          <w:rFonts w:ascii="Arial" w:hAnsi="Arial" w:cs="Arial"/>
          <w:color w:val="000000" w:themeColor="text1"/>
          <w:sz w:val="22"/>
          <w:lang w:val="es-ES"/>
        </w:rPr>
        <w:t xml:space="preserve">La ley y el reglamento no determinan la forma ni el momento para requerir a los proponentes para que justifiquen el precio ofertado. Por tanto, la determinación de tales </w:t>
      </w:r>
      <w:r w:rsidRPr="008179FF">
        <w:rPr>
          <w:rFonts w:ascii="Arial" w:hAnsi="Arial" w:cs="Arial"/>
          <w:color w:val="000000" w:themeColor="text1"/>
          <w:sz w:val="22"/>
          <w:lang w:val="es-ES"/>
        </w:rPr>
        <w:lastRenderedPageBreak/>
        <w:t xml:space="preserve">asuntos es facultativa para cada entidad pública, para lo cual debe tener presentes las particularidades de cada modalidad de selección de contratistas, partiendo de la base de que la entidad solo podrá pedir explicaciones al proponente cuando conozca su oferta económica. Por su parte, el requerimiento debe ser comunicado al proponente por el medio que la entidad considere más eficaz e idóneo, de acuerdo con el caso y las circunstancias particulares de la información objeto de requerimiento. </w:t>
      </w:r>
    </w:p>
    <w:p w14:paraId="36ADB9E7" w14:textId="77777777" w:rsidR="002A63B6" w:rsidRPr="008179FF" w:rsidRDefault="002A63B6" w:rsidP="002A63B6">
      <w:pPr>
        <w:spacing w:before="120" w:line="276" w:lineRule="auto"/>
        <w:ind w:firstLine="708"/>
        <w:jc w:val="both"/>
        <w:rPr>
          <w:rFonts w:ascii="Arial" w:hAnsi="Arial" w:cs="Arial"/>
          <w:color w:val="000000" w:themeColor="text1"/>
          <w:sz w:val="22"/>
          <w:lang w:val="es-ES"/>
        </w:rPr>
      </w:pPr>
      <w:r w:rsidRPr="008179FF">
        <w:rPr>
          <w:rFonts w:ascii="Arial" w:hAnsi="Arial" w:cs="Arial"/>
          <w:color w:val="000000" w:themeColor="text1"/>
          <w:sz w:val="22"/>
          <w:lang w:val="es-ES"/>
        </w:rPr>
        <w:t>En cuanto al término que se debe otorgar a los proponentes para que expliquen el precio ofertado, es preciso indicar que es un asunto que también se supedita a la discrecionalidad de la entidad. Sin embargo, la discrecionalidad debe ejercerse de manera sensata, con buen criterio y de forma prudente. Así lo estableció la Sección Quinta del Consejo de Estado en la sentencia del 10 de junio de 1992</w:t>
      </w:r>
      <w:r w:rsidRPr="008179FF">
        <w:rPr>
          <w:rStyle w:val="Refdenotaalpie"/>
          <w:rFonts w:ascii="Arial" w:hAnsi="Arial" w:cs="Arial"/>
          <w:color w:val="000000" w:themeColor="text1"/>
          <w:sz w:val="22"/>
          <w:lang w:val="es-ES"/>
        </w:rPr>
        <w:footnoteReference w:id="24"/>
      </w:r>
      <w:r w:rsidRPr="008179FF">
        <w:rPr>
          <w:rFonts w:ascii="Arial" w:hAnsi="Arial" w:cs="Arial"/>
          <w:color w:val="000000" w:themeColor="text1"/>
          <w:sz w:val="22"/>
          <w:lang w:val="es-ES"/>
        </w:rPr>
        <w:t xml:space="preserve">, en la que resaltó que «los (actos) denominados discrecionales […] se emiten por la autoridad administrativa en virtud de que la ley ha creído conveniente dejar a la sensatez, a la oportunidad, al buen criterio y al suficiente tacto que ha de presidir la gestión pública y enmarcar en la prudencia la toma de decisiones, con orden del buen servicio que ha de regir y de guiar sus tareas». </w:t>
      </w:r>
    </w:p>
    <w:p w14:paraId="477DF0A4" w14:textId="75A196B2" w:rsidR="002A63B6" w:rsidRPr="00B7032A" w:rsidRDefault="002A63B6" w:rsidP="002A63B6">
      <w:pPr>
        <w:spacing w:before="120" w:line="276" w:lineRule="auto"/>
        <w:ind w:firstLine="708"/>
        <w:jc w:val="both"/>
        <w:rPr>
          <w:rFonts w:ascii="Arial" w:hAnsi="Arial" w:cs="Arial"/>
          <w:color w:val="000000" w:themeColor="text1"/>
          <w:sz w:val="22"/>
          <w:lang w:val="es-ES"/>
        </w:rPr>
      </w:pPr>
      <w:r w:rsidRPr="008179FF">
        <w:rPr>
          <w:rFonts w:ascii="Arial" w:hAnsi="Arial" w:cs="Arial"/>
          <w:color w:val="000000" w:themeColor="text1"/>
          <w:sz w:val="22"/>
          <w:lang w:val="es-ES"/>
        </w:rPr>
        <w:t xml:space="preserve"> La entidad tiene entonces la facultad de definir el término mínimo que otorgará a los proponentes para aclarar el precio artificialmente bajo. Sin embargo, dicho término debe estar acorde, por un lado, con el interés general y, por el otro, con los principios de proporcionalidad y razonabilidad, así como también con los principios del Estatuto General de Contratación de la Administración Pública.</w:t>
      </w:r>
      <w:r w:rsidRPr="00B7032A">
        <w:rPr>
          <w:rFonts w:ascii="Arial" w:hAnsi="Arial" w:cs="Arial"/>
          <w:color w:val="000000" w:themeColor="text1"/>
          <w:sz w:val="22"/>
          <w:lang w:val="es-ES"/>
        </w:rPr>
        <w:t xml:space="preserve"> </w:t>
      </w:r>
    </w:p>
    <w:p w14:paraId="7CBC6046" w14:textId="77777777" w:rsidR="006461D7" w:rsidRPr="00B7032A" w:rsidRDefault="006461D7" w:rsidP="006461D7">
      <w:pPr>
        <w:tabs>
          <w:tab w:val="left" w:pos="0"/>
        </w:tabs>
        <w:jc w:val="both"/>
        <w:rPr>
          <w:rFonts w:ascii="Arial" w:eastAsia="Calibri" w:hAnsi="Arial" w:cs="Arial"/>
          <w:b/>
          <w:bCs/>
          <w:color w:val="000000"/>
          <w:sz w:val="20"/>
          <w:szCs w:val="20"/>
          <w:lang w:val="es-ES_tradnl" w:eastAsia="en-US"/>
        </w:rPr>
      </w:pPr>
    </w:p>
    <w:p w14:paraId="667166CC" w14:textId="5CC2528C" w:rsidR="006461D7" w:rsidRPr="00B7032A" w:rsidRDefault="006461D7" w:rsidP="006461D7">
      <w:pPr>
        <w:tabs>
          <w:tab w:val="left" w:pos="0"/>
        </w:tabs>
        <w:spacing w:line="276" w:lineRule="auto"/>
        <w:jc w:val="both"/>
        <w:rPr>
          <w:rFonts w:ascii="Arial" w:hAnsi="Arial" w:cs="Arial"/>
          <w:b/>
          <w:bCs/>
          <w:color w:val="000000" w:themeColor="text1"/>
          <w:sz w:val="22"/>
          <w:lang w:val="es-ES"/>
        </w:rPr>
      </w:pPr>
      <w:r w:rsidRPr="00B7032A">
        <w:rPr>
          <w:rFonts w:ascii="Arial" w:eastAsia="Calibri" w:hAnsi="Arial" w:cs="Arial"/>
          <w:b/>
          <w:bCs/>
          <w:color w:val="000000"/>
          <w:sz w:val="22"/>
          <w:lang w:val="es-ES_tradnl" w:eastAsia="en-GB"/>
        </w:rPr>
        <w:t>2.</w:t>
      </w:r>
      <w:r w:rsidR="00094959" w:rsidRPr="00B7032A">
        <w:rPr>
          <w:rFonts w:ascii="Arial" w:eastAsia="Calibri" w:hAnsi="Arial" w:cs="Arial"/>
          <w:b/>
          <w:bCs/>
          <w:color w:val="000000"/>
          <w:sz w:val="22"/>
          <w:lang w:val="es-ES_tradnl" w:eastAsia="en-GB"/>
        </w:rPr>
        <w:t>6</w:t>
      </w:r>
      <w:r w:rsidRPr="00B7032A">
        <w:rPr>
          <w:rFonts w:ascii="Arial" w:eastAsia="Calibri" w:hAnsi="Arial" w:cs="Arial"/>
          <w:b/>
          <w:bCs/>
          <w:color w:val="000000"/>
          <w:sz w:val="22"/>
          <w:lang w:val="es-ES_tradnl" w:eastAsia="en-GB"/>
        </w:rPr>
        <w:t>.</w:t>
      </w:r>
      <w:r w:rsidR="00094959" w:rsidRPr="00B7032A">
        <w:rPr>
          <w:rFonts w:ascii="Arial" w:eastAsia="Calibri" w:hAnsi="Arial" w:cs="Arial"/>
          <w:b/>
          <w:bCs/>
          <w:color w:val="000000"/>
          <w:sz w:val="22"/>
          <w:lang w:val="es-ES_tradnl" w:eastAsia="en-GB"/>
        </w:rPr>
        <w:t>2</w:t>
      </w:r>
      <w:r w:rsidRPr="00B7032A">
        <w:rPr>
          <w:rFonts w:ascii="Arial" w:eastAsia="Calibri" w:hAnsi="Arial" w:cs="Arial"/>
          <w:b/>
          <w:bCs/>
          <w:color w:val="000000"/>
          <w:sz w:val="22"/>
          <w:lang w:val="es-ES_tradnl" w:eastAsia="en-GB"/>
        </w:rPr>
        <w:t xml:space="preserve"> </w:t>
      </w:r>
      <w:r w:rsidRPr="00B7032A">
        <w:rPr>
          <w:rFonts w:ascii="Arial" w:hAnsi="Arial" w:cs="Arial"/>
          <w:b/>
          <w:bCs/>
          <w:color w:val="000000" w:themeColor="text1"/>
          <w:sz w:val="22"/>
          <w:lang w:val="es-ES"/>
        </w:rPr>
        <w:t xml:space="preserve">Ofertas con posibles precios artificialmente bajos en los </w:t>
      </w:r>
      <w:r w:rsidR="002D30E8" w:rsidRPr="00B7032A">
        <w:rPr>
          <w:rFonts w:ascii="Arial" w:hAnsi="Arial" w:cs="Arial"/>
          <w:b/>
          <w:bCs/>
          <w:color w:val="000000" w:themeColor="text1"/>
          <w:sz w:val="22"/>
          <w:lang w:val="es-ES"/>
        </w:rPr>
        <w:t>d</w:t>
      </w:r>
      <w:r w:rsidRPr="00B7032A">
        <w:rPr>
          <w:rFonts w:ascii="Arial" w:hAnsi="Arial" w:cs="Arial"/>
          <w:b/>
          <w:bCs/>
          <w:color w:val="000000" w:themeColor="text1"/>
          <w:sz w:val="22"/>
          <w:lang w:val="es-ES"/>
        </w:rPr>
        <w:t xml:space="preserve">ocumentos </w:t>
      </w:r>
      <w:r w:rsidR="002D30E8" w:rsidRPr="00B7032A">
        <w:rPr>
          <w:rFonts w:ascii="Arial" w:hAnsi="Arial" w:cs="Arial"/>
          <w:b/>
          <w:bCs/>
          <w:color w:val="000000" w:themeColor="text1"/>
          <w:sz w:val="22"/>
          <w:lang w:val="es-ES"/>
        </w:rPr>
        <w:t>t</w:t>
      </w:r>
      <w:r w:rsidRPr="00B7032A">
        <w:rPr>
          <w:rFonts w:ascii="Arial" w:hAnsi="Arial" w:cs="Arial"/>
          <w:b/>
          <w:bCs/>
          <w:color w:val="000000" w:themeColor="text1"/>
          <w:sz w:val="22"/>
          <w:lang w:val="es-ES"/>
        </w:rPr>
        <w:t>ipo</w:t>
      </w:r>
    </w:p>
    <w:p w14:paraId="27818138" w14:textId="77777777" w:rsidR="006461D7" w:rsidRPr="00B7032A" w:rsidRDefault="006461D7" w:rsidP="0002555A">
      <w:pPr>
        <w:tabs>
          <w:tab w:val="left" w:pos="0"/>
        </w:tabs>
        <w:spacing w:line="276" w:lineRule="auto"/>
        <w:jc w:val="both"/>
        <w:rPr>
          <w:rFonts w:ascii="Arial" w:eastAsia="Calibri" w:hAnsi="Arial" w:cs="Arial"/>
          <w:b/>
          <w:bCs/>
          <w:color w:val="000000"/>
          <w:sz w:val="22"/>
          <w:lang w:val="es-ES_tradnl" w:eastAsia="en-GB"/>
        </w:rPr>
      </w:pPr>
    </w:p>
    <w:p w14:paraId="2E470468" w14:textId="7C01A89F" w:rsidR="006461D7" w:rsidRPr="00B7032A" w:rsidRDefault="006461D7" w:rsidP="006461D7">
      <w:pPr>
        <w:spacing w:line="276" w:lineRule="auto"/>
        <w:jc w:val="both"/>
        <w:rPr>
          <w:rFonts w:ascii="Arial" w:hAnsi="Arial" w:cs="Arial"/>
          <w:color w:val="000000" w:themeColor="text1"/>
          <w:sz w:val="22"/>
        </w:rPr>
      </w:pPr>
      <w:r w:rsidRPr="00B7032A">
        <w:rPr>
          <w:rFonts w:ascii="Arial" w:hAnsi="Arial" w:cs="Arial"/>
          <w:color w:val="000000" w:themeColor="text1"/>
          <w:sz w:val="22"/>
        </w:rPr>
        <w:t>El numeral 4.1.3. del Capítulo IV «Criterios de Evaluación, Asignación de Puntaje y Criterios de Desempate», de</w:t>
      </w:r>
      <w:r w:rsidR="001D47D1" w:rsidRPr="00B7032A">
        <w:rPr>
          <w:rFonts w:ascii="Arial" w:hAnsi="Arial" w:cs="Arial"/>
          <w:color w:val="000000" w:themeColor="text1"/>
          <w:sz w:val="22"/>
        </w:rPr>
        <w:t xml:space="preserve">l documento base de infraestructura social </w:t>
      </w:r>
      <w:r w:rsidRPr="00B7032A">
        <w:rPr>
          <w:rFonts w:ascii="Arial" w:hAnsi="Arial" w:cs="Arial"/>
          <w:color w:val="000000" w:themeColor="text1"/>
          <w:sz w:val="22"/>
        </w:rPr>
        <w:t>regula lo referente al precio artificialmente bajo. Según esta disposición, «en el evento en que el precio de una oferta, en el momento de la evaluación, no parezca suficiente para garantizar una correcta ejecución del contrato, de acuerdo con la información recogida durante la etapa de planeación y particularmente durante el estudio del sector, la entidad aplicará el proceso descrito en el artículo 2.2.1.1.2.2.4. del Decreto 1082 de 2015. Además, la entidad podrá acudir a los parámetros definidos en la Guía para el manejo de ofertas artificialmente bajas en procesos de Contratación de Colombia Compra Eficiente, como un criterio metodológico».</w:t>
      </w:r>
    </w:p>
    <w:p w14:paraId="7580D30F" w14:textId="4E9C4F0D" w:rsidR="006461D7" w:rsidRPr="00B7032A" w:rsidRDefault="006461D7" w:rsidP="006461D7">
      <w:pPr>
        <w:spacing w:before="120" w:line="276" w:lineRule="auto"/>
        <w:ind w:firstLine="709"/>
        <w:jc w:val="both"/>
        <w:rPr>
          <w:rFonts w:ascii="Arial" w:hAnsi="Arial" w:cs="Arial"/>
          <w:color w:val="000000" w:themeColor="text1"/>
          <w:sz w:val="22"/>
          <w:szCs w:val="22"/>
          <w:lang w:eastAsia="en-US"/>
        </w:rPr>
      </w:pPr>
      <w:r w:rsidRPr="00B7032A">
        <w:rPr>
          <w:rFonts w:ascii="Arial" w:hAnsi="Arial" w:cs="Arial"/>
          <w:color w:val="000000" w:themeColor="text1"/>
          <w:sz w:val="22"/>
        </w:rPr>
        <w:t xml:space="preserve">Como se evidencia, en los casos en que se presente una oferta artificialmente baja, el numeral 4.1.3 del Capítulo IV del </w:t>
      </w:r>
      <w:r w:rsidR="003746A7" w:rsidRPr="00B7032A">
        <w:rPr>
          <w:rFonts w:ascii="Arial" w:hAnsi="Arial" w:cs="Arial"/>
          <w:color w:val="000000" w:themeColor="text1"/>
          <w:sz w:val="22"/>
        </w:rPr>
        <w:t>d</w:t>
      </w:r>
      <w:r w:rsidRPr="00B7032A">
        <w:rPr>
          <w:rFonts w:ascii="Arial" w:hAnsi="Arial" w:cs="Arial"/>
          <w:color w:val="000000" w:themeColor="text1"/>
          <w:sz w:val="22"/>
        </w:rPr>
        <w:t xml:space="preserve">ocumento </w:t>
      </w:r>
      <w:r w:rsidR="003746A7" w:rsidRPr="00B7032A">
        <w:rPr>
          <w:rFonts w:ascii="Arial" w:hAnsi="Arial" w:cs="Arial"/>
          <w:color w:val="000000" w:themeColor="text1"/>
          <w:sz w:val="22"/>
        </w:rPr>
        <w:t>b</w:t>
      </w:r>
      <w:r w:rsidRPr="00B7032A">
        <w:rPr>
          <w:rFonts w:ascii="Arial" w:hAnsi="Arial" w:cs="Arial"/>
          <w:color w:val="000000" w:themeColor="text1"/>
          <w:sz w:val="22"/>
        </w:rPr>
        <w:t xml:space="preserve">ase remite expresamente al procedimiento previsto en el artículo 2.2.1.1.2.2.4 del Decreto 1082 de 2015. Además, la entidad pública </w:t>
      </w:r>
      <w:r w:rsidRPr="00B7032A">
        <w:rPr>
          <w:rFonts w:ascii="Arial" w:hAnsi="Arial" w:cs="Arial"/>
          <w:color w:val="000000" w:themeColor="text1"/>
          <w:sz w:val="22"/>
        </w:rPr>
        <w:lastRenderedPageBreak/>
        <w:t>podrá acudir a los parámetros definidos en la Guía para el manejo de ofertas artificialmente bajas en procesos de contratación, como un criterio metodológico.</w:t>
      </w:r>
    </w:p>
    <w:p w14:paraId="6A2DD903" w14:textId="5E7DE124" w:rsidR="006461D7" w:rsidRPr="00B7032A" w:rsidRDefault="00775F8A" w:rsidP="006461D7">
      <w:pPr>
        <w:spacing w:before="120" w:line="276" w:lineRule="auto"/>
        <w:ind w:firstLine="709"/>
        <w:jc w:val="both"/>
        <w:rPr>
          <w:rFonts w:ascii="Arial" w:hAnsi="Arial" w:cs="Arial"/>
          <w:color w:val="000000" w:themeColor="text1"/>
          <w:sz w:val="22"/>
        </w:rPr>
      </w:pPr>
      <w:r w:rsidRPr="00B7032A">
        <w:rPr>
          <w:rFonts w:ascii="Arial" w:hAnsi="Arial" w:cs="Arial"/>
          <w:color w:val="000000" w:themeColor="text1"/>
          <w:sz w:val="22"/>
        </w:rPr>
        <w:t>C</w:t>
      </w:r>
      <w:r w:rsidR="006461D7" w:rsidRPr="00B7032A">
        <w:rPr>
          <w:rFonts w:ascii="Arial" w:hAnsi="Arial" w:cs="Arial"/>
          <w:color w:val="000000" w:themeColor="text1"/>
          <w:sz w:val="22"/>
        </w:rPr>
        <w:t>omo se explicó, el artículo 2.2.1.1.2.2.4 del Decreto 1082 de 2015 impone el deber a las entidades públicas de requerir al oferente para que explique las razones que sustentan el valor ofrecido, para posteriormente analizarlas y</w:t>
      </w:r>
      <w:r w:rsidR="00F03F1C" w:rsidRPr="00B7032A">
        <w:rPr>
          <w:rFonts w:ascii="Arial" w:hAnsi="Arial" w:cs="Arial"/>
          <w:color w:val="000000" w:themeColor="text1"/>
          <w:sz w:val="22"/>
        </w:rPr>
        <w:t>,</w:t>
      </w:r>
      <w:r w:rsidR="006461D7" w:rsidRPr="00B7032A">
        <w:rPr>
          <w:rFonts w:ascii="Arial" w:hAnsi="Arial" w:cs="Arial"/>
          <w:color w:val="000000" w:themeColor="text1"/>
          <w:sz w:val="22"/>
        </w:rPr>
        <w:t xml:space="preserve"> con base en ello, definir si procede el rechazo de la oferta o se continúa con el análisis de </w:t>
      </w:r>
      <w:proofErr w:type="gramStart"/>
      <w:r w:rsidR="006461D7" w:rsidRPr="00B7032A">
        <w:rPr>
          <w:rFonts w:ascii="Arial" w:hAnsi="Arial" w:cs="Arial"/>
          <w:color w:val="000000" w:themeColor="text1"/>
          <w:sz w:val="22"/>
        </w:rPr>
        <w:t>la misma</w:t>
      </w:r>
      <w:proofErr w:type="gramEnd"/>
      <w:r w:rsidR="006461D7" w:rsidRPr="00B7032A">
        <w:rPr>
          <w:rFonts w:ascii="Arial" w:hAnsi="Arial" w:cs="Arial"/>
          <w:color w:val="000000" w:themeColor="text1"/>
          <w:sz w:val="22"/>
        </w:rPr>
        <w:t xml:space="preserve"> en la evaluación de las ofertas. Por su parte, la Guía para el manejo de ofertas artificialmente bajas en Procesos de Contratación establece criterios orientadores para las entidades públicas, que podrán aplicar para determinar si una oferta </w:t>
      </w:r>
      <w:r w:rsidR="00F03F1C" w:rsidRPr="00B7032A">
        <w:rPr>
          <w:rFonts w:ascii="Arial" w:hAnsi="Arial" w:cs="Arial"/>
          <w:color w:val="000000" w:themeColor="text1"/>
          <w:sz w:val="22"/>
        </w:rPr>
        <w:t xml:space="preserve">parece ser </w:t>
      </w:r>
      <w:r w:rsidR="006461D7" w:rsidRPr="00B7032A">
        <w:rPr>
          <w:rFonts w:ascii="Arial" w:hAnsi="Arial" w:cs="Arial"/>
          <w:color w:val="000000" w:themeColor="text1"/>
          <w:sz w:val="22"/>
        </w:rPr>
        <w:t xml:space="preserve">artificialmente baja. Sin embargo, no se trata de criterios vinculantes, de manera que las entidades pueden, a partir de los datos de los que dispongan, servirse de otros métodos razonables, para establecer el valor mínimo aceptable, justificando satisfactoriamente el resultado. </w:t>
      </w:r>
    </w:p>
    <w:p w14:paraId="460D4219" w14:textId="09C5B49A" w:rsidR="00AA746F" w:rsidRPr="00B7032A" w:rsidRDefault="00414F5E" w:rsidP="00AA746F">
      <w:pPr>
        <w:spacing w:before="120" w:line="276" w:lineRule="auto"/>
        <w:ind w:firstLine="708"/>
        <w:jc w:val="both"/>
        <w:rPr>
          <w:rFonts w:ascii="Arial" w:hAnsi="Arial" w:cs="Arial"/>
          <w:color w:val="000000" w:themeColor="text1"/>
          <w:sz w:val="22"/>
          <w:lang w:val="es-ES"/>
        </w:rPr>
      </w:pPr>
      <w:r w:rsidRPr="00B7032A">
        <w:rPr>
          <w:rFonts w:ascii="Arial" w:hAnsi="Arial" w:cs="Arial"/>
          <w:bCs/>
          <w:color w:val="000000" w:themeColor="text1"/>
          <w:sz w:val="22"/>
          <w:szCs w:val="22"/>
          <w:lang w:val="es-ES_tradnl" w:eastAsia="en-US"/>
        </w:rPr>
        <w:t xml:space="preserve">De esta manera, para la identificación de la oferta artificialmente baja en </w:t>
      </w:r>
      <w:r w:rsidRPr="00B7032A">
        <w:rPr>
          <w:rFonts w:ascii="Arial" w:hAnsi="Arial" w:cs="Arial"/>
          <w:bCs/>
          <w:color w:val="000000" w:themeColor="text1"/>
          <w:sz w:val="22"/>
          <w:szCs w:val="22"/>
          <w:lang w:val="es-ES_tradnl" w:eastAsia="en-US"/>
        </w:rPr>
        <w:t xml:space="preserve">el marco de los documentos tipo la entidad estatal podrá </w:t>
      </w:r>
      <w:r w:rsidR="00AA746F" w:rsidRPr="00B7032A">
        <w:rPr>
          <w:rFonts w:ascii="Arial" w:hAnsi="Arial" w:cs="Arial"/>
          <w:color w:val="000000" w:themeColor="text1"/>
          <w:sz w:val="22"/>
          <w:lang w:val="es-ES"/>
        </w:rPr>
        <w:t>tener en cuenta como insumos del mencionado análisis la información señalada en esta Guía, es</w:t>
      </w:r>
      <w:r w:rsidR="001818DE" w:rsidRPr="00B7032A">
        <w:rPr>
          <w:rFonts w:ascii="Arial" w:hAnsi="Arial" w:cs="Arial"/>
          <w:color w:val="000000" w:themeColor="text1"/>
          <w:sz w:val="22"/>
          <w:lang w:val="es-ES"/>
        </w:rPr>
        <w:t>to es</w:t>
      </w:r>
      <w:r w:rsidR="00AA746F" w:rsidRPr="00B7032A">
        <w:rPr>
          <w:rFonts w:ascii="Arial" w:hAnsi="Arial" w:cs="Arial"/>
          <w:color w:val="000000" w:themeColor="text1"/>
          <w:sz w:val="22"/>
          <w:lang w:val="es-ES"/>
        </w:rPr>
        <w:t xml:space="preserve">: i) el promedio del valor de las ofertas, </w:t>
      </w:r>
      <w:proofErr w:type="spellStart"/>
      <w:r w:rsidR="00AA746F" w:rsidRPr="00B7032A">
        <w:rPr>
          <w:rFonts w:ascii="Arial" w:hAnsi="Arial" w:cs="Arial"/>
          <w:color w:val="000000" w:themeColor="text1"/>
          <w:sz w:val="22"/>
          <w:lang w:val="es-ES"/>
        </w:rPr>
        <w:t>ii</w:t>
      </w:r>
      <w:proofErr w:type="spellEnd"/>
      <w:r w:rsidR="00AA746F" w:rsidRPr="00B7032A">
        <w:rPr>
          <w:rFonts w:ascii="Arial" w:hAnsi="Arial" w:cs="Arial"/>
          <w:color w:val="000000" w:themeColor="text1"/>
          <w:sz w:val="22"/>
          <w:lang w:val="es-ES"/>
        </w:rPr>
        <w:t xml:space="preserve">) la mediana del valor de las ofertas, </w:t>
      </w:r>
      <w:proofErr w:type="spellStart"/>
      <w:r w:rsidR="00AA746F" w:rsidRPr="00B7032A">
        <w:rPr>
          <w:rFonts w:ascii="Arial" w:hAnsi="Arial" w:cs="Arial"/>
          <w:color w:val="000000" w:themeColor="text1"/>
          <w:sz w:val="22"/>
          <w:lang w:val="es-ES"/>
        </w:rPr>
        <w:t>iii</w:t>
      </w:r>
      <w:proofErr w:type="spellEnd"/>
      <w:r w:rsidR="00AA746F" w:rsidRPr="00B7032A">
        <w:rPr>
          <w:rFonts w:ascii="Arial" w:hAnsi="Arial" w:cs="Arial"/>
          <w:color w:val="000000" w:themeColor="text1"/>
          <w:sz w:val="22"/>
          <w:lang w:val="es-ES"/>
        </w:rPr>
        <w:t xml:space="preserve">) la desviación estándar del valor de las ofertas, </w:t>
      </w:r>
      <w:proofErr w:type="spellStart"/>
      <w:r w:rsidR="00AA746F" w:rsidRPr="00B7032A">
        <w:rPr>
          <w:rFonts w:ascii="Arial" w:hAnsi="Arial" w:cs="Arial"/>
          <w:color w:val="000000" w:themeColor="text1"/>
          <w:sz w:val="22"/>
          <w:lang w:val="es-ES"/>
        </w:rPr>
        <w:t>iv</w:t>
      </w:r>
      <w:proofErr w:type="spellEnd"/>
      <w:r w:rsidR="00AA746F" w:rsidRPr="00B7032A">
        <w:rPr>
          <w:rFonts w:ascii="Arial" w:hAnsi="Arial" w:cs="Arial"/>
          <w:color w:val="000000" w:themeColor="text1"/>
          <w:sz w:val="22"/>
          <w:lang w:val="es-ES"/>
        </w:rPr>
        <w:t xml:space="preserve">) la diferencia entre el costo estimado del contrato y el promedio o mediana del valor de las ofertas, v) la diferencia entre el valor de la oferta que puede ser artificialmente baja y el promedio del valor de las ofertas, vi) la diferencia entre el valor de la oferta que puede ser artificialmente baja y el costo estimado del contrato y </w:t>
      </w:r>
      <w:proofErr w:type="spellStart"/>
      <w:r w:rsidR="00AA746F" w:rsidRPr="00B7032A">
        <w:rPr>
          <w:rFonts w:ascii="Arial" w:hAnsi="Arial" w:cs="Arial"/>
          <w:color w:val="000000" w:themeColor="text1"/>
          <w:sz w:val="22"/>
          <w:lang w:val="es-ES"/>
        </w:rPr>
        <w:t>vii</w:t>
      </w:r>
      <w:proofErr w:type="spellEnd"/>
      <w:r w:rsidR="00AA746F" w:rsidRPr="00B7032A">
        <w:rPr>
          <w:rFonts w:ascii="Arial" w:hAnsi="Arial" w:cs="Arial"/>
          <w:color w:val="000000" w:themeColor="text1"/>
          <w:sz w:val="22"/>
          <w:lang w:val="es-ES"/>
        </w:rPr>
        <w:t xml:space="preserve">) la información histórica de ofertas y contratos del objeto del proceso de contratación. </w:t>
      </w:r>
    </w:p>
    <w:p w14:paraId="40508688" w14:textId="29A874DB" w:rsidR="00926FA3" w:rsidRPr="008179FF" w:rsidRDefault="001818DE" w:rsidP="001D47D1">
      <w:pPr>
        <w:spacing w:before="120" w:line="276" w:lineRule="auto"/>
        <w:ind w:firstLine="709"/>
        <w:jc w:val="both"/>
        <w:rPr>
          <w:rFonts w:ascii="Arial" w:hAnsi="Arial" w:cs="Arial"/>
          <w:bCs/>
          <w:color w:val="000000" w:themeColor="text1"/>
          <w:sz w:val="22"/>
          <w:szCs w:val="22"/>
          <w:lang w:eastAsia="en-US"/>
        </w:rPr>
      </w:pPr>
      <w:r w:rsidRPr="00B7032A">
        <w:rPr>
          <w:rFonts w:ascii="Arial" w:hAnsi="Arial" w:cs="Arial"/>
          <w:color w:val="000000" w:themeColor="text1"/>
          <w:sz w:val="22"/>
          <w:lang w:val="es-ES"/>
        </w:rPr>
        <w:t>Dentro de las herramientas para su identificación</w:t>
      </w:r>
      <w:r w:rsidR="003746A7" w:rsidRPr="00B7032A">
        <w:rPr>
          <w:rFonts w:ascii="Arial" w:hAnsi="Arial" w:cs="Arial"/>
          <w:color w:val="000000" w:themeColor="text1"/>
          <w:sz w:val="22"/>
          <w:lang w:val="es-ES"/>
        </w:rPr>
        <w:t xml:space="preserve">, podrá determinar si la comparación </w:t>
      </w:r>
      <w:r w:rsidR="00694DF2" w:rsidRPr="00B7032A">
        <w:rPr>
          <w:rFonts w:ascii="Arial" w:hAnsi="Arial" w:cs="Arial"/>
          <w:color w:val="000000" w:themeColor="text1"/>
          <w:sz w:val="22"/>
          <w:lang w:val="es-ES"/>
        </w:rPr>
        <w:t xml:space="preserve">de las ofertas será absoluta o relativa en los términos señalados en la Guía. </w:t>
      </w:r>
      <w:r w:rsidR="00926FA3" w:rsidRPr="00B7032A">
        <w:rPr>
          <w:rFonts w:ascii="Arial" w:hAnsi="Arial" w:cs="Arial"/>
          <w:color w:val="000000" w:themeColor="text1"/>
          <w:sz w:val="22"/>
          <w:lang w:val="es-ES"/>
        </w:rPr>
        <w:t>En tal sentido, como</w:t>
      </w:r>
      <w:r w:rsidR="00694DF2" w:rsidRPr="00B7032A">
        <w:rPr>
          <w:rFonts w:ascii="Arial" w:hAnsi="Arial" w:cs="Arial"/>
          <w:color w:val="000000" w:themeColor="text1"/>
          <w:sz w:val="22"/>
          <w:lang w:val="es-ES"/>
        </w:rPr>
        <w:t xml:space="preserve"> se explicó anteriormente, con </w:t>
      </w:r>
      <w:r w:rsidR="008855B4" w:rsidRPr="00B7032A">
        <w:rPr>
          <w:rFonts w:ascii="Arial" w:hAnsi="Arial" w:cs="Arial"/>
          <w:color w:val="000000" w:themeColor="text1"/>
          <w:sz w:val="22"/>
          <w:lang w:val="es-ES"/>
        </w:rPr>
        <w:t xml:space="preserve">base en </w:t>
      </w:r>
      <w:r w:rsidR="00694DF2" w:rsidRPr="00B7032A">
        <w:rPr>
          <w:rFonts w:ascii="Arial" w:hAnsi="Arial" w:cs="Arial"/>
          <w:color w:val="000000" w:themeColor="text1"/>
          <w:sz w:val="22"/>
          <w:lang w:val="es-ES"/>
        </w:rPr>
        <w:t xml:space="preserve">esta metodología si se reciben menos de cinco (5) ofertas, se solicitará aclaración a los proponentes cuyas ofertas sean menores en un 20%, o un mayor porcentaje en relación con el costo estimado por la entidad estatal. </w:t>
      </w:r>
      <w:r w:rsidR="00926FA3" w:rsidRPr="00B7032A">
        <w:rPr>
          <w:rFonts w:ascii="Arial" w:hAnsi="Arial" w:cs="Arial"/>
          <w:color w:val="000000" w:themeColor="text1"/>
          <w:sz w:val="22"/>
          <w:lang w:val="es-ES"/>
        </w:rPr>
        <w:t xml:space="preserve">Por su parte, </w:t>
      </w:r>
      <w:r w:rsidR="00926FA3" w:rsidRPr="00B7032A">
        <w:rPr>
          <w:rFonts w:ascii="Arial" w:hAnsi="Arial" w:cs="Arial"/>
          <w:bCs/>
          <w:color w:val="000000" w:themeColor="text1"/>
          <w:sz w:val="22"/>
          <w:szCs w:val="22"/>
          <w:lang w:eastAsia="en-US"/>
        </w:rPr>
        <w:t xml:space="preserve">cuando se presentan más de cinco (5) ofertas la Guía </w:t>
      </w:r>
      <w:r w:rsidR="00926FA3" w:rsidRPr="00B7032A">
        <w:rPr>
          <w:rFonts w:ascii="Arial" w:hAnsi="Arial" w:cs="Arial"/>
          <w:color w:val="000000" w:themeColor="text1"/>
          <w:sz w:val="22"/>
          <w:lang w:val="es-ES"/>
        </w:rPr>
        <w:t xml:space="preserve">sugiere aplicar </w:t>
      </w:r>
      <w:r w:rsidR="0070439D" w:rsidRPr="00B7032A">
        <w:rPr>
          <w:rFonts w:ascii="Arial" w:hAnsi="Arial" w:cs="Arial"/>
          <w:color w:val="000000" w:themeColor="text1"/>
          <w:sz w:val="22"/>
          <w:lang w:val="es-ES"/>
        </w:rPr>
        <w:t xml:space="preserve">una </w:t>
      </w:r>
      <w:r w:rsidR="00926FA3" w:rsidRPr="00B7032A">
        <w:rPr>
          <w:rFonts w:ascii="Arial" w:hAnsi="Arial" w:cs="Arial"/>
          <w:color w:val="000000" w:themeColor="text1"/>
          <w:sz w:val="22"/>
          <w:lang w:val="es-ES"/>
        </w:rPr>
        <w:t>metodología para identificar ofertas con precios artificialmente bajos</w:t>
      </w:r>
      <w:r w:rsidR="0070439D" w:rsidRPr="00B7032A">
        <w:rPr>
          <w:rFonts w:ascii="Arial" w:hAnsi="Arial" w:cs="Arial"/>
          <w:color w:val="000000" w:themeColor="text1"/>
          <w:sz w:val="22"/>
          <w:lang w:val="es-ES"/>
        </w:rPr>
        <w:t>, dentro de la que se incluye la fijación de un valor mínimo aceptable</w:t>
      </w:r>
      <w:r w:rsidR="004F197C" w:rsidRPr="00B7032A">
        <w:rPr>
          <w:rFonts w:ascii="Arial" w:hAnsi="Arial" w:cs="Arial"/>
          <w:color w:val="000000" w:themeColor="text1"/>
          <w:sz w:val="22"/>
          <w:lang w:val="es-ES"/>
        </w:rPr>
        <w:t>.</w:t>
      </w:r>
      <w:r w:rsidR="0070439D" w:rsidRPr="00B7032A">
        <w:rPr>
          <w:rFonts w:ascii="Arial" w:hAnsi="Arial" w:cs="Arial"/>
          <w:color w:val="000000" w:themeColor="text1"/>
          <w:sz w:val="22"/>
          <w:lang w:val="es-ES"/>
        </w:rPr>
        <w:t xml:space="preserve"> </w:t>
      </w:r>
      <w:r w:rsidR="004F197C" w:rsidRPr="008179FF">
        <w:rPr>
          <w:rFonts w:ascii="Arial" w:hAnsi="Arial" w:cs="Arial"/>
          <w:color w:val="000000" w:themeColor="text1"/>
          <w:sz w:val="22"/>
          <w:lang w:val="es-ES"/>
        </w:rPr>
        <w:t xml:space="preserve">De este modo, la entidad puede identificar como ofertas artificialmente bajas las que se encuentren por debajo de ese valor mínimo. </w:t>
      </w:r>
    </w:p>
    <w:p w14:paraId="638FA4B4" w14:textId="1E33080F" w:rsidR="00414F5E" w:rsidRPr="008179FF" w:rsidRDefault="004F197C" w:rsidP="001D47D1">
      <w:pPr>
        <w:spacing w:before="120" w:line="276" w:lineRule="auto"/>
        <w:ind w:firstLine="709"/>
        <w:jc w:val="both"/>
        <w:rPr>
          <w:rFonts w:ascii="Arial" w:hAnsi="Arial" w:cs="Arial"/>
          <w:color w:val="000000" w:themeColor="text1"/>
          <w:sz w:val="22"/>
        </w:rPr>
      </w:pPr>
      <w:r w:rsidRPr="008179FF">
        <w:rPr>
          <w:rFonts w:ascii="Arial" w:hAnsi="Arial" w:cs="Arial"/>
          <w:color w:val="000000" w:themeColor="text1"/>
          <w:sz w:val="22"/>
          <w:lang w:val="es-ES"/>
        </w:rPr>
        <w:t xml:space="preserve">Con base en lo anterior, </w:t>
      </w:r>
      <w:r w:rsidR="008855B4" w:rsidRPr="008179FF">
        <w:rPr>
          <w:rFonts w:ascii="Arial" w:hAnsi="Arial" w:cs="Arial"/>
          <w:color w:val="000000" w:themeColor="text1"/>
          <w:sz w:val="22"/>
        </w:rPr>
        <w:t>el requerimiento</w:t>
      </w:r>
      <w:r w:rsidR="00694DF2" w:rsidRPr="008179FF">
        <w:rPr>
          <w:rFonts w:ascii="Arial" w:hAnsi="Arial" w:cs="Arial"/>
          <w:color w:val="000000" w:themeColor="text1"/>
          <w:sz w:val="22"/>
        </w:rPr>
        <w:t xml:space="preserve"> de aclaraciones al que se refiere artículo 2.2.1.1.2.2.4 del Decreto 1082 de 2015</w:t>
      </w:r>
      <w:r w:rsidR="008855B4" w:rsidRPr="008179FF">
        <w:rPr>
          <w:rFonts w:ascii="Arial" w:hAnsi="Arial" w:cs="Arial"/>
          <w:color w:val="000000" w:themeColor="text1"/>
          <w:sz w:val="22"/>
        </w:rPr>
        <w:t xml:space="preserve"> se</w:t>
      </w:r>
      <w:r w:rsidR="0025175F" w:rsidRPr="008179FF">
        <w:rPr>
          <w:rFonts w:ascii="Arial" w:hAnsi="Arial" w:cs="Arial"/>
          <w:color w:val="000000" w:themeColor="text1"/>
          <w:sz w:val="22"/>
        </w:rPr>
        <w:t xml:space="preserve"> podrá</w:t>
      </w:r>
      <w:r w:rsidR="008855B4" w:rsidRPr="008179FF">
        <w:rPr>
          <w:rFonts w:ascii="Arial" w:hAnsi="Arial" w:cs="Arial"/>
          <w:color w:val="000000" w:themeColor="text1"/>
          <w:sz w:val="22"/>
        </w:rPr>
        <w:t xml:space="preserve"> realizar a los proponentes que se encuentren en est</w:t>
      </w:r>
      <w:r w:rsidRPr="008179FF">
        <w:rPr>
          <w:rFonts w:ascii="Arial" w:hAnsi="Arial" w:cs="Arial"/>
          <w:color w:val="000000" w:themeColor="text1"/>
          <w:sz w:val="22"/>
        </w:rPr>
        <w:t>os</w:t>
      </w:r>
      <w:r w:rsidR="008855B4" w:rsidRPr="008179FF">
        <w:rPr>
          <w:rFonts w:ascii="Arial" w:hAnsi="Arial" w:cs="Arial"/>
          <w:color w:val="000000" w:themeColor="text1"/>
          <w:sz w:val="22"/>
        </w:rPr>
        <w:t xml:space="preserve"> supuesto</w:t>
      </w:r>
      <w:r w:rsidRPr="008179FF">
        <w:rPr>
          <w:rFonts w:ascii="Arial" w:hAnsi="Arial" w:cs="Arial"/>
          <w:color w:val="000000" w:themeColor="text1"/>
          <w:sz w:val="22"/>
        </w:rPr>
        <w:t>s</w:t>
      </w:r>
      <w:r w:rsidR="008855B4" w:rsidRPr="008179FF">
        <w:rPr>
          <w:rFonts w:ascii="Arial" w:hAnsi="Arial" w:cs="Arial"/>
          <w:color w:val="000000" w:themeColor="text1"/>
          <w:sz w:val="22"/>
        </w:rPr>
        <w:t xml:space="preserve"> y no solamente al que se encuentra en el primer orden de elegibilidad</w:t>
      </w:r>
      <w:r w:rsidR="000D1F24" w:rsidRPr="008179FF">
        <w:rPr>
          <w:rFonts w:ascii="Arial" w:hAnsi="Arial" w:cs="Arial"/>
          <w:color w:val="000000" w:themeColor="text1"/>
          <w:sz w:val="22"/>
        </w:rPr>
        <w:t>.</w:t>
      </w:r>
      <w:r w:rsidR="008855B4" w:rsidRPr="008179FF">
        <w:rPr>
          <w:rFonts w:ascii="Arial" w:hAnsi="Arial" w:cs="Arial"/>
          <w:color w:val="000000" w:themeColor="text1"/>
          <w:sz w:val="22"/>
        </w:rPr>
        <w:t xml:space="preserve"> No obstante, se reitera que estos no son criterios vinculantes, por lo que la entidad podrá aplicar cualquier otro método que considere pertinente</w:t>
      </w:r>
      <w:r w:rsidR="001D2C0B" w:rsidRPr="008179FF">
        <w:rPr>
          <w:rFonts w:ascii="Arial" w:hAnsi="Arial" w:cs="Arial"/>
          <w:color w:val="000000" w:themeColor="text1"/>
          <w:sz w:val="22"/>
        </w:rPr>
        <w:t xml:space="preserve"> y determinar </w:t>
      </w:r>
      <w:r w:rsidR="00926FA3" w:rsidRPr="008179FF">
        <w:rPr>
          <w:rFonts w:ascii="Arial" w:hAnsi="Arial" w:cs="Arial"/>
          <w:color w:val="000000" w:themeColor="text1"/>
          <w:sz w:val="22"/>
        </w:rPr>
        <w:t>la</w:t>
      </w:r>
      <w:r w:rsidR="001D2C0B" w:rsidRPr="008179FF">
        <w:rPr>
          <w:rFonts w:ascii="Arial" w:hAnsi="Arial" w:cs="Arial"/>
          <w:color w:val="000000" w:themeColor="text1"/>
          <w:sz w:val="22"/>
        </w:rPr>
        <w:t xml:space="preserve"> forma</w:t>
      </w:r>
      <w:r w:rsidR="00926FA3" w:rsidRPr="008179FF">
        <w:rPr>
          <w:rFonts w:ascii="Arial" w:hAnsi="Arial" w:cs="Arial"/>
          <w:color w:val="000000" w:themeColor="text1"/>
          <w:sz w:val="22"/>
        </w:rPr>
        <w:t xml:space="preserve"> en la que</w:t>
      </w:r>
      <w:r w:rsidR="001D2C0B" w:rsidRPr="008179FF">
        <w:rPr>
          <w:rFonts w:ascii="Arial" w:hAnsi="Arial" w:cs="Arial"/>
          <w:color w:val="000000" w:themeColor="text1"/>
          <w:sz w:val="22"/>
        </w:rPr>
        <w:t xml:space="preserve"> cumplirá el proceso descrito en la norma mencionada. </w:t>
      </w:r>
      <w:r w:rsidRPr="008179FF">
        <w:rPr>
          <w:rFonts w:ascii="Arial" w:hAnsi="Arial" w:cs="Arial"/>
          <w:color w:val="000000" w:themeColor="text1"/>
          <w:sz w:val="22"/>
        </w:rPr>
        <w:t xml:space="preserve">En todo caso, la entidad debe incorporar en la resolución de adjudicación </w:t>
      </w:r>
      <w:r w:rsidR="008D340A" w:rsidRPr="008179FF">
        <w:rPr>
          <w:rFonts w:ascii="Arial" w:hAnsi="Arial" w:cs="Arial"/>
          <w:color w:val="000000" w:themeColor="text1"/>
          <w:sz w:val="22"/>
        </w:rPr>
        <w:t xml:space="preserve">o en el informe de evaluación </w:t>
      </w:r>
      <w:r w:rsidRPr="008179FF">
        <w:rPr>
          <w:rFonts w:ascii="Arial" w:hAnsi="Arial" w:cs="Arial"/>
          <w:color w:val="000000" w:themeColor="text1"/>
          <w:sz w:val="22"/>
        </w:rPr>
        <w:t xml:space="preserve">una </w:t>
      </w:r>
      <w:r w:rsidRPr="008179FF">
        <w:rPr>
          <w:rFonts w:ascii="Arial" w:hAnsi="Arial" w:cs="Arial"/>
          <w:color w:val="000000" w:themeColor="text1"/>
          <w:sz w:val="22"/>
        </w:rPr>
        <w:lastRenderedPageBreak/>
        <w:t xml:space="preserve">explicación de la metodología que utilizó para identificar posibles ofertas artificialmente bajas en el </w:t>
      </w:r>
      <w:r w:rsidR="0049434C" w:rsidRPr="008179FF">
        <w:rPr>
          <w:rFonts w:ascii="Arial" w:hAnsi="Arial" w:cs="Arial"/>
          <w:color w:val="000000" w:themeColor="text1"/>
          <w:sz w:val="22"/>
        </w:rPr>
        <w:t>p</w:t>
      </w:r>
      <w:r w:rsidRPr="008179FF">
        <w:rPr>
          <w:rFonts w:ascii="Arial" w:hAnsi="Arial" w:cs="Arial"/>
          <w:color w:val="000000" w:themeColor="text1"/>
          <w:sz w:val="22"/>
        </w:rPr>
        <w:t xml:space="preserve">roceso de </w:t>
      </w:r>
      <w:r w:rsidR="0049434C" w:rsidRPr="008179FF">
        <w:rPr>
          <w:rFonts w:ascii="Arial" w:hAnsi="Arial" w:cs="Arial"/>
          <w:color w:val="000000" w:themeColor="text1"/>
          <w:sz w:val="22"/>
        </w:rPr>
        <w:t>c</w:t>
      </w:r>
      <w:r w:rsidRPr="008179FF">
        <w:rPr>
          <w:rFonts w:ascii="Arial" w:hAnsi="Arial" w:cs="Arial"/>
          <w:color w:val="000000" w:themeColor="text1"/>
          <w:sz w:val="22"/>
        </w:rPr>
        <w:t>ontratación.</w:t>
      </w:r>
    </w:p>
    <w:p w14:paraId="061EE55A" w14:textId="13F66B86" w:rsidR="006461D7" w:rsidRPr="00B7032A" w:rsidRDefault="0049434C" w:rsidP="00C61602">
      <w:pPr>
        <w:spacing w:before="120" w:line="276" w:lineRule="auto"/>
        <w:ind w:firstLine="709"/>
        <w:jc w:val="both"/>
        <w:rPr>
          <w:rFonts w:ascii="Arial" w:hAnsi="Arial" w:cs="Arial"/>
          <w:color w:val="000000" w:themeColor="text1"/>
          <w:sz w:val="22"/>
        </w:rPr>
      </w:pPr>
      <w:r w:rsidRPr="008179FF">
        <w:rPr>
          <w:rFonts w:ascii="Arial" w:hAnsi="Arial" w:cs="Arial"/>
          <w:bCs/>
          <w:color w:val="000000" w:themeColor="text1"/>
          <w:sz w:val="22"/>
          <w:szCs w:val="22"/>
          <w:lang w:eastAsia="en-US"/>
        </w:rPr>
        <w:t>Así las cosas, atendiendo las consultas planteadas</w:t>
      </w:r>
      <w:r w:rsidR="001F1B5E" w:rsidRPr="008179FF">
        <w:rPr>
          <w:rFonts w:ascii="Arial" w:hAnsi="Arial" w:cs="Arial"/>
          <w:bCs/>
          <w:color w:val="000000" w:themeColor="text1"/>
          <w:sz w:val="22"/>
          <w:szCs w:val="22"/>
          <w:lang w:eastAsia="en-US"/>
        </w:rPr>
        <w:t xml:space="preserve"> en relación con este punto, </w:t>
      </w:r>
      <w:r w:rsidRPr="008179FF">
        <w:rPr>
          <w:rFonts w:ascii="Arial" w:hAnsi="Arial" w:cs="Arial"/>
          <w:bCs/>
          <w:color w:val="000000" w:themeColor="text1"/>
          <w:sz w:val="22"/>
          <w:szCs w:val="22"/>
          <w:lang w:val="es-ES_tradnl" w:eastAsia="en-US"/>
        </w:rPr>
        <w:t xml:space="preserve">para la determinación de las ofertas artificialmente bajas en procesos regidos por documentos tipo, las entidades deben aplicar lo dispuesto en el </w:t>
      </w:r>
      <w:r w:rsidRPr="008179FF">
        <w:rPr>
          <w:rFonts w:ascii="Arial" w:hAnsi="Arial" w:cs="Arial"/>
          <w:bCs/>
          <w:color w:val="000000" w:themeColor="text1"/>
          <w:sz w:val="22"/>
          <w:szCs w:val="22"/>
          <w:lang w:eastAsia="en-US"/>
        </w:rPr>
        <w:t xml:space="preserve">artículo 2.2.1.1.2.2.4 del Decreto 1082 de 2015 y podrán tener en cuenta las metodologías definidas en la </w:t>
      </w:r>
      <w:r w:rsidR="001F1B5E" w:rsidRPr="008179FF">
        <w:rPr>
          <w:rFonts w:ascii="Arial" w:hAnsi="Arial" w:cs="Arial"/>
          <w:bCs/>
          <w:color w:val="000000" w:themeColor="text1"/>
          <w:sz w:val="22"/>
          <w:szCs w:val="22"/>
          <w:lang w:eastAsia="en-US"/>
        </w:rPr>
        <w:t>Guía</w:t>
      </w:r>
      <w:r w:rsidR="001F1B5E" w:rsidRPr="008179FF">
        <w:rPr>
          <w:rFonts w:ascii="Arial" w:hAnsi="Arial" w:cs="Arial"/>
          <w:color w:val="000000" w:themeColor="text1"/>
          <w:sz w:val="22"/>
        </w:rPr>
        <w:t xml:space="preserve"> para el manejo de ofertas artificialmente bajas en procesos de contratación</w:t>
      </w:r>
      <w:r w:rsidR="00F662CC" w:rsidRPr="008179FF">
        <w:rPr>
          <w:rFonts w:ascii="Arial" w:hAnsi="Arial" w:cs="Arial"/>
          <w:color w:val="000000" w:themeColor="text1"/>
          <w:sz w:val="22"/>
        </w:rPr>
        <w:t xml:space="preserve"> conforme a la explicación anteriormente expuesta. Sin embargo, se precisa que la</w:t>
      </w:r>
      <w:r w:rsidR="0076006D" w:rsidRPr="008179FF">
        <w:rPr>
          <w:rFonts w:ascii="Arial" w:hAnsi="Arial" w:cs="Arial"/>
          <w:color w:val="000000" w:themeColor="text1"/>
          <w:sz w:val="22"/>
        </w:rPr>
        <w:t xml:space="preserve"> determinación</w:t>
      </w:r>
      <w:r w:rsidR="00F662CC" w:rsidRPr="008179FF">
        <w:rPr>
          <w:rFonts w:ascii="Arial" w:hAnsi="Arial" w:cs="Arial"/>
          <w:color w:val="000000" w:themeColor="text1"/>
          <w:sz w:val="22"/>
        </w:rPr>
        <w:t xml:space="preserve"> de </w:t>
      </w:r>
      <w:r w:rsidR="0076006D" w:rsidRPr="008179FF">
        <w:rPr>
          <w:rFonts w:ascii="Arial" w:hAnsi="Arial" w:cs="Arial"/>
          <w:color w:val="000000" w:themeColor="text1"/>
          <w:sz w:val="22"/>
        </w:rPr>
        <w:t>la metodología</w:t>
      </w:r>
      <w:r w:rsidR="00F662CC" w:rsidRPr="008179FF">
        <w:rPr>
          <w:rFonts w:ascii="Arial" w:hAnsi="Arial" w:cs="Arial"/>
          <w:color w:val="000000" w:themeColor="text1"/>
          <w:sz w:val="22"/>
        </w:rPr>
        <w:t xml:space="preserve"> no </w:t>
      </w:r>
      <w:r w:rsidR="0025175F" w:rsidRPr="008179FF">
        <w:rPr>
          <w:rFonts w:ascii="Arial" w:hAnsi="Arial" w:cs="Arial"/>
          <w:color w:val="000000" w:themeColor="text1"/>
          <w:sz w:val="22"/>
        </w:rPr>
        <w:t>significa</w:t>
      </w:r>
      <w:r w:rsidR="00F662CC" w:rsidRPr="008179FF">
        <w:rPr>
          <w:rFonts w:ascii="Arial" w:hAnsi="Arial" w:cs="Arial"/>
          <w:color w:val="000000" w:themeColor="text1"/>
          <w:sz w:val="22"/>
        </w:rPr>
        <w:t xml:space="preserve"> que la entidad pued</w:t>
      </w:r>
      <w:r w:rsidR="0025175F" w:rsidRPr="008179FF">
        <w:rPr>
          <w:rFonts w:ascii="Arial" w:hAnsi="Arial" w:cs="Arial"/>
          <w:color w:val="000000" w:themeColor="text1"/>
          <w:sz w:val="22"/>
        </w:rPr>
        <w:t>e</w:t>
      </w:r>
      <w:r w:rsidR="00F662CC" w:rsidRPr="008179FF">
        <w:rPr>
          <w:rFonts w:ascii="Arial" w:hAnsi="Arial" w:cs="Arial"/>
          <w:color w:val="000000" w:themeColor="text1"/>
          <w:sz w:val="22"/>
        </w:rPr>
        <w:t xml:space="preserve"> </w:t>
      </w:r>
      <w:r w:rsidR="00D97386" w:rsidRPr="008179FF">
        <w:rPr>
          <w:rFonts w:ascii="Arial" w:hAnsi="Arial" w:cs="Arial"/>
          <w:color w:val="000000" w:themeColor="text1"/>
          <w:sz w:val="22"/>
        </w:rPr>
        <w:t>modificar</w:t>
      </w:r>
      <w:r w:rsidR="00F662CC" w:rsidRPr="008179FF">
        <w:rPr>
          <w:rFonts w:ascii="Arial" w:hAnsi="Arial" w:cs="Arial"/>
          <w:color w:val="000000" w:themeColor="text1"/>
          <w:sz w:val="22"/>
        </w:rPr>
        <w:t xml:space="preserve"> el contenido del numeral 4.3.1 del documento base</w:t>
      </w:r>
      <w:r w:rsidR="00D97386" w:rsidRPr="008179FF">
        <w:rPr>
          <w:rFonts w:ascii="Arial" w:hAnsi="Arial" w:cs="Arial"/>
          <w:color w:val="000000" w:themeColor="text1"/>
          <w:sz w:val="22"/>
        </w:rPr>
        <w:t xml:space="preserve"> para </w:t>
      </w:r>
      <w:r w:rsidR="0076006D" w:rsidRPr="008179FF">
        <w:rPr>
          <w:rFonts w:ascii="Arial" w:hAnsi="Arial" w:cs="Arial"/>
          <w:color w:val="000000" w:themeColor="text1"/>
          <w:sz w:val="22"/>
        </w:rPr>
        <w:t>incluir las</w:t>
      </w:r>
      <w:r w:rsidR="00C61602" w:rsidRPr="008179FF">
        <w:rPr>
          <w:rFonts w:ascii="Arial" w:hAnsi="Arial" w:cs="Arial"/>
          <w:color w:val="000000" w:themeColor="text1"/>
          <w:sz w:val="22"/>
        </w:rPr>
        <w:t xml:space="preserve"> condiciones en las que se desarrollará esta metodología, pues se vulneraría la regla de inalterabilidad de los documentos tipo.</w:t>
      </w:r>
      <w:r w:rsidR="0076006D" w:rsidRPr="008179FF">
        <w:rPr>
          <w:rFonts w:ascii="Arial" w:hAnsi="Arial" w:cs="Arial"/>
          <w:color w:val="000000" w:themeColor="text1"/>
          <w:sz w:val="22"/>
        </w:rPr>
        <w:t xml:space="preserve"> Al respecto, recuérdese que los únicos aspectos que pueden ser diligenciados por la entidad son aquellos que </w:t>
      </w:r>
      <w:r w:rsidR="00805559" w:rsidRPr="008179FF">
        <w:rPr>
          <w:rFonts w:ascii="Arial" w:hAnsi="Arial" w:cs="Arial"/>
          <w:color w:val="000000" w:themeColor="text1"/>
          <w:sz w:val="22"/>
        </w:rPr>
        <w:t>se encuentran incluidos en corchetes y resaltado en gr</w:t>
      </w:r>
      <w:r w:rsidR="00FE6E56" w:rsidRPr="008179FF">
        <w:rPr>
          <w:rFonts w:ascii="Arial" w:hAnsi="Arial" w:cs="Arial"/>
          <w:color w:val="000000" w:themeColor="text1"/>
          <w:sz w:val="22"/>
        </w:rPr>
        <w:t>is</w:t>
      </w:r>
      <w:r w:rsidR="0002555A" w:rsidRPr="008179FF">
        <w:rPr>
          <w:rFonts w:ascii="Arial" w:hAnsi="Arial" w:cs="Arial"/>
          <w:color w:val="000000" w:themeColor="text1"/>
          <w:sz w:val="22"/>
        </w:rPr>
        <w:t xml:space="preserve"> o cuya modificación sea permitida por los mismos documentos tipo</w:t>
      </w:r>
      <w:r w:rsidR="00805559" w:rsidRPr="008179FF">
        <w:rPr>
          <w:rFonts w:ascii="Arial" w:hAnsi="Arial" w:cs="Arial"/>
          <w:color w:val="000000" w:themeColor="text1"/>
          <w:sz w:val="22"/>
        </w:rPr>
        <w:t xml:space="preserve">, </w:t>
      </w:r>
      <w:r w:rsidR="000D1F24" w:rsidRPr="008179FF">
        <w:rPr>
          <w:rFonts w:ascii="Arial" w:hAnsi="Arial" w:cs="Arial"/>
          <w:color w:val="000000" w:themeColor="text1"/>
          <w:sz w:val="22"/>
        </w:rPr>
        <w:t>opci</w:t>
      </w:r>
      <w:r w:rsidR="0002555A" w:rsidRPr="008179FF">
        <w:rPr>
          <w:rFonts w:ascii="Arial" w:hAnsi="Arial" w:cs="Arial"/>
          <w:color w:val="000000" w:themeColor="text1"/>
          <w:sz w:val="22"/>
        </w:rPr>
        <w:t>ones</w:t>
      </w:r>
      <w:r w:rsidR="000D1F24" w:rsidRPr="008179FF">
        <w:rPr>
          <w:rFonts w:ascii="Arial" w:hAnsi="Arial" w:cs="Arial"/>
          <w:color w:val="000000" w:themeColor="text1"/>
          <w:sz w:val="22"/>
        </w:rPr>
        <w:t xml:space="preserve"> que no se encuentra</w:t>
      </w:r>
      <w:r w:rsidR="0002555A" w:rsidRPr="008179FF">
        <w:rPr>
          <w:rFonts w:ascii="Arial" w:hAnsi="Arial" w:cs="Arial"/>
          <w:color w:val="000000" w:themeColor="text1"/>
          <w:sz w:val="22"/>
        </w:rPr>
        <w:t>n</w:t>
      </w:r>
      <w:r w:rsidR="000D1F24" w:rsidRPr="008179FF">
        <w:rPr>
          <w:rFonts w:ascii="Arial" w:hAnsi="Arial" w:cs="Arial"/>
          <w:color w:val="000000" w:themeColor="text1"/>
          <w:sz w:val="22"/>
        </w:rPr>
        <w:t xml:space="preserve"> en el numeral mencionado.</w:t>
      </w:r>
      <w:r w:rsidR="000D1F24" w:rsidRPr="00B7032A">
        <w:rPr>
          <w:rFonts w:ascii="Arial" w:hAnsi="Arial" w:cs="Arial"/>
          <w:color w:val="000000" w:themeColor="text1"/>
          <w:sz w:val="22"/>
        </w:rPr>
        <w:t xml:space="preserve"> </w:t>
      </w:r>
    </w:p>
    <w:p w14:paraId="7CF51E42" w14:textId="77777777" w:rsidR="001804B1" w:rsidRPr="00B7032A" w:rsidRDefault="001804B1" w:rsidP="006461D7">
      <w:pPr>
        <w:spacing w:line="276" w:lineRule="auto"/>
        <w:jc w:val="both"/>
        <w:rPr>
          <w:rFonts w:ascii="Arial" w:hAnsi="Arial" w:cs="Arial"/>
          <w:color w:val="000000" w:themeColor="text1"/>
          <w:sz w:val="22"/>
        </w:rPr>
      </w:pPr>
    </w:p>
    <w:p w14:paraId="019DA42E" w14:textId="092D96AB" w:rsidR="00D27C74" w:rsidRPr="00B7032A" w:rsidRDefault="001804B1" w:rsidP="006461D7">
      <w:pPr>
        <w:spacing w:line="276" w:lineRule="auto"/>
        <w:jc w:val="both"/>
        <w:rPr>
          <w:rFonts w:ascii="Arial" w:hAnsi="Arial" w:cs="Arial"/>
          <w:b/>
          <w:bCs/>
          <w:color w:val="000000" w:themeColor="text1"/>
          <w:sz w:val="22"/>
        </w:rPr>
      </w:pPr>
      <w:r w:rsidRPr="00B7032A">
        <w:rPr>
          <w:rFonts w:ascii="Arial" w:hAnsi="Arial" w:cs="Arial"/>
          <w:b/>
          <w:bCs/>
          <w:color w:val="000000" w:themeColor="text1"/>
          <w:sz w:val="22"/>
        </w:rPr>
        <w:t>2.7 Procesos estructurados por lotes, módulos o grupos en los documentos</w:t>
      </w:r>
      <w:r w:rsidR="001373BF" w:rsidRPr="00B7032A">
        <w:rPr>
          <w:rFonts w:ascii="Arial" w:hAnsi="Arial" w:cs="Arial"/>
          <w:b/>
          <w:bCs/>
          <w:color w:val="000000" w:themeColor="text1"/>
          <w:sz w:val="22"/>
        </w:rPr>
        <w:t xml:space="preserve"> tipo de infraestructura social</w:t>
      </w:r>
    </w:p>
    <w:p w14:paraId="311287BA" w14:textId="77777777" w:rsidR="001804B1" w:rsidRPr="00B7032A" w:rsidRDefault="001804B1" w:rsidP="001804B1">
      <w:pPr>
        <w:tabs>
          <w:tab w:val="left" w:pos="0"/>
        </w:tabs>
        <w:spacing w:line="276" w:lineRule="auto"/>
        <w:jc w:val="both"/>
        <w:rPr>
          <w:rFonts w:ascii="Arial" w:hAnsi="Arial" w:cs="Arial"/>
          <w:sz w:val="22"/>
          <w:szCs w:val="22"/>
          <w:shd w:val="clear" w:color="auto" w:fill="FFFFFF"/>
          <w:lang w:val="es-ES_tradnl"/>
        </w:rPr>
      </w:pPr>
    </w:p>
    <w:p w14:paraId="4B6881D0" w14:textId="7C944AD1" w:rsidR="001804B1" w:rsidRPr="00B7032A" w:rsidRDefault="001804B1" w:rsidP="001804B1">
      <w:pPr>
        <w:tabs>
          <w:tab w:val="left" w:pos="0"/>
        </w:tabs>
        <w:spacing w:line="276" w:lineRule="auto"/>
        <w:jc w:val="both"/>
        <w:rPr>
          <w:rFonts w:ascii="Arial" w:hAnsi="Arial" w:cs="Arial"/>
          <w:sz w:val="22"/>
          <w:szCs w:val="22"/>
          <w:shd w:val="clear" w:color="auto" w:fill="FFFFFF"/>
          <w:lang w:val="es-ES_tradnl"/>
        </w:rPr>
      </w:pPr>
      <w:r w:rsidRPr="00B7032A">
        <w:rPr>
          <w:rFonts w:ascii="Arial" w:hAnsi="Arial" w:cs="Arial"/>
          <w:sz w:val="22"/>
          <w:szCs w:val="22"/>
          <w:shd w:val="clear" w:color="auto" w:fill="FFFFFF"/>
          <w:lang w:val="es-ES_tradnl"/>
        </w:rPr>
        <w:t>Teniendo en cuenta que en la consulta se hace referencia a</w:t>
      </w:r>
      <w:r w:rsidR="006D352A" w:rsidRPr="00B7032A">
        <w:rPr>
          <w:rFonts w:ascii="Arial" w:hAnsi="Arial" w:cs="Arial"/>
          <w:sz w:val="22"/>
          <w:szCs w:val="22"/>
          <w:shd w:val="clear" w:color="auto" w:fill="FFFFFF"/>
          <w:lang w:val="es-ES_tradnl"/>
        </w:rPr>
        <w:t xml:space="preserve"> las causales de rechazo relacionada con los procesos estructurados por lotes, es pertinente analizar las reglas establecidas en el documento base </w:t>
      </w:r>
      <w:r w:rsidR="001373BF" w:rsidRPr="00B7032A">
        <w:rPr>
          <w:rFonts w:ascii="Arial" w:hAnsi="Arial" w:cs="Arial"/>
          <w:sz w:val="22"/>
          <w:szCs w:val="22"/>
          <w:shd w:val="clear" w:color="auto" w:fill="FFFFFF"/>
          <w:lang w:val="es-ES_tradnl"/>
        </w:rPr>
        <w:t xml:space="preserve">de infraestructura social </w:t>
      </w:r>
      <w:r w:rsidR="006D352A" w:rsidRPr="00B7032A">
        <w:rPr>
          <w:rFonts w:ascii="Arial" w:hAnsi="Arial" w:cs="Arial"/>
          <w:sz w:val="22"/>
          <w:szCs w:val="22"/>
          <w:shd w:val="clear" w:color="auto" w:fill="FFFFFF"/>
          <w:lang w:val="es-ES_tradnl"/>
        </w:rPr>
        <w:t xml:space="preserve">para </w:t>
      </w:r>
      <w:r w:rsidR="001373BF" w:rsidRPr="00B7032A">
        <w:rPr>
          <w:rFonts w:ascii="Arial" w:hAnsi="Arial" w:cs="Arial"/>
          <w:sz w:val="22"/>
          <w:szCs w:val="22"/>
          <w:shd w:val="clear" w:color="auto" w:fill="FFFFFF"/>
          <w:lang w:val="es-ES_tradnl"/>
        </w:rPr>
        <w:t>los</w:t>
      </w:r>
      <w:r w:rsidR="002148CE" w:rsidRPr="00B7032A">
        <w:rPr>
          <w:rFonts w:ascii="Arial" w:hAnsi="Arial" w:cs="Arial"/>
          <w:sz w:val="22"/>
          <w:szCs w:val="22"/>
          <w:shd w:val="clear" w:color="auto" w:fill="FFFFFF"/>
          <w:lang w:val="es-ES_tradnl"/>
        </w:rPr>
        <w:t xml:space="preserve"> procesos</w:t>
      </w:r>
      <w:r w:rsidR="001373BF" w:rsidRPr="00B7032A">
        <w:rPr>
          <w:rFonts w:ascii="Arial" w:hAnsi="Arial" w:cs="Arial"/>
          <w:sz w:val="22"/>
          <w:szCs w:val="22"/>
          <w:shd w:val="clear" w:color="auto" w:fill="FFFFFF"/>
          <w:lang w:val="es-ES_tradnl"/>
        </w:rPr>
        <w:t xml:space="preserve"> estructurados por lotes, módulos o grupos,</w:t>
      </w:r>
      <w:r w:rsidR="006D352A" w:rsidRPr="00B7032A">
        <w:rPr>
          <w:rFonts w:ascii="Arial" w:hAnsi="Arial" w:cs="Arial"/>
          <w:sz w:val="22"/>
          <w:szCs w:val="22"/>
          <w:shd w:val="clear" w:color="auto" w:fill="FFFFFF"/>
          <w:lang w:val="es-ES_tradnl"/>
        </w:rPr>
        <w:t xml:space="preserve"> con la finalidad de responder la consulta planteada</w:t>
      </w:r>
      <w:r w:rsidR="002148CE" w:rsidRPr="00B7032A">
        <w:rPr>
          <w:rFonts w:ascii="Arial" w:hAnsi="Arial" w:cs="Arial"/>
          <w:sz w:val="22"/>
          <w:szCs w:val="22"/>
          <w:shd w:val="clear" w:color="auto" w:fill="FFFFFF"/>
          <w:lang w:val="es-ES_tradnl"/>
        </w:rPr>
        <w:t xml:space="preserve">. </w:t>
      </w:r>
      <w:r w:rsidRPr="00B7032A">
        <w:rPr>
          <w:rFonts w:ascii="Arial" w:hAnsi="Arial" w:cs="Arial"/>
          <w:sz w:val="22"/>
          <w:szCs w:val="22"/>
          <w:shd w:val="clear" w:color="auto" w:fill="FFFFFF"/>
          <w:lang w:val="es-ES_tradnl"/>
        </w:rPr>
        <w:t xml:space="preserve">Al respecto, el </w:t>
      </w:r>
      <w:r w:rsidR="002148CE" w:rsidRPr="00B7032A">
        <w:rPr>
          <w:rFonts w:ascii="Arial" w:hAnsi="Arial" w:cs="Arial"/>
          <w:sz w:val="22"/>
          <w:szCs w:val="22"/>
          <w:shd w:val="clear" w:color="auto" w:fill="FFFFFF"/>
          <w:lang w:val="es-ES_tradnl"/>
        </w:rPr>
        <w:t>d</w:t>
      </w:r>
      <w:r w:rsidRPr="00B7032A">
        <w:rPr>
          <w:rFonts w:ascii="Arial" w:hAnsi="Arial" w:cs="Arial"/>
          <w:sz w:val="22"/>
          <w:szCs w:val="22"/>
          <w:shd w:val="clear" w:color="auto" w:fill="FFFFFF"/>
          <w:lang w:val="es-ES_tradnl"/>
        </w:rPr>
        <w:t xml:space="preserve">ocumento </w:t>
      </w:r>
      <w:r w:rsidR="002148CE" w:rsidRPr="00B7032A">
        <w:rPr>
          <w:rFonts w:ascii="Arial" w:hAnsi="Arial" w:cs="Arial"/>
          <w:sz w:val="22"/>
          <w:szCs w:val="22"/>
          <w:shd w:val="clear" w:color="auto" w:fill="FFFFFF"/>
          <w:lang w:val="es-ES_tradnl"/>
        </w:rPr>
        <w:t>b</w:t>
      </w:r>
      <w:r w:rsidRPr="00B7032A">
        <w:rPr>
          <w:rFonts w:ascii="Arial" w:hAnsi="Arial" w:cs="Arial"/>
          <w:sz w:val="22"/>
          <w:szCs w:val="22"/>
          <w:shd w:val="clear" w:color="auto" w:fill="FFFFFF"/>
          <w:lang w:val="es-ES_tradnl"/>
        </w:rPr>
        <w:t xml:space="preserve">ase </w:t>
      </w:r>
      <w:r w:rsidR="002148CE" w:rsidRPr="00B7032A">
        <w:rPr>
          <w:rFonts w:ascii="Arial" w:hAnsi="Arial" w:cs="Arial"/>
          <w:sz w:val="22"/>
          <w:szCs w:val="22"/>
          <w:shd w:val="clear" w:color="auto" w:fill="FFFFFF"/>
          <w:lang w:val="es-ES_tradnl"/>
        </w:rPr>
        <w:t xml:space="preserve">en el numeral 2.10 </w:t>
      </w:r>
      <w:r w:rsidRPr="00B7032A">
        <w:rPr>
          <w:rFonts w:ascii="Arial" w:hAnsi="Arial" w:cs="Arial"/>
          <w:sz w:val="22"/>
          <w:szCs w:val="22"/>
          <w:shd w:val="clear" w:color="auto" w:fill="FFFFFF"/>
          <w:lang w:val="es-ES_tradnl"/>
        </w:rPr>
        <w:t>establece:</w:t>
      </w:r>
    </w:p>
    <w:p w14:paraId="0348E3C1" w14:textId="77777777" w:rsidR="001804B1" w:rsidRPr="00B7032A" w:rsidRDefault="001804B1" w:rsidP="001804B1">
      <w:pPr>
        <w:keepNext/>
        <w:keepLines/>
        <w:numPr>
          <w:ilvl w:val="1"/>
          <w:numId w:val="0"/>
        </w:numPr>
        <w:ind w:left="709" w:right="709"/>
        <w:jc w:val="both"/>
        <w:outlineLvl w:val="1"/>
        <w:rPr>
          <w:rFonts w:ascii="Arial" w:hAnsi="Arial" w:cs="Arial"/>
          <w:b/>
          <w:color w:val="000000"/>
          <w:sz w:val="21"/>
          <w:szCs w:val="21"/>
          <w:lang w:val="es-ES_tradnl" w:eastAsia="en-US"/>
        </w:rPr>
      </w:pPr>
      <w:bookmarkStart w:id="37" w:name="_Toc57727269"/>
    </w:p>
    <w:p w14:paraId="1E5618C4" w14:textId="77777777" w:rsidR="001804B1" w:rsidRPr="00B7032A" w:rsidRDefault="001804B1" w:rsidP="001804B1">
      <w:pPr>
        <w:keepNext/>
        <w:keepLines/>
        <w:numPr>
          <w:ilvl w:val="1"/>
          <w:numId w:val="0"/>
        </w:numPr>
        <w:ind w:left="709" w:right="709"/>
        <w:jc w:val="both"/>
        <w:outlineLvl w:val="1"/>
        <w:rPr>
          <w:rFonts w:ascii="Arial" w:hAnsi="Arial" w:cs="Arial"/>
          <w:bCs/>
          <w:caps/>
          <w:color w:val="000000"/>
          <w:sz w:val="21"/>
          <w:szCs w:val="21"/>
          <w:lang w:val="es-ES_tradnl" w:eastAsia="en-US"/>
        </w:rPr>
      </w:pPr>
      <w:r w:rsidRPr="00B7032A">
        <w:rPr>
          <w:rFonts w:ascii="Arial" w:hAnsi="Arial" w:cs="Arial"/>
          <w:bCs/>
          <w:color w:val="000000"/>
          <w:sz w:val="21"/>
          <w:szCs w:val="21"/>
          <w:lang w:val="es-ES_tradnl" w:eastAsia="en-US"/>
        </w:rPr>
        <w:t>2.10. REGLAS PARA LOS PROCESOS ESTRUCTURADOS POR LOTES O GRUPOS</w:t>
      </w:r>
      <w:bookmarkEnd w:id="37"/>
    </w:p>
    <w:p w14:paraId="6800CCC7" w14:textId="77777777" w:rsidR="001804B1" w:rsidRPr="00B7032A" w:rsidRDefault="001804B1" w:rsidP="001804B1">
      <w:pPr>
        <w:ind w:left="709" w:right="709"/>
        <w:jc w:val="both"/>
        <w:rPr>
          <w:rFonts w:ascii="Arial" w:eastAsia="Calibri" w:hAnsi="Arial" w:cs="Arial"/>
          <w:color w:val="000000"/>
          <w:sz w:val="21"/>
          <w:szCs w:val="21"/>
          <w:lang w:val="es-ES_tradnl" w:eastAsia="en-US"/>
        </w:rPr>
      </w:pPr>
    </w:p>
    <w:p w14:paraId="2DB39182" w14:textId="6C51C351" w:rsidR="0064069B" w:rsidRPr="00B7032A" w:rsidRDefault="0064069B" w:rsidP="0064069B">
      <w:pPr>
        <w:ind w:left="709" w:right="709"/>
        <w:jc w:val="both"/>
        <w:rPr>
          <w:rFonts w:ascii="Arial" w:eastAsia="Calibri" w:hAnsi="Arial" w:cs="Arial"/>
          <w:color w:val="000000"/>
          <w:sz w:val="21"/>
          <w:szCs w:val="21"/>
          <w:lang w:val="es-ES_tradnl" w:eastAsia="en-US"/>
        </w:rPr>
      </w:pPr>
      <w:r w:rsidRPr="00B7032A">
        <w:rPr>
          <w:rFonts w:ascii="Arial" w:eastAsia="Calibri" w:hAnsi="Arial" w:cs="Arial"/>
          <w:color w:val="000000"/>
          <w:sz w:val="21"/>
          <w:szCs w:val="21"/>
          <w:lang w:val="es-ES_tradnl" w:eastAsia="en-US"/>
        </w:rPr>
        <w:t>[</w:t>
      </w:r>
      <w:r w:rsidRPr="00B7032A">
        <w:rPr>
          <w:rFonts w:ascii="Arial" w:eastAsia="Calibri" w:hAnsi="Arial" w:cs="Arial"/>
          <w:color w:val="000000"/>
          <w:sz w:val="21"/>
          <w:szCs w:val="21"/>
          <w:shd w:val="clear" w:color="auto" w:fill="B5B5B5" w:themeFill="background2" w:themeFillShade="BF"/>
          <w:lang w:val="es-ES_tradnl" w:eastAsia="en-US"/>
        </w:rPr>
        <w:t>La Entidad debe incluir esta sección y aplicar las reglas aquí señaladas cuando estructure el Proceso de Contratación por lotes o grupos]</w:t>
      </w:r>
    </w:p>
    <w:p w14:paraId="17BED983" w14:textId="77777777" w:rsidR="0064069B" w:rsidRPr="00B7032A" w:rsidRDefault="0064069B" w:rsidP="0064069B">
      <w:pPr>
        <w:ind w:left="709" w:right="709"/>
        <w:jc w:val="both"/>
        <w:rPr>
          <w:rFonts w:ascii="Arial" w:eastAsia="Calibri" w:hAnsi="Arial" w:cs="Arial"/>
          <w:color w:val="000000"/>
          <w:sz w:val="21"/>
          <w:szCs w:val="21"/>
          <w:lang w:val="es-ES_tradnl" w:eastAsia="en-US"/>
        </w:rPr>
      </w:pPr>
    </w:p>
    <w:p w14:paraId="5CE1EAE9" w14:textId="77777777" w:rsidR="0064069B" w:rsidRPr="00B7032A" w:rsidRDefault="0064069B" w:rsidP="0064069B">
      <w:pPr>
        <w:ind w:left="709" w:right="709"/>
        <w:jc w:val="both"/>
        <w:rPr>
          <w:rFonts w:ascii="Arial" w:eastAsia="Calibri" w:hAnsi="Arial" w:cs="Arial"/>
          <w:color w:val="000000"/>
          <w:sz w:val="21"/>
          <w:szCs w:val="21"/>
          <w:lang w:val="es-ES_tradnl" w:eastAsia="en-US"/>
        </w:rPr>
      </w:pPr>
      <w:r w:rsidRPr="00B7032A">
        <w:rPr>
          <w:rFonts w:ascii="Arial" w:eastAsia="Calibri" w:hAnsi="Arial" w:cs="Arial"/>
          <w:color w:val="000000"/>
          <w:sz w:val="21"/>
          <w:szCs w:val="21"/>
          <w:lang w:val="es-ES_tradnl" w:eastAsia="en-US"/>
        </w:rPr>
        <w:t xml:space="preserve">Cuando el Proceso de Contratación se estructure por lotes o grupos aplican las siguientes reglas, además de las previstas en otros numerales de este documento: </w:t>
      </w:r>
    </w:p>
    <w:p w14:paraId="61FDDFCF" w14:textId="77777777" w:rsidR="0064069B" w:rsidRPr="00B7032A" w:rsidRDefault="0064069B" w:rsidP="0064069B">
      <w:pPr>
        <w:tabs>
          <w:tab w:val="left" w:pos="993"/>
        </w:tabs>
        <w:ind w:left="709" w:right="709"/>
        <w:jc w:val="both"/>
        <w:rPr>
          <w:rFonts w:ascii="Arial" w:eastAsia="Calibri" w:hAnsi="Arial" w:cs="Arial"/>
          <w:color w:val="000000"/>
          <w:sz w:val="21"/>
          <w:szCs w:val="21"/>
          <w:lang w:val="es-ES_tradnl" w:eastAsia="en-US"/>
        </w:rPr>
      </w:pPr>
      <w:r w:rsidRPr="00B7032A">
        <w:rPr>
          <w:rFonts w:ascii="Arial" w:eastAsia="Calibri" w:hAnsi="Arial" w:cs="Arial"/>
          <w:color w:val="000000"/>
          <w:sz w:val="21"/>
          <w:szCs w:val="21"/>
          <w:lang w:val="es-ES_tradnl" w:eastAsia="en-US"/>
        </w:rPr>
        <w:t>A.</w:t>
      </w:r>
      <w:r w:rsidRPr="00B7032A">
        <w:rPr>
          <w:rFonts w:ascii="Arial" w:eastAsia="Calibri" w:hAnsi="Arial" w:cs="Arial"/>
          <w:color w:val="000000"/>
          <w:sz w:val="21"/>
          <w:szCs w:val="21"/>
          <w:lang w:val="es-ES_tradnl" w:eastAsia="en-US"/>
        </w:rPr>
        <w:tab/>
      </w:r>
      <w:r w:rsidRPr="00B7032A">
        <w:rPr>
          <w:rFonts w:ascii="Arial" w:eastAsia="Calibri" w:hAnsi="Arial" w:cs="Arial"/>
          <w:color w:val="000000"/>
          <w:sz w:val="21"/>
          <w:szCs w:val="21"/>
          <w:shd w:val="clear" w:color="auto" w:fill="B5B5B5" w:themeFill="background2" w:themeFillShade="BF"/>
          <w:lang w:val="es-ES_tradnl" w:eastAsia="en-US"/>
        </w:rPr>
        <w:t>[En este literal la Entidad debe señalar si es posible presentar oferta a más de un lote o grupo. Cuando lo establezca, debe indicar si es factible resultar adjudicatario de más de uno].</w:t>
      </w:r>
      <w:r w:rsidRPr="00B7032A">
        <w:rPr>
          <w:rFonts w:ascii="Arial" w:eastAsia="Calibri" w:hAnsi="Arial" w:cs="Arial"/>
          <w:color w:val="000000"/>
          <w:sz w:val="21"/>
          <w:szCs w:val="21"/>
          <w:lang w:val="es-ES_tradnl" w:eastAsia="en-US"/>
        </w:rPr>
        <w:t xml:space="preserve"> </w:t>
      </w:r>
    </w:p>
    <w:p w14:paraId="637FE901" w14:textId="77777777" w:rsidR="0064069B" w:rsidRPr="00B7032A" w:rsidRDefault="0064069B" w:rsidP="0064069B">
      <w:pPr>
        <w:ind w:left="709" w:right="709"/>
        <w:jc w:val="both"/>
        <w:rPr>
          <w:rFonts w:ascii="Arial" w:eastAsia="Calibri" w:hAnsi="Arial" w:cs="Arial"/>
          <w:color w:val="000000"/>
          <w:sz w:val="21"/>
          <w:szCs w:val="21"/>
          <w:lang w:val="es-ES_tradnl" w:eastAsia="en-US"/>
        </w:rPr>
      </w:pPr>
    </w:p>
    <w:p w14:paraId="3D1ABF47" w14:textId="4DB0C7D2" w:rsidR="0064069B" w:rsidRPr="00B7032A" w:rsidRDefault="0064069B" w:rsidP="0064069B">
      <w:pPr>
        <w:tabs>
          <w:tab w:val="left" w:pos="851"/>
          <w:tab w:val="left" w:pos="1134"/>
        </w:tabs>
        <w:ind w:left="709" w:right="709"/>
        <w:jc w:val="both"/>
        <w:rPr>
          <w:rFonts w:ascii="Arial" w:eastAsia="Calibri" w:hAnsi="Arial" w:cs="Arial"/>
          <w:color w:val="000000"/>
          <w:sz w:val="21"/>
          <w:szCs w:val="21"/>
          <w:lang w:val="es-ES_tradnl" w:eastAsia="en-US"/>
        </w:rPr>
      </w:pPr>
      <w:r w:rsidRPr="00B7032A">
        <w:rPr>
          <w:rFonts w:ascii="Arial" w:eastAsia="Calibri" w:hAnsi="Arial" w:cs="Arial"/>
          <w:color w:val="000000"/>
          <w:sz w:val="21"/>
          <w:szCs w:val="21"/>
          <w:lang w:val="es-ES_tradnl" w:eastAsia="en-US"/>
        </w:rPr>
        <w:t>B. El Proponente debe presentar un solo Sobre 1 para todos los lotes o grupos a los cuales radique oferta; y el Sobre 2 que contiene la oferta económica, de forma independiente para cada uno, sin perjuicio de que incluya sus ofertas económicas en un mismo sobre. En todo caso, se recomienda a los Proponentes presentar un Sobre 2 por cada lote.</w:t>
      </w:r>
    </w:p>
    <w:p w14:paraId="4628E08F" w14:textId="77777777" w:rsidR="0064069B" w:rsidRPr="00B7032A" w:rsidRDefault="0064069B" w:rsidP="0064069B">
      <w:pPr>
        <w:ind w:left="709" w:right="709"/>
        <w:jc w:val="both"/>
        <w:rPr>
          <w:rFonts w:ascii="Arial" w:eastAsia="Calibri" w:hAnsi="Arial" w:cs="Arial"/>
          <w:color w:val="000000"/>
          <w:sz w:val="21"/>
          <w:szCs w:val="21"/>
          <w:lang w:val="es-ES_tradnl" w:eastAsia="en-US"/>
        </w:rPr>
      </w:pPr>
    </w:p>
    <w:p w14:paraId="293B98A8" w14:textId="77777777" w:rsidR="0064069B" w:rsidRPr="00B7032A" w:rsidRDefault="0064069B" w:rsidP="0064069B">
      <w:pPr>
        <w:tabs>
          <w:tab w:val="left" w:pos="993"/>
        </w:tabs>
        <w:ind w:left="709" w:right="709"/>
        <w:jc w:val="both"/>
        <w:rPr>
          <w:rFonts w:ascii="Arial" w:eastAsia="Calibri" w:hAnsi="Arial" w:cs="Arial"/>
          <w:color w:val="000000"/>
          <w:sz w:val="21"/>
          <w:szCs w:val="21"/>
          <w:lang w:val="es-ES_tradnl" w:eastAsia="en-US"/>
        </w:rPr>
      </w:pPr>
      <w:r w:rsidRPr="00B7032A">
        <w:rPr>
          <w:rFonts w:ascii="Arial" w:eastAsia="Calibri" w:hAnsi="Arial" w:cs="Arial"/>
          <w:color w:val="000000"/>
          <w:sz w:val="21"/>
          <w:szCs w:val="21"/>
          <w:lang w:val="es-ES_tradnl" w:eastAsia="en-US"/>
        </w:rPr>
        <w:lastRenderedPageBreak/>
        <w:t>C.</w:t>
      </w:r>
      <w:r w:rsidRPr="00B7032A">
        <w:rPr>
          <w:rFonts w:ascii="Arial" w:eastAsia="Calibri" w:hAnsi="Arial" w:cs="Arial"/>
          <w:color w:val="000000"/>
          <w:sz w:val="21"/>
          <w:szCs w:val="21"/>
          <w:lang w:val="es-ES_tradnl" w:eastAsia="en-US"/>
        </w:rPr>
        <w:tab/>
        <w:t xml:space="preserve">Para acreditar la experiencia el Proponente podrá aportar mínimo uno (1) y máximo seis (6) contratos para cada uno de los lotes, o podrá aportar los mismos para todos o varios de ellos, sin perjuicio de lo indicado para la acreditación de combinaciones de experiencia y la acreditación de experiencia de los bienes o servicios adicionales a la obra pública de infraestructura social. </w:t>
      </w:r>
    </w:p>
    <w:p w14:paraId="6E5C1C2D" w14:textId="77777777" w:rsidR="0064069B" w:rsidRPr="00B7032A" w:rsidRDefault="0064069B" w:rsidP="0064069B">
      <w:pPr>
        <w:ind w:left="709" w:right="709"/>
        <w:jc w:val="both"/>
        <w:rPr>
          <w:rFonts w:ascii="Arial" w:eastAsia="Calibri" w:hAnsi="Arial" w:cs="Arial"/>
          <w:color w:val="000000"/>
          <w:sz w:val="21"/>
          <w:szCs w:val="21"/>
          <w:lang w:val="es-ES_tradnl" w:eastAsia="en-US"/>
        </w:rPr>
      </w:pPr>
    </w:p>
    <w:p w14:paraId="5EB1DE8F" w14:textId="77777777" w:rsidR="0064069B" w:rsidRPr="00B7032A" w:rsidRDefault="0064069B" w:rsidP="0064069B">
      <w:pPr>
        <w:ind w:left="709" w:right="709"/>
        <w:jc w:val="both"/>
        <w:rPr>
          <w:rFonts w:ascii="Arial" w:eastAsia="Calibri" w:hAnsi="Arial" w:cs="Arial"/>
          <w:color w:val="000000"/>
          <w:sz w:val="21"/>
          <w:szCs w:val="21"/>
          <w:lang w:val="es-ES_tradnl" w:eastAsia="en-US"/>
        </w:rPr>
      </w:pPr>
      <w:r w:rsidRPr="00B7032A">
        <w:rPr>
          <w:rFonts w:ascii="Arial" w:eastAsia="Calibri" w:hAnsi="Arial" w:cs="Arial"/>
          <w:color w:val="000000"/>
          <w:sz w:val="21"/>
          <w:szCs w:val="21"/>
          <w:lang w:val="es-ES_tradnl" w:eastAsia="en-US"/>
        </w:rPr>
        <w:t xml:space="preserve">En la verificación del número de contratos frente al Presupuesto Oficial, el valor mínimo a certificar debe ser en relación con el valor del Presupuesto Oficial del respectivo lote expresado en SMMLV. </w:t>
      </w:r>
    </w:p>
    <w:p w14:paraId="68B409A9" w14:textId="77777777" w:rsidR="0064069B" w:rsidRPr="00B7032A" w:rsidRDefault="0064069B" w:rsidP="0064069B">
      <w:pPr>
        <w:ind w:left="709" w:right="709"/>
        <w:jc w:val="both"/>
        <w:rPr>
          <w:rFonts w:ascii="Arial" w:eastAsia="Calibri" w:hAnsi="Arial" w:cs="Arial"/>
          <w:color w:val="000000"/>
          <w:sz w:val="21"/>
          <w:szCs w:val="21"/>
          <w:lang w:val="es-ES_tradnl" w:eastAsia="en-US"/>
        </w:rPr>
      </w:pPr>
    </w:p>
    <w:p w14:paraId="5DE37FF2" w14:textId="0AD8039C" w:rsidR="0064069B" w:rsidRPr="00B7032A" w:rsidRDefault="0064069B" w:rsidP="0064069B">
      <w:pPr>
        <w:ind w:left="709" w:right="709"/>
        <w:jc w:val="both"/>
        <w:rPr>
          <w:rFonts w:ascii="Arial" w:eastAsia="Calibri" w:hAnsi="Arial" w:cs="Arial"/>
          <w:color w:val="000000"/>
          <w:sz w:val="21"/>
          <w:szCs w:val="21"/>
          <w:lang w:val="es-ES_tradnl" w:eastAsia="en-US"/>
        </w:rPr>
      </w:pPr>
      <w:r w:rsidRPr="00B7032A">
        <w:rPr>
          <w:rFonts w:ascii="Arial" w:eastAsia="Calibri" w:hAnsi="Arial" w:cs="Arial"/>
          <w:color w:val="000000"/>
          <w:sz w:val="21"/>
          <w:szCs w:val="21"/>
          <w:lang w:val="es-ES_tradnl" w:eastAsia="en-US"/>
        </w:rPr>
        <w:t xml:space="preserve">D. La experiencia que debe acreditar el Proponente será la establecida de forma independiente para cada lote o grupo de acuerdo con las actividades definidas en la matriz de experiencia aplicable en el proyecto de infraestructura social en el literal A de la sección 3.5.1. </w:t>
      </w:r>
    </w:p>
    <w:p w14:paraId="7BB041CC" w14:textId="77777777" w:rsidR="0064069B" w:rsidRPr="00B7032A" w:rsidRDefault="0064069B" w:rsidP="0064069B">
      <w:pPr>
        <w:ind w:left="709" w:right="709"/>
        <w:jc w:val="both"/>
        <w:rPr>
          <w:rFonts w:ascii="Arial" w:eastAsia="Calibri" w:hAnsi="Arial" w:cs="Arial"/>
          <w:color w:val="000000"/>
          <w:sz w:val="21"/>
          <w:szCs w:val="21"/>
          <w:lang w:val="es-ES_tradnl" w:eastAsia="en-US"/>
        </w:rPr>
      </w:pPr>
    </w:p>
    <w:p w14:paraId="33D93BFA" w14:textId="0FA90371" w:rsidR="0064069B" w:rsidRPr="00B7032A" w:rsidRDefault="0064069B" w:rsidP="0064069B">
      <w:pPr>
        <w:ind w:left="709" w:right="709"/>
        <w:jc w:val="both"/>
        <w:rPr>
          <w:rFonts w:ascii="Arial" w:eastAsia="Calibri" w:hAnsi="Arial" w:cs="Arial"/>
          <w:color w:val="000000"/>
          <w:sz w:val="21"/>
          <w:szCs w:val="21"/>
          <w:lang w:val="es-ES_tradnl" w:eastAsia="en-US"/>
        </w:rPr>
      </w:pPr>
      <w:r w:rsidRPr="00B7032A">
        <w:rPr>
          <w:rFonts w:ascii="Arial" w:eastAsia="Calibri" w:hAnsi="Arial" w:cs="Arial"/>
          <w:color w:val="000000"/>
          <w:sz w:val="21"/>
          <w:szCs w:val="21"/>
          <w:lang w:val="es-ES_tradnl" w:eastAsia="en-US"/>
        </w:rPr>
        <w:t>E. Los parámetros que se seguirán para establecer el orden de elegibilidad de los lotes o grupos que conforman el Proceso de Contratación será el señalado por la Entidad en el numeral 2.6.</w:t>
      </w:r>
    </w:p>
    <w:p w14:paraId="2FDEABE1" w14:textId="77777777" w:rsidR="0064069B" w:rsidRPr="00B7032A" w:rsidRDefault="0064069B" w:rsidP="0064069B">
      <w:pPr>
        <w:ind w:left="709" w:right="709"/>
        <w:jc w:val="both"/>
        <w:rPr>
          <w:rFonts w:ascii="Arial" w:eastAsia="Calibri" w:hAnsi="Arial" w:cs="Arial"/>
          <w:color w:val="000000"/>
          <w:sz w:val="21"/>
          <w:szCs w:val="21"/>
          <w:lang w:val="es-ES_tradnl" w:eastAsia="en-US"/>
        </w:rPr>
      </w:pPr>
    </w:p>
    <w:p w14:paraId="0C74AA36" w14:textId="54C988BB" w:rsidR="0064069B" w:rsidRPr="00B7032A" w:rsidRDefault="0064069B" w:rsidP="0064069B">
      <w:pPr>
        <w:ind w:left="709" w:right="709"/>
        <w:jc w:val="both"/>
        <w:rPr>
          <w:rFonts w:ascii="Arial" w:eastAsia="Calibri" w:hAnsi="Arial" w:cs="Arial"/>
          <w:color w:val="000000"/>
          <w:sz w:val="21"/>
          <w:szCs w:val="21"/>
          <w:lang w:val="es-ES_tradnl" w:eastAsia="en-US"/>
        </w:rPr>
      </w:pPr>
      <w:r w:rsidRPr="00B7032A">
        <w:rPr>
          <w:rFonts w:ascii="Arial" w:eastAsia="Calibri" w:hAnsi="Arial" w:cs="Arial"/>
          <w:color w:val="000000"/>
          <w:sz w:val="21"/>
          <w:szCs w:val="21"/>
          <w:lang w:val="es-ES_tradnl" w:eastAsia="en-US"/>
        </w:rPr>
        <w:t>F. [</w:t>
      </w:r>
      <w:r w:rsidRPr="00B7032A">
        <w:rPr>
          <w:rFonts w:ascii="Arial" w:eastAsia="Calibri" w:hAnsi="Arial" w:cs="Arial"/>
          <w:color w:val="000000"/>
          <w:sz w:val="21"/>
          <w:szCs w:val="21"/>
          <w:shd w:val="clear" w:color="auto" w:fill="B5B5B5" w:themeFill="background2" w:themeFillShade="BF"/>
          <w:lang w:val="es-ES_tradnl" w:eastAsia="en-US"/>
        </w:rPr>
        <w:t>Incluir cuando la Entidad no establezca la posibilidad de resultar adjudicatario de más de un lote o grupo]</w:t>
      </w:r>
      <w:r w:rsidRPr="00B7032A">
        <w:rPr>
          <w:rFonts w:ascii="Arial" w:eastAsia="Calibri" w:hAnsi="Arial" w:cs="Arial"/>
          <w:color w:val="000000"/>
          <w:sz w:val="21"/>
          <w:szCs w:val="21"/>
          <w:lang w:val="es-ES_tradnl" w:eastAsia="en-US"/>
        </w:rPr>
        <w:t xml:space="preserve"> El Proponente seleccionado debe incluirse en los demás órdenes de elegibilidad en los cuales se encuentre habilitado y de resultar ubicado en el primer orden de elegibilidad de estos lotes se adjudicará al Proponente que esté en el segundo orden de elegibilidad, y así sucesivamente. En aquellos eventos en los cuales no existan más Proponentes a quienes adjudicar los lotes o grupos restantes del Proceso de Contratación, se podrá adjudicar a un mismo Proponente más de dos (2) lotes o grupos, siempre y cuando cumpla con los requisitos contenidos en el Pliego de Condiciones. </w:t>
      </w:r>
    </w:p>
    <w:p w14:paraId="72B29A6D" w14:textId="77777777" w:rsidR="0064069B" w:rsidRPr="00B7032A" w:rsidRDefault="0064069B" w:rsidP="0064069B">
      <w:pPr>
        <w:ind w:left="709" w:right="709"/>
        <w:jc w:val="both"/>
        <w:rPr>
          <w:rFonts w:ascii="Arial" w:eastAsia="Calibri" w:hAnsi="Arial" w:cs="Arial"/>
          <w:color w:val="000000"/>
          <w:sz w:val="21"/>
          <w:szCs w:val="21"/>
          <w:lang w:val="es-ES_tradnl" w:eastAsia="en-US"/>
        </w:rPr>
      </w:pPr>
    </w:p>
    <w:p w14:paraId="48DB4C5F" w14:textId="5D318F11" w:rsidR="0064069B" w:rsidRPr="00B7032A" w:rsidRDefault="0064069B" w:rsidP="0064069B">
      <w:pPr>
        <w:ind w:left="709" w:right="709"/>
        <w:jc w:val="both"/>
        <w:rPr>
          <w:rFonts w:ascii="Arial" w:eastAsia="Calibri" w:hAnsi="Arial" w:cs="Arial"/>
          <w:color w:val="000000"/>
          <w:sz w:val="21"/>
          <w:szCs w:val="21"/>
          <w:lang w:val="es-ES_tradnl" w:eastAsia="en-US"/>
        </w:rPr>
      </w:pPr>
      <w:r w:rsidRPr="00B7032A">
        <w:rPr>
          <w:rFonts w:ascii="Arial" w:eastAsia="Calibri" w:hAnsi="Arial" w:cs="Arial"/>
          <w:color w:val="000000"/>
          <w:sz w:val="21"/>
          <w:szCs w:val="21"/>
          <w:lang w:val="es-ES_tradnl" w:eastAsia="en-US"/>
        </w:rPr>
        <w:t xml:space="preserve">G. </w:t>
      </w:r>
      <w:r w:rsidRPr="00B7032A">
        <w:rPr>
          <w:rFonts w:ascii="Arial" w:eastAsia="Calibri" w:hAnsi="Arial" w:cs="Arial"/>
          <w:color w:val="000000"/>
          <w:sz w:val="21"/>
          <w:szCs w:val="21"/>
          <w:shd w:val="clear" w:color="auto" w:fill="B5B5B5" w:themeFill="background2" w:themeFillShade="BF"/>
          <w:lang w:val="es-ES_tradnl" w:eastAsia="en-US"/>
        </w:rPr>
        <w:t>[Incluir cuando la Entidad establezca la posibilidad de resultar adjudicatario de más de un lote o grupo]</w:t>
      </w:r>
      <w:r w:rsidRPr="00B7032A">
        <w:rPr>
          <w:rFonts w:ascii="Arial" w:eastAsia="Calibri" w:hAnsi="Arial" w:cs="Arial"/>
          <w:color w:val="000000"/>
          <w:sz w:val="21"/>
          <w:szCs w:val="21"/>
          <w:lang w:val="es-ES_tradnl" w:eastAsia="en-US"/>
        </w:rPr>
        <w:t xml:space="preserve"> La Entidad verifica en la audiencia de adjudicación que el Proponente cumpla con el capital de trabajo para resultar adjudicatario de un lote o grupo adicional. </w:t>
      </w:r>
    </w:p>
    <w:p w14:paraId="200DAD42" w14:textId="77777777" w:rsidR="0064069B" w:rsidRPr="00B7032A" w:rsidRDefault="0064069B" w:rsidP="0064069B">
      <w:pPr>
        <w:ind w:left="709" w:right="709"/>
        <w:jc w:val="both"/>
        <w:rPr>
          <w:rFonts w:ascii="Arial" w:eastAsia="Calibri" w:hAnsi="Arial" w:cs="Arial"/>
          <w:color w:val="000000"/>
          <w:sz w:val="21"/>
          <w:szCs w:val="21"/>
          <w:lang w:val="es-ES_tradnl" w:eastAsia="en-US"/>
        </w:rPr>
      </w:pPr>
    </w:p>
    <w:p w14:paraId="47BC8129" w14:textId="2E56A855" w:rsidR="0064069B" w:rsidRPr="00B7032A" w:rsidRDefault="0064069B" w:rsidP="0064069B">
      <w:pPr>
        <w:ind w:left="709" w:right="709"/>
        <w:jc w:val="both"/>
        <w:rPr>
          <w:rFonts w:ascii="Arial" w:eastAsia="Calibri" w:hAnsi="Arial" w:cs="Arial"/>
          <w:color w:val="000000"/>
          <w:sz w:val="21"/>
          <w:szCs w:val="21"/>
          <w:lang w:val="es-ES_tradnl" w:eastAsia="en-US"/>
        </w:rPr>
      </w:pPr>
      <w:r w:rsidRPr="00B7032A">
        <w:rPr>
          <w:rFonts w:ascii="Arial" w:eastAsia="Calibri" w:hAnsi="Arial" w:cs="Arial"/>
          <w:color w:val="000000"/>
          <w:sz w:val="21"/>
          <w:szCs w:val="21"/>
          <w:lang w:val="es-ES_tradnl" w:eastAsia="en-US"/>
        </w:rPr>
        <w:t xml:space="preserve">H. </w:t>
      </w:r>
      <w:r w:rsidRPr="00B7032A">
        <w:rPr>
          <w:rFonts w:ascii="Arial" w:eastAsia="Calibri" w:hAnsi="Arial" w:cs="Arial"/>
          <w:color w:val="000000"/>
          <w:sz w:val="21"/>
          <w:szCs w:val="21"/>
          <w:shd w:val="clear" w:color="auto" w:fill="B5B5B5" w:themeFill="background2" w:themeFillShade="BF"/>
          <w:lang w:val="es-ES_tradnl" w:eastAsia="en-US"/>
        </w:rPr>
        <w:t>[Incluir cuando la Entidad establezca la posibilidad de resultar adjudicatario de más de un lote o grupo]</w:t>
      </w:r>
      <w:r w:rsidRPr="00B7032A">
        <w:rPr>
          <w:rFonts w:ascii="Arial" w:eastAsia="Calibri" w:hAnsi="Arial" w:cs="Arial"/>
          <w:color w:val="000000"/>
          <w:sz w:val="21"/>
          <w:szCs w:val="21"/>
          <w:lang w:val="es-ES_tradnl" w:eastAsia="en-US"/>
        </w:rPr>
        <w:t xml:space="preserve"> El Proponente deberá acreditar una capacidad residual mayor o igual a la capacidad residual del lote al cual presentó oferta o de la sumatoria de los lotes a los cuales presentó oferta. Si la capacidad residual del Proponente no es suficiente para la totalidad de los lotes a los cuales radicó una oferta, la Entidad lo habilitará únicamente en los que cumpla con la capacidad residual requerida, empezando con el lote de mayor valor en el cual radicó una oferta, y así en forma descendente.</w:t>
      </w:r>
    </w:p>
    <w:p w14:paraId="25B3E6FA" w14:textId="77777777" w:rsidR="0064069B" w:rsidRPr="00B7032A" w:rsidRDefault="0064069B" w:rsidP="0064069B">
      <w:pPr>
        <w:ind w:left="709" w:right="709"/>
        <w:jc w:val="both"/>
        <w:rPr>
          <w:rFonts w:ascii="Arial" w:eastAsia="Calibri" w:hAnsi="Arial" w:cs="Arial"/>
          <w:color w:val="000000"/>
          <w:sz w:val="21"/>
          <w:szCs w:val="21"/>
          <w:lang w:val="es-ES_tradnl" w:eastAsia="en-US"/>
        </w:rPr>
      </w:pPr>
    </w:p>
    <w:p w14:paraId="01B0B993" w14:textId="77777777" w:rsidR="0064069B" w:rsidRPr="00B7032A" w:rsidRDefault="0064069B" w:rsidP="0064069B">
      <w:pPr>
        <w:tabs>
          <w:tab w:val="left" w:pos="993"/>
        </w:tabs>
        <w:ind w:left="709" w:right="709"/>
        <w:jc w:val="both"/>
        <w:rPr>
          <w:rFonts w:ascii="Arial" w:eastAsia="Calibri" w:hAnsi="Arial" w:cs="Arial"/>
          <w:color w:val="000000"/>
          <w:sz w:val="21"/>
          <w:szCs w:val="21"/>
          <w:lang w:val="es-ES_tradnl" w:eastAsia="en-US"/>
        </w:rPr>
      </w:pPr>
      <w:r w:rsidRPr="00B7032A">
        <w:rPr>
          <w:rFonts w:ascii="Arial" w:eastAsia="Calibri" w:hAnsi="Arial" w:cs="Arial"/>
          <w:color w:val="000000"/>
          <w:sz w:val="21"/>
          <w:szCs w:val="21"/>
          <w:lang w:val="es-ES_tradnl" w:eastAsia="en-US"/>
        </w:rPr>
        <w:t>I.</w:t>
      </w:r>
      <w:r w:rsidRPr="00B7032A">
        <w:rPr>
          <w:rFonts w:ascii="Arial" w:eastAsia="Calibri" w:hAnsi="Arial" w:cs="Arial"/>
          <w:color w:val="000000"/>
          <w:sz w:val="21"/>
          <w:szCs w:val="21"/>
          <w:lang w:val="es-ES_tradnl" w:eastAsia="en-US"/>
        </w:rPr>
        <w:tab/>
        <w:t>El Proponente debe indicar en el Formato 1 – Carta de presentación de la oferta y en el Formato 2 – Conformación de proponente plural (Formato 2A – Consorcios) (Formato 2B Uniones Temporales), el lote o lotes a los cuales presenta oferta.</w:t>
      </w:r>
    </w:p>
    <w:p w14:paraId="73CBEB14" w14:textId="77777777" w:rsidR="0064069B" w:rsidRPr="00B7032A" w:rsidRDefault="0064069B" w:rsidP="0064069B">
      <w:pPr>
        <w:ind w:left="709" w:right="709"/>
        <w:jc w:val="both"/>
        <w:rPr>
          <w:rFonts w:ascii="Arial" w:eastAsia="Calibri" w:hAnsi="Arial" w:cs="Arial"/>
          <w:color w:val="000000"/>
          <w:sz w:val="21"/>
          <w:szCs w:val="21"/>
          <w:lang w:val="es-ES_tradnl" w:eastAsia="en-US"/>
        </w:rPr>
      </w:pPr>
    </w:p>
    <w:p w14:paraId="407B1AF8" w14:textId="5D583C54" w:rsidR="0064069B" w:rsidRPr="00B7032A" w:rsidRDefault="0064069B" w:rsidP="0064069B">
      <w:pPr>
        <w:tabs>
          <w:tab w:val="left" w:pos="993"/>
        </w:tabs>
        <w:ind w:left="709" w:right="709"/>
        <w:jc w:val="both"/>
        <w:rPr>
          <w:rFonts w:ascii="Arial" w:eastAsia="Calibri" w:hAnsi="Arial" w:cs="Arial"/>
          <w:color w:val="000000"/>
          <w:sz w:val="21"/>
          <w:szCs w:val="21"/>
          <w:highlight w:val="lightGray"/>
          <w:lang w:val="es-ES_tradnl" w:eastAsia="en-US"/>
        </w:rPr>
      </w:pPr>
      <w:r w:rsidRPr="00B7032A">
        <w:rPr>
          <w:rFonts w:ascii="Arial" w:eastAsia="Calibri" w:hAnsi="Arial" w:cs="Arial"/>
          <w:color w:val="000000"/>
          <w:sz w:val="21"/>
          <w:szCs w:val="21"/>
          <w:lang w:val="es-ES_tradnl" w:eastAsia="en-US"/>
        </w:rPr>
        <w:lastRenderedPageBreak/>
        <w:t>J.</w:t>
      </w:r>
      <w:r w:rsidRPr="00B7032A">
        <w:rPr>
          <w:rFonts w:ascii="Arial" w:eastAsia="Calibri" w:hAnsi="Arial" w:cs="Arial"/>
          <w:color w:val="000000"/>
          <w:sz w:val="21"/>
          <w:szCs w:val="21"/>
          <w:lang w:val="es-ES_tradnl" w:eastAsia="en-US"/>
        </w:rPr>
        <w:tab/>
        <w:t>Para definir el método de ponderación de la oferta económica se aplicarán las reglas definidas en el numeral 4.1.4.</w:t>
      </w:r>
      <w:r w:rsidRPr="00B7032A">
        <w:rPr>
          <w:rFonts w:ascii="Arial" w:eastAsia="Calibri" w:hAnsi="Arial" w:cs="Arial"/>
          <w:color w:val="000000"/>
          <w:sz w:val="21"/>
          <w:szCs w:val="21"/>
          <w:highlight w:val="lightGray"/>
          <w:lang w:val="es-ES_tradnl" w:eastAsia="en-US"/>
        </w:rPr>
        <w:t xml:space="preserve"> </w:t>
      </w:r>
    </w:p>
    <w:p w14:paraId="67DD2437" w14:textId="77777777" w:rsidR="001804B1" w:rsidRPr="00B7032A" w:rsidRDefault="001804B1" w:rsidP="001804B1">
      <w:pPr>
        <w:tabs>
          <w:tab w:val="left" w:pos="0"/>
        </w:tabs>
        <w:jc w:val="both"/>
        <w:rPr>
          <w:rFonts w:ascii="Arial" w:eastAsia="Calibri" w:hAnsi="Arial" w:cs="Arial"/>
          <w:b/>
          <w:color w:val="000000" w:themeColor="text1"/>
          <w:sz w:val="22"/>
          <w:lang w:val="es-ES_tradnl"/>
        </w:rPr>
      </w:pPr>
    </w:p>
    <w:p w14:paraId="29C33EA1" w14:textId="6B8B6AA0" w:rsidR="001804B1" w:rsidRPr="00B7032A" w:rsidRDefault="001804B1" w:rsidP="001804B1">
      <w:pPr>
        <w:spacing w:line="276" w:lineRule="auto"/>
        <w:ind w:firstLine="709"/>
        <w:jc w:val="both"/>
        <w:rPr>
          <w:rFonts w:ascii="Arial" w:hAnsi="Arial" w:cs="Arial"/>
          <w:sz w:val="22"/>
          <w:szCs w:val="22"/>
          <w:shd w:val="clear" w:color="auto" w:fill="FFFFFF"/>
          <w:lang w:val="es-ES_tradnl"/>
        </w:rPr>
      </w:pPr>
      <w:r w:rsidRPr="00B7032A">
        <w:rPr>
          <w:rFonts w:ascii="Arial" w:hAnsi="Arial" w:cs="Arial"/>
          <w:sz w:val="22"/>
          <w:szCs w:val="22"/>
          <w:shd w:val="clear" w:color="auto" w:fill="FFFFFF"/>
          <w:lang w:val="es-ES_tradnl"/>
        </w:rPr>
        <w:t xml:space="preserve">Del contenido del citado numeral, y concretamente de lo que indica el literal A, es posible deducir la idea de que la entidad estatal contratante tiene la potestad discrecional de «[…] </w:t>
      </w:r>
      <w:r w:rsidRPr="00B7032A">
        <w:rPr>
          <w:rFonts w:ascii="Arial" w:eastAsia="Calibri" w:hAnsi="Arial" w:cs="Arial"/>
          <w:color w:val="000000"/>
          <w:sz w:val="22"/>
          <w:szCs w:val="22"/>
          <w:lang w:val="es-ES_tradnl" w:eastAsia="en-US"/>
        </w:rPr>
        <w:t xml:space="preserve">señalar si es posible presentar oferta a más de un lote o grupo». Además, «Cuando lo establezca, debe indicar si es posible resultar adjudicatario de más de uno». </w:t>
      </w:r>
      <w:r w:rsidR="002148CE" w:rsidRPr="00B7032A">
        <w:rPr>
          <w:rFonts w:ascii="Arial" w:eastAsia="Calibri" w:hAnsi="Arial" w:cs="Arial"/>
          <w:color w:val="000000"/>
          <w:sz w:val="22"/>
          <w:szCs w:val="22"/>
          <w:lang w:val="es-ES_tradnl" w:eastAsia="en-US"/>
        </w:rPr>
        <w:t xml:space="preserve">En este sentido, la entidad </w:t>
      </w:r>
      <w:r w:rsidRPr="00B7032A">
        <w:rPr>
          <w:rFonts w:ascii="Arial" w:eastAsia="Calibri" w:hAnsi="Arial" w:cs="Arial"/>
          <w:color w:val="000000"/>
          <w:sz w:val="22"/>
          <w:szCs w:val="22"/>
          <w:lang w:val="es-ES_tradnl" w:eastAsia="en-US"/>
        </w:rPr>
        <w:t>puede definir si es o no posible resultar adjudicatario de más de un lote</w:t>
      </w:r>
      <w:r w:rsidR="002148CE" w:rsidRPr="00B7032A">
        <w:rPr>
          <w:rFonts w:ascii="Arial" w:eastAsia="Calibri" w:hAnsi="Arial" w:cs="Arial"/>
          <w:color w:val="000000"/>
          <w:sz w:val="22"/>
          <w:szCs w:val="22"/>
          <w:lang w:val="es-ES_tradnl" w:eastAsia="en-US"/>
        </w:rPr>
        <w:t xml:space="preserve"> y u</w:t>
      </w:r>
      <w:r w:rsidRPr="00B7032A">
        <w:rPr>
          <w:rFonts w:ascii="Arial" w:eastAsia="Calibri" w:hAnsi="Arial" w:cs="Arial"/>
          <w:color w:val="000000"/>
          <w:sz w:val="22"/>
          <w:szCs w:val="22"/>
          <w:lang w:val="es-ES_tradnl" w:eastAsia="en-US"/>
        </w:rPr>
        <w:t>na vez la entidad ha determinado que se podrá ser adjudicatario de más de un lote, los oferentes podrán presentar ofertas por los lotes que quieran –2, 3, 4, 5, etc.–, estando condicionados únicamente por el cumplimiento de los requisitos habilitantes. Y, de ser el caso, podrán ser adjudicatarios si se encuentran en el primer orden de elegibilidad frente a dos o más lotes.</w:t>
      </w:r>
    </w:p>
    <w:p w14:paraId="42466880" w14:textId="26C8E318" w:rsidR="001804B1" w:rsidRPr="00B7032A" w:rsidRDefault="00042FCF" w:rsidP="001804B1">
      <w:pPr>
        <w:spacing w:before="120" w:line="276" w:lineRule="auto"/>
        <w:ind w:firstLine="709"/>
        <w:jc w:val="both"/>
        <w:rPr>
          <w:rFonts w:ascii="Arial" w:eastAsia="Calibri" w:hAnsi="Arial" w:cs="Arial"/>
          <w:color w:val="000000"/>
          <w:sz w:val="22"/>
          <w:szCs w:val="22"/>
          <w:lang w:val="es-ES_tradnl"/>
        </w:rPr>
      </w:pPr>
      <w:r w:rsidRPr="00B7032A">
        <w:rPr>
          <w:rFonts w:ascii="Arial" w:hAnsi="Arial" w:cs="Arial"/>
          <w:sz w:val="22"/>
          <w:szCs w:val="22"/>
          <w:shd w:val="clear" w:color="auto" w:fill="FFFFFF"/>
          <w:lang w:val="es-ES_tradnl"/>
        </w:rPr>
        <w:t>En concordancia con lo anterior</w:t>
      </w:r>
      <w:r w:rsidR="001804B1" w:rsidRPr="00B7032A">
        <w:rPr>
          <w:rFonts w:ascii="Arial" w:hAnsi="Arial" w:cs="Arial"/>
          <w:sz w:val="22"/>
          <w:szCs w:val="22"/>
          <w:shd w:val="clear" w:color="auto" w:fill="FFFFFF"/>
          <w:lang w:val="es-ES_tradnl"/>
        </w:rPr>
        <w:t xml:space="preserve">, el </w:t>
      </w:r>
      <w:r w:rsidR="00055EC3" w:rsidRPr="00B7032A">
        <w:rPr>
          <w:rFonts w:ascii="Arial" w:hAnsi="Arial" w:cs="Arial"/>
          <w:sz w:val="22"/>
          <w:szCs w:val="22"/>
          <w:shd w:val="clear" w:color="auto" w:fill="FFFFFF"/>
          <w:lang w:val="es-ES_tradnl"/>
        </w:rPr>
        <w:t xml:space="preserve">literal G del </w:t>
      </w:r>
      <w:r w:rsidR="001804B1" w:rsidRPr="00B7032A">
        <w:rPr>
          <w:rFonts w:ascii="Arial" w:hAnsi="Arial" w:cs="Arial"/>
          <w:sz w:val="22"/>
          <w:szCs w:val="22"/>
          <w:shd w:val="clear" w:color="auto" w:fill="FFFFFF"/>
          <w:lang w:val="es-ES_tradnl"/>
        </w:rPr>
        <w:t>numeral 3.3.3.</w:t>
      </w:r>
      <w:r w:rsidR="00055EC3" w:rsidRPr="00B7032A">
        <w:rPr>
          <w:rFonts w:ascii="Arial" w:hAnsi="Arial" w:cs="Arial"/>
          <w:sz w:val="22"/>
          <w:szCs w:val="22"/>
          <w:shd w:val="clear" w:color="auto" w:fill="FFFFFF"/>
          <w:lang w:val="es-ES_tradnl"/>
        </w:rPr>
        <w:t xml:space="preserve"> </w:t>
      </w:r>
      <w:r w:rsidR="001804B1" w:rsidRPr="00B7032A">
        <w:rPr>
          <w:rFonts w:ascii="Arial" w:hAnsi="Arial" w:cs="Arial"/>
          <w:sz w:val="22"/>
          <w:szCs w:val="22"/>
          <w:shd w:val="clear" w:color="auto" w:fill="FFFFFF"/>
          <w:lang w:val="es-ES_tradnl"/>
        </w:rPr>
        <w:t xml:space="preserve">del </w:t>
      </w:r>
      <w:r w:rsidR="002148CE" w:rsidRPr="00B7032A">
        <w:rPr>
          <w:rFonts w:ascii="Arial" w:hAnsi="Arial" w:cs="Arial"/>
          <w:sz w:val="22"/>
          <w:szCs w:val="22"/>
          <w:shd w:val="clear" w:color="auto" w:fill="FFFFFF"/>
          <w:lang w:val="es-ES_tradnl"/>
        </w:rPr>
        <w:t>d</w:t>
      </w:r>
      <w:r w:rsidR="001804B1" w:rsidRPr="00B7032A">
        <w:rPr>
          <w:rFonts w:ascii="Arial" w:hAnsi="Arial" w:cs="Arial"/>
          <w:sz w:val="22"/>
          <w:szCs w:val="22"/>
          <w:shd w:val="clear" w:color="auto" w:fill="FFFFFF"/>
          <w:lang w:val="es-ES_tradnl"/>
        </w:rPr>
        <w:t xml:space="preserve">ocumento </w:t>
      </w:r>
      <w:r w:rsidR="002148CE" w:rsidRPr="00B7032A">
        <w:rPr>
          <w:rFonts w:ascii="Arial" w:hAnsi="Arial" w:cs="Arial"/>
          <w:sz w:val="22"/>
          <w:szCs w:val="22"/>
          <w:shd w:val="clear" w:color="auto" w:fill="FFFFFF"/>
          <w:lang w:val="es-ES_tradnl"/>
        </w:rPr>
        <w:t>b</w:t>
      </w:r>
      <w:r w:rsidR="001804B1" w:rsidRPr="00B7032A">
        <w:rPr>
          <w:rFonts w:ascii="Arial" w:hAnsi="Arial" w:cs="Arial"/>
          <w:sz w:val="22"/>
          <w:szCs w:val="22"/>
          <w:shd w:val="clear" w:color="auto" w:fill="FFFFFF"/>
          <w:lang w:val="es-ES_tradnl"/>
        </w:rPr>
        <w:t>ase establece que si el proceso de licitación pública se estructura por lotes o grupos, el documento de constitución del proponente plural debe «</w:t>
      </w:r>
      <w:r w:rsidR="001804B1" w:rsidRPr="00B7032A">
        <w:rPr>
          <w:rFonts w:ascii="Arial" w:eastAsia="Calibri" w:hAnsi="Arial" w:cs="Arial"/>
          <w:color w:val="000000"/>
          <w:sz w:val="22"/>
          <w:szCs w:val="22"/>
          <w:lang w:val="es-ES_tradnl"/>
        </w:rPr>
        <w:t>Indicar el lote o lotes a los cuales presenta oferta». Es decir, se deja a discreción del oferente indicar los lotes a los cuales presenta la oferta.</w:t>
      </w:r>
      <w:r w:rsidRPr="00B7032A">
        <w:rPr>
          <w:rFonts w:ascii="Arial" w:eastAsia="Calibri" w:hAnsi="Arial" w:cs="Arial"/>
          <w:color w:val="000000"/>
          <w:sz w:val="22"/>
          <w:szCs w:val="22"/>
          <w:lang w:val="es-ES_tradnl"/>
        </w:rPr>
        <w:t xml:space="preserve"> Esto significa </w:t>
      </w:r>
      <w:r w:rsidR="001804B1" w:rsidRPr="00B7032A">
        <w:rPr>
          <w:rFonts w:ascii="Arial" w:eastAsia="Calibri" w:hAnsi="Arial" w:cs="Arial"/>
          <w:color w:val="000000"/>
          <w:sz w:val="22"/>
          <w:szCs w:val="22"/>
          <w:lang w:val="es-ES_tradnl"/>
        </w:rPr>
        <w:t>que tiene el derecho de presentarse en todos los lotes que considere conveniente</w:t>
      </w:r>
      <w:r w:rsidRPr="00B7032A">
        <w:rPr>
          <w:rFonts w:ascii="Arial" w:eastAsia="Calibri" w:hAnsi="Arial" w:cs="Arial"/>
          <w:color w:val="000000"/>
          <w:sz w:val="22"/>
          <w:szCs w:val="22"/>
          <w:lang w:val="es-ES_tradnl"/>
        </w:rPr>
        <w:t>, siempre</w:t>
      </w:r>
      <w:r w:rsidR="003854DD" w:rsidRPr="00B7032A">
        <w:rPr>
          <w:rFonts w:ascii="Arial" w:eastAsia="Calibri" w:hAnsi="Arial" w:cs="Arial"/>
          <w:color w:val="000000"/>
          <w:sz w:val="22"/>
          <w:szCs w:val="22"/>
          <w:lang w:val="es-ES_tradnl"/>
        </w:rPr>
        <w:t xml:space="preserve"> que</w:t>
      </w:r>
      <w:r w:rsidRPr="00B7032A">
        <w:rPr>
          <w:rFonts w:ascii="Arial" w:eastAsia="Calibri" w:hAnsi="Arial" w:cs="Arial"/>
          <w:color w:val="000000"/>
          <w:sz w:val="22"/>
          <w:szCs w:val="22"/>
          <w:lang w:val="es-ES_tradnl"/>
        </w:rPr>
        <w:t xml:space="preserve"> la entidad haya determinado la posibilidad de presentar oferta a m</w:t>
      </w:r>
      <w:r w:rsidR="003854DD" w:rsidRPr="00B7032A">
        <w:rPr>
          <w:rFonts w:ascii="Arial" w:eastAsia="Calibri" w:hAnsi="Arial" w:cs="Arial"/>
          <w:color w:val="000000"/>
          <w:sz w:val="22"/>
          <w:szCs w:val="22"/>
          <w:lang w:val="es-ES_tradnl"/>
        </w:rPr>
        <w:t>á</w:t>
      </w:r>
      <w:r w:rsidRPr="00B7032A">
        <w:rPr>
          <w:rFonts w:ascii="Arial" w:eastAsia="Calibri" w:hAnsi="Arial" w:cs="Arial"/>
          <w:color w:val="000000"/>
          <w:sz w:val="22"/>
          <w:szCs w:val="22"/>
          <w:lang w:val="es-ES_tradnl"/>
        </w:rPr>
        <w:t>s de un lote o grupo conforme el literal A del numeral 2.10</w:t>
      </w:r>
    </w:p>
    <w:p w14:paraId="723957EF" w14:textId="7EF78009" w:rsidR="001804B1" w:rsidRPr="00B7032A" w:rsidRDefault="001804B1" w:rsidP="008D180E">
      <w:pPr>
        <w:spacing w:before="120" w:line="276" w:lineRule="auto"/>
        <w:ind w:firstLine="709"/>
        <w:jc w:val="both"/>
        <w:rPr>
          <w:rFonts w:ascii="Arial" w:hAnsi="Arial" w:cs="Arial"/>
          <w:sz w:val="21"/>
          <w:szCs w:val="21"/>
          <w:lang w:val="es-ES_tradnl"/>
        </w:rPr>
      </w:pPr>
      <w:r w:rsidRPr="00B7032A">
        <w:rPr>
          <w:rFonts w:ascii="Arial" w:eastAsia="Calibri" w:hAnsi="Arial" w:cs="Arial"/>
          <w:color w:val="000000"/>
          <w:sz w:val="22"/>
          <w:szCs w:val="22"/>
          <w:lang w:val="es-ES_tradnl"/>
        </w:rPr>
        <w:t xml:space="preserve">En cuanto a la acreditación de la experiencia, el </w:t>
      </w:r>
      <w:r w:rsidR="00E429ED" w:rsidRPr="00B7032A">
        <w:rPr>
          <w:rFonts w:ascii="Arial" w:eastAsia="Calibri" w:hAnsi="Arial" w:cs="Arial"/>
          <w:color w:val="000000"/>
          <w:sz w:val="22"/>
          <w:szCs w:val="22"/>
          <w:lang w:val="es-ES_tradnl"/>
        </w:rPr>
        <w:t xml:space="preserve">literal </w:t>
      </w:r>
      <w:proofErr w:type="spellStart"/>
      <w:r w:rsidR="00E429ED" w:rsidRPr="00B7032A">
        <w:rPr>
          <w:rFonts w:ascii="Arial" w:eastAsia="Calibri" w:hAnsi="Arial" w:cs="Arial"/>
          <w:color w:val="000000"/>
          <w:sz w:val="22"/>
          <w:szCs w:val="22"/>
          <w:lang w:val="es-ES_tradnl"/>
        </w:rPr>
        <w:t>viii</w:t>
      </w:r>
      <w:proofErr w:type="spellEnd"/>
      <w:r w:rsidR="00E429ED" w:rsidRPr="00B7032A">
        <w:rPr>
          <w:rFonts w:ascii="Arial" w:eastAsia="Calibri" w:hAnsi="Arial" w:cs="Arial"/>
          <w:color w:val="000000"/>
          <w:sz w:val="22"/>
          <w:szCs w:val="22"/>
          <w:lang w:val="es-ES_tradnl"/>
        </w:rPr>
        <w:t xml:space="preserve">) del </w:t>
      </w:r>
      <w:r w:rsidRPr="00B7032A">
        <w:rPr>
          <w:rFonts w:ascii="Arial" w:eastAsia="Calibri" w:hAnsi="Arial" w:cs="Arial"/>
          <w:color w:val="000000"/>
          <w:sz w:val="22"/>
          <w:szCs w:val="22"/>
          <w:lang w:val="es-ES_tradnl"/>
        </w:rPr>
        <w:t>numeral 3.5.</w:t>
      </w:r>
      <w:r w:rsidR="002148CE" w:rsidRPr="00B7032A">
        <w:rPr>
          <w:rFonts w:ascii="Arial" w:eastAsia="Calibri" w:hAnsi="Arial" w:cs="Arial"/>
          <w:color w:val="000000"/>
          <w:sz w:val="22"/>
          <w:szCs w:val="22"/>
          <w:lang w:val="es-ES_tradnl"/>
        </w:rPr>
        <w:t>1</w:t>
      </w:r>
      <w:r w:rsidRPr="00B7032A">
        <w:rPr>
          <w:rFonts w:ascii="Arial" w:eastAsia="Calibri" w:hAnsi="Arial" w:cs="Arial"/>
          <w:color w:val="000000"/>
          <w:sz w:val="22"/>
          <w:szCs w:val="22"/>
          <w:lang w:val="es-ES_tradnl"/>
        </w:rPr>
        <w:t xml:space="preserve">. del </w:t>
      </w:r>
      <w:r w:rsidR="00055EC3" w:rsidRPr="00B7032A">
        <w:rPr>
          <w:rFonts w:ascii="Arial" w:eastAsia="Calibri" w:hAnsi="Arial" w:cs="Arial"/>
          <w:color w:val="000000"/>
          <w:sz w:val="22"/>
          <w:szCs w:val="22"/>
          <w:lang w:val="es-ES_tradnl"/>
        </w:rPr>
        <w:t>d</w:t>
      </w:r>
      <w:r w:rsidRPr="00B7032A">
        <w:rPr>
          <w:rFonts w:ascii="Arial" w:eastAsia="Calibri" w:hAnsi="Arial" w:cs="Arial"/>
          <w:color w:val="000000"/>
          <w:sz w:val="22"/>
          <w:szCs w:val="22"/>
          <w:lang w:val="es-ES_tradnl"/>
        </w:rPr>
        <w:t xml:space="preserve">ocumento </w:t>
      </w:r>
      <w:r w:rsidR="00055EC3" w:rsidRPr="00B7032A">
        <w:rPr>
          <w:rFonts w:ascii="Arial" w:eastAsia="Calibri" w:hAnsi="Arial" w:cs="Arial"/>
          <w:color w:val="000000"/>
          <w:sz w:val="22"/>
          <w:szCs w:val="22"/>
          <w:lang w:val="es-ES_tradnl"/>
        </w:rPr>
        <w:t>b</w:t>
      </w:r>
      <w:r w:rsidRPr="00B7032A">
        <w:rPr>
          <w:rFonts w:ascii="Arial" w:eastAsia="Calibri" w:hAnsi="Arial" w:cs="Arial"/>
          <w:color w:val="000000"/>
          <w:sz w:val="22"/>
          <w:szCs w:val="22"/>
          <w:lang w:val="es-ES_tradnl"/>
        </w:rPr>
        <w:t xml:space="preserve">ase establece en el literal A que «En los procesos </w:t>
      </w:r>
      <w:r w:rsidR="00E429ED" w:rsidRPr="00B7032A">
        <w:rPr>
          <w:rFonts w:ascii="Arial" w:eastAsia="Calibri" w:hAnsi="Arial" w:cs="Arial"/>
          <w:color w:val="000000"/>
          <w:sz w:val="22"/>
          <w:szCs w:val="22"/>
          <w:lang w:val="es-ES_tradnl"/>
        </w:rPr>
        <w:t xml:space="preserve">de Contratación </w:t>
      </w:r>
      <w:r w:rsidRPr="00B7032A">
        <w:rPr>
          <w:rFonts w:ascii="Arial" w:eastAsia="Calibri" w:hAnsi="Arial" w:cs="Arial"/>
          <w:color w:val="000000"/>
          <w:sz w:val="22"/>
          <w:szCs w:val="22"/>
          <w:lang w:val="es-ES_tradnl"/>
        </w:rPr>
        <w:t xml:space="preserve">estructurados por lotes, la entidad establecerá la experiencia de cada uno de ellos, de acuerdo con las actividades definidas </w:t>
      </w:r>
      <w:r w:rsidR="00E429ED" w:rsidRPr="00B7032A">
        <w:rPr>
          <w:rFonts w:ascii="Arial" w:eastAsia="Calibri" w:hAnsi="Arial" w:cs="Arial"/>
          <w:color w:val="000000"/>
          <w:sz w:val="22"/>
          <w:szCs w:val="22"/>
          <w:lang w:val="es-MX"/>
        </w:rPr>
        <w:t>en las matrices de experiencia aplicables en el proyecto de infraestructura social</w:t>
      </w:r>
      <w:r w:rsidRPr="00B7032A">
        <w:rPr>
          <w:rFonts w:ascii="Arial" w:eastAsia="Calibri" w:hAnsi="Arial" w:cs="Arial"/>
          <w:color w:val="000000"/>
          <w:sz w:val="22"/>
          <w:szCs w:val="22"/>
          <w:lang w:val="es-ES_tradnl"/>
        </w:rPr>
        <w:t>]». Asimismo, indica que «</w:t>
      </w:r>
      <w:r w:rsidR="00E429ED" w:rsidRPr="00B7032A">
        <w:rPr>
          <w:rFonts w:ascii="Arial" w:eastAsia="Calibri" w:hAnsi="Arial" w:cs="Arial"/>
          <w:color w:val="000000"/>
          <w:sz w:val="22"/>
          <w:szCs w:val="22"/>
          <w:lang w:val="es-MX"/>
        </w:rPr>
        <w:t>La experiencia que deberá acreditar el Proponente será la establecida por la Entidad de forma independiente para cada uno de los lotes o grupos de acuerdo con las actividades definidas en la matriz de experiencia aplicable en el respectivo proyecto de infraestructura social, en el literal A de esta sección</w:t>
      </w:r>
      <w:r w:rsidRPr="00B7032A">
        <w:rPr>
          <w:rFonts w:ascii="Arial" w:eastAsia="Calibri" w:hAnsi="Arial" w:cs="Arial"/>
          <w:color w:val="000000"/>
          <w:sz w:val="22"/>
          <w:szCs w:val="22"/>
          <w:lang w:val="es-ES_tradnl"/>
        </w:rPr>
        <w:t xml:space="preserve">». </w:t>
      </w:r>
    </w:p>
    <w:p w14:paraId="1CEF5686" w14:textId="3C93A124" w:rsidR="001804B1" w:rsidRPr="00B7032A" w:rsidRDefault="001804B1" w:rsidP="008D180E">
      <w:pPr>
        <w:spacing w:before="120" w:line="276" w:lineRule="auto"/>
        <w:ind w:firstLine="709"/>
        <w:jc w:val="both"/>
        <w:rPr>
          <w:rFonts w:ascii="Arial" w:hAnsi="Arial" w:cs="Arial"/>
          <w:sz w:val="22"/>
          <w:szCs w:val="22"/>
          <w:shd w:val="clear" w:color="auto" w:fill="FFFFFF"/>
          <w:lang w:val="es-ES_tradnl"/>
        </w:rPr>
      </w:pPr>
      <w:r w:rsidRPr="00B7032A">
        <w:rPr>
          <w:rFonts w:ascii="Arial" w:hAnsi="Arial" w:cs="Arial"/>
          <w:sz w:val="22"/>
          <w:szCs w:val="22"/>
          <w:shd w:val="clear" w:color="auto" w:fill="FFFFFF"/>
          <w:lang w:val="es-ES_tradnl"/>
        </w:rPr>
        <w:t xml:space="preserve">En lo que </w:t>
      </w:r>
      <w:r w:rsidRPr="00B7032A">
        <w:rPr>
          <w:rFonts w:ascii="Arial" w:eastAsia="Calibri" w:hAnsi="Arial" w:cs="Arial"/>
          <w:color w:val="000000"/>
          <w:sz w:val="22"/>
          <w:szCs w:val="22"/>
          <w:lang w:val="es-ES_tradnl"/>
        </w:rPr>
        <w:t>respecta</w:t>
      </w:r>
      <w:r w:rsidRPr="00B7032A">
        <w:rPr>
          <w:rFonts w:ascii="Arial" w:hAnsi="Arial" w:cs="Arial"/>
          <w:sz w:val="22"/>
          <w:szCs w:val="22"/>
          <w:shd w:val="clear" w:color="auto" w:fill="FFFFFF"/>
          <w:lang w:val="es-ES_tradnl"/>
        </w:rPr>
        <w:t xml:space="preserve"> al capital de trabajo, el numeral 3.7 del </w:t>
      </w:r>
      <w:r w:rsidR="001373BF" w:rsidRPr="00B7032A">
        <w:rPr>
          <w:rFonts w:ascii="Arial" w:hAnsi="Arial" w:cs="Arial"/>
          <w:sz w:val="22"/>
          <w:szCs w:val="22"/>
          <w:shd w:val="clear" w:color="auto" w:fill="FFFFFF"/>
          <w:lang w:val="es-ES_tradnl"/>
        </w:rPr>
        <w:t>d</w:t>
      </w:r>
      <w:r w:rsidRPr="00B7032A">
        <w:rPr>
          <w:rFonts w:ascii="Arial" w:hAnsi="Arial" w:cs="Arial"/>
          <w:sz w:val="22"/>
          <w:szCs w:val="22"/>
          <w:shd w:val="clear" w:color="auto" w:fill="FFFFFF"/>
          <w:lang w:val="es-ES_tradnl"/>
        </w:rPr>
        <w:t xml:space="preserve">ocumento </w:t>
      </w:r>
      <w:r w:rsidR="001373BF" w:rsidRPr="00B7032A">
        <w:rPr>
          <w:rFonts w:ascii="Arial" w:hAnsi="Arial" w:cs="Arial"/>
          <w:sz w:val="22"/>
          <w:szCs w:val="22"/>
          <w:shd w:val="clear" w:color="auto" w:fill="FFFFFF"/>
          <w:lang w:val="es-ES_tradnl"/>
        </w:rPr>
        <w:t>b</w:t>
      </w:r>
      <w:r w:rsidRPr="00B7032A">
        <w:rPr>
          <w:rFonts w:ascii="Arial" w:hAnsi="Arial" w:cs="Arial"/>
          <w:sz w:val="22"/>
          <w:szCs w:val="22"/>
          <w:shd w:val="clear" w:color="auto" w:fill="FFFFFF"/>
          <w:lang w:val="es-ES_tradnl"/>
        </w:rPr>
        <w:t>ase establece lo siguiente:</w:t>
      </w:r>
    </w:p>
    <w:p w14:paraId="24D71F55" w14:textId="77777777" w:rsidR="001804B1" w:rsidRPr="00B7032A" w:rsidRDefault="001804B1" w:rsidP="001804B1">
      <w:pPr>
        <w:pStyle w:val="Prrafodelista"/>
        <w:ind w:left="709" w:right="709"/>
        <w:jc w:val="both"/>
        <w:rPr>
          <w:rFonts w:ascii="Arial" w:hAnsi="Arial" w:cs="Arial"/>
          <w:sz w:val="21"/>
          <w:szCs w:val="21"/>
          <w:lang w:val="es-ES_tradnl"/>
        </w:rPr>
      </w:pPr>
    </w:p>
    <w:p w14:paraId="6BD9D2BF" w14:textId="76C0D0C4" w:rsidR="001804B1" w:rsidRPr="00B7032A" w:rsidRDefault="001804B1" w:rsidP="001804B1">
      <w:pPr>
        <w:pStyle w:val="Prrafodelista"/>
        <w:ind w:left="709" w:right="709"/>
        <w:jc w:val="both"/>
        <w:rPr>
          <w:rFonts w:ascii="Arial" w:hAnsi="Arial" w:cs="Arial"/>
          <w:sz w:val="21"/>
          <w:szCs w:val="21"/>
          <w:lang w:val="es-ES_tradnl"/>
        </w:rPr>
      </w:pPr>
      <w:r w:rsidRPr="00B7032A">
        <w:rPr>
          <w:rFonts w:ascii="Arial" w:hAnsi="Arial" w:cs="Arial"/>
          <w:sz w:val="21"/>
          <w:szCs w:val="21"/>
          <w:lang w:val="es-ES_tradnl"/>
        </w:rPr>
        <w:t>[…]</w:t>
      </w:r>
    </w:p>
    <w:p w14:paraId="5E15E19E" w14:textId="77777777" w:rsidR="001373BF" w:rsidRPr="00B7032A" w:rsidRDefault="001373BF" w:rsidP="001804B1">
      <w:pPr>
        <w:pStyle w:val="Prrafodelista"/>
        <w:ind w:left="709" w:right="709"/>
        <w:jc w:val="both"/>
        <w:rPr>
          <w:rFonts w:ascii="Arial" w:hAnsi="Arial" w:cs="Arial"/>
          <w:sz w:val="21"/>
          <w:szCs w:val="21"/>
          <w:lang w:val="es-ES_tradnl"/>
        </w:rPr>
      </w:pPr>
    </w:p>
    <w:p w14:paraId="50355D75" w14:textId="21666ED2" w:rsidR="001373BF" w:rsidRPr="00B7032A" w:rsidRDefault="001373BF" w:rsidP="001373BF">
      <w:pPr>
        <w:pStyle w:val="Prrafodelista"/>
        <w:ind w:left="709" w:right="709"/>
        <w:jc w:val="both"/>
        <w:rPr>
          <w:rFonts w:ascii="Arial" w:hAnsi="Arial" w:cs="Arial"/>
          <w:sz w:val="21"/>
          <w:szCs w:val="21"/>
          <w:lang w:val="es-ES_tradnl"/>
        </w:rPr>
      </w:pPr>
      <w:r w:rsidRPr="00B7032A">
        <w:rPr>
          <w:rFonts w:ascii="Arial" w:hAnsi="Arial" w:cs="Arial"/>
          <w:sz w:val="21"/>
          <w:szCs w:val="21"/>
          <w:lang w:val="es-ES_tradnl"/>
        </w:rPr>
        <w:t xml:space="preserve">[En los procesos estructurados por lotes o grupos, el capital de trabajo demandado se establecerá con base en el Presupuesto Oficial del lote al cual se presenta la oferta. En consecuencia, </w:t>
      </w:r>
      <w:r w:rsidRPr="00B7032A">
        <w:rPr>
          <w:rFonts w:ascii="Arial" w:hAnsi="Arial" w:cs="Arial"/>
          <w:b/>
          <w:bCs/>
          <w:sz w:val="21"/>
          <w:szCs w:val="21"/>
          <w:lang w:val="es-ES_tradnl"/>
        </w:rPr>
        <w:t>si el Proponente allega ofertas a varios lotes,</w:t>
      </w:r>
      <w:r w:rsidRPr="00B7032A">
        <w:rPr>
          <w:rFonts w:ascii="Arial" w:hAnsi="Arial" w:cs="Arial"/>
          <w:sz w:val="21"/>
          <w:szCs w:val="21"/>
          <w:lang w:val="es-ES_tradnl"/>
        </w:rPr>
        <w:t xml:space="preserve"> el capital de trabajo demandado se evaluará de manera independiente para cada uno de ellos.</w:t>
      </w:r>
    </w:p>
    <w:p w14:paraId="71B6394A" w14:textId="77777777" w:rsidR="001373BF" w:rsidRPr="00B7032A" w:rsidRDefault="001373BF" w:rsidP="001373BF">
      <w:pPr>
        <w:pStyle w:val="Prrafodelista"/>
        <w:ind w:left="709" w:right="709"/>
        <w:jc w:val="both"/>
        <w:rPr>
          <w:rFonts w:ascii="Arial" w:hAnsi="Arial" w:cs="Arial"/>
          <w:sz w:val="21"/>
          <w:szCs w:val="21"/>
          <w:lang w:val="es-ES_tradnl"/>
        </w:rPr>
      </w:pPr>
    </w:p>
    <w:p w14:paraId="779BB921" w14:textId="0C09A0CC" w:rsidR="001373BF" w:rsidRPr="00B7032A" w:rsidRDefault="001373BF" w:rsidP="001373BF">
      <w:pPr>
        <w:pStyle w:val="Prrafodelista"/>
        <w:ind w:left="709" w:right="709"/>
        <w:jc w:val="both"/>
        <w:rPr>
          <w:rFonts w:ascii="Arial" w:hAnsi="Arial" w:cs="Arial"/>
          <w:sz w:val="21"/>
          <w:szCs w:val="21"/>
          <w:lang w:val="es-ES_tradnl"/>
        </w:rPr>
      </w:pPr>
      <w:r w:rsidRPr="00B7032A">
        <w:rPr>
          <w:rFonts w:ascii="Arial" w:hAnsi="Arial" w:cs="Arial"/>
          <w:sz w:val="21"/>
          <w:szCs w:val="21"/>
          <w:lang w:val="es-ES_tradnl"/>
        </w:rPr>
        <w:t xml:space="preserve">En caso de resultar adjudicatario de más de un lote, se deberá calcular el nuevo capital de trabajo, restando del capital de trabajo calculado inicialmente el valor </w:t>
      </w:r>
      <w:r w:rsidRPr="00B7032A">
        <w:rPr>
          <w:rFonts w:ascii="Arial" w:hAnsi="Arial" w:cs="Arial"/>
          <w:sz w:val="21"/>
          <w:szCs w:val="21"/>
          <w:lang w:val="es-ES_tradnl"/>
        </w:rPr>
        <w:lastRenderedPageBreak/>
        <w:t>del capital de trabajo exigido del primer lote adjudicado y de manera sucesiva por cada lote adjudicado al mismo Proponente]</w:t>
      </w:r>
      <w:r w:rsidR="006841D1" w:rsidRPr="00B7032A">
        <w:rPr>
          <w:rFonts w:ascii="Arial" w:hAnsi="Arial" w:cs="Arial"/>
          <w:sz w:val="21"/>
          <w:szCs w:val="21"/>
          <w:lang w:val="es-ES_tradnl"/>
        </w:rPr>
        <w:t xml:space="preserve"> (Negrilla por fuera de texto)</w:t>
      </w:r>
    </w:p>
    <w:p w14:paraId="2CA0427E" w14:textId="77777777" w:rsidR="001804B1" w:rsidRPr="00B7032A" w:rsidRDefault="001804B1" w:rsidP="001804B1">
      <w:pPr>
        <w:tabs>
          <w:tab w:val="left" w:pos="0"/>
        </w:tabs>
        <w:jc w:val="both"/>
        <w:rPr>
          <w:rFonts w:ascii="Arial" w:eastAsia="Calibri" w:hAnsi="Arial" w:cs="Arial"/>
          <w:b/>
          <w:color w:val="000000" w:themeColor="text1"/>
          <w:sz w:val="22"/>
          <w:lang w:val="es-ES_tradnl"/>
        </w:rPr>
      </w:pPr>
    </w:p>
    <w:p w14:paraId="1B23A641" w14:textId="77777777" w:rsidR="001804B1" w:rsidRPr="00B7032A" w:rsidRDefault="001804B1" w:rsidP="001804B1">
      <w:pPr>
        <w:spacing w:line="276" w:lineRule="auto"/>
        <w:ind w:firstLine="709"/>
        <w:jc w:val="both"/>
        <w:rPr>
          <w:rFonts w:ascii="Arial" w:hAnsi="Arial" w:cs="Arial"/>
          <w:sz w:val="22"/>
          <w:szCs w:val="22"/>
          <w:shd w:val="clear" w:color="auto" w:fill="FFFFFF"/>
          <w:lang w:val="es-ES_tradnl"/>
        </w:rPr>
      </w:pPr>
      <w:r w:rsidRPr="00B7032A">
        <w:rPr>
          <w:rFonts w:ascii="Arial" w:hAnsi="Arial" w:cs="Arial"/>
          <w:sz w:val="22"/>
          <w:szCs w:val="22"/>
          <w:shd w:val="clear" w:color="auto" w:fill="FFFFFF"/>
          <w:lang w:val="es-ES_tradnl"/>
        </w:rPr>
        <w:t>A su vez, frente a la capacidad residual, el numeral 3.10 del Documento Base dispone:</w:t>
      </w:r>
    </w:p>
    <w:p w14:paraId="41ADD438" w14:textId="77777777" w:rsidR="001804B1" w:rsidRPr="00B7032A" w:rsidRDefault="001804B1" w:rsidP="001804B1">
      <w:pPr>
        <w:tabs>
          <w:tab w:val="left" w:pos="0"/>
        </w:tabs>
        <w:jc w:val="both"/>
        <w:rPr>
          <w:rFonts w:ascii="Arial" w:eastAsia="Calibri" w:hAnsi="Arial" w:cs="Arial"/>
          <w:b/>
          <w:color w:val="000000" w:themeColor="text1"/>
          <w:sz w:val="22"/>
          <w:lang w:val="es-ES_tradnl"/>
        </w:rPr>
      </w:pPr>
    </w:p>
    <w:p w14:paraId="44B3428F" w14:textId="20175AC8" w:rsidR="001804B1" w:rsidRPr="00B7032A" w:rsidRDefault="001804B1" w:rsidP="001804B1">
      <w:pPr>
        <w:pStyle w:val="Prrafodelista"/>
        <w:ind w:left="709" w:right="709"/>
        <w:jc w:val="both"/>
        <w:rPr>
          <w:rFonts w:ascii="Arial" w:hAnsi="Arial" w:cs="Arial"/>
          <w:sz w:val="21"/>
          <w:szCs w:val="21"/>
          <w:lang w:val="es-ES_tradnl"/>
        </w:rPr>
      </w:pPr>
      <w:r w:rsidRPr="00B7032A">
        <w:rPr>
          <w:rFonts w:ascii="Arial" w:hAnsi="Arial" w:cs="Arial"/>
          <w:sz w:val="21"/>
          <w:szCs w:val="21"/>
          <w:lang w:val="es-ES_tradnl"/>
        </w:rPr>
        <w:t>[…]</w:t>
      </w:r>
    </w:p>
    <w:p w14:paraId="3B027E5A" w14:textId="77777777" w:rsidR="001373BF" w:rsidRPr="00B7032A" w:rsidRDefault="001373BF" w:rsidP="001804B1">
      <w:pPr>
        <w:pStyle w:val="Prrafodelista"/>
        <w:ind w:left="709" w:right="709"/>
        <w:jc w:val="both"/>
        <w:rPr>
          <w:rFonts w:ascii="Arial" w:hAnsi="Arial" w:cs="Arial"/>
          <w:sz w:val="21"/>
          <w:szCs w:val="21"/>
          <w:lang w:val="es-ES_tradnl"/>
        </w:rPr>
      </w:pPr>
    </w:p>
    <w:p w14:paraId="0C1B1FDB" w14:textId="7318E2A9" w:rsidR="001373BF" w:rsidRPr="00B7032A" w:rsidRDefault="001373BF" w:rsidP="001804B1">
      <w:pPr>
        <w:pStyle w:val="Prrafodelista"/>
        <w:ind w:left="709" w:right="709"/>
        <w:jc w:val="both"/>
        <w:rPr>
          <w:rFonts w:ascii="Arial" w:hAnsi="Arial" w:cs="Arial"/>
          <w:sz w:val="21"/>
          <w:szCs w:val="21"/>
          <w:lang w:val="es-ES_tradnl"/>
        </w:rPr>
      </w:pPr>
      <w:r w:rsidRPr="00B7032A">
        <w:rPr>
          <w:rFonts w:ascii="Arial" w:hAnsi="Arial" w:cs="Arial"/>
          <w:sz w:val="21"/>
          <w:szCs w:val="21"/>
          <w:lang w:val="es-ES_tradnl"/>
        </w:rPr>
        <w:t xml:space="preserve">[En los Procesos de Contratación estructurados por lotes o grupos, el Proponente debe acreditar una capacidad residual mayor o igual a la capacidad residual del lote al cual radicó oferta o </w:t>
      </w:r>
      <w:r w:rsidRPr="00B7032A">
        <w:rPr>
          <w:rFonts w:ascii="Arial" w:hAnsi="Arial" w:cs="Arial"/>
          <w:b/>
          <w:bCs/>
          <w:sz w:val="21"/>
          <w:szCs w:val="21"/>
          <w:lang w:val="es-ES_tradnl"/>
        </w:rPr>
        <w:t>de la sumatoria de los lotes a los cuales presentó oferta</w:t>
      </w:r>
      <w:r w:rsidRPr="00B7032A">
        <w:rPr>
          <w:rFonts w:ascii="Arial" w:hAnsi="Arial" w:cs="Arial"/>
          <w:sz w:val="21"/>
          <w:szCs w:val="21"/>
          <w:lang w:val="es-ES_tradnl"/>
        </w:rPr>
        <w:t xml:space="preserve">. Si la capacidad residual del Proponente no es suficiente para la totalidad de lotes a los cuales presentó oferta, la Entidad lo habilitará únicamente en aquellos de mayor valor en los que cumpla con la capacidad residual requerida] </w:t>
      </w:r>
      <w:r w:rsidR="006841D1" w:rsidRPr="00B7032A">
        <w:rPr>
          <w:rFonts w:ascii="Arial" w:hAnsi="Arial" w:cs="Arial"/>
          <w:sz w:val="21"/>
          <w:szCs w:val="21"/>
          <w:lang w:val="es-ES_tradnl"/>
        </w:rPr>
        <w:t>(negrilla por fuera de texto).</w:t>
      </w:r>
    </w:p>
    <w:p w14:paraId="11E1483C" w14:textId="77777777" w:rsidR="001804B1" w:rsidRPr="00B7032A" w:rsidRDefault="001804B1" w:rsidP="001804B1">
      <w:pPr>
        <w:tabs>
          <w:tab w:val="left" w:pos="0"/>
        </w:tabs>
        <w:jc w:val="both"/>
        <w:rPr>
          <w:rFonts w:ascii="Arial" w:eastAsia="Calibri" w:hAnsi="Arial" w:cs="Arial"/>
          <w:b/>
          <w:color w:val="000000" w:themeColor="text1"/>
          <w:sz w:val="22"/>
          <w:lang w:val="es-ES_tradnl"/>
        </w:rPr>
      </w:pPr>
    </w:p>
    <w:p w14:paraId="4760E694" w14:textId="77F7D054" w:rsidR="006D672D" w:rsidRPr="00B7032A" w:rsidRDefault="001804B1" w:rsidP="001804B1">
      <w:pPr>
        <w:spacing w:before="120" w:line="276" w:lineRule="auto"/>
        <w:ind w:firstLine="709"/>
        <w:jc w:val="both"/>
        <w:rPr>
          <w:rFonts w:ascii="Arial" w:hAnsi="Arial" w:cs="Arial"/>
          <w:sz w:val="22"/>
          <w:szCs w:val="22"/>
          <w:shd w:val="clear" w:color="auto" w:fill="FFFFFF"/>
          <w:lang w:val="es-ES_tradnl"/>
        </w:rPr>
      </w:pPr>
      <w:r w:rsidRPr="00B7032A">
        <w:rPr>
          <w:rFonts w:ascii="Arial" w:hAnsi="Arial" w:cs="Arial"/>
          <w:sz w:val="22"/>
          <w:szCs w:val="22"/>
          <w:shd w:val="clear" w:color="auto" w:fill="FFFFFF"/>
          <w:lang w:val="es-ES_tradnl"/>
        </w:rPr>
        <w:t>De lo dicho se pueden extraer varias conclusiones. En primer lugar, de conformidad con los documentos tipo para licitación de obra pública de infraestructura</w:t>
      </w:r>
      <w:r w:rsidR="00D97EF3" w:rsidRPr="00B7032A">
        <w:rPr>
          <w:rFonts w:ascii="Arial" w:hAnsi="Arial" w:cs="Arial"/>
          <w:sz w:val="22"/>
          <w:szCs w:val="22"/>
          <w:shd w:val="clear" w:color="auto" w:fill="FFFFFF"/>
          <w:lang w:val="es-ES_tradnl"/>
        </w:rPr>
        <w:t xml:space="preserve"> social</w:t>
      </w:r>
      <w:r w:rsidRPr="00B7032A">
        <w:rPr>
          <w:rFonts w:ascii="Arial" w:hAnsi="Arial" w:cs="Arial"/>
          <w:sz w:val="22"/>
          <w:szCs w:val="22"/>
          <w:shd w:val="clear" w:color="auto" w:fill="FFFFFF"/>
          <w:lang w:val="es-ES_tradnl"/>
        </w:rPr>
        <w:t xml:space="preserve">, las entidades estatales cuentan con discrecionalidad para estructurar sus procesos por lotes o grupos. En segundo lugar, habiendo optado por configurar así el procedimiento de selección, las entidades estatales igualmente tienen libertad para indicar si los proponentes pueden presentar oferta para </w:t>
      </w:r>
      <w:r w:rsidRPr="00B7032A">
        <w:rPr>
          <w:rFonts w:ascii="Arial" w:hAnsi="Arial" w:cs="Arial"/>
          <w:sz w:val="22"/>
          <w:szCs w:val="22"/>
          <w:shd w:val="clear" w:color="auto" w:fill="FFFFFF"/>
          <w:lang w:val="es-ES_tradnl"/>
        </w:rPr>
        <w:t xml:space="preserve">más de un lote o grupo. En tercer lugar, una vez definido que si es posible lo anterior, las entidades estatales deben indicar si es viable que un oferente sea adjudicatario de más de un lote o grupo. En cuarto lugar, </w:t>
      </w:r>
      <w:r w:rsidR="006D672D" w:rsidRPr="00B7032A">
        <w:rPr>
          <w:rFonts w:ascii="Arial" w:hAnsi="Arial" w:cs="Arial"/>
          <w:sz w:val="22"/>
          <w:szCs w:val="22"/>
          <w:shd w:val="clear" w:color="auto" w:fill="FFFFFF"/>
          <w:lang w:val="es-ES_tradnl"/>
        </w:rPr>
        <w:t xml:space="preserve">los proponentes deberán acreditar las condiciones habilitantes requeridas </w:t>
      </w:r>
      <w:r w:rsidR="00A830AB" w:rsidRPr="00B7032A">
        <w:rPr>
          <w:rFonts w:ascii="Arial" w:hAnsi="Arial" w:cs="Arial"/>
          <w:sz w:val="22"/>
          <w:szCs w:val="22"/>
          <w:shd w:val="clear" w:color="auto" w:fill="FFFFFF"/>
          <w:lang w:val="es-ES_tradnl"/>
        </w:rPr>
        <w:t>para cada uno de los lotes a los que se presente</w:t>
      </w:r>
      <w:r w:rsidR="003854DD" w:rsidRPr="00B7032A">
        <w:rPr>
          <w:rFonts w:ascii="Arial" w:hAnsi="Arial" w:cs="Arial"/>
          <w:sz w:val="22"/>
          <w:szCs w:val="22"/>
          <w:shd w:val="clear" w:color="auto" w:fill="FFFFFF"/>
          <w:lang w:val="es-ES_tradnl"/>
        </w:rPr>
        <w:t>,</w:t>
      </w:r>
      <w:r w:rsidR="00A830AB" w:rsidRPr="00B7032A">
        <w:rPr>
          <w:rFonts w:ascii="Arial" w:hAnsi="Arial" w:cs="Arial"/>
          <w:sz w:val="22"/>
          <w:szCs w:val="22"/>
          <w:shd w:val="clear" w:color="auto" w:fill="FFFFFF"/>
          <w:lang w:val="es-ES_tradnl"/>
        </w:rPr>
        <w:t xml:space="preserve"> teniendo en cuenta los requisitos establecidos por la entidad</w:t>
      </w:r>
      <w:r w:rsidR="003854DD" w:rsidRPr="00B7032A">
        <w:rPr>
          <w:rFonts w:ascii="Arial" w:hAnsi="Arial" w:cs="Arial"/>
          <w:sz w:val="22"/>
          <w:szCs w:val="22"/>
          <w:shd w:val="clear" w:color="auto" w:fill="FFFFFF"/>
          <w:lang w:val="es-ES_tradnl"/>
        </w:rPr>
        <w:t xml:space="preserve"> en el pliego de condiciones</w:t>
      </w:r>
      <w:r w:rsidR="00A830AB" w:rsidRPr="00B7032A">
        <w:rPr>
          <w:rFonts w:ascii="Arial" w:hAnsi="Arial" w:cs="Arial"/>
          <w:sz w:val="22"/>
          <w:szCs w:val="22"/>
          <w:shd w:val="clear" w:color="auto" w:fill="FFFFFF"/>
          <w:lang w:val="es-ES_tradnl"/>
        </w:rPr>
        <w:t xml:space="preserve">. </w:t>
      </w:r>
    </w:p>
    <w:p w14:paraId="669718D2" w14:textId="3B431BAD" w:rsidR="00055EC3" w:rsidRPr="008179FF" w:rsidRDefault="00055EC3" w:rsidP="001804B1">
      <w:pPr>
        <w:spacing w:before="120" w:line="276" w:lineRule="auto"/>
        <w:ind w:firstLine="709"/>
        <w:jc w:val="both"/>
        <w:rPr>
          <w:rFonts w:ascii="Arial" w:hAnsi="Arial" w:cs="Arial"/>
          <w:sz w:val="22"/>
          <w:szCs w:val="22"/>
          <w:shd w:val="clear" w:color="auto" w:fill="FFFFFF"/>
          <w:lang w:val="es-ES_tradnl"/>
        </w:rPr>
      </w:pPr>
      <w:r w:rsidRPr="00B7032A">
        <w:rPr>
          <w:rFonts w:ascii="Arial" w:hAnsi="Arial" w:cs="Arial"/>
          <w:sz w:val="22"/>
          <w:szCs w:val="22"/>
          <w:shd w:val="clear" w:color="auto" w:fill="FFFFFF"/>
          <w:lang w:val="es-ES_tradnl"/>
        </w:rPr>
        <w:t xml:space="preserve">Así las cosas, </w:t>
      </w:r>
      <w:r w:rsidR="006D672D" w:rsidRPr="00B7032A">
        <w:rPr>
          <w:rFonts w:ascii="Arial" w:hAnsi="Arial" w:cs="Arial"/>
          <w:sz w:val="22"/>
          <w:szCs w:val="22"/>
          <w:shd w:val="clear" w:color="auto" w:fill="FFFFFF"/>
          <w:lang w:val="es-ES_tradnl"/>
        </w:rPr>
        <w:t xml:space="preserve">es claro que en los </w:t>
      </w:r>
      <w:r w:rsidR="003854DD" w:rsidRPr="00B7032A">
        <w:rPr>
          <w:rFonts w:ascii="Arial" w:hAnsi="Arial" w:cs="Arial"/>
          <w:sz w:val="22"/>
          <w:szCs w:val="22"/>
          <w:shd w:val="clear" w:color="auto" w:fill="FFFFFF"/>
          <w:lang w:val="es-ES_tradnl"/>
        </w:rPr>
        <w:t xml:space="preserve">procesos regidos por los </w:t>
      </w:r>
      <w:r w:rsidR="006D672D" w:rsidRPr="00B7032A">
        <w:rPr>
          <w:rFonts w:ascii="Arial" w:hAnsi="Arial" w:cs="Arial"/>
          <w:sz w:val="22"/>
          <w:szCs w:val="22"/>
          <w:shd w:val="clear" w:color="auto" w:fill="FFFFFF"/>
          <w:lang w:val="es-ES_tradnl"/>
        </w:rPr>
        <w:t>documentos tipo</w:t>
      </w:r>
      <w:r w:rsidR="00A830AB" w:rsidRPr="00B7032A">
        <w:rPr>
          <w:rFonts w:ascii="Arial" w:hAnsi="Arial" w:cs="Arial"/>
          <w:sz w:val="22"/>
          <w:szCs w:val="22"/>
          <w:shd w:val="clear" w:color="auto" w:fill="FFFFFF"/>
          <w:lang w:val="es-ES_tradnl"/>
        </w:rPr>
        <w:t xml:space="preserve"> de infraestructura social los proponentes podrán presentar propuesta a dos o más lotes o grupos, ya sea que se presente como proponente singular o integrante de un proponente plural, siempre que la entidad haya establecido esta posibilidad en los términos señalados en el numeral 2.10 </w:t>
      </w:r>
      <w:r w:rsidR="00A830AB" w:rsidRPr="008179FF">
        <w:rPr>
          <w:rFonts w:ascii="Arial" w:hAnsi="Arial" w:cs="Arial"/>
          <w:sz w:val="22"/>
          <w:szCs w:val="22"/>
          <w:shd w:val="clear" w:color="auto" w:fill="FFFFFF"/>
          <w:lang w:val="es-ES_tradnl"/>
        </w:rPr>
        <w:t xml:space="preserve">del documento base. </w:t>
      </w:r>
      <w:r w:rsidR="004F59DB" w:rsidRPr="008179FF">
        <w:rPr>
          <w:rFonts w:ascii="Arial" w:hAnsi="Arial" w:cs="Arial"/>
          <w:sz w:val="22"/>
          <w:szCs w:val="22"/>
          <w:shd w:val="clear" w:color="auto" w:fill="FFFFFF"/>
          <w:lang w:val="es-ES_tradnl"/>
        </w:rPr>
        <w:t>Por consiguiente, no es posible rechazar a un proponente que se presente a dos o más lotes en el evento en que la entidad haya permitido esta posibilidad</w:t>
      </w:r>
      <w:r w:rsidR="00461E84" w:rsidRPr="008179FF">
        <w:rPr>
          <w:rFonts w:ascii="Arial" w:hAnsi="Arial" w:cs="Arial"/>
          <w:sz w:val="22"/>
          <w:szCs w:val="22"/>
          <w:shd w:val="clear" w:color="auto" w:fill="FFFFFF"/>
          <w:lang w:val="es-ES_tradnl"/>
        </w:rPr>
        <w:t>, máxime que no se prevé una causal de rechazo que contemple esta circunstancia</w:t>
      </w:r>
      <w:r w:rsidR="004F59DB" w:rsidRPr="008179FF">
        <w:rPr>
          <w:rFonts w:ascii="Arial" w:hAnsi="Arial" w:cs="Arial"/>
          <w:sz w:val="22"/>
          <w:szCs w:val="22"/>
          <w:shd w:val="clear" w:color="auto" w:fill="FFFFFF"/>
          <w:lang w:val="es-ES_tradnl"/>
        </w:rPr>
        <w:t xml:space="preserve">. </w:t>
      </w:r>
    </w:p>
    <w:p w14:paraId="6C005C2A" w14:textId="48F63495" w:rsidR="00461E84" w:rsidRPr="008179FF" w:rsidRDefault="00C15AA8" w:rsidP="002B1260">
      <w:pPr>
        <w:spacing w:before="120" w:line="276" w:lineRule="auto"/>
        <w:ind w:firstLine="709"/>
        <w:jc w:val="both"/>
        <w:rPr>
          <w:rFonts w:ascii="Arial" w:hAnsi="Arial" w:cs="Arial"/>
          <w:bCs/>
          <w:sz w:val="22"/>
          <w:szCs w:val="22"/>
          <w:shd w:val="clear" w:color="auto" w:fill="FFFFFF"/>
          <w:lang w:val="es-ES_tradnl"/>
        </w:rPr>
      </w:pPr>
      <w:r w:rsidRPr="008179FF">
        <w:rPr>
          <w:rFonts w:ascii="Arial" w:hAnsi="Arial" w:cs="Arial"/>
          <w:bCs/>
          <w:sz w:val="22"/>
          <w:szCs w:val="22"/>
          <w:shd w:val="clear" w:color="auto" w:fill="FFFFFF"/>
          <w:lang w:val="es-ES_tradnl"/>
        </w:rPr>
        <w:t xml:space="preserve">Ahora bien, </w:t>
      </w:r>
      <w:r w:rsidR="002B1260" w:rsidRPr="008179FF">
        <w:rPr>
          <w:rFonts w:ascii="Arial" w:hAnsi="Arial" w:cs="Arial"/>
          <w:bCs/>
          <w:sz w:val="22"/>
          <w:szCs w:val="22"/>
          <w:shd w:val="clear" w:color="auto" w:fill="FFFFFF"/>
          <w:lang w:val="es-ES_tradnl"/>
        </w:rPr>
        <w:t xml:space="preserve">en </w:t>
      </w:r>
      <w:r w:rsidRPr="008179FF">
        <w:rPr>
          <w:rFonts w:ascii="Arial" w:hAnsi="Arial" w:cs="Arial"/>
          <w:bCs/>
          <w:sz w:val="22"/>
          <w:szCs w:val="22"/>
          <w:shd w:val="clear" w:color="auto" w:fill="FFFFFF"/>
          <w:lang w:val="es-ES_tradnl"/>
        </w:rPr>
        <w:t>la</w:t>
      </w:r>
      <w:r w:rsidR="002B1260" w:rsidRPr="008179FF">
        <w:rPr>
          <w:rFonts w:ascii="Arial" w:hAnsi="Arial" w:cs="Arial"/>
          <w:bCs/>
          <w:sz w:val="22"/>
          <w:szCs w:val="22"/>
          <w:shd w:val="clear" w:color="auto" w:fill="FFFFFF"/>
          <w:lang w:val="es-ES_tradnl"/>
        </w:rPr>
        <w:t xml:space="preserve"> consulta se indaga sobre el alcance de la</w:t>
      </w:r>
      <w:r w:rsidRPr="008179FF">
        <w:rPr>
          <w:rFonts w:ascii="Arial" w:hAnsi="Arial" w:cs="Arial"/>
          <w:bCs/>
          <w:sz w:val="22"/>
          <w:szCs w:val="22"/>
          <w:shd w:val="clear" w:color="auto" w:fill="FFFFFF"/>
          <w:lang w:val="es-ES_tradnl"/>
        </w:rPr>
        <w:t xml:space="preserve"> causal de rechazo del literal B del numeral 1.15 </w:t>
      </w:r>
      <w:r w:rsidR="002B1260" w:rsidRPr="008179FF">
        <w:rPr>
          <w:rFonts w:ascii="Arial" w:hAnsi="Arial" w:cs="Arial"/>
          <w:bCs/>
          <w:sz w:val="22"/>
          <w:szCs w:val="22"/>
          <w:shd w:val="clear" w:color="auto" w:fill="FFFFFF"/>
          <w:lang w:val="es-ES_tradnl"/>
        </w:rPr>
        <w:t>del documento base en los procesos estructurados por lote</w:t>
      </w:r>
      <w:r w:rsidR="003854DD" w:rsidRPr="008179FF">
        <w:rPr>
          <w:rFonts w:ascii="Arial" w:hAnsi="Arial" w:cs="Arial"/>
          <w:bCs/>
          <w:sz w:val="22"/>
          <w:szCs w:val="22"/>
          <w:shd w:val="clear" w:color="auto" w:fill="FFFFFF"/>
          <w:lang w:val="es-ES_tradnl"/>
        </w:rPr>
        <w:t>s</w:t>
      </w:r>
      <w:r w:rsidR="002B1260" w:rsidRPr="008179FF">
        <w:rPr>
          <w:rFonts w:ascii="Arial" w:hAnsi="Arial" w:cs="Arial"/>
          <w:bCs/>
          <w:sz w:val="22"/>
          <w:szCs w:val="22"/>
          <w:shd w:val="clear" w:color="auto" w:fill="FFFFFF"/>
          <w:lang w:val="es-ES_tradnl"/>
        </w:rPr>
        <w:t xml:space="preserve"> o grupo</w:t>
      </w:r>
      <w:r w:rsidR="003854DD" w:rsidRPr="008179FF">
        <w:rPr>
          <w:rFonts w:ascii="Arial" w:hAnsi="Arial" w:cs="Arial"/>
          <w:bCs/>
          <w:sz w:val="22"/>
          <w:szCs w:val="22"/>
          <w:shd w:val="clear" w:color="auto" w:fill="FFFFFF"/>
          <w:lang w:val="es-ES_tradnl"/>
        </w:rPr>
        <w:t>s</w:t>
      </w:r>
      <w:r w:rsidR="002B1260" w:rsidRPr="008179FF">
        <w:rPr>
          <w:rFonts w:ascii="Arial" w:hAnsi="Arial" w:cs="Arial"/>
          <w:bCs/>
          <w:sz w:val="22"/>
          <w:szCs w:val="22"/>
          <w:shd w:val="clear" w:color="auto" w:fill="FFFFFF"/>
          <w:lang w:val="es-ES_tradnl"/>
        </w:rPr>
        <w:t>. Según</w:t>
      </w:r>
      <w:r w:rsidR="00461E84" w:rsidRPr="008179FF">
        <w:rPr>
          <w:rFonts w:ascii="Arial" w:hAnsi="Arial" w:cs="Arial"/>
          <w:bCs/>
          <w:sz w:val="22"/>
          <w:szCs w:val="22"/>
          <w:shd w:val="clear" w:color="auto" w:fill="FFFFFF"/>
          <w:lang w:val="es-ES_tradnl"/>
        </w:rPr>
        <w:t xml:space="preserve"> esta causal </w:t>
      </w:r>
      <w:bookmarkStart w:id="38" w:name="_Hlk103170445"/>
      <w:r w:rsidR="00461E84" w:rsidRPr="008179FF">
        <w:rPr>
          <w:rFonts w:ascii="Arial" w:hAnsi="Arial" w:cs="Arial"/>
          <w:bCs/>
          <w:sz w:val="22"/>
          <w:szCs w:val="22"/>
          <w:shd w:val="clear" w:color="auto" w:fill="FFFFFF"/>
          <w:lang w:val="es-ES_tradnl"/>
        </w:rPr>
        <w:t>se rechazará la oferta «Cuando una misma persona natural o jurídica, o integrante de un Proponente Plural presente o haga parte en más de una propuesta para el proceso de selección.</w:t>
      </w:r>
      <w:r w:rsidR="008B6279" w:rsidRPr="008179FF">
        <w:rPr>
          <w:rFonts w:ascii="Arial" w:hAnsi="Arial" w:cs="Arial"/>
          <w:bCs/>
          <w:sz w:val="22"/>
          <w:szCs w:val="22"/>
          <w:shd w:val="clear" w:color="auto" w:fill="FFFFFF"/>
          <w:lang w:val="es-ES_tradnl"/>
        </w:rPr>
        <w:t xml:space="preserve"> </w:t>
      </w:r>
      <w:r w:rsidR="00461E84" w:rsidRPr="008179FF">
        <w:rPr>
          <w:rFonts w:ascii="Arial" w:hAnsi="Arial" w:cs="Arial"/>
          <w:bCs/>
          <w:sz w:val="22"/>
          <w:szCs w:val="22"/>
          <w:shd w:val="clear" w:color="auto" w:fill="FFFFFF"/>
          <w:lang w:val="es-ES_tradnl"/>
        </w:rPr>
        <w:t xml:space="preserve">[Cuando el proceso se estructure por lotes o grupos reemplazar el texto anterior por el siguiente: Cuando en el mismo procedimiento de selección se presentan oferentes para un mismo lote o grupo, estando incursos en la </w:t>
      </w:r>
      <w:r w:rsidR="00461E84" w:rsidRPr="008179FF">
        <w:rPr>
          <w:rFonts w:ascii="Arial" w:hAnsi="Arial" w:cs="Arial"/>
          <w:bCs/>
          <w:sz w:val="22"/>
          <w:szCs w:val="22"/>
          <w:shd w:val="clear" w:color="auto" w:fill="FFFFFF"/>
          <w:lang w:val="es-ES_tradnl"/>
        </w:rPr>
        <w:lastRenderedPageBreak/>
        <w:t>situación descrita en los literales g) y h) del numeral 1 del artículo 8 de la Ley 80 de 1993, la Entidad solo admitirá la primera oferta presentada en el tiempo]</w:t>
      </w:r>
      <w:r w:rsidR="008B6279" w:rsidRPr="008179FF">
        <w:rPr>
          <w:rFonts w:ascii="Arial" w:eastAsia="Calibri" w:hAnsi="Arial" w:cs="Arial"/>
          <w:color w:val="000000"/>
          <w:sz w:val="22"/>
          <w:szCs w:val="22"/>
          <w:lang w:val="es-ES_tradnl"/>
        </w:rPr>
        <w:t>»</w:t>
      </w:r>
    </w:p>
    <w:p w14:paraId="7158B98C" w14:textId="0D8C6FCD" w:rsidR="00E91F8E" w:rsidRPr="008179FF" w:rsidRDefault="002B1260" w:rsidP="002B1260">
      <w:pPr>
        <w:spacing w:before="120" w:line="276" w:lineRule="auto"/>
        <w:ind w:firstLine="709"/>
        <w:jc w:val="both"/>
        <w:rPr>
          <w:rFonts w:ascii="Arial" w:hAnsi="Arial" w:cs="Arial"/>
          <w:bCs/>
          <w:sz w:val="22"/>
          <w:szCs w:val="22"/>
          <w:shd w:val="clear" w:color="auto" w:fill="FFFFFF"/>
          <w:lang w:val="es-ES_tradnl"/>
        </w:rPr>
      </w:pPr>
      <w:r w:rsidRPr="008179FF">
        <w:rPr>
          <w:rFonts w:ascii="Arial" w:hAnsi="Arial" w:cs="Arial"/>
          <w:bCs/>
          <w:sz w:val="22"/>
          <w:szCs w:val="22"/>
          <w:shd w:val="clear" w:color="auto" w:fill="FFFFFF"/>
          <w:lang w:val="es-ES_tradnl"/>
        </w:rPr>
        <w:t>Conforme se desprende de lo anterior, e</w:t>
      </w:r>
      <w:r w:rsidR="00F669BB" w:rsidRPr="008179FF">
        <w:rPr>
          <w:rFonts w:ascii="Arial" w:hAnsi="Arial" w:cs="Arial"/>
          <w:bCs/>
          <w:sz w:val="22"/>
          <w:szCs w:val="22"/>
          <w:shd w:val="clear" w:color="auto" w:fill="FFFFFF"/>
          <w:lang w:val="es-ES_tradnl"/>
        </w:rPr>
        <w:t xml:space="preserve">n esta causal se </w:t>
      </w:r>
      <w:r w:rsidR="00E91F8E" w:rsidRPr="008179FF">
        <w:rPr>
          <w:rFonts w:ascii="Arial" w:hAnsi="Arial" w:cs="Arial"/>
          <w:bCs/>
          <w:sz w:val="22"/>
          <w:szCs w:val="22"/>
          <w:shd w:val="clear" w:color="auto" w:fill="FFFFFF"/>
          <w:lang w:val="es-ES_tradnl"/>
        </w:rPr>
        <w:t>regula</w:t>
      </w:r>
      <w:r w:rsidR="00F669BB" w:rsidRPr="008179FF">
        <w:rPr>
          <w:rFonts w:ascii="Arial" w:hAnsi="Arial" w:cs="Arial"/>
          <w:bCs/>
          <w:sz w:val="22"/>
          <w:szCs w:val="22"/>
          <w:shd w:val="clear" w:color="auto" w:fill="FFFFFF"/>
          <w:lang w:val="es-ES_tradnl"/>
        </w:rPr>
        <w:t>n</w:t>
      </w:r>
      <w:r w:rsidR="00E91F8E" w:rsidRPr="008179FF">
        <w:rPr>
          <w:rFonts w:ascii="Arial" w:hAnsi="Arial" w:cs="Arial"/>
          <w:bCs/>
          <w:sz w:val="22"/>
          <w:szCs w:val="22"/>
          <w:shd w:val="clear" w:color="auto" w:fill="FFFFFF"/>
          <w:lang w:val="es-ES_tradnl"/>
        </w:rPr>
        <w:t xml:space="preserve"> dos supuestos: i) en los procesos se rechazará si la misma persona presenta o hace parte en más de una propuesta y </w:t>
      </w:r>
      <w:proofErr w:type="spellStart"/>
      <w:r w:rsidR="00E91F8E" w:rsidRPr="008179FF">
        <w:rPr>
          <w:rFonts w:ascii="Arial" w:hAnsi="Arial" w:cs="Arial"/>
          <w:bCs/>
          <w:sz w:val="22"/>
          <w:szCs w:val="22"/>
          <w:shd w:val="clear" w:color="auto" w:fill="FFFFFF"/>
          <w:lang w:val="es-ES_tradnl"/>
        </w:rPr>
        <w:t>ii</w:t>
      </w:r>
      <w:proofErr w:type="spellEnd"/>
      <w:r w:rsidR="00E91F8E" w:rsidRPr="008179FF">
        <w:rPr>
          <w:rFonts w:ascii="Arial" w:hAnsi="Arial" w:cs="Arial"/>
          <w:bCs/>
          <w:sz w:val="22"/>
          <w:szCs w:val="22"/>
          <w:shd w:val="clear" w:color="auto" w:fill="FFFFFF"/>
          <w:lang w:val="es-ES_tradnl"/>
        </w:rPr>
        <w:t xml:space="preserve">) en los procesos estructurados por lote se rechazará la oferta si se presentan oferentes para un mismo lote o grupo que estén incursos en los literales g y h del numera 1 del artículo 8 de la Ley 80 de 1993. </w:t>
      </w:r>
      <w:r w:rsidRPr="008179FF">
        <w:rPr>
          <w:rFonts w:ascii="Arial" w:hAnsi="Arial" w:cs="Arial"/>
          <w:bCs/>
          <w:sz w:val="22"/>
          <w:szCs w:val="22"/>
          <w:shd w:val="clear" w:color="auto" w:fill="FFFFFF"/>
          <w:lang w:val="es-ES_tradnl"/>
        </w:rPr>
        <w:t>E</w:t>
      </w:r>
      <w:r w:rsidR="00E91F8E" w:rsidRPr="008179FF">
        <w:rPr>
          <w:rFonts w:ascii="Arial" w:hAnsi="Arial" w:cs="Arial"/>
          <w:bCs/>
          <w:sz w:val="22"/>
          <w:szCs w:val="22"/>
          <w:shd w:val="clear" w:color="auto" w:fill="FFFFFF"/>
          <w:lang w:val="es-ES_tradnl"/>
        </w:rPr>
        <w:t>l único supuesto dirigido a los procesos estructurados por lotes es el segundo, mientras que el primero procederá en aquellos procesos que no estén estructurados por lotes. Por tanto, se reitera que no hay causales que conlleve al rechazo de la oferta por presentar propuesta en más de dos lotes.</w:t>
      </w:r>
    </w:p>
    <w:bookmarkEnd w:id="38"/>
    <w:p w14:paraId="20FC7CFA" w14:textId="3889F06D" w:rsidR="00E91F8E" w:rsidRPr="008179FF" w:rsidRDefault="00E91F8E" w:rsidP="00E91F8E">
      <w:pPr>
        <w:spacing w:before="120" w:line="276" w:lineRule="auto"/>
        <w:ind w:firstLine="709"/>
        <w:jc w:val="both"/>
        <w:rPr>
          <w:rFonts w:ascii="Arial" w:eastAsia="Calibri" w:hAnsi="Arial" w:cs="Arial"/>
          <w:sz w:val="22"/>
          <w:szCs w:val="22"/>
          <w:lang w:val="es-ES_tradnl" w:eastAsia="en-US"/>
        </w:rPr>
      </w:pPr>
      <w:r w:rsidRPr="008179FF">
        <w:rPr>
          <w:rFonts w:ascii="Arial" w:hAnsi="Arial" w:cs="Arial"/>
          <w:bCs/>
          <w:sz w:val="22"/>
          <w:szCs w:val="22"/>
          <w:shd w:val="clear" w:color="auto" w:fill="FFFFFF"/>
          <w:lang w:val="es-ES_tradnl"/>
        </w:rPr>
        <w:t xml:space="preserve">El segundo supuesto regulado en el literal B </w:t>
      </w:r>
      <w:r w:rsidR="008741BE" w:rsidRPr="008179FF">
        <w:rPr>
          <w:rFonts w:ascii="Arial" w:hAnsi="Arial" w:cs="Arial"/>
          <w:bCs/>
          <w:sz w:val="22"/>
          <w:szCs w:val="22"/>
          <w:shd w:val="clear" w:color="auto" w:fill="FFFFFF"/>
          <w:lang w:val="es-ES_tradnl"/>
        </w:rPr>
        <w:t xml:space="preserve">tiene el propósito de </w:t>
      </w:r>
      <w:r w:rsidRPr="008179FF">
        <w:rPr>
          <w:rFonts w:ascii="Arial" w:hAnsi="Arial" w:cs="Arial"/>
          <w:bCs/>
          <w:sz w:val="22"/>
          <w:szCs w:val="22"/>
          <w:shd w:val="clear" w:color="auto" w:fill="FFFFFF"/>
          <w:lang w:val="es-ES_tradnl"/>
        </w:rPr>
        <w:t>precisar el rechazo de la oferta cuando se presentan oferentes para un mismo lote o grupo que estén incursos en los literales g y h del numeral 1 del artículo 8 de la Ley 80 de 1993</w:t>
      </w:r>
      <w:r w:rsidR="00CE723E" w:rsidRPr="008179FF">
        <w:rPr>
          <w:rFonts w:ascii="Arial" w:hAnsi="Arial" w:cs="Arial"/>
          <w:bCs/>
          <w:sz w:val="22"/>
          <w:szCs w:val="22"/>
          <w:shd w:val="clear" w:color="auto" w:fill="FFFFFF"/>
          <w:lang w:val="es-ES_tradnl"/>
        </w:rPr>
        <w:t>, caso en cual únicamente se admitirá la primera oferta presentada en el tiempo</w:t>
      </w:r>
      <w:r w:rsidRPr="008179FF">
        <w:rPr>
          <w:rFonts w:ascii="Arial" w:hAnsi="Arial" w:cs="Arial"/>
          <w:bCs/>
          <w:sz w:val="22"/>
          <w:szCs w:val="22"/>
          <w:shd w:val="clear" w:color="auto" w:fill="FFFFFF"/>
          <w:lang w:val="es-ES_tradnl"/>
        </w:rPr>
        <w:t xml:space="preserve">. </w:t>
      </w:r>
      <w:r w:rsidR="008741BE" w:rsidRPr="008179FF">
        <w:rPr>
          <w:rFonts w:ascii="Arial" w:hAnsi="Arial" w:cs="Arial"/>
          <w:bCs/>
          <w:sz w:val="22"/>
          <w:szCs w:val="22"/>
          <w:shd w:val="clear" w:color="auto" w:fill="FFFFFF"/>
          <w:lang w:val="es-ES_tradnl"/>
        </w:rPr>
        <w:t>Al respecto, es pertinente indicar que s</w:t>
      </w:r>
      <w:r w:rsidR="00B02266" w:rsidRPr="008179FF">
        <w:rPr>
          <w:rFonts w:ascii="Arial" w:hAnsi="Arial" w:cs="Arial"/>
          <w:bCs/>
          <w:sz w:val="22"/>
          <w:szCs w:val="22"/>
          <w:shd w:val="clear" w:color="auto" w:fill="FFFFFF"/>
          <w:lang w:val="es-ES_tradnl"/>
        </w:rPr>
        <w:t>egún el literal g</w:t>
      </w:r>
      <w:r w:rsidR="00CE723E" w:rsidRPr="008179FF">
        <w:rPr>
          <w:rFonts w:ascii="Arial" w:hAnsi="Arial" w:cs="Arial"/>
          <w:bCs/>
          <w:sz w:val="22"/>
          <w:szCs w:val="22"/>
          <w:shd w:val="clear" w:color="auto" w:fill="FFFFFF"/>
          <w:lang w:val="es-ES_tradnl"/>
        </w:rPr>
        <w:t xml:space="preserve"> citado</w:t>
      </w:r>
      <w:r w:rsidR="00B02266" w:rsidRPr="008179FF">
        <w:rPr>
          <w:rFonts w:ascii="Arial" w:hAnsi="Arial" w:cs="Arial"/>
          <w:bCs/>
          <w:sz w:val="22"/>
          <w:szCs w:val="22"/>
          <w:shd w:val="clear" w:color="auto" w:fill="FFFFFF"/>
          <w:lang w:val="es-ES_tradnl"/>
        </w:rPr>
        <w:t xml:space="preserve"> </w:t>
      </w:r>
      <w:r w:rsidRPr="008179FF">
        <w:rPr>
          <w:rFonts w:ascii="Arial" w:eastAsia="Calibri" w:hAnsi="Arial" w:cs="Arial"/>
          <w:sz w:val="22"/>
          <w:szCs w:val="22"/>
          <w:lang w:val="es-ES_tradnl" w:eastAsia="en-US"/>
        </w:rPr>
        <w:t>son inhábiles para participar en procesos de contratación o suscribir contratos con entidades estatales «Quienes sean cónyuges o compañeros permanentes y quienes se encuentren dentro del segundo grado de consanguinidad o segundo de afinidad con cualquier otra persona que formalmente haya presentado propuesta para una misma licitación».</w:t>
      </w:r>
    </w:p>
    <w:p w14:paraId="1153449C" w14:textId="77777777" w:rsidR="00E91F8E" w:rsidRPr="008179FF" w:rsidRDefault="00E91F8E" w:rsidP="00E91F8E">
      <w:pPr>
        <w:spacing w:before="120" w:after="120" w:line="276" w:lineRule="auto"/>
        <w:ind w:firstLine="709"/>
        <w:jc w:val="both"/>
        <w:rPr>
          <w:rFonts w:ascii="Arial" w:eastAsia="Calibri" w:hAnsi="Arial" w:cs="Arial"/>
          <w:sz w:val="22"/>
          <w:szCs w:val="22"/>
          <w:lang w:val="es-ES_tradnl" w:eastAsia="en-US"/>
        </w:rPr>
      </w:pPr>
      <w:r w:rsidRPr="008179FF">
        <w:rPr>
          <w:rFonts w:ascii="Arial" w:eastAsia="Calibri" w:hAnsi="Arial" w:cs="Arial"/>
          <w:sz w:val="22"/>
          <w:szCs w:val="22"/>
          <w:lang w:val="es-ES" w:eastAsia="en-US"/>
        </w:rPr>
        <w:t>La citada inhabilidad tiene fundamento en las relaciones familiares o de parentesco, tales como los cónyuges o compañeros permanentes, así como aquellas personas respecto de las que se predican relaciones de consanguinidad o afinidad hasta el segundo grado. Esa circunstancia implica que esa causal de inhabilidad se instituyó, única y exclusivamente, con el propósito de limitar la capacidad en la participación en procesos de contratación de las denominadas personas naturales</w:t>
      </w:r>
      <w:r w:rsidRPr="008179FF">
        <w:rPr>
          <w:rFonts w:ascii="Arial" w:eastAsia="Calibri" w:hAnsi="Arial" w:cs="Arial"/>
          <w:sz w:val="22"/>
          <w:szCs w:val="22"/>
          <w:vertAlign w:val="superscript"/>
          <w:lang w:val="es-ES" w:eastAsia="en-US"/>
        </w:rPr>
        <w:footnoteReference w:id="25"/>
      </w:r>
      <w:r w:rsidRPr="008179FF">
        <w:rPr>
          <w:rFonts w:ascii="Arial" w:eastAsia="Calibri" w:hAnsi="Arial" w:cs="Arial"/>
          <w:sz w:val="22"/>
          <w:szCs w:val="22"/>
          <w:lang w:val="es-ES" w:eastAsia="en-US"/>
        </w:rPr>
        <w:t>, esto es, sujetos de derechos y obligaciones de la especie humana unidos entre si ya sea por vínculos naturales o jurídicos</w:t>
      </w:r>
      <w:r w:rsidRPr="008179FF">
        <w:rPr>
          <w:rFonts w:ascii="Arial" w:eastAsia="Calibri" w:hAnsi="Arial" w:cs="Arial"/>
          <w:sz w:val="22"/>
          <w:szCs w:val="22"/>
          <w:vertAlign w:val="superscript"/>
          <w:lang w:val="es-ES" w:eastAsia="en-US"/>
        </w:rPr>
        <w:footnoteReference w:id="26"/>
      </w:r>
      <w:r w:rsidRPr="008179FF">
        <w:rPr>
          <w:rFonts w:ascii="Arial" w:eastAsia="Calibri" w:hAnsi="Arial" w:cs="Arial"/>
          <w:sz w:val="22"/>
          <w:szCs w:val="22"/>
          <w:lang w:val="es-ES" w:eastAsia="en-US"/>
        </w:rPr>
        <w:t>.</w:t>
      </w:r>
    </w:p>
    <w:p w14:paraId="67E8D86D" w14:textId="14D25BC4" w:rsidR="00EA5C1C" w:rsidRPr="008179FF" w:rsidRDefault="00B02266" w:rsidP="00B02266">
      <w:pPr>
        <w:spacing w:after="120" w:line="276" w:lineRule="auto"/>
        <w:ind w:firstLine="709"/>
        <w:jc w:val="both"/>
        <w:rPr>
          <w:rFonts w:ascii="Arial" w:eastAsia="Calibri" w:hAnsi="Arial" w:cs="Arial"/>
          <w:sz w:val="22"/>
          <w:lang w:val="es-ES_tradnl"/>
        </w:rPr>
      </w:pPr>
      <w:r w:rsidRPr="008179FF">
        <w:rPr>
          <w:rFonts w:ascii="Arial" w:hAnsi="Arial" w:cs="Arial"/>
          <w:bCs/>
          <w:sz w:val="22"/>
          <w:szCs w:val="22"/>
          <w:shd w:val="clear" w:color="auto" w:fill="FFFFFF"/>
          <w:lang w:val="es-ES_tradnl"/>
        </w:rPr>
        <w:t xml:space="preserve">Por su parte, el literal h del numeral 1 del artículo 8 de la Ley 80 de 1993, </w:t>
      </w:r>
      <w:r w:rsidRPr="008179FF">
        <w:rPr>
          <w:rFonts w:ascii="Arial" w:eastAsia="Calibri" w:hAnsi="Arial" w:cs="Arial"/>
          <w:sz w:val="22"/>
          <w:lang w:val="es-ES_tradnl"/>
        </w:rPr>
        <w:t xml:space="preserve">establece una inhabilidad para participar en procesos de contratación o suscribir contratos con entidades estatales para las «sociedades distintas de las anónimas abiertas, en las cuales el representante legal o cualquiera de sus socios tenga parentesco en segundo grado de consanguinidad o segundo de afinidad con el representante legal o con cualquiera de los socios de una sociedad que formalmente haya presentado propuesta, para una misma </w:t>
      </w:r>
      <w:r w:rsidRPr="008179FF">
        <w:rPr>
          <w:rFonts w:ascii="Arial" w:eastAsia="Calibri" w:hAnsi="Arial" w:cs="Arial"/>
          <w:sz w:val="22"/>
          <w:lang w:val="es-ES_tradnl"/>
        </w:rPr>
        <w:lastRenderedPageBreak/>
        <w:t xml:space="preserve">licitación». Esta inhabilidad, entonces, toma como base ciertas relaciones de consanguinidad o afinidad para limitar la capacidad de ciertos sujetos de derecho con el objetivo de preservar ciertos principios constitucionales y el interés general. </w:t>
      </w:r>
    </w:p>
    <w:p w14:paraId="4733F6B0" w14:textId="1DD36BF2" w:rsidR="00D370A0" w:rsidRPr="008179FF" w:rsidRDefault="00D370A0" w:rsidP="00D370A0">
      <w:pPr>
        <w:spacing w:before="120" w:after="120" w:line="276" w:lineRule="auto"/>
        <w:ind w:firstLine="708"/>
        <w:jc w:val="both"/>
        <w:rPr>
          <w:rFonts w:ascii="Arial" w:eastAsia="Calibri" w:hAnsi="Arial" w:cs="Arial"/>
          <w:sz w:val="22"/>
          <w:lang w:val="es-ES_tradnl"/>
        </w:rPr>
      </w:pPr>
      <w:r w:rsidRPr="008179FF">
        <w:rPr>
          <w:rFonts w:ascii="Arial" w:eastAsia="Calibri" w:hAnsi="Arial" w:cs="Arial"/>
          <w:sz w:val="22"/>
          <w:lang w:val="es-ES_tradnl"/>
        </w:rPr>
        <w:t>Los sujetos de derecho contemplados por esta inhabilidad son «las sociedades distintas de las anónimas abiertas». En virtud de la interpretación restrictiva, solamente se encuentran incluidas las sociedades, luego, ni personas naturales ni otro tipo de personas jurídicas se encuadran en este literal; además se hace expresa exclusión de las sociedades anónimas abiertas. Esta exclusión para algunas disposiciones del régimen de inhabilidades, lo ha dicho la Corte Constitucional en el análisis de una inhabilidad distinta, se relaciona con la imposibilidad de controlar «las condiciones personales de quienes adquieren las respectivas acciones»</w:t>
      </w:r>
      <w:r w:rsidRPr="008179FF">
        <w:rPr>
          <w:rStyle w:val="Refdenotaalpie"/>
          <w:rFonts w:ascii="Arial" w:eastAsia="Calibri" w:hAnsi="Arial" w:cs="Arial"/>
          <w:sz w:val="22"/>
          <w:lang w:val="es-ES_tradnl"/>
        </w:rPr>
        <w:footnoteReference w:id="27"/>
      </w:r>
      <w:r w:rsidRPr="008179FF">
        <w:rPr>
          <w:rFonts w:ascii="Arial" w:eastAsia="Calibri" w:hAnsi="Arial" w:cs="Arial"/>
          <w:sz w:val="22"/>
          <w:lang w:val="es-ES_tradnl"/>
        </w:rPr>
        <w:t xml:space="preserve">. </w:t>
      </w:r>
    </w:p>
    <w:p w14:paraId="65173AB4" w14:textId="7900187A" w:rsidR="00D370A0" w:rsidRPr="008179FF" w:rsidRDefault="00D370A0" w:rsidP="00D370A0">
      <w:pPr>
        <w:spacing w:after="120" w:line="276" w:lineRule="auto"/>
        <w:ind w:firstLine="709"/>
        <w:jc w:val="both"/>
        <w:rPr>
          <w:rFonts w:ascii="Arial" w:eastAsia="Calibri" w:hAnsi="Arial" w:cs="Arial"/>
          <w:sz w:val="22"/>
          <w:szCs w:val="22"/>
          <w:lang w:val="es-ES_tradnl" w:eastAsia="en-US"/>
        </w:rPr>
      </w:pPr>
      <w:r w:rsidRPr="008179FF">
        <w:rPr>
          <w:rFonts w:ascii="Arial" w:eastAsia="Calibri" w:hAnsi="Arial" w:cs="Arial"/>
          <w:sz w:val="22"/>
          <w:lang w:val="es-ES_tradnl"/>
        </w:rPr>
        <w:t xml:space="preserve">Además, es importante reseñar que el supuesto de hecho descrito en el literal h) solamente incluye a aquellas sociedades en las cuales el representante legal o alguno de sus socios tienen un parentesco con el representante legal o alguno de los socios de una sociedad «que formalmente haya presentado propuesta». Para usar una máxima latina: </w:t>
      </w:r>
      <w:proofErr w:type="spellStart"/>
      <w:r w:rsidRPr="008179FF">
        <w:rPr>
          <w:rFonts w:ascii="Arial" w:eastAsia="Calibri" w:hAnsi="Arial" w:cs="Arial"/>
          <w:i/>
          <w:iCs/>
          <w:sz w:val="22"/>
          <w:lang w:val="es-ES_tradnl"/>
        </w:rPr>
        <w:t>Expressio</w:t>
      </w:r>
      <w:proofErr w:type="spellEnd"/>
      <w:r w:rsidRPr="008179FF">
        <w:rPr>
          <w:rFonts w:ascii="Arial" w:eastAsia="Calibri" w:hAnsi="Arial" w:cs="Arial"/>
          <w:i/>
          <w:iCs/>
          <w:sz w:val="22"/>
          <w:lang w:val="es-ES_tradnl"/>
        </w:rPr>
        <w:t xml:space="preserve"> </w:t>
      </w:r>
      <w:proofErr w:type="spellStart"/>
      <w:r w:rsidRPr="008179FF">
        <w:rPr>
          <w:rFonts w:ascii="Arial" w:eastAsia="Calibri" w:hAnsi="Arial" w:cs="Arial"/>
          <w:i/>
          <w:iCs/>
          <w:sz w:val="22"/>
          <w:lang w:val="es-ES_tradnl"/>
        </w:rPr>
        <w:t>unius</w:t>
      </w:r>
      <w:proofErr w:type="spellEnd"/>
      <w:r w:rsidRPr="008179FF">
        <w:rPr>
          <w:rFonts w:ascii="Arial" w:eastAsia="Calibri" w:hAnsi="Arial" w:cs="Arial"/>
          <w:i/>
          <w:iCs/>
          <w:sz w:val="22"/>
          <w:lang w:val="es-ES_tradnl"/>
        </w:rPr>
        <w:t xml:space="preserve"> </w:t>
      </w:r>
      <w:proofErr w:type="spellStart"/>
      <w:r w:rsidRPr="008179FF">
        <w:rPr>
          <w:rFonts w:ascii="Arial" w:eastAsia="Calibri" w:hAnsi="Arial" w:cs="Arial"/>
          <w:i/>
          <w:iCs/>
          <w:sz w:val="22"/>
          <w:lang w:val="es-ES_tradnl"/>
        </w:rPr>
        <w:t>est</w:t>
      </w:r>
      <w:proofErr w:type="spellEnd"/>
      <w:r w:rsidRPr="008179FF">
        <w:rPr>
          <w:rFonts w:ascii="Arial" w:eastAsia="Calibri" w:hAnsi="Arial" w:cs="Arial"/>
          <w:i/>
          <w:iCs/>
          <w:sz w:val="22"/>
          <w:lang w:val="es-ES_tradnl"/>
        </w:rPr>
        <w:t xml:space="preserve"> </w:t>
      </w:r>
      <w:proofErr w:type="spellStart"/>
      <w:r w:rsidRPr="008179FF">
        <w:rPr>
          <w:rFonts w:ascii="Arial" w:eastAsia="Calibri" w:hAnsi="Arial" w:cs="Arial"/>
          <w:i/>
          <w:iCs/>
          <w:sz w:val="22"/>
          <w:lang w:val="es-ES_tradnl"/>
        </w:rPr>
        <w:t>exclusio</w:t>
      </w:r>
      <w:proofErr w:type="spellEnd"/>
      <w:r w:rsidRPr="008179FF">
        <w:rPr>
          <w:rFonts w:ascii="Arial" w:eastAsia="Calibri" w:hAnsi="Arial" w:cs="Arial"/>
          <w:i/>
          <w:iCs/>
          <w:sz w:val="22"/>
          <w:lang w:val="es-ES_tradnl"/>
        </w:rPr>
        <w:t xml:space="preserve"> </w:t>
      </w:r>
      <w:proofErr w:type="spellStart"/>
      <w:r w:rsidRPr="008179FF">
        <w:rPr>
          <w:rFonts w:ascii="Arial" w:eastAsia="Calibri" w:hAnsi="Arial" w:cs="Arial"/>
          <w:i/>
          <w:iCs/>
          <w:sz w:val="22"/>
          <w:lang w:val="es-ES_tradnl"/>
        </w:rPr>
        <w:t>alterius</w:t>
      </w:r>
      <w:proofErr w:type="spellEnd"/>
      <w:r w:rsidRPr="008179FF">
        <w:rPr>
          <w:rFonts w:ascii="Arial" w:eastAsia="Calibri" w:hAnsi="Arial" w:cs="Arial"/>
          <w:i/>
          <w:iCs/>
          <w:sz w:val="22"/>
          <w:lang w:val="es-ES_tradnl"/>
        </w:rPr>
        <w:t xml:space="preserve">, </w:t>
      </w:r>
      <w:r w:rsidRPr="008179FF">
        <w:rPr>
          <w:rFonts w:ascii="Arial" w:eastAsia="Calibri" w:hAnsi="Arial" w:cs="Arial"/>
          <w:sz w:val="22"/>
          <w:lang w:val="es-ES_tradnl"/>
        </w:rPr>
        <w:t>es decir, cualquier escenario que no se encuadre perfectamente allí se encuentra excluido del supuesto de hecho.</w:t>
      </w:r>
      <w:r w:rsidR="0006153E" w:rsidRPr="008179FF">
        <w:rPr>
          <w:rFonts w:ascii="Arial" w:eastAsia="Calibri" w:hAnsi="Arial" w:cs="Arial"/>
          <w:sz w:val="22"/>
          <w:lang w:val="es-ES_tradnl"/>
        </w:rPr>
        <w:t xml:space="preserve"> L</w:t>
      </w:r>
      <w:r w:rsidRPr="008179FF">
        <w:rPr>
          <w:rFonts w:ascii="Arial" w:eastAsia="Calibri" w:hAnsi="Arial" w:cs="Arial"/>
          <w:sz w:val="22"/>
          <w:lang w:val="es-ES_tradnl"/>
        </w:rPr>
        <w:t>o anterior teniendo en cuenta que, esta inhabilidad, como todas las demás contenidas en el ordenamiento jurídico, debe ser interpretada, de manera restrictiva y no es posible hacer interpretaciones analógicas o finalistas con el objetivo de cobijar situaciones fáctico-jurídic</w:t>
      </w:r>
      <w:r w:rsidR="00D118A3" w:rsidRPr="008179FF">
        <w:rPr>
          <w:rFonts w:ascii="Arial" w:eastAsia="Calibri" w:hAnsi="Arial" w:cs="Arial"/>
          <w:sz w:val="22"/>
          <w:lang w:val="es-ES_tradnl"/>
        </w:rPr>
        <w:t>a</w:t>
      </w:r>
      <w:r w:rsidRPr="008179FF">
        <w:rPr>
          <w:rFonts w:ascii="Arial" w:eastAsia="Calibri" w:hAnsi="Arial" w:cs="Arial"/>
          <w:sz w:val="22"/>
          <w:lang w:val="es-ES_tradnl"/>
        </w:rPr>
        <w:t xml:space="preserve">s que no encuadran dentro del supuesto descrito en la norma. </w:t>
      </w:r>
    </w:p>
    <w:p w14:paraId="19BAB5BF" w14:textId="0D4A10A5" w:rsidR="00E91F8E" w:rsidRPr="008179FF" w:rsidRDefault="004B2B2E" w:rsidP="004B2B2E">
      <w:pPr>
        <w:spacing w:before="120" w:line="276" w:lineRule="auto"/>
        <w:ind w:firstLine="709"/>
        <w:jc w:val="both"/>
        <w:rPr>
          <w:rFonts w:ascii="Arial" w:hAnsi="Arial" w:cs="Arial"/>
          <w:bCs/>
          <w:sz w:val="22"/>
          <w:szCs w:val="22"/>
          <w:shd w:val="clear" w:color="auto" w:fill="FFFFFF"/>
          <w:lang w:val="es-ES_tradnl"/>
        </w:rPr>
      </w:pPr>
      <w:r w:rsidRPr="008179FF">
        <w:rPr>
          <w:rFonts w:ascii="Arial" w:hAnsi="Arial" w:cs="Arial"/>
          <w:bCs/>
          <w:sz w:val="22"/>
          <w:szCs w:val="22"/>
          <w:shd w:val="clear" w:color="auto" w:fill="FFFFFF"/>
          <w:lang w:val="es-ES_tradnl"/>
        </w:rPr>
        <w:t xml:space="preserve">Por consiguiente, </w:t>
      </w:r>
      <w:r w:rsidR="00CE723E" w:rsidRPr="008179FF">
        <w:rPr>
          <w:rFonts w:ascii="Arial" w:hAnsi="Arial" w:cs="Arial"/>
          <w:bCs/>
          <w:sz w:val="22"/>
          <w:szCs w:val="22"/>
          <w:shd w:val="clear" w:color="auto" w:fill="FFFFFF"/>
          <w:lang w:val="es-ES_tradnl"/>
        </w:rPr>
        <w:t xml:space="preserve">cuando el proceso es estructurado por lotes o grupos </w:t>
      </w:r>
      <w:r w:rsidR="00586567" w:rsidRPr="008179FF">
        <w:rPr>
          <w:rFonts w:ascii="Arial" w:hAnsi="Arial" w:cs="Arial"/>
          <w:bCs/>
          <w:sz w:val="22"/>
          <w:szCs w:val="22"/>
          <w:shd w:val="clear" w:color="auto" w:fill="FFFFFF"/>
          <w:lang w:val="es-ES_tradnl"/>
        </w:rPr>
        <w:t xml:space="preserve">y se presentan proponentes </w:t>
      </w:r>
      <w:r w:rsidR="0006153E" w:rsidRPr="008179FF">
        <w:rPr>
          <w:rFonts w:ascii="Arial" w:hAnsi="Arial" w:cs="Arial"/>
          <w:bCs/>
          <w:sz w:val="22"/>
          <w:szCs w:val="22"/>
          <w:shd w:val="clear" w:color="auto" w:fill="FFFFFF"/>
          <w:lang w:val="es-ES_tradnl"/>
        </w:rPr>
        <w:t xml:space="preserve">en un mismo lote </w:t>
      </w:r>
      <w:r w:rsidR="00EA5C1C" w:rsidRPr="008179FF">
        <w:rPr>
          <w:rFonts w:ascii="Arial" w:hAnsi="Arial" w:cs="Arial"/>
          <w:bCs/>
          <w:sz w:val="22"/>
          <w:szCs w:val="22"/>
          <w:shd w:val="clear" w:color="auto" w:fill="FFFFFF"/>
          <w:lang w:val="es-ES_tradnl"/>
        </w:rPr>
        <w:t xml:space="preserve">que </w:t>
      </w:r>
      <w:r w:rsidR="00D370A0" w:rsidRPr="008179FF">
        <w:rPr>
          <w:rFonts w:ascii="Arial" w:hAnsi="Arial" w:cs="Arial"/>
          <w:bCs/>
          <w:sz w:val="22"/>
          <w:szCs w:val="22"/>
          <w:shd w:val="clear" w:color="auto" w:fill="FFFFFF"/>
          <w:lang w:val="es-ES_tradnl"/>
        </w:rPr>
        <w:t>se encuentran en</w:t>
      </w:r>
      <w:r w:rsidR="0006153E" w:rsidRPr="008179FF">
        <w:rPr>
          <w:rFonts w:ascii="Arial" w:hAnsi="Arial" w:cs="Arial"/>
          <w:bCs/>
          <w:sz w:val="22"/>
          <w:szCs w:val="22"/>
          <w:shd w:val="clear" w:color="auto" w:fill="FFFFFF"/>
          <w:lang w:val="es-ES_tradnl"/>
        </w:rPr>
        <w:t xml:space="preserve"> los supuestos de hechos señalados en los literales g y h del numeral 1 del artículo 8 de la Ley 180 de 1993, procede la aplicación del</w:t>
      </w:r>
      <w:r w:rsidR="006841D1" w:rsidRPr="008179FF">
        <w:rPr>
          <w:rFonts w:ascii="Arial" w:hAnsi="Arial" w:cs="Arial"/>
          <w:bCs/>
          <w:sz w:val="22"/>
          <w:szCs w:val="22"/>
          <w:shd w:val="clear" w:color="auto" w:fill="FFFFFF"/>
          <w:lang w:val="es-ES_tradnl"/>
        </w:rPr>
        <w:t xml:space="preserve"> inciso segundo</w:t>
      </w:r>
      <w:r w:rsidR="0006153E" w:rsidRPr="008179FF">
        <w:rPr>
          <w:rFonts w:ascii="Arial" w:hAnsi="Arial" w:cs="Arial"/>
          <w:bCs/>
          <w:sz w:val="22"/>
          <w:szCs w:val="22"/>
          <w:shd w:val="clear" w:color="auto" w:fill="FFFFFF"/>
          <w:lang w:val="es-ES_tradnl"/>
        </w:rPr>
        <w:t xml:space="preserve"> </w:t>
      </w:r>
      <w:r w:rsidR="001426EA" w:rsidRPr="008179FF">
        <w:rPr>
          <w:rFonts w:ascii="Arial" w:hAnsi="Arial" w:cs="Arial"/>
          <w:bCs/>
          <w:sz w:val="22"/>
          <w:szCs w:val="22"/>
          <w:shd w:val="clear" w:color="auto" w:fill="FFFFFF"/>
          <w:lang w:val="es-ES_tradnl"/>
        </w:rPr>
        <w:t>d</w:t>
      </w:r>
      <w:r w:rsidR="0006153E" w:rsidRPr="008179FF">
        <w:rPr>
          <w:rFonts w:ascii="Arial" w:hAnsi="Arial" w:cs="Arial"/>
          <w:bCs/>
          <w:sz w:val="22"/>
          <w:szCs w:val="22"/>
          <w:shd w:val="clear" w:color="auto" w:fill="FFFFFF"/>
          <w:lang w:val="es-ES_tradnl"/>
        </w:rPr>
        <w:t>el literal B del numeral 1.15 del documento base</w:t>
      </w:r>
      <w:r w:rsidR="006841D1" w:rsidRPr="008179FF">
        <w:rPr>
          <w:rFonts w:ascii="Arial" w:hAnsi="Arial" w:cs="Arial"/>
          <w:bCs/>
          <w:sz w:val="22"/>
          <w:szCs w:val="22"/>
          <w:shd w:val="clear" w:color="auto" w:fill="FFFFFF"/>
          <w:lang w:val="es-ES_tradnl"/>
        </w:rPr>
        <w:t xml:space="preserve">. </w:t>
      </w:r>
      <w:r w:rsidR="0006153E" w:rsidRPr="008179FF">
        <w:rPr>
          <w:rFonts w:ascii="Arial" w:hAnsi="Arial" w:cs="Arial"/>
          <w:bCs/>
          <w:sz w:val="22"/>
          <w:szCs w:val="22"/>
          <w:shd w:val="clear" w:color="auto" w:fill="FFFFFF"/>
          <w:lang w:val="es-ES_tradnl"/>
        </w:rPr>
        <w:t xml:space="preserve"> </w:t>
      </w:r>
    </w:p>
    <w:p w14:paraId="06DF3376" w14:textId="085FE04B" w:rsidR="00E91F8E" w:rsidRPr="008179FF" w:rsidRDefault="00E91F8E" w:rsidP="00EB1D35">
      <w:pPr>
        <w:spacing w:before="120" w:line="276" w:lineRule="auto"/>
        <w:ind w:firstLine="709"/>
        <w:jc w:val="both"/>
        <w:rPr>
          <w:rFonts w:ascii="Arial" w:hAnsi="Arial" w:cs="Arial"/>
          <w:bCs/>
          <w:sz w:val="22"/>
          <w:szCs w:val="22"/>
          <w:shd w:val="clear" w:color="auto" w:fill="FFFFFF"/>
          <w:lang w:val="es-MX"/>
        </w:rPr>
      </w:pPr>
      <w:r w:rsidRPr="008179FF">
        <w:rPr>
          <w:rFonts w:ascii="Arial" w:hAnsi="Arial" w:cs="Arial"/>
          <w:bCs/>
          <w:sz w:val="22"/>
          <w:szCs w:val="22"/>
          <w:shd w:val="clear" w:color="auto" w:fill="FFFFFF"/>
          <w:lang w:val="es-ES_tradnl"/>
        </w:rPr>
        <w:t>Sin embargo, esto no significa que cuando</w:t>
      </w:r>
      <w:r w:rsidR="006841D1" w:rsidRPr="008179FF">
        <w:rPr>
          <w:rFonts w:ascii="Arial" w:hAnsi="Arial" w:cs="Arial"/>
          <w:bCs/>
          <w:sz w:val="22"/>
          <w:szCs w:val="22"/>
          <w:shd w:val="clear" w:color="auto" w:fill="FFFFFF"/>
          <w:lang w:val="es-ES_tradnl"/>
        </w:rPr>
        <w:t xml:space="preserve"> el proceso de contratación establece la posibilidad de</w:t>
      </w:r>
      <w:r w:rsidR="006841D1" w:rsidRPr="008179FF">
        <w:rPr>
          <w:rFonts w:ascii="Arial" w:hAnsi="Arial" w:cs="Arial"/>
          <w:sz w:val="22"/>
          <w:szCs w:val="22"/>
          <w:shd w:val="clear" w:color="auto" w:fill="FFFFFF"/>
          <w:lang w:val="es-ES_tradnl"/>
        </w:rPr>
        <w:t xml:space="preserve"> ofertar para más de un lote o grupo</w:t>
      </w:r>
      <w:r w:rsidRPr="008179FF">
        <w:rPr>
          <w:rFonts w:ascii="Arial" w:hAnsi="Arial" w:cs="Arial"/>
          <w:bCs/>
          <w:sz w:val="22"/>
          <w:szCs w:val="22"/>
          <w:shd w:val="clear" w:color="auto" w:fill="FFFFFF"/>
          <w:lang w:val="es-ES_tradnl"/>
        </w:rPr>
        <w:t xml:space="preserve"> </w:t>
      </w:r>
      <w:r w:rsidR="006841D1" w:rsidRPr="008179FF">
        <w:rPr>
          <w:rFonts w:ascii="Arial" w:hAnsi="Arial" w:cs="Arial"/>
          <w:bCs/>
          <w:sz w:val="22"/>
          <w:szCs w:val="22"/>
          <w:shd w:val="clear" w:color="auto" w:fill="FFFFFF"/>
          <w:lang w:val="es-ES_tradnl"/>
        </w:rPr>
        <w:t xml:space="preserve">y </w:t>
      </w:r>
      <w:r w:rsidRPr="008179FF">
        <w:rPr>
          <w:rFonts w:ascii="Arial" w:hAnsi="Arial" w:cs="Arial"/>
          <w:bCs/>
          <w:sz w:val="22"/>
          <w:szCs w:val="22"/>
          <w:shd w:val="clear" w:color="auto" w:fill="FFFFFF"/>
          <w:lang w:val="es-ES_tradnl"/>
        </w:rPr>
        <w:t xml:space="preserve">se presentan </w:t>
      </w:r>
      <w:r w:rsidR="006841D1" w:rsidRPr="008179FF">
        <w:rPr>
          <w:rFonts w:ascii="Arial" w:hAnsi="Arial" w:cs="Arial"/>
          <w:bCs/>
          <w:sz w:val="22"/>
          <w:szCs w:val="22"/>
          <w:shd w:val="clear" w:color="auto" w:fill="FFFFFF"/>
          <w:lang w:val="es-ES_tradnl"/>
        </w:rPr>
        <w:t xml:space="preserve">proponentes </w:t>
      </w:r>
      <w:r w:rsidRPr="008179FF">
        <w:rPr>
          <w:rFonts w:ascii="Arial" w:hAnsi="Arial" w:cs="Arial"/>
          <w:bCs/>
          <w:sz w:val="22"/>
          <w:szCs w:val="22"/>
          <w:shd w:val="clear" w:color="auto" w:fill="FFFFFF"/>
          <w:lang w:val="es-ES_tradnl"/>
        </w:rPr>
        <w:t xml:space="preserve">para diferentes lotes o grupos que estén incursos en los literales g y h del numera 1 del artículo 8 de la Ley 80 de 1993, </w:t>
      </w:r>
      <w:r w:rsidR="008711AA" w:rsidRPr="008179FF">
        <w:rPr>
          <w:rFonts w:ascii="Arial" w:hAnsi="Arial" w:cs="Arial"/>
          <w:bCs/>
          <w:sz w:val="22"/>
          <w:szCs w:val="22"/>
          <w:shd w:val="clear" w:color="auto" w:fill="FFFFFF"/>
          <w:lang w:val="es-ES_tradnl"/>
        </w:rPr>
        <w:t xml:space="preserve">estos </w:t>
      </w:r>
      <w:r w:rsidRPr="008179FF">
        <w:rPr>
          <w:rFonts w:ascii="Arial" w:hAnsi="Arial" w:cs="Arial"/>
          <w:bCs/>
          <w:sz w:val="22"/>
          <w:szCs w:val="22"/>
          <w:shd w:val="clear" w:color="auto" w:fill="FFFFFF"/>
          <w:lang w:val="es-ES_tradnl"/>
        </w:rPr>
        <w:t>no sean rechazados. En este caso, la causal de rechazo será la establecida en el literal A</w:t>
      </w:r>
      <w:r w:rsidR="00EB1D35" w:rsidRPr="008179FF">
        <w:rPr>
          <w:rFonts w:ascii="Arial" w:hAnsi="Arial" w:cs="Arial"/>
          <w:bCs/>
          <w:sz w:val="22"/>
          <w:szCs w:val="22"/>
          <w:shd w:val="clear" w:color="auto" w:fill="FFFFFF"/>
          <w:lang w:val="es-ES_tradnl"/>
        </w:rPr>
        <w:t xml:space="preserve"> del numeral 1.15 del documento base</w:t>
      </w:r>
      <w:r w:rsidRPr="008179FF">
        <w:rPr>
          <w:rFonts w:ascii="Arial" w:hAnsi="Arial" w:cs="Arial"/>
          <w:bCs/>
          <w:sz w:val="22"/>
          <w:szCs w:val="22"/>
          <w:shd w:val="clear" w:color="auto" w:fill="FFFFFF"/>
          <w:lang w:val="es-ES_tradnl"/>
        </w:rPr>
        <w:t xml:space="preserve">, según la cual se rechazará cuando </w:t>
      </w:r>
      <w:r w:rsidR="00D118A3" w:rsidRPr="008179FF">
        <w:rPr>
          <w:rFonts w:ascii="Arial" w:hAnsi="Arial" w:cs="Arial"/>
          <w:bCs/>
          <w:sz w:val="22"/>
          <w:szCs w:val="22"/>
          <w:shd w:val="clear" w:color="auto" w:fill="FFFFFF"/>
          <w:lang w:val="es-ES_tradnl"/>
        </w:rPr>
        <w:t xml:space="preserve">el </w:t>
      </w:r>
      <w:r w:rsidRPr="008179FF">
        <w:rPr>
          <w:rFonts w:ascii="Arial" w:hAnsi="Arial" w:cs="Arial"/>
          <w:bCs/>
          <w:sz w:val="22"/>
          <w:szCs w:val="22"/>
          <w:shd w:val="clear" w:color="auto" w:fill="FFFFFF"/>
        </w:rPr>
        <w:t>«</w:t>
      </w:r>
      <w:r w:rsidRPr="008179FF">
        <w:rPr>
          <w:rFonts w:ascii="Arial" w:hAnsi="Arial" w:cs="Arial"/>
          <w:bCs/>
          <w:sz w:val="22"/>
          <w:szCs w:val="22"/>
          <w:shd w:val="clear" w:color="auto" w:fill="FFFFFF"/>
          <w:lang w:val="es-ES_tradnl"/>
        </w:rPr>
        <w:t>Proponente o alguno de los integrantes del Proponente Plural esté incurso en causal de inhabilidad, incompatibilidad o prohibición previstas en la legislación para contratar.</w:t>
      </w:r>
      <w:r w:rsidR="004B2B2E" w:rsidRPr="008179FF">
        <w:rPr>
          <w:rFonts w:ascii="Arial" w:hAnsi="Arial" w:cs="Arial"/>
          <w:bCs/>
          <w:sz w:val="22"/>
          <w:szCs w:val="22"/>
          <w:shd w:val="clear" w:color="auto" w:fill="FFFFFF"/>
          <w:lang w:val="es-ES_tradnl"/>
        </w:rPr>
        <w:t xml:space="preserve"> </w:t>
      </w:r>
      <w:r w:rsidRPr="008179FF">
        <w:rPr>
          <w:rFonts w:ascii="Arial" w:hAnsi="Arial" w:cs="Arial"/>
          <w:bCs/>
          <w:sz w:val="22"/>
          <w:szCs w:val="22"/>
          <w:shd w:val="clear" w:color="auto" w:fill="FFFFFF"/>
          <w:lang w:val="es-ES_tradnl"/>
        </w:rPr>
        <w:t>[</w:t>
      </w:r>
      <w:r w:rsidRPr="008179FF">
        <w:rPr>
          <w:rFonts w:ascii="Arial" w:hAnsi="Arial" w:cs="Arial"/>
          <w:bCs/>
          <w:sz w:val="22"/>
          <w:szCs w:val="22"/>
          <w:shd w:val="clear" w:color="auto" w:fill="FFFFFF"/>
          <w:lang w:val="es-MX"/>
        </w:rPr>
        <w:t>Cuando en el mismo proceso de selección se presentan oferentes en la situación descrita por los literales g) y h) del numeral 1 del artículo 8 de la Ley 80 de 1993, la Entidad solo admitirá la primera la oferta presentada en el tiempo]</w:t>
      </w:r>
      <w:r w:rsidRPr="008179FF">
        <w:rPr>
          <w:rFonts w:ascii="Arial" w:hAnsi="Arial" w:cs="Arial"/>
          <w:bCs/>
          <w:sz w:val="22"/>
          <w:szCs w:val="22"/>
          <w:shd w:val="clear" w:color="auto" w:fill="FFFFFF"/>
          <w:lang w:val="es-ES_tradnl"/>
        </w:rPr>
        <w:t>»</w:t>
      </w:r>
      <w:r w:rsidR="00EB1D35" w:rsidRPr="008179FF">
        <w:rPr>
          <w:rFonts w:ascii="Arial" w:hAnsi="Arial" w:cs="Arial"/>
          <w:bCs/>
          <w:sz w:val="22"/>
          <w:szCs w:val="22"/>
          <w:shd w:val="clear" w:color="auto" w:fill="FFFFFF"/>
          <w:lang w:val="es-MX"/>
        </w:rPr>
        <w:t>.</w:t>
      </w:r>
    </w:p>
    <w:p w14:paraId="181A24FE" w14:textId="13B80B2A" w:rsidR="00EB1D35" w:rsidRPr="008179FF" w:rsidRDefault="008711AA" w:rsidP="00EB1D35">
      <w:pPr>
        <w:spacing w:before="120" w:line="276" w:lineRule="auto"/>
        <w:ind w:firstLine="709"/>
        <w:jc w:val="both"/>
        <w:rPr>
          <w:rFonts w:ascii="Arial" w:hAnsi="Arial" w:cs="Arial"/>
          <w:bCs/>
          <w:sz w:val="22"/>
          <w:szCs w:val="22"/>
          <w:shd w:val="clear" w:color="auto" w:fill="FFFFFF"/>
          <w:lang w:val="es-MX"/>
        </w:rPr>
      </w:pPr>
      <w:r w:rsidRPr="008179FF">
        <w:rPr>
          <w:rFonts w:ascii="Arial" w:hAnsi="Arial" w:cs="Arial"/>
          <w:bCs/>
          <w:sz w:val="22"/>
          <w:szCs w:val="22"/>
          <w:shd w:val="clear" w:color="auto" w:fill="FFFFFF"/>
          <w:lang w:val="es-MX"/>
        </w:rPr>
        <w:lastRenderedPageBreak/>
        <w:t xml:space="preserve">En efecto, </w:t>
      </w:r>
      <w:r w:rsidR="00EB1D35" w:rsidRPr="008179FF">
        <w:rPr>
          <w:rFonts w:ascii="Arial" w:hAnsi="Arial" w:cs="Arial"/>
          <w:bCs/>
          <w:sz w:val="22"/>
          <w:szCs w:val="22"/>
          <w:shd w:val="clear" w:color="auto" w:fill="FFFFFF"/>
          <w:lang w:val="es-MX"/>
        </w:rPr>
        <w:t xml:space="preserve">se precisa que esta causal aplica para los procesos de selección independientemente si </w:t>
      </w:r>
      <w:r w:rsidR="0090394E" w:rsidRPr="008179FF">
        <w:rPr>
          <w:rFonts w:ascii="Arial" w:hAnsi="Arial" w:cs="Arial"/>
          <w:bCs/>
          <w:sz w:val="22"/>
          <w:szCs w:val="22"/>
          <w:shd w:val="clear" w:color="auto" w:fill="FFFFFF"/>
          <w:lang w:val="es-MX"/>
        </w:rPr>
        <w:t xml:space="preserve">están </w:t>
      </w:r>
      <w:r w:rsidR="00EB1D35" w:rsidRPr="008179FF">
        <w:rPr>
          <w:rFonts w:ascii="Arial" w:hAnsi="Arial" w:cs="Arial"/>
          <w:bCs/>
          <w:sz w:val="22"/>
          <w:szCs w:val="22"/>
          <w:shd w:val="clear" w:color="auto" w:fill="FFFFFF"/>
          <w:lang w:val="es-MX"/>
        </w:rPr>
        <w:t>estructurado en lotes o grupos</w:t>
      </w:r>
      <w:r w:rsidR="004C0021" w:rsidRPr="008179FF">
        <w:rPr>
          <w:rFonts w:ascii="Arial" w:hAnsi="Arial" w:cs="Arial"/>
          <w:bCs/>
          <w:sz w:val="22"/>
          <w:szCs w:val="22"/>
          <w:shd w:val="clear" w:color="auto" w:fill="FFFFFF"/>
          <w:lang w:val="es-MX"/>
        </w:rPr>
        <w:t>. Lo anterior, se desprende de la redacción del literal A</w:t>
      </w:r>
      <w:r w:rsidR="00B53CD4" w:rsidRPr="008179FF">
        <w:rPr>
          <w:rFonts w:ascii="Arial" w:hAnsi="Arial" w:cs="Arial"/>
          <w:bCs/>
          <w:sz w:val="22"/>
          <w:szCs w:val="22"/>
          <w:shd w:val="clear" w:color="auto" w:fill="FFFFFF"/>
          <w:lang w:val="es-MX"/>
        </w:rPr>
        <w:t xml:space="preserve"> </w:t>
      </w:r>
      <w:proofErr w:type="spellStart"/>
      <w:r w:rsidR="00B53CD4" w:rsidRPr="008179FF">
        <w:rPr>
          <w:rFonts w:ascii="Arial" w:hAnsi="Arial" w:cs="Arial"/>
          <w:bCs/>
          <w:sz w:val="22"/>
          <w:szCs w:val="22"/>
          <w:shd w:val="clear" w:color="auto" w:fill="FFFFFF"/>
          <w:lang w:val="es-MX"/>
        </w:rPr>
        <w:t>qu</w:t>
      </w:r>
      <w:r w:rsidR="00D118A3" w:rsidRPr="008179FF">
        <w:rPr>
          <w:rFonts w:ascii="Arial" w:hAnsi="Arial" w:cs="Arial"/>
          <w:bCs/>
          <w:sz w:val="22"/>
          <w:szCs w:val="22"/>
          <w:shd w:val="clear" w:color="auto" w:fill="FFFFFF"/>
          <w:lang w:val="es-MX"/>
        </w:rPr>
        <w:t>e</w:t>
      </w:r>
      <w:proofErr w:type="spellEnd"/>
      <w:r w:rsidR="00B53CD4" w:rsidRPr="008179FF">
        <w:rPr>
          <w:rFonts w:ascii="Arial" w:hAnsi="Arial" w:cs="Arial"/>
          <w:bCs/>
          <w:sz w:val="22"/>
          <w:szCs w:val="22"/>
          <w:shd w:val="clear" w:color="auto" w:fill="FFFFFF"/>
          <w:lang w:val="es-MX"/>
        </w:rPr>
        <w:t xml:space="preserve"> se refiere expresamente </w:t>
      </w:r>
      <w:r w:rsidR="009D106A" w:rsidRPr="008179FF">
        <w:rPr>
          <w:rFonts w:ascii="Arial" w:hAnsi="Arial" w:cs="Arial"/>
          <w:bCs/>
          <w:sz w:val="22"/>
          <w:szCs w:val="22"/>
          <w:shd w:val="clear" w:color="auto" w:fill="FFFFFF"/>
          <w:lang w:val="es-MX"/>
        </w:rPr>
        <w:t>al</w:t>
      </w:r>
      <w:r w:rsidR="004C0021" w:rsidRPr="008179FF">
        <w:rPr>
          <w:rFonts w:ascii="Arial" w:hAnsi="Arial" w:cs="Arial"/>
          <w:bCs/>
          <w:sz w:val="22"/>
          <w:szCs w:val="22"/>
          <w:shd w:val="clear" w:color="auto" w:fill="FFFFFF"/>
          <w:lang w:val="es-MX"/>
        </w:rPr>
        <w:t xml:space="preserve"> </w:t>
      </w:r>
      <w:r w:rsidR="004C0021" w:rsidRPr="008179FF">
        <w:rPr>
          <w:rFonts w:ascii="Arial" w:hAnsi="Arial" w:cs="Arial"/>
          <w:bCs/>
          <w:sz w:val="22"/>
          <w:szCs w:val="22"/>
          <w:shd w:val="clear" w:color="auto" w:fill="FFFFFF"/>
        </w:rPr>
        <w:t>«</w:t>
      </w:r>
      <w:r w:rsidR="004C0021" w:rsidRPr="008179FF">
        <w:rPr>
          <w:rFonts w:ascii="Arial" w:hAnsi="Arial" w:cs="Arial"/>
          <w:bCs/>
          <w:sz w:val="22"/>
          <w:szCs w:val="22"/>
          <w:shd w:val="clear" w:color="auto" w:fill="FFFFFF"/>
          <w:lang w:val="es-MX"/>
        </w:rPr>
        <w:t>mismo proceso de selección</w:t>
      </w:r>
      <w:r w:rsidR="004C0021" w:rsidRPr="008179FF">
        <w:rPr>
          <w:rFonts w:ascii="Arial" w:hAnsi="Arial" w:cs="Arial"/>
          <w:bCs/>
          <w:sz w:val="22"/>
          <w:szCs w:val="22"/>
          <w:shd w:val="clear" w:color="auto" w:fill="FFFFFF"/>
          <w:lang w:val="es-ES_tradnl"/>
        </w:rPr>
        <w:t>»</w:t>
      </w:r>
      <w:r w:rsidR="0090394E" w:rsidRPr="008179FF">
        <w:rPr>
          <w:rFonts w:ascii="Arial" w:hAnsi="Arial" w:cs="Arial"/>
          <w:bCs/>
          <w:sz w:val="22"/>
          <w:szCs w:val="22"/>
          <w:shd w:val="clear" w:color="auto" w:fill="FFFFFF"/>
          <w:lang w:val="es-ES_tradnl"/>
        </w:rPr>
        <w:t>, e</w:t>
      </w:r>
      <w:r w:rsidR="004C0021" w:rsidRPr="008179FF">
        <w:rPr>
          <w:rFonts w:ascii="Arial" w:hAnsi="Arial" w:cs="Arial"/>
          <w:bCs/>
          <w:sz w:val="22"/>
          <w:szCs w:val="22"/>
          <w:shd w:val="clear" w:color="auto" w:fill="FFFFFF"/>
          <w:lang w:val="es-ES_tradnl"/>
        </w:rPr>
        <w:t>s decir, si se presentan oferentes en</w:t>
      </w:r>
      <w:r w:rsidR="009D106A" w:rsidRPr="008179FF">
        <w:rPr>
          <w:rFonts w:ascii="Arial" w:hAnsi="Arial" w:cs="Arial"/>
          <w:bCs/>
          <w:sz w:val="22"/>
          <w:szCs w:val="22"/>
          <w:shd w:val="clear" w:color="auto" w:fill="FFFFFF"/>
          <w:lang w:val="es-ES_tradnl"/>
        </w:rPr>
        <w:t xml:space="preserve"> ese </w:t>
      </w:r>
      <w:r w:rsidR="004C0021" w:rsidRPr="008179FF">
        <w:rPr>
          <w:rFonts w:ascii="Arial" w:hAnsi="Arial" w:cs="Arial"/>
          <w:bCs/>
          <w:sz w:val="22"/>
          <w:szCs w:val="22"/>
          <w:shd w:val="clear" w:color="auto" w:fill="FFFFFF"/>
          <w:lang w:val="es-ES_tradnl"/>
        </w:rPr>
        <w:t>mismo proceso que se encuentren incursos en los supuestos de hecho señalados en los literales</w:t>
      </w:r>
      <w:r w:rsidR="004C0021" w:rsidRPr="008179FF">
        <w:rPr>
          <w:rFonts w:ascii="Arial" w:hAnsi="Arial" w:cs="Arial"/>
          <w:bCs/>
          <w:sz w:val="22"/>
          <w:szCs w:val="22"/>
          <w:shd w:val="clear" w:color="auto" w:fill="FFFFFF"/>
          <w:lang w:val="es-MX"/>
        </w:rPr>
        <w:t xml:space="preserve"> g) y h) del numeral 1 del artículo 8 de la Ley 80 de 1993</w:t>
      </w:r>
      <w:r w:rsidR="00FE018B" w:rsidRPr="008179FF">
        <w:rPr>
          <w:rFonts w:ascii="Arial" w:hAnsi="Arial" w:cs="Arial"/>
          <w:bCs/>
          <w:sz w:val="22"/>
          <w:szCs w:val="22"/>
          <w:shd w:val="clear" w:color="auto" w:fill="FFFFFF"/>
          <w:lang w:val="es-MX"/>
        </w:rPr>
        <w:t>. Esto</w:t>
      </w:r>
      <w:r w:rsidR="0090394E" w:rsidRPr="008179FF">
        <w:rPr>
          <w:rFonts w:ascii="Arial" w:hAnsi="Arial" w:cs="Arial"/>
          <w:bCs/>
          <w:sz w:val="22"/>
          <w:szCs w:val="22"/>
          <w:shd w:val="clear" w:color="auto" w:fill="FFFFFF"/>
          <w:lang w:val="es-MX"/>
        </w:rPr>
        <w:t xml:space="preserve"> incluye a los procesos estructurados por lote</w:t>
      </w:r>
      <w:r w:rsidR="00D118A3" w:rsidRPr="008179FF">
        <w:rPr>
          <w:rFonts w:ascii="Arial" w:hAnsi="Arial" w:cs="Arial"/>
          <w:bCs/>
          <w:sz w:val="22"/>
          <w:szCs w:val="22"/>
          <w:shd w:val="clear" w:color="auto" w:fill="FFFFFF"/>
          <w:lang w:val="es-MX"/>
        </w:rPr>
        <w:t>s</w:t>
      </w:r>
      <w:r w:rsidR="0090394E" w:rsidRPr="008179FF">
        <w:rPr>
          <w:rFonts w:ascii="Arial" w:hAnsi="Arial" w:cs="Arial"/>
          <w:bCs/>
          <w:sz w:val="22"/>
          <w:szCs w:val="22"/>
          <w:shd w:val="clear" w:color="auto" w:fill="FFFFFF"/>
          <w:lang w:val="es-MX"/>
        </w:rPr>
        <w:t>, pue</w:t>
      </w:r>
      <w:r w:rsidR="00FE018B" w:rsidRPr="008179FF">
        <w:rPr>
          <w:rFonts w:ascii="Arial" w:hAnsi="Arial" w:cs="Arial"/>
          <w:bCs/>
          <w:sz w:val="22"/>
          <w:szCs w:val="22"/>
          <w:shd w:val="clear" w:color="auto" w:fill="FFFFFF"/>
          <w:lang w:val="es-MX"/>
        </w:rPr>
        <w:t xml:space="preserve">s si bien están </w:t>
      </w:r>
      <w:r w:rsidR="00892BD6" w:rsidRPr="008179FF">
        <w:rPr>
          <w:rFonts w:ascii="Arial" w:hAnsi="Arial" w:cs="Arial"/>
          <w:bCs/>
          <w:sz w:val="22"/>
          <w:szCs w:val="22"/>
          <w:shd w:val="clear" w:color="auto" w:fill="FFFFFF"/>
          <w:lang w:val="es-MX"/>
        </w:rPr>
        <w:t>organizados</w:t>
      </w:r>
      <w:r w:rsidR="00FE018B" w:rsidRPr="008179FF">
        <w:rPr>
          <w:rFonts w:ascii="Arial" w:hAnsi="Arial" w:cs="Arial"/>
          <w:bCs/>
          <w:sz w:val="22"/>
          <w:szCs w:val="22"/>
          <w:shd w:val="clear" w:color="auto" w:fill="FFFFFF"/>
          <w:lang w:val="es-MX"/>
        </w:rPr>
        <w:t xml:space="preserve"> en</w:t>
      </w:r>
      <w:r w:rsidR="00892BD6" w:rsidRPr="008179FF">
        <w:rPr>
          <w:rFonts w:ascii="Arial" w:hAnsi="Arial" w:cs="Arial"/>
          <w:bCs/>
          <w:sz w:val="22"/>
          <w:szCs w:val="22"/>
          <w:shd w:val="clear" w:color="auto" w:fill="FFFFFF"/>
          <w:lang w:val="es-MX"/>
        </w:rPr>
        <w:t xml:space="preserve"> diferentes</w:t>
      </w:r>
      <w:r w:rsidR="00FE018B" w:rsidRPr="008179FF">
        <w:rPr>
          <w:rFonts w:ascii="Arial" w:hAnsi="Arial" w:cs="Arial"/>
          <w:bCs/>
          <w:sz w:val="22"/>
          <w:szCs w:val="22"/>
          <w:shd w:val="clear" w:color="auto" w:fill="FFFFFF"/>
          <w:lang w:val="es-MX"/>
        </w:rPr>
        <w:t xml:space="preserve"> grupo</w:t>
      </w:r>
      <w:r w:rsidR="00892BD6" w:rsidRPr="008179FF">
        <w:rPr>
          <w:rFonts w:ascii="Arial" w:hAnsi="Arial" w:cs="Arial"/>
          <w:bCs/>
          <w:sz w:val="22"/>
          <w:szCs w:val="22"/>
          <w:shd w:val="clear" w:color="auto" w:fill="FFFFFF"/>
          <w:lang w:val="es-MX"/>
        </w:rPr>
        <w:t>s para mayor celeridad, economía y eficacia</w:t>
      </w:r>
      <w:r w:rsidR="00FE018B" w:rsidRPr="008179FF">
        <w:rPr>
          <w:rFonts w:ascii="Arial" w:hAnsi="Arial" w:cs="Arial"/>
          <w:bCs/>
          <w:sz w:val="22"/>
          <w:szCs w:val="22"/>
          <w:shd w:val="clear" w:color="auto" w:fill="FFFFFF"/>
          <w:lang w:val="es-MX"/>
        </w:rPr>
        <w:t>,</w:t>
      </w:r>
      <w:r w:rsidR="0090394E" w:rsidRPr="008179FF">
        <w:rPr>
          <w:rFonts w:ascii="Arial" w:hAnsi="Arial" w:cs="Arial"/>
          <w:bCs/>
          <w:sz w:val="22"/>
          <w:szCs w:val="22"/>
          <w:shd w:val="clear" w:color="auto" w:fill="FFFFFF"/>
          <w:lang w:val="es-MX"/>
        </w:rPr>
        <w:t xml:space="preserve"> </w:t>
      </w:r>
      <w:r w:rsidR="00FE018B" w:rsidRPr="008179FF">
        <w:rPr>
          <w:rFonts w:ascii="Arial" w:hAnsi="Arial" w:cs="Arial"/>
          <w:bCs/>
          <w:sz w:val="22"/>
          <w:szCs w:val="22"/>
          <w:shd w:val="clear" w:color="auto" w:fill="FFFFFF"/>
          <w:lang w:val="es-MX"/>
        </w:rPr>
        <w:t>se tra</w:t>
      </w:r>
      <w:r w:rsidR="0090394E" w:rsidRPr="008179FF">
        <w:rPr>
          <w:rFonts w:ascii="Arial" w:hAnsi="Arial" w:cs="Arial"/>
          <w:bCs/>
          <w:sz w:val="22"/>
          <w:szCs w:val="22"/>
          <w:shd w:val="clear" w:color="auto" w:fill="FFFFFF"/>
          <w:lang w:val="es-MX"/>
        </w:rPr>
        <w:t xml:space="preserve">ta de un mismo proceso de selección. </w:t>
      </w:r>
    </w:p>
    <w:p w14:paraId="1108DA03" w14:textId="56BB806E" w:rsidR="00EB1D35" w:rsidRPr="008179FF" w:rsidRDefault="009D106A" w:rsidP="009D00AD">
      <w:pPr>
        <w:spacing w:before="120" w:line="276" w:lineRule="auto"/>
        <w:ind w:firstLine="709"/>
        <w:jc w:val="both"/>
        <w:rPr>
          <w:rFonts w:ascii="Arial" w:hAnsi="Arial" w:cs="Arial"/>
          <w:b/>
          <w:bCs/>
          <w:sz w:val="22"/>
          <w:szCs w:val="22"/>
          <w:shd w:val="clear" w:color="auto" w:fill="FFFFFF"/>
        </w:rPr>
      </w:pPr>
      <w:r w:rsidRPr="008179FF">
        <w:rPr>
          <w:rFonts w:ascii="Arial" w:hAnsi="Arial" w:cs="Arial"/>
          <w:bCs/>
          <w:sz w:val="22"/>
          <w:szCs w:val="22"/>
          <w:shd w:val="clear" w:color="auto" w:fill="FFFFFF"/>
          <w:lang w:val="es-ES_tradnl"/>
        </w:rPr>
        <w:t xml:space="preserve">Adicionalmente, </w:t>
      </w:r>
      <w:r w:rsidR="00280801" w:rsidRPr="008179FF">
        <w:rPr>
          <w:rFonts w:ascii="Arial" w:hAnsi="Arial" w:cs="Arial"/>
          <w:bCs/>
          <w:sz w:val="22"/>
          <w:szCs w:val="22"/>
          <w:shd w:val="clear" w:color="auto" w:fill="FFFFFF"/>
          <w:lang w:val="es-ES_tradnl"/>
        </w:rPr>
        <w:t>como se expuso p</w:t>
      </w:r>
      <w:r w:rsidR="00784ABF" w:rsidRPr="008179FF">
        <w:rPr>
          <w:rFonts w:ascii="Arial" w:hAnsi="Arial" w:cs="Arial"/>
          <w:bCs/>
          <w:sz w:val="22"/>
          <w:szCs w:val="22"/>
          <w:shd w:val="clear" w:color="auto" w:fill="FFFFFF"/>
          <w:lang w:val="es-ES_tradnl"/>
        </w:rPr>
        <w:t>or esta Agencia</w:t>
      </w:r>
      <w:r w:rsidR="009D00AD" w:rsidRPr="008179FF">
        <w:rPr>
          <w:rFonts w:ascii="Arial" w:hAnsi="Arial" w:cs="Arial"/>
          <w:bCs/>
          <w:sz w:val="22"/>
          <w:szCs w:val="22"/>
          <w:shd w:val="clear" w:color="auto" w:fill="FFFFFF"/>
          <w:lang w:val="es-ES_tradnl"/>
        </w:rPr>
        <w:t xml:space="preserve"> en concepto con radicado Nro. </w:t>
      </w:r>
      <w:r w:rsidR="009D00AD" w:rsidRPr="008179FF">
        <w:rPr>
          <w:rFonts w:ascii="Arial" w:hAnsi="Arial" w:cs="Arial"/>
          <w:sz w:val="22"/>
          <w:szCs w:val="22"/>
          <w:shd w:val="clear" w:color="auto" w:fill="FFFFFF"/>
        </w:rPr>
        <w:t>2201913000009499 del 20 de diciembre del 2019</w:t>
      </w:r>
      <w:r w:rsidR="009D00AD" w:rsidRPr="008179FF">
        <w:rPr>
          <w:rStyle w:val="Refdenotaalpie"/>
          <w:rFonts w:ascii="Arial" w:hAnsi="Arial" w:cs="Arial"/>
          <w:sz w:val="22"/>
          <w:szCs w:val="22"/>
          <w:shd w:val="clear" w:color="auto" w:fill="FFFFFF"/>
        </w:rPr>
        <w:footnoteReference w:id="28"/>
      </w:r>
      <w:r w:rsidR="009D00AD" w:rsidRPr="008179FF">
        <w:rPr>
          <w:rFonts w:ascii="Arial" w:hAnsi="Arial" w:cs="Arial"/>
          <w:sz w:val="22"/>
          <w:szCs w:val="22"/>
          <w:shd w:val="clear" w:color="auto" w:fill="FFFFFF"/>
        </w:rPr>
        <w:t xml:space="preserve">, </w:t>
      </w:r>
      <w:r w:rsidRPr="008179FF">
        <w:rPr>
          <w:rFonts w:ascii="Arial" w:hAnsi="Arial" w:cs="Arial"/>
          <w:bCs/>
          <w:sz w:val="22"/>
          <w:szCs w:val="22"/>
          <w:shd w:val="clear" w:color="auto" w:fill="FFFFFF"/>
          <w:lang w:val="es-ES_tradnl"/>
        </w:rPr>
        <w:t>cuando un procedimiento de contratación es estructurado por lotes o grupos, las causales de inhabilidad se verifican de manera integral sobre la totalidad del procedimiento y no frente a cada uno de los lotes o grupos. Lo anterior, por cuanto independiente del número de contratos que resulten del procedimiento de contratación, este es uno solo que debe agotar las etapas establecidas en las normas que regulan este procedimiento administrativo y las causales de inhabilidad</w:t>
      </w:r>
      <w:r w:rsidR="009D00AD" w:rsidRPr="008179FF">
        <w:rPr>
          <w:rFonts w:ascii="Arial" w:hAnsi="Arial" w:cs="Arial"/>
          <w:bCs/>
          <w:sz w:val="22"/>
          <w:szCs w:val="22"/>
          <w:shd w:val="clear" w:color="auto" w:fill="FFFFFF"/>
          <w:lang w:val="es-ES_tradnl"/>
        </w:rPr>
        <w:t xml:space="preserve"> señaladas</w:t>
      </w:r>
      <w:r w:rsidRPr="008179FF">
        <w:rPr>
          <w:rFonts w:ascii="Arial" w:hAnsi="Arial" w:cs="Arial"/>
          <w:bCs/>
          <w:sz w:val="22"/>
          <w:szCs w:val="22"/>
          <w:shd w:val="clear" w:color="auto" w:fill="FFFFFF"/>
          <w:lang w:val="es-ES_tradnl"/>
        </w:rPr>
        <w:t xml:space="preserve"> se configuran cuando se presentan más de una propuesta para una misma licitación o concurso, por personas que se encuentran en los supuestos</w:t>
      </w:r>
      <w:r w:rsidR="00D118A3" w:rsidRPr="008179FF">
        <w:rPr>
          <w:rFonts w:ascii="Arial" w:hAnsi="Arial" w:cs="Arial"/>
          <w:bCs/>
          <w:sz w:val="22"/>
          <w:szCs w:val="22"/>
          <w:shd w:val="clear" w:color="auto" w:fill="FFFFFF"/>
          <w:lang w:val="es-ES_tradnl"/>
        </w:rPr>
        <w:t xml:space="preserve"> establecidos </w:t>
      </w:r>
      <w:r w:rsidRPr="008179FF">
        <w:rPr>
          <w:rFonts w:ascii="Arial" w:hAnsi="Arial" w:cs="Arial"/>
          <w:bCs/>
          <w:sz w:val="22"/>
          <w:szCs w:val="22"/>
          <w:shd w:val="clear" w:color="auto" w:fill="FFFFFF"/>
          <w:lang w:val="es-ES_tradnl"/>
        </w:rPr>
        <w:t>de la norma.</w:t>
      </w:r>
      <w:r w:rsidR="009D00AD" w:rsidRPr="008179FF">
        <w:rPr>
          <w:rFonts w:ascii="Arial" w:hAnsi="Arial" w:cs="Arial"/>
          <w:b/>
          <w:bCs/>
          <w:sz w:val="22"/>
          <w:szCs w:val="22"/>
          <w:shd w:val="clear" w:color="auto" w:fill="FFFFFF"/>
        </w:rPr>
        <w:t xml:space="preserve"> </w:t>
      </w:r>
      <w:r w:rsidRPr="008179FF">
        <w:rPr>
          <w:rFonts w:ascii="Arial" w:hAnsi="Arial" w:cs="Arial"/>
          <w:bCs/>
          <w:sz w:val="22"/>
          <w:szCs w:val="22"/>
          <w:shd w:val="clear" w:color="auto" w:fill="FFFFFF"/>
          <w:lang w:val="es-ES_tradnl"/>
        </w:rPr>
        <w:t>Por lo tanto, las causales de inhabilidad previstas en los literales g) y h) del artículo 8 de la Ley 80 de 1993, se configuran cuando se presenten proponentes en los supuestos allí previstos, a diferentes grupos o lotes que integran un procedimiento de contratación.</w:t>
      </w:r>
    </w:p>
    <w:p w14:paraId="1B3552F8" w14:textId="723AD4E6" w:rsidR="009D00AD" w:rsidRPr="008179FF" w:rsidRDefault="00280801" w:rsidP="009D00AD">
      <w:pPr>
        <w:spacing w:before="120" w:line="276" w:lineRule="auto"/>
        <w:ind w:firstLine="709"/>
        <w:jc w:val="both"/>
        <w:rPr>
          <w:rFonts w:ascii="Arial" w:hAnsi="Arial" w:cs="Arial"/>
          <w:sz w:val="22"/>
          <w:szCs w:val="22"/>
          <w:shd w:val="clear" w:color="auto" w:fill="FFFFFF"/>
        </w:rPr>
      </w:pPr>
      <w:r w:rsidRPr="008179FF">
        <w:rPr>
          <w:rFonts w:ascii="Arial" w:hAnsi="Arial" w:cs="Arial"/>
          <w:sz w:val="22"/>
          <w:szCs w:val="22"/>
          <w:shd w:val="clear" w:color="auto" w:fill="FFFFFF"/>
        </w:rPr>
        <w:t xml:space="preserve">Bajo estas consideraciones, </w:t>
      </w:r>
      <w:r w:rsidR="00AB6D7F" w:rsidRPr="008179FF">
        <w:rPr>
          <w:rFonts w:ascii="Arial" w:hAnsi="Arial" w:cs="Arial"/>
          <w:sz w:val="22"/>
          <w:szCs w:val="22"/>
          <w:shd w:val="clear" w:color="auto" w:fill="FFFFFF"/>
        </w:rPr>
        <w:t xml:space="preserve">con fundamento en el literal A del numeral 1.15 del documento base </w:t>
      </w:r>
      <w:r w:rsidRPr="008179FF">
        <w:rPr>
          <w:rFonts w:ascii="Arial" w:hAnsi="Arial" w:cs="Arial"/>
          <w:sz w:val="22"/>
          <w:szCs w:val="22"/>
          <w:shd w:val="clear" w:color="auto" w:fill="FFFFFF"/>
        </w:rPr>
        <w:t>se podrá rechazar</w:t>
      </w:r>
      <w:r w:rsidR="00AB6D7F" w:rsidRPr="008179FF">
        <w:rPr>
          <w:rFonts w:ascii="Arial" w:hAnsi="Arial" w:cs="Arial"/>
          <w:sz w:val="22"/>
          <w:szCs w:val="22"/>
          <w:shd w:val="clear" w:color="auto" w:fill="FFFFFF"/>
        </w:rPr>
        <w:t xml:space="preserve"> la propuesta en el evento en que se </w:t>
      </w:r>
      <w:r w:rsidRPr="008179FF">
        <w:rPr>
          <w:rFonts w:ascii="Arial" w:hAnsi="Arial" w:cs="Arial"/>
          <w:bCs/>
          <w:sz w:val="22"/>
          <w:szCs w:val="22"/>
          <w:shd w:val="clear" w:color="auto" w:fill="FFFFFF"/>
          <w:lang w:val="es-ES_tradnl"/>
        </w:rPr>
        <w:t>present</w:t>
      </w:r>
      <w:r w:rsidR="00AB6D7F" w:rsidRPr="008179FF">
        <w:rPr>
          <w:rFonts w:ascii="Arial" w:hAnsi="Arial" w:cs="Arial"/>
          <w:bCs/>
          <w:sz w:val="22"/>
          <w:szCs w:val="22"/>
          <w:shd w:val="clear" w:color="auto" w:fill="FFFFFF"/>
          <w:lang w:val="es-ES_tradnl"/>
        </w:rPr>
        <w:t>e</w:t>
      </w:r>
      <w:r w:rsidRPr="008179FF">
        <w:rPr>
          <w:rFonts w:ascii="Arial" w:hAnsi="Arial" w:cs="Arial"/>
          <w:bCs/>
          <w:sz w:val="22"/>
          <w:szCs w:val="22"/>
          <w:shd w:val="clear" w:color="auto" w:fill="FFFFFF"/>
          <w:lang w:val="es-ES_tradnl"/>
        </w:rPr>
        <w:t>n proponentes para diferentes lotes o grupos que estén incursos en los literales g y h del numera 1 del artículo 8 de la Ley 80 de 1993</w:t>
      </w:r>
      <w:r w:rsidR="00AB6D7F" w:rsidRPr="008179FF">
        <w:rPr>
          <w:rFonts w:ascii="Arial" w:hAnsi="Arial" w:cs="Arial"/>
          <w:bCs/>
          <w:sz w:val="22"/>
          <w:szCs w:val="22"/>
          <w:shd w:val="clear" w:color="auto" w:fill="FFFFFF"/>
          <w:lang w:val="es-ES_tradnl"/>
        </w:rPr>
        <w:t xml:space="preserve">, caso en el cual solo </w:t>
      </w:r>
      <w:r w:rsidR="00D118A3" w:rsidRPr="008179FF">
        <w:rPr>
          <w:rFonts w:ascii="Arial" w:hAnsi="Arial" w:cs="Arial"/>
          <w:bCs/>
          <w:sz w:val="22"/>
          <w:szCs w:val="22"/>
          <w:shd w:val="clear" w:color="auto" w:fill="FFFFFF"/>
          <w:lang w:val="es-MX"/>
        </w:rPr>
        <w:t xml:space="preserve">se </w:t>
      </w:r>
      <w:r w:rsidR="00AB6D7F" w:rsidRPr="008179FF">
        <w:rPr>
          <w:rFonts w:ascii="Arial" w:hAnsi="Arial" w:cs="Arial"/>
          <w:bCs/>
          <w:sz w:val="22"/>
          <w:szCs w:val="22"/>
          <w:shd w:val="clear" w:color="auto" w:fill="FFFFFF"/>
          <w:lang w:val="es-MX"/>
        </w:rPr>
        <w:t>admitirá la primera la oferta presentada en el tiempo.</w:t>
      </w:r>
    </w:p>
    <w:p w14:paraId="7D7A3CA9" w14:textId="77777777" w:rsidR="00280801" w:rsidRPr="008179FF" w:rsidRDefault="00280801" w:rsidP="0055294A">
      <w:pPr>
        <w:spacing w:line="276" w:lineRule="auto"/>
        <w:ind w:firstLine="709"/>
        <w:jc w:val="both"/>
        <w:rPr>
          <w:rFonts w:ascii="Arial" w:hAnsi="Arial" w:cs="Arial"/>
          <w:b/>
          <w:bCs/>
          <w:sz w:val="22"/>
          <w:szCs w:val="22"/>
          <w:shd w:val="clear" w:color="auto" w:fill="FFFFFF"/>
        </w:rPr>
      </w:pPr>
    </w:p>
    <w:p w14:paraId="02D2AE5E" w14:textId="56066CB2" w:rsidR="006461D7" w:rsidRPr="008179FF" w:rsidRDefault="006461D7" w:rsidP="006461D7">
      <w:pPr>
        <w:spacing w:line="276" w:lineRule="auto"/>
        <w:ind w:left="-11"/>
        <w:jc w:val="both"/>
        <w:rPr>
          <w:rFonts w:ascii="Arial" w:eastAsia="Calibri" w:hAnsi="Arial" w:cs="Arial"/>
          <w:b/>
          <w:sz w:val="22"/>
        </w:rPr>
      </w:pPr>
      <w:r w:rsidRPr="008179FF">
        <w:rPr>
          <w:rFonts w:ascii="Arial" w:eastAsia="Calibri" w:hAnsi="Arial" w:cs="Arial"/>
          <w:b/>
          <w:bCs/>
          <w:color w:val="000000"/>
          <w:sz w:val="22"/>
          <w:lang w:eastAsia="en-GB"/>
        </w:rPr>
        <w:t>2.</w:t>
      </w:r>
      <w:r w:rsidR="00094959" w:rsidRPr="008179FF">
        <w:rPr>
          <w:rFonts w:ascii="Arial" w:eastAsia="Calibri" w:hAnsi="Arial" w:cs="Arial"/>
          <w:b/>
          <w:bCs/>
          <w:color w:val="000000"/>
          <w:sz w:val="22"/>
          <w:lang w:eastAsia="en-GB"/>
        </w:rPr>
        <w:t>8</w:t>
      </w:r>
      <w:r w:rsidRPr="008179FF">
        <w:rPr>
          <w:rFonts w:ascii="Arial" w:eastAsia="Calibri" w:hAnsi="Arial" w:cs="Arial"/>
          <w:b/>
          <w:bCs/>
          <w:color w:val="000000"/>
          <w:sz w:val="22"/>
          <w:lang w:eastAsia="en-GB"/>
        </w:rPr>
        <w:t xml:space="preserve"> Contenido del </w:t>
      </w:r>
      <w:r w:rsidRPr="008179FF">
        <w:rPr>
          <w:rFonts w:ascii="Arial" w:eastAsia="Calibri" w:hAnsi="Arial" w:cs="Arial"/>
          <w:b/>
          <w:sz w:val="22"/>
        </w:rPr>
        <w:t>«Anexo 4</w:t>
      </w:r>
      <w:r w:rsidR="00D118A3" w:rsidRPr="008179FF">
        <w:rPr>
          <w:rFonts w:ascii="Arial" w:eastAsia="Calibri" w:hAnsi="Arial" w:cs="Arial"/>
          <w:b/>
          <w:sz w:val="22"/>
        </w:rPr>
        <w:t xml:space="preserve"> –</w:t>
      </w:r>
      <w:r w:rsidRPr="008179FF">
        <w:rPr>
          <w:rFonts w:ascii="Arial" w:eastAsia="Calibri" w:hAnsi="Arial" w:cs="Arial"/>
          <w:b/>
          <w:sz w:val="22"/>
        </w:rPr>
        <w:t xml:space="preserve"> Minuta del contrato» del documento tipo</w:t>
      </w:r>
    </w:p>
    <w:p w14:paraId="7C26DA61" w14:textId="3D76AF91" w:rsidR="00280801" w:rsidRPr="008179FF" w:rsidRDefault="00280801" w:rsidP="002C70B5">
      <w:pPr>
        <w:spacing w:line="276" w:lineRule="auto"/>
        <w:jc w:val="both"/>
        <w:rPr>
          <w:rFonts w:ascii="Arial" w:eastAsia="Calibri" w:hAnsi="Arial" w:cs="Arial"/>
          <w:sz w:val="22"/>
        </w:rPr>
      </w:pPr>
    </w:p>
    <w:p w14:paraId="01DB6BB3" w14:textId="6A0FDB32" w:rsidR="006461D7" w:rsidRPr="008179FF" w:rsidRDefault="0055294A" w:rsidP="0026080C">
      <w:pPr>
        <w:spacing w:line="276" w:lineRule="auto"/>
        <w:jc w:val="both"/>
        <w:rPr>
          <w:rFonts w:ascii="Arial" w:eastAsia="Calibri" w:hAnsi="Arial" w:cs="Arial"/>
          <w:sz w:val="22"/>
          <w:szCs w:val="22"/>
          <w:lang w:val="es-MX" w:eastAsia="en-US"/>
        </w:rPr>
      </w:pPr>
      <w:r w:rsidRPr="008179FF">
        <w:rPr>
          <w:rFonts w:ascii="Arial" w:eastAsia="Calibri" w:hAnsi="Arial" w:cs="Arial"/>
          <w:bCs/>
          <w:sz w:val="22"/>
          <w:szCs w:val="22"/>
          <w:lang w:val="es-MX" w:eastAsia="en-US"/>
        </w:rPr>
        <w:t>E</w:t>
      </w:r>
      <w:r w:rsidR="006461D7" w:rsidRPr="008179FF">
        <w:rPr>
          <w:rFonts w:ascii="Arial" w:eastAsia="Calibri" w:hAnsi="Arial" w:cs="Arial"/>
          <w:bCs/>
          <w:sz w:val="22"/>
          <w:szCs w:val="22"/>
          <w:lang w:val="es-MX" w:eastAsia="en-US"/>
        </w:rPr>
        <w:t xml:space="preserve">l «Anexo </w:t>
      </w:r>
      <w:r w:rsidR="002C70B5" w:rsidRPr="008179FF">
        <w:rPr>
          <w:rFonts w:ascii="Arial" w:eastAsia="Calibri" w:hAnsi="Arial" w:cs="Arial"/>
          <w:bCs/>
          <w:sz w:val="22"/>
          <w:szCs w:val="22"/>
          <w:lang w:val="es-MX" w:eastAsia="en-US"/>
        </w:rPr>
        <w:t>4</w:t>
      </w:r>
      <w:r w:rsidR="006461D7" w:rsidRPr="008179FF">
        <w:rPr>
          <w:rFonts w:ascii="Arial" w:eastAsia="Calibri" w:hAnsi="Arial" w:cs="Arial"/>
          <w:bCs/>
          <w:sz w:val="22"/>
          <w:szCs w:val="22"/>
          <w:lang w:val="es-MX" w:eastAsia="en-US"/>
        </w:rPr>
        <w:t xml:space="preserve"> – Minuta del contrato»</w:t>
      </w:r>
      <w:r w:rsidR="002C70B5" w:rsidRPr="008179FF">
        <w:rPr>
          <w:rFonts w:ascii="Arial" w:eastAsia="Calibri" w:hAnsi="Arial" w:cs="Arial"/>
          <w:bCs/>
          <w:sz w:val="22"/>
          <w:szCs w:val="22"/>
          <w:lang w:val="es-MX" w:eastAsia="en-US"/>
        </w:rPr>
        <w:t xml:space="preserve"> de los documentos tipo de infraestructura social</w:t>
      </w:r>
      <w:r w:rsidR="006461D7" w:rsidRPr="008179FF">
        <w:rPr>
          <w:rFonts w:ascii="Arial" w:eastAsia="Calibri" w:hAnsi="Arial" w:cs="Arial"/>
          <w:bCs/>
          <w:sz w:val="22"/>
          <w:szCs w:val="22"/>
          <w:lang w:val="es-MX" w:eastAsia="en-US"/>
        </w:rPr>
        <w:t xml:space="preserve"> consta de 25 cláusulas orientadas a servir de insumo para el contrato que finalmente será suscrito por las partes. Este anexo constituye una particularidad frente a los demás anexos de los documentos tipo, ya que no está destinado a regular aspectos propios del proceso de selección sino de la relación contractual.</w:t>
      </w:r>
    </w:p>
    <w:p w14:paraId="1F493D38" w14:textId="73851169" w:rsidR="006461D7" w:rsidRPr="008179FF" w:rsidRDefault="00D118A3" w:rsidP="0055294A">
      <w:pPr>
        <w:spacing w:before="120" w:line="276" w:lineRule="auto"/>
        <w:ind w:firstLine="709"/>
        <w:jc w:val="both"/>
        <w:rPr>
          <w:rFonts w:ascii="Arial" w:eastAsiaTheme="minorHAnsi" w:hAnsi="Arial" w:cs="Arial"/>
          <w:sz w:val="22"/>
          <w:szCs w:val="22"/>
          <w:lang w:eastAsia="en-US"/>
        </w:rPr>
      </w:pPr>
      <w:r w:rsidRPr="008179FF">
        <w:rPr>
          <w:rFonts w:ascii="Arial" w:eastAsia="Calibri" w:hAnsi="Arial" w:cs="Arial"/>
          <w:bCs/>
          <w:sz w:val="22"/>
          <w:szCs w:val="22"/>
          <w:lang w:val="es-MX" w:eastAsia="en-US"/>
        </w:rPr>
        <w:t>Debido a</w:t>
      </w:r>
      <w:r w:rsidR="006461D7" w:rsidRPr="008179FF">
        <w:rPr>
          <w:rFonts w:ascii="Arial" w:eastAsia="Calibri" w:hAnsi="Arial" w:cs="Arial"/>
          <w:bCs/>
          <w:sz w:val="22"/>
          <w:szCs w:val="22"/>
          <w:lang w:val="es-MX" w:eastAsia="en-US"/>
        </w:rPr>
        <w:t xml:space="preserve"> ello, dentro de las 25 cláusulas que conforman este documento </w:t>
      </w:r>
      <w:r w:rsidRPr="008179FF">
        <w:rPr>
          <w:rFonts w:ascii="Arial" w:eastAsia="Calibri" w:hAnsi="Arial" w:cs="Arial"/>
          <w:bCs/>
          <w:sz w:val="22"/>
          <w:szCs w:val="22"/>
          <w:lang w:val="es-MX" w:eastAsia="en-US"/>
        </w:rPr>
        <w:t xml:space="preserve">se encuentra </w:t>
      </w:r>
      <w:r w:rsidR="006461D7" w:rsidRPr="008179FF">
        <w:rPr>
          <w:rFonts w:ascii="Arial" w:eastAsia="Calibri" w:hAnsi="Arial" w:cs="Arial"/>
          <w:bCs/>
          <w:sz w:val="22"/>
          <w:szCs w:val="22"/>
          <w:lang w:val="es-MX" w:eastAsia="en-US"/>
        </w:rPr>
        <w:t>una serie de apartados entre corchetes</w:t>
      </w:r>
      <w:r w:rsidRPr="008179FF">
        <w:rPr>
          <w:rFonts w:ascii="Arial" w:eastAsia="Calibri" w:hAnsi="Arial" w:cs="Arial"/>
          <w:bCs/>
          <w:sz w:val="22"/>
          <w:szCs w:val="22"/>
          <w:lang w:val="es-MX" w:eastAsia="en-US"/>
        </w:rPr>
        <w:t xml:space="preserve"> resaltados en gris</w:t>
      </w:r>
      <w:r w:rsidR="006461D7" w:rsidRPr="008179FF">
        <w:rPr>
          <w:rFonts w:ascii="Arial" w:eastAsia="Calibri" w:hAnsi="Arial" w:cs="Arial"/>
          <w:bCs/>
          <w:sz w:val="22"/>
          <w:szCs w:val="22"/>
          <w:lang w:val="es-MX" w:eastAsia="en-US"/>
        </w:rPr>
        <w:t xml:space="preserve"> –que se presentan con mayor frecuencia que en otros documentos tipo– destinados a que las entidades estatales, en el marco de la autonomía que les corresponde, dispongan en ellos </w:t>
      </w:r>
      <w:r w:rsidR="006461D7" w:rsidRPr="008179FF">
        <w:rPr>
          <w:rFonts w:ascii="Arial" w:eastAsia="Calibri" w:hAnsi="Arial" w:cs="Arial"/>
          <w:bCs/>
          <w:sz w:val="22"/>
          <w:szCs w:val="22"/>
          <w:lang w:val="es-MX" w:eastAsia="en-US"/>
        </w:rPr>
        <w:lastRenderedPageBreak/>
        <w:t xml:space="preserve">información relativa a las necesidades que pretenden satisfacer, el objeto a contratar y en general información necesaria para regular la relación contractual. Lo anterior teniendo en cuenta los aspectos más básicos como el objeto, el plazo, la forma de pago, las obligaciones, etc., </w:t>
      </w:r>
      <w:r w:rsidR="00BC4EF1" w:rsidRPr="008179FF">
        <w:rPr>
          <w:rFonts w:ascii="Arial" w:eastAsia="Calibri" w:hAnsi="Arial" w:cs="Arial"/>
          <w:bCs/>
          <w:sz w:val="22"/>
          <w:szCs w:val="22"/>
          <w:lang w:val="es-MX" w:eastAsia="en-US"/>
        </w:rPr>
        <w:t xml:space="preserve">que pueden desarrollar las entidades estatales </w:t>
      </w:r>
      <w:r w:rsidR="006461D7" w:rsidRPr="008179FF">
        <w:rPr>
          <w:rFonts w:ascii="Arial" w:eastAsia="Calibri" w:hAnsi="Arial" w:cs="Arial"/>
          <w:bCs/>
          <w:sz w:val="22"/>
          <w:szCs w:val="22"/>
          <w:lang w:val="es-MX" w:eastAsia="en-US"/>
        </w:rPr>
        <w:t xml:space="preserve">a partir de </w:t>
      </w:r>
      <w:r w:rsidR="00BC4EF1" w:rsidRPr="008179FF">
        <w:rPr>
          <w:rFonts w:ascii="Arial" w:eastAsia="Calibri" w:hAnsi="Arial" w:cs="Arial"/>
          <w:bCs/>
          <w:sz w:val="22"/>
          <w:szCs w:val="22"/>
          <w:lang w:val="es-MX" w:eastAsia="en-US"/>
        </w:rPr>
        <w:t xml:space="preserve">las </w:t>
      </w:r>
      <w:r w:rsidR="006461D7" w:rsidRPr="008179FF">
        <w:rPr>
          <w:rFonts w:ascii="Arial" w:eastAsia="Calibri" w:hAnsi="Arial" w:cs="Arial"/>
          <w:bCs/>
          <w:sz w:val="22"/>
          <w:szCs w:val="22"/>
          <w:lang w:val="es-MX" w:eastAsia="en-US"/>
        </w:rPr>
        <w:t xml:space="preserve">opciones, alternativas y sugerencias de cláusulas prestablecidas en el Anexo </w:t>
      </w:r>
      <w:r w:rsidR="0055294A" w:rsidRPr="008179FF">
        <w:rPr>
          <w:rFonts w:ascii="Arial" w:eastAsia="Calibri" w:hAnsi="Arial" w:cs="Arial"/>
          <w:bCs/>
          <w:sz w:val="22"/>
          <w:szCs w:val="22"/>
          <w:lang w:val="es-MX" w:eastAsia="en-US"/>
        </w:rPr>
        <w:t>4</w:t>
      </w:r>
      <w:r w:rsidR="006461D7" w:rsidRPr="008179FF">
        <w:rPr>
          <w:rFonts w:ascii="Arial" w:eastAsia="Calibri" w:hAnsi="Arial" w:cs="Arial"/>
          <w:bCs/>
          <w:sz w:val="22"/>
          <w:szCs w:val="22"/>
          <w:lang w:val="es-MX" w:eastAsia="en-US"/>
        </w:rPr>
        <w:t xml:space="preserve">. </w:t>
      </w:r>
    </w:p>
    <w:p w14:paraId="57BE4131" w14:textId="70B5A7F1" w:rsidR="006461D7" w:rsidRPr="008179FF" w:rsidRDefault="006461D7" w:rsidP="0055294A">
      <w:pPr>
        <w:spacing w:before="120" w:line="276" w:lineRule="auto"/>
        <w:ind w:firstLine="708"/>
        <w:jc w:val="both"/>
        <w:rPr>
          <w:rFonts w:ascii="Arial" w:eastAsia="Calibri" w:hAnsi="Arial" w:cs="Arial"/>
          <w:bCs/>
          <w:sz w:val="22"/>
          <w:szCs w:val="22"/>
          <w:lang w:val="es-MX" w:eastAsia="en-US"/>
        </w:rPr>
      </w:pPr>
      <w:r w:rsidRPr="008179FF">
        <w:rPr>
          <w:rFonts w:ascii="Arial" w:eastAsia="Calibri" w:hAnsi="Arial" w:cs="Arial"/>
          <w:bCs/>
          <w:sz w:val="22"/>
          <w:szCs w:val="22"/>
          <w:lang w:val="es-MX" w:eastAsia="en-US"/>
        </w:rPr>
        <w:t xml:space="preserve">En concordancia, sin perjuicio de la mencionada autonomía, el diligenciamiento de los apartados grises entre corchetes del Anexo </w:t>
      </w:r>
      <w:r w:rsidR="0055294A" w:rsidRPr="008179FF">
        <w:rPr>
          <w:rFonts w:ascii="Arial" w:eastAsia="Calibri" w:hAnsi="Arial" w:cs="Arial"/>
          <w:bCs/>
          <w:sz w:val="22"/>
          <w:szCs w:val="22"/>
          <w:lang w:val="es-MX" w:eastAsia="en-US"/>
        </w:rPr>
        <w:t>4</w:t>
      </w:r>
      <w:r w:rsidRPr="008179FF">
        <w:rPr>
          <w:rFonts w:ascii="Arial" w:eastAsia="Calibri" w:hAnsi="Arial" w:cs="Arial"/>
          <w:bCs/>
          <w:sz w:val="22"/>
          <w:szCs w:val="22"/>
          <w:lang w:val="es-MX" w:eastAsia="en-US"/>
        </w:rPr>
        <w:t xml:space="preserve"> debe realizarse conforme a unas indicaciones, las cuales están establecidas en el párrafo sombreado en gris y entre corchetes que encabeza</w:t>
      </w:r>
      <w:r w:rsidR="00BC4EF1" w:rsidRPr="008179FF">
        <w:rPr>
          <w:rFonts w:ascii="Arial" w:eastAsia="Calibri" w:hAnsi="Arial" w:cs="Arial"/>
          <w:bCs/>
          <w:sz w:val="22"/>
          <w:szCs w:val="22"/>
          <w:lang w:val="es-MX" w:eastAsia="en-US"/>
        </w:rPr>
        <w:t>n</w:t>
      </w:r>
      <w:r w:rsidRPr="008179FF">
        <w:rPr>
          <w:rFonts w:ascii="Arial" w:eastAsia="Calibri" w:hAnsi="Arial" w:cs="Arial"/>
          <w:bCs/>
          <w:sz w:val="22"/>
          <w:szCs w:val="22"/>
          <w:lang w:val="es-MX" w:eastAsia="en-US"/>
        </w:rPr>
        <w:t xml:space="preserve"> dicho anexo que dispone lo siguiente:</w:t>
      </w:r>
    </w:p>
    <w:p w14:paraId="38D7E951" w14:textId="77777777" w:rsidR="006461D7" w:rsidRPr="008179FF" w:rsidRDefault="006461D7" w:rsidP="006461D7">
      <w:pPr>
        <w:spacing w:line="276" w:lineRule="auto"/>
        <w:ind w:firstLine="709"/>
        <w:jc w:val="both"/>
        <w:rPr>
          <w:rFonts w:ascii="Arial" w:eastAsia="Calibri" w:hAnsi="Arial" w:cs="Arial"/>
          <w:bCs/>
          <w:sz w:val="22"/>
          <w:szCs w:val="22"/>
          <w:lang w:val="es-MX" w:eastAsia="en-US"/>
        </w:rPr>
      </w:pPr>
    </w:p>
    <w:p w14:paraId="4E1E8D36" w14:textId="77777777" w:rsidR="006461D7" w:rsidRPr="008179FF" w:rsidRDefault="006461D7" w:rsidP="006461D7">
      <w:pPr>
        <w:ind w:left="709" w:right="709"/>
        <w:jc w:val="both"/>
        <w:rPr>
          <w:rFonts w:ascii="Arial" w:eastAsiaTheme="minorHAnsi" w:hAnsi="Arial" w:cs="Arial"/>
          <w:sz w:val="21"/>
          <w:szCs w:val="21"/>
          <w:lang w:eastAsia="en-US"/>
        </w:rPr>
      </w:pPr>
      <w:r w:rsidRPr="008179FF">
        <w:rPr>
          <w:rFonts w:ascii="Arial" w:eastAsiaTheme="minorHAnsi" w:hAnsi="Arial" w:cs="Arial"/>
          <w:sz w:val="21"/>
          <w:szCs w:val="21"/>
          <w:lang w:eastAsia="en-US"/>
        </w:rPr>
        <w:t>La Entidad debe incluir el contenido mínimo del presente Documento. Podrá incluir condiciones adicionales que no contradigan lo dispuesto en el presente Anexo. En todo caso, las condiciones adicionales deberán obedecer a las necesidades de ejecución del contrato, definidas por la Entidad. En algunas cláusulas la Entidad podrá escoger entre algunas opciones de cláusula, podrá combinar opciones o podrá construir su propia cláusula, esto se indicará de manera clara cuando a ello haya lugar.</w:t>
      </w:r>
    </w:p>
    <w:p w14:paraId="051C20B8" w14:textId="77777777" w:rsidR="006461D7" w:rsidRPr="008179FF" w:rsidRDefault="006461D7" w:rsidP="006461D7">
      <w:pPr>
        <w:ind w:left="709" w:right="709"/>
        <w:jc w:val="both"/>
        <w:rPr>
          <w:rFonts w:ascii="Arial" w:eastAsiaTheme="minorHAnsi" w:hAnsi="Arial" w:cs="Arial"/>
          <w:sz w:val="21"/>
          <w:szCs w:val="21"/>
          <w:lang w:eastAsia="en-US"/>
        </w:rPr>
      </w:pPr>
      <w:r w:rsidRPr="008179FF">
        <w:rPr>
          <w:rFonts w:ascii="Arial" w:eastAsiaTheme="minorHAnsi" w:hAnsi="Arial" w:cs="Arial"/>
          <w:sz w:val="21"/>
          <w:szCs w:val="21"/>
          <w:lang w:eastAsia="en-US"/>
        </w:rPr>
        <w:t xml:space="preserve">[…] </w:t>
      </w:r>
    </w:p>
    <w:p w14:paraId="231FECFD" w14:textId="77777777" w:rsidR="006461D7" w:rsidRPr="008179FF" w:rsidRDefault="006461D7" w:rsidP="006461D7">
      <w:pPr>
        <w:spacing w:line="276" w:lineRule="auto"/>
        <w:ind w:left="709" w:right="709"/>
        <w:jc w:val="both"/>
        <w:rPr>
          <w:rFonts w:ascii="Arial" w:eastAsiaTheme="minorHAnsi" w:hAnsi="Arial" w:cs="Arial"/>
          <w:sz w:val="21"/>
          <w:szCs w:val="21"/>
          <w:lang w:eastAsia="en-US"/>
        </w:rPr>
      </w:pPr>
    </w:p>
    <w:p w14:paraId="1AD37DF4" w14:textId="77777777" w:rsidR="006461D7" w:rsidRPr="008179FF" w:rsidRDefault="006461D7" w:rsidP="006461D7">
      <w:pPr>
        <w:spacing w:line="276" w:lineRule="auto"/>
        <w:ind w:firstLine="708"/>
        <w:jc w:val="both"/>
        <w:rPr>
          <w:rFonts w:ascii="Arial" w:eastAsiaTheme="minorHAnsi" w:hAnsi="Arial" w:cs="Arial"/>
          <w:sz w:val="22"/>
          <w:szCs w:val="22"/>
          <w:lang w:eastAsia="en-US"/>
        </w:rPr>
      </w:pPr>
      <w:r w:rsidRPr="008179FF">
        <w:rPr>
          <w:rFonts w:ascii="Arial" w:eastAsia="Calibri" w:hAnsi="Arial" w:cs="Arial"/>
          <w:bCs/>
          <w:sz w:val="22"/>
          <w:szCs w:val="22"/>
          <w:lang w:val="es-MX" w:eastAsia="en-US"/>
        </w:rPr>
        <w:t xml:space="preserve">Tales indicaciones fueron precisadas por Colombia Compra Eficiente en el Concepto C-289 del 26 de mayo de 2020 donde se explicó que la entidad estatal debe incluir como mínimo las 25 cláusulas mencionadas, y que la indicación de que se </w:t>
      </w:r>
      <w:r w:rsidRPr="008179FF">
        <w:rPr>
          <w:rFonts w:ascii="Arial" w:eastAsiaTheme="minorHAnsi" w:hAnsi="Arial" w:cs="Arial"/>
          <w:sz w:val="22"/>
          <w:szCs w:val="22"/>
          <w:lang w:eastAsia="en-US"/>
        </w:rPr>
        <w:t>«Podrá incluir condiciones adicionales que no contradigan lo dispuesto en el presente Anexo», significa que además de los presupuestos mínimos que debe contener y las condiciones inmodificables de la minuta, «la entidad podrá adicionar otras diferentes respetando el contenido de los documentos tipo y sus estipulaciones, siempre que respondan a las necesidades propias de la ejecución del contrato». Asimismo, el referido concepto precisó el alcance la expresión «En algunas cláusulas la Entidad podrá escoger entre algunas opciones de cláusula, podrá combinar opciones o podrá construir su propia cláusula […]», explicando que:</w:t>
      </w:r>
    </w:p>
    <w:p w14:paraId="3E93BD87" w14:textId="77777777" w:rsidR="006461D7" w:rsidRPr="008179FF" w:rsidRDefault="006461D7" w:rsidP="006461D7">
      <w:pPr>
        <w:spacing w:line="276" w:lineRule="auto"/>
        <w:ind w:left="709" w:right="709"/>
        <w:jc w:val="both"/>
        <w:rPr>
          <w:rFonts w:ascii="Arial" w:eastAsiaTheme="minorHAnsi" w:hAnsi="Arial" w:cs="Arial"/>
          <w:sz w:val="22"/>
          <w:szCs w:val="22"/>
          <w:lang w:eastAsia="en-US"/>
        </w:rPr>
      </w:pPr>
    </w:p>
    <w:p w14:paraId="44DAAD3F" w14:textId="77777777" w:rsidR="006461D7" w:rsidRPr="008179FF" w:rsidRDefault="006461D7" w:rsidP="006461D7">
      <w:pPr>
        <w:ind w:left="709" w:right="709"/>
        <w:jc w:val="both"/>
        <w:rPr>
          <w:rFonts w:ascii="Arial" w:eastAsiaTheme="minorHAnsi" w:hAnsi="Arial" w:cs="Arial"/>
          <w:sz w:val="21"/>
          <w:szCs w:val="21"/>
          <w:lang w:eastAsia="en-US"/>
        </w:rPr>
      </w:pPr>
      <w:r w:rsidRPr="008179FF">
        <w:rPr>
          <w:rFonts w:ascii="Arial" w:eastAsiaTheme="minorHAnsi" w:hAnsi="Arial" w:cs="Arial"/>
          <w:sz w:val="21"/>
          <w:szCs w:val="21"/>
          <w:lang w:eastAsia="en-US"/>
        </w:rPr>
        <w:t xml:space="preserve">[…] algunas cláusulas del «Anexo 5 ‒ Minuta del contrato» tienen un mayor grado de modificabilidad o alterabilidad que permiten, a discrecionalidad de la entidad, estipular algunas condiciones, que </w:t>
      </w:r>
      <w:proofErr w:type="gramStart"/>
      <w:r w:rsidRPr="008179FF">
        <w:rPr>
          <w:rFonts w:ascii="Arial" w:eastAsiaTheme="minorHAnsi" w:hAnsi="Arial" w:cs="Arial"/>
          <w:sz w:val="21"/>
          <w:szCs w:val="21"/>
          <w:lang w:eastAsia="en-US"/>
        </w:rPr>
        <w:t>de acuerdo a</w:t>
      </w:r>
      <w:proofErr w:type="gramEnd"/>
      <w:r w:rsidRPr="008179FF">
        <w:rPr>
          <w:rFonts w:ascii="Arial" w:eastAsiaTheme="minorHAnsi" w:hAnsi="Arial" w:cs="Arial"/>
          <w:sz w:val="21"/>
          <w:szCs w:val="21"/>
          <w:lang w:eastAsia="en-US"/>
        </w:rPr>
        <w:t xml:space="preserve"> sus necesidades y a la estructuración del negocio, permitan el cumplimiento del objeto contractual. De esta forma, teniendo en cuenta la información incluida entre corchetes y sombrada en gris, en los casos que las cláusulas contengan opciones para la entidad, ésta definirá si acoge alguna de las dispuestas, las modifica o estipula algo totalmente diferente a las opciones presentadas, siempre que lo dispuesto no contravenga las estipulaciones inalterables e inmodificables del documento tipo.</w:t>
      </w:r>
    </w:p>
    <w:p w14:paraId="1435357D" w14:textId="77777777" w:rsidR="006461D7" w:rsidRPr="008179FF" w:rsidRDefault="006461D7" w:rsidP="006461D7">
      <w:pPr>
        <w:spacing w:line="276" w:lineRule="auto"/>
        <w:ind w:left="709" w:right="709"/>
        <w:jc w:val="both"/>
        <w:rPr>
          <w:rFonts w:ascii="Arial" w:eastAsia="Calibri" w:hAnsi="Arial" w:cs="Arial"/>
          <w:bCs/>
          <w:sz w:val="22"/>
          <w:szCs w:val="22"/>
          <w:lang w:val="es-MX" w:eastAsia="en-US"/>
        </w:rPr>
      </w:pPr>
    </w:p>
    <w:p w14:paraId="5851A997" w14:textId="4AFC3A8D" w:rsidR="006461D7" w:rsidRPr="008179FF" w:rsidRDefault="00174D78" w:rsidP="006461D7">
      <w:pPr>
        <w:spacing w:line="276" w:lineRule="auto"/>
        <w:ind w:firstLine="708"/>
        <w:jc w:val="both"/>
        <w:rPr>
          <w:rFonts w:ascii="Arial" w:eastAsia="Calibri" w:hAnsi="Arial" w:cs="Arial"/>
          <w:bCs/>
          <w:sz w:val="22"/>
          <w:szCs w:val="22"/>
          <w:lang w:val="es-MX" w:eastAsia="en-US"/>
        </w:rPr>
      </w:pPr>
      <w:r w:rsidRPr="008179FF">
        <w:rPr>
          <w:rFonts w:ascii="Arial" w:eastAsia="Calibri" w:hAnsi="Arial" w:cs="Arial"/>
          <w:bCs/>
          <w:sz w:val="22"/>
          <w:szCs w:val="22"/>
          <w:lang w:val="es-MX" w:eastAsia="en-US"/>
        </w:rPr>
        <w:t>De esta manera, e</w:t>
      </w:r>
      <w:r w:rsidR="00665310" w:rsidRPr="008179FF">
        <w:rPr>
          <w:rFonts w:ascii="Arial" w:eastAsia="Calibri" w:hAnsi="Arial" w:cs="Arial"/>
          <w:bCs/>
          <w:sz w:val="22"/>
          <w:szCs w:val="22"/>
          <w:lang w:val="es-MX" w:eastAsia="en-US"/>
        </w:rPr>
        <w:t>l contenido de las 25 cláusulas establecidas en la minuta sirve</w:t>
      </w:r>
      <w:r w:rsidR="006461D7" w:rsidRPr="008179FF">
        <w:rPr>
          <w:rFonts w:ascii="Arial" w:eastAsia="Calibri" w:hAnsi="Arial" w:cs="Arial"/>
          <w:bCs/>
          <w:sz w:val="22"/>
          <w:szCs w:val="22"/>
          <w:lang w:val="es-MX" w:eastAsia="en-US"/>
        </w:rPr>
        <w:t xml:space="preserve"> de punto de partida para que las partes regulen su relación contractual. En ese orden, las </w:t>
      </w:r>
      <w:r w:rsidR="006461D7" w:rsidRPr="008179FF">
        <w:rPr>
          <w:rFonts w:ascii="Arial" w:eastAsia="Calibri" w:hAnsi="Arial" w:cs="Arial"/>
          <w:bCs/>
          <w:sz w:val="22"/>
          <w:szCs w:val="22"/>
          <w:lang w:val="es-MX" w:eastAsia="en-US"/>
        </w:rPr>
        <w:lastRenderedPageBreak/>
        <w:t>diferentes cláusulas contienen una serie de apartados grises entre corchetes, dirigidos a que las entidades estatales puedan consignar en ellos la información relativa al objeto contractual, valiéndose de unas indicaciones establecidas en el encabezado que son indispensables para que las partes diligencien los campos destinados para ello en el cuerpo del documento.</w:t>
      </w:r>
    </w:p>
    <w:p w14:paraId="4FE3F400" w14:textId="495F0066" w:rsidR="006461D7" w:rsidRPr="008179FF" w:rsidRDefault="006461D7" w:rsidP="006461D7">
      <w:pPr>
        <w:spacing w:before="120" w:line="276" w:lineRule="auto"/>
        <w:jc w:val="both"/>
        <w:rPr>
          <w:rFonts w:ascii="Arial" w:eastAsia="Calibri" w:hAnsi="Arial" w:cs="Arial"/>
          <w:bCs/>
          <w:sz w:val="22"/>
          <w:szCs w:val="22"/>
          <w:lang w:val="es-MX" w:eastAsia="en-US"/>
        </w:rPr>
      </w:pPr>
      <w:r w:rsidRPr="008179FF">
        <w:rPr>
          <w:rFonts w:ascii="Arial" w:eastAsia="Calibri" w:hAnsi="Arial" w:cs="Arial"/>
          <w:bCs/>
          <w:sz w:val="22"/>
          <w:szCs w:val="22"/>
          <w:lang w:val="es-MX" w:eastAsia="en-US"/>
        </w:rPr>
        <w:tab/>
        <w:t xml:space="preserve">Así, las indicaciones establecidas en el encabezado del Anexo </w:t>
      </w:r>
      <w:r w:rsidR="00115334" w:rsidRPr="008179FF">
        <w:rPr>
          <w:rFonts w:ascii="Arial" w:eastAsia="Calibri" w:hAnsi="Arial" w:cs="Arial"/>
          <w:bCs/>
          <w:sz w:val="22"/>
          <w:szCs w:val="22"/>
          <w:lang w:val="es-MX" w:eastAsia="en-US"/>
        </w:rPr>
        <w:t>4</w:t>
      </w:r>
      <w:r w:rsidRPr="008179FF">
        <w:rPr>
          <w:rFonts w:ascii="Arial" w:eastAsia="Calibri" w:hAnsi="Arial" w:cs="Arial"/>
          <w:bCs/>
          <w:sz w:val="22"/>
          <w:szCs w:val="22"/>
          <w:lang w:val="es-MX" w:eastAsia="en-US"/>
        </w:rPr>
        <w:t xml:space="preserve"> y los espacios entre corchetes incluidos en el clausulado prestablecido en este, ofrecen a las entidades estatales un margen amplio para la configuración del contrato de acuerdo con las necesidades identificadas por cada entidad. Esto se manifiesta, por ejemplo, en la «Cláusula 3. Alcance del objeto» donde «[La Entidad puede incluir condiciones de ejecución o interpretación del Contrato que no contradigan lo dispuesto en la presente minuta</w:t>
      </w:r>
      <w:r w:rsidR="00174D78" w:rsidRPr="008179FF">
        <w:rPr>
          <w:rFonts w:ascii="Arial" w:eastAsia="Calibri" w:hAnsi="Arial" w:cs="Arial"/>
          <w:bCs/>
          <w:sz w:val="22"/>
          <w:szCs w:val="22"/>
          <w:lang w:val="es-MX" w:eastAsia="en-US"/>
        </w:rPr>
        <w:t>,</w:t>
      </w:r>
      <w:r w:rsidRPr="008179FF">
        <w:rPr>
          <w:rFonts w:ascii="Arial" w:eastAsia="Calibri" w:hAnsi="Arial" w:cs="Arial"/>
          <w:bCs/>
          <w:sz w:val="22"/>
          <w:szCs w:val="22"/>
          <w:lang w:val="es-MX" w:eastAsia="en-US"/>
        </w:rPr>
        <w:t xml:space="preserve"> en un Anexo al presente documento]». Asimismo, la «Cláusula 9. Obligaciones Generales del Contratista» dispone lo siguiente: «[La Entidad podrá seleccionar algunas de las siguientes opciones de obligaciones, combinarlas, eliminarlas o incluir las que considere convenientes:]». Incluso, la «Cláusula 10. Obligaciones Especificas del Contratista» dispone que «[La entidad incluirá las obligaciones específicas que considere conveniente, de acuerdo con la naturaleza y objeto del contrato, al igual que los mecanismos que tenga cada Entidad para controlar el cumplimiento de las obligaciones del Contratista]». </w:t>
      </w:r>
    </w:p>
    <w:p w14:paraId="77147E49" w14:textId="18D997D2" w:rsidR="006461D7" w:rsidRPr="008179FF" w:rsidRDefault="006461D7" w:rsidP="006461D7">
      <w:pPr>
        <w:spacing w:before="120" w:line="276" w:lineRule="auto"/>
        <w:ind w:firstLine="709"/>
        <w:jc w:val="both"/>
        <w:rPr>
          <w:rFonts w:ascii="Arial" w:eastAsia="Calibri" w:hAnsi="Arial" w:cs="Arial"/>
          <w:bCs/>
          <w:sz w:val="22"/>
          <w:szCs w:val="22"/>
          <w:lang w:val="es-MX" w:eastAsia="en-US"/>
        </w:rPr>
      </w:pPr>
      <w:r w:rsidRPr="008179FF">
        <w:rPr>
          <w:rFonts w:ascii="Arial" w:eastAsia="Calibri" w:hAnsi="Arial" w:cs="Arial"/>
          <w:bCs/>
          <w:sz w:val="22"/>
          <w:szCs w:val="22"/>
          <w:lang w:val="es-MX" w:eastAsia="en-US"/>
        </w:rPr>
        <w:t xml:space="preserve">Ahora bien, conforme al párrafo que encabeza el Anexo </w:t>
      </w:r>
      <w:r w:rsidR="00115334" w:rsidRPr="008179FF">
        <w:rPr>
          <w:rFonts w:ascii="Arial" w:eastAsia="Calibri" w:hAnsi="Arial" w:cs="Arial"/>
          <w:bCs/>
          <w:sz w:val="22"/>
          <w:szCs w:val="22"/>
          <w:lang w:val="es-MX" w:eastAsia="en-US"/>
        </w:rPr>
        <w:t>4</w:t>
      </w:r>
      <w:r w:rsidRPr="008179FF">
        <w:rPr>
          <w:rFonts w:ascii="Arial" w:eastAsia="Calibri" w:hAnsi="Arial" w:cs="Arial"/>
          <w:bCs/>
          <w:sz w:val="22"/>
          <w:szCs w:val="22"/>
          <w:lang w:val="es-MX" w:eastAsia="en-US"/>
        </w:rPr>
        <w:t xml:space="preserve"> que se ratifica en la Cláusula 3, la posibilidad de incluir condiciones adicionales a las prestablecidas está limitada por el hecho de que estas no contradigan lo dispuesto en el Anexo </w:t>
      </w:r>
      <w:r w:rsidR="00115334" w:rsidRPr="008179FF">
        <w:rPr>
          <w:rFonts w:ascii="Arial" w:eastAsia="Calibri" w:hAnsi="Arial" w:cs="Arial"/>
          <w:bCs/>
          <w:sz w:val="22"/>
          <w:szCs w:val="22"/>
          <w:lang w:val="es-MX" w:eastAsia="en-US"/>
        </w:rPr>
        <w:t>4</w:t>
      </w:r>
      <w:r w:rsidRPr="008179FF">
        <w:rPr>
          <w:rFonts w:ascii="Arial" w:eastAsia="Calibri" w:hAnsi="Arial" w:cs="Arial"/>
          <w:bCs/>
          <w:sz w:val="22"/>
          <w:szCs w:val="22"/>
          <w:lang w:val="es-MX" w:eastAsia="en-US"/>
        </w:rPr>
        <w:t>. La razón de ser de esta limitación, en sentido general, obedece a la necesidad de evitar antinomias dentro del contenido del documento contractual.</w:t>
      </w:r>
    </w:p>
    <w:p w14:paraId="683DB200" w14:textId="422C7FE8" w:rsidR="006461D7" w:rsidRPr="008179FF" w:rsidRDefault="006461D7" w:rsidP="006461D7">
      <w:pPr>
        <w:spacing w:before="120" w:line="276" w:lineRule="auto"/>
        <w:ind w:firstLine="709"/>
        <w:jc w:val="both"/>
        <w:rPr>
          <w:rFonts w:ascii="Arial" w:eastAsiaTheme="minorHAnsi" w:hAnsi="Arial" w:cs="Arial"/>
          <w:sz w:val="21"/>
          <w:szCs w:val="21"/>
          <w:lang w:val="es-MX" w:eastAsia="en-US"/>
        </w:rPr>
      </w:pPr>
      <w:r w:rsidRPr="008179FF">
        <w:rPr>
          <w:rFonts w:ascii="Arial" w:eastAsia="Calibri" w:hAnsi="Arial" w:cs="Arial"/>
          <w:bCs/>
          <w:sz w:val="22"/>
          <w:szCs w:val="22"/>
          <w:lang w:val="es-MX" w:eastAsia="en-US"/>
        </w:rPr>
        <w:t>Esto es particularmente importante debido a que existen cláusulas en la minuta destinadas a materializar dentro de la relación contractual circunstancias ocurridas durante el procedimiento de selección, que deben reflejarse en el contrato y que las partes no pueden modificar al redactarlo. Por ejemplo, la cláusula 3 hace referencia a que el contratista se obliga a garantizar los precios ofertados y ejecutar las cantidades de obra detalladas en el «</w:t>
      </w:r>
      <w:r w:rsidRPr="008179FF">
        <w:rPr>
          <w:rFonts w:ascii="Arial" w:eastAsiaTheme="minorHAnsi" w:hAnsi="Arial" w:cs="Arial"/>
          <w:sz w:val="22"/>
          <w:szCs w:val="22"/>
          <w:lang w:val="es-MX" w:eastAsia="en-US"/>
        </w:rPr>
        <w:t xml:space="preserve">Formulario 1 – Formulario de Presupuesto Oficial», al igual que se establece el compromiso de asumir los riesgos previsibles identificados y plasmados en el Pliego de Condiciones en la «Matriz </w:t>
      </w:r>
      <w:r w:rsidR="00115334" w:rsidRPr="008179FF">
        <w:rPr>
          <w:rFonts w:ascii="Arial" w:eastAsiaTheme="minorHAnsi" w:hAnsi="Arial" w:cs="Arial"/>
          <w:sz w:val="22"/>
          <w:szCs w:val="22"/>
          <w:lang w:val="es-MX" w:eastAsia="en-US"/>
        </w:rPr>
        <w:t>2</w:t>
      </w:r>
      <w:r w:rsidRPr="008179FF">
        <w:rPr>
          <w:rFonts w:ascii="Arial" w:eastAsiaTheme="minorHAnsi" w:hAnsi="Arial" w:cs="Arial"/>
          <w:sz w:val="22"/>
          <w:szCs w:val="22"/>
          <w:lang w:val="es-MX" w:eastAsia="en-US"/>
        </w:rPr>
        <w:t xml:space="preserve"> – Riesgos» aceptados con la presentación de la propuesta.</w:t>
      </w:r>
    </w:p>
    <w:p w14:paraId="21E29107" w14:textId="34F4D730" w:rsidR="006461D7" w:rsidRPr="008179FF" w:rsidRDefault="006461D7" w:rsidP="006461D7">
      <w:pPr>
        <w:spacing w:before="120" w:line="276" w:lineRule="auto"/>
        <w:jc w:val="both"/>
        <w:rPr>
          <w:rFonts w:ascii="Arial" w:eastAsiaTheme="minorHAnsi" w:hAnsi="Arial" w:cs="Arial"/>
          <w:sz w:val="22"/>
          <w:szCs w:val="22"/>
          <w:lang w:val="es-MX" w:eastAsia="en-US"/>
        </w:rPr>
      </w:pPr>
      <w:r w:rsidRPr="008179FF">
        <w:rPr>
          <w:rFonts w:ascii="Arial" w:eastAsiaTheme="minorHAnsi" w:hAnsi="Arial" w:cs="Arial"/>
          <w:sz w:val="22"/>
          <w:szCs w:val="22"/>
          <w:lang w:val="es-MX" w:eastAsia="en-US"/>
        </w:rPr>
        <w:tab/>
        <w:t xml:space="preserve">Por tanto, otro de los fundamentos de la limitación a la facultad de las entidades estatales para introducir condiciones o modificaciones en el contenido del Anexo </w:t>
      </w:r>
      <w:r w:rsidR="00115334" w:rsidRPr="008179FF">
        <w:rPr>
          <w:rFonts w:ascii="Arial" w:eastAsiaTheme="minorHAnsi" w:hAnsi="Arial" w:cs="Arial"/>
          <w:sz w:val="22"/>
          <w:szCs w:val="22"/>
          <w:lang w:val="es-MX" w:eastAsia="en-US"/>
        </w:rPr>
        <w:t>4</w:t>
      </w:r>
      <w:r w:rsidRPr="008179FF">
        <w:rPr>
          <w:rFonts w:ascii="Arial" w:eastAsiaTheme="minorHAnsi" w:hAnsi="Arial" w:cs="Arial"/>
          <w:sz w:val="22"/>
          <w:szCs w:val="22"/>
          <w:lang w:val="es-MX" w:eastAsia="en-US"/>
        </w:rPr>
        <w:t xml:space="preserve"> se encuentra en el hecho de que muchas de las disposiciones establecidas en las diferentes cláusulas obedecen al desarrollo de normas y principios normativos de obligatoria observancia. </w:t>
      </w:r>
      <w:r w:rsidRPr="008179FF">
        <w:rPr>
          <w:rFonts w:ascii="Arial" w:hAnsi="Arial" w:cs="Arial"/>
          <w:sz w:val="22"/>
        </w:rPr>
        <w:t xml:space="preserve">En ese sentido, la «Cláusula 17. Cláusulas Excepcionales» que materializa en el contrato las cláusulas excepcionales establecidas en el artículo 14 de la Ley 80 de </w:t>
      </w:r>
      <w:r w:rsidRPr="008179FF">
        <w:rPr>
          <w:rFonts w:ascii="Arial" w:hAnsi="Arial" w:cs="Arial"/>
          <w:sz w:val="22"/>
        </w:rPr>
        <w:lastRenderedPageBreak/>
        <w:t xml:space="preserve">1993, las cuales se entenderían incluidas incluso de </w:t>
      </w:r>
      <w:r w:rsidR="00DE0A54" w:rsidRPr="008179FF">
        <w:rPr>
          <w:rFonts w:ascii="Arial" w:hAnsi="Arial" w:cs="Arial"/>
          <w:sz w:val="22"/>
        </w:rPr>
        <w:t xml:space="preserve">no </w:t>
      </w:r>
      <w:r w:rsidRPr="008179FF">
        <w:rPr>
          <w:rFonts w:ascii="Arial" w:hAnsi="Arial" w:cs="Arial"/>
          <w:sz w:val="22"/>
        </w:rPr>
        <w:t>haber sido expresamente pactadas, no estando facultadas las partes para pactar en contrario.</w:t>
      </w:r>
    </w:p>
    <w:p w14:paraId="0BE28A05" w14:textId="0F0E780B" w:rsidR="006461D7" w:rsidRPr="008179FF" w:rsidRDefault="006461D7" w:rsidP="006461D7">
      <w:pPr>
        <w:spacing w:before="120" w:line="276" w:lineRule="auto"/>
        <w:ind w:firstLine="709"/>
        <w:jc w:val="both"/>
        <w:rPr>
          <w:rFonts w:ascii="Arial" w:eastAsiaTheme="minorHAnsi" w:hAnsi="Arial" w:cs="Arial"/>
          <w:sz w:val="22"/>
          <w:szCs w:val="22"/>
          <w:lang w:val="es-MX" w:eastAsia="en-US"/>
        </w:rPr>
      </w:pPr>
      <w:r w:rsidRPr="008179FF">
        <w:rPr>
          <w:rFonts w:ascii="Arial" w:eastAsiaTheme="minorHAnsi" w:hAnsi="Arial" w:cs="Arial"/>
          <w:sz w:val="22"/>
          <w:szCs w:val="22"/>
          <w:lang w:val="es-MX" w:eastAsia="en-US"/>
        </w:rPr>
        <w:t xml:space="preserve">Asimismo, la «Cláusula 9. Obligaciones generales del contratista», materializa en el contrato el mandato legal otorgado a la Agencia Nacional de Contratación Pública – Colombia Compra Eficiente mediante el artículo 1° de la Ley 2022 de 2020 que modifica el artículo 4 de la Ley 1882 de 2020, en relación con el fomento de la economía local. En efecto, esta disposición, además de </w:t>
      </w:r>
      <w:r w:rsidRPr="008179FF">
        <w:rPr>
          <w:rFonts w:ascii="Arial" w:eastAsia="Calibri" w:hAnsi="Arial" w:cs="Arial"/>
          <w:sz w:val="22"/>
        </w:rPr>
        <w:t xml:space="preserve">otorgar a la Agencia Nacional de Contratación Pública – Colombia Compra Eficiente la competencia para adoptar los documentos tipo y reiterar la obligatoriedad de estos documentos para </w:t>
      </w:r>
      <w:r w:rsidRPr="008179FF">
        <w:rPr>
          <w:rFonts w:ascii="Arial" w:eastAsia="Calibri" w:hAnsi="Arial" w:cs="Arial"/>
          <w:sz w:val="22"/>
          <w:szCs w:val="22"/>
          <w:lang w:val="es-MX" w:eastAsia="en-US"/>
        </w:rPr>
        <w:t xml:space="preserve">todas las entidades públicas cuya contratación esté sometida al Estatuto General de la Contratación de la Administración Pública ‒EGCAP‒, dispuso que </w:t>
      </w:r>
      <w:r w:rsidRPr="008179FF">
        <w:rPr>
          <w:rFonts w:ascii="Arial" w:eastAsia="Calibri" w:hAnsi="Arial" w:cs="Arial"/>
          <w:bCs/>
          <w:sz w:val="22"/>
          <w:szCs w:val="22"/>
          <w:lang w:val="es-ES_tradnl" w:eastAsia="en-US"/>
        </w:rPr>
        <w:t xml:space="preserve">la Agencia, al adoptar los documentos tipo, tendrá en cuenta las características propias de las regiones, el fomento de la economía local y determinará condiciones particulares dependiendo las regiones del país. </w:t>
      </w:r>
      <w:r w:rsidRPr="008179FF">
        <w:rPr>
          <w:rFonts w:ascii="Arial" w:eastAsiaTheme="minorHAnsi" w:hAnsi="Arial" w:cs="Arial"/>
          <w:sz w:val="22"/>
          <w:szCs w:val="22"/>
          <w:lang w:val="es-MX" w:eastAsia="en-US"/>
        </w:rPr>
        <w:t xml:space="preserve">El propósito fundamental de este mandato es promover </w:t>
      </w:r>
      <w:r w:rsidRPr="008179FF">
        <w:rPr>
          <w:rFonts w:ascii="Arial" w:eastAsiaTheme="minorHAnsi" w:hAnsi="Arial" w:cs="Arial"/>
          <w:sz w:val="22"/>
          <w:szCs w:val="22"/>
          <w:lang w:eastAsia="en-US"/>
        </w:rPr>
        <w:t>la descentralización, el empleo local, el desarrollo, los servicios e industrias locales y fomentar la economía local en los procesos de selección y ejecución de contratos que adelante las entidades cuya contratación es obligatoria la aplicación de los documentos tipo.</w:t>
      </w:r>
    </w:p>
    <w:p w14:paraId="5370E742" w14:textId="021460EF" w:rsidR="000A4CC2" w:rsidRPr="008179FF" w:rsidRDefault="006461D7" w:rsidP="000A4CC2">
      <w:pPr>
        <w:spacing w:before="120" w:line="276" w:lineRule="auto"/>
        <w:ind w:firstLine="709"/>
        <w:jc w:val="both"/>
        <w:rPr>
          <w:rFonts w:ascii="Arial" w:eastAsia="Calibri" w:hAnsi="Arial" w:cs="Arial"/>
          <w:bCs/>
          <w:sz w:val="22"/>
          <w:szCs w:val="22"/>
          <w:lang w:val="es-MX" w:eastAsia="en-US"/>
        </w:rPr>
      </w:pPr>
      <w:r w:rsidRPr="008179FF">
        <w:rPr>
          <w:rFonts w:ascii="Arial" w:eastAsiaTheme="minorHAnsi" w:hAnsi="Arial" w:cs="Arial"/>
          <w:sz w:val="22"/>
          <w:szCs w:val="22"/>
          <w:lang w:eastAsia="en-US"/>
        </w:rPr>
        <w:t>Con fundamento en lo anterior, la Agencia</w:t>
      </w:r>
      <w:r w:rsidR="000A4CC2" w:rsidRPr="008179FF">
        <w:rPr>
          <w:rFonts w:ascii="Arial" w:eastAsiaTheme="minorHAnsi" w:hAnsi="Arial" w:cs="Arial"/>
          <w:sz w:val="22"/>
          <w:szCs w:val="22"/>
          <w:lang w:eastAsia="en-US"/>
        </w:rPr>
        <w:t xml:space="preserve"> estableció que </w:t>
      </w:r>
      <w:r w:rsidR="000A4CC2" w:rsidRPr="008179FF">
        <w:rPr>
          <w:rFonts w:ascii="Arial" w:eastAsia="Calibri" w:hAnsi="Arial" w:cs="Arial"/>
          <w:bCs/>
          <w:sz w:val="22"/>
          <w:szCs w:val="22"/>
          <w:lang w:val="es-MX" w:eastAsia="en-US"/>
        </w:rPr>
        <w:t xml:space="preserve">la entidad </w:t>
      </w:r>
      <w:r w:rsidR="000A4CC2" w:rsidRPr="008179FF">
        <w:rPr>
          <w:rFonts w:ascii="Arial" w:hAnsi="Arial" w:cs="Arial"/>
          <w:sz w:val="22"/>
        </w:rPr>
        <w:t>«</w:t>
      </w:r>
      <w:r w:rsidR="006465FE" w:rsidRPr="008179FF">
        <w:rPr>
          <w:rFonts w:ascii="Arial" w:hAnsi="Arial" w:cs="Arial"/>
          <w:sz w:val="22"/>
          <w:lang w:val="es-MX"/>
        </w:rPr>
        <w:t>dependiendo del análisis propio del proyecto a ejecutar y de las condiciones propias de la región</w:t>
      </w:r>
      <w:r w:rsidR="000A4CC2" w:rsidRPr="008179FF">
        <w:rPr>
          <w:rFonts w:ascii="Arial" w:eastAsia="Calibri" w:hAnsi="Arial" w:cs="Arial"/>
          <w:bCs/>
          <w:sz w:val="22"/>
          <w:szCs w:val="22"/>
          <w:lang w:val="es-MX" w:eastAsia="en-US"/>
        </w:rPr>
        <w:t xml:space="preserve"> incluirá </w:t>
      </w:r>
      <w:r w:rsidR="000A4CC2" w:rsidRPr="008179FF">
        <w:rPr>
          <w:rFonts w:ascii="Arial" w:eastAsia="Calibri" w:hAnsi="Arial" w:cs="Arial"/>
          <w:b/>
          <w:bCs/>
          <w:i/>
          <w:iCs/>
          <w:sz w:val="22"/>
          <w:szCs w:val="22"/>
          <w:lang w:val="es-MX" w:eastAsia="en-US"/>
        </w:rPr>
        <w:t>obligatoriamente</w:t>
      </w:r>
      <w:r w:rsidR="000A4CC2" w:rsidRPr="008179FF">
        <w:rPr>
          <w:rFonts w:ascii="Arial" w:eastAsia="Calibri" w:hAnsi="Arial" w:cs="Arial"/>
          <w:bCs/>
          <w:sz w:val="22"/>
          <w:szCs w:val="22"/>
          <w:lang w:val="es-MX" w:eastAsia="en-US"/>
        </w:rPr>
        <w:t xml:space="preserve"> una (1) de las dos (2) opciones (A </w:t>
      </w:r>
      <w:proofErr w:type="spellStart"/>
      <w:r w:rsidR="000A4CC2" w:rsidRPr="008179FF">
        <w:rPr>
          <w:rFonts w:ascii="Arial" w:eastAsia="Calibri" w:hAnsi="Arial" w:cs="Arial"/>
          <w:bCs/>
          <w:sz w:val="22"/>
          <w:szCs w:val="22"/>
          <w:lang w:val="es-MX" w:eastAsia="en-US"/>
        </w:rPr>
        <w:t>ó</w:t>
      </w:r>
      <w:proofErr w:type="spellEnd"/>
      <w:r w:rsidR="000A4CC2" w:rsidRPr="008179FF">
        <w:rPr>
          <w:rFonts w:ascii="Arial" w:eastAsia="Calibri" w:hAnsi="Arial" w:cs="Arial"/>
          <w:bCs/>
          <w:sz w:val="22"/>
          <w:szCs w:val="22"/>
          <w:lang w:val="es-MX" w:eastAsia="en-US"/>
        </w:rPr>
        <w:t xml:space="preserve"> B) definidas en esta minuta que promueva en la ejecución del contrato la vinculación de mano de obra calificada o no calificada de la región, o la provisión de bienes o servicios por parte de la población indígena, negra, afrocolombiana, raizal, palenquera, </w:t>
      </w:r>
      <w:proofErr w:type="spellStart"/>
      <w:r w:rsidR="000A4CC2" w:rsidRPr="008179FF">
        <w:rPr>
          <w:rFonts w:ascii="Arial" w:eastAsia="Calibri" w:hAnsi="Arial" w:cs="Arial"/>
          <w:bCs/>
          <w:sz w:val="22"/>
          <w:szCs w:val="22"/>
          <w:lang w:val="es-MX" w:eastAsia="en-US"/>
        </w:rPr>
        <w:t>Rrom</w:t>
      </w:r>
      <w:proofErr w:type="spellEnd"/>
      <w:r w:rsidR="000A4CC2" w:rsidRPr="008179FF">
        <w:rPr>
          <w:rFonts w:ascii="Arial" w:eastAsia="Calibri" w:hAnsi="Arial" w:cs="Arial"/>
          <w:bCs/>
          <w:sz w:val="22"/>
          <w:szCs w:val="22"/>
          <w:lang w:val="es-MX" w:eastAsia="en-US"/>
        </w:rPr>
        <w:t xml:space="preserve"> o gitana. En todo caso la Entidad no podrá modificar los rangos de porcentajes definidos en esta “Minuta”]</w:t>
      </w:r>
    </w:p>
    <w:p w14:paraId="0CD59871" w14:textId="59122626" w:rsidR="006461D7" w:rsidRPr="00B7032A" w:rsidRDefault="00360C0B" w:rsidP="000A4CC2">
      <w:pPr>
        <w:spacing w:before="120" w:line="276" w:lineRule="auto"/>
        <w:ind w:firstLine="709"/>
        <w:jc w:val="both"/>
        <w:rPr>
          <w:rFonts w:ascii="Arial" w:eastAsia="Calibri" w:hAnsi="Arial" w:cs="Arial"/>
          <w:bCs/>
          <w:sz w:val="22"/>
          <w:szCs w:val="22"/>
          <w:lang w:val="es-ES_tradnl" w:eastAsia="en-US"/>
        </w:rPr>
      </w:pPr>
      <w:r w:rsidRPr="008179FF">
        <w:rPr>
          <w:rFonts w:ascii="Arial" w:eastAsiaTheme="minorHAnsi" w:hAnsi="Arial" w:cs="Arial"/>
          <w:sz w:val="22"/>
          <w:szCs w:val="22"/>
          <w:lang w:eastAsia="en-US"/>
        </w:rPr>
        <w:t xml:space="preserve">En </w:t>
      </w:r>
      <w:r w:rsidR="000A4CC2" w:rsidRPr="008179FF">
        <w:rPr>
          <w:rFonts w:ascii="Arial" w:eastAsiaTheme="minorHAnsi" w:hAnsi="Arial" w:cs="Arial"/>
          <w:sz w:val="22"/>
          <w:szCs w:val="22"/>
          <w:lang w:eastAsia="en-US"/>
        </w:rPr>
        <w:t>la opción A se</w:t>
      </w:r>
      <w:r w:rsidR="006461D7" w:rsidRPr="008179FF">
        <w:rPr>
          <w:rFonts w:ascii="Arial" w:eastAsiaTheme="minorHAnsi" w:hAnsi="Arial" w:cs="Arial"/>
          <w:sz w:val="22"/>
          <w:szCs w:val="22"/>
          <w:lang w:eastAsia="en-US"/>
        </w:rPr>
        <w:t xml:space="preserve"> incorporó </w:t>
      </w:r>
      <w:r w:rsidR="000A4CC2" w:rsidRPr="008179FF">
        <w:rPr>
          <w:rFonts w:ascii="Arial" w:eastAsiaTheme="minorHAnsi" w:hAnsi="Arial" w:cs="Arial"/>
          <w:sz w:val="22"/>
          <w:szCs w:val="22"/>
          <w:lang w:eastAsia="en-US"/>
        </w:rPr>
        <w:t xml:space="preserve">la </w:t>
      </w:r>
      <w:r w:rsidR="006461D7" w:rsidRPr="008179FF">
        <w:rPr>
          <w:rFonts w:ascii="Arial" w:eastAsiaTheme="minorHAnsi" w:hAnsi="Arial" w:cs="Arial"/>
          <w:sz w:val="22"/>
          <w:szCs w:val="22"/>
          <w:lang w:eastAsia="en-US"/>
        </w:rPr>
        <w:t xml:space="preserve">obligación </w:t>
      </w:r>
      <w:r w:rsidR="000A4CC2" w:rsidRPr="008179FF">
        <w:rPr>
          <w:rFonts w:ascii="Arial" w:eastAsiaTheme="minorHAnsi" w:hAnsi="Arial" w:cs="Arial"/>
          <w:sz w:val="22"/>
          <w:szCs w:val="22"/>
          <w:lang w:eastAsia="en-US"/>
        </w:rPr>
        <w:t>de</w:t>
      </w:r>
      <w:r w:rsidR="00DE0A54" w:rsidRPr="008179FF">
        <w:rPr>
          <w:rFonts w:ascii="Arial" w:eastAsiaTheme="minorHAnsi" w:hAnsi="Arial" w:cs="Arial"/>
          <w:sz w:val="22"/>
          <w:szCs w:val="22"/>
          <w:lang w:eastAsia="en-US"/>
        </w:rPr>
        <w:t>l</w:t>
      </w:r>
      <w:r w:rsidR="000A4CC2" w:rsidRPr="008179FF">
        <w:rPr>
          <w:rFonts w:ascii="Arial" w:eastAsiaTheme="minorHAnsi" w:hAnsi="Arial" w:cs="Arial"/>
          <w:sz w:val="22"/>
          <w:szCs w:val="22"/>
          <w:lang w:eastAsia="en-US"/>
        </w:rPr>
        <w:t xml:space="preserve"> contratista dirigida</w:t>
      </w:r>
      <w:r w:rsidR="006461D7" w:rsidRPr="008179FF">
        <w:rPr>
          <w:rFonts w:ascii="Arial" w:eastAsiaTheme="minorHAnsi" w:hAnsi="Arial" w:cs="Arial"/>
          <w:sz w:val="22"/>
          <w:szCs w:val="22"/>
          <w:lang w:eastAsia="en-US"/>
        </w:rPr>
        <w:t xml:space="preserve"> a fomentar el empleo local, </w:t>
      </w:r>
      <w:r w:rsidR="00DE0A54" w:rsidRPr="008179FF">
        <w:rPr>
          <w:rFonts w:ascii="Arial" w:eastAsiaTheme="minorHAnsi" w:hAnsi="Arial" w:cs="Arial"/>
          <w:sz w:val="22"/>
          <w:szCs w:val="22"/>
          <w:lang w:eastAsia="en-US"/>
        </w:rPr>
        <w:t>mediante</w:t>
      </w:r>
      <w:r w:rsidR="006461D7" w:rsidRPr="008179FF">
        <w:rPr>
          <w:rFonts w:ascii="Arial" w:eastAsiaTheme="minorHAnsi" w:hAnsi="Arial" w:cs="Arial"/>
          <w:sz w:val="22"/>
          <w:szCs w:val="22"/>
          <w:lang w:eastAsia="en-US"/>
        </w:rPr>
        <w:t xml:space="preserve"> la destinación a la ejecución del contrato de un porcentaje determinado de mano de obra no calificada de la región. Asimismo, con el ánimo de</w:t>
      </w:r>
      <w:r w:rsidR="006461D7" w:rsidRPr="008179FF">
        <w:rPr>
          <w:rFonts w:ascii="Arial" w:eastAsia="Calibri" w:hAnsi="Arial" w:cs="Arial"/>
          <w:bCs/>
          <w:sz w:val="22"/>
          <w:szCs w:val="22"/>
          <w:lang w:val="es-ES_tradnl" w:eastAsia="en-US"/>
        </w:rPr>
        <w:t xml:space="preserve"> generar una acción afirmativa en favor de las mujeres, se determinó la incorporación de un porcentaje específico de mujeres en ese personal. Esta obligación prescribe </w:t>
      </w:r>
      <w:r w:rsidR="006461D7" w:rsidRPr="008179FF">
        <w:rPr>
          <w:rFonts w:ascii="Arial" w:eastAsiaTheme="minorHAnsi" w:hAnsi="Arial" w:cs="Arial"/>
          <w:sz w:val="22"/>
          <w:szCs w:val="22"/>
          <w:lang w:val="es-MX" w:eastAsia="en-US"/>
        </w:rPr>
        <w:t>lo siguiente:</w:t>
      </w:r>
      <w:r w:rsidR="006461D7" w:rsidRPr="00B7032A">
        <w:rPr>
          <w:rFonts w:ascii="Arial" w:eastAsiaTheme="minorHAnsi" w:hAnsi="Arial" w:cs="Arial"/>
          <w:sz w:val="22"/>
          <w:szCs w:val="22"/>
          <w:lang w:val="es-MX" w:eastAsia="en-US"/>
        </w:rPr>
        <w:t xml:space="preserve"> </w:t>
      </w:r>
    </w:p>
    <w:p w14:paraId="7945EA7C" w14:textId="77777777" w:rsidR="006461D7" w:rsidRPr="00B7032A" w:rsidRDefault="006461D7" w:rsidP="006461D7">
      <w:pPr>
        <w:spacing w:line="276" w:lineRule="auto"/>
        <w:ind w:firstLine="709"/>
        <w:jc w:val="both"/>
        <w:rPr>
          <w:rFonts w:ascii="Arial" w:eastAsiaTheme="minorHAnsi" w:hAnsi="Arial" w:cs="Arial"/>
          <w:sz w:val="22"/>
          <w:szCs w:val="22"/>
          <w:lang w:val="es-MX" w:eastAsia="en-US"/>
        </w:rPr>
      </w:pPr>
    </w:p>
    <w:p w14:paraId="0A41832C" w14:textId="29725549" w:rsidR="006461D7" w:rsidRPr="00B7032A" w:rsidRDefault="006461D7" w:rsidP="0026080C">
      <w:pPr>
        <w:spacing w:after="120"/>
        <w:ind w:left="709" w:right="709"/>
        <w:jc w:val="both"/>
        <w:rPr>
          <w:rFonts w:ascii="Arial" w:eastAsiaTheme="minorHAnsi" w:hAnsi="Arial" w:cs="Arial"/>
          <w:sz w:val="21"/>
          <w:szCs w:val="21"/>
          <w:lang w:eastAsia="en-US"/>
        </w:rPr>
      </w:pPr>
      <w:r w:rsidRPr="00B7032A">
        <w:rPr>
          <w:rFonts w:ascii="Arial" w:eastAsiaTheme="minorHAnsi" w:hAnsi="Arial" w:cs="Arial"/>
          <w:sz w:val="21"/>
          <w:szCs w:val="21"/>
          <w:lang w:eastAsia="en-US"/>
        </w:rPr>
        <w:t>CLÁUSULA 9. OBLIGACIONES GENERALES DEL CONTRATISTA</w:t>
      </w:r>
    </w:p>
    <w:p w14:paraId="223EAD62" w14:textId="549CDCE0" w:rsidR="000A4CC2" w:rsidRPr="00B7032A" w:rsidRDefault="000A4CC2" w:rsidP="0026080C">
      <w:pPr>
        <w:spacing w:after="120"/>
        <w:ind w:left="709" w:right="709"/>
        <w:jc w:val="both"/>
        <w:rPr>
          <w:rFonts w:ascii="Arial" w:eastAsiaTheme="minorHAnsi" w:hAnsi="Arial" w:cs="Arial"/>
          <w:sz w:val="21"/>
          <w:szCs w:val="21"/>
          <w:lang w:eastAsia="en-US"/>
        </w:rPr>
      </w:pPr>
      <w:r w:rsidRPr="00B7032A">
        <w:rPr>
          <w:rFonts w:ascii="Arial" w:eastAsiaTheme="minorHAnsi" w:hAnsi="Arial" w:cs="Arial"/>
          <w:sz w:val="21"/>
          <w:szCs w:val="21"/>
          <w:lang w:eastAsia="en-US"/>
        </w:rPr>
        <w:t>[…]</w:t>
      </w:r>
    </w:p>
    <w:p w14:paraId="17815792" w14:textId="77777777" w:rsidR="0026080C" w:rsidRPr="00B7032A" w:rsidRDefault="0026080C" w:rsidP="0026080C">
      <w:pPr>
        <w:ind w:left="709" w:right="709"/>
        <w:jc w:val="both"/>
        <w:rPr>
          <w:rFonts w:ascii="Arial" w:eastAsia="Arial" w:hAnsi="Arial" w:cs="Arial"/>
          <w:b/>
          <w:bCs/>
          <w:sz w:val="21"/>
          <w:szCs w:val="21"/>
          <w:lang w:val="es-MX" w:eastAsia="en-US"/>
        </w:rPr>
      </w:pPr>
      <w:r w:rsidRPr="00B7032A">
        <w:rPr>
          <w:rFonts w:ascii="Arial" w:eastAsia="Arial" w:hAnsi="Arial" w:cs="Arial"/>
          <w:b/>
          <w:bCs/>
          <w:sz w:val="21"/>
          <w:szCs w:val="21"/>
          <w:highlight w:val="lightGray"/>
          <w:lang w:val="es-MX" w:eastAsia="en-US"/>
        </w:rPr>
        <w:t>[Opción A]</w:t>
      </w:r>
      <w:r w:rsidRPr="00B7032A">
        <w:rPr>
          <w:rFonts w:ascii="Arial" w:eastAsia="Arial" w:hAnsi="Arial" w:cs="Arial"/>
          <w:b/>
          <w:bCs/>
          <w:sz w:val="21"/>
          <w:szCs w:val="21"/>
          <w:lang w:val="es-MX" w:eastAsia="en-US"/>
        </w:rPr>
        <w:t xml:space="preserve"> </w:t>
      </w:r>
    </w:p>
    <w:p w14:paraId="58093B81" w14:textId="77777777" w:rsidR="0026080C" w:rsidRPr="00B7032A" w:rsidRDefault="0026080C" w:rsidP="0026080C">
      <w:pPr>
        <w:ind w:left="709" w:right="709"/>
        <w:jc w:val="both"/>
        <w:rPr>
          <w:rFonts w:ascii="Arial" w:eastAsia="Arial" w:hAnsi="Arial" w:cs="Arial"/>
          <w:sz w:val="21"/>
          <w:szCs w:val="21"/>
          <w:lang w:val="es-MX" w:eastAsia="en-US"/>
        </w:rPr>
      </w:pPr>
    </w:p>
    <w:p w14:paraId="753C97EE" w14:textId="77777777" w:rsidR="0026080C" w:rsidRPr="008179FF" w:rsidRDefault="0026080C" w:rsidP="0026080C">
      <w:pPr>
        <w:numPr>
          <w:ilvl w:val="0"/>
          <w:numId w:val="48"/>
        </w:numPr>
        <w:tabs>
          <w:tab w:val="left" w:pos="993"/>
        </w:tabs>
        <w:ind w:left="709" w:right="709" w:firstLine="0"/>
        <w:jc w:val="both"/>
        <w:rPr>
          <w:rFonts w:ascii="Arial" w:eastAsia="MS Mincho" w:hAnsi="Arial" w:cs="Arial"/>
          <w:sz w:val="21"/>
          <w:szCs w:val="21"/>
          <w:lang w:val="es-MX" w:eastAsia="en-US"/>
        </w:rPr>
      </w:pPr>
      <w:r w:rsidRPr="008179FF">
        <w:rPr>
          <w:rFonts w:ascii="Arial" w:eastAsia="Arial" w:hAnsi="Arial" w:cs="Arial"/>
          <w:sz w:val="21"/>
          <w:szCs w:val="21"/>
          <w:lang w:val="es-MX" w:eastAsia="en-US"/>
        </w:rPr>
        <w:t>Destinar a la ejecución del contrato mano de obra no calificada de la región, en un porcentaje no inferior al [quince por ciento (15 %), sin perjuicio de incluir un porcentaje superior que no supere el treinta por ciento (30 %)] del total del personal del Contratista de obra, destinado a la ejecución del Contrato. En todo caso deberá cumplir con las siguientes condiciones:</w:t>
      </w:r>
    </w:p>
    <w:p w14:paraId="309D7E06" w14:textId="67189C97" w:rsidR="0026080C" w:rsidRPr="008179FF" w:rsidRDefault="0026080C" w:rsidP="0026080C">
      <w:pPr>
        <w:numPr>
          <w:ilvl w:val="1"/>
          <w:numId w:val="49"/>
        </w:numPr>
        <w:spacing w:before="120" w:after="120"/>
        <w:ind w:left="1134" w:right="709" w:hanging="425"/>
        <w:jc w:val="both"/>
        <w:rPr>
          <w:rFonts w:ascii="Arial" w:eastAsia="MS Mincho" w:hAnsi="Arial" w:cs="Arial"/>
          <w:sz w:val="21"/>
          <w:szCs w:val="21"/>
          <w:lang w:val="es-MX" w:eastAsia="en-US"/>
        </w:rPr>
      </w:pPr>
      <w:r w:rsidRPr="008179FF">
        <w:rPr>
          <w:rFonts w:ascii="Arial" w:eastAsia="Arial" w:hAnsi="Arial" w:cs="Arial"/>
          <w:sz w:val="21"/>
          <w:szCs w:val="21"/>
          <w:lang w:val="es-MX" w:eastAsia="en-US"/>
        </w:rPr>
        <w:lastRenderedPageBreak/>
        <w:t>En todo caso [el cinco por ciento (5 %) (sin perjuicio de establecer un porcentaje superior, de acuerdo con el estudio del sector y características propias de la región, que no podrá superar el diez por ciento (10 %)] de la mano de obra no calificada de la región, destinada a la ejecución del contrato, serán mujeres.</w:t>
      </w:r>
    </w:p>
    <w:p w14:paraId="24F869B3" w14:textId="77777777" w:rsidR="0026080C" w:rsidRPr="008179FF" w:rsidRDefault="0026080C" w:rsidP="0026080C">
      <w:pPr>
        <w:numPr>
          <w:ilvl w:val="1"/>
          <w:numId w:val="49"/>
        </w:numPr>
        <w:spacing w:before="120" w:after="120"/>
        <w:ind w:left="1134" w:right="709" w:hanging="425"/>
        <w:jc w:val="both"/>
        <w:rPr>
          <w:rFonts w:ascii="Arial" w:eastAsia="Arial" w:hAnsi="Arial" w:cs="Arial"/>
          <w:sz w:val="21"/>
          <w:szCs w:val="21"/>
          <w:lang w:val="es-MX" w:eastAsia="en-US"/>
        </w:rPr>
      </w:pPr>
      <w:r w:rsidRPr="008179FF">
        <w:rPr>
          <w:rFonts w:ascii="Arial" w:eastAsia="Arial" w:hAnsi="Arial" w:cs="Arial"/>
          <w:sz w:val="21"/>
          <w:szCs w:val="21"/>
          <w:lang w:val="es-MX" w:eastAsia="en-US"/>
        </w:rPr>
        <w:t xml:space="preserve">En todo caso [el cinco por ciento (5 %) (sin perjuicio de establecer un porcentaje superior, de acuerdo con el estudio del sector y características propias de la región, que no podrá superar el diez por ciento (10 %)] de la mano de obra no calificada, destinada a la ejecución del contrato, serán jóvenes de la región, entre los 18 y los 28 años, priorizando a aquellos que no tienen experiencia relacionada con la labor a contratar. </w:t>
      </w:r>
    </w:p>
    <w:p w14:paraId="68FBB05F" w14:textId="5F091AAF" w:rsidR="0026080C" w:rsidRPr="008179FF" w:rsidRDefault="0026080C" w:rsidP="0026080C">
      <w:pPr>
        <w:numPr>
          <w:ilvl w:val="1"/>
          <w:numId w:val="49"/>
        </w:numPr>
        <w:tabs>
          <w:tab w:val="left" w:pos="709"/>
        </w:tabs>
        <w:spacing w:before="120" w:after="120"/>
        <w:ind w:left="1134" w:right="709" w:hanging="425"/>
        <w:jc w:val="both"/>
        <w:rPr>
          <w:rFonts w:ascii="Arial" w:eastAsia="Arial" w:hAnsi="Arial" w:cs="Arial"/>
          <w:sz w:val="21"/>
          <w:szCs w:val="21"/>
          <w:lang w:val="es-MX" w:eastAsia="en-US"/>
        </w:rPr>
      </w:pPr>
      <w:r w:rsidRPr="008179FF">
        <w:rPr>
          <w:rFonts w:ascii="Arial" w:eastAsia="Arial" w:hAnsi="Arial" w:cs="Arial"/>
          <w:sz w:val="21"/>
          <w:szCs w:val="21"/>
          <w:lang w:val="es-MX" w:eastAsia="en-US"/>
        </w:rPr>
        <w:t xml:space="preserve">  En todo caso [el cinco por ciento (5 %) (sin perjuicio de establecer un porcentaje superior, de acuerdo con el estudio del sector y características propias de la región, que no podrá superar el diez por ciento (10 %)] de la mano de obra no calificada, destinados a la ejecución del contrato, serán personas adultas de la región, mayores de 29 años. </w:t>
      </w:r>
    </w:p>
    <w:p w14:paraId="1AAA1D22" w14:textId="05DF3ED4" w:rsidR="0026080C" w:rsidRPr="008179FF" w:rsidRDefault="0026080C" w:rsidP="0026080C">
      <w:pPr>
        <w:spacing w:before="120" w:after="120"/>
        <w:ind w:left="709" w:right="709"/>
        <w:jc w:val="both"/>
        <w:rPr>
          <w:rFonts w:ascii="Arial" w:eastAsia="Arial" w:hAnsi="Arial" w:cs="Arial"/>
          <w:sz w:val="21"/>
          <w:szCs w:val="21"/>
          <w:lang w:val="es-MX" w:eastAsia="en-US"/>
        </w:rPr>
      </w:pPr>
      <w:r w:rsidRPr="008179FF">
        <w:rPr>
          <w:rFonts w:ascii="Arial" w:eastAsia="Arial" w:hAnsi="Arial" w:cs="Arial"/>
          <w:b/>
          <w:bCs/>
          <w:sz w:val="21"/>
          <w:szCs w:val="21"/>
          <w:lang w:val="es-MX" w:eastAsia="en-US"/>
        </w:rPr>
        <w:t xml:space="preserve">Parágrafo: </w:t>
      </w:r>
      <w:r w:rsidRPr="008179FF">
        <w:rPr>
          <w:rFonts w:ascii="Arial" w:eastAsia="Arial" w:hAnsi="Arial" w:cs="Arial"/>
          <w:sz w:val="21"/>
          <w:szCs w:val="21"/>
          <w:lang w:val="es-MX" w:eastAsia="en-US"/>
        </w:rPr>
        <w:t xml:space="preserve">El Contratista procurará realizar capacitaciones, inducciones o actividades que permitan alcanzar el aprendizaje de la labor a realizar y de esta manera lograr calificar al personal en el oficio en cuestión. </w:t>
      </w:r>
    </w:p>
    <w:p w14:paraId="607A066F" w14:textId="6AF88997" w:rsidR="0026080C" w:rsidRPr="008179FF" w:rsidRDefault="0026080C" w:rsidP="0026080C">
      <w:pPr>
        <w:spacing w:before="120" w:after="120"/>
        <w:ind w:left="709" w:right="709"/>
        <w:jc w:val="both"/>
        <w:rPr>
          <w:rFonts w:ascii="Arial" w:eastAsia="Arial" w:hAnsi="Arial" w:cs="Arial"/>
          <w:sz w:val="21"/>
          <w:szCs w:val="21"/>
          <w:lang w:val="es-MX" w:eastAsia="en-US"/>
        </w:rPr>
      </w:pPr>
      <w:r w:rsidRPr="008179FF">
        <w:rPr>
          <w:rFonts w:ascii="Arial" w:eastAsia="Arial" w:hAnsi="Arial" w:cs="Arial"/>
          <w:sz w:val="21"/>
          <w:szCs w:val="21"/>
          <w:lang w:val="es-MX" w:eastAsia="en-US"/>
        </w:rPr>
        <w:t>[…]</w:t>
      </w:r>
    </w:p>
    <w:p w14:paraId="6BC1A366" w14:textId="77777777" w:rsidR="006461D7" w:rsidRPr="008179FF" w:rsidRDefault="006461D7" w:rsidP="00C9494B">
      <w:pPr>
        <w:spacing w:line="276" w:lineRule="auto"/>
        <w:ind w:left="709" w:right="709"/>
        <w:jc w:val="both"/>
        <w:rPr>
          <w:rFonts w:ascii="Arial" w:eastAsiaTheme="minorHAnsi" w:hAnsi="Arial" w:cs="Arial"/>
          <w:sz w:val="21"/>
          <w:szCs w:val="21"/>
          <w:lang w:eastAsia="en-US"/>
        </w:rPr>
      </w:pPr>
    </w:p>
    <w:p w14:paraId="7EA66355" w14:textId="205587D6" w:rsidR="006461D7" w:rsidRPr="008179FF" w:rsidRDefault="006461D7" w:rsidP="006461D7">
      <w:pPr>
        <w:spacing w:line="276" w:lineRule="auto"/>
        <w:ind w:firstLine="709"/>
        <w:jc w:val="both"/>
        <w:rPr>
          <w:rFonts w:ascii="Arial" w:eastAsiaTheme="minorHAnsi" w:hAnsi="Arial" w:cs="Arial"/>
          <w:sz w:val="22"/>
          <w:szCs w:val="22"/>
          <w:lang w:val="es-MX" w:eastAsia="en-US"/>
        </w:rPr>
      </w:pPr>
      <w:r w:rsidRPr="008179FF">
        <w:rPr>
          <w:rFonts w:ascii="Arial" w:eastAsiaTheme="minorHAnsi" w:hAnsi="Arial" w:cs="Arial"/>
          <w:sz w:val="22"/>
          <w:szCs w:val="22"/>
          <w:lang w:val="es-MX" w:eastAsia="en-US"/>
        </w:rPr>
        <w:t xml:space="preserve">Según se evidencia, </w:t>
      </w:r>
      <w:r w:rsidR="00360C0B" w:rsidRPr="008179FF">
        <w:rPr>
          <w:rFonts w:ascii="Arial" w:eastAsiaTheme="minorHAnsi" w:hAnsi="Arial" w:cs="Arial"/>
          <w:sz w:val="22"/>
          <w:szCs w:val="22"/>
          <w:lang w:val="es-MX" w:eastAsia="en-US"/>
        </w:rPr>
        <w:t>la obligación</w:t>
      </w:r>
      <w:r w:rsidRPr="008179FF">
        <w:rPr>
          <w:rFonts w:ascii="Arial" w:eastAsiaTheme="minorHAnsi" w:hAnsi="Arial" w:cs="Arial"/>
          <w:sz w:val="22"/>
          <w:szCs w:val="22"/>
          <w:lang w:val="es-MX" w:eastAsia="en-US"/>
        </w:rPr>
        <w:t xml:space="preserve"> transcrit</w:t>
      </w:r>
      <w:r w:rsidR="00360C0B" w:rsidRPr="008179FF">
        <w:rPr>
          <w:rFonts w:ascii="Arial" w:eastAsiaTheme="minorHAnsi" w:hAnsi="Arial" w:cs="Arial"/>
          <w:sz w:val="22"/>
          <w:szCs w:val="22"/>
          <w:lang w:val="es-MX" w:eastAsia="en-US"/>
        </w:rPr>
        <w:t>a</w:t>
      </w:r>
      <w:r w:rsidRPr="008179FF">
        <w:rPr>
          <w:rFonts w:ascii="Arial" w:eastAsiaTheme="minorHAnsi" w:hAnsi="Arial" w:cs="Arial"/>
          <w:sz w:val="22"/>
          <w:szCs w:val="22"/>
          <w:lang w:val="es-MX" w:eastAsia="en-US"/>
        </w:rPr>
        <w:t xml:space="preserve"> hace referencia expresamente a la mano de obra no calificada de la región. Esto significa que, de la totalidad del personal destinado a la ejecución del contrato, un porcentaje determinado será mano de obra no calificada de la región y</w:t>
      </w:r>
      <w:r w:rsidR="00DE0A54" w:rsidRPr="008179FF">
        <w:rPr>
          <w:rFonts w:ascii="Arial" w:eastAsiaTheme="minorHAnsi" w:hAnsi="Arial" w:cs="Arial"/>
          <w:sz w:val="22"/>
          <w:szCs w:val="22"/>
          <w:lang w:val="es-MX" w:eastAsia="en-US"/>
        </w:rPr>
        <w:t>,</w:t>
      </w:r>
      <w:r w:rsidRPr="008179FF">
        <w:rPr>
          <w:rFonts w:ascii="Arial" w:eastAsiaTheme="minorHAnsi" w:hAnsi="Arial" w:cs="Arial"/>
          <w:sz w:val="22"/>
          <w:szCs w:val="22"/>
          <w:lang w:val="es-MX" w:eastAsia="en-US"/>
        </w:rPr>
        <w:t xml:space="preserve"> de ese personal, un porcentaje específico deberán ser mujeres. Así, el contratista, además de contar con el personal técnico necesario para la ejecución de la obra, tendrá la obligación de incluir en el personal un porcentaje de mano de obra no calificada de la región</w:t>
      </w:r>
      <w:r w:rsidR="00C9494B" w:rsidRPr="008179FF">
        <w:rPr>
          <w:rFonts w:ascii="Arial" w:eastAsiaTheme="minorHAnsi" w:hAnsi="Arial" w:cs="Arial"/>
          <w:sz w:val="22"/>
          <w:szCs w:val="22"/>
          <w:lang w:val="es-MX" w:eastAsia="en-US"/>
        </w:rPr>
        <w:t>,</w:t>
      </w:r>
      <w:r w:rsidRPr="008179FF">
        <w:rPr>
          <w:rFonts w:ascii="Arial" w:eastAsiaTheme="minorHAnsi" w:hAnsi="Arial" w:cs="Arial"/>
          <w:sz w:val="22"/>
          <w:szCs w:val="22"/>
          <w:lang w:val="es-MX" w:eastAsia="en-US"/>
        </w:rPr>
        <w:t xml:space="preserve"> de mujeres</w:t>
      </w:r>
      <w:r w:rsidR="00C9494B" w:rsidRPr="008179FF">
        <w:rPr>
          <w:rFonts w:ascii="Arial" w:eastAsiaTheme="minorHAnsi" w:hAnsi="Arial" w:cs="Arial"/>
          <w:sz w:val="22"/>
          <w:szCs w:val="22"/>
          <w:lang w:val="es-MX" w:eastAsia="en-US"/>
        </w:rPr>
        <w:t>, de jóvenes entre los 18 y 28 años y de personas adultas de la región mayores a 29 años</w:t>
      </w:r>
      <w:r w:rsidRPr="008179FF">
        <w:rPr>
          <w:rFonts w:ascii="Arial" w:eastAsiaTheme="minorHAnsi" w:hAnsi="Arial" w:cs="Arial"/>
          <w:sz w:val="22"/>
          <w:szCs w:val="22"/>
          <w:lang w:val="es-MX" w:eastAsia="en-US"/>
        </w:rPr>
        <w:t xml:space="preserve">. Con ello se incentiva el desarrollo y el empleo local, en la medida en que se vinculará en la ejecución del contrato personal de la zona en la que se desarrollará el proyecto, lo cual promueve la economía local. </w:t>
      </w:r>
    </w:p>
    <w:p w14:paraId="503DA7A4" w14:textId="284E64F6" w:rsidR="006461D7" w:rsidRPr="008179FF" w:rsidRDefault="006461D7" w:rsidP="006461D7">
      <w:pPr>
        <w:spacing w:before="120" w:line="276" w:lineRule="auto"/>
        <w:ind w:firstLine="709"/>
        <w:jc w:val="both"/>
        <w:rPr>
          <w:rFonts w:ascii="Arial" w:eastAsia="Calibri" w:hAnsi="Arial" w:cs="Arial"/>
          <w:bCs/>
          <w:sz w:val="22"/>
          <w:szCs w:val="22"/>
          <w:lang w:val="es-MX" w:eastAsia="en-US"/>
        </w:rPr>
      </w:pPr>
      <w:r w:rsidRPr="008179FF">
        <w:rPr>
          <w:rFonts w:ascii="Arial" w:eastAsiaTheme="minorHAnsi" w:hAnsi="Arial" w:cs="Arial"/>
          <w:sz w:val="22"/>
          <w:szCs w:val="22"/>
          <w:lang w:val="es-MX" w:eastAsia="en-US"/>
        </w:rPr>
        <w:t xml:space="preserve">Este numeral contiene </w:t>
      </w:r>
      <w:r w:rsidRPr="008179FF">
        <w:rPr>
          <w:rFonts w:ascii="Arial" w:eastAsia="Calibri" w:hAnsi="Arial" w:cs="Arial"/>
          <w:bCs/>
          <w:sz w:val="22"/>
          <w:szCs w:val="22"/>
          <w:lang w:val="es-MX" w:eastAsia="en-US"/>
        </w:rPr>
        <w:t xml:space="preserve">apartados grises entre corchetes, </w:t>
      </w:r>
      <w:r w:rsidR="00DE0A54" w:rsidRPr="008179FF">
        <w:rPr>
          <w:rFonts w:ascii="Arial" w:eastAsia="Calibri" w:hAnsi="Arial" w:cs="Arial"/>
          <w:bCs/>
          <w:sz w:val="22"/>
          <w:szCs w:val="22"/>
          <w:lang w:val="es-MX" w:eastAsia="en-US"/>
        </w:rPr>
        <w:t>para</w:t>
      </w:r>
      <w:r w:rsidRPr="008179FF">
        <w:rPr>
          <w:rFonts w:ascii="Arial" w:eastAsia="Calibri" w:hAnsi="Arial" w:cs="Arial"/>
          <w:bCs/>
          <w:sz w:val="22"/>
          <w:szCs w:val="22"/>
          <w:lang w:val="es-MX" w:eastAsia="en-US"/>
        </w:rPr>
        <w:t xml:space="preserve"> que las entidades estatales puedan consignar en ellos la información relativa de acuerdo con las indicaciones consignadas. De este modo, para efectos de la determinación de la mano de obra no calificada de la región, </w:t>
      </w:r>
      <w:r w:rsidR="00360C0B" w:rsidRPr="008179FF">
        <w:rPr>
          <w:rFonts w:ascii="Arial" w:eastAsia="Calibri" w:hAnsi="Arial" w:cs="Arial"/>
          <w:bCs/>
          <w:sz w:val="22"/>
          <w:szCs w:val="22"/>
          <w:lang w:val="es-MX" w:eastAsia="en-US"/>
        </w:rPr>
        <w:t xml:space="preserve">se </w:t>
      </w:r>
      <w:r w:rsidRPr="008179FF">
        <w:rPr>
          <w:rFonts w:ascii="Arial" w:eastAsia="Calibri" w:hAnsi="Arial" w:cs="Arial"/>
          <w:bCs/>
          <w:sz w:val="22"/>
          <w:szCs w:val="22"/>
          <w:lang w:val="es-MX" w:eastAsia="en-US"/>
        </w:rPr>
        <w:t xml:space="preserve">dispone que el porcentaje </w:t>
      </w:r>
      <w:r w:rsidR="00DE0A54" w:rsidRPr="008179FF">
        <w:rPr>
          <w:rFonts w:ascii="Arial" w:eastAsia="Calibri" w:hAnsi="Arial" w:cs="Arial"/>
          <w:bCs/>
          <w:sz w:val="22"/>
          <w:szCs w:val="22"/>
          <w:lang w:val="es-MX" w:eastAsia="en-US"/>
        </w:rPr>
        <w:t xml:space="preserve">mínimo </w:t>
      </w:r>
      <w:r w:rsidRPr="008179FF">
        <w:rPr>
          <w:rFonts w:ascii="Arial" w:eastAsia="Calibri" w:hAnsi="Arial" w:cs="Arial"/>
          <w:bCs/>
          <w:sz w:val="22"/>
          <w:szCs w:val="22"/>
          <w:lang w:val="es-MX" w:eastAsia="en-US"/>
        </w:rPr>
        <w:t>no podrá ser inferior al 10% ni superior al 30%, de</w:t>
      </w:r>
      <w:r w:rsidRPr="008179FF">
        <w:rPr>
          <w:rFonts w:ascii="Arial" w:eastAsiaTheme="minorHAnsi" w:hAnsi="Arial" w:cs="Arial"/>
          <w:sz w:val="21"/>
          <w:szCs w:val="21"/>
          <w:lang w:eastAsia="en-US"/>
        </w:rPr>
        <w:t xml:space="preserve"> </w:t>
      </w:r>
      <w:r w:rsidRPr="008179FF">
        <w:rPr>
          <w:rFonts w:ascii="Arial" w:eastAsia="Calibri" w:hAnsi="Arial" w:cs="Arial"/>
          <w:bCs/>
          <w:sz w:val="22"/>
          <w:szCs w:val="22"/>
          <w:lang w:eastAsia="en-US"/>
        </w:rPr>
        <w:t>acuerdo con el personal del contratista de obra destinado a la ejecución del contrato</w:t>
      </w:r>
      <w:r w:rsidRPr="008179FF">
        <w:rPr>
          <w:rFonts w:ascii="Arial" w:eastAsia="Calibri" w:hAnsi="Arial" w:cs="Arial"/>
          <w:bCs/>
          <w:sz w:val="22"/>
          <w:szCs w:val="22"/>
          <w:lang w:val="es-MX" w:eastAsia="en-US"/>
        </w:rPr>
        <w:t>. De igual manera, de ese porcentaje, entre el 5</w:t>
      </w:r>
      <w:r w:rsidR="00723CEE" w:rsidRPr="008179FF">
        <w:rPr>
          <w:rFonts w:ascii="Arial" w:eastAsia="Calibri" w:hAnsi="Arial" w:cs="Arial"/>
          <w:bCs/>
          <w:sz w:val="22"/>
          <w:szCs w:val="22"/>
          <w:lang w:val="es-MX" w:eastAsia="en-US"/>
        </w:rPr>
        <w:t xml:space="preserve"> por ciento (</w:t>
      </w:r>
      <w:r w:rsidRPr="008179FF">
        <w:rPr>
          <w:rFonts w:ascii="Arial" w:eastAsia="Calibri" w:hAnsi="Arial" w:cs="Arial"/>
          <w:bCs/>
          <w:sz w:val="22"/>
          <w:szCs w:val="22"/>
          <w:lang w:val="es-MX" w:eastAsia="en-US"/>
        </w:rPr>
        <w:t>%</w:t>
      </w:r>
      <w:r w:rsidR="00723CEE" w:rsidRPr="008179FF">
        <w:rPr>
          <w:rFonts w:ascii="Arial" w:eastAsia="Calibri" w:hAnsi="Arial" w:cs="Arial"/>
          <w:bCs/>
          <w:sz w:val="22"/>
          <w:szCs w:val="22"/>
          <w:lang w:val="es-MX" w:eastAsia="en-US"/>
        </w:rPr>
        <w:t>)</w:t>
      </w:r>
      <w:r w:rsidRPr="008179FF">
        <w:rPr>
          <w:rFonts w:ascii="Arial" w:eastAsia="Calibri" w:hAnsi="Arial" w:cs="Arial"/>
          <w:bCs/>
          <w:sz w:val="22"/>
          <w:szCs w:val="22"/>
          <w:lang w:val="es-MX" w:eastAsia="en-US"/>
        </w:rPr>
        <w:t xml:space="preserve"> y el </w:t>
      </w:r>
      <w:r w:rsidR="00360C0B" w:rsidRPr="008179FF">
        <w:rPr>
          <w:rFonts w:ascii="Arial" w:eastAsia="Calibri" w:hAnsi="Arial" w:cs="Arial"/>
          <w:bCs/>
          <w:sz w:val="22"/>
          <w:szCs w:val="22"/>
          <w:lang w:val="es-MX" w:eastAsia="en-US"/>
        </w:rPr>
        <w:t>1</w:t>
      </w:r>
      <w:r w:rsidRPr="008179FF">
        <w:rPr>
          <w:rFonts w:ascii="Arial" w:eastAsia="Calibri" w:hAnsi="Arial" w:cs="Arial"/>
          <w:bCs/>
          <w:sz w:val="22"/>
          <w:szCs w:val="22"/>
          <w:lang w:val="es-MX" w:eastAsia="en-US"/>
        </w:rPr>
        <w:t xml:space="preserve">0% deberán ser mujeres, </w:t>
      </w:r>
      <w:r w:rsidR="00360C0B" w:rsidRPr="008179FF">
        <w:rPr>
          <w:rFonts w:ascii="Arial" w:eastAsia="Calibri" w:hAnsi="Arial" w:cs="Arial"/>
          <w:bCs/>
          <w:sz w:val="22"/>
          <w:szCs w:val="22"/>
          <w:lang w:val="es-MX" w:eastAsia="en-US"/>
        </w:rPr>
        <w:t xml:space="preserve">pero se señala </w:t>
      </w:r>
      <w:r w:rsidR="00723CEE" w:rsidRPr="008179FF">
        <w:rPr>
          <w:rFonts w:ascii="Arial" w:eastAsia="Calibri" w:hAnsi="Arial" w:cs="Arial"/>
          <w:bCs/>
          <w:sz w:val="22"/>
          <w:szCs w:val="22"/>
          <w:lang w:val="es-MX" w:eastAsia="en-US"/>
        </w:rPr>
        <w:t>expresamente</w:t>
      </w:r>
      <w:r w:rsidR="00360C0B" w:rsidRPr="008179FF">
        <w:rPr>
          <w:rFonts w:ascii="Arial" w:eastAsia="Calibri" w:hAnsi="Arial" w:cs="Arial"/>
          <w:bCs/>
          <w:sz w:val="22"/>
          <w:szCs w:val="22"/>
          <w:lang w:val="es-MX" w:eastAsia="en-US"/>
        </w:rPr>
        <w:t xml:space="preserve"> que</w:t>
      </w:r>
      <w:r w:rsidR="00723CEE" w:rsidRPr="008179FF">
        <w:rPr>
          <w:rFonts w:ascii="Arial" w:eastAsia="Calibri" w:hAnsi="Arial" w:cs="Arial"/>
          <w:bCs/>
          <w:sz w:val="22"/>
          <w:szCs w:val="22"/>
          <w:lang w:val="es-MX" w:eastAsia="en-US"/>
        </w:rPr>
        <w:t xml:space="preserve"> no se podrá superar el 10 por ciento (%). </w:t>
      </w:r>
    </w:p>
    <w:p w14:paraId="685530D7" w14:textId="7A2B35E9" w:rsidR="006461D7" w:rsidRPr="008179FF" w:rsidRDefault="006461D7" w:rsidP="006461D7">
      <w:pPr>
        <w:spacing w:before="120" w:line="276" w:lineRule="auto"/>
        <w:ind w:firstLine="709"/>
        <w:jc w:val="both"/>
        <w:rPr>
          <w:rFonts w:ascii="Arial" w:eastAsia="Calibri" w:hAnsi="Arial" w:cs="Arial"/>
          <w:bCs/>
          <w:sz w:val="22"/>
          <w:szCs w:val="22"/>
          <w:lang w:val="es-MX" w:eastAsia="en-US"/>
        </w:rPr>
      </w:pPr>
      <w:r w:rsidRPr="008179FF">
        <w:rPr>
          <w:rFonts w:ascii="Arial" w:eastAsia="Calibri" w:hAnsi="Arial" w:cs="Arial"/>
          <w:bCs/>
          <w:sz w:val="22"/>
          <w:szCs w:val="22"/>
          <w:lang w:val="es-MX" w:eastAsia="en-US"/>
        </w:rPr>
        <w:t xml:space="preserve">Como se explicó anteriormente, </w:t>
      </w:r>
      <w:bookmarkStart w:id="39" w:name="_Hlk102405782"/>
      <w:r w:rsidRPr="008179FF">
        <w:rPr>
          <w:rFonts w:ascii="Arial" w:eastAsia="Calibri" w:hAnsi="Arial" w:cs="Arial"/>
          <w:bCs/>
          <w:sz w:val="22"/>
          <w:szCs w:val="22"/>
          <w:lang w:val="es-MX" w:eastAsia="en-US"/>
        </w:rPr>
        <w:t xml:space="preserve">los apartados grises entre corchete son los espacios dispuestos para que la entidad en su autonomía </w:t>
      </w:r>
      <w:r w:rsidRPr="008179FF">
        <w:rPr>
          <w:rFonts w:ascii="Arial" w:eastAsiaTheme="minorHAnsi" w:hAnsi="Arial" w:cs="Arial"/>
          <w:color w:val="000000" w:themeColor="text1"/>
          <w:sz w:val="22"/>
          <w:szCs w:val="22"/>
          <w:lang w:val="es-MX" w:eastAsia="en-US"/>
        </w:rPr>
        <w:t>determine la información que diligenciará en los documentos tipo, de acuerdo con su necesidad.</w:t>
      </w:r>
      <w:r w:rsidRPr="008179FF">
        <w:rPr>
          <w:rFonts w:ascii="Arial" w:eastAsia="Calibri" w:hAnsi="Arial" w:cs="Arial"/>
          <w:bCs/>
          <w:sz w:val="22"/>
          <w:szCs w:val="22"/>
          <w:lang w:val="es-MX" w:eastAsia="en-US"/>
        </w:rPr>
        <w:t xml:space="preserve"> No obstante, para </w:t>
      </w:r>
      <w:r w:rsidRPr="008179FF">
        <w:rPr>
          <w:rFonts w:ascii="Arial" w:eastAsia="Calibri" w:hAnsi="Arial" w:cs="Arial"/>
          <w:bCs/>
          <w:sz w:val="22"/>
          <w:szCs w:val="22"/>
          <w:lang w:val="es-MX" w:eastAsia="en-US"/>
        </w:rPr>
        <w:lastRenderedPageBreak/>
        <w:t>efectos de la obligación consagrada en la cláusula 9, esta autonomía no es absoluta, pues está supeditada a las instrucciones del Anexo</w:t>
      </w:r>
      <w:r w:rsidR="00723CEE" w:rsidRPr="008179FF">
        <w:rPr>
          <w:rFonts w:ascii="Arial" w:eastAsia="Calibri" w:hAnsi="Arial" w:cs="Arial"/>
          <w:bCs/>
          <w:sz w:val="22"/>
          <w:szCs w:val="22"/>
          <w:lang w:val="es-MX" w:eastAsia="en-US"/>
        </w:rPr>
        <w:t xml:space="preserve"> 4</w:t>
      </w:r>
      <w:r w:rsidRPr="008179FF">
        <w:rPr>
          <w:rFonts w:ascii="Arial" w:eastAsia="Calibri" w:hAnsi="Arial" w:cs="Arial"/>
          <w:bCs/>
          <w:sz w:val="22"/>
          <w:szCs w:val="22"/>
          <w:lang w:val="es-MX" w:eastAsia="en-US"/>
        </w:rPr>
        <w:t xml:space="preserve">, las cuales resultan obligatorias e inmodificables, so pena de vulnerar la regla de </w:t>
      </w:r>
      <w:r w:rsidR="00DE0A54" w:rsidRPr="008179FF">
        <w:rPr>
          <w:rFonts w:ascii="Arial" w:eastAsia="Calibri" w:hAnsi="Arial" w:cs="Arial"/>
          <w:bCs/>
          <w:sz w:val="22"/>
          <w:szCs w:val="22"/>
          <w:lang w:val="es-MX" w:eastAsia="en-US"/>
        </w:rPr>
        <w:t xml:space="preserve">la </w:t>
      </w:r>
      <w:r w:rsidRPr="008179FF">
        <w:rPr>
          <w:rFonts w:ascii="Arial" w:eastAsia="Calibri" w:hAnsi="Arial" w:cs="Arial"/>
          <w:bCs/>
          <w:sz w:val="22"/>
          <w:szCs w:val="22"/>
          <w:lang w:val="es-MX" w:eastAsia="en-US"/>
        </w:rPr>
        <w:t xml:space="preserve">inalterabilidad. </w:t>
      </w:r>
      <w:r w:rsidR="00723CEE" w:rsidRPr="008179FF">
        <w:rPr>
          <w:rFonts w:ascii="Arial" w:eastAsia="Calibri" w:hAnsi="Arial" w:cs="Arial"/>
          <w:bCs/>
          <w:sz w:val="22"/>
          <w:szCs w:val="22"/>
          <w:lang w:val="es-MX" w:eastAsia="en-US"/>
        </w:rPr>
        <w:t>Esto se reitera en el encabezado de esta obligación</w:t>
      </w:r>
      <w:r w:rsidR="00DE0A54" w:rsidRPr="008179FF">
        <w:rPr>
          <w:rFonts w:ascii="Arial" w:eastAsia="Calibri" w:hAnsi="Arial" w:cs="Arial"/>
          <w:bCs/>
          <w:sz w:val="22"/>
          <w:szCs w:val="22"/>
          <w:lang w:val="es-MX" w:eastAsia="en-US"/>
        </w:rPr>
        <w:t>,</w:t>
      </w:r>
      <w:r w:rsidR="00723CEE" w:rsidRPr="008179FF">
        <w:rPr>
          <w:rFonts w:ascii="Arial" w:eastAsia="Calibri" w:hAnsi="Arial" w:cs="Arial"/>
          <w:bCs/>
          <w:sz w:val="22"/>
          <w:szCs w:val="22"/>
          <w:lang w:val="es-MX" w:eastAsia="en-US"/>
        </w:rPr>
        <w:t xml:space="preserve"> en la que se indica que la entidad no podrá modificar los rangos de porcentajes definidos en esta Minuta.</w:t>
      </w:r>
    </w:p>
    <w:p w14:paraId="273FA862" w14:textId="3F347581" w:rsidR="006461D7" w:rsidRPr="008179FF" w:rsidRDefault="006461D7" w:rsidP="006461D7">
      <w:pPr>
        <w:spacing w:before="120" w:line="276" w:lineRule="auto"/>
        <w:ind w:firstLine="709"/>
        <w:jc w:val="both"/>
        <w:rPr>
          <w:rFonts w:ascii="Arial" w:eastAsiaTheme="minorHAnsi" w:hAnsi="Arial" w:cs="Arial"/>
          <w:sz w:val="22"/>
          <w:szCs w:val="22"/>
          <w:lang w:val="es-MX" w:eastAsia="en-US"/>
        </w:rPr>
      </w:pPr>
      <w:r w:rsidRPr="008179FF">
        <w:rPr>
          <w:rFonts w:ascii="Arial" w:eastAsiaTheme="minorHAnsi" w:hAnsi="Arial" w:cs="Arial"/>
          <w:sz w:val="22"/>
          <w:szCs w:val="22"/>
          <w:lang w:val="es-MX" w:eastAsia="en-US"/>
        </w:rPr>
        <w:t xml:space="preserve">En este contexto, es claro que la entidad estatal no </w:t>
      </w:r>
      <w:r w:rsidR="00DE0A54" w:rsidRPr="008179FF">
        <w:rPr>
          <w:rFonts w:ascii="Arial" w:eastAsiaTheme="minorHAnsi" w:hAnsi="Arial" w:cs="Arial"/>
          <w:sz w:val="22"/>
          <w:szCs w:val="22"/>
          <w:lang w:val="es-MX" w:eastAsia="en-US"/>
        </w:rPr>
        <w:t xml:space="preserve">puede </w:t>
      </w:r>
      <w:r w:rsidRPr="008179FF">
        <w:rPr>
          <w:rFonts w:ascii="Arial" w:eastAsiaTheme="minorHAnsi" w:hAnsi="Arial" w:cs="Arial"/>
          <w:sz w:val="22"/>
          <w:szCs w:val="22"/>
          <w:lang w:val="es-MX" w:eastAsia="en-US"/>
        </w:rPr>
        <w:t xml:space="preserve">establecer porcentajes del personal de mano de obra no calificada de la región por fuera de los rangos establecidos en dicho numeral. </w:t>
      </w:r>
      <w:r w:rsidR="00DE0A54" w:rsidRPr="008179FF">
        <w:rPr>
          <w:rFonts w:ascii="Arial" w:eastAsiaTheme="minorHAnsi" w:hAnsi="Arial" w:cs="Arial"/>
          <w:color w:val="000000" w:themeColor="text1"/>
          <w:sz w:val="22"/>
          <w:szCs w:val="22"/>
          <w:lang w:val="es-ES_tradnl" w:eastAsia="en-US"/>
        </w:rPr>
        <w:t>En este sentido, exigir que el</w:t>
      </w:r>
      <w:r w:rsidRPr="008179FF">
        <w:rPr>
          <w:rFonts w:ascii="Arial" w:eastAsiaTheme="minorHAnsi" w:hAnsi="Arial" w:cs="Arial"/>
          <w:color w:val="000000" w:themeColor="text1"/>
          <w:sz w:val="22"/>
          <w:szCs w:val="22"/>
          <w:lang w:val="es-ES_tradnl" w:eastAsia="en-US"/>
        </w:rPr>
        <w:t xml:space="preserve"> contratista destine</w:t>
      </w:r>
      <w:r w:rsidRPr="008179FF">
        <w:rPr>
          <w:rFonts w:ascii="Arial" w:eastAsiaTheme="minorHAnsi" w:hAnsi="Arial" w:cs="Arial"/>
          <w:color w:val="000000" w:themeColor="text1"/>
          <w:sz w:val="22"/>
          <w:szCs w:val="22"/>
          <w:lang w:eastAsia="en-US"/>
        </w:rPr>
        <w:t xml:space="preserve"> a la ejecución del contrato mano de obra no calificada de la región en un porcentaje superior al 30%</w:t>
      </w:r>
      <w:r w:rsidR="00723CEE" w:rsidRPr="008179FF">
        <w:rPr>
          <w:rFonts w:ascii="Arial" w:eastAsiaTheme="minorHAnsi" w:hAnsi="Arial" w:cs="Arial"/>
          <w:color w:val="000000" w:themeColor="text1"/>
          <w:sz w:val="22"/>
          <w:szCs w:val="22"/>
          <w:lang w:eastAsia="en-US"/>
        </w:rPr>
        <w:t xml:space="preserve"> y de mujeres en un porcentaje superior al 10 por ciento (%)</w:t>
      </w:r>
      <w:r w:rsidRPr="008179FF">
        <w:rPr>
          <w:rFonts w:ascii="Arial" w:eastAsiaTheme="minorHAnsi" w:hAnsi="Arial" w:cs="Arial"/>
          <w:color w:val="000000" w:themeColor="text1"/>
          <w:sz w:val="22"/>
          <w:szCs w:val="22"/>
          <w:lang w:eastAsia="en-US"/>
        </w:rPr>
        <w:t xml:space="preserve"> </w:t>
      </w:r>
      <w:r w:rsidR="00DE0A54" w:rsidRPr="008179FF">
        <w:rPr>
          <w:rFonts w:ascii="Arial" w:eastAsiaTheme="minorHAnsi" w:hAnsi="Arial" w:cs="Arial"/>
          <w:sz w:val="22"/>
          <w:szCs w:val="22"/>
          <w:lang w:val="es-MX" w:eastAsia="en-US"/>
        </w:rPr>
        <w:t>implicaría infringir</w:t>
      </w:r>
      <w:r w:rsidRPr="008179FF">
        <w:rPr>
          <w:rFonts w:ascii="Arial" w:eastAsiaTheme="minorHAnsi" w:hAnsi="Arial" w:cs="Arial"/>
          <w:sz w:val="22"/>
          <w:szCs w:val="22"/>
          <w:lang w:val="es-MX" w:eastAsia="en-US"/>
        </w:rPr>
        <w:t xml:space="preserve"> </w:t>
      </w:r>
      <w:r w:rsidRPr="008179FF">
        <w:rPr>
          <w:rFonts w:ascii="Arial" w:eastAsiaTheme="minorHAnsi" w:hAnsi="Arial" w:cs="Arial"/>
          <w:color w:val="000000" w:themeColor="text1"/>
          <w:sz w:val="22"/>
          <w:szCs w:val="22"/>
          <w:lang w:val="es-ES_tradnl" w:eastAsia="en-US"/>
        </w:rPr>
        <w:t xml:space="preserve">la regla de la inalterabilidad prevista en el artículo 3 de </w:t>
      </w:r>
      <w:r w:rsidR="00723CEE" w:rsidRPr="008179FF">
        <w:rPr>
          <w:rFonts w:ascii="Arial" w:eastAsiaTheme="minorHAnsi" w:hAnsi="Arial" w:cs="Arial"/>
          <w:color w:val="000000" w:themeColor="text1"/>
          <w:sz w:val="22"/>
          <w:szCs w:val="22"/>
          <w:lang w:val="es-ES_tradnl" w:eastAsia="en-US"/>
        </w:rPr>
        <w:t xml:space="preserve">las Resoluciones 219 y 220 de 2021. </w:t>
      </w:r>
    </w:p>
    <w:p w14:paraId="502B903E" w14:textId="5D65F53F" w:rsidR="006461D7" w:rsidRPr="008179FF" w:rsidRDefault="006461D7" w:rsidP="006461D7">
      <w:pPr>
        <w:spacing w:before="120" w:line="276" w:lineRule="auto"/>
        <w:ind w:firstLine="709"/>
        <w:jc w:val="both"/>
        <w:rPr>
          <w:rFonts w:ascii="Arial" w:eastAsiaTheme="minorHAnsi" w:hAnsi="Arial" w:cs="Arial"/>
          <w:color w:val="000000" w:themeColor="text1"/>
          <w:sz w:val="22"/>
          <w:szCs w:val="22"/>
          <w:lang w:val="es-MX" w:eastAsia="en-US"/>
        </w:rPr>
      </w:pPr>
      <w:r w:rsidRPr="008179FF">
        <w:rPr>
          <w:rFonts w:ascii="Arial" w:eastAsiaTheme="minorHAnsi" w:hAnsi="Arial" w:cs="Arial"/>
          <w:color w:val="000000" w:themeColor="text1"/>
          <w:sz w:val="22"/>
          <w:szCs w:val="22"/>
          <w:lang w:val="es-MX" w:eastAsia="en-US"/>
        </w:rPr>
        <w:t xml:space="preserve">En este sentido, los parámetros establecidos en relación con los porcentajes del personal de mano de obra no calificada de la región, consagrados en </w:t>
      </w:r>
      <w:r w:rsidR="00D163A7" w:rsidRPr="008179FF">
        <w:rPr>
          <w:rFonts w:ascii="Arial" w:eastAsiaTheme="minorHAnsi" w:hAnsi="Arial" w:cs="Arial"/>
          <w:color w:val="000000" w:themeColor="text1"/>
          <w:sz w:val="22"/>
          <w:szCs w:val="22"/>
          <w:lang w:val="es-MX" w:eastAsia="en-US"/>
        </w:rPr>
        <w:t xml:space="preserve">la opción A de </w:t>
      </w:r>
      <w:r w:rsidRPr="008179FF">
        <w:rPr>
          <w:rFonts w:ascii="Arial" w:eastAsiaTheme="minorHAnsi" w:hAnsi="Arial" w:cs="Arial"/>
          <w:color w:val="000000" w:themeColor="text1"/>
          <w:sz w:val="22"/>
          <w:szCs w:val="22"/>
          <w:lang w:val="es-MX" w:eastAsia="en-US"/>
        </w:rPr>
        <w:t xml:space="preserve">cláusula 9 del Anexo </w:t>
      </w:r>
      <w:r w:rsidR="00F10D44" w:rsidRPr="008179FF">
        <w:rPr>
          <w:rFonts w:ascii="Arial" w:eastAsiaTheme="minorHAnsi" w:hAnsi="Arial" w:cs="Arial"/>
          <w:color w:val="000000" w:themeColor="text1"/>
          <w:sz w:val="22"/>
          <w:szCs w:val="22"/>
          <w:lang w:val="es-MX" w:eastAsia="en-US"/>
        </w:rPr>
        <w:t>4</w:t>
      </w:r>
      <w:r w:rsidRPr="008179FF">
        <w:rPr>
          <w:rFonts w:ascii="Arial" w:eastAsiaTheme="minorHAnsi" w:hAnsi="Arial" w:cs="Arial"/>
          <w:color w:val="000000" w:themeColor="text1"/>
          <w:sz w:val="22"/>
          <w:szCs w:val="22"/>
          <w:lang w:val="es-MX" w:eastAsia="en-US"/>
        </w:rPr>
        <w:t xml:space="preserve">, son inmodificables por las entidades estatales y de obligatorio cumplimiento por parte del contratista. </w:t>
      </w:r>
    </w:p>
    <w:p w14:paraId="5317D2D7" w14:textId="4A4A93D1" w:rsidR="00F10D44" w:rsidRPr="008179FF" w:rsidRDefault="00F10D44" w:rsidP="00C24A76">
      <w:pPr>
        <w:spacing w:before="120" w:line="276" w:lineRule="auto"/>
        <w:ind w:firstLine="709"/>
        <w:jc w:val="both"/>
        <w:rPr>
          <w:rFonts w:ascii="Arial" w:eastAsia="Calibri" w:hAnsi="Arial" w:cs="Arial"/>
          <w:bCs/>
          <w:sz w:val="22"/>
          <w:szCs w:val="22"/>
          <w:lang w:eastAsia="en-US"/>
        </w:rPr>
      </w:pPr>
      <w:r w:rsidRPr="008179FF">
        <w:rPr>
          <w:rFonts w:ascii="Arial" w:eastAsia="Calibri" w:hAnsi="Arial" w:cs="Arial"/>
          <w:bCs/>
          <w:sz w:val="22"/>
          <w:szCs w:val="22"/>
          <w:lang w:val="es-MX" w:eastAsia="en-US"/>
        </w:rPr>
        <w:t>A</w:t>
      </w:r>
      <w:r w:rsidR="00D163A7" w:rsidRPr="008179FF">
        <w:rPr>
          <w:rFonts w:ascii="Arial" w:eastAsia="Calibri" w:hAnsi="Arial" w:cs="Arial"/>
          <w:bCs/>
          <w:sz w:val="22"/>
          <w:szCs w:val="22"/>
          <w:lang w:val="es-MX" w:eastAsia="en-US"/>
        </w:rPr>
        <w:t>l respecto</w:t>
      </w:r>
      <w:r w:rsidRPr="008179FF">
        <w:rPr>
          <w:rFonts w:ascii="Arial" w:eastAsia="Calibri" w:hAnsi="Arial" w:cs="Arial"/>
          <w:bCs/>
          <w:sz w:val="22"/>
          <w:szCs w:val="22"/>
          <w:lang w:val="es-MX" w:eastAsia="en-US"/>
        </w:rPr>
        <w:t>, es importante indicar</w:t>
      </w:r>
      <w:r w:rsidR="00505954" w:rsidRPr="008179FF">
        <w:rPr>
          <w:rFonts w:ascii="Arial" w:eastAsia="Calibri" w:hAnsi="Arial" w:cs="Arial"/>
          <w:bCs/>
          <w:sz w:val="22"/>
          <w:szCs w:val="22"/>
          <w:lang w:val="es-MX" w:eastAsia="en-US"/>
        </w:rPr>
        <w:t xml:space="preserve"> que</w:t>
      </w:r>
      <w:r w:rsidRPr="008179FF">
        <w:rPr>
          <w:rFonts w:ascii="Arial" w:eastAsia="Calibri" w:hAnsi="Arial" w:cs="Arial"/>
          <w:bCs/>
          <w:sz w:val="22"/>
          <w:szCs w:val="22"/>
          <w:lang w:val="es-MX" w:eastAsia="en-US"/>
        </w:rPr>
        <w:t xml:space="preserve"> </w:t>
      </w:r>
      <w:r w:rsidR="00D163A7" w:rsidRPr="008179FF">
        <w:rPr>
          <w:rFonts w:ascii="Arial" w:eastAsia="Calibri" w:hAnsi="Arial" w:cs="Arial"/>
          <w:bCs/>
          <w:sz w:val="22"/>
          <w:szCs w:val="22"/>
          <w:lang w:eastAsia="en-US"/>
        </w:rPr>
        <w:t>en los documentos tipo se estandarizan unas condiciones aplicables a todas las entidades sometidas al EGCAP que deben implementar estos documentos</w:t>
      </w:r>
      <w:r w:rsidR="00C24A76" w:rsidRPr="008179FF">
        <w:rPr>
          <w:rFonts w:ascii="Arial" w:eastAsia="Calibri" w:hAnsi="Arial" w:cs="Arial"/>
          <w:bCs/>
          <w:sz w:val="22"/>
          <w:szCs w:val="22"/>
          <w:lang w:eastAsia="en-US"/>
        </w:rPr>
        <w:t xml:space="preserve">, por lo que </w:t>
      </w:r>
      <w:r w:rsidR="006465FE" w:rsidRPr="008179FF">
        <w:rPr>
          <w:rFonts w:ascii="Arial" w:eastAsia="Calibri" w:hAnsi="Arial" w:cs="Arial"/>
          <w:bCs/>
          <w:sz w:val="22"/>
          <w:szCs w:val="22"/>
          <w:lang w:eastAsia="en-US"/>
        </w:rPr>
        <w:t>las instrucciones y los porcentaje</w:t>
      </w:r>
      <w:r w:rsidR="00C24A76" w:rsidRPr="008179FF">
        <w:rPr>
          <w:rFonts w:ascii="Arial" w:eastAsia="Calibri" w:hAnsi="Arial" w:cs="Arial"/>
          <w:bCs/>
          <w:sz w:val="22"/>
          <w:szCs w:val="22"/>
          <w:lang w:eastAsia="en-US"/>
        </w:rPr>
        <w:t>s</w:t>
      </w:r>
      <w:r w:rsidR="006465FE" w:rsidRPr="008179FF">
        <w:rPr>
          <w:rFonts w:ascii="Arial" w:eastAsia="Calibri" w:hAnsi="Arial" w:cs="Arial"/>
          <w:bCs/>
          <w:sz w:val="22"/>
          <w:szCs w:val="22"/>
          <w:lang w:eastAsia="en-US"/>
        </w:rPr>
        <w:t xml:space="preserve"> señalados se tornan obligatorios para todas las entidades</w:t>
      </w:r>
      <w:r w:rsidR="00C24A76" w:rsidRPr="008179FF">
        <w:rPr>
          <w:rFonts w:ascii="Arial" w:eastAsia="Calibri" w:hAnsi="Arial" w:cs="Arial"/>
          <w:bCs/>
          <w:sz w:val="22"/>
          <w:szCs w:val="22"/>
          <w:lang w:eastAsia="en-US"/>
        </w:rPr>
        <w:t xml:space="preserve">. </w:t>
      </w:r>
      <w:r w:rsidR="0027314E" w:rsidRPr="008179FF">
        <w:rPr>
          <w:rFonts w:ascii="Arial" w:eastAsia="Calibri" w:hAnsi="Arial" w:cs="Arial"/>
          <w:bCs/>
          <w:sz w:val="22"/>
          <w:szCs w:val="22"/>
          <w:lang w:eastAsia="en-US"/>
        </w:rPr>
        <w:t>P</w:t>
      </w:r>
      <w:r w:rsidR="00C24A76" w:rsidRPr="008179FF">
        <w:rPr>
          <w:rFonts w:ascii="Arial" w:eastAsia="Calibri" w:hAnsi="Arial" w:cs="Arial"/>
          <w:bCs/>
          <w:sz w:val="22"/>
          <w:szCs w:val="22"/>
          <w:lang w:eastAsia="en-US"/>
        </w:rPr>
        <w:t>or tanto</w:t>
      </w:r>
      <w:r w:rsidR="0027314E" w:rsidRPr="008179FF">
        <w:rPr>
          <w:rFonts w:ascii="Arial" w:eastAsia="Calibri" w:hAnsi="Arial" w:cs="Arial"/>
          <w:bCs/>
          <w:sz w:val="22"/>
          <w:szCs w:val="22"/>
          <w:lang w:eastAsia="en-US"/>
        </w:rPr>
        <w:t>,</w:t>
      </w:r>
      <w:r w:rsidR="00C24A76" w:rsidRPr="008179FF">
        <w:rPr>
          <w:rFonts w:ascii="Arial" w:eastAsia="Calibri" w:hAnsi="Arial" w:cs="Arial"/>
          <w:bCs/>
          <w:sz w:val="22"/>
          <w:szCs w:val="22"/>
          <w:lang w:eastAsia="en-US"/>
        </w:rPr>
        <w:t xml:space="preserve"> el análisis </w:t>
      </w:r>
      <w:r w:rsidR="00C24A76" w:rsidRPr="008179FF">
        <w:rPr>
          <w:rFonts w:ascii="Arial" w:hAnsi="Arial" w:cs="Arial"/>
          <w:sz w:val="22"/>
          <w:lang w:val="es-MX"/>
        </w:rPr>
        <w:t xml:space="preserve">propio del proyecto a ejecutar y de las condiciones propias de la región que realice cada entidad para efectos de aplicar la opción A de la cláusula 9, </w:t>
      </w:r>
      <w:r w:rsidRPr="008179FF">
        <w:rPr>
          <w:rFonts w:ascii="Arial" w:eastAsia="Calibri" w:hAnsi="Arial" w:cs="Arial"/>
          <w:bCs/>
          <w:sz w:val="22"/>
          <w:szCs w:val="22"/>
          <w:lang w:val="es-MX" w:eastAsia="en-US"/>
        </w:rPr>
        <w:t xml:space="preserve">deberán armonizarse con los rangos señalados en los </w:t>
      </w:r>
      <w:r w:rsidR="00D163A7" w:rsidRPr="008179FF">
        <w:rPr>
          <w:rFonts w:ascii="Arial" w:eastAsia="Calibri" w:hAnsi="Arial" w:cs="Arial"/>
          <w:bCs/>
          <w:sz w:val="22"/>
          <w:szCs w:val="22"/>
          <w:lang w:val="es-MX" w:eastAsia="en-US"/>
        </w:rPr>
        <w:t>documentos tipo,</w:t>
      </w:r>
      <w:r w:rsidRPr="008179FF">
        <w:rPr>
          <w:rFonts w:ascii="Arial" w:eastAsia="Calibri" w:hAnsi="Arial" w:cs="Arial"/>
          <w:bCs/>
          <w:sz w:val="22"/>
          <w:szCs w:val="22"/>
          <w:lang w:val="es-MX" w:eastAsia="en-US"/>
        </w:rPr>
        <w:t xml:space="preserve"> de manera </w:t>
      </w:r>
      <w:r w:rsidR="0027314E" w:rsidRPr="008179FF">
        <w:rPr>
          <w:rFonts w:ascii="Arial" w:eastAsia="Calibri" w:hAnsi="Arial" w:cs="Arial"/>
          <w:bCs/>
          <w:sz w:val="22"/>
          <w:szCs w:val="22"/>
          <w:lang w:val="es-MX" w:eastAsia="en-US"/>
        </w:rPr>
        <w:t>que</w:t>
      </w:r>
      <w:r w:rsidRPr="008179FF">
        <w:rPr>
          <w:rFonts w:ascii="Arial" w:eastAsia="Calibri" w:hAnsi="Arial" w:cs="Arial"/>
          <w:bCs/>
          <w:sz w:val="22"/>
          <w:szCs w:val="22"/>
          <w:lang w:val="es-MX" w:eastAsia="en-US"/>
        </w:rPr>
        <w:t xml:space="preserve"> si el resultado del estudio arroja un porcentaje mayor al límite establecido, la entidad fijará el tope máximo determinado en la cláusula</w:t>
      </w:r>
      <w:r w:rsidR="00B854EB" w:rsidRPr="008179FF">
        <w:rPr>
          <w:rFonts w:ascii="Arial" w:eastAsia="Calibri" w:hAnsi="Arial" w:cs="Arial"/>
          <w:bCs/>
          <w:sz w:val="22"/>
          <w:szCs w:val="22"/>
          <w:lang w:val="es-MX" w:eastAsia="en-US"/>
        </w:rPr>
        <w:t>, sin poder</w:t>
      </w:r>
      <w:r w:rsidR="0027314E" w:rsidRPr="008179FF">
        <w:rPr>
          <w:rFonts w:ascii="Arial" w:eastAsia="Calibri" w:hAnsi="Arial" w:cs="Arial"/>
          <w:bCs/>
          <w:sz w:val="22"/>
          <w:szCs w:val="22"/>
          <w:lang w:val="es-MX" w:eastAsia="en-US"/>
        </w:rPr>
        <w:t xml:space="preserve"> establecer un rango superior.</w:t>
      </w:r>
    </w:p>
    <w:p w14:paraId="604BB2D1" w14:textId="4B6E8106" w:rsidR="00F10D44" w:rsidRPr="008179FF" w:rsidRDefault="00F10D44" w:rsidP="00F10D44">
      <w:pPr>
        <w:spacing w:before="120" w:line="276" w:lineRule="auto"/>
        <w:ind w:firstLine="709"/>
        <w:jc w:val="both"/>
        <w:rPr>
          <w:rFonts w:ascii="Arial" w:eastAsiaTheme="minorHAnsi" w:hAnsi="Arial" w:cs="Arial"/>
          <w:color w:val="000000" w:themeColor="text1"/>
          <w:sz w:val="22"/>
          <w:szCs w:val="22"/>
          <w:lang w:val="es-MX" w:eastAsia="en-US"/>
        </w:rPr>
      </w:pPr>
      <w:r w:rsidRPr="008179FF">
        <w:rPr>
          <w:rFonts w:ascii="Arial" w:eastAsia="Calibri" w:hAnsi="Arial" w:cs="Arial"/>
          <w:bCs/>
          <w:sz w:val="22"/>
          <w:szCs w:val="22"/>
          <w:lang w:val="es-ES_tradnl" w:eastAsia="en-US"/>
        </w:rPr>
        <w:t xml:space="preserve">En este contexto, las entidades estatales sometidas al EGCAP deberán atender el contenido de </w:t>
      </w:r>
      <w:r w:rsidRPr="008179FF">
        <w:rPr>
          <w:rFonts w:ascii="Arial" w:eastAsia="Calibri" w:hAnsi="Arial" w:cs="Arial"/>
          <w:bCs/>
          <w:sz w:val="22"/>
          <w:szCs w:val="22"/>
          <w:lang w:eastAsia="en-US"/>
        </w:rPr>
        <w:t xml:space="preserve">los documentos tipo en los procesos de contratación que aplique, cumpliendo en todo caso las instrucciones allí señaladas, so pena de vulnerar la regla de </w:t>
      </w:r>
      <w:r w:rsidR="00B854EB" w:rsidRPr="008179FF">
        <w:rPr>
          <w:rFonts w:ascii="Arial" w:eastAsia="Calibri" w:hAnsi="Arial" w:cs="Arial"/>
          <w:bCs/>
          <w:sz w:val="22"/>
          <w:szCs w:val="22"/>
          <w:lang w:eastAsia="en-US"/>
        </w:rPr>
        <w:t xml:space="preserve">la </w:t>
      </w:r>
      <w:r w:rsidRPr="008179FF">
        <w:rPr>
          <w:rFonts w:ascii="Arial" w:eastAsia="Calibri" w:hAnsi="Arial" w:cs="Arial"/>
          <w:bCs/>
          <w:sz w:val="22"/>
          <w:szCs w:val="22"/>
          <w:lang w:eastAsia="en-US"/>
        </w:rPr>
        <w:t>inalterabilidad. Debe reiterarse que conforme lo dispone el artículo 4 de la Ley 2022 de 2020 los documentos tipo son de obligatorio cumplimiento para todas las entidades sometidas al EGCAP. En los demás casos, es decir, en aquello procesos en los que no apliquen los documentos tipo, las entidades deberán aplicar las normas que rigen la materia, así como las disposiciones expedidas sobre aspectos particulares que resulten pertinentes</w:t>
      </w:r>
      <w:r w:rsidR="0027314E" w:rsidRPr="008179FF">
        <w:rPr>
          <w:rFonts w:ascii="Arial" w:eastAsia="Calibri" w:hAnsi="Arial" w:cs="Arial"/>
          <w:bCs/>
          <w:sz w:val="22"/>
          <w:szCs w:val="22"/>
          <w:lang w:eastAsia="en-US"/>
        </w:rPr>
        <w:t xml:space="preserve">. </w:t>
      </w:r>
    </w:p>
    <w:bookmarkEnd w:id="39"/>
    <w:p w14:paraId="3DCD4BD6" w14:textId="6C244593" w:rsidR="003F3CC8" w:rsidRPr="00B7032A" w:rsidRDefault="006461D7" w:rsidP="003F3CC8">
      <w:pPr>
        <w:spacing w:before="120" w:line="276" w:lineRule="auto"/>
        <w:jc w:val="both"/>
        <w:rPr>
          <w:rFonts w:ascii="Arial" w:eastAsia="Calibri" w:hAnsi="Arial" w:cs="Arial"/>
          <w:bCs/>
          <w:sz w:val="22"/>
          <w:szCs w:val="22"/>
          <w:lang w:val="es-MX" w:eastAsia="en-US"/>
        </w:rPr>
      </w:pPr>
      <w:r w:rsidRPr="008179FF">
        <w:rPr>
          <w:rFonts w:ascii="Arial" w:eastAsiaTheme="minorHAnsi" w:hAnsi="Arial" w:cs="Arial"/>
          <w:sz w:val="22"/>
          <w:szCs w:val="22"/>
          <w:lang w:val="es-MX" w:eastAsia="en-US"/>
        </w:rPr>
        <w:tab/>
        <w:t xml:space="preserve">En definitiva, el Anexo </w:t>
      </w:r>
      <w:r w:rsidR="00F10D44" w:rsidRPr="008179FF">
        <w:rPr>
          <w:rFonts w:ascii="Arial" w:eastAsiaTheme="minorHAnsi" w:hAnsi="Arial" w:cs="Arial"/>
          <w:sz w:val="22"/>
          <w:szCs w:val="22"/>
          <w:lang w:val="es-MX" w:eastAsia="en-US"/>
        </w:rPr>
        <w:t>4</w:t>
      </w:r>
      <w:r w:rsidRPr="008179FF">
        <w:rPr>
          <w:rFonts w:ascii="Arial" w:eastAsiaTheme="minorHAnsi" w:hAnsi="Arial" w:cs="Arial"/>
          <w:sz w:val="22"/>
          <w:szCs w:val="22"/>
          <w:lang w:val="es-MX" w:eastAsia="en-US"/>
        </w:rPr>
        <w:t xml:space="preserve"> al hacer parte de los listados de documentos tipo adoptados mediante Resoluciones</w:t>
      </w:r>
      <w:r w:rsidR="00F10D44" w:rsidRPr="008179FF">
        <w:rPr>
          <w:rFonts w:ascii="Arial" w:eastAsiaTheme="minorHAnsi" w:hAnsi="Arial" w:cs="Arial"/>
          <w:sz w:val="22"/>
          <w:szCs w:val="22"/>
          <w:lang w:val="es-MX" w:eastAsia="en-US"/>
        </w:rPr>
        <w:t xml:space="preserve"> 219</w:t>
      </w:r>
      <w:r w:rsidRPr="008179FF">
        <w:rPr>
          <w:rFonts w:ascii="Arial" w:eastAsiaTheme="minorHAnsi" w:hAnsi="Arial" w:cs="Arial"/>
          <w:sz w:val="22"/>
          <w:szCs w:val="22"/>
          <w:lang w:val="es-MX" w:eastAsia="en-US"/>
        </w:rPr>
        <w:t xml:space="preserve"> y 2</w:t>
      </w:r>
      <w:r w:rsidR="00F10D44" w:rsidRPr="008179FF">
        <w:rPr>
          <w:rFonts w:ascii="Arial" w:eastAsiaTheme="minorHAnsi" w:hAnsi="Arial" w:cs="Arial"/>
          <w:sz w:val="22"/>
          <w:szCs w:val="22"/>
          <w:lang w:val="es-MX" w:eastAsia="en-US"/>
        </w:rPr>
        <w:t>20</w:t>
      </w:r>
      <w:r w:rsidRPr="008179FF">
        <w:rPr>
          <w:rFonts w:ascii="Arial" w:eastAsiaTheme="minorHAnsi" w:hAnsi="Arial" w:cs="Arial"/>
          <w:sz w:val="22"/>
          <w:szCs w:val="22"/>
          <w:lang w:val="es-MX" w:eastAsia="en-US"/>
        </w:rPr>
        <w:t xml:space="preserve"> de 2020, </w:t>
      </w:r>
      <w:r w:rsidRPr="008179FF">
        <w:rPr>
          <w:rFonts w:ascii="Arial" w:eastAsia="Calibri" w:hAnsi="Arial" w:cs="Arial"/>
          <w:bCs/>
          <w:sz w:val="22"/>
          <w:szCs w:val="22"/>
          <w:lang w:val="es-MX" w:eastAsia="en-US"/>
        </w:rPr>
        <w:t xml:space="preserve">es de obligatoria aplicación por las entidades regidas por el EGCAP que adelanten procesos de selección de </w:t>
      </w:r>
      <w:r w:rsidR="00F10D44" w:rsidRPr="008179FF">
        <w:rPr>
          <w:rFonts w:ascii="Arial" w:eastAsia="Calibri" w:hAnsi="Arial" w:cs="Arial"/>
          <w:bCs/>
          <w:sz w:val="22"/>
          <w:szCs w:val="22"/>
          <w:lang w:val="es-MX" w:eastAsia="en-US"/>
        </w:rPr>
        <w:t xml:space="preserve">infraestructura social. </w:t>
      </w:r>
      <w:r w:rsidRPr="008179FF">
        <w:rPr>
          <w:rFonts w:ascii="Arial" w:eastAsia="Calibri" w:hAnsi="Arial" w:cs="Arial"/>
          <w:bCs/>
          <w:sz w:val="22"/>
          <w:szCs w:val="22"/>
          <w:lang w:val="es-MX" w:eastAsia="en-US"/>
        </w:rPr>
        <w:t xml:space="preserve">Estas entidades están facultadas para modificar el contenido del Anexo </w:t>
      </w:r>
      <w:r w:rsidR="00F10D44" w:rsidRPr="008179FF">
        <w:rPr>
          <w:rFonts w:ascii="Arial" w:eastAsia="Calibri" w:hAnsi="Arial" w:cs="Arial"/>
          <w:bCs/>
          <w:sz w:val="22"/>
          <w:szCs w:val="22"/>
          <w:lang w:val="es-MX" w:eastAsia="en-US"/>
        </w:rPr>
        <w:t>4</w:t>
      </w:r>
      <w:r w:rsidRPr="008179FF">
        <w:rPr>
          <w:rFonts w:ascii="Arial" w:eastAsia="Calibri" w:hAnsi="Arial" w:cs="Arial"/>
          <w:bCs/>
          <w:sz w:val="22"/>
          <w:szCs w:val="22"/>
          <w:lang w:val="es-MX" w:eastAsia="en-US"/>
        </w:rPr>
        <w:t xml:space="preserve"> en los aspectos previstos para ello, esto es, </w:t>
      </w:r>
      <w:r w:rsidR="00B854EB" w:rsidRPr="008179FF">
        <w:rPr>
          <w:rFonts w:ascii="Arial" w:eastAsia="Calibri" w:hAnsi="Arial" w:cs="Arial"/>
          <w:bCs/>
          <w:sz w:val="22"/>
          <w:szCs w:val="22"/>
          <w:lang w:val="es-MX" w:eastAsia="en-US"/>
        </w:rPr>
        <w:t xml:space="preserve">en </w:t>
      </w:r>
      <w:r w:rsidRPr="008179FF">
        <w:rPr>
          <w:rFonts w:ascii="Arial" w:eastAsia="Calibri" w:hAnsi="Arial" w:cs="Arial"/>
          <w:bCs/>
          <w:sz w:val="22"/>
          <w:szCs w:val="22"/>
          <w:lang w:val="es-MX" w:eastAsia="en-US"/>
        </w:rPr>
        <w:t>los apartados grises entre corchetes de acuerdo con las instrucciones allí consignadas. Por tal razón, para efectos de la cláusula 9</w:t>
      </w:r>
      <w:r w:rsidR="00F10D44" w:rsidRPr="008179FF">
        <w:rPr>
          <w:rFonts w:ascii="Arial" w:eastAsia="Calibri" w:hAnsi="Arial" w:cs="Arial"/>
          <w:bCs/>
          <w:sz w:val="22"/>
          <w:szCs w:val="22"/>
          <w:lang w:val="es-MX" w:eastAsia="en-US"/>
        </w:rPr>
        <w:t xml:space="preserve"> </w:t>
      </w:r>
      <w:r w:rsidRPr="008179FF">
        <w:rPr>
          <w:rFonts w:ascii="Arial" w:eastAsia="Calibri" w:hAnsi="Arial" w:cs="Arial"/>
          <w:bCs/>
          <w:sz w:val="22"/>
          <w:szCs w:val="22"/>
          <w:lang w:val="es-MX" w:eastAsia="en-US"/>
        </w:rPr>
        <w:t xml:space="preserve">del Anexo </w:t>
      </w:r>
      <w:r w:rsidR="00F10D44" w:rsidRPr="008179FF">
        <w:rPr>
          <w:rFonts w:ascii="Arial" w:eastAsia="Calibri" w:hAnsi="Arial" w:cs="Arial"/>
          <w:bCs/>
          <w:sz w:val="22"/>
          <w:szCs w:val="22"/>
          <w:lang w:val="es-MX" w:eastAsia="en-US"/>
        </w:rPr>
        <w:t>4</w:t>
      </w:r>
      <w:r w:rsidRPr="008179FF">
        <w:rPr>
          <w:rFonts w:ascii="Arial" w:eastAsia="Calibri" w:hAnsi="Arial" w:cs="Arial"/>
          <w:bCs/>
          <w:sz w:val="22"/>
          <w:szCs w:val="22"/>
          <w:lang w:val="es-MX" w:eastAsia="en-US"/>
        </w:rPr>
        <w:t xml:space="preserve">, la </w:t>
      </w:r>
      <w:r w:rsidRPr="008179FF">
        <w:rPr>
          <w:rFonts w:ascii="Arial" w:eastAsia="Calibri" w:hAnsi="Arial" w:cs="Arial"/>
          <w:bCs/>
          <w:sz w:val="22"/>
          <w:szCs w:val="22"/>
          <w:lang w:val="es-MX" w:eastAsia="en-US"/>
        </w:rPr>
        <w:lastRenderedPageBreak/>
        <w:t>entidad únicamente está facultada para determinar los porcentajes de mano de obra no calificada de la región de acuerdo con los rangos expresamente contemplados, de manera que la inclusión de porcentajes diferentes vulneraría la regla de inalterabilidad de los documentos tipo.</w:t>
      </w:r>
      <w:r w:rsidRPr="00B7032A">
        <w:rPr>
          <w:rFonts w:ascii="Arial" w:eastAsia="Calibri" w:hAnsi="Arial" w:cs="Arial"/>
          <w:bCs/>
          <w:sz w:val="22"/>
          <w:szCs w:val="22"/>
          <w:lang w:val="es-MX" w:eastAsia="en-US"/>
        </w:rPr>
        <w:t xml:space="preserve"> </w:t>
      </w:r>
    </w:p>
    <w:p w14:paraId="22128544" w14:textId="77777777" w:rsidR="00A83E1C" w:rsidRPr="00B7032A" w:rsidRDefault="00A83E1C" w:rsidP="00A83E1C">
      <w:pPr>
        <w:pStyle w:val="paragraph"/>
        <w:spacing w:before="0" w:beforeAutospacing="0" w:after="0" w:afterAutospacing="0"/>
        <w:jc w:val="both"/>
        <w:textAlignment w:val="baseline"/>
        <w:rPr>
          <w:rFonts w:ascii="Arial" w:hAnsi="Arial" w:cs="Arial"/>
          <w:b/>
          <w:sz w:val="22"/>
        </w:rPr>
      </w:pPr>
    </w:p>
    <w:p w14:paraId="1EF79CD7" w14:textId="75C0E24A" w:rsidR="00A83E1C" w:rsidRPr="00B7032A" w:rsidRDefault="00A83E1C" w:rsidP="00A83E1C">
      <w:pPr>
        <w:pStyle w:val="paragraph"/>
        <w:spacing w:before="0" w:beforeAutospacing="0" w:after="0" w:afterAutospacing="0"/>
        <w:jc w:val="both"/>
        <w:textAlignment w:val="baseline"/>
        <w:rPr>
          <w:rFonts w:ascii="Arial" w:hAnsi="Arial" w:cs="Arial"/>
          <w:sz w:val="18"/>
          <w:szCs w:val="18"/>
        </w:rPr>
      </w:pPr>
      <w:r w:rsidRPr="00B7032A">
        <w:rPr>
          <w:rFonts w:ascii="Arial" w:hAnsi="Arial" w:cs="Arial"/>
          <w:b/>
          <w:sz w:val="22"/>
        </w:rPr>
        <w:t>2.</w:t>
      </w:r>
      <w:r w:rsidR="00094959" w:rsidRPr="00B7032A">
        <w:rPr>
          <w:rFonts w:ascii="Arial" w:hAnsi="Arial" w:cs="Arial"/>
          <w:b/>
          <w:sz w:val="22"/>
        </w:rPr>
        <w:t>9</w:t>
      </w:r>
      <w:r w:rsidRPr="00B7032A">
        <w:rPr>
          <w:rFonts w:ascii="Arial" w:hAnsi="Arial" w:cs="Arial"/>
          <w:b/>
          <w:sz w:val="22"/>
        </w:rPr>
        <w:t xml:space="preserve"> Renovación del Registro Único de Proponentes – RUP y sus efectos durante la verificación de la información </w:t>
      </w:r>
    </w:p>
    <w:p w14:paraId="1C48B6E7" w14:textId="77777777" w:rsidR="00A83E1C" w:rsidRPr="00B7032A" w:rsidRDefault="00A83E1C" w:rsidP="00A83E1C">
      <w:pPr>
        <w:pStyle w:val="paragraph"/>
        <w:spacing w:before="0" w:beforeAutospacing="0" w:after="0" w:afterAutospacing="0"/>
        <w:jc w:val="both"/>
        <w:textAlignment w:val="baseline"/>
        <w:rPr>
          <w:rFonts w:ascii="Arial" w:hAnsi="Arial" w:cs="Arial"/>
          <w:sz w:val="18"/>
          <w:szCs w:val="18"/>
        </w:rPr>
      </w:pPr>
    </w:p>
    <w:p w14:paraId="2C9D8ABE" w14:textId="77777777" w:rsidR="00A83E1C" w:rsidRPr="00B7032A" w:rsidRDefault="00A83E1C" w:rsidP="00A83E1C">
      <w:pPr>
        <w:spacing w:after="120" w:line="276" w:lineRule="auto"/>
        <w:jc w:val="both"/>
        <w:rPr>
          <w:rFonts w:ascii="Arial" w:hAnsi="Arial" w:cs="Arial"/>
          <w:sz w:val="22"/>
        </w:rPr>
      </w:pPr>
      <w:r w:rsidRPr="00B7032A">
        <w:rPr>
          <w:rFonts w:ascii="Arial" w:hAnsi="Arial" w:cs="Arial"/>
          <w:sz w:val="22"/>
        </w:rPr>
        <w:t xml:space="preserve">Las cámaras de comercio, de acuerdo con el numeral 6.1 del artículo 6 de la Ley 1150 de 2007 y con el artículo 2.2.1.1.1.5.3. del Decreto 1082 de 2015, verificarán y certificarán los requisitos habilitantes de experiencia, capacidad jurídica, capacidad financiera y de organización. De acuerdo con lo establecido en el numeral 6.3 del artículo 6 de la Ley 1150 de 2007, la cámara de comercio, verificada la información aportada por el proponente, publicará el acto de inscripción del Registro Único de Proponentes, contra el que cualquier persona podrá interponer recurso de reposición dentro de los diez –10– días hábiles siguientes contados a partir de su publicación –posibilidad aplicable frente a la </w:t>
      </w:r>
      <w:r w:rsidRPr="00B7032A">
        <w:rPr>
          <w:rFonts w:ascii="Arial" w:hAnsi="Arial" w:cs="Arial"/>
          <w:i/>
          <w:iCs/>
          <w:sz w:val="22"/>
        </w:rPr>
        <w:t>inscripción, renovación o actualización–</w:t>
      </w:r>
      <w:r w:rsidRPr="00B7032A">
        <w:rPr>
          <w:rStyle w:val="Refdenotaalpie"/>
          <w:rFonts w:ascii="Arial" w:hAnsi="Arial" w:cs="Arial"/>
          <w:sz w:val="22"/>
        </w:rPr>
        <w:footnoteReference w:id="29"/>
      </w:r>
      <w:r w:rsidRPr="00B7032A">
        <w:rPr>
          <w:rFonts w:ascii="Arial" w:hAnsi="Arial" w:cs="Arial"/>
          <w:sz w:val="22"/>
        </w:rPr>
        <w:t xml:space="preserve">. En firme el acto administrativo que realiza la inscripción en </w:t>
      </w:r>
      <w:r w:rsidRPr="00B7032A">
        <w:rPr>
          <w:rFonts w:ascii="Arial" w:hAnsi="Arial" w:cs="Arial"/>
          <w:sz w:val="22"/>
        </w:rPr>
        <w:lastRenderedPageBreak/>
        <w:t>el Registro Único de Proponentes se podrá demandar su nulidad sin que la presentación de la demanda suspenda la inscripción del RUP.</w:t>
      </w:r>
    </w:p>
    <w:p w14:paraId="32E07829" w14:textId="77777777" w:rsidR="00A83E1C" w:rsidRPr="00B7032A" w:rsidRDefault="00A83E1C" w:rsidP="00A83E1C">
      <w:pPr>
        <w:spacing w:line="276" w:lineRule="auto"/>
        <w:ind w:firstLine="708"/>
        <w:jc w:val="both"/>
        <w:rPr>
          <w:rFonts w:ascii="Arial" w:eastAsia="Calibri" w:hAnsi="Arial" w:cs="Arial"/>
          <w:sz w:val="22"/>
        </w:rPr>
      </w:pPr>
      <w:r w:rsidRPr="00B7032A">
        <w:rPr>
          <w:rFonts w:ascii="Arial" w:eastAsia="Calibri" w:hAnsi="Arial" w:cs="Arial"/>
          <w:sz w:val="22"/>
        </w:rPr>
        <w:t>De otro lado, el artículo 2.2.1.1.1.5.1. del Decreto 1082 de 2015 señala que las personas inscritas en el RUP deben presentar la información para renovar su registro a más tardar el quinto día hábil del mes de abril de cada año, de lo contrario cesan los efectos del RUP</w:t>
      </w:r>
      <w:r w:rsidRPr="00B7032A">
        <w:rPr>
          <w:rStyle w:val="Refdenotaalpie"/>
          <w:rFonts w:ascii="Arial" w:eastAsia="Calibri" w:hAnsi="Arial" w:cs="Arial"/>
          <w:sz w:val="22"/>
        </w:rPr>
        <w:footnoteReference w:id="30"/>
      </w:r>
      <w:r w:rsidRPr="00B7032A">
        <w:rPr>
          <w:rFonts w:ascii="Arial" w:eastAsia="Calibri" w:hAnsi="Arial" w:cs="Arial"/>
          <w:sz w:val="22"/>
        </w:rPr>
        <w:t>. Además, el Consejo de Estado en sentencia del 19 de septiembre de 2019 señaló la finalidad de la renovación del RUP y las consecuencias de no hacerlo en el término previsto:</w:t>
      </w:r>
    </w:p>
    <w:p w14:paraId="686E8E44" w14:textId="77777777" w:rsidR="00A83E1C" w:rsidRPr="00B7032A" w:rsidRDefault="00A83E1C" w:rsidP="00A83E1C">
      <w:pPr>
        <w:spacing w:line="276" w:lineRule="auto"/>
        <w:jc w:val="both"/>
        <w:rPr>
          <w:rFonts w:ascii="Arial" w:eastAsia="Calibri" w:hAnsi="Arial" w:cs="Arial"/>
          <w:sz w:val="22"/>
        </w:rPr>
      </w:pPr>
    </w:p>
    <w:p w14:paraId="7454AA94" w14:textId="77777777" w:rsidR="00A83E1C" w:rsidRPr="00B7032A" w:rsidRDefault="00A83E1C" w:rsidP="00A83E1C">
      <w:pPr>
        <w:tabs>
          <w:tab w:val="left" w:pos="567"/>
        </w:tabs>
        <w:ind w:left="709" w:right="709"/>
        <w:jc w:val="both"/>
        <w:rPr>
          <w:rFonts w:ascii="Arial" w:hAnsi="Arial" w:cs="Arial"/>
          <w:sz w:val="21"/>
          <w:szCs w:val="21"/>
        </w:rPr>
      </w:pPr>
      <w:r w:rsidRPr="00B7032A">
        <w:rPr>
          <w:rFonts w:ascii="Arial" w:hAnsi="Arial" w:cs="Arial"/>
          <w:color w:val="000000"/>
          <w:sz w:val="21"/>
          <w:szCs w:val="21"/>
          <w:bdr w:val="none" w:sz="0" w:space="0" w:color="auto" w:frame="1"/>
          <w:lang w:val="es-ES"/>
        </w:rPr>
        <w:t>«</w:t>
      </w:r>
      <w:r w:rsidRPr="00B7032A">
        <w:rPr>
          <w:rFonts w:ascii="Arial" w:hAnsi="Arial" w:cs="Arial"/>
          <w:sz w:val="21"/>
          <w:szCs w:val="21"/>
        </w:rPr>
        <w:t xml:space="preserve">Al respecto, no puede perderse de vista que la finalidad principal de la renovación del RUP, al margen de que con ese acto se nutra del registro de nueva información, es conservar su vigencia, propósito que, de acuerdo con el artículo 8 del Decreto 1510 de 2013, solo ha de cumplirse si el mismo se realiza dentro del plazo allí establecido, comprendido entre el 1 de enero hasta el quinto día hábil del mes de abril. En defecto, la disposición reglamentaria establece como consecuencia la cesación de los efectos del RUP. </w:t>
      </w:r>
    </w:p>
    <w:p w14:paraId="6F20F4D6" w14:textId="77777777" w:rsidR="00A83E1C" w:rsidRPr="00B7032A" w:rsidRDefault="00A83E1C" w:rsidP="00A83E1C">
      <w:pPr>
        <w:tabs>
          <w:tab w:val="left" w:pos="567"/>
        </w:tabs>
        <w:ind w:left="709" w:right="709"/>
        <w:jc w:val="both"/>
        <w:rPr>
          <w:rFonts w:ascii="Arial" w:hAnsi="Arial" w:cs="Arial"/>
          <w:sz w:val="16"/>
          <w:szCs w:val="16"/>
        </w:rPr>
      </w:pPr>
    </w:p>
    <w:p w14:paraId="5E5DA65C" w14:textId="77777777" w:rsidR="00A83E1C" w:rsidRPr="00B7032A" w:rsidRDefault="00A83E1C" w:rsidP="00A83E1C">
      <w:pPr>
        <w:tabs>
          <w:tab w:val="left" w:pos="567"/>
        </w:tabs>
        <w:ind w:left="709" w:right="709"/>
        <w:jc w:val="both"/>
        <w:rPr>
          <w:rFonts w:ascii="Arial" w:hAnsi="Arial" w:cs="Arial"/>
          <w:sz w:val="21"/>
          <w:szCs w:val="21"/>
        </w:rPr>
      </w:pPr>
      <w:r w:rsidRPr="00B7032A">
        <w:rPr>
          <w:rFonts w:ascii="Arial" w:hAnsi="Arial" w:cs="Arial"/>
          <w:sz w:val="21"/>
          <w:szCs w:val="21"/>
        </w:rPr>
        <w:t xml:space="preserve">Ante ese panorama, </w:t>
      </w:r>
      <w:bookmarkStart w:id="40" w:name="_Hlk20983873"/>
      <w:r w:rsidRPr="00B7032A">
        <w:rPr>
          <w:rFonts w:ascii="Arial" w:hAnsi="Arial" w:cs="Arial"/>
          <w:sz w:val="21"/>
          <w:szCs w:val="21"/>
        </w:rPr>
        <w:t>el incumplimiento del deber de renovar el RUP en el período trae como consecuencia la cesación de efectos respecto de la información certificada en ese documento y, por contera, la falta de vocación como plena prueba para acreditar el cumplimiento de los requisitos habilitantes del proponente, anomalía que en manera alguna se sanea o convalida por el hecho de realizar una renovación por fuera del plazo reglamentado, en tanto no resulta jurídicamente admisible extender una vigencia que por ministerio de la ley se encuentra vencida y cuyos efectos cesaron, precisamente por no haberse renovado en el término señalado</w:t>
      </w:r>
      <w:r w:rsidRPr="00B7032A">
        <w:rPr>
          <w:rFonts w:ascii="Arial" w:hAnsi="Arial" w:cs="Arial"/>
          <w:color w:val="000000"/>
          <w:sz w:val="21"/>
          <w:szCs w:val="21"/>
          <w:bdr w:val="none" w:sz="0" w:space="0" w:color="auto" w:frame="1"/>
          <w:lang w:val="es-ES"/>
        </w:rPr>
        <w:t>».</w:t>
      </w:r>
      <w:r w:rsidRPr="00B7032A">
        <w:rPr>
          <w:rStyle w:val="Refdenotaalpie"/>
          <w:rFonts w:ascii="Arial" w:hAnsi="Arial" w:cs="Arial"/>
          <w:sz w:val="21"/>
          <w:szCs w:val="21"/>
        </w:rPr>
        <w:footnoteReference w:id="31"/>
      </w:r>
    </w:p>
    <w:bookmarkEnd w:id="40"/>
    <w:p w14:paraId="49C3F18F" w14:textId="77777777" w:rsidR="00A83E1C" w:rsidRPr="00B7032A" w:rsidRDefault="00A83E1C" w:rsidP="00A83E1C">
      <w:pPr>
        <w:jc w:val="both"/>
        <w:rPr>
          <w:rFonts w:ascii="Arial" w:eastAsia="Calibri" w:hAnsi="Arial" w:cs="Arial"/>
          <w:sz w:val="22"/>
        </w:rPr>
      </w:pPr>
      <w:r w:rsidRPr="00B7032A">
        <w:rPr>
          <w:rFonts w:ascii="Arial" w:eastAsia="Calibri" w:hAnsi="Arial" w:cs="Arial"/>
          <w:sz w:val="22"/>
        </w:rPr>
        <w:t xml:space="preserve"> </w:t>
      </w:r>
    </w:p>
    <w:p w14:paraId="7D16E87E" w14:textId="34D7F12C" w:rsidR="00A83E1C" w:rsidRPr="00B7032A" w:rsidRDefault="00A83E1C" w:rsidP="00A83E1C">
      <w:pPr>
        <w:spacing w:after="120" w:line="276" w:lineRule="auto"/>
        <w:ind w:firstLine="708"/>
        <w:jc w:val="both"/>
        <w:rPr>
          <w:rFonts w:ascii="Arial" w:eastAsia="Calibri" w:hAnsi="Arial" w:cs="Arial"/>
          <w:sz w:val="22"/>
        </w:rPr>
      </w:pPr>
      <w:r w:rsidRPr="00B7032A">
        <w:rPr>
          <w:rFonts w:ascii="Arial" w:eastAsia="Calibri" w:hAnsi="Arial" w:cs="Arial"/>
          <w:sz w:val="22"/>
        </w:rPr>
        <w:t xml:space="preserve">Conforme </w:t>
      </w:r>
      <w:r w:rsidR="00EA2547" w:rsidRPr="00B7032A">
        <w:rPr>
          <w:rFonts w:ascii="Arial" w:eastAsia="Calibri" w:hAnsi="Arial" w:cs="Arial"/>
          <w:sz w:val="22"/>
        </w:rPr>
        <w:t>con</w:t>
      </w:r>
      <w:r w:rsidRPr="00B7032A">
        <w:rPr>
          <w:rFonts w:ascii="Arial" w:eastAsia="Calibri" w:hAnsi="Arial" w:cs="Arial"/>
          <w:sz w:val="22"/>
        </w:rPr>
        <w:t xml:space="preserve"> lo anterior, en armonía con lo señalado en el artículo 2.2.1.1.1.5.1. del Decreto 1082 de 2015, </w:t>
      </w:r>
      <w:r w:rsidRPr="00B7032A">
        <w:rPr>
          <w:rFonts w:ascii="Arial" w:eastAsia="Calibri" w:hAnsi="Arial" w:cs="Arial"/>
          <w:i/>
          <w:sz w:val="22"/>
        </w:rPr>
        <w:t>si el proponente</w:t>
      </w:r>
      <w:r w:rsidRPr="00B7032A">
        <w:rPr>
          <w:rFonts w:ascii="Arial" w:eastAsia="Calibri" w:hAnsi="Arial" w:cs="Arial"/>
          <w:sz w:val="22"/>
        </w:rPr>
        <w:t xml:space="preserve"> </w:t>
      </w:r>
      <w:r w:rsidRPr="00B7032A">
        <w:rPr>
          <w:rFonts w:ascii="Arial" w:eastAsia="Calibri" w:hAnsi="Arial" w:cs="Arial"/>
          <w:i/>
          <w:sz w:val="22"/>
        </w:rPr>
        <w:t>no presenta la información para renovar su registro</w:t>
      </w:r>
      <w:r w:rsidRPr="00B7032A">
        <w:rPr>
          <w:rFonts w:ascii="Arial" w:eastAsia="Calibri" w:hAnsi="Arial" w:cs="Arial"/>
          <w:sz w:val="22"/>
        </w:rPr>
        <w:t xml:space="preserve"> antes del quinto día hábil del mes de abril de cada año cesarán los efectos del RUP. Lo anterior implica que el proponente que no cumpla con la carga indicada no se puede presentar a los procedimientos de selección, en los casos que es necesario estar inscrito en el RUP, porque no tendría capacidad para hacerlo y, por tanto, tendría que inscribirse nuevamente, caso en el que solo se podrá presentar cuando la inscripción esté en firme. </w:t>
      </w:r>
    </w:p>
    <w:p w14:paraId="72E2190A" w14:textId="77777777" w:rsidR="00A83E1C" w:rsidRPr="00B7032A" w:rsidRDefault="00A83E1C" w:rsidP="00A83E1C">
      <w:pPr>
        <w:spacing w:after="120" w:line="276" w:lineRule="auto"/>
        <w:ind w:firstLine="708"/>
        <w:jc w:val="both"/>
        <w:rPr>
          <w:rFonts w:ascii="Arial" w:eastAsia="Calibri" w:hAnsi="Arial" w:cs="Arial"/>
          <w:sz w:val="22"/>
        </w:rPr>
      </w:pPr>
      <w:r w:rsidRPr="00B7032A">
        <w:rPr>
          <w:rFonts w:ascii="Arial" w:eastAsia="Calibri" w:hAnsi="Arial" w:cs="Arial"/>
          <w:sz w:val="22"/>
        </w:rPr>
        <w:lastRenderedPageBreak/>
        <w:t xml:space="preserve">Tratándose del trámite de </w:t>
      </w:r>
      <w:r w:rsidRPr="00B7032A">
        <w:rPr>
          <w:rFonts w:ascii="Arial" w:eastAsia="Calibri" w:hAnsi="Arial" w:cs="Arial"/>
          <w:i/>
          <w:sz w:val="22"/>
        </w:rPr>
        <w:t>renovación,</w:t>
      </w:r>
      <w:r w:rsidRPr="00B7032A">
        <w:rPr>
          <w:rFonts w:ascii="Arial" w:eastAsia="Calibri" w:hAnsi="Arial" w:cs="Arial"/>
          <w:sz w:val="22"/>
        </w:rPr>
        <w:t xml:space="preserve"> la persona que haya presentado la información para renovar su registro a más tardar al quinto día hábil del mes de abril, cumpliendo con el requisito establecido en el artículo 2.2.1.1.1.5.1., puede participar en los procedimientos de selección, debiéndose tener en cuenta la información «antigua». De esta manera, en el período comprendido entre el momento de la solicitud de renovación y el momento de la firmeza de la nueva información, se permite que emplee la información del RUP que está en firme antes de iniciar el trámite de renovación, cuyos efectos no han cesado por encontrarse vigente.</w:t>
      </w:r>
    </w:p>
    <w:p w14:paraId="66E78ACB" w14:textId="77777777" w:rsidR="00A83E1C" w:rsidRPr="00B7032A" w:rsidRDefault="00A83E1C" w:rsidP="00A83E1C">
      <w:pPr>
        <w:spacing w:after="120" w:line="276" w:lineRule="auto"/>
        <w:ind w:firstLine="708"/>
        <w:jc w:val="both"/>
        <w:rPr>
          <w:rFonts w:ascii="Arial" w:eastAsia="Calibri" w:hAnsi="Arial" w:cs="Arial"/>
          <w:sz w:val="22"/>
        </w:rPr>
      </w:pPr>
      <w:r w:rsidRPr="00B7032A">
        <w:rPr>
          <w:rFonts w:ascii="Arial" w:eastAsia="Calibri" w:hAnsi="Arial" w:cs="Arial"/>
          <w:sz w:val="22"/>
        </w:rPr>
        <w:t>Así las cosas, para verificar que los efectos del RUP no han cesado, es necesario que el certificado contenga la anotación de que el inscrito, a más tardar el quinto día hábil de abril de cada año,</w:t>
      </w:r>
      <w:r w:rsidRPr="00B7032A" w:rsidDel="00B14FC4">
        <w:rPr>
          <w:rFonts w:ascii="Arial" w:eastAsia="Calibri" w:hAnsi="Arial" w:cs="Arial"/>
          <w:sz w:val="22"/>
        </w:rPr>
        <w:t xml:space="preserve"> </w:t>
      </w:r>
      <w:r w:rsidRPr="00B7032A">
        <w:rPr>
          <w:rFonts w:ascii="Arial" w:eastAsia="Calibri" w:hAnsi="Arial" w:cs="Arial"/>
          <w:sz w:val="22"/>
        </w:rPr>
        <w:t xml:space="preserve">radicó ante la cámara de comercio los documentos para la renovación. En todo caso, si tal circunstancia no estuviere inscrita en el certificado, se podrá acreditar a través del medio documental expedido por la cámara de comercio correspondiente. Así, por no existir tarifa legal que permita establecer la forma de acreditar el trámite de renovación, la entidad estatal debe verificar que el documento aportado por el proponente ofrezca certeza sobre el estado del trámite. </w:t>
      </w:r>
    </w:p>
    <w:p w14:paraId="5BC478D1" w14:textId="77777777" w:rsidR="00A83E1C" w:rsidRPr="00B7032A" w:rsidRDefault="00A83E1C" w:rsidP="00A83E1C">
      <w:pPr>
        <w:spacing w:after="120" w:line="276" w:lineRule="auto"/>
        <w:ind w:firstLine="709"/>
        <w:jc w:val="both"/>
        <w:rPr>
          <w:rFonts w:ascii="Arial" w:eastAsia="Calibri" w:hAnsi="Arial" w:cs="Arial"/>
          <w:sz w:val="22"/>
        </w:rPr>
      </w:pPr>
      <w:r w:rsidRPr="00B7032A">
        <w:rPr>
          <w:rFonts w:ascii="Arial" w:eastAsia="Calibri" w:hAnsi="Arial" w:cs="Arial"/>
          <w:sz w:val="22"/>
        </w:rPr>
        <w:t>Dicho esto, la firmeza del acto de inscripción, renovación y actualización del RUP debe armonizarse con las prescripciones establecidas para la generalidad de los actos administrativos, esto es, de acuerdo con el artículo 87 de la Ley 1437 de 2011</w:t>
      </w:r>
      <w:r w:rsidRPr="00B7032A">
        <w:rPr>
          <w:rStyle w:val="Refdenotaalpie"/>
          <w:rFonts w:ascii="Arial" w:eastAsia="Calibri" w:hAnsi="Arial" w:cs="Arial"/>
          <w:sz w:val="22"/>
        </w:rPr>
        <w:footnoteReference w:id="32"/>
      </w:r>
      <w:r w:rsidRPr="00B7032A">
        <w:rPr>
          <w:rFonts w:ascii="Arial" w:eastAsia="Calibri" w:hAnsi="Arial" w:cs="Arial"/>
          <w:sz w:val="22"/>
        </w:rPr>
        <w:t xml:space="preserve">. Conforme a lo anterior, la persona natural o jurídica podrá presentarse a los procedimientos de selección cuando el acto administrativo que realiza la inscripción del RUP se encuentra en firme, porque es un requisito para las personas naturales y jurídicas, nacionales o extranjeras con domicilio en Colombia, que aspiran celebrar contratos con las entidades estatales, estar inscritas en él, salvo las excepciones establecidas en la ley. </w:t>
      </w:r>
    </w:p>
    <w:p w14:paraId="1B5BD96C" w14:textId="0D7CD3B5" w:rsidR="00A83E1C" w:rsidRPr="00B7032A" w:rsidRDefault="00A83E1C" w:rsidP="00A83E1C">
      <w:pPr>
        <w:spacing w:after="120" w:line="276" w:lineRule="auto"/>
        <w:ind w:firstLine="709"/>
        <w:jc w:val="both"/>
        <w:rPr>
          <w:rFonts w:ascii="Arial" w:eastAsia="Calibri" w:hAnsi="Arial" w:cs="Arial"/>
          <w:sz w:val="22"/>
        </w:rPr>
      </w:pPr>
      <w:r w:rsidRPr="00B7032A">
        <w:rPr>
          <w:rFonts w:ascii="Arial" w:eastAsia="Calibri" w:hAnsi="Arial" w:cs="Arial"/>
          <w:sz w:val="22"/>
          <w:szCs w:val="22"/>
          <w:lang w:eastAsia="en-US"/>
        </w:rPr>
        <w:t xml:space="preserve">La inscripción en el RUP, cuando es obligatoria, constituye un requisito que habilita la capacidad legal de las personas para celebrar contratos estatales, por ende, cuando éste no se cumple por no existir o por no producir efectos –mientras no está en firme–, impide que las personas puedan suscribir contratos con el estado válidamente. </w:t>
      </w:r>
      <w:r w:rsidRPr="00B7032A">
        <w:rPr>
          <w:rFonts w:ascii="Arial" w:eastAsia="Calibri" w:hAnsi="Arial" w:cs="Arial"/>
          <w:sz w:val="22"/>
        </w:rPr>
        <w:t xml:space="preserve">Así las cosas, la firmeza del RUP es una condición de ejecutoriedad, para consolidar los efectos del acto administrativo de inscripción. En palabras del Consejo de Estado «El fenómeno procesal </w:t>
      </w:r>
      <w:r w:rsidRPr="00B7032A">
        <w:rPr>
          <w:rFonts w:ascii="Arial" w:eastAsia="Calibri" w:hAnsi="Arial" w:cs="Arial"/>
          <w:sz w:val="22"/>
        </w:rPr>
        <w:lastRenderedPageBreak/>
        <w:t>de la firmeza implica en principio, que la decisión se torna incuestionable en sede administrativa, lo que a su vez conlleva su ejecutoriedad»</w:t>
      </w:r>
      <w:r w:rsidRPr="00B7032A">
        <w:rPr>
          <w:rStyle w:val="Refdenotaalpie"/>
          <w:rFonts w:ascii="Arial" w:eastAsia="Calibri" w:hAnsi="Arial" w:cs="Arial"/>
          <w:sz w:val="22"/>
        </w:rPr>
        <w:footnoteReference w:id="33"/>
      </w:r>
      <w:r w:rsidRPr="00B7032A">
        <w:rPr>
          <w:rFonts w:ascii="Arial" w:eastAsia="Calibri" w:hAnsi="Arial" w:cs="Arial"/>
          <w:sz w:val="22"/>
        </w:rPr>
        <w:t xml:space="preserve">. </w:t>
      </w:r>
    </w:p>
    <w:p w14:paraId="2DB0C280" w14:textId="77777777" w:rsidR="00A83E1C" w:rsidRPr="00B7032A" w:rsidRDefault="00A83E1C" w:rsidP="00A83E1C">
      <w:pPr>
        <w:spacing w:after="120" w:line="276" w:lineRule="auto"/>
        <w:ind w:firstLine="709"/>
        <w:jc w:val="both"/>
        <w:rPr>
          <w:rFonts w:ascii="Arial" w:eastAsia="Calibri" w:hAnsi="Arial" w:cs="Arial"/>
          <w:sz w:val="22"/>
        </w:rPr>
      </w:pPr>
      <w:r w:rsidRPr="00B7032A">
        <w:rPr>
          <w:rFonts w:ascii="Arial" w:eastAsia="Calibri" w:hAnsi="Arial" w:cs="Arial"/>
          <w:sz w:val="22"/>
        </w:rPr>
        <w:t xml:space="preserve">Es importante resaltar que los distintos eventos de firmeza señalados en el artículo 87 del CPACA involucran la exigencia de la publicidad, comunicación o notificación del acto, además de incluir la necesidad de resolver los recursos administrativos interpuestos contra la decisión, como expresión del debido proceso y del derecho de defensa en sede administrativa. </w:t>
      </w:r>
    </w:p>
    <w:p w14:paraId="7122802A" w14:textId="77777777" w:rsidR="00A83E1C" w:rsidRPr="00B7032A" w:rsidRDefault="00A83E1C" w:rsidP="00A83E1C">
      <w:pPr>
        <w:spacing w:after="120" w:line="276" w:lineRule="auto"/>
        <w:ind w:firstLine="709"/>
        <w:jc w:val="both"/>
        <w:rPr>
          <w:rFonts w:ascii="Arial" w:eastAsia="Calibri" w:hAnsi="Arial" w:cs="Arial"/>
          <w:sz w:val="22"/>
        </w:rPr>
      </w:pPr>
      <w:r w:rsidRPr="00B7032A">
        <w:rPr>
          <w:rFonts w:ascii="Arial" w:eastAsia="Calibri" w:hAnsi="Arial" w:cs="Arial"/>
          <w:sz w:val="22"/>
        </w:rPr>
        <w:t xml:space="preserve">El numeral 6.3 del artículo 6 de la Ley 1150 de 2007 regula la impugnación del acto de inscripción de información en el RUP, con el fin de que cualquier persona presente recurso de reposición durante los 10 días hábiles siguientes a su publicación, tiempo después del cual el acto administrativo adquiere firmeza y será oponible a terceros, adquiriendo su presunción de legalidad, siempre que durante el término indicado no se presenten recursos. Si ocurre lo último, para que el acto de inscripción o renovación quede en firme, o que la actualización de la nueva información adquiera firmeza, será necesario que se resuelvan dichos recursos. </w:t>
      </w:r>
    </w:p>
    <w:p w14:paraId="539BB907" w14:textId="77777777" w:rsidR="00A83E1C" w:rsidRPr="00B7032A" w:rsidRDefault="00A83E1C" w:rsidP="00A83E1C">
      <w:pPr>
        <w:spacing w:after="120" w:line="276" w:lineRule="auto"/>
        <w:ind w:firstLine="709"/>
        <w:jc w:val="both"/>
        <w:rPr>
          <w:rFonts w:ascii="Arial" w:eastAsia="Calibri" w:hAnsi="Arial" w:cs="Arial"/>
          <w:sz w:val="22"/>
        </w:rPr>
      </w:pPr>
      <w:r w:rsidRPr="00B7032A">
        <w:rPr>
          <w:rFonts w:ascii="Arial" w:eastAsia="Calibri" w:hAnsi="Arial" w:cs="Arial"/>
          <w:sz w:val="22"/>
        </w:rPr>
        <w:t xml:space="preserve">Expuestas las reglas generales en torno a la necesidad de la firmeza de los actos de inscripción, renovación y actualización, se señalarán las consecuencias en cada supuesto de que la información incluida en el RUP esté pendiente de quedar en firme, pues en cada uno se generan efectos distintos; análisis donde debe aludirse a la posibilidad de subsanar las ofertas en los procedimientos de selección. </w:t>
      </w:r>
    </w:p>
    <w:p w14:paraId="18161F6E" w14:textId="77777777" w:rsidR="00A83E1C" w:rsidRPr="00B7032A" w:rsidRDefault="00A83E1C" w:rsidP="00A83E1C">
      <w:pPr>
        <w:spacing w:after="120" w:line="276" w:lineRule="auto"/>
        <w:ind w:firstLine="709"/>
        <w:jc w:val="both"/>
        <w:rPr>
          <w:rFonts w:ascii="Arial" w:eastAsia="Calibri" w:hAnsi="Arial" w:cs="Arial"/>
          <w:sz w:val="22"/>
        </w:rPr>
      </w:pPr>
      <w:r w:rsidRPr="00B7032A">
        <w:rPr>
          <w:rFonts w:ascii="Arial" w:eastAsia="Calibri" w:hAnsi="Arial" w:cs="Arial"/>
          <w:sz w:val="22"/>
        </w:rPr>
        <w:t xml:space="preserve">En relación con la </w:t>
      </w:r>
      <w:r w:rsidRPr="00B7032A">
        <w:rPr>
          <w:rFonts w:ascii="Arial" w:eastAsia="Calibri" w:hAnsi="Arial" w:cs="Arial"/>
          <w:i/>
          <w:iCs/>
          <w:sz w:val="22"/>
        </w:rPr>
        <w:t>inscripción</w:t>
      </w:r>
      <w:r w:rsidRPr="00B7032A">
        <w:rPr>
          <w:rFonts w:ascii="Arial" w:eastAsia="Calibri" w:hAnsi="Arial" w:cs="Arial"/>
          <w:sz w:val="22"/>
        </w:rPr>
        <w:t xml:space="preserve"> –ya sea por primera vez o porque no se renueva a tiempo y se debe realizar el trámite como una inscripción inicial–, como parece ser el supuesto expuesto por el peticionario, se debe considerar lo prescrito en el parágrafo 1 del artículo 5 de la Ley 1150 de 2007, modificado por el artículo 5 de la Ley 1882 de 2018</w:t>
      </w:r>
      <w:r w:rsidRPr="00B7032A">
        <w:rPr>
          <w:rStyle w:val="Refdenotaalpie"/>
          <w:rFonts w:ascii="Arial" w:eastAsia="Calibri" w:hAnsi="Arial" w:cs="Arial"/>
          <w:sz w:val="22"/>
        </w:rPr>
        <w:footnoteReference w:id="34"/>
      </w:r>
      <w:r w:rsidRPr="00B7032A">
        <w:rPr>
          <w:rFonts w:ascii="Arial" w:eastAsia="Calibri" w:hAnsi="Arial" w:cs="Arial"/>
          <w:sz w:val="22"/>
        </w:rPr>
        <w:t xml:space="preserve">, </w:t>
      </w:r>
      <w:r w:rsidRPr="00B7032A">
        <w:rPr>
          <w:rFonts w:ascii="Arial" w:eastAsia="Calibri" w:hAnsi="Arial" w:cs="Arial"/>
          <w:sz w:val="22"/>
        </w:rPr>
        <w:lastRenderedPageBreak/>
        <w:t>que establece que los proponentes no pueden acreditar circunstancias ocurridas con posterioridad al cierre del proceso. En armonía con lo anterior, la Sala de Consulta y Servicio Civil del Consejo de Estado interpretó una norma de igual contenido a la anterior</w:t>
      </w:r>
      <w:r w:rsidRPr="00B7032A">
        <w:rPr>
          <w:rStyle w:val="Refdenotaalpie"/>
          <w:rFonts w:ascii="Arial" w:eastAsia="Calibri" w:hAnsi="Arial" w:cs="Arial"/>
          <w:sz w:val="22"/>
        </w:rPr>
        <w:footnoteReference w:id="35"/>
      </w:r>
      <w:r w:rsidRPr="00B7032A">
        <w:rPr>
          <w:rFonts w:ascii="Arial" w:eastAsia="Calibri" w:hAnsi="Arial" w:cs="Arial"/>
          <w:sz w:val="22"/>
        </w:rPr>
        <w:t xml:space="preserve">, señalando que el proponente debe cumplir materialmente para la fecha del cierre del proceso con los requisitos que se requieren para presentar la oferta. En este sentido, en ese momento la persona natural o jurídica debe estar inscrita en el Registro Único de Proponentes, para lo cual no basta con la solicitud o radicación de los documentos para el trámite, sino que, además, el acto administrativo de </w:t>
      </w:r>
      <w:r w:rsidRPr="00B7032A">
        <w:rPr>
          <w:rFonts w:ascii="Arial" w:eastAsia="Calibri" w:hAnsi="Arial" w:cs="Arial"/>
          <w:i/>
          <w:iCs/>
          <w:sz w:val="22"/>
        </w:rPr>
        <w:t>inscripción</w:t>
      </w:r>
      <w:r w:rsidRPr="00B7032A">
        <w:rPr>
          <w:rFonts w:ascii="Arial" w:eastAsia="Calibri" w:hAnsi="Arial" w:cs="Arial"/>
          <w:sz w:val="22"/>
        </w:rPr>
        <w:t xml:space="preserve"> debe estar en firme, pues solo así se materializa y produce efectos la inscripción</w:t>
      </w:r>
      <w:r w:rsidRPr="00B7032A">
        <w:rPr>
          <w:rStyle w:val="Refdenotaalpie"/>
          <w:rFonts w:ascii="Arial" w:eastAsia="Calibri" w:hAnsi="Arial" w:cs="Arial"/>
          <w:sz w:val="22"/>
        </w:rPr>
        <w:footnoteReference w:id="36"/>
      </w:r>
      <w:r w:rsidRPr="00B7032A">
        <w:rPr>
          <w:rFonts w:ascii="Arial" w:eastAsia="Calibri" w:hAnsi="Arial" w:cs="Arial"/>
          <w:sz w:val="22"/>
        </w:rPr>
        <w:t xml:space="preserve">. </w:t>
      </w:r>
    </w:p>
    <w:p w14:paraId="23C0894B" w14:textId="77777777" w:rsidR="00A83E1C" w:rsidRPr="00B7032A" w:rsidRDefault="00A83E1C" w:rsidP="00A83E1C">
      <w:pPr>
        <w:spacing w:after="120" w:line="276" w:lineRule="auto"/>
        <w:ind w:firstLine="709"/>
        <w:jc w:val="both"/>
        <w:rPr>
          <w:rFonts w:ascii="Arial" w:eastAsia="Calibri" w:hAnsi="Arial" w:cs="Arial"/>
          <w:sz w:val="22"/>
        </w:rPr>
      </w:pPr>
      <w:r w:rsidRPr="00B7032A">
        <w:rPr>
          <w:rFonts w:ascii="Arial" w:eastAsia="Calibri" w:hAnsi="Arial" w:cs="Arial"/>
          <w:sz w:val="22"/>
        </w:rPr>
        <w:t xml:space="preserve">Por lo tanto, si la cámara de comercio expide el acto administrativo de </w:t>
      </w:r>
      <w:r w:rsidRPr="00B7032A">
        <w:rPr>
          <w:rFonts w:ascii="Arial" w:eastAsia="Calibri" w:hAnsi="Arial" w:cs="Arial"/>
          <w:i/>
          <w:iCs/>
          <w:sz w:val="22"/>
        </w:rPr>
        <w:t>inscripción</w:t>
      </w:r>
      <w:r w:rsidRPr="00B7032A">
        <w:rPr>
          <w:rFonts w:ascii="Arial" w:eastAsia="Calibri" w:hAnsi="Arial" w:cs="Arial"/>
          <w:sz w:val="22"/>
        </w:rPr>
        <w:t xml:space="preserve"> en el RUP después del cierre del procedimiento de selección, por la falta de renovación a tiempo de la información contenida en él o por ser la primera inscripción, el proponente no puede aportarlo al proceso, porque al momento de presentar la oferta no tenía capacidad para contratar, y no puede acreditar circunstancias ocurridas con posterioridad al cierre del proceso, reiterando que la inscripción debe estar en firme antes del cierre. Lo anterior teniendo en cuenta que la inscripción solo se materializa y es oponible a terceros cuando el acto administrativo está en firme.</w:t>
      </w:r>
    </w:p>
    <w:p w14:paraId="2C5FBCEB" w14:textId="67DF6ED4" w:rsidR="00A83E1C" w:rsidRPr="00B7032A" w:rsidRDefault="00A83E1C" w:rsidP="00A83E1C">
      <w:pPr>
        <w:spacing w:before="120" w:after="120" w:line="276" w:lineRule="auto"/>
        <w:ind w:firstLine="709"/>
        <w:jc w:val="both"/>
        <w:rPr>
          <w:rFonts w:ascii="Arial" w:eastAsia="Calibri" w:hAnsi="Arial" w:cs="Arial"/>
          <w:color w:val="000000" w:themeColor="text1"/>
          <w:sz w:val="22"/>
        </w:rPr>
      </w:pPr>
      <w:r w:rsidRPr="00B7032A">
        <w:rPr>
          <w:rFonts w:ascii="Arial" w:hAnsi="Arial" w:cs="Arial"/>
          <w:color w:val="000000" w:themeColor="text1"/>
          <w:sz w:val="22"/>
        </w:rPr>
        <w:t xml:space="preserve">Tratándose del trámite de </w:t>
      </w:r>
      <w:r w:rsidRPr="00B7032A">
        <w:rPr>
          <w:rFonts w:ascii="Arial" w:hAnsi="Arial" w:cs="Arial"/>
          <w:i/>
          <w:iCs/>
          <w:color w:val="000000" w:themeColor="text1"/>
          <w:sz w:val="22"/>
        </w:rPr>
        <w:t>renovación,</w:t>
      </w:r>
      <w:r w:rsidRPr="00B7032A">
        <w:rPr>
          <w:rFonts w:ascii="Arial" w:hAnsi="Arial" w:cs="Arial"/>
          <w:color w:val="000000" w:themeColor="text1"/>
          <w:sz w:val="22"/>
        </w:rPr>
        <w:t xml:space="preserve"> se reitera lo expresado en el sentido de que </w:t>
      </w:r>
      <w:r w:rsidRPr="00B7032A">
        <w:rPr>
          <w:rFonts w:ascii="Arial" w:eastAsia="Calibri" w:hAnsi="Arial" w:cs="Arial"/>
          <w:color w:val="000000" w:themeColor="text1"/>
          <w:sz w:val="22"/>
        </w:rPr>
        <w:t>la persona que presentó la información para renovar su registro antes del quinto día hábil de abril de cada año, cumpliendo el requisito del artículo 2.2.1.1.1.5.1.</w:t>
      </w:r>
      <w:r w:rsidR="006876A8" w:rsidRPr="00B7032A">
        <w:rPr>
          <w:rFonts w:ascii="Arial" w:eastAsia="Calibri" w:hAnsi="Arial" w:cs="Arial"/>
          <w:color w:val="000000" w:themeColor="text1"/>
          <w:sz w:val="22"/>
        </w:rPr>
        <w:t xml:space="preserve"> del Decreto 1082 de 2015</w:t>
      </w:r>
      <w:r w:rsidRPr="00B7032A">
        <w:rPr>
          <w:rFonts w:ascii="Arial" w:eastAsia="Calibri" w:hAnsi="Arial" w:cs="Arial"/>
          <w:color w:val="000000" w:themeColor="text1"/>
          <w:sz w:val="22"/>
        </w:rPr>
        <w:t xml:space="preserve"> y pese a que la renovación no esté en firme, es decir, mientras esté en trámite el proceso de renovación, puede participar en los procedimientos de selección, debiéndose tener en cuenta la información «antigua». </w:t>
      </w:r>
    </w:p>
    <w:p w14:paraId="6FDF3F76" w14:textId="77777777" w:rsidR="00A83E1C" w:rsidRPr="00B7032A" w:rsidRDefault="00A83E1C" w:rsidP="00A83E1C">
      <w:pPr>
        <w:spacing w:before="120" w:after="120" w:line="276" w:lineRule="auto"/>
        <w:ind w:firstLine="709"/>
        <w:jc w:val="both"/>
        <w:rPr>
          <w:rFonts w:ascii="Arial" w:eastAsia="Calibri" w:hAnsi="Arial" w:cs="Arial"/>
          <w:color w:val="000000" w:themeColor="text1"/>
          <w:sz w:val="22"/>
        </w:rPr>
      </w:pPr>
      <w:r w:rsidRPr="00B7032A">
        <w:rPr>
          <w:rFonts w:ascii="Arial" w:eastAsia="Calibri" w:hAnsi="Arial" w:cs="Arial"/>
          <w:color w:val="000000" w:themeColor="text1"/>
          <w:sz w:val="22"/>
        </w:rPr>
        <w:t xml:space="preserve">De esta manera, en el período comprendido entre el momento de la solicitud de renovación y el de su firmeza, se debe emplear la información del RUP que está en firme antes de iniciar el trámite de renovación, cuyos efectos no han cesado y se encuentra vigente. Incluso, en caso de que el RUP con la información «antigua» se haya presentado válidamente antes del cierre del proceso y con posterioridad a este quede en firme el nuevo </w:t>
      </w:r>
      <w:r w:rsidRPr="00B7032A">
        <w:rPr>
          <w:rFonts w:ascii="Arial" w:eastAsia="Calibri" w:hAnsi="Arial" w:cs="Arial"/>
          <w:color w:val="000000" w:themeColor="text1"/>
          <w:sz w:val="22"/>
        </w:rPr>
        <w:lastRenderedPageBreak/>
        <w:t>RUP, para la evaluación de las propuestas se deberá utilizar la información del registro presentado inicialmente. En efecto, ninguno de los proponentes, durante el término otorgado para subsanar ofertas, podrá «acreditar circunstancias ocurridas con posterioridad al cierre del proceso», por lo que la evaluación se realizará con la información del RUP en firme antes del cierre, independientemente de que la nueva información favorezca o perjudique al proponente.</w:t>
      </w:r>
    </w:p>
    <w:p w14:paraId="629285A1" w14:textId="550E5BC8" w:rsidR="00A83E1C" w:rsidRPr="00B7032A" w:rsidRDefault="00A83E1C" w:rsidP="00A83E1C">
      <w:pPr>
        <w:spacing w:before="120" w:line="276" w:lineRule="auto"/>
        <w:ind w:firstLine="708"/>
        <w:jc w:val="both"/>
        <w:rPr>
          <w:rFonts w:ascii="Arial" w:eastAsia="Calibri" w:hAnsi="Arial" w:cs="Arial"/>
          <w:color w:val="000000" w:themeColor="text1"/>
          <w:sz w:val="22"/>
          <w:szCs w:val="22"/>
          <w:lang w:eastAsia="en-US"/>
        </w:rPr>
      </w:pPr>
      <w:r w:rsidRPr="00B7032A">
        <w:rPr>
          <w:rFonts w:ascii="Arial" w:eastAsia="Calibri" w:hAnsi="Arial" w:cs="Arial"/>
          <w:color w:val="000000" w:themeColor="text1"/>
          <w:sz w:val="22"/>
        </w:rPr>
        <w:t xml:space="preserve">Debe tenerse en cuenta, en relación con este aspecto, que el parágrafo 1 –inciso segundo– del artículo 5 de la Ley 1150 de 2007, modificado por el artículo 5 de la Ley 1882 de 2018 establece que: «Durante el término otorgado para subsanar las ofertas, los proponentes no podrán acreditar circunstancias ocurridas con posterioridad al cierre del proceso». Esta regla tiene un alcance muy amplio, pues no expresa, como pudo haberlo hecho, que durante dicho término no se pueden </w:t>
      </w:r>
      <w:r w:rsidRPr="00B7032A">
        <w:rPr>
          <w:rFonts w:ascii="Arial" w:eastAsia="Calibri" w:hAnsi="Arial" w:cs="Arial"/>
          <w:i/>
          <w:iCs/>
          <w:color w:val="000000" w:themeColor="text1"/>
          <w:sz w:val="22"/>
        </w:rPr>
        <w:t>subsanar</w:t>
      </w:r>
      <w:r w:rsidRPr="00B7032A">
        <w:rPr>
          <w:rFonts w:ascii="Arial" w:eastAsia="Calibri" w:hAnsi="Arial" w:cs="Arial"/>
          <w:color w:val="000000" w:themeColor="text1"/>
          <w:sz w:val="22"/>
        </w:rPr>
        <w:t xml:space="preserve"> circunstancias ocurridas con posterioridad al cierre. Por el contrario, optó por establecer una regla más amplia, consistente en que durante dicho término los proponentes no pueden acreditar ningún tipo de «circunstancias ocurridas con posterioridad al cierre del proceso», lo que se configuraría si se presentara o acreditara un RUP diferente </w:t>
      </w:r>
      <w:r w:rsidRPr="00B7032A">
        <w:rPr>
          <w:rFonts w:ascii="Arial" w:eastAsia="Calibri" w:hAnsi="Arial" w:cs="Arial"/>
          <w:i/>
          <w:iCs/>
          <w:color w:val="000000" w:themeColor="text1"/>
          <w:sz w:val="22"/>
        </w:rPr>
        <w:t xml:space="preserve">renovado, </w:t>
      </w:r>
      <w:r w:rsidRPr="00B7032A">
        <w:rPr>
          <w:rFonts w:ascii="Arial" w:eastAsia="Calibri" w:hAnsi="Arial" w:cs="Arial"/>
          <w:color w:val="000000" w:themeColor="text1"/>
          <w:sz w:val="22"/>
        </w:rPr>
        <w:t>que no estaba en firme para el cierre del proceso, independientemente de que este nuevo RUP favorezca o perjudique al interesado. Lo anterior, teniendo cuenta que de la norma comentada se sigue que la evaluación se debe realizar conforme a las circunstancias ocurridas con anterioridad al cierre del proceso.</w:t>
      </w:r>
      <w:r w:rsidRPr="00B7032A">
        <w:rPr>
          <w:rFonts w:ascii="Arial" w:eastAsia="Calibri" w:hAnsi="Arial" w:cs="Arial"/>
          <w:color w:val="000000" w:themeColor="text1"/>
          <w:sz w:val="22"/>
          <w:szCs w:val="22"/>
          <w:lang w:eastAsia="en-US"/>
        </w:rPr>
        <w:t xml:space="preserve"> En este sentido, como se expresó, la firmeza del RUP es una condición de ejecutoriedad, para consolidar los efectos del acto administrativo de inscripción, renovación o actualización, por lo que en los procedimientos de selección solo se puede utilizar el registro que esté en firme antes del cierre del proceso, so pena de desconocer lo establecido en el artículo 5 de la Ley 1150 de 2007, modificado por el artículo 5 de la Ley 1882 de 2018.</w:t>
      </w:r>
    </w:p>
    <w:p w14:paraId="2A1D63C1" w14:textId="0B251042" w:rsidR="00A83E1C" w:rsidRPr="00B7032A" w:rsidRDefault="00A83E1C" w:rsidP="00953A06">
      <w:pPr>
        <w:tabs>
          <w:tab w:val="left" w:pos="0"/>
        </w:tabs>
        <w:spacing w:before="120" w:line="276" w:lineRule="auto"/>
        <w:jc w:val="both"/>
        <w:rPr>
          <w:rFonts w:ascii="Arial" w:hAnsi="Arial" w:cs="Arial"/>
          <w:color w:val="000000" w:themeColor="text1"/>
          <w:sz w:val="22"/>
        </w:rPr>
      </w:pPr>
      <w:r w:rsidRPr="00B7032A">
        <w:rPr>
          <w:rFonts w:ascii="Arial" w:hAnsi="Arial" w:cs="Arial"/>
          <w:color w:val="000000" w:themeColor="text1"/>
          <w:sz w:val="22"/>
        </w:rPr>
        <w:tab/>
        <w:t xml:space="preserve">Una vez analizado el marco jurídico respecto a la firmeza del RUP y los trámites de </w:t>
      </w:r>
      <w:r w:rsidRPr="00B7032A">
        <w:rPr>
          <w:rFonts w:ascii="Arial" w:hAnsi="Arial" w:cs="Arial"/>
          <w:i/>
          <w:iCs/>
          <w:color w:val="000000" w:themeColor="text1"/>
          <w:sz w:val="22"/>
        </w:rPr>
        <w:t xml:space="preserve">inscripción </w:t>
      </w:r>
      <w:r w:rsidRPr="00B7032A">
        <w:rPr>
          <w:rFonts w:ascii="Arial" w:hAnsi="Arial" w:cs="Arial"/>
          <w:color w:val="000000" w:themeColor="text1"/>
          <w:sz w:val="22"/>
        </w:rPr>
        <w:t xml:space="preserve">y </w:t>
      </w:r>
      <w:r w:rsidRPr="00B7032A">
        <w:rPr>
          <w:rFonts w:ascii="Arial" w:hAnsi="Arial" w:cs="Arial"/>
          <w:i/>
          <w:iCs/>
          <w:color w:val="000000" w:themeColor="text1"/>
          <w:sz w:val="22"/>
        </w:rPr>
        <w:t>renovación</w:t>
      </w:r>
      <w:r w:rsidRPr="00B7032A">
        <w:rPr>
          <w:rFonts w:ascii="Arial" w:hAnsi="Arial" w:cs="Arial"/>
          <w:color w:val="000000" w:themeColor="text1"/>
          <w:sz w:val="22"/>
        </w:rPr>
        <w:t xml:space="preserve"> del registro, es posible estudiar de manera contextualizada la causal de rechazo del literal F del numeral 1.15 de los documentos tipo para licitación de obra pública de infraestructura de social, frente a la cual presenta su consulta. Dicha causal establece: «Que el Proponente no acredite la presentación de la información para </w:t>
      </w:r>
      <w:r w:rsidRPr="00B7032A">
        <w:rPr>
          <w:rFonts w:ascii="Arial" w:hAnsi="Arial" w:cs="Arial"/>
          <w:i/>
          <w:iCs/>
          <w:color w:val="000000" w:themeColor="text1"/>
          <w:sz w:val="22"/>
        </w:rPr>
        <w:t>renovar</w:t>
      </w:r>
      <w:r w:rsidRPr="00B7032A">
        <w:rPr>
          <w:rFonts w:ascii="Arial" w:hAnsi="Arial" w:cs="Arial"/>
          <w:color w:val="000000" w:themeColor="text1"/>
          <w:sz w:val="22"/>
        </w:rPr>
        <w:t xml:space="preserve"> el Registro Único de Proponentes (RUP) a más tardar el quinto día hábil del mes de abril de cada año».</w:t>
      </w:r>
    </w:p>
    <w:p w14:paraId="4488BD07" w14:textId="44F34DD1" w:rsidR="00A83E1C" w:rsidRPr="00B7032A" w:rsidRDefault="00A83E1C" w:rsidP="0088453A">
      <w:pPr>
        <w:tabs>
          <w:tab w:val="left" w:pos="0"/>
        </w:tabs>
        <w:spacing w:before="120" w:line="276" w:lineRule="auto"/>
        <w:jc w:val="both"/>
        <w:rPr>
          <w:rFonts w:ascii="Arial" w:hAnsi="Arial" w:cs="Arial"/>
          <w:color w:val="000000" w:themeColor="text1"/>
          <w:sz w:val="22"/>
        </w:rPr>
      </w:pPr>
      <w:r w:rsidRPr="00B7032A">
        <w:rPr>
          <w:rFonts w:ascii="Arial" w:hAnsi="Arial" w:cs="Arial"/>
          <w:sz w:val="22"/>
        </w:rPr>
        <w:tab/>
        <w:t>En efecto, esta causal de rechazo debe interpretarse razonablemente de conformidad con el marco jurídico analizado respecto al trámite de renovación, cuyo régimen quedó expuesto en detalle. En este sentido, esta causal de rechazo aplica en los supuestos en que el proponente</w:t>
      </w:r>
      <w:r w:rsidR="00FB0BFB" w:rsidRPr="00B7032A">
        <w:rPr>
          <w:rFonts w:ascii="Arial" w:hAnsi="Arial" w:cs="Arial"/>
          <w:sz w:val="22"/>
        </w:rPr>
        <w:t>,</w:t>
      </w:r>
      <w:r w:rsidRPr="00B7032A">
        <w:rPr>
          <w:rFonts w:ascii="Arial" w:hAnsi="Arial" w:cs="Arial"/>
          <w:sz w:val="22"/>
        </w:rPr>
        <w:t xml:space="preserve"> al momento del cierre del proceso</w:t>
      </w:r>
      <w:r w:rsidR="00FB0BFB" w:rsidRPr="00B7032A">
        <w:rPr>
          <w:rFonts w:ascii="Arial" w:hAnsi="Arial" w:cs="Arial"/>
          <w:sz w:val="22"/>
        </w:rPr>
        <w:t>,</w:t>
      </w:r>
      <w:r w:rsidRPr="00B7032A">
        <w:rPr>
          <w:rFonts w:ascii="Arial" w:hAnsi="Arial" w:cs="Arial"/>
          <w:sz w:val="22"/>
        </w:rPr>
        <w:t xml:space="preserve"> no tenga un RUP vigente y en firme, de ahí que conforme a las disposiciones estudiadas con anterioridad se deba rechazar al proponente que no cumpla con el deber establecido en el artículo </w:t>
      </w:r>
      <w:r w:rsidRPr="00B7032A">
        <w:rPr>
          <w:rFonts w:ascii="Arial" w:eastAsia="Calibri" w:hAnsi="Arial" w:cs="Arial"/>
          <w:color w:val="000000" w:themeColor="text1"/>
          <w:sz w:val="22"/>
        </w:rPr>
        <w:t xml:space="preserve">2.2.1.1.1.5.1. del decreto 1082, esto es, que no haya presentado la información para renovar el RUP a </w:t>
      </w:r>
      <w:r w:rsidRPr="00B7032A">
        <w:rPr>
          <w:rFonts w:ascii="Arial" w:hAnsi="Arial" w:cs="Arial"/>
          <w:color w:val="000000" w:themeColor="text1"/>
          <w:sz w:val="22"/>
        </w:rPr>
        <w:t>más tardar el quinto día hábil del mes de abril de cada año.</w:t>
      </w:r>
    </w:p>
    <w:p w14:paraId="45037658" w14:textId="52841132" w:rsidR="00A83E1C" w:rsidRPr="00B7032A" w:rsidRDefault="00A83E1C" w:rsidP="0088453A">
      <w:pPr>
        <w:tabs>
          <w:tab w:val="left" w:pos="0"/>
        </w:tabs>
        <w:spacing w:before="120" w:line="276" w:lineRule="auto"/>
        <w:jc w:val="both"/>
        <w:rPr>
          <w:rFonts w:ascii="Arial" w:hAnsi="Arial" w:cs="Arial"/>
          <w:color w:val="000000" w:themeColor="text1"/>
          <w:sz w:val="22"/>
        </w:rPr>
      </w:pPr>
      <w:r w:rsidRPr="00B7032A">
        <w:rPr>
          <w:rFonts w:ascii="Arial" w:hAnsi="Arial" w:cs="Arial"/>
          <w:color w:val="000000" w:themeColor="text1"/>
          <w:sz w:val="22"/>
        </w:rPr>
        <w:lastRenderedPageBreak/>
        <w:tab/>
        <w:t xml:space="preserve">No </w:t>
      </w:r>
      <w:r w:rsidR="0090611E" w:rsidRPr="00B7032A">
        <w:rPr>
          <w:rFonts w:ascii="Arial" w:hAnsi="Arial" w:cs="Arial"/>
          <w:color w:val="000000" w:themeColor="text1"/>
          <w:sz w:val="22"/>
        </w:rPr>
        <w:t xml:space="preserve">obstante, </w:t>
      </w:r>
      <w:r w:rsidRPr="00B7032A">
        <w:rPr>
          <w:rFonts w:ascii="Arial" w:hAnsi="Arial" w:cs="Arial"/>
          <w:color w:val="000000" w:themeColor="text1"/>
          <w:sz w:val="22"/>
        </w:rPr>
        <w:t xml:space="preserve">ello no quiere decir que la causal </w:t>
      </w:r>
      <w:r w:rsidR="0090611E" w:rsidRPr="00B7032A">
        <w:rPr>
          <w:rFonts w:ascii="Arial" w:hAnsi="Arial" w:cs="Arial"/>
          <w:color w:val="000000" w:themeColor="text1"/>
          <w:sz w:val="22"/>
        </w:rPr>
        <w:t xml:space="preserve">del literal F </w:t>
      </w:r>
      <w:r w:rsidRPr="00B7032A">
        <w:rPr>
          <w:rFonts w:ascii="Arial" w:hAnsi="Arial" w:cs="Arial"/>
          <w:color w:val="000000" w:themeColor="text1"/>
          <w:sz w:val="22"/>
        </w:rPr>
        <w:t xml:space="preserve">se extienda a los supuestos en los que el proponente realiza una nueva </w:t>
      </w:r>
      <w:r w:rsidRPr="00B7032A">
        <w:rPr>
          <w:rFonts w:ascii="Arial" w:hAnsi="Arial" w:cs="Arial"/>
          <w:i/>
          <w:iCs/>
          <w:color w:val="000000" w:themeColor="text1"/>
          <w:sz w:val="22"/>
        </w:rPr>
        <w:t>inscripción</w:t>
      </w:r>
      <w:r w:rsidRPr="00B7032A">
        <w:rPr>
          <w:rFonts w:ascii="Arial" w:hAnsi="Arial" w:cs="Arial"/>
          <w:color w:val="000000" w:themeColor="text1"/>
          <w:sz w:val="22"/>
        </w:rPr>
        <w:t>,</w:t>
      </w:r>
      <w:r w:rsidRPr="00B7032A">
        <w:rPr>
          <w:rFonts w:ascii="Arial" w:hAnsi="Arial" w:cs="Arial"/>
          <w:i/>
          <w:iCs/>
          <w:color w:val="000000" w:themeColor="text1"/>
          <w:sz w:val="22"/>
        </w:rPr>
        <w:t xml:space="preserve"> </w:t>
      </w:r>
      <w:r w:rsidRPr="00B7032A">
        <w:rPr>
          <w:rFonts w:ascii="Arial" w:hAnsi="Arial" w:cs="Arial"/>
          <w:color w:val="000000" w:themeColor="text1"/>
          <w:sz w:val="22"/>
        </w:rPr>
        <w:t xml:space="preserve">debido a que un RUP que tenía con anterioridad dejó de producir efectos, toda vez que el proponente incumplió el deber de renovar el registro a tiempo. En efecto, como se indicó con anterioridad, en dichos casos el proponente debe inscribirse nuevamente en el registro, de manera que una vez esté en firme la </w:t>
      </w:r>
      <w:r w:rsidRPr="00B7032A">
        <w:rPr>
          <w:rFonts w:ascii="Arial" w:hAnsi="Arial" w:cs="Arial"/>
          <w:i/>
          <w:iCs/>
          <w:color w:val="000000" w:themeColor="text1"/>
          <w:sz w:val="22"/>
        </w:rPr>
        <w:t xml:space="preserve">nueva inscripción </w:t>
      </w:r>
      <w:r w:rsidRPr="00B7032A">
        <w:rPr>
          <w:rFonts w:ascii="Arial" w:hAnsi="Arial" w:cs="Arial"/>
          <w:color w:val="000000" w:themeColor="text1"/>
          <w:sz w:val="22"/>
        </w:rPr>
        <w:t>puede participar en los procedimientos de selección, incluidos los regidos por los documentos tipo. Lo anterior resulta coherente y más preciso con lo regulado en la causal de rechazo del literal «</w:t>
      </w:r>
      <w:r w:rsidR="0088453A" w:rsidRPr="00B7032A">
        <w:rPr>
          <w:rFonts w:ascii="Arial" w:hAnsi="Arial" w:cs="Arial"/>
          <w:color w:val="000000" w:themeColor="text1"/>
          <w:sz w:val="22"/>
        </w:rPr>
        <w:t>E</w:t>
      </w:r>
      <w:r w:rsidRPr="00B7032A">
        <w:rPr>
          <w:rFonts w:ascii="Arial" w:hAnsi="Arial" w:cs="Arial"/>
          <w:color w:val="000000" w:themeColor="text1"/>
          <w:sz w:val="22"/>
        </w:rPr>
        <w:t>» de los mismos documentos tipo, que establece: «</w:t>
      </w:r>
      <w:r w:rsidRPr="00B7032A">
        <w:rPr>
          <w:rFonts w:ascii="Arial" w:eastAsia="Arial" w:hAnsi="Arial" w:cs="Arial"/>
          <w:color w:val="000000" w:themeColor="text1"/>
          <w:sz w:val="22"/>
          <w:lang w:eastAsia="es-CO"/>
        </w:rPr>
        <w:t xml:space="preserve">Que la </w:t>
      </w:r>
      <w:r w:rsidRPr="00B7032A">
        <w:rPr>
          <w:rFonts w:ascii="Arial" w:eastAsia="Arial" w:hAnsi="Arial" w:cs="Arial"/>
          <w:i/>
          <w:color w:val="000000" w:themeColor="text1"/>
          <w:sz w:val="22"/>
          <w:lang w:eastAsia="es-CO"/>
        </w:rPr>
        <w:t>inscripción</w:t>
      </w:r>
      <w:r w:rsidRPr="00B7032A">
        <w:rPr>
          <w:rFonts w:ascii="Arial" w:eastAsia="Arial" w:hAnsi="Arial" w:cs="Arial"/>
          <w:color w:val="000000" w:themeColor="text1"/>
          <w:sz w:val="22"/>
          <w:lang w:eastAsia="es-CO"/>
        </w:rPr>
        <w:t xml:space="preserve"> en el Registro Único de Proponentes (RUP</w:t>
      </w:r>
      <w:r w:rsidRPr="00B7032A">
        <w:rPr>
          <w:rFonts w:ascii="Arial" w:eastAsia="Arial,Calibri" w:hAnsi="Arial" w:cs="Arial"/>
          <w:color w:val="000000" w:themeColor="text1"/>
          <w:sz w:val="22"/>
          <w:lang w:eastAsia="es-CO"/>
        </w:rPr>
        <w:t>)</w:t>
      </w:r>
      <w:r w:rsidRPr="00B7032A">
        <w:rPr>
          <w:rFonts w:ascii="Arial" w:eastAsia="Arial" w:hAnsi="Arial" w:cs="Arial"/>
          <w:color w:val="000000" w:themeColor="text1"/>
          <w:sz w:val="22"/>
          <w:lang w:eastAsia="es-CO"/>
        </w:rPr>
        <w:t xml:space="preserve"> que realice el Proponente por primera vez o cuando han cesado los efectos y debe volver a inscribirse, no esté en firme en la fecha prevista para el cierre del Proceso de Contratación». </w:t>
      </w:r>
    </w:p>
    <w:p w14:paraId="30DFDC92" w14:textId="649E605B" w:rsidR="00A83E1C" w:rsidRPr="00B7032A" w:rsidRDefault="00A83E1C" w:rsidP="00A83E1C">
      <w:pPr>
        <w:tabs>
          <w:tab w:val="left" w:pos="0"/>
        </w:tabs>
        <w:spacing w:before="120" w:after="120" w:line="276" w:lineRule="auto"/>
        <w:jc w:val="both"/>
        <w:rPr>
          <w:rFonts w:ascii="Arial" w:eastAsia="Calibri" w:hAnsi="Arial" w:cs="Arial"/>
          <w:color w:val="000000" w:themeColor="text1"/>
          <w:sz w:val="22"/>
        </w:rPr>
      </w:pPr>
      <w:r w:rsidRPr="00B7032A">
        <w:rPr>
          <w:rFonts w:ascii="Arial" w:eastAsia="Arial" w:hAnsi="Arial" w:cs="Arial"/>
          <w:color w:val="000000" w:themeColor="text1"/>
          <w:sz w:val="22"/>
          <w:lang w:eastAsia="es-CO"/>
        </w:rPr>
        <w:tab/>
        <w:t>En este sentido, cuando el proponente incumple su deber de renovar su registro en el RUP y los efectos han cesado, debe volver a inscribirse, supuesto en el cual podrá participar siempre que su registro esté en firme para antes del cierre del proceso de contratación. De esta manera, el rechazo</w:t>
      </w:r>
      <w:r w:rsidR="006876A8" w:rsidRPr="00B7032A">
        <w:rPr>
          <w:rFonts w:ascii="Arial" w:eastAsia="Arial" w:hAnsi="Arial" w:cs="Arial"/>
          <w:color w:val="000000" w:themeColor="text1"/>
          <w:sz w:val="22"/>
          <w:lang w:eastAsia="es-CO"/>
        </w:rPr>
        <w:t xml:space="preserve"> de la oferta</w:t>
      </w:r>
      <w:r w:rsidRPr="00B7032A">
        <w:rPr>
          <w:rFonts w:ascii="Arial" w:eastAsia="Arial" w:hAnsi="Arial" w:cs="Arial"/>
          <w:color w:val="000000" w:themeColor="text1"/>
          <w:sz w:val="22"/>
          <w:lang w:eastAsia="es-CO"/>
        </w:rPr>
        <w:t xml:space="preserve"> solo será procedente cuando el proponente debe volver a inscribirse y para antes de la fecha del cierre del proceso su inscripción no esté en firme, toda vez que en dicho supuesto no tiene una inscripción vigente y en firme y como se analizó con anterioridad </w:t>
      </w:r>
      <w:r w:rsidRPr="00B7032A">
        <w:rPr>
          <w:rFonts w:ascii="Arial" w:eastAsia="Calibri" w:hAnsi="Arial" w:cs="Arial"/>
          <w:color w:val="000000" w:themeColor="text1"/>
          <w:sz w:val="22"/>
        </w:rPr>
        <w:t>«Durante el término otorgado para subsanar las ofertas, los proponentes no podrán acreditar circunstancias ocurridas con posterioridad al cierre del proceso».</w:t>
      </w:r>
    </w:p>
    <w:p w14:paraId="20D74162" w14:textId="5B4BF9BA" w:rsidR="0088453A" w:rsidRPr="00B7032A" w:rsidRDefault="0088453A" w:rsidP="0045718B">
      <w:pPr>
        <w:tabs>
          <w:tab w:val="left" w:pos="0"/>
        </w:tabs>
        <w:spacing w:before="120" w:line="276" w:lineRule="auto"/>
        <w:ind w:firstLine="709"/>
        <w:jc w:val="both"/>
        <w:rPr>
          <w:rFonts w:ascii="Arial" w:eastAsia="Calibri" w:hAnsi="Arial" w:cs="Arial"/>
          <w:color w:val="000000" w:themeColor="text1"/>
          <w:sz w:val="22"/>
        </w:rPr>
      </w:pPr>
      <w:r w:rsidRPr="00B7032A">
        <w:rPr>
          <w:rFonts w:ascii="Arial" w:eastAsia="Calibri" w:hAnsi="Arial" w:cs="Arial"/>
          <w:color w:val="000000" w:themeColor="text1"/>
          <w:sz w:val="22"/>
        </w:rPr>
        <w:t xml:space="preserve">Así las cosas, cuando el proponente no presenta la información para </w:t>
      </w:r>
      <w:r w:rsidR="006876A8" w:rsidRPr="00B7032A">
        <w:rPr>
          <w:rFonts w:ascii="Arial" w:eastAsia="Calibri" w:hAnsi="Arial" w:cs="Arial"/>
          <w:color w:val="000000" w:themeColor="text1"/>
          <w:sz w:val="22"/>
        </w:rPr>
        <w:t xml:space="preserve">el trámite de renovación </w:t>
      </w:r>
      <w:r w:rsidRPr="00B7032A">
        <w:rPr>
          <w:rFonts w:ascii="Arial" w:eastAsia="Calibri" w:hAnsi="Arial" w:cs="Arial"/>
          <w:color w:val="000000" w:themeColor="text1"/>
          <w:sz w:val="22"/>
        </w:rPr>
        <w:t>en la cámara de comercio respectiva incumpl</w:t>
      </w:r>
      <w:r w:rsidR="0045718B" w:rsidRPr="00B7032A">
        <w:rPr>
          <w:rFonts w:ascii="Arial" w:eastAsia="Calibri" w:hAnsi="Arial" w:cs="Arial"/>
          <w:color w:val="000000" w:themeColor="text1"/>
          <w:sz w:val="22"/>
        </w:rPr>
        <w:t>iendo</w:t>
      </w:r>
      <w:r w:rsidRPr="00B7032A">
        <w:rPr>
          <w:rFonts w:ascii="Arial" w:eastAsia="Calibri" w:hAnsi="Arial" w:cs="Arial"/>
          <w:color w:val="000000" w:themeColor="text1"/>
          <w:sz w:val="22"/>
        </w:rPr>
        <w:t xml:space="preserve"> su deber de renovar el RUP a más tardar el quinto día hábil del mes de abril de cada año, o en la fecha que establezca la ley o el reglamento, no podrá participar en el proceso de contratación porque </w:t>
      </w:r>
      <w:r w:rsidR="0045718B" w:rsidRPr="00B7032A">
        <w:rPr>
          <w:rFonts w:ascii="Arial" w:eastAsia="Calibri" w:hAnsi="Arial" w:cs="Arial"/>
          <w:color w:val="000000" w:themeColor="text1"/>
          <w:sz w:val="22"/>
        </w:rPr>
        <w:t xml:space="preserve">el </w:t>
      </w:r>
      <w:r w:rsidRPr="00B7032A">
        <w:rPr>
          <w:rFonts w:ascii="Arial" w:eastAsia="Calibri" w:hAnsi="Arial" w:cs="Arial"/>
          <w:color w:val="000000" w:themeColor="text1"/>
          <w:sz w:val="22"/>
        </w:rPr>
        <w:t xml:space="preserve">RUP </w:t>
      </w:r>
      <w:r w:rsidR="0045718B" w:rsidRPr="00B7032A">
        <w:rPr>
          <w:rFonts w:ascii="Arial" w:eastAsia="Calibri" w:hAnsi="Arial" w:cs="Arial"/>
          <w:color w:val="000000" w:themeColor="text1"/>
          <w:sz w:val="22"/>
        </w:rPr>
        <w:t>no se encuentra vigente y sus efectos han cesado</w:t>
      </w:r>
      <w:r w:rsidRPr="00B7032A">
        <w:rPr>
          <w:rFonts w:ascii="Arial" w:eastAsia="Calibri" w:hAnsi="Arial" w:cs="Arial"/>
          <w:color w:val="000000" w:themeColor="text1"/>
          <w:sz w:val="22"/>
        </w:rPr>
        <w:t>, por lo que procede su rechazo con fundamento en el literal F del numeral 1.15 del documento base.</w:t>
      </w:r>
    </w:p>
    <w:bookmarkEnd w:id="33"/>
    <w:p w14:paraId="5DBF6E9A" w14:textId="5372686D" w:rsidR="008F4B91" w:rsidRPr="00B7032A" w:rsidRDefault="008F4B91" w:rsidP="007565B1">
      <w:pPr>
        <w:spacing w:line="276" w:lineRule="auto"/>
        <w:jc w:val="both"/>
        <w:rPr>
          <w:rFonts w:ascii="Arial" w:hAnsi="Arial" w:cs="Arial"/>
          <w:sz w:val="22"/>
          <w:lang w:eastAsia="es-MX"/>
        </w:rPr>
      </w:pPr>
    </w:p>
    <w:p w14:paraId="37CA9805" w14:textId="615AEB3D" w:rsidR="00DD5B04" w:rsidRPr="00B7032A" w:rsidRDefault="004177A6" w:rsidP="00F90515">
      <w:pPr>
        <w:tabs>
          <w:tab w:val="left" w:pos="0"/>
        </w:tabs>
        <w:jc w:val="both"/>
        <w:rPr>
          <w:rFonts w:ascii="Arial" w:eastAsia="Calibri" w:hAnsi="Arial" w:cs="Arial"/>
          <w:b/>
          <w:bCs/>
          <w:sz w:val="22"/>
          <w:szCs w:val="22"/>
        </w:rPr>
      </w:pPr>
      <w:r w:rsidRPr="00B7032A">
        <w:rPr>
          <w:rFonts w:ascii="Arial" w:eastAsia="Calibri" w:hAnsi="Arial" w:cs="Arial"/>
          <w:b/>
          <w:bCs/>
          <w:sz w:val="22"/>
          <w:szCs w:val="22"/>
        </w:rPr>
        <w:t>3</w:t>
      </w:r>
      <w:r w:rsidR="00B011A9" w:rsidRPr="00B7032A">
        <w:rPr>
          <w:rFonts w:ascii="Arial" w:eastAsia="Calibri" w:hAnsi="Arial" w:cs="Arial"/>
          <w:b/>
          <w:bCs/>
          <w:sz w:val="22"/>
          <w:szCs w:val="22"/>
        </w:rPr>
        <w:t xml:space="preserve">. </w:t>
      </w:r>
      <w:r w:rsidR="00DD5B04" w:rsidRPr="00B7032A">
        <w:rPr>
          <w:rFonts w:ascii="Arial" w:eastAsia="Calibri" w:hAnsi="Arial" w:cs="Arial"/>
          <w:b/>
          <w:bCs/>
          <w:sz w:val="22"/>
          <w:szCs w:val="22"/>
        </w:rPr>
        <w:t>Respuesta</w:t>
      </w:r>
    </w:p>
    <w:p w14:paraId="49375CFA" w14:textId="77777777" w:rsidR="00D633AC" w:rsidRPr="00B7032A" w:rsidRDefault="00D633AC" w:rsidP="00B90E5C">
      <w:pPr>
        <w:spacing w:line="276" w:lineRule="auto"/>
        <w:jc w:val="both"/>
        <w:rPr>
          <w:rFonts w:ascii="Arial" w:hAnsi="Arial" w:cs="Arial"/>
          <w:color w:val="000000" w:themeColor="text1"/>
          <w:sz w:val="22"/>
          <w:lang w:val="es-ES_tradnl"/>
        </w:rPr>
      </w:pPr>
    </w:p>
    <w:p w14:paraId="121F6233" w14:textId="77777777" w:rsidR="00AC4D98" w:rsidRPr="009D34ED" w:rsidRDefault="00AC4D98" w:rsidP="00AC4D98">
      <w:pPr>
        <w:ind w:left="709" w:right="618"/>
        <w:jc w:val="both"/>
        <w:rPr>
          <w:rFonts w:ascii="Arial" w:eastAsia="Calibri" w:hAnsi="Arial" w:cs="Arial"/>
          <w:bCs/>
          <w:sz w:val="21"/>
          <w:szCs w:val="21"/>
          <w:lang w:val="es-ES_tradnl"/>
        </w:rPr>
      </w:pPr>
      <w:r w:rsidRPr="009D34ED">
        <w:rPr>
          <w:rFonts w:ascii="Arial" w:eastAsia="Calibri" w:hAnsi="Arial" w:cs="Arial"/>
          <w:sz w:val="21"/>
          <w:szCs w:val="21"/>
          <w:lang w:val="es-ES"/>
        </w:rPr>
        <w:t>«</w:t>
      </w:r>
      <w:r w:rsidRPr="009D34ED">
        <w:rPr>
          <w:rFonts w:ascii="Arial" w:eastAsia="Calibri" w:hAnsi="Arial" w:cs="Arial"/>
          <w:bCs/>
          <w:sz w:val="21"/>
          <w:szCs w:val="21"/>
          <w:lang w:val="es-ES_tradnl"/>
        </w:rPr>
        <w:t xml:space="preserve">I. </w:t>
      </w:r>
      <w:r w:rsidRPr="009D34ED">
        <w:rPr>
          <w:rFonts w:ascii="Arial" w:eastAsia="Calibri" w:hAnsi="Arial" w:cs="Arial"/>
          <w:bCs/>
          <w:sz w:val="21"/>
          <w:szCs w:val="21"/>
        </w:rPr>
        <w:t>El Documento Base CCE-EICP-GI-14 dispone en el numeral 4.4.1. “</w:t>
      </w:r>
      <w:r w:rsidRPr="009D34ED">
        <w:rPr>
          <w:rFonts w:ascii="Arial" w:eastAsia="Calibri" w:hAnsi="Arial" w:cs="Arial"/>
          <w:bCs/>
          <w:i/>
          <w:iCs/>
          <w:sz w:val="21"/>
          <w:szCs w:val="21"/>
        </w:rPr>
        <w:t>PROMOCIÓN DE SERVICIOS NACIONALES O CON TRATO NACIONAL</w:t>
      </w:r>
      <w:r w:rsidRPr="009D34ED">
        <w:rPr>
          <w:rFonts w:ascii="Arial" w:eastAsia="Calibri" w:hAnsi="Arial" w:cs="Arial"/>
          <w:bCs/>
          <w:sz w:val="21"/>
          <w:szCs w:val="21"/>
        </w:rPr>
        <w:t xml:space="preserve">”, lo siguiente: </w:t>
      </w:r>
    </w:p>
    <w:p w14:paraId="5906FE84" w14:textId="77777777" w:rsidR="00AC4D98" w:rsidRPr="009D34ED" w:rsidRDefault="00AC4D98" w:rsidP="00AC4D98">
      <w:pPr>
        <w:ind w:left="709" w:right="618"/>
        <w:jc w:val="both"/>
        <w:rPr>
          <w:rFonts w:ascii="Arial" w:eastAsia="Calibri" w:hAnsi="Arial" w:cs="Arial"/>
          <w:bCs/>
          <w:i/>
          <w:iCs/>
          <w:sz w:val="21"/>
          <w:szCs w:val="21"/>
        </w:rPr>
      </w:pPr>
      <w:r w:rsidRPr="009D34ED">
        <w:rPr>
          <w:rFonts w:ascii="Arial" w:eastAsia="Calibri" w:hAnsi="Arial" w:cs="Arial"/>
          <w:bCs/>
          <w:i/>
          <w:iCs/>
          <w:sz w:val="21"/>
          <w:szCs w:val="21"/>
        </w:rPr>
        <w:t xml:space="preserve">“(…) B. Cuando se determine la existencia de oferta de los bienes nacionales relevantes requeridos para el desarrollo </w:t>
      </w:r>
      <w:r w:rsidRPr="009D34ED">
        <w:rPr>
          <w:rFonts w:ascii="Arial" w:eastAsia="Calibri" w:hAnsi="Arial" w:cs="Arial"/>
          <w:bCs/>
          <w:sz w:val="21"/>
          <w:szCs w:val="21"/>
        </w:rPr>
        <w:t xml:space="preserve">del </w:t>
      </w:r>
      <w:r w:rsidRPr="009D34ED">
        <w:rPr>
          <w:rFonts w:ascii="Arial" w:eastAsia="Calibri" w:hAnsi="Arial" w:cs="Arial"/>
          <w:bCs/>
          <w:i/>
          <w:iCs/>
          <w:sz w:val="21"/>
          <w:szCs w:val="21"/>
        </w:rPr>
        <w:t xml:space="preserve">presente objeto contractual dentro del Registro de Productores de Bienes Nacionales, no se otorgará puntaje a los Proponentes que no ofrezcan alguno de los bienes mencionados. (…)” </w:t>
      </w:r>
    </w:p>
    <w:p w14:paraId="7C5EEC6F" w14:textId="77777777" w:rsidR="00AC4D98" w:rsidRPr="009D34ED" w:rsidRDefault="00AC4D98" w:rsidP="00AC4D98">
      <w:pPr>
        <w:ind w:left="709" w:right="618"/>
        <w:jc w:val="both"/>
        <w:rPr>
          <w:rFonts w:ascii="Arial" w:eastAsia="Calibri" w:hAnsi="Arial" w:cs="Arial"/>
          <w:bCs/>
          <w:sz w:val="21"/>
          <w:szCs w:val="21"/>
        </w:rPr>
      </w:pPr>
    </w:p>
    <w:p w14:paraId="60A16066" w14:textId="2549A575" w:rsidR="00AC4D98" w:rsidRPr="009D34ED" w:rsidRDefault="00AC4D98" w:rsidP="00AC4D98">
      <w:pPr>
        <w:ind w:left="709" w:right="618"/>
        <w:jc w:val="both"/>
        <w:rPr>
          <w:rFonts w:ascii="Arial" w:eastAsia="Calibri" w:hAnsi="Arial" w:cs="Arial"/>
          <w:bCs/>
          <w:sz w:val="21"/>
          <w:szCs w:val="21"/>
        </w:rPr>
      </w:pPr>
      <w:r w:rsidRPr="009D34ED">
        <w:rPr>
          <w:rFonts w:ascii="Arial" w:eastAsia="Calibri" w:hAnsi="Arial" w:cs="Arial"/>
          <w:bCs/>
          <w:sz w:val="21"/>
          <w:szCs w:val="21"/>
        </w:rPr>
        <w:t xml:space="preserve">Teniendo en cuenta que, los Bienes que se encuentran en la Plataforma denominada </w:t>
      </w:r>
      <w:r w:rsidRPr="009D34ED">
        <w:rPr>
          <w:rFonts w:ascii="Arial" w:eastAsia="Calibri" w:hAnsi="Arial" w:cs="Arial"/>
          <w:bCs/>
          <w:i/>
          <w:iCs/>
          <w:sz w:val="21"/>
          <w:szCs w:val="21"/>
        </w:rPr>
        <w:t>Ventanilla Única de Comercio Exterior</w:t>
      </w:r>
      <w:r w:rsidRPr="009D34ED">
        <w:rPr>
          <w:rFonts w:ascii="Arial" w:eastAsia="Calibri" w:hAnsi="Arial" w:cs="Arial"/>
          <w:bCs/>
          <w:sz w:val="21"/>
          <w:szCs w:val="21"/>
        </w:rPr>
        <w:t xml:space="preserve">, ubicada en la página web </w:t>
      </w:r>
      <w:hyperlink r:id="rId15" w:history="1">
        <w:r w:rsidR="00FB0BFB" w:rsidRPr="009D34ED">
          <w:rPr>
            <w:rFonts w:eastAsia="Calibri"/>
          </w:rPr>
          <w:t>www.vuce</w:t>
        </w:r>
      </w:hyperlink>
      <w:r w:rsidRPr="009D34ED">
        <w:rPr>
          <w:rFonts w:ascii="Arial" w:eastAsia="Calibri" w:hAnsi="Arial" w:cs="Arial"/>
          <w:bCs/>
          <w:sz w:val="21"/>
          <w:szCs w:val="21"/>
        </w:rPr>
        <w:t xml:space="preserve">.gov.co, y que dentro del Registro de Productores y Bienes Nacionales se puede observar una fecha de vencimiento a tal registro, surge la necesidad de solicitar las siguientes aclaraciones: </w:t>
      </w:r>
    </w:p>
    <w:p w14:paraId="29FC0F7C" w14:textId="77777777" w:rsidR="00AC4D98" w:rsidRPr="009D34ED" w:rsidRDefault="00AC4D98" w:rsidP="00AC4D98">
      <w:pPr>
        <w:ind w:left="709" w:right="618"/>
        <w:jc w:val="both"/>
        <w:rPr>
          <w:rFonts w:ascii="Arial" w:eastAsia="Calibri" w:hAnsi="Arial" w:cs="Arial"/>
          <w:bCs/>
          <w:sz w:val="21"/>
          <w:szCs w:val="21"/>
        </w:rPr>
      </w:pPr>
    </w:p>
    <w:p w14:paraId="45EAC723" w14:textId="155D3766" w:rsidR="00AC4D98" w:rsidRPr="009D34ED" w:rsidRDefault="00AC4D98" w:rsidP="00B7032A">
      <w:pPr>
        <w:ind w:left="709" w:right="618"/>
        <w:jc w:val="both"/>
        <w:rPr>
          <w:rFonts w:ascii="Arial" w:eastAsiaTheme="minorHAnsi" w:hAnsi="Arial" w:cs="Arial"/>
          <w:szCs w:val="22"/>
        </w:rPr>
      </w:pPr>
      <w:r w:rsidRPr="009D34ED">
        <w:rPr>
          <w:rFonts w:ascii="Arial" w:eastAsiaTheme="minorHAnsi" w:hAnsi="Arial" w:cs="Arial"/>
          <w:szCs w:val="22"/>
        </w:rPr>
        <w:t xml:space="preserve">1. ¿Cómo debe proceder la Entidad, cuando el registro de uno de los Bienes determinados como relevantes, vence durante el desarrollo del proceso de selección de contratistas? </w:t>
      </w:r>
    </w:p>
    <w:p w14:paraId="0B8F4885" w14:textId="12DDBC4F" w:rsidR="00592D40" w:rsidRPr="009D34ED" w:rsidRDefault="00592D40" w:rsidP="00592D40">
      <w:pPr>
        <w:ind w:right="618"/>
        <w:jc w:val="both"/>
        <w:rPr>
          <w:rFonts w:ascii="Arial" w:eastAsia="Calibri" w:hAnsi="Arial" w:cs="Arial"/>
          <w:bCs/>
          <w:sz w:val="21"/>
          <w:szCs w:val="21"/>
        </w:rPr>
      </w:pPr>
    </w:p>
    <w:p w14:paraId="3DEB71D4" w14:textId="4F0AD608" w:rsidR="00D57534" w:rsidRPr="009D34ED" w:rsidRDefault="00632215" w:rsidP="00592D40">
      <w:pPr>
        <w:spacing w:line="276" w:lineRule="auto"/>
        <w:ind w:right="618"/>
        <w:jc w:val="both"/>
        <w:rPr>
          <w:rFonts w:ascii="Arial" w:eastAsia="Calibri" w:hAnsi="Arial" w:cs="Arial"/>
          <w:bCs/>
          <w:color w:val="000000"/>
          <w:sz w:val="22"/>
          <w:szCs w:val="22"/>
          <w:lang w:val="es-ES_tradnl" w:eastAsia="en-US"/>
        </w:rPr>
      </w:pPr>
      <w:r w:rsidRPr="009D34ED">
        <w:rPr>
          <w:rFonts w:ascii="Arial" w:eastAsia="Arial" w:hAnsi="Arial" w:cs="Arial"/>
          <w:bCs/>
          <w:sz w:val="22"/>
          <w:szCs w:val="22"/>
          <w:lang w:eastAsia="es-ES" w:bidi="es-ES"/>
        </w:rPr>
        <w:t>P</w:t>
      </w:r>
      <w:r w:rsidR="00D57534" w:rsidRPr="009D34ED">
        <w:rPr>
          <w:rFonts w:ascii="Arial" w:eastAsia="Arial" w:hAnsi="Arial" w:cs="Arial"/>
          <w:bCs/>
          <w:sz w:val="22"/>
          <w:szCs w:val="22"/>
          <w:lang w:eastAsia="es-ES" w:bidi="es-ES"/>
        </w:rPr>
        <w:t xml:space="preserve">ara determinar uno o varios bienes nacionales relevantes en los documentos tipo la entidad estatal debe aplicar los criterios establecidos en el artículo </w:t>
      </w:r>
      <w:r w:rsidR="00D57534" w:rsidRPr="009D34ED">
        <w:rPr>
          <w:rFonts w:ascii="Arial" w:eastAsia="Arial" w:hAnsi="Arial" w:cs="Arial"/>
          <w:sz w:val="22"/>
          <w:szCs w:val="22"/>
          <w:lang w:val="es-419" w:eastAsia="en-US"/>
        </w:rPr>
        <w:t xml:space="preserve">2.2.1.2.4.2.9. del Decreto 1082 de 2015 </w:t>
      </w:r>
      <w:r w:rsidR="00D57534" w:rsidRPr="009D34ED">
        <w:rPr>
          <w:rFonts w:ascii="Arial" w:eastAsia="Calibri" w:hAnsi="Arial" w:cs="Arial"/>
          <w:bCs/>
          <w:color w:val="000000"/>
          <w:sz w:val="22"/>
          <w:szCs w:val="22"/>
          <w:lang w:val="es-ES_tradnl" w:eastAsia="en-US"/>
        </w:rPr>
        <w:t xml:space="preserve">adicionado por el Decreto 680 de 2021 y, </w:t>
      </w:r>
      <w:r w:rsidR="00D57534" w:rsidRPr="009D34ED">
        <w:rPr>
          <w:rFonts w:ascii="Arial" w:eastAsia="Arial" w:hAnsi="Arial" w:cs="Arial"/>
          <w:sz w:val="22"/>
          <w:szCs w:val="22"/>
          <w:lang w:val="es-419" w:eastAsia="en-US"/>
        </w:rPr>
        <w:t xml:space="preserve">además, deberá aplicar los parámetros contenidos en la </w:t>
      </w:r>
      <w:r w:rsidR="00D57534" w:rsidRPr="009D34ED">
        <w:rPr>
          <w:rFonts w:ascii="Arial" w:eastAsia="Calibri" w:hAnsi="Arial" w:cs="Arial"/>
          <w:bCs/>
          <w:color w:val="000000"/>
          <w:sz w:val="22"/>
          <w:szCs w:val="22"/>
          <w:lang w:val="es-ES_tradnl" w:eastAsia="en-US"/>
        </w:rPr>
        <w:t>«</w:t>
      </w:r>
      <w:r w:rsidR="00D57534" w:rsidRPr="009D34ED">
        <w:rPr>
          <w:rFonts w:ascii="Arial" w:eastAsia="Arial" w:hAnsi="Arial" w:cs="Arial"/>
          <w:bCs/>
          <w:sz w:val="22"/>
          <w:szCs w:val="22"/>
          <w:lang w:eastAsia="es-ES" w:bidi="es-ES"/>
        </w:rPr>
        <w:t>Matriz 3 – Bienes nacionales relevantes para la obra pública de infraestructura social</w:t>
      </w:r>
      <w:r w:rsidR="00D57534" w:rsidRPr="009D34ED">
        <w:rPr>
          <w:rFonts w:ascii="Arial" w:eastAsia="Calibri" w:hAnsi="Arial" w:cs="Arial"/>
          <w:bCs/>
          <w:color w:val="000000"/>
          <w:sz w:val="22"/>
          <w:szCs w:val="22"/>
          <w:lang w:val="es-ES_tradnl" w:eastAsia="en-US"/>
        </w:rPr>
        <w:t xml:space="preserve">». </w:t>
      </w:r>
    </w:p>
    <w:p w14:paraId="5FE567F1" w14:textId="17D007FE" w:rsidR="00592D40" w:rsidRPr="009D34ED" w:rsidRDefault="00D57534" w:rsidP="00D57534">
      <w:pPr>
        <w:spacing w:before="120" w:line="276" w:lineRule="auto"/>
        <w:ind w:right="618" w:firstLine="709"/>
        <w:jc w:val="both"/>
        <w:rPr>
          <w:rFonts w:ascii="Arial" w:eastAsia="Arial" w:hAnsi="Arial" w:cs="Arial"/>
          <w:bCs/>
          <w:sz w:val="22"/>
          <w:szCs w:val="22"/>
          <w:lang w:eastAsia="es-ES" w:bidi="es-ES"/>
        </w:rPr>
      </w:pPr>
      <w:r w:rsidRPr="009D34ED">
        <w:rPr>
          <w:rFonts w:ascii="Arial" w:eastAsia="Calibri" w:hAnsi="Arial" w:cs="Arial"/>
          <w:bCs/>
          <w:color w:val="000000"/>
          <w:sz w:val="22"/>
          <w:szCs w:val="22"/>
          <w:lang w:val="es-ES_tradnl" w:eastAsia="en-US"/>
        </w:rPr>
        <w:t>De esta manera, l</w:t>
      </w:r>
      <w:r w:rsidR="00592D40" w:rsidRPr="009D34ED">
        <w:rPr>
          <w:rFonts w:ascii="Arial" w:eastAsia="Arial" w:hAnsi="Arial" w:cs="Arial"/>
          <w:bCs/>
          <w:sz w:val="22"/>
          <w:szCs w:val="22"/>
          <w:lang w:eastAsia="es-ES" w:bidi="es-ES"/>
        </w:rPr>
        <w:t xml:space="preserve">os aspectos relacionados con la vigencia de los bienes relevantes nacionales incluidos en el Registro de Productores de Bienes Nacionales durante el proceso de </w:t>
      </w:r>
      <w:r w:rsidRPr="009D34ED">
        <w:rPr>
          <w:rFonts w:ascii="Arial" w:eastAsia="Arial" w:hAnsi="Arial" w:cs="Arial"/>
          <w:bCs/>
          <w:sz w:val="22"/>
          <w:szCs w:val="22"/>
          <w:lang w:eastAsia="es-ES" w:bidi="es-ES"/>
        </w:rPr>
        <w:t>contratación</w:t>
      </w:r>
      <w:r w:rsidR="00592D40" w:rsidRPr="009D34ED">
        <w:rPr>
          <w:rFonts w:ascii="Arial" w:eastAsia="Arial" w:hAnsi="Arial" w:cs="Arial"/>
          <w:bCs/>
          <w:sz w:val="22"/>
          <w:szCs w:val="22"/>
          <w:lang w:eastAsia="es-ES" w:bidi="es-ES"/>
        </w:rPr>
        <w:t xml:space="preserve"> deberán verificarse de acuerdo con lo señalado en el numeral 9 de la </w:t>
      </w:r>
      <w:r w:rsidR="00592D40" w:rsidRPr="009D34ED">
        <w:rPr>
          <w:rFonts w:ascii="Arial" w:eastAsia="Calibri" w:hAnsi="Arial" w:cs="Arial"/>
          <w:bCs/>
          <w:color w:val="000000"/>
          <w:sz w:val="22"/>
          <w:szCs w:val="22"/>
          <w:lang w:val="es-ES_tradnl" w:eastAsia="en-US"/>
        </w:rPr>
        <w:t>«</w:t>
      </w:r>
      <w:r w:rsidR="00592D40" w:rsidRPr="009D34ED">
        <w:rPr>
          <w:rFonts w:ascii="Arial" w:eastAsia="Arial" w:hAnsi="Arial" w:cs="Arial"/>
          <w:bCs/>
          <w:sz w:val="22"/>
          <w:szCs w:val="22"/>
          <w:lang w:eastAsia="es-ES" w:bidi="es-ES"/>
        </w:rPr>
        <w:t>Matriz 3 – Bienes nacionales relevantes para la obra pública de infraestructura social</w:t>
      </w:r>
      <w:r w:rsidR="00592D40" w:rsidRPr="009D34ED">
        <w:rPr>
          <w:rFonts w:ascii="Arial" w:eastAsia="Calibri" w:hAnsi="Arial" w:cs="Arial"/>
          <w:bCs/>
          <w:color w:val="000000"/>
          <w:sz w:val="22"/>
          <w:szCs w:val="22"/>
          <w:lang w:val="es-ES_tradnl" w:eastAsia="en-US"/>
        </w:rPr>
        <w:t xml:space="preserve">». En este sentido, su incorporación en el documento base estará supeditada a que el registro de estos bienes </w:t>
      </w:r>
      <w:r w:rsidR="00592D40" w:rsidRPr="009D34ED">
        <w:rPr>
          <w:rFonts w:ascii="Arial" w:eastAsia="Arial" w:hAnsi="Arial" w:cs="Arial"/>
          <w:bCs/>
          <w:sz w:val="22"/>
          <w:szCs w:val="22"/>
          <w:lang w:eastAsia="es-ES" w:bidi="es-ES"/>
        </w:rPr>
        <w:t>esté vigente hasta una fecha posterior a la del cierre del proceso, caso en el cual se deberán tener en cuenta para la aplicación del puntaje conforme lo señala la opción 1 del numeral 4.4.1</w:t>
      </w:r>
      <w:r w:rsidRPr="009D34ED">
        <w:rPr>
          <w:rFonts w:ascii="Arial" w:eastAsia="Arial" w:hAnsi="Arial" w:cs="Arial"/>
          <w:bCs/>
          <w:sz w:val="22"/>
          <w:szCs w:val="22"/>
          <w:lang w:eastAsia="es-ES" w:bidi="es-ES"/>
        </w:rPr>
        <w:t xml:space="preserve"> del documento base</w:t>
      </w:r>
      <w:r w:rsidR="00592D40" w:rsidRPr="009D34ED">
        <w:rPr>
          <w:rFonts w:ascii="Arial" w:eastAsia="Arial" w:hAnsi="Arial" w:cs="Arial"/>
          <w:bCs/>
          <w:sz w:val="22"/>
          <w:szCs w:val="22"/>
          <w:lang w:eastAsia="es-ES" w:bidi="es-ES"/>
        </w:rPr>
        <w:t>. En caso contrario,</w:t>
      </w:r>
      <w:r w:rsidRPr="009D34ED">
        <w:rPr>
          <w:rFonts w:ascii="Arial" w:eastAsia="Arial" w:hAnsi="Arial" w:cs="Arial"/>
          <w:bCs/>
          <w:sz w:val="22"/>
          <w:szCs w:val="22"/>
          <w:lang w:eastAsia="es-ES" w:bidi="es-ES"/>
        </w:rPr>
        <w:t xml:space="preserve"> es decir, si el bien tiene fecha de vencimiento con anterioridad a la fecha del cierre del proceso, </w:t>
      </w:r>
      <w:r w:rsidR="00632215" w:rsidRPr="009D34ED">
        <w:rPr>
          <w:rFonts w:ascii="Arial" w:eastAsia="Arial" w:hAnsi="Arial" w:cs="Arial"/>
          <w:bCs/>
          <w:sz w:val="22"/>
          <w:szCs w:val="22"/>
          <w:lang w:eastAsia="es-ES" w:bidi="es-ES"/>
        </w:rPr>
        <w:t xml:space="preserve">se aplicará lo señalado en el numeral 10 de la matriz, por lo que </w:t>
      </w:r>
      <w:r w:rsidR="00592D40" w:rsidRPr="009D34ED">
        <w:rPr>
          <w:rFonts w:ascii="Arial" w:eastAsia="Arial" w:hAnsi="Arial" w:cs="Arial"/>
          <w:bCs/>
          <w:sz w:val="22"/>
          <w:szCs w:val="22"/>
          <w:lang w:eastAsia="es-ES" w:bidi="es-ES"/>
        </w:rPr>
        <w:t>el puntaje se otorgará teniendo en cuenta el porcentaje de empleados o contratistas que se comprometa a cumplir por prestación de servicios colombianos del personal requerido para el cumplimiento del contrato, de acuerdo con la opción 2 del numeral 4.4.1</w:t>
      </w:r>
    </w:p>
    <w:p w14:paraId="5F8DD9B2" w14:textId="77777777" w:rsidR="00592D40" w:rsidRPr="009D34ED" w:rsidRDefault="00592D40" w:rsidP="00592D40">
      <w:pPr>
        <w:ind w:right="618"/>
        <w:jc w:val="both"/>
        <w:rPr>
          <w:rFonts w:ascii="Arial" w:eastAsia="Calibri" w:hAnsi="Arial" w:cs="Arial"/>
          <w:bCs/>
          <w:sz w:val="21"/>
          <w:szCs w:val="21"/>
        </w:rPr>
      </w:pPr>
    </w:p>
    <w:p w14:paraId="532FD423" w14:textId="4D79374E" w:rsidR="00AC4D98" w:rsidRPr="009D34ED" w:rsidRDefault="00AC4D98" w:rsidP="00B7032A">
      <w:pPr>
        <w:ind w:left="709" w:right="618"/>
        <w:jc w:val="both"/>
        <w:rPr>
          <w:rFonts w:ascii="Arial" w:eastAsiaTheme="minorHAnsi" w:hAnsi="Arial" w:cs="Arial"/>
          <w:szCs w:val="22"/>
        </w:rPr>
      </w:pPr>
      <w:r w:rsidRPr="009D34ED">
        <w:rPr>
          <w:rFonts w:ascii="Arial" w:eastAsiaTheme="minorHAnsi" w:hAnsi="Arial" w:cs="Arial"/>
          <w:szCs w:val="22"/>
        </w:rPr>
        <w:t xml:space="preserve">2. ¿Cómo debe proceder la Entidad, cuando el registro de uno de los Bienes determinados como relevantes, vence dentro o durante el plazo de ejecución contractual? </w:t>
      </w:r>
    </w:p>
    <w:p w14:paraId="1D5046F0" w14:textId="77777777" w:rsidR="00C42105" w:rsidRPr="009D34ED" w:rsidRDefault="00C42105" w:rsidP="00AC4D98">
      <w:pPr>
        <w:ind w:left="709" w:right="618"/>
        <w:jc w:val="both"/>
        <w:rPr>
          <w:rFonts w:ascii="Arial" w:eastAsia="Calibri" w:hAnsi="Arial" w:cs="Arial"/>
          <w:bCs/>
          <w:sz w:val="21"/>
          <w:szCs w:val="21"/>
        </w:rPr>
      </w:pPr>
    </w:p>
    <w:p w14:paraId="6CEA24A5" w14:textId="3D475886" w:rsidR="00AC4D98" w:rsidRPr="009D34ED" w:rsidRDefault="00F91E01" w:rsidP="00F91E01">
      <w:pPr>
        <w:spacing w:line="276" w:lineRule="auto"/>
        <w:jc w:val="both"/>
        <w:rPr>
          <w:rFonts w:ascii="Arial" w:eastAsia="Calibri" w:hAnsi="Arial" w:cs="Arial"/>
          <w:bCs/>
          <w:sz w:val="21"/>
          <w:szCs w:val="21"/>
        </w:rPr>
      </w:pPr>
      <w:r w:rsidRPr="009D34ED">
        <w:rPr>
          <w:rFonts w:ascii="Arial" w:eastAsia="Arial" w:hAnsi="Arial" w:cs="Arial"/>
          <w:bCs/>
          <w:sz w:val="22"/>
          <w:szCs w:val="22"/>
          <w:lang w:eastAsia="es-ES" w:bidi="es-ES"/>
        </w:rPr>
        <w:t xml:space="preserve">La cláusula 9 del </w:t>
      </w:r>
      <w:r w:rsidRPr="009D34ED">
        <w:rPr>
          <w:rFonts w:ascii="Arial" w:eastAsia="Calibri" w:hAnsi="Arial" w:cs="Arial"/>
          <w:bCs/>
          <w:color w:val="000000"/>
          <w:sz w:val="22"/>
          <w:szCs w:val="22"/>
          <w:lang w:val="es-ES_tradnl" w:eastAsia="en-US"/>
        </w:rPr>
        <w:t>«</w:t>
      </w:r>
      <w:r w:rsidRPr="009D34ED">
        <w:rPr>
          <w:rFonts w:ascii="Arial" w:eastAsia="Arial" w:hAnsi="Arial" w:cs="Arial"/>
          <w:bCs/>
          <w:sz w:val="22"/>
          <w:szCs w:val="22"/>
          <w:lang w:eastAsia="es-ES" w:bidi="es-ES"/>
        </w:rPr>
        <w:t>Anexo 4 – Minuta del Contrato</w:t>
      </w:r>
      <w:r w:rsidRPr="009D34ED">
        <w:rPr>
          <w:rFonts w:ascii="Arial" w:eastAsia="Calibri" w:hAnsi="Arial" w:cs="Arial"/>
          <w:bCs/>
          <w:color w:val="000000"/>
          <w:sz w:val="22"/>
          <w:szCs w:val="22"/>
          <w:lang w:val="es-ES_tradnl" w:eastAsia="en-US"/>
        </w:rPr>
        <w:t>»</w:t>
      </w:r>
      <w:r w:rsidRPr="009D34ED">
        <w:rPr>
          <w:rFonts w:ascii="Arial" w:eastAsia="Arial" w:hAnsi="Arial" w:cs="Arial"/>
          <w:bCs/>
          <w:sz w:val="22"/>
          <w:szCs w:val="22"/>
          <w:lang w:eastAsia="es-ES" w:bidi="es-ES"/>
        </w:rPr>
        <w:t xml:space="preserve"> contempla varios supuestos en los que el contratista quedará exento de cumplir con las obligaciones relacionadas con la utilización de bienes nacionales relevantes durante la ejecución el contrato. En relación con el vencimiento del registro del bien nacional relevante durante la ejecución del contrato</w:t>
      </w:r>
      <w:r w:rsidR="002B7A0B" w:rsidRPr="009D34ED">
        <w:rPr>
          <w:rFonts w:ascii="Arial" w:eastAsia="Arial" w:hAnsi="Arial" w:cs="Arial"/>
          <w:bCs/>
          <w:sz w:val="22"/>
          <w:szCs w:val="22"/>
          <w:lang w:eastAsia="es-ES" w:bidi="es-ES"/>
        </w:rPr>
        <w:t>, se considera que</w:t>
      </w:r>
      <w:r w:rsidRPr="009D34ED">
        <w:rPr>
          <w:rFonts w:ascii="Arial" w:eastAsia="Arial" w:hAnsi="Arial" w:cs="Arial"/>
          <w:bCs/>
          <w:sz w:val="22"/>
          <w:szCs w:val="22"/>
          <w:lang w:eastAsia="es-ES" w:bidi="es-ES"/>
        </w:rPr>
        <w:t xml:space="preserve"> </w:t>
      </w:r>
      <w:r w:rsidR="00FB0BFB" w:rsidRPr="009D34ED">
        <w:rPr>
          <w:rFonts w:ascii="Arial" w:eastAsia="Arial" w:hAnsi="Arial" w:cs="Arial"/>
          <w:bCs/>
          <w:sz w:val="22"/>
          <w:szCs w:val="22"/>
          <w:lang w:eastAsia="es-ES" w:bidi="es-ES"/>
        </w:rPr>
        <w:t xml:space="preserve">dicha hipótesis </w:t>
      </w:r>
      <w:r w:rsidRPr="009D34ED">
        <w:rPr>
          <w:rFonts w:ascii="Arial" w:eastAsia="Arial" w:hAnsi="Arial" w:cs="Arial"/>
          <w:bCs/>
          <w:sz w:val="22"/>
          <w:szCs w:val="22"/>
          <w:lang w:eastAsia="es-ES" w:bidi="es-ES"/>
        </w:rPr>
        <w:t xml:space="preserve">puede enmarcarse en el primer supuesto señalado en esta cláusula, esto es, que el bien no este registrado en el Registro de Productores de Bienes Nacionales al momento de su adquisición. Lo anterior debido a que si el registro se encuentre vencido en el momento de la adquisición del bien, en principio podría concluirse que este no hace parte del Registro de Productores de Bienes Nacionales. Por consiguiente, en este caso la entidad deberá </w:t>
      </w:r>
      <w:r w:rsidR="00FB0BFB" w:rsidRPr="009D34ED">
        <w:rPr>
          <w:rFonts w:ascii="Arial" w:eastAsia="Arial" w:hAnsi="Arial" w:cs="Arial"/>
          <w:bCs/>
          <w:sz w:val="22"/>
          <w:szCs w:val="22"/>
          <w:lang w:eastAsia="es-ES" w:bidi="es-ES"/>
        </w:rPr>
        <w:t>aplicar el</w:t>
      </w:r>
      <w:r w:rsidRPr="009D34ED">
        <w:rPr>
          <w:rFonts w:ascii="Arial" w:eastAsia="Arial" w:hAnsi="Arial" w:cs="Arial"/>
          <w:bCs/>
          <w:sz w:val="22"/>
          <w:szCs w:val="22"/>
          <w:lang w:eastAsia="es-ES" w:bidi="es-ES"/>
        </w:rPr>
        <w:t xml:space="preserve"> procedimiento señalado en la cláusula 9 del del </w:t>
      </w:r>
      <w:r w:rsidRPr="009D34ED">
        <w:rPr>
          <w:rFonts w:ascii="Arial" w:eastAsia="Calibri" w:hAnsi="Arial" w:cs="Arial"/>
          <w:bCs/>
          <w:color w:val="000000"/>
          <w:sz w:val="22"/>
          <w:szCs w:val="22"/>
          <w:lang w:val="es-ES_tradnl" w:eastAsia="en-US"/>
        </w:rPr>
        <w:t>«</w:t>
      </w:r>
      <w:r w:rsidRPr="009D34ED">
        <w:rPr>
          <w:rFonts w:ascii="Arial" w:eastAsia="Arial" w:hAnsi="Arial" w:cs="Arial"/>
          <w:bCs/>
          <w:sz w:val="22"/>
          <w:szCs w:val="22"/>
          <w:lang w:eastAsia="es-ES" w:bidi="es-ES"/>
        </w:rPr>
        <w:t>Anexo 4 – Minuta del Contrato</w:t>
      </w:r>
      <w:r w:rsidRPr="009D34ED">
        <w:rPr>
          <w:rFonts w:ascii="Arial" w:eastAsia="Calibri" w:hAnsi="Arial" w:cs="Arial"/>
          <w:bCs/>
          <w:color w:val="000000"/>
          <w:sz w:val="22"/>
          <w:szCs w:val="22"/>
          <w:lang w:val="es-ES_tradnl" w:eastAsia="en-US"/>
        </w:rPr>
        <w:t xml:space="preserve">». De cualquier manera, corresponde a la entidad revisar cada caso en concreto y tener en cuenta la normativa especial que regula </w:t>
      </w:r>
      <w:r w:rsidRPr="009D34ED">
        <w:rPr>
          <w:rFonts w:ascii="Arial" w:eastAsia="Calibri" w:hAnsi="Arial" w:cs="Arial"/>
          <w:bCs/>
          <w:color w:val="000000"/>
          <w:sz w:val="22"/>
          <w:szCs w:val="22"/>
          <w:lang w:val="es-ES_tradnl" w:eastAsia="en-US"/>
        </w:rPr>
        <w:lastRenderedPageBreak/>
        <w:t xml:space="preserve">la materia para efectos de verificar la vigencia y demás aspectos respectivos de los bienes relevantes en el </w:t>
      </w:r>
      <w:r w:rsidRPr="009D34ED">
        <w:rPr>
          <w:rFonts w:ascii="Arial" w:eastAsia="Arial" w:hAnsi="Arial" w:cs="Arial"/>
          <w:bCs/>
          <w:sz w:val="22"/>
          <w:szCs w:val="22"/>
          <w:lang w:eastAsia="es-ES" w:bidi="es-ES"/>
        </w:rPr>
        <w:t>Registro de Productores de Bienes Nacionales</w:t>
      </w:r>
      <w:r w:rsidR="005E2B72" w:rsidRPr="009D34ED">
        <w:rPr>
          <w:rFonts w:ascii="Arial" w:eastAsia="Arial" w:hAnsi="Arial" w:cs="Arial"/>
          <w:bCs/>
          <w:sz w:val="22"/>
          <w:szCs w:val="22"/>
          <w:lang w:eastAsia="es-ES" w:bidi="es-ES"/>
        </w:rPr>
        <w:t xml:space="preserve">. </w:t>
      </w:r>
    </w:p>
    <w:p w14:paraId="4778E306" w14:textId="77777777" w:rsidR="00592D40" w:rsidRPr="009D34ED" w:rsidRDefault="00592D40" w:rsidP="00592D40">
      <w:pPr>
        <w:ind w:right="618"/>
        <w:jc w:val="both"/>
        <w:rPr>
          <w:rFonts w:ascii="Arial" w:eastAsia="Calibri" w:hAnsi="Arial" w:cs="Arial"/>
          <w:bCs/>
          <w:sz w:val="21"/>
          <w:szCs w:val="21"/>
        </w:rPr>
      </w:pPr>
    </w:p>
    <w:p w14:paraId="6D8CB74A" w14:textId="592CC3E3" w:rsidR="00AC4D98" w:rsidRPr="009D34ED" w:rsidRDefault="00AC4D98" w:rsidP="00AC4D98">
      <w:pPr>
        <w:ind w:left="709" w:right="618"/>
        <w:jc w:val="both"/>
        <w:rPr>
          <w:rFonts w:ascii="Arial" w:eastAsia="Calibri" w:hAnsi="Arial" w:cs="Arial"/>
          <w:bCs/>
          <w:sz w:val="21"/>
          <w:szCs w:val="21"/>
        </w:rPr>
      </w:pPr>
      <w:r w:rsidRPr="009D34ED">
        <w:rPr>
          <w:rFonts w:ascii="Arial" w:eastAsia="Calibri" w:hAnsi="Arial" w:cs="Arial"/>
          <w:bCs/>
          <w:sz w:val="21"/>
          <w:szCs w:val="21"/>
        </w:rPr>
        <w:t xml:space="preserve">3. En cuanto a la metodología para establecer la condición de Bienes relevantes de origen nacional para los Proyectos de Infraestructura Social Educativa, ¿la Entidad podría hacer el análisis a partir de ítems o actividades de obra relevantes partiendo de la premisa que los insumos que componen dichas actividades generan los insumos relevantes de un presupuesto? </w:t>
      </w:r>
    </w:p>
    <w:p w14:paraId="50D60A41" w14:textId="751BD488" w:rsidR="003840E0" w:rsidRPr="009D34ED" w:rsidRDefault="003840E0" w:rsidP="00AC4D98">
      <w:pPr>
        <w:ind w:left="709" w:right="618"/>
        <w:jc w:val="both"/>
        <w:rPr>
          <w:rFonts w:ascii="Arial" w:eastAsia="Calibri" w:hAnsi="Arial" w:cs="Arial"/>
          <w:bCs/>
          <w:sz w:val="21"/>
          <w:szCs w:val="21"/>
        </w:rPr>
      </w:pPr>
      <w:r w:rsidRPr="009D34ED">
        <w:rPr>
          <w:rFonts w:ascii="Arial" w:eastAsia="Calibri" w:hAnsi="Arial" w:cs="Arial"/>
          <w:bCs/>
          <w:sz w:val="21"/>
          <w:szCs w:val="21"/>
        </w:rPr>
        <w:t>[…]</w:t>
      </w:r>
      <w:r w:rsidRPr="009D34ED">
        <w:rPr>
          <w:rFonts w:ascii="Arial" w:eastAsia="Calibri" w:hAnsi="Arial" w:cs="Arial"/>
          <w:bCs/>
          <w:sz w:val="21"/>
          <w:szCs w:val="21"/>
        </w:rPr>
        <w:br/>
        <w:t>Con el propósito de ilustrar la propuesta, adjuntamos a la presente un documento con la metodología (ejemplo práctico en PowerPoint) que adoptaríamos para los presupuestos recibidos producto de las consultorías contratadas por la Entidad, en caso de que fuera aprobado por Colombia Compra Eficiente</w:t>
      </w:r>
    </w:p>
    <w:p w14:paraId="6DB92C4A" w14:textId="77777777" w:rsidR="00592D40" w:rsidRPr="009D34ED" w:rsidRDefault="00592D40" w:rsidP="00592D40">
      <w:pPr>
        <w:ind w:right="618"/>
        <w:jc w:val="both"/>
        <w:rPr>
          <w:rFonts w:ascii="Arial" w:eastAsia="Arial" w:hAnsi="Arial" w:cs="Arial"/>
          <w:bCs/>
          <w:sz w:val="22"/>
          <w:szCs w:val="22"/>
          <w:lang w:eastAsia="es-ES" w:bidi="es-ES"/>
        </w:rPr>
      </w:pPr>
    </w:p>
    <w:p w14:paraId="34B2E512" w14:textId="0FEA3347" w:rsidR="00632215" w:rsidRPr="009D34ED" w:rsidRDefault="00632215" w:rsidP="00FE11D8">
      <w:pPr>
        <w:widowControl w:val="0"/>
        <w:autoSpaceDE w:val="0"/>
        <w:autoSpaceDN w:val="0"/>
        <w:spacing w:line="276" w:lineRule="auto"/>
        <w:jc w:val="both"/>
        <w:rPr>
          <w:rFonts w:ascii="Arial" w:eastAsia="Arial" w:hAnsi="Arial" w:cs="Arial"/>
          <w:bCs/>
          <w:iCs/>
          <w:sz w:val="22"/>
          <w:szCs w:val="22"/>
          <w:lang w:eastAsia="es-ES" w:bidi="es-ES"/>
        </w:rPr>
      </w:pPr>
      <w:r w:rsidRPr="009D34ED">
        <w:rPr>
          <w:rFonts w:ascii="Arial" w:eastAsia="Arial" w:hAnsi="Arial" w:cs="Arial"/>
          <w:bCs/>
          <w:sz w:val="22"/>
          <w:szCs w:val="22"/>
          <w:lang w:eastAsia="es-ES" w:bidi="es-ES"/>
        </w:rPr>
        <w:t xml:space="preserve">De conformidad con las consideraciones expuestas, la metodología </w:t>
      </w:r>
      <w:r w:rsidR="006D16B9" w:rsidRPr="009D34ED">
        <w:rPr>
          <w:rFonts w:ascii="Arial" w:eastAsia="Arial" w:hAnsi="Arial" w:cs="Arial"/>
          <w:bCs/>
          <w:sz w:val="22"/>
          <w:szCs w:val="22"/>
          <w:lang w:eastAsia="es-ES" w:bidi="es-ES"/>
        </w:rPr>
        <w:t xml:space="preserve">establecida en la </w:t>
      </w:r>
      <w:r w:rsidR="006D16B9" w:rsidRPr="009D34ED">
        <w:rPr>
          <w:rFonts w:ascii="Arial" w:eastAsia="Calibri" w:hAnsi="Arial" w:cs="Arial"/>
          <w:bCs/>
          <w:color w:val="000000"/>
          <w:sz w:val="22"/>
          <w:szCs w:val="22"/>
          <w:lang w:val="es-ES_tradnl" w:eastAsia="en-US"/>
        </w:rPr>
        <w:t>«</w:t>
      </w:r>
      <w:r w:rsidR="006D16B9" w:rsidRPr="009D34ED">
        <w:rPr>
          <w:rFonts w:ascii="Arial" w:eastAsia="Arial" w:hAnsi="Arial" w:cs="Arial"/>
          <w:bCs/>
          <w:sz w:val="22"/>
          <w:szCs w:val="22"/>
          <w:lang w:eastAsia="es-ES" w:bidi="es-ES"/>
        </w:rPr>
        <w:t>Matriz 3 – Bienes nacionales relevantes para la obra pública de infraestructura social</w:t>
      </w:r>
      <w:r w:rsidR="006D16B9" w:rsidRPr="009D34ED">
        <w:rPr>
          <w:rFonts w:ascii="Arial" w:eastAsia="Calibri" w:hAnsi="Arial" w:cs="Arial"/>
          <w:bCs/>
          <w:color w:val="000000"/>
          <w:sz w:val="22"/>
          <w:szCs w:val="22"/>
          <w:lang w:val="es-ES_tradnl" w:eastAsia="en-US"/>
        </w:rPr>
        <w:t>»</w:t>
      </w:r>
      <w:r w:rsidR="000830E7" w:rsidRPr="009D34ED">
        <w:rPr>
          <w:rFonts w:ascii="Arial" w:eastAsia="Calibri" w:hAnsi="Arial" w:cs="Arial"/>
          <w:bCs/>
          <w:color w:val="000000"/>
          <w:sz w:val="22"/>
          <w:szCs w:val="22"/>
          <w:lang w:val="es-ES_tradnl" w:eastAsia="en-US"/>
        </w:rPr>
        <w:t>, d</w:t>
      </w:r>
      <w:r w:rsidR="006D16B9" w:rsidRPr="009D34ED">
        <w:rPr>
          <w:rFonts w:ascii="Arial" w:eastAsia="Calibri" w:hAnsi="Arial" w:cs="Arial"/>
          <w:bCs/>
          <w:color w:val="000000"/>
          <w:sz w:val="22"/>
          <w:szCs w:val="22"/>
          <w:lang w:val="es-ES_tradnl" w:eastAsia="en-US"/>
        </w:rPr>
        <w:t xml:space="preserve">etermina </w:t>
      </w:r>
      <w:r w:rsidRPr="009D34ED">
        <w:rPr>
          <w:rFonts w:ascii="Arial" w:eastAsia="Arial" w:hAnsi="Arial" w:cs="Arial"/>
          <w:bCs/>
          <w:sz w:val="22"/>
          <w:szCs w:val="22"/>
          <w:lang w:eastAsia="es-ES" w:bidi="es-ES"/>
        </w:rPr>
        <w:t xml:space="preserve">como primer paso </w:t>
      </w:r>
      <w:r w:rsidR="006D16B9" w:rsidRPr="009D34ED">
        <w:rPr>
          <w:rFonts w:ascii="Arial" w:eastAsia="Arial" w:hAnsi="Arial" w:cs="Arial"/>
          <w:bCs/>
          <w:sz w:val="22"/>
          <w:szCs w:val="22"/>
          <w:lang w:eastAsia="es-ES" w:bidi="es-ES"/>
        </w:rPr>
        <w:t xml:space="preserve">el deber de </w:t>
      </w:r>
      <w:r w:rsidRPr="009D34ED">
        <w:rPr>
          <w:rFonts w:ascii="Arial" w:eastAsia="Arial" w:hAnsi="Arial" w:cs="Arial"/>
          <w:bCs/>
          <w:sz w:val="22"/>
          <w:szCs w:val="22"/>
          <w:lang w:eastAsia="es-ES" w:bidi="es-ES"/>
        </w:rPr>
        <w:t>la entidad estatal d</w:t>
      </w:r>
      <w:r w:rsidR="006D16B9" w:rsidRPr="009D34ED">
        <w:rPr>
          <w:rFonts w:ascii="Arial" w:eastAsia="Arial" w:hAnsi="Arial" w:cs="Arial"/>
          <w:bCs/>
          <w:sz w:val="22"/>
          <w:szCs w:val="22"/>
          <w:lang w:eastAsia="es-ES" w:bidi="es-ES"/>
        </w:rPr>
        <w:t>e</w:t>
      </w:r>
      <w:r w:rsidRPr="009D34ED">
        <w:rPr>
          <w:rFonts w:ascii="Arial" w:eastAsia="Arial" w:hAnsi="Arial" w:cs="Arial"/>
          <w:bCs/>
          <w:sz w:val="22"/>
          <w:szCs w:val="22"/>
          <w:lang w:eastAsia="es-ES" w:bidi="es-ES"/>
        </w:rPr>
        <w:t xml:space="preserve"> identificar dentro del presupuesto oficial todos los bienes o insumos requeridos para la ejecución del proyecto y con base en esta información</w:t>
      </w:r>
      <w:r w:rsidR="000830E7" w:rsidRPr="009D34ED">
        <w:rPr>
          <w:rFonts w:ascii="Arial" w:eastAsia="Arial" w:hAnsi="Arial" w:cs="Arial"/>
          <w:bCs/>
          <w:sz w:val="22"/>
          <w:szCs w:val="22"/>
          <w:lang w:eastAsia="es-ES" w:bidi="es-ES"/>
        </w:rPr>
        <w:t xml:space="preserve"> </w:t>
      </w:r>
      <w:r w:rsidRPr="009D34ED">
        <w:rPr>
          <w:rFonts w:ascii="Arial" w:eastAsia="Arial" w:hAnsi="Arial" w:cs="Arial"/>
          <w:bCs/>
          <w:sz w:val="22"/>
          <w:szCs w:val="22"/>
          <w:lang w:eastAsia="es-ES" w:bidi="es-ES"/>
        </w:rPr>
        <w:t>aplicará los pasos descritos en los numerales 2 a 10 de la matriz.</w:t>
      </w:r>
      <w:r w:rsidR="006D16B9" w:rsidRPr="009D34ED">
        <w:rPr>
          <w:rFonts w:ascii="Arial" w:eastAsia="Arial" w:hAnsi="Arial" w:cs="Arial"/>
          <w:bCs/>
          <w:sz w:val="22"/>
          <w:szCs w:val="22"/>
          <w:lang w:eastAsia="es-ES" w:bidi="es-ES"/>
        </w:rPr>
        <w:t xml:space="preserve"> Por ello, </w:t>
      </w:r>
      <w:r w:rsidRPr="009D34ED">
        <w:rPr>
          <w:rFonts w:ascii="Arial" w:eastAsia="Arial" w:hAnsi="Arial" w:cs="Arial"/>
          <w:bCs/>
          <w:sz w:val="22"/>
          <w:szCs w:val="22"/>
          <w:lang w:eastAsia="es-ES" w:bidi="es-ES"/>
        </w:rPr>
        <w:t>para identificar los bienes o servicios relevantes para la ejecución del objeto a contratar, la entidad debe tener en cuenta todos los bienes o insumos requeridos para el proyecto dentro del presupuesto oficial y no podrá considerar aspectos distintos a estos o determinar únicamente los bienes de las actividades de obra relevante</w:t>
      </w:r>
      <w:r w:rsidR="000C0E18" w:rsidRPr="009D34ED">
        <w:rPr>
          <w:rFonts w:ascii="Arial" w:eastAsia="Arial" w:hAnsi="Arial" w:cs="Arial"/>
          <w:bCs/>
          <w:sz w:val="22"/>
          <w:szCs w:val="22"/>
          <w:lang w:eastAsia="es-ES" w:bidi="es-ES"/>
        </w:rPr>
        <w:t xml:space="preserve">, so pena de vulnerar la regla de inalterabilidad. </w:t>
      </w:r>
    </w:p>
    <w:p w14:paraId="5E2F8A0F" w14:textId="7BE8543E" w:rsidR="00445871" w:rsidRPr="009D34ED" w:rsidRDefault="000830E7" w:rsidP="00445871">
      <w:pPr>
        <w:widowControl w:val="0"/>
        <w:autoSpaceDE w:val="0"/>
        <w:autoSpaceDN w:val="0"/>
        <w:spacing w:before="120" w:line="276" w:lineRule="auto"/>
        <w:ind w:firstLine="709"/>
        <w:jc w:val="both"/>
        <w:rPr>
          <w:rFonts w:ascii="Arial" w:eastAsia="Arial" w:hAnsi="Arial" w:cs="Arial"/>
          <w:bCs/>
          <w:sz w:val="22"/>
          <w:szCs w:val="22"/>
          <w:lang w:eastAsia="es-ES" w:bidi="es-ES"/>
        </w:rPr>
      </w:pPr>
      <w:r w:rsidRPr="009D34ED">
        <w:rPr>
          <w:rFonts w:ascii="Arial" w:eastAsia="Calibri" w:hAnsi="Arial" w:cs="Arial"/>
          <w:color w:val="000000" w:themeColor="text1"/>
          <w:sz w:val="22"/>
          <w:szCs w:val="22"/>
          <w:lang w:val="es-ES_tradnl"/>
        </w:rPr>
        <w:t xml:space="preserve">Finalmente, es preciso </w:t>
      </w:r>
      <w:r w:rsidR="00A14FE7" w:rsidRPr="009D34ED">
        <w:rPr>
          <w:rFonts w:ascii="Arial" w:eastAsia="Calibri" w:hAnsi="Arial" w:cs="Arial"/>
          <w:color w:val="000000" w:themeColor="text1"/>
          <w:sz w:val="22"/>
          <w:szCs w:val="22"/>
          <w:lang w:val="es-ES_tradnl"/>
        </w:rPr>
        <w:t xml:space="preserve">señalar </w:t>
      </w:r>
      <w:r w:rsidRPr="009D34ED">
        <w:rPr>
          <w:rFonts w:ascii="Arial" w:eastAsia="Calibri" w:hAnsi="Arial" w:cs="Arial"/>
          <w:color w:val="000000" w:themeColor="text1"/>
          <w:sz w:val="22"/>
          <w:szCs w:val="22"/>
          <w:lang w:val="es-ES_tradnl"/>
        </w:rPr>
        <w:t xml:space="preserve">que de conformidad con los artículos 3 numeral 5, y 11 numeral 8 del Decreto </w:t>
      </w:r>
      <w:r w:rsidR="008405D1" w:rsidRPr="009D34ED">
        <w:rPr>
          <w:rFonts w:ascii="Arial" w:eastAsia="Calibri" w:hAnsi="Arial" w:cs="Arial"/>
          <w:color w:val="000000" w:themeColor="text1"/>
          <w:sz w:val="22"/>
          <w:szCs w:val="22"/>
          <w:lang w:val="es-ES_tradnl"/>
        </w:rPr>
        <w:t xml:space="preserve">Ley </w:t>
      </w:r>
      <w:r w:rsidRPr="009D34ED">
        <w:rPr>
          <w:rFonts w:ascii="Arial" w:eastAsia="Calibri" w:hAnsi="Arial" w:cs="Arial"/>
          <w:color w:val="000000" w:themeColor="text1"/>
          <w:sz w:val="22"/>
          <w:szCs w:val="22"/>
          <w:lang w:val="es-ES_tradnl"/>
        </w:rPr>
        <w:t>4170 de 2011, a la Agencia, y en particular a esta Subdirección, se le atribuyó la competencia de «absolver consultas sobre la aplicación de normas de carácter general». En tal sentido, atendiendo al principio de legalidad, la competencia debe ejercerse con estricta sujeción a la norma que la atribuye, por lo que no le compete a esta entidad aprobar</w:t>
      </w:r>
      <w:r w:rsidR="000C0E18" w:rsidRPr="009D34ED">
        <w:rPr>
          <w:rFonts w:ascii="Arial" w:eastAsia="Calibri" w:hAnsi="Arial" w:cs="Arial"/>
          <w:color w:val="000000" w:themeColor="text1"/>
          <w:sz w:val="22"/>
          <w:szCs w:val="22"/>
          <w:lang w:val="es-ES_tradnl"/>
        </w:rPr>
        <w:t xml:space="preserve"> </w:t>
      </w:r>
      <w:r w:rsidR="00A14FE7" w:rsidRPr="009D34ED">
        <w:rPr>
          <w:rFonts w:ascii="Arial" w:eastAsia="Calibri" w:hAnsi="Arial" w:cs="Arial"/>
          <w:color w:val="000000" w:themeColor="text1"/>
          <w:sz w:val="22"/>
          <w:szCs w:val="22"/>
          <w:lang w:val="es-ES_tradnl"/>
        </w:rPr>
        <w:t>reglas</w:t>
      </w:r>
      <w:r w:rsidR="000C0E18" w:rsidRPr="009D34ED">
        <w:rPr>
          <w:rFonts w:ascii="Arial" w:eastAsia="Calibri" w:hAnsi="Arial" w:cs="Arial"/>
          <w:color w:val="000000" w:themeColor="text1"/>
          <w:sz w:val="22"/>
          <w:szCs w:val="22"/>
          <w:lang w:val="es-ES_tradnl"/>
        </w:rPr>
        <w:t xml:space="preserve"> </w:t>
      </w:r>
      <w:r w:rsidR="00A14FE7" w:rsidRPr="009D34ED">
        <w:rPr>
          <w:rFonts w:ascii="Arial" w:eastAsia="Calibri" w:hAnsi="Arial" w:cs="Arial"/>
          <w:color w:val="000000" w:themeColor="text1"/>
          <w:sz w:val="22"/>
          <w:szCs w:val="22"/>
          <w:lang w:val="es-ES_tradnl"/>
        </w:rPr>
        <w:t xml:space="preserve">concretas para cada entidad </w:t>
      </w:r>
      <w:r w:rsidRPr="009D34ED">
        <w:rPr>
          <w:rFonts w:ascii="Arial" w:eastAsia="Calibri" w:hAnsi="Arial" w:cs="Arial"/>
          <w:color w:val="000000" w:themeColor="text1"/>
          <w:sz w:val="22"/>
          <w:szCs w:val="22"/>
          <w:lang w:val="es-ES_tradnl"/>
        </w:rPr>
        <w:t>para su aplicación en los procesos de contratación que adelante</w:t>
      </w:r>
      <w:r w:rsidR="000C0E18" w:rsidRPr="009D34ED">
        <w:rPr>
          <w:rFonts w:ascii="Arial" w:eastAsia="Calibri" w:hAnsi="Arial" w:cs="Arial"/>
          <w:color w:val="000000" w:themeColor="text1"/>
          <w:sz w:val="22"/>
          <w:szCs w:val="22"/>
          <w:lang w:val="es-ES_tradnl"/>
        </w:rPr>
        <w:t>n</w:t>
      </w:r>
      <w:r w:rsidRPr="009D34ED">
        <w:rPr>
          <w:rFonts w:ascii="Arial" w:eastAsia="Calibri" w:hAnsi="Arial" w:cs="Arial"/>
          <w:color w:val="000000" w:themeColor="text1"/>
          <w:sz w:val="22"/>
          <w:szCs w:val="22"/>
          <w:lang w:val="es-ES_tradnl"/>
        </w:rPr>
        <w:t xml:space="preserve">. </w:t>
      </w:r>
      <w:r w:rsidR="000C0E18" w:rsidRPr="009D34ED">
        <w:rPr>
          <w:rFonts w:ascii="Arial" w:eastAsia="Calibri" w:hAnsi="Arial" w:cs="Arial"/>
          <w:color w:val="000000" w:themeColor="text1"/>
          <w:sz w:val="22"/>
          <w:szCs w:val="22"/>
          <w:lang w:val="es-ES_tradnl"/>
        </w:rPr>
        <w:t xml:space="preserve">Al respecto, conviene reiterar que </w:t>
      </w:r>
      <w:r w:rsidR="000C0E18" w:rsidRPr="009D34ED">
        <w:rPr>
          <w:rFonts w:ascii="Arial" w:eastAsia="Arial" w:hAnsi="Arial" w:cs="Arial"/>
          <w:bCs/>
          <w:sz w:val="22"/>
          <w:szCs w:val="22"/>
          <w:lang w:eastAsia="es-ES" w:bidi="es-ES"/>
        </w:rPr>
        <w:t>en virtud de la regla de inalterabilidad de los documentos tipo, la</w:t>
      </w:r>
      <w:r w:rsidR="00A14FE7" w:rsidRPr="009D34ED">
        <w:rPr>
          <w:rFonts w:ascii="Arial" w:eastAsia="Arial" w:hAnsi="Arial" w:cs="Arial"/>
          <w:bCs/>
          <w:sz w:val="22"/>
          <w:szCs w:val="22"/>
          <w:lang w:eastAsia="es-ES" w:bidi="es-ES"/>
        </w:rPr>
        <w:t>s</w:t>
      </w:r>
      <w:r w:rsidR="000C0E18" w:rsidRPr="009D34ED">
        <w:rPr>
          <w:rFonts w:ascii="Arial" w:eastAsia="Arial" w:hAnsi="Arial" w:cs="Arial"/>
          <w:bCs/>
          <w:sz w:val="22"/>
          <w:szCs w:val="22"/>
          <w:lang w:eastAsia="es-ES" w:bidi="es-ES"/>
        </w:rPr>
        <w:t xml:space="preserve"> entidad</w:t>
      </w:r>
      <w:r w:rsidR="00A14FE7" w:rsidRPr="009D34ED">
        <w:rPr>
          <w:rFonts w:ascii="Arial" w:eastAsia="Arial" w:hAnsi="Arial" w:cs="Arial"/>
          <w:bCs/>
          <w:sz w:val="22"/>
          <w:szCs w:val="22"/>
          <w:lang w:eastAsia="es-ES" w:bidi="es-ES"/>
        </w:rPr>
        <w:t>es</w:t>
      </w:r>
      <w:r w:rsidR="000C0E18" w:rsidRPr="009D34ED">
        <w:rPr>
          <w:rFonts w:ascii="Arial" w:eastAsia="Arial" w:hAnsi="Arial" w:cs="Arial"/>
          <w:bCs/>
          <w:sz w:val="22"/>
          <w:szCs w:val="22"/>
          <w:lang w:eastAsia="es-ES" w:bidi="es-ES"/>
        </w:rPr>
        <w:t xml:space="preserve"> no podrá</w:t>
      </w:r>
      <w:r w:rsidR="00A14FE7" w:rsidRPr="009D34ED">
        <w:rPr>
          <w:rFonts w:ascii="Arial" w:eastAsia="Arial" w:hAnsi="Arial" w:cs="Arial"/>
          <w:bCs/>
          <w:sz w:val="22"/>
          <w:szCs w:val="22"/>
          <w:lang w:eastAsia="es-ES" w:bidi="es-ES"/>
        </w:rPr>
        <w:t>n</w:t>
      </w:r>
      <w:r w:rsidR="000C0E18" w:rsidRPr="009D34ED">
        <w:rPr>
          <w:rFonts w:ascii="Arial" w:eastAsia="Arial" w:hAnsi="Arial" w:cs="Arial"/>
          <w:bCs/>
          <w:sz w:val="22"/>
          <w:szCs w:val="22"/>
          <w:lang w:eastAsia="es-ES" w:bidi="es-ES"/>
        </w:rPr>
        <w:t xml:space="preserve"> modificar </w:t>
      </w:r>
      <w:r w:rsidR="00445871" w:rsidRPr="009D34ED">
        <w:rPr>
          <w:rFonts w:ascii="Arial" w:hAnsi="Arial" w:cs="Arial"/>
          <w:bCs/>
          <w:sz w:val="22"/>
          <w:lang w:val="es-MX"/>
        </w:rPr>
        <w:t xml:space="preserve">los Formatos, Anexos, Matrices y Formularios, ni solicitar soportes o requisitos adicionales a los establecidos en el </w:t>
      </w:r>
      <w:r w:rsidR="00A14FE7" w:rsidRPr="009D34ED">
        <w:rPr>
          <w:rFonts w:ascii="Arial" w:hAnsi="Arial" w:cs="Arial"/>
          <w:bCs/>
          <w:sz w:val="22"/>
          <w:lang w:val="es-MX"/>
        </w:rPr>
        <w:t>d</w:t>
      </w:r>
      <w:r w:rsidR="00445871" w:rsidRPr="009D34ED">
        <w:rPr>
          <w:rFonts w:ascii="Arial" w:hAnsi="Arial" w:cs="Arial"/>
          <w:bCs/>
          <w:sz w:val="22"/>
          <w:lang w:val="es-MX"/>
        </w:rPr>
        <w:t xml:space="preserve">ocumento </w:t>
      </w:r>
      <w:r w:rsidR="00A14FE7" w:rsidRPr="009D34ED">
        <w:rPr>
          <w:rFonts w:ascii="Arial" w:hAnsi="Arial" w:cs="Arial"/>
          <w:bCs/>
          <w:sz w:val="22"/>
          <w:lang w:val="es-MX"/>
        </w:rPr>
        <w:t>t</w:t>
      </w:r>
      <w:r w:rsidR="00445871" w:rsidRPr="009D34ED">
        <w:rPr>
          <w:rFonts w:ascii="Arial" w:hAnsi="Arial" w:cs="Arial"/>
          <w:bCs/>
          <w:sz w:val="22"/>
          <w:lang w:val="es-MX"/>
        </w:rPr>
        <w:t>ipo</w:t>
      </w:r>
      <w:r w:rsidR="00A14FE7" w:rsidRPr="009D34ED">
        <w:rPr>
          <w:rFonts w:ascii="Arial" w:hAnsi="Arial" w:cs="Arial"/>
          <w:bCs/>
          <w:sz w:val="22"/>
          <w:lang w:val="es-ES_tradnl"/>
        </w:rPr>
        <w:t>, por lo que no podrá</w:t>
      </w:r>
      <w:r w:rsidR="00202CA6" w:rsidRPr="009D34ED">
        <w:rPr>
          <w:rFonts w:ascii="Arial" w:hAnsi="Arial" w:cs="Arial"/>
          <w:bCs/>
          <w:sz w:val="22"/>
          <w:lang w:val="es-ES_tradnl"/>
        </w:rPr>
        <w:t>n</w:t>
      </w:r>
      <w:r w:rsidR="00A14FE7" w:rsidRPr="009D34ED">
        <w:rPr>
          <w:rFonts w:ascii="Arial" w:hAnsi="Arial" w:cs="Arial"/>
          <w:bCs/>
          <w:sz w:val="22"/>
          <w:lang w:val="es-ES_tradnl"/>
        </w:rPr>
        <w:t xml:space="preserve"> modificar la metodología establecida en la </w:t>
      </w:r>
      <w:r w:rsidR="00A14FE7" w:rsidRPr="009D34ED">
        <w:rPr>
          <w:rFonts w:ascii="Arial" w:eastAsia="Calibri" w:hAnsi="Arial" w:cs="Arial"/>
          <w:bCs/>
          <w:color w:val="000000"/>
          <w:sz w:val="22"/>
          <w:szCs w:val="22"/>
          <w:lang w:val="es-ES_tradnl" w:eastAsia="en-US"/>
        </w:rPr>
        <w:t>«</w:t>
      </w:r>
      <w:r w:rsidR="00A14FE7" w:rsidRPr="009D34ED">
        <w:rPr>
          <w:rFonts w:ascii="Arial" w:eastAsia="Arial" w:hAnsi="Arial" w:cs="Arial"/>
          <w:bCs/>
          <w:sz w:val="22"/>
          <w:szCs w:val="22"/>
          <w:lang w:eastAsia="es-ES" w:bidi="es-ES"/>
        </w:rPr>
        <w:t>Matriz 3 – Bienes nacionales relevantes para la obra pública de infraestructura social</w:t>
      </w:r>
      <w:r w:rsidR="00A14FE7" w:rsidRPr="009D34ED">
        <w:rPr>
          <w:rFonts w:ascii="Arial" w:eastAsia="Calibri" w:hAnsi="Arial" w:cs="Arial"/>
          <w:bCs/>
          <w:color w:val="000000"/>
          <w:sz w:val="22"/>
          <w:szCs w:val="22"/>
          <w:lang w:val="es-ES_tradnl" w:eastAsia="en-US"/>
        </w:rPr>
        <w:t>».</w:t>
      </w:r>
    </w:p>
    <w:p w14:paraId="4AE3D31A" w14:textId="77777777" w:rsidR="00592D40" w:rsidRPr="009D34ED" w:rsidRDefault="00592D40" w:rsidP="00592D40">
      <w:pPr>
        <w:ind w:right="618"/>
        <w:jc w:val="both"/>
        <w:rPr>
          <w:rFonts w:ascii="Arial" w:eastAsia="Calibri" w:hAnsi="Arial" w:cs="Arial"/>
          <w:bCs/>
          <w:sz w:val="21"/>
          <w:szCs w:val="21"/>
        </w:rPr>
      </w:pPr>
    </w:p>
    <w:p w14:paraId="72505016" w14:textId="77777777" w:rsidR="00AC4D98" w:rsidRPr="009D34ED" w:rsidRDefault="00AC4D98" w:rsidP="00AC4D98">
      <w:pPr>
        <w:ind w:left="709" w:right="618"/>
        <w:jc w:val="both"/>
        <w:rPr>
          <w:rFonts w:ascii="Arial" w:eastAsia="Calibri" w:hAnsi="Arial" w:cs="Arial"/>
          <w:bCs/>
          <w:sz w:val="21"/>
          <w:szCs w:val="21"/>
        </w:rPr>
      </w:pPr>
      <w:r w:rsidRPr="009D34ED">
        <w:rPr>
          <w:rFonts w:ascii="Arial" w:eastAsia="Calibri" w:hAnsi="Arial" w:cs="Arial"/>
          <w:b/>
          <w:bCs/>
          <w:sz w:val="21"/>
          <w:szCs w:val="21"/>
        </w:rPr>
        <w:t xml:space="preserve">II. </w:t>
      </w:r>
      <w:r w:rsidRPr="009D34ED">
        <w:rPr>
          <w:rFonts w:ascii="Arial" w:eastAsia="Calibri" w:hAnsi="Arial" w:cs="Arial"/>
          <w:bCs/>
          <w:sz w:val="21"/>
          <w:szCs w:val="21"/>
        </w:rPr>
        <w:t>El Documento Base CCE-EICP-GI-14 dispone en el numeral 4.1.1. “</w:t>
      </w:r>
      <w:r w:rsidRPr="009D34ED">
        <w:rPr>
          <w:rFonts w:ascii="Arial" w:eastAsia="Calibri" w:hAnsi="Arial" w:cs="Arial"/>
          <w:bCs/>
          <w:i/>
          <w:iCs/>
          <w:sz w:val="21"/>
          <w:szCs w:val="21"/>
        </w:rPr>
        <w:t>A.I.U.</w:t>
      </w:r>
      <w:r w:rsidRPr="009D34ED">
        <w:rPr>
          <w:rFonts w:ascii="Arial" w:eastAsia="Calibri" w:hAnsi="Arial" w:cs="Arial"/>
          <w:bCs/>
          <w:sz w:val="21"/>
          <w:szCs w:val="21"/>
        </w:rPr>
        <w:t xml:space="preserve">”, lo siguiente: </w:t>
      </w:r>
    </w:p>
    <w:p w14:paraId="0E1D5022" w14:textId="77777777" w:rsidR="00AC4D98" w:rsidRPr="009D34ED" w:rsidRDefault="00AC4D98" w:rsidP="00AC4D98">
      <w:pPr>
        <w:ind w:left="709" w:right="618"/>
        <w:jc w:val="both"/>
        <w:rPr>
          <w:rFonts w:ascii="Arial" w:eastAsia="Calibri" w:hAnsi="Arial" w:cs="Arial"/>
          <w:bCs/>
          <w:sz w:val="21"/>
          <w:szCs w:val="21"/>
        </w:rPr>
      </w:pPr>
    </w:p>
    <w:p w14:paraId="1597F0CF" w14:textId="77777777" w:rsidR="00AC4D98" w:rsidRPr="009D34ED" w:rsidRDefault="00AC4D98" w:rsidP="00AC4D98">
      <w:pPr>
        <w:ind w:left="709" w:right="618"/>
        <w:jc w:val="both"/>
        <w:rPr>
          <w:rFonts w:ascii="Arial" w:eastAsia="Calibri" w:hAnsi="Arial" w:cs="Arial"/>
          <w:bCs/>
          <w:i/>
          <w:iCs/>
          <w:sz w:val="21"/>
          <w:szCs w:val="21"/>
        </w:rPr>
      </w:pPr>
      <w:r w:rsidRPr="009D34ED">
        <w:rPr>
          <w:rFonts w:ascii="Arial" w:eastAsia="Calibri" w:hAnsi="Arial" w:cs="Arial"/>
          <w:bCs/>
          <w:i/>
          <w:iCs/>
          <w:sz w:val="21"/>
          <w:szCs w:val="21"/>
        </w:rPr>
        <w:t xml:space="preserve">“(…) Cuando el Proponente exprese el A.I.U. en porcentaje (%) y en Pesos, prevalece el valor expresado en porcentaje (%). El porcentaje del A.I.U. que presenten los Proponentes no debe ser superior al porcentaje total del A.I.U establecido en el Formulario 1– Formulario de Presupuesto Oficial. En </w:t>
      </w:r>
      <w:r w:rsidRPr="009D34ED">
        <w:rPr>
          <w:rFonts w:ascii="Arial" w:eastAsia="Calibri" w:hAnsi="Arial" w:cs="Arial"/>
          <w:bCs/>
          <w:i/>
          <w:iCs/>
          <w:sz w:val="21"/>
          <w:szCs w:val="21"/>
        </w:rPr>
        <w:lastRenderedPageBreak/>
        <w:t xml:space="preserve">consecuencia, el Proponente puede configurar libremente el porcentaje individual de la “A”, de la “I” y de la “U”, siempre que la sumatoria de ellos no exceda el porcentaje total definido por la Entidad en el Formulario 1– Formulario de Presupuesto Oficial.” </w:t>
      </w:r>
    </w:p>
    <w:p w14:paraId="00FE017B" w14:textId="77777777" w:rsidR="00AC4D98" w:rsidRPr="009D34ED" w:rsidRDefault="00AC4D98" w:rsidP="00AC4D98">
      <w:pPr>
        <w:ind w:left="709" w:right="618"/>
        <w:jc w:val="both"/>
        <w:rPr>
          <w:rFonts w:ascii="Arial" w:eastAsia="Calibri" w:hAnsi="Arial" w:cs="Arial"/>
          <w:bCs/>
          <w:sz w:val="21"/>
          <w:szCs w:val="21"/>
        </w:rPr>
      </w:pPr>
    </w:p>
    <w:p w14:paraId="2B8B7BB7" w14:textId="77777777" w:rsidR="00AC4D98" w:rsidRPr="009D34ED" w:rsidRDefault="00AC4D98" w:rsidP="00AC4D98">
      <w:pPr>
        <w:ind w:left="709" w:right="618"/>
        <w:jc w:val="both"/>
        <w:rPr>
          <w:rFonts w:ascii="Arial" w:eastAsia="Calibri" w:hAnsi="Arial" w:cs="Arial"/>
          <w:bCs/>
          <w:sz w:val="21"/>
          <w:szCs w:val="21"/>
        </w:rPr>
      </w:pPr>
      <w:r w:rsidRPr="009D34ED">
        <w:rPr>
          <w:rFonts w:ascii="Arial" w:eastAsia="Calibri" w:hAnsi="Arial" w:cs="Arial"/>
          <w:bCs/>
          <w:sz w:val="21"/>
          <w:szCs w:val="21"/>
        </w:rPr>
        <w:t xml:space="preserve">Teniendo en cuenta las indicaciones anteriormente trascritas, donde la única limitación frente a los porcentajes a establecer en los costos indirectos (Administración, Imprevistos y Utilidad – A.I.U.); es la de no exceder el porcentaje definido total por la Entidad, surge la necesidad de formular las siguientes preguntas: </w:t>
      </w:r>
    </w:p>
    <w:p w14:paraId="2115DF85" w14:textId="77777777" w:rsidR="00AC4D98" w:rsidRPr="009D34ED" w:rsidRDefault="00AC4D98" w:rsidP="00AC4D98">
      <w:pPr>
        <w:ind w:left="709" w:right="618"/>
        <w:jc w:val="both"/>
        <w:rPr>
          <w:rFonts w:ascii="Arial" w:eastAsia="Calibri" w:hAnsi="Arial" w:cs="Arial"/>
          <w:bCs/>
          <w:sz w:val="21"/>
          <w:szCs w:val="21"/>
        </w:rPr>
      </w:pPr>
    </w:p>
    <w:p w14:paraId="2435E599" w14:textId="77777777" w:rsidR="00A54715" w:rsidRPr="009D34ED" w:rsidRDefault="00AC4D98" w:rsidP="00AC4D98">
      <w:pPr>
        <w:ind w:left="709" w:right="618"/>
        <w:jc w:val="both"/>
        <w:rPr>
          <w:rFonts w:ascii="Arial" w:eastAsia="Calibri" w:hAnsi="Arial" w:cs="Arial"/>
          <w:bCs/>
          <w:sz w:val="21"/>
          <w:szCs w:val="21"/>
        </w:rPr>
      </w:pPr>
      <w:r w:rsidRPr="009D34ED">
        <w:rPr>
          <w:rFonts w:ascii="Arial" w:eastAsia="Calibri" w:hAnsi="Arial" w:cs="Arial"/>
          <w:bCs/>
          <w:sz w:val="21"/>
          <w:szCs w:val="21"/>
        </w:rPr>
        <w:t>1. ¿Puede aceptarse un porcentaje igual a CERO (0%), en caso de que un oferente presente dentro de su propuesta económica este valor para algunos de los factores que compone los costos indirectos de un presupuesto?</w:t>
      </w:r>
    </w:p>
    <w:p w14:paraId="5F2CAD98" w14:textId="6105525F" w:rsidR="00AC4D98" w:rsidRPr="009D34ED" w:rsidRDefault="00AC4D98" w:rsidP="00AC4D98">
      <w:pPr>
        <w:ind w:left="709" w:right="618"/>
        <w:jc w:val="both"/>
        <w:rPr>
          <w:rFonts w:ascii="Arial" w:eastAsia="Calibri" w:hAnsi="Arial" w:cs="Arial"/>
          <w:bCs/>
          <w:sz w:val="21"/>
          <w:szCs w:val="21"/>
        </w:rPr>
      </w:pPr>
      <w:r w:rsidRPr="009D34ED">
        <w:rPr>
          <w:rFonts w:ascii="Arial" w:eastAsia="Calibri" w:hAnsi="Arial" w:cs="Arial"/>
          <w:bCs/>
          <w:sz w:val="21"/>
          <w:szCs w:val="21"/>
        </w:rPr>
        <w:t xml:space="preserve"> </w:t>
      </w:r>
    </w:p>
    <w:p w14:paraId="3D8EC51E" w14:textId="77777777" w:rsidR="00A54715" w:rsidRPr="009D34ED" w:rsidRDefault="00A54715" w:rsidP="00A54715">
      <w:pPr>
        <w:ind w:left="709" w:right="618"/>
        <w:jc w:val="both"/>
        <w:rPr>
          <w:rFonts w:ascii="Arial" w:eastAsia="Calibri" w:hAnsi="Arial" w:cs="Arial"/>
          <w:bCs/>
          <w:sz w:val="21"/>
          <w:szCs w:val="21"/>
        </w:rPr>
      </w:pPr>
      <w:r w:rsidRPr="009D34ED">
        <w:rPr>
          <w:rFonts w:ascii="Arial" w:eastAsia="Calibri" w:hAnsi="Arial" w:cs="Arial"/>
          <w:b/>
          <w:bCs/>
          <w:sz w:val="21"/>
          <w:szCs w:val="21"/>
        </w:rPr>
        <w:t xml:space="preserve">VI. </w:t>
      </w:r>
      <w:r w:rsidRPr="009D34ED">
        <w:rPr>
          <w:rFonts w:ascii="Arial" w:eastAsia="Calibri" w:hAnsi="Arial" w:cs="Arial"/>
          <w:bCs/>
          <w:sz w:val="21"/>
          <w:szCs w:val="21"/>
        </w:rPr>
        <w:t>El Documento Base CCE-EICP-GI-14 dispone en el numeral 4.1.1. “</w:t>
      </w:r>
      <w:r w:rsidRPr="009D34ED">
        <w:rPr>
          <w:rFonts w:ascii="Arial" w:eastAsia="Calibri" w:hAnsi="Arial" w:cs="Arial"/>
          <w:bCs/>
          <w:i/>
          <w:iCs/>
          <w:sz w:val="21"/>
          <w:szCs w:val="21"/>
        </w:rPr>
        <w:t>A.I.U.</w:t>
      </w:r>
      <w:r w:rsidRPr="009D34ED">
        <w:rPr>
          <w:rFonts w:ascii="Arial" w:eastAsia="Calibri" w:hAnsi="Arial" w:cs="Arial"/>
          <w:bCs/>
          <w:sz w:val="21"/>
          <w:szCs w:val="21"/>
        </w:rPr>
        <w:t xml:space="preserve">”, lo siguiente: </w:t>
      </w:r>
    </w:p>
    <w:p w14:paraId="292CDD73" w14:textId="77777777" w:rsidR="00A54715" w:rsidRPr="009D34ED" w:rsidRDefault="00A54715" w:rsidP="00A54715">
      <w:pPr>
        <w:ind w:left="709" w:right="618"/>
        <w:jc w:val="both"/>
        <w:rPr>
          <w:rFonts w:ascii="Arial" w:eastAsia="Calibri" w:hAnsi="Arial" w:cs="Arial"/>
          <w:bCs/>
          <w:sz w:val="21"/>
          <w:szCs w:val="21"/>
        </w:rPr>
      </w:pPr>
    </w:p>
    <w:p w14:paraId="39385E8B" w14:textId="77777777" w:rsidR="00A54715" w:rsidRPr="009D34ED" w:rsidRDefault="00A54715" w:rsidP="00A54715">
      <w:pPr>
        <w:ind w:left="709" w:right="618"/>
        <w:jc w:val="both"/>
        <w:rPr>
          <w:rFonts w:ascii="Arial" w:eastAsia="Calibri" w:hAnsi="Arial" w:cs="Arial"/>
          <w:bCs/>
          <w:sz w:val="21"/>
          <w:szCs w:val="21"/>
        </w:rPr>
      </w:pPr>
      <w:r w:rsidRPr="009D34ED">
        <w:rPr>
          <w:rFonts w:ascii="Arial" w:eastAsia="Calibri" w:hAnsi="Arial" w:cs="Arial"/>
          <w:bCs/>
          <w:i/>
          <w:iCs/>
          <w:sz w:val="21"/>
          <w:szCs w:val="21"/>
        </w:rPr>
        <w:t xml:space="preserve">"(...) El Proponente debe calcular un A.I.U. que contenga todos los costos en los que incurre el proponente, futuro contratista, para ejecutar y cumplir el contrato. El A.I.U. debe expresarse en un porcentaje (%) y debe consignarlo y discriminarlo en la propuesta económica. (...)" </w:t>
      </w:r>
    </w:p>
    <w:p w14:paraId="428FC533" w14:textId="77777777" w:rsidR="00A54715" w:rsidRPr="009D34ED" w:rsidRDefault="00A54715" w:rsidP="00A54715">
      <w:pPr>
        <w:ind w:left="709" w:right="618"/>
        <w:jc w:val="both"/>
        <w:rPr>
          <w:rFonts w:ascii="Arial" w:eastAsia="Calibri" w:hAnsi="Arial" w:cs="Arial"/>
          <w:bCs/>
          <w:sz w:val="21"/>
          <w:szCs w:val="21"/>
        </w:rPr>
      </w:pPr>
    </w:p>
    <w:p w14:paraId="208D130A" w14:textId="77777777" w:rsidR="00A54715" w:rsidRPr="009D34ED" w:rsidRDefault="00A54715" w:rsidP="00A54715">
      <w:pPr>
        <w:ind w:left="709" w:right="618"/>
        <w:jc w:val="both"/>
        <w:rPr>
          <w:rFonts w:ascii="Arial" w:eastAsia="Calibri" w:hAnsi="Arial" w:cs="Arial"/>
          <w:bCs/>
          <w:sz w:val="21"/>
          <w:szCs w:val="21"/>
        </w:rPr>
      </w:pPr>
      <w:r w:rsidRPr="009D34ED">
        <w:rPr>
          <w:rFonts w:ascii="Arial" w:eastAsia="Calibri" w:hAnsi="Arial" w:cs="Arial"/>
          <w:bCs/>
          <w:sz w:val="21"/>
          <w:szCs w:val="21"/>
        </w:rPr>
        <w:t xml:space="preserve">Teniendo en cuenta lo señalado anteriormente, surge la necesidad de solicitar la siguiente aclaración: </w:t>
      </w:r>
    </w:p>
    <w:p w14:paraId="5F20347B" w14:textId="77777777" w:rsidR="00A54715" w:rsidRPr="009D34ED" w:rsidRDefault="00A54715" w:rsidP="00A54715">
      <w:pPr>
        <w:ind w:left="709" w:right="618"/>
        <w:jc w:val="both"/>
        <w:rPr>
          <w:rFonts w:ascii="Arial" w:eastAsia="Calibri" w:hAnsi="Arial" w:cs="Arial"/>
          <w:bCs/>
          <w:sz w:val="21"/>
          <w:szCs w:val="21"/>
        </w:rPr>
      </w:pPr>
    </w:p>
    <w:p w14:paraId="718A4851" w14:textId="77777777" w:rsidR="00A54715" w:rsidRPr="009D34ED" w:rsidRDefault="00A54715" w:rsidP="00A54715">
      <w:pPr>
        <w:ind w:left="709" w:right="618"/>
        <w:jc w:val="both"/>
        <w:rPr>
          <w:rFonts w:ascii="Arial" w:eastAsia="Calibri" w:hAnsi="Arial" w:cs="Arial"/>
          <w:bCs/>
          <w:i/>
          <w:iCs/>
          <w:sz w:val="21"/>
          <w:szCs w:val="21"/>
        </w:rPr>
      </w:pPr>
      <w:r w:rsidRPr="009D34ED">
        <w:rPr>
          <w:rFonts w:ascii="Arial" w:eastAsia="Calibri" w:hAnsi="Arial" w:cs="Arial"/>
          <w:bCs/>
          <w:sz w:val="21"/>
          <w:szCs w:val="21"/>
        </w:rPr>
        <w:t xml:space="preserve">1. ¿El proponente puede expresar un porcentaje de (0%), por ejemplo, puede expresar en su oferta que el valor porcentual de Imprevistos es cero por ciento (0%)? Lo anterior, en razón a la causal de rechazo que señala </w:t>
      </w:r>
      <w:r w:rsidRPr="009D34ED">
        <w:rPr>
          <w:rFonts w:ascii="Arial" w:eastAsia="Calibri" w:hAnsi="Arial" w:cs="Arial"/>
          <w:bCs/>
          <w:i/>
          <w:iCs/>
          <w:sz w:val="21"/>
          <w:szCs w:val="21"/>
        </w:rPr>
        <w:t>" No ofrecer el valor de un precio unitario u ofrecerlo en cero (0) pesos."</w:t>
      </w:r>
    </w:p>
    <w:p w14:paraId="54E19067" w14:textId="77777777" w:rsidR="00A54715" w:rsidRPr="009D34ED" w:rsidRDefault="00A54715" w:rsidP="00AC4D98">
      <w:pPr>
        <w:ind w:left="709" w:right="618"/>
        <w:jc w:val="both"/>
        <w:rPr>
          <w:rFonts w:ascii="Arial" w:eastAsia="Calibri" w:hAnsi="Arial" w:cs="Arial"/>
          <w:bCs/>
          <w:sz w:val="21"/>
          <w:szCs w:val="21"/>
        </w:rPr>
      </w:pPr>
    </w:p>
    <w:p w14:paraId="5571F0E0" w14:textId="4E23835D" w:rsidR="00485EF1" w:rsidRPr="009D34ED" w:rsidRDefault="00A54715" w:rsidP="00FE11D8">
      <w:pPr>
        <w:spacing w:line="276" w:lineRule="auto"/>
        <w:jc w:val="both"/>
        <w:rPr>
          <w:rFonts w:ascii="Arial" w:hAnsi="Arial" w:cs="Arial"/>
          <w:bCs/>
          <w:sz w:val="22"/>
          <w:lang w:val="es-ES_tradnl"/>
        </w:rPr>
      </w:pPr>
      <w:r w:rsidRPr="009D34ED">
        <w:rPr>
          <w:rFonts w:ascii="Arial" w:eastAsiaTheme="minorHAnsi" w:hAnsi="Arial" w:cs="Arial"/>
          <w:color w:val="000000"/>
          <w:sz w:val="22"/>
          <w:szCs w:val="22"/>
          <w:shd w:val="clear" w:color="auto" w:fill="FFFFFF"/>
          <w:lang w:eastAsia="en-US"/>
        </w:rPr>
        <w:t xml:space="preserve">Las anteriores preguntas, por su unidad temática, se responden en conjunto. </w:t>
      </w:r>
      <w:r w:rsidRPr="009D34ED">
        <w:rPr>
          <w:rFonts w:ascii="Arial" w:eastAsiaTheme="minorHAnsi" w:hAnsi="Arial" w:cs="Arial"/>
          <w:color w:val="000000"/>
          <w:sz w:val="22"/>
          <w:szCs w:val="22"/>
          <w:shd w:val="clear" w:color="auto" w:fill="FFFFFF"/>
          <w:lang w:eastAsia="en-US" w:bidi="es-ES"/>
        </w:rPr>
        <w:t>De conformidad con el numeral 4.1.1 del documento base «</w:t>
      </w:r>
      <w:r w:rsidRPr="009D34ED">
        <w:rPr>
          <w:rFonts w:ascii="Arial" w:eastAsiaTheme="minorHAnsi" w:hAnsi="Arial" w:cs="Arial"/>
          <w:color w:val="000000"/>
          <w:sz w:val="22"/>
          <w:szCs w:val="22"/>
          <w:shd w:val="clear" w:color="auto" w:fill="FFFFFF"/>
          <w:lang w:val="es-MX" w:eastAsia="en-US"/>
        </w:rPr>
        <w:t xml:space="preserve">el Proponente puede configurar libremente el porcentaje individual de la “A”, de la “I” y de la “U”, siempre que la sumatoria de ellos no exceda el porcentaje total definido por la Entidad en el </w:t>
      </w:r>
      <w:r w:rsidRPr="009D34ED">
        <w:rPr>
          <w:rFonts w:ascii="Arial" w:eastAsiaTheme="minorHAnsi" w:hAnsi="Arial" w:cs="Arial"/>
          <w:color w:val="000000"/>
          <w:sz w:val="22"/>
          <w:szCs w:val="22"/>
          <w:shd w:val="clear" w:color="auto" w:fill="FFFFFF"/>
          <w:lang w:val="es-MX" w:eastAsia="en-US"/>
        </w:rPr>
        <w:fldChar w:fldCharType="begin"/>
      </w:r>
      <w:r w:rsidRPr="009D34ED">
        <w:rPr>
          <w:rFonts w:ascii="Arial" w:eastAsiaTheme="minorHAnsi" w:hAnsi="Arial" w:cs="Arial"/>
          <w:color w:val="000000"/>
          <w:sz w:val="22"/>
          <w:szCs w:val="22"/>
          <w:shd w:val="clear" w:color="auto" w:fill="FFFFFF"/>
          <w:lang w:val="es-MX" w:eastAsia="en-US"/>
        </w:rPr>
        <w:instrText xml:space="preserve"> REF _Ref57725061 \h </w:instrText>
      </w:r>
      <w:r w:rsidR="00B7032A" w:rsidRPr="009D34ED">
        <w:rPr>
          <w:rFonts w:ascii="Arial" w:eastAsiaTheme="minorHAnsi" w:hAnsi="Arial" w:cs="Arial"/>
          <w:color w:val="000000"/>
          <w:sz w:val="22"/>
          <w:szCs w:val="22"/>
          <w:shd w:val="clear" w:color="auto" w:fill="FFFFFF"/>
          <w:lang w:val="es-MX" w:eastAsia="en-US"/>
        </w:rPr>
        <w:instrText xml:space="preserve"> \* MERGEFORMAT </w:instrText>
      </w:r>
      <w:r w:rsidRPr="009D34ED">
        <w:rPr>
          <w:rFonts w:ascii="Arial" w:eastAsiaTheme="minorHAnsi" w:hAnsi="Arial" w:cs="Arial"/>
          <w:color w:val="000000"/>
          <w:sz w:val="22"/>
          <w:szCs w:val="22"/>
          <w:shd w:val="clear" w:color="auto" w:fill="FFFFFF"/>
          <w:lang w:val="es-MX" w:eastAsia="en-US"/>
        </w:rPr>
      </w:r>
      <w:r w:rsidRPr="009D34ED">
        <w:rPr>
          <w:rFonts w:ascii="Arial" w:eastAsiaTheme="minorHAnsi" w:hAnsi="Arial" w:cs="Arial"/>
          <w:color w:val="000000"/>
          <w:sz w:val="22"/>
          <w:szCs w:val="22"/>
          <w:shd w:val="clear" w:color="auto" w:fill="FFFFFF"/>
          <w:lang w:val="es-MX" w:eastAsia="en-US"/>
        </w:rPr>
        <w:fldChar w:fldCharType="separate"/>
      </w:r>
      <w:r w:rsidRPr="009D34ED">
        <w:rPr>
          <w:rFonts w:ascii="Arial" w:eastAsiaTheme="minorHAnsi" w:hAnsi="Arial" w:cs="Arial"/>
          <w:color w:val="000000"/>
          <w:sz w:val="22"/>
          <w:szCs w:val="22"/>
          <w:shd w:val="clear" w:color="auto" w:fill="FFFFFF"/>
          <w:lang w:val="es-MX" w:eastAsia="en-US"/>
        </w:rPr>
        <w:t>Formulario 1– Formulario de Presupuesto Oficial</w:t>
      </w:r>
      <w:r w:rsidRPr="009D34ED">
        <w:rPr>
          <w:rFonts w:ascii="Arial" w:eastAsiaTheme="minorHAnsi" w:hAnsi="Arial" w:cs="Arial"/>
          <w:color w:val="000000"/>
          <w:sz w:val="22"/>
          <w:szCs w:val="22"/>
          <w:shd w:val="clear" w:color="auto" w:fill="FFFFFF"/>
          <w:lang w:eastAsia="en-US"/>
        </w:rPr>
        <w:fldChar w:fldCharType="end"/>
      </w:r>
      <w:r w:rsidRPr="009D34ED">
        <w:rPr>
          <w:rFonts w:ascii="Arial" w:eastAsiaTheme="minorHAnsi" w:hAnsi="Arial" w:cs="Arial"/>
          <w:color w:val="000000"/>
          <w:sz w:val="22"/>
          <w:szCs w:val="22"/>
          <w:shd w:val="clear" w:color="auto" w:fill="FFFFFF"/>
          <w:lang w:eastAsia="en-US" w:bidi="es-ES"/>
        </w:rPr>
        <w:t>»</w:t>
      </w:r>
      <w:r w:rsidRPr="009D34ED">
        <w:rPr>
          <w:rFonts w:ascii="Arial" w:eastAsiaTheme="minorHAnsi" w:hAnsi="Arial" w:cs="Arial"/>
          <w:color w:val="000000"/>
          <w:sz w:val="22"/>
          <w:szCs w:val="22"/>
          <w:shd w:val="clear" w:color="auto" w:fill="FFFFFF"/>
          <w:lang w:val="es-MX" w:eastAsia="en-US"/>
        </w:rPr>
        <w:t xml:space="preserve">. </w:t>
      </w:r>
      <w:r w:rsidR="005D6F21" w:rsidRPr="009D34ED">
        <w:rPr>
          <w:rFonts w:ascii="Arial" w:eastAsiaTheme="minorHAnsi" w:hAnsi="Arial" w:cs="Arial"/>
          <w:color w:val="000000"/>
          <w:sz w:val="22"/>
          <w:szCs w:val="22"/>
          <w:shd w:val="clear" w:color="auto" w:fill="FFFFFF"/>
          <w:lang w:val="es-MX" w:eastAsia="en-US"/>
        </w:rPr>
        <w:t xml:space="preserve">Esto significa que </w:t>
      </w:r>
      <w:r w:rsidR="00485EF1" w:rsidRPr="009D34ED">
        <w:rPr>
          <w:rFonts w:ascii="Arial" w:hAnsi="Arial" w:cs="Arial"/>
          <w:bCs/>
          <w:sz w:val="22"/>
          <w:lang w:val="es-ES_tradnl"/>
        </w:rPr>
        <w:t xml:space="preserve">el proponente goza de autonomía para configurar el porcentaje individual </w:t>
      </w:r>
      <w:r w:rsidR="00485EF1" w:rsidRPr="009D34ED">
        <w:rPr>
          <w:rFonts w:ascii="Arial" w:hAnsi="Arial" w:cs="Arial"/>
          <w:bCs/>
          <w:sz w:val="22"/>
          <w:lang w:val="es-MX"/>
        </w:rPr>
        <w:t xml:space="preserve">de la </w:t>
      </w:r>
      <w:r w:rsidR="008405D1" w:rsidRPr="009D34ED">
        <w:rPr>
          <w:rFonts w:ascii="Arial" w:hAnsi="Arial" w:cs="Arial"/>
          <w:bCs/>
          <w:sz w:val="22"/>
          <w:lang w:val="es-MX"/>
        </w:rPr>
        <w:t>«</w:t>
      </w:r>
      <w:r w:rsidR="00485EF1" w:rsidRPr="009D34ED">
        <w:rPr>
          <w:rFonts w:ascii="Arial" w:hAnsi="Arial" w:cs="Arial"/>
          <w:bCs/>
          <w:sz w:val="22"/>
          <w:lang w:val="es-MX"/>
        </w:rPr>
        <w:t>A</w:t>
      </w:r>
      <w:r w:rsidR="008405D1" w:rsidRPr="009D34ED">
        <w:rPr>
          <w:rFonts w:ascii="Arial" w:hAnsi="Arial" w:cs="Arial"/>
          <w:bCs/>
          <w:sz w:val="22"/>
          <w:lang w:val="es-MX"/>
        </w:rPr>
        <w:t>»</w:t>
      </w:r>
      <w:r w:rsidR="00485EF1" w:rsidRPr="009D34ED">
        <w:rPr>
          <w:rFonts w:ascii="Arial" w:hAnsi="Arial" w:cs="Arial"/>
          <w:bCs/>
          <w:sz w:val="22"/>
          <w:lang w:val="es-MX"/>
        </w:rPr>
        <w:t xml:space="preserve">, de la </w:t>
      </w:r>
      <w:r w:rsidR="008405D1" w:rsidRPr="009D34ED">
        <w:rPr>
          <w:rFonts w:ascii="Arial" w:hAnsi="Arial" w:cs="Arial"/>
          <w:bCs/>
          <w:sz w:val="22"/>
          <w:lang w:val="es-MX"/>
        </w:rPr>
        <w:t>«</w:t>
      </w:r>
      <w:r w:rsidR="00485EF1" w:rsidRPr="009D34ED">
        <w:rPr>
          <w:rFonts w:ascii="Arial" w:hAnsi="Arial" w:cs="Arial"/>
          <w:bCs/>
          <w:sz w:val="22"/>
          <w:lang w:val="es-MX"/>
        </w:rPr>
        <w:t>I</w:t>
      </w:r>
      <w:r w:rsidR="008405D1" w:rsidRPr="009D34ED">
        <w:rPr>
          <w:rFonts w:ascii="Arial" w:hAnsi="Arial" w:cs="Arial"/>
          <w:bCs/>
          <w:sz w:val="22"/>
          <w:lang w:val="es-MX"/>
        </w:rPr>
        <w:t>»</w:t>
      </w:r>
      <w:r w:rsidR="00485EF1" w:rsidRPr="009D34ED">
        <w:rPr>
          <w:rFonts w:ascii="Arial" w:hAnsi="Arial" w:cs="Arial"/>
          <w:bCs/>
          <w:sz w:val="22"/>
          <w:lang w:val="es-MX"/>
        </w:rPr>
        <w:t xml:space="preserve"> y de la </w:t>
      </w:r>
      <w:r w:rsidR="008405D1" w:rsidRPr="009D34ED">
        <w:rPr>
          <w:rFonts w:ascii="Arial" w:hAnsi="Arial" w:cs="Arial"/>
          <w:bCs/>
          <w:sz w:val="22"/>
          <w:lang w:val="es-MX"/>
        </w:rPr>
        <w:t>«</w:t>
      </w:r>
      <w:r w:rsidR="00485EF1" w:rsidRPr="009D34ED">
        <w:rPr>
          <w:rFonts w:ascii="Arial" w:hAnsi="Arial" w:cs="Arial"/>
          <w:bCs/>
          <w:sz w:val="22"/>
          <w:lang w:val="es-MX"/>
        </w:rPr>
        <w:t>U</w:t>
      </w:r>
      <w:r w:rsidR="008405D1" w:rsidRPr="009D34ED">
        <w:rPr>
          <w:rFonts w:ascii="Arial" w:hAnsi="Arial" w:cs="Arial"/>
          <w:bCs/>
          <w:sz w:val="22"/>
          <w:lang w:val="es-MX"/>
        </w:rPr>
        <w:t>»</w:t>
      </w:r>
      <w:r w:rsidR="00485EF1" w:rsidRPr="009D34ED">
        <w:rPr>
          <w:rFonts w:ascii="Arial" w:hAnsi="Arial" w:cs="Arial"/>
          <w:bCs/>
          <w:sz w:val="22"/>
          <w:lang w:val="es-MX"/>
        </w:rPr>
        <w:t xml:space="preserve">, siempre que la sumatoria de ellos no exceda el porcentaje total definido por la </w:t>
      </w:r>
      <w:r w:rsidR="00026C24" w:rsidRPr="009D34ED">
        <w:rPr>
          <w:rFonts w:ascii="Arial" w:hAnsi="Arial" w:cs="Arial"/>
          <w:bCs/>
          <w:sz w:val="22"/>
          <w:lang w:val="es-MX"/>
        </w:rPr>
        <w:t>e</w:t>
      </w:r>
      <w:r w:rsidR="00485EF1" w:rsidRPr="009D34ED">
        <w:rPr>
          <w:rFonts w:ascii="Arial" w:hAnsi="Arial" w:cs="Arial"/>
          <w:bCs/>
          <w:sz w:val="22"/>
          <w:lang w:val="es-MX"/>
        </w:rPr>
        <w:t xml:space="preserve">ntidad en el </w:t>
      </w:r>
      <w:r w:rsidR="00485EF1" w:rsidRPr="009D34ED">
        <w:rPr>
          <w:rFonts w:ascii="Arial" w:hAnsi="Arial" w:cs="Arial"/>
          <w:bCs/>
          <w:sz w:val="22"/>
          <w:lang w:val="es-MX"/>
        </w:rPr>
        <w:fldChar w:fldCharType="begin"/>
      </w:r>
      <w:r w:rsidR="00485EF1" w:rsidRPr="009D34ED">
        <w:rPr>
          <w:rFonts w:ascii="Arial" w:hAnsi="Arial" w:cs="Arial"/>
          <w:bCs/>
          <w:sz w:val="22"/>
          <w:lang w:val="es-MX"/>
        </w:rPr>
        <w:instrText xml:space="preserve"> REF _Ref57725061 \h  \* MERGEFORMAT </w:instrText>
      </w:r>
      <w:r w:rsidR="00485EF1" w:rsidRPr="009D34ED">
        <w:rPr>
          <w:rFonts w:ascii="Arial" w:hAnsi="Arial" w:cs="Arial"/>
          <w:bCs/>
          <w:sz w:val="22"/>
          <w:lang w:val="es-MX"/>
        </w:rPr>
      </w:r>
      <w:r w:rsidR="00485EF1" w:rsidRPr="009D34ED">
        <w:rPr>
          <w:rFonts w:ascii="Arial" w:hAnsi="Arial" w:cs="Arial"/>
          <w:bCs/>
          <w:sz w:val="22"/>
          <w:lang w:val="es-MX"/>
        </w:rPr>
        <w:fldChar w:fldCharType="separate"/>
      </w:r>
      <w:r w:rsidR="00485EF1" w:rsidRPr="009D34ED">
        <w:rPr>
          <w:rFonts w:ascii="Arial" w:hAnsi="Arial" w:cs="Arial"/>
          <w:bCs/>
          <w:sz w:val="22"/>
          <w:lang w:val="es-MX"/>
        </w:rPr>
        <w:t>Formulario 1– Formulario de Presupuesto Oficial</w:t>
      </w:r>
      <w:r w:rsidR="00485EF1" w:rsidRPr="009D34ED">
        <w:rPr>
          <w:rFonts w:ascii="Arial" w:hAnsi="Arial" w:cs="Arial"/>
          <w:bCs/>
          <w:sz w:val="22"/>
          <w:lang w:val="es-ES_tradnl"/>
        </w:rPr>
        <w:fldChar w:fldCharType="end"/>
      </w:r>
      <w:r w:rsidR="00485EF1" w:rsidRPr="009D34ED">
        <w:rPr>
          <w:rFonts w:ascii="Arial" w:hAnsi="Arial" w:cs="Arial"/>
          <w:bCs/>
          <w:sz w:val="22"/>
          <w:lang w:val="es-ES_tradnl"/>
        </w:rPr>
        <w:t xml:space="preserve">. Por ello, resultaría válido que el proponente en el marco de los documentos tipo y en desarrollo de su libertad empresarial, fije un valor de cero por ciento (%) en los componentes del A.I.U. pues se entiende que este es el ofrecimiento del proponente. </w:t>
      </w:r>
    </w:p>
    <w:p w14:paraId="2972AE28" w14:textId="2F07897D" w:rsidR="00485EF1" w:rsidRPr="009D34ED" w:rsidRDefault="00485EF1" w:rsidP="00485EF1">
      <w:pPr>
        <w:widowControl w:val="0"/>
        <w:autoSpaceDE w:val="0"/>
        <w:autoSpaceDN w:val="0"/>
        <w:spacing w:before="120" w:line="276" w:lineRule="auto"/>
        <w:ind w:firstLine="709"/>
        <w:jc w:val="both"/>
        <w:rPr>
          <w:rFonts w:ascii="Arial" w:hAnsi="Arial" w:cs="Arial"/>
          <w:bCs/>
          <w:sz w:val="22"/>
          <w:lang w:val="es-ES_tradnl"/>
        </w:rPr>
      </w:pPr>
      <w:r w:rsidRPr="009D34ED">
        <w:rPr>
          <w:rFonts w:ascii="Arial" w:hAnsi="Arial" w:cs="Arial"/>
          <w:bCs/>
          <w:sz w:val="22"/>
          <w:lang w:val="es-ES_tradnl"/>
        </w:rPr>
        <w:t xml:space="preserve">En este punto, es pertinente mencionar que el supuesto antes señalado no se enmarca en la causal de rechazo establecida en el literal O del numeral 1.15 del documento base. </w:t>
      </w:r>
      <w:r w:rsidRPr="009D34ED">
        <w:rPr>
          <w:rFonts w:ascii="Arial" w:eastAsia="Arial" w:hAnsi="Arial" w:cs="Arial"/>
          <w:bCs/>
          <w:sz w:val="22"/>
          <w:szCs w:val="22"/>
          <w:lang w:val="es-ES_tradnl" w:eastAsia="es-ES" w:bidi="es-ES"/>
        </w:rPr>
        <w:t xml:space="preserve">En efecto, esta casual señala que se deberá rechazar al proponente por </w:t>
      </w:r>
      <w:r w:rsidRPr="009D34ED">
        <w:rPr>
          <w:rFonts w:ascii="Arial" w:hAnsi="Arial" w:cs="Arial"/>
          <w:bCs/>
          <w:sz w:val="22"/>
          <w:lang w:val="es-ES_tradnl"/>
        </w:rPr>
        <w:t>«</w:t>
      </w:r>
      <w:r w:rsidRPr="009D34ED">
        <w:rPr>
          <w:rFonts w:ascii="Arial" w:eastAsia="Arial" w:hAnsi="Arial" w:cs="Arial"/>
          <w:bCs/>
          <w:sz w:val="22"/>
          <w:szCs w:val="22"/>
          <w:lang w:val="es-ES_tradnl" w:eastAsia="es-ES" w:bidi="es-ES"/>
        </w:rPr>
        <w:t>No ofrecer el valor de un precio unitario u ofrecerlo en cero (0) pesos</w:t>
      </w:r>
      <w:r w:rsidRPr="009D34ED">
        <w:rPr>
          <w:rFonts w:ascii="Arial" w:hAnsi="Arial" w:cs="Arial"/>
          <w:bCs/>
          <w:sz w:val="22"/>
          <w:lang w:val="es-ES_tradnl"/>
        </w:rPr>
        <w:t>»</w:t>
      </w:r>
      <w:r w:rsidRPr="009D34ED">
        <w:rPr>
          <w:rFonts w:ascii="Arial" w:eastAsia="Arial" w:hAnsi="Arial" w:cs="Arial"/>
          <w:bCs/>
          <w:sz w:val="22"/>
          <w:szCs w:val="22"/>
          <w:lang w:val="es-ES_tradnl" w:eastAsia="es-ES" w:bidi="es-ES"/>
        </w:rPr>
        <w:t xml:space="preserve">. De esta manera, esta causal </w:t>
      </w:r>
      <w:r w:rsidRPr="009D34ED">
        <w:rPr>
          <w:rFonts w:ascii="Arial" w:eastAsia="Arial" w:hAnsi="Arial" w:cs="Arial"/>
          <w:bCs/>
          <w:sz w:val="22"/>
          <w:szCs w:val="22"/>
          <w:lang w:val="es-ES_tradnl" w:eastAsia="es-ES" w:bidi="es-ES"/>
        </w:rPr>
        <w:lastRenderedPageBreak/>
        <w:t xml:space="preserve">se refriere única y exclusivamente a los precios unitarios y procede cuando el proponente no determinó el valor de un precio unitario o cuando lo fijó en cero (0) pesos, independientemente del porcentaje establecido para el A.I.U. Por tanto, no es procedente su aplicación en el evento en que el proponente determine el porcentaje de alguno de los componentes del A.I.U en cero por ciento (%), debido a que esta determinación difiere del supuesto de hecho establecido en esta causal. </w:t>
      </w:r>
    </w:p>
    <w:p w14:paraId="500C9239" w14:textId="77777777" w:rsidR="00AC4D98" w:rsidRPr="009D34ED" w:rsidRDefault="00AC4D98" w:rsidP="00A54715">
      <w:pPr>
        <w:ind w:right="618"/>
        <w:jc w:val="both"/>
        <w:rPr>
          <w:rFonts w:ascii="Arial" w:eastAsia="Calibri" w:hAnsi="Arial" w:cs="Arial"/>
          <w:bCs/>
          <w:sz w:val="21"/>
          <w:szCs w:val="21"/>
        </w:rPr>
      </w:pPr>
    </w:p>
    <w:p w14:paraId="5EA7D5B7" w14:textId="523A8E5C" w:rsidR="004946A6" w:rsidRPr="009D34ED" w:rsidRDefault="00AC4D98" w:rsidP="004946A6">
      <w:pPr>
        <w:ind w:left="709" w:right="618"/>
        <w:jc w:val="both"/>
        <w:rPr>
          <w:rFonts w:ascii="Arial" w:eastAsia="Calibri" w:hAnsi="Arial" w:cs="Arial"/>
          <w:bCs/>
          <w:sz w:val="21"/>
          <w:szCs w:val="21"/>
        </w:rPr>
      </w:pPr>
      <w:r w:rsidRPr="009D34ED">
        <w:rPr>
          <w:rFonts w:ascii="Arial" w:eastAsia="Calibri" w:hAnsi="Arial" w:cs="Arial"/>
          <w:bCs/>
          <w:sz w:val="21"/>
          <w:szCs w:val="21"/>
        </w:rPr>
        <w:t xml:space="preserve">2. ¿La Entidad podría establecer un porcentaje mínimo para cada uno de los componentes del costo indirecto?, lo anterior teniendo en cuenta que, por ejemplo, para el caso de los imprevistos, el proyecto requiere tener presupuestado un rubro para atender aquellas situaciones sobrevinientes e imprevistas, agilizando así las actividades necesarias y no contempladas, sin acudir a las modificaciones contractuales. </w:t>
      </w:r>
    </w:p>
    <w:p w14:paraId="1695EE00" w14:textId="10D82B94" w:rsidR="00A54715" w:rsidRPr="009D34ED" w:rsidRDefault="00A54715" w:rsidP="00A54715">
      <w:pPr>
        <w:ind w:right="618"/>
        <w:jc w:val="both"/>
        <w:rPr>
          <w:rFonts w:ascii="Arial" w:eastAsia="Calibri" w:hAnsi="Arial" w:cs="Arial"/>
          <w:bCs/>
          <w:sz w:val="21"/>
          <w:szCs w:val="21"/>
        </w:rPr>
      </w:pPr>
    </w:p>
    <w:p w14:paraId="1E237099" w14:textId="43737082" w:rsidR="00026C24" w:rsidRPr="009D34ED" w:rsidRDefault="00233650" w:rsidP="00026C24">
      <w:pPr>
        <w:widowControl w:val="0"/>
        <w:autoSpaceDE w:val="0"/>
        <w:autoSpaceDN w:val="0"/>
        <w:spacing w:line="276" w:lineRule="auto"/>
        <w:jc w:val="both"/>
        <w:rPr>
          <w:rFonts w:ascii="Arial" w:eastAsia="Arial" w:hAnsi="Arial" w:cs="Arial"/>
          <w:sz w:val="22"/>
          <w:szCs w:val="22"/>
          <w:lang w:val="es-ES" w:eastAsia="es-ES" w:bidi="es-ES"/>
        </w:rPr>
      </w:pPr>
      <w:r w:rsidRPr="009D34ED">
        <w:rPr>
          <w:rFonts w:ascii="Arial" w:eastAsia="Calibri" w:hAnsi="Arial" w:cs="Arial"/>
          <w:bCs/>
          <w:sz w:val="22"/>
          <w:szCs w:val="22"/>
          <w:lang w:val="es-ES_tradnl"/>
        </w:rPr>
        <w:t xml:space="preserve">En </w:t>
      </w:r>
      <w:r w:rsidR="00A54715" w:rsidRPr="009D34ED">
        <w:rPr>
          <w:rFonts w:ascii="Arial" w:eastAsia="Calibri" w:hAnsi="Arial" w:cs="Arial"/>
          <w:bCs/>
          <w:sz w:val="22"/>
          <w:szCs w:val="22"/>
          <w:lang w:val="es-ES_tradnl"/>
        </w:rPr>
        <w:t>los documentos tipo de obra de infraestructura social</w:t>
      </w:r>
      <w:r w:rsidR="00A54715" w:rsidRPr="009D34ED">
        <w:rPr>
          <w:rFonts w:ascii="Arial" w:eastAsia="Calibri" w:hAnsi="Arial" w:cs="Arial"/>
          <w:bCs/>
          <w:sz w:val="22"/>
          <w:szCs w:val="22"/>
        </w:rPr>
        <w:t xml:space="preserve"> </w:t>
      </w:r>
      <w:r w:rsidR="00A54715" w:rsidRPr="009D34ED">
        <w:rPr>
          <w:rFonts w:ascii="Arial" w:eastAsia="Calibri" w:hAnsi="Arial" w:cs="Arial"/>
          <w:bCs/>
          <w:sz w:val="22"/>
          <w:szCs w:val="22"/>
          <w:lang w:bidi="es-ES"/>
        </w:rPr>
        <w:t>se encuentra el «Formulario 1 - Formulario de Presupuesto Oficial».</w:t>
      </w:r>
      <w:r w:rsidR="00026C24" w:rsidRPr="009D34ED">
        <w:rPr>
          <w:rFonts w:ascii="Arial" w:eastAsia="Arial" w:hAnsi="Arial" w:cs="Arial"/>
          <w:sz w:val="22"/>
          <w:szCs w:val="22"/>
          <w:lang w:val="es-ES" w:eastAsia="es-ES" w:bidi="es-ES"/>
        </w:rPr>
        <w:t xml:space="preserve"> En las instrucciones señaladas en este formulario no se establece la posibilidad para </w:t>
      </w:r>
      <w:r w:rsidR="008405D1" w:rsidRPr="009D34ED">
        <w:rPr>
          <w:rFonts w:ascii="Arial" w:eastAsia="Arial" w:hAnsi="Arial" w:cs="Arial"/>
          <w:sz w:val="22"/>
          <w:szCs w:val="22"/>
          <w:lang w:val="es-ES" w:eastAsia="es-ES" w:bidi="es-ES"/>
        </w:rPr>
        <w:t xml:space="preserve">que </w:t>
      </w:r>
      <w:r w:rsidR="00026C24" w:rsidRPr="009D34ED">
        <w:rPr>
          <w:rFonts w:ascii="Arial" w:eastAsia="Arial" w:hAnsi="Arial" w:cs="Arial"/>
          <w:sz w:val="22"/>
          <w:szCs w:val="22"/>
          <w:lang w:val="es-ES" w:eastAsia="es-ES" w:bidi="es-ES"/>
        </w:rPr>
        <w:t xml:space="preserve">la entidad </w:t>
      </w:r>
      <w:r w:rsidR="008405D1" w:rsidRPr="009D34ED">
        <w:rPr>
          <w:rFonts w:ascii="Arial" w:eastAsia="Arial" w:hAnsi="Arial" w:cs="Arial"/>
          <w:sz w:val="22"/>
          <w:szCs w:val="22"/>
          <w:lang w:val="es-ES" w:eastAsia="es-ES" w:bidi="es-ES"/>
        </w:rPr>
        <w:t>fije</w:t>
      </w:r>
      <w:r w:rsidR="00026C24" w:rsidRPr="009D34ED">
        <w:rPr>
          <w:rFonts w:ascii="Arial" w:eastAsia="Arial" w:hAnsi="Arial" w:cs="Arial"/>
          <w:sz w:val="22"/>
          <w:szCs w:val="22"/>
          <w:lang w:val="es-ES" w:eastAsia="es-ES" w:bidi="es-ES"/>
        </w:rPr>
        <w:t xml:space="preserve"> rangos de límites entre mínimo y máximo en los componentes del A.I.U, de manera que la entidad solo podrá establecer el porcentaje máximo y no un porcentaje mínimo. Lo anterior debe interpretarse en conjunto con lo dispuesto en el numeral 4.1.1. del documento base, según el cual </w:t>
      </w:r>
      <w:r w:rsidR="00026C24" w:rsidRPr="009D34ED">
        <w:rPr>
          <w:rFonts w:ascii="Arial" w:eastAsia="Arial" w:hAnsi="Arial" w:cs="Arial"/>
          <w:sz w:val="22"/>
          <w:szCs w:val="22"/>
          <w:lang w:val="es-MX" w:eastAsia="es-ES" w:bidi="es-ES"/>
        </w:rPr>
        <w:t xml:space="preserve">el porcentaje del A.I.U. que presenten los proponentes no debe ser superior al porcentaje total del A.I.U establecido en el </w:t>
      </w:r>
      <w:r w:rsidR="00026C24" w:rsidRPr="009D34ED">
        <w:rPr>
          <w:rFonts w:ascii="Arial" w:eastAsia="Arial" w:hAnsi="Arial" w:cs="Arial"/>
          <w:sz w:val="22"/>
          <w:szCs w:val="22"/>
          <w:lang w:val="es-MX" w:eastAsia="es-ES" w:bidi="es-ES"/>
        </w:rPr>
        <w:fldChar w:fldCharType="begin"/>
      </w:r>
      <w:r w:rsidR="00026C24" w:rsidRPr="009D34ED">
        <w:rPr>
          <w:rFonts w:ascii="Arial" w:eastAsia="Arial" w:hAnsi="Arial" w:cs="Arial"/>
          <w:sz w:val="22"/>
          <w:szCs w:val="22"/>
          <w:lang w:val="es-MX" w:eastAsia="es-ES" w:bidi="es-ES"/>
        </w:rPr>
        <w:instrText xml:space="preserve"> REF _Ref57725061 \h  \* MERGEFORMAT </w:instrText>
      </w:r>
      <w:r w:rsidR="00026C24" w:rsidRPr="009D34ED">
        <w:rPr>
          <w:rFonts w:ascii="Arial" w:eastAsia="Arial" w:hAnsi="Arial" w:cs="Arial"/>
          <w:sz w:val="22"/>
          <w:szCs w:val="22"/>
          <w:lang w:val="es-MX" w:eastAsia="es-ES" w:bidi="es-ES"/>
        </w:rPr>
      </w:r>
      <w:r w:rsidR="00026C24" w:rsidRPr="009D34ED">
        <w:rPr>
          <w:rFonts w:ascii="Arial" w:eastAsia="Arial" w:hAnsi="Arial" w:cs="Arial"/>
          <w:sz w:val="22"/>
          <w:szCs w:val="22"/>
          <w:lang w:val="es-MX" w:eastAsia="es-ES" w:bidi="es-ES"/>
        </w:rPr>
        <w:fldChar w:fldCharType="separate"/>
      </w:r>
      <w:r w:rsidR="00026C24" w:rsidRPr="009D34ED">
        <w:rPr>
          <w:rFonts w:ascii="Arial" w:eastAsia="Arial" w:hAnsi="Arial" w:cs="Arial"/>
          <w:sz w:val="22"/>
          <w:szCs w:val="22"/>
          <w:lang w:val="es-MX" w:eastAsia="es-ES" w:bidi="es-ES"/>
        </w:rPr>
        <w:t>Formulario 1– Formulario de Presupuesto Oficial</w:t>
      </w:r>
      <w:r w:rsidR="00026C24" w:rsidRPr="009D34ED">
        <w:rPr>
          <w:rFonts w:ascii="Arial" w:eastAsia="Arial" w:hAnsi="Arial" w:cs="Arial"/>
          <w:sz w:val="22"/>
          <w:szCs w:val="22"/>
          <w:lang w:val="es-ES" w:eastAsia="es-ES" w:bidi="es-ES"/>
        </w:rPr>
        <w:fldChar w:fldCharType="end"/>
      </w:r>
      <w:r w:rsidR="00026C24" w:rsidRPr="009D34ED">
        <w:rPr>
          <w:rFonts w:ascii="Arial" w:eastAsia="Arial" w:hAnsi="Arial" w:cs="Arial"/>
          <w:sz w:val="22"/>
          <w:szCs w:val="22"/>
          <w:lang w:val="es-MX" w:eastAsia="es-ES" w:bidi="es-ES"/>
        </w:rPr>
        <w:t xml:space="preserve">. De ahí se sigue que el porcentaje determinado por la entidad debe ser un porcentaje máximo, el cual se tomará de referencia por el proponente para estructurar su oferta. </w:t>
      </w:r>
    </w:p>
    <w:p w14:paraId="50A364EA" w14:textId="77777777" w:rsidR="00026C24" w:rsidRPr="009D34ED" w:rsidRDefault="00026C24" w:rsidP="00026C24">
      <w:pPr>
        <w:widowControl w:val="0"/>
        <w:autoSpaceDE w:val="0"/>
        <w:autoSpaceDN w:val="0"/>
        <w:spacing w:before="120" w:line="276" w:lineRule="auto"/>
        <w:ind w:firstLine="709"/>
        <w:jc w:val="both"/>
        <w:rPr>
          <w:rFonts w:ascii="Arial" w:eastAsia="Arial" w:hAnsi="Arial" w:cs="Arial"/>
          <w:sz w:val="22"/>
          <w:szCs w:val="22"/>
          <w:lang w:val="es-ES" w:eastAsia="es-ES" w:bidi="es-ES"/>
        </w:rPr>
      </w:pPr>
      <w:r w:rsidRPr="009D34ED">
        <w:rPr>
          <w:rFonts w:ascii="Arial" w:eastAsia="Arial" w:hAnsi="Arial" w:cs="Arial"/>
          <w:sz w:val="22"/>
          <w:szCs w:val="22"/>
          <w:lang w:val="es-ES" w:eastAsia="es-ES" w:bidi="es-ES"/>
        </w:rPr>
        <w:t>En este sentido, reiterando la regla de inalterabilidad, las entidades solo pueden modificar aquello que el documento tipo permita. Por ello, debido a que la primera hoja del Formulario 1 – Formulario del Presupuesto Oficial no permite su modificación en los procesos estructurados por precios unitarios, no será posible establecer un porcentaje mínimo en los componentes del A.I.U.</w:t>
      </w:r>
    </w:p>
    <w:p w14:paraId="68681FB4" w14:textId="77777777" w:rsidR="004946A6" w:rsidRPr="009D34ED" w:rsidRDefault="004946A6" w:rsidP="000203F8">
      <w:pPr>
        <w:ind w:right="618"/>
        <w:jc w:val="both"/>
        <w:rPr>
          <w:rFonts w:ascii="Arial" w:eastAsia="Calibri" w:hAnsi="Arial" w:cs="Arial"/>
          <w:bCs/>
          <w:sz w:val="21"/>
          <w:szCs w:val="21"/>
        </w:rPr>
      </w:pPr>
    </w:p>
    <w:p w14:paraId="24A42A58" w14:textId="77777777" w:rsidR="00AC4D98" w:rsidRPr="009D34ED" w:rsidRDefault="00AC4D98" w:rsidP="00AC4D98">
      <w:pPr>
        <w:ind w:left="709" w:right="618"/>
        <w:jc w:val="both"/>
        <w:rPr>
          <w:rFonts w:ascii="Arial" w:eastAsia="Calibri" w:hAnsi="Arial" w:cs="Arial"/>
          <w:bCs/>
          <w:sz w:val="21"/>
          <w:szCs w:val="21"/>
        </w:rPr>
      </w:pPr>
      <w:r w:rsidRPr="009D34ED">
        <w:rPr>
          <w:rFonts w:ascii="Arial" w:eastAsia="Calibri" w:hAnsi="Arial" w:cs="Arial"/>
          <w:b/>
          <w:bCs/>
          <w:sz w:val="21"/>
          <w:szCs w:val="21"/>
        </w:rPr>
        <w:t xml:space="preserve">III. </w:t>
      </w:r>
      <w:r w:rsidRPr="009D34ED">
        <w:rPr>
          <w:rFonts w:ascii="Arial" w:eastAsia="Calibri" w:hAnsi="Arial" w:cs="Arial"/>
          <w:bCs/>
          <w:sz w:val="21"/>
          <w:szCs w:val="21"/>
        </w:rPr>
        <w:t>El Documento Base CCE-EICP-GI-14 dispone en el numeral 4.1.3. “</w:t>
      </w:r>
      <w:r w:rsidRPr="009D34ED">
        <w:rPr>
          <w:rFonts w:ascii="Arial" w:eastAsia="Calibri" w:hAnsi="Arial" w:cs="Arial"/>
          <w:bCs/>
          <w:i/>
          <w:iCs/>
          <w:sz w:val="21"/>
          <w:szCs w:val="21"/>
        </w:rPr>
        <w:t>PRECIO ARTIFICIALMENTE BAJO</w:t>
      </w:r>
      <w:r w:rsidRPr="009D34ED">
        <w:rPr>
          <w:rFonts w:ascii="Arial" w:eastAsia="Calibri" w:hAnsi="Arial" w:cs="Arial"/>
          <w:bCs/>
          <w:sz w:val="21"/>
          <w:szCs w:val="21"/>
        </w:rPr>
        <w:t xml:space="preserve">”, lo siguiente: </w:t>
      </w:r>
    </w:p>
    <w:p w14:paraId="48F92658" w14:textId="77777777" w:rsidR="00AC4D98" w:rsidRPr="009D34ED" w:rsidRDefault="00AC4D98" w:rsidP="00AC4D98">
      <w:pPr>
        <w:ind w:left="709" w:right="618"/>
        <w:jc w:val="both"/>
        <w:rPr>
          <w:rFonts w:ascii="Arial" w:eastAsia="Calibri" w:hAnsi="Arial" w:cs="Arial"/>
          <w:bCs/>
          <w:sz w:val="21"/>
          <w:szCs w:val="21"/>
        </w:rPr>
      </w:pPr>
    </w:p>
    <w:p w14:paraId="1940D689" w14:textId="77777777" w:rsidR="00AC4D98" w:rsidRPr="009D34ED" w:rsidRDefault="00AC4D98" w:rsidP="00AC4D98">
      <w:pPr>
        <w:ind w:left="709" w:right="618"/>
        <w:jc w:val="both"/>
        <w:rPr>
          <w:rFonts w:ascii="Arial" w:eastAsia="Calibri" w:hAnsi="Arial" w:cs="Arial"/>
          <w:bCs/>
          <w:sz w:val="21"/>
          <w:szCs w:val="21"/>
        </w:rPr>
      </w:pPr>
      <w:r w:rsidRPr="009D34ED">
        <w:rPr>
          <w:rFonts w:ascii="Arial" w:eastAsia="Calibri" w:hAnsi="Arial" w:cs="Arial"/>
          <w:bCs/>
          <w:sz w:val="21"/>
          <w:szCs w:val="21"/>
        </w:rPr>
        <w:t>“</w:t>
      </w:r>
      <w:r w:rsidRPr="009D34ED">
        <w:rPr>
          <w:rFonts w:ascii="Arial" w:eastAsia="Calibri" w:hAnsi="Arial" w:cs="Arial"/>
          <w:bCs/>
          <w:i/>
          <w:iCs/>
          <w:sz w:val="21"/>
          <w:szCs w:val="21"/>
        </w:rPr>
        <w:t>En el evento en el que el precio de una oferta, al momento de su evaluación, no parezca suficiente para garantizar una correcta ejecución del Contrato, de acuerdo con la información recogida durante la etapa de planeación y particularmente en el estudio del sector, la Entidad aplicará el proceso descrito en el artículo 2.2.1.1.2.2.4. del Decreto 1082 de 2015, además podrá acudir a los parámetros definidos en la Guía para el manejo de ofertas artificialmente bajas en Procesos de Contratación de Colombia Compra Eficiente, como un criterio metodológico.</w:t>
      </w:r>
      <w:r w:rsidRPr="009D34ED">
        <w:rPr>
          <w:rFonts w:ascii="Arial" w:eastAsia="Calibri" w:hAnsi="Arial" w:cs="Arial"/>
          <w:bCs/>
          <w:sz w:val="21"/>
          <w:szCs w:val="21"/>
        </w:rPr>
        <w:t xml:space="preserve">” </w:t>
      </w:r>
    </w:p>
    <w:p w14:paraId="67731411" w14:textId="77777777" w:rsidR="00AC4D98" w:rsidRPr="009D34ED" w:rsidRDefault="00AC4D98" w:rsidP="00AC4D98">
      <w:pPr>
        <w:ind w:left="709" w:right="618"/>
        <w:jc w:val="both"/>
        <w:rPr>
          <w:rFonts w:ascii="Arial" w:eastAsia="Calibri" w:hAnsi="Arial" w:cs="Arial"/>
          <w:bCs/>
          <w:sz w:val="21"/>
          <w:szCs w:val="21"/>
        </w:rPr>
      </w:pPr>
    </w:p>
    <w:p w14:paraId="44D5C943" w14:textId="77777777" w:rsidR="00AC4D98" w:rsidRPr="009D34ED" w:rsidRDefault="00AC4D98" w:rsidP="00AC4D98">
      <w:pPr>
        <w:ind w:left="709" w:right="618"/>
        <w:jc w:val="both"/>
        <w:rPr>
          <w:rFonts w:ascii="Arial" w:eastAsia="Calibri" w:hAnsi="Arial" w:cs="Arial"/>
          <w:bCs/>
          <w:sz w:val="21"/>
          <w:szCs w:val="21"/>
        </w:rPr>
      </w:pPr>
      <w:r w:rsidRPr="009D34ED">
        <w:rPr>
          <w:rFonts w:ascii="Arial" w:eastAsia="Calibri" w:hAnsi="Arial" w:cs="Arial"/>
          <w:bCs/>
          <w:sz w:val="21"/>
          <w:szCs w:val="21"/>
        </w:rPr>
        <w:t xml:space="preserve">Teniendo en cuenta las indicaciones señaladas anteriormente, surge la necesidad de solicitar la siguiente aclaración: </w:t>
      </w:r>
    </w:p>
    <w:p w14:paraId="5896D732" w14:textId="77777777" w:rsidR="00AC4D98" w:rsidRPr="009D34ED" w:rsidRDefault="00AC4D98" w:rsidP="00AC4D98">
      <w:pPr>
        <w:ind w:left="709" w:right="618"/>
        <w:jc w:val="both"/>
        <w:rPr>
          <w:rFonts w:ascii="Arial" w:eastAsia="Calibri" w:hAnsi="Arial" w:cs="Arial"/>
          <w:bCs/>
          <w:sz w:val="21"/>
          <w:szCs w:val="21"/>
        </w:rPr>
      </w:pPr>
    </w:p>
    <w:p w14:paraId="2DCA7A6C" w14:textId="5D5561D4" w:rsidR="00AC4D98" w:rsidRPr="009D34ED" w:rsidRDefault="00AC4D98" w:rsidP="00AD0C3A">
      <w:pPr>
        <w:ind w:left="709" w:right="618"/>
        <w:jc w:val="both"/>
        <w:rPr>
          <w:rFonts w:ascii="Arial" w:eastAsia="Calibri" w:hAnsi="Arial" w:cs="Arial"/>
          <w:bCs/>
          <w:sz w:val="21"/>
          <w:szCs w:val="21"/>
        </w:rPr>
      </w:pPr>
      <w:r w:rsidRPr="009D34ED">
        <w:rPr>
          <w:rFonts w:ascii="Arial" w:eastAsia="Calibri" w:hAnsi="Arial" w:cs="Arial"/>
          <w:bCs/>
          <w:sz w:val="21"/>
          <w:szCs w:val="21"/>
        </w:rPr>
        <w:t xml:space="preserve">1. ¿La Entidad puede establecer un porcentaje mínimo [precios piso] de oferta por parte de los proponentes sobre las actividades y/o presupuesto oficial que deba cumplirse en la oferta económica, con el fin de evitar los precios artificialmente bajos y las diferentes dilaciones que esto pueda producir dentro del proceso de selección de contratistas? </w:t>
      </w:r>
    </w:p>
    <w:p w14:paraId="4BC7523B" w14:textId="77777777" w:rsidR="00AC4D98" w:rsidRPr="009D34ED" w:rsidRDefault="00AC4D98" w:rsidP="00AC4D98">
      <w:pPr>
        <w:ind w:left="709" w:right="618"/>
        <w:jc w:val="both"/>
        <w:rPr>
          <w:rFonts w:ascii="Arial" w:eastAsia="Calibri" w:hAnsi="Arial" w:cs="Arial"/>
          <w:bCs/>
          <w:sz w:val="21"/>
          <w:szCs w:val="21"/>
        </w:rPr>
      </w:pPr>
    </w:p>
    <w:p w14:paraId="2D6AF4BF" w14:textId="5A32E084" w:rsidR="00C12911" w:rsidRPr="009D34ED" w:rsidRDefault="00AC4D98" w:rsidP="00C12911">
      <w:pPr>
        <w:ind w:left="709" w:right="618"/>
        <w:jc w:val="both"/>
        <w:rPr>
          <w:rFonts w:ascii="Arial" w:eastAsia="Calibri" w:hAnsi="Arial" w:cs="Arial"/>
          <w:bCs/>
          <w:sz w:val="21"/>
          <w:szCs w:val="21"/>
        </w:rPr>
      </w:pPr>
      <w:r w:rsidRPr="009D34ED">
        <w:rPr>
          <w:rFonts w:ascii="Arial" w:eastAsia="Calibri" w:hAnsi="Arial" w:cs="Arial"/>
          <w:bCs/>
          <w:sz w:val="21"/>
          <w:szCs w:val="21"/>
        </w:rPr>
        <w:t xml:space="preserve">2. ¿Este proceso se debe realizar a todas las propuestas habilitadas que considere que presentó u ofreció precios artificialmente bajos o sólo a la propuesta que obtuvo el mayor puntaje y que quedó en el primer orden de elegibilidad [probable adjudicatario]? </w:t>
      </w:r>
    </w:p>
    <w:p w14:paraId="6CDC1B31" w14:textId="77777777" w:rsidR="00C12911" w:rsidRPr="009D34ED" w:rsidRDefault="00C12911" w:rsidP="00C12911">
      <w:pPr>
        <w:spacing w:line="276" w:lineRule="auto"/>
        <w:ind w:left="709" w:right="618"/>
        <w:jc w:val="both"/>
        <w:rPr>
          <w:rFonts w:ascii="Arial" w:eastAsia="Calibri" w:hAnsi="Arial" w:cs="Arial"/>
          <w:bCs/>
          <w:sz w:val="21"/>
          <w:szCs w:val="21"/>
        </w:rPr>
      </w:pPr>
    </w:p>
    <w:p w14:paraId="73A612C9" w14:textId="31859073" w:rsidR="00C12911" w:rsidRPr="009D34ED" w:rsidRDefault="00B9247C" w:rsidP="00C12911">
      <w:pPr>
        <w:spacing w:line="276" w:lineRule="auto"/>
        <w:jc w:val="both"/>
        <w:rPr>
          <w:rFonts w:ascii="Arial" w:hAnsi="Arial" w:cs="Arial"/>
          <w:bCs/>
          <w:color w:val="000000" w:themeColor="text1"/>
          <w:sz w:val="22"/>
          <w:szCs w:val="22"/>
          <w:lang w:eastAsia="en-US"/>
        </w:rPr>
      </w:pPr>
      <w:r w:rsidRPr="009D34ED">
        <w:rPr>
          <w:rFonts w:ascii="Arial" w:hAnsi="Arial" w:cs="Arial"/>
          <w:bCs/>
          <w:color w:val="000000" w:themeColor="text1"/>
          <w:sz w:val="22"/>
          <w:szCs w:val="22"/>
          <w:lang w:val="es-ES_tradnl" w:eastAsia="en-US"/>
        </w:rPr>
        <w:t>Conforme lo establece el numeral 4.3.1 del documento base de infraestructura social</w:t>
      </w:r>
      <w:r w:rsidR="008405D1" w:rsidRPr="009D34ED">
        <w:rPr>
          <w:rFonts w:ascii="Arial" w:hAnsi="Arial" w:cs="Arial"/>
          <w:bCs/>
          <w:color w:val="000000" w:themeColor="text1"/>
          <w:sz w:val="22"/>
          <w:szCs w:val="22"/>
          <w:lang w:val="es-ES_tradnl" w:eastAsia="en-US"/>
        </w:rPr>
        <w:t>,</w:t>
      </w:r>
      <w:r w:rsidRPr="009D34ED">
        <w:rPr>
          <w:rFonts w:ascii="Arial" w:hAnsi="Arial" w:cs="Arial"/>
          <w:bCs/>
          <w:color w:val="000000" w:themeColor="text1"/>
          <w:sz w:val="22"/>
          <w:szCs w:val="22"/>
          <w:lang w:val="es-ES_tradnl" w:eastAsia="en-US"/>
        </w:rPr>
        <w:t xml:space="preserve"> para la determinación de las ofertas artificialmente bajas las entidades deben aplicar lo dispuesto en el </w:t>
      </w:r>
      <w:r w:rsidRPr="009D34ED">
        <w:rPr>
          <w:rFonts w:ascii="Arial" w:hAnsi="Arial" w:cs="Arial"/>
          <w:bCs/>
          <w:color w:val="000000" w:themeColor="text1"/>
          <w:sz w:val="22"/>
          <w:szCs w:val="22"/>
          <w:lang w:eastAsia="en-US"/>
        </w:rPr>
        <w:t>artículo 2.2.1.1.2.2.4 del Decreto 1082 de 2015 y podrán tener en cuenta las metodologías definidas en la Guía</w:t>
      </w:r>
      <w:r w:rsidRPr="009D34ED">
        <w:rPr>
          <w:rFonts w:ascii="Arial" w:hAnsi="Arial" w:cs="Arial"/>
          <w:color w:val="000000" w:themeColor="text1"/>
          <w:sz w:val="22"/>
        </w:rPr>
        <w:t xml:space="preserve"> para el manejo de ofertas artificialmente bajas en procesos de contratación, como criterio metodológico. </w:t>
      </w:r>
      <w:r w:rsidR="00AF7ADC" w:rsidRPr="009D34ED">
        <w:rPr>
          <w:rFonts w:ascii="Arial" w:hAnsi="Arial" w:cs="Arial"/>
          <w:color w:val="000000" w:themeColor="text1"/>
          <w:sz w:val="22"/>
          <w:lang w:val="es-ES"/>
        </w:rPr>
        <w:t xml:space="preserve">Según </w:t>
      </w:r>
      <w:r w:rsidR="000A78D7" w:rsidRPr="009D34ED">
        <w:rPr>
          <w:rFonts w:ascii="Arial" w:hAnsi="Arial" w:cs="Arial"/>
          <w:color w:val="000000" w:themeColor="text1"/>
          <w:sz w:val="22"/>
          <w:lang w:val="es-ES"/>
        </w:rPr>
        <w:t xml:space="preserve">lo señalado en la Guía, </w:t>
      </w:r>
      <w:r w:rsidR="00C12911" w:rsidRPr="009D34ED">
        <w:rPr>
          <w:rFonts w:ascii="Arial" w:hAnsi="Arial" w:cs="Arial"/>
          <w:color w:val="000000" w:themeColor="text1"/>
          <w:sz w:val="22"/>
          <w:lang w:val="es-ES"/>
        </w:rPr>
        <w:t xml:space="preserve">si se reciben menos de cinco (5) ofertas, se solicitará aclaración a los proponentes cuyas ofertas sean menores en un 20%, o un mayor porcentaje en relación con el costo estimado por la entidad estatal. Por su parte, </w:t>
      </w:r>
      <w:r w:rsidR="00C12911" w:rsidRPr="009D34ED">
        <w:rPr>
          <w:rFonts w:ascii="Arial" w:hAnsi="Arial" w:cs="Arial"/>
          <w:bCs/>
          <w:color w:val="000000" w:themeColor="text1"/>
          <w:sz w:val="22"/>
          <w:szCs w:val="22"/>
          <w:lang w:eastAsia="en-US"/>
        </w:rPr>
        <w:t xml:space="preserve">cuando se presentan más de cinco (5) ofertas la Guía </w:t>
      </w:r>
      <w:r w:rsidR="00C12911" w:rsidRPr="009D34ED">
        <w:rPr>
          <w:rFonts w:ascii="Arial" w:hAnsi="Arial" w:cs="Arial"/>
          <w:color w:val="000000" w:themeColor="text1"/>
          <w:sz w:val="22"/>
          <w:lang w:val="es-ES"/>
        </w:rPr>
        <w:t xml:space="preserve">sugiere aplicar una metodología para identificar ofertas con precios artificialmente bajos, dentro de la que se incluye la fijación de un valor mínimo aceptable. De este modo, la entidad puede identificar como </w:t>
      </w:r>
      <w:r w:rsidR="00642756" w:rsidRPr="009D34ED">
        <w:rPr>
          <w:rFonts w:ascii="Arial" w:hAnsi="Arial" w:cs="Arial"/>
          <w:color w:val="000000" w:themeColor="text1"/>
          <w:sz w:val="22"/>
          <w:lang w:val="es-ES"/>
        </w:rPr>
        <w:t xml:space="preserve">posibles </w:t>
      </w:r>
      <w:r w:rsidR="00C12911" w:rsidRPr="009D34ED">
        <w:rPr>
          <w:rFonts w:ascii="Arial" w:hAnsi="Arial" w:cs="Arial"/>
          <w:color w:val="000000" w:themeColor="text1"/>
          <w:sz w:val="22"/>
          <w:lang w:val="es-ES"/>
        </w:rPr>
        <w:t xml:space="preserve">ofertas artificialmente bajas las que se encuentren por debajo de ese valor mínimo. </w:t>
      </w:r>
    </w:p>
    <w:p w14:paraId="65EB15F2" w14:textId="64FE2D99" w:rsidR="00B9247C" w:rsidRPr="009D34ED" w:rsidRDefault="00C12911" w:rsidP="00612872">
      <w:pPr>
        <w:spacing w:before="120" w:line="276" w:lineRule="auto"/>
        <w:ind w:firstLine="709"/>
        <w:jc w:val="both"/>
        <w:rPr>
          <w:rFonts w:ascii="Arial" w:hAnsi="Arial" w:cs="Arial"/>
          <w:color w:val="000000" w:themeColor="text1"/>
          <w:sz w:val="22"/>
        </w:rPr>
      </w:pPr>
      <w:r w:rsidRPr="009D34ED">
        <w:rPr>
          <w:rFonts w:ascii="Arial" w:hAnsi="Arial" w:cs="Arial"/>
          <w:color w:val="000000" w:themeColor="text1"/>
          <w:sz w:val="22"/>
          <w:lang w:val="es-ES"/>
        </w:rPr>
        <w:t xml:space="preserve">Con base en lo anterior, </w:t>
      </w:r>
      <w:r w:rsidRPr="009D34ED">
        <w:rPr>
          <w:rFonts w:ascii="Arial" w:hAnsi="Arial" w:cs="Arial"/>
          <w:color w:val="000000" w:themeColor="text1"/>
          <w:sz w:val="22"/>
        </w:rPr>
        <w:t xml:space="preserve">el requerimiento de aclaraciones al que se refiere </w:t>
      </w:r>
      <w:r w:rsidR="00642756" w:rsidRPr="009D34ED">
        <w:rPr>
          <w:rFonts w:ascii="Arial" w:hAnsi="Arial" w:cs="Arial"/>
          <w:color w:val="000000" w:themeColor="text1"/>
          <w:sz w:val="22"/>
        </w:rPr>
        <w:t xml:space="preserve">el </w:t>
      </w:r>
      <w:r w:rsidRPr="009D34ED">
        <w:rPr>
          <w:rFonts w:ascii="Arial" w:hAnsi="Arial" w:cs="Arial"/>
          <w:color w:val="000000" w:themeColor="text1"/>
          <w:sz w:val="22"/>
        </w:rPr>
        <w:t xml:space="preserve">artículo 2.2.1.1.2.2.4 del Decreto 1082 de 2015 se podrá realizar a los proponentes que se encuentren en </w:t>
      </w:r>
      <w:r w:rsidR="002A303D" w:rsidRPr="009D34ED">
        <w:rPr>
          <w:rFonts w:ascii="Arial" w:hAnsi="Arial" w:cs="Arial"/>
          <w:color w:val="000000" w:themeColor="text1"/>
          <w:sz w:val="22"/>
        </w:rPr>
        <w:t xml:space="preserve">los </w:t>
      </w:r>
      <w:r w:rsidRPr="009D34ED">
        <w:rPr>
          <w:rFonts w:ascii="Arial" w:hAnsi="Arial" w:cs="Arial"/>
          <w:color w:val="000000" w:themeColor="text1"/>
          <w:sz w:val="22"/>
        </w:rPr>
        <w:t xml:space="preserve">supuestos </w:t>
      </w:r>
      <w:r w:rsidR="002A303D" w:rsidRPr="009D34ED">
        <w:rPr>
          <w:rFonts w:ascii="Arial" w:hAnsi="Arial" w:cs="Arial"/>
          <w:color w:val="000000" w:themeColor="text1"/>
          <w:sz w:val="22"/>
        </w:rPr>
        <w:t xml:space="preserve">indicados </w:t>
      </w:r>
      <w:r w:rsidRPr="009D34ED">
        <w:rPr>
          <w:rFonts w:ascii="Arial" w:hAnsi="Arial" w:cs="Arial"/>
          <w:color w:val="000000" w:themeColor="text1"/>
          <w:sz w:val="22"/>
        </w:rPr>
        <w:t>y no solamente al que se encuentra en el primer orden de elegibilidad. No obstante,</w:t>
      </w:r>
      <w:r w:rsidR="00612872" w:rsidRPr="009D34ED">
        <w:rPr>
          <w:rFonts w:ascii="Arial" w:hAnsi="Arial" w:cs="Arial"/>
          <w:color w:val="000000" w:themeColor="text1"/>
          <w:sz w:val="22"/>
        </w:rPr>
        <w:t xml:space="preserve"> la Guía establece criterios orientadores para las entidades públicas que no son </w:t>
      </w:r>
      <w:r w:rsidRPr="009D34ED">
        <w:rPr>
          <w:rFonts w:ascii="Arial" w:hAnsi="Arial" w:cs="Arial"/>
          <w:color w:val="000000" w:themeColor="text1"/>
          <w:sz w:val="22"/>
        </w:rPr>
        <w:t>vinculantes</w:t>
      </w:r>
      <w:r w:rsidR="00612872" w:rsidRPr="009D34ED">
        <w:rPr>
          <w:rFonts w:ascii="Arial" w:hAnsi="Arial" w:cs="Arial"/>
          <w:color w:val="000000" w:themeColor="text1"/>
          <w:sz w:val="22"/>
        </w:rPr>
        <w:t>,</w:t>
      </w:r>
      <w:r w:rsidRPr="009D34ED">
        <w:rPr>
          <w:rFonts w:ascii="Arial" w:hAnsi="Arial" w:cs="Arial"/>
          <w:color w:val="000000" w:themeColor="text1"/>
          <w:sz w:val="22"/>
        </w:rPr>
        <w:t xml:space="preserve"> por lo que la entidad podrá aplicar cualquier otro método que considere pertinente y determinar la forma en la que cumplirá el proceso descrito en la norma mencionada.</w:t>
      </w:r>
      <w:r w:rsidRPr="009D34ED">
        <w:rPr>
          <w:rFonts w:ascii="Arial" w:hAnsi="Arial" w:cs="Arial"/>
          <w:bCs/>
          <w:color w:val="000000" w:themeColor="text1"/>
          <w:sz w:val="22"/>
          <w:szCs w:val="22"/>
          <w:lang w:eastAsia="en-US"/>
        </w:rPr>
        <w:t xml:space="preserve"> </w:t>
      </w:r>
      <w:r w:rsidRPr="009D34ED">
        <w:rPr>
          <w:rFonts w:ascii="Arial" w:hAnsi="Arial" w:cs="Arial"/>
          <w:color w:val="000000" w:themeColor="text1"/>
          <w:sz w:val="22"/>
        </w:rPr>
        <w:t>En todo caso</w:t>
      </w:r>
      <w:r w:rsidR="00B9247C" w:rsidRPr="009D34ED">
        <w:rPr>
          <w:rFonts w:ascii="Arial" w:hAnsi="Arial" w:cs="Arial"/>
          <w:color w:val="000000" w:themeColor="text1"/>
          <w:sz w:val="22"/>
        </w:rPr>
        <w:t xml:space="preserve">, se precisa que la determinación de la metodología no significa que la entidad puede modificar el contenido del numeral 4.3.1 del documento base para incluir las condiciones </w:t>
      </w:r>
      <w:r w:rsidR="000A78D7" w:rsidRPr="009D34ED">
        <w:rPr>
          <w:rFonts w:ascii="Arial" w:hAnsi="Arial" w:cs="Arial"/>
          <w:color w:val="000000" w:themeColor="text1"/>
          <w:sz w:val="22"/>
        </w:rPr>
        <w:t xml:space="preserve">en las que se desarrollará esta metodología, </w:t>
      </w:r>
      <w:r w:rsidR="00B9247C" w:rsidRPr="009D34ED">
        <w:rPr>
          <w:rFonts w:ascii="Arial" w:hAnsi="Arial" w:cs="Arial"/>
          <w:color w:val="000000" w:themeColor="text1"/>
          <w:sz w:val="22"/>
        </w:rPr>
        <w:t xml:space="preserve">pues </w:t>
      </w:r>
      <w:r w:rsidR="00612872" w:rsidRPr="009D34ED">
        <w:rPr>
          <w:rFonts w:ascii="Arial" w:hAnsi="Arial" w:cs="Arial"/>
          <w:color w:val="000000" w:themeColor="text1"/>
          <w:sz w:val="22"/>
        </w:rPr>
        <w:t xml:space="preserve">se </w:t>
      </w:r>
      <w:r w:rsidR="00B9247C" w:rsidRPr="009D34ED">
        <w:rPr>
          <w:rFonts w:ascii="Arial" w:hAnsi="Arial" w:cs="Arial"/>
          <w:color w:val="000000" w:themeColor="text1"/>
          <w:sz w:val="22"/>
        </w:rPr>
        <w:t>vulnera</w:t>
      </w:r>
      <w:r w:rsidRPr="009D34ED">
        <w:rPr>
          <w:rFonts w:ascii="Arial" w:hAnsi="Arial" w:cs="Arial"/>
          <w:color w:val="000000" w:themeColor="text1"/>
          <w:sz w:val="22"/>
        </w:rPr>
        <w:t>ría</w:t>
      </w:r>
      <w:r w:rsidR="00B9247C" w:rsidRPr="009D34ED">
        <w:rPr>
          <w:rFonts w:ascii="Arial" w:hAnsi="Arial" w:cs="Arial"/>
          <w:color w:val="000000" w:themeColor="text1"/>
          <w:sz w:val="22"/>
        </w:rPr>
        <w:t xml:space="preserve"> la regla de inalterabilidad de los documentos tipo. Al respecto, recuérdese que los únicos aspectos que pueden ser diligenciados por la entidad son aquellos que se encuentran incluidos en corchetes y resaltado en gris</w:t>
      </w:r>
      <w:r w:rsidR="00C61602" w:rsidRPr="009D34ED">
        <w:rPr>
          <w:rFonts w:ascii="Arial" w:hAnsi="Arial" w:cs="Arial"/>
          <w:color w:val="000000" w:themeColor="text1"/>
          <w:sz w:val="22"/>
        </w:rPr>
        <w:t xml:space="preserve"> </w:t>
      </w:r>
      <w:bookmarkStart w:id="41" w:name="_Hlk102139256"/>
      <w:r w:rsidR="00C61602" w:rsidRPr="009D34ED">
        <w:rPr>
          <w:rFonts w:ascii="Arial" w:hAnsi="Arial" w:cs="Arial"/>
          <w:color w:val="000000" w:themeColor="text1"/>
          <w:sz w:val="22"/>
        </w:rPr>
        <w:t>o cuya modificación sea permitida por los mismos documentos tipo</w:t>
      </w:r>
      <w:bookmarkEnd w:id="41"/>
      <w:r w:rsidR="00B9247C" w:rsidRPr="009D34ED">
        <w:rPr>
          <w:rFonts w:ascii="Arial" w:hAnsi="Arial" w:cs="Arial"/>
          <w:color w:val="000000" w:themeColor="text1"/>
          <w:sz w:val="22"/>
        </w:rPr>
        <w:t>, opci</w:t>
      </w:r>
      <w:r w:rsidR="00C61602" w:rsidRPr="009D34ED">
        <w:rPr>
          <w:rFonts w:ascii="Arial" w:hAnsi="Arial" w:cs="Arial"/>
          <w:color w:val="000000" w:themeColor="text1"/>
          <w:sz w:val="22"/>
        </w:rPr>
        <w:t>ones</w:t>
      </w:r>
      <w:r w:rsidR="00B9247C" w:rsidRPr="009D34ED">
        <w:rPr>
          <w:rFonts w:ascii="Arial" w:hAnsi="Arial" w:cs="Arial"/>
          <w:color w:val="000000" w:themeColor="text1"/>
          <w:sz w:val="22"/>
        </w:rPr>
        <w:t xml:space="preserve"> que no se encuentra</w:t>
      </w:r>
      <w:r w:rsidR="00C61602" w:rsidRPr="009D34ED">
        <w:rPr>
          <w:rFonts w:ascii="Arial" w:hAnsi="Arial" w:cs="Arial"/>
          <w:color w:val="000000" w:themeColor="text1"/>
          <w:sz w:val="22"/>
        </w:rPr>
        <w:t>n</w:t>
      </w:r>
      <w:r w:rsidR="00B9247C" w:rsidRPr="009D34ED">
        <w:rPr>
          <w:rFonts w:ascii="Arial" w:hAnsi="Arial" w:cs="Arial"/>
          <w:color w:val="000000" w:themeColor="text1"/>
          <w:sz w:val="22"/>
        </w:rPr>
        <w:t xml:space="preserve"> en el numeral mencionado. </w:t>
      </w:r>
    </w:p>
    <w:p w14:paraId="015046B3" w14:textId="77777777" w:rsidR="00AC4D98" w:rsidRPr="009D34ED" w:rsidRDefault="00AC4D98" w:rsidP="00C12911">
      <w:pPr>
        <w:ind w:right="618"/>
        <w:jc w:val="both"/>
        <w:rPr>
          <w:rFonts w:ascii="Arial" w:eastAsia="Calibri" w:hAnsi="Arial" w:cs="Arial"/>
          <w:bCs/>
          <w:sz w:val="21"/>
          <w:szCs w:val="21"/>
        </w:rPr>
      </w:pPr>
    </w:p>
    <w:p w14:paraId="7FB4E30B" w14:textId="77777777" w:rsidR="00AC4D98" w:rsidRPr="009D34ED" w:rsidRDefault="00AC4D98" w:rsidP="00AC4D98">
      <w:pPr>
        <w:ind w:left="709" w:right="618"/>
        <w:jc w:val="both"/>
        <w:rPr>
          <w:rFonts w:ascii="Arial" w:eastAsia="Calibri" w:hAnsi="Arial" w:cs="Arial"/>
          <w:bCs/>
          <w:sz w:val="21"/>
          <w:szCs w:val="21"/>
        </w:rPr>
      </w:pPr>
      <w:r w:rsidRPr="009D34ED">
        <w:rPr>
          <w:rFonts w:ascii="Arial" w:eastAsia="Calibri" w:hAnsi="Arial" w:cs="Arial"/>
          <w:b/>
          <w:bCs/>
          <w:sz w:val="21"/>
          <w:szCs w:val="21"/>
        </w:rPr>
        <w:t xml:space="preserve">IV. </w:t>
      </w:r>
      <w:r w:rsidRPr="009D34ED">
        <w:rPr>
          <w:rFonts w:ascii="Arial" w:eastAsia="Calibri" w:hAnsi="Arial" w:cs="Arial"/>
          <w:bCs/>
          <w:sz w:val="21"/>
          <w:szCs w:val="21"/>
        </w:rPr>
        <w:t>El Documento Base CCE-EICP-GI-14 dispone en el numeral 1.15. “</w:t>
      </w:r>
      <w:r w:rsidRPr="009D34ED">
        <w:rPr>
          <w:rFonts w:ascii="Arial" w:eastAsia="Calibri" w:hAnsi="Arial" w:cs="Arial"/>
          <w:bCs/>
          <w:i/>
          <w:iCs/>
          <w:sz w:val="21"/>
          <w:szCs w:val="21"/>
        </w:rPr>
        <w:t>CAUSALES DE RECHAZO</w:t>
      </w:r>
      <w:r w:rsidRPr="009D34ED">
        <w:rPr>
          <w:rFonts w:ascii="Arial" w:eastAsia="Calibri" w:hAnsi="Arial" w:cs="Arial"/>
          <w:bCs/>
          <w:sz w:val="21"/>
          <w:szCs w:val="21"/>
        </w:rPr>
        <w:t xml:space="preserve">”, lo siguiente: </w:t>
      </w:r>
    </w:p>
    <w:p w14:paraId="597708AB" w14:textId="77777777" w:rsidR="00AC4D98" w:rsidRPr="009D34ED" w:rsidRDefault="00AC4D98" w:rsidP="00AC4D98">
      <w:pPr>
        <w:ind w:left="709" w:right="618"/>
        <w:jc w:val="both"/>
        <w:rPr>
          <w:rFonts w:ascii="Arial" w:eastAsia="Calibri" w:hAnsi="Arial" w:cs="Arial"/>
          <w:bCs/>
          <w:sz w:val="21"/>
          <w:szCs w:val="21"/>
        </w:rPr>
      </w:pPr>
    </w:p>
    <w:p w14:paraId="46946E40" w14:textId="77777777" w:rsidR="00AC4D98" w:rsidRPr="009D34ED" w:rsidRDefault="00AC4D98" w:rsidP="00AC4D98">
      <w:pPr>
        <w:ind w:left="709" w:right="618"/>
        <w:jc w:val="both"/>
        <w:rPr>
          <w:rFonts w:ascii="Arial" w:eastAsia="Calibri" w:hAnsi="Arial" w:cs="Arial"/>
          <w:bCs/>
          <w:sz w:val="21"/>
          <w:szCs w:val="21"/>
        </w:rPr>
      </w:pPr>
      <w:r w:rsidRPr="009D34ED">
        <w:rPr>
          <w:rFonts w:ascii="Arial" w:eastAsia="Calibri" w:hAnsi="Arial" w:cs="Arial"/>
          <w:bCs/>
          <w:i/>
          <w:iCs/>
          <w:sz w:val="21"/>
          <w:szCs w:val="21"/>
        </w:rPr>
        <w:lastRenderedPageBreak/>
        <w:t xml:space="preserve">"B. Cuando una misma persona natural o jurídica, o integrante de un Proponente Plural presente o haga parte en más de una propuesta para el proceso de selección. [Cuando el proceso se estructure por lotes o grupos reemplazar el texto anterior por el siguiente: Cuando en el mismo procedimiento de selección se presentan oferentes para un mismo lote o grupo, estando incursos en la situación descrita en los literales g) y h) del numeral 1 del artículo 8 de la Ley 80 de 1993, la Entidad solo admitirá la primera oferta presentada en el tiempo]" </w:t>
      </w:r>
    </w:p>
    <w:p w14:paraId="475656D4" w14:textId="77777777" w:rsidR="00AC4D98" w:rsidRPr="009D34ED" w:rsidRDefault="00AC4D98" w:rsidP="00AC4D98">
      <w:pPr>
        <w:ind w:left="709" w:right="618"/>
        <w:jc w:val="both"/>
        <w:rPr>
          <w:rFonts w:ascii="Arial" w:eastAsia="Calibri" w:hAnsi="Arial" w:cs="Arial"/>
          <w:bCs/>
          <w:sz w:val="21"/>
          <w:szCs w:val="21"/>
        </w:rPr>
      </w:pPr>
    </w:p>
    <w:p w14:paraId="564DEB17" w14:textId="77777777" w:rsidR="00AC4D98" w:rsidRPr="009D34ED" w:rsidRDefault="00AC4D98" w:rsidP="00AC4D98">
      <w:pPr>
        <w:ind w:left="709" w:right="618"/>
        <w:jc w:val="both"/>
        <w:rPr>
          <w:rFonts w:ascii="Arial" w:eastAsia="Calibri" w:hAnsi="Arial" w:cs="Arial"/>
          <w:bCs/>
          <w:sz w:val="21"/>
          <w:szCs w:val="21"/>
        </w:rPr>
      </w:pPr>
      <w:r w:rsidRPr="009D34ED">
        <w:rPr>
          <w:rFonts w:ascii="Arial" w:eastAsia="Calibri" w:hAnsi="Arial" w:cs="Arial"/>
          <w:bCs/>
          <w:sz w:val="21"/>
          <w:szCs w:val="21"/>
        </w:rPr>
        <w:t xml:space="preserve">Teniendo en cuenta lo señalado anteriormente, surge la necesidad de solicitar la siguiente aclaración: </w:t>
      </w:r>
    </w:p>
    <w:p w14:paraId="0640B6AA" w14:textId="77777777" w:rsidR="00AC4D98" w:rsidRPr="009D34ED" w:rsidRDefault="00AC4D98" w:rsidP="00AC4D98">
      <w:pPr>
        <w:ind w:left="709" w:right="618"/>
        <w:jc w:val="both"/>
        <w:rPr>
          <w:rFonts w:ascii="Arial" w:eastAsia="Calibri" w:hAnsi="Arial" w:cs="Arial"/>
          <w:bCs/>
          <w:sz w:val="21"/>
          <w:szCs w:val="21"/>
        </w:rPr>
      </w:pPr>
    </w:p>
    <w:p w14:paraId="7BAC3B0C" w14:textId="77777777" w:rsidR="00AC4D98" w:rsidRPr="009D34ED" w:rsidRDefault="00AC4D98" w:rsidP="00AC4D98">
      <w:pPr>
        <w:ind w:left="709" w:right="618"/>
        <w:jc w:val="both"/>
        <w:rPr>
          <w:rFonts w:ascii="Arial" w:eastAsia="Calibri" w:hAnsi="Arial" w:cs="Arial"/>
          <w:bCs/>
          <w:sz w:val="21"/>
          <w:szCs w:val="21"/>
        </w:rPr>
      </w:pPr>
      <w:r w:rsidRPr="009D34ED">
        <w:rPr>
          <w:rFonts w:ascii="Arial" w:eastAsia="Calibri" w:hAnsi="Arial" w:cs="Arial"/>
          <w:bCs/>
          <w:sz w:val="21"/>
          <w:szCs w:val="21"/>
        </w:rPr>
        <w:t xml:space="preserve">1. ¿Si el proceso de contratación se establece por lotes o grupos, se debe rechazar a un proponente que presente propuesta a dos o más lotes o grupos, ya sea que se presente como proponente singular o integrante de un proponente plural? </w:t>
      </w:r>
    </w:p>
    <w:p w14:paraId="255A4191" w14:textId="77777777" w:rsidR="001426EA" w:rsidRPr="009D34ED" w:rsidRDefault="001426EA" w:rsidP="00E74C80">
      <w:pPr>
        <w:spacing w:line="276" w:lineRule="auto"/>
        <w:jc w:val="both"/>
        <w:rPr>
          <w:rFonts w:ascii="Arial" w:hAnsi="Arial" w:cs="Arial"/>
          <w:sz w:val="22"/>
          <w:szCs w:val="22"/>
          <w:shd w:val="clear" w:color="auto" w:fill="FFFFFF"/>
          <w:lang w:val="es-ES_tradnl"/>
        </w:rPr>
      </w:pPr>
    </w:p>
    <w:p w14:paraId="695800CC" w14:textId="7A2CD7A8" w:rsidR="00E74C80" w:rsidRPr="009D34ED" w:rsidRDefault="00E74C80" w:rsidP="00E74C80">
      <w:pPr>
        <w:spacing w:line="276" w:lineRule="auto"/>
        <w:jc w:val="both"/>
        <w:rPr>
          <w:rFonts w:ascii="Arial" w:hAnsi="Arial" w:cs="Arial"/>
          <w:sz w:val="22"/>
          <w:szCs w:val="22"/>
          <w:shd w:val="clear" w:color="auto" w:fill="FFFFFF"/>
          <w:lang w:val="es-ES_tradnl"/>
        </w:rPr>
      </w:pPr>
      <w:r w:rsidRPr="009D34ED">
        <w:rPr>
          <w:rFonts w:ascii="Arial" w:hAnsi="Arial" w:cs="Arial"/>
          <w:sz w:val="22"/>
          <w:szCs w:val="22"/>
          <w:shd w:val="clear" w:color="auto" w:fill="FFFFFF"/>
          <w:lang w:val="es-ES_tradnl"/>
        </w:rPr>
        <w:t xml:space="preserve">En los documentos tipo de infraestructura social los proponentes podrán presentar propuesta a dos o más lotes o grupos, ya sea que se presente como proponente singular o integrante de un proponente plural, siempre que la entidad haya establecido esta posibilidad en los términos señalados en el numeral 2.10 del documento base. Por consiguiente, no es posible rechazar a un proponente que se presente a dos o más lotes en el evento en que la entidad haya permitido esta posibilidad, máxime que no se prevé una causal de rechazo que contemple esta circunstancia. </w:t>
      </w:r>
    </w:p>
    <w:p w14:paraId="19622A68" w14:textId="77777777" w:rsidR="00AC4D98" w:rsidRPr="009D34ED" w:rsidRDefault="00AC4D98" w:rsidP="00AB6D7F">
      <w:pPr>
        <w:ind w:right="618"/>
        <w:jc w:val="both"/>
        <w:rPr>
          <w:rFonts w:ascii="Arial" w:eastAsia="Calibri" w:hAnsi="Arial" w:cs="Arial"/>
          <w:bCs/>
          <w:sz w:val="21"/>
          <w:szCs w:val="21"/>
        </w:rPr>
      </w:pPr>
    </w:p>
    <w:p w14:paraId="660192BF" w14:textId="77777777" w:rsidR="00AC4D98" w:rsidRPr="009D34ED" w:rsidRDefault="00AC4D98" w:rsidP="00AC4D98">
      <w:pPr>
        <w:ind w:left="709" w:right="618"/>
        <w:jc w:val="both"/>
        <w:rPr>
          <w:rFonts w:ascii="Arial" w:eastAsia="Calibri" w:hAnsi="Arial" w:cs="Arial"/>
          <w:bCs/>
          <w:sz w:val="21"/>
          <w:szCs w:val="21"/>
        </w:rPr>
      </w:pPr>
      <w:r w:rsidRPr="009D34ED">
        <w:rPr>
          <w:rFonts w:ascii="Arial" w:eastAsia="Calibri" w:hAnsi="Arial" w:cs="Arial"/>
          <w:bCs/>
          <w:sz w:val="21"/>
          <w:szCs w:val="21"/>
        </w:rPr>
        <w:t xml:space="preserve">2. ¿Solo será causal de rechazo, si el proponente presenta oferta para un mismo lote o grupo y estando incurso en la situación descrita en los literales g) y h) del numeral 1 del artículo 8 de la Ley 80 de 1993? Y ¿Qué pasa si presenta propuesta para varios lotes o grupos estando incurso en la situación descrita en los literales g) y h) del numeral 1 del artículo 8 de la Ley 80 de 1993? </w:t>
      </w:r>
    </w:p>
    <w:p w14:paraId="6EC68DDF" w14:textId="77777777" w:rsidR="00E74C80" w:rsidRPr="009D34ED" w:rsidRDefault="00E74C80" w:rsidP="00E74C80">
      <w:pPr>
        <w:spacing w:line="276" w:lineRule="auto"/>
        <w:jc w:val="both"/>
        <w:rPr>
          <w:rFonts w:ascii="Arial" w:hAnsi="Arial" w:cs="Arial"/>
          <w:bCs/>
          <w:sz w:val="22"/>
          <w:szCs w:val="22"/>
          <w:shd w:val="clear" w:color="auto" w:fill="FFFFFF"/>
          <w:lang w:val="es-ES_tradnl"/>
        </w:rPr>
      </w:pPr>
    </w:p>
    <w:p w14:paraId="1682A2EA" w14:textId="03713B53" w:rsidR="001426EA" w:rsidRPr="009D34ED" w:rsidRDefault="001426EA" w:rsidP="00E843F1">
      <w:pPr>
        <w:spacing w:line="276" w:lineRule="auto"/>
        <w:jc w:val="both"/>
        <w:rPr>
          <w:rFonts w:ascii="Arial" w:hAnsi="Arial" w:cs="Arial"/>
          <w:bCs/>
          <w:sz w:val="22"/>
          <w:szCs w:val="22"/>
          <w:shd w:val="clear" w:color="auto" w:fill="FFFFFF"/>
          <w:lang w:val="es-ES_tradnl"/>
        </w:rPr>
      </w:pPr>
      <w:r w:rsidRPr="009D34ED">
        <w:rPr>
          <w:rFonts w:ascii="Arial" w:hAnsi="Arial" w:cs="Arial"/>
          <w:bCs/>
          <w:sz w:val="22"/>
          <w:szCs w:val="22"/>
          <w:shd w:val="clear" w:color="auto" w:fill="FFFFFF"/>
          <w:lang w:val="es-ES_tradnl"/>
        </w:rPr>
        <w:t>De conformidad con las consideraciones señaladas e</w:t>
      </w:r>
      <w:r w:rsidR="00E843F1" w:rsidRPr="009D34ED">
        <w:rPr>
          <w:rFonts w:ascii="Arial" w:hAnsi="Arial" w:cs="Arial"/>
          <w:bCs/>
          <w:sz w:val="22"/>
          <w:szCs w:val="22"/>
          <w:shd w:val="clear" w:color="auto" w:fill="FFFFFF"/>
          <w:lang w:val="es-ES_tradnl"/>
        </w:rPr>
        <w:t>n</w:t>
      </w:r>
      <w:r w:rsidRPr="009D34ED">
        <w:rPr>
          <w:rFonts w:ascii="Arial" w:hAnsi="Arial" w:cs="Arial"/>
          <w:bCs/>
          <w:sz w:val="22"/>
          <w:szCs w:val="22"/>
          <w:shd w:val="clear" w:color="auto" w:fill="FFFFFF"/>
          <w:lang w:val="es-ES_tradnl"/>
        </w:rPr>
        <w:t xml:space="preserve"> este concepto, c</w:t>
      </w:r>
      <w:r w:rsidR="00E74C80" w:rsidRPr="009D34ED">
        <w:rPr>
          <w:rFonts w:ascii="Arial" w:hAnsi="Arial" w:cs="Arial"/>
          <w:bCs/>
          <w:sz w:val="22"/>
          <w:szCs w:val="22"/>
          <w:shd w:val="clear" w:color="auto" w:fill="FFFFFF"/>
          <w:lang w:val="es-ES_tradnl"/>
        </w:rPr>
        <w:t xml:space="preserve">uando el proceso es estructurado por lotes o grupos y se presentan proponentes en un mismo lote que se encuentran en los supuestos de hecho señalados en los literales g y h del numeral 1 del artículo 8 de la Ley 80 de 1993, procede la aplicación del inciso segundo </w:t>
      </w:r>
      <w:r w:rsidRPr="009D34ED">
        <w:rPr>
          <w:rFonts w:ascii="Arial" w:hAnsi="Arial" w:cs="Arial"/>
          <w:bCs/>
          <w:sz w:val="22"/>
          <w:szCs w:val="22"/>
          <w:shd w:val="clear" w:color="auto" w:fill="FFFFFF"/>
          <w:lang w:val="es-ES_tradnl"/>
        </w:rPr>
        <w:t>d</w:t>
      </w:r>
      <w:r w:rsidR="00E74C80" w:rsidRPr="009D34ED">
        <w:rPr>
          <w:rFonts w:ascii="Arial" w:hAnsi="Arial" w:cs="Arial"/>
          <w:bCs/>
          <w:sz w:val="22"/>
          <w:szCs w:val="22"/>
          <w:shd w:val="clear" w:color="auto" w:fill="FFFFFF"/>
          <w:lang w:val="es-ES_tradnl"/>
        </w:rPr>
        <w:t>el literal B del numeral 1.15 del documento base.</w:t>
      </w:r>
      <w:r w:rsidR="00E843F1" w:rsidRPr="009D34ED">
        <w:rPr>
          <w:rFonts w:ascii="Arial" w:hAnsi="Arial" w:cs="Arial"/>
          <w:bCs/>
          <w:sz w:val="22"/>
          <w:szCs w:val="22"/>
          <w:shd w:val="clear" w:color="auto" w:fill="FFFFFF"/>
          <w:lang w:val="es-ES_tradnl"/>
        </w:rPr>
        <w:t xml:space="preserve"> </w:t>
      </w:r>
      <w:r w:rsidR="00E74C80" w:rsidRPr="009D34ED">
        <w:rPr>
          <w:rFonts w:ascii="Arial" w:hAnsi="Arial" w:cs="Arial"/>
          <w:bCs/>
          <w:sz w:val="22"/>
          <w:szCs w:val="22"/>
          <w:shd w:val="clear" w:color="auto" w:fill="FFFFFF"/>
          <w:lang w:val="es-ES_tradnl"/>
        </w:rPr>
        <w:t>Sin embargo, esto no significa que cuando el proceso de contratación establece la posibilidad de</w:t>
      </w:r>
      <w:r w:rsidR="00E74C80" w:rsidRPr="009D34ED">
        <w:rPr>
          <w:rFonts w:ascii="Arial" w:hAnsi="Arial" w:cs="Arial"/>
          <w:sz w:val="22"/>
          <w:szCs w:val="22"/>
          <w:shd w:val="clear" w:color="auto" w:fill="FFFFFF"/>
          <w:lang w:val="es-ES_tradnl"/>
        </w:rPr>
        <w:t xml:space="preserve"> ofertar para más de un lote o grupo</w:t>
      </w:r>
      <w:r w:rsidR="00E74C80" w:rsidRPr="009D34ED">
        <w:rPr>
          <w:rFonts w:ascii="Arial" w:hAnsi="Arial" w:cs="Arial"/>
          <w:bCs/>
          <w:sz w:val="22"/>
          <w:szCs w:val="22"/>
          <w:shd w:val="clear" w:color="auto" w:fill="FFFFFF"/>
          <w:lang w:val="es-ES_tradnl"/>
        </w:rPr>
        <w:t xml:space="preserve"> y se presentan proponentes para diferentes lotes o grupos que estén incursos en los literales g y h del numera 1 del artículo 8 de la Ley 80 de 1993, estos no sean rechazados. En este caso, la causal de rechazo será la establecida en el literal A del numeral 1.15 del documento base, según la cual se rechazará cuando</w:t>
      </w:r>
      <w:r w:rsidR="00642756" w:rsidRPr="009D34ED">
        <w:rPr>
          <w:rFonts w:ascii="Arial" w:hAnsi="Arial" w:cs="Arial"/>
          <w:bCs/>
          <w:sz w:val="22"/>
          <w:szCs w:val="22"/>
          <w:shd w:val="clear" w:color="auto" w:fill="FFFFFF"/>
          <w:lang w:val="es-ES_tradnl"/>
        </w:rPr>
        <w:t xml:space="preserve"> el</w:t>
      </w:r>
      <w:r w:rsidR="00E74C80" w:rsidRPr="009D34ED">
        <w:rPr>
          <w:rFonts w:ascii="Arial" w:hAnsi="Arial" w:cs="Arial"/>
          <w:bCs/>
          <w:sz w:val="22"/>
          <w:szCs w:val="22"/>
          <w:shd w:val="clear" w:color="auto" w:fill="FFFFFF"/>
          <w:lang w:val="es-ES_tradnl"/>
        </w:rPr>
        <w:t xml:space="preserve"> </w:t>
      </w:r>
      <w:r w:rsidR="00E74C80" w:rsidRPr="009D34ED">
        <w:rPr>
          <w:rFonts w:ascii="Arial" w:hAnsi="Arial" w:cs="Arial"/>
          <w:bCs/>
          <w:sz w:val="22"/>
          <w:szCs w:val="22"/>
          <w:shd w:val="clear" w:color="auto" w:fill="FFFFFF"/>
        </w:rPr>
        <w:t>«</w:t>
      </w:r>
      <w:r w:rsidR="00E74C80" w:rsidRPr="009D34ED">
        <w:rPr>
          <w:rFonts w:ascii="Arial" w:hAnsi="Arial" w:cs="Arial"/>
          <w:bCs/>
          <w:sz w:val="22"/>
          <w:szCs w:val="22"/>
          <w:shd w:val="clear" w:color="auto" w:fill="FFFFFF"/>
          <w:lang w:val="es-ES_tradnl"/>
        </w:rPr>
        <w:t>Proponente o alguno de los integrantes del Proponente Plural esté incurso en causal de inhabilidad, incompatibilidad o prohibición previstas en la legislación para contratar. [</w:t>
      </w:r>
      <w:r w:rsidR="00E74C80" w:rsidRPr="009D34ED">
        <w:rPr>
          <w:rFonts w:ascii="Arial" w:hAnsi="Arial" w:cs="Arial"/>
          <w:bCs/>
          <w:sz w:val="22"/>
          <w:szCs w:val="22"/>
          <w:shd w:val="clear" w:color="auto" w:fill="FFFFFF"/>
          <w:lang w:val="es-MX"/>
        </w:rPr>
        <w:t xml:space="preserve">Cuando en el mismo proceso de selección se presentan oferentes en la situación descrita por los literales g) y h) del numeral </w:t>
      </w:r>
      <w:r w:rsidR="00E74C80" w:rsidRPr="009D34ED">
        <w:rPr>
          <w:rFonts w:ascii="Arial" w:hAnsi="Arial" w:cs="Arial"/>
          <w:bCs/>
          <w:sz w:val="22"/>
          <w:szCs w:val="22"/>
          <w:shd w:val="clear" w:color="auto" w:fill="FFFFFF"/>
          <w:lang w:val="es-MX"/>
        </w:rPr>
        <w:lastRenderedPageBreak/>
        <w:t>1 del artículo 8 de la Ley 80 de 1993, la Entidad solo admitirá la primera la oferta presentada en el tiempo]</w:t>
      </w:r>
      <w:r w:rsidR="00E74C80" w:rsidRPr="009D34ED">
        <w:rPr>
          <w:rFonts w:ascii="Arial" w:hAnsi="Arial" w:cs="Arial"/>
          <w:bCs/>
          <w:sz w:val="22"/>
          <w:szCs w:val="22"/>
          <w:shd w:val="clear" w:color="auto" w:fill="FFFFFF"/>
          <w:lang w:val="es-ES_tradnl"/>
        </w:rPr>
        <w:t>»</w:t>
      </w:r>
      <w:r w:rsidR="00E74C80" w:rsidRPr="009D34ED">
        <w:rPr>
          <w:rFonts w:ascii="Arial" w:hAnsi="Arial" w:cs="Arial"/>
          <w:bCs/>
          <w:sz w:val="22"/>
          <w:szCs w:val="22"/>
          <w:shd w:val="clear" w:color="auto" w:fill="FFFFFF"/>
          <w:lang w:val="es-MX"/>
        </w:rPr>
        <w:t>.</w:t>
      </w:r>
    </w:p>
    <w:p w14:paraId="58CD0491" w14:textId="77777777" w:rsidR="00AB6D7F" w:rsidRPr="009D34ED" w:rsidRDefault="00AB6D7F" w:rsidP="00AB6D7F">
      <w:pPr>
        <w:ind w:right="618"/>
        <w:jc w:val="both"/>
        <w:rPr>
          <w:rFonts w:ascii="Arial" w:eastAsia="Calibri" w:hAnsi="Arial" w:cs="Arial"/>
          <w:bCs/>
          <w:sz w:val="21"/>
          <w:szCs w:val="21"/>
        </w:rPr>
      </w:pPr>
    </w:p>
    <w:p w14:paraId="5499FAC2" w14:textId="77777777" w:rsidR="00AC4D98" w:rsidRPr="009D34ED" w:rsidRDefault="00AC4D98" w:rsidP="00AC4D98">
      <w:pPr>
        <w:ind w:left="709" w:right="618"/>
        <w:jc w:val="both"/>
        <w:rPr>
          <w:rFonts w:ascii="Arial" w:eastAsia="Calibri" w:hAnsi="Arial" w:cs="Arial"/>
          <w:bCs/>
          <w:sz w:val="21"/>
          <w:szCs w:val="21"/>
        </w:rPr>
      </w:pPr>
      <w:r w:rsidRPr="009D34ED">
        <w:rPr>
          <w:rFonts w:ascii="Arial" w:eastAsia="Calibri" w:hAnsi="Arial" w:cs="Arial"/>
          <w:b/>
          <w:bCs/>
          <w:sz w:val="21"/>
          <w:szCs w:val="21"/>
        </w:rPr>
        <w:t xml:space="preserve">V. </w:t>
      </w:r>
      <w:r w:rsidRPr="009D34ED">
        <w:rPr>
          <w:rFonts w:ascii="Arial" w:eastAsia="Calibri" w:hAnsi="Arial" w:cs="Arial"/>
          <w:bCs/>
          <w:sz w:val="21"/>
          <w:szCs w:val="21"/>
        </w:rPr>
        <w:t>El Documento Base CCE-EICP-GI-14 dispone en el numeral 3.5.6. “</w:t>
      </w:r>
      <w:r w:rsidRPr="009D34ED">
        <w:rPr>
          <w:rFonts w:ascii="Arial" w:eastAsia="Calibri" w:hAnsi="Arial" w:cs="Arial"/>
          <w:bCs/>
          <w:i/>
          <w:iCs/>
          <w:sz w:val="21"/>
          <w:szCs w:val="21"/>
        </w:rPr>
        <w:t>PARA SUBCONTRATOS</w:t>
      </w:r>
      <w:r w:rsidRPr="009D34ED">
        <w:rPr>
          <w:rFonts w:ascii="Arial" w:eastAsia="Calibri" w:hAnsi="Arial" w:cs="Arial"/>
          <w:bCs/>
          <w:sz w:val="21"/>
          <w:szCs w:val="21"/>
        </w:rPr>
        <w:t xml:space="preserve">”, lo siguiente: </w:t>
      </w:r>
    </w:p>
    <w:p w14:paraId="3235D82B" w14:textId="77777777" w:rsidR="00AC4D98" w:rsidRPr="009D34ED" w:rsidRDefault="00AC4D98" w:rsidP="00AC4D98">
      <w:pPr>
        <w:ind w:left="709" w:right="618"/>
        <w:jc w:val="both"/>
        <w:rPr>
          <w:rFonts w:ascii="Arial" w:eastAsia="Calibri" w:hAnsi="Arial" w:cs="Arial"/>
          <w:bCs/>
          <w:sz w:val="21"/>
          <w:szCs w:val="21"/>
        </w:rPr>
      </w:pPr>
    </w:p>
    <w:p w14:paraId="56B2AE7B" w14:textId="29FD89B7" w:rsidR="00AC4D98" w:rsidRPr="009D34ED" w:rsidRDefault="00642756" w:rsidP="00AC4D98">
      <w:pPr>
        <w:ind w:left="709" w:right="618"/>
        <w:jc w:val="both"/>
        <w:rPr>
          <w:rFonts w:ascii="Arial" w:eastAsia="Calibri" w:hAnsi="Arial" w:cs="Arial"/>
          <w:bCs/>
          <w:sz w:val="21"/>
          <w:szCs w:val="21"/>
        </w:rPr>
      </w:pPr>
      <w:r w:rsidRPr="009D34ED">
        <w:rPr>
          <w:rFonts w:ascii="Arial" w:eastAsia="Calibri" w:hAnsi="Arial" w:cs="Arial"/>
          <w:bCs/>
          <w:i/>
          <w:iCs/>
          <w:sz w:val="21"/>
          <w:szCs w:val="21"/>
        </w:rPr>
        <w:t>“</w:t>
      </w:r>
      <w:r w:rsidR="00AC4D98" w:rsidRPr="009D34ED">
        <w:rPr>
          <w:rFonts w:ascii="Arial" w:eastAsia="Calibri" w:hAnsi="Arial" w:cs="Arial"/>
          <w:bCs/>
          <w:i/>
          <w:iCs/>
          <w:sz w:val="21"/>
          <w:szCs w:val="21"/>
        </w:rPr>
        <w:t xml:space="preserve">Para la acreditación de experiencia de los contratos derivados de contratos suscritos con Entidades Estatales, el Proponente deberá aportar los documentos que se describen a continuación: </w:t>
      </w:r>
    </w:p>
    <w:p w14:paraId="1FDC7BC1" w14:textId="77777777" w:rsidR="00AC4D98" w:rsidRPr="009D34ED" w:rsidRDefault="00AC4D98" w:rsidP="00AC4D98">
      <w:pPr>
        <w:ind w:left="709" w:right="618"/>
        <w:jc w:val="both"/>
        <w:rPr>
          <w:rFonts w:ascii="Arial" w:eastAsia="Calibri" w:hAnsi="Arial" w:cs="Arial"/>
          <w:bCs/>
          <w:sz w:val="21"/>
          <w:szCs w:val="21"/>
        </w:rPr>
      </w:pPr>
      <w:r w:rsidRPr="009D34ED">
        <w:rPr>
          <w:rFonts w:ascii="Arial" w:eastAsia="Calibri" w:hAnsi="Arial" w:cs="Arial"/>
          <w:bCs/>
          <w:i/>
          <w:iCs/>
          <w:sz w:val="21"/>
          <w:szCs w:val="21"/>
        </w:rPr>
        <w:t xml:space="preserve">A. Certificación del subcontrato. Certificación expedida con posterioridad a la fecha de terminación del subcontrato, la cual debe estar suscrita por el representante legal del Contratista del contrato principal, del Concesionario, o del EPC o Consorcio Constructor. Así mismo, debe contener la información requerida en el numeral 3.5.4 de este Pliego de Condiciones para efectos de constatar la experiencia. </w:t>
      </w:r>
    </w:p>
    <w:p w14:paraId="68845122" w14:textId="77777777" w:rsidR="00AC4D98" w:rsidRPr="009D34ED" w:rsidRDefault="00AC4D98" w:rsidP="00AC4D98">
      <w:pPr>
        <w:ind w:left="709" w:right="618"/>
        <w:jc w:val="both"/>
        <w:rPr>
          <w:rFonts w:ascii="Arial" w:eastAsia="Calibri" w:hAnsi="Arial" w:cs="Arial"/>
          <w:bCs/>
          <w:sz w:val="21"/>
          <w:szCs w:val="21"/>
        </w:rPr>
      </w:pPr>
      <w:r w:rsidRPr="009D34ED">
        <w:rPr>
          <w:rFonts w:ascii="Arial" w:eastAsia="Calibri" w:hAnsi="Arial" w:cs="Arial"/>
          <w:bCs/>
          <w:i/>
          <w:iCs/>
          <w:sz w:val="21"/>
          <w:szCs w:val="21"/>
        </w:rPr>
        <w:t xml:space="preserve">B. Certificación emitida por la Entidad Estatal del contrato principal del cual se derivó el subcontrato. </w:t>
      </w:r>
    </w:p>
    <w:p w14:paraId="37298422" w14:textId="77777777" w:rsidR="00AC4D98" w:rsidRPr="009D34ED" w:rsidRDefault="00AC4D98" w:rsidP="00AC4D98">
      <w:pPr>
        <w:ind w:left="709" w:right="618"/>
        <w:jc w:val="both"/>
        <w:rPr>
          <w:rFonts w:ascii="Arial" w:eastAsia="Calibri" w:hAnsi="Arial" w:cs="Arial"/>
          <w:bCs/>
          <w:sz w:val="21"/>
          <w:szCs w:val="21"/>
        </w:rPr>
      </w:pPr>
    </w:p>
    <w:p w14:paraId="4EBECCB7" w14:textId="77777777" w:rsidR="00AC4D98" w:rsidRPr="009D34ED" w:rsidRDefault="00AC4D98" w:rsidP="00AC4D98">
      <w:pPr>
        <w:ind w:left="709" w:right="618"/>
        <w:jc w:val="both"/>
        <w:rPr>
          <w:rFonts w:ascii="Arial" w:eastAsia="Calibri" w:hAnsi="Arial" w:cs="Arial"/>
          <w:bCs/>
          <w:sz w:val="21"/>
          <w:szCs w:val="21"/>
        </w:rPr>
      </w:pPr>
      <w:r w:rsidRPr="009D34ED">
        <w:rPr>
          <w:rFonts w:ascii="Arial" w:eastAsia="Calibri" w:hAnsi="Arial" w:cs="Arial"/>
          <w:bCs/>
          <w:sz w:val="21"/>
          <w:szCs w:val="21"/>
        </w:rPr>
        <w:t xml:space="preserve">Teniendo en cuenta lo señalado anteriormente, surge la necesidad de solicitar la siguiente aclaración: </w:t>
      </w:r>
    </w:p>
    <w:p w14:paraId="08C06372" w14:textId="77777777" w:rsidR="00AC4D98" w:rsidRPr="009D34ED" w:rsidRDefault="00AC4D98" w:rsidP="00AC4D98">
      <w:pPr>
        <w:ind w:left="709" w:right="618"/>
        <w:jc w:val="both"/>
        <w:rPr>
          <w:rFonts w:ascii="Arial" w:eastAsia="Calibri" w:hAnsi="Arial" w:cs="Arial"/>
          <w:bCs/>
          <w:sz w:val="21"/>
          <w:szCs w:val="21"/>
        </w:rPr>
      </w:pPr>
    </w:p>
    <w:p w14:paraId="57B3D385" w14:textId="4B91514B" w:rsidR="00AC4D98" w:rsidRPr="009D34ED" w:rsidRDefault="00AC4D98" w:rsidP="009D34ED">
      <w:pPr>
        <w:pStyle w:val="Prrafodelista"/>
        <w:numPr>
          <w:ilvl w:val="0"/>
          <w:numId w:val="50"/>
        </w:numPr>
        <w:ind w:right="618"/>
        <w:jc w:val="both"/>
        <w:rPr>
          <w:rFonts w:ascii="Arial" w:eastAsia="Calibri" w:hAnsi="Arial" w:cs="Arial"/>
          <w:bCs/>
          <w:sz w:val="21"/>
          <w:szCs w:val="21"/>
        </w:rPr>
      </w:pPr>
      <w:r w:rsidRPr="009D34ED">
        <w:rPr>
          <w:rFonts w:ascii="Arial" w:eastAsia="Calibri" w:hAnsi="Arial" w:cs="Arial"/>
          <w:bCs/>
          <w:sz w:val="21"/>
          <w:szCs w:val="21"/>
        </w:rPr>
        <w:t xml:space="preserve">¿La experiencia obtenida en subcontratos debe estar registrada en el Registro Único de Proponentes </w:t>
      </w:r>
      <w:r w:rsidR="00642756" w:rsidRPr="009D34ED">
        <w:rPr>
          <w:rFonts w:ascii="Arial" w:eastAsia="Calibri" w:hAnsi="Arial" w:cs="Arial"/>
          <w:bCs/>
          <w:sz w:val="21"/>
          <w:szCs w:val="21"/>
        </w:rPr>
        <w:t>–</w:t>
      </w:r>
      <w:r w:rsidRPr="009D34ED">
        <w:rPr>
          <w:rFonts w:ascii="Arial" w:eastAsia="Calibri" w:hAnsi="Arial" w:cs="Arial"/>
          <w:bCs/>
          <w:sz w:val="21"/>
          <w:szCs w:val="21"/>
        </w:rPr>
        <w:t xml:space="preserve"> RUP? </w:t>
      </w:r>
      <w:r w:rsidR="00642756" w:rsidRPr="009D34ED">
        <w:rPr>
          <w:rFonts w:ascii="Arial" w:eastAsia="Calibri" w:hAnsi="Arial" w:cs="Arial"/>
          <w:bCs/>
          <w:sz w:val="21"/>
          <w:szCs w:val="21"/>
        </w:rPr>
        <w:t>O</w:t>
      </w:r>
      <w:r w:rsidRPr="009D34ED">
        <w:rPr>
          <w:rFonts w:ascii="Arial" w:eastAsia="Calibri" w:hAnsi="Arial" w:cs="Arial"/>
          <w:bCs/>
          <w:sz w:val="21"/>
          <w:szCs w:val="21"/>
        </w:rPr>
        <w:t xml:space="preserve"> ¿Se cumple el requisito con la certificación del subcontrato emitida por la Entidad Estatal? </w:t>
      </w:r>
    </w:p>
    <w:p w14:paraId="0237E721" w14:textId="2E08DCE9" w:rsidR="00AC4D98" w:rsidRPr="009D34ED" w:rsidRDefault="00AC4D98" w:rsidP="00AC4D98">
      <w:pPr>
        <w:ind w:right="618"/>
        <w:jc w:val="both"/>
        <w:rPr>
          <w:rFonts w:ascii="Arial" w:eastAsia="Calibri" w:hAnsi="Arial" w:cs="Arial"/>
          <w:bCs/>
          <w:sz w:val="21"/>
          <w:szCs w:val="21"/>
        </w:rPr>
      </w:pPr>
    </w:p>
    <w:p w14:paraId="329AD9CE" w14:textId="7EF0FD64" w:rsidR="004E6516" w:rsidRPr="009D34ED" w:rsidRDefault="004E6516" w:rsidP="00301784">
      <w:pPr>
        <w:spacing w:before="120" w:after="120" w:line="276" w:lineRule="auto"/>
        <w:jc w:val="both"/>
        <w:rPr>
          <w:rFonts w:ascii="Arial" w:hAnsi="Arial" w:cs="Arial"/>
          <w:color w:val="000000" w:themeColor="text1"/>
          <w:sz w:val="22"/>
        </w:rPr>
      </w:pPr>
      <w:r w:rsidRPr="009D34ED">
        <w:rPr>
          <w:rFonts w:ascii="Arial" w:eastAsia="Calibri" w:hAnsi="Arial" w:cs="Arial"/>
          <w:color w:val="000000" w:themeColor="text1"/>
          <w:sz w:val="22"/>
        </w:rPr>
        <w:t>Toda la experiencia que se deriva de los contratos que el proponente ha celebrado y ejecutado con diferentes contratantes, se verifica con el Registro Único de Proponentes (RUP), cuando este certificado sea exigible de acuerdo con la ley.</w:t>
      </w:r>
      <w:r w:rsidRPr="009D34ED">
        <w:rPr>
          <w:rFonts w:ascii="Arial" w:hAnsi="Arial" w:cs="Arial"/>
          <w:color w:val="000000" w:themeColor="text1"/>
          <w:sz w:val="22"/>
        </w:rPr>
        <w:t xml:space="preserve"> Lo anterior, sin perjuicio de lo dispuesto en el inciso 3 del numeral 6.1.del artículo 6 de la Ley 1150 de 2007, en el que se prevé que la entidad podrá verificar requisitos adicionales a los contenidos en el registro cuando se requiera en virtud de la naturaleza del objeto a contratar. </w:t>
      </w:r>
    </w:p>
    <w:p w14:paraId="49D81574" w14:textId="20E898C4" w:rsidR="00AC4D98" w:rsidRPr="009D34ED" w:rsidRDefault="004E6516" w:rsidP="0018173D">
      <w:pPr>
        <w:spacing w:before="120" w:after="120" w:line="276" w:lineRule="auto"/>
        <w:ind w:firstLine="709"/>
        <w:jc w:val="both"/>
        <w:rPr>
          <w:rFonts w:ascii="Arial" w:hAnsi="Arial" w:cs="Arial"/>
          <w:color w:val="000000" w:themeColor="text1"/>
          <w:sz w:val="22"/>
        </w:rPr>
      </w:pPr>
      <w:r w:rsidRPr="009D34ED">
        <w:rPr>
          <w:rFonts w:ascii="Arial" w:hAnsi="Arial" w:cs="Arial"/>
          <w:color w:val="000000" w:themeColor="text1"/>
          <w:sz w:val="22"/>
        </w:rPr>
        <w:t xml:space="preserve">En tal sentido, </w:t>
      </w:r>
      <w:r w:rsidRPr="009D34ED">
        <w:rPr>
          <w:rFonts w:ascii="Arial" w:eastAsia="Calibri" w:hAnsi="Arial" w:cs="Arial"/>
          <w:sz w:val="22"/>
          <w:szCs w:val="22"/>
        </w:rPr>
        <w:t>c</w:t>
      </w:r>
      <w:r w:rsidR="00301784" w:rsidRPr="009D34ED">
        <w:rPr>
          <w:rFonts w:ascii="Arial" w:eastAsia="Calibri" w:hAnsi="Arial" w:cs="Arial"/>
          <w:sz w:val="22"/>
          <w:szCs w:val="22"/>
        </w:rPr>
        <w:t>onforme lo dispone el documento base de infraestructura social</w:t>
      </w:r>
      <w:r w:rsidR="00642756" w:rsidRPr="009D34ED">
        <w:rPr>
          <w:rFonts w:ascii="Arial" w:eastAsia="Calibri" w:hAnsi="Arial" w:cs="Arial"/>
          <w:sz w:val="22"/>
          <w:szCs w:val="22"/>
        </w:rPr>
        <w:t>,</w:t>
      </w:r>
      <w:r w:rsidR="00301784" w:rsidRPr="009D34ED">
        <w:rPr>
          <w:rFonts w:ascii="Arial" w:eastAsia="Calibri" w:hAnsi="Arial" w:cs="Arial"/>
          <w:sz w:val="22"/>
          <w:szCs w:val="22"/>
        </w:rPr>
        <w:t xml:space="preserve"> los proponentes deberán acreditar su experiencia </w:t>
      </w:r>
      <w:r w:rsidR="00642756" w:rsidRPr="009D34ED">
        <w:rPr>
          <w:rFonts w:ascii="Arial" w:eastAsia="Calibri" w:hAnsi="Arial" w:cs="Arial"/>
          <w:sz w:val="22"/>
          <w:szCs w:val="22"/>
        </w:rPr>
        <w:t xml:space="preserve">con </w:t>
      </w:r>
      <w:r w:rsidR="00301784" w:rsidRPr="009D34ED">
        <w:rPr>
          <w:rFonts w:ascii="Arial" w:eastAsia="Calibri" w:hAnsi="Arial" w:cs="Arial"/>
          <w:sz w:val="22"/>
          <w:szCs w:val="22"/>
        </w:rPr>
        <w:t>el RUP para aquellos que estén obligados a tenerlo, sin perjuicio de que la entidad</w:t>
      </w:r>
      <w:r w:rsidRPr="009D34ED">
        <w:rPr>
          <w:rFonts w:ascii="Arial" w:eastAsia="Calibri" w:hAnsi="Arial" w:cs="Arial"/>
          <w:sz w:val="22"/>
          <w:szCs w:val="22"/>
        </w:rPr>
        <w:t xml:space="preserve"> </w:t>
      </w:r>
      <w:r w:rsidR="00301784" w:rsidRPr="009D34ED">
        <w:rPr>
          <w:rFonts w:ascii="Arial" w:eastAsia="Calibri" w:hAnsi="Arial" w:cs="Arial"/>
          <w:sz w:val="22"/>
          <w:szCs w:val="22"/>
        </w:rPr>
        <w:t>solicite documentos para verificar información adicional que se requiera. De este modo, para verificar la</w:t>
      </w:r>
      <w:r w:rsidR="00301784" w:rsidRPr="009D34ED">
        <w:rPr>
          <w:rFonts w:ascii="Arial" w:eastAsia="Calibri" w:hAnsi="Arial" w:cs="Arial"/>
          <w:color w:val="000000"/>
          <w:sz w:val="22"/>
          <w:szCs w:val="22"/>
          <w:lang w:val="es-MX"/>
        </w:rPr>
        <w:t xml:space="preserve"> información adicional el proponente deberá aportar uno o alguno de los documentos señalados en el numeral 3.5.5. En caso de que la experiencia a acreditar se derive de subcontratos, el proponente deberá aportar la documentación respectiva</w:t>
      </w:r>
      <w:r w:rsidR="00642756" w:rsidRPr="009D34ED">
        <w:rPr>
          <w:rFonts w:ascii="Arial" w:eastAsia="Calibri" w:hAnsi="Arial" w:cs="Arial"/>
          <w:color w:val="000000"/>
          <w:sz w:val="22"/>
          <w:szCs w:val="22"/>
          <w:lang w:val="es-MX"/>
        </w:rPr>
        <w:t>,</w:t>
      </w:r>
      <w:r w:rsidR="00301784" w:rsidRPr="009D34ED">
        <w:rPr>
          <w:rFonts w:ascii="Arial" w:eastAsia="Calibri" w:hAnsi="Arial" w:cs="Arial"/>
          <w:color w:val="000000"/>
          <w:sz w:val="22"/>
          <w:szCs w:val="22"/>
          <w:lang w:val="es-MX"/>
        </w:rPr>
        <w:t xml:space="preserve"> de conformidad con lo señalado en el numeral 3.5.6. Esta </w:t>
      </w:r>
      <w:r w:rsidR="00301784" w:rsidRPr="009D34ED">
        <w:rPr>
          <w:rFonts w:ascii="Arial" w:eastAsia="Calibri" w:hAnsi="Arial" w:cs="Arial"/>
          <w:color w:val="000000" w:themeColor="text1"/>
          <w:sz w:val="22"/>
        </w:rPr>
        <w:t>verificación de información no implica que la experiencia no deba estar registrada en el RUP, puesto que se trata de información adicional que requiere ser verificada por la entidad estatal a efectos de constatar si el proponente cumple con las condiciones de experiencia requeridas en el pliego de condiciones.</w:t>
      </w:r>
    </w:p>
    <w:p w14:paraId="7A9A2CA6" w14:textId="77777777" w:rsidR="00AC4D98" w:rsidRPr="009D34ED" w:rsidRDefault="00AC4D98" w:rsidP="00AC4D98">
      <w:pPr>
        <w:ind w:right="618"/>
        <w:jc w:val="both"/>
        <w:rPr>
          <w:rFonts w:ascii="Arial" w:eastAsia="Calibri" w:hAnsi="Arial" w:cs="Arial"/>
          <w:bCs/>
          <w:i/>
          <w:iCs/>
          <w:sz w:val="21"/>
          <w:szCs w:val="21"/>
        </w:rPr>
      </w:pPr>
    </w:p>
    <w:p w14:paraId="01BBD32B" w14:textId="77777777" w:rsidR="00AC4D98" w:rsidRPr="009D34ED" w:rsidRDefault="00AC4D98" w:rsidP="00AC4D98">
      <w:pPr>
        <w:ind w:left="709" w:right="618"/>
        <w:jc w:val="both"/>
        <w:rPr>
          <w:rFonts w:ascii="Arial" w:eastAsia="Calibri" w:hAnsi="Arial" w:cs="Arial"/>
          <w:bCs/>
          <w:i/>
          <w:iCs/>
          <w:sz w:val="21"/>
          <w:szCs w:val="21"/>
        </w:rPr>
      </w:pPr>
      <w:r w:rsidRPr="009D34ED">
        <w:rPr>
          <w:rFonts w:ascii="Arial" w:eastAsia="Calibri" w:hAnsi="Arial" w:cs="Arial"/>
          <w:b/>
          <w:bCs/>
          <w:sz w:val="21"/>
          <w:szCs w:val="21"/>
        </w:rPr>
        <w:lastRenderedPageBreak/>
        <w:t xml:space="preserve">VII. </w:t>
      </w:r>
      <w:r w:rsidRPr="009D34ED">
        <w:rPr>
          <w:rFonts w:ascii="Arial" w:eastAsia="Calibri" w:hAnsi="Arial" w:cs="Arial"/>
          <w:bCs/>
          <w:sz w:val="21"/>
          <w:szCs w:val="21"/>
        </w:rPr>
        <w:t xml:space="preserve">En cuanto a lo dispuesto en la Cláusula 9. "OBLIGACIONES GENERALES DEL CONTRATISTA", dentro de las obligaciones, en el evento de escoger la Opción A, el anexo 4 MINUTA DEL CONTRATO, establece lo siguiente: </w:t>
      </w:r>
    </w:p>
    <w:p w14:paraId="1DA0D743" w14:textId="77777777" w:rsidR="00AC4D98" w:rsidRPr="009D34ED" w:rsidRDefault="00AC4D98" w:rsidP="00AC4D98">
      <w:pPr>
        <w:ind w:left="709" w:right="618"/>
        <w:jc w:val="both"/>
        <w:rPr>
          <w:rFonts w:ascii="Arial" w:eastAsia="Calibri" w:hAnsi="Arial" w:cs="Arial"/>
          <w:bCs/>
          <w:i/>
          <w:iCs/>
          <w:sz w:val="21"/>
          <w:szCs w:val="21"/>
        </w:rPr>
      </w:pPr>
    </w:p>
    <w:p w14:paraId="3E6EF97D" w14:textId="77777777" w:rsidR="00AC4D98" w:rsidRPr="009D34ED" w:rsidRDefault="00AC4D98" w:rsidP="00AC4D98">
      <w:pPr>
        <w:ind w:left="709" w:right="618"/>
        <w:jc w:val="both"/>
        <w:rPr>
          <w:rFonts w:ascii="Arial" w:eastAsia="Calibri" w:hAnsi="Arial" w:cs="Arial"/>
          <w:bCs/>
          <w:i/>
          <w:iCs/>
          <w:sz w:val="21"/>
          <w:szCs w:val="21"/>
        </w:rPr>
      </w:pPr>
      <w:r w:rsidRPr="009D34ED">
        <w:rPr>
          <w:rFonts w:ascii="Arial" w:eastAsia="Calibri" w:hAnsi="Arial" w:cs="Arial"/>
          <w:bCs/>
          <w:i/>
          <w:iCs/>
          <w:sz w:val="21"/>
          <w:szCs w:val="21"/>
        </w:rPr>
        <w:t xml:space="preserve">1. “Destinar a la ejecución del contrato mano de obra no calificada de la región, en un porcentaje no inferior al </w:t>
      </w:r>
      <w:r w:rsidRPr="009D34ED">
        <w:rPr>
          <w:rFonts w:ascii="Arial" w:eastAsia="Calibri" w:hAnsi="Arial" w:cs="Arial"/>
          <w:b/>
          <w:bCs/>
          <w:i/>
          <w:iCs/>
          <w:sz w:val="21"/>
          <w:szCs w:val="21"/>
        </w:rPr>
        <w:t xml:space="preserve">[quince por ciento (15 %), sin perjuicio de incluir un porcentaje superior que no supere el treinta por ciento (30 %)] </w:t>
      </w:r>
      <w:r w:rsidRPr="009D34ED">
        <w:rPr>
          <w:rFonts w:ascii="Arial" w:eastAsia="Calibri" w:hAnsi="Arial" w:cs="Arial"/>
          <w:bCs/>
          <w:i/>
          <w:iCs/>
          <w:sz w:val="21"/>
          <w:szCs w:val="21"/>
        </w:rPr>
        <w:t xml:space="preserve">del total del personal del Contratista de obra, destinado a la ejecución del Contrato. En todo caso deberá cumplir con las siguientes condiciones: </w:t>
      </w:r>
    </w:p>
    <w:p w14:paraId="4265FA37" w14:textId="77777777" w:rsidR="00AC4D98" w:rsidRPr="009D34ED" w:rsidRDefault="00AC4D98" w:rsidP="00AC4D98">
      <w:pPr>
        <w:ind w:left="709" w:right="618"/>
        <w:jc w:val="both"/>
        <w:rPr>
          <w:rFonts w:ascii="Arial" w:eastAsia="Calibri" w:hAnsi="Arial" w:cs="Arial"/>
          <w:bCs/>
          <w:i/>
          <w:iCs/>
          <w:sz w:val="21"/>
          <w:szCs w:val="21"/>
        </w:rPr>
      </w:pPr>
    </w:p>
    <w:p w14:paraId="5D3CE699" w14:textId="77777777" w:rsidR="00AC4D98" w:rsidRPr="009D34ED" w:rsidRDefault="00AC4D98" w:rsidP="00AC4D98">
      <w:pPr>
        <w:ind w:left="709" w:right="618"/>
        <w:jc w:val="both"/>
        <w:rPr>
          <w:rFonts w:ascii="Arial" w:eastAsia="Calibri" w:hAnsi="Arial" w:cs="Arial"/>
          <w:bCs/>
          <w:i/>
          <w:iCs/>
          <w:sz w:val="21"/>
          <w:szCs w:val="21"/>
        </w:rPr>
      </w:pPr>
      <w:r w:rsidRPr="009D34ED">
        <w:rPr>
          <w:rFonts w:ascii="Arial" w:eastAsia="Calibri" w:hAnsi="Arial" w:cs="Arial"/>
          <w:bCs/>
          <w:i/>
          <w:iCs/>
          <w:sz w:val="21"/>
          <w:szCs w:val="21"/>
        </w:rPr>
        <w:t xml:space="preserve">1.1 En todo caso </w:t>
      </w:r>
      <w:r w:rsidRPr="009D34ED">
        <w:rPr>
          <w:rFonts w:ascii="Arial" w:eastAsia="Calibri" w:hAnsi="Arial" w:cs="Arial"/>
          <w:b/>
          <w:bCs/>
          <w:i/>
          <w:iCs/>
          <w:sz w:val="21"/>
          <w:szCs w:val="21"/>
        </w:rPr>
        <w:t xml:space="preserve">[el cinco por ciento (5 %) (sin perjuicio de establecer un porcentaje superior, de acuerdo con el estudio del sector y características propias de la región, que no podrá superar el diez por ciento (10 %)] </w:t>
      </w:r>
      <w:r w:rsidRPr="009D34ED">
        <w:rPr>
          <w:rFonts w:ascii="Arial" w:eastAsia="Calibri" w:hAnsi="Arial" w:cs="Arial"/>
          <w:bCs/>
          <w:i/>
          <w:iCs/>
          <w:sz w:val="21"/>
          <w:szCs w:val="21"/>
        </w:rPr>
        <w:t>de la mano de obra no calificada de la región, destinada a la ejecución del contrato, serán mujeres."</w:t>
      </w:r>
    </w:p>
    <w:p w14:paraId="04675487" w14:textId="77777777" w:rsidR="00AC4D98" w:rsidRPr="009D34ED" w:rsidRDefault="00AC4D98" w:rsidP="00AC4D98">
      <w:pPr>
        <w:ind w:left="709" w:right="618"/>
        <w:jc w:val="both"/>
        <w:rPr>
          <w:rFonts w:ascii="Arial" w:eastAsia="Calibri" w:hAnsi="Arial" w:cs="Arial"/>
          <w:bCs/>
          <w:i/>
          <w:iCs/>
          <w:sz w:val="21"/>
          <w:szCs w:val="21"/>
        </w:rPr>
      </w:pPr>
    </w:p>
    <w:p w14:paraId="0B226376" w14:textId="77777777" w:rsidR="00AC4D98" w:rsidRPr="009D34ED" w:rsidRDefault="00AC4D98" w:rsidP="00AC4D98">
      <w:pPr>
        <w:ind w:left="709" w:right="618"/>
        <w:jc w:val="both"/>
        <w:rPr>
          <w:rFonts w:ascii="Arial" w:eastAsia="Calibri" w:hAnsi="Arial" w:cs="Arial"/>
          <w:bCs/>
          <w:i/>
          <w:iCs/>
          <w:sz w:val="21"/>
          <w:szCs w:val="21"/>
          <w:lang w:val="es-ES_tradnl"/>
        </w:rPr>
      </w:pPr>
      <w:r w:rsidRPr="009D34ED">
        <w:rPr>
          <w:rFonts w:ascii="Arial" w:eastAsia="Calibri" w:hAnsi="Arial" w:cs="Arial"/>
          <w:bCs/>
          <w:i/>
          <w:iCs/>
          <w:sz w:val="21"/>
          <w:szCs w:val="21"/>
        </w:rPr>
        <w:t xml:space="preserve"> </w:t>
      </w:r>
      <w:r w:rsidRPr="009D34ED">
        <w:rPr>
          <w:rFonts w:ascii="Arial" w:eastAsia="Calibri" w:hAnsi="Arial" w:cs="Arial"/>
          <w:bCs/>
          <w:i/>
          <w:iCs/>
          <w:sz w:val="21"/>
          <w:szCs w:val="21"/>
          <w:lang w:val="es-ES_tradnl"/>
        </w:rPr>
        <w:t xml:space="preserve">Teniendo en cuenta lo señalado anteriormente, surge la necesidad de solicitar la siguiente aclaración: </w:t>
      </w:r>
    </w:p>
    <w:p w14:paraId="414E63FC" w14:textId="77777777" w:rsidR="00AC4D98" w:rsidRPr="009D34ED" w:rsidRDefault="00AC4D98" w:rsidP="00AC4D98">
      <w:pPr>
        <w:ind w:left="709" w:right="618"/>
        <w:jc w:val="both"/>
        <w:rPr>
          <w:rFonts w:ascii="Arial" w:eastAsia="Calibri" w:hAnsi="Arial" w:cs="Arial"/>
          <w:bCs/>
          <w:i/>
          <w:iCs/>
          <w:sz w:val="21"/>
          <w:szCs w:val="21"/>
          <w:lang w:val="es-ES_tradnl"/>
        </w:rPr>
      </w:pPr>
    </w:p>
    <w:p w14:paraId="775E8446" w14:textId="77777777" w:rsidR="00AC4D98" w:rsidRPr="009D34ED" w:rsidRDefault="00AC4D98" w:rsidP="00AC4D98">
      <w:pPr>
        <w:ind w:left="709" w:right="618"/>
        <w:jc w:val="both"/>
        <w:rPr>
          <w:rFonts w:ascii="Arial" w:eastAsia="Calibri" w:hAnsi="Arial" w:cs="Arial"/>
          <w:bCs/>
          <w:i/>
          <w:iCs/>
          <w:sz w:val="21"/>
          <w:szCs w:val="21"/>
        </w:rPr>
      </w:pPr>
      <w:r w:rsidRPr="009D34ED">
        <w:rPr>
          <w:rFonts w:ascii="Arial" w:eastAsia="Calibri" w:hAnsi="Arial" w:cs="Arial"/>
          <w:bCs/>
          <w:i/>
          <w:iCs/>
          <w:sz w:val="21"/>
          <w:szCs w:val="21"/>
        </w:rPr>
        <w:t xml:space="preserve">1. ¿Si del estudio de sector y de las características propias de la región, arroja un porcentaje (%) inferior o superior a los rangos establecidos en los textos transcritos, como se debe armonizar dicho porcentaje (%) cuando este se deriva de un estudio realizado? </w:t>
      </w:r>
    </w:p>
    <w:p w14:paraId="00056772" w14:textId="77777777" w:rsidR="00AC4D98" w:rsidRPr="009D34ED" w:rsidRDefault="00AC4D98" w:rsidP="00AC4D98">
      <w:pPr>
        <w:ind w:left="709" w:right="618"/>
        <w:jc w:val="both"/>
        <w:rPr>
          <w:rFonts w:ascii="Arial" w:eastAsia="Calibri" w:hAnsi="Arial" w:cs="Arial"/>
          <w:bCs/>
          <w:i/>
          <w:iCs/>
          <w:sz w:val="21"/>
          <w:szCs w:val="21"/>
        </w:rPr>
      </w:pPr>
    </w:p>
    <w:p w14:paraId="6A5E372F" w14:textId="77777777" w:rsidR="00AC4D98" w:rsidRPr="009D34ED" w:rsidRDefault="00AC4D98" w:rsidP="00AC4D98">
      <w:pPr>
        <w:ind w:left="709" w:right="618"/>
        <w:jc w:val="both"/>
        <w:rPr>
          <w:rFonts w:ascii="Arial" w:eastAsia="Calibri" w:hAnsi="Arial" w:cs="Arial"/>
          <w:bCs/>
          <w:i/>
          <w:iCs/>
          <w:sz w:val="21"/>
          <w:szCs w:val="21"/>
        </w:rPr>
      </w:pPr>
      <w:r w:rsidRPr="009D34ED">
        <w:rPr>
          <w:rFonts w:ascii="Arial" w:eastAsia="Calibri" w:hAnsi="Arial" w:cs="Arial"/>
          <w:bCs/>
          <w:i/>
          <w:iCs/>
          <w:sz w:val="21"/>
          <w:szCs w:val="21"/>
        </w:rPr>
        <w:t xml:space="preserve">2. Por disposición del Decreto Distrital No. 332 de 2020, de la Alcaldía de Bogotá D.C., la vinculación de mujeres durante la ejecución de los contratos del sector económico de la construcción debe ser mínimo para las vigencias 2022 y 2023 del 9,3% y el 13,8% respectivamente. ¿Cómo se debe aplicar o armonizar los porcentajes de vinculación mínima exigida para ejecución de contratos durante la vigencia 2023, cuando lo establecido en el Anexo 4 señala que la mano de obra no calificada destinada a la ejecución del contrato serán mujeres y que no podrá superar el 10%? </w:t>
      </w:r>
    </w:p>
    <w:p w14:paraId="3B77FDD0" w14:textId="77777777" w:rsidR="00AC4D98" w:rsidRPr="009D34ED" w:rsidRDefault="00AC4D98" w:rsidP="00AC4D98">
      <w:pPr>
        <w:ind w:left="709" w:right="618"/>
        <w:jc w:val="both"/>
        <w:rPr>
          <w:rFonts w:ascii="Arial" w:eastAsia="Calibri" w:hAnsi="Arial" w:cs="Arial"/>
          <w:bCs/>
          <w:i/>
          <w:iCs/>
          <w:sz w:val="21"/>
          <w:szCs w:val="21"/>
        </w:rPr>
      </w:pPr>
    </w:p>
    <w:p w14:paraId="084821B3" w14:textId="343CA9F9" w:rsidR="00C03F83" w:rsidRPr="009D34ED" w:rsidRDefault="00C03F83" w:rsidP="00E843F1">
      <w:pPr>
        <w:spacing w:line="276" w:lineRule="auto"/>
        <w:jc w:val="both"/>
        <w:rPr>
          <w:rFonts w:ascii="Arial" w:eastAsia="Calibri" w:hAnsi="Arial" w:cs="Arial"/>
          <w:bCs/>
          <w:sz w:val="22"/>
          <w:szCs w:val="22"/>
          <w:lang w:val="es-MX" w:eastAsia="en-US"/>
        </w:rPr>
      </w:pPr>
      <w:r w:rsidRPr="009D34ED">
        <w:rPr>
          <w:rFonts w:ascii="Arial" w:eastAsia="Calibri" w:hAnsi="Arial" w:cs="Arial"/>
          <w:bCs/>
          <w:sz w:val="22"/>
          <w:szCs w:val="22"/>
          <w:lang w:val="es-MX" w:eastAsia="en-US"/>
        </w:rPr>
        <w:t xml:space="preserve">Los apartados grises entre corchete son los espacios dispuestos para que la entidad en su autonomía </w:t>
      </w:r>
      <w:r w:rsidRPr="009D34ED">
        <w:rPr>
          <w:rFonts w:ascii="Arial" w:eastAsiaTheme="minorHAnsi" w:hAnsi="Arial" w:cs="Arial"/>
          <w:color w:val="000000" w:themeColor="text1"/>
          <w:sz w:val="22"/>
          <w:szCs w:val="22"/>
          <w:lang w:val="es-MX" w:eastAsia="en-US"/>
        </w:rPr>
        <w:t>determine la información que se diligenciará en los documentos tipo, de acuerdo con su necesidad.</w:t>
      </w:r>
      <w:r w:rsidRPr="009D34ED">
        <w:rPr>
          <w:rFonts w:ascii="Arial" w:eastAsia="Calibri" w:hAnsi="Arial" w:cs="Arial"/>
          <w:bCs/>
          <w:sz w:val="22"/>
          <w:szCs w:val="22"/>
          <w:lang w:val="es-MX" w:eastAsia="en-US"/>
        </w:rPr>
        <w:t xml:space="preserve"> No obstante, para efectos de la obligación consagrada en la cláusula 9, esta autonomía no es absoluta, pues está supeditada a las instrucciones del Anexo 4, las cuales resultan obligatorias e inmodificables, so pena de vulnerar la regla de inalterabilidad. Esto se reitera en el encabezado de esta obligación</w:t>
      </w:r>
      <w:r w:rsidR="009A3950" w:rsidRPr="009D34ED">
        <w:rPr>
          <w:rFonts w:ascii="Arial" w:eastAsia="Calibri" w:hAnsi="Arial" w:cs="Arial"/>
          <w:bCs/>
          <w:sz w:val="22"/>
          <w:szCs w:val="22"/>
          <w:lang w:val="es-MX" w:eastAsia="en-US"/>
        </w:rPr>
        <w:t>,</w:t>
      </w:r>
      <w:r w:rsidRPr="009D34ED">
        <w:rPr>
          <w:rFonts w:ascii="Arial" w:eastAsia="Calibri" w:hAnsi="Arial" w:cs="Arial"/>
          <w:bCs/>
          <w:sz w:val="22"/>
          <w:szCs w:val="22"/>
          <w:lang w:val="es-MX" w:eastAsia="en-US"/>
        </w:rPr>
        <w:t xml:space="preserve"> en la que se indica que la entidad no podrá modificar los rangos de porcentajes definidos en </w:t>
      </w:r>
      <w:r w:rsidR="009A3950" w:rsidRPr="009D34ED">
        <w:rPr>
          <w:rFonts w:ascii="Arial" w:eastAsia="Calibri" w:hAnsi="Arial" w:cs="Arial"/>
          <w:bCs/>
          <w:sz w:val="22"/>
          <w:szCs w:val="22"/>
          <w:lang w:val="es-MX" w:eastAsia="en-US"/>
        </w:rPr>
        <w:t xml:space="preserve">dicha </w:t>
      </w:r>
      <w:r w:rsidRPr="009D34ED">
        <w:rPr>
          <w:rFonts w:ascii="Arial" w:eastAsia="Calibri" w:hAnsi="Arial" w:cs="Arial"/>
          <w:bCs/>
          <w:sz w:val="22"/>
          <w:szCs w:val="22"/>
          <w:lang w:val="es-MX" w:eastAsia="en-US"/>
        </w:rPr>
        <w:t>Minuta.</w:t>
      </w:r>
    </w:p>
    <w:p w14:paraId="52418454" w14:textId="4E753080" w:rsidR="00C03F83" w:rsidRPr="009D34ED" w:rsidRDefault="00C03F83" w:rsidP="00C03F83">
      <w:pPr>
        <w:spacing w:before="120" w:line="276" w:lineRule="auto"/>
        <w:ind w:firstLine="709"/>
        <w:jc w:val="both"/>
        <w:rPr>
          <w:rFonts w:ascii="Arial" w:eastAsiaTheme="minorHAnsi" w:hAnsi="Arial" w:cs="Arial"/>
          <w:sz w:val="22"/>
          <w:szCs w:val="22"/>
          <w:lang w:val="es-MX" w:eastAsia="en-US"/>
        </w:rPr>
      </w:pPr>
      <w:r w:rsidRPr="009D34ED">
        <w:rPr>
          <w:rFonts w:ascii="Arial" w:eastAsiaTheme="minorHAnsi" w:hAnsi="Arial" w:cs="Arial"/>
          <w:sz w:val="22"/>
          <w:szCs w:val="22"/>
          <w:lang w:val="es-MX" w:eastAsia="en-US"/>
        </w:rPr>
        <w:t xml:space="preserve">En este contexto, la entidad estatal no podrá establecer porcentajes </w:t>
      </w:r>
      <w:r w:rsidR="00AC58E9" w:rsidRPr="009D34ED">
        <w:rPr>
          <w:rFonts w:ascii="Arial" w:eastAsiaTheme="minorHAnsi" w:hAnsi="Arial" w:cs="Arial"/>
          <w:sz w:val="22"/>
          <w:szCs w:val="22"/>
          <w:lang w:val="es-MX" w:eastAsia="en-US"/>
        </w:rPr>
        <w:t xml:space="preserve">mínimos </w:t>
      </w:r>
      <w:r w:rsidRPr="009D34ED">
        <w:rPr>
          <w:rFonts w:ascii="Arial" w:eastAsiaTheme="minorHAnsi" w:hAnsi="Arial" w:cs="Arial"/>
          <w:sz w:val="22"/>
          <w:szCs w:val="22"/>
          <w:lang w:val="es-MX" w:eastAsia="en-US"/>
        </w:rPr>
        <w:t xml:space="preserve">del personal de mano de obra no calificada de la región por fuera de los rangos establecidos en dicho numeral. </w:t>
      </w:r>
      <w:r w:rsidRPr="009D34ED">
        <w:rPr>
          <w:rFonts w:ascii="Arial" w:eastAsiaTheme="minorHAnsi" w:hAnsi="Arial" w:cs="Arial"/>
          <w:color w:val="000000" w:themeColor="text1"/>
          <w:sz w:val="22"/>
          <w:szCs w:val="22"/>
          <w:lang w:val="es-ES_tradnl" w:eastAsia="en-US"/>
        </w:rPr>
        <w:t xml:space="preserve">En caso de que la entidad estatal </w:t>
      </w:r>
      <w:r w:rsidR="00AC58E9" w:rsidRPr="009D34ED">
        <w:rPr>
          <w:rFonts w:ascii="Arial" w:eastAsiaTheme="minorHAnsi" w:hAnsi="Arial" w:cs="Arial"/>
          <w:color w:val="000000" w:themeColor="text1"/>
          <w:sz w:val="22"/>
          <w:szCs w:val="22"/>
          <w:lang w:val="es-ES_tradnl" w:eastAsia="en-US"/>
        </w:rPr>
        <w:t xml:space="preserve">exija </w:t>
      </w:r>
      <w:r w:rsidRPr="009D34ED">
        <w:rPr>
          <w:rFonts w:ascii="Arial" w:eastAsiaTheme="minorHAnsi" w:hAnsi="Arial" w:cs="Arial"/>
          <w:color w:val="000000" w:themeColor="text1"/>
          <w:sz w:val="22"/>
          <w:szCs w:val="22"/>
          <w:lang w:val="es-ES_tradnl" w:eastAsia="en-US"/>
        </w:rPr>
        <w:t>que el contratista destine</w:t>
      </w:r>
      <w:r w:rsidRPr="009D34ED">
        <w:rPr>
          <w:rFonts w:ascii="Arial" w:eastAsiaTheme="minorHAnsi" w:hAnsi="Arial" w:cs="Arial"/>
          <w:color w:val="000000" w:themeColor="text1"/>
          <w:sz w:val="22"/>
          <w:szCs w:val="22"/>
          <w:lang w:eastAsia="en-US"/>
        </w:rPr>
        <w:t xml:space="preserve"> a la ejecución del contrato mano de obra no calificada de la región en un porcentaje superior al 30% y de mujeres en un porcentaje superior al 10 por ciento (%) </w:t>
      </w:r>
      <w:r w:rsidRPr="009D34ED">
        <w:rPr>
          <w:rFonts w:ascii="Arial" w:eastAsiaTheme="minorHAnsi" w:hAnsi="Arial" w:cs="Arial"/>
          <w:sz w:val="22"/>
          <w:szCs w:val="22"/>
          <w:lang w:val="es-MX" w:eastAsia="en-US"/>
        </w:rPr>
        <w:t xml:space="preserve">se </w:t>
      </w:r>
      <w:r w:rsidR="00AC58E9" w:rsidRPr="009D34ED">
        <w:rPr>
          <w:rFonts w:ascii="Arial" w:eastAsiaTheme="minorHAnsi" w:hAnsi="Arial" w:cs="Arial"/>
          <w:sz w:val="22"/>
          <w:szCs w:val="22"/>
          <w:lang w:val="es-MX" w:eastAsia="en-US"/>
        </w:rPr>
        <w:t xml:space="preserve">infringiría </w:t>
      </w:r>
      <w:r w:rsidRPr="009D34ED">
        <w:rPr>
          <w:rFonts w:ascii="Arial" w:eastAsiaTheme="minorHAnsi" w:hAnsi="Arial" w:cs="Arial"/>
          <w:color w:val="000000" w:themeColor="text1"/>
          <w:sz w:val="22"/>
          <w:szCs w:val="22"/>
          <w:lang w:val="es-ES_tradnl" w:eastAsia="en-US"/>
        </w:rPr>
        <w:t xml:space="preserve">la regla de la inalterabilidad prevista en el artículo 3 de las Resoluciones 219 y 220 de 2021. </w:t>
      </w:r>
    </w:p>
    <w:p w14:paraId="28A096F5" w14:textId="00D2878E" w:rsidR="00C03F83" w:rsidRPr="009D34ED" w:rsidRDefault="00C03F83" w:rsidP="00C03F83">
      <w:pPr>
        <w:spacing w:before="120" w:line="276" w:lineRule="auto"/>
        <w:ind w:firstLine="709"/>
        <w:jc w:val="both"/>
        <w:rPr>
          <w:rFonts w:ascii="Arial" w:eastAsia="Calibri" w:hAnsi="Arial" w:cs="Arial"/>
          <w:bCs/>
          <w:sz w:val="22"/>
          <w:szCs w:val="22"/>
          <w:lang w:eastAsia="en-US"/>
        </w:rPr>
      </w:pPr>
      <w:r w:rsidRPr="009D34ED">
        <w:rPr>
          <w:rFonts w:ascii="Arial" w:eastAsia="Calibri" w:hAnsi="Arial" w:cs="Arial"/>
          <w:bCs/>
          <w:sz w:val="22"/>
          <w:szCs w:val="22"/>
          <w:lang w:val="es-MX" w:eastAsia="en-US"/>
        </w:rPr>
        <w:lastRenderedPageBreak/>
        <w:t xml:space="preserve">Al respecto, es importante indicar que </w:t>
      </w:r>
      <w:r w:rsidRPr="009D34ED">
        <w:rPr>
          <w:rFonts w:ascii="Arial" w:eastAsia="Calibri" w:hAnsi="Arial" w:cs="Arial"/>
          <w:bCs/>
          <w:sz w:val="22"/>
          <w:szCs w:val="22"/>
          <w:lang w:eastAsia="en-US"/>
        </w:rPr>
        <w:t xml:space="preserve">en los documentos tipo se estandarizan unas condiciones aplicables a todas las entidades sometidas al EGCAP que deben implementar estos documentos, por lo que las instrucciones y los porcentajes señalados se tornan obligatorios para todas las entidades. Por tanto, el análisis </w:t>
      </w:r>
      <w:r w:rsidRPr="009D34ED">
        <w:rPr>
          <w:rFonts w:ascii="Arial" w:hAnsi="Arial" w:cs="Arial"/>
          <w:sz w:val="22"/>
          <w:lang w:val="es-MX"/>
        </w:rPr>
        <w:t xml:space="preserve">propio del proyecto a ejecutar y de las condiciones propias de la región que realice cada entidad para efectos de aplicar la opción A de la cláusula 9, </w:t>
      </w:r>
      <w:r w:rsidRPr="009D34ED">
        <w:rPr>
          <w:rFonts w:ascii="Arial" w:eastAsia="Calibri" w:hAnsi="Arial" w:cs="Arial"/>
          <w:bCs/>
          <w:sz w:val="22"/>
          <w:szCs w:val="22"/>
          <w:lang w:val="es-MX" w:eastAsia="en-US"/>
        </w:rPr>
        <w:t>deberán armonizarse con los rangos señalados en los documentos tipo, de manera que si el resultado del estudio arroja un porcentaje mayor al límite establecido, la entidad fijará el tope máximo determinado en la cláusula y no podrá establecer un rango superior.</w:t>
      </w:r>
    </w:p>
    <w:p w14:paraId="5BE15435" w14:textId="27A6F907" w:rsidR="00AC4D98" w:rsidRPr="009D34ED" w:rsidRDefault="00C03F83" w:rsidP="00C03F83">
      <w:pPr>
        <w:spacing w:before="120" w:line="276" w:lineRule="auto"/>
        <w:ind w:firstLine="709"/>
        <w:jc w:val="both"/>
        <w:rPr>
          <w:rFonts w:ascii="Arial" w:eastAsiaTheme="minorHAnsi" w:hAnsi="Arial" w:cs="Arial"/>
          <w:color w:val="000000" w:themeColor="text1"/>
          <w:sz w:val="22"/>
          <w:szCs w:val="22"/>
          <w:lang w:val="es-MX" w:eastAsia="en-US"/>
        </w:rPr>
      </w:pPr>
      <w:r w:rsidRPr="009D34ED">
        <w:rPr>
          <w:rFonts w:ascii="Arial" w:eastAsia="Calibri" w:hAnsi="Arial" w:cs="Arial"/>
          <w:bCs/>
          <w:sz w:val="22"/>
          <w:szCs w:val="22"/>
          <w:lang w:val="es-ES_tradnl" w:eastAsia="en-US"/>
        </w:rPr>
        <w:t xml:space="preserve">En este contexto, las entidades estatales sometidas al EGCAP deberán atender el contenido de </w:t>
      </w:r>
      <w:r w:rsidRPr="009D34ED">
        <w:rPr>
          <w:rFonts w:ascii="Arial" w:eastAsia="Calibri" w:hAnsi="Arial" w:cs="Arial"/>
          <w:bCs/>
          <w:sz w:val="22"/>
          <w:szCs w:val="22"/>
          <w:lang w:eastAsia="en-US"/>
        </w:rPr>
        <w:t>los documentos tipo en los procesos de contratación que aplique</w:t>
      </w:r>
      <w:r w:rsidR="00AC58E9" w:rsidRPr="009D34ED">
        <w:rPr>
          <w:rFonts w:ascii="Arial" w:eastAsia="Calibri" w:hAnsi="Arial" w:cs="Arial"/>
          <w:bCs/>
          <w:sz w:val="22"/>
          <w:szCs w:val="22"/>
          <w:lang w:eastAsia="en-US"/>
        </w:rPr>
        <w:t>n</w:t>
      </w:r>
      <w:r w:rsidRPr="009D34ED">
        <w:rPr>
          <w:rFonts w:ascii="Arial" w:eastAsia="Calibri" w:hAnsi="Arial" w:cs="Arial"/>
          <w:bCs/>
          <w:sz w:val="22"/>
          <w:szCs w:val="22"/>
          <w:lang w:eastAsia="en-US"/>
        </w:rPr>
        <w:t xml:space="preserve">, cumpliendo en todo caso las instrucciones allí señaladas, so pena de vulnerar la regla de inalterabilidad. Debe reiterarse que conforme lo dispone el artículo </w:t>
      </w:r>
      <w:r w:rsidR="00AC58E9" w:rsidRPr="009D34ED">
        <w:rPr>
          <w:rFonts w:ascii="Arial" w:eastAsia="Calibri" w:hAnsi="Arial" w:cs="Arial"/>
          <w:bCs/>
          <w:sz w:val="22"/>
          <w:szCs w:val="22"/>
          <w:lang w:eastAsia="en-US"/>
        </w:rPr>
        <w:t>1</w:t>
      </w:r>
      <w:r w:rsidRPr="009D34ED">
        <w:rPr>
          <w:rFonts w:ascii="Arial" w:eastAsia="Calibri" w:hAnsi="Arial" w:cs="Arial"/>
          <w:bCs/>
          <w:sz w:val="22"/>
          <w:szCs w:val="22"/>
          <w:lang w:eastAsia="en-US"/>
        </w:rPr>
        <w:t xml:space="preserve"> de la Ley 2022 de 2020 los documentos tipo son de obligatorio cumplimiento para todas las entidades sometidas al EGCAP. En los demás casos, es decir, en aquello procesos en los que no apliquen los documentos tipo, las entidades deberán aplicar las normas que rigen la materia, así como las disposiciones expedidas sobre aspectos particulares que resulten pertinentes. </w:t>
      </w:r>
    </w:p>
    <w:p w14:paraId="36A5CFBD" w14:textId="77777777" w:rsidR="00AC4D98" w:rsidRPr="009D34ED" w:rsidRDefault="00AC4D98" w:rsidP="00C03F83">
      <w:pPr>
        <w:ind w:right="474"/>
        <w:jc w:val="both"/>
        <w:rPr>
          <w:rFonts w:ascii="Arial" w:eastAsia="Calibri" w:hAnsi="Arial" w:cs="Arial"/>
          <w:sz w:val="21"/>
          <w:szCs w:val="21"/>
          <w:lang w:val="es-ES"/>
        </w:rPr>
      </w:pPr>
    </w:p>
    <w:p w14:paraId="184A6501" w14:textId="6E68698A" w:rsidR="005A7B7D" w:rsidRPr="009D34ED" w:rsidRDefault="004166CB" w:rsidP="005A7B7D">
      <w:pPr>
        <w:ind w:left="709" w:right="474"/>
        <w:jc w:val="both"/>
        <w:rPr>
          <w:rFonts w:ascii="Arial" w:eastAsia="Calibri" w:hAnsi="Arial" w:cs="Arial"/>
          <w:bCs/>
          <w:i/>
          <w:iCs/>
          <w:sz w:val="20"/>
          <w:szCs w:val="20"/>
        </w:rPr>
      </w:pPr>
      <w:r w:rsidRPr="009D34ED">
        <w:rPr>
          <w:rFonts w:ascii="Arial" w:eastAsia="Calibri" w:hAnsi="Arial" w:cs="Arial"/>
          <w:sz w:val="21"/>
          <w:szCs w:val="21"/>
          <w:lang w:val="es-ES"/>
        </w:rPr>
        <w:t>«</w:t>
      </w:r>
      <w:r w:rsidR="005A7B7D" w:rsidRPr="009D34ED">
        <w:rPr>
          <w:rFonts w:ascii="Arial" w:eastAsia="Calibri" w:hAnsi="Arial" w:cs="Arial"/>
          <w:b/>
          <w:bCs/>
          <w:i/>
          <w:iCs/>
          <w:sz w:val="20"/>
          <w:szCs w:val="20"/>
        </w:rPr>
        <w:t xml:space="preserve">VIII. </w:t>
      </w:r>
      <w:r w:rsidR="005A7B7D" w:rsidRPr="009D34ED">
        <w:rPr>
          <w:rFonts w:ascii="Arial" w:eastAsia="Calibri" w:hAnsi="Arial" w:cs="Arial"/>
          <w:bCs/>
          <w:i/>
          <w:iCs/>
          <w:sz w:val="20"/>
          <w:szCs w:val="20"/>
        </w:rPr>
        <w:t xml:space="preserve">Conforme a lo dispuesto en el numeral 1.15. referente a "CAUSALES DE RECHAZO", el Documento tipo establece que: </w:t>
      </w:r>
    </w:p>
    <w:p w14:paraId="7911A85C" w14:textId="77777777" w:rsidR="005A7B7D" w:rsidRPr="009D34ED" w:rsidRDefault="005A7B7D" w:rsidP="005A7B7D">
      <w:pPr>
        <w:ind w:left="709" w:right="474"/>
        <w:jc w:val="both"/>
        <w:rPr>
          <w:rFonts w:ascii="Arial" w:eastAsia="Calibri" w:hAnsi="Arial" w:cs="Arial"/>
          <w:bCs/>
          <w:i/>
          <w:iCs/>
          <w:sz w:val="20"/>
          <w:szCs w:val="20"/>
        </w:rPr>
      </w:pPr>
    </w:p>
    <w:p w14:paraId="3574B8D3" w14:textId="77777777" w:rsidR="005A7B7D" w:rsidRPr="009D34ED" w:rsidRDefault="005A7B7D" w:rsidP="005A7B7D">
      <w:pPr>
        <w:ind w:left="709" w:right="474"/>
        <w:jc w:val="both"/>
        <w:rPr>
          <w:rFonts w:ascii="Arial" w:eastAsia="Calibri" w:hAnsi="Arial" w:cs="Arial"/>
          <w:bCs/>
          <w:i/>
          <w:iCs/>
          <w:sz w:val="20"/>
          <w:szCs w:val="20"/>
        </w:rPr>
      </w:pPr>
      <w:r w:rsidRPr="009D34ED">
        <w:rPr>
          <w:rFonts w:ascii="Arial" w:eastAsia="Calibri" w:hAnsi="Arial" w:cs="Arial"/>
          <w:bCs/>
          <w:i/>
          <w:iCs/>
          <w:sz w:val="20"/>
          <w:szCs w:val="20"/>
        </w:rPr>
        <w:t xml:space="preserve">"F. Que el Proponente no acredite la presentación de la información para renovar el Registro Único de Proponentes (RUP), a más tardar el quinto día hábil del mes de abril de cada año, o en la fecha que establezca la ley o el reglamento, si fuera una distinta." </w:t>
      </w:r>
    </w:p>
    <w:p w14:paraId="10CA1F1F" w14:textId="77777777" w:rsidR="00362C92" w:rsidRPr="009D34ED" w:rsidRDefault="00362C92" w:rsidP="005A7B7D">
      <w:pPr>
        <w:ind w:left="709" w:right="474"/>
        <w:jc w:val="both"/>
        <w:rPr>
          <w:rFonts w:ascii="Arial" w:eastAsia="Calibri" w:hAnsi="Arial" w:cs="Arial"/>
          <w:bCs/>
          <w:i/>
          <w:iCs/>
          <w:sz w:val="20"/>
          <w:szCs w:val="20"/>
        </w:rPr>
      </w:pPr>
    </w:p>
    <w:p w14:paraId="59E3439A" w14:textId="441C67E2" w:rsidR="005A7B7D" w:rsidRPr="009D34ED" w:rsidRDefault="005A7B7D" w:rsidP="005A7B7D">
      <w:pPr>
        <w:ind w:left="709" w:right="474"/>
        <w:jc w:val="both"/>
        <w:rPr>
          <w:rFonts w:ascii="Arial" w:eastAsia="Calibri" w:hAnsi="Arial" w:cs="Arial"/>
          <w:bCs/>
          <w:i/>
          <w:iCs/>
          <w:sz w:val="20"/>
          <w:szCs w:val="20"/>
        </w:rPr>
      </w:pPr>
      <w:r w:rsidRPr="009D34ED">
        <w:rPr>
          <w:rFonts w:ascii="Arial" w:eastAsia="Calibri" w:hAnsi="Arial" w:cs="Arial"/>
          <w:bCs/>
          <w:i/>
          <w:iCs/>
          <w:sz w:val="20"/>
          <w:szCs w:val="20"/>
        </w:rPr>
        <w:t xml:space="preserve">Teniendo en cuenta las indicaciones anteriormente expresadas, surge la necesidad de solicitar la siguiente aclaración: </w:t>
      </w:r>
    </w:p>
    <w:p w14:paraId="7EA559B0" w14:textId="77777777" w:rsidR="005A7B7D" w:rsidRPr="009D34ED" w:rsidRDefault="005A7B7D" w:rsidP="005A7B7D">
      <w:pPr>
        <w:ind w:left="709" w:right="474"/>
        <w:jc w:val="both"/>
        <w:rPr>
          <w:rFonts w:ascii="Arial" w:eastAsia="Calibri" w:hAnsi="Arial" w:cs="Arial"/>
          <w:bCs/>
          <w:i/>
          <w:iCs/>
          <w:sz w:val="20"/>
          <w:szCs w:val="20"/>
        </w:rPr>
      </w:pPr>
    </w:p>
    <w:p w14:paraId="5835DE46" w14:textId="64855256" w:rsidR="003D1E4F" w:rsidRPr="009D34ED" w:rsidRDefault="005A7B7D" w:rsidP="005A7B7D">
      <w:pPr>
        <w:ind w:left="709" w:right="474"/>
        <w:jc w:val="both"/>
        <w:rPr>
          <w:rFonts w:ascii="Arial" w:eastAsia="Calibri" w:hAnsi="Arial" w:cs="Arial"/>
          <w:bCs/>
          <w:i/>
          <w:iCs/>
          <w:sz w:val="20"/>
          <w:szCs w:val="20"/>
        </w:rPr>
      </w:pPr>
      <w:r w:rsidRPr="009D34ED">
        <w:rPr>
          <w:rFonts w:ascii="Arial" w:eastAsia="Calibri" w:hAnsi="Arial" w:cs="Arial"/>
          <w:bCs/>
          <w:i/>
          <w:iCs/>
          <w:sz w:val="20"/>
          <w:szCs w:val="20"/>
        </w:rPr>
        <w:t>1. ¿Si la información para renovar el Registro Único de Proponentes (RUP) no es aportada con la propuesta, es susceptible de subsanación por tratarse de un requisito que no afecta la asignación de puntaje en los términos del Parágrafo 1o del Artículo 5 de la Ley 1882 de 2018? o ¿Es causal de rechazo de plano?</w:t>
      </w:r>
      <w:r w:rsidR="003D1E4F" w:rsidRPr="009D34ED">
        <w:rPr>
          <w:rFonts w:ascii="Arial" w:eastAsia="Calibri" w:hAnsi="Arial" w:cs="Arial"/>
          <w:sz w:val="21"/>
          <w:szCs w:val="21"/>
          <w:lang w:val="es-ES"/>
        </w:rPr>
        <w:t>»</w:t>
      </w:r>
    </w:p>
    <w:p w14:paraId="42EEC4E9" w14:textId="38A68E90" w:rsidR="00B90E5C" w:rsidRPr="009D34ED" w:rsidRDefault="00B90E5C" w:rsidP="003D1E4F">
      <w:pPr>
        <w:ind w:left="709" w:right="618"/>
        <w:jc w:val="both"/>
        <w:rPr>
          <w:rFonts w:ascii="Arial" w:eastAsia="Calibri" w:hAnsi="Arial" w:cs="Arial"/>
          <w:sz w:val="21"/>
          <w:szCs w:val="21"/>
        </w:rPr>
      </w:pPr>
      <w:r w:rsidRPr="009D34ED">
        <w:rPr>
          <w:rFonts w:ascii="Arial" w:eastAsia="Calibri" w:hAnsi="Arial" w:cs="Arial"/>
          <w:sz w:val="21"/>
          <w:szCs w:val="21"/>
        </w:rPr>
        <w:t xml:space="preserve"> </w:t>
      </w:r>
    </w:p>
    <w:p w14:paraId="4E503962" w14:textId="4417360C" w:rsidR="00254ED5" w:rsidRPr="009D34ED" w:rsidRDefault="00362C92" w:rsidP="00254ED5">
      <w:pPr>
        <w:tabs>
          <w:tab w:val="left" w:pos="0"/>
        </w:tabs>
        <w:spacing w:after="120" w:line="276" w:lineRule="auto"/>
        <w:jc w:val="both"/>
        <w:rPr>
          <w:rFonts w:ascii="Arial" w:hAnsi="Arial" w:cs="Arial"/>
          <w:color w:val="000000" w:themeColor="text1"/>
          <w:sz w:val="22"/>
        </w:rPr>
      </w:pPr>
      <w:bookmarkStart w:id="42" w:name="_Hlk99798017"/>
      <w:r w:rsidRPr="009D34ED">
        <w:rPr>
          <w:rFonts w:ascii="Arial" w:hAnsi="Arial" w:cs="Arial"/>
          <w:sz w:val="22"/>
        </w:rPr>
        <w:t xml:space="preserve">La </w:t>
      </w:r>
      <w:r w:rsidR="005A7B7D" w:rsidRPr="009D34ED">
        <w:rPr>
          <w:rFonts w:ascii="Arial" w:hAnsi="Arial" w:cs="Arial"/>
          <w:sz w:val="22"/>
        </w:rPr>
        <w:t>causal de rechazo</w:t>
      </w:r>
      <w:r w:rsidRPr="009D34ED">
        <w:rPr>
          <w:rFonts w:ascii="Arial" w:hAnsi="Arial" w:cs="Arial"/>
          <w:sz w:val="22"/>
        </w:rPr>
        <w:t xml:space="preserve"> del literal F del numeral 1.15 del documento base d</w:t>
      </w:r>
      <w:r w:rsidR="005A7B7D" w:rsidRPr="009D34ED">
        <w:rPr>
          <w:rFonts w:ascii="Arial" w:hAnsi="Arial" w:cs="Arial"/>
          <w:sz w:val="22"/>
        </w:rPr>
        <w:t>ebe interpretarse razonablemente de conformidad con el marco jurídico analizado respecto al trámite de renovación, cuyo régimen quedó expuesto en detalle</w:t>
      </w:r>
      <w:r w:rsidRPr="009D34ED">
        <w:rPr>
          <w:rFonts w:ascii="Arial" w:hAnsi="Arial" w:cs="Arial"/>
          <w:sz w:val="22"/>
        </w:rPr>
        <w:t xml:space="preserve"> en las consideraciones de este concepto</w:t>
      </w:r>
      <w:r w:rsidR="005A7B7D" w:rsidRPr="009D34ED">
        <w:rPr>
          <w:rFonts w:ascii="Arial" w:hAnsi="Arial" w:cs="Arial"/>
          <w:sz w:val="22"/>
        </w:rPr>
        <w:t xml:space="preserve">. En </w:t>
      </w:r>
      <w:r w:rsidRPr="009D34ED">
        <w:rPr>
          <w:rFonts w:ascii="Arial" w:hAnsi="Arial" w:cs="Arial"/>
          <w:sz w:val="22"/>
        </w:rPr>
        <w:t>efecto</w:t>
      </w:r>
      <w:r w:rsidR="005A7B7D" w:rsidRPr="009D34ED">
        <w:rPr>
          <w:rFonts w:ascii="Arial" w:hAnsi="Arial" w:cs="Arial"/>
          <w:sz w:val="22"/>
        </w:rPr>
        <w:t xml:space="preserve">, esta causal de rechazo aplica en los supuestos en que el proponente al momento del cierre del proceso no tenga un RUP vigente y en firme, de ahí que conforme a las disposiciones estudiadas con anterioridad se deba rechazar al proponente que no cumpla con el deber establecido en el artículo </w:t>
      </w:r>
      <w:r w:rsidR="005A7B7D" w:rsidRPr="009D34ED">
        <w:rPr>
          <w:rFonts w:ascii="Arial" w:eastAsia="Calibri" w:hAnsi="Arial" w:cs="Arial"/>
          <w:color w:val="000000" w:themeColor="text1"/>
          <w:sz w:val="22"/>
        </w:rPr>
        <w:t xml:space="preserve">2.2.1.1.1.5.1. del decreto 1082, esto es, que no haya presentado </w:t>
      </w:r>
      <w:r w:rsidR="00AC58E9" w:rsidRPr="009D34ED">
        <w:rPr>
          <w:rFonts w:ascii="Arial" w:eastAsia="Calibri" w:hAnsi="Arial" w:cs="Arial"/>
          <w:color w:val="000000" w:themeColor="text1"/>
          <w:sz w:val="22"/>
        </w:rPr>
        <w:t xml:space="preserve">ante la cámara de comercio respectiva </w:t>
      </w:r>
      <w:r w:rsidR="005A7B7D" w:rsidRPr="009D34ED">
        <w:rPr>
          <w:rFonts w:ascii="Arial" w:eastAsia="Calibri" w:hAnsi="Arial" w:cs="Arial"/>
          <w:color w:val="000000" w:themeColor="text1"/>
          <w:sz w:val="22"/>
        </w:rPr>
        <w:t xml:space="preserve">la información para renovar el RUP a </w:t>
      </w:r>
      <w:r w:rsidR="005A7B7D" w:rsidRPr="009D34ED">
        <w:rPr>
          <w:rFonts w:ascii="Arial" w:hAnsi="Arial" w:cs="Arial"/>
          <w:color w:val="000000" w:themeColor="text1"/>
          <w:sz w:val="22"/>
        </w:rPr>
        <w:t>más tardar el quinto día hábil del mes de abril de cada año.</w:t>
      </w:r>
    </w:p>
    <w:p w14:paraId="6C821337" w14:textId="4FDB4C3A" w:rsidR="00254ED5" w:rsidRPr="009D34ED" w:rsidRDefault="00254ED5" w:rsidP="00254ED5">
      <w:pPr>
        <w:tabs>
          <w:tab w:val="left" w:pos="0"/>
        </w:tabs>
        <w:spacing w:after="120" w:line="276" w:lineRule="auto"/>
        <w:ind w:firstLine="709"/>
        <w:jc w:val="both"/>
        <w:rPr>
          <w:rFonts w:ascii="Arial" w:hAnsi="Arial" w:cs="Arial"/>
          <w:bCs/>
          <w:color w:val="000000" w:themeColor="text1"/>
          <w:sz w:val="22"/>
        </w:rPr>
      </w:pPr>
      <w:r w:rsidRPr="009D34ED">
        <w:rPr>
          <w:rFonts w:ascii="Arial" w:hAnsi="Arial" w:cs="Arial"/>
          <w:bCs/>
          <w:color w:val="000000" w:themeColor="text1"/>
          <w:sz w:val="22"/>
        </w:rPr>
        <w:lastRenderedPageBreak/>
        <w:t xml:space="preserve">Cabe resaltar que la información para renovar el RUP debe ser presentada ante la cámara de comercio respectiva encargadas de este trámite. Por </w:t>
      </w:r>
      <w:r w:rsidR="008B5273" w:rsidRPr="009D34ED">
        <w:rPr>
          <w:rFonts w:ascii="Arial" w:hAnsi="Arial" w:cs="Arial"/>
          <w:bCs/>
          <w:color w:val="000000" w:themeColor="text1"/>
          <w:sz w:val="22"/>
        </w:rPr>
        <w:t>ello,</w:t>
      </w:r>
      <w:r w:rsidRPr="009D34ED">
        <w:rPr>
          <w:rFonts w:ascii="Arial" w:hAnsi="Arial" w:cs="Arial"/>
          <w:bCs/>
          <w:color w:val="000000" w:themeColor="text1"/>
          <w:sz w:val="22"/>
        </w:rPr>
        <w:t xml:space="preserve"> para </w:t>
      </w:r>
      <w:r w:rsidR="008B5273" w:rsidRPr="009D34ED">
        <w:rPr>
          <w:rFonts w:ascii="Arial" w:hAnsi="Arial" w:cs="Arial"/>
          <w:bCs/>
          <w:color w:val="000000" w:themeColor="text1"/>
          <w:sz w:val="22"/>
        </w:rPr>
        <w:t>la aplicación</w:t>
      </w:r>
      <w:r w:rsidRPr="009D34ED">
        <w:rPr>
          <w:rFonts w:ascii="Arial" w:hAnsi="Arial" w:cs="Arial"/>
          <w:bCs/>
          <w:color w:val="000000" w:themeColor="text1"/>
          <w:sz w:val="22"/>
        </w:rPr>
        <w:t xml:space="preserve"> de la causal de rechazo del literal F, la entidad deberá verificar que los efectos del RUP no han cesado, por lo que es necesario que el certificado contenga la anotación de que el inscrito, a más tardar el quinto día hábil de abril de cada año,</w:t>
      </w:r>
      <w:r w:rsidRPr="009D34ED" w:rsidDel="00B14FC4">
        <w:rPr>
          <w:rFonts w:ascii="Arial" w:hAnsi="Arial" w:cs="Arial"/>
          <w:bCs/>
          <w:color w:val="000000" w:themeColor="text1"/>
          <w:sz w:val="22"/>
        </w:rPr>
        <w:t xml:space="preserve"> </w:t>
      </w:r>
      <w:r w:rsidRPr="009D34ED">
        <w:rPr>
          <w:rFonts w:ascii="Arial" w:hAnsi="Arial" w:cs="Arial"/>
          <w:bCs/>
          <w:color w:val="000000" w:themeColor="text1"/>
          <w:sz w:val="22"/>
        </w:rPr>
        <w:t>radicó ante la cámara de comercio los documentos para la renovación. En todo caso, si tal circunstancia no estuviere inscrita en el certificado, se podrá acreditar a través del medio documental expedido por la cámara de comercio correspondiente. Así, por no existir tarifa legal que permita establecer la forma de acreditar el trámite de renovación, la entidad estatal debe verificar que el documento aportado por el proponente ofrezca certeza sobre el estado del trámite.</w:t>
      </w:r>
    </w:p>
    <w:bookmarkEnd w:id="42"/>
    <w:p w14:paraId="7580586C" w14:textId="2634242B" w:rsidR="001C3345" w:rsidRPr="009D34ED" w:rsidRDefault="001C3345" w:rsidP="001C3345">
      <w:pPr>
        <w:tabs>
          <w:tab w:val="left" w:pos="0"/>
        </w:tabs>
        <w:spacing w:before="120" w:line="276" w:lineRule="auto"/>
        <w:ind w:firstLine="709"/>
        <w:jc w:val="both"/>
        <w:rPr>
          <w:rFonts w:ascii="Arial" w:eastAsia="Calibri" w:hAnsi="Arial" w:cs="Arial"/>
          <w:color w:val="000000" w:themeColor="text1"/>
          <w:sz w:val="22"/>
        </w:rPr>
      </w:pPr>
      <w:r w:rsidRPr="009D34ED">
        <w:rPr>
          <w:rFonts w:ascii="Arial" w:eastAsia="Calibri" w:hAnsi="Arial" w:cs="Arial"/>
          <w:color w:val="000000" w:themeColor="text1"/>
          <w:sz w:val="22"/>
        </w:rPr>
        <w:t>Así las cosas, cuando el proponente no presenta la información para el trámite de renovación en la cámara de comercio respectiva</w:t>
      </w:r>
      <w:r w:rsidR="00AC58E9" w:rsidRPr="009D34ED">
        <w:rPr>
          <w:rFonts w:ascii="Arial" w:eastAsia="Calibri" w:hAnsi="Arial" w:cs="Arial"/>
          <w:color w:val="000000" w:themeColor="text1"/>
          <w:sz w:val="22"/>
        </w:rPr>
        <w:t>,</w:t>
      </w:r>
      <w:r w:rsidRPr="009D34ED">
        <w:rPr>
          <w:rFonts w:ascii="Arial" w:eastAsia="Calibri" w:hAnsi="Arial" w:cs="Arial"/>
          <w:color w:val="000000" w:themeColor="text1"/>
          <w:sz w:val="22"/>
        </w:rPr>
        <w:t xml:space="preserve"> incumpliendo su deber de renovar el RUP a más tardar el quinto día hábil del mes de abril de cada año, o en la fecha que establezca la ley o el reglamento, no podrá participar en el proceso de contratación porque el RUP no se encuentra vigente y sus efectos han cesado, por lo que procede su rechazo con fundamento en el literal F del numeral 1.15 del documento base</w:t>
      </w:r>
      <w:r w:rsidR="00AD0C3A" w:rsidRPr="009D34ED">
        <w:rPr>
          <w:rFonts w:ascii="Arial" w:eastAsia="Calibri" w:hAnsi="Arial" w:cs="Arial"/>
          <w:color w:val="000000" w:themeColor="text1"/>
          <w:sz w:val="22"/>
        </w:rPr>
        <w:t xml:space="preserve">, de acuerdo con el desarrollo realizado en el numeral </w:t>
      </w:r>
      <w:r w:rsidR="009A220E" w:rsidRPr="009D34ED">
        <w:rPr>
          <w:rFonts w:ascii="Arial" w:eastAsia="Calibri" w:hAnsi="Arial" w:cs="Arial"/>
          <w:color w:val="000000" w:themeColor="text1"/>
          <w:sz w:val="22"/>
        </w:rPr>
        <w:t>2.9 de este concepto.</w:t>
      </w:r>
    </w:p>
    <w:p w14:paraId="5EEFC7E2" w14:textId="46C213DC" w:rsidR="005A7B7D" w:rsidRPr="009D34ED" w:rsidRDefault="005A7B7D" w:rsidP="008B5273">
      <w:pPr>
        <w:tabs>
          <w:tab w:val="left" w:pos="0"/>
        </w:tabs>
        <w:spacing w:line="276" w:lineRule="auto"/>
        <w:jc w:val="both"/>
        <w:rPr>
          <w:rFonts w:ascii="Arial" w:hAnsi="Arial" w:cs="Arial"/>
          <w:color w:val="000000" w:themeColor="text1"/>
          <w:sz w:val="22"/>
          <w:lang w:val="es-ES_tradnl"/>
        </w:rPr>
      </w:pPr>
    </w:p>
    <w:p w14:paraId="056816F7" w14:textId="73820B13" w:rsidR="00D40F8B" w:rsidRPr="00B7032A" w:rsidRDefault="00DD5B04" w:rsidP="00167D66">
      <w:pPr>
        <w:widowControl w:val="0"/>
        <w:autoSpaceDE w:val="0"/>
        <w:autoSpaceDN w:val="0"/>
        <w:spacing w:before="120" w:line="276" w:lineRule="auto"/>
        <w:jc w:val="both"/>
        <w:rPr>
          <w:rFonts w:ascii="Arial" w:hAnsi="Arial" w:cs="Arial"/>
          <w:sz w:val="22"/>
          <w:szCs w:val="22"/>
          <w:lang w:val="es-ES_tradnl" w:bidi="es-ES"/>
        </w:rPr>
      </w:pPr>
      <w:r w:rsidRPr="009D34ED">
        <w:rPr>
          <w:rFonts w:ascii="Arial" w:hAnsi="Arial" w:cs="Arial"/>
          <w:color w:val="000000" w:themeColor="text1"/>
          <w:sz w:val="22"/>
          <w:szCs w:val="22"/>
          <w:lang w:val="es-ES_tradnl"/>
        </w:rPr>
        <w:t>Este concepto tiene el alcance previsto en el</w:t>
      </w:r>
      <w:r w:rsidRPr="00B7032A">
        <w:rPr>
          <w:rFonts w:ascii="Arial" w:hAnsi="Arial" w:cs="Arial"/>
          <w:color w:val="000000" w:themeColor="text1"/>
          <w:sz w:val="22"/>
          <w:szCs w:val="22"/>
          <w:lang w:val="es-ES_tradnl"/>
        </w:rPr>
        <w:t xml:space="preserve"> </w:t>
      </w:r>
      <w:r w:rsidRPr="00B7032A">
        <w:rPr>
          <w:rFonts w:ascii="Arial" w:hAnsi="Arial" w:cs="Arial"/>
          <w:color w:val="000000" w:themeColor="text1"/>
          <w:sz w:val="22"/>
          <w:szCs w:val="22"/>
          <w:lang w:val="es-ES_tradnl"/>
        </w:rPr>
        <w:t>artículo 28 del</w:t>
      </w:r>
      <w:r w:rsidRPr="00B7032A">
        <w:rPr>
          <w:rFonts w:ascii="Arial" w:hAnsi="Arial" w:cs="Arial"/>
          <w:color w:val="000000" w:themeColor="text1"/>
          <w:sz w:val="22"/>
          <w:lang w:val="es-ES_tradnl"/>
        </w:rPr>
        <w:t xml:space="preserve"> Código de Procedimiento Administrativo y de</w:t>
      </w:r>
      <w:r w:rsidR="00D40F8B" w:rsidRPr="00B7032A">
        <w:rPr>
          <w:rFonts w:ascii="Arial" w:hAnsi="Arial" w:cs="Arial"/>
          <w:color w:val="000000" w:themeColor="text1"/>
          <w:sz w:val="22"/>
          <w:lang w:val="es-ES_tradnl"/>
        </w:rPr>
        <w:t xml:space="preserve"> lo Contencioso Administrativo.</w:t>
      </w:r>
    </w:p>
    <w:p w14:paraId="6F54E9C9" w14:textId="77777777" w:rsidR="00003233" w:rsidRPr="00B7032A" w:rsidRDefault="00003233" w:rsidP="00D40F8B">
      <w:pPr>
        <w:spacing w:before="120" w:line="276" w:lineRule="auto"/>
        <w:jc w:val="both"/>
        <w:rPr>
          <w:rFonts w:ascii="Arial" w:hAnsi="Arial" w:cs="Arial"/>
          <w:color w:val="000000" w:themeColor="text1"/>
          <w:sz w:val="22"/>
          <w:lang w:val="es-ES_tradnl"/>
        </w:rPr>
      </w:pPr>
    </w:p>
    <w:p w14:paraId="349855C9" w14:textId="4E2C915B" w:rsidR="00D40F8B" w:rsidRPr="00B7032A" w:rsidRDefault="00861F0F"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B7032A">
        <w:rPr>
          <w:rFonts w:ascii="Arial" w:hAnsi="Arial" w:cs="Arial"/>
          <w:color w:val="000000" w:themeColor="text1"/>
          <w:sz w:val="22"/>
          <w:szCs w:val="22"/>
          <w:lang w:val="es-ES_tradnl"/>
        </w:rPr>
        <w:t>Atentamente,</w:t>
      </w:r>
    </w:p>
    <w:p w14:paraId="10A1E411" w14:textId="59A9BFED" w:rsidR="00D40F8B" w:rsidRPr="00B7032A" w:rsidRDefault="00E6292B" w:rsidP="00003233">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rPr>
        <w:drawing>
          <wp:inline distT="0" distB="0" distL="0" distR="0" wp14:anchorId="6034DE4F" wp14:editId="67415629">
            <wp:extent cx="2518154" cy="1116000"/>
            <wp:effectExtent l="0" t="0" r="0" b="1905"/>
            <wp:docPr id="1881124724" name="Imagen 188112472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2518154" cy="1116000"/>
                    </a:xfrm>
                    <a:prstGeom prst="rect">
                      <a:avLst/>
                    </a:prstGeom>
                  </pic:spPr>
                </pic:pic>
              </a:graphicData>
            </a:graphic>
          </wp:inline>
        </w:drawing>
      </w:r>
    </w:p>
    <w:p w14:paraId="1ED13883" w14:textId="77777777" w:rsidR="00003233" w:rsidRPr="00B7032A" w:rsidRDefault="00003233" w:rsidP="00003233">
      <w:pPr>
        <w:pStyle w:val="NormalWeb"/>
        <w:spacing w:before="0" w:beforeAutospacing="0" w:after="0" w:afterAutospacing="0" w:line="276" w:lineRule="auto"/>
        <w:rPr>
          <w:rFonts w:ascii="Arial" w:hAnsi="Arial" w:cs="Arial"/>
          <w:color w:val="000000" w:themeColor="text1"/>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B7032A" w14:paraId="0C7DC5F7" w14:textId="77777777" w:rsidTr="00D40F8B">
        <w:trPr>
          <w:trHeight w:val="160"/>
        </w:trPr>
        <w:tc>
          <w:tcPr>
            <w:tcW w:w="812" w:type="dxa"/>
            <w:vAlign w:val="center"/>
            <w:hideMark/>
          </w:tcPr>
          <w:p w14:paraId="5BDB1AC9" w14:textId="77777777" w:rsidR="00DD5B04" w:rsidRPr="00B7032A" w:rsidRDefault="00DD5B04" w:rsidP="00DF76A2">
            <w:pPr>
              <w:jc w:val="both"/>
              <w:rPr>
                <w:rFonts w:ascii="Arial" w:hAnsi="Arial" w:cs="Arial"/>
                <w:color w:val="000000" w:themeColor="text1"/>
                <w:sz w:val="16"/>
                <w:szCs w:val="16"/>
                <w:lang w:val="es-ES_tradnl" w:eastAsia="es-ES"/>
              </w:rPr>
            </w:pPr>
            <w:r w:rsidRPr="00B7032A">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6E181913" w:rsidR="00DD5B04" w:rsidRPr="00B7032A" w:rsidRDefault="00F412DF" w:rsidP="00DF76A2">
            <w:pPr>
              <w:jc w:val="both"/>
              <w:rPr>
                <w:rFonts w:ascii="Arial" w:hAnsi="Arial" w:cs="Arial"/>
                <w:color w:val="000000" w:themeColor="text1"/>
                <w:sz w:val="16"/>
                <w:szCs w:val="16"/>
                <w:lang w:val="es-ES_tradnl" w:eastAsia="es-ES"/>
              </w:rPr>
            </w:pPr>
            <w:r w:rsidRPr="00B7032A">
              <w:rPr>
                <w:rFonts w:ascii="Arial" w:hAnsi="Arial" w:cs="Arial"/>
                <w:color w:val="000000" w:themeColor="text1"/>
                <w:sz w:val="16"/>
                <w:szCs w:val="16"/>
                <w:lang w:val="es-ES_tradnl" w:eastAsia="es-ES"/>
              </w:rPr>
              <w:t>Tatiana Baquero Iguarán</w:t>
            </w:r>
          </w:p>
          <w:p w14:paraId="240C71FD" w14:textId="31312C95" w:rsidR="00DD5B04" w:rsidRPr="00B7032A" w:rsidRDefault="00DD5B04" w:rsidP="00DF76A2">
            <w:pPr>
              <w:jc w:val="both"/>
              <w:rPr>
                <w:rFonts w:ascii="Arial" w:hAnsi="Arial" w:cs="Arial"/>
                <w:color w:val="000000" w:themeColor="text1"/>
                <w:sz w:val="16"/>
                <w:szCs w:val="16"/>
                <w:lang w:val="es-ES_tradnl" w:eastAsia="es-ES"/>
              </w:rPr>
            </w:pPr>
            <w:r w:rsidRPr="00B7032A">
              <w:rPr>
                <w:rFonts w:ascii="Arial" w:hAnsi="Arial" w:cs="Arial"/>
                <w:color w:val="000000" w:themeColor="text1"/>
                <w:sz w:val="16"/>
                <w:szCs w:val="16"/>
                <w:lang w:val="es-ES_tradnl" w:eastAsia="es-ES"/>
              </w:rPr>
              <w:t>Contratista</w:t>
            </w:r>
            <w:r w:rsidR="00FF0050" w:rsidRPr="00B7032A">
              <w:rPr>
                <w:rFonts w:ascii="Arial" w:hAnsi="Arial" w:cs="Arial"/>
                <w:color w:val="000000" w:themeColor="text1"/>
                <w:sz w:val="16"/>
                <w:szCs w:val="16"/>
                <w:lang w:val="es-ES_tradnl" w:eastAsia="es-ES"/>
              </w:rPr>
              <w:t xml:space="preserve"> de la </w:t>
            </w:r>
            <w:r w:rsidRPr="00B7032A">
              <w:rPr>
                <w:rFonts w:ascii="Arial" w:hAnsi="Arial" w:cs="Arial"/>
                <w:color w:val="000000" w:themeColor="text1"/>
                <w:sz w:val="16"/>
                <w:szCs w:val="16"/>
                <w:lang w:val="es-ES_tradnl" w:eastAsia="es-ES"/>
              </w:rPr>
              <w:t>Subdirección de Gestión Contractual</w:t>
            </w:r>
          </w:p>
        </w:tc>
      </w:tr>
      <w:tr w:rsidR="00DD5B04" w:rsidRPr="00B7032A" w14:paraId="2F8FD650" w14:textId="77777777" w:rsidTr="00D15356">
        <w:trPr>
          <w:trHeight w:val="330"/>
        </w:trPr>
        <w:tc>
          <w:tcPr>
            <w:tcW w:w="812" w:type="dxa"/>
            <w:vAlign w:val="center"/>
            <w:hideMark/>
          </w:tcPr>
          <w:p w14:paraId="50203A0B" w14:textId="77777777" w:rsidR="00DD5B04" w:rsidRPr="00B7032A" w:rsidRDefault="00DD5B04" w:rsidP="00DF76A2">
            <w:pPr>
              <w:jc w:val="both"/>
              <w:rPr>
                <w:rFonts w:ascii="Arial" w:hAnsi="Arial" w:cs="Arial"/>
                <w:color w:val="000000" w:themeColor="text1"/>
                <w:sz w:val="16"/>
                <w:szCs w:val="16"/>
                <w:lang w:val="es-ES_tradnl" w:eastAsia="es-ES"/>
              </w:rPr>
            </w:pPr>
            <w:r w:rsidRPr="00B7032A">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D54785F" w14:textId="56E4F8E4" w:rsidR="00B17563" w:rsidRPr="00B7032A" w:rsidRDefault="00094959" w:rsidP="00F412DF">
            <w:pPr>
              <w:jc w:val="both"/>
              <w:rPr>
                <w:rFonts w:ascii="Arial" w:hAnsi="Arial" w:cs="Arial"/>
                <w:color w:val="000000" w:themeColor="text1"/>
                <w:sz w:val="16"/>
                <w:szCs w:val="16"/>
                <w:lang w:val="es-ES_tradnl" w:eastAsia="es-ES"/>
              </w:rPr>
            </w:pPr>
            <w:r w:rsidRPr="00B7032A">
              <w:rPr>
                <w:rFonts w:ascii="Arial" w:hAnsi="Arial" w:cs="Arial"/>
                <w:color w:val="000000" w:themeColor="text1"/>
                <w:sz w:val="16"/>
                <w:szCs w:val="16"/>
                <w:lang w:val="es-ES_tradnl" w:eastAsia="es-ES"/>
              </w:rPr>
              <w:t>Sebastián Ramírez Grisales</w:t>
            </w:r>
          </w:p>
          <w:p w14:paraId="130B3228" w14:textId="56DC9CC4" w:rsidR="00DD5B04" w:rsidRPr="00B7032A" w:rsidRDefault="00847744" w:rsidP="00F412DF">
            <w:pPr>
              <w:jc w:val="both"/>
              <w:rPr>
                <w:rFonts w:ascii="Arial" w:hAnsi="Arial" w:cs="Arial"/>
                <w:color w:val="000000" w:themeColor="text1"/>
                <w:sz w:val="16"/>
                <w:szCs w:val="16"/>
                <w:lang w:val="es-ES_tradnl" w:eastAsia="es-ES"/>
              </w:rPr>
            </w:pPr>
            <w:r w:rsidRPr="00B7032A">
              <w:rPr>
                <w:rFonts w:ascii="Arial" w:hAnsi="Arial" w:cs="Arial"/>
                <w:color w:val="000000"/>
                <w:sz w:val="16"/>
                <w:szCs w:val="16"/>
                <w:shd w:val="clear" w:color="auto" w:fill="FFFFFF"/>
              </w:rPr>
              <w:t>Contratista</w:t>
            </w:r>
            <w:r w:rsidR="00F412DF" w:rsidRPr="00B7032A">
              <w:rPr>
                <w:rFonts w:ascii="Arial" w:hAnsi="Arial" w:cs="Arial"/>
                <w:color w:val="000000"/>
                <w:sz w:val="16"/>
                <w:szCs w:val="16"/>
                <w:shd w:val="clear" w:color="auto" w:fill="FFFFFF"/>
              </w:rPr>
              <w:t xml:space="preserve"> de la </w:t>
            </w:r>
            <w:r w:rsidR="00F412DF" w:rsidRPr="00B7032A">
              <w:rPr>
                <w:rFonts w:ascii="Arial" w:hAnsi="Arial" w:cs="Arial"/>
                <w:color w:val="000000" w:themeColor="text1"/>
                <w:sz w:val="16"/>
                <w:szCs w:val="16"/>
                <w:lang w:val="es-ES" w:eastAsia="es-ES"/>
              </w:rPr>
              <w:t>Subdirección de Gestión Contractual</w:t>
            </w:r>
          </w:p>
        </w:tc>
      </w:tr>
      <w:tr w:rsidR="00DD5B04" w:rsidRPr="00B7032A" w14:paraId="0FCBCA4A" w14:textId="77777777" w:rsidTr="00D15356">
        <w:trPr>
          <w:trHeight w:val="300"/>
        </w:trPr>
        <w:tc>
          <w:tcPr>
            <w:tcW w:w="812" w:type="dxa"/>
            <w:vAlign w:val="center"/>
            <w:hideMark/>
          </w:tcPr>
          <w:p w14:paraId="3C1D943A" w14:textId="77777777" w:rsidR="00DD5B04" w:rsidRPr="00B7032A" w:rsidRDefault="00DD5B04" w:rsidP="00DF76A2">
            <w:pPr>
              <w:jc w:val="both"/>
              <w:rPr>
                <w:rFonts w:ascii="Arial" w:hAnsi="Arial" w:cs="Arial"/>
                <w:color w:val="000000" w:themeColor="text1"/>
                <w:sz w:val="16"/>
                <w:szCs w:val="16"/>
                <w:lang w:val="es-ES_tradnl" w:eastAsia="es-ES"/>
              </w:rPr>
            </w:pPr>
            <w:r w:rsidRPr="00B7032A">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B7032A" w:rsidRDefault="00C05A61" w:rsidP="00DF76A2">
            <w:pPr>
              <w:jc w:val="both"/>
              <w:rPr>
                <w:rFonts w:ascii="Arial" w:hAnsi="Arial" w:cs="Arial"/>
                <w:color w:val="000000" w:themeColor="text1"/>
                <w:sz w:val="16"/>
                <w:szCs w:val="16"/>
                <w:lang w:val="es-ES_tradnl" w:eastAsia="es-ES"/>
              </w:rPr>
            </w:pPr>
            <w:r w:rsidRPr="00B7032A">
              <w:rPr>
                <w:rFonts w:ascii="Arial" w:hAnsi="Arial" w:cs="Arial"/>
                <w:color w:val="000000" w:themeColor="text1"/>
                <w:sz w:val="16"/>
                <w:szCs w:val="16"/>
                <w:lang w:val="es-ES_tradnl" w:eastAsia="es-ES"/>
              </w:rPr>
              <w:t xml:space="preserve">Jorge </w:t>
            </w:r>
            <w:r w:rsidR="00647A36" w:rsidRPr="00B7032A">
              <w:rPr>
                <w:rFonts w:ascii="Arial" w:hAnsi="Arial" w:cs="Arial"/>
                <w:color w:val="000000" w:themeColor="text1"/>
                <w:sz w:val="16"/>
                <w:szCs w:val="16"/>
                <w:lang w:val="es-ES_tradnl" w:eastAsia="es-ES"/>
              </w:rPr>
              <w:t xml:space="preserve">Augusto </w:t>
            </w:r>
            <w:r w:rsidRPr="00B7032A">
              <w:rPr>
                <w:rFonts w:ascii="Arial" w:hAnsi="Arial" w:cs="Arial"/>
                <w:color w:val="000000" w:themeColor="text1"/>
                <w:sz w:val="16"/>
                <w:szCs w:val="16"/>
                <w:lang w:val="es-ES_tradnl" w:eastAsia="es-ES"/>
              </w:rPr>
              <w:t>Tirado Navarro</w:t>
            </w:r>
          </w:p>
          <w:p w14:paraId="1ADC483B" w14:textId="2EC8CC51" w:rsidR="00DD5B04" w:rsidRPr="00B7032A" w:rsidRDefault="00DD5B04" w:rsidP="00DF76A2">
            <w:pPr>
              <w:jc w:val="both"/>
              <w:rPr>
                <w:rFonts w:ascii="Arial" w:hAnsi="Arial" w:cs="Arial"/>
                <w:color w:val="000000" w:themeColor="text1"/>
                <w:sz w:val="16"/>
                <w:szCs w:val="16"/>
                <w:lang w:val="es-ES_tradnl" w:eastAsia="es-ES"/>
              </w:rPr>
            </w:pPr>
            <w:r w:rsidRPr="00B7032A">
              <w:rPr>
                <w:rFonts w:ascii="Arial" w:hAnsi="Arial" w:cs="Arial"/>
                <w:color w:val="000000" w:themeColor="text1"/>
                <w:sz w:val="16"/>
                <w:szCs w:val="16"/>
                <w:lang w:val="es-ES_tradnl" w:eastAsia="es-ES"/>
              </w:rPr>
              <w:t>Subdirector de Gestión Contractual</w:t>
            </w:r>
            <w:r w:rsidR="00973AA2" w:rsidRPr="00B7032A">
              <w:rPr>
                <w:rFonts w:ascii="Arial" w:hAnsi="Arial" w:cs="Arial"/>
                <w:color w:val="000000" w:themeColor="text1"/>
                <w:sz w:val="16"/>
                <w:szCs w:val="16"/>
                <w:lang w:val="es-ES_tradnl" w:eastAsia="es-ES"/>
              </w:rPr>
              <w:t xml:space="preserve"> </w:t>
            </w:r>
            <w:r w:rsidR="00973AA2" w:rsidRPr="00B7032A">
              <w:rPr>
                <w:rFonts w:ascii="Arial" w:hAnsi="Arial" w:cs="Arial"/>
                <w:color w:val="000000" w:themeColor="text1"/>
                <w:sz w:val="16"/>
                <w:szCs w:val="16"/>
                <w:lang w:eastAsia="es-ES"/>
              </w:rPr>
              <w:t>ANCP – CCE</w:t>
            </w:r>
          </w:p>
        </w:tc>
      </w:tr>
    </w:tbl>
    <w:p w14:paraId="62A9C657" w14:textId="77777777" w:rsidR="00453A53" w:rsidRPr="00B7032A" w:rsidRDefault="00453A53" w:rsidP="00215B8E">
      <w:pPr>
        <w:jc w:val="both"/>
        <w:rPr>
          <w:rFonts w:ascii="Arial" w:hAnsi="Arial" w:cs="Arial"/>
          <w:lang w:val="es-ES_tradnl"/>
        </w:rPr>
      </w:pPr>
    </w:p>
    <w:p w14:paraId="3F7284BE" w14:textId="3AD023D9" w:rsidR="008351F8" w:rsidRPr="00B7032A" w:rsidRDefault="008351F8" w:rsidP="00215B8E">
      <w:pPr>
        <w:jc w:val="both"/>
        <w:rPr>
          <w:rFonts w:ascii="Arial" w:hAnsi="Arial" w:cs="Arial"/>
          <w:lang w:val="es-ES_tradnl"/>
        </w:rPr>
      </w:pPr>
    </w:p>
    <w:bookmarkEnd w:id="2"/>
    <w:p w14:paraId="4D3D318F" w14:textId="77777777" w:rsidR="00FC710F" w:rsidRPr="00B7032A" w:rsidRDefault="00FC710F">
      <w:pPr>
        <w:jc w:val="both"/>
        <w:rPr>
          <w:rFonts w:ascii="Arial" w:hAnsi="Arial" w:cs="Arial"/>
          <w:lang w:val="es-ES_tradnl"/>
        </w:rPr>
      </w:pPr>
    </w:p>
    <w:sectPr w:rsidR="00FC710F" w:rsidRPr="00B7032A" w:rsidSect="00026B36">
      <w:headerReference w:type="default" r:id="rId17"/>
      <w:footerReference w:type="default" r:id="rId18"/>
      <w:pgSz w:w="12240" w:h="15840"/>
      <w:pgMar w:top="2041" w:right="1750"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FB4D8" w14:textId="77777777" w:rsidR="00470CB4" w:rsidRDefault="00470CB4">
      <w:r>
        <w:separator/>
      </w:r>
    </w:p>
  </w:endnote>
  <w:endnote w:type="continuationSeparator" w:id="0">
    <w:p w14:paraId="604D9186" w14:textId="77777777" w:rsidR="00470CB4" w:rsidRDefault="00470CB4">
      <w:r>
        <w:continuationSeparator/>
      </w:r>
    </w:p>
  </w:endnote>
  <w:endnote w:type="continuationNotice" w:id="1">
    <w:p w14:paraId="6CF6E59A" w14:textId="77777777" w:rsidR="00470CB4" w:rsidRDefault="00470C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Cambria Math">
    <w:panose1 w:val="02040503050406030204"/>
    <w:charset w:val="00"/>
    <w:family w:val="roman"/>
    <w:pitch w:val="variable"/>
    <w:sig w:usb0="E00006FF" w:usb1="420024FF" w:usb2="02000000" w:usb3="00000000" w:csb0="0000019F" w:csb1="00000000"/>
  </w:font>
  <w:font w:name="Arial,Calibri">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2EF28465" w:rsidR="00E2520A" w:rsidRPr="00EC6D8D" w:rsidRDefault="00E2520A" w:rsidP="00FE42ED">
    <w:pPr>
      <w:pStyle w:val="Piedepgina"/>
      <w:jc w:val="right"/>
      <w:rPr>
        <w:rFonts w:ascii="Arial" w:hAnsi="Arial" w:cs="Arial"/>
        <w:color w:val="7F7F7F"/>
        <w:sz w:val="16"/>
        <w:szCs w:val="16"/>
      </w:rPr>
    </w:pPr>
    <w:r w:rsidRPr="00EC6D8D">
      <w:rPr>
        <w:rFonts w:ascii="Arial" w:hAnsi="Arial" w:cs="Arial"/>
        <w:bCs/>
        <w:color w:val="7F7F7F"/>
        <w:sz w:val="16"/>
        <w:szCs w:val="16"/>
      </w:rPr>
      <w:t xml:space="preserve">Página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PAGE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r w:rsidRPr="00EC6D8D">
      <w:rPr>
        <w:rFonts w:ascii="Arial" w:hAnsi="Arial" w:cs="Arial"/>
        <w:color w:val="7F7F7F"/>
        <w:sz w:val="16"/>
        <w:szCs w:val="16"/>
      </w:rPr>
      <w:t xml:space="preserve"> de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NUMPAGES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p>
  <w:p w14:paraId="48FC6A04" w14:textId="5FD1A7C9" w:rsidR="00E2520A" w:rsidRDefault="00E2520A"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E2520A" w:rsidRDefault="00E2520A" w:rsidP="007B0854">
    <w:pPr>
      <w:pStyle w:val="Piedepgina"/>
      <w:jc w:val="center"/>
      <w:rPr>
        <w:lang w:val="es-ES"/>
      </w:rPr>
    </w:pPr>
  </w:p>
  <w:p w14:paraId="2CCD54A3" w14:textId="77777777" w:rsidR="00E2520A" w:rsidRDefault="00E252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06F2D" w14:textId="77777777" w:rsidR="00470CB4" w:rsidRDefault="00470CB4">
      <w:r>
        <w:separator/>
      </w:r>
    </w:p>
  </w:footnote>
  <w:footnote w:type="continuationSeparator" w:id="0">
    <w:p w14:paraId="48881968" w14:textId="77777777" w:rsidR="00470CB4" w:rsidRDefault="00470CB4">
      <w:r>
        <w:continuationSeparator/>
      </w:r>
    </w:p>
  </w:footnote>
  <w:footnote w:type="continuationNotice" w:id="1">
    <w:p w14:paraId="41D352F8" w14:textId="77777777" w:rsidR="00470CB4" w:rsidRDefault="00470CB4"/>
  </w:footnote>
  <w:footnote w:id="2">
    <w:p w14:paraId="6F8FBAE4" w14:textId="77777777" w:rsidR="007F2D1F" w:rsidRPr="00412A1B" w:rsidRDefault="007F2D1F" w:rsidP="00412A1B">
      <w:pPr>
        <w:pStyle w:val="Textonotapie"/>
        <w:ind w:firstLine="708"/>
        <w:jc w:val="both"/>
        <w:rPr>
          <w:rFonts w:ascii="Arial" w:hAnsi="Arial" w:cs="Arial"/>
          <w:sz w:val="19"/>
          <w:szCs w:val="19"/>
          <w:lang w:val="es-ES"/>
        </w:rPr>
      </w:pPr>
      <w:r w:rsidRPr="00412A1B">
        <w:rPr>
          <w:rStyle w:val="Refdenotaalpie"/>
          <w:rFonts w:ascii="Arial" w:hAnsi="Arial" w:cs="Arial"/>
          <w:sz w:val="19"/>
          <w:szCs w:val="19"/>
        </w:rPr>
        <w:footnoteRef/>
      </w:r>
      <w:r w:rsidRPr="00412A1B">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412A1B">
        <w:rPr>
          <w:rFonts w:ascii="Arial" w:hAnsi="Arial" w:cs="Arial"/>
          <w:i/>
          <w:iCs/>
          <w:sz w:val="19"/>
          <w:szCs w:val="19"/>
        </w:rPr>
        <w:t xml:space="preserve">ibidem </w:t>
      </w:r>
      <w:r w:rsidRPr="00412A1B">
        <w:rPr>
          <w:rFonts w:ascii="Arial" w:hAnsi="Arial" w:cs="Arial"/>
          <w:sz w:val="19"/>
          <w:szCs w:val="19"/>
        </w:rPr>
        <w:t>señala, de manera precisa, las funciones de Colombia Compra Eficiente. Concretamente, el numeral 5º de este artículo establece que le corresponde a esta entidad: «[a]</w:t>
      </w:r>
      <w:proofErr w:type="spellStart"/>
      <w:r w:rsidRPr="00412A1B">
        <w:rPr>
          <w:rFonts w:ascii="Arial" w:hAnsi="Arial" w:cs="Arial"/>
          <w:sz w:val="19"/>
          <w:szCs w:val="19"/>
        </w:rPr>
        <w:t>bsolver</w:t>
      </w:r>
      <w:proofErr w:type="spellEnd"/>
      <w:r w:rsidRPr="00412A1B">
        <w:rPr>
          <w:rFonts w:ascii="Arial" w:hAnsi="Arial" w:cs="Arial"/>
          <w:sz w:val="19"/>
          <w:szCs w:val="19"/>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412A1B">
        <w:rPr>
          <w:rFonts w:ascii="Arial" w:hAnsi="Arial" w:cs="Arial"/>
          <w:sz w:val="19"/>
          <w:szCs w:val="19"/>
        </w:rPr>
        <w:t>bsolver</w:t>
      </w:r>
      <w:proofErr w:type="spellEnd"/>
      <w:r w:rsidRPr="00412A1B">
        <w:rPr>
          <w:rFonts w:ascii="Arial" w:hAnsi="Arial" w:cs="Arial"/>
          <w:sz w:val="19"/>
          <w:szCs w:val="19"/>
        </w:rPr>
        <w:t xml:space="preserve"> consultas sobre la aplicación de normas de carácter general».</w:t>
      </w:r>
    </w:p>
  </w:footnote>
  <w:footnote w:id="3">
    <w:p w14:paraId="0D0F5268" w14:textId="1A604A89" w:rsidR="00437461" w:rsidRPr="00AE5764" w:rsidRDefault="00437461" w:rsidP="00AE5764">
      <w:pPr>
        <w:pStyle w:val="Textonotapie"/>
        <w:ind w:firstLine="709"/>
        <w:jc w:val="both"/>
        <w:rPr>
          <w:rFonts w:ascii="Arial" w:hAnsi="Arial" w:cs="Arial"/>
          <w:sz w:val="19"/>
          <w:szCs w:val="19"/>
          <w:lang w:val="es-CO"/>
        </w:rPr>
      </w:pPr>
      <w:r w:rsidRPr="00AE5764">
        <w:rPr>
          <w:rStyle w:val="Refdenotaalpie"/>
          <w:rFonts w:ascii="Arial" w:hAnsi="Arial" w:cs="Arial"/>
          <w:sz w:val="19"/>
          <w:szCs w:val="19"/>
        </w:rPr>
        <w:footnoteRef/>
      </w:r>
      <w:r w:rsidRPr="00AE5764">
        <w:rPr>
          <w:rFonts w:ascii="Arial" w:hAnsi="Arial" w:cs="Arial"/>
          <w:sz w:val="19"/>
          <w:szCs w:val="19"/>
        </w:rPr>
        <w:t xml:space="preserve"> </w:t>
      </w:r>
      <w:r w:rsidRPr="00AE5764">
        <w:rPr>
          <w:rFonts w:ascii="Arial" w:hAnsi="Arial" w:cs="Arial"/>
          <w:sz w:val="19"/>
          <w:szCs w:val="19"/>
          <w:lang w:val="es-CO"/>
        </w:rPr>
        <w:t xml:space="preserve">Estos conceptos pueden ser consultados en: </w:t>
      </w:r>
      <w:hyperlink r:id="rId1" w:history="1">
        <w:r w:rsidRPr="00AE5764">
          <w:rPr>
            <w:rStyle w:val="Hipervnculo"/>
            <w:rFonts w:ascii="Arial" w:hAnsi="Arial" w:cs="Arial"/>
            <w:color w:val="000000" w:themeColor="text1"/>
            <w:sz w:val="19"/>
            <w:szCs w:val="19"/>
            <w:lang w:val="es-CO"/>
          </w:rPr>
          <w:t>https://relatoria.colombiacompra.gov.co/busqueda/conceptos#</w:t>
        </w:r>
      </w:hyperlink>
      <w:r w:rsidRPr="00AE5764">
        <w:rPr>
          <w:rFonts w:ascii="Arial" w:hAnsi="Arial" w:cs="Arial"/>
          <w:sz w:val="19"/>
          <w:szCs w:val="19"/>
          <w:lang w:val="es-CO"/>
        </w:rPr>
        <w:t xml:space="preserve"> </w:t>
      </w:r>
    </w:p>
  </w:footnote>
  <w:footnote w:id="4">
    <w:p w14:paraId="34C1CBA5" w14:textId="77777777" w:rsidR="008C377F" w:rsidRPr="00412A1B" w:rsidRDefault="008C377F" w:rsidP="00412A1B">
      <w:pPr>
        <w:pStyle w:val="Textonotapie"/>
        <w:ind w:firstLine="708"/>
        <w:jc w:val="both"/>
        <w:rPr>
          <w:rFonts w:ascii="Arial" w:hAnsi="Arial" w:cs="Arial"/>
          <w:sz w:val="19"/>
          <w:szCs w:val="19"/>
        </w:rPr>
      </w:pPr>
      <w:r w:rsidRPr="00AE5764">
        <w:rPr>
          <w:rStyle w:val="Refdenotaalpie"/>
          <w:rFonts w:ascii="Arial" w:hAnsi="Arial" w:cs="Arial"/>
          <w:sz w:val="19"/>
          <w:szCs w:val="19"/>
        </w:rPr>
        <w:footnoteRef/>
      </w:r>
      <w:r w:rsidRPr="00AE5764">
        <w:rPr>
          <w:rFonts w:ascii="Arial" w:hAnsi="Arial" w:cs="Arial"/>
          <w:sz w:val="19"/>
          <w:szCs w:val="19"/>
        </w:rPr>
        <w:t xml:space="preserve"> </w:t>
      </w:r>
      <w:r w:rsidRPr="00412A1B">
        <w:rPr>
          <w:rFonts w:ascii="Arial" w:hAnsi="Arial" w:cs="Arial"/>
          <w:sz w:val="19"/>
          <w:szCs w:val="19"/>
          <w:lang w:val="es-CO"/>
        </w:rPr>
        <w:t xml:space="preserve">Ley 1882 de 2018: «Artículo 4. </w:t>
      </w:r>
      <w:r w:rsidRPr="00412A1B">
        <w:rPr>
          <w:rFonts w:ascii="Arial" w:hAnsi="Arial" w:cs="Arial"/>
          <w:b/>
          <w:bCs/>
          <w:sz w:val="19"/>
          <w:szCs w:val="19"/>
        </w:rPr>
        <w:t> </w:t>
      </w:r>
      <w:r w:rsidRPr="00412A1B">
        <w:rPr>
          <w:rFonts w:ascii="Arial" w:hAnsi="Arial" w:cs="Arial"/>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09AE5AE0" w14:textId="77777777" w:rsidR="008C377F" w:rsidRPr="00412A1B" w:rsidRDefault="008C377F" w:rsidP="00412A1B">
      <w:pPr>
        <w:pStyle w:val="Textonotapie"/>
        <w:ind w:firstLine="708"/>
        <w:jc w:val="both"/>
        <w:rPr>
          <w:rFonts w:ascii="Arial" w:hAnsi="Arial" w:cs="Arial"/>
          <w:sz w:val="19"/>
          <w:szCs w:val="19"/>
          <w:lang w:val="es-CO"/>
        </w:rPr>
      </w:pPr>
      <w:proofErr w:type="gramStart"/>
      <w:r w:rsidRPr="00412A1B">
        <w:rPr>
          <w:rFonts w:ascii="Arial" w:hAnsi="Arial" w:cs="Arial"/>
          <w:sz w:val="19"/>
          <w:szCs w:val="19"/>
          <w:lang w:val="es-CO"/>
        </w:rPr>
        <w:t>»La</w:t>
      </w:r>
      <w:proofErr w:type="gramEnd"/>
      <w:r w:rsidRPr="00412A1B">
        <w:rPr>
          <w:rFonts w:ascii="Arial" w:hAnsi="Arial" w:cs="Arial"/>
          <w:sz w:val="19"/>
          <w:szCs w:val="19"/>
          <w:lang w:val="es-CO"/>
        </w:rPr>
        <w:t xml:space="preserve"> facultad de adoptar documentos tipo la tendrá el Gobierno nacional, cuando lo considere necesario, en relación con otros contratos o procesos de selección.</w:t>
      </w:r>
    </w:p>
    <w:p w14:paraId="00E1065D" w14:textId="77777777" w:rsidR="008C377F" w:rsidRPr="00412A1B" w:rsidRDefault="008C377F" w:rsidP="00412A1B">
      <w:pPr>
        <w:pStyle w:val="Textonotapie"/>
        <w:ind w:firstLine="708"/>
        <w:jc w:val="both"/>
        <w:rPr>
          <w:rFonts w:ascii="Arial" w:hAnsi="Arial" w:cs="Arial"/>
          <w:sz w:val="19"/>
          <w:szCs w:val="19"/>
          <w:lang w:val="es-CO"/>
        </w:rPr>
      </w:pPr>
      <w:proofErr w:type="gramStart"/>
      <w:r w:rsidRPr="00412A1B">
        <w:rPr>
          <w:rFonts w:ascii="Arial" w:hAnsi="Arial" w:cs="Arial"/>
          <w:sz w:val="19"/>
          <w:szCs w:val="19"/>
          <w:lang w:val="es-CO"/>
        </w:rPr>
        <w:t>»Los</w:t>
      </w:r>
      <w:proofErr w:type="gramEnd"/>
      <w:r w:rsidRPr="00412A1B">
        <w:rPr>
          <w:rFonts w:ascii="Arial" w:hAnsi="Arial" w:cs="Arial"/>
          <w:sz w:val="19"/>
          <w:szCs w:val="19"/>
          <w:lang w:val="es-CO"/>
        </w:rPr>
        <w:t xml:space="preserve"> pliegos tipo se adoptarán por categorías de acuerdo con la cuantía de la contratación, según la reglamentación que expida el Gobierno nacional».</w:t>
      </w:r>
    </w:p>
    <w:p w14:paraId="53BDE019" w14:textId="77777777" w:rsidR="008C377F" w:rsidRPr="00AE5764" w:rsidRDefault="008C377F" w:rsidP="00412A1B">
      <w:pPr>
        <w:pStyle w:val="Textonotapie"/>
        <w:jc w:val="both"/>
        <w:rPr>
          <w:rFonts w:ascii="Arial" w:hAnsi="Arial" w:cs="Arial"/>
          <w:sz w:val="19"/>
          <w:szCs w:val="19"/>
          <w:lang w:val="es-CO"/>
        </w:rPr>
      </w:pPr>
    </w:p>
  </w:footnote>
  <w:footnote w:id="5">
    <w:p w14:paraId="364AEF68" w14:textId="77777777" w:rsidR="008C377F" w:rsidRPr="00412A1B" w:rsidRDefault="008C377F" w:rsidP="00412A1B">
      <w:pPr>
        <w:pStyle w:val="Textonotapie"/>
        <w:ind w:firstLine="709"/>
        <w:jc w:val="both"/>
        <w:rPr>
          <w:rFonts w:ascii="Arial" w:hAnsi="Arial" w:cs="Arial"/>
          <w:sz w:val="19"/>
          <w:szCs w:val="19"/>
        </w:rPr>
      </w:pPr>
      <w:r w:rsidRPr="00412A1B">
        <w:rPr>
          <w:rStyle w:val="Refdenotaalpie"/>
          <w:rFonts w:ascii="Arial" w:hAnsi="Arial" w:cs="Arial"/>
          <w:sz w:val="19"/>
          <w:szCs w:val="19"/>
        </w:rPr>
        <w:footnoteRef/>
      </w:r>
      <w:r w:rsidRPr="00412A1B">
        <w:rPr>
          <w:rFonts w:ascii="Arial" w:hAnsi="Arial" w:cs="Arial"/>
          <w:sz w:val="19"/>
          <w:szCs w:val="19"/>
        </w:rPr>
        <w:t xml:space="preserve"> El artículo 1 de la Ley 2022 de 2020 modifica el artículo 4 de la Ley 1882 de 2018, el cual adiciona el parágrafo 7 al artículo 2 de la Ley 1150 de 2007 y dispone que: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73CF434B" w14:textId="77777777" w:rsidR="008C377F" w:rsidRPr="00412A1B" w:rsidRDefault="008C377F" w:rsidP="00412A1B">
      <w:pPr>
        <w:pStyle w:val="Textonotapie"/>
        <w:ind w:firstLine="709"/>
        <w:jc w:val="both"/>
        <w:rPr>
          <w:rFonts w:ascii="Arial" w:hAnsi="Arial" w:cs="Arial"/>
          <w:sz w:val="19"/>
          <w:szCs w:val="19"/>
        </w:rPr>
      </w:pPr>
      <w:proofErr w:type="gramStart"/>
      <w:r w:rsidRPr="00412A1B">
        <w:rPr>
          <w:rFonts w:ascii="Arial" w:hAnsi="Arial" w:cs="Arial"/>
          <w:sz w:val="19"/>
          <w:szCs w:val="19"/>
        </w:rPr>
        <w:t>»Dentro</w:t>
      </w:r>
      <w:proofErr w:type="gramEnd"/>
      <w:r w:rsidRPr="00412A1B">
        <w:rPr>
          <w:rFonts w:ascii="Arial" w:hAnsi="Arial" w:cs="Arial"/>
          <w:sz w:val="19"/>
          <w:szCs w:val="19"/>
        </w:rPr>
        <w:t xml:space="preserve">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71557E44" w14:textId="77777777" w:rsidR="008C377F" w:rsidRPr="00412A1B" w:rsidRDefault="008C377F" w:rsidP="00412A1B">
      <w:pPr>
        <w:pStyle w:val="Textonotapie"/>
        <w:ind w:firstLine="709"/>
        <w:jc w:val="both"/>
        <w:rPr>
          <w:rFonts w:ascii="Arial" w:hAnsi="Arial" w:cs="Arial"/>
          <w:sz w:val="19"/>
          <w:szCs w:val="19"/>
        </w:rPr>
      </w:pPr>
      <w:proofErr w:type="gramStart"/>
      <w:r w:rsidRPr="00412A1B">
        <w:rPr>
          <w:rFonts w:ascii="Arial" w:hAnsi="Arial" w:cs="Arial"/>
          <w:sz w:val="19"/>
          <w:szCs w:val="19"/>
        </w:rPr>
        <w:t>»Con</w:t>
      </w:r>
      <w:proofErr w:type="gramEnd"/>
      <w:r w:rsidRPr="00412A1B">
        <w:rPr>
          <w:rFonts w:ascii="Arial" w:hAnsi="Arial" w:cs="Arial"/>
          <w:sz w:val="19"/>
          <w:szCs w:val="19"/>
        </w:rPr>
        <w:t xml:space="preserve">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77D9F7CD" w14:textId="77777777" w:rsidR="008C377F" w:rsidRPr="00412A1B" w:rsidRDefault="008C377F" w:rsidP="00412A1B">
      <w:pPr>
        <w:pStyle w:val="Textonotapie"/>
        <w:ind w:firstLine="709"/>
        <w:jc w:val="both"/>
        <w:rPr>
          <w:rFonts w:ascii="Arial" w:hAnsi="Arial" w:cs="Arial"/>
          <w:sz w:val="19"/>
          <w:szCs w:val="19"/>
        </w:rPr>
      </w:pPr>
      <w:r w:rsidRPr="00412A1B">
        <w:rPr>
          <w:rFonts w:ascii="Arial" w:hAnsi="Arial" w:cs="Arial"/>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0004727B" w14:textId="77777777" w:rsidR="008C377F" w:rsidRPr="00412A1B" w:rsidRDefault="008C377F" w:rsidP="00412A1B">
      <w:pPr>
        <w:pStyle w:val="Textonotapie"/>
        <w:ind w:firstLine="708"/>
        <w:jc w:val="both"/>
        <w:rPr>
          <w:rFonts w:ascii="Arial" w:hAnsi="Arial" w:cs="Arial"/>
          <w:sz w:val="19"/>
          <w:szCs w:val="19"/>
        </w:rPr>
      </w:pPr>
      <w:proofErr w:type="gramStart"/>
      <w:r w:rsidRPr="00412A1B">
        <w:rPr>
          <w:rFonts w:ascii="Arial" w:hAnsi="Arial" w:cs="Arial"/>
          <w:sz w:val="19"/>
          <w:szCs w:val="19"/>
        </w:rPr>
        <w:t>»En</w:t>
      </w:r>
      <w:proofErr w:type="gramEnd"/>
      <w:r w:rsidRPr="00412A1B">
        <w:rPr>
          <w:rFonts w:ascii="Arial" w:hAnsi="Arial" w:cs="Arial"/>
          <w:sz w:val="19"/>
          <w:szCs w:val="19"/>
        </w:rPr>
        <w:t xml:space="preserve">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6">
    <w:p w14:paraId="7248EBF6" w14:textId="77777777" w:rsidR="0055356C" w:rsidRPr="00412A1B" w:rsidRDefault="0055356C" w:rsidP="00412A1B">
      <w:pPr>
        <w:pStyle w:val="Textonotapie"/>
        <w:ind w:firstLine="708"/>
        <w:jc w:val="both"/>
        <w:rPr>
          <w:rFonts w:ascii="Arial" w:hAnsi="Arial" w:cs="Arial"/>
          <w:sz w:val="19"/>
          <w:szCs w:val="19"/>
          <w:lang w:val="es-ES"/>
        </w:rPr>
      </w:pPr>
      <w:r w:rsidRPr="00412A1B">
        <w:rPr>
          <w:rStyle w:val="Refdenotaalpie"/>
          <w:rFonts w:ascii="Arial" w:hAnsi="Arial" w:cs="Arial"/>
          <w:sz w:val="19"/>
          <w:szCs w:val="19"/>
        </w:rPr>
        <w:footnoteRef/>
      </w:r>
      <w:r w:rsidRPr="00412A1B">
        <w:rPr>
          <w:rFonts w:ascii="Arial" w:hAnsi="Arial" w:cs="Arial"/>
          <w:sz w:val="19"/>
          <w:szCs w:val="19"/>
        </w:rPr>
        <w:t xml:space="preserve"> Código: CCE-EICP-GI-14. Versión 1</w:t>
      </w:r>
    </w:p>
  </w:footnote>
  <w:footnote w:id="7">
    <w:p w14:paraId="72913A00" w14:textId="77777777" w:rsidR="0055356C" w:rsidRPr="00412A1B" w:rsidRDefault="0055356C" w:rsidP="00412A1B">
      <w:pPr>
        <w:pStyle w:val="Textonotapie"/>
        <w:ind w:firstLine="709"/>
        <w:jc w:val="both"/>
        <w:rPr>
          <w:rFonts w:ascii="Arial" w:hAnsi="Arial" w:cs="Arial"/>
          <w:sz w:val="19"/>
          <w:szCs w:val="19"/>
        </w:rPr>
      </w:pPr>
      <w:r w:rsidRPr="00412A1B">
        <w:rPr>
          <w:rStyle w:val="Refdenotaalpie"/>
          <w:rFonts w:ascii="Arial" w:hAnsi="Arial" w:cs="Arial"/>
          <w:sz w:val="19"/>
          <w:szCs w:val="19"/>
        </w:rPr>
        <w:footnoteRef/>
      </w:r>
      <w:r w:rsidRPr="00412A1B">
        <w:rPr>
          <w:rFonts w:ascii="Arial" w:hAnsi="Arial" w:cs="Arial"/>
          <w:sz w:val="19"/>
          <w:szCs w:val="19"/>
        </w:rPr>
        <w:t xml:space="preserve"> «Artículo 6. Vigencia. La presente resolución rige a partir de su publicación y comenzará a aplicarse, de manera gradual y progresiva, en los procedimientos de selección de licitación de obra pública de infraestructura social, de acuerdo con el siguiente cronograma:</w:t>
      </w:r>
    </w:p>
    <w:p w14:paraId="486B0B29" w14:textId="77777777" w:rsidR="0055356C" w:rsidRPr="00412A1B" w:rsidRDefault="0055356C" w:rsidP="00412A1B">
      <w:pPr>
        <w:pStyle w:val="Textonotapie"/>
        <w:ind w:firstLine="709"/>
        <w:jc w:val="both"/>
        <w:rPr>
          <w:rFonts w:ascii="Arial" w:hAnsi="Arial" w:cs="Arial"/>
          <w:sz w:val="19"/>
          <w:szCs w:val="19"/>
        </w:rPr>
      </w:pPr>
      <w:r w:rsidRPr="00412A1B">
        <w:rPr>
          <w:rFonts w:ascii="Arial" w:hAnsi="Arial" w:cs="Arial"/>
          <w:sz w:val="19"/>
          <w:szCs w:val="19"/>
        </w:rPr>
        <w:t xml:space="preserve">»1. Las entidades de los sectores central y descentralizado de la Rama Ejecutiva del orden nacional deberán aplicar lo dispuesto en la resolución en los procedimientos de selección de licitación de obra pública de infraestructura social, cuyo aviso de convocatoria sea publicado a partir del 2 de noviembre de 2021. </w:t>
      </w:r>
    </w:p>
    <w:p w14:paraId="4D97F2CB" w14:textId="77777777" w:rsidR="0055356C" w:rsidRPr="00412A1B" w:rsidRDefault="0055356C" w:rsidP="00412A1B">
      <w:pPr>
        <w:pStyle w:val="Textonotapie"/>
        <w:ind w:firstLine="709"/>
        <w:jc w:val="both"/>
        <w:rPr>
          <w:rFonts w:ascii="Arial" w:hAnsi="Arial" w:cs="Arial"/>
          <w:sz w:val="19"/>
          <w:szCs w:val="19"/>
        </w:rPr>
      </w:pPr>
      <w:r w:rsidRPr="00412A1B">
        <w:rPr>
          <w:rFonts w:ascii="Arial" w:hAnsi="Arial" w:cs="Arial"/>
          <w:sz w:val="19"/>
          <w:szCs w:val="19"/>
        </w:rPr>
        <w:t xml:space="preserve">»2. Las entidades del sector central y del sector descentralizado de los niveles municipal y distrital de los municipios y distritos que sean capitales de departamentos deberán aplicar lo dispuesto en esta resolución en los procedimientos de selección de licitación de obra pública de infraestructura social, cuyo aviso de convocatoria sea publicado a partir del 1 de febrero de 2022. </w:t>
      </w:r>
    </w:p>
    <w:p w14:paraId="594A39D9" w14:textId="77777777" w:rsidR="0055356C" w:rsidRPr="00412A1B" w:rsidRDefault="0055356C" w:rsidP="00412A1B">
      <w:pPr>
        <w:pStyle w:val="Textonotapie"/>
        <w:ind w:firstLine="709"/>
        <w:jc w:val="both"/>
        <w:rPr>
          <w:rFonts w:ascii="Arial" w:hAnsi="Arial" w:cs="Arial"/>
          <w:sz w:val="19"/>
          <w:szCs w:val="19"/>
        </w:rPr>
      </w:pPr>
      <w:r w:rsidRPr="00412A1B">
        <w:rPr>
          <w:rFonts w:ascii="Arial" w:hAnsi="Arial" w:cs="Arial"/>
          <w:sz w:val="19"/>
          <w:szCs w:val="19"/>
        </w:rPr>
        <w:t xml:space="preserve">»3. Las entidades del sector central y del sector descentralizado del nivel departamental, así como las de los municipios categorías especial, 1, 2 y 3, no cobijadas por los anteriores numerales del presente artículo, deberán aplicar lo dispuesto en esta resolución en los procedimientos de selección de licitación de obra pública de infraestructura social, cuyo aviso de convocatoria sea publicado a partir del 1 de marzo de 2022. </w:t>
      </w:r>
    </w:p>
    <w:p w14:paraId="0F9A2D73" w14:textId="77777777" w:rsidR="0055356C" w:rsidRPr="00412A1B" w:rsidRDefault="0055356C" w:rsidP="00412A1B">
      <w:pPr>
        <w:pStyle w:val="Textonotapie"/>
        <w:ind w:firstLine="709"/>
        <w:jc w:val="both"/>
        <w:rPr>
          <w:rFonts w:ascii="Arial" w:hAnsi="Arial" w:cs="Arial"/>
          <w:sz w:val="19"/>
          <w:szCs w:val="19"/>
        </w:rPr>
      </w:pPr>
      <w:r w:rsidRPr="00412A1B">
        <w:rPr>
          <w:rFonts w:ascii="Arial" w:hAnsi="Arial" w:cs="Arial"/>
          <w:sz w:val="19"/>
          <w:szCs w:val="19"/>
        </w:rPr>
        <w:t xml:space="preserve">»4. Las entidades del sector central y del sector descentralizado del nivel municipal, en las categorías 4, 5 y 6, al igual que las demás entidades estatales regidas por el Estatuto General de Contratación de la Administración Pública no cobijadas por los anteriores numerales del presente artículo, deberán aplicar lo dispuesto en esta resolución en los procedimientos de selección de licitación de obra pública de infraestructura social, cuyo aviso de convocatoria sea publicado a partir del 1 de abril de 2022. </w:t>
      </w:r>
    </w:p>
    <w:p w14:paraId="28CE52AB" w14:textId="77777777" w:rsidR="0055356C" w:rsidRPr="00412A1B" w:rsidRDefault="0055356C" w:rsidP="00412A1B">
      <w:pPr>
        <w:pStyle w:val="Textonotapie"/>
        <w:ind w:firstLine="709"/>
        <w:jc w:val="both"/>
        <w:rPr>
          <w:rFonts w:ascii="Arial" w:hAnsi="Arial" w:cs="Arial"/>
          <w:sz w:val="19"/>
          <w:szCs w:val="19"/>
        </w:rPr>
      </w:pPr>
      <w:proofErr w:type="gramStart"/>
      <w:r w:rsidRPr="00412A1B">
        <w:rPr>
          <w:rFonts w:ascii="Arial" w:hAnsi="Arial" w:cs="Arial"/>
          <w:sz w:val="19"/>
          <w:szCs w:val="19"/>
        </w:rPr>
        <w:t>»Parágrafo</w:t>
      </w:r>
      <w:proofErr w:type="gramEnd"/>
      <w:r w:rsidRPr="00412A1B">
        <w:rPr>
          <w:rFonts w:ascii="Arial" w:hAnsi="Arial" w:cs="Arial"/>
          <w:sz w:val="19"/>
          <w:szCs w:val="19"/>
        </w:rPr>
        <w:t>. La aplicación de los documentos tipo de licitación de obra pública de infraestructura social en los procesos de selección comienza a ser obligatoria para las entidades estatales de acuerdo con lo dispuesto en este artículo. Esto sin perjuicio de que las entidades estatales, en el marco de la autonomía y discrecionalidad que les asiste, a modo de buena práctica contractual, decidan acoger el contenido de los documentos tipo en los procesos de selección que adelanten antes de las fechas señaladas».</w:t>
      </w:r>
    </w:p>
  </w:footnote>
  <w:footnote w:id="8">
    <w:p w14:paraId="51B1E8E2" w14:textId="77777777" w:rsidR="006138EB" w:rsidRPr="00412A1B" w:rsidRDefault="006138EB" w:rsidP="00412A1B">
      <w:pPr>
        <w:pStyle w:val="Textonotapie"/>
        <w:ind w:firstLine="709"/>
        <w:jc w:val="both"/>
        <w:rPr>
          <w:rFonts w:ascii="Arial" w:hAnsi="Arial" w:cs="Arial"/>
          <w:color w:val="000000" w:themeColor="text1"/>
          <w:sz w:val="19"/>
          <w:szCs w:val="19"/>
        </w:rPr>
      </w:pPr>
      <w:r w:rsidRPr="00412A1B">
        <w:rPr>
          <w:rStyle w:val="Refdenotaalpie"/>
          <w:rFonts w:ascii="Arial" w:hAnsi="Arial" w:cs="Arial"/>
          <w:color w:val="000000" w:themeColor="text1"/>
          <w:sz w:val="19"/>
          <w:szCs w:val="19"/>
        </w:rPr>
        <w:footnoteRef/>
      </w:r>
      <w:r w:rsidRPr="00412A1B">
        <w:rPr>
          <w:rFonts w:ascii="Arial" w:hAnsi="Arial" w:cs="Arial"/>
          <w:color w:val="000000" w:themeColor="text1"/>
          <w:sz w:val="19"/>
          <w:szCs w:val="19"/>
        </w:rPr>
        <w:t xml:space="preserve"> El artículo 25, numeral 1º de la Ley 80 de 1993 establece que «En las normas de selección y en los pliegos de condiciones para la escogencia de contratistas, se cumplirán y establecerán los procedimientos y etapas estrictamente necesarios para asegurar la selección objetiva de la propuesta más favorable. Para este propósito, se señalarán términos preclusivos y perentorios para las diferentes etapas de la selección y las autoridades darán impulso oficioso a las actuaciones».</w:t>
      </w:r>
    </w:p>
    <w:p w14:paraId="314012D3" w14:textId="77777777" w:rsidR="006138EB" w:rsidRPr="00412A1B" w:rsidRDefault="006138EB" w:rsidP="00412A1B">
      <w:pPr>
        <w:pStyle w:val="Textonotapie"/>
        <w:ind w:firstLine="709"/>
        <w:jc w:val="both"/>
        <w:rPr>
          <w:rFonts w:ascii="Arial" w:hAnsi="Arial" w:cs="Arial"/>
          <w:color w:val="000000" w:themeColor="text1"/>
          <w:sz w:val="19"/>
          <w:szCs w:val="19"/>
        </w:rPr>
      </w:pPr>
    </w:p>
  </w:footnote>
  <w:footnote w:id="9">
    <w:p w14:paraId="021EF1A3" w14:textId="77777777" w:rsidR="006138EB" w:rsidRPr="00412A1B" w:rsidRDefault="006138EB" w:rsidP="00412A1B">
      <w:pPr>
        <w:ind w:firstLine="709"/>
        <w:jc w:val="both"/>
        <w:rPr>
          <w:rFonts w:ascii="Arial" w:hAnsi="Arial" w:cs="Arial"/>
          <w:color w:val="000000" w:themeColor="text1"/>
          <w:sz w:val="19"/>
          <w:szCs w:val="19"/>
          <w:lang w:val="es-ES"/>
        </w:rPr>
      </w:pPr>
      <w:r w:rsidRPr="00412A1B">
        <w:rPr>
          <w:rStyle w:val="Refdenotaalpie"/>
          <w:rFonts w:ascii="Arial" w:hAnsi="Arial" w:cs="Arial"/>
          <w:color w:val="000000" w:themeColor="text1"/>
          <w:sz w:val="19"/>
          <w:szCs w:val="19"/>
        </w:rPr>
        <w:footnoteRef/>
      </w:r>
      <w:r w:rsidRPr="00412A1B">
        <w:rPr>
          <w:rFonts w:ascii="Arial" w:hAnsi="Arial" w:cs="Arial"/>
          <w:color w:val="000000" w:themeColor="text1"/>
          <w:sz w:val="19"/>
          <w:szCs w:val="19"/>
        </w:rPr>
        <w:t xml:space="preserve"> </w:t>
      </w:r>
      <w:r w:rsidRPr="00412A1B">
        <w:rPr>
          <w:rFonts w:ascii="Arial" w:hAnsi="Arial" w:cs="Arial"/>
          <w:color w:val="000000" w:themeColor="text1"/>
          <w:sz w:val="19"/>
          <w:szCs w:val="19"/>
          <w:lang w:val="es-ES"/>
        </w:rPr>
        <w:t>En efecto, el artículo 5 del Decreto 019 de 2012 prevé lo siguiente: «Las normas de procedimiento administrativo deben ser utilizadas para agilizar las decisiones; los procedimientos se deben adelantar en el menor tiempo y con la menor cantidad de gastos de quienes intervienen en ellos; las autoridades administrativas y los particulares que cumplen funciones administrativas no deben exigir más documentos y copias que los estrictamente necesarios, ni autenticaciones ni notas de presentación personal sino cuando la ley lo ordene en forma expresa, o tratándose de poderes especiales. En tal virtud, las autoridades deberán proceder con austeridad y eficiencia, optimizar el uso del tiempo y de los demás recursos, procurando el más alto nivel de calidad en sus actuaciones y la protección de los derechos de las personas».</w:t>
      </w:r>
    </w:p>
    <w:p w14:paraId="7828AA8A" w14:textId="77777777" w:rsidR="006138EB" w:rsidRPr="00412A1B" w:rsidRDefault="006138EB" w:rsidP="00412A1B">
      <w:pPr>
        <w:ind w:firstLine="709"/>
        <w:jc w:val="both"/>
        <w:rPr>
          <w:rFonts w:ascii="Arial" w:hAnsi="Arial" w:cs="Arial"/>
          <w:color w:val="000000" w:themeColor="text1"/>
          <w:sz w:val="19"/>
          <w:szCs w:val="19"/>
          <w:lang w:val="es-ES"/>
        </w:rPr>
      </w:pPr>
    </w:p>
  </w:footnote>
  <w:footnote w:id="10">
    <w:p w14:paraId="4D929674" w14:textId="2500E7E3" w:rsidR="00992634" w:rsidRPr="00412A1B" w:rsidRDefault="006138EB" w:rsidP="00412A1B">
      <w:pPr>
        <w:ind w:firstLine="708"/>
        <w:jc w:val="both"/>
        <w:rPr>
          <w:rFonts w:ascii="Arial" w:hAnsi="Arial" w:cs="Arial"/>
          <w:sz w:val="19"/>
          <w:szCs w:val="19"/>
        </w:rPr>
      </w:pPr>
      <w:r w:rsidRPr="00412A1B">
        <w:rPr>
          <w:rStyle w:val="Refdenotaalpie"/>
          <w:rFonts w:ascii="Arial" w:hAnsi="Arial" w:cs="Arial"/>
          <w:sz w:val="19"/>
          <w:szCs w:val="19"/>
        </w:rPr>
        <w:footnoteRef/>
      </w:r>
      <w:r w:rsidRPr="00412A1B">
        <w:rPr>
          <w:rFonts w:ascii="Arial" w:hAnsi="Arial" w:cs="Arial"/>
          <w:sz w:val="19"/>
          <w:szCs w:val="19"/>
        </w:rPr>
        <w:t xml:space="preserve"> </w:t>
      </w:r>
      <w:r w:rsidR="00992634" w:rsidRPr="00412A1B">
        <w:rPr>
          <w:rFonts w:ascii="Arial" w:hAnsi="Arial" w:cs="Arial"/>
          <w:sz w:val="19"/>
          <w:szCs w:val="19"/>
        </w:rPr>
        <w:t xml:space="preserve">Este artículo </w:t>
      </w:r>
      <w:r w:rsidRPr="00412A1B">
        <w:rPr>
          <w:rFonts w:ascii="Arial" w:hAnsi="Arial" w:cs="Arial"/>
          <w:sz w:val="19"/>
          <w:szCs w:val="19"/>
        </w:rPr>
        <w:t>dispone que «</w:t>
      </w:r>
      <w:bookmarkStart w:id="19" w:name="_Hlk71017685"/>
      <w:r w:rsidR="00992634" w:rsidRPr="00412A1B">
        <w:rPr>
          <w:rFonts w:ascii="Arial" w:hAnsi="Arial" w:cs="Arial"/>
          <w:sz w:val="19"/>
          <w:szCs w:val="19"/>
        </w:rPr>
        <w:t xml:space="preserve">Cuando el objeto contractual incluya bienes o servicios ajenos a la obra pública de infraestructura social, la entidad estatal deberá aplicar los documentos tipo. Si de manera excepcional requiere incluir experiencia adicional para evaluar la idoneidad respecto de los bienes o servicios ajenos a </w:t>
      </w:r>
      <w:r w:rsidR="00CA13AC" w:rsidRPr="00412A1B">
        <w:rPr>
          <w:rFonts w:ascii="Arial" w:hAnsi="Arial" w:cs="Arial"/>
          <w:sz w:val="19"/>
          <w:szCs w:val="19"/>
        </w:rPr>
        <w:t>l</w:t>
      </w:r>
      <w:r w:rsidR="00992634" w:rsidRPr="00412A1B">
        <w:rPr>
          <w:rFonts w:ascii="Arial" w:hAnsi="Arial" w:cs="Arial"/>
          <w:sz w:val="19"/>
          <w:szCs w:val="19"/>
        </w:rPr>
        <w:t xml:space="preserve">a obra pública, deberá seguir los siguientes parámetros: </w:t>
      </w:r>
    </w:p>
    <w:p w14:paraId="228D4776" w14:textId="0E264E5D" w:rsidR="00992634" w:rsidRPr="00412A1B" w:rsidRDefault="00992634" w:rsidP="00412A1B">
      <w:pPr>
        <w:ind w:firstLine="708"/>
        <w:jc w:val="both"/>
        <w:rPr>
          <w:rFonts w:ascii="Arial" w:hAnsi="Arial" w:cs="Arial"/>
          <w:sz w:val="19"/>
          <w:szCs w:val="19"/>
        </w:rPr>
      </w:pPr>
      <w:r w:rsidRPr="00412A1B">
        <w:rPr>
          <w:rFonts w:ascii="Arial" w:hAnsi="Arial" w:cs="Arial"/>
          <w:sz w:val="19"/>
          <w:szCs w:val="19"/>
        </w:rPr>
        <w:t>»1. Demostrar en los estudios previos que ha verificado las condiciones de mercado para la adquisición de los bienes o servicios adicionales al componente de obra pública, de tal manera que la experiencia adicional que se exija para tales bienes o servicios procure la pluralidad de oferentes, y no limite la concurrencia de proponentes al proceso de contratación. Para tal efecto, la entidad realizará el estudio previo y el análisis del sector en los términos de los artículos 2.2.1.1.1.6.1 y 2.2.1.1.1.6.2 del Decreto 1082 de 2015, o la norma que los adicione, complemente o sustituya.</w:t>
      </w:r>
    </w:p>
    <w:p w14:paraId="7C8386D4" w14:textId="6E99101D" w:rsidR="00992634" w:rsidRPr="00412A1B" w:rsidRDefault="00992634" w:rsidP="00412A1B">
      <w:pPr>
        <w:ind w:firstLine="708"/>
        <w:jc w:val="both"/>
        <w:rPr>
          <w:rFonts w:ascii="Arial" w:hAnsi="Arial" w:cs="Arial"/>
          <w:sz w:val="19"/>
          <w:szCs w:val="19"/>
        </w:rPr>
      </w:pPr>
      <w:r w:rsidRPr="00412A1B">
        <w:rPr>
          <w:rFonts w:ascii="Arial" w:hAnsi="Arial" w:cs="Arial"/>
          <w:sz w:val="19"/>
          <w:szCs w:val="19"/>
        </w:rPr>
        <w:t xml:space="preserve">»2. Conservar los requisitos exigidos en los documentos tipo. </w:t>
      </w:r>
    </w:p>
    <w:p w14:paraId="009D0427" w14:textId="010C0992" w:rsidR="00992634" w:rsidRPr="00412A1B" w:rsidRDefault="00992634" w:rsidP="00412A1B">
      <w:pPr>
        <w:ind w:firstLine="708"/>
        <w:jc w:val="both"/>
        <w:rPr>
          <w:rFonts w:ascii="Arial" w:hAnsi="Arial" w:cs="Arial"/>
          <w:sz w:val="19"/>
          <w:szCs w:val="19"/>
        </w:rPr>
      </w:pPr>
      <w:r w:rsidRPr="00412A1B">
        <w:rPr>
          <w:rFonts w:ascii="Arial" w:hAnsi="Arial" w:cs="Arial"/>
          <w:sz w:val="19"/>
          <w:szCs w:val="19"/>
        </w:rPr>
        <w:t xml:space="preserve">»3. Abstenerse de pedir experiencia exclusiva con entidades de cualquier naturaleza, experiencia previa exclusiva en un territorio específico, limitada en el tiempo o que incluya volúmenes o cantidades de obra específica. </w:t>
      </w:r>
    </w:p>
    <w:p w14:paraId="1F34D9A2" w14:textId="45D7E235" w:rsidR="00992634" w:rsidRPr="00412A1B" w:rsidRDefault="00992634" w:rsidP="00412A1B">
      <w:pPr>
        <w:ind w:firstLine="708"/>
        <w:jc w:val="both"/>
        <w:rPr>
          <w:rFonts w:ascii="Arial" w:hAnsi="Arial" w:cs="Arial"/>
          <w:sz w:val="19"/>
          <w:szCs w:val="19"/>
        </w:rPr>
      </w:pPr>
      <w:r w:rsidRPr="00412A1B">
        <w:rPr>
          <w:rFonts w:ascii="Arial" w:hAnsi="Arial" w:cs="Arial"/>
          <w:sz w:val="19"/>
          <w:szCs w:val="19"/>
        </w:rPr>
        <w:t xml:space="preserve">»4. Clasificar la experiencia requerida solo hasta el tercer nivel del Clasificador de Bienes y Servicios e incluir exclusivamente los códigos que estén relacionados directamente con el objeto a contratar. </w:t>
      </w:r>
    </w:p>
    <w:p w14:paraId="68F4CF0B" w14:textId="6536E2BC" w:rsidR="00992634" w:rsidRPr="00412A1B" w:rsidRDefault="006138EB" w:rsidP="00412A1B">
      <w:pPr>
        <w:ind w:firstLine="708"/>
        <w:jc w:val="both"/>
        <w:rPr>
          <w:rFonts w:ascii="Arial" w:hAnsi="Arial" w:cs="Arial"/>
          <w:sz w:val="19"/>
          <w:szCs w:val="19"/>
        </w:rPr>
      </w:pPr>
      <w:proofErr w:type="gramStart"/>
      <w:r w:rsidRPr="00412A1B">
        <w:rPr>
          <w:rFonts w:ascii="Arial" w:hAnsi="Arial" w:cs="Arial"/>
          <w:sz w:val="19"/>
          <w:szCs w:val="19"/>
        </w:rPr>
        <w:t>»</w:t>
      </w:r>
      <w:r w:rsidR="00992634" w:rsidRPr="00412A1B">
        <w:rPr>
          <w:rFonts w:ascii="Arial" w:hAnsi="Arial" w:cs="Arial"/>
          <w:sz w:val="19"/>
          <w:szCs w:val="19"/>
        </w:rPr>
        <w:t>Parágrafo</w:t>
      </w:r>
      <w:proofErr w:type="gramEnd"/>
      <w:r w:rsidR="00992634" w:rsidRPr="00412A1B">
        <w:rPr>
          <w:rFonts w:ascii="Arial" w:hAnsi="Arial" w:cs="Arial"/>
          <w:sz w:val="19"/>
          <w:szCs w:val="19"/>
        </w:rPr>
        <w:t xml:space="preserve"> 1. En los casos que el objeto contractual incluya actividades abarcadas por otros documentos tipo expedidos por la Agencia Nacional de Contratación Pública -Colombia Compra Eficiente, la entidad estatal podrá aplicar las reglas de combinación de experiencia previstas en el numeral 3.5.1 del documento base. </w:t>
      </w:r>
    </w:p>
    <w:p w14:paraId="2485CD82" w14:textId="50506B8F" w:rsidR="00992634" w:rsidRPr="00412A1B" w:rsidRDefault="00992634" w:rsidP="00412A1B">
      <w:pPr>
        <w:ind w:firstLine="708"/>
        <w:jc w:val="both"/>
        <w:rPr>
          <w:rFonts w:ascii="Arial" w:hAnsi="Arial" w:cs="Arial"/>
          <w:sz w:val="19"/>
          <w:szCs w:val="19"/>
        </w:rPr>
      </w:pPr>
      <w:proofErr w:type="gramStart"/>
      <w:r w:rsidRPr="00412A1B">
        <w:rPr>
          <w:rFonts w:ascii="Arial" w:hAnsi="Arial" w:cs="Arial"/>
          <w:sz w:val="19"/>
          <w:szCs w:val="19"/>
        </w:rPr>
        <w:t>»Parágrafo</w:t>
      </w:r>
      <w:proofErr w:type="gramEnd"/>
      <w:r w:rsidRPr="00412A1B">
        <w:rPr>
          <w:rFonts w:ascii="Arial" w:hAnsi="Arial" w:cs="Arial"/>
          <w:sz w:val="19"/>
          <w:szCs w:val="19"/>
        </w:rPr>
        <w:t xml:space="preserve"> 2. Para los efectos de este artículo se entiende por "bienes o servicios adicionales" aquellas actividades que no están incluidas en la matriz de experiencia de los documentos tipo de infraestructura social aplicable, pero que están relacionadas con el contrato a ejecutar. Por ejemplo, en caso de que el proyecto de obra pública a ejecutar esté relacionado con infraestructura social, como es el sector educativo, pero además, con proyectos de agua potable y saneamiento básico o con proyectos en la construcción de una vía, el servicio adicional serán las actividades de obra pública en infraestructura de agua potable y saneamiento básico o las actividades de obra pública de infraestructura de transporte. </w:t>
      </w:r>
    </w:p>
    <w:p w14:paraId="05FC65B3" w14:textId="489C3351" w:rsidR="006138EB" w:rsidRPr="00412A1B" w:rsidRDefault="00992634" w:rsidP="00412A1B">
      <w:pPr>
        <w:ind w:firstLine="708"/>
        <w:jc w:val="both"/>
        <w:rPr>
          <w:rFonts w:ascii="Arial" w:hAnsi="Arial" w:cs="Arial"/>
          <w:sz w:val="19"/>
          <w:szCs w:val="19"/>
        </w:rPr>
      </w:pPr>
      <w:proofErr w:type="gramStart"/>
      <w:r w:rsidRPr="00412A1B">
        <w:rPr>
          <w:rFonts w:ascii="Arial" w:hAnsi="Arial" w:cs="Arial"/>
          <w:sz w:val="19"/>
          <w:szCs w:val="19"/>
        </w:rPr>
        <w:t>»Parágrafo</w:t>
      </w:r>
      <w:proofErr w:type="gramEnd"/>
      <w:r w:rsidRPr="00412A1B">
        <w:rPr>
          <w:rFonts w:ascii="Arial" w:hAnsi="Arial" w:cs="Arial"/>
          <w:sz w:val="19"/>
          <w:szCs w:val="19"/>
        </w:rPr>
        <w:t xml:space="preserve"> 3. Para la aplicación de este artículo, se entiende por experiencia adicional aquella que no está definida en la matriz de experiencia de infraestructura social aplicable, pero que la entidad estatal considera necesaria para garantizar la idoneidad del contratista para la ejecución del proyecto, puesto que está relacionada con el objeto a ejecutar.</w:t>
      </w:r>
      <w:r w:rsidR="006138EB" w:rsidRPr="00412A1B">
        <w:rPr>
          <w:rFonts w:ascii="Arial" w:hAnsi="Arial" w:cs="Arial"/>
          <w:sz w:val="19"/>
          <w:szCs w:val="19"/>
        </w:rPr>
        <w:t>».</w:t>
      </w:r>
      <w:bookmarkEnd w:id="19"/>
      <w:r w:rsidR="006138EB" w:rsidRPr="00AE5764">
        <w:rPr>
          <w:rFonts w:ascii="Arial" w:hAnsi="Arial" w:cs="Arial"/>
          <w:sz w:val="19"/>
          <w:szCs w:val="19"/>
        </w:rPr>
        <w:t xml:space="preserve"> </w:t>
      </w:r>
    </w:p>
  </w:footnote>
  <w:footnote w:id="11">
    <w:p w14:paraId="3ED62C57" w14:textId="77777777" w:rsidR="006138EB" w:rsidRPr="00412A1B" w:rsidRDefault="006138EB" w:rsidP="00412A1B">
      <w:pPr>
        <w:ind w:firstLine="708"/>
        <w:jc w:val="both"/>
        <w:rPr>
          <w:rFonts w:ascii="Arial" w:hAnsi="Arial" w:cs="Arial"/>
          <w:color w:val="000000" w:themeColor="text1"/>
          <w:sz w:val="19"/>
          <w:szCs w:val="19"/>
        </w:rPr>
      </w:pPr>
      <w:r w:rsidRPr="00412A1B">
        <w:rPr>
          <w:rStyle w:val="Refdenotaalpie"/>
          <w:rFonts w:ascii="Arial" w:hAnsi="Arial" w:cs="Arial"/>
          <w:color w:val="000000" w:themeColor="text1"/>
          <w:sz w:val="19"/>
          <w:szCs w:val="19"/>
        </w:rPr>
        <w:footnoteRef/>
      </w:r>
      <w:r w:rsidRPr="00412A1B">
        <w:rPr>
          <w:rFonts w:ascii="Arial" w:hAnsi="Arial" w:cs="Arial"/>
          <w:color w:val="000000" w:themeColor="text1"/>
          <w:sz w:val="19"/>
          <w:szCs w:val="19"/>
        </w:rPr>
        <w:t xml:space="preserve"> Cita tomada de la providencia del 20 de febrero de 2020, dictada por el Consejo de Estado. Sección Tercera. Subsección A, dentro del expediente 47001-23-33-000-2018-00035-01 (63.854), cuya ponente fue Marta Nubia Velásquez Rico.</w:t>
      </w:r>
    </w:p>
  </w:footnote>
  <w:footnote w:id="12">
    <w:p w14:paraId="14E6BBFE" w14:textId="77777777" w:rsidR="00481640" w:rsidRPr="00412A1B" w:rsidRDefault="00481640" w:rsidP="00412A1B">
      <w:pPr>
        <w:pStyle w:val="Textonotapie"/>
        <w:ind w:firstLine="708"/>
        <w:jc w:val="both"/>
        <w:rPr>
          <w:rFonts w:ascii="Arial" w:hAnsi="Arial" w:cs="Arial"/>
          <w:color w:val="000000" w:themeColor="text1"/>
          <w:sz w:val="19"/>
          <w:szCs w:val="19"/>
        </w:rPr>
      </w:pPr>
      <w:r w:rsidRPr="00412A1B">
        <w:rPr>
          <w:rStyle w:val="Refdenotaalpie"/>
          <w:rFonts w:ascii="Arial" w:hAnsi="Arial" w:cs="Arial"/>
          <w:color w:val="000000" w:themeColor="text1"/>
          <w:sz w:val="19"/>
          <w:szCs w:val="19"/>
        </w:rPr>
        <w:footnoteRef/>
      </w:r>
      <w:r w:rsidRPr="00412A1B">
        <w:rPr>
          <w:rFonts w:ascii="Arial" w:hAnsi="Arial" w:cs="Arial"/>
          <w:color w:val="000000" w:themeColor="text1"/>
          <w:sz w:val="19"/>
          <w:szCs w:val="19"/>
        </w:rPr>
        <w:t xml:space="preserve"> Al respecto el Decreto 1082 de 2015 establece lo siguiente: «Artículo 2.2.1.1.1.5.3. Requisitos habilitantes contenidos en el RUP. Las cámaras de comercio, con base en la información a la que hace referencia el artículo anterior, deben verificar y certificar los siguientes requisitos habilitantes:</w:t>
      </w:r>
    </w:p>
    <w:p w14:paraId="72C6CC5F" w14:textId="77777777" w:rsidR="00481640" w:rsidRPr="00412A1B" w:rsidRDefault="00481640" w:rsidP="00412A1B">
      <w:pPr>
        <w:pStyle w:val="Textonotapie"/>
        <w:ind w:firstLine="709"/>
        <w:jc w:val="both"/>
        <w:rPr>
          <w:rFonts w:ascii="Arial" w:hAnsi="Arial" w:cs="Arial"/>
          <w:color w:val="000000" w:themeColor="text1"/>
          <w:sz w:val="19"/>
          <w:szCs w:val="19"/>
        </w:rPr>
      </w:pPr>
      <w:r w:rsidRPr="00412A1B">
        <w:rPr>
          <w:rFonts w:ascii="Arial" w:hAnsi="Arial" w:cs="Arial"/>
          <w:color w:val="000000" w:themeColor="text1"/>
          <w:sz w:val="19"/>
          <w:szCs w:val="19"/>
        </w:rPr>
        <w:t>»1. Experiencia – Los contratos celebrados por el interesado para cada uno de los bienes, obras y servicios que ofrecerá a las Entidades Estatales, identificados con el Clasificador de Bienes y Servicios en el tercer nivel y su valor expresado en SMMLV […]».</w:t>
      </w:r>
    </w:p>
    <w:p w14:paraId="4F9B5531" w14:textId="77777777" w:rsidR="00481640" w:rsidRPr="00412A1B" w:rsidRDefault="00481640" w:rsidP="00412A1B">
      <w:pPr>
        <w:pStyle w:val="Textonotapie"/>
        <w:ind w:firstLine="708"/>
        <w:jc w:val="both"/>
        <w:rPr>
          <w:rFonts w:ascii="Arial" w:hAnsi="Arial" w:cs="Arial"/>
          <w:color w:val="000000" w:themeColor="text1"/>
          <w:sz w:val="19"/>
          <w:szCs w:val="19"/>
        </w:rPr>
      </w:pPr>
    </w:p>
  </w:footnote>
  <w:footnote w:id="13">
    <w:p w14:paraId="512CF785" w14:textId="287C94DA" w:rsidR="00992703" w:rsidRPr="00412A1B" w:rsidRDefault="00C356C5" w:rsidP="00AE5764">
      <w:pPr>
        <w:ind w:firstLine="709"/>
        <w:jc w:val="both"/>
        <w:rPr>
          <w:rFonts w:ascii="Arial" w:eastAsia="Arial" w:hAnsi="Arial" w:cs="Arial"/>
          <w:b/>
          <w:sz w:val="19"/>
          <w:szCs w:val="19"/>
        </w:rPr>
      </w:pPr>
      <w:r w:rsidRPr="00412A1B">
        <w:rPr>
          <w:rStyle w:val="Refdenotaalpie"/>
          <w:rFonts w:ascii="Arial" w:hAnsi="Arial" w:cs="Arial"/>
          <w:sz w:val="19"/>
          <w:szCs w:val="19"/>
        </w:rPr>
        <w:footnoteRef/>
      </w:r>
      <w:r w:rsidRPr="00412A1B">
        <w:rPr>
          <w:rFonts w:ascii="Arial" w:hAnsi="Arial" w:cs="Arial"/>
          <w:sz w:val="19"/>
          <w:szCs w:val="19"/>
        </w:rPr>
        <w:t xml:space="preserve"> </w:t>
      </w:r>
      <w:r w:rsidRPr="00412A1B">
        <w:rPr>
          <w:rFonts w:ascii="Arial" w:eastAsia="Arial" w:hAnsi="Arial" w:cs="Arial"/>
          <w:sz w:val="19"/>
          <w:szCs w:val="19"/>
        </w:rPr>
        <w:t>«</w:t>
      </w:r>
      <w:bookmarkStart w:id="21" w:name="_Toc67583310"/>
      <w:bookmarkStart w:id="22" w:name="_Toc78789458"/>
      <w:bookmarkStart w:id="23" w:name="_Toc84486074"/>
      <w:r w:rsidR="00992703" w:rsidRPr="00412A1B">
        <w:rPr>
          <w:rFonts w:ascii="Arial" w:eastAsia="Arial" w:hAnsi="Arial" w:cs="Arial"/>
          <w:sz w:val="19"/>
          <w:szCs w:val="19"/>
        </w:rPr>
        <w:t>3.5.</w:t>
      </w:r>
      <w:proofErr w:type="gramStart"/>
      <w:r w:rsidR="00992703" w:rsidRPr="00412A1B">
        <w:rPr>
          <w:rFonts w:ascii="Arial" w:eastAsia="Arial" w:hAnsi="Arial" w:cs="Arial"/>
          <w:sz w:val="19"/>
          <w:szCs w:val="19"/>
        </w:rPr>
        <w:t>7.</w:t>
      </w:r>
      <w:r w:rsidR="00992703" w:rsidRPr="00412A1B">
        <w:rPr>
          <w:rFonts w:ascii="Arial" w:eastAsia="Arial" w:hAnsi="Arial" w:cs="Arial"/>
          <w:bCs/>
          <w:sz w:val="19"/>
          <w:szCs w:val="19"/>
        </w:rPr>
        <w:t>RELACIÓN</w:t>
      </w:r>
      <w:proofErr w:type="gramEnd"/>
      <w:r w:rsidR="00992703" w:rsidRPr="00412A1B">
        <w:rPr>
          <w:rFonts w:ascii="Arial" w:eastAsia="Arial" w:hAnsi="Arial" w:cs="Arial"/>
          <w:bCs/>
          <w:sz w:val="19"/>
          <w:szCs w:val="19"/>
        </w:rPr>
        <w:t xml:space="preserve"> DE LOS CONTRATOS FRENTE AL PRESUPUESTO OFICIAL</w:t>
      </w:r>
      <w:bookmarkEnd w:id="21"/>
      <w:bookmarkEnd w:id="22"/>
      <w:bookmarkEnd w:id="23"/>
    </w:p>
    <w:p w14:paraId="45209537" w14:textId="7BB8596D" w:rsidR="00992703" w:rsidRPr="00412A1B" w:rsidRDefault="00992703" w:rsidP="00412A1B">
      <w:pPr>
        <w:ind w:firstLine="708"/>
        <w:jc w:val="both"/>
        <w:rPr>
          <w:rFonts w:ascii="Arial" w:eastAsia="Arial" w:hAnsi="Arial" w:cs="Arial"/>
          <w:sz w:val="19"/>
          <w:szCs w:val="19"/>
          <w:lang w:val="es-MX"/>
        </w:rPr>
      </w:pPr>
      <w:proofErr w:type="gramStart"/>
      <w:r w:rsidRPr="00412A1B">
        <w:rPr>
          <w:rFonts w:ascii="Arial" w:hAnsi="Arial" w:cs="Arial"/>
          <w:sz w:val="19"/>
          <w:szCs w:val="19"/>
          <w:lang w:val="es-ES"/>
        </w:rPr>
        <w:t>»</w:t>
      </w:r>
      <w:r w:rsidRPr="00412A1B">
        <w:rPr>
          <w:rFonts w:ascii="Arial" w:eastAsia="Arial" w:hAnsi="Arial" w:cs="Arial"/>
          <w:sz w:val="19"/>
          <w:szCs w:val="19"/>
          <w:lang w:val="es-MX"/>
        </w:rPr>
        <w:t>La</w:t>
      </w:r>
      <w:proofErr w:type="gramEnd"/>
      <w:r w:rsidRPr="00412A1B">
        <w:rPr>
          <w:rFonts w:ascii="Arial" w:eastAsia="Arial" w:hAnsi="Arial" w:cs="Arial"/>
          <w:sz w:val="19"/>
          <w:szCs w:val="19"/>
          <w:lang w:val="es-MX"/>
        </w:rPr>
        <w:t xml:space="preserve"> verificación del número de contratos para acreditar la experiencia se realiza de la siguiente manera:</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5"/>
        <w:gridCol w:w="4192"/>
      </w:tblGrid>
      <w:tr w:rsidR="00992703" w:rsidRPr="00412A1B" w14:paraId="1B0F3A49" w14:textId="77777777" w:rsidTr="00B827E2">
        <w:trPr>
          <w:trHeight w:val="737"/>
          <w:tblHeader/>
        </w:trPr>
        <w:tc>
          <w:tcPr>
            <w:tcW w:w="3055" w:type="dxa"/>
            <w:tcBorders>
              <w:top w:val="double" w:sz="4" w:space="0" w:color="auto"/>
              <w:left w:val="double" w:sz="4" w:space="0" w:color="auto"/>
              <w:bottom w:val="single" w:sz="4" w:space="0" w:color="000000" w:themeColor="text1"/>
              <w:right w:val="single" w:sz="4" w:space="0" w:color="000000" w:themeColor="text1"/>
            </w:tcBorders>
            <w:shd w:val="clear" w:color="auto" w:fill="BFBFBF" w:themeFill="accent2" w:themeFillShade="BF"/>
            <w:vAlign w:val="center"/>
            <w:hideMark/>
          </w:tcPr>
          <w:p w14:paraId="0E09280A" w14:textId="77777777" w:rsidR="00992703" w:rsidRPr="00AE5764" w:rsidRDefault="00992703" w:rsidP="00412A1B">
            <w:pPr>
              <w:ind w:firstLine="708"/>
              <w:jc w:val="both"/>
              <w:rPr>
                <w:rFonts w:ascii="Arial" w:eastAsia="Arial" w:hAnsi="Arial" w:cs="Arial"/>
                <w:b/>
                <w:bCs/>
                <w:sz w:val="19"/>
                <w:szCs w:val="19"/>
                <w:lang w:val="es-ES"/>
              </w:rPr>
            </w:pPr>
            <w:r w:rsidRPr="00AE5764">
              <w:rPr>
                <w:rFonts w:ascii="Arial" w:eastAsia="Arial" w:hAnsi="Arial" w:cs="Arial"/>
                <w:b/>
                <w:bCs/>
                <w:sz w:val="19"/>
                <w:szCs w:val="19"/>
                <w:lang w:val="es-ES"/>
              </w:rPr>
              <w:t>Número de Contratos con los cuales el Proponente cumple la experiencia acreditada</w:t>
            </w:r>
          </w:p>
        </w:tc>
        <w:tc>
          <w:tcPr>
            <w:tcW w:w="4192" w:type="dxa"/>
            <w:tcBorders>
              <w:top w:val="double" w:sz="4" w:space="0" w:color="auto"/>
              <w:left w:val="single" w:sz="4" w:space="0" w:color="000000" w:themeColor="text1"/>
              <w:bottom w:val="single" w:sz="4" w:space="0" w:color="000000" w:themeColor="text1"/>
              <w:right w:val="double" w:sz="4" w:space="0" w:color="auto"/>
            </w:tcBorders>
            <w:shd w:val="clear" w:color="auto" w:fill="BFBFBF" w:themeFill="accent2" w:themeFillShade="BF"/>
            <w:vAlign w:val="center"/>
            <w:hideMark/>
          </w:tcPr>
          <w:p w14:paraId="1051BEEF" w14:textId="77777777" w:rsidR="00992703" w:rsidRPr="00AE5764" w:rsidRDefault="00992703" w:rsidP="00412A1B">
            <w:pPr>
              <w:ind w:firstLine="708"/>
              <w:jc w:val="both"/>
              <w:rPr>
                <w:rFonts w:ascii="Arial" w:eastAsia="Arial" w:hAnsi="Arial" w:cs="Arial"/>
                <w:b/>
                <w:bCs/>
                <w:sz w:val="19"/>
                <w:szCs w:val="19"/>
                <w:lang w:val="es-ES"/>
              </w:rPr>
            </w:pPr>
            <w:proofErr w:type="gramStart"/>
            <w:r w:rsidRPr="00AE5764">
              <w:rPr>
                <w:rFonts w:ascii="Arial" w:eastAsia="Arial" w:hAnsi="Arial" w:cs="Arial"/>
                <w:b/>
                <w:bCs/>
                <w:sz w:val="19"/>
                <w:szCs w:val="19"/>
                <w:lang w:val="es-ES"/>
              </w:rPr>
              <w:t>Valor mínimo a certificar</w:t>
            </w:r>
            <w:proofErr w:type="gramEnd"/>
          </w:p>
          <w:p w14:paraId="2B168C40" w14:textId="77777777" w:rsidR="00992703" w:rsidRPr="00AE5764" w:rsidRDefault="00992703" w:rsidP="00412A1B">
            <w:pPr>
              <w:ind w:firstLine="708"/>
              <w:jc w:val="both"/>
              <w:rPr>
                <w:rFonts w:ascii="Arial" w:eastAsia="Arial" w:hAnsi="Arial" w:cs="Arial"/>
                <w:b/>
                <w:bCs/>
                <w:sz w:val="19"/>
                <w:szCs w:val="19"/>
                <w:lang w:val="es-ES"/>
              </w:rPr>
            </w:pPr>
            <w:r w:rsidRPr="00AE5764">
              <w:rPr>
                <w:rFonts w:ascii="Arial" w:eastAsia="Arial" w:hAnsi="Arial" w:cs="Arial"/>
                <w:b/>
                <w:bCs/>
                <w:sz w:val="19"/>
                <w:szCs w:val="19"/>
                <w:lang w:val="es-ES"/>
              </w:rPr>
              <w:t>(como % del Presupuesto Oficial de obra expresado en SMMLV)</w:t>
            </w:r>
          </w:p>
        </w:tc>
      </w:tr>
      <w:tr w:rsidR="00992703" w:rsidRPr="00412A1B" w14:paraId="33D61228" w14:textId="77777777" w:rsidTr="00105A09">
        <w:tc>
          <w:tcPr>
            <w:tcW w:w="3055" w:type="dxa"/>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323BBD7D" w14:textId="77777777" w:rsidR="00992703" w:rsidRPr="00AE5764" w:rsidRDefault="00992703" w:rsidP="00AE5764">
            <w:pPr>
              <w:jc w:val="both"/>
              <w:rPr>
                <w:rFonts w:ascii="Arial" w:hAnsi="Arial" w:cs="Arial"/>
                <w:sz w:val="19"/>
                <w:szCs w:val="19"/>
                <w:lang w:val="es-ES"/>
              </w:rPr>
            </w:pPr>
            <w:r w:rsidRPr="00AE5764">
              <w:rPr>
                <w:rFonts w:ascii="Arial" w:hAnsi="Arial" w:cs="Arial"/>
                <w:sz w:val="19"/>
                <w:szCs w:val="19"/>
                <w:lang w:val="es-ES"/>
              </w:rPr>
              <w:t>De 1 hasta 2</w:t>
            </w:r>
          </w:p>
        </w:tc>
        <w:tc>
          <w:tcPr>
            <w:tcW w:w="4192" w:type="dxa"/>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38E13C60" w14:textId="77777777" w:rsidR="00992703" w:rsidRPr="00AE5764" w:rsidRDefault="00992703" w:rsidP="00AE5764">
            <w:pPr>
              <w:jc w:val="both"/>
              <w:rPr>
                <w:rFonts w:ascii="Arial" w:hAnsi="Arial" w:cs="Arial"/>
                <w:sz w:val="19"/>
                <w:szCs w:val="19"/>
                <w:lang w:val="es-ES"/>
              </w:rPr>
            </w:pPr>
            <w:r w:rsidRPr="00AE5764">
              <w:rPr>
                <w:rFonts w:ascii="Arial" w:hAnsi="Arial" w:cs="Arial"/>
                <w:sz w:val="19"/>
                <w:szCs w:val="19"/>
                <w:lang w:val="es-ES"/>
              </w:rPr>
              <w:t>75 %</w:t>
            </w:r>
          </w:p>
        </w:tc>
      </w:tr>
      <w:tr w:rsidR="00992703" w:rsidRPr="00412A1B" w14:paraId="728ED8B8" w14:textId="77777777" w:rsidTr="00105A09">
        <w:tc>
          <w:tcPr>
            <w:tcW w:w="3055" w:type="dxa"/>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368355DC" w14:textId="77777777" w:rsidR="00992703" w:rsidRPr="00AE5764" w:rsidRDefault="00992703" w:rsidP="00AE5764">
            <w:pPr>
              <w:jc w:val="both"/>
              <w:rPr>
                <w:rFonts w:ascii="Arial" w:hAnsi="Arial" w:cs="Arial"/>
                <w:sz w:val="19"/>
                <w:szCs w:val="19"/>
                <w:lang w:val="es-ES"/>
              </w:rPr>
            </w:pPr>
            <w:r w:rsidRPr="00AE5764">
              <w:rPr>
                <w:rFonts w:ascii="Arial" w:hAnsi="Arial" w:cs="Arial"/>
                <w:sz w:val="19"/>
                <w:szCs w:val="19"/>
                <w:lang w:val="es-ES"/>
              </w:rPr>
              <w:t>De 3 hasta 4</w:t>
            </w:r>
          </w:p>
        </w:tc>
        <w:tc>
          <w:tcPr>
            <w:tcW w:w="4192" w:type="dxa"/>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67819DC7" w14:textId="77777777" w:rsidR="00992703" w:rsidRPr="00AE5764" w:rsidRDefault="00992703" w:rsidP="00AE5764">
            <w:pPr>
              <w:jc w:val="both"/>
              <w:rPr>
                <w:rFonts w:ascii="Arial" w:hAnsi="Arial" w:cs="Arial"/>
                <w:sz w:val="19"/>
                <w:szCs w:val="19"/>
                <w:lang w:val="es-ES"/>
              </w:rPr>
            </w:pPr>
            <w:r w:rsidRPr="00AE5764">
              <w:rPr>
                <w:rFonts w:ascii="Arial" w:hAnsi="Arial" w:cs="Arial"/>
                <w:sz w:val="19"/>
                <w:szCs w:val="19"/>
                <w:lang w:val="es-ES"/>
              </w:rPr>
              <w:t>120 %</w:t>
            </w:r>
          </w:p>
        </w:tc>
      </w:tr>
      <w:tr w:rsidR="00992703" w:rsidRPr="00412A1B" w14:paraId="121B0587" w14:textId="77777777" w:rsidTr="00105A09">
        <w:tc>
          <w:tcPr>
            <w:tcW w:w="3055" w:type="dxa"/>
            <w:tcBorders>
              <w:top w:val="single" w:sz="4" w:space="0" w:color="000000" w:themeColor="text1"/>
              <w:left w:val="double" w:sz="4" w:space="0" w:color="auto"/>
              <w:bottom w:val="double" w:sz="4" w:space="0" w:color="auto"/>
              <w:right w:val="single" w:sz="4" w:space="0" w:color="000000" w:themeColor="text1"/>
            </w:tcBorders>
            <w:vAlign w:val="center"/>
            <w:hideMark/>
          </w:tcPr>
          <w:p w14:paraId="6D1D0D97" w14:textId="77777777" w:rsidR="00992703" w:rsidRPr="00AE5764" w:rsidRDefault="00992703" w:rsidP="00AE5764">
            <w:pPr>
              <w:jc w:val="both"/>
              <w:rPr>
                <w:rFonts w:ascii="Arial" w:hAnsi="Arial" w:cs="Arial"/>
                <w:sz w:val="19"/>
                <w:szCs w:val="19"/>
                <w:lang w:val="es-ES"/>
              </w:rPr>
            </w:pPr>
            <w:r w:rsidRPr="00AE5764">
              <w:rPr>
                <w:rFonts w:ascii="Arial" w:hAnsi="Arial" w:cs="Arial"/>
                <w:sz w:val="19"/>
                <w:szCs w:val="19"/>
                <w:lang w:val="es-ES"/>
              </w:rPr>
              <w:t>De 5 hasta 6</w:t>
            </w:r>
          </w:p>
        </w:tc>
        <w:tc>
          <w:tcPr>
            <w:tcW w:w="4192" w:type="dxa"/>
            <w:tcBorders>
              <w:top w:val="single" w:sz="4" w:space="0" w:color="000000" w:themeColor="text1"/>
              <w:left w:val="single" w:sz="4" w:space="0" w:color="000000" w:themeColor="text1"/>
              <w:bottom w:val="double" w:sz="4" w:space="0" w:color="auto"/>
              <w:right w:val="double" w:sz="4" w:space="0" w:color="auto"/>
            </w:tcBorders>
            <w:vAlign w:val="center"/>
            <w:hideMark/>
          </w:tcPr>
          <w:p w14:paraId="0E9F58B6" w14:textId="77777777" w:rsidR="00992703" w:rsidRPr="00AE5764" w:rsidRDefault="00992703" w:rsidP="00AE5764">
            <w:pPr>
              <w:jc w:val="both"/>
              <w:rPr>
                <w:rFonts w:ascii="Arial" w:hAnsi="Arial" w:cs="Arial"/>
                <w:sz w:val="19"/>
                <w:szCs w:val="19"/>
                <w:lang w:val="es-ES"/>
              </w:rPr>
            </w:pPr>
            <w:r w:rsidRPr="00AE5764">
              <w:rPr>
                <w:rFonts w:ascii="Arial" w:hAnsi="Arial" w:cs="Arial"/>
                <w:sz w:val="19"/>
                <w:szCs w:val="19"/>
                <w:lang w:val="es-ES"/>
              </w:rPr>
              <w:t>150 %</w:t>
            </w:r>
          </w:p>
        </w:tc>
      </w:tr>
    </w:tbl>
    <w:p w14:paraId="31AFC37E" w14:textId="77777777" w:rsidR="00992703" w:rsidRPr="00412A1B" w:rsidRDefault="00992703" w:rsidP="00412A1B">
      <w:pPr>
        <w:ind w:firstLine="708"/>
        <w:jc w:val="both"/>
        <w:rPr>
          <w:rFonts w:ascii="Arial" w:eastAsia="Arial" w:hAnsi="Arial" w:cs="Arial"/>
          <w:sz w:val="19"/>
          <w:szCs w:val="19"/>
          <w:lang w:val="es-MX"/>
        </w:rPr>
      </w:pPr>
    </w:p>
    <w:p w14:paraId="3EEB7C22" w14:textId="3E3637E5" w:rsidR="00992703" w:rsidRPr="00AE5764" w:rsidRDefault="00B827E2" w:rsidP="00412A1B">
      <w:pPr>
        <w:ind w:firstLine="708"/>
        <w:jc w:val="both"/>
        <w:rPr>
          <w:rFonts w:ascii="Arial" w:eastAsia="Arial" w:hAnsi="Arial" w:cs="Arial"/>
          <w:sz w:val="19"/>
          <w:szCs w:val="19"/>
          <w:highlight w:val="lightGray"/>
          <w:lang w:val="es-MX"/>
        </w:rPr>
      </w:pPr>
      <w:r w:rsidRPr="00412A1B">
        <w:rPr>
          <w:rFonts w:ascii="Arial" w:hAnsi="Arial" w:cs="Arial"/>
          <w:sz w:val="19"/>
          <w:szCs w:val="19"/>
          <w:lang w:val="es-ES"/>
        </w:rPr>
        <w:t>»</w:t>
      </w:r>
      <w:r w:rsidRPr="00412A1B">
        <w:rPr>
          <w:rFonts w:ascii="Arial" w:eastAsia="Arial" w:hAnsi="Arial" w:cs="Arial"/>
          <w:sz w:val="19"/>
          <w:szCs w:val="19"/>
          <w:lang w:val="es-MX"/>
        </w:rPr>
        <w:t xml:space="preserve"> </w:t>
      </w:r>
      <w:r w:rsidR="00992703" w:rsidRPr="00412A1B">
        <w:rPr>
          <w:rFonts w:ascii="Arial" w:eastAsia="Arial" w:hAnsi="Arial" w:cs="Arial"/>
          <w:sz w:val="19"/>
          <w:szCs w:val="19"/>
          <w:lang w:val="es-MX"/>
        </w:rPr>
        <w:t>[</w:t>
      </w:r>
      <w:r w:rsidR="00992703" w:rsidRPr="00AE5764">
        <w:rPr>
          <w:rFonts w:ascii="Arial" w:eastAsia="Arial" w:hAnsi="Arial" w:cs="Arial"/>
          <w:sz w:val="19"/>
          <w:szCs w:val="19"/>
          <w:highlight w:val="lightGray"/>
          <w:lang w:val="es-MX"/>
        </w:rPr>
        <w:t>La constatación de la experiencia se definirá de acuerdo con el valor desagregado del Presupuesto Oficial equivalente a los bienes y servicios adicionales y cuando la Entidad Estatal permita acreditar la experiencia con hasta máximo seis (6) contratos adicionales, teniendo en cuenta los siguientes porcentajes.</w:t>
      </w:r>
    </w:p>
    <w:p w14:paraId="6B060981" w14:textId="410B2FB2" w:rsidR="00992703" w:rsidRPr="00412A1B" w:rsidRDefault="00B827E2" w:rsidP="00412A1B">
      <w:pPr>
        <w:ind w:firstLine="708"/>
        <w:jc w:val="both"/>
        <w:rPr>
          <w:rFonts w:ascii="Arial" w:eastAsia="Arial" w:hAnsi="Arial" w:cs="Arial"/>
          <w:sz w:val="19"/>
          <w:szCs w:val="19"/>
          <w:lang w:val="es-MX"/>
        </w:rPr>
      </w:pPr>
      <w:proofErr w:type="gramStart"/>
      <w:r w:rsidRPr="00AE5764">
        <w:rPr>
          <w:rFonts w:ascii="Arial" w:hAnsi="Arial" w:cs="Arial"/>
          <w:sz w:val="19"/>
          <w:szCs w:val="19"/>
          <w:highlight w:val="lightGray"/>
          <w:lang w:val="es-ES"/>
        </w:rPr>
        <w:t>»</w:t>
      </w:r>
      <w:r w:rsidR="00992703" w:rsidRPr="00AE5764">
        <w:rPr>
          <w:rFonts w:ascii="Arial" w:eastAsia="Arial" w:hAnsi="Arial" w:cs="Arial"/>
          <w:sz w:val="19"/>
          <w:szCs w:val="19"/>
          <w:highlight w:val="lightGray"/>
          <w:lang w:val="es-MX"/>
        </w:rPr>
        <w:t>La</w:t>
      </w:r>
      <w:proofErr w:type="gramEnd"/>
      <w:r w:rsidR="00992703" w:rsidRPr="00AE5764">
        <w:rPr>
          <w:rFonts w:ascii="Arial" w:eastAsia="Arial" w:hAnsi="Arial" w:cs="Arial"/>
          <w:sz w:val="19"/>
          <w:szCs w:val="19"/>
          <w:highlight w:val="lightGray"/>
          <w:lang w:val="es-MX"/>
        </w:rPr>
        <w:t xml:space="preserve"> Entidad al momento de estructurar el Presupuesto Oficial del Proceso de Contratación discriminará el porcentaje relacionado con los bienes y servicios adicionales a la obra pública de infraestructura social</w:t>
      </w:r>
      <w:r w:rsidR="00992703" w:rsidRPr="00412A1B">
        <w:rPr>
          <w:rFonts w:ascii="Arial" w:eastAsia="Arial" w:hAnsi="Arial" w:cs="Arial"/>
          <w:sz w:val="19"/>
          <w:szCs w:val="19"/>
          <w:lang w:val="es-MX"/>
        </w:rPr>
        <w:t xml:space="preserve">]  </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5"/>
        <w:gridCol w:w="4192"/>
      </w:tblGrid>
      <w:tr w:rsidR="00992703" w:rsidRPr="00412A1B" w14:paraId="3743FE50" w14:textId="77777777" w:rsidTr="00B827E2">
        <w:trPr>
          <w:trHeight w:val="737"/>
          <w:tblHeader/>
        </w:trPr>
        <w:tc>
          <w:tcPr>
            <w:tcW w:w="3055" w:type="dxa"/>
            <w:tcBorders>
              <w:top w:val="double" w:sz="4" w:space="0" w:color="auto"/>
              <w:left w:val="double" w:sz="4" w:space="0" w:color="auto"/>
              <w:bottom w:val="single" w:sz="4" w:space="0" w:color="000000" w:themeColor="text1"/>
              <w:right w:val="single" w:sz="4" w:space="0" w:color="000000" w:themeColor="text1"/>
            </w:tcBorders>
            <w:shd w:val="clear" w:color="auto" w:fill="BFBFBF" w:themeFill="accent2" w:themeFillShade="BF"/>
            <w:vAlign w:val="center"/>
            <w:hideMark/>
          </w:tcPr>
          <w:p w14:paraId="61A77BF1" w14:textId="77777777" w:rsidR="00992703" w:rsidRPr="00AE5764" w:rsidRDefault="00992703" w:rsidP="00AE5764">
            <w:pPr>
              <w:jc w:val="both"/>
              <w:rPr>
                <w:rFonts w:ascii="Arial" w:hAnsi="Arial" w:cs="Arial"/>
                <w:b/>
                <w:bCs/>
                <w:sz w:val="19"/>
                <w:szCs w:val="19"/>
                <w:lang w:val="es-ES"/>
              </w:rPr>
            </w:pPr>
            <w:r w:rsidRPr="00AE5764">
              <w:rPr>
                <w:rFonts w:ascii="Arial" w:hAnsi="Arial" w:cs="Arial"/>
                <w:b/>
                <w:bCs/>
                <w:sz w:val="19"/>
                <w:szCs w:val="19"/>
                <w:lang w:val="es-ES"/>
              </w:rPr>
              <w:t>Número de contratos con los cuales el Proponente cumple la experiencia acreditada</w:t>
            </w:r>
          </w:p>
        </w:tc>
        <w:tc>
          <w:tcPr>
            <w:tcW w:w="4192" w:type="dxa"/>
            <w:tcBorders>
              <w:top w:val="double" w:sz="4" w:space="0" w:color="auto"/>
              <w:left w:val="single" w:sz="4" w:space="0" w:color="000000" w:themeColor="text1"/>
              <w:bottom w:val="single" w:sz="4" w:space="0" w:color="000000" w:themeColor="text1"/>
              <w:right w:val="double" w:sz="4" w:space="0" w:color="auto"/>
            </w:tcBorders>
            <w:shd w:val="clear" w:color="auto" w:fill="BFBFBF" w:themeFill="accent2" w:themeFillShade="BF"/>
            <w:vAlign w:val="center"/>
            <w:hideMark/>
          </w:tcPr>
          <w:p w14:paraId="714AC3E9" w14:textId="77777777" w:rsidR="00992703" w:rsidRPr="00AE5764" w:rsidRDefault="00992703" w:rsidP="00AE5764">
            <w:pPr>
              <w:jc w:val="both"/>
              <w:rPr>
                <w:rFonts w:ascii="Arial" w:hAnsi="Arial" w:cs="Arial"/>
                <w:b/>
                <w:bCs/>
                <w:sz w:val="19"/>
                <w:szCs w:val="19"/>
                <w:lang w:val="es-ES"/>
              </w:rPr>
            </w:pPr>
            <w:proofErr w:type="gramStart"/>
            <w:r w:rsidRPr="00AE5764">
              <w:rPr>
                <w:rFonts w:ascii="Arial" w:hAnsi="Arial" w:cs="Arial"/>
                <w:b/>
                <w:bCs/>
                <w:sz w:val="19"/>
                <w:szCs w:val="19"/>
                <w:lang w:val="es-ES"/>
              </w:rPr>
              <w:t>Valor mínimo a certificar</w:t>
            </w:r>
            <w:proofErr w:type="gramEnd"/>
          </w:p>
          <w:p w14:paraId="5C4AA90B" w14:textId="77777777" w:rsidR="00992703" w:rsidRPr="00AE5764" w:rsidRDefault="00992703" w:rsidP="00AE5764">
            <w:pPr>
              <w:jc w:val="both"/>
              <w:rPr>
                <w:rFonts w:ascii="Arial" w:hAnsi="Arial" w:cs="Arial"/>
                <w:b/>
                <w:bCs/>
                <w:sz w:val="19"/>
                <w:szCs w:val="19"/>
                <w:lang w:val="es-ES"/>
              </w:rPr>
            </w:pPr>
            <w:r w:rsidRPr="00AE5764">
              <w:rPr>
                <w:rFonts w:ascii="Arial" w:hAnsi="Arial" w:cs="Arial"/>
                <w:b/>
                <w:bCs/>
                <w:sz w:val="19"/>
                <w:szCs w:val="19"/>
                <w:lang w:val="es-ES"/>
              </w:rPr>
              <w:t>(como % del Presupuesto Oficial referido a los bienes y servicios adicionales)</w:t>
            </w:r>
          </w:p>
        </w:tc>
      </w:tr>
      <w:tr w:rsidR="00992703" w:rsidRPr="00412A1B" w14:paraId="7B0468B8" w14:textId="77777777" w:rsidTr="00105A09">
        <w:tc>
          <w:tcPr>
            <w:tcW w:w="3055" w:type="dxa"/>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46800B71" w14:textId="77777777" w:rsidR="00992703" w:rsidRPr="00AE5764" w:rsidRDefault="00992703" w:rsidP="00AE5764">
            <w:pPr>
              <w:jc w:val="both"/>
              <w:rPr>
                <w:rFonts w:ascii="Arial" w:hAnsi="Arial" w:cs="Arial"/>
                <w:sz w:val="19"/>
                <w:szCs w:val="19"/>
                <w:lang w:val="es-ES"/>
              </w:rPr>
            </w:pPr>
            <w:r w:rsidRPr="00AE5764">
              <w:rPr>
                <w:rFonts w:ascii="Arial" w:hAnsi="Arial" w:cs="Arial"/>
                <w:sz w:val="19"/>
                <w:szCs w:val="19"/>
                <w:lang w:val="es-ES"/>
              </w:rPr>
              <w:t>De 1 hasta 2</w:t>
            </w:r>
          </w:p>
        </w:tc>
        <w:tc>
          <w:tcPr>
            <w:tcW w:w="4192" w:type="dxa"/>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3943D9B9" w14:textId="77777777" w:rsidR="00992703" w:rsidRPr="00AE5764" w:rsidRDefault="00992703" w:rsidP="00AE5764">
            <w:pPr>
              <w:jc w:val="both"/>
              <w:rPr>
                <w:rFonts w:ascii="Arial" w:hAnsi="Arial" w:cs="Arial"/>
                <w:sz w:val="19"/>
                <w:szCs w:val="19"/>
                <w:lang w:val="es-ES"/>
              </w:rPr>
            </w:pPr>
            <w:r w:rsidRPr="00AE5764">
              <w:rPr>
                <w:rFonts w:ascii="Arial" w:hAnsi="Arial" w:cs="Arial"/>
                <w:sz w:val="19"/>
                <w:szCs w:val="19"/>
                <w:lang w:val="es-ES"/>
              </w:rPr>
              <w:t>50 %</w:t>
            </w:r>
          </w:p>
        </w:tc>
      </w:tr>
      <w:tr w:rsidR="00992703" w:rsidRPr="00412A1B" w14:paraId="1E22559B" w14:textId="77777777" w:rsidTr="00992703">
        <w:trPr>
          <w:trHeight w:val="70"/>
        </w:trPr>
        <w:tc>
          <w:tcPr>
            <w:tcW w:w="3055" w:type="dxa"/>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733244DD" w14:textId="77777777" w:rsidR="00992703" w:rsidRPr="00AE5764" w:rsidRDefault="00992703" w:rsidP="00AE5764">
            <w:pPr>
              <w:jc w:val="both"/>
              <w:rPr>
                <w:rFonts w:ascii="Arial" w:hAnsi="Arial" w:cs="Arial"/>
                <w:sz w:val="19"/>
                <w:szCs w:val="19"/>
                <w:lang w:val="es-ES"/>
              </w:rPr>
            </w:pPr>
            <w:r w:rsidRPr="00AE5764">
              <w:rPr>
                <w:rFonts w:ascii="Arial" w:hAnsi="Arial" w:cs="Arial"/>
                <w:sz w:val="19"/>
                <w:szCs w:val="19"/>
                <w:lang w:val="es-ES"/>
              </w:rPr>
              <w:t>De 3 hasta 4</w:t>
            </w:r>
          </w:p>
        </w:tc>
        <w:tc>
          <w:tcPr>
            <w:tcW w:w="4192" w:type="dxa"/>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6A88D362" w14:textId="77777777" w:rsidR="00992703" w:rsidRPr="00AE5764" w:rsidRDefault="00992703" w:rsidP="00AE5764">
            <w:pPr>
              <w:jc w:val="both"/>
              <w:rPr>
                <w:rFonts w:ascii="Arial" w:hAnsi="Arial" w:cs="Arial"/>
                <w:sz w:val="19"/>
                <w:szCs w:val="19"/>
                <w:lang w:val="es-ES"/>
              </w:rPr>
            </w:pPr>
            <w:r w:rsidRPr="00AE5764">
              <w:rPr>
                <w:rFonts w:ascii="Arial" w:hAnsi="Arial" w:cs="Arial"/>
                <w:sz w:val="19"/>
                <w:szCs w:val="19"/>
                <w:lang w:val="es-ES"/>
              </w:rPr>
              <w:t>100 %</w:t>
            </w:r>
          </w:p>
        </w:tc>
      </w:tr>
      <w:tr w:rsidR="00992703" w:rsidRPr="00412A1B" w14:paraId="3FAEDA61" w14:textId="77777777" w:rsidTr="00105A09">
        <w:tc>
          <w:tcPr>
            <w:tcW w:w="3055" w:type="dxa"/>
            <w:tcBorders>
              <w:top w:val="single" w:sz="4" w:space="0" w:color="000000" w:themeColor="text1"/>
              <w:left w:val="double" w:sz="4" w:space="0" w:color="auto"/>
              <w:bottom w:val="double" w:sz="4" w:space="0" w:color="auto"/>
              <w:right w:val="single" w:sz="4" w:space="0" w:color="000000" w:themeColor="text1"/>
            </w:tcBorders>
            <w:vAlign w:val="center"/>
            <w:hideMark/>
          </w:tcPr>
          <w:p w14:paraId="263AF094" w14:textId="77777777" w:rsidR="00992703" w:rsidRPr="00AE5764" w:rsidRDefault="00992703" w:rsidP="00AE5764">
            <w:pPr>
              <w:jc w:val="both"/>
              <w:rPr>
                <w:rFonts w:ascii="Arial" w:hAnsi="Arial" w:cs="Arial"/>
                <w:sz w:val="19"/>
                <w:szCs w:val="19"/>
                <w:lang w:val="es-ES"/>
              </w:rPr>
            </w:pPr>
            <w:r w:rsidRPr="00AE5764">
              <w:rPr>
                <w:rFonts w:ascii="Arial" w:hAnsi="Arial" w:cs="Arial"/>
                <w:sz w:val="19"/>
                <w:szCs w:val="19"/>
                <w:lang w:val="es-ES"/>
              </w:rPr>
              <w:t>De 5 hasta 6</w:t>
            </w:r>
          </w:p>
        </w:tc>
        <w:tc>
          <w:tcPr>
            <w:tcW w:w="4192" w:type="dxa"/>
            <w:tcBorders>
              <w:top w:val="single" w:sz="4" w:space="0" w:color="000000" w:themeColor="text1"/>
              <w:left w:val="single" w:sz="4" w:space="0" w:color="000000" w:themeColor="text1"/>
              <w:bottom w:val="double" w:sz="4" w:space="0" w:color="auto"/>
              <w:right w:val="double" w:sz="4" w:space="0" w:color="auto"/>
            </w:tcBorders>
            <w:vAlign w:val="center"/>
            <w:hideMark/>
          </w:tcPr>
          <w:p w14:paraId="3E2C2C5E" w14:textId="77777777" w:rsidR="00992703" w:rsidRPr="00AE5764" w:rsidRDefault="00992703" w:rsidP="00AE5764">
            <w:pPr>
              <w:jc w:val="both"/>
              <w:rPr>
                <w:rFonts w:ascii="Arial" w:hAnsi="Arial" w:cs="Arial"/>
                <w:sz w:val="19"/>
                <w:szCs w:val="19"/>
                <w:lang w:val="es-ES"/>
              </w:rPr>
            </w:pPr>
            <w:r w:rsidRPr="00AE5764">
              <w:rPr>
                <w:rFonts w:ascii="Arial" w:hAnsi="Arial" w:cs="Arial"/>
                <w:sz w:val="19"/>
                <w:szCs w:val="19"/>
                <w:lang w:val="es-ES"/>
              </w:rPr>
              <w:t>120 %</w:t>
            </w:r>
          </w:p>
        </w:tc>
      </w:tr>
    </w:tbl>
    <w:p w14:paraId="31FC98FA" w14:textId="77777777" w:rsidR="00992703" w:rsidRPr="00412A1B" w:rsidRDefault="00992703" w:rsidP="00412A1B">
      <w:pPr>
        <w:ind w:firstLine="708"/>
        <w:jc w:val="both"/>
        <w:rPr>
          <w:rFonts w:ascii="Arial" w:eastAsia="Arial" w:hAnsi="Arial" w:cs="Arial"/>
          <w:sz w:val="19"/>
          <w:szCs w:val="19"/>
          <w:lang w:val="es-MX"/>
        </w:rPr>
      </w:pPr>
    </w:p>
    <w:p w14:paraId="42856B36" w14:textId="6531A1E5" w:rsidR="00992703" w:rsidRPr="00412A1B" w:rsidRDefault="00B827E2" w:rsidP="00412A1B">
      <w:pPr>
        <w:ind w:firstLine="708"/>
        <w:jc w:val="both"/>
        <w:rPr>
          <w:rFonts w:ascii="Arial" w:eastAsia="Arial" w:hAnsi="Arial" w:cs="Arial"/>
          <w:sz w:val="19"/>
          <w:szCs w:val="19"/>
          <w:lang w:val="es-MX"/>
        </w:rPr>
      </w:pPr>
      <w:proofErr w:type="gramStart"/>
      <w:r w:rsidRPr="00412A1B">
        <w:rPr>
          <w:rFonts w:ascii="Arial" w:hAnsi="Arial" w:cs="Arial"/>
          <w:sz w:val="19"/>
          <w:szCs w:val="19"/>
          <w:lang w:val="es-ES"/>
        </w:rPr>
        <w:t>»</w:t>
      </w:r>
      <w:r w:rsidR="00992703" w:rsidRPr="00412A1B">
        <w:rPr>
          <w:rFonts w:ascii="Arial" w:eastAsia="Arial" w:hAnsi="Arial" w:cs="Arial"/>
          <w:sz w:val="19"/>
          <w:szCs w:val="19"/>
          <w:lang w:val="es-MX"/>
        </w:rPr>
        <w:t>La</w:t>
      </w:r>
      <w:proofErr w:type="gramEnd"/>
      <w:r w:rsidR="00992703" w:rsidRPr="00412A1B">
        <w:rPr>
          <w:rFonts w:ascii="Arial" w:eastAsia="Arial" w:hAnsi="Arial" w:cs="Arial"/>
          <w:sz w:val="19"/>
          <w:szCs w:val="19"/>
          <w:lang w:val="es-MX"/>
        </w:rPr>
        <w:t xml:space="preserve"> verificación se hará con base en la sumatoria de los valores totales ejecutados (incluido IVA) en SMMLV de los Contratos que cumplan con los requisitos establecidos en este Pliego de Condiciones.</w:t>
      </w:r>
    </w:p>
    <w:p w14:paraId="136EDFE5" w14:textId="3C1CAD0D" w:rsidR="00992703" w:rsidRPr="00412A1B" w:rsidRDefault="00B827E2" w:rsidP="00412A1B">
      <w:pPr>
        <w:ind w:firstLine="708"/>
        <w:jc w:val="both"/>
        <w:rPr>
          <w:rFonts w:ascii="Arial" w:eastAsia="Arial" w:hAnsi="Arial" w:cs="Arial"/>
          <w:sz w:val="19"/>
          <w:szCs w:val="19"/>
          <w:lang w:val="es-MX"/>
        </w:rPr>
      </w:pPr>
      <w:proofErr w:type="gramStart"/>
      <w:r w:rsidRPr="00412A1B">
        <w:rPr>
          <w:rFonts w:ascii="Arial" w:hAnsi="Arial" w:cs="Arial"/>
          <w:sz w:val="19"/>
          <w:szCs w:val="19"/>
          <w:lang w:val="es-ES"/>
        </w:rPr>
        <w:t>»</w:t>
      </w:r>
      <w:r w:rsidR="00992703" w:rsidRPr="00412A1B">
        <w:rPr>
          <w:rFonts w:ascii="Arial" w:eastAsia="Arial" w:hAnsi="Arial" w:cs="Arial"/>
          <w:sz w:val="19"/>
          <w:szCs w:val="19"/>
          <w:lang w:val="es-MX"/>
        </w:rPr>
        <w:t>El</w:t>
      </w:r>
      <w:proofErr w:type="gramEnd"/>
      <w:r w:rsidR="00992703" w:rsidRPr="00412A1B">
        <w:rPr>
          <w:rFonts w:ascii="Arial" w:eastAsia="Arial" w:hAnsi="Arial" w:cs="Arial"/>
          <w:sz w:val="19"/>
          <w:szCs w:val="19"/>
          <w:lang w:val="es-MX"/>
        </w:rPr>
        <w:t xml:space="preserve"> Proponente cumple el requisito de experiencia si la sumatoria de los valores totales ejecutados (incluido IVA) de los contratos expresados en SMMLV es mayor o igual al valor mínimo a certificar establecido en las tablas anteriores.</w:t>
      </w:r>
    </w:p>
    <w:p w14:paraId="1F900F89" w14:textId="3327A3EA" w:rsidR="00992703" w:rsidRPr="00412A1B" w:rsidRDefault="00B827E2" w:rsidP="00412A1B">
      <w:pPr>
        <w:ind w:firstLine="708"/>
        <w:jc w:val="both"/>
        <w:rPr>
          <w:rFonts w:ascii="Arial" w:eastAsia="Arial" w:hAnsi="Arial" w:cs="Arial"/>
          <w:sz w:val="19"/>
          <w:szCs w:val="19"/>
          <w:lang w:val="es-MX"/>
        </w:rPr>
      </w:pPr>
      <w:proofErr w:type="gramStart"/>
      <w:r w:rsidRPr="00412A1B">
        <w:rPr>
          <w:rFonts w:ascii="Arial" w:hAnsi="Arial" w:cs="Arial"/>
          <w:sz w:val="19"/>
          <w:szCs w:val="19"/>
          <w:lang w:val="es-ES"/>
        </w:rPr>
        <w:t>»</w:t>
      </w:r>
      <w:r w:rsidR="00992703" w:rsidRPr="00412A1B">
        <w:rPr>
          <w:rFonts w:ascii="Arial" w:eastAsia="Arial" w:hAnsi="Arial" w:cs="Arial"/>
          <w:sz w:val="19"/>
          <w:szCs w:val="19"/>
          <w:lang w:val="es-MX"/>
        </w:rPr>
        <w:t>En</w:t>
      </w:r>
      <w:proofErr w:type="gramEnd"/>
      <w:r w:rsidR="00992703" w:rsidRPr="00412A1B">
        <w:rPr>
          <w:rFonts w:ascii="Arial" w:eastAsia="Arial" w:hAnsi="Arial" w:cs="Arial"/>
          <w:sz w:val="19"/>
          <w:szCs w:val="19"/>
          <w:lang w:val="es-MX"/>
        </w:rPr>
        <w:t xml:space="preserve"> caso de que el número de Contratos con los cuales el Proponente acredita la experiencia no satisfaga el porcentaje mínimo a certificar establecido en las tablas anteriores, se calificará la propuesta como no hábil y el Proponente podrá subsanarla en los términos de la sección 1.6.</w:t>
      </w:r>
    </w:p>
    <w:p w14:paraId="537CEA56" w14:textId="77141987" w:rsidR="00C356C5" w:rsidRPr="00412A1B" w:rsidRDefault="00B827E2" w:rsidP="00412A1B">
      <w:pPr>
        <w:ind w:firstLine="708"/>
        <w:jc w:val="both"/>
        <w:rPr>
          <w:rFonts w:ascii="Arial" w:eastAsia="Arial" w:hAnsi="Arial" w:cs="Arial"/>
          <w:sz w:val="19"/>
          <w:szCs w:val="19"/>
          <w:lang w:val="es-MX"/>
        </w:rPr>
      </w:pPr>
      <w:proofErr w:type="gramStart"/>
      <w:r w:rsidRPr="00412A1B">
        <w:rPr>
          <w:rFonts w:ascii="Arial" w:hAnsi="Arial" w:cs="Arial"/>
          <w:sz w:val="19"/>
          <w:szCs w:val="19"/>
          <w:lang w:val="es-ES"/>
        </w:rPr>
        <w:t>»</w:t>
      </w:r>
      <w:r w:rsidR="00992703" w:rsidRPr="00412A1B">
        <w:rPr>
          <w:rFonts w:ascii="Arial" w:eastAsia="Arial" w:hAnsi="Arial" w:cs="Arial"/>
          <w:sz w:val="19"/>
          <w:szCs w:val="19"/>
          <w:lang w:val="es-MX"/>
        </w:rPr>
        <w:t>En</w:t>
      </w:r>
      <w:proofErr w:type="gramEnd"/>
      <w:r w:rsidR="00992703" w:rsidRPr="00412A1B">
        <w:rPr>
          <w:rFonts w:ascii="Arial" w:eastAsia="Arial" w:hAnsi="Arial" w:cs="Arial"/>
          <w:sz w:val="19"/>
          <w:szCs w:val="19"/>
          <w:lang w:val="es-MX"/>
        </w:rPr>
        <w:t xml:space="preserve"> los Procesos de Contratación estructurados por lotes, el valor mínimo a certificar debe ser en relación con el valor del Presupuesto Oficial del respectivo lote expresado en SMMLV]</w:t>
      </w:r>
      <w:r w:rsidRPr="00412A1B">
        <w:rPr>
          <w:rFonts w:ascii="Arial" w:hAnsi="Arial" w:cs="Arial"/>
          <w:color w:val="000000" w:themeColor="text1"/>
          <w:sz w:val="19"/>
          <w:szCs w:val="19"/>
        </w:rPr>
        <w:t>»</w:t>
      </w:r>
    </w:p>
    <w:p w14:paraId="7A36CE97" w14:textId="77777777" w:rsidR="00C356C5" w:rsidRPr="00412A1B" w:rsidRDefault="00C356C5" w:rsidP="00412A1B">
      <w:pPr>
        <w:pStyle w:val="Textonotapie"/>
        <w:ind w:firstLine="708"/>
        <w:jc w:val="both"/>
        <w:rPr>
          <w:rFonts w:ascii="Arial" w:hAnsi="Arial" w:cs="Arial"/>
          <w:sz w:val="19"/>
          <w:szCs w:val="19"/>
          <w:lang w:val="es-CO"/>
        </w:rPr>
      </w:pPr>
    </w:p>
  </w:footnote>
  <w:footnote w:id="14">
    <w:p w14:paraId="03C062A4" w14:textId="4AC72B95" w:rsidR="00956737" w:rsidRPr="00412A1B" w:rsidRDefault="00956737" w:rsidP="00412A1B">
      <w:pPr>
        <w:pStyle w:val="Textonotapie"/>
        <w:ind w:firstLine="709"/>
        <w:jc w:val="both"/>
        <w:rPr>
          <w:rFonts w:ascii="Arial" w:hAnsi="Arial" w:cs="Arial"/>
          <w:sz w:val="19"/>
          <w:szCs w:val="19"/>
        </w:rPr>
      </w:pPr>
      <w:r w:rsidRPr="00620F45">
        <w:rPr>
          <w:rStyle w:val="Refdenotaalpie"/>
          <w:rFonts w:ascii="Arial" w:hAnsi="Arial" w:cs="Arial"/>
          <w:sz w:val="19"/>
          <w:szCs w:val="19"/>
        </w:rPr>
        <w:footnoteRef/>
      </w:r>
      <w:r w:rsidRPr="00620F45">
        <w:rPr>
          <w:rFonts w:ascii="Arial" w:hAnsi="Arial" w:cs="Arial"/>
          <w:sz w:val="19"/>
          <w:szCs w:val="19"/>
        </w:rPr>
        <w:t xml:space="preserve"> </w:t>
      </w:r>
      <w:bookmarkStart w:id="28" w:name="_Hlk102140462"/>
      <w:r w:rsidRPr="00412A1B">
        <w:rPr>
          <w:rFonts w:ascii="Arial" w:hAnsi="Arial" w:cs="Arial"/>
          <w:sz w:val="19"/>
          <w:szCs w:val="19"/>
        </w:rPr>
        <w:t>«</w:t>
      </w:r>
      <w:bookmarkEnd w:id="28"/>
      <w:r w:rsidRPr="00412A1B">
        <w:rPr>
          <w:rFonts w:ascii="Arial" w:hAnsi="Arial" w:cs="Arial"/>
          <w:sz w:val="19"/>
          <w:szCs w:val="19"/>
        </w:rPr>
        <w:t xml:space="preserve">Servicios Nacionales. En los contratos que deban cumplirse en Colombia, un servicio es colombiano si además de ser prestado por una persona natural colombiana o por un residente en Colombia, por una persona jurídica constituida de conformidad con la legislación colombiana o por un proponente plural conformado por estos o por estos y un extranjero con trato nacional, usa los bienes nacionales relevantes definidos por la Entidad Estatal para la prestación del servicio que será objeto del Proceso de Contratación o vinculen el porcentaje mínimo de personal colombiano según corresponda. </w:t>
      </w:r>
    </w:p>
    <w:p w14:paraId="0694EF12" w14:textId="26449166" w:rsidR="00956737" w:rsidRPr="00412A1B" w:rsidRDefault="00956737" w:rsidP="00412A1B">
      <w:pPr>
        <w:pStyle w:val="Textonotapie"/>
        <w:ind w:firstLine="709"/>
        <w:jc w:val="both"/>
        <w:rPr>
          <w:rFonts w:ascii="Arial" w:hAnsi="Arial" w:cs="Arial"/>
          <w:sz w:val="19"/>
          <w:szCs w:val="19"/>
        </w:rPr>
      </w:pPr>
      <w:r w:rsidRPr="00412A1B">
        <w:rPr>
          <w:rFonts w:ascii="Arial" w:hAnsi="Arial" w:cs="Arial"/>
          <w:sz w:val="19"/>
          <w:szCs w:val="19"/>
        </w:rPr>
        <w:t xml:space="preserve">«En los contratos que no deban cumplirse en Colombia, que sean prestados en el extranjero y estén sometidos a la legislación colombiana, un servicio es colombiano si es prestado por una persona natural colombiana o por un residente en Colombia, por una persona jurídica constituida de conformidad con la legislación colombiana o un proponente plural conformado por estos, sin que sea necesario el uso de bienes colombianos o la vinculación de personal colombiano. </w:t>
      </w:r>
    </w:p>
    <w:p w14:paraId="3664C104" w14:textId="7A02395E" w:rsidR="00956737" w:rsidRPr="00620F45" w:rsidRDefault="00956737" w:rsidP="00412A1B">
      <w:pPr>
        <w:pStyle w:val="Textonotapie"/>
        <w:ind w:firstLine="709"/>
        <w:jc w:val="both"/>
        <w:rPr>
          <w:rFonts w:ascii="Arial" w:hAnsi="Arial" w:cs="Arial"/>
          <w:sz w:val="19"/>
          <w:szCs w:val="19"/>
          <w:lang w:val="es-CO"/>
        </w:rPr>
      </w:pPr>
      <w:r w:rsidRPr="00412A1B">
        <w:rPr>
          <w:rFonts w:ascii="Arial" w:hAnsi="Arial" w:cs="Arial"/>
          <w:sz w:val="19"/>
          <w:szCs w:val="19"/>
        </w:rPr>
        <w:t>«Los extranjeros con trato nacional que participen en el Proceso de Contratación de manera singular o mediante la conformación de un proponente plural, podrán definir en su oferta si aplican la regla de origen aquí prevista, o cualquiera de las reglas de origen aplicables según el Acuerdo Comercial o la normativa comunitaria que corresponda. En aquellos casos en que no se indique en la oferta la regla de origen a aplicar, la Entidad Estatal deberá evaluar la oferta de acuerdo con la regla de origen aquí prevista».</w:t>
      </w:r>
    </w:p>
  </w:footnote>
  <w:footnote w:id="15">
    <w:p w14:paraId="159F7B7F" w14:textId="27B1349C" w:rsidR="00956737" w:rsidRPr="00412A1B" w:rsidRDefault="00956737" w:rsidP="00412A1B">
      <w:pPr>
        <w:pStyle w:val="Textonotapie"/>
        <w:ind w:firstLine="709"/>
        <w:jc w:val="both"/>
        <w:rPr>
          <w:rFonts w:ascii="Arial" w:hAnsi="Arial" w:cs="Arial"/>
          <w:sz w:val="19"/>
          <w:szCs w:val="19"/>
        </w:rPr>
      </w:pPr>
      <w:r w:rsidRPr="00620F45">
        <w:rPr>
          <w:rStyle w:val="Refdenotaalpie"/>
          <w:rFonts w:ascii="Arial" w:hAnsi="Arial" w:cs="Arial"/>
          <w:sz w:val="19"/>
          <w:szCs w:val="19"/>
        </w:rPr>
        <w:footnoteRef/>
      </w:r>
      <w:r w:rsidRPr="00620F45">
        <w:rPr>
          <w:rFonts w:ascii="Arial" w:hAnsi="Arial" w:cs="Arial"/>
          <w:sz w:val="19"/>
          <w:szCs w:val="19"/>
        </w:rPr>
        <w:t xml:space="preserve"> </w:t>
      </w:r>
      <w:r w:rsidRPr="00412A1B">
        <w:rPr>
          <w:rFonts w:ascii="Arial" w:hAnsi="Arial" w:cs="Arial"/>
          <w:sz w:val="19"/>
          <w:szCs w:val="19"/>
        </w:rPr>
        <w:t xml:space="preserve">«ARTÍCULO 2.2.1.2.4.2.9. Puntaje para la promoción de la industria nacional en los Procesos de Contratación de servicios. La Entidad Estatal en los Procesos de Contratación de servicios, otorgará el puntaje de que trata el inciso primero del artículo 2 de la Ley 816 de 2003 al proponente que oferte Servicios Nacionales o servicios extranjeros con trato nacional de acuerdo con la regla de origen aplicable. </w:t>
      </w:r>
    </w:p>
    <w:p w14:paraId="225169B7" w14:textId="5A13B6B6" w:rsidR="00956737" w:rsidRPr="00412A1B" w:rsidRDefault="004B4F12" w:rsidP="00412A1B">
      <w:pPr>
        <w:pStyle w:val="Textonotapie"/>
        <w:ind w:firstLine="709"/>
        <w:jc w:val="both"/>
        <w:rPr>
          <w:rFonts w:ascii="Arial" w:hAnsi="Arial" w:cs="Arial"/>
          <w:sz w:val="19"/>
          <w:szCs w:val="19"/>
        </w:rPr>
      </w:pPr>
      <w:r w:rsidRPr="00412A1B">
        <w:rPr>
          <w:rFonts w:ascii="Arial" w:hAnsi="Arial" w:cs="Arial"/>
          <w:sz w:val="19"/>
          <w:szCs w:val="19"/>
        </w:rPr>
        <w:t>«</w:t>
      </w:r>
      <w:r w:rsidR="00956737" w:rsidRPr="00412A1B">
        <w:rPr>
          <w:rFonts w:ascii="Arial" w:hAnsi="Arial" w:cs="Arial"/>
          <w:sz w:val="19"/>
          <w:szCs w:val="19"/>
        </w:rPr>
        <w:t xml:space="preserve">En los contratos que deban cumplirse en Colombia, la Entidad Estatal definirá de manera razonable y proporcionada los bienes colombianos relevantes teniendo en cuenta: </w:t>
      </w:r>
    </w:p>
    <w:p w14:paraId="28515C43" w14:textId="41553C28" w:rsidR="00956737" w:rsidRPr="00412A1B" w:rsidRDefault="004B4F12" w:rsidP="00412A1B">
      <w:pPr>
        <w:pStyle w:val="Textonotapie"/>
        <w:ind w:firstLine="709"/>
        <w:jc w:val="both"/>
        <w:rPr>
          <w:rFonts w:ascii="Arial" w:hAnsi="Arial" w:cs="Arial"/>
          <w:sz w:val="19"/>
          <w:szCs w:val="19"/>
        </w:rPr>
      </w:pPr>
      <w:r w:rsidRPr="00412A1B">
        <w:rPr>
          <w:rFonts w:ascii="Arial" w:hAnsi="Arial" w:cs="Arial"/>
          <w:sz w:val="19"/>
          <w:szCs w:val="19"/>
        </w:rPr>
        <w:t>«</w:t>
      </w:r>
      <w:r w:rsidR="00956737" w:rsidRPr="00412A1B">
        <w:rPr>
          <w:rFonts w:ascii="Arial" w:hAnsi="Arial" w:cs="Arial"/>
          <w:sz w:val="19"/>
          <w:szCs w:val="19"/>
        </w:rPr>
        <w:t xml:space="preserve">1. El análisis del sector económico y de los oferentes, y, toda aquella información adicional con la que cuente la Entidad Estatal en la etapa de planeación del Proceso de Contratación; </w:t>
      </w:r>
    </w:p>
    <w:p w14:paraId="544D3474" w14:textId="7DF1B4C7" w:rsidR="00956737" w:rsidRPr="00412A1B" w:rsidRDefault="004B4F12" w:rsidP="00412A1B">
      <w:pPr>
        <w:pStyle w:val="Textonotapie"/>
        <w:ind w:firstLine="709"/>
        <w:jc w:val="both"/>
        <w:rPr>
          <w:rFonts w:ascii="Arial" w:hAnsi="Arial" w:cs="Arial"/>
          <w:sz w:val="19"/>
          <w:szCs w:val="19"/>
        </w:rPr>
      </w:pPr>
      <w:r w:rsidRPr="00412A1B">
        <w:rPr>
          <w:rFonts w:ascii="Arial" w:hAnsi="Arial" w:cs="Arial"/>
          <w:sz w:val="19"/>
          <w:szCs w:val="19"/>
        </w:rPr>
        <w:t>«</w:t>
      </w:r>
      <w:r w:rsidR="00956737" w:rsidRPr="00412A1B">
        <w:rPr>
          <w:rFonts w:ascii="Arial" w:hAnsi="Arial" w:cs="Arial"/>
          <w:sz w:val="19"/>
          <w:szCs w:val="19"/>
        </w:rPr>
        <w:t xml:space="preserve">2. El porcentaje de participación de los bienes en el presupuesto del Proceso de Contratación; y </w:t>
      </w:r>
    </w:p>
    <w:p w14:paraId="30E2363C" w14:textId="3CB125DD" w:rsidR="00956737" w:rsidRPr="00412A1B" w:rsidRDefault="004B4F12" w:rsidP="00412A1B">
      <w:pPr>
        <w:pStyle w:val="Textonotapie"/>
        <w:ind w:firstLine="709"/>
        <w:jc w:val="both"/>
        <w:rPr>
          <w:rFonts w:ascii="Arial" w:hAnsi="Arial" w:cs="Arial"/>
          <w:sz w:val="19"/>
          <w:szCs w:val="19"/>
        </w:rPr>
      </w:pPr>
      <w:r w:rsidRPr="00412A1B">
        <w:rPr>
          <w:rFonts w:ascii="Arial" w:hAnsi="Arial" w:cs="Arial"/>
          <w:sz w:val="19"/>
          <w:szCs w:val="19"/>
        </w:rPr>
        <w:t>«</w:t>
      </w:r>
      <w:r w:rsidR="00956737" w:rsidRPr="00412A1B">
        <w:rPr>
          <w:rFonts w:ascii="Arial" w:hAnsi="Arial" w:cs="Arial"/>
          <w:sz w:val="19"/>
          <w:szCs w:val="19"/>
        </w:rPr>
        <w:t xml:space="preserve">3. La existencia de los bienes en el Registro de Productores de Bienes Nacionales, en los términos del Decreto 2680 de 2009 o las normas que lo modifiquen, aclaren, adicionen o sustituyan. </w:t>
      </w:r>
    </w:p>
    <w:p w14:paraId="71476B71" w14:textId="3C208169" w:rsidR="00956737" w:rsidRPr="00412A1B" w:rsidRDefault="004B4F12" w:rsidP="00412A1B">
      <w:pPr>
        <w:pStyle w:val="Textonotapie"/>
        <w:ind w:firstLine="709"/>
        <w:jc w:val="both"/>
        <w:rPr>
          <w:rFonts w:ascii="Arial" w:hAnsi="Arial" w:cs="Arial"/>
          <w:sz w:val="19"/>
          <w:szCs w:val="19"/>
        </w:rPr>
      </w:pPr>
      <w:r w:rsidRPr="00412A1B">
        <w:rPr>
          <w:rFonts w:ascii="Arial" w:hAnsi="Arial" w:cs="Arial"/>
          <w:sz w:val="19"/>
          <w:szCs w:val="19"/>
        </w:rPr>
        <w:t>«</w:t>
      </w:r>
      <w:r w:rsidR="00956737" w:rsidRPr="00412A1B">
        <w:rPr>
          <w:rFonts w:ascii="Arial" w:hAnsi="Arial" w:cs="Arial"/>
          <w:sz w:val="19"/>
          <w:szCs w:val="19"/>
        </w:rPr>
        <w:t xml:space="preserve">En aquellos casos en que, de acuerdo con el objeto contractual, no existan bienes colombianos relevantes o no exista oferta nacional de los mismos en el Registro de Productores de Bienes Nacionales, la Entidad Estatal otorgará el puntaje de que trata el inciso primero del artículo 2 de la Ley 816 de 2003 al proponente que vincule el porcentaje mínimo establecido por la Entidad Estatal de empleados o contratistas por prestación de servicios colombianos, que no podrá ser inferior al 40% del total de empleados y contratistas asociados al cumplimiento del contrato. </w:t>
      </w:r>
    </w:p>
    <w:p w14:paraId="53E3DA9C" w14:textId="1F00AF76" w:rsidR="00956737" w:rsidRPr="00412A1B" w:rsidRDefault="004B4F12" w:rsidP="00412A1B">
      <w:pPr>
        <w:pStyle w:val="Textonotapie"/>
        <w:ind w:firstLine="709"/>
        <w:jc w:val="both"/>
        <w:rPr>
          <w:rFonts w:ascii="Arial" w:hAnsi="Arial" w:cs="Arial"/>
          <w:sz w:val="19"/>
          <w:szCs w:val="19"/>
          <w:lang w:val="es-CO"/>
        </w:rPr>
      </w:pPr>
      <w:r w:rsidRPr="00412A1B">
        <w:rPr>
          <w:rFonts w:ascii="Arial" w:hAnsi="Arial" w:cs="Arial"/>
          <w:sz w:val="19"/>
          <w:szCs w:val="19"/>
        </w:rPr>
        <w:t>«</w:t>
      </w:r>
      <w:r w:rsidR="00956737" w:rsidRPr="00412A1B">
        <w:rPr>
          <w:rFonts w:ascii="Arial" w:hAnsi="Arial" w:cs="Arial"/>
          <w:sz w:val="19"/>
          <w:szCs w:val="19"/>
        </w:rPr>
        <w:t>La Entidad Estatal documentará este análisis y dejará constancia en los Documentos del Proceso».</w:t>
      </w:r>
    </w:p>
  </w:footnote>
  <w:footnote w:id="16">
    <w:p w14:paraId="2C8D3D09" w14:textId="6808DC3A" w:rsidR="00E2002C" w:rsidRPr="00620F45" w:rsidRDefault="00E2002C" w:rsidP="00412A1B">
      <w:pPr>
        <w:pStyle w:val="Textonotapie"/>
        <w:ind w:firstLine="709"/>
        <w:jc w:val="both"/>
        <w:rPr>
          <w:rFonts w:ascii="Arial" w:hAnsi="Arial" w:cs="Arial"/>
          <w:sz w:val="19"/>
          <w:szCs w:val="19"/>
          <w:lang w:val="es-ES"/>
        </w:rPr>
      </w:pPr>
      <w:r w:rsidRPr="00620F45">
        <w:rPr>
          <w:rStyle w:val="Refdenotaalpie"/>
          <w:rFonts w:ascii="Arial" w:hAnsi="Arial" w:cs="Arial"/>
          <w:sz w:val="19"/>
          <w:szCs w:val="19"/>
        </w:rPr>
        <w:footnoteRef/>
      </w:r>
      <w:r w:rsidRPr="00620F45">
        <w:rPr>
          <w:rFonts w:ascii="Arial" w:hAnsi="Arial" w:cs="Arial"/>
          <w:sz w:val="19"/>
          <w:szCs w:val="19"/>
        </w:rPr>
        <w:t xml:space="preserve"> </w:t>
      </w:r>
      <w:r w:rsidRPr="00412A1B">
        <w:rPr>
          <w:rFonts w:ascii="Arial" w:hAnsi="Arial" w:cs="Arial"/>
          <w:iCs/>
          <w:color w:val="000000"/>
          <w:sz w:val="19"/>
          <w:szCs w:val="19"/>
          <w:lang w:val="es-CO"/>
        </w:rPr>
        <w:t>Corte definido a partir del diagrama de Pareto.</w:t>
      </w:r>
      <w:r w:rsidRPr="00412A1B">
        <w:rPr>
          <w:rFonts w:ascii="Arial" w:hAnsi="Arial" w:cs="Arial"/>
          <w:sz w:val="19"/>
          <w:szCs w:val="19"/>
        </w:rPr>
        <w:t xml:space="preserve"> Este es una herramienta gráfica donde los datos se ordenan de mayor a menor, lo que deja más en claro qué aspectos deben resolverse primero y se apoya en el principio de Pareto, que dice que el 80% de las consecuencias son el resultado del 20% de las causas.</w:t>
      </w:r>
    </w:p>
  </w:footnote>
  <w:footnote w:id="17">
    <w:p w14:paraId="709C00B8" w14:textId="07900627" w:rsidR="00E83A63" w:rsidRPr="00412A1B" w:rsidRDefault="00E83A63" w:rsidP="00412A1B">
      <w:pPr>
        <w:pStyle w:val="Textonotapie"/>
        <w:ind w:firstLine="709"/>
        <w:jc w:val="both"/>
        <w:rPr>
          <w:rFonts w:ascii="Arial" w:hAnsi="Arial" w:cs="Arial"/>
          <w:sz w:val="19"/>
          <w:szCs w:val="19"/>
        </w:rPr>
      </w:pPr>
      <w:r w:rsidRPr="00412A1B">
        <w:rPr>
          <w:rStyle w:val="Refdenotaalpie"/>
          <w:rFonts w:ascii="Arial" w:hAnsi="Arial" w:cs="Arial"/>
          <w:sz w:val="19"/>
          <w:szCs w:val="19"/>
        </w:rPr>
        <w:footnoteRef/>
      </w:r>
      <w:r w:rsidRPr="00412A1B">
        <w:rPr>
          <w:rFonts w:ascii="Arial" w:hAnsi="Arial" w:cs="Arial"/>
          <w:sz w:val="19"/>
          <w:szCs w:val="19"/>
        </w:rPr>
        <w:t xml:space="preserve"> Es importante mencionar que la Agencia Nacional de Contratación Pública – Colombia Compra Eficiente adoptó el Aplicativo de Consulta de Bien Nacional Relevante, que es una herramienta web de uso facultativo para que cualquier persona interesada pueda aplicar la metodología de la Resolución 304 de 2021 de una forma fácil y expedita. Para esto, el usuario deberá ingresar en una tabla de Excel –.CSV–: i) la descripción de los bienes, </w:t>
      </w:r>
      <w:proofErr w:type="spellStart"/>
      <w:r w:rsidRPr="00412A1B">
        <w:rPr>
          <w:rFonts w:ascii="Arial" w:hAnsi="Arial" w:cs="Arial"/>
          <w:sz w:val="19"/>
          <w:szCs w:val="19"/>
        </w:rPr>
        <w:t>ii</w:t>
      </w:r>
      <w:proofErr w:type="spellEnd"/>
      <w:r w:rsidRPr="00412A1B">
        <w:rPr>
          <w:rFonts w:ascii="Arial" w:hAnsi="Arial" w:cs="Arial"/>
          <w:sz w:val="19"/>
          <w:szCs w:val="19"/>
        </w:rPr>
        <w:t xml:space="preserve">) su valor unitario y, </w:t>
      </w:r>
      <w:proofErr w:type="spellStart"/>
      <w:r w:rsidRPr="00412A1B">
        <w:rPr>
          <w:rFonts w:ascii="Arial" w:hAnsi="Arial" w:cs="Arial"/>
          <w:sz w:val="19"/>
          <w:szCs w:val="19"/>
        </w:rPr>
        <w:t>iii</w:t>
      </w:r>
      <w:proofErr w:type="spellEnd"/>
      <w:r w:rsidRPr="00412A1B">
        <w:rPr>
          <w:rFonts w:ascii="Arial" w:hAnsi="Arial" w:cs="Arial"/>
          <w:sz w:val="19"/>
          <w:szCs w:val="19"/>
        </w:rPr>
        <w:t xml:space="preserve">) la cantidad de unidades requeridas, para que de manera automática el aplicativo identifique los bienes relevantes del proceso de contratación. Una vez realizado este cálculo, el usuario podrá remitirse al Registro de Productores de Bienes Nacionales para verificar si los bienes relevantes son nacionales, y en caso de serlo, ingresar la información de los bienes registrados para obtener el puntaje de industria nacional que corresponde a cada uno de estos. El Aplicativo de Consulta de Bien Nacional Relevante lo podrá consultar en el siguiente enlace: </w:t>
      </w:r>
      <w:hyperlink r:id="rId2" w:history="1">
        <w:r w:rsidRPr="00412A1B">
          <w:rPr>
            <w:rStyle w:val="Hipervnculo"/>
            <w:rFonts w:ascii="Arial" w:hAnsi="Arial" w:cs="Arial"/>
            <w:color w:val="auto"/>
            <w:sz w:val="19"/>
            <w:szCs w:val="19"/>
          </w:rPr>
          <w:t>https://bienesrelevantes.colombiacompra.gov.co/</w:t>
        </w:r>
      </w:hyperlink>
    </w:p>
    <w:p w14:paraId="51D22505" w14:textId="2BD4839D" w:rsidR="00E83A63" w:rsidRPr="00620F45" w:rsidRDefault="00E83A63" w:rsidP="00620F45">
      <w:pPr>
        <w:pStyle w:val="Textonotapie"/>
        <w:jc w:val="both"/>
        <w:rPr>
          <w:rFonts w:ascii="Arial" w:hAnsi="Arial" w:cs="Arial"/>
          <w:sz w:val="19"/>
          <w:szCs w:val="19"/>
          <w:lang w:val="es-CO"/>
        </w:rPr>
      </w:pPr>
    </w:p>
  </w:footnote>
  <w:footnote w:id="18">
    <w:p w14:paraId="3D530951" w14:textId="220B6D0F" w:rsidR="0098768F" w:rsidRPr="00412A1B" w:rsidRDefault="0098768F" w:rsidP="00412A1B">
      <w:pPr>
        <w:ind w:firstLine="709"/>
        <w:jc w:val="both"/>
        <w:rPr>
          <w:rFonts w:ascii="Arial" w:hAnsi="Arial" w:cs="Arial"/>
          <w:sz w:val="19"/>
          <w:szCs w:val="19"/>
          <w:lang w:val="es-MX" w:eastAsia="en-US"/>
        </w:rPr>
      </w:pPr>
      <w:r w:rsidRPr="00412A1B">
        <w:rPr>
          <w:rStyle w:val="Refdenotaalpie"/>
          <w:rFonts w:ascii="Arial" w:hAnsi="Arial" w:cs="Arial"/>
          <w:sz w:val="19"/>
          <w:szCs w:val="19"/>
        </w:rPr>
        <w:footnoteRef/>
      </w:r>
      <w:r w:rsidRPr="00412A1B">
        <w:rPr>
          <w:rFonts w:ascii="Arial" w:hAnsi="Arial" w:cs="Arial"/>
          <w:sz w:val="19"/>
          <w:szCs w:val="19"/>
        </w:rPr>
        <w:t xml:space="preserve"> </w:t>
      </w:r>
      <w:r w:rsidR="00330A6C" w:rsidRPr="00620F45">
        <w:rPr>
          <w:rFonts w:ascii="Arial" w:eastAsia="Arial" w:hAnsi="Arial" w:cs="Arial"/>
          <w:bCs/>
          <w:sz w:val="19"/>
          <w:szCs w:val="19"/>
          <w:lang w:eastAsia="es-ES" w:bidi="es-ES"/>
        </w:rPr>
        <w:t>«</w:t>
      </w:r>
      <w:r w:rsidRPr="00412A1B">
        <w:rPr>
          <w:rFonts w:ascii="Arial" w:hAnsi="Arial" w:cs="Arial"/>
          <w:sz w:val="19"/>
          <w:szCs w:val="19"/>
          <w:highlight w:val="lightGray"/>
          <w:lang w:val="es-MX"/>
        </w:rPr>
        <w:t>[</w:t>
      </w:r>
      <w:r w:rsidRPr="00412A1B">
        <w:rPr>
          <w:rFonts w:ascii="Arial" w:hAnsi="Arial" w:cs="Arial"/>
          <w:b/>
          <w:bCs/>
          <w:sz w:val="19"/>
          <w:szCs w:val="19"/>
          <w:highlight w:val="lightGray"/>
          <w:lang w:val="es-MX"/>
        </w:rPr>
        <w:t>Opción 1.</w:t>
      </w:r>
      <w:r w:rsidRPr="00412A1B">
        <w:rPr>
          <w:rFonts w:ascii="Arial" w:hAnsi="Arial" w:cs="Arial"/>
          <w:sz w:val="19"/>
          <w:szCs w:val="19"/>
          <w:highlight w:val="lightGray"/>
          <w:lang w:val="es-MX"/>
        </w:rPr>
        <w:t xml:space="preserve"> Si la Entidad Estatal luego de aplicar la metodología para identificar los bienes nacionales relevantes prevista en la Matriz 4, determina uno o varios bienes nacionales relevantes para el Proceso de Contratación, incluirá los siguientes párrafos:]</w:t>
      </w:r>
    </w:p>
    <w:p w14:paraId="35993394" w14:textId="3682908D" w:rsidR="0098768F" w:rsidRPr="00412A1B" w:rsidRDefault="00330A6C" w:rsidP="00412A1B">
      <w:pPr>
        <w:ind w:firstLine="709"/>
        <w:jc w:val="both"/>
        <w:rPr>
          <w:rFonts w:ascii="Arial" w:hAnsi="Arial" w:cs="Arial"/>
          <w:sz w:val="19"/>
          <w:szCs w:val="19"/>
          <w:lang w:val="es-MX"/>
        </w:rPr>
      </w:pPr>
      <w:r w:rsidRPr="00620F45">
        <w:rPr>
          <w:rFonts w:ascii="Arial" w:eastAsia="Arial" w:hAnsi="Arial" w:cs="Arial"/>
          <w:bCs/>
          <w:sz w:val="19"/>
          <w:szCs w:val="19"/>
          <w:lang w:eastAsia="es-ES" w:bidi="es-ES"/>
        </w:rPr>
        <w:t>«</w:t>
      </w:r>
      <w:r w:rsidR="0098768F" w:rsidRPr="00412A1B">
        <w:rPr>
          <w:rFonts w:ascii="Arial" w:hAnsi="Arial" w:cs="Arial"/>
          <w:sz w:val="19"/>
          <w:szCs w:val="19"/>
          <w:lang w:val="es-MX"/>
        </w:rPr>
        <w:t xml:space="preserve">En el presente Proceso de Contratación los bienes nacionales relevantes son: </w:t>
      </w:r>
    </w:p>
    <w:p w14:paraId="515C95B9" w14:textId="7C372E04" w:rsidR="0098768F" w:rsidRPr="00412A1B" w:rsidRDefault="00330A6C" w:rsidP="00412A1B">
      <w:pPr>
        <w:ind w:firstLine="709"/>
        <w:jc w:val="both"/>
        <w:rPr>
          <w:rFonts w:ascii="Arial" w:hAnsi="Arial" w:cs="Arial"/>
          <w:sz w:val="19"/>
          <w:szCs w:val="19"/>
          <w:lang w:val="es-MX"/>
        </w:rPr>
      </w:pPr>
      <w:r w:rsidRPr="00620F45">
        <w:rPr>
          <w:rFonts w:ascii="Arial" w:eastAsia="Arial" w:hAnsi="Arial" w:cs="Arial"/>
          <w:bCs/>
          <w:sz w:val="19"/>
          <w:szCs w:val="19"/>
          <w:lang w:eastAsia="es-ES" w:bidi="es-ES"/>
        </w:rPr>
        <w:t>«</w:t>
      </w:r>
      <w:r w:rsidR="0098768F" w:rsidRPr="00412A1B">
        <w:rPr>
          <w:rFonts w:ascii="Arial" w:hAnsi="Arial" w:cs="Arial"/>
          <w:sz w:val="19"/>
          <w:szCs w:val="19"/>
          <w:highlight w:val="lightGray"/>
          <w:lang w:val="es-MX"/>
        </w:rPr>
        <w:t>[La Entidad debe diligenciar la siguiente tabla con la información tomada del Registro de Productores de Bienes Nacionales]</w:t>
      </w:r>
    </w:p>
    <w:tbl>
      <w:tblPr>
        <w:tblW w:w="569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447"/>
        <w:gridCol w:w="975"/>
        <w:gridCol w:w="1154"/>
        <w:gridCol w:w="901"/>
        <w:gridCol w:w="1144"/>
        <w:gridCol w:w="1323"/>
        <w:gridCol w:w="1027"/>
      </w:tblGrid>
      <w:tr w:rsidR="0098768F" w:rsidRPr="00412A1B" w14:paraId="14EF82B4" w14:textId="77777777" w:rsidTr="0098768F">
        <w:trPr>
          <w:trHeight w:val="248"/>
          <w:tblHeader/>
          <w:jc w:val="center"/>
        </w:trPr>
        <w:tc>
          <w:tcPr>
            <w:tcW w:w="365" w:type="dxa"/>
            <w:tcBorders>
              <w:top w:val="double" w:sz="4" w:space="0" w:color="auto"/>
              <w:left w:val="double" w:sz="4" w:space="0" w:color="auto"/>
              <w:bottom w:val="single" w:sz="4" w:space="0" w:color="000000"/>
              <w:right w:val="single" w:sz="6" w:space="0" w:color="auto"/>
            </w:tcBorders>
            <w:shd w:val="clear" w:color="auto" w:fill="3C3C3C" w:themeFill="background2" w:themeFillShade="40"/>
            <w:vAlign w:val="center"/>
            <w:hideMark/>
          </w:tcPr>
          <w:p w14:paraId="67E8B5B1" w14:textId="77777777" w:rsidR="0098768F" w:rsidRPr="00620F45" w:rsidRDefault="0098768F" w:rsidP="00412A1B">
            <w:pPr>
              <w:jc w:val="both"/>
              <w:rPr>
                <w:rFonts w:ascii="Arial" w:hAnsi="Arial" w:cs="Arial"/>
                <w:b/>
                <w:caps/>
                <w:color w:val="DBDBDB" w:themeColor="background1"/>
                <w:sz w:val="19"/>
                <w:szCs w:val="19"/>
              </w:rPr>
            </w:pPr>
            <w:r w:rsidRPr="00620F45">
              <w:rPr>
                <w:rFonts w:ascii="Arial" w:hAnsi="Arial" w:cs="Arial"/>
                <w:b/>
                <w:color w:val="DBDBDB" w:themeColor="background1"/>
                <w:sz w:val="19"/>
                <w:szCs w:val="19"/>
              </w:rPr>
              <w:t>No.</w:t>
            </w:r>
          </w:p>
        </w:tc>
        <w:tc>
          <w:tcPr>
            <w:tcW w:w="796" w:type="dxa"/>
            <w:tcBorders>
              <w:top w:val="double" w:sz="4" w:space="0" w:color="auto"/>
              <w:left w:val="single" w:sz="6" w:space="0" w:color="auto"/>
              <w:bottom w:val="single" w:sz="4" w:space="0" w:color="000000"/>
              <w:right w:val="single" w:sz="4" w:space="0" w:color="000000"/>
            </w:tcBorders>
            <w:shd w:val="clear" w:color="auto" w:fill="3C3C3C" w:themeFill="background2" w:themeFillShade="40"/>
            <w:vAlign w:val="center"/>
            <w:hideMark/>
          </w:tcPr>
          <w:p w14:paraId="658F3F2F" w14:textId="77777777" w:rsidR="0098768F" w:rsidRPr="00620F45" w:rsidRDefault="0098768F" w:rsidP="00412A1B">
            <w:pPr>
              <w:jc w:val="both"/>
              <w:rPr>
                <w:rFonts w:ascii="Arial" w:hAnsi="Arial" w:cs="Arial"/>
                <w:b/>
                <w:caps/>
                <w:color w:val="DBDBDB" w:themeColor="background1"/>
                <w:sz w:val="19"/>
                <w:szCs w:val="19"/>
              </w:rPr>
            </w:pPr>
            <w:r w:rsidRPr="00620F45">
              <w:rPr>
                <w:rFonts w:ascii="Arial" w:hAnsi="Arial" w:cs="Arial"/>
                <w:b/>
                <w:color w:val="DBDBDB" w:themeColor="background1"/>
                <w:sz w:val="19"/>
                <w:szCs w:val="19"/>
              </w:rPr>
              <w:t>Bien nacional relevante</w:t>
            </w:r>
          </w:p>
        </w:tc>
        <w:tc>
          <w:tcPr>
            <w:tcW w:w="942" w:type="dxa"/>
            <w:tcBorders>
              <w:top w:val="double" w:sz="4" w:space="0" w:color="auto"/>
              <w:left w:val="single" w:sz="6" w:space="0" w:color="auto"/>
              <w:bottom w:val="single" w:sz="4" w:space="0" w:color="000000"/>
              <w:right w:val="single" w:sz="4" w:space="0" w:color="000000"/>
            </w:tcBorders>
            <w:shd w:val="clear" w:color="auto" w:fill="3C3C3C" w:themeFill="background2" w:themeFillShade="40"/>
            <w:vAlign w:val="center"/>
            <w:hideMark/>
          </w:tcPr>
          <w:p w14:paraId="4377DFE4" w14:textId="77777777" w:rsidR="0098768F" w:rsidRPr="00620F45" w:rsidRDefault="0098768F" w:rsidP="00412A1B">
            <w:pPr>
              <w:jc w:val="both"/>
              <w:rPr>
                <w:rFonts w:ascii="Arial" w:hAnsi="Arial" w:cs="Arial"/>
                <w:b/>
                <w:color w:val="DBDBDB" w:themeColor="background1"/>
                <w:sz w:val="19"/>
                <w:szCs w:val="19"/>
              </w:rPr>
            </w:pPr>
            <w:r w:rsidRPr="00620F45">
              <w:rPr>
                <w:rFonts w:ascii="Arial" w:hAnsi="Arial" w:cs="Arial"/>
                <w:b/>
                <w:color w:val="DBDBDB" w:themeColor="background1"/>
                <w:sz w:val="19"/>
                <w:szCs w:val="19"/>
              </w:rPr>
              <w:t>Fecha de inscripción</w:t>
            </w:r>
          </w:p>
        </w:tc>
        <w:tc>
          <w:tcPr>
            <w:tcW w:w="736" w:type="dxa"/>
            <w:tcBorders>
              <w:top w:val="double" w:sz="4" w:space="0" w:color="auto"/>
              <w:left w:val="single" w:sz="4" w:space="0" w:color="000000"/>
              <w:bottom w:val="single" w:sz="4" w:space="0" w:color="000000"/>
              <w:right w:val="single" w:sz="4" w:space="0" w:color="000000"/>
            </w:tcBorders>
            <w:shd w:val="clear" w:color="auto" w:fill="3C3C3C" w:themeFill="background2" w:themeFillShade="40"/>
            <w:vAlign w:val="center"/>
            <w:hideMark/>
          </w:tcPr>
          <w:p w14:paraId="68D5044B" w14:textId="77777777" w:rsidR="0098768F" w:rsidRPr="00620F45" w:rsidRDefault="0098768F" w:rsidP="00412A1B">
            <w:pPr>
              <w:jc w:val="both"/>
              <w:rPr>
                <w:rFonts w:ascii="Arial" w:hAnsi="Arial" w:cs="Arial"/>
                <w:b/>
                <w:color w:val="DBDBDB" w:themeColor="background1"/>
                <w:sz w:val="19"/>
                <w:szCs w:val="19"/>
              </w:rPr>
            </w:pPr>
            <w:r w:rsidRPr="00620F45">
              <w:rPr>
                <w:rFonts w:ascii="Arial" w:hAnsi="Arial" w:cs="Arial"/>
                <w:b/>
                <w:color w:val="DBDBDB" w:themeColor="background1"/>
                <w:sz w:val="19"/>
                <w:szCs w:val="19"/>
              </w:rPr>
              <w:t>Fecha de vigencia</w:t>
            </w:r>
          </w:p>
        </w:tc>
        <w:tc>
          <w:tcPr>
            <w:tcW w:w="934" w:type="dxa"/>
            <w:tcBorders>
              <w:top w:val="double" w:sz="4" w:space="0" w:color="auto"/>
              <w:left w:val="single" w:sz="4" w:space="0" w:color="000000"/>
              <w:bottom w:val="single" w:sz="4" w:space="0" w:color="000000"/>
              <w:right w:val="single" w:sz="4" w:space="0" w:color="000000"/>
            </w:tcBorders>
            <w:shd w:val="clear" w:color="auto" w:fill="3C3C3C" w:themeFill="background2" w:themeFillShade="40"/>
            <w:vAlign w:val="center"/>
            <w:hideMark/>
          </w:tcPr>
          <w:p w14:paraId="4F12A29D" w14:textId="77777777" w:rsidR="0098768F" w:rsidRPr="00620F45" w:rsidRDefault="0098768F" w:rsidP="00412A1B">
            <w:pPr>
              <w:jc w:val="both"/>
              <w:rPr>
                <w:rFonts w:ascii="Arial" w:hAnsi="Arial" w:cs="Arial"/>
                <w:b/>
                <w:color w:val="DBDBDB" w:themeColor="background1"/>
                <w:sz w:val="19"/>
                <w:szCs w:val="19"/>
              </w:rPr>
            </w:pPr>
            <w:r w:rsidRPr="00620F45">
              <w:rPr>
                <w:rFonts w:ascii="Arial" w:hAnsi="Arial" w:cs="Arial"/>
                <w:b/>
                <w:color w:val="DBDBDB" w:themeColor="background1"/>
                <w:sz w:val="19"/>
                <w:szCs w:val="19"/>
              </w:rPr>
              <w:t>No. de partida arancelaria</w:t>
            </w:r>
          </w:p>
        </w:tc>
        <w:tc>
          <w:tcPr>
            <w:tcW w:w="1081" w:type="dxa"/>
            <w:tcBorders>
              <w:top w:val="double" w:sz="4" w:space="0" w:color="auto"/>
              <w:left w:val="single" w:sz="4" w:space="0" w:color="000000"/>
              <w:bottom w:val="single" w:sz="4" w:space="0" w:color="000000"/>
              <w:right w:val="double" w:sz="4" w:space="0" w:color="auto"/>
            </w:tcBorders>
            <w:shd w:val="clear" w:color="auto" w:fill="3C3C3C" w:themeFill="background2" w:themeFillShade="40"/>
            <w:vAlign w:val="center"/>
            <w:hideMark/>
          </w:tcPr>
          <w:p w14:paraId="18F5340F" w14:textId="77777777" w:rsidR="0098768F" w:rsidRPr="00620F45" w:rsidRDefault="0098768F" w:rsidP="00412A1B">
            <w:pPr>
              <w:jc w:val="both"/>
              <w:rPr>
                <w:rFonts w:ascii="Arial" w:hAnsi="Arial" w:cs="Arial"/>
                <w:b/>
                <w:color w:val="DBDBDB" w:themeColor="background1"/>
                <w:sz w:val="19"/>
                <w:szCs w:val="19"/>
              </w:rPr>
            </w:pPr>
            <w:r w:rsidRPr="00620F45">
              <w:rPr>
                <w:rFonts w:ascii="Arial" w:hAnsi="Arial" w:cs="Arial"/>
                <w:b/>
                <w:color w:val="DBDBDB" w:themeColor="background1"/>
                <w:sz w:val="19"/>
                <w:szCs w:val="19"/>
              </w:rPr>
              <w:t>% de participación</w:t>
            </w:r>
          </w:p>
        </w:tc>
        <w:tc>
          <w:tcPr>
            <w:tcW w:w="839" w:type="dxa"/>
            <w:tcBorders>
              <w:top w:val="double" w:sz="4" w:space="0" w:color="auto"/>
              <w:left w:val="single" w:sz="4" w:space="0" w:color="000000"/>
              <w:bottom w:val="single" w:sz="4" w:space="0" w:color="000000"/>
              <w:right w:val="double" w:sz="4" w:space="0" w:color="auto"/>
            </w:tcBorders>
            <w:shd w:val="clear" w:color="auto" w:fill="3C3C3C" w:themeFill="background2" w:themeFillShade="40"/>
            <w:hideMark/>
          </w:tcPr>
          <w:p w14:paraId="11DAE0D2" w14:textId="77777777" w:rsidR="0098768F" w:rsidRPr="00620F45" w:rsidRDefault="0098768F" w:rsidP="00412A1B">
            <w:pPr>
              <w:jc w:val="both"/>
              <w:rPr>
                <w:rFonts w:ascii="Arial" w:hAnsi="Arial" w:cs="Arial"/>
                <w:b/>
                <w:color w:val="DBDBDB" w:themeColor="background1"/>
                <w:sz w:val="19"/>
                <w:szCs w:val="19"/>
              </w:rPr>
            </w:pPr>
            <w:r w:rsidRPr="00620F45">
              <w:rPr>
                <w:rFonts w:ascii="Arial" w:hAnsi="Arial" w:cs="Arial"/>
                <w:b/>
                <w:color w:val="DBDBDB" w:themeColor="background1"/>
                <w:sz w:val="19"/>
                <w:szCs w:val="19"/>
              </w:rPr>
              <w:t xml:space="preserve">Puntaje individual de cada bien </w:t>
            </w:r>
          </w:p>
        </w:tc>
      </w:tr>
      <w:tr w:rsidR="0098768F" w:rsidRPr="00412A1B" w14:paraId="05DA6D3B" w14:textId="77777777" w:rsidTr="0098768F">
        <w:trPr>
          <w:trHeight w:val="177"/>
          <w:tblHeader/>
          <w:jc w:val="center"/>
        </w:trPr>
        <w:tc>
          <w:tcPr>
            <w:tcW w:w="365" w:type="dxa"/>
            <w:tcBorders>
              <w:top w:val="single" w:sz="4" w:space="0" w:color="000000"/>
              <w:left w:val="double" w:sz="4" w:space="0" w:color="auto"/>
              <w:bottom w:val="single" w:sz="6" w:space="0" w:color="auto"/>
              <w:right w:val="single" w:sz="6" w:space="0" w:color="auto"/>
            </w:tcBorders>
            <w:vAlign w:val="center"/>
            <w:hideMark/>
          </w:tcPr>
          <w:p w14:paraId="4375DF86" w14:textId="77777777" w:rsidR="0098768F" w:rsidRPr="00620F45" w:rsidRDefault="0098768F" w:rsidP="00412A1B">
            <w:pPr>
              <w:jc w:val="both"/>
              <w:rPr>
                <w:rFonts w:ascii="Arial" w:hAnsi="Arial" w:cs="Arial"/>
                <w:caps/>
                <w:sz w:val="19"/>
                <w:szCs w:val="19"/>
              </w:rPr>
            </w:pPr>
            <w:r w:rsidRPr="00620F45">
              <w:rPr>
                <w:rFonts w:ascii="Arial" w:hAnsi="Arial" w:cs="Arial"/>
                <w:caps/>
                <w:sz w:val="19"/>
                <w:szCs w:val="19"/>
              </w:rPr>
              <w:t>1.</w:t>
            </w:r>
          </w:p>
        </w:tc>
        <w:tc>
          <w:tcPr>
            <w:tcW w:w="796" w:type="dxa"/>
            <w:tcBorders>
              <w:top w:val="single" w:sz="4" w:space="0" w:color="000000"/>
              <w:left w:val="single" w:sz="6" w:space="0" w:color="auto"/>
              <w:bottom w:val="single" w:sz="6" w:space="0" w:color="auto"/>
              <w:right w:val="single" w:sz="4" w:space="0" w:color="000000"/>
            </w:tcBorders>
            <w:vAlign w:val="center"/>
          </w:tcPr>
          <w:p w14:paraId="1C0CF0FF" w14:textId="77777777" w:rsidR="0098768F" w:rsidRPr="00620F45" w:rsidRDefault="0098768F" w:rsidP="00412A1B">
            <w:pPr>
              <w:jc w:val="both"/>
              <w:rPr>
                <w:rFonts w:ascii="Arial" w:hAnsi="Arial" w:cs="Arial"/>
                <w:b/>
                <w:color w:val="DBDBDB" w:themeColor="background1"/>
                <w:sz w:val="19"/>
                <w:szCs w:val="19"/>
              </w:rPr>
            </w:pPr>
          </w:p>
        </w:tc>
        <w:tc>
          <w:tcPr>
            <w:tcW w:w="942" w:type="dxa"/>
            <w:tcBorders>
              <w:top w:val="single" w:sz="4" w:space="0" w:color="000000"/>
              <w:left w:val="single" w:sz="6" w:space="0" w:color="auto"/>
              <w:bottom w:val="single" w:sz="6" w:space="0" w:color="auto"/>
              <w:right w:val="single" w:sz="4" w:space="0" w:color="000000"/>
            </w:tcBorders>
          </w:tcPr>
          <w:p w14:paraId="37862DE5" w14:textId="77777777" w:rsidR="0098768F" w:rsidRPr="00620F45" w:rsidRDefault="0098768F" w:rsidP="00412A1B">
            <w:pPr>
              <w:jc w:val="both"/>
              <w:rPr>
                <w:rFonts w:ascii="Arial" w:hAnsi="Arial" w:cs="Arial"/>
                <w:b/>
                <w:color w:val="DBDBDB" w:themeColor="background1"/>
                <w:sz w:val="19"/>
                <w:szCs w:val="19"/>
              </w:rPr>
            </w:pPr>
          </w:p>
        </w:tc>
        <w:tc>
          <w:tcPr>
            <w:tcW w:w="736" w:type="dxa"/>
            <w:tcBorders>
              <w:top w:val="single" w:sz="4" w:space="0" w:color="000000"/>
              <w:left w:val="single" w:sz="4" w:space="0" w:color="000000"/>
              <w:bottom w:val="single" w:sz="6" w:space="0" w:color="auto"/>
              <w:right w:val="single" w:sz="4" w:space="0" w:color="000000"/>
            </w:tcBorders>
          </w:tcPr>
          <w:p w14:paraId="319B7A11" w14:textId="77777777" w:rsidR="0098768F" w:rsidRPr="00620F45" w:rsidRDefault="0098768F" w:rsidP="00412A1B">
            <w:pPr>
              <w:jc w:val="both"/>
              <w:rPr>
                <w:rFonts w:ascii="Arial" w:hAnsi="Arial" w:cs="Arial"/>
                <w:b/>
                <w:color w:val="DBDBDB" w:themeColor="background1"/>
                <w:sz w:val="19"/>
                <w:szCs w:val="19"/>
              </w:rPr>
            </w:pPr>
          </w:p>
        </w:tc>
        <w:tc>
          <w:tcPr>
            <w:tcW w:w="934" w:type="dxa"/>
            <w:tcBorders>
              <w:top w:val="single" w:sz="4" w:space="0" w:color="000000"/>
              <w:left w:val="single" w:sz="4" w:space="0" w:color="000000"/>
              <w:bottom w:val="single" w:sz="6" w:space="0" w:color="auto"/>
              <w:right w:val="single" w:sz="4" w:space="0" w:color="000000"/>
            </w:tcBorders>
          </w:tcPr>
          <w:p w14:paraId="34A6A9C8" w14:textId="77777777" w:rsidR="0098768F" w:rsidRPr="00620F45" w:rsidRDefault="0098768F" w:rsidP="00412A1B">
            <w:pPr>
              <w:jc w:val="both"/>
              <w:rPr>
                <w:rFonts w:ascii="Arial" w:hAnsi="Arial" w:cs="Arial"/>
                <w:b/>
                <w:color w:val="DBDBDB" w:themeColor="background1"/>
                <w:sz w:val="19"/>
                <w:szCs w:val="19"/>
              </w:rPr>
            </w:pPr>
          </w:p>
        </w:tc>
        <w:tc>
          <w:tcPr>
            <w:tcW w:w="1081" w:type="dxa"/>
            <w:tcBorders>
              <w:top w:val="single" w:sz="4" w:space="0" w:color="000000"/>
              <w:left w:val="single" w:sz="4" w:space="0" w:color="000000"/>
              <w:bottom w:val="single" w:sz="6" w:space="0" w:color="auto"/>
              <w:right w:val="double" w:sz="4" w:space="0" w:color="auto"/>
            </w:tcBorders>
          </w:tcPr>
          <w:p w14:paraId="78CC1BB2" w14:textId="77777777" w:rsidR="0098768F" w:rsidRPr="00620F45" w:rsidRDefault="0098768F" w:rsidP="00412A1B">
            <w:pPr>
              <w:jc w:val="both"/>
              <w:rPr>
                <w:rFonts w:ascii="Arial" w:hAnsi="Arial" w:cs="Arial"/>
                <w:b/>
                <w:color w:val="DBDBDB" w:themeColor="background1"/>
                <w:sz w:val="19"/>
                <w:szCs w:val="19"/>
              </w:rPr>
            </w:pPr>
          </w:p>
        </w:tc>
        <w:tc>
          <w:tcPr>
            <w:tcW w:w="839" w:type="dxa"/>
            <w:tcBorders>
              <w:top w:val="single" w:sz="4" w:space="0" w:color="000000"/>
              <w:left w:val="single" w:sz="4" w:space="0" w:color="000000"/>
              <w:bottom w:val="single" w:sz="6" w:space="0" w:color="auto"/>
              <w:right w:val="double" w:sz="4" w:space="0" w:color="auto"/>
            </w:tcBorders>
          </w:tcPr>
          <w:p w14:paraId="494F64CA" w14:textId="77777777" w:rsidR="0098768F" w:rsidRPr="00620F45" w:rsidRDefault="0098768F" w:rsidP="00412A1B">
            <w:pPr>
              <w:jc w:val="both"/>
              <w:rPr>
                <w:rFonts w:ascii="Arial" w:hAnsi="Arial" w:cs="Arial"/>
                <w:b/>
                <w:color w:val="DBDBDB" w:themeColor="background1"/>
                <w:sz w:val="19"/>
                <w:szCs w:val="19"/>
              </w:rPr>
            </w:pPr>
          </w:p>
        </w:tc>
      </w:tr>
      <w:tr w:rsidR="0098768F" w:rsidRPr="00412A1B" w14:paraId="466E8372" w14:textId="77777777" w:rsidTr="0098768F">
        <w:trPr>
          <w:trHeight w:val="193"/>
          <w:tblHeader/>
          <w:jc w:val="center"/>
        </w:trPr>
        <w:tc>
          <w:tcPr>
            <w:tcW w:w="365" w:type="dxa"/>
            <w:tcBorders>
              <w:top w:val="double" w:sz="4" w:space="0" w:color="auto"/>
              <w:left w:val="double" w:sz="4" w:space="0" w:color="auto"/>
              <w:bottom w:val="double" w:sz="4" w:space="0" w:color="auto"/>
              <w:right w:val="single" w:sz="6" w:space="0" w:color="auto"/>
            </w:tcBorders>
            <w:vAlign w:val="center"/>
            <w:hideMark/>
          </w:tcPr>
          <w:p w14:paraId="279D2DBA" w14:textId="77777777" w:rsidR="0098768F" w:rsidRPr="00620F45" w:rsidRDefault="0098768F" w:rsidP="00412A1B">
            <w:pPr>
              <w:jc w:val="both"/>
              <w:rPr>
                <w:rFonts w:ascii="Arial" w:hAnsi="Arial" w:cs="Arial"/>
                <w:b/>
                <w:color w:val="DBDBDB" w:themeColor="background1"/>
                <w:sz w:val="19"/>
                <w:szCs w:val="19"/>
              </w:rPr>
            </w:pPr>
            <w:r w:rsidRPr="00620F45">
              <w:rPr>
                <w:rFonts w:ascii="Arial" w:hAnsi="Arial" w:cs="Arial"/>
                <w:caps/>
                <w:sz w:val="19"/>
                <w:szCs w:val="19"/>
              </w:rPr>
              <w:t>2.</w:t>
            </w:r>
          </w:p>
        </w:tc>
        <w:tc>
          <w:tcPr>
            <w:tcW w:w="796" w:type="dxa"/>
            <w:tcBorders>
              <w:top w:val="double" w:sz="4" w:space="0" w:color="auto"/>
              <w:left w:val="single" w:sz="6" w:space="0" w:color="auto"/>
              <w:bottom w:val="double" w:sz="4" w:space="0" w:color="auto"/>
              <w:right w:val="single" w:sz="4" w:space="0" w:color="000000"/>
            </w:tcBorders>
            <w:vAlign w:val="center"/>
          </w:tcPr>
          <w:p w14:paraId="53F00260" w14:textId="77777777" w:rsidR="0098768F" w:rsidRPr="00620F45" w:rsidRDefault="0098768F" w:rsidP="00412A1B">
            <w:pPr>
              <w:jc w:val="both"/>
              <w:rPr>
                <w:rFonts w:ascii="Arial" w:hAnsi="Arial" w:cs="Arial"/>
                <w:b/>
                <w:color w:val="DBDBDB" w:themeColor="background1"/>
                <w:sz w:val="19"/>
                <w:szCs w:val="19"/>
              </w:rPr>
            </w:pPr>
          </w:p>
        </w:tc>
        <w:tc>
          <w:tcPr>
            <w:tcW w:w="942" w:type="dxa"/>
            <w:tcBorders>
              <w:top w:val="double" w:sz="4" w:space="0" w:color="auto"/>
              <w:left w:val="single" w:sz="6" w:space="0" w:color="auto"/>
              <w:bottom w:val="double" w:sz="4" w:space="0" w:color="auto"/>
              <w:right w:val="single" w:sz="4" w:space="0" w:color="000000"/>
            </w:tcBorders>
          </w:tcPr>
          <w:p w14:paraId="3997F37E" w14:textId="77777777" w:rsidR="0098768F" w:rsidRPr="00620F45" w:rsidRDefault="0098768F" w:rsidP="00412A1B">
            <w:pPr>
              <w:jc w:val="both"/>
              <w:rPr>
                <w:rFonts w:ascii="Arial" w:hAnsi="Arial" w:cs="Arial"/>
                <w:b/>
                <w:color w:val="DBDBDB" w:themeColor="background1"/>
                <w:sz w:val="19"/>
                <w:szCs w:val="19"/>
              </w:rPr>
            </w:pPr>
          </w:p>
        </w:tc>
        <w:tc>
          <w:tcPr>
            <w:tcW w:w="736" w:type="dxa"/>
            <w:tcBorders>
              <w:top w:val="double" w:sz="4" w:space="0" w:color="auto"/>
              <w:left w:val="single" w:sz="4" w:space="0" w:color="000000"/>
              <w:bottom w:val="double" w:sz="4" w:space="0" w:color="auto"/>
              <w:right w:val="single" w:sz="4" w:space="0" w:color="000000"/>
            </w:tcBorders>
          </w:tcPr>
          <w:p w14:paraId="156501B7" w14:textId="77777777" w:rsidR="0098768F" w:rsidRPr="00620F45" w:rsidRDefault="0098768F" w:rsidP="00412A1B">
            <w:pPr>
              <w:jc w:val="both"/>
              <w:rPr>
                <w:rFonts w:ascii="Arial" w:hAnsi="Arial" w:cs="Arial"/>
                <w:b/>
                <w:color w:val="DBDBDB" w:themeColor="background1"/>
                <w:sz w:val="19"/>
                <w:szCs w:val="19"/>
              </w:rPr>
            </w:pPr>
          </w:p>
        </w:tc>
        <w:tc>
          <w:tcPr>
            <w:tcW w:w="934" w:type="dxa"/>
            <w:tcBorders>
              <w:top w:val="double" w:sz="4" w:space="0" w:color="auto"/>
              <w:left w:val="single" w:sz="4" w:space="0" w:color="000000"/>
              <w:bottom w:val="double" w:sz="4" w:space="0" w:color="auto"/>
              <w:right w:val="double" w:sz="4" w:space="0" w:color="auto"/>
            </w:tcBorders>
          </w:tcPr>
          <w:p w14:paraId="5EFF9442" w14:textId="77777777" w:rsidR="0098768F" w:rsidRPr="00620F45" w:rsidRDefault="0098768F" w:rsidP="00412A1B">
            <w:pPr>
              <w:jc w:val="both"/>
              <w:rPr>
                <w:rFonts w:ascii="Arial" w:hAnsi="Arial" w:cs="Arial"/>
                <w:b/>
                <w:color w:val="DBDBDB" w:themeColor="background1"/>
                <w:sz w:val="19"/>
                <w:szCs w:val="19"/>
              </w:rPr>
            </w:pPr>
          </w:p>
        </w:tc>
        <w:tc>
          <w:tcPr>
            <w:tcW w:w="1081" w:type="dxa"/>
            <w:tcBorders>
              <w:top w:val="double" w:sz="4" w:space="0" w:color="auto"/>
              <w:left w:val="single" w:sz="4" w:space="0" w:color="000000"/>
              <w:bottom w:val="double" w:sz="4" w:space="0" w:color="auto"/>
              <w:right w:val="double" w:sz="4" w:space="0" w:color="auto"/>
            </w:tcBorders>
          </w:tcPr>
          <w:p w14:paraId="0DE78C75" w14:textId="77777777" w:rsidR="0098768F" w:rsidRPr="00620F45" w:rsidRDefault="0098768F" w:rsidP="00412A1B">
            <w:pPr>
              <w:jc w:val="both"/>
              <w:rPr>
                <w:rFonts w:ascii="Arial" w:hAnsi="Arial" w:cs="Arial"/>
                <w:b/>
                <w:color w:val="DBDBDB" w:themeColor="background1"/>
                <w:sz w:val="19"/>
                <w:szCs w:val="19"/>
              </w:rPr>
            </w:pPr>
          </w:p>
        </w:tc>
        <w:tc>
          <w:tcPr>
            <w:tcW w:w="839" w:type="dxa"/>
            <w:tcBorders>
              <w:top w:val="double" w:sz="4" w:space="0" w:color="auto"/>
              <w:left w:val="single" w:sz="4" w:space="0" w:color="000000"/>
              <w:bottom w:val="double" w:sz="4" w:space="0" w:color="auto"/>
              <w:right w:val="double" w:sz="4" w:space="0" w:color="auto"/>
            </w:tcBorders>
          </w:tcPr>
          <w:p w14:paraId="07042E3D" w14:textId="77777777" w:rsidR="0098768F" w:rsidRPr="00620F45" w:rsidRDefault="0098768F" w:rsidP="00412A1B">
            <w:pPr>
              <w:jc w:val="both"/>
              <w:rPr>
                <w:rFonts w:ascii="Arial" w:hAnsi="Arial" w:cs="Arial"/>
                <w:b/>
                <w:color w:val="DBDBDB" w:themeColor="background1"/>
                <w:sz w:val="19"/>
                <w:szCs w:val="19"/>
              </w:rPr>
            </w:pPr>
          </w:p>
        </w:tc>
      </w:tr>
      <w:tr w:rsidR="0098768F" w:rsidRPr="00412A1B" w14:paraId="0A672B61" w14:textId="77777777" w:rsidTr="0098768F">
        <w:trPr>
          <w:trHeight w:val="193"/>
          <w:tblHeader/>
          <w:jc w:val="center"/>
        </w:trPr>
        <w:tc>
          <w:tcPr>
            <w:tcW w:w="365" w:type="dxa"/>
            <w:tcBorders>
              <w:top w:val="double" w:sz="4" w:space="0" w:color="auto"/>
              <w:left w:val="double" w:sz="4" w:space="0" w:color="auto"/>
              <w:bottom w:val="double" w:sz="4" w:space="0" w:color="auto"/>
              <w:right w:val="single" w:sz="6" w:space="0" w:color="auto"/>
            </w:tcBorders>
            <w:vAlign w:val="center"/>
            <w:hideMark/>
          </w:tcPr>
          <w:p w14:paraId="18B5897A" w14:textId="77777777" w:rsidR="0098768F" w:rsidRPr="00620F45" w:rsidRDefault="0098768F" w:rsidP="00412A1B">
            <w:pPr>
              <w:jc w:val="both"/>
              <w:rPr>
                <w:rFonts w:ascii="Arial" w:hAnsi="Arial" w:cs="Arial"/>
                <w:caps/>
                <w:sz w:val="19"/>
                <w:szCs w:val="19"/>
              </w:rPr>
            </w:pPr>
            <w:r w:rsidRPr="00620F45">
              <w:rPr>
                <w:rFonts w:ascii="Arial" w:hAnsi="Arial" w:cs="Arial"/>
                <w:caps/>
                <w:sz w:val="19"/>
                <w:szCs w:val="19"/>
              </w:rPr>
              <w:t>3</w:t>
            </w:r>
          </w:p>
        </w:tc>
        <w:tc>
          <w:tcPr>
            <w:tcW w:w="796" w:type="dxa"/>
            <w:tcBorders>
              <w:top w:val="double" w:sz="4" w:space="0" w:color="auto"/>
              <w:left w:val="single" w:sz="6" w:space="0" w:color="auto"/>
              <w:bottom w:val="double" w:sz="4" w:space="0" w:color="auto"/>
              <w:right w:val="single" w:sz="4" w:space="0" w:color="000000"/>
            </w:tcBorders>
            <w:vAlign w:val="center"/>
          </w:tcPr>
          <w:p w14:paraId="0767D7BA" w14:textId="77777777" w:rsidR="0098768F" w:rsidRPr="00620F45" w:rsidRDefault="0098768F" w:rsidP="00412A1B">
            <w:pPr>
              <w:jc w:val="both"/>
              <w:rPr>
                <w:rFonts w:ascii="Arial" w:hAnsi="Arial" w:cs="Arial"/>
                <w:b/>
                <w:color w:val="DBDBDB" w:themeColor="background1"/>
                <w:sz w:val="19"/>
                <w:szCs w:val="19"/>
              </w:rPr>
            </w:pPr>
          </w:p>
        </w:tc>
        <w:tc>
          <w:tcPr>
            <w:tcW w:w="942" w:type="dxa"/>
            <w:tcBorders>
              <w:top w:val="double" w:sz="4" w:space="0" w:color="auto"/>
              <w:left w:val="single" w:sz="6" w:space="0" w:color="auto"/>
              <w:bottom w:val="double" w:sz="4" w:space="0" w:color="auto"/>
              <w:right w:val="single" w:sz="4" w:space="0" w:color="000000"/>
            </w:tcBorders>
          </w:tcPr>
          <w:p w14:paraId="35CBBC35" w14:textId="77777777" w:rsidR="0098768F" w:rsidRPr="00620F45" w:rsidRDefault="0098768F" w:rsidP="00412A1B">
            <w:pPr>
              <w:jc w:val="both"/>
              <w:rPr>
                <w:rFonts w:ascii="Arial" w:hAnsi="Arial" w:cs="Arial"/>
                <w:b/>
                <w:color w:val="DBDBDB" w:themeColor="background1"/>
                <w:sz w:val="19"/>
                <w:szCs w:val="19"/>
              </w:rPr>
            </w:pPr>
          </w:p>
        </w:tc>
        <w:tc>
          <w:tcPr>
            <w:tcW w:w="736" w:type="dxa"/>
            <w:tcBorders>
              <w:top w:val="double" w:sz="4" w:space="0" w:color="auto"/>
              <w:left w:val="single" w:sz="4" w:space="0" w:color="000000"/>
              <w:bottom w:val="double" w:sz="4" w:space="0" w:color="auto"/>
              <w:right w:val="single" w:sz="4" w:space="0" w:color="000000"/>
            </w:tcBorders>
          </w:tcPr>
          <w:p w14:paraId="64001B96" w14:textId="77777777" w:rsidR="0098768F" w:rsidRPr="00620F45" w:rsidRDefault="0098768F" w:rsidP="00412A1B">
            <w:pPr>
              <w:jc w:val="both"/>
              <w:rPr>
                <w:rFonts w:ascii="Arial" w:hAnsi="Arial" w:cs="Arial"/>
                <w:b/>
                <w:color w:val="DBDBDB" w:themeColor="background1"/>
                <w:sz w:val="19"/>
                <w:szCs w:val="19"/>
              </w:rPr>
            </w:pPr>
          </w:p>
        </w:tc>
        <w:tc>
          <w:tcPr>
            <w:tcW w:w="934" w:type="dxa"/>
            <w:tcBorders>
              <w:top w:val="double" w:sz="4" w:space="0" w:color="auto"/>
              <w:left w:val="single" w:sz="4" w:space="0" w:color="000000"/>
              <w:bottom w:val="double" w:sz="4" w:space="0" w:color="auto"/>
              <w:right w:val="double" w:sz="4" w:space="0" w:color="auto"/>
            </w:tcBorders>
          </w:tcPr>
          <w:p w14:paraId="732F3DA1" w14:textId="77777777" w:rsidR="0098768F" w:rsidRPr="00620F45" w:rsidRDefault="0098768F" w:rsidP="00412A1B">
            <w:pPr>
              <w:jc w:val="both"/>
              <w:rPr>
                <w:rFonts w:ascii="Arial" w:hAnsi="Arial" w:cs="Arial"/>
                <w:b/>
                <w:color w:val="DBDBDB" w:themeColor="background1"/>
                <w:sz w:val="19"/>
                <w:szCs w:val="19"/>
              </w:rPr>
            </w:pPr>
          </w:p>
        </w:tc>
        <w:tc>
          <w:tcPr>
            <w:tcW w:w="1081" w:type="dxa"/>
            <w:tcBorders>
              <w:top w:val="double" w:sz="4" w:space="0" w:color="auto"/>
              <w:left w:val="single" w:sz="4" w:space="0" w:color="000000"/>
              <w:bottom w:val="double" w:sz="4" w:space="0" w:color="auto"/>
              <w:right w:val="double" w:sz="4" w:space="0" w:color="auto"/>
            </w:tcBorders>
          </w:tcPr>
          <w:p w14:paraId="765C3828" w14:textId="77777777" w:rsidR="0098768F" w:rsidRPr="00620F45" w:rsidRDefault="0098768F" w:rsidP="00412A1B">
            <w:pPr>
              <w:jc w:val="both"/>
              <w:rPr>
                <w:rFonts w:ascii="Arial" w:hAnsi="Arial" w:cs="Arial"/>
                <w:b/>
                <w:color w:val="DBDBDB" w:themeColor="background1"/>
                <w:sz w:val="19"/>
                <w:szCs w:val="19"/>
              </w:rPr>
            </w:pPr>
          </w:p>
        </w:tc>
        <w:tc>
          <w:tcPr>
            <w:tcW w:w="839" w:type="dxa"/>
            <w:tcBorders>
              <w:top w:val="double" w:sz="4" w:space="0" w:color="auto"/>
              <w:left w:val="single" w:sz="4" w:space="0" w:color="000000"/>
              <w:bottom w:val="double" w:sz="4" w:space="0" w:color="auto"/>
              <w:right w:val="double" w:sz="4" w:space="0" w:color="auto"/>
            </w:tcBorders>
          </w:tcPr>
          <w:p w14:paraId="4AE33B4F" w14:textId="77777777" w:rsidR="0098768F" w:rsidRPr="00620F45" w:rsidRDefault="0098768F" w:rsidP="00412A1B">
            <w:pPr>
              <w:jc w:val="both"/>
              <w:rPr>
                <w:rFonts w:ascii="Arial" w:hAnsi="Arial" w:cs="Arial"/>
                <w:b/>
                <w:color w:val="DBDBDB" w:themeColor="background1"/>
                <w:sz w:val="19"/>
                <w:szCs w:val="19"/>
              </w:rPr>
            </w:pPr>
          </w:p>
        </w:tc>
      </w:tr>
      <w:tr w:rsidR="0098768F" w:rsidRPr="00412A1B" w14:paraId="3F138D02" w14:textId="77777777" w:rsidTr="0098768F">
        <w:trPr>
          <w:trHeight w:val="36"/>
          <w:tblHeader/>
          <w:jc w:val="center"/>
        </w:trPr>
        <w:tc>
          <w:tcPr>
            <w:tcW w:w="365" w:type="dxa"/>
            <w:tcBorders>
              <w:top w:val="double" w:sz="4" w:space="0" w:color="auto"/>
              <w:left w:val="double" w:sz="4" w:space="0" w:color="auto"/>
              <w:bottom w:val="double" w:sz="4" w:space="0" w:color="auto"/>
              <w:right w:val="single" w:sz="6" w:space="0" w:color="auto"/>
            </w:tcBorders>
            <w:vAlign w:val="center"/>
            <w:hideMark/>
          </w:tcPr>
          <w:p w14:paraId="32F7EE5F" w14:textId="77777777" w:rsidR="0098768F" w:rsidRPr="00620F45" w:rsidRDefault="0098768F" w:rsidP="00412A1B">
            <w:pPr>
              <w:jc w:val="both"/>
              <w:rPr>
                <w:rFonts w:ascii="Arial" w:hAnsi="Arial" w:cs="Arial"/>
                <w:caps/>
                <w:sz w:val="19"/>
                <w:szCs w:val="19"/>
              </w:rPr>
            </w:pPr>
            <w:r w:rsidRPr="00620F45">
              <w:rPr>
                <w:rFonts w:ascii="Arial" w:hAnsi="Arial" w:cs="Arial"/>
                <w:caps/>
                <w:sz w:val="19"/>
                <w:szCs w:val="19"/>
              </w:rPr>
              <w:t>4</w:t>
            </w:r>
          </w:p>
        </w:tc>
        <w:tc>
          <w:tcPr>
            <w:tcW w:w="796" w:type="dxa"/>
            <w:tcBorders>
              <w:top w:val="double" w:sz="4" w:space="0" w:color="auto"/>
              <w:left w:val="single" w:sz="6" w:space="0" w:color="auto"/>
              <w:bottom w:val="double" w:sz="4" w:space="0" w:color="auto"/>
              <w:right w:val="single" w:sz="4" w:space="0" w:color="000000"/>
            </w:tcBorders>
            <w:vAlign w:val="center"/>
          </w:tcPr>
          <w:p w14:paraId="6C808CF3" w14:textId="77777777" w:rsidR="0098768F" w:rsidRPr="00620F45" w:rsidRDefault="0098768F" w:rsidP="00412A1B">
            <w:pPr>
              <w:jc w:val="both"/>
              <w:rPr>
                <w:rFonts w:ascii="Arial" w:hAnsi="Arial" w:cs="Arial"/>
                <w:b/>
                <w:i/>
                <w:color w:val="DBDBDB" w:themeColor="background1"/>
                <w:sz w:val="19"/>
                <w:szCs w:val="19"/>
              </w:rPr>
            </w:pPr>
          </w:p>
        </w:tc>
        <w:tc>
          <w:tcPr>
            <w:tcW w:w="942" w:type="dxa"/>
            <w:tcBorders>
              <w:top w:val="double" w:sz="4" w:space="0" w:color="auto"/>
              <w:left w:val="single" w:sz="6" w:space="0" w:color="auto"/>
              <w:bottom w:val="double" w:sz="4" w:space="0" w:color="auto"/>
              <w:right w:val="single" w:sz="4" w:space="0" w:color="000000"/>
            </w:tcBorders>
          </w:tcPr>
          <w:p w14:paraId="1AAC2956" w14:textId="77777777" w:rsidR="0098768F" w:rsidRPr="00620F45" w:rsidRDefault="0098768F" w:rsidP="00412A1B">
            <w:pPr>
              <w:jc w:val="both"/>
              <w:rPr>
                <w:rFonts w:ascii="Arial" w:hAnsi="Arial" w:cs="Arial"/>
                <w:b/>
                <w:i/>
                <w:color w:val="DBDBDB" w:themeColor="background1"/>
                <w:sz w:val="19"/>
                <w:szCs w:val="19"/>
              </w:rPr>
            </w:pPr>
          </w:p>
        </w:tc>
        <w:tc>
          <w:tcPr>
            <w:tcW w:w="736" w:type="dxa"/>
            <w:tcBorders>
              <w:top w:val="double" w:sz="4" w:space="0" w:color="auto"/>
              <w:left w:val="single" w:sz="4" w:space="0" w:color="000000"/>
              <w:bottom w:val="double" w:sz="4" w:space="0" w:color="auto"/>
              <w:right w:val="single" w:sz="4" w:space="0" w:color="000000"/>
            </w:tcBorders>
          </w:tcPr>
          <w:p w14:paraId="59BA80D0" w14:textId="77777777" w:rsidR="0098768F" w:rsidRPr="00620F45" w:rsidRDefault="0098768F" w:rsidP="00412A1B">
            <w:pPr>
              <w:jc w:val="both"/>
              <w:rPr>
                <w:rFonts w:ascii="Arial" w:hAnsi="Arial" w:cs="Arial"/>
                <w:b/>
                <w:i/>
                <w:color w:val="DBDBDB" w:themeColor="background1"/>
                <w:sz w:val="19"/>
                <w:szCs w:val="19"/>
              </w:rPr>
            </w:pPr>
          </w:p>
        </w:tc>
        <w:tc>
          <w:tcPr>
            <w:tcW w:w="934" w:type="dxa"/>
            <w:tcBorders>
              <w:top w:val="double" w:sz="4" w:space="0" w:color="auto"/>
              <w:left w:val="single" w:sz="4" w:space="0" w:color="000000"/>
              <w:bottom w:val="double" w:sz="4" w:space="0" w:color="auto"/>
              <w:right w:val="double" w:sz="4" w:space="0" w:color="auto"/>
            </w:tcBorders>
          </w:tcPr>
          <w:p w14:paraId="62EC8AB8" w14:textId="77777777" w:rsidR="0098768F" w:rsidRPr="00620F45" w:rsidRDefault="0098768F" w:rsidP="00412A1B">
            <w:pPr>
              <w:jc w:val="both"/>
              <w:rPr>
                <w:rFonts w:ascii="Arial" w:hAnsi="Arial" w:cs="Arial"/>
                <w:b/>
                <w:i/>
                <w:color w:val="DBDBDB" w:themeColor="background1"/>
                <w:sz w:val="19"/>
                <w:szCs w:val="19"/>
              </w:rPr>
            </w:pPr>
          </w:p>
        </w:tc>
        <w:tc>
          <w:tcPr>
            <w:tcW w:w="1081" w:type="dxa"/>
            <w:tcBorders>
              <w:top w:val="double" w:sz="4" w:space="0" w:color="auto"/>
              <w:left w:val="single" w:sz="4" w:space="0" w:color="000000"/>
              <w:bottom w:val="double" w:sz="4" w:space="0" w:color="auto"/>
              <w:right w:val="double" w:sz="4" w:space="0" w:color="auto"/>
            </w:tcBorders>
          </w:tcPr>
          <w:p w14:paraId="2792A8E9" w14:textId="77777777" w:rsidR="0098768F" w:rsidRPr="00620F45" w:rsidRDefault="0098768F" w:rsidP="00412A1B">
            <w:pPr>
              <w:jc w:val="both"/>
              <w:rPr>
                <w:rFonts w:ascii="Arial" w:hAnsi="Arial" w:cs="Arial"/>
                <w:b/>
                <w:i/>
                <w:color w:val="DBDBDB" w:themeColor="background1"/>
                <w:sz w:val="19"/>
                <w:szCs w:val="19"/>
              </w:rPr>
            </w:pPr>
          </w:p>
        </w:tc>
        <w:tc>
          <w:tcPr>
            <w:tcW w:w="839" w:type="dxa"/>
            <w:tcBorders>
              <w:top w:val="double" w:sz="4" w:space="0" w:color="auto"/>
              <w:left w:val="single" w:sz="4" w:space="0" w:color="000000"/>
              <w:bottom w:val="double" w:sz="4" w:space="0" w:color="auto"/>
              <w:right w:val="double" w:sz="4" w:space="0" w:color="auto"/>
            </w:tcBorders>
          </w:tcPr>
          <w:p w14:paraId="4066B3FB" w14:textId="77777777" w:rsidR="0098768F" w:rsidRPr="00620F45" w:rsidRDefault="0098768F" w:rsidP="00412A1B">
            <w:pPr>
              <w:jc w:val="both"/>
              <w:rPr>
                <w:rFonts w:ascii="Arial" w:hAnsi="Arial" w:cs="Arial"/>
                <w:b/>
                <w:i/>
                <w:color w:val="DBDBDB" w:themeColor="background1"/>
                <w:sz w:val="19"/>
                <w:szCs w:val="19"/>
              </w:rPr>
            </w:pPr>
          </w:p>
        </w:tc>
      </w:tr>
    </w:tbl>
    <w:p w14:paraId="5F964896" w14:textId="0BA9A7B9" w:rsidR="0098768F" w:rsidRPr="00620F45" w:rsidRDefault="0098768F" w:rsidP="00620F45">
      <w:pPr>
        <w:pStyle w:val="Textonotapie"/>
        <w:jc w:val="both"/>
        <w:rPr>
          <w:rFonts w:ascii="Arial" w:hAnsi="Arial" w:cs="Arial"/>
          <w:sz w:val="19"/>
          <w:szCs w:val="19"/>
          <w:lang w:val="es-CO"/>
        </w:rPr>
      </w:pPr>
    </w:p>
  </w:footnote>
  <w:footnote w:id="19">
    <w:p w14:paraId="122B870C" w14:textId="7FD9B45C" w:rsidR="004C5CCC" w:rsidRPr="00620F45" w:rsidRDefault="004C5CCC" w:rsidP="00412A1B">
      <w:pPr>
        <w:ind w:firstLine="567"/>
        <w:jc w:val="both"/>
        <w:rPr>
          <w:rFonts w:ascii="Arial" w:hAnsi="Arial" w:cs="Arial"/>
          <w:iCs/>
          <w:color w:val="000000"/>
          <w:sz w:val="19"/>
          <w:szCs w:val="19"/>
        </w:rPr>
      </w:pPr>
      <w:r w:rsidRPr="00620F45">
        <w:rPr>
          <w:rStyle w:val="Refdenotaalpie"/>
          <w:rFonts w:ascii="Arial" w:hAnsi="Arial" w:cs="Arial"/>
          <w:sz w:val="19"/>
          <w:szCs w:val="19"/>
        </w:rPr>
        <w:footnoteRef/>
      </w:r>
      <w:r w:rsidRPr="00620F45">
        <w:rPr>
          <w:rFonts w:ascii="Arial" w:hAnsi="Arial" w:cs="Arial"/>
          <w:sz w:val="19"/>
          <w:szCs w:val="19"/>
        </w:rPr>
        <w:t xml:space="preserve"> </w:t>
      </w:r>
      <w:r w:rsidR="00D70403" w:rsidRPr="00412A1B">
        <w:rPr>
          <w:rFonts w:ascii="Arial" w:hAnsi="Arial" w:cs="Arial"/>
          <w:iCs/>
          <w:color w:val="000000"/>
          <w:sz w:val="19"/>
          <w:szCs w:val="19"/>
          <w:highlight w:val="lightGray"/>
        </w:rPr>
        <w:t>[</w:t>
      </w:r>
      <w:r w:rsidR="00D70403" w:rsidRPr="00412A1B">
        <w:rPr>
          <w:rFonts w:ascii="Arial" w:hAnsi="Arial" w:cs="Arial"/>
          <w:b/>
          <w:bCs/>
          <w:iCs/>
          <w:color w:val="000000"/>
          <w:sz w:val="19"/>
          <w:szCs w:val="19"/>
          <w:highlight w:val="lightGray"/>
        </w:rPr>
        <w:t xml:space="preserve">Opción 2. </w:t>
      </w:r>
      <w:r w:rsidR="00D70403" w:rsidRPr="00412A1B">
        <w:rPr>
          <w:rFonts w:ascii="Arial" w:hAnsi="Arial" w:cs="Arial"/>
          <w:iCs/>
          <w:color w:val="000000"/>
          <w:sz w:val="19"/>
          <w:szCs w:val="19"/>
          <w:highlight w:val="lightGray"/>
        </w:rPr>
        <w:t>Si luego de aplicar la metodología para identificar los bienes nacionales relevantes descritos en la Matriz 3 – Bienes nacionales relevantes para la obra pública del sector de infraestructura social, la Entidad Estatal</w:t>
      </w:r>
      <w:r w:rsidR="00D70403" w:rsidRPr="00412A1B" w:rsidDel="00F325AF">
        <w:rPr>
          <w:rFonts w:ascii="Arial" w:hAnsi="Arial" w:cs="Arial"/>
          <w:iCs/>
          <w:color w:val="000000"/>
          <w:sz w:val="19"/>
          <w:szCs w:val="19"/>
          <w:highlight w:val="lightGray"/>
        </w:rPr>
        <w:t xml:space="preserve"> </w:t>
      </w:r>
      <w:r w:rsidR="00D70403" w:rsidRPr="00412A1B">
        <w:rPr>
          <w:rFonts w:ascii="Arial" w:hAnsi="Arial" w:cs="Arial"/>
          <w:iCs/>
          <w:color w:val="000000"/>
          <w:sz w:val="19"/>
          <w:szCs w:val="19"/>
          <w:highlight w:val="lightGray"/>
        </w:rPr>
        <w:t>demuestra que los bienes relevantes no están registrados en el Registro de Productores de Bienes Nacionales, se otorgará el puntaje a los Proponentes que se comprometan a vincular al desarrollo del objeto contractual un porcentaje de empleados o contratistas por prestación de servicios colombianos de al menos el cuarenta por ciento (40 %) del personal requerido para el cumplimiento del contrato. Para estos casos deberán incluirse los siguientes párrafos en el Pliego de Condiciones.]</w:t>
      </w:r>
      <w:r w:rsidR="00D70403" w:rsidRPr="00412A1B">
        <w:rPr>
          <w:rFonts w:ascii="Arial" w:hAnsi="Arial" w:cs="Arial"/>
          <w:iCs/>
          <w:color w:val="000000"/>
          <w:sz w:val="19"/>
          <w:szCs w:val="19"/>
        </w:rPr>
        <w:t xml:space="preserve"> […]</w:t>
      </w:r>
    </w:p>
  </w:footnote>
  <w:footnote w:id="20">
    <w:p w14:paraId="6CF17A9A" w14:textId="716D38C1" w:rsidR="00530242" w:rsidRPr="008179FF" w:rsidRDefault="00530242" w:rsidP="00412A1B">
      <w:pPr>
        <w:pStyle w:val="Textonotapie"/>
        <w:ind w:firstLine="709"/>
        <w:jc w:val="both"/>
        <w:rPr>
          <w:rFonts w:ascii="Arial" w:hAnsi="Arial" w:cs="Arial"/>
          <w:sz w:val="19"/>
          <w:szCs w:val="19"/>
          <w:lang w:val="es-CO"/>
        </w:rPr>
      </w:pPr>
      <w:r w:rsidRPr="008179FF">
        <w:rPr>
          <w:rStyle w:val="Refdenotaalpie"/>
          <w:rFonts w:ascii="Arial" w:hAnsi="Arial" w:cs="Arial"/>
          <w:sz w:val="19"/>
          <w:szCs w:val="19"/>
        </w:rPr>
        <w:footnoteRef/>
      </w:r>
      <w:r w:rsidRPr="008179FF">
        <w:rPr>
          <w:rFonts w:ascii="Arial" w:hAnsi="Arial" w:cs="Arial"/>
          <w:sz w:val="19"/>
          <w:szCs w:val="19"/>
        </w:rPr>
        <w:t xml:space="preserve"> </w:t>
      </w:r>
      <w:r w:rsidRPr="00412A1B">
        <w:rPr>
          <w:rFonts w:ascii="Arial" w:hAnsi="Arial" w:cs="Arial"/>
          <w:sz w:val="19"/>
          <w:szCs w:val="19"/>
        </w:rPr>
        <w:t>De conformidad con lo señalado en la parte introductoria de los documentos tipo «El uso de los Documentos Tipo no exime a la Entidad Estatal de la obligación que le asiste de aplicar la normativa y la jurisprudencia al Proceso de Contratación, así como de dar cumplimiento a lo ordenado por sentencia judicial</w:t>
      </w:r>
      <w:r w:rsidRPr="00412A1B">
        <w:rPr>
          <w:rFonts w:ascii="Arial" w:hAnsi="Arial" w:cs="Arial"/>
          <w:bCs/>
          <w:sz w:val="19"/>
          <w:szCs w:val="19"/>
          <w:lang w:val="es-ES_tradnl"/>
        </w:rPr>
        <w:t>»</w:t>
      </w:r>
      <w:r w:rsidRPr="00412A1B">
        <w:rPr>
          <w:rFonts w:ascii="Arial" w:hAnsi="Arial" w:cs="Arial"/>
          <w:sz w:val="19"/>
          <w:szCs w:val="19"/>
        </w:rPr>
        <w:t>.</w:t>
      </w:r>
    </w:p>
  </w:footnote>
  <w:footnote w:id="21">
    <w:p w14:paraId="3D6189DC" w14:textId="67545961" w:rsidR="00AD772B" w:rsidRPr="00412A1B" w:rsidRDefault="00AD772B" w:rsidP="00412A1B">
      <w:pPr>
        <w:ind w:firstLine="708"/>
        <w:jc w:val="both"/>
        <w:rPr>
          <w:rFonts w:ascii="Arial" w:hAnsi="Arial" w:cs="Arial"/>
          <w:sz w:val="19"/>
          <w:szCs w:val="19"/>
        </w:rPr>
      </w:pPr>
      <w:r w:rsidRPr="00412A1B">
        <w:rPr>
          <w:rStyle w:val="Refdenotaalpie"/>
          <w:rFonts w:ascii="Arial" w:hAnsi="Arial" w:cs="Arial"/>
          <w:sz w:val="19"/>
          <w:szCs w:val="19"/>
        </w:rPr>
        <w:footnoteRef/>
      </w:r>
      <w:r w:rsidRPr="00412A1B">
        <w:rPr>
          <w:rFonts w:ascii="Arial" w:hAnsi="Arial" w:cs="Arial"/>
          <w:sz w:val="19"/>
          <w:szCs w:val="19"/>
        </w:rPr>
        <w:t xml:space="preserve"> </w:t>
      </w:r>
      <w:r w:rsidR="008954CE" w:rsidRPr="00412A1B">
        <w:rPr>
          <w:rFonts w:ascii="Arial" w:hAnsi="Arial" w:cs="Arial"/>
          <w:sz w:val="19"/>
          <w:szCs w:val="19"/>
        </w:rPr>
        <w:t>Así,</w:t>
      </w:r>
      <w:r w:rsidRPr="00412A1B">
        <w:rPr>
          <w:rFonts w:ascii="Arial" w:hAnsi="Arial" w:cs="Arial"/>
          <w:sz w:val="19"/>
          <w:szCs w:val="19"/>
        </w:rPr>
        <w:t xml:space="preserve"> por ejemplo, la causal de rechazo del literal Q establece: «[Incluir solo cuando la forma de pago sea por precios unitarios] Superar el valor unitario de alguno o algunos de los siguientes ítems ofrecidos con respecto al valor establecido para cada ítem del presupuesto oficial: [La entidad debe incluir esta causal cuando la forma de pago sea por precios unitarios y cuando considere necesario establecer ítems del presupuesto oficial cuyo valor no pueda ser excedido por el proponente. Cuando decida incluirla, identificará en este espacio los ítems frente a los cuales aplicará la causal de rechazo. </w:t>
      </w:r>
    </w:p>
    <w:p w14:paraId="61F29376" w14:textId="77777777" w:rsidR="00AD772B" w:rsidRPr="00412A1B" w:rsidRDefault="00AD772B" w:rsidP="00412A1B">
      <w:pPr>
        <w:pStyle w:val="Textonotapie"/>
        <w:ind w:firstLine="708"/>
        <w:jc w:val="both"/>
        <w:rPr>
          <w:rFonts w:ascii="Arial" w:hAnsi="Arial" w:cs="Arial"/>
          <w:sz w:val="19"/>
          <w:szCs w:val="19"/>
          <w:lang w:val="es-CO"/>
        </w:rPr>
      </w:pPr>
      <w:proofErr w:type="gramStart"/>
      <w:r w:rsidRPr="00412A1B">
        <w:rPr>
          <w:rFonts w:ascii="Arial" w:hAnsi="Arial" w:cs="Arial"/>
          <w:sz w:val="19"/>
          <w:szCs w:val="19"/>
        </w:rPr>
        <w:t>»Para</w:t>
      </w:r>
      <w:proofErr w:type="gramEnd"/>
      <w:r w:rsidRPr="00412A1B">
        <w:rPr>
          <w:rFonts w:ascii="Arial" w:hAnsi="Arial" w:cs="Arial"/>
          <w:sz w:val="19"/>
          <w:szCs w:val="19"/>
        </w:rPr>
        <w:t xml:space="preserve"> la aplicación de esta causal la entidad debe tener en cuenta que el valor unitario establecido en el Formulario 1 – Formulario de Presupuesto Oficial incluye el valor de AIU]»</w:t>
      </w:r>
    </w:p>
  </w:footnote>
  <w:footnote w:id="22">
    <w:p w14:paraId="0BA81903" w14:textId="77777777" w:rsidR="002A63B6" w:rsidRPr="00412A1B" w:rsidRDefault="002A63B6" w:rsidP="00412A1B">
      <w:pPr>
        <w:pStyle w:val="Textonotapie"/>
        <w:ind w:firstLine="709"/>
        <w:jc w:val="both"/>
        <w:rPr>
          <w:rFonts w:ascii="Arial" w:hAnsi="Arial" w:cs="Arial"/>
          <w:color w:val="000000" w:themeColor="text1"/>
          <w:sz w:val="19"/>
          <w:szCs w:val="19"/>
          <w:lang w:val="es-ES"/>
        </w:rPr>
      </w:pPr>
      <w:r w:rsidRPr="00412A1B">
        <w:rPr>
          <w:rStyle w:val="Refdenotaalpie"/>
          <w:rFonts w:ascii="Arial" w:hAnsi="Arial" w:cs="Arial"/>
          <w:color w:val="000000" w:themeColor="text1"/>
          <w:sz w:val="19"/>
          <w:szCs w:val="19"/>
        </w:rPr>
        <w:footnoteRef/>
      </w:r>
      <w:r w:rsidRPr="00412A1B">
        <w:rPr>
          <w:rFonts w:ascii="Arial" w:hAnsi="Arial" w:cs="Arial"/>
          <w:color w:val="000000" w:themeColor="text1"/>
          <w:sz w:val="19"/>
          <w:szCs w:val="19"/>
        </w:rPr>
        <w:t xml:space="preserve"> Consejo de Estado. Sección Tercera. Sentencia del 4 de junio de 2008. </w:t>
      </w:r>
      <w:proofErr w:type="spellStart"/>
      <w:r w:rsidRPr="00412A1B">
        <w:rPr>
          <w:rFonts w:ascii="Arial" w:hAnsi="Arial" w:cs="Arial"/>
          <w:color w:val="000000" w:themeColor="text1"/>
          <w:sz w:val="19"/>
          <w:szCs w:val="19"/>
        </w:rPr>
        <w:t>Exp</w:t>
      </w:r>
      <w:proofErr w:type="spellEnd"/>
      <w:r w:rsidRPr="00412A1B">
        <w:rPr>
          <w:rFonts w:ascii="Arial" w:hAnsi="Arial" w:cs="Arial"/>
          <w:color w:val="000000" w:themeColor="text1"/>
          <w:sz w:val="19"/>
          <w:szCs w:val="19"/>
        </w:rPr>
        <w:t>. No. 17.783. C.P. Myriam Guerrero de Escobar.</w:t>
      </w:r>
    </w:p>
  </w:footnote>
  <w:footnote w:id="23">
    <w:p w14:paraId="4AD43F50" w14:textId="70ADBF1A" w:rsidR="002A63B6" w:rsidRPr="00412A1B" w:rsidRDefault="002A63B6" w:rsidP="00412A1B">
      <w:pPr>
        <w:pStyle w:val="Textonotapie"/>
        <w:ind w:firstLine="709"/>
        <w:jc w:val="both"/>
        <w:rPr>
          <w:rFonts w:ascii="Arial" w:hAnsi="Arial" w:cs="Arial"/>
          <w:color w:val="000000" w:themeColor="text1"/>
          <w:sz w:val="19"/>
          <w:szCs w:val="19"/>
          <w:lang w:val="es-ES"/>
        </w:rPr>
      </w:pPr>
      <w:r w:rsidRPr="00412A1B">
        <w:rPr>
          <w:rStyle w:val="Refdenotaalpie"/>
          <w:rFonts w:ascii="Arial" w:hAnsi="Arial" w:cs="Arial"/>
          <w:color w:val="000000" w:themeColor="text1"/>
          <w:sz w:val="19"/>
          <w:szCs w:val="19"/>
        </w:rPr>
        <w:footnoteRef/>
      </w:r>
      <w:r w:rsidRPr="00412A1B">
        <w:rPr>
          <w:rFonts w:ascii="Arial" w:hAnsi="Arial" w:cs="Arial"/>
          <w:color w:val="000000" w:themeColor="text1"/>
          <w:sz w:val="19"/>
          <w:szCs w:val="19"/>
        </w:rPr>
        <w:t xml:space="preserve"> Guía para el manejo de ofertas artificialmente bajas en Procesos de Contratación. </w:t>
      </w:r>
      <w:r w:rsidR="00481623" w:rsidRPr="00412A1B">
        <w:rPr>
          <w:rFonts w:ascii="Arial" w:hAnsi="Arial" w:cs="Arial"/>
          <w:color w:val="000000" w:themeColor="text1"/>
          <w:sz w:val="19"/>
          <w:szCs w:val="19"/>
        </w:rPr>
        <w:t>Pág</w:t>
      </w:r>
      <w:r w:rsidRPr="00412A1B">
        <w:rPr>
          <w:rFonts w:ascii="Arial" w:hAnsi="Arial" w:cs="Arial"/>
          <w:color w:val="000000" w:themeColor="text1"/>
          <w:sz w:val="19"/>
          <w:szCs w:val="19"/>
        </w:rPr>
        <w:t>. 5.</w:t>
      </w:r>
    </w:p>
  </w:footnote>
  <w:footnote w:id="24">
    <w:p w14:paraId="4B8DB4E2" w14:textId="77777777" w:rsidR="002A63B6" w:rsidRPr="00412A1B" w:rsidRDefault="002A63B6" w:rsidP="00412A1B">
      <w:pPr>
        <w:pStyle w:val="Textonotapie"/>
        <w:ind w:firstLine="709"/>
        <w:jc w:val="both"/>
        <w:rPr>
          <w:rFonts w:ascii="Arial" w:hAnsi="Arial" w:cs="Arial"/>
          <w:color w:val="000000" w:themeColor="text1"/>
          <w:sz w:val="19"/>
          <w:szCs w:val="19"/>
          <w:lang w:val="es-ES"/>
        </w:rPr>
      </w:pPr>
      <w:r w:rsidRPr="00412A1B">
        <w:rPr>
          <w:rStyle w:val="Refdenotaalpie"/>
          <w:rFonts w:ascii="Arial" w:hAnsi="Arial" w:cs="Arial"/>
          <w:color w:val="000000" w:themeColor="text1"/>
          <w:sz w:val="19"/>
          <w:szCs w:val="19"/>
        </w:rPr>
        <w:footnoteRef/>
      </w:r>
      <w:r w:rsidRPr="00412A1B">
        <w:rPr>
          <w:rFonts w:ascii="Arial" w:hAnsi="Arial" w:cs="Arial"/>
          <w:color w:val="000000" w:themeColor="text1"/>
          <w:sz w:val="19"/>
          <w:szCs w:val="19"/>
        </w:rPr>
        <w:t xml:space="preserve"> </w:t>
      </w:r>
      <w:r w:rsidRPr="00412A1B">
        <w:rPr>
          <w:rFonts w:ascii="Arial" w:hAnsi="Arial" w:cs="Arial"/>
          <w:color w:val="000000" w:themeColor="text1"/>
          <w:sz w:val="19"/>
          <w:szCs w:val="19"/>
          <w:lang w:val="es-ES"/>
        </w:rPr>
        <w:t xml:space="preserve">Consejo de Estado. Sección Segunda. Sentencia del 10 de junio de 1992. </w:t>
      </w:r>
      <w:proofErr w:type="spellStart"/>
      <w:r w:rsidRPr="00412A1B">
        <w:rPr>
          <w:rFonts w:ascii="Arial" w:hAnsi="Arial" w:cs="Arial"/>
          <w:color w:val="000000" w:themeColor="text1"/>
          <w:sz w:val="19"/>
          <w:szCs w:val="19"/>
          <w:lang w:val="es-ES"/>
        </w:rPr>
        <w:t>Exp</w:t>
      </w:r>
      <w:proofErr w:type="spellEnd"/>
      <w:r w:rsidRPr="00412A1B">
        <w:rPr>
          <w:rFonts w:ascii="Arial" w:hAnsi="Arial" w:cs="Arial"/>
          <w:color w:val="000000" w:themeColor="text1"/>
          <w:sz w:val="19"/>
          <w:szCs w:val="19"/>
          <w:lang w:val="es-ES"/>
        </w:rPr>
        <w:t xml:space="preserve">. No. 4.249. C.P. Álvaro </w:t>
      </w:r>
      <w:proofErr w:type="spellStart"/>
      <w:r w:rsidRPr="00412A1B">
        <w:rPr>
          <w:rFonts w:ascii="Arial" w:hAnsi="Arial" w:cs="Arial"/>
          <w:color w:val="000000" w:themeColor="text1"/>
          <w:sz w:val="19"/>
          <w:szCs w:val="19"/>
          <w:lang w:val="es-ES"/>
        </w:rPr>
        <w:t>Lecompte</w:t>
      </w:r>
      <w:proofErr w:type="spellEnd"/>
      <w:r w:rsidRPr="00412A1B">
        <w:rPr>
          <w:rFonts w:ascii="Arial" w:hAnsi="Arial" w:cs="Arial"/>
          <w:color w:val="000000" w:themeColor="text1"/>
          <w:sz w:val="19"/>
          <w:szCs w:val="19"/>
          <w:lang w:val="es-ES"/>
        </w:rPr>
        <w:t xml:space="preserve"> Luna.</w:t>
      </w:r>
    </w:p>
    <w:p w14:paraId="16610D42" w14:textId="77777777" w:rsidR="002A63B6" w:rsidRPr="00412A1B" w:rsidRDefault="002A63B6" w:rsidP="00412A1B">
      <w:pPr>
        <w:pStyle w:val="Textonotapie"/>
        <w:ind w:firstLine="709"/>
        <w:jc w:val="both"/>
        <w:rPr>
          <w:rFonts w:ascii="Arial" w:hAnsi="Arial" w:cs="Arial"/>
          <w:color w:val="000000" w:themeColor="text1"/>
          <w:sz w:val="19"/>
          <w:szCs w:val="19"/>
          <w:lang w:val="es-ES"/>
        </w:rPr>
      </w:pPr>
    </w:p>
  </w:footnote>
  <w:footnote w:id="25">
    <w:p w14:paraId="247D4BAA" w14:textId="77777777" w:rsidR="00E91F8E" w:rsidRPr="00412A1B" w:rsidRDefault="00E91F8E" w:rsidP="00412A1B">
      <w:pPr>
        <w:pStyle w:val="Textonotapie"/>
        <w:ind w:firstLine="709"/>
        <w:jc w:val="both"/>
        <w:rPr>
          <w:rFonts w:ascii="Arial" w:hAnsi="Arial" w:cs="Arial"/>
          <w:sz w:val="19"/>
          <w:szCs w:val="19"/>
        </w:rPr>
      </w:pPr>
      <w:r w:rsidRPr="00412A1B">
        <w:rPr>
          <w:rStyle w:val="Refdenotaalpie"/>
          <w:rFonts w:ascii="Arial" w:hAnsi="Arial" w:cs="Arial"/>
          <w:sz w:val="19"/>
          <w:szCs w:val="19"/>
        </w:rPr>
        <w:footnoteRef/>
      </w:r>
      <w:r w:rsidRPr="00412A1B">
        <w:rPr>
          <w:rFonts w:ascii="Arial" w:hAnsi="Arial" w:cs="Arial"/>
          <w:sz w:val="19"/>
          <w:szCs w:val="19"/>
        </w:rPr>
        <w:t xml:space="preserve"> Código Civil: «Artículo 33. Palabras relacionadas con las personas. La palabra persona en su sentido general se aplica(</w:t>
      </w:r>
      <w:proofErr w:type="spellStart"/>
      <w:r w:rsidRPr="00412A1B">
        <w:rPr>
          <w:rFonts w:ascii="Arial" w:hAnsi="Arial" w:cs="Arial"/>
          <w:sz w:val="19"/>
          <w:szCs w:val="19"/>
        </w:rPr>
        <w:t>rá</w:t>
      </w:r>
      <w:proofErr w:type="spellEnd"/>
      <w:r w:rsidRPr="00412A1B">
        <w:rPr>
          <w:rFonts w:ascii="Arial" w:hAnsi="Arial" w:cs="Arial"/>
          <w:sz w:val="19"/>
          <w:szCs w:val="19"/>
        </w:rPr>
        <w:t>) a la especie humana, sin distinción de sexo».</w:t>
      </w:r>
    </w:p>
    <w:p w14:paraId="75CC81CF" w14:textId="77777777" w:rsidR="00E91F8E" w:rsidRPr="00412A1B" w:rsidRDefault="00E91F8E" w:rsidP="00412A1B">
      <w:pPr>
        <w:pStyle w:val="Textonotapie"/>
        <w:ind w:firstLine="709"/>
        <w:jc w:val="both"/>
        <w:rPr>
          <w:rFonts w:ascii="Arial" w:hAnsi="Arial" w:cs="Arial"/>
          <w:sz w:val="19"/>
          <w:szCs w:val="19"/>
          <w:lang w:val="es-CO"/>
        </w:rPr>
      </w:pPr>
    </w:p>
  </w:footnote>
  <w:footnote w:id="26">
    <w:p w14:paraId="419CE639" w14:textId="77777777" w:rsidR="00E91F8E" w:rsidRPr="00412A1B" w:rsidRDefault="00E91F8E" w:rsidP="00412A1B">
      <w:pPr>
        <w:pStyle w:val="Textonotapie"/>
        <w:ind w:firstLine="709"/>
        <w:jc w:val="both"/>
        <w:rPr>
          <w:rFonts w:ascii="Arial" w:hAnsi="Arial" w:cs="Arial"/>
          <w:sz w:val="19"/>
          <w:szCs w:val="19"/>
        </w:rPr>
      </w:pPr>
      <w:r w:rsidRPr="00412A1B">
        <w:rPr>
          <w:rStyle w:val="Refdenotaalpie"/>
          <w:rFonts w:ascii="Arial" w:hAnsi="Arial" w:cs="Arial"/>
          <w:sz w:val="19"/>
          <w:szCs w:val="19"/>
        </w:rPr>
        <w:footnoteRef/>
      </w:r>
      <w:r w:rsidRPr="00412A1B">
        <w:rPr>
          <w:rFonts w:ascii="Arial" w:hAnsi="Arial" w:cs="Arial"/>
          <w:sz w:val="19"/>
          <w:szCs w:val="19"/>
        </w:rPr>
        <w:t xml:space="preserve">  Constitución Política de Colombia: «Artículo 42. La familia es el núcleo fundamental de la sociedad. Se constituye por vínculos naturales o jurídicos, por la decisión libre de un hombre y una mujer de contraer matrimonio o por la voluntad responsable de conformarla».</w:t>
      </w:r>
    </w:p>
    <w:p w14:paraId="3B38F4A5" w14:textId="77777777" w:rsidR="00E91F8E" w:rsidRPr="00412A1B" w:rsidRDefault="00E91F8E" w:rsidP="00412A1B">
      <w:pPr>
        <w:pStyle w:val="Textonotapie"/>
        <w:ind w:firstLine="709"/>
        <w:jc w:val="both"/>
        <w:rPr>
          <w:rFonts w:ascii="Arial" w:hAnsi="Arial" w:cs="Arial"/>
          <w:sz w:val="19"/>
          <w:szCs w:val="19"/>
          <w:lang w:val="es-CO"/>
        </w:rPr>
      </w:pPr>
    </w:p>
  </w:footnote>
  <w:footnote w:id="27">
    <w:p w14:paraId="19EB77BA" w14:textId="77777777" w:rsidR="00D370A0" w:rsidRPr="00412A1B" w:rsidRDefault="00D370A0" w:rsidP="00412A1B">
      <w:pPr>
        <w:pStyle w:val="Textonotapie"/>
        <w:ind w:firstLine="709"/>
        <w:jc w:val="both"/>
        <w:rPr>
          <w:rFonts w:ascii="Arial" w:hAnsi="Arial" w:cs="Arial"/>
          <w:sz w:val="19"/>
          <w:szCs w:val="19"/>
        </w:rPr>
      </w:pPr>
      <w:r w:rsidRPr="00412A1B">
        <w:rPr>
          <w:rStyle w:val="Refdenotaalpie"/>
          <w:rFonts w:ascii="Arial" w:hAnsi="Arial" w:cs="Arial"/>
          <w:sz w:val="19"/>
          <w:szCs w:val="19"/>
        </w:rPr>
        <w:footnoteRef/>
      </w:r>
      <w:r w:rsidRPr="00412A1B">
        <w:rPr>
          <w:rFonts w:ascii="Arial" w:hAnsi="Arial" w:cs="Arial"/>
          <w:sz w:val="19"/>
          <w:szCs w:val="19"/>
        </w:rPr>
        <w:t xml:space="preserve"> CORTE CONSTITUCIONAL. Sentencia C-353 de 2009. M.P. JORGE IVÁN PALACIO </w:t>
      </w:r>
      <w:proofErr w:type="spellStart"/>
      <w:r w:rsidRPr="00412A1B">
        <w:rPr>
          <w:rFonts w:ascii="Arial" w:hAnsi="Arial" w:cs="Arial"/>
          <w:sz w:val="19"/>
          <w:szCs w:val="19"/>
        </w:rPr>
        <w:t>PALACIO</w:t>
      </w:r>
      <w:proofErr w:type="spellEnd"/>
      <w:r w:rsidRPr="00412A1B">
        <w:rPr>
          <w:rFonts w:ascii="Arial" w:hAnsi="Arial" w:cs="Arial"/>
          <w:sz w:val="19"/>
          <w:szCs w:val="19"/>
        </w:rPr>
        <w:t>.</w:t>
      </w:r>
    </w:p>
  </w:footnote>
  <w:footnote w:id="28">
    <w:p w14:paraId="3215E276" w14:textId="1F863695" w:rsidR="009D00AD" w:rsidRPr="009D34ED" w:rsidRDefault="009D00AD" w:rsidP="009D34ED">
      <w:pPr>
        <w:pStyle w:val="Textonotapie"/>
        <w:ind w:firstLine="567"/>
        <w:jc w:val="both"/>
        <w:rPr>
          <w:rFonts w:ascii="Arial" w:hAnsi="Arial" w:cs="Arial"/>
          <w:sz w:val="19"/>
          <w:szCs w:val="19"/>
          <w:lang w:val="es-CO"/>
        </w:rPr>
      </w:pPr>
      <w:r w:rsidRPr="009D34ED">
        <w:rPr>
          <w:rStyle w:val="Refdenotaalpie"/>
          <w:rFonts w:ascii="Arial" w:hAnsi="Arial" w:cs="Arial"/>
          <w:sz w:val="19"/>
          <w:szCs w:val="19"/>
        </w:rPr>
        <w:footnoteRef/>
      </w:r>
      <w:r w:rsidRPr="009D34ED">
        <w:rPr>
          <w:rFonts w:ascii="Arial" w:hAnsi="Arial" w:cs="Arial"/>
          <w:sz w:val="19"/>
          <w:szCs w:val="19"/>
        </w:rPr>
        <w:t xml:space="preserve"> </w:t>
      </w:r>
      <w:r w:rsidRPr="009D34ED">
        <w:rPr>
          <w:rFonts w:ascii="Arial" w:hAnsi="Arial" w:cs="Arial"/>
          <w:color w:val="000000" w:themeColor="text1"/>
          <w:sz w:val="19"/>
          <w:szCs w:val="19"/>
          <w:lang w:val="es-CO"/>
        </w:rPr>
        <w:t xml:space="preserve">Este concepto puede ser consultado en </w:t>
      </w:r>
      <w:hyperlink r:id="rId3" w:history="1">
        <w:r w:rsidRPr="009D34ED">
          <w:rPr>
            <w:rStyle w:val="Hipervnculo"/>
            <w:rFonts w:ascii="Arial" w:hAnsi="Arial" w:cs="Arial"/>
            <w:color w:val="000000" w:themeColor="text1"/>
            <w:sz w:val="19"/>
            <w:szCs w:val="19"/>
            <w:lang w:val="es-CO"/>
          </w:rPr>
          <w:t>https://relatoria.colombiacompra.gov.co/busqueda/conceptos</w:t>
        </w:r>
      </w:hyperlink>
      <w:r w:rsidRPr="009D34ED">
        <w:rPr>
          <w:rFonts w:ascii="Arial" w:hAnsi="Arial" w:cs="Arial"/>
          <w:sz w:val="19"/>
          <w:szCs w:val="19"/>
          <w:lang w:val="es-CO"/>
        </w:rPr>
        <w:t xml:space="preserve"> </w:t>
      </w:r>
    </w:p>
  </w:footnote>
  <w:footnote w:id="29">
    <w:p w14:paraId="171D9546" w14:textId="77777777" w:rsidR="00A83E1C" w:rsidRPr="00412A1B" w:rsidRDefault="00A83E1C" w:rsidP="00412A1B">
      <w:pPr>
        <w:pStyle w:val="NormalWeb"/>
        <w:shd w:val="clear" w:color="auto" w:fill="FFFFFF"/>
        <w:spacing w:before="0" w:beforeAutospacing="0" w:after="0" w:afterAutospacing="0"/>
        <w:ind w:firstLine="708"/>
        <w:jc w:val="both"/>
        <w:rPr>
          <w:rFonts w:ascii="Arial" w:hAnsi="Arial" w:cs="Arial"/>
          <w:color w:val="000000" w:themeColor="text1"/>
          <w:sz w:val="19"/>
          <w:szCs w:val="19"/>
          <w:lang w:val="es-MX"/>
        </w:rPr>
      </w:pPr>
      <w:r w:rsidRPr="00412A1B">
        <w:rPr>
          <w:rStyle w:val="Refdenotaalpie"/>
          <w:rFonts w:ascii="Arial" w:eastAsiaTheme="minorHAnsi" w:hAnsi="Arial" w:cs="Arial"/>
          <w:color w:val="000000" w:themeColor="text1"/>
          <w:sz w:val="19"/>
          <w:szCs w:val="19"/>
          <w:lang w:eastAsia="en-US"/>
        </w:rPr>
        <w:footnoteRef/>
      </w:r>
      <w:r w:rsidRPr="00412A1B">
        <w:rPr>
          <w:rFonts w:ascii="Arial" w:hAnsi="Arial" w:cs="Arial"/>
          <w:color w:val="000000" w:themeColor="text1"/>
          <w:sz w:val="19"/>
          <w:szCs w:val="19"/>
          <w:lang w:val="es-MX"/>
        </w:rPr>
        <w:t xml:space="preserve"> «6.3. De la impugnación de la inscripción en el Registro Único de Proponentes (RUP). Realizada la verificación a que se refiere el numeral 6.1 del presente artículo, la Cámara publicará el acto de inscripción, contra el cual cualquier persona podrá interponer recurso de reposición ante la respectiva Cámara de Comercio, durante los diez (10) días hábiles siguientes a la publicación, sin que para ello requiera demostrar interés alguno. Para que la impugnación sea admisible deberá prestarse caución bancaria o de compañía de seguros para garantizar los perjuicios que se puedan causar al inscrito. Contra la decisión que resuelva el recurso de reposición, no procederá apelación.</w:t>
      </w:r>
    </w:p>
    <w:p w14:paraId="64F455CD" w14:textId="77777777" w:rsidR="00A83E1C" w:rsidRPr="00412A1B" w:rsidRDefault="00A83E1C" w:rsidP="00412A1B">
      <w:pPr>
        <w:pStyle w:val="NormalWeb"/>
        <w:shd w:val="clear" w:color="auto" w:fill="FFFFFF"/>
        <w:spacing w:before="0" w:beforeAutospacing="0" w:after="0" w:afterAutospacing="0"/>
        <w:ind w:firstLine="708"/>
        <w:jc w:val="both"/>
        <w:rPr>
          <w:rFonts w:ascii="Arial" w:hAnsi="Arial" w:cs="Arial"/>
          <w:color w:val="000000" w:themeColor="text1"/>
          <w:sz w:val="19"/>
          <w:szCs w:val="19"/>
          <w:lang w:val="es-MX"/>
        </w:rPr>
      </w:pPr>
      <w:proofErr w:type="gramStart"/>
      <w:r w:rsidRPr="00412A1B">
        <w:rPr>
          <w:rFonts w:ascii="Arial" w:hAnsi="Arial" w:cs="Arial"/>
          <w:color w:val="000000" w:themeColor="text1"/>
          <w:sz w:val="19"/>
          <w:szCs w:val="19"/>
          <w:lang w:val="es-MX"/>
        </w:rPr>
        <w:t>»En</w:t>
      </w:r>
      <w:proofErr w:type="gramEnd"/>
      <w:r w:rsidRPr="00412A1B">
        <w:rPr>
          <w:rFonts w:ascii="Arial" w:hAnsi="Arial" w:cs="Arial"/>
          <w:color w:val="000000" w:themeColor="text1"/>
          <w:sz w:val="19"/>
          <w:szCs w:val="19"/>
          <w:lang w:val="es-MX"/>
        </w:rPr>
        <w:t xml:space="preserve"> firme la inscripción, cualquier persona podrá demandar su nulidad en desarrollo de la acción prevista en el Código Contencioso Administrativo. Para el efecto será competente el Juez de lo Contencioso Administrativo en única instancia.</w:t>
      </w:r>
    </w:p>
    <w:p w14:paraId="0C8C7C3B" w14:textId="77777777" w:rsidR="00A83E1C" w:rsidRPr="00412A1B" w:rsidRDefault="00A83E1C" w:rsidP="00412A1B">
      <w:pPr>
        <w:pStyle w:val="NormalWeb"/>
        <w:shd w:val="clear" w:color="auto" w:fill="FFFFFF"/>
        <w:spacing w:before="0" w:beforeAutospacing="0" w:after="0" w:afterAutospacing="0"/>
        <w:ind w:firstLine="708"/>
        <w:jc w:val="both"/>
        <w:rPr>
          <w:rFonts w:ascii="Arial" w:hAnsi="Arial" w:cs="Arial"/>
          <w:color w:val="000000" w:themeColor="text1"/>
          <w:sz w:val="19"/>
          <w:szCs w:val="19"/>
          <w:lang w:val="es-MX"/>
        </w:rPr>
      </w:pPr>
      <w:proofErr w:type="gramStart"/>
      <w:r w:rsidRPr="00412A1B">
        <w:rPr>
          <w:rFonts w:ascii="Arial" w:hAnsi="Arial" w:cs="Arial"/>
          <w:color w:val="000000" w:themeColor="text1"/>
          <w:sz w:val="19"/>
          <w:szCs w:val="19"/>
          <w:lang w:val="es-MX"/>
        </w:rPr>
        <w:t>»La</w:t>
      </w:r>
      <w:proofErr w:type="gramEnd"/>
      <w:r w:rsidRPr="00412A1B">
        <w:rPr>
          <w:rFonts w:ascii="Arial" w:hAnsi="Arial" w:cs="Arial"/>
          <w:color w:val="000000" w:themeColor="text1"/>
          <w:sz w:val="19"/>
          <w:szCs w:val="19"/>
          <w:lang w:val="es-MX"/>
        </w:rPr>
        <w:t xml:space="preserve"> presentación de la demanda no suspenderá la inscripción, ni será causal de suspensión de los procesos de selección en curso en los que el proponente sea parte. El proceso se tramitará por el procedimiento ordinario a que se refiere el Código Contencioso Administrativo. Adoptada la decisión, la misma sólo tendrá efectos hacia el futuro.</w:t>
      </w:r>
    </w:p>
    <w:p w14:paraId="0486A659" w14:textId="77777777" w:rsidR="00A83E1C" w:rsidRPr="00412A1B" w:rsidRDefault="00A83E1C" w:rsidP="00412A1B">
      <w:pPr>
        <w:pStyle w:val="NormalWeb"/>
        <w:shd w:val="clear" w:color="auto" w:fill="FFFFFF"/>
        <w:spacing w:before="0" w:beforeAutospacing="0" w:after="0" w:afterAutospacing="0"/>
        <w:ind w:firstLine="708"/>
        <w:jc w:val="both"/>
        <w:rPr>
          <w:rFonts w:ascii="Arial" w:hAnsi="Arial" w:cs="Arial"/>
          <w:color w:val="000000" w:themeColor="text1"/>
          <w:sz w:val="19"/>
          <w:szCs w:val="19"/>
          <w:lang w:val="es-MX"/>
        </w:rPr>
      </w:pPr>
      <w:proofErr w:type="gramStart"/>
      <w:r w:rsidRPr="00412A1B">
        <w:rPr>
          <w:rFonts w:ascii="Arial" w:hAnsi="Arial" w:cs="Arial"/>
          <w:color w:val="000000" w:themeColor="text1"/>
          <w:sz w:val="19"/>
          <w:szCs w:val="19"/>
          <w:lang w:val="es-MX"/>
        </w:rPr>
        <w:t>»Cuando</w:t>
      </w:r>
      <w:proofErr w:type="gramEnd"/>
      <w:r w:rsidRPr="00412A1B">
        <w:rPr>
          <w:rFonts w:ascii="Arial" w:hAnsi="Arial" w:cs="Arial"/>
          <w:color w:val="000000" w:themeColor="text1"/>
          <w:sz w:val="19"/>
          <w:szCs w:val="19"/>
          <w:lang w:val="es-MX"/>
        </w:rPr>
        <w:t xml:space="preserve"> en desarrollo de un proceso de selección una entidad estatal advierta la existencia de posibles irregularidades en el contenido de la información del RUP, que puedan afectar el cumplimiento de los requisitos exigidos al proponente dentro del proceso de que se trate, podrá suspender el proceso de selección e impugnar ante la Cámara de Comercio la inscripción, para lo cual no estarán obligadas a prestar caución. Para el trámite y adopción de la decisión las Cámaras de Comercio tendrán un plazo de veinte (20) días. De no haberse adoptado una decisión en el término anterior, la entidad reanudará el proceso de selección de acuerdo con la información certificada en el RUP.</w:t>
      </w:r>
    </w:p>
    <w:p w14:paraId="3CA85FAD" w14:textId="77777777" w:rsidR="00A83E1C" w:rsidRPr="00412A1B" w:rsidRDefault="00A83E1C" w:rsidP="00412A1B">
      <w:pPr>
        <w:pStyle w:val="NormalWeb"/>
        <w:shd w:val="clear" w:color="auto" w:fill="FFFFFF"/>
        <w:spacing w:before="0" w:beforeAutospacing="0" w:after="0" w:afterAutospacing="0"/>
        <w:ind w:firstLine="708"/>
        <w:jc w:val="both"/>
        <w:rPr>
          <w:rFonts w:ascii="Arial" w:hAnsi="Arial" w:cs="Arial"/>
          <w:color w:val="000000" w:themeColor="text1"/>
          <w:sz w:val="19"/>
          <w:szCs w:val="19"/>
          <w:lang w:val="es-MX"/>
        </w:rPr>
      </w:pPr>
      <w:proofErr w:type="gramStart"/>
      <w:r w:rsidRPr="00412A1B">
        <w:rPr>
          <w:rFonts w:ascii="Arial" w:hAnsi="Arial" w:cs="Arial"/>
          <w:color w:val="000000" w:themeColor="text1"/>
          <w:sz w:val="19"/>
          <w:szCs w:val="19"/>
          <w:lang w:val="es-MX"/>
        </w:rPr>
        <w:t>»En</w:t>
      </w:r>
      <w:proofErr w:type="gramEnd"/>
      <w:r w:rsidRPr="00412A1B">
        <w:rPr>
          <w:rFonts w:ascii="Arial" w:hAnsi="Arial" w:cs="Arial"/>
          <w:color w:val="000000" w:themeColor="text1"/>
          <w:sz w:val="19"/>
          <w:szCs w:val="19"/>
          <w:lang w:val="es-MX"/>
        </w:rPr>
        <w:t xml:space="preserve"> el evento en que la Cámara de Comercio establezca la existencia de graves inconsistencias se le cancelará la inscripción en el registro quedando en tal caso inhabilitado para contratar con las entidades estatales por el término de cinco (5) años, sin perjuicio de las acciones penales a que haya lugar. En caso de reincidencia la inhabilidad será permanente.</w:t>
      </w:r>
    </w:p>
    <w:p w14:paraId="226B444B" w14:textId="77777777" w:rsidR="00A83E1C" w:rsidRPr="00412A1B" w:rsidRDefault="00A83E1C" w:rsidP="00412A1B">
      <w:pPr>
        <w:pStyle w:val="NormalWeb"/>
        <w:spacing w:before="0" w:beforeAutospacing="0" w:after="0" w:afterAutospacing="0"/>
        <w:ind w:firstLine="708"/>
        <w:jc w:val="both"/>
        <w:rPr>
          <w:rFonts w:ascii="Arial" w:hAnsi="Arial" w:cs="Arial"/>
          <w:color w:val="000000" w:themeColor="text1"/>
          <w:sz w:val="19"/>
          <w:szCs w:val="19"/>
          <w:lang w:val="es-MX"/>
        </w:rPr>
      </w:pPr>
      <w:proofErr w:type="gramStart"/>
      <w:r w:rsidRPr="00412A1B">
        <w:rPr>
          <w:rFonts w:ascii="Arial" w:hAnsi="Arial" w:cs="Arial"/>
          <w:color w:val="000000" w:themeColor="text1"/>
          <w:sz w:val="19"/>
          <w:szCs w:val="19"/>
          <w:lang w:val="es-MX"/>
        </w:rPr>
        <w:t>»Las</w:t>
      </w:r>
      <w:proofErr w:type="gramEnd"/>
      <w:r w:rsidRPr="00412A1B">
        <w:rPr>
          <w:rFonts w:ascii="Arial" w:hAnsi="Arial" w:cs="Arial"/>
          <w:color w:val="000000" w:themeColor="text1"/>
          <w:sz w:val="19"/>
          <w:szCs w:val="19"/>
          <w:lang w:val="es-MX"/>
        </w:rPr>
        <w:t xml:space="preserve"> mismas sanciones previstas en el inciso anterior se predicarán en el evento en que el Juez de lo Contencioso Administrativa declare la nulidad del acto de inscripción.</w:t>
      </w:r>
    </w:p>
    <w:p w14:paraId="0827BFED" w14:textId="77777777" w:rsidR="00A83E1C" w:rsidRPr="00412A1B" w:rsidRDefault="00A83E1C" w:rsidP="00412A1B">
      <w:pPr>
        <w:pStyle w:val="NormalWeb"/>
        <w:spacing w:before="0" w:beforeAutospacing="0" w:after="0" w:afterAutospacing="0"/>
        <w:ind w:firstLine="708"/>
        <w:jc w:val="both"/>
        <w:rPr>
          <w:rFonts w:ascii="Arial" w:hAnsi="Arial" w:cs="Arial"/>
          <w:color w:val="000000" w:themeColor="text1"/>
          <w:sz w:val="19"/>
          <w:szCs w:val="19"/>
          <w:lang w:val="es-MX"/>
        </w:rPr>
      </w:pPr>
      <w:proofErr w:type="gramStart"/>
      <w:r w:rsidRPr="00412A1B">
        <w:rPr>
          <w:rFonts w:ascii="Arial" w:hAnsi="Arial" w:cs="Arial"/>
          <w:color w:val="000000" w:themeColor="text1"/>
          <w:sz w:val="19"/>
          <w:szCs w:val="19"/>
          <w:lang w:val="es-MX"/>
        </w:rPr>
        <w:t>»La</w:t>
      </w:r>
      <w:proofErr w:type="gramEnd"/>
      <w:r w:rsidRPr="00412A1B">
        <w:rPr>
          <w:rFonts w:ascii="Arial" w:hAnsi="Arial" w:cs="Arial"/>
          <w:color w:val="000000" w:themeColor="text1"/>
          <w:sz w:val="19"/>
          <w:szCs w:val="19"/>
          <w:lang w:val="es-MX"/>
        </w:rPr>
        <w:t xml:space="preserve"> información contenida en el registro es pública y su consulta será gratuita».</w:t>
      </w:r>
    </w:p>
    <w:p w14:paraId="77FA8FEE" w14:textId="77777777" w:rsidR="00A83E1C" w:rsidRPr="00412A1B" w:rsidRDefault="00A83E1C" w:rsidP="00412A1B">
      <w:pPr>
        <w:pStyle w:val="NormalWeb"/>
        <w:spacing w:before="0" w:beforeAutospacing="0" w:after="0" w:afterAutospacing="0"/>
        <w:ind w:firstLine="708"/>
        <w:jc w:val="both"/>
        <w:rPr>
          <w:rFonts w:ascii="Arial" w:hAnsi="Arial" w:cs="Arial"/>
          <w:color w:val="000000" w:themeColor="text1"/>
          <w:sz w:val="19"/>
          <w:szCs w:val="19"/>
          <w:lang w:val="es-MX"/>
        </w:rPr>
      </w:pPr>
    </w:p>
  </w:footnote>
  <w:footnote w:id="30">
    <w:p w14:paraId="62709D70" w14:textId="77777777" w:rsidR="00A83E1C" w:rsidRPr="00412A1B" w:rsidRDefault="00A83E1C" w:rsidP="00412A1B">
      <w:pPr>
        <w:pStyle w:val="Textonotapie"/>
        <w:ind w:firstLine="708"/>
        <w:jc w:val="both"/>
        <w:rPr>
          <w:rFonts w:ascii="Arial" w:eastAsia="Times New Roman" w:hAnsi="Arial" w:cs="Arial"/>
          <w:color w:val="000000" w:themeColor="text1"/>
          <w:sz w:val="19"/>
          <w:szCs w:val="19"/>
          <w:lang w:eastAsia="es-CO"/>
        </w:rPr>
      </w:pPr>
      <w:r w:rsidRPr="00412A1B">
        <w:rPr>
          <w:rStyle w:val="Refdenotaalpie"/>
          <w:rFonts w:ascii="Arial" w:hAnsi="Arial" w:cs="Arial"/>
          <w:color w:val="000000" w:themeColor="text1"/>
          <w:sz w:val="19"/>
          <w:szCs w:val="19"/>
        </w:rPr>
        <w:footnoteRef/>
      </w:r>
      <w:r w:rsidRPr="00412A1B">
        <w:rPr>
          <w:rFonts w:ascii="Arial" w:eastAsia="Times New Roman" w:hAnsi="Arial" w:cs="Arial"/>
          <w:color w:val="000000" w:themeColor="text1"/>
          <w:sz w:val="19"/>
          <w:szCs w:val="19"/>
          <w:lang w:eastAsia="es-CO"/>
        </w:rPr>
        <w:t>«Artículo 2.2.1.1.1.5.1. Inscripción, renovación, actualización y cancelación del RUP.</w:t>
      </w:r>
    </w:p>
    <w:p w14:paraId="1554B4D2" w14:textId="77777777" w:rsidR="00A83E1C" w:rsidRPr="00412A1B" w:rsidRDefault="00A83E1C" w:rsidP="00412A1B">
      <w:pPr>
        <w:pStyle w:val="Textonotapie"/>
        <w:ind w:firstLine="708"/>
        <w:jc w:val="both"/>
        <w:rPr>
          <w:rFonts w:ascii="Arial" w:eastAsia="Times New Roman" w:hAnsi="Arial" w:cs="Arial"/>
          <w:color w:val="000000" w:themeColor="text1"/>
          <w:sz w:val="19"/>
          <w:szCs w:val="19"/>
          <w:lang w:eastAsia="es-CO"/>
        </w:rPr>
      </w:pPr>
      <w:r w:rsidRPr="00412A1B">
        <w:rPr>
          <w:rFonts w:ascii="Arial" w:eastAsia="Times New Roman" w:hAnsi="Arial" w:cs="Arial"/>
          <w:color w:val="000000" w:themeColor="text1"/>
          <w:sz w:val="19"/>
          <w:szCs w:val="19"/>
          <w:lang w:eastAsia="es-CO"/>
        </w:rPr>
        <w:t>[…]</w:t>
      </w:r>
    </w:p>
    <w:p w14:paraId="6DA99BAD" w14:textId="77777777" w:rsidR="00A83E1C" w:rsidRPr="00412A1B" w:rsidRDefault="00A83E1C" w:rsidP="00412A1B">
      <w:pPr>
        <w:pStyle w:val="Textonotapie"/>
        <w:ind w:firstLine="708"/>
        <w:jc w:val="both"/>
        <w:rPr>
          <w:rFonts w:ascii="Arial" w:eastAsia="Times New Roman" w:hAnsi="Arial" w:cs="Arial"/>
          <w:color w:val="000000" w:themeColor="text1"/>
          <w:sz w:val="19"/>
          <w:szCs w:val="19"/>
          <w:lang w:eastAsia="es-CO"/>
        </w:rPr>
      </w:pPr>
      <w:proofErr w:type="gramStart"/>
      <w:r w:rsidRPr="00412A1B">
        <w:rPr>
          <w:rFonts w:ascii="Arial" w:eastAsia="Times New Roman" w:hAnsi="Arial" w:cs="Arial"/>
          <w:color w:val="000000" w:themeColor="text1"/>
          <w:sz w:val="19"/>
          <w:szCs w:val="19"/>
          <w:lang w:eastAsia="es-CO"/>
        </w:rPr>
        <w:t>»La</w:t>
      </w:r>
      <w:proofErr w:type="gramEnd"/>
      <w:r w:rsidRPr="00412A1B">
        <w:rPr>
          <w:rFonts w:ascii="Arial" w:eastAsia="Times New Roman" w:hAnsi="Arial" w:cs="Arial"/>
          <w:color w:val="000000" w:themeColor="text1"/>
          <w:sz w:val="19"/>
          <w:szCs w:val="19"/>
          <w:lang w:eastAsia="es-CO"/>
        </w:rPr>
        <w:t xml:space="preserve"> persona inscrita en el RUP debe presentar la información para renovar su registro a más tardar el quinto día hábil del mes de abril de cada año. De lo contrario cesan los efectos del RUP. La persona inscrita en el RUP puede actualizar la información registrada relativa a su experiencia y capacidad jurídica en cualquier momento».</w:t>
      </w:r>
    </w:p>
    <w:p w14:paraId="1EC62F51" w14:textId="77777777" w:rsidR="00A83E1C" w:rsidRPr="00412A1B" w:rsidRDefault="00A83E1C" w:rsidP="00412A1B">
      <w:pPr>
        <w:pStyle w:val="Textonotapie"/>
        <w:ind w:firstLine="708"/>
        <w:jc w:val="both"/>
        <w:rPr>
          <w:rFonts w:ascii="Arial" w:eastAsia="Times New Roman" w:hAnsi="Arial" w:cs="Arial"/>
          <w:color w:val="000000" w:themeColor="text1"/>
          <w:sz w:val="19"/>
          <w:szCs w:val="19"/>
          <w:lang w:eastAsia="es-CO"/>
        </w:rPr>
      </w:pPr>
    </w:p>
  </w:footnote>
  <w:footnote w:id="31">
    <w:p w14:paraId="3411E675" w14:textId="77777777" w:rsidR="00A83E1C" w:rsidRPr="00412A1B" w:rsidRDefault="00A83E1C" w:rsidP="00412A1B">
      <w:pPr>
        <w:pStyle w:val="Textonotapie"/>
        <w:ind w:firstLine="708"/>
        <w:jc w:val="both"/>
        <w:rPr>
          <w:rFonts w:ascii="Arial" w:eastAsia="Times New Roman" w:hAnsi="Arial" w:cs="Arial"/>
          <w:color w:val="000000" w:themeColor="text1"/>
          <w:sz w:val="19"/>
          <w:szCs w:val="19"/>
          <w:lang w:eastAsia="es-CO"/>
        </w:rPr>
      </w:pPr>
      <w:r w:rsidRPr="00412A1B">
        <w:rPr>
          <w:rStyle w:val="Refdenotaalpie"/>
          <w:rFonts w:ascii="Arial" w:hAnsi="Arial" w:cs="Arial"/>
          <w:color w:val="000000" w:themeColor="text1"/>
          <w:sz w:val="19"/>
          <w:szCs w:val="19"/>
        </w:rPr>
        <w:footnoteRef/>
      </w:r>
      <w:r w:rsidRPr="00412A1B">
        <w:rPr>
          <w:rFonts w:ascii="Arial" w:hAnsi="Arial" w:cs="Arial"/>
          <w:color w:val="000000" w:themeColor="text1"/>
          <w:sz w:val="19"/>
          <w:szCs w:val="19"/>
        </w:rPr>
        <w:t xml:space="preserve"> </w:t>
      </w:r>
      <w:r w:rsidRPr="00412A1B">
        <w:rPr>
          <w:rFonts w:ascii="Arial" w:eastAsia="Times New Roman" w:hAnsi="Arial" w:cs="Arial"/>
          <w:color w:val="000000" w:themeColor="text1"/>
          <w:sz w:val="19"/>
          <w:szCs w:val="19"/>
          <w:lang w:eastAsia="es-CO"/>
        </w:rPr>
        <w:t xml:space="preserve">Consejo de Estado. Sección Tercera. Subsección A. Sentencia del 19 de septiembre de 2019. </w:t>
      </w:r>
      <w:proofErr w:type="spellStart"/>
      <w:r w:rsidRPr="00412A1B">
        <w:rPr>
          <w:rFonts w:ascii="Arial" w:eastAsia="Times New Roman" w:hAnsi="Arial" w:cs="Arial"/>
          <w:color w:val="000000" w:themeColor="text1"/>
          <w:sz w:val="19"/>
          <w:szCs w:val="19"/>
          <w:lang w:eastAsia="es-CO"/>
        </w:rPr>
        <w:t>Exp</w:t>
      </w:r>
      <w:proofErr w:type="spellEnd"/>
      <w:r w:rsidRPr="00412A1B">
        <w:rPr>
          <w:rFonts w:ascii="Arial" w:eastAsia="Times New Roman" w:hAnsi="Arial" w:cs="Arial"/>
          <w:color w:val="000000" w:themeColor="text1"/>
          <w:sz w:val="19"/>
          <w:szCs w:val="19"/>
          <w:lang w:eastAsia="es-CO"/>
        </w:rPr>
        <w:t>. 59.432. C.P. Marta Nubia Velásquez Rico.</w:t>
      </w:r>
    </w:p>
    <w:p w14:paraId="2DC2DA8A" w14:textId="77777777" w:rsidR="00A83E1C" w:rsidRPr="00412A1B" w:rsidRDefault="00A83E1C" w:rsidP="00412A1B">
      <w:pPr>
        <w:pStyle w:val="Textonotapie"/>
        <w:ind w:firstLine="708"/>
        <w:jc w:val="both"/>
        <w:rPr>
          <w:rFonts w:ascii="Arial" w:hAnsi="Arial" w:cs="Arial"/>
          <w:color w:val="000000" w:themeColor="text1"/>
          <w:sz w:val="19"/>
          <w:szCs w:val="19"/>
          <w:lang w:val="es-CO"/>
        </w:rPr>
      </w:pPr>
    </w:p>
  </w:footnote>
  <w:footnote w:id="32">
    <w:p w14:paraId="2746B747" w14:textId="77777777" w:rsidR="00A83E1C" w:rsidRPr="00412A1B" w:rsidRDefault="00A83E1C" w:rsidP="00412A1B">
      <w:pPr>
        <w:pStyle w:val="Textonotapie"/>
        <w:ind w:firstLine="709"/>
        <w:jc w:val="both"/>
        <w:rPr>
          <w:rFonts w:ascii="Arial" w:hAnsi="Arial" w:cs="Arial"/>
          <w:color w:val="000000" w:themeColor="text1"/>
          <w:sz w:val="19"/>
          <w:szCs w:val="19"/>
          <w:lang w:val="es-CO"/>
        </w:rPr>
      </w:pPr>
      <w:r w:rsidRPr="00412A1B">
        <w:rPr>
          <w:rStyle w:val="Refdenotaalpie"/>
          <w:rFonts w:ascii="Arial" w:hAnsi="Arial" w:cs="Arial"/>
          <w:color w:val="000000" w:themeColor="text1"/>
          <w:sz w:val="19"/>
          <w:szCs w:val="19"/>
        </w:rPr>
        <w:footnoteRef/>
      </w:r>
      <w:r w:rsidRPr="00412A1B">
        <w:rPr>
          <w:rFonts w:ascii="Arial" w:hAnsi="Arial" w:cs="Arial"/>
          <w:color w:val="000000" w:themeColor="text1"/>
          <w:sz w:val="19"/>
          <w:szCs w:val="19"/>
        </w:rPr>
        <w:t xml:space="preserve"> </w:t>
      </w:r>
      <w:r w:rsidRPr="00412A1B">
        <w:rPr>
          <w:rFonts w:ascii="Arial" w:hAnsi="Arial" w:cs="Arial"/>
          <w:color w:val="000000" w:themeColor="text1"/>
          <w:sz w:val="19"/>
          <w:szCs w:val="19"/>
          <w:lang w:val="es-CO"/>
        </w:rPr>
        <w:t xml:space="preserve">«Artículo 87. Firmeza de los actos administrativos. Los actos administrativos quedarán en firme: </w:t>
      </w:r>
    </w:p>
    <w:p w14:paraId="5EF1DBC8" w14:textId="77777777" w:rsidR="00A83E1C" w:rsidRPr="00412A1B" w:rsidRDefault="00A83E1C" w:rsidP="00412A1B">
      <w:pPr>
        <w:pStyle w:val="Textonotapie"/>
        <w:ind w:firstLine="709"/>
        <w:jc w:val="both"/>
        <w:rPr>
          <w:rFonts w:ascii="Arial" w:hAnsi="Arial" w:cs="Arial"/>
          <w:color w:val="000000" w:themeColor="text1"/>
          <w:sz w:val="19"/>
          <w:szCs w:val="19"/>
          <w:lang w:val="es-CO"/>
        </w:rPr>
      </w:pPr>
      <w:r w:rsidRPr="00412A1B">
        <w:rPr>
          <w:rFonts w:ascii="Arial" w:hAnsi="Arial" w:cs="Arial"/>
          <w:color w:val="000000" w:themeColor="text1"/>
          <w:sz w:val="19"/>
          <w:szCs w:val="19"/>
          <w:lang w:val="es-CO"/>
        </w:rPr>
        <w:t xml:space="preserve">»1. Cuando contra ellos no proceda ningún recurso, desde el día siguiente al de su notificación, comunicación o publicación según el caso. </w:t>
      </w:r>
    </w:p>
    <w:p w14:paraId="7F89824F" w14:textId="77777777" w:rsidR="00A83E1C" w:rsidRPr="00412A1B" w:rsidRDefault="00A83E1C" w:rsidP="00412A1B">
      <w:pPr>
        <w:pStyle w:val="Textonotapie"/>
        <w:ind w:firstLine="709"/>
        <w:jc w:val="both"/>
        <w:rPr>
          <w:rFonts w:ascii="Arial" w:hAnsi="Arial" w:cs="Arial"/>
          <w:color w:val="000000" w:themeColor="text1"/>
          <w:sz w:val="19"/>
          <w:szCs w:val="19"/>
          <w:lang w:val="es-CO"/>
        </w:rPr>
      </w:pPr>
      <w:r w:rsidRPr="00412A1B">
        <w:rPr>
          <w:rFonts w:ascii="Arial" w:hAnsi="Arial" w:cs="Arial"/>
          <w:color w:val="000000" w:themeColor="text1"/>
          <w:sz w:val="19"/>
          <w:szCs w:val="19"/>
          <w:lang w:val="es-CO"/>
        </w:rPr>
        <w:t xml:space="preserve">»2. Desde el día siguiente a la publicación, comunicación o notificación de la decisión sobre los recursos interpuestos. </w:t>
      </w:r>
    </w:p>
    <w:p w14:paraId="59591E2A" w14:textId="77777777" w:rsidR="00A83E1C" w:rsidRPr="00412A1B" w:rsidRDefault="00A83E1C" w:rsidP="00412A1B">
      <w:pPr>
        <w:pStyle w:val="Textonotapie"/>
        <w:ind w:firstLine="709"/>
        <w:jc w:val="both"/>
        <w:rPr>
          <w:rFonts w:ascii="Arial" w:hAnsi="Arial" w:cs="Arial"/>
          <w:color w:val="000000" w:themeColor="text1"/>
          <w:sz w:val="19"/>
          <w:szCs w:val="19"/>
          <w:lang w:val="es-CO"/>
        </w:rPr>
      </w:pPr>
      <w:r w:rsidRPr="00412A1B">
        <w:rPr>
          <w:rFonts w:ascii="Arial" w:hAnsi="Arial" w:cs="Arial"/>
          <w:color w:val="000000" w:themeColor="text1"/>
          <w:sz w:val="19"/>
          <w:szCs w:val="19"/>
          <w:lang w:val="es-CO"/>
        </w:rPr>
        <w:t>»3. Desde el día siguiente al del vencimiento del término para interponer los recursos, si estos no fueron interpuestos, o se hubiere renunciado expresamente a ellos.</w:t>
      </w:r>
    </w:p>
    <w:p w14:paraId="4AE708B3" w14:textId="77777777" w:rsidR="00A83E1C" w:rsidRPr="00412A1B" w:rsidRDefault="00A83E1C" w:rsidP="00412A1B">
      <w:pPr>
        <w:pStyle w:val="Textonotapie"/>
        <w:ind w:firstLine="709"/>
        <w:jc w:val="both"/>
        <w:rPr>
          <w:rFonts w:ascii="Arial" w:hAnsi="Arial" w:cs="Arial"/>
          <w:color w:val="000000" w:themeColor="text1"/>
          <w:sz w:val="19"/>
          <w:szCs w:val="19"/>
          <w:lang w:val="es-CO"/>
        </w:rPr>
      </w:pPr>
      <w:r w:rsidRPr="00412A1B">
        <w:rPr>
          <w:rFonts w:ascii="Arial" w:hAnsi="Arial" w:cs="Arial"/>
          <w:color w:val="000000" w:themeColor="text1"/>
          <w:sz w:val="19"/>
          <w:szCs w:val="19"/>
          <w:lang w:val="es-CO"/>
        </w:rPr>
        <w:t xml:space="preserve">»4. Desde el día siguiente al de la notificación de la aceptación del desistimiento de los recursos. </w:t>
      </w:r>
    </w:p>
    <w:p w14:paraId="1C4593E5" w14:textId="77777777" w:rsidR="00A83E1C" w:rsidRPr="00412A1B" w:rsidRDefault="00A83E1C" w:rsidP="00412A1B">
      <w:pPr>
        <w:pStyle w:val="Textonotapie"/>
        <w:ind w:firstLine="709"/>
        <w:jc w:val="both"/>
        <w:rPr>
          <w:rFonts w:ascii="Arial" w:hAnsi="Arial" w:cs="Arial"/>
          <w:color w:val="000000" w:themeColor="text1"/>
          <w:sz w:val="19"/>
          <w:szCs w:val="19"/>
          <w:lang w:val="es-CO"/>
        </w:rPr>
      </w:pPr>
      <w:r w:rsidRPr="00412A1B">
        <w:rPr>
          <w:rFonts w:ascii="Arial" w:hAnsi="Arial" w:cs="Arial"/>
          <w:color w:val="000000" w:themeColor="text1"/>
          <w:sz w:val="19"/>
          <w:szCs w:val="19"/>
          <w:lang w:val="es-CO"/>
        </w:rPr>
        <w:t>»5. Desde el día siguiente al de la protocolización a que alude el artículo 85 para el silencio administrativo positivo».</w:t>
      </w:r>
    </w:p>
    <w:p w14:paraId="34477C01" w14:textId="77777777" w:rsidR="00A83E1C" w:rsidRPr="00412A1B" w:rsidRDefault="00A83E1C" w:rsidP="00412A1B">
      <w:pPr>
        <w:pStyle w:val="Textonotapie"/>
        <w:ind w:firstLine="709"/>
        <w:jc w:val="both"/>
        <w:rPr>
          <w:rFonts w:ascii="Arial" w:hAnsi="Arial" w:cs="Arial"/>
          <w:color w:val="000000" w:themeColor="text1"/>
          <w:sz w:val="19"/>
          <w:szCs w:val="19"/>
          <w:lang w:val="es-CO"/>
        </w:rPr>
      </w:pPr>
    </w:p>
  </w:footnote>
  <w:footnote w:id="33">
    <w:p w14:paraId="356CF49A" w14:textId="77777777" w:rsidR="00A83E1C" w:rsidRPr="00412A1B" w:rsidRDefault="00A83E1C" w:rsidP="00412A1B">
      <w:pPr>
        <w:pStyle w:val="Textonotapie"/>
        <w:ind w:firstLine="709"/>
        <w:jc w:val="both"/>
        <w:rPr>
          <w:rFonts w:ascii="Arial" w:hAnsi="Arial" w:cs="Arial"/>
          <w:color w:val="000000" w:themeColor="text1"/>
          <w:sz w:val="19"/>
          <w:szCs w:val="19"/>
          <w:lang w:val="es-CO"/>
        </w:rPr>
      </w:pPr>
      <w:r w:rsidRPr="00412A1B">
        <w:rPr>
          <w:rStyle w:val="Refdenotaalpie"/>
          <w:rFonts w:ascii="Arial" w:hAnsi="Arial" w:cs="Arial"/>
          <w:color w:val="000000" w:themeColor="text1"/>
          <w:sz w:val="19"/>
          <w:szCs w:val="19"/>
        </w:rPr>
        <w:footnoteRef/>
      </w:r>
      <w:r w:rsidRPr="00412A1B">
        <w:rPr>
          <w:rFonts w:ascii="Arial" w:hAnsi="Arial" w:cs="Arial"/>
          <w:color w:val="000000" w:themeColor="text1"/>
          <w:sz w:val="19"/>
          <w:szCs w:val="19"/>
        </w:rPr>
        <w:t xml:space="preserve"> </w:t>
      </w:r>
      <w:r w:rsidRPr="00412A1B">
        <w:rPr>
          <w:rFonts w:ascii="Arial" w:hAnsi="Arial" w:cs="Arial"/>
          <w:color w:val="000000" w:themeColor="text1"/>
          <w:sz w:val="19"/>
          <w:szCs w:val="19"/>
          <w:lang w:val="es-CO"/>
        </w:rPr>
        <w:t xml:space="preserve">Consejo de Estado. Sección Cuarta. Sentencia del 19 de noviembre de 1999. </w:t>
      </w:r>
      <w:proofErr w:type="spellStart"/>
      <w:r w:rsidRPr="00412A1B">
        <w:rPr>
          <w:rFonts w:ascii="Arial" w:hAnsi="Arial" w:cs="Arial"/>
          <w:color w:val="000000" w:themeColor="text1"/>
          <w:sz w:val="19"/>
          <w:szCs w:val="19"/>
          <w:lang w:val="es-CO"/>
        </w:rPr>
        <w:t>Exp</w:t>
      </w:r>
      <w:proofErr w:type="spellEnd"/>
      <w:r w:rsidRPr="00412A1B">
        <w:rPr>
          <w:rFonts w:ascii="Arial" w:hAnsi="Arial" w:cs="Arial"/>
          <w:color w:val="000000" w:themeColor="text1"/>
          <w:sz w:val="19"/>
          <w:szCs w:val="19"/>
          <w:lang w:val="es-CO"/>
        </w:rPr>
        <w:t>. 9.453. CP. Daniel Manrique Guzmán.</w:t>
      </w:r>
    </w:p>
    <w:p w14:paraId="2FF0814D" w14:textId="77777777" w:rsidR="00A83E1C" w:rsidRPr="00412A1B" w:rsidRDefault="00A83E1C" w:rsidP="00412A1B">
      <w:pPr>
        <w:pStyle w:val="Textonotapie"/>
        <w:jc w:val="both"/>
        <w:rPr>
          <w:rFonts w:ascii="Arial" w:hAnsi="Arial" w:cs="Arial"/>
          <w:color w:val="000000" w:themeColor="text1"/>
          <w:sz w:val="19"/>
          <w:szCs w:val="19"/>
        </w:rPr>
      </w:pPr>
    </w:p>
  </w:footnote>
  <w:footnote w:id="34">
    <w:p w14:paraId="389D3A25" w14:textId="77777777" w:rsidR="00A83E1C" w:rsidRPr="00412A1B" w:rsidRDefault="00A83E1C" w:rsidP="00412A1B">
      <w:pPr>
        <w:ind w:firstLine="709"/>
        <w:jc w:val="both"/>
        <w:rPr>
          <w:rFonts w:ascii="Arial" w:hAnsi="Arial" w:cs="Arial"/>
          <w:color w:val="000000" w:themeColor="text1"/>
          <w:sz w:val="19"/>
          <w:szCs w:val="19"/>
        </w:rPr>
      </w:pPr>
      <w:r w:rsidRPr="00412A1B">
        <w:rPr>
          <w:rStyle w:val="Refdenotaalpie"/>
          <w:rFonts w:ascii="Arial" w:hAnsi="Arial" w:cs="Arial"/>
          <w:color w:val="000000" w:themeColor="text1"/>
          <w:sz w:val="19"/>
          <w:szCs w:val="19"/>
        </w:rPr>
        <w:footnoteRef/>
      </w:r>
      <w:r w:rsidRPr="00412A1B">
        <w:rPr>
          <w:rFonts w:ascii="Arial" w:hAnsi="Arial" w:cs="Arial"/>
          <w:color w:val="000000" w:themeColor="text1"/>
          <w:sz w:val="19"/>
          <w:szCs w:val="19"/>
        </w:rPr>
        <w:t xml:space="preserve"> Ley 1882 de 2018: «Artículo 5. Modifíquese el Parágrafo 1 e inclúyanse los parágrafos 3, 4 y 5 de artículo 5° de la Ley 1150 de 2007, los cuales quedarán así: </w:t>
      </w:r>
    </w:p>
    <w:p w14:paraId="02CC68C0" w14:textId="77777777" w:rsidR="00A83E1C" w:rsidRPr="00412A1B" w:rsidRDefault="00A83E1C" w:rsidP="00412A1B">
      <w:pPr>
        <w:ind w:firstLine="709"/>
        <w:jc w:val="both"/>
        <w:rPr>
          <w:rFonts w:ascii="Arial" w:hAnsi="Arial" w:cs="Arial"/>
          <w:color w:val="000000" w:themeColor="text1"/>
          <w:sz w:val="19"/>
          <w:szCs w:val="19"/>
        </w:rPr>
      </w:pPr>
      <w:r w:rsidRPr="00412A1B">
        <w:rPr>
          <w:rFonts w:ascii="Arial" w:hAnsi="Arial" w:cs="Arial"/>
          <w:color w:val="000000" w:themeColor="text1"/>
          <w:sz w:val="19"/>
          <w:szCs w:val="19"/>
        </w:rPr>
        <w:t xml:space="preserve">[…] </w:t>
      </w:r>
    </w:p>
    <w:p w14:paraId="76DB2FEA" w14:textId="77777777" w:rsidR="00A83E1C" w:rsidRPr="00412A1B" w:rsidRDefault="00A83E1C" w:rsidP="00412A1B">
      <w:pPr>
        <w:ind w:firstLine="709"/>
        <w:jc w:val="both"/>
        <w:rPr>
          <w:rFonts w:ascii="Arial" w:hAnsi="Arial" w:cs="Arial"/>
          <w:color w:val="000000" w:themeColor="text1"/>
          <w:sz w:val="19"/>
          <w:szCs w:val="19"/>
        </w:rPr>
      </w:pPr>
      <w:proofErr w:type="gramStart"/>
      <w:r w:rsidRPr="00412A1B">
        <w:rPr>
          <w:rFonts w:ascii="Arial" w:hAnsi="Arial" w:cs="Arial"/>
          <w:color w:val="000000" w:themeColor="text1"/>
          <w:sz w:val="19"/>
          <w:szCs w:val="19"/>
        </w:rPr>
        <w:t>»Artículo</w:t>
      </w:r>
      <w:proofErr w:type="gramEnd"/>
      <w:r w:rsidRPr="00412A1B">
        <w:rPr>
          <w:rFonts w:ascii="Arial" w:hAnsi="Arial" w:cs="Arial"/>
          <w:color w:val="000000" w:themeColor="text1"/>
          <w:sz w:val="19"/>
          <w:szCs w:val="19"/>
        </w:rPr>
        <w:t xml:space="preserve"> 5°. De la selección objetiva. </w:t>
      </w:r>
    </w:p>
    <w:p w14:paraId="51CA1D9E" w14:textId="77777777" w:rsidR="00A83E1C" w:rsidRPr="00412A1B" w:rsidRDefault="00A83E1C" w:rsidP="00412A1B">
      <w:pPr>
        <w:ind w:firstLine="709"/>
        <w:jc w:val="both"/>
        <w:rPr>
          <w:rFonts w:ascii="Arial" w:hAnsi="Arial" w:cs="Arial"/>
          <w:color w:val="000000" w:themeColor="text1"/>
          <w:sz w:val="19"/>
          <w:szCs w:val="19"/>
        </w:rPr>
      </w:pPr>
      <w:r w:rsidRPr="00412A1B">
        <w:rPr>
          <w:rFonts w:ascii="Arial" w:hAnsi="Arial" w:cs="Arial"/>
          <w:color w:val="000000" w:themeColor="text1"/>
          <w:sz w:val="19"/>
          <w:szCs w:val="19"/>
        </w:rPr>
        <w:t xml:space="preserve">[…] </w:t>
      </w:r>
    </w:p>
    <w:p w14:paraId="51DF1FAC" w14:textId="77777777" w:rsidR="00A83E1C" w:rsidRPr="00412A1B" w:rsidRDefault="00A83E1C" w:rsidP="00412A1B">
      <w:pPr>
        <w:ind w:firstLine="709"/>
        <w:jc w:val="both"/>
        <w:rPr>
          <w:rFonts w:ascii="Arial" w:hAnsi="Arial" w:cs="Arial"/>
          <w:color w:val="000000" w:themeColor="text1"/>
          <w:sz w:val="19"/>
          <w:szCs w:val="19"/>
        </w:rPr>
      </w:pPr>
      <w:proofErr w:type="gramStart"/>
      <w:r w:rsidRPr="00412A1B">
        <w:rPr>
          <w:rFonts w:ascii="Arial" w:hAnsi="Arial" w:cs="Arial"/>
          <w:color w:val="000000" w:themeColor="text1"/>
          <w:sz w:val="19"/>
          <w:szCs w:val="19"/>
        </w:rPr>
        <w:t>»Parágrafo</w:t>
      </w:r>
      <w:proofErr w:type="gramEnd"/>
      <w:r w:rsidRPr="00412A1B">
        <w:rPr>
          <w:rFonts w:ascii="Arial" w:hAnsi="Arial" w:cs="Arial"/>
          <w:color w:val="000000" w:themeColor="text1"/>
          <w:sz w:val="19"/>
          <w:szCs w:val="19"/>
        </w:rPr>
        <w:t xml:space="preserve"> 1°.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w:t>
      </w:r>
    </w:p>
    <w:p w14:paraId="77CEEB30" w14:textId="77777777" w:rsidR="00A83E1C" w:rsidRPr="00412A1B" w:rsidRDefault="00A83E1C" w:rsidP="00412A1B">
      <w:pPr>
        <w:ind w:firstLine="709"/>
        <w:jc w:val="both"/>
        <w:rPr>
          <w:rFonts w:ascii="Arial" w:hAnsi="Arial" w:cs="Arial"/>
          <w:color w:val="000000" w:themeColor="text1"/>
          <w:sz w:val="19"/>
          <w:szCs w:val="19"/>
        </w:rPr>
      </w:pPr>
      <w:proofErr w:type="gramStart"/>
      <w:r w:rsidRPr="00412A1B">
        <w:rPr>
          <w:rFonts w:ascii="Arial" w:hAnsi="Arial" w:cs="Arial"/>
          <w:i/>
          <w:iCs/>
          <w:color w:val="000000" w:themeColor="text1"/>
          <w:sz w:val="19"/>
          <w:szCs w:val="19"/>
        </w:rPr>
        <w:t>»Durante</w:t>
      </w:r>
      <w:proofErr w:type="gramEnd"/>
      <w:r w:rsidRPr="00412A1B">
        <w:rPr>
          <w:rFonts w:ascii="Arial" w:hAnsi="Arial" w:cs="Arial"/>
          <w:i/>
          <w:iCs/>
          <w:color w:val="000000" w:themeColor="text1"/>
          <w:sz w:val="19"/>
          <w:szCs w:val="19"/>
        </w:rPr>
        <w:t xml:space="preserve"> el término otorgado para subsanar las ofertas, los proponentes no podrán acreditar circunstancias ocurridas con posterioridad al cierre del proceso»</w:t>
      </w:r>
      <w:r w:rsidRPr="00412A1B">
        <w:rPr>
          <w:rFonts w:ascii="Arial" w:hAnsi="Arial" w:cs="Arial"/>
          <w:color w:val="000000" w:themeColor="text1"/>
          <w:sz w:val="19"/>
          <w:szCs w:val="19"/>
        </w:rPr>
        <w:t xml:space="preserve"> (cursiva fuera de texto).</w:t>
      </w:r>
    </w:p>
    <w:p w14:paraId="58218B3E" w14:textId="77777777" w:rsidR="00A83E1C" w:rsidRPr="00412A1B" w:rsidRDefault="00A83E1C" w:rsidP="00412A1B">
      <w:pPr>
        <w:pStyle w:val="Textonotapie"/>
        <w:jc w:val="both"/>
        <w:rPr>
          <w:rFonts w:ascii="Arial" w:hAnsi="Arial" w:cs="Arial"/>
          <w:color w:val="000000" w:themeColor="text1"/>
          <w:sz w:val="19"/>
          <w:szCs w:val="19"/>
        </w:rPr>
      </w:pPr>
    </w:p>
  </w:footnote>
  <w:footnote w:id="35">
    <w:p w14:paraId="19E7BEA4" w14:textId="77777777" w:rsidR="00A83E1C" w:rsidRPr="00412A1B" w:rsidRDefault="00A83E1C" w:rsidP="00412A1B">
      <w:pPr>
        <w:pStyle w:val="Textonotapie"/>
        <w:ind w:firstLine="709"/>
        <w:jc w:val="both"/>
        <w:rPr>
          <w:rFonts w:ascii="Arial" w:hAnsi="Arial" w:cs="Arial"/>
          <w:color w:val="000000" w:themeColor="text1"/>
          <w:sz w:val="19"/>
          <w:szCs w:val="19"/>
          <w:lang w:val="es-CO"/>
        </w:rPr>
      </w:pPr>
      <w:r w:rsidRPr="00412A1B">
        <w:rPr>
          <w:rStyle w:val="Refdenotaalpie"/>
          <w:rFonts w:ascii="Arial" w:hAnsi="Arial" w:cs="Arial"/>
          <w:color w:val="000000" w:themeColor="text1"/>
          <w:sz w:val="19"/>
          <w:szCs w:val="19"/>
        </w:rPr>
        <w:footnoteRef/>
      </w:r>
      <w:r w:rsidRPr="00412A1B">
        <w:rPr>
          <w:rFonts w:ascii="Arial" w:hAnsi="Arial" w:cs="Arial"/>
          <w:color w:val="000000" w:themeColor="text1"/>
          <w:sz w:val="19"/>
          <w:szCs w:val="19"/>
        </w:rPr>
        <w:t xml:space="preserve"> </w:t>
      </w:r>
      <w:r w:rsidRPr="00412A1B">
        <w:rPr>
          <w:rFonts w:ascii="Arial" w:hAnsi="Arial" w:cs="Arial"/>
          <w:color w:val="000000" w:themeColor="text1"/>
          <w:sz w:val="19"/>
          <w:szCs w:val="19"/>
          <w:lang w:val="es-CO"/>
        </w:rPr>
        <w:t xml:space="preserve">Decreto 2474 de 2008, art. 10, inciso final: «En ningún caso la entidad podrá señalar taxativamente los requisitos o documentos subsanables o no subsanables en el pliego de condiciones, ni permitir que se subsane la falta de capacidad para presentar la oferta, </w:t>
      </w:r>
      <w:r w:rsidRPr="00412A1B">
        <w:rPr>
          <w:rFonts w:ascii="Arial" w:hAnsi="Arial" w:cs="Arial"/>
          <w:i/>
          <w:iCs/>
          <w:color w:val="000000" w:themeColor="text1"/>
          <w:sz w:val="19"/>
          <w:szCs w:val="19"/>
          <w:lang w:val="es-CO"/>
        </w:rPr>
        <w:t>ni que se acrediten circunstancias ocurridas con posterioridad al cierre del proceso»</w:t>
      </w:r>
      <w:r w:rsidRPr="00412A1B">
        <w:rPr>
          <w:rFonts w:ascii="Arial" w:hAnsi="Arial" w:cs="Arial"/>
          <w:color w:val="000000" w:themeColor="text1"/>
          <w:sz w:val="19"/>
          <w:szCs w:val="19"/>
          <w:lang w:val="es-CO"/>
        </w:rPr>
        <w:t xml:space="preserve"> (cursiva fuera de texto).</w:t>
      </w:r>
    </w:p>
    <w:p w14:paraId="6A894961" w14:textId="77777777" w:rsidR="00A83E1C" w:rsidRPr="00412A1B" w:rsidRDefault="00A83E1C" w:rsidP="00412A1B">
      <w:pPr>
        <w:pStyle w:val="Textonotapie"/>
        <w:ind w:firstLine="709"/>
        <w:jc w:val="both"/>
        <w:rPr>
          <w:rFonts w:ascii="Arial" w:hAnsi="Arial" w:cs="Arial"/>
          <w:color w:val="000000" w:themeColor="text1"/>
          <w:sz w:val="19"/>
          <w:szCs w:val="19"/>
        </w:rPr>
      </w:pPr>
    </w:p>
  </w:footnote>
  <w:footnote w:id="36">
    <w:p w14:paraId="2FD10A19" w14:textId="77777777" w:rsidR="00A83E1C" w:rsidRPr="00412A1B" w:rsidRDefault="00A83E1C" w:rsidP="00412A1B">
      <w:pPr>
        <w:pStyle w:val="Textonotapie"/>
        <w:ind w:firstLine="709"/>
        <w:jc w:val="both"/>
        <w:rPr>
          <w:rFonts w:ascii="Arial" w:hAnsi="Arial" w:cs="Arial"/>
          <w:color w:val="000000" w:themeColor="text1"/>
          <w:sz w:val="19"/>
          <w:szCs w:val="19"/>
          <w:lang w:val="es-CO"/>
        </w:rPr>
      </w:pPr>
      <w:r w:rsidRPr="00412A1B">
        <w:rPr>
          <w:rStyle w:val="Refdenotaalpie"/>
          <w:rFonts w:ascii="Arial" w:hAnsi="Arial" w:cs="Arial"/>
          <w:color w:val="000000" w:themeColor="text1"/>
          <w:sz w:val="19"/>
          <w:szCs w:val="19"/>
        </w:rPr>
        <w:footnoteRef/>
      </w:r>
      <w:r w:rsidRPr="00412A1B">
        <w:rPr>
          <w:rFonts w:ascii="Arial" w:hAnsi="Arial" w:cs="Arial"/>
          <w:color w:val="000000" w:themeColor="text1"/>
          <w:sz w:val="19"/>
          <w:szCs w:val="19"/>
        </w:rPr>
        <w:t xml:space="preserve"> </w:t>
      </w:r>
      <w:r w:rsidRPr="00412A1B">
        <w:rPr>
          <w:rFonts w:ascii="Arial" w:hAnsi="Arial" w:cs="Arial"/>
          <w:color w:val="000000" w:themeColor="text1"/>
          <w:sz w:val="19"/>
          <w:szCs w:val="19"/>
          <w:lang w:val="es-CO"/>
        </w:rPr>
        <w:t xml:space="preserve">«De esta manera, quien se presenta al proceso de selección debe cumplir para la fecha en que “se cierra el proceso” con los requisitos que se requieren para presentar la oferta, de manera que es sobre ellos y no sobre otros que se cumplan con posterioridad, sobre los que recae la posibilidad de saneamiento» (Consejo de Estado. Sala de Consulta y Servicio Civil. Concepto del 6 de noviembre de 2008. </w:t>
      </w:r>
      <w:proofErr w:type="spellStart"/>
      <w:r w:rsidRPr="00412A1B">
        <w:rPr>
          <w:rFonts w:ascii="Arial" w:hAnsi="Arial" w:cs="Arial"/>
          <w:color w:val="000000" w:themeColor="text1"/>
          <w:sz w:val="19"/>
          <w:szCs w:val="19"/>
          <w:lang w:val="es-CO"/>
        </w:rPr>
        <w:t>Exp</w:t>
      </w:r>
      <w:proofErr w:type="spellEnd"/>
      <w:r w:rsidRPr="00412A1B">
        <w:rPr>
          <w:rFonts w:ascii="Arial" w:hAnsi="Arial" w:cs="Arial"/>
          <w:color w:val="000000" w:themeColor="text1"/>
          <w:sz w:val="19"/>
          <w:szCs w:val="19"/>
          <w:lang w:val="es-CO"/>
        </w:rPr>
        <w:t>. 1.927. C.P. William Zambrano Cetina).</w:t>
      </w:r>
    </w:p>
    <w:p w14:paraId="017D1E3A" w14:textId="77777777" w:rsidR="00A83E1C" w:rsidRPr="00412A1B" w:rsidRDefault="00A83E1C" w:rsidP="00412A1B">
      <w:pPr>
        <w:pStyle w:val="Textonotapie"/>
        <w:jc w:val="both"/>
        <w:rPr>
          <w:rFonts w:ascii="Arial" w:hAnsi="Arial" w:cs="Arial"/>
          <w:color w:val="000000" w:themeColor="text1"/>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7847B1C0" w:rsidR="00E2520A" w:rsidRDefault="00E2520A">
    <w:pPr>
      <w:pStyle w:val="Encabezado"/>
    </w:pPr>
  </w:p>
  <w:p w14:paraId="2A80E31D" w14:textId="3F4DC003" w:rsidR="00E2520A" w:rsidRDefault="0089572F">
    <w:r>
      <w:rPr>
        <w:noProof/>
      </w:rPr>
      <w:drawing>
        <wp:anchor distT="0" distB="0" distL="114300" distR="114300" simplePos="0" relativeHeight="251659264" behindDoc="0" locked="0" layoutInCell="1" allowOverlap="1" wp14:anchorId="161214BD" wp14:editId="2F96D3A4">
          <wp:simplePos x="0" y="0"/>
          <wp:positionH relativeFrom="column">
            <wp:posOffset>2390775</wp:posOffset>
          </wp:positionH>
          <wp:positionV relativeFrom="paragraph">
            <wp:posOffset>117475</wp:posOffset>
          </wp:positionV>
          <wp:extent cx="3157855" cy="713105"/>
          <wp:effectExtent l="0" t="0" r="4445" b="0"/>
          <wp:wrapNone/>
          <wp:docPr id="2" name="Imagen 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con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7855" cy="713105"/>
                  </a:xfrm>
                  <a:prstGeom prst="rect">
                    <a:avLst/>
                  </a:prstGeom>
                  <a:noFill/>
                </pic:spPr>
              </pic:pic>
            </a:graphicData>
          </a:graphic>
        </wp:anchor>
      </w:drawing>
    </w:r>
  </w:p>
  <w:p w14:paraId="5DBE9C96" w14:textId="3CBD2553" w:rsidR="00E2520A" w:rsidRDefault="00E252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1AD"/>
    <w:multiLevelType w:val="hybridMultilevel"/>
    <w:tmpl w:val="BA722234"/>
    <w:lvl w:ilvl="0" w:tplc="1D4060DE">
      <w:start w:val="1"/>
      <w:numFmt w:val="decimal"/>
      <w:pStyle w:val="Capitulo8"/>
      <w:lvlText w:val="8.%1."/>
      <w:lvlJc w:val="left"/>
      <w:pPr>
        <w:ind w:left="1004" w:hanging="360"/>
      </w:pPr>
    </w:lvl>
    <w:lvl w:ilvl="1" w:tplc="240A0019">
      <w:start w:val="1"/>
      <w:numFmt w:val="lowerLetter"/>
      <w:lvlText w:val="%2."/>
      <w:lvlJc w:val="left"/>
      <w:pPr>
        <w:ind w:left="1724" w:hanging="360"/>
      </w:pPr>
    </w:lvl>
    <w:lvl w:ilvl="2" w:tplc="240A001B">
      <w:start w:val="1"/>
      <w:numFmt w:val="lowerRoman"/>
      <w:lvlText w:val="%3."/>
      <w:lvlJc w:val="right"/>
      <w:pPr>
        <w:ind w:left="2444" w:hanging="180"/>
      </w:pPr>
    </w:lvl>
    <w:lvl w:ilvl="3" w:tplc="240A000F">
      <w:start w:val="1"/>
      <w:numFmt w:val="decimal"/>
      <w:lvlText w:val="%4."/>
      <w:lvlJc w:val="left"/>
      <w:pPr>
        <w:ind w:left="3164" w:hanging="360"/>
      </w:pPr>
    </w:lvl>
    <w:lvl w:ilvl="4" w:tplc="240A0019">
      <w:start w:val="1"/>
      <w:numFmt w:val="lowerLetter"/>
      <w:lvlText w:val="%5."/>
      <w:lvlJc w:val="left"/>
      <w:pPr>
        <w:ind w:left="3884" w:hanging="360"/>
      </w:pPr>
    </w:lvl>
    <w:lvl w:ilvl="5" w:tplc="240A001B">
      <w:start w:val="1"/>
      <w:numFmt w:val="lowerRoman"/>
      <w:lvlText w:val="%6."/>
      <w:lvlJc w:val="right"/>
      <w:pPr>
        <w:ind w:left="4604" w:hanging="180"/>
      </w:pPr>
    </w:lvl>
    <w:lvl w:ilvl="6" w:tplc="240A000F">
      <w:start w:val="1"/>
      <w:numFmt w:val="decimal"/>
      <w:lvlText w:val="%7."/>
      <w:lvlJc w:val="left"/>
      <w:pPr>
        <w:ind w:left="5324" w:hanging="360"/>
      </w:pPr>
    </w:lvl>
    <w:lvl w:ilvl="7" w:tplc="240A0019">
      <w:start w:val="1"/>
      <w:numFmt w:val="lowerLetter"/>
      <w:lvlText w:val="%8."/>
      <w:lvlJc w:val="left"/>
      <w:pPr>
        <w:ind w:left="6044" w:hanging="360"/>
      </w:pPr>
    </w:lvl>
    <w:lvl w:ilvl="8" w:tplc="240A001B">
      <w:start w:val="1"/>
      <w:numFmt w:val="lowerRoman"/>
      <w:lvlText w:val="%9."/>
      <w:lvlJc w:val="right"/>
      <w:pPr>
        <w:ind w:left="6764" w:hanging="180"/>
      </w:pPr>
    </w:lvl>
  </w:abstractNum>
  <w:abstractNum w:abstractNumId="1" w15:restartNumberingAfterBreak="0">
    <w:nsid w:val="00BB42F9"/>
    <w:multiLevelType w:val="hybridMultilevel"/>
    <w:tmpl w:val="F52E878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171731F"/>
    <w:multiLevelType w:val="multilevel"/>
    <w:tmpl w:val="583EADE0"/>
    <w:lvl w:ilvl="0">
      <w:start w:val="2"/>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4" w15:restartNumberingAfterBreak="0">
    <w:nsid w:val="048A5FD7"/>
    <w:multiLevelType w:val="hybridMultilevel"/>
    <w:tmpl w:val="F1E466CA"/>
    <w:lvl w:ilvl="0" w:tplc="295E69F2">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09540ACA"/>
    <w:multiLevelType w:val="hybridMultilevel"/>
    <w:tmpl w:val="57327B6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15:restartNumberingAfterBreak="0">
    <w:nsid w:val="0D827428"/>
    <w:multiLevelType w:val="hybridMultilevel"/>
    <w:tmpl w:val="C58281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16265F41"/>
    <w:multiLevelType w:val="hybridMultilevel"/>
    <w:tmpl w:val="57E0A038"/>
    <w:lvl w:ilvl="0" w:tplc="45F0579C">
      <w:start w:val="1"/>
      <w:numFmt w:val="upperLetter"/>
      <w:lvlText w:val="%1."/>
      <w:lvlJc w:val="left"/>
      <w:pPr>
        <w:ind w:left="1070" w:hanging="71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0"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13" w15:restartNumberingAfterBreak="0">
    <w:nsid w:val="2BCB3ADE"/>
    <w:multiLevelType w:val="hybridMultilevel"/>
    <w:tmpl w:val="B59A5102"/>
    <w:lvl w:ilvl="0" w:tplc="EF120DAA">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4"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EDC5E4E"/>
    <w:multiLevelType w:val="hybridMultilevel"/>
    <w:tmpl w:val="B32A09A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6"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5221FE2"/>
    <w:multiLevelType w:val="hybridMultilevel"/>
    <w:tmpl w:val="D9B8E2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1" w15:restartNumberingAfterBreak="0">
    <w:nsid w:val="38042E47"/>
    <w:multiLevelType w:val="hybridMultilevel"/>
    <w:tmpl w:val="E162306E"/>
    <w:lvl w:ilvl="0" w:tplc="D248C2F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2" w15:restartNumberingAfterBreak="0">
    <w:nsid w:val="381B32BE"/>
    <w:multiLevelType w:val="hybridMultilevel"/>
    <w:tmpl w:val="1648147C"/>
    <w:lvl w:ilvl="0" w:tplc="1D164DA4">
      <w:start w:val="1"/>
      <w:numFmt w:val="decimal"/>
      <w:lvlText w:val="%1."/>
      <w:lvlJc w:val="left"/>
      <w:pPr>
        <w:ind w:left="502" w:hanging="360"/>
      </w:pPr>
      <w:rPr>
        <w:rFonts w:ascii="Arial" w:eastAsiaTheme="minorHAnsi" w:hAnsi="Arial" w:cs="Arial" w:hint="default"/>
        <w:b/>
        <w:bCs/>
        <w:i w:val="0"/>
        <w:iCs/>
        <w:sz w:val="20"/>
        <w:szCs w:val="20"/>
      </w:rPr>
    </w:lvl>
    <w:lvl w:ilvl="1" w:tplc="240A0019">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23" w15:restartNumberingAfterBreak="0">
    <w:nsid w:val="3A866E56"/>
    <w:multiLevelType w:val="multilevel"/>
    <w:tmpl w:val="EF5AED8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3B7F3A87"/>
    <w:multiLevelType w:val="hybridMultilevel"/>
    <w:tmpl w:val="2DD4A23C"/>
    <w:lvl w:ilvl="0" w:tplc="BF54AE8E">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5"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6" w15:restartNumberingAfterBreak="0">
    <w:nsid w:val="41D71DD9"/>
    <w:multiLevelType w:val="hybridMultilevel"/>
    <w:tmpl w:val="53B25232"/>
    <w:lvl w:ilvl="0" w:tplc="C1FA1E68">
      <w:start w:val="1"/>
      <w:numFmt w:val="decimal"/>
      <w:lvlText w:val="%1."/>
      <w:lvlJc w:val="left"/>
      <w:pPr>
        <w:ind w:left="360" w:hanging="360"/>
      </w:pPr>
      <w:rPr>
        <w:rFonts w:hint="default"/>
      </w:rPr>
    </w:lvl>
    <w:lvl w:ilvl="1" w:tplc="E11C9944">
      <w:start w:val="1"/>
      <w:numFmt w:val="lowerLetter"/>
      <w:lvlText w:val="%2."/>
      <w:lvlJc w:val="left"/>
      <w:pPr>
        <w:ind w:left="1080" w:hanging="360"/>
      </w:pPr>
      <w:rPr>
        <w:rFonts w:hint="default"/>
      </w:rPr>
    </w:lvl>
    <w:lvl w:ilvl="2" w:tplc="644656FE">
      <w:start w:val="1"/>
      <w:numFmt w:val="lowerRoman"/>
      <w:lvlText w:val="%3."/>
      <w:lvlJc w:val="right"/>
      <w:pPr>
        <w:ind w:left="1800" w:hanging="180"/>
      </w:pPr>
      <w:rPr>
        <w:rFonts w:hint="default"/>
      </w:rPr>
    </w:lvl>
    <w:lvl w:ilvl="3" w:tplc="E9528DE2">
      <w:start w:val="1"/>
      <w:numFmt w:val="decimal"/>
      <w:lvlText w:val="%4."/>
      <w:lvlJc w:val="left"/>
      <w:pPr>
        <w:ind w:left="2520" w:hanging="360"/>
      </w:pPr>
      <w:rPr>
        <w:rFonts w:hint="default"/>
      </w:rPr>
    </w:lvl>
    <w:lvl w:ilvl="4" w:tplc="936E797C">
      <w:start w:val="1"/>
      <w:numFmt w:val="lowerLetter"/>
      <w:lvlText w:val="%5."/>
      <w:lvlJc w:val="left"/>
      <w:pPr>
        <w:ind w:left="3240" w:hanging="360"/>
      </w:pPr>
      <w:rPr>
        <w:rFonts w:hint="default"/>
      </w:rPr>
    </w:lvl>
    <w:lvl w:ilvl="5" w:tplc="31108C7A">
      <w:start w:val="1"/>
      <w:numFmt w:val="lowerRoman"/>
      <w:lvlText w:val="%6."/>
      <w:lvlJc w:val="right"/>
      <w:pPr>
        <w:ind w:left="3960" w:hanging="180"/>
      </w:pPr>
      <w:rPr>
        <w:rFonts w:hint="default"/>
      </w:rPr>
    </w:lvl>
    <w:lvl w:ilvl="6" w:tplc="9426F570">
      <w:start w:val="1"/>
      <w:numFmt w:val="decimal"/>
      <w:lvlText w:val="%7."/>
      <w:lvlJc w:val="left"/>
      <w:pPr>
        <w:ind w:left="4680" w:hanging="360"/>
      </w:pPr>
      <w:rPr>
        <w:rFonts w:hint="default"/>
      </w:rPr>
    </w:lvl>
    <w:lvl w:ilvl="7" w:tplc="5296B886">
      <w:start w:val="1"/>
      <w:numFmt w:val="lowerLetter"/>
      <w:lvlText w:val="%8."/>
      <w:lvlJc w:val="left"/>
      <w:pPr>
        <w:ind w:left="5400" w:hanging="360"/>
      </w:pPr>
      <w:rPr>
        <w:rFonts w:hint="default"/>
      </w:rPr>
    </w:lvl>
    <w:lvl w:ilvl="8" w:tplc="8C006132">
      <w:start w:val="1"/>
      <w:numFmt w:val="lowerRoman"/>
      <w:lvlText w:val="%9."/>
      <w:lvlJc w:val="right"/>
      <w:pPr>
        <w:ind w:left="6120" w:hanging="180"/>
      </w:pPr>
      <w:rPr>
        <w:rFonts w:hint="default"/>
      </w:rPr>
    </w:lvl>
  </w:abstractNum>
  <w:abstractNum w:abstractNumId="27"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2D93A5B"/>
    <w:multiLevelType w:val="hybridMultilevel"/>
    <w:tmpl w:val="24AAD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44B4303"/>
    <w:multiLevelType w:val="hybridMultilevel"/>
    <w:tmpl w:val="0CEC1CC8"/>
    <w:lvl w:ilvl="0" w:tplc="7A466F3A">
      <w:start w:val="1"/>
      <w:numFmt w:val="lowerRoman"/>
      <w:lvlText w:val="%1)"/>
      <w:lvlJc w:val="left"/>
      <w:pPr>
        <w:ind w:left="1146" w:hanging="720"/>
      </w:pPr>
      <w:rPr>
        <w:rFonts w:asciiTheme="minorHAnsi" w:hAnsiTheme="minorHAnsi" w:cstheme="minorHAnsi" w:hint="default"/>
        <w:b w:val="0"/>
        <w:bCs w:val="0"/>
        <w:i w:val="0"/>
        <w:iCs/>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30"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4CB8710A"/>
    <w:multiLevelType w:val="hybridMultilevel"/>
    <w:tmpl w:val="8F52BE52"/>
    <w:lvl w:ilvl="0" w:tplc="A172173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3"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89102F8"/>
    <w:multiLevelType w:val="hybridMultilevel"/>
    <w:tmpl w:val="13E22D70"/>
    <w:lvl w:ilvl="0" w:tplc="B84854D0">
      <w:start w:val="1"/>
      <w:numFmt w:val="bullet"/>
      <w:lvlText w:val="-"/>
      <w:lvlJc w:val="left"/>
      <w:pPr>
        <w:ind w:left="1069" w:hanging="360"/>
      </w:pPr>
      <w:rPr>
        <w:rFonts w:ascii="Arial" w:eastAsia="Calibri"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3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6"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BE077E7"/>
    <w:multiLevelType w:val="hybridMultilevel"/>
    <w:tmpl w:val="1EC601C6"/>
    <w:lvl w:ilvl="0" w:tplc="69C2D014">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9"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41"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5434B71"/>
    <w:multiLevelType w:val="hybridMultilevel"/>
    <w:tmpl w:val="5E8A4876"/>
    <w:lvl w:ilvl="0" w:tplc="7C6481C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5" w15:restartNumberingAfterBreak="0">
    <w:nsid w:val="79B72D8C"/>
    <w:multiLevelType w:val="hybridMultilevel"/>
    <w:tmpl w:val="5EA43C4A"/>
    <w:lvl w:ilvl="0" w:tplc="C054F18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6" w15:restartNumberingAfterBreak="0">
    <w:nsid w:val="7A5605E3"/>
    <w:multiLevelType w:val="multilevel"/>
    <w:tmpl w:val="22AA4B80"/>
    <w:lvl w:ilvl="0">
      <w:start w:val="3"/>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641689148">
    <w:abstractNumId w:val="18"/>
  </w:num>
  <w:num w:numId="2" w16cid:durableId="1845971291">
    <w:abstractNumId w:val="16"/>
  </w:num>
  <w:num w:numId="3" w16cid:durableId="1804932070">
    <w:abstractNumId w:val="30"/>
  </w:num>
  <w:num w:numId="4" w16cid:durableId="583344977">
    <w:abstractNumId w:val="35"/>
  </w:num>
  <w:num w:numId="5" w16cid:durableId="364211793">
    <w:abstractNumId w:val="40"/>
  </w:num>
  <w:num w:numId="6" w16cid:durableId="684944529">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66015367">
    <w:abstractNumId w:val="36"/>
  </w:num>
  <w:num w:numId="8" w16cid:durableId="1526669996">
    <w:abstractNumId w:val="3"/>
  </w:num>
  <w:num w:numId="9" w16cid:durableId="97143154">
    <w:abstractNumId w:val="10"/>
  </w:num>
  <w:num w:numId="10" w16cid:durableId="200897269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829944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94918846">
    <w:abstractNumId w:val="17"/>
  </w:num>
  <w:num w:numId="13" w16cid:durableId="1676960783">
    <w:abstractNumId w:val="27"/>
  </w:num>
  <w:num w:numId="14" w16cid:durableId="840705215">
    <w:abstractNumId w:val="14"/>
  </w:num>
  <w:num w:numId="15" w16cid:durableId="1159225815">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45260531">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0557219">
    <w:abstractNumId w:val="42"/>
  </w:num>
  <w:num w:numId="18" w16cid:durableId="2021201476">
    <w:abstractNumId w:val="31"/>
  </w:num>
  <w:num w:numId="19" w16cid:durableId="259878774">
    <w:abstractNumId w:val="9"/>
  </w:num>
  <w:num w:numId="20" w16cid:durableId="1933123559">
    <w:abstractNumId w:val="43"/>
  </w:num>
  <w:num w:numId="21" w16cid:durableId="713892569">
    <w:abstractNumId w:val="33"/>
  </w:num>
  <w:num w:numId="22" w16cid:durableId="1073821657">
    <w:abstractNumId w:val="12"/>
  </w:num>
  <w:num w:numId="23" w16cid:durableId="2101020327">
    <w:abstractNumId w:val="11"/>
  </w:num>
  <w:num w:numId="24" w16cid:durableId="197818096">
    <w:abstractNumId w:val="37"/>
  </w:num>
  <w:num w:numId="25" w16cid:durableId="1112553875">
    <w:abstractNumId w:val="20"/>
  </w:num>
  <w:num w:numId="26" w16cid:durableId="1831409163">
    <w:abstractNumId w:val="41"/>
  </w:num>
  <w:num w:numId="27" w16cid:durableId="2100783664">
    <w:abstractNumId w:val="45"/>
  </w:num>
  <w:num w:numId="28" w16cid:durableId="1996956428">
    <w:abstractNumId w:val="28"/>
  </w:num>
  <w:num w:numId="29" w16cid:durableId="1642273378">
    <w:abstractNumId w:val="2"/>
  </w:num>
  <w:num w:numId="30" w16cid:durableId="6906433">
    <w:abstractNumId w:val="32"/>
  </w:num>
  <w:num w:numId="31" w16cid:durableId="331496001">
    <w:abstractNumId w:val="21"/>
  </w:num>
  <w:num w:numId="32" w16cid:durableId="306593347">
    <w:abstractNumId w:val="34"/>
  </w:num>
  <w:num w:numId="33" w16cid:durableId="1078941711">
    <w:abstractNumId w:val="44"/>
  </w:num>
  <w:num w:numId="34" w16cid:durableId="1967811282">
    <w:abstractNumId w:val="19"/>
  </w:num>
  <w:num w:numId="35" w16cid:durableId="380709700">
    <w:abstractNumId w:val="1"/>
  </w:num>
  <w:num w:numId="36" w16cid:durableId="6371448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380009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026298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95620855">
    <w:abstractNumId w:val="6"/>
  </w:num>
  <w:num w:numId="40" w16cid:durableId="14161699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37843409">
    <w:abstractNumId w:val="22"/>
  </w:num>
  <w:num w:numId="42" w16cid:durableId="1667198061">
    <w:abstractNumId w:val="46"/>
  </w:num>
  <w:num w:numId="43" w16cid:durableId="19059913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0847783">
    <w:abstractNumId w:val="29"/>
  </w:num>
  <w:num w:numId="45" w16cid:durableId="21902609">
    <w:abstractNumId w:val="38"/>
  </w:num>
  <w:num w:numId="46" w16cid:durableId="1796484546">
    <w:abstractNumId w:val="4"/>
  </w:num>
  <w:num w:numId="47" w16cid:durableId="1970552938">
    <w:abstractNumId w:val="24"/>
  </w:num>
  <w:num w:numId="48" w16cid:durableId="945771360">
    <w:abstractNumId w:val="26"/>
  </w:num>
  <w:num w:numId="49" w16cid:durableId="1170826823">
    <w:abstractNumId w:val="23"/>
  </w:num>
  <w:num w:numId="50" w16cid:durableId="5750169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activeWritingStyle w:appName="MSWord" w:lang="es-419"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00B1"/>
    <w:rsid w:val="00000559"/>
    <w:rsid w:val="0000162E"/>
    <w:rsid w:val="00001A1C"/>
    <w:rsid w:val="00001FFD"/>
    <w:rsid w:val="00002027"/>
    <w:rsid w:val="000020FE"/>
    <w:rsid w:val="000031A8"/>
    <w:rsid w:val="00003233"/>
    <w:rsid w:val="00003C5C"/>
    <w:rsid w:val="000040D7"/>
    <w:rsid w:val="00004556"/>
    <w:rsid w:val="000051AF"/>
    <w:rsid w:val="00005958"/>
    <w:rsid w:val="000059D3"/>
    <w:rsid w:val="0000600A"/>
    <w:rsid w:val="00006081"/>
    <w:rsid w:val="000060D0"/>
    <w:rsid w:val="00006D78"/>
    <w:rsid w:val="000075EA"/>
    <w:rsid w:val="00007750"/>
    <w:rsid w:val="000077FD"/>
    <w:rsid w:val="00007E37"/>
    <w:rsid w:val="00010408"/>
    <w:rsid w:val="00010C40"/>
    <w:rsid w:val="000112B4"/>
    <w:rsid w:val="00011DCC"/>
    <w:rsid w:val="00012532"/>
    <w:rsid w:val="000126FB"/>
    <w:rsid w:val="00012B9E"/>
    <w:rsid w:val="00012FBA"/>
    <w:rsid w:val="00013C6B"/>
    <w:rsid w:val="0001406B"/>
    <w:rsid w:val="000143F8"/>
    <w:rsid w:val="00014624"/>
    <w:rsid w:val="000147AA"/>
    <w:rsid w:val="000147ED"/>
    <w:rsid w:val="00014E87"/>
    <w:rsid w:val="00015B44"/>
    <w:rsid w:val="00016081"/>
    <w:rsid w:val="000165AC"/>
    <w:rsid w:val="00016651"/>
    <w:rsid w:val="00016881"/>
    <w:rsid w:val="000171A2"/>
    <w:rsid w:val="00017B65"/>
    <w:rsid w:val="00020158"/>
    <w:rsid w:val="000203F8"/>
    <w:rsid w:val="000207E0"/>
    <w:rsid w:val="00020D87"/>
    <w:rsid w:val="00020F8F"/>
    <w:rsid w:val="00021A95"/>
    <w:rsid w:val="00021C0A"/>
    <w:rsid w:val="00021F62"/>
    <w:rsid w:val="0002256F"/>
    <w:rsid w:val="0002296A"/>
    <w:rsid w:val="00023DAE"/>
    <w:rsid w:val="00023FA5"/>
    <w:rsid w:val="00024592"/>
    <w:rsid w:val="00024896"/>
    <w:rsid w:val="0002555A"/>
    <w:rsid w:val="000258A6"/>
    <w:rsid w:val="00025967"/>
    <w:rsid w:val="00026092"/>
    <w:rsid w:val="000263F0"/>
    <w:rsid w:val="00026407"/>
    <w:rsid w:val="000264F6"/>
    <w:rsid w:val="00026608"/>
    <w:rsid w:val="00026AA4"/>
    <w:rsid w:val="00026B36"/>
    <w:rsid w:val="00026C24"/>
    <w:rsid w:val="0002738B"/>
    <w:rsid w:val="00027545"/>
    <w:rsid w:val="00027787"/>
    <w:rsid w:val="000278D2"/>
    <w:rsid w:val="00031384"/>
    <w:rsid w:val="000315E1"/>
    <w:rsid w:val="0003236E"/>
    <w:rsid w:val="00033295"/>
    <w:rsid w:val="0003339A"/>
    <w:rsid w:val="00034134"/>
    <w:rsid w:val="000341F2"/>
    <w:rsid w:val="00034651"/>
    <w:rsid w:val="000351F2"/>
    <w:rsid w:val="00035224"/>
    <w:rsid w:val="00036909"/>
    <w:rsid w:val="00036E03"/>
    <w:rsid w:val="000406DB"/>
    <w:rsid w:val="0004094D"/>
    <w:rsid w:val="00040A5E"/>
    <w:rsid w:val="00041029"/>
    <w:rsid w:val="0004149B"/>
    <w:rsid w:val="00041717"/>
    <w:rsid w:val="00041CA0"/>
    <w:rsid w:val="000427F7"/>
    <w:rsid w:val="00042961"/>
    <w:rsid w:val="00042C25"/>
    <w:rsid w:val="00042D03"/>
    <w:rsid w:val="00042FCF"/>
    <w:rsid w:val="00043086"/>
    <w:rsid w:val="000430A0"/>
    <w:rsid w:val="00043A33"/>
    <w:rsid w:val="00043D3B"/>
    <w:rsid w:val="00043D4D"/>
    <w:rsid w:val="00043F5D"/>
    <w:rsid w:val="0004418C"/>
    <w:rsid w:val="00044204"/>
    <w:rsid w:val="000449D4"/>
    <w:rsid w:val="00044B71"/>
    <w:rsid w:val="000455BE"/>
    <w:rsid w:val="000466E8"/>
    <w:rsid w:val="00046717"/>
    <w:rsid w:val="00046A63"/>
    <w:rsid w:val="00046C09"/>
    <w:rsid w:val="0004716A"/>
    <w:rsid w:val="00047316"/>
    <w:rsid w:val="00047385"/>
    <w:rsid w:val="000473E8"/>
    <w:rsid w:val="000504DE"/>
    <w:rsid w:val="00051074"/>
    <w:rsid w:val="0005211A"/>
    <w:rsid w:val="00052B79"/>
    <w:rsid w:val="00052EA0"/>
    <w:rsid w:val="000536E3"/>
    <w:rsid w:val="00054252"/>
    <w:rsid w:val="0005474D"/>
    <w:rsid w:val="00055CB9"/>
    <w:rsid w:val="00055EC3"/>
    <w:rsid w:val="00056F22"/>
    <w:rsid w:val="00056F66"/>
    <w:rsid w:val="0005702F"/>
    <w:rsid w:val="00057661"/>
    <w:rsid w:val="0005779C"/>
    <w:rsid w:val="0006153E"/>
    <w:rsid w:val="00061D06"/>
    <w:rsid w:val="0006294B"/>
    <w:rsid w:val="00062CDD"/>
    <w:rsid w:val="00063FA5"/>
    <w:rsid w:val="000640AF"/>
    <w:rsid w:val="00064940"/>
    <w:rsid w:val="00064CAE"/>
    <w:rsid w:val="00064DB7"/>
    <w:rsid w:val="00064FA7"/>
    <w:rsid w:val="00065195"/>
    <w:rsid w:val="00070310"/>
    <w:rsid w:val="00070AF1"/>
    <w:rsid w:val="000714DE"/>
    <w:rsid w:val="00071800"/>
    <w:rsid w:val="0007254F"/>
    <w:rsid w:val="00073C30"/>
    <w:rsid w:val="00074305"/>
    <w:rsid w:val="00074B2A"/>
    <w:rsid w:val="00075108"/>
    <w:rsid w:val="00075B3E"/>
    <w:rsid w:val="00076456"/>
    <w:rsid w:val="00076604"/>
    <w:rsid w:val="000770D0"/>
    <w:rsid w:val="0007779B"/>
    <w:rsid w:val="000777E7"/>
    <w:rsid w:val="0007790A"/>
    <w:rsid w:val="0007790D"/>
    <w:rsid w:val="0008017B"/>
    <w:rsid w:val="00080287"/>
    <w:rsid w:val="00080ACD"/>
    <w:rsid w:val="000811ED"/>
    <w:rsid w:val="00081284"/>
    <w:rsid w:val="00081D62"/>
    <w:rsid w:val="00081E36"/>
    <w:rsid w:val="000820A1"/>
    <w:rsid w:val="000820CE"/>
    <w:rsid w:val="00082B74"/>
    <w:rsid w:val="00083099"/>
    <w:rsid w:val="000830E7"/>
    <w:rsid w:val="00083EDC"/>
    <w:rsid w:val="00083EE6"/>
    <w:rsid w:val="000847C0"/>
    <w:rsid w:val="000847EC"/>
    <w:rsid w:val="00084873"/>
    <w:rsid w:val="00084B97"/>
    <w:rsid w:val="0008510E"/>
    <w:rsid w:val="000856DE"/>
    <w:rsid w:val="00085B65"/>
    <w:rsid w:val="00085F17"/>
    <w:rsid w:val="00085FB3"/>
    <w:rsid w:val="0008616F"/>
    <w:rsid w:val="0008686B"/>
    <w:rsid w:val="00086B2A"/>
    <w:rsid w:val="00086ED2"/>
    <w:rsid w:val="000914D6"/>
    <w:rsid w:val="00091553"/>
    <w:rsid w:val="00091569"/>
    <w:rsid w:val="00092DCA"/>
    <w:rsid w:val="000935F8"/>
    <w:rsid w:val="00093C51"/>
    <w:rsid w:val="000942EB"/>
    <w:rsid w:val="00094959"/>
    <w:rsid w:val="00095B70"/>
    <w:rsid w:val="00095C0D"/>
    <w:rsid w:val="0009617E"/>
    <w:rsid w:val="00096489"/>
    <w:rsid w:val="00096BA8"/>
    <w:rsid w:val="000979CF"/>
    <w:rsid w:val="00097A00"/>
    <w:rsid w:val="00097B0C"/>
    <w:rsid w:val="000A03C8"/>
    <w:rsid w:val="000A05F2"/>
    <w:rsid w:val="000A06C4"/>
    <w:rsid w:val="000A0861"/>
    <w:rsid w:val="000A0ED1"/>
    <w:rsid w:val="000A12DB"/>
    <w:rsid w:val="000A17C8"/>
    <w:rsid w:val="000A1AEE"/>
    <w:rsid w:val="000A20D7"/>
    <w:rsid w:val="000A2128"/>
    <w:rsid w:val="000A362F"/>
    <w:rsid w:val="000A3B49"/>
    <w:rsid w:val="000A41BA"/>
    <w:rsid w:val="000A446A"/>
    <w:rsid w:val="000A4CC2"/>
    <w:rsid w:val="000A5AAF"/>
    <w:rsid w:val="000A5F97"/>
    <w:rsid w:val="000A648E"/>
    <w:rsid w:val="000A73BB"/>
    <w:rsid w:val="000A78D7"/>
    <w:rsid w:val="000A7EF4"/>
    <w:rsid w:val="000B09AF"/>
    <w:rsid w:val="000B0A15"/>
    <w:rsid w:val="000B0DF3"/>
    <w:rsid w:val="000B103F"/>
    <w:rsid w:val="000B1437"/>
    <w:rsid w:val="000B1470"/>
    <w:rsid w:val="000B2B86"/>
    <w:rsid w:val="000B3051"/>
    <w:rsid w:val="000B419B"/>
    <w:rsid w:val="000B4716"/>
    <w:rsid w:val="000B5781"/>
    <w:rsid w:val="000B5891"/>
    <w:rsid w:val="000B6E4B"/>
    <w:rsid w:val="000C0185"/>
    <w:rsid w:val="000C0444"/>
    <w:rsid w:val="000C0960"/>
    <w:rsid w:val="000C0E18"/>
    <w:rsid w:val="000C0F81"/>
    <w:rsid w:val="000C128D"/>
    <w:rsid w:val="000C17A3"/>
    <w:rsid w:val="000C1D4B"/>
    <w:rsid w:val="000C3260"/>
    <w:rsid w:val="000C3616"/>
    <w:rsid w:val="000C3803"/>
    <w:rsid w:val="000C3B77"/>
    <w:rsid w:val="000C4F49"/>
    <w:rsid w:val="000C5861"/>
    <w:rsid w:val="000C5A63"/>
    <w:rsid w:val="000C639D"/>
    <w:rsid w:val="000C67BB"/>
    <w:rsid w:val="000C6C31"/>
    <w:rsid w:val="000C6DBC"/>
    <w:rsid w:val="000C6F79"/>
    <w:rsid w:val="000C7033"/>
    <w:rsid w:val="000C7211"/>
    <w:rsid w:val="000C7476"/>
    <w:rsid w:val="000C7711"/>
    <w:rsid w:val="000C7746"/>
    <w:rsid w:val="000C7AA2"/>
    <w:rsid w:val="000D0462"/>
    <w:rsid w:val="000D053D"/>
    <w:rsid w:val="000D0CD9"/>
    <w:rsid w:val="000D0ED2"/>
    <w:rsid w:val="000D16C9"/>
    <w:rsid w:val="000D1CEB"/>
    <w:rsid w:val="000D1F24"/>
    <w:rsid w:val="000D2563"/>
    <w:rsid w:val="000D25BF"/>
    <w:rsid w:val="000D3418"/>
    <w:rsid w:val="000D3F5F"/>
    <w:rsid w:val="000D3FDC"/>
    <w:rsid w:val="000D4E38"/>
    <w:rsid w:val="000D50DB"/>
    <w:rsid w:val="000D5A46"/>
    <w:rsid w:val="000D5ABA"/>
    <w:rsid w:val="000D6288"/>
    <w:rsid w:val="000D6CAF"/>
    <w:rsid w:val="000D7541"/>
    <w:rsid w:val="000D75E1"/>
    <w:rsid w:val="000D776B"/>
    <w:rsid w:val="000E0B3C"/>
    <w:rsid w:val="000E2109"/>
    <w:rsid w:val="000E22CF"/>
    <w:rsid w:val="000E2977"/>
    <w:rsid w:val="000E2B36"/>
    <w:rsid w:val="000E30AC"/>
    <w:rsid w:val="000E3B46"/>
    <w:rsid w:val="000E3E11"/>
    <w:rsid w:val="000E4596"/>
    <w:rsid w:val="000E5553"/>
    <w:rsid w:val="000E5768"/>
    <w:rsid w:val="000E5843"/>
    <w:rsid w:val="000E6139"/>
    <w:rsid w:val="000E6B73"/>
    <w:rsid w:val="000E6BE1"/>
    <w:rsid w:val="000E7E0B"/>
    <w:rsid w:val="000F078A"/>
    <w:rsid w:val="000F122D"/>
    <w:rsid w:val="000F1450"/>
    <w:rsid w:val="000F14E8"/>
    <w:rsid w:val="000F16F5"/>
    <w:rsid w:val="000F1BBD"/>
    <w:rsid w:val="000F2033"/>
    <w:rsid w:val="000F2739"/>
    <w:rsid w:val="000F3138"/>
    <w:rsid w:val="000F3D39"/>
    <w:rsid w:val="000F4403"/>
    <w:rsid w:val="000F4C3F"/>
    <w:rsid w:val="000F4E17"/>
    <w:rsid w:val="000F636A"/>
    <w:rsid w:val="000F6578"/>
    <w:rsid w:val="000F70CD"/>
    <w:rsid w:val="000F79F9"/>
    <w:rsid w:val="000F7ABD"/>
    <w:rsid w:val="000F7E8F"/>
    <w:rsid w:val="000F7FBB"/>
    <w:rsid w:val="001000FB"/>
    <w:rsid w:val="00100AAB"/>
    <w:rsid w:val="00101134"/>
    <w:rsid w:val="001015D2"/>
    <w:rsid w:val="00102605"/>
    <w:rsid w:val="00102686"/>
    <w:rsid w:val="00102745"/>
    <w:rsid w:val="001032E3"/>
    <w:rsid w:val="00103361"/>
    <w:rsid w:val="00103855"/>
    <w:rsid w:val="00103915"/>
    <w:rsid w:val="00103EA0"/>
    <w:rsid w:val="001046B8"/>
    <w:rsid w:val="00104F1C"/>
    <w:rsid w:val="001051E5"/>
    <w:rsid w:val="00105A09"/>
    <w:rsid w:val="00105A74"/>
    <w:rsid w:val="00105ACB"/>
    <w:rsid w:val="00105AEF"/>
    <w:rsid w:val="00106259"/>
    <w:rsid w:val="001065E4"/>
    <w:rsid w:val="001068EB"/>
    <w:rsid w:val="001078CE"/>
    <w:rsid w:val="00110CEB"/>
    <w:rsid w:val="00110F61"/>
    <w:rsid w:val="001111BD"/>
    <w:rsid w:val="0011165A"/>
    <w:rsid w:val="00111B2B"/>
    <w:rsid w:val="00111DFA"/>
    <w:rsid w:val="00111ED9"/>
    <w:rsid w:val="00112609"/>
    <w:rsid w:val="00112774"/>
    <w:rsid w:val="00112B2E"/>
    <w:rsid w:val="00113003"/>
    <w:rsid w:val="00113062"/>
    <w:rsid w:val="00113705"/>
    <w:rsid w:val="00113975"/>
    <w:rsid w:val="00113CFC"/>
    <w:rsid w:val="00113FEA"/>
    <w:rsid w:val="00114324"/>
    <w:rsid w:val="00114A22"/>
    <w:rsid w:val="00114E9D"/>
    <w:rsid w:val="0011507B"/>
    <w:rsid w:val="00115334"/>
    <w:rsid w:val="00115D13"/>
    <w:rsid w:val="00116328"/>
    <w:rsid w:val="001169FD"/>
    <w:rsid w:val="001174C9"/>
    <w:rsid w:val="00117C82"/>
    <w:rsid w:val="00117E69"/>
    <w:rsid w:val="00121103"/>
    <w:rsid w:val="0012156A"/>
    <w:rsid w:val="00121BAB"/>
    <w:rsid w:val="00121E3C"/>
    <w:rsid w:val="00122B23"/>
    <w:rsid w:val="00122B7E"/>
    <w:rsid w:val="00123D64"/>
    <w:rsid w:val="00123FB5"/>
    <w:rsid w:val="0012400F"/>
    <w:rsid w:val="001246C9"/>
    <w:rsid w:val="001249DC"/>
    <w:rsid w:val="00125340"/>
    <w:rsid w:val="0012572D"/>
    <w:rsid w:val="00125BED"/>
    <w:rsid w:val="00125C59"/>
    <w:rsid w:val="00125D4F"/>
    <w:rsid w:val="00126F9B"/>
    <w:rsid w:val="00127004"/>
    <w:rsid w:val="00127AF2"/>
    <w:rsid w:val="00127EDC"/>
    <w:rsid w:val="00127F6D"/>
    <w:rsid w:val="00130355"/>
    <w:rsid w:val="00131B5A"/>
    <w:rsid w:val="00132C30"/>
    <w:rsid w:val="00132EFD"/>
    <w:rsid w:val="00133AED"/>
    <w:rsid w:val="00134FF9"/>
    <w:rsid w:val="00135E88"/>
    <w:rsid w:val="0013695C"/>
    <w:rsid w:val="00136BF7"/>
    <w:rsid w:val="001373BF"/>
    <w:rsid w:val="001378B9"/>
    <w:rsid w:val="00137FD1"/>
    <w:rsid w:val="00137FFA"/>
    <w:rsid w:val="00140109"/>
    <w:rsid w:val="0014029B"/>
    <w:rsid w:val="00140421"/>
    <w:rsid w:val="00140A4F"/>
    <w:rsid w:val="001413AB"/>
    <w:rsid w:val="001426EA"/>
    <w:rsid w:val="001432AF"/>
    <w:rsid w:val="001439D8"/>
    <w:rsid w:val="00144335"/>
    <w:rsid w:val="0014502F"/>
    <w:rsid w:val="00145282"/>
    <w:rsid w:val="001453B0"/>
    <w:rsid w:val="001454D9"/>
    <w:rsid w:val="00145D8E"/>
    <w:rsid w:val="00146083"/>
    <w:rsid w:val="001462F7"/>
    <w:rsid w:val="001466F0"/>
    <w:rsid w:val="00146B60"/>
    <w:rsid w:val="00147798"/>
    <w:rsid w:val="00150005"/>
    <w:rsid w:val="00151B99"/>
    <w:rsid w:val="001521B2"/>
    <w:rsid w:val="00152288"/>
    <w:rsid w:val="00152EDD"/>
    <w:rsid w:val="00153491"/>
    <w:rsid w:val="0015361C"/>
    <w:rsid w:val="0015372F"/>
    <w:rsid w:val="00153A05"/>
    <w:rsid w:val="00153A18"/>
    <w:rsid w:val="00153BFB"/>
    <w:rsid w:val="0015407E"/>
    <w:rsid w:val="001542E6"/>
    <w:rsid w:val="0015448E"/>
    <w:rsid w:val="00154A6F"/>
    <w:rsid w:val="00155D08"/>
    <w:rsid w:val="00156BE5"/>
    <w:rsid w:val="00156FDB"/>
    <w:rsid w:val="00157232"/>
    <w:rsid w:val="00160401"/>
    <w:rsid w:val="00160D4E"/>
    <w:rsid w:val="00161E62"/>
    <w:rsid w:val="00161F1C"/>
    <w:rsid w:val="0016200B"/>
    <w:rsid w:val="00163D7A"/>
    <w:rsid w:val="00164281"/>
    <w:rsid w:val="00164AF1"/>
    <w:rsid w:val="001654DF"/>
    <w:rsid w:val="00166476"/>
    <w:rsid w:val="00167503"/>
    <w:rsid w:val="001676A9"/>
    <w:rsid w:val="00167A15"/>
    <w:rsid w:val="00167A50"/>
    <w:rsid w:val="00167D66"/>
    <w:rsid w:val="00167DF5"/>
    <w:rsid w:val="00170001"/>
    <w:rsid w:val="0017145A"/>
    <w:rsid w:val="001718A5"/>
    <w:rsid w:val="00172198"/>
    <w:rsid w:val="00172612"/>
    <w:rsid w:val="00172817"/>
    <w:rsid w:val="001734E3"/>
    <w:rsid w:val="0017350E"/>
    <w:rsid w:val="0017391B"/>
    <w:rsid w:val="001742BF"/>
    <w:rsid w:val="001749DF"/>
    <w:rsid w:val="00174D78"/>
    <w:rsid w:val="00174F1D"/>
    <w:rsid w:val="00175E49"/>
    <w:rsid w:val="00176470"/>
    <w:rsid w:val="0017659F"/>
    <w:rsid w:val="00177076"/>
    <w:rsid w:val="001804B1"/>
    <w:rsid w:val="001805C1"/>
    <w:rsid w:val="00180A2E"/>
    <w:rsid w:val="001813AF"/>
    <w:rsid w:val="0018173D"/>
    <w:rsid w:val="001818DE"/>
    <w:rsid w:val="00182831"/>
    <w:rsid w:val="001829CD"/>
    <w:rsid w:val="00182D5C"/>
    <w:rsid w:val="00182F01"/>
    <w:rsid w:val="00184F27"/>
    <w:rsid w:val="001850E6"/>
    <w:rsid w:val="0018519B"/>
    <w:rsid w:val="001856BA"/>
    <w:rsid w:val="001856EB"/>
    <w:rsid w:val="00185AFE"/>
    <w:rsid w:val="00185E78"/>
    <w:rsid w:val="00187177"/>
    <w:rsid w:val="00187443"/>
    <w:rsid w:val="00187ABD"/>
    <w:rsid w:val="001904E3"/>
    <w:rsid w:val="0019087A"/>
    <w:rsid w:val="00191395"/>
    <w:rsid w:val="00191C5A"/>
    <w:rsid w:val="00191CEB"/>
    <w:rsid w:val="00191E63"/>
    <w:rsid w:val="00192D68"/>
    <w:rsid w:val="0019388B"/>
    <w:rsid w:val="00193B9A"/>
    <w:rsid w:val="001946AE"/>
    <w:rsid w:val="001946D5"/>
    <w:rsid w:val="00194E8C"/>
    <w:rsid w:val="00195B68"/>
    <w:rsid w:val="001962EC"/>
    <w:rsid w:val="001963DD"/>
    <w:rsid w:val="001965DB"/>
    <w:rsid w:val="00196DC9"/>
    <w:rsid w:val="001A0236"/>
    <w:rsid w:val="001A0AF8"/>
    <w:rsid w:val="001A0EC8"/>
    <w:rsid w:val="001A18D5"/>
    <w:rsid w:val="001A1D4A"/>
    <w:rsid w:val="001A3011"/>
    <w:rsid w:val="001A325B"/>
    <w:rsid w:val="001A3FC3"/>
    <w:rsid w:val="001A4A08"/>
    <w:rsid w:val="001A4DAF"/>
    <w:rsid w:val="001A66DF"/>
    <w:rsid w:val="001A67D0"/>
    <w:rsid w:val="001A6BF1"/>
    <w:rsid w:val="001A7591"/>
    <w:rsid w:val="001A75B1"/>
    <w:rsid w:val="001B0366"/>
    <w:rsid w:val="001B0444"/>
    <w:rsid w:val="001B096B"/>
    <w:rsid w:val="001B0F9F"/>
    <w:rsid w:val="001B123C"/>
    <w:rsid w:val="001B1A0D"/>
    <w:rsid w:val="001B1BF1"/>
    <w:rsid w:val="001B2456"/>
    <w:rsid w:val="001B40C7"/>
    <w:rsid w:val="001B449C"/>
    <w:rsid w:val="001B4AA2"/>
    <w:rsid w:val="001B4ADE"/>
    <w:rsid w:val="001B5C86"/>
    <w:rsid w:val="001B5EF8"/>
    <w:rsid w:val="001B6BD3"/>
    <w:rsid w:val="001B6EBB"/>
    <w:rsid w:val="001C037A"/>
    <w:rsid w:val="001C07C6"/>
    <w:rsid w:val="001C0838"/>
    <w:rsid w:val="001C08B2"/>
    <w:rsid w:val="001C19CD"/>
    <w:rsid w:val="001C1BC5"/>
    <w:rsid w:val="001C22D5"/>
    <w:rsid w:val="001C2515"/>
    <w:rsid w:val="001C2550"/>
    <w:rsid w:val="001C26FB"/>
    <w:rsid w:val="001C3345"/>
    <w:rsid w:val="001C33C1"/>
    <w:rsid w:val="001C3E30"/>
    <w:rsid w:val="001C3E5C"/>
    <w:rsid w:val="001C5072"/>
    <w:rsid w:val="001C599F"/>
    <w:rsid w:val="001C5B2A"/>
    <w:rsid w:val="001C600B"/>
    <w:rsid w:val="001C6407"/>
    <w:rsid w:val="001C6898"/>
    <w:rsid w:val="001C6DD8"/>
    <w:rsid w:val="001C7C7B"/>
    <w:rsid w:val="001D068D"/>
    <w:rsid w:val="001D0A71"/>
    <w:rsid w:val="001D12D1"/>
    <w:rsid w:val="001D15DF"/>
    <w:rsid w:val="001D2970"/>
    <w:rsid w:val="001D2C0B"/>
    <w:rsid w:val="001D30F3"/>
    <w:rsid w:val="001D31A0"/>
    <w:rsid w:val="001D338E"/>
    <w:rsid w:val="001D399D"/>
    <w:rsid w:val="001D3D3F"/>
    <w:rsid w:val="001D408D"/>
    <w:rsid w:val="001D4141"/>
    <w:rsid w:val="001D47D1"/>
    <w:rsid w:val="001D56E9"/>
    <w:rsid w:val="001D7923"/>
    <w:rsid w:val="001D796A"/>
    <w:rsid w:val="001D7A84"/>
    <w:rsid w:val="001D7C79"/>
    <w:rsid w:val="001E0E15"/>
    <w:rsid w:val="001E15F0"/>
    <w:rsid w:val="001E1CC4"/>
    <w:rsid w:val="001E1D38"/>
    <w:rsid w:val="001E1DEE"/>
    <w:rsid w:val="001E250D"/>
    <w:rsid w:val="001E4258"/>
    <w:rsid w:val="001E442F"/>
    <w:rsid w:val="001E4587"/>
    <w:rsid w:val="001E56FF"/>
    <w:rsid w:val="001E5A69"/>
    <w:rsid w:val="001E5B84"/>
    <w:rsid w:val="001E5D6A"/>
    <w:rsid w:val="001E70FB"/>
    <w:rsid w:val="001E780A"/>
    <w:rsid w:val="001F07D6"/>
    <w:rsid w:val="001F0FA0"/>
    <w:rsid w:val="001F1349"/>
    <w:rsid w:val="001F1863"/>
    <w:rsid w:val="001F1B5E"/>
    <w:rsid w:val="001F232D"/>
    <w:rsid w:val="001F2356"/>
    <w:rsid w:val="001F2A68"/>
    <w:rsid w:val="001F39EA"/>
    <w:rsid w:val="001F4773"/>
    <w:rsid w:val="001F5008"/>
    <w:rsid w:val="001F512D"/>
    <w:rsid w:val="001F56AA"/>
    <w:rsid w:val="001F58AA"/>
    <w:rsid w:val="001F5EF6"/>
    <w:rsid w:val="001F657F"/>
    <w:rsid w:val="001F6FB6"/>
    <w:rsid w:val="001F7978"/>
    <w:rsid w:val="001F7A0E"/>
    <w:rsid w:val="0020022E"/>
    <w:rsid w:val="002004AC"/>
    <w:rsid w:val="0020054E"/>
    <w:rsid w:val="00200B51"/>
    <w:rsid w:val="00201F1E"/>
    <w:rsid w:val="0020299B"/>
    <w:rsid w:val="00202CA6"/>
    <w:rsid w:val="00202E44"/>
    <w:rsid w:val="002037AA"/>
    <w:rsid w:val="00203FE3"/>
    <w:rsid w:val="002042D8"/>
    <w:rsid w:val="00204515"/>
    <w:rsid w:val="00204BF5"/>
    <w:rsid w:val="00204D91"/>
    <w:rsid w:val="00204E6B"/>
    <w:rsid w:val="002058D4"/>
    <w:rsid w:val="00205BAA"/>
    <w:rsid w:val="0020632A"/>
    <w:rsid w:val="0020697F"/>
    <w:rsid w:val="00210430"/>
    <w:rsid w:val="002110EB"/>
    <w:rsid w:val="00211338"/>
    <w:rsid w:val="00211342"/>
    <w:rsid w:val="00211388"/>
    <w:rsid w:val="0021148C"/>
    <w:rsid w:val="00211694"/>
    <w:rsid w:val="0021201A"/>
    <w:rsid w:val="00213A1F"/>
    <w:rsid w:val="00213C63"/>
    <w:rsid w:val="00214502"/>
    <w:rsid w:val="00214741"/>
    <w:rsid w:val="002148CE"/>
    <w:rsid w:val="0021539A"/>
    <w:rsid w:val="00215793"/>
    <w:rsid w:val="00215852"/>
    <w:rsid w:val="00215B8E"/>
    <w:rsid w:val="00216264"/>
    <w:rsid w:val="002168B8"/>
    <w:rsid w:val="002176B6"/>
    <w:rsid w:val="0021792D"/>
    <w:rsid w:val="00217B8D"/>
    <w:rsid w:val="00217DB8"/>
    <w:rsid w:val="0022032A"/>
    <w:rsid w:val="002221CE"/>
    <w:rsid w:val="00222740"/>
    <w:rsid w:val="00222BE8"/>
    <w:rsid w:val="00223102"/>
    <w:rsid w:val="002232CB"/>
    <w:rsid w:val="00223AA2"/>
    <w:rsid w:val="00224022"/>
    <w:rsid w:val="00226055"/>
    <w:rsid w:val="0022613F"/>
    <w:rsid w:val="00226236"/>
    <w:rsid w:val="00226DF9"/>
    <w:rsid w:val="002270C9"/>
    <w:rsid w:val="00227710"/>
    <w:rsid w:val="00227A8B"/>
    <w:rsid w:val="0023146B"/>
    <w:rsid w:val="002315A0"/>
    <w:rsid w:val="00231CE0"/>
    <w:rsid w:val="00231DBA"/>
    <w:rsid w:val="00231EC7"/>
    <w:rsid w:val="00232A6C"/>
    <w:rsid w:val="00232E15"/>
    <w:rsid w:val="00233079"/>
    <w:rsid w:val="00233650"/>
    <w:rsid w:val="0023382C"/>
    <w:rsid w:val="00233977"/>
    <w:rsid w:val="00233C58"/>
    <w:rsid w:val="00233C71"/>
    <w:rsid w:val="00233E72"/>
    <w:rsid w:val="002345B6"/>
    <w:rsid w:val="00234B84"/>
    <w:rsid w:val="00236016"/>
    <w:rsid w:val="00237065"/>
    <w:rsid w:val="00237589"/>
    <w:rsid w:val="0023758D"/>
    <w:rsid w:val="002375A7"/>
    <w:rsid w:val="0024019A"/>
    <w:rsid w:val="002411DE"/>
    <w:rsid w:val="0024131D"/>
    <w:rsid w:val="002413B5"/>
    <w:rsid w:val="002415B8"/>
    <w:rsid w:val="00241618"/>
    <w:rsid w:val="00242D62"/>
    <w:rsid w:val="00243057"/>
    <w:rsid w:val="002431D7"/>
    <w:rsid w:val="00243257"/>
    <w:rsid w:val="00243434"/>
    <w:rsid w:val="00244058"/>
    <w:rsid w:val="00244F9A"/>
    <w:rsid w:val="00245718"/>
    <w:rsid w:val="00245E07"/>
    <w:rsid w:val="002469AB"/>
    <w:rsid w:val="0024729C"/>
    <w:rsid w:val="00247712"/>
    <w:rsid w:val="00250EC6"/>
    <w:rsid w:val="0025175F"/>
    <w:rsid w:val="00251866"/>
    <w:rsid w:val="00251A9F"/>
    <w:rsid w:val="00252492"/>
    <w:rsid w:val="00252B35"/>
    <w:rsid w:val="0025316D"/>
    <w:rsid w:val="002532F4"/>
    <w:rsid w:val="00253A02"/>
    <w:rsid w:val="00253B81"/>
    <w:rsid w:val="00254ED5"/>
    <w:rsid w:val="002554DE"/>
    <w:rsid w:val="00255E11"/>
    <w:rsid w:val="00256835"/>
    <w:rsid w:val="002569F0"/>
    <w:rsid w:val="00256ECF"/>
    <w:rsid w:val="00257730"/>
    <w:rsid w:val="00257999"/>
    <w:rsid w:val="00257C83"/>
    <w:rsid w:val="002604AA"/>
    <w:rsid w:val="0026080C"/>
    <w:rsid w:val="0026129B"/>
    <w:rsid w:val="00261560"/>
    <w:rsid w:val="00261715"/>
    <w:rsid w:val="00261CF9"/>
    <w:rsid w:val="00261EC0"/>
    <w:rsid w:val="0026231B"/>
    <w:rsid w:val="00263101"/>
    <w:rsid w:val="00263201"/>
    <w:rsid w:val="00263A37"/>
    <w:rsid w:val="00264770"/>
    <w:rsid w:val="002653A6"/>
    <w:rsid w:val="0026608D"/>
    <w:rsid w:val="002661F1"/>
    <w:rsid w:val="002663BA"/>
    <w:rsid w:val="002664B7"/>
    <w:rsid w:val="00266CB5"/>
    <w:rsid w:val="002711A4"/>
    <w:rsid w:val="00271F13"/>
    <w:rsid w:val="002721E2"/>
    <w:rsid w:val="0027314E"/>
    <w:rsid w:val="00274DB5"/>
    <w:rsid w:val="00275BB1"/>
    <w:rsid w:val="00275FBF"/>
    <w:rsid w:val="00276373"/>
    <w:rsid w:val="00276905"/>
    <w:rsid w:val="00277933"/>
    <w:rsid w:val="00277F13"/>
    <w:rsid w:val="00277F8D"/>
    <w:rsid w:val="00277FA7"/>
    <w:rsid w:val="002805E0"/>
    <w:rsid w:val="00280801"/>
    <w:rsid w:val="00280F3D"/>
    <w:rsid w:val="0028106A"/>
    <w:rsid w:val="00281EB4"/>
    <w:rsid w:val="00282714"/>
    <w:rsid w:val="00282C21"/>
    <w:rsid w:val="0028308E"/>
    <w:rsid w:val="002834E9"/>
    <w:rsid w:val="0028396F"/>
    <w:rsid w:val="00283A52"/>
    <w:rsid w:val="00283C5E"/>
    <w:rsid w:val="00283E26"/>
    <w:rsid w:val="0028428F"/>
    <w:rsid w:val="0028432D"/>
    <w:rsid w:val="00284CFC"/>
    <w:rsid w:val="0028565E"/>
    <w:rsid w:val="00285832"/>
    <w:rsid w:val="00285969"/>
    <w:rsid w:val="0028663B"/>
    <w:rsid w:val="00286CEC"/>
    <w:rsid w:val="002871A9"/>
    <w:rsid w:val="00287B7E"/>
    <w:rsid w:val="002900B0"/>
    <w:rsid w:val="00290781"/>
    <w:rsid w:val="002912D3"/>
    <w:rsid w:val="00291784"/>
    <w:rsid w:val="002929BB"/>
    <w:rsid w:val="00292E64"/>
    <w:rsid w:val="002932BA"/>
    <w:rsid w:val="00293669"/>
    <w:rsid w:val="00293F1B"/>
    <w:rsid w:val="00294368"/>
    <w:rsid w:val="00294B78"/>
    <w:rsid w:val="00294E1D"/>
    <w:rsid w:val="00295646"/>
    <w:rsid w:val="00295949"/>
    <w:rsid w:val="0029624A"/>
    <w:rsid w:val="00296922"/>
    <w:rsid w:val="0029697C"/>
    <w:rsid w:val="00297098"/>
    <w:rsid w:val="00297C41"/>
    <w:rsid w:val="002A05D4"/>
    <w:rsid w:val="002A09FF"/>
    <w:rsid w:val="002A0E60"/>
    <w:rsid w:val="002A1A58"/>
    <w:rsid w:val="002A1B02"/>
    <w:rsid w:val="002A1C53"/>
    <w:rsid w:val="002A28FC"/>
    <w:rsid w:val="002A2B44"/>
    <w:rsid w:val="002A2EA5"/>
    <w:rsid w:val="002A303D"/>
    <w:rsid w:val="002A3842"/>
    <w:rsid w:val="002A3D94"/>
    <w:rsid w:val="002A4736"/>
    <w:rsid w:val="002A4B1C"/>
    <w:rsid w:val="002A4BDD"/>
    <w:rsid w:val="002A4CC8"/>
    <w:rsid w:val="002A4DBB"/>
    <w:rsid w:val="002A520B"/>
    <w:rsid w:val="002A63B6"/>
    <w:rsid w:val="002A6AFB"/>
    <w:rsid w:val="002A6E3A"/>
    <w:rsid w:val="002A733D"/>
    <w:rsid w:val="002A774A"/>
    <w:rsid w:val="002A7E5C"/>
    <w:rsid w:val="002A7F6D"/>
    <w:rsid w:val="002B020D"/>
    <w:rsid w:val="002B1260"/>
    <w:rsid w:val="002B1342"/>
    <w:rsid w:val="002B27C8"/>
    <w:rsid w:val="002B2A7F"/>
    <w:rsid w:val="002B330B"/>
    <w:rsid w:val="002B39BE"/>
    <w:rsid w:val="002B4039"/>
    <w:rsid w:val="002B438C"/>
    <w:rsid w:val="002B48DB"/>
    <w:rsid w:val="002B4B34"/>
    <w:rsid w:val="002B508E"/>
    <w:rsid w:val="002B541A"/>
    <w:rsid w:val="002B6407"/>
    <w:rsid w:val="002B6416"/>
    <w:rsid w:val="002B6459"/>
    <w:rsid w:val="002B64D2"/>
    <w:rsid w:val="002B68FE"/>
    <w:rsid w:val="002B73B0"/>
    <w:rsid w:val="002B7A0B"/>
    <w:rsid w:val="002C1143"/>
    <w:rsid w:val="002C24B4"/>
    <w:rsid w:val="002C2739"/>
    <w:rsid w:val="002C2B3A"/>
    <w:rsid w:val="002C2B87"/>
    <w:rsid w:val="002C3CF4"/>
    <w:rsid w:val="002C441A"/>
    <w:rsid w:val="002C4A73"/>
    <w:rsid w:val="002C4B84"/>
    <w:rsid w:val="002C4C0C"/>
    <w:rsid w:val="002C5016"/>
    <w:rsid w:val="002C5570"/>
    <w:rsid w:val="002C5C2F"/>
    <w:rsid w:val="002C5D0F"/>
    <w:rsid w:val="002C5E87"/>
    <w:rsid w:val="002C60B9"/>
    <w:rsid w:val="002C6A1D"/>
    <w:rsid w:val="002C6F77"/>
    <w:rsid w:val="002C704D"/>
    <w:rsid w:val="002C70B5"/>
    <w:rsid w:val="002D0845"/>
    <w:rsid w:val="002D0933"/>
    <w:rsid w:val="002D0F58"/>
    <w:rsid w:val="002D19BB"/>
    <w:rsid w:val="002D1A9B"/>
    <w:rsid w:val="002D22C5"/>
    <w:rsid w:val="002D301F"/>
    <w:rsid w:val="002D302A"/>
    <w:rsid w:val="002D30E8"/>
    <w:rsid w:val="002D36C6"/>
    <w:rsid w:val="002D37C1"/>
    <w:rsid w:val="002D444B"/>
    <w:rsid w:val="002D4A45"/>
    <w:rsid w:val="002D4A73"/>
    <w:rsid w:val="002D4AB1"/>
    <w:rsid w:val="002D4B42"/>
    <w:rsid w:val="002D4DBA"/>
    <w:rsid w:val="002D5A1B"/>
    <w:rsid w:val="002D65BC"/>
    <w:rsid w:val="002D6D7E"/>
    <w:rsid w:val="002D7EDD"/>
    <w:rsid w:val="002E055C"/>
    <w:rsid w:val="002E1050"/>
    <w:rsid w:val="002E18E5"/>
    <w:rsid w:val="002E1953"/>
    <w:rsid w:val="002E2D7D"/>
    <w:rsid w:val="002E3AB5"/>
    <w:rsid w:val="002E3D76"/>
    <w:rsid w:val="002E40A1"/>
    <w:rsid w:val="002E48EC"/>
    <w:rsid w:val="002E4B44"/>
    <w:rsid w:val="002E4ECB"/>
    <w:rsid w:val="002E4F23"/>
    <w:rsid w:val="002E5B53"/>
    <w:rsid w:val="002E74C4"/>
    <w:rsid w:val="002E7847"/>
    <w:rsid w:val="002E7FCF"/>
    <w:rsid w:val="002F0073"/>
    <w:rsid w:val="002F0618"/>
    <w:rsid w:val="002F1D41"/>
    <w:rsid w:val="002F240B"/>
    <w:rsid w:val="002F2F50"/>
    <w:rsid w:val="002F3601"/>
    <w:rsid w:val="002F37DD"/>
    <w:rsid w:val="002F4258"/>
    <w:rsid w:val="002F45F6"/>
    <w:rsid w:val="002F692F"/>
    <w:rsid w:val="002F69BE"/>
    <w:rsid w:val="002F7B66"/>
    <w:rsid w:val="00300CB4"/>
    <w:rsid w:val="00300DE7"/>
    <w:rsid w:val="00300E24"/>
    <w:rsid w:val="0030101C"/>
    <w:rsid w:val="00301784"/>
    <w:rsid w:val="003033BA"/>
    <w:rsid w:val="003043A3"/>
    <w:rsid w:val="00304BD4"/>
    <w:rsid w:val="0030500A"/>
    <w:rsid w:val="0030517B"/>
    <w:rsid w:val="003052EB"/>
    <w:rsid w:val="00305FCB"/>
    <w:rsid w:val="0030600C"/>
    <w:rsid w:val="003063C3"/>
    <w:rsid w:val="00306B44"/>
    <w:rsid w:val="00307C44"/>
    <w:rsid w:val="0031088E"/>
    <w:rsid w:val="00310A35"/>
    <w:rsid w:val="00310CAF"/>
    <w:rsid w:val="00310D01"/>
    <w:rsid w:val="00311376"/>
    <w:rsid w:val="00311A1F"/>
    <w:rsid w:val="00311B47"/>
    <w:rsid w:val="00311D52"/>
    <w:rsid w:val="00312190"/>
    <w:rsid w:val="003125E0"/>
    <w:rsid w:val="00312606"/>
    <w:rsid w:val="0031271D"/>
    <w:rsid w:val="00312EC8"/>
    <w:rsid w:val="0031336A"/>
    <w:rsid w:val="00313447"/>
    <w:rsid w:val="00313748"/>
    <w:rsid w:val="00313EA3"/>
    <w:rsid w:val="00315457"/>
    <w:rsid w:val="003161A4"/>
    <w:rsid w:val="00316955"/>
    <w:rsid w:val="0031720A"/>
    <w:rsid w:val="0031749B"/>
    <w:rsid w:val="003174E5"/>
    <w:rsid w:val="00317C9D"/>
    <w:rsid w:val="00317CD2"/>
    <w:rsid w:val="00317D99"/>
    <w:rsid w:val="0032078D"/>
    <w:rsid w:val="003208F4"/>
    <w:rsid w:val="00320949"/>
    <w:rsid w:val="00320A6E"/>
    <w:rsid w:val="00320F34"/>
    <w:rsid w:val="0032137B"/>
    <w:rsid w:val="003214F7"/>
    <w:rsid w:val="00321BD6"/>
    <w:rsid w:val="00321FA3"/>
    <w:rsid w:val="003227D3"/>
    <w:rsid w:val="00322937"/>
    <w:rsid w:val="00322A46"/>
    <w:rsid w:val="00322A84"/>
    <w:rsid w:val="00323881"/>
    <w:rsid w:val="00323B73"/>
    <w:rsid w:val="003254F5"/>
    <w:rsid w:val="00325D98"/>
    <w:rsid w:val="0032682A"/>
    <w:rsid w:val="00327A5C"/>
    <w:rsid w:val="0033092C"/>
    <w:rsid w:val="00330A6C"/>
    <w:rsid w:val="0033122A"/>
    <w:rsid w:val="003315AC"/>
    <w:rsid w:val="00331932"/>
    <w:rsid w:val="00333A88"/>
    <w:rsid w:val="00333FFB"/>
    <w:rsid w:val="00335B15"/>
    <w:rsid w:val="00335B21"/>
    <w:rsid w:val="00335D3F"/>
    <w:rsid w:val="00336104"/>
    <w:rsid w:val="00336729"/>
    <w:rsid w:val="00336859"/>
    <w:rsid w:val="00336AB1"/>
    <w:rsid w:val="00337178"/>
    <w:rsid w:val="0033726D"/>
    <w:rsid w:val="00337362"/>
    <w:rsid w:val="00337CA8"/>
    <w:rsid w:val="00337EAD"/>
    <w:rsid w:val="0034125B"/>
    <w:rsid w:val="0034177C"/>
    <w:rsid w:val="00342345"/>
    <w:rsid w:val="00342C27"/>
    <w:rsid w:val="003430C8"/>
    <w:rsid w:val="003432C8"/>
    <w:rsid w:val="003434B3"/>
    <w:rsid w:val="00343536"/>
    <w:rsid w:val="00343EFB"/>
    <w:rsid w:val="003443DF"/>
    <w:rsid w:val="00344526"/>
    <w:rsid w:val="00344760"/>
    <w:rsid w:val="00344A64"/>
    <w:rsid w:val="00344BF8"/>
    <w:rsid w:val="003456E3"/>
    <w:rsid w:val="0034680A"/>
    <w:rsid w:val="00346C62"/>
    <w:rsid w:val="0034778E"/>
    <w:rsid w:val="0035011A"/>
    <w:rsid w:val="00350171"/>
    <w:rsid w:val="003501E2"/>
    <w:rsid w:val="00350A59"/>
    <w:rsid w:val="00351E10"/>
    <w:rsid w:val="0035273A"/>
    <w:rsid w:val="00352D59"/>
    <w:rsid w:val="003533F4"/>
    <w:rsid w:val="003536F6"/>
    <w:rsid w:val="00353DD5"/>
    <w:rsid w:val="0035475A"/>
    <w:rsid w:val="00355131"/>
    <w:rsid w:val="00355462"/>
    <w:rsid w:val="00356438"/>
    <w:rsid w:val="00356687"/>
    <w:rsid w:val="003609C4"/>
    <w:rsid w:val="00360C0B"/>
    <w:rsid w:val="003618D9"/>
    <w:rsid w:val="00361A59"/>
    <w:rsid w:val="00362C92"/>
    <w:rsid w:val="003631CC"/>
    <w:rsid w:val="00363348"/>
    <w:rsid w:val="00363857"/>
    <w:rsid w:val="00363D59"/>
    <w:rsid w:val="003640F7"/>
    <w:rsid w:val="00364300"/>
    <w:rsid w:val="00364B2C"/>
    <w:rsid w:val="00365D3A"/>
    <w:rsid w:val="003661DD"/>
    <w:rsid w:val="003664FF"/>
    <w:rsid w:val="00366B70"/>
    <w:rsid w:val="00366BD2"/>
    <w:rsid w:val="003670B8"/>
    <w:rsid w:val="0036776E"/>
    <w:rsid w:val="003704A3"/>
    <w:rsid w:val="003706F2"/>
    <w:rsid w:val="0037124F"/>
    <w:rsid w:val="00373827"/>
    <w:rsid w:val="00373F04"/>
    <w:rsid w:val="0037401C"/>
    <w:rsid w:val="003746A7"/>
    <w:rsid w:val="00374A1E"/>
    <w:rsid w:val="0037507B"/>
    <w:rsid w:val="003759D1"/>
    <w:rsid w:val="00375C7C"/>
    <w:rsid w:val="003762F6"/>
    <w:rsid w:val="00377027"/>
    <w:rsid w:val="00377135"/>
    <w:rsid w:val="00380272"/>
    <w:rsid w:val="00380355"/>
    <w:rsid w:val="00380576"/>
    <w:rsid w:val="003805DB"/>
    <w:rsid w:val="003813F4"/>
    <w:rsid w:val="0038152A"/>
    <w:rsid w:val="00382BAD"/>
    <w:rsid w:val="00383A8D"/>
    <w:rsid w:val="003840E0"/>
    <w:rsid w:val="00384CB9"/>
    <w:rsid w:val="00384CD6"/>
    <w:rsid w:val="00384DF1"/>
    <w:rsid w:val="00384FF3"/>
    <w:rsid w:val="003854DD"/>
    <w:rsid w:val="00386456"/>
    <w:rsid w:val="003865A9"/>
    <w:rsid w:val="00387642"/>
    <w:rsid w:val="00387BF3"/>
    <w:rsid w:val="003903B6"/>
    <w:rsid w:val="00390F32"/>
    <w:rsid w:val="0039135E"/>
    <w:rsid w:val="0039200F"/>
    <w:rsid w:val="0039319C"/>
    <w:rsid w:val="003938CD"/>
    <w:rsid w:val="00393CAE"/>
    <w:rsid w:val="003945DC"/>
    <w:rsid w:val="003945F4"/>
    <w:rsid w:val="00394EB5"/>
    <w:rsid w:val="003953B4"/>
    <w:rsid w:val="00395501"/>
    <w:rsid w:val="0039615F"/>
    <w:rsid w:val="00396A29"/>
    <w:rsid w:val="00396A9D"/>
    <w:rsid w:val="00397FF0"/>
    <w:rsid w:val="003A0878"/>
    <w:rsid w:val="003A1561"/>
    <w:rsid w:val="003A1D25"/>
    <w:rsid w:val="003A22A2"/>
    <w:rsid w:val="003A2447"/>
    <w:rsid w:val="003A2AA1"/>
    <w:rsid w:val="003A31A5"/>
    <w:rsid w:val="003A3851"/>
    <w:rsid w:val="003A39DD"/>
    <w:rsid w:val="003A4A8E"/>
    <w:rsid w:val="003A563C"/>
    <w:rsid w:val="003A581E"/>
    <w:rsid w:val="003A6160"/>
    <w:rsid w:val="003A65A5"/>
    <w:rsid w:val="003A72F5"/>
    <w:rsid w:val="003A78E5"/>
    <w:rsid w:val="003B0341"/>
    <w:rsid w:val="003B120F"/>
    <w:rsid w:val="003B1BFA"/>
    <w:rsid w:val="003B1E57"/>
    <w:rsid w:val="003B2885"/>
    <w:rsid w:val="003B2EF3"/>
    <w:rsid w:val="003B3676"/>
    <w:rsid w:val="003B4B1C"/>
    <w:rsid w:val="003B4CB2"/>
    <w:rsid w:val="003B534F"/>
    <w:rsid w:val="003B5391"/>
    <w:rsid w:val="003B5952"/>
    <w:rsid w:val="003B65D7"/>
    <w:rsid w:val="003B65E0"/>
    <w:rsid w:val="003B6BD4"/>
    <w:rsid w:val="003B6F4D"/>
    <w:rsid w:val="003B6FE7"/>
    <w:rsid w:val="003C0791"/>
    <w:rsid w:val="003C0BA8"/>
    <w:rsid w:val="003C0D1F"/>
    <w:rsid w:val="003C116A"/>
    <w:rsid w:val="003C1AF4"/>
    <w:rsid w:val="003C1B63"/>
    <w:rsid w:val="003C1CB8"/>
    <w:rsid w:val="003C2550"/>
    <w:rsid w:val="003C287F"/>
    <w:rsid w:val="003C3339"/>
    <w:rsid w:val="003C375A"/>
    <w:rsid w:val="003C43F6"/>
    <w:rsid w:val="003C4D9F"/>
    <w:rsid w:val="003C5118"/>
    <w:rsid w:val="003C622C"/>
    <w:rsid w:val="003C6D53"/>
    <w:rsid w:val="003C73C7"/>
    <w:rsid w:val="003D03F3"/>
    <w:rsid w:val="003D050B"/>
    <w:rsid w:val="003D0B98"/>
    <w:rsid w:val="003D0C3C"/>
    <w:rsid w:val="003D0DE5"/>
    <w:rsid w:val="003D1351"/>
    <w:rsid w:val="003D1E4F"/>
    <w:rsid w:val="003D217D"/>
    <w:rsid w:val="003D21C1"/>
    <w:rsid w:val="003D2924"/>
    <w:rsid w:val="003D3707"/>
    <w:rsid w:val="003D3B15"/>
    <w:rsid w:val="003D3B2E"/>
    <w:rsid w:val="003D484D"/>
    <w:rsid w:val="003D49B2"/>
    <w:rsid w:val="003D49CB"/>
    <w:rsid w:val="003D4BD6"/>
    <w:rsid w:val="003D6412"/>
    <w:rsid w:val="003D6B8F"/>
    <w:rsid w:val="003D7566"/>
    <w:rsid w:val="003D7F16"/>
    <w:rsid w:val="003E08B3"/>
    <w:rsid w:val="003E09BB"/>
    <w:rsid w:val="003E159D"/>
    <w:rsid w:val="003E20EA"/>
    <w:rsid w:val="003E210C"/>
    <w:rsid w:val="003E2913"/>
    <w:rsid w:val="003E2F55"/>
    <w:rsid w:val="003E317C"/>
    <w:rsid w:val="003E34DB"/>
    <w:rsid w:val="003E3833"/>
    <w:rsid w:val="003E3902"/>
    <w:rsid w:val="003E3AF9"/>
    <w:rsid w:val="003E4A70"/>
    <w:rsid w:val="003E4C48"/>
    <w:rsid w:val="003E4CD9"/>
    <w:rsid w:val="003E54B3"/>
    <w:rsid w:val="003E5780"/>
    <w:rsid w:val="003E5B9F"/>
    <w:rsid w:val="003E6072"/>
    <w:rsid w:val="003E6AB6"/>
    <w:rsid w:val="003E6E0B"/>
    <w:rsid w:val="003E71CD"/>
    <w:rsid w:val="003E74E5"/>
    <w:rsid w:val="003E76DF"/>
    <w:rsid w:val="003E78DA"/>
    <w:rsid w:val="003E7A8B"/>
    <w:rsid w:val="003F04B0"/>
    <w:rsid w:val="003F0F7F"/>
    <w:rsid w:val="003F300D"/>
    <w:rsid w:val="003F391F"/>
    <w:rsid w:val="003F3CC8"/>
    <w:rsid w:val="003F4599"/>
    <w:rsid w:val="003F45E1"/>
    <w:rsid w:val="003F4F6C"/>
    <w:rsid w:val="003F516A"/>
    <w:rsid w:val="003F559E"/>
    <w:rsid w:val="003F5DB7"/>
    <w:rsid w:val="003F6181"/>
    <w:rsid w:val="003F7343"/>
    <w:rsid w:val="00400002"/>
    <w:rsid w:val="00400054"/>
    <w:rsid w:val="004016A3"/>
    <w:rsid w:val="00401B31"/>
    <w:rsid w:val="0040202B"/>
    <w:rsid w:val="00402307"/>
    <w:rsid w:val="00402DE1"/>
    <w:rsid w:val="00402EEB"/>
    <w:rsid w:val="004037C2"/>
    <w:rsid w:val="00404041"/>
    <w:rsid w:val="00404B43"/>
    <w:rsid w:val="00404C61"/>
    <w:rsid w:val="00405487"/>
    <w:rsid w:val="004054B1"/>
    <w:rsid w:val="00405792"/>
    <w:rsid w:val="0040602B"/>
    <w:rsid w:val="00407A7A"/>
    <w:rsid w:val="00407ABC"/>
    <w:rsid w:val="00407F1E"/>
    <w:rsid w:val="00410A88"/>
    <w:rsid w:val="00411317"/>
    <w:rsid w:val="00411A9E"/>
    <w:rsid w:val="00411B68"/>
    <w:rsid w:val="00411D88"/>
    <w:rsid w:val="00411FF6"/>
    <w:rsid w:val="0041211C"/>
    <w:rsid w:val="0041214C"/>
    <w:rsid w:val="0041259F"/>
    <w:rsid w:val="00412A1B"/>
    <w:rsid w:val="00412B4D"/>
    <w:rsid w:val="00412BBF"/>
    <w:rsid w:val="00412C51"/>
    <w:rsid w:val="00413262"/>
    <w:rsid w:val="0041329C"/>
    <w:rsid w:val="004139F4"/>
    <w:rsid w:val="00413FFA"/>
    <w:rsid w:val="00414246"/>
    <w:rsid w:val="0041475B"/>
    <w:rsid w:val="00414760"/>
    <w:rsid w:val="00414C2F"/>
    <w:rsid w:val="00414D9A"/>
    <w:rsid w:val="00414F5E"/>
    <w:rsid w:val="00415194"/>
    <w:rsid w:val="00415816"/>
    <w:rsid w:val="00415B88"/>
    <w:rsid w:val="00415D32"/>
    <w:rsid w:val="004160A2"/>
    <w:rsid w:val="004164F7"/>
    <w:rsid w:val="004166CB"/>
    <w:rsid w:val="00417089"/>
    <w:rsid w:val="004170D7"/>
    <w:rsid w:val="004177A6"/>
    <w:rsid w:val="00417EFD"/>
    <w:rsid w:val="004200EE"/>
    <w:rsid w:val="004209D2"/>
    <w:rsid w:val="00420D6E"/>
    <w:rsid w:val="00421BD2"/>
    <w:rsid w:val="00421E00"/>
    <w:rsid w:val="00421FCB"/>
    <w:rsid w:val="00421FF6"/>
    <w:rsid w:val="0042260A"/>
    <w:rsid w:val="00422DCA"/>
    <w:rsid w:val="00423F9F"/>
    <w:rsid w:val="0042499B"/>
    <w:rsid w:val="00424FEC"/>
    <w:rsid w:val="00425C43"/>
    <w:rsid w:val="00426C69"/>
    <w:rsid w:val="00426D3B"/>
    <w:rsid w:val="004273FA"/>
    <w:rsid w:val="004276C2"/>
    <w:rsid w:val="00430186"/>
    <w:rsid w:val="00430730"/>
    <w:rsid w:val="0043269A"/>
    <w:rsid w:val="004327A7"/>
    <w:rsid w:val="00432E14"/>
    <w:rsid w:val="004333C2"/>
    <w:rsid w:val="00433ACB"/>
    <w:rsid w:val="00433D17"/>
    <w:rsid w:val="00433E69"/>
    <w:rsid w:val="00434787"/>
    <w:rsid w:val="004347DA"/>
    <w:rsid w:val="00434C13"/>
    <w:rsid w:val="00436323"/>
    <w:rsid w:val="0043683F"/>
    <w:rsid w:val="00436E45"/>
    <w:rsid w:val="00436F40"/>
    <w:rsid w:val="004370FA"/>
    <w:rsid w:val="00437266"/>
    <w:rsid w:val="00437461"/>
    <w:rsid w:val="00440096"/>
    <w:rsid w:val="004403DD"/>
    <w:rsid w:val="00440DB0"/>
    <w:rsid w:val="00440FAD"/>
    <w:rsid w:val="0044105D"/>
    <w:rsid w:val="00441291"/>
    <w:rsid w:val="004420AB"/>
    <w:rsid w:val="004422D6"/>
    <w:rsid w:val="004427AC"/>
    <w:rsid w:val="00442D4D"/>
    <w:rsid w:val="00443613"/>
    <w:rsid w:val="0044374D"/>
    <w:rsid w:val="00443865"/>
    <w:rsid w:val="00443B55"/>
    <w:rsid w:val="00443D27"/>
    <w:rsid w:val="00445871"/>
    <w:rsid w:val="00445AC2"/>
    <w:rsid w:val="00446037"/>
    <w:rsid w:val="0044642F"/>
    <w:rsid w:val="0044772C"/>
    <w:rsid w:val="004502AA"/>
    <w:rsid w:val="0045054A"/>
    <w:rsid w:val="004507BD"/>
    <w:rsid w:val="00450846"/>
    <w:rsid w:val="004510BD"/>
    <w:rsid w:val="0045159C"/>
    <w:rsid w:val="00451A52"/>
    <w:rsid w:val="00451FC8"/>
    <w:rsid w:val="0045271D"/>
    <w:rsid w:val="00452755"/>
    <w:rsid w:val="00452803"/>
    <w:rsid w:val="004529C6"/>
    <w:rsid w:val="00452EAD"/>
    <w:rsid w:val="004531D5"/>
    <w:rsid w:val="004533D1"/>
    <w:rsid w:val="004534D1"/>
    <w:rsid w:val="00453A53"/>
    <w:rsid w:val="00454548"/>
    <w:rsid w:val="00454582"/>
    <w:rsid w:val="00454717"/>
    <w:rsid w:val="00455047"/>
    <w:rsid w:val="00455354"/>
    <w:rsid w:val="0045558D"/>
    <w:rsid w:val="00455811"/>
    <w:rsid w:val="00455DEE"/>
    <w:rsid w:val="00456970"/>
    <w:rsid w:val="00456BB1"/>
    <w:rsid w:val="00456DDB"/>
    <w:rsid w:val="0045718B"/>
    <w:rsid w:val="0046080F"/>
    <w:rsid w:val="00460915"/>
    <w:rsid w:val="00460946"/>
    <w:rsid w:val="004613D2"/>
    <w:rsid w:val="004614A9"/>
    <w:rsid w:val="00461B6F"/>
    <w:rsid w:val="00461E84"/>
    <w:rsid w:val="00461E97"/>
    <w:rsid w:val="00462452"/>
    <w:rsid w:val="0046268F"/>
    <w:rsid w:val="0046284F"/>
    <w:rsid w:val="00462B10"/>
    <w:rsid w:val="00462C04"/>
    <w:rsid w:val="0046320A"/>
    <w:rsid w:val="0046361D"/>
    <w:rsid w:val="004638E2"/>
    <w:rsid w:val="00464030"/>
    <w:rsid w:val="004644DC"/>
    <w:rsid w:val="0046462F"/>
    <w:rsid w:val="004647F8"/>
    <w:rsid w:val="004647FB"/>
    <w:rsid w:val="00465456"/>
    <w:rsid w:val="00465677"/>
    <w:rsid w:val="00465AC3"/>
    <w:rsid w:val="0046648E"/>
    <w:rsid w:val="00466616"/>
    <w:rsid w:val="00466A0C"/>
    <w:rsid w:val="0046706F"/>
    <w:rsid w:val="00470A6A"/>
    <w:rsid w:val="00470CB4"/>
    <w:rsid w:val="00470D92"/>
    <w:rsid w:val="004712D1"/>
    <w:rsid w:val="00471DF7"/>
    <w:rsid w:val="00471F6B"/>
    <w:rsid w:val="0047295C"/>
    <w:rsid w:val="00472D8E"/>
    <w:rsid w:val="004734CF"/>
    <w:rsid w:val="00474889"/>
    <w:rsid w:val="00475C5A"/>
    <w:rsid w:val="00475C9C"/>
    <w:rsid w:val="0047676B"/>
    <w:rsid w:val="0047773C"/>
    <w:rsid w:val="00477C5F"/>
    <w:rsid w:val="00480050"/>
    <w:rsid w:val="004808DE"/>
    <w:rsid w:val="00481623"/>
    <w:rsid w:val="00481640"/>
    <w:rsid w:val="00481AC4"/>
    <w:rsid w:val="00481DC1"/>
    <w:rsid w:val="00482507"/>
    <w:rsid w:val="0048268A"/>
    <w:rsid w:val="00482BB3"/>
    <w:rsid w:val="00483356"/>
    <w:rsid w:val="004835CA"/>
    <w:rsid w:val="004836F8"/>
    <w:rsid w:val="004836FE"/>
    <w:rsid w:val="00484074"/>
    <w:rsid w:val="004843F9"/>
    <w:rsid w:val="00484F0F"/>
    <w:rsid w:val="00484F40"/>
    <w:rsid w:val="0048540C"/>
    <w:rsid w:val="0048592F"/>
    <w:rsid w:val="00485EF1"/>
    <w:rsid w:val="0048605E"/>
    <w:rsid w:val="004861B4"/>
    <w:rsid w:val="00486AB4"/>
    <w:rsid w:val="00486BD0"/>
    <w:rsid w:val="00486D00"/>
    <w:rsid w:val="00487263"/>
    <w:rsid w:val="0048734F"/>
    <w:rsid w:val="0049029D"/>
    <w:rsid w:val="0049030C"/>
    <w:rsid w:val="004903C0"/>
    <w:rsid w:val="004906BC"/>
    <w:rsid w:val="0049114B"/>
    <w:rsid w:val="0049127B"/>
    <w:rsid w:val="004912A8"/>
    <w:rsid w:val="00491577"/>
    <w:rsid w:val="0049196E"/>
    <w:rsid w:val="0049241A"/>
    <w:rsid w:val="00492C1F"/>
    <w:rsid w:val="00492E4C"/>
    <w:rsid w:val="00493B2C"/>
    <w:rsid w:val="00493E04"/>
    <w:rsid w:val="004940E3"/>
    <w:rsid w:val="004942DE"/>
    <w:rsid w:val="0049434C"/>
    <w:rsid w:val="004946A6"/>
    <w:rsid w:val="0049530F"/>
    <w:rsid w:val="00496664"/>
    <w:rsid w:val="00496786"/>
    <w:rsid w:val="0049695B"/>
    <w:rsid w:val="00496D8F"/>
    <w:rsid w:val="00497463"/>
    <w:rsid w:val="00497B15"/>
    <w:rsid w:val="00497BA8"/>
    <w:rsid w:val="00497F44"/>
    <w:rsid w:val="004A054C"/>
    <w:rsid w:val="004A08D1"/>
    <w:rsid w:val="004A16C1"/>
    <w:rsid w:val="004A1CE2"/>
    <w:rsid w:val="004A2069"/>
    <w:rsid w:val="004A2800"/>
    <w:rsid w:val="004A34D2"/>
    <w:rsid w:val="004A41BA"/>
    <w:rsid w:val="004A4301"/>
    <w:rsid w:val="004A4E65"/>
    <w:rsid w:val="004A58EE"/>
    <w:rsid w:val="004A59B7"/>
    <w:rsid w:val="004A623B"/>
    <w:rsid w:val="004A6A04"/>
    <w:rsid w:val="004A6A52"/>
    <w:rsid w:val="004A6C78"/>
    <w:rsid w:val="004B0F0B"/>
    <w:rsid w:val="004B151B"/>
    <w:rsid w:val="004B163F"/>
    <w:rsid w:val="004B2197"/>
    <w:rsid w:val="004B298A"/>
    <w:rsid w:val="004B2B2E"/>
    <w:rsid w:val="004B4F12"/>
    <w:rsid w:val="004B578D"/>
    <w:rsid w:val="004B5BE7"/>
    <w:rsid w:val="004B5E2D"/>
    <w:rsid w:val="004B5ED5"/>
    <w:rsid w:val="004B657F"/>
    <w:rsid w:val="004B6793"/>
    <w:rsid w:val="004B6C07"/>
    <w:rsid w:val="004B74D3"/>
    <w:rsid w:val="004B76D3"/>
    <w:rsid w:val="004B788E"/>
    <w:rsid w:val="004B79B3"/>
    <w:rsid w:val="004B7E5D"/>
    <w:rsid w:val="004C0021"/>
    <w:rsid w:val="004C0DD8"/>
    <w:rsid w:val="004C22CA"/>
    <w:rsid w:val="004C22F7"/>
    <w:rsid w:val="004C2921"/>
    <w:rsid w:val="004C2B27"/>
    <w:rsid w:val="004C2DC2"/>
    <w:rsid w:val="004C33CB"/>
    <w:rsid w:val="004C3929"/>
    <w:rsid w:val="004C4DCB"/>
    <w:rsid w:val="004C5212"/>
    <w:rsid w:val="004C5B3B"/>
    <w:rsid w:val="004C5CCC"/>
    <w:rsid w:val="004C5EF0"/>
    <w:rsid w:val="004C7226"/>
    <w:rsid w:val="004C74C9"/>
    <w:rsid w:val="004C7D70"/>
    <w:rsid w:val="004D02F9"/>
    <w:rsid w:val="004D03FE"/>
    <w:rsid w:val="004D0446"/>
    <w:rsid w:val="004D0A4F"/>
    <w:rsid w:val="004D0F95"/>
    <w:rsid w:val="004D106A"/>
    <w:rsid w:val="004D31EE"/>
    <w:rsid w:val="004D36AF"/>
    <w:rsid w:val="004D3BD1"/>
    <w:rsid w:val="004D4BA1"/>
    <w:rsid w:val="004D5451"/>
    <w:rsid w:val="004D584D"/>
    <w:rsid w:val="004D58DE"/>
    <w:rsid w:val="004D61E1"/>
    <w:rsid w:val="004D6826"/>
    <w:rsid w:val="004E023F"/>
    <w:rsid w:val="004E0742"/>
    <w:rsid w:val="004E0C64"/>
    <w:rsid w:val="004E0F6B"/>
    <w:rsid w:val="004E1545"/>
    <w:rsid w:val="004E1F1C"/>
    <w:rsid w:val="004E2A35"/>
    <w:rsid w:val="004E40CE"/>
    <w:rsid w:val="004E4465"/>
    <w:rsid w:val="004E518D"/>
    <w:rsid w:val="004E5736"/>
    <w:rsid w:val="004E5A71"/>
    <w:rsid w:val="004E5B36"/>
    <w:rsid w:val="004E6045"/>
    <w:rsid w:val="004E6516"/>
    <w:rsid w:val="004E6F43"/>
    <w:rsid w:val="004E7200"/>
    <w:rsid w:val="004E780F"/>
    <w:rsid w:val="004F034D"/>
    <w:rsid w:val="004F091D"/>
    <w:rsid w:val="004F0960"/>
    <w:rsid w:val="004F0A5C"/>
    <w:rsid w:val="004F0CD9"/>
    <w:rsid w:val="004F163F"/>
    <w:rsid w:val="004F18A0"/>
    <w:rsid w:val="004F197C"/>
    <w:rsid w:val="004F1A08"/>
    <w:rsid w:val="004F2B64"/>
    <w:rsid w:val="004F3764"/>
    <w:rsid w:val="004F3EEF"/>
    <w:rsid w:val="004F47D0"/>
    <w:rsid w:val="004F4B65"/>
    <w:rsid w:val="004F548C"/>
    <w:rsid w:val="004F5930"/>
    <w:rsid w:val="004F5970"/>
    <w:rsid w:val="004F59DB"/>
    <w:rsid w:val="004F5F0C"/>
    <w:rsid w:val="004F6121"/>
    <w:rsid w:val="004F6161"/>
    <w:rsid w:val="004F66BC"/>
    <w:rsid w:val="004F67B2"/>
    <w:rsid w:val="004F6C26"/>
    <w:rsid w:val="004F7AC9"/>
    <w:rsid w:val="0050062F"/>
    <w:rsid w:val="005012E2"/>
    <w:rsid w:val="00501481"/>
    <w:rsid w:val="0050160F"/>
    <w:rsid w:val="0050208C"/>
    <w:rsid w:val="0050284E"/>
    <w:rsid w:val="00503A38"/>
    <w:rsid w:val="00505954"/>
    <w:rsid w:val="00505DCB"/>
    <w:rsid w:val="005075CA"/>
    <w:rsid w:val="0051074C"/>
    <w:rsid w:val="00510DE9"/>
    <w:rsid w:val="005111E2"/>
    <w:rsid w:val="00511231"/>
    <w:rsid w:val="00512046"/>
    <w:rsid w:val="00512779"/>
    <w:rsid w:val="00512986"/>
    <w:rsid w:val="00512C4F"/>
    <w:rsid w:val="00513042"/>
    <w:rsid w:val="0051334F"/>
    <w:rsid w:val="00513399"/>
    <w:rsid w:val="00513AA0"/>
    <w:rsid w:val="00513AF2"/>
    <w:rsid w:val="00514575"/>
    <w:rsid w:val="00514C03"/>
    <w:rsid w:val="00514D67"/>
    <w:rsid w:val="00515515"/>
    <w:rsid w:val="00515F54"/>
    <w:rsid w:val="00516338"/>
    <w:rsid w:val="0051635C"/>
    <w:rsid w:val="00516C5B"/>
    <w:rsid w:val="00517612"/>
    <w:rsid w:val="00517CFB"/>
    <w:rsid w:val="00517F85"/>
    <w:rsid w:val="00520899"/>
    <w:rsid w:val="00520922"/>
    <w:rsid w:val="005209FC"/>
    <w:rsid w:val="00520E50"/>
    <w:rsid w:val="005224E5"/>
    <w:rsid w:val="005226BE"/>
    <w:rsid w:val="005235ED"/>
    <w:rsid w:val="00523903"/>
    <w:rsid w:val="005239B6"/>
    <w:rsid w:val="00523C45"/>
    <w:rsid w:val="00524165"/>
    <w:rsid w:val="005242BA"/>
    <w:rsid w:val="005246E7"/>
    <w:rsid w:val="00524FD2"/>
    <w:rsid w:val="00525621"/>
    <w:rsid w:val="00525B2E"/>
    <w:rsid w:val="00526431"/>
    <w:rsid w:val="005265D8"/>
    <w:rsid w:val="0052673A"/>
    <w:rsid w:val="00527C6B"/>
    <w:rsid w:val="00527E57"/>
    <w:rsid w:val="00530242"/>
    <w:rsid w:val="00530405"/>
    <w:rsid w:val="00530522"/>
    <w:rsid w:val="005305E5"/>
    <w:rsid w:val="00530F38"/>
    <w:rsid w:val="005319B0"/>
    <w:rsid w:val="00531F26"/>
    <w:rsid w:val="0053277C"/>
    <w:rsid w:val="005327C0"/>
    <w:rsid w:val="00532D95"/>
    <w:rsid w:val="00533101"/>
    <w:rsid w:val="00533CA9"/>
    <w:rsid w:val="00533DA7"/>
    <w:rsid w:val="005342A3"/>
    <w:rsid w:val="005346AD"/>
    <w:rsid w:val="00534C25"/>
    <w:rsid w:val="00534EFB"/>
    <w:rsid w:val="00534F60"/>
    <w:rsid w:val="005357F1"/>
    <w:rsid w:val="00536053"/>
    <w:rsid w:val="005369E6"/>
    <w:rsid w:val="00536E62"/>
    <w:rsid w:val="005371AC"/>
    <w:rsid w:val="00537672"/>
    <w:rsid w:val="0053772F"/>
    <w:rsid w:val="00537B77"/>
    <w:rsid w:val="00540C4C"/>
    <w:rsid w:val="00541571"/>
    <w:rsid w:val="0054275A"/>
    <w:rsid w:val="005428B8"/>
    <w:rsid w:val="00542BD7"/>
    <w:rsid w:val="00542E67"/>
    <w:rsid w:val="00543084"/>
    <w:rsid w:val="0054413A"/>
    <w:rsid w:val="00544288"/>
    <w:rsid w:val="005446BB"/>
    <w:rsid w:val="00545E30"/>
    <w:rsid w:val="00545EA3"/>
    <w:rsid w:val="00546293"/>
    <w:rsid w:val="00546C9B"/>
    <w:rsid w:val="00547BF6"/>
    <w:rsid w:val="005502F9"/>
    <w:rsid w:val="00551098"/>
    <w:rsid w:val="00551581"/>
    <w:rsid w:val="00551598"/>
    <w:rsid w:val="00551610"/>
    <w:rsid w:val="0055162B"/>
    <w:rsid w:val="00551BFF"/>
    <w:rsid w:val="00551D68"/>
    <w:rsid w:val="0055294A"/>
    <w:rsid w:val="00552B3E"/>
    <w:rsid w:val="0055356C"/>
    <w:rsid w:val="00554537"/>
    <w:rsid w:val="00554F3F"/>
    <w:rsid w:val="005551AA"/>
    <w:rsid w:val="005564CA"/>
    <w:rsid w:val="005568EA"/>
    <w:rsid w:val="00557140"/>
    <w:rsid w:val="00557DE4"/>
    <w:rsid w:val="0056058C"/>
    <w:rsid w:val="00560C87"/>
    <w:rsid w:val="00560EF9"/>
    <w:rsid w:val="00560F51"/>
    <w:rsid w:val="00561249"/>
    <w:rsid w:val="0056182B"/>
    <w:rsid w:val="00561AF3"/>
    <w:rsid w:val="00561E0B"/>
    <w:rsid w:val="00562141"/>
    <w:rsid w:val="00562D86"/>
    <w:rsid w:val="005642EC"/>
    <w:rsid w:val="00564704"/>
    <w:rsid w:val="00564712"/>
    <w:rsid w:val="005657A8"/>
    <w:rsid w:val="00565952"/>
    <w:rsid w:val="00566866"/>
    <w:rsid w:val="005670A5"/>
    <w:rsid w:val="00567106"/>
    <w:rsid w:val="00567723"/>
    <w:rsid w:val="00567AB8"/>
    <w:rsid w:val="00567C02"/>
    <w:rsid w:val="0057045E"/>
    <w:rsid w:val="005707F7"/>
    <w:rsid w:val="00570A26"/>
    <w:rsid w:val="0057170B"/>
    <w:rsid w:val="0057221F"/>
    <w:rsid w:val="00572539"/>
    <w:rsid w:val="00572E5A"/>
    <w:rsid w:val="0057337D"/>
    <w:rsid w:val="00573504"/>
    <w:rsid w:val="00574708"/>
    <w:rsid w:val="00574D81"/>
    <w:rsid w:val="005756AA"/>
    <w:rsid w:val="00575FB1"/>
    <w:rsid w:val="00576233"/>
    <w:rsid w:val="0057696F"/>
    <w:rsid w:val="005771B1"/>
    <w:rsid w:val="005774FE"/>
    <w:rsid w:val="0058040C"/>
    <w:rsid w:val="00580918"/>
    <w:rsid w:val="00580A2C"/>
    <w:rsid w:val="00580D6D"/>
    <w:rsid w:val="005813DE"/>
    <w:rsid w:val="00581796"/>
    <w:rsid w:val="00581B45"/>
    <w:rsid w:val="00582480"/>
    <w:rsid w:val="00582763"/>
    <w:rsid w:val="0058290E"/>
    <w:rsid w:val="00582CAB"/>
    <w:rsid w:val="00583121"/>
    <w:rsid w:val="0058375E"/>
    <w:rsid w:val="00584233"/>
    <w:rsid w:val="005842D0"/>
    <w:rsid w:val="005855AE"/>
    <w:rsid w:val="00585829"/>
    <w:rsid w:val="00585CA8"/>
    <w:rsid w:val="00586412"/>
    <w:rsid w:val="005864B9"/>
    <w:rsid w:val="00586567"/>
    <w:rsid w:val="005866C4"/>
    <w:rsid w:val="00586BDB"/>
    <w:rsid w:val="00590F1A"/>
    <w:rsid w:val="00591C03"/>
    <w:rsid w:val="00591E2A"/>
    <w:rsid w:val="005923C4"/>
    <w:rsid w:val="00592D40"/>
    <w:rsid w:val="00593F75"/>
    <w:rsid w:val="005940A0"/>
    <w:rsid w:val="0059429A"/>
    <w:rsid w:val="00595FDD"/>
    <w:rsid w:val="00596AF7"/>
    <w:rsid w:val="00596CCE"/>
    <w:rsid w:val="00597E38"/>
    <w:rsid w:val="005A1976"/>
    <w:rsid w:val="005A1D75"/>
    <w:rsid w:val="005A2120"/>
    <w:rsid w:val="005A2501"/>
    <w:rsid w:val="005A2C80"/>
    <w:rsid w:val="005A3066"/>
    <w:rsid w:val="005A3457"/>
    <w:rsid w:val="005A3B35"/>
    <w:rsid w:val="005A3C4B"/>
    <w:rsid w:val="005A3E5A"/>
    <w:rsid w:val="005A43F3"/>
    <w:rsid w:val="005A496F"/>
    <w:rsid w:val="005A4A56"/>
    <w:rsid w:val="005A51D5"/>
    <w:rsid w:val="005A5A3D"/>
    <w:rsid w:val="005A6035"/>
    <w:rsid w:val="005A6B75"/>
    <w:rsid w:val="005A6E00"/>
    <w:rsid w:val="005A718A"/>
    <w:rsid w:val="005A73C2"/>
    <w:rsid w:val="005A7B7D"/>
    <w:rsid w:val="005B09BE"/>
    <w:rsid w:val="005B12B2"/>
    <w:rsid w:val="005B143B"/>
    <w:rsid w:val="005B1504"/>
    <w:rsid w:val="005B1E45"/>
    <w:rsid w:val="005B21C4"/>
    <w:rsid w:val="005B2A28"/>
    <w:rsid w:val="005B336C"/>
    <w:rsid w:val="005B3621"/>
    <w:rsid w:val="005B4948"/>
    <w:rsid w:val="005B501D"/>
    <w:rsid w:val="005B54CC"/>
    <w:rsid w:val="005B6AE8"/>
    <w:rsid w:val="005B74AD"/>
    <w:rsid w:val="005B7E96"/>
    <w:rsid w:val="005C0429"/>
    <w:rsid w:val="005C084F"/>
    <w:rsid w:val="005C0EE9"/>
    <w:rsid w:val="005C1716"/>
    <w:rsid w:val="005C1954"/>
    <w:rsid w:val="005C1C0B"/>
    <w:rsid w:val="005C1D53"/>
    <w:rsid w:val="005C2011"/>
    <w:rsid w:val="005C36CF"/>
    <w:rsid w:val="005C3EA3"/>
    <w:rsid w:val="005C5011"/>
    <w:rsid w:val="005C529E"/>
    <w:rsid w:val="005C57BA"/>
    <w:rsid w:val="005C5C52"/>
    <w:rsid w:val="005C5D17"/>
    <w:rsid w:val="005C5D3D"/>
    <w:rsid w:val="005C5F05"/>
    <w:rsid w:val="005C6560"/>
    <w:rsid w:val="005C6628"/>
    <w:rsid w:val="005C7497"/>
    <w:rsid w:val="005C78C8"/>
    <w:rsid w:val="005C7F3E"/>
    <w:rsid w:val="005D0E1C"/>
    <w:rsid w:val="005D1051"/>
    <w:rsid w:val="005D2044"/>
    <w:rsid w:val="005D27DC"/>
    <w:rsid w:val="005D2917"/>
    <w:rsid w:val="005D2EB2"/>
    <w:rsid w:val="005D2F48"/>
    <w:rsid w:val="005D41F2"/>
    <w:rsid w:val="005D4613"/>
    <w:rsid w:val="005D464B"/>
    <w:rsid w:val="005D466F"/>
    <w:rsid w:val="005D49F0"/>
    <w:rsid w:val="005D51FA"/>
    <w:rsid w:val="005D53E8"/>
    <w:rsid w:val="005D5A26"/>
    <w:rsid w:val="005D5A9D"/>
    <w:rsid w:val="005D6651"/>
    <w:rsid w:val="005D691D"/>
    <w:rsid w:val="005D6A72"/>
    <w:rsid w:val="005D6F21"/>
    <w:rsid w:val="005D7035"/>
    <w:rsid w:val="005D749F"/>
    <w:rsid w:val="005D791B"/>
    <w:rsid w:val="005D7CF2"/>
    <w:rsid w:val="005D7F92"/>
    <w:rsid w:val="005E0D7B"/>
    <w:rsid w:val="005E1595"/>
    <w:rsid w:val="005E181F"/>
    <w:rsid w:val="005E1F1D"/>
    <w:rsid w:val="005E273D"/>
    <w:rsid w:val="005E2B72"/>
    <w:rsid w:val="005E3278"/>
    <w:rsid w:val="005E363B"/>
    <w:rsid w:val="005E3760"/>
    <w:rsid w:val="005E3B0D"/>
    <w:rsid w:val="005E4BF7"/>
    <w:rsid w:val="005E51DF"/>
    <w:rsid w:val="005E6EA5"/>
    <w:rsid w:val="005F041F"/>
    <w:rsid w:val="005F1216"/>
    <w:rsid w:val="005F1819"/>
    <w:rsid w:val="005F1D7D"/>
    <w:rsid w:val="005F1D89"/>
    <w:rsid w:val="005F305B"/>
    <w:rsid w:val="005F3361"/>
    <w:rsid w:val="005F3B47"/>
    <w:rsid w:val="005F4481"/>
    <w:rsid w:val="005F49AF"/>
    <w:rsid w:val="005F4A58"/>
    <w:rsid w:val="005F54DF"/>
    <w:rsid w:val="005F5888"/>
    <w:rsid w:val="005F589B"/>
    <w:rsid w:val="005F5984"/>
    <w:rsid w:val="005F5F37"/>
    <w:rsid w:val="005F63B1"/>
    <w:rsid w:val="005F6CE2"/>
    <w:rsid w:val="005F7111"/>
    <w:rsid w:val="005F72E9"/>
    <w:rsid w:val="005F730E"/>
    <w:rsid w:val="005F780B"/>
    <w:rsid w:val="005F7B0D"/>
    <w:rsid w:val="00600195"/>
    <w:rsid w:val="00600473"/>
    <w:rsid w:val="006013C9"/>
    <w:rsid w:val="006016EA"/>
    <w:rsid w:val="00602B45"/>
    <w:rsid w:val="00603499"/>
    <w:rsid w:val="006035F5"/>
    <w:rsid w:val="00603CC2"/>
    <w:rsid w:val="006047D1"/>
    <w:rsid w:val="00604A55"/>
    <w:rsid w:val="00604D3F"/>
    <w:rsid w:val="00605AC3"/>
    <w:rsid w:val="006063CE"/>
    <w:rsid w:val="00606908"/>
    <w:rsid w:val="00607996"/>
    <w:rsid w:val="00607A37"/>
    <w:rsid w:val="00607E9F"/>
    <w:rsid w:val="0061085E"/>
    <w:rsid w:val="00611398"/>
    <w:rsid w:val="00612322"/>
    <w:rsid w:val="006123C0"/>
    <w:rsid w:val="00612872"/>
    <w:rsid w:val="00613191"/>
    <w:rsid w:val="006133F9"/>
    <w:rsid w:val="006134B3"/>
    <w:rsid w:val="006138EB"/>
    <w:rsid w:val="00613DE1"/>
    <w:rsid w:val="0061401F"/>
    <w:rsid w:val="00614166"/>
    <w:rsid w:val="006145C5"/>
    <w:rsid w:val="00614817"/>
    <w:rsid w:val="006149CC"/>
    <w:rsid w:val="006157A9"/>
    <w:rsid w:val="0061591D"/>
    <w:rsid w:val="00615ED0"/>
    <w:rsid w:val="0061604C"/>
    <w:rsid w:val="0061610B"/>
    <w:rsid w:val="00616C2B"/>
    <w:rsid w:val="006174FA"/>
    <w:rsid w:val="006178D1"/>
    <w:rsid w:val="00620719"/>
    <w:rsid w:val="00620F45"/>
    <w:rsid w:val="006212C9"/>
    <w:rsid w:val="00621C0B"/>
    <w:rsid w:val="00621D0C"/>
    <w:rsid w:val="00622470"/>
    <w:rsid w:val="00622725"/>
    <w:rsid w:val="006231AA"/>
    <w:rsid w:val="00623482"/>
    <w:rsid w:val="00623AC2"/>
    <w:rsid w:val="00623FF7"/>
    <w:rsid w:val="0062471F"/>
    <w:rsid w:val="00625A26"/>
    <w:rsid w:val="00625F38"/>
    <w:rsid w:val="006266D7"/>
    <w:rsid w:val="00626D42"/>
    <w:rsid w:val="00626EE3"/>
    <w:rsid w:val="006274AD"/>
    <w:rsid w:val="00627532"/>
    <w:rsid w:val="006301A0"/>
    <w:rsid w:val="006302AA"/>
    <w:rsid w:val="006310C3"/>
    <w:rsid w:val="0063161E"/>
    <w:rsid w:val="0063167C"/>
    <w:rsid w:val="00631A31"/>
    <w:rsid w:val="00631BB5"/>
    <w:rsid w:val="00631DD0"/>
    <w:rsid w:val="00632215"/>
    <w:rsid w:val="0063295C"/>
    <w:rsid w:val="00633367"/>
    <w:rsid w:val="00633DBF"/>
    <w:rsid w:val="00634122"/>
    <w:rsid w:val="0063430C"/>
    <w:rsid w:val="00634C03"/>
    <w:rsid w:val="006355B6"/>
    <w:rsid w:val="00635E32"/>
    <w:rsid w:val="006365DE"/>
    <w:rsid w:val="00636BE4"/>
    <w:rsid w:val="0063746C"/>
    <w:rsid w:val="00637802"/>
    <w:rsid w:val="00637836"/>
    <w:rsid w:val="00637C26"/>
    <w:rsid w:val="00637F44"/>
    <w:rsid w:val="00640659"/>
    <w:rsid w:val="0064069B"/>
    <w:rsid w:val="00641078"/>
    <w:rsid w:val="00641242"/>
    <w:rsid w:val="00642756"/>
    <w:rsid w:val="00642A32"/>
    <w:rsid w:val="00642D53"/>
    <w:rsid w:val="006433D5"/>
    <w:rsid w:val="006461D7"/>
    <w:rsid w:val="006465FE"/>
    <w:rsid w:val="00646B20"/>
    <w:rsid w:val="00646D0F"/>
    <w:rsid w:val="0064708F"/>
    <w:rsid w:val="00647936"/>
    <w:rsid w:val="00647A36"/>
    <w:rsid w:val="00647DCC"/>
    <w:rsid w:val="00647EFA"/>
    <w:rsid w:val="00647F14"/>
    <w:rsid w:val="00650027"/>
    <w:rsid w:val="0065084D"/>
    <w:rsid w:val="00651B9C"/>
    <w:rsid w:val="00651C47"/>
    <w:rsid w:val="00651D98"/>
    <w:rsid w:val="00652854"/>
    <w:rsid w:val="00652D2C"/>
    <w:rsid w:val="00652E70"/>
    <w:rsid w:val="0065303A"/>
    <w:rsid w:val="00653091"/>
    <w:rsid w:val="0065339A"/>
    <w:rsid w:val="00653469"/>
    <w:rsid w:val="00654A38"/>
    <w:rsid w:val="00654A81"/>
    <w:rsid w:val="00654B4B"/>
    <w:rsid w:val="00655301"/>
    <w:rsid w:val="00655371"/>
    <w:rsid w:val="00655876"/>
    <w:rsid w:val="00656C4B"/>
    <w:rsid w:val="006573EA"/>
    <w:rsid w:val="00657659"/>
    <w:rsid w:val="00661029"/>
    <w:rsid w:val="00661042"/>
    <w:rsid w:val="0066135A"/>
    <w:rsid w:val="00661639"/>
    <w:rsid w:val="0066272D"/>
    <w:rsid w:val="00662E58"/>
    <w:rsid w:val="00662F39"/>
    <w:rsid w:val="006635A0"/>
    <w:rsid w:val="00664351"/>
    <w:rsid w:val="00665310"/>
    <w:rsid w:val="00665968"/>
    <w:rsid w:val="00665BF7"/>
    <w:rsid w:val="00666178"/>
    <w:rsid w:val="0066639E"/>
    <w:rsid w:val="00666473"/>
    <w:rsid w:val="00666C72"/>
    <w:rsid w:val="00666E6C"/>
    <w:rsid w:val="0066707F"/>
    <w:rsid w:val="00667ED8"/>
    <w:rsid w:val="0067064C"/>
    <w:rsid w:val="00670B20"/>
    <w:rsid w:val="00670E12"/>
    <w:rsid w:val="006721FC"/>
    <w:rsid w:val="00672DE7"/>
    <w:rsid w:val="00672E80"/>
    <w:rsid w:val="006739E4"/>
    <w:rsid w:val="00673ECF"/>
    <w:rsid w:val="0067426B"/>
    <w:rsid w:val="00674A1B"/>
    <w:rsid w:val="006754F8"/>
    <w:rsid w:val="00676127"/>
    <w:rsid w:val="00676AED"/>
    <w:rsid w:val="006776AC"/>
    <w:rsid w:val="00677981"/>
    <w:rsid w:val="00677F26"/>
    <w:rsid w:val="006802A7"/>
    <w:rsid w:val="006811C9"/>
    <w:rsid w:val="006812CE"/>
    <w:rsid w:val="006823DC"/>
    <w:rsid w:val="0068258C"/>
    <w:rsid w:val="00682791"/>
    <w:rsid w:val="00682C89"/>
    <w:rsid w:val="006832B8"/>
    <w:rsid w:val="006837B2"/>
    <w:rsid w:val="00683800"/>
    <w:rsid w:val="006841D1"/>
    <w:rsid w:val="00684411"/>
    <w:rsid w:val="00684434"/>
    <w:rsid w:val="00684C8A"/>
    <w:rsid w:val="00684CF5"/>
    <w:rsid w:val="006853EA"/>
    <w:rsid w:val="0068553E"/>
    <w:rsid w:val="00685E7B"/>
    <w:rsid w:val="0068628A"/>
    <w:rsid w:val="00686551"/>
    <w:rsid w:val="0068730C"/>
    <w:rsid w:val="00687504"/>
    <w:rsid w:val="006876A8"/>
    <w:rsid w:val="00687A14"/>
    <w:rsid w:val="00687A8C"/>
    <w:rsid w:val="006906FA"/>
    <w:rsid w:val="00690839"/>
    <w:rsid w:val="006908DB"/>
    <w:rsid w:val="00690DE9"/>
    <w:rsid w:val="00691DE9"/>
    <w:rsid w:val="00691EAA"/>
    <w:rsid w:val="00692245"/>
    <w:rsid w:val="00692FFA"/>
    <w:rsid w:val="006932E0"/>
    <w:rsid w:val="00693772"/>
    <w:rsid w:val="00694160"/>
    <w:rsid w:val="0069445E"/>
    <w:rsid w:val="00694DF2"/>
    <w:rsid w:val="006959A5"/>
    <w:rsid w:val="00695C0C"/>
    <w:rsid w:val="0069668C"/>
    <w:rsid w:val="00696A05"/>
    <w:rsid w:val="00697665"/>
    <w:rsid w:val="00697C9A"/>
    <w:rsid w:val="00697E68"/>
    <w:rsid w:val="006A0274"/>
    <w:rsid w:val="006A24B9"/>
    <w:rsid w:val="006A2A43"/>
    <w:rsid w:val="006A2BF1"/>
    <w:rsid w:val="006A2F9A"/>
    <w:rsid w:val="006A34E4"/>
    <w:rsid w:val="006A3A5A"/>
    <w:rsid w:val="006A44CF"/>
    <w:rsid w:val="006A457D"/>
    <w:rsid w:val="006A4749"/>
    <w:rsid w:val="006A55EE"/>
    <w:rsid w:val="006A575B"/>
    <w:rsid w:val="006A59DE"/>
    <w:rsid w:val="006A63EB"/>
    <w:rsid w:val="006A6655"/>
    <w:rsid w:val="006A6B0B"/>
    <w:rsid w:val="006A6BF9"/>
    <w:rsid w:val="006A6F85"/>
    <w:rsid w:val="006A7CB5"/>
    <w:rsid w:val="006A7FD0"/>
    <w:rsid w:val="006B025C"/>
    <w:rsid w:val="006B16D3"/>
    <w:rsid w:val="006B2534"/>
    <w:rsid w:val="006B2CB2"/>
    <w:rsid w:val="006B347D"/>
    <w:rsid w:val="006B3E19"/>
    <w:rsid w:val="006B4488"/>
    <w:rsid w:val="006B671C"/>
    <w:rsid w:val="006B67AC"/>
    <w:rsid w:val="006B6A25"/>
    <w:rsid w:val="006B7285"/>
    <w:rsid w:val="006B786A"/>
    <w:rsid w:val="006B7E4E"/>
    <w:rsid w:val="006C003A"/>
    <w:rsid w:val="006C2454"/>
    <w:rsid w:val="006C2551"/>
    <w:rsid w:val="006C3746"/>
    <w:rsid w:val="006C37CA"/>
    <w:rsid w:val="006C40B7"/>
    <w:rsid w:val="006C40D2"/>
    <w:rsid w:val="006C5B15"/>
    <w:rsid w:val="006C5D32"/>
    <w:rsid w:val="006C5DCB"/>
    <w:rsid w:val="006C70C4"/>
    <w:rsid w:val="006C775C"/>
    <w:rsid w:val="006D04DA"/>
    <w:rsid w:val="006D10F6"/>
    <w:rsid w:val="006D1475"/>
    <w:rsid w:val="006D1544"/>
    <w:rsid w:val="006D1688"/>
    <w:rsid w:val="006D16B9"/>
    <w:rsid w:val="006D1FF3"/>
    <w:rsid w:val="006D2C65"/>
    <w:rsid w:val="006D32C6"/>
    <w:rsid w:val="006D352A"/>
    <w:rsid w:val="006D360E"/>
    <w:rsid w:val="006D3697"/>
    <w:rsid w:val="006D39D2"/>
    <w:rsid w:val="006D3F2A"/>
    <w:rsid w:val="006D4370"/>
    <w:rsid w:val="006D46A3"/>
    <w:rsid w:val="006D6421"/>
    <w:rsid w:val="006D658F"/>
    <w:rsid w:val="006D672D"/>
    <w:rsid w:val="006D69FA"/>
    <w:rsid w:val="006D6A12"/>
    <w:rsid w:val="006D712D"/>
    <w:rsid w:val="006D7687"/>
    <w:rsid w:val="006D7D1F"/>
    <w:rsid w:val="006D7D8A"/>
    <w:rsid w:val="006E0572"/>
    <w:rsid w:val="006E05D8"/>
    <w:rsid w:val="006E08EE"/>
    <w:rsid w:val="006E1130"/>
    <w:rsid w:val="006E155A"/>
    <w:rsid w:val="006E30F4"/>
    <w:rsid w:val="006E3452"/>
    <w:rsid w:val="006E39D1"/>
    <w:rsid w:val="006E437F"/>
    <w:rsid w:val="006E4D5B"/>
    <w:rsid w:val="006E602F"/>
    <w:rsid w:val="006E6720"/>
    <w:rsid w:val="006E68FA"/>
    <w:rsid w:val="006E7275"/>
    <w:rsid w:val="006E738A"/>
    <w:rsid w:val="006E77B8"/>
    <w:rsid w:val="006F15CC"/>
    <w:rsid w:val="006F3BDD"/>
    <w:rsid w:val="006F4147"/>
    <w:rsid w:val="006F4315"/>
    <w:rsid w:val="006F4478"/>
    <w:rsid w:val="006F458D"/>
    <w:rsid w:val="006F4A6D"/>
    <w:rsid w:val="006F4CB0"/>
    <w:rsid w:val="006F4F78"/>
    <w:rsid w:val="006F547E"/>
    <w:rsid w:val="006F5656"/>
    <w:rsid w:val="006F5CA8"/>
    <w:rsid w:val="006F5CCF"/>
    <w:rsid w:val="006F772B"/>
    <w:rsid w:val="006F78DC"/>
    <w:rsid w:val="00700D5F"/>
    <w:rsid w:val="0070138A"/>
    <w:rsid w:val="0070157E"/>
    <w:rsid w:val="007030D4"/>
    <w:rsid w:val="0070317C"/>
    <w:rsid w:val="00703279"/>
    <w:rsid w:val="007035EE"/>
    <w:rsid w:val="00703B61"/>
    <w:rsid w:val="00703B97"/>
    <w:rsid w:val="00703E11"/>
    <w:rsid w:val="00704102"/>
    <w:rsid w:val="0070439D"/>
    <w:rsid w:val="0070461C"/>
    <w:rsid w:val="00705631"/>
    <w:rsid w:val="00705818"/>
    <w:rsid w:val="00705F62"/>
    <w:rsid w:val="0070773F"/>
    <w:rsid w:val="00707903"/>
    <w:rsid w:val="00707ED3"/>
    <w:rsid w:val="007101B7"/>
    <w:rsid w:val="00710668"/>
    <w:rsid w:val="007110F4"/>
    <w:rsid w:val="007112B1"/>
    <w:rsid w:val="0071130F"/>
    <w:rsid w:val="00712714"/>
    <w:rsid w:val="007128E3"/>
    <w:rsid w:val="007129AB"/>
    <w:rsid w:val="00712B63"/>
    <w:rsid w:val="007130E7"/>
    <w:rsid w:val="00713526"/>
    <w:rsid w:val="00713FC5"/>
    <w:rsid w:val="00715BBF"/>
    <w:rsid w:val="00715C29"/>
    <w:rsid w:val="00715CBD"/>
    <w:rsid w:val="00715E86"/>
    <w:rsid w:val="00715EAA"/>
    <w:rsid w:val="00716CAD"/>
    <w:rsid w:val="00716F18"/>
    <w:rsid w:val="0071716D"/>
    <w:rsid w:val="0071718F"/>
    <w:rsid w:val="00717363"/>
    <w:rsid w:val="0071745E"/>
    <w:rsid w:val="00717786"/>
    <w:rsid w:val="00717ACB"/>
    <w:rsid w:val="0072118F"/>
    <w:rsid w:val="00721BFF"/>
    <w:rsid w:val="00722FD8"/>
    <w:rsid w:val="007236C4"/>
    <w:rsid w:val="00723B59"/>
    <w:rsid w:val="00723CEE"/>
    <w:rsid w:val="00724635"/>
    <w:rsid w:val="0072554B"/>
    <w:rsid w:val="00725AFD"/>
    <w:rsid w:val="00725F81"/>
    <w:rsid w:val="00726603"/>
    <w:rsid w:val="00727DDC"/>
    <w:rsid w:val="00730CD6"/>
    <w:rsid w:val="00730F74"/>
    <w:rsid w:val="0073114B"/>
    <w:rsid w:val="00731C59"/>
    <w:rsid w:val="00734414"/>
    <w:rsid w:val="00734952"/>
    <w:rsid w:val="00734990"/>
    <w:rsid w:val="00734FF5"/>
    <w:rsid w:val="00735761"/>
    <w:rsid w:val="00735B78"/>
    <w:rsid w:val="00735DA7"/>
    <w:rsid w:val="007368B4"/>
    <w:rsid w:val="007378E0"/>
    <w:rsid w:val="00737C5C"/>
    <w:rsid w:val="0074026F"/>
    <w:rsid w:val="00740529"/>
    <w:rsid w:val="00740A6C"/>
    <w:rsid w:val="00741358"/>
    <w:rsid w:val="00741626"/>
    <w:rsid w:val="00742332"/>
    <w:rsid w:val="00742886"/>
    <w:rsid w:val="00742DD2"/>
    <w:rsid w:val="007437C6"/>
    <w:rsid w:val="007439EE"/>
    <w:rsid w:val="007441A2"/>
    <w:rsid w:val="00744B15"/>
    <w:rsid w:val="00744E80"/>
    <w:rsid w:val="00745035"/>
    <w:rsid w:val="0074531C"/>
    <w:rsid w:val="00745547"/>
    <w:rsid w:val="007459D0"/>
    <w:rsid w:val="0074623A"/>
    <w:rsid w:val="00746420"/>
    <w:rsid w:val="0074664B"/>
    <w:rsid w:val="00746E04"/>
    <w:rsid w:val="00746E08"/>
    <w:rsid w:val="00746E3D"/>
    <w:rsid w:val="007472B2"/>
    <w:rsid w:val="007473B9"/>
    <w:rsid w:val="007474ED"/>
    <w:rsid w:val="00747529"/>
    <w:rsid w:val="007476EE"/>
    <w:rsid w:val="00747C96"/>
    <w:rsid w:val="00750075"/>
    <w:rsid w:val="007502EC"/>
    <w:rsid w:val="00750382"/>
    <w:rsid w:val="0075094E"/>
    <w:rsid w:val="00750FA8"/>
    <w:rsid w:val="00750FB5"/>
    <w:rsid w:val="00751B4C"/>
    <w:rsid w:val="007522E8"/>
    <w:rsid w:val="00753BAC"/>
    <w:rsid w:val="00754A0B"/>
    <w:rsid w:val="007552DB"/>
    <w:rsid w:val="00755B08"/>
    <w:rsid w:val="00755DD0"/>
    <w:rsid w:val="007562EC"/>
    <w:rsid w:val="0075647A"/>
    <w:rsid w:val="007565B1"/>
    <w:rsid w:val="007566BE"/>
    <w:rsid w:val="00756A2F"/>
    <w:rsid w:val="007573E1"/>
    <w:rsid w:val="0075749E"/>
    <w:rsid w:val="007577DA"/>
    <w:rsid w:val="00757B2D"/>
    <w:rsid w:val="00757BAD"/>
    <w:rsid w:val="00757D62"/>
    <w:rsid w:val="0076006D"/>
    <w:rsid w:val="00760844"/>
    <w:rsid w:val="00760867"/>
    <w:rsid w:val="00760EB6"/>
    <w:rsid w:val="0076105F"/>
    <w:rsid w:val="007616DB"/>
    <w:rsid w:val="0076228A"/>
    <w:rsid w:val="00762440"/>
    <w:rsid w:val="007629B7"/>
    <w:rsid w:val="00762E60"/>
    <w:rsid w:val="007634AD"/>
    <w:rsid w:val="00764D96"/>
    <w:rsid w:val="00766ECC"/>
    <w:rsid w:val="007672F3"/>
    <w:rsid w:val="007676A9"/>
    <w:rsid w:val="007677B5"/>
    <w:rsid w:val="007678B1"/>
    <w:rsid w:val="00770317"/>
    <w:rsid w:val="007708A8"/>
    <w:rsid w:val="00772275"/>
    <w:rsid w:val="007726B3"/>
    <w:rsid w:val="007734E4"/>
    <w:rsid w:val="0077380D"/>
    <w:rsid w:val="0077393F"/>
    <w:rsid w:val="00773BC8"/>
    <w:rsid w:val="0077466F"/>
    <w:rsid w:val="007752B7"/>
    <w:rsid w:val="007759A8"/>
    <w:rsid w:val="00775D98"/>
    <w:rsid w:val="00775F8A"/>
    <w:rsid w:val="00776FE5"/>
    <w:rsid w:val="00777101"/>
    <w:rsid w:val="007774E7"/>
    <w:rsid w:val="0077768C"/>
    <w:rsid w:val="00777696"/>
    <w:rsid w:val="00777FF4"/>
    <w:rsid w:val="00780251"/>
    <w:rsid w:val="007804FE"/>
    <w:rsid w:val="00780F32"/>
    <w:rsid w:val="0078122E"/>
    <w:rsid w:val="00781689"/>
    <w:rsid w:val="00781939"/>
    <w:rsid w:val="00781D29"/>
    <w:rsid w:val="007825EF"/>
    <w:rsid w:val="007827B0"/>
    <w:rsid w:val="0078286B"/>
    <w:rsid w:val="00782D2C"/>
    <w:rsid w:val="00782FC2"/>
    <w:rsid w:val="00784ABF"/>
    <w:rsid w:val="00784FC4"/>
    <w:rsid w:val="00785BBB"/>
    <w:rsid w:val="00786FAD"/>
    <w:rsid w:val="007873C9"/>
    <w:rsid w:val="00787D90"/>
    <w:rsid w:val="00787F5E"/>
    <w:rsid w:val="00790164"/>
    <w:rsid w:val="007906E2"/>
    <w:rsid w:val="00790A24"/>
    <w:rsid w:val="00790A37"/>
    <w:rsid w:val="00790A60"/>
    <w:rsid w:val="0079146D"/>
    <w:rsid w:val="00791C32"/>
    <w:rsid w:val="00791E08"/>
    <w:rsid w:val="00791FF0"/>
    <w:rsid w:val="00792292"/>
    <w:rsid w:val="007923D0"/>
    <w:rsid w:val="00792E43"/>
    <w:rsid w:val="0079302C"/>
    <w:rsid w:val="007930D3"/>
    <w:rsid w:val="0079381F"/>
    <w:rsid w:val="00793B2E"/>
    <w:rsid w:val="007943FC"/>
    <w:rsid w:val="007948F5"/>
    <w:rsid w:val="00795647"/>
    <w:rsid w:val="007963F6"/>
    <w:rsid w:val="00796418"/>
    <w:rsid w:val="00796485"/>
    <w:rsid w:val="00796576"/>
    <w:rsid w:val="00796E80"/>
    <w:rsid w:val="007979AD"/>
    <w:rsid w:val="00797A9C"/>
    <w:rsid w:val="00797CA6"/>
    <w:rsid w:val="007A0EAB"/>
    <w:rsid w:val="007A2341"/>
    <w:rsid w:val="007A38A1"/>
    <w:rsid w:val="007A3967"/>
    <w:rsid w:val="007A3BBE"/>
    <w:rsid w:val="007A4766"/>
    <w:rsid w:val="007A5816"/>
    <w:rsid w:val="007A5947"/>
    <w:rsid w:val="007B00D8"/>
    <w:rsid w:val="007B0313"/>
    <w:rsid w:val="007B05FB"/>
    <w:rsid w:val="007B0854"/>
    <w:rsid w:val="007B0E48"/>
    <w:rsid w:val="007B18FD"/>
    <w:rsid w:val="007B1D1B"/>
    <w:rsid w:val="007B303E"/>
    <w:rsid w:val="007B32C0"/>
    <w:rsid w:val="007B32F7"/>
    <w:rsid w:val="007B3659"/>
    <w:rsid w:val="007B4558"/>
    <w:rsid w:val="007B4632"/>
    <w:rsid w:val="007B46A2"/>
    <w:rsid w:val="007B4828"/>
    <w:rsid w:val="007B4834"/>
    <w:rsid w:val="007B4B2D"/>
    <w:rsid w:val="007B4D4A"/>
    <w:rsid w:val="007B5428"/>
    <w:rsid w:val="007B54FE"/>
    <w:rsid w:val="007B57A5"/>
    <w:rsid w:val="007B699E"/>
    <w:rsid w:val="007B6C64"/>
    <w:rsid w:val="007B6EC8"/>
    <w:rsid w:val="007B6F81"/>
    <w:rsid w:val="007B7992"/>
    <w:rsid w:val="007B7EA2"/>
    <w:rsid w:val="007C025A"/>
    <w:rsid w:val="007C081B"/>
    <w:rsid w:val="007C097D"/>
    <w:rsid w:val="007C13FA"/>
    <w:rsid w:val="007C1672"/>
    <w:rsid w:val="007C312A"/>
    <w:rsid w:val="007C3570"/>
    <w:rsid w:val="007C3F3B"/>
    <w:rsid w:val="007C4241"/>
    <w:rsid w:val="007C55FF"/>
    <w:rsid w:val="007C6339"/>
    <w:rsid w:val="007C6EC5"/>
    <w:rsid w:val="007C7C43"/>
    <w:rsid w:val="007C7F0D"/>
    <w:rsid w:val="007D0D03"/>
    <w:rsid w:val="007D1134"/>
    <w:rsid w:val="007D1BC3"/>
    <w:rsid w:val="007D20CF"/>
    <w:rsid w:val="007D23F7"/>
    <w:rsid w:val="007D2566"/>
    <w:rsid w:val="007D2C18"/>
    <w:rsid w:val="007D2CE7"/>
    <w:rsid w:val="007D2D74"/>
    <w:rsid w:val="007D333D"/>
    <w:rsid w:val="007D3395"/>
    <w:rsid w:val="007D3693"/>
    <w:rsid w:val="007D3C6D"/>
    <w:rsid w:val="007D409B"/>
    <w:rsid w:val="007D481A"/>
    <w:rsid w:val="007D52FE"/>
    <w:rsid w:val="007D5402"/>
    <w:rsid w:val="007D5648"/>
    <w:rsid w:val="007D58C5"/>
    <w:rsid w:val="007D5DE8"/>
    <w:rsid w:val="007D7503"/>
    <w:rsid w:val="007D7CFC"/>
    <w:rsid w:val="007D7FFC"/>
    <w:rsid w:val="007E0812"/>
    <w:rsid w:val="007E16A4"/>
    <w:rsid w:val="007E18DF"/>
    <w:rsid w:val="007E2A04"/>
    <w:rsid w:val="007E2C36"/>
    <w:rsid w:val="007E342A"/>
    <w:rsid w:val="007E350D"/>
    <w:rsid w:val="007E5C4A"/>
    <w:rsid w:val="007E6355"/>
    <w:rsid w:val="007E64D4"/>
    <w:rsid w:val="007E66E9"/>
    <w:rsid w:val="007E69F2"/>
    <w:rsid w:val="007E7432"/>
    <w:rsid w:val="007E74BF"/>
    <w:rsid w:val="007F14D3"/>
    <w:rsid w:val="007F1C42"/>
    <w:rsid w:val="007F1D9D"/>
    <w:rsid w:val="007F1E28"/>
    <w:rsid w:val="007F1F63"/>
    <w:rsid w:val="007F21D8"/>
    <w:rsid w:val="007F22A0"/>
    <w:rsid w:val="007F2D1F"/>
    <w:rsid w:val="007F2F90"/>
    <w:rsid w:val="007F323C"/>
    <w:rsid w:val="007F3320"/>
    <w:rsid w:val="007F392A"/>
    <w:rsid w:val="007F3AC1"/>
    <w:rsid w:val="007F48FA"/>
    <w:rsid w:val="007F4976"/>
    <w:rsid w:val="007F5A56"/>
    <w:rsid w:val="007F5F90"/>
    <w:rsid w:val="007F616E"/>
    <w:rsid w:val="007F665F"/>
    <w:rsid w:val="007F6B46"/>
    <w:rsid w:val="007F72CB"/>
    <w:rsid w:val="007F736A"/>
    <w:rsid w:val="007F7635"/>
    <w:rsid w:val="007F785F"/>
    <w:rsid w:val="007F7AF6"/>
    <w:rsid w:val="007F7E36"/>
    <w:rsid w:val="00800681"/>
    <w:rsid w:val="00800E6D"/>
    <w:rsid w:val="008014D9"/>
    <w:rsid w:val="0080150F"/>
    <w:rsid w:val="0080153A"/>
    <w:rsid w:val="00801A2A"/>
    <w:rsid w:val="00802041"/>
    <w:rsid w:val="008022C9"/>
    <w:rsid w:val="00802C0C"/>
    <w:rsid w:val="00802C7B"/>
    <w:rsid w:val="00802F9E"/>
    <w:rsid w:val="00803700"/>
    <w:rsid w:val="00803D9D"/>
    <w:rsid w:val="0080495B"/>
    <w:rsid w:val="00805559"/>
    <w:rsid w:val="008059C6"/>
    <w:rsid w:val="00805AD7"/>
    <w:rsid w:val="00805B53"/>
    <w:rsid w:val="00805BD6"/>
    <w:rsid w:val="00805DE3"/>
    <w:rsid w:val="0080698A"/>
    <w:rsid w:val="00807666"/>
    <w:rsid w:val="00807C35"/>
    <w:rsid w:val="00807F69"/>
    <w:rsid w:val="008100EC"/>
    <w:rsid w:val="008100F7"/>
    <w:rsid w:val="00810206"/>
    <w:rsid w:val="00811898"/>
    <w:rsid w:val="008120C4"/>
    <w:rsid w:val="008124D8"/>
    <w:rsid w:val="008125E4"/>
    <w:rsid w:val="0081323E"/>
    <w:rsid w:val="00813A7B"/>
    <w:rsid w:val="00813F04"/>
    <w:rsid w:val="00814B72"/>
    <w:rsid w:val="00814D88"/>
    <w:rsid w:val="00815A07"/>
    <w:rsid w:val="00815DA5"/>
    <w:rsid w:val="00816221"/>
    <w:rsid w:val="0081766B"/>
    <w:rsid w:val="008179FF"/>
    <w:rsid w:val="00820705"/>
    <w:rsid w:val="00820CBF"/>
    <w:rsid w:val="00820FA8"/>
    <w:rsid w:val="00821264"/>
    <w:rsid w:val="008212FD"/>
    <w:rsid w:val="00821489"/>
    <w:rsid w:val="008217B7"/>
    <w:rsid w:val="00821F5E"/>
    <w:rsid w:val="0082200C"/>
    <w:rsid w:val="0082239B"/>
    <w:rsid w:val="0082282A"/>
    <w:rsid w:val="0082292E"/>
    <w:rsid w:val="00822D06"/>
    <w:rsid w:val="00822D87"/>
    <w:rsid w:val="0082348D"/>
    <w:rsid w:val="008234E0"/>
    <w:rsid w:val="008236BE"/>
    <w:rsid w:val="00823A46"/>
    <w:rsid w:val="00823D51"/>
    <w:rsid w:val="008241CE"/>
    <w:rsid w:val="008250E3"/>
    <w:rsid w:val="00825240"/>
    <w:rsid w:val="00825B43"/>
    <w:rsid w:val="0082629D"/>
    <w:rsid w:val="00827203"/>
    <w:rsid w:val="0082767A"/>
    <w:rsid w:val="00827CC0"/>
    <w:rsid w:val="00831026"/>
    <w:rsid w:val="0083119B"/>
    <w:rsid w:val="00831654"/>
    <w:rsid w:val="00831BAE"/>
    <w:rsid w:val="00832216"/>
    <w:rsid w:val="00832CD0"/>
    <w:rsid w:val="00833430"/>
    <w:rsid w:val="00834128"/>
    <w:rsid w:val="0083417F"/>
    <w:rsid w:val="0083436C"/>
    <w:rsid w:val="008347BE"/>
    <w:rsid w:val="00835143"/>
    <w:rsid w:val="008351F8"/>
    <w:rsid w:val="008356FB"/>
    <w:rsid w:val="00835741"/>
    <w:rsid w:val="00836E74"/>
    <w:rsid w:val="00836EAB"/>
    <w:rsid w:val="00837673"/>
    <w:rsid w:val="00837937"/>
    <w:rsid w:val="00837D82"/>
    <w:rsid w:val="008405D1"/>
    <w:rsid w:val="00840893"/>
    <w:rsid w:val="00840E88"/>
    <w:rsid w:val="0084195A"/>
    <w:rsid w:val="008423EC"/>
    <w:rsid w:val="0084332E"/>
    <w:rsid w:val="00843615"/>
    <w:rsid w:val="00843698"/>
    <w:rsid w:val="00843A4B"/>
    <w:rsid w:val="00843B57"/>
    <w:rsid w:val="00843B60"/>
    <w:rsid w:val="00843D33"/>
    <w:rsid w:val="00844D4F"/>
    <w:rsid w:val="00845AE3"/>
    <w:rsid w:val="008466A0"/>
    <w:rsid w:val="00846D1D"/>
    <w:rsid w:val="00847535"/>
    <w:rsid w:val="00847744"/>
    <w:rsid w:val="00847B6D"/>
    <w:rsid w:val="00847FFA"/>
    <w:rsid w:val="0085092D"/>
    <w:rsid w:val="00850D82"/>
    <w:rsid w:val="00850F79"/>
    <w:rsid w:val="0085100B"/>
    <w:rsid w:val="0085154D"/>
    <w:rsid w:val="0085304C"/>
    <w:rsid w:val="00853973"/>
    <w:rsid w:val="00853B5D"/>
    <w:rsid w:val="00853C43"/>
    <w:rsid w:val="008548CA"/>
    <w:rsid w:val="00856C06"/>
    <w:rsid w:val="0085790B"/>
    <w:rsid w:val="00857C95"/>
    <w:rsid w:val="00857E78"/>
    <w:rsid w:val="00860AEF"/>
    <w:rsid w:val="0086122C"/>
    <w:rsid w:val="00861310"/>
    <w:rsid w:val="00861B7B"/>
    <w:rsid w:val="00861F0F"/>
    <w:rsid w:val="00861F53"/>
    <w:rsid w:val="0086289E"/>
    <w:rsid w:val="00863413"/>
    <w:rsid w:val="0086394E"/>
    <w:rsid w:val="00863F8A"/>
    <w:rsid w:val="00863FE3"/>
    <w:rsid w:val="00864241"/>
    <w:rsid w:val="0086468A"/>
    <w:rsid w:val="00864CD5"/>
    <w:rsid w:val="008650BE"/>
    <w:rsid w:val="0086572B"/>
    <w:rsid w:val="0086633B"/>
    <w:rsid w:val="00866495"/>
    <w:rsid w:val="00866931"/>
    <w:rsid w:val="00866FEF"/>
    <w:rsid w:val="00867512"/>
    <w:rsid w:val="0087033C"/>
    <w:rsid w:val="00870B44"/>
    <w:rsid w:val="008711AA"/>
    <w:rsid w:val="008712E8"/>
    <w:rsid w:val="008715ED"/>
    <w:rsid w:val="008717D8"/>
    <w:rsid w:val="00871E3C"/>
    <w:rsid w:val="0087213A"/>
    <w:rsid w:val="00872F97"/>
    <w:rsid w:val="00873863"/>
    <w:rsid w:val="0087392A"/>
    <w:rsid w:val="00873B65"/>
    <w:rsid w:val="008741BE"/>
    <w:rsid w:val="00874607"/>
    <w:rsid w:val="00874915"/>
    <w:rsid w:val="00874B89"/>
    <w:rsid w:val="008752DA"/>
    <w:rsid w:val="00875403"/>
    <w:rsid w:val="00875434"/>
    <w:rsid w:val="00876215"/>
    <w:rsid w:val="0087646C"/>
    <w:rsid w:val="00876815"/>
    <w:rsid w:val="00877932"/>
    <w:rsid w:val="008808C7"/>
    <w:rsid w:val="0088106B"/>
    <w:rsid w:val="0088107D"/>
    <w:rsid w:val="008812E2"/>
    <w:rsid w:val="0088168A"/>
    <w:rsid w:val="00881C33"/>
    <w:rsid w:val="00881E64"/>
    <w:rsid w:val="00882A3F"/>
    <w:rsid w:val="00882E39"/>
    <w:rsid w:val="0088453A"/>
    <w:rsid w:val="008850E3"/>
    <w:rsid w:val="008850EB"/>
    <w:rsid w:val="008855B4"/>
    <w:rsid w:val="00886DF2"/>
    <w:rsid w:val="00886FB9"/>
    <w:rsid w:val="00887080"/>
    <w:rsid w:val="00887BC5"/>
    <w:rsid w:val="00887C79"/>
    <w:rsid w:val="008907CC"/>
    <w:rsid w:val="0089107B"/>
    <w:rsid w:val="008913CC"/>
    <w:rsid w:val="00891411"/>
    <w:rsid w:val="008914AE"/>
    <w:rsid w:val="00891838"/>
    <w:rsid w:val="008919CF"/>
    <w:rsid w:val="00891F84"/>
    <w:rsid w:val="008928EC"/>
    <w:rsid w:val="00892BD6"/>
    <w:rsid w:val="00892E5D"/>
    <w:rsid w:val="008935CF"/>
    <w:rsid w:val="00894436"/>
    <w:rsid w:val="00894BB1"/>
    <w:rsid w:val="008950CB"/>
    <w:rsid w:val="008951D0"/>
    <w:rsid w:val="008954CE"/>
    <w:rsid w:val="0089572F"/>
    <w:rsid w:val="0089582D"/>
    <w:rsid w:val="008959C6"/>
    <w:rsid w:val="0089606D"/>
    <w:rsid w:val="00896129"/>
    <w:rsid w:val="008965DF"/>
    <w:rsid w:val="0089774F"/>
    <w:rsid w:val="00897875"/>
    <w:rsid w:val="00897B8F"/>
    <w:rsid w:val="008A00D8"/>
    <w:rsid w:val="008A00D9"/>
    <w:rsid w:val="008A059D"/>
    <w:rsid w:val="008A07D5"/>
    <w:rsid w:val="008A1753"/>
    <w:rsid w:val="008A2527"/>
    <w:rsid w:val="008A295B"/>
    <w:rsid w:val="008A2A23"/>
    <w:rsid w:val="008A2AF5"/>
    <w:rsid w:val="008A2B5A"/>
    <w:rsid w:val="008A2DD1"/>
    <w:rsid w:val="008A3F9D"/>
    <w:rsid w:val="008A5474"/>
    <w:rsid w:val="008A5C9A"/>
    <w:rsid w:val="008A6053"/>
    <w:rsid w:val="008A6A55"/>
    <w:rsid w:val="008A6C5C"/>
    <w:rsid w:val="008A6DF0"/>
    <w:rsid w:val="008A6F6E"/>
    <w:rsid w:val="008A7888"/>
    <w:rsid w:val="008A796E"/>
    <w:rsid w:val="008B03D8"/>
    <w:rsid w:val="008B0862"/>
    <w:rsid w:val="008B088C"/>
    <w:rsid w:val="008B1BF5"/>
    <w:rsid w:val="008B2268"/>
    <w:rsid w:val="008B263F"/>
    <w:rsid w:val="008B47A6"/>
    <w:rsid w:val="008B5273"/>
    <w:rsid w:val="008B6279"/>
    <w:rsid w:val="008B6649"/>
    <w:rsid w:val="008B672C"/>
    <w:rsid w:val="008B7611"/>
    <w:rsid w:val="008C036D"/>
    <w:rsid w:val="008C0743"/>
    <w:rsid w:val="008C0B4C"/>
    <w:rsid w:val="008C11F0"/>
    <w:rsid w:val="008C156B"/>
    <w:rsid w:val="008C1DBA"/>
    <w:rsid w:val="008C20B8"/>
    <w:rsid w:val="008C24E7"/>
    <w:rsid w:val="008C2500"/>
    <w:rsid w:val="008C2792"/>
    <w:rsid w:val="008C2CAC"/>
    <w:rsid w:val="008C377F"/>
    <w:rsid w:val="008C3894"/>
    <w:rsid w:val="008C3E2A"/>
    <w:rsid w:val="008C3FFC"/>
    <w:rsid w:val="008C45BD"/>
    <w:rsid w:val="008C4B19"/>
    <w:rsid w:val="008C5295"/>
    <w:rsid w:val="008C568F"/>
    <w:rsid w:val="008C62D4"/>
    <w:rsid w:val="008C6B89"/>
    <w:rsid w:val="008D180E"/>
    <w:rsid w:val="008D18AA"/>
    <w:rsid w:val="008D1A16"/>
    <w:rsid w:val="008D1A2A"/>
    <w:rsid w:val="008D1E26"/>
    <w:rsid w:val="008D29B1"/>
    <w:rsid w:val="008D2EB5"/>
    <w:rsid w:val="008D340A"/>
    <w:rsid w:val="008D35D9"/>
    <w:rsid w:val="008D3B85"/>
    <w:rsid w:val="008D433C"/>
    <w:rsid w:val="008D4527"/>
    <w:rsid w:val="008D462D"/>
    <w:rsid w:val="008D51F2"/>
    <w:rsid w:val="008D66CA"/>
    <w:rsid w:val="008D69B1"/>
    <w:rsid w:val="008D7338"/>
    <w:rsid w:val="008E0012"/>
    <w:rsid w:val="008E0DF7"/>
    <w:rsid w:val="008E0FAD"/>
    <w:rsid w:val="008E1347"/>
    <w:rsid w:val="008E16E0"/>
    <w:rsid w:val="008E1C15"/>
    <w:rsid w:val="008E1C9A"/>
    <w:rsid w:val="008E1EAB"/>
    <w:rsid w:val="008E28BD"/>
    <w:rsid w:val="008E332B"/>
    <w:rsid w:val="008E38B4"/>
    <w:rsid w:val="008E3BA4"/>
    <w:rsid w:val="008E41C4"/>
    <w:rsid w:val="008E44AB"/>
    <w:rsid w:val="008E5179"/>
    <w:rsid w:val="008E6598"/>
    <w:rsid w:val="008E6A17"/>
    <w:rsid w:val="008E7214"/>
    <w:rsid w:val="008E7348"/>
    <w:rsid w:val="008E7884"/>
    <w:rsid w:val="008E7D6E"/>
    <w:rsid w:val="008F0737"/>
    <w:rsid w:val="008F1056"/>
    <w:rsid w:val="008F2E8D"/>
    <w:rsid w:val="008F3374"/>
    <w:rsid w:val="008F387B"/>
    <w:rsid w:val="008F3DD9"/>
    <w:rsid w:val="008F4814"/>
    <w:rsid w:val="008F4B91"/>
    <w:rsid w:val="008F4DA6"/>
    <w:rsid w:val="008F52E0"/>
    <w:rsid w:val="008F538E"/>
    <w:rsid w:val="008F5858"/>
    <w:rsid w:val="008F59B4"/>
    <w:rsid w:val="008F5A20"/>
    <w:rsid w:val="008F5ABA"/>
    <w:rsid w:val="008F64BC"/>
    <w:rsid w:val="008F6CF9"/>
    <w:rsid w:val="008F7905"/>
    <w:rsid w:val="008F7989"/>
    <w:rsid w:val="009026AF"/>
    <w:rsid w:val="009028E8"/>
    <w:rsid w:val="00902E5C"/>
    <w:rsid w:val="0090350D"/>
    <w:rsid w:val="0090394E"/>
    <w:rsid w:val="009039EB"/>
    <w:rsid w:val="009046E5"/>
    <w:rsid w:val="0090475D"/>
    <w:rsid w:val="009047C5"/>
    <w:rsid w:val="0090611E"/>
    <w:rsid w:val="00906E69"/>
    <w:rsid w:val="00910683"/>
    <w:rsid w:val="00910E00"/>
    <w:rsid w:val="009116CE"/>
    <w:rsid w:val="00911714"/>
    <w:rsid w:val="00911A5B"/>
    <w:rsid w:val="009136D4"/>
    <w:rsid w:val="00914B9A"/>
    <w:rsid w:val="00914BDA"/>
    <w:rsid w:val="00914C3F"/>
    <w:rsid w:val="00914F33"/>
    <w:rsid w:val="009153F6"/>
    <w:rsid w:val="00915FCE"/>
    <w:rsid w:val="00916AFE"/>
    <w:rsid w:val="00916C3B"/>
    <w:rsid w:val="00916FC8"/>
    <w:rsid w:val="009170D3"/>
    <w:rsid w:val="0091759C"/>
    <w:rsid w:val="00917910"/>
    <w:rsid w:val="00920026"/>
    <w:rsid w:val="0092032F"/>
    <w:rsid w:val="00920395"/>
    <w:rsid w:val="009203E2"/>
    <w:rsid w:val="009209C7"/>
    <w:rsid w:val="00921304"/>
    <w:rsid w:val="0092177A"/>
    <w:rsid w:val="00921805"/>
    <w:rsid w:val="00921BA7"/>
    <w:rsid w:val="00923396"/>
    <w:rsid w:val="00923F56"/>
    <w:rsid w:val="00923FA6"/>
    <w:rsid w:val="009246C4"/>
    <w:rsid w:val="00925743"/>
    <w:rsid w:val="0092579F"/>
    <w:rsid w:val="00926FA3"/>
    <w:rsid w:val="00927E8D"/>
    <w:rsid w:val="00927F23"/>
    <w:rsid w:val="00930698"/>
    <w:rsid w:val="009307CD"/>
    <w:rsid w:val="00931451"/>
    <w:rsid w:val="009314FA"/>
    <w:rsid w:val="0093194F"/>
    <w:rsid w:val="00931BF3"/>
    <w:rsid w:val="00931C55"/>
    <w:rsid w:val="00933333"/>
    <w:rsid w:val="0093349A"/>
    <w:rsid w:val="009337B2"/>
    <w:rsid w:val="00933BF2"/>
    <w:rsid w:val="00933FCB"/>
    <w:rsid w:val="00934E69"/>
    <w:rsid w:val="009367D5"/>
    <w:rsid w:val="00937401"/>
    <w:rsid w:val="00937561"/>
    <w:rsid w:val="009376FB"/>
    <w:rsid w:val="00937AB3"/>
    <w:rsid w:val="00937D6B"/>
    <w:rsid w:val="00940477"/>
    <w:rsid w:val="00940876"/>
    <w:rsid w:val="00940A53"/>
    <w:rsid w:val="00940F3C"/>
    <w:rsid w:val="00940FC1"/>
    <w:rsid w:val="009410E0"/>
    <w:rsid w:val="00943172"/>
    <w:rsid w:val="009440C4"/>
    <w:rsid w:val="009444B4"/>
    <w:rsid w:val="00944644"/>
    <w:rsid w:val="009449F9"/>
    <w:rsid w:val="009451CE"/>
    <w:rsid w:val="009460F9"/>
    <w:rsid w:val="00946A24"/>
    <w:rsid w:val="009470D4"/>
    <w:rsid w:val="00947337"/>
    <w:rsid w:val="009512FA"/>
    <w:rsid w:val="00951E57"/>
    <w:rsid w:val="00952B1E"/>
    <w:rsid w:val="00953018"/>
    <w:rsid w:val="009533E2"/>
    <w:rsid w:val="00953554"/>
    <w:rsid w:val="0095385A"/>
    <w:rsid w:val="00953928"/>
    <w:rsid w:val="00953A06"/>
    <w:rsid w:val="009540F0"/>
    <w:rsid w:val="00955906"/>
    <w:rsid w:val="00955978"/>
    <w:rsid w:val="00956737"/>
    <w:rsid w:val="00957010"/>
    <w:rsid w:val="009574F8"/>
    <w:rsid w:val="0095780A"/>
    <w:rsid w:val="009579E4"/>
    <w:rsid w:val="00957AA4"/>
    <w:rsid w:val="00957ACB"/>
    <w:rsid w:val="00957E21"/>
    <w:rsid w:val="00957F27"/>
    <w:rsid w:val="009609F0"/>
    <w:rsid w:val="00960BDB"/>
    <w:rsid w:val="0096147D"/>
    <w:rsid w:val="00961E5F"/>
    <w:rsid w:val="009625C6"/>
    <w:rsid w:val="009629B5"/>
    <w:rsid w:val="00962A50"/>
    <w:rsid w:val="00962E25"/>
    <w:rsid w:val="00962E33"/>
    <w:rsid w:val="00962F47"/>
    <w:rsid w:val="009631BD"/>
    <w:rsid w:val="00963B1C"/>
    <w:rsid w:val="00964138"/>
    <w:rsid w:val="00964B3F"/>
    <w:rsid w:val="00964C98"/>
    <w:rsid w:val="00964E0A"/>
    <w:rsid w:val="00966214"/>
    <w:rsid w:val="00970ECD"/>
    <w:rsid w:val="00971441"/>
    <w:rsid w:val="009715D4"/>
    <w:rsid w:val="00972470"/>
    <w:rsid w:val="009739A9"/>
    <w:rsid w:val="00973AA2"/>
    <w:rsid w:val="0097494E"/>
    <w:rsid w:val="00974B58"/>
    <w:rsid w:val="00975DA3"/>
    <w:rsid w:val="009761ED"/>
    <w:rsid w:val="009801E7"/>
    <w:rsid w:val="0098022F"/>
    <w:rsid w:val="009810CC"/>
    <w:rsid w:val="009810DE"/>
    <w:rsid w:val="009816A2"/>
    <w:rsid w:val="00981D3C"/>
    <w:rsid w:val="009822D7"/>
    <w:rsid w:val="009827E6"/>
    <w:rsid w:val="00982E70"/>
    <w:rsid w:val="00982F84"/>
    <w:rsid w:val="0098427D"/>
    <w:rsid w:val="00984435"/>
    <w:rsid w:val="00984567"/>
    <w:rsid w:val="00984D1A"/>
    <w:rsid w:val="00985102"/>
    <w:rsid w:val="009865D5"/>
    <w:rsid w:val="0098768F"/>
    <w:rsid w:val="009876F2"/>
    <w:rsid w:val="00987C77"/>
    <w:rsid w:val="00990345"/>
    <w:rsid w:val="00990701"/>
    <w:rsid w:val="0099090B"/>
    <w:rsid w:val="00990BC7"/>
    <w:rsid w:val="0099119C"/>
    <w:rsid w:val="0099137A"/>
    <w:rsid w:val="00991805"/>
    <w:rsid w:val="0099211C"/>
    <w:rsid w:val="00992634"/>
    <w:rsid w:val="00992703"/>
    <w:rsid w:val="00993B78"/>
    <w:rsid w:val="00993CD6"/>
    <w:rsid w:val="0099483A"/>
    <w:rsid w:val="00995119"/>
    <w:rsid w:val="009953AD"/>
    <w:rsid w:val="0099583D"/>
    <w:rsid w:val="00995B7C"/>
    <w:rsid w:val="00996992"/>
    <w:rsid w:val="00996E1E"/>
    <w:rsid w:val="00997392"/>
    <w:rsid w:val="0099747C"/>
    <w:rsid w:val="0099771C"/>
    <w:rsid w:val="00997F84"/>
    <w:rsid w:val="009A01E4"/>
    <w:rsid w:val="009A0917"/>
    <w:rsid w:val="009A0A33"/>
    <w:rsid w:val="009A0A35"/>
    <w:rsid w:val="009A1351"/>
    <w:rsid w:val="009A220E"/>
    <w:rsid w:val="009A2435"/>
    <w:rsid w:val="009A3253"/>
    <w:rsid w:val="009A35DC"/>
    <w:rsid w:val="009A38AB"/>
    <w:rsid w:val="009A3950"/>
    <w:rsid w:val="009A3CFB"/>
    <w:rsid w:val="009A3D47"/>
    <w:rsid w:val="009A4D63"/>
    <w:rsid w:val="009A5356"/>
    <w:rsid w:val="009A5468"/>
    <w:rsid w:val="009A5D99"/>
    <w:rsid w:val="009A608C"/>
    <w:rsid w:val="009A6CA7"/>
    <w:rsid w:val="009A6FDF"/>
    <w:rsid w:val="009A76D6"/>
    <w:rsid w:val="009B14A1"/>
    <w:rsid w:val="009B199E"/>
    <w:rsid w:val="009B2E29"/>
    <w:rsid w:val="009B3163"/>
    <w:rsid w:val="009B422F"/>
    <w:rsid w:val="009B46BC"/>
    <w:rsid w:val="009B4D1A"/>
    <w:rsid w:val="009B558B"/>
    <w:rsid w:val="009B5677"/>
    <w:rsid w:val="009B6801"/>
    <w:rsid w:val="009B68DD"/>
    <w:rsid w:val="009B6D21"/>
    <w:rsid w:val="009B7266"/>
    <w:rsid w:val="009B78ED"/>
    <w:rsid w:val="009C181C"/>
    <w:rsid w:val="009C1C7F"/>
    <w:rsid w:val="009C28A2"/>
    <w:rsid w:val="009C3239"/>
    <w:rsid w:val="009C3828"/>
    <w:rsid w:val="009C3D2C"/>
    <w:rsid w:val="009C4987"/>
    <w:rsid w:val="009C523F"/>
    <w:rsid w:val="009C59BF"/>
    <w:rsid w:val="009C5E4F"/>
    <w:rsid w:val="009C5F64"/>
    <w:rsid w:val="009C5F82"/>
    <w:rsid w:val="009C70F8"/>
    <w:rsid w:val="009C756F"/>
    <w:rsid w:val="009C78A3"/>
    <w:rsid w:val="009D00AD"/>
    <w:rsid w:val="009D0156"/>
    <w:rsid w:val="009D05DA"/>
    <w:rsid w:val="009D0872"/>
    <w:rsid w:val="009D106A"/>
    <w:rsid w:val="009D11F6"/>
    <w:rsid w:val="009D13B9"/>
    <w:rsid w:val="009D1A14"/>
    <w:rsid w:val="009D1E2A"/>
    <w:rsid w:val="009D1FA0"/>
    <w:rsid w:val="009D2BDF"/>
    <w:rsid w:val="009D34ED"/>
    <w:rsid w:val="009D3736"/>
    <w:rsid w:val="009D3964"/>
    <w:rsid w:val="009D40B8"/>
    <w:rsid w:val="009D4529"/>
    <w:rsid w:val="009D4B03"/>
    <w:rsid w:val="009D52E3"/>
    <w:rsid w:val="009D604F"/>
    <w:rsid w:val="009D61BB"/>
    <w:rsid w:val="009D6410"/>
    <w:rsid w:val="009D65FF"/>
    <w:rsid w:val="009D66B2"/>
    <w:rsid w:val="009D68BB"/>
    <w:rsid w:val="009D6E3A"/>
    <w:rsid w:val="009D70C2"/>
    <w:rsid w:val="009D7278"/>
    <w:rsid w:val="009D773A"/>
    <w:rsid w:val="009D7ADB"/>
    <w:rsid w:val="009D7B33"/>
    <w:rsid w:val="009E0703"/>
    <w:rsid w:val="009E0E95"/>
    <w:rsid w:val="009E16DA"/>
    <w:rsid w:val="009E1CD4"/>
    <w:rsid w:val="009E20DC"/>
    <w:rsid w:val="009E2391"/>
    <w:rsid w:val="009E476A"/>
    <w:rsid w:val="009E4E05"/>
    <w:rsid w:val="009E56FF"/>
    <w:rsid w:val="009E5CB1"/>
    <w:rsid w:val="009E5E56"/>
    <w:rsid w:val="009E61EA"/>
    <w:rsid w:val="009E625C"/>
    <w:rsid w:val="009E6990"/>
    <w:rsid w:val="009E6D57"/>
    <w:rsid w:val="009E6FEE"/>
    <w:rsid w:val="009E76E7"/>
    <w:rsid w:val="009F060F"/>
    <w:rsid w:val="009F0781"/>
    <w:rsid w:val="009F0850"/>
    <w:rsid w:val="009F11B2"/>
    <w:rsid w:val="009F1BDF"/>
    <w:rsid w:val="009F1EAE"/>
    <w:rsid w:val="009F29A5"/>
    <w:rsid w:val="009F369D"/>
    <w:rsid w:val="009F36FE"/>
    <w:rsid w:val="009F46A9"/>
    <w:rsid w:val="009F4F25"/>
    <w:rsid w:val="009F5082"/>
    <w:rsid w:val="009F59C2"/>
    <w:rsid w:val="009F61DE"/>
    <w:rsid w:val="009F7263"/>
    <w:rsid w:val="009F76EA"/>
    <w:rsid w:val="009F78EB"/>
    <w:rsid w:val="009F7F32"/>
    <w:rsid w:val="009F7FEB"/>
    <w:rsid w:val="00A00C55"/>
    <w:rsid w:val="00A01852"/>
    <w:rsid w:val="00A0188B"/>
    <w:rsid w:val="00A01E73"/>
    <w:rsid w:val="00A023E7"/>
    <w:rsid w:val="00A02B88"/>
    <w:rsid w:val="00A03160"/>
    <w:rsid w:val="00A036AC"/>
    <w:rsid w:val="00A03C54"/>
    <w:rsid w:val="00A041BC"/>
    <w:rsid w:val="00A0447F"/>
    <w:rsid w:val="00A046D2"/>
    <w:rsid w:val="00A04A54"/>
    <w:rsid w:val="00A05B4B"/>
    <w:rsid w:val="00A061A8"/>
    <w:rsid w:val="00A066C3"/>
    <w:rsid w:val="00A06754"/>
    <w:rsid w:val="00A06942"/>
    <w:rsid w:val="00A069E0"/>
    <w:rsid w:val="00A06E4A"/>
    <w:rsid w:val="00A078FB"/>
    <w:rsid w:val="00A1036D"/>
    <w:rsid w:val="00A1069F"/>
    <w:rsid w:val="00A10919"/>
    <w:rsid w:val="00A10ACA"/>
    <w:rsid w:val="00A10D04"/>
    <w:rsid w:val="00A10D08"/>
    <w:rsid w:val="00A12355"/>
    <w:rsid w:val="00A12384"/>
    <w:rsid w:val="00A127A3"/>
    <w:rsid w:val="00A127D2"/>
    <w:rsid w:val="00A12ADA"/>
    <w:rsid w:val="00A143EC"/>
    <w:rsid w:val="00A14A60"/>
    <w:rsid w:val="00A14FE7"/>
    <w:rsid w:val="00A1500F"/>
    <w:rsid w:val="00A15621"/>
    <w:rsid w:val="00A15670"/>
    <w:rsid w:val="00A157A0"/>
    <w:rsid w:val="00A1585B"/>
    <w:rsid w:val="00A15C19"/>
    <w:rsid w:val="00A16809"/>
    <w:rsid w:val="00A17769"/>
    <w:rsid w:val="00A17EA2"/>
    <w:rsid w:val="00A20264"/>
    <w:rsid w:val="00A20997"/>
    <w:rsid w:val="00A21454"/>
    <w:rsid w:val="00A22025"/>
    <w:rsid w:val="00A22498"/>
    <w:rsid w:val="00A22571"/>
    <w:rsid w:val="00A2265C"/>
    <w:rsid w:val="00A23023"/>
    <w:rsid w:val="00A23A08"/>
    <w:rsid w:val="00A24560"/>
    <w:rsid w:val="00A25B0F"/>
    <w:rsid w:val="00A25BBB"/>
    <w:rsid w:val="00A25F8E"/>
    <w:rsid w:val="00A27F18"/>
    <w:rsid w:val="00A27FB6"/>
    <w:rsid w:val="00A30121"/>
    <w:rsid w:val="00A30368"/>
    <w:rsid w:val="00A3043A"/>
    <w:rsid w:val="00A30E02"/>
    <w:rsid w:val="00A30F6A"/>
    <w:rsid w:val="00A31BA2"/>
    <w:rsid w:val="00A31C3E"/>
    <w:rsid w:val="00A34538"/>
    <w:rsid w:val="00A34677"/>
    <w:rsid w:val="00A34BA0"/>
    <w:rsid w:val="00A35304"/>
    <w:rsid w:val="00A3540F"/>
    <w:rsid w:val="00A35630"/>
    <w:rsid w:val="00A35914"/>
    <w:rsid w:val="00A36189"/>
    <w:rsid w:val="00A3622F"/>
    <w:rsid w:val="00A37E73"/>
    <w:rsid w:val="00A37FB6"/>
    <w:rsid w:val="00A4006F"/>
    <w:rsid w:val="00A4104A"/>
    <w:rsid w:val="00A41081"/>
    <w:rsid w:val="00A411CA"/>
    <w:rsid w:val="00A413AD"/>
    <w:rsid w:val="00A4169F"/>
    <w:rsid w:val="00A42096"/>
    <w:rsid w:val="00A421E7"/>
    <w:rsid w:val="00A426F3"/>
    <w:rsid w:val="00A42FDF"/>
    <w:rsid w:val="00A430A9"/>
    <w:rsid w:val="00A431FE"/>
    <w:rsid w:val="00A439E5"/>
    <w:rsid w:val="00A43D1B"/>
    <w:rsid w:val="00A4414A"/>
    <w:rsid w:val="00A4497A"/>
    <w:rsid w:val="00A44BE8"/>
    <w:rsid w:val="00A44C96"/>
    <w:rsid w:val="00A44F54"/>
    <w:rsid w:val="00A45F9B"/>
    <w:rsid w:val="00A461BF"/>
    <w:rsid w:val="00A46574"/>
    <w:rsid w:val="00A4657A"/>
    <w:rsid w:val="00A467C4"/>
    <w:rsid w:val="00A4777D"/>
    <w:rsid w:val="00A500B1"/>
    <w:rsid w:val="00A51520"/>
    <w:rsid w:val="00A5292D"/>
    <w:rsid w:val="00A52D3F"/>
    <w:rsid w:val="00A52EE5"/>
    <w:rsid w:val="00A53037"/>
    <w:rsid w:val="00A532B9"/>
    <w:rsid w:val="00A5351D"/>
    <w:rsid w:val="00A53D84"/>
    <w:rsid w:val="00A53E79"/>
    <w:rsid w:val="00A54031"/>
    <w:rsid w:val="00A5426D"/>
    <w:rsid w:val="00A54715"/>
    <w:rsid w:val="00A54FC2"/>
    <w:rsid w:val="00A55122"/>
    <w:rsid w:val="00A5696C"/>
    <w:rsid w:val="00A56DE7"/>
    <w:rsid w:val="00A57D39"/>
    <w:rsid w:val="00A57EB2"/>
    <w:rsid w:val="00A57F53"/>
    <w:rsid w:val="00A6009E"/>
    <w:rsid w:val="00A60762"/>
    <w:rsid w:val="00A60B1F"/>
    <w:rsid w:val="00A61C60"/>
    <w:rsid w:val="00A62589"/>
    <w:rsid w:val="00A62C3A"/>
    <w:rsid w:val="00A63812"/>
    <w:rsid w:val="00A63DF7"/>
    <w:rsid w:val="00A64505"/>
    <w:rsid w:val="00A668BA"/>
    <w:rsid w:val="00A66FA7"/>
    <w:rsid w:val="00A677F6"/>
    <w:rsid w:val="00A67E16"/>
    <w:rsid w:val="00A703CC"/>
    <w:rsid w:val="00A70C5C"/>
    <w:rsid w:val="00A71EA7"/>
    <w:rsid w:val="00A730AD"/>
    <w:rsid w:val="00A733D2"/>
    <w:rsid w:val="00A73855"/>
    <w:rsid w:val="00A738F9"/>
    <w:rsid w:val="00A73D64"/>
    <w:rsid w:val="00A73FEA"/>
    <w:rsid w:val="00A74216"/>
    <w:rsid w:val="00A744B4"/>
    <w:rsid w:val="00A74D61"/>
    <w:rsid w:val="00A751E3"/>
    <w:rsid w:val="00A75504"/>
    <w:rsid w:val="00A75CD9"/>
    <w:rsid w:val="00A76438"/>
    <w:rsid w:val="00A77168"/>
    <w:rsid w:val="00A7723B"/>
    <w:rsid w:val="00A77525"/>
    <w:rsid w:val="00A7793C"/>
    <w:rsid w:val="00A77D21"/>
    <w:rsid w:val="00A80085"/>
    <w:rsid w:val="00A8043B"/>
    <w:rsid w:val="00A81323"/>
    <w:rsid w:val="00A81AC0"/>
    <w:rsid w:val="00A820CB"/>
    <w:rsid w:val="00A82342"/>
    <w:rsid w:val="00A830AB"/>
    <w:rsid w:val="00A83BEF"/>
    <w:rsid w:val="00A83E1C"/>
    <w:rsid w:val="00A841E1"/>
    <w:rsid w:val="00A84443"/>
    <w:rsid w:val="00A8487F"/>
    <w:rsid w:val="00A848FC"/>
    <w:rsid w:val="00A849A3"/>
    <w:rsid w:val="00A84A0E"/>
    <w:rsid w:val="00A84D7C"/>
    <w:rsid w:val="00A851FD"/>
    <w:rsid w:val="00A86E0B"/>
    <w:rsid w:val="00A9069B"/>
    <w:rsid w:val="00A90F12"/>
    <w:rsid w:val="00A91E38"/>
    <w:rsid w:val="00A93101"/>
    <w:rsid w:val="00A94293"/>
    <w:rsid w:val="00A94760"/>
    <w:rsid w:val="00A9496E"/>
    <w:rsid w:val="00A949F0"/>
    <w:rsid w:val="00A94BDE"/>
    <w:rsid w:val="00A94FCA"/>
    <w:rsid w:val="00A95E4C"/>
    <w:rsid w:val="00A96C60"/>
    <w:rsid w:val="00A97223"/>
    <w:rsid w:val="00A9740B"/>
    <w:rsid w:val="00A9766C"/>
    <w:rsid w:val="00A977F8"/>
    <w:rsid w:val="00A97C93"/>
    <w:rsid w:val="00AA08E7"/>
    <w:rsid w:val="00AA0A06"/>
    <w:rsid w:val="00AA1351"/>
    <w:rsid w:val="00AA1859"/>
    <w:rsid w:val="00AA1C84"/>
    <w:rsid w:val="00AA3AD7"/>
    <w:rsid w:val="00AA3D7B"/>
    <w:rsid w:val="00AA42A0"/>
    <w:rsid w:val="00AA442B"/>
    <w:rsid w:val="00AA46A4"/>
    <w:rsid w:val="00AA5687"/>
    <w:rsid w:val="00AA5779"/>
    <w:rsid w:val="00AA58A1"/>
    <w:rsid w:val="00AA61C7"/>
    <w:rsid w:val="00AA669D"/>
    <w:rsid w:val="00AA66ED"/>
    <w:rsid w:val="00AA6BE1"/>
    <w:rsid w:val="00AA7416"/>
    <w:rsid w:val="00AA746F"/>
    <w:rsid w:val="00AA7A60"/>
    <w:rsid w:val="00AA7B42"/>
    <w:rsid w:val="00AB041C"/>
    <w:rsid w:val="00AB14E8"/>
    <w:rsid w:val="00AB17EC"/>
    <w:rsid w:val="00AB19AF"/>
    <w:rsid w:val="00AB1B1D"/>
    <w:rsid w:val="00AB1D51"/>
    <w:rsid w:val="00AB2080"/>
    <w:rsid w:val="00AB21C5"/>
    <w:rsid w:val="00AB2216"/>
    <w:rsid w:val="00AB2C0A"/>
    <w:rsid w:val="00AB33A8"/>
    <w:rsid w:val="00AB358D"/>
    <w:rsid w:val="00AB37A1"/>
    <w:rsid w:val="00AB3BAD"/>
    <w:rsid w:val="00AB3CFD"/>
    <w:rsid w:val="00AB40C6"/>
    <w:rsid w:val="00AB49BC"/>
    <w:rsid w:val="00AB4DEE"/>
    <w:rsid w:val="00AB4E32"/>
    <w:rsid w:val="00AB579A"/>
    <w:rsid w:val="00AB5DB2"/>
    <w:rsid w:val="00AB6D7F"/>
    <w:rsid w:val="00AB724B"/>
    <w:rsid w:val="00AB726C"/>
    <w:rsid w:val="00AB72B4"/>
    <w:rsid w:val="00AC01FD"/>
    <w:rsid w:val="00AC02AA"/>
    <w:rsid w:val="00AC0537"/>
    <w:rsid w:val="00AC0A84"/>
    <w:rsid w:val="00AC2A0B"/>
    <w:rsid w:val="00AC2BEC"/>
    <w:rsid w:val="00AC2BEE"/>
    <w:rsid w:val="00AC2E53"/>
    <w:rsid w:val="00AC484F"/>
    <w:rsid w:val="00AC4A42"/>
    <w:rsid w:val="00AC4B20"/>
    <w:rsid w:val="00AC4D8F"/>
    <w:rsid w:val="00AC4D98"/>
    <w:rsid w:val="00AC56F2"/>
    <w:rsid w:val="00AC58E9"/>
    <w:rsid w:val="00AC5B83"/>
    <w:rsid w:val="00AC6886"/>
    <w:rsid w:val="00AC71C3"/>
    <w:rsid w:val="00AD0C3A"/>
    <w:rsid w:val="00AD0DA5"/>
    <w:rsid w:val="00AD1499"/>
    <w:rsid w:val="00AD1C45"/>
    <w:rsid w:val="00AD1EFA"/>
    <w:rsid w:val="00AD2072"/>
    <w:rsid w:val="00AD2165"/>
    <w:rsid w:val="00AD2808"/>
    <w:rsid w:val="00AD2DBD"/>
    <w:rsid w:val="00AD2FBF"/>
    <w:rsid w:val="00AD416B"/>
    <w:rsid w:val="00AD455D"/>
    <w:rsid w:val="00AD463C"/>
    <w:rsid w:val="00AD46A2"/>
    <w:rsid w:val="00AD47E8"/>
    <w:rsid w:val="00AD4F60"/>
    <w:rsid w:val="00AD5044"/>
    <w:rsid w:val="00AD5114"/>
    <w:rsid w:val="00AD6236"/>
    <w:rsid w:val="00AD7619"/>
    <w:rsid w:val="00AD772B"/>
    <w:rsid w:val="00AD7770"/>
    <w:rsid w:val="00AE0D1C"/>
    <w:rsid w:val="00AE1772"/>
    <w:rsid w:val="00AE1990"/>
    <w:rsid w:val="00AE2523"/>
    <w:rsid w:val="00AE25E8"/>
    <w:rsid w:val="00AE2AD4"/>
    <w:rsid w:val="00AE2CA7"/>
    <w:rsid w:val="00AE2F1D"/>
    <w:rsid w:val="00AE4B02"/>
    <w:rsid w:val="00AE4B2B"/>
    <w:rsid w:val="00AE5764"/>
    <w:rsid w:val="00AE586F"/>
    <w:rsid w:val="00AE5A78"/>
    <w:rsid w:val="00AE6582"/>
    <w:rsid w:val="00AE6DC5"/>
    <w:rsid w:val="00AE7686"/>
    <w:rsid w:val="00AE799A"/>
    <w:rsid w:val="00AF078E"/>
    <w:rsid w:val="00AF0E81"/>
    <w:rsid w:val="00AF117A"/>
    <w:rsid w:val="00AF1344"/>
    <w:rsid w:val="00AF186E"/>
    <w:rsid w:val="00AF19DF"/>
    <w:rsid w:val="00AF1F4F"/>
    <w:rsid w:val="00AF26CF"/>
    <w:rsid w:val="00AF428F"/>
    <w:rsid w:val="00AF4E92"/>
    <w:rsid w:val="00AF554B"/>
    <w:rsid w:val="00AF5C9B"/>
    <w:rsid w:val="00AF5D53"/>
    <w:rsid w:val="00AF5E2D"/>
    <w:rsid w:val="00AF644B"/>
    <w:rsid w:val="00AF6CA6"/>
    <w:rsid w:val="00AF6EB6"/>
    <w:rsid w:val="00AF7796"/>
    <w:rsid w:val="00AF7ADC"/>
    <w:rsid w:val="00B011A9"/>
    <w:rsid w:val="00B02266"/>
    <w:rsid w:val="00B024ED"/>
    <w:rsid w:val="00B0289B"/>
    <w:rsid w:val="00B02EB3"/>
    <w:rsid w:val="00B02FCB"/>
    <w:rsid w:val="00B033F8"/>
    <w:rsid w:val="00B03C1E"/>
    <w:rsid w:val="00B04229"/>
    <w:rsid w:val="00B04400"/>
    <w:rsid w:val="00B04835"/>
    <w:rsid w:val="00B05A55"/>
    <w:rsid w:val="00B05DE1"/>
    <w:rsid w:val="00B06595"/>
    <w:rsid w:val="00B06F15"/>
    <w:rsid w:val="00B10109"/>
    <w:rsid w:val="00B1039C"/>
    <w:rsid w:val="00B1085E"/>
    <w:rsid w:val="00B10FD0"/>
    <w:rsid w:val="00B10FD1"/>
    <w:rsid w:val="00B11896"/>
    <w:rsid w:val="00B11CE3"/>
    <w:rsid w:val="00B12735"/>
    <w:rsid w:val="00B129C6"/>
    <w:rsid w:val="00B131C4"/>
    <w:rsid w:val="00B13386"/>
    <w:rsid w:val="00B13533"/>
    <w:rsid w:val="00B13C48"/>
    <w:rsid w:val="00B13E35"/>
    <w:rsid w:val="00B13EC0"/>
    <w:rsid w:val="00B14102"/>
    <w:rsid w:val="00B14BFB"/>
    <w:rsid w:val="00B14D32"/>
    <w:rsid w:val="00B1557C"/>
    <w:rsid w:val="00B155DC"/>
    <w:rsid w:val="00B15766"/>
    <w:rsid w:val="00B158F6"/>
    <w:rsid w:val="00B159AA"/>
    <w:rsid w:val="00B1666A"/>
    <w:rsid w:val="00B1686D"/>
    <w:rsid w:val="00B17037"/>
    <w:rsid w:val="00B1741D"/>
    <w:rsid w:val="00B17447"/>
    <w:rsid w:val="00B17563"/>
    <w:rsid w:val="00B1771D"/>
    <w:rsid w:val="00B17B91"/>
    <w:rsid w:val="00B20209"/>
    <w:rsid w:val="00B203AF"/>
    <w:rsid w:val="00B203C9"/>
    <w:rsid w:val="00B2088D"/>
    <w:rsid w:val="00B208FF"/>
    <w:rsid w:val="00B228D1"/>
    <w:rsid w:val="00B22C58"/>
    <w:rsid w:val="00B22E22"/>
    <w:rsid w:val="00B22F5F"/>
    <w:rsid w:val="00B23813"/>
    <w:rsid w:val="00B23FD9"/>
    <w:rsid w:val="00B24591"/>
    <w:rsid w:val="00B245D5"/>
    <w:rsid w:val="00B24C36"/>
    <w:rsid w:val="00B24F94"/>
    <w:rsid w:val="00B25126"/>
    <w:rsid w:val="00B25A52"/>
    <w:rsid w:val="00B25B0A"/>
    <w:rsid w:val="00B25DC4"/>
    <w:rsid w:val="00B25FC3"/>
    <w:rsid w:val="00B26CC4"/>
    <w:rsid w:val="00B27026"/>
    <w:rsid w:val="00B27875"/>
    <w:rsid w:val="00B278C7"/>
    <w:rsid w:val="00B3008D"/>
    <w:rsid w:val="00B309C9"/>
    <w:rsid w:val="00B30BD7"/>
    <w:rsid w:val="00B30E11"/>
    <w:rsid w:val="00B30EEB"/>
    <w:rsid w:val="00B30FD0"/>
    <w:rsid w:val="00B31423"/>
    <w:rsid w:val="00B31710"/>
    <w:rsid w:val="00B323E0"/>
    <w:rsid w:val="00B32DC0"/>
    <w:rsid w:val="00B3346C"/>
    <w:rsid w:val="00B335E4"/>
    <w:rsid w:val="00B33C23"/>
    <w:rsid w:val="00B345B4"/>
    <w:rsid w:val="00B348B1"/>
    <w:rsid w:val="00B34A28"/>
    <w:rsid w:val="00B34C35"/>
    <w:rsid w:val="00B34EB2"/>
    <w:rsid w:val="00B35046"/>
    <w:rsid w:val="00B35B6A"/>
    <w:rsid w:val="00B36A03"/>
    <w:rsid w:val="00B36D46"/>
    <w:rsid w:val="00B37657"/>
    <w:rsid w:val="00B37AFD"/>
    <w:rsid w:val="00B37B07"/>
    <w:rsid w:val="00B4046F"/>
    <w:rsid w:val="00B40B47"/>
    <w:rsid w:val="00B41D39"/>
    <w:rsid w:val="00B422C0"/>
    <w:rsid w:val="00B426CA"/>
    <w:rsid w:val="00B426D0"/>
    <w:rsid w:val="00B426E1"/>
    <w:rsid w:val="00B4298E"/>
    <w:rsid w:val="00B437F8"/>
    <w:rsid w:val="00B4387A"/>
    <w:rsid w:val="00B44260"/>
    <w:rsid w:val="00B44746"/>
    <w:rsid w:val="00B44854"/>
    <w:rsid w:val="00B458D0"/>
    <w:rsid w:val="00B46120"/>
    <w:rsid w:val="00B46E11"/>
    <w:rsid w:val="00B4792C"/>
    <w:rsid w:val="00B50CAE"/>
    <w:rsid w:val="00B512AD"/>
    <w:rsid w:val="00B5196C"/>
    <w:rsid w:val="00B525CB"/>
    <w:rsid w:val="00B52697"/>
    <w:rsid w:val="00B53CD4"/>
    <w:rsid w:val="00B53E7C"/>
    <w:rsid w:val="00B54D8F"/>
    <w:rsid w:val="00B55658"/>
    <w:rsid w:val="00B55857"/>
    <w:rsid w:val="00B55C69"/>
    <w:rsid w:val="00B56851"/>
    <w:rsid w:val="00B56D6E"/>
    <w:rsid w:val="00B572F7"/>
    <w:rsid w:val="00B57B9D"/>
    <w:rsid w:val="00B57DAF"/>
    <w:rsid w:val="00B60094"/>
    <w:rsid w:val="00B6022C"/>
    <w:rsid w:val="00B614F8"/>
    <w:rsid w:val="00B61994"/>
    <w:rsid w:val="00B61FD4"/>
    <w:rsid w:val="00B62880"/>
    <w:rsid w:val="00B63872"/>
    <w:rsid w:val="00B63CB2"/>
    <w:rsid w:val="00B63F51"/>
    <w:rsid w:val="00B6416D"/>
    <w:rsid w:val="00B64246"/>
    <w:rsid w:val="00B64EDB"/>
    <w:rsid w:val="00B65303"/>
    <w:rsid w:val="00B65379"/>
    <w:rsid w:val="00B654D3"/>
    <w:rsid w:val="00B65938"/>
    <w:rsid w:val="00B65C8A"/>
    <w:rsid w:val="00B65CE2"/>
    <w:rsid w:val="00B65CED"/>
    <w:rsid w:val="00B660AD"/>
    <w:rsid w:val="00B66109"/>
    <w:rsid w:val="00B66349"/>
    <w:rsid w:val="00B6719E"/>
    <w:rsid w:val="00B67630"/>
    <w:rsid w:val="00B67FBF"/>
    <w:rsid w:val="00B7024E"/>
    <w:rsid w:val="00B7032A"/>
    <w:rsid w:val="00B71FA7"/>
    <w:rsid w:val="00B72110"/>
    <w:rsid w:val="00B72B91"/>
    <w:rsid w:val="00B73019"/>
    <w:rsid w:val="00B7315F"/>
    <w:rsid w:val="00B7323A"/>
    <w:rsid w:val="00B73356"/>
    <w:rsid w:val="00B7353B"/>
    <w:rsid w:val="00B7358A"/>
    <w:rsid w:val="00B737FB"/>
    <w:rsid w:val="00B73DBF"/>
    <w:rsid w:val="00B7423D"/>
    <w:rsid w:val="00B74605"/>
    <w:rsid w:val="00B74A8A"/>
    <w:rsid w:val="00B74D05"/>
    <w:rsid w:val="00B77674"/>
    <w:rsid w:val="00B777FA"/>
    <w:rsid w:val="00B77850"/>
    <w:rsid w:val="00B7796B"/>
    <w:rsid w:val="00B77A14"/>
    <w:rsid w:val="00B80C72"/>
    <w:rsid w:val="00B81964"/>
    <w:rsid w:val="00B81E6F"/>
    <w:rsid w:val="00B82123"/>
    <w:rsid w:val="00B8225B"/>
    <w:rsid w:val="00B827E2"/>
    <w:rsid w:val="00B82BB5"/>
    <w:rsid w:val="00B83182"/>
    <w:rsid w:val="00B84684"/>
    <w:rsid w:val="00B848DF"/>
    <w:rsid w:val="00B851E4"/>
    <w:rsid w:val="00B854CE"/>
    <w:rsid w:val="00B854EB"/>
    <w:rsid w:val="00B85681"/>
    <w:rsid w:val="00B857EB"/>
    <w:rsid w:val="00B86162"/>
    <w:rsid w:val="00B86877"/>
    <w:rsid w:val="00B8695D"/>
    <w:rsid w:val="00B86D58"/>
    <w:rsid w:val="00B86E66"/>
    <w:rsid w:val="00B873BA"/>
    <w:rsid w:val="00B8746F"/>
    <w:rsid w:val="00B8760D"/>
    <w:rsid w:val="00B87706"/>
    <w:rsid w:val="00B87F98"/>
    <w:rsid w:val="00B90A49"/>
    <w:rsid w:val="00B90C2B"/>
    <w:rsid w:val="00B90E5C"/>
    <w:rsid w:val="00B910A5"/>
    <w:rsid w:val="00B91B8E"/>
    <w:rsid w:val="00B91E13"/>
    <w:rsid w:val="00B9247C"/>
    <w:rsid w:val="00B92531"/>
    <w:rsid w:val="00B92618"/>
    <w:rsid w:val="00B92751"/>
    <w:rsid w:val="00B92B69"/>
    <w:rsid w:val="00B92CC6"/>
    <w:rsid w:val="00B93116"/>
    <w:rsid w:val="00B935C9"/>
    <w:rsid w:val="00B93E3D"/>
    <w:rsid w:val="00B94033"/>
    <w:rsid w:val="00B95018"/>
    <w:rsid w:val="00B95464"/>
    <w:rsid w:val="00B956DC"/>
    <w:rsid w:val="00B95C30"/>
    <w:rsid w:val="00B95D38"/>
    <w:rsid w:val="00B95E3D"/>
    <w:rsid w:val="00B95F7F"/>
    <w:rsid w:val="00B9691F"/>
    <w:rsid w:val="00B969E0"/>
    <w:rsid w:val="00B96EEC"/>
    <w:rsid w:val="00B97392"/>
    <w:rsid w:val="00B973C6"/>
    <w:rsid w:val="00B97691"/>
    <w:rsid w:val="00B976C7"/>
    <w:rsid w:val="00BA0C54"/>
    <w:rsid w:val="00BA1382"/>
    <w:rsid w:val="00BA1EFD"/>
    <w:rsid w:val="00BA20D8"/>
    <w:rsid w:val="00BA22FC"/>
    <w:rsid w:val="00BA2F30"/>
    <w:rsid w:val="00BA4771"/>
    <w:rsid w:val="00BA4DA4"/>
    <w:rsid w:val="00BA5027"/>
    <w:rsid w:val="00BA665B"/>
    <w:rsid w:val="00BA7370"/>
    <w:rsid w:val="00BA778B"/>
    <w:rsid w:val="00BA79B8"/>
    <w:rsid w:val="00BB0888"/>
    <w:rsid w:val="00BB0DF1"/>
    <w:rsid w:val="00BB0E9B"/>
    <w:rsid w:val="00BB25A0"/>
    <w:rsid w:val="00BB2729"/>
    <w:rsid w:val="00BB2841"/>
    <w:rsid w:val="00BB300F"/>
    <w:rsid w:val="00BB32C9"/>
    <w:rsid w:val="00BB35C5"/>
    <w:rsid w:val="00BB3EA1"/>
    <w:rsid w:val="00BB43A7"/>
    <w:rsid w:val="00BB47D0"/>
    <w:rsid w:val="00BB4C8E"/>
    <w:rsid w:val="00BB57ED"/>
    <w:rsid w:val="00BB65C3"/>
    <w:rsid w:val="00BB662E"/>
    <w:rsid w:val="00BB67A9"/>
    <w:rsid w:val="00BB6C01"/>
    <w:rsid w:val="00BB7942"/>
    <w:rsid w:val="00BB7CD1"/>
    <w:rsid w:val="00BC0F33"/>
    <w:rsid w:val="00BC14A7"/>
    <w:rsid w:val="00BC1611"/>
    <w:rsid w:val="00BC1632"/>
    <w:rsid w:val="00BC17CC"/>
    <w:rsid w:val="00BC229E"/>
    <w:rsid w:val="00BC2898"/>
    <w:rsid w:val="00BC2928"/>
    <w:rsid w:val="00BC2AA9"/>
    <w:rsid w:val="00BC2BB1"/>
    <w:rsid w:val="00BC34A3"/>
    <w:rsid w:val="00BC3FF9"/>
    <w:rsid w:val="00BC4834"/>
    <w:rsid w:val="00BC4A97"/>
    <w:rsid w:val="00BC4EF1"/>
    <w:rsid w:val="00BC5A25"/>
    <w:rsid w:val="00BC5FDD"/>
    <w:rsid w:val="00BC68B4"/>
    <w:rsid w:val="00BC6C2D"/>
    <w:rsid w:val="00BC7B9A"/>
    <w:rsid w:val="00BD00A9"/>
    <w:rsid w:val="00BD0140"/>
    <w:rsid w:val="00BD02CC"/>
    <w:rsid w:val="00BD09A7"/>
    <w:rsid w:val="00BD1675"/>
    <w:rsid w:val="00BD2063"/>
    <w:rsid w:val="00BD33D9"/>
    <w:rsid w:val="00BD38C5"/>
    <w:rsid w:val="00BD3A59"/>
    <w:rsid w:val="00BD3CF1"/>
    <w:rsid w:val="00BD3DEA"/>
    <w:rsid w:val="00BD3E97"/>
    <w:rsid w:val="00BD40E4"/>
    <w:rsid w:val="00BD4563"/>
    <w:rsid w:val="00BD52FE"/>
    <w:rsid w:val="00BD62CF"/>
    <w:rsid w:val="00BD67B2"/>
    <w:rsid w:val="00BD6A07"/>
    <w:rsid w:val="00BD78AB"/>
    <w:rsid w:val="00BD78FE"/>
    <w:rsid w:val="00BD7A91"/>
    <w:rsid w:val="00BE0149"/>
    <w:rsid w:val="00BE0767"/>
    <w:rsid w:val="00BE12D7"/>
    <w:rsid w:val="00BE1372"/>
    <w:rsid w:val="00BE1775"/>
    <w:rsid w:val="00BE17A2"/>
    <w:rsid w:val="00BE18DA"/>
    <w:rsid w:val="00BE26C0"/>
    <w:rsid w:val="00BE3442"/>
    <w:rsid w:val="00BE39F5"/>
    <w:rsid w:val="00BE45DF"/>
    <w:rsid w:val="00BE47B2"/>
    <w:rsid w:val="00BE48C7"/>
    <w:rsid w:val="00BE4F66"/>
    <w:rsid w:val="00BE4F8C"/>
    <w:rsid w:val="00BE5238"/>
    <w:rsid w:val="00BE5D35"/>
    <w:rsid w:val="00BE6074"/>
    <w:rsid w:val="00BE67A2"/>
    <w:rsid w:val="00BE7257"/>
    <w:rsid w:val="00BF020D"/>
    <w:rsid w:val="00BF1DD2"/>
    <w:rsid w:val="00BF23A3"/>
    <w:rsid w:val="00BF28DB"/>
    <w:rsid w:val="00BF2A7E"/>
    <w:rsid w:val="00BF3331"/>
    <w:rsid w:val="00BF3A45"/>
    <w:rsid w:val="00BF436F"/>
    <w:rsid w:val="00BF4EC5"/>
    <w:rsid w:val="00BF5723"/>
    <w:rsid w:val="00BF5C05"/>
    <w:rsid w:val="00BF60C8"/>
    <w:rsid w:val="00BF6FC6"/>
    <w:rsid w:val="00BF73E1"/>
    <w:rsid w:val="00BF746D"/>
    <w:rsid w:val="00BF7BF5"/>
    <w:rsid w:val="00BF7C52"/>
    <w:rsid w:val="00BF7F99"/>
    <w:rsid w:val="00C00713"/>
    <w:rsid w:val="00C009A0"/>
    <w:rsid w:val="00C0137C"/>
    <w:rsid w:val="00C01F74"/>
    <w:rsid w:val="00C02558"/>
    <w:rsid w:val="00C0285F"/>
    <w:rsid w:val="00C02F35"/>
    <w:rsid w:val="00C03305"/>
    <w:rsid w:val="00C03515"/>
    <w:rsid w:val="00C03738"/>
    <w:rsid w:val="00C037A6"/>
    <w:rsid w:val="00C03F83"/>
    <w:rsid w:val="00C043F5"/>
    <w:rsid w:val="00C044E3"/>
    <w:rsid w:val="00C047A8"/>
    <w:rsid w:val="00C04BDB"/>
    <w:rsid w:val="00C052C6"/>
    <w:rsid w:val="00C059D4"/>
    <w:rsid w:val="00C05A61"/>
    <w:rsid w:val="00C06CCF"/>
    <w:rsid w:val="00C108B8"/>
    <w:rsid w:val="00C11503"/>
    <w:rsid w:val="00C1159D"/>
    <w:rsid w:val="00C11683"/>
    <w:rsid w:val="00C11798"/>
    <w:rsid w:val="00C118DB"/>
    <w:rsid w:val="00C1233E"/>
    <w:rsid w:val="00C125C1"/>
    <w:rsid w:val="00C12911"/>
    <w:rsid w:val="00C12F05"/>
    <w:rsid w:val="00C12FB3"/>
    <w:rsid w:val="00C138BC"/>
    <w:rsid w:val="00C1393C"/>
    <w:rsid w:val="00C13D85"/>
    <w:rsid w:val="00C14173"/>
    <w:rsid w:val="00C14639"/>
    <w:rsid w:val="00C14E82"/>
    <w:rsid w:val="00C14FF6"/>
    <w:rsid w:val="00C150A6"/>
    <w:rsid w:val="00C15A85"/>
    <w:rsid w:val="00C15AA8"/>
    <w:rsid w:val="00C1641B"/>
    <w:rsid w:val="00C165FC"/>
    <w:rsid w:val="00C176D5"/>
    <w:rsid w:val="00C2082C"/>
    <w:rsid w:val="00C20832"/>
    <w:rsid w:val="00C20EB0"/>
    <w:rsid w:val="00C21005"/>
    <w:rsid w:val="00C2183B"/>
    <w:rsid w:val="00C220B6"/>
    <w:rsid w:val="00C22D7C"/>
    <w:rsid w:val="00C22DDE"/>
    <w:rsid w:val="00C2338B"/>
    <w:rsid w:val="00C233CE"/>
    <w:rsid w:val="00C23661"/>
    <w:rsid w:val="00C236AE"/>
    <w:rsid w:val="00C237DD"/>
    <w:rsid w:val="00C238F4"/>
    <w:rsid w:val="00C23A99"/>
    <w:rsid w:val="00C23B96"/>
    <w:rsid w:val="00C245EE"/>
    <w:rsid w:val="00C24A76"/>
    <w:rsid w:val="00C24AE1"/>
    <w:rsid w:val="00C24B8D"/>
    <w:rsid w:val="00C24BD7"/>
    <w:rsid w:val="00C252CC"/>
    <w:rsid w:val="00C25813"/>
    <w:rsid w:val="00C27143"/>
    <w:rsid w:val="00C27490"/>
    <w:rsid w:val="00C27A55"/>
    <w:rsid w:val="00C27AFC"/>
    <w:rsid w:val="00C27D37"/>
    <w:rsid w:val="00C27FB2"/>
    <w:rsid w:val="00C302E5"/>
    <w:rsid w:val="00C309E8"/>
    <w:rsid w:val="00C30E37"/>
    <w:rsid w:val="00C32017"/>
    <w:rsid w:val="00C325CD"/>
    <w:rsid w:val="00C3322E"/>
    <w:rsid w:val="00C337F5"/>
    <w:rsid w:val="00C33B90"/>
    <w:rsid w:val="00C34350"/>
    <w:rsid w:val="00C34B5F"/>
    <w:rsid w:val="00C3543E"/>
    <w:rsid w:val="00C356C5"/>
    <w:rsid w:val="00C358C4"/>
    <w:rsid w:val="00C358D4"/>
    <w:rsid w:val="00C36785"/>
    <w:rsid w:val="00C36845"/>
    <w:rsid w:val="00C3711C"/>
    <w:rsid w:val="00C37256"/>
    <w:rsid w:val="00C37A7B"/>
    <w:rsid w:val="00C37CFF"/>
    <w:rsid w:val="00C37FFE"/>
    <w:rsid w:val="00C40B50"/>
    <w:rsid w:val="00C41457"/>
    <w:rsid w:val="00C41858"/>
    <w:rsid w:val="00C419E3"/>
    <w:rsid w:val="00C419F4"/>
    <w:rsid w:val="00C41E6A"/>
    <w:rsid w:val="00C42105"/>
    <w:rsid w:val="00C421A3"/>
    <w:rsid w:val="00C42247"/>
    <w:rsid w:val="00C439BE"/>
    <w:rsid w:val="00C44E61"/>
    <w:rsid w:val="00C4539B"/>
    <w:rsid w:val="00C45466"/>
    <w:rsid w:val="00C455C1"/>
    <w:rsid w:val="00C4581D"/>
    <w:rsid w:val="00C47472"/>
    <w:rsid w:val="00C47EA5"/>
    <w:rsid w:val="00C500F0"/>
    <w:rsid w:val="00C502BB"/>
    <w:rsid w:val="00C504A7"/>
    <w:rsid w:val="00C506C9"/>
    <w:rsid w:val="00C50A16"/>
    <w:rsid w:val="00C5122B"/>
    <w:rsid w:val="00C51C9A"/>
    <w:rsid w:val="00C51E32"/>
    <w:rsid w:val="00C52428"/>
    <w:rsid w:val="00C52C68"/>
    <w:rsid w:val="00C52D98"/>
    <w:rsid w:val="00C5325C"/>
    <w:rsid w:val="00C53D24"/>
    <w:rsid w:val="00C54640"/>
    <w:rsid w:val="00C547A6"/>
    <w:rsid w:val="00C54A3A"/>
    <w:rsid w:val="00C54F3E"/>
    <w:rsid w:val="00C5503F"/>
    <w:rsid w:val="00C55C32"/>
    <w:rsid w:val="00C56A67"/>
    <w:rsid w:val="00C56CC2"/>
    <w:rsid w:val="00C56EB3"/>
    <w:rsid w:val="00C5734E"/>
    <w:rsid w:val="00C57498"/>
    <w:rsid w:val="00C5763C"/>
    <w:rsid w:val="00C577CA"/>
    <w:rsid w:val="00C5780C"/>
    <w:rsid w:val="00C5796B"/>
    <w:rsid w:val="00C61602"/>
    <w:rsid w:val="00C619A1"/>
    <w:rsid w:val="00C62370"/>
    <w:rsid w:val="00C62545"/>
    <w:rsid w:val="00C62A11"/>
    <w:rsid w:val="00C62BBB"/>
    <w:rsid w:val="00C6305F"/>
    <w:rsid w:val="00C6325B"/>
    <w:rsid w:val="00C63E99"/>
    <w:rsid w:val="00C64161"/>
    <w:rsid w:val="00C641BD"/>
    <w:rsid w:val="00C649B8"/>
    <w:rsid w:val="00C64A64"/>
    <w:rsid w:val="00C65151"/>
    <w:rsid w:val="00C657F4"/>
    <w:rsid w:val="00C66119"/>
    <w:rsid w:val="00C66292"/>
    <w:rsid w:val="00C672A3"/>
    <w:rsid w:val="00C672F1"/>
    <w:rsid w:val="00C673D0"/>
    <w:rsid w:val="00C6742E"/>
    <w:rsid w:val="00C677BE"/>
    <w:rsid w:val="00C70012"/>
    <w:rsid w:val="00C719C9"/>
    <w:rsid w:val="00C71CBB"/>
    <w:rsid w:val="00C71E2A"/>
    <w:rsid w:val="00C733BA"/>
    <w:rsid w:val="00C74F3F"/>
    <w:rsid w:val="00C760DC"/>
    <w:rsid w:val="00C8082B"/>
    <w:rsid w:val="00C81A88"/>
    <w:rsid w:val="00C81AEC"/>
    <w:rsid w:val="00C81D46"/>
    <w:rsid w:val="00C820AD"/>
    <w:rsid w:val="00C82298"/>
    <w:rsid w:val="00C82DA5"/>
    <w:rsid w:val="00C82F91"/>
    <w:rsid w:val="00C833B4"/>
    <w:rsid w:val="00C84284"/>
    <w:rsid w:val="00C84E33"/>
    <w:rsid w:val="00C853E0"/>
    <w:rsid w:val="00C85FFC"/>
    <w:rsid w:val="00C86123"/>
    <w:rsid w:val="00C861FC"/>
    <w:rsid w:val="00C86C87"/>
    <w:rsid w:val="00C8705B"/>
    <w:rsid w:val="00C87090"/>
    <w:rsid w:val="00C9005E"/>
    <w:rsid w:val="00C90111"/>
    <w:rsid w:val="00C90CA9"/>
    <w:rsid w:val="00C915F2"/>
    <w:rsid w:val="00C917B1"/>
    <w:rsid w:val="00C9193C"/>
    <w:rsid w:val="00C91B77"/>
    <w:rsid w:val="00C920E2"/>
    <w:rsid w:val="00C923AA"/>
    <w:rsid w:val="00C92B77"/>
    <w:rsid w:val="00C93154"/>
    <w:rsid w:val="00C93765"/>
    <w:rsid w:val="00C937BF"/>
    <w:rsid w:val="00C93877"/>
    <w:rsid w:val="00C93D8C"/>
    <w:rsid w:val="00C941CA"/>
    <w:rsid w:val="00C946CC"/>
    <w:rsid w:val="00C9494B"/>
    <w:rsid w:val="00C959BD"/>
    <w:rsid w:val="00C95F44"/>
    <w:rsid w:val="00C96D1B"/>
    <w:rsid w:val="00C97106"/>
    <w:rsid w:val="00C97684"/>
    <w:rsid w:val="00CA0031"/>
    <w:rsid w:val="00CA0413"/>
    <w:rsid w:val="00CA043A"/>
    <w:rsid w:val="00CA04F8"/>
    <w:rsid w:val="00CA05B7"/>
    <w:rsid w:val="00CA13AC"/>
    <w:rsid w:val="00CA1691"/>
    <w:rsid w:val="00CA1FB7"/>
    <w:rsid w:val="00CA2E65"/>
    <w:rsid w:val="00CA2EA1"/>
    <w:rsid w:val="00CA41E7"/>
    <w:rsid w:val="00CA4B2B"/>
    <w:rsid w:val="00CA53BA"/>
    <w:rsid w:val="00CA5520"/>
    <w:rsid w:val="00CA5812"/>
    <w:rsid w:val="00CA5BD4"/>
    <w:rsid w:val="00CA5C14"/>
    <w:rsid w:val="00CA76FC"/>
    <w:rsid w:val="00CA7E7B"/>
    <w:rsid w:val="00CB0236"/>
    <w:rsid w:val="00CB1324"/>
    <w:rsid w:val="00CB19E3"/>
    <w:rsid w:val="00CB2C3A"/>
    <w:rsid w:val="00CB2D38"/>
    <w:rsid w:val="00CB353F"/>
    <w:rsid w:val="00CB4137"/>
    <w:rsid w:val="00CB52D0"/>
    <w:rsid w:val="00CB5578"/>
    <w:rsid w:val="00CB5671"/>
    <w:rsid w:val="00CB591C"/>
    <w:rsid w:val="00CB5943"/>
    <w:rsid w:val="00CB61B3"/>
    <w:rsid w:val="00CB6F83"/>
    <w:rsid w:val="00CB72AE"/>
    <w:rsid w:val="00CB78AD"/>
    <w:rsid w:val="00CC00CD"/>
    <w:rsid w:val="00CC0579"/>
    <w:rsid w:val="00CC0AF3"/>
    <w:rsid w:val="00CC0BC6"/>
    <w:rsid w:val="00CC0E68"/>
    <w:rsid w:val="00CC116A"/>
    <w:rsid w:val="00CC21AC"/>
    <w:rsid w:val="00CC2514"/>
    <w:rsid w:val="00CC2756"/>
    <w:rsid w:val="00CC2F69"/>
    <w:rsid w:val="00CC315F"/>
    <w:rsid w:val="00CC3A2F"/>
    <w:rsid w:val="00CC3A5F"/>
    <w:rsid w:val="00CC3D38"/>
    <w:rsid w:val="00CC404B"/>
    <w:rsid w:val="00CC40C3"/>
    <w:rsid w:val="00CC443E"/>
    <w:rsid w:val="00CC4B57"/>
    <w:rsid w:val="00CC4E5D"/>
    <w:rsid w:val="00CC50AE"/>
    <w:rsid w:val="00CC5864"/>
    <w:rsid w:val="00CC61B7"/>
    <w:rsid w:val="00CC61CA"/>
    <w:rsid w:val="00CC6668"/>
    <w:rsid w:val="00CC69EC"/>
    <w:rsid w:val="00CC71D3"/>
    <w:rsid w:val="00CC743D"/>
    <w:rsid w:val="00CC7E86"/>
    <w:rsid w:val="00CD050A"/>
    <w:rsid w:val="00CD205D"/>
    <w:rsid w:val="00CD2A22"/>
    <w:rsid w:val="00CD2B50"/>
    <w:rsid w:val="00CD3AD3"/>
    <w:rsid w:val="00CD41FE"/>
    <w:rsid w:val="00CD4506"/>
    <w:rsid w:val="00CD520B"/>
    <w:rsid w:val="00CD592E"/>
    <w:rsid w:val="00CD5982"/>
    <w:rsid w:val="00CD5A1A"/>
    <w:rsid w:val="00CD6054"/>
    <w:rsid w:val="00CD7EFA"/>
    <w:rsid w:val="00CE020E"/>
    <w:rsid w:val="00CE0566"/>
    <w:rsid w:val="00CE06CC"/>
    <w:rsid w:val="00CE16A9"/>
    <w:rsid w:val="00CE1CD4"/>
    <w:rsid w:val="00CE23FE"/>
    <w:rsid w:val="00CE2761"/>
    <w:rsid w:val="00CE2B49"/>
    <w:rsid w:val="00CE2DB0"/>
    <w:rsid w:val="00CE314E"/>
    <w:rsid w:val="00CE3D5C"/>
    <w:rsid w:val="00CE3E14"/>
    <w:rsid w:val="00CE44C7"/>
    <w:rsid w:val="00CE53CC"/>
    <w:rsid w:val="00CE65A7"/>
    <w:rsid w:val="00CE6622"/>
    <w:rsid w:val="00CE68FE"/>
    <w:rsid w:val="00CE69CC"/>
    <w:rsid w:val="00CE6EC4"/>
    <w:rsid w:val="00CE723E"/>
    <w:rsid w:val="00CE74D6"/>
    <w:rsid w:val="00CE7A77"/>
    <w:rsid w:val="00CE7F26"/>
    <w:rsid w:val="00CE7FBF"/>
    <w:rsid w:val="00CF1226"/>
    <w:rsid w:val="00CF16C0"/>
    <w:rsid w:val="00CF1ABB"/>
    <w:rsid w:val="00CF1E1D"/>
    <w:rsid w:val="00CF212C"/>
    <w:rsid w:val="00CF24FE"/>
    <w:rsid w:val="00CF35D0"/>
    <w:rsid w:val="00CF3DD5"/>
    <w:rsid w:val="00CF41D5"/>
    <w:rsid w:val="00CF4897"/>
    <w:rsid w:val="00CF4AF7"/>
    <w:rsid w:val="00CF4D20"/>
    <w:rsid w:val="00CF55DF"/>
    <w:rsid w:val="00CF6180"/>
    <w:rsid w:val="00CF64F6"/>
    <w:rsid w:val="00CF6A0F"/>
    <w:rsid w:val="00CF73F8"/>
    <w:rsid w:val="00CF7928"/>
    <w:rsid w:val="00CF7CA2"/>
    <w:rsid w:val="00D004DB"/>
    <w:rsid w:val="00D00A8E"/>
    <w:rsid w:val="00D00DE0"/>
    <w:rsid w:val="00D00F79"/>
    <w:rsid w:val="00D012BF"/>
    <w:rsid w:val="00D01760"/>
    <w:rsid w:val="00D0368E"/>
    <w:rsid w:val="00D03D2D"/>
    <w:rsid w:val="00D03E7B"/>
    <w:rsid w:val="00D0401A"/>
    <w:rsid w:val="00D047E0"/>
    <w:rsid w:val="00D04B9F"/>
    <w:rsid w:val="00D04FFB"/>
    <w:rsid w:val="00D05153"/>
    <w:rsid w:val="00D058E9"/>
    <w:rsid w:val="00D0612A"/>
    <w:rsid w:val="00D06A0E"/>
    <w:rsid w:val="00D06B7D"/>
    <w:rsid w:val="00D1060D"/>
    <w:rsid w:val="00D10E7C"/>
    <w:rsid w:val="00D11182"/>
    <w:rsid w:val="00D1137B"/>
    <w:rsid w:val="00D11773"/>
    <w:rsid w:val="00D11807"/>
    <w:rsid w:val="00D118A3"/>
    <w:rsid w:val="00D11DB3"/>
    <w:rsid w:val="00D1298E"/>
    <w:rsid w:val="00D12D82"/>
    <w:rsid w:val="00D1306E"/>
    <w:rsid w:val="00D134CD"/>
    <w:rsid w:val="00D13CE5"/>
    <w:rsid w:val="00D14B5F"/>
    <w:rsid w:val="00D14E13"/>
    <w:rsid w:val="00D14F23"/>
    <w:rsid w:val="00D15356"/>
    <w:rsid w:val="00D16054"/>
    <w:rsid w:val="00D160AA"/>
    <w:rsid w:val="00D163A7"/>
    <w:rsid w:val="00D16740"/>
    <w:rsid w:val="00D16A8B"/>
    <w:rsid w:val="00D16E39"/>
    <w:rsid w:val="00D17951"/>
    <w:rsid w:val="00D17AD8"/>
    <w:rsid w:val="00D17B53"/>
    <w:rsid w:val="00D2104A"/>
    <w:rsid w:val="00D21302"/>
    <w:rsid w:val="00D213F1"/>
    <w:rsid w:val="00D21BB5"/>
    <w:rsid w:val="00D21FFC"/>
    <w:rsid w:val="00D223A3"/>
    <w:rsid w:val="00D223B6"/>
    <w:rsid w:val="00D223E8"/>
    <w:rsid w:val="00D22DC8"/>
    <w:rsid w:val="00D24ECD"/>
    <w:rsid w:val="00D2522A"/>
    <w:rsid w:val="00D2531C"/>
    <w:rsid w:val="00D255F3"/>
    <w:rsid w:val="00D26C21"/>
    <w:rsid w:val="00D2742F"/>
    <w:rsid w:val="00D2754F"/>
    <w:rsid w:val="00D27912"/>
    <w:rsid w:val="00D279D9"/>
    <w:rsid w:val="00D27C74"/>
    <w:rsid w:val="00D3116A"/>
    <w:rsid w:val="00D312DC"/>
    <w:rsid w:val="00D31B84"/>
    <w:rsid w:val="00D31C6A"/>
    <w:rsid w:val="00D31EDF"/>
    <w:rsid w:val="00D31FF9"/>
    <w:rsid w:val="00D32149"/>
    <w:rsid w:val="00D32256"/>
    <w:rsid w:val="00D32A27"/>
    <w:rsid w:val="00D32ABC"/>
    <w:rsid w:val="00D33010"/>
    <w:rsid w:val="00D34B25"/>
    <w:rsid w:val="00D34F4E"/>
    <w:rsid w:val="00D35753"/>
    <w:rsid w:val="00D357F3"/>
    <w:rsid w:val="00D35C0E"/>
    <w:rsid w:val="00D370A0"/>
    <w:rsid w:val="00D373A8"/>
    <w:rsid w:val="00D375FF"/>
    <w:rsid w:val="00D379A5"/>
    <w:rsid w:val="00D401BE"/>
    <w:rsid w:val="00D4043A"/>
    <w:rsid w:val="00D40A8E"/>
    <w:rsid w:val="00D40AB0"/>
    <w:rsid w:val="00D40DB0"/>
    <w:rsid w:val="00D40F8B"/>
    <w:rsid w:val="00D41858"/>
    <w:rsid w:val="00D422DB"/>
    <w:rsid w:val="00D42A83"/>
    <w:rsid w:val="00D42AC2"/>
    <w:rsid w:val="00D4498E"/>
    <w:rsid w:val="00D4515F"/>
    <w:rsid w:val="00D451E8"/>
    <w:rsid w:val="00D4636B"/>
    <w:rsid w:val="00D466C9"/>
    <w:rsid w:val="00D467D8"/>
    <w:rsid w:val="00D47275"/>
    <w:rsid w:val="00D4767B"/>
    <w:rsid w:val="00D47CC6"/>
    <w:rsid w:val="00D50AEF"/>
    <w:rsid w:val="00D50C39"/>
    <w:rsid w:val="00D51E15"/>
    <w:rsid w:val="00D52B7E"/>
    <w:rsid w:val="00D52E2F"/>
    <w:rsid w:val="00D52F59"/>
    <w:rsid w:val="00D53E3E"/>
    <w:rsid w:val="00D54E2E"/>
    <w:rsid w:val="00D55904"/>
    <w:rsid w:val="00D5616F"/>
    <w:rsid w:val="00D57534"/>
    <w:rsid w:val="00D57940"/>
    <w:rsid w:val="00D60327"/>
    <w:rsid w:val="00D61526"/>
    <w:rsid w:val="00D61F81"/>
    <w:rsid w:val="00D623A9"/>
    <w:rsid w:val="00D62BE6"/>
    <w:rsid w:val="00D633AC"/>
    <w:rsid w:val="00D63766"/>
    <w:rsid w:val="00D63912"/>
    <w:rsid w:val="00D63923"/>
    <w:rsid w:val="00D6451B"/>
    <w:rsid w:val="00D64B57"/>
    <w:rsid w:val="00D65DEA"/>
    <w:rsid w:val="00D65DFE"/>
    <w:rsid w:val="00D67BC7"/>
    <w:rsid w:val="00D701F1"/>
    <w:rsid w:val="00D70403"/>
    <w:rsid w:val="00D705D3"/>
    <w:rsid w:val="00D70E00"/>
    <w:rsid w:val="00D715AC"/>
    <w:rsid w:val="00D71851"/>
    <w:rsid w:val="00D718CF"/>
    <w:rsid w:val="00D728F5"/>
    <w:rsid w:val="00D72E9D"/>
    <w:rsid w:val="00D73249"/>
    <w:rsid w:val="00D73419"/>
    <w:rsid w:val="00D73CA9"/>
    <w:rsid w:val="00D7481A"/>
    <w:rsid w:val="00D751B7"/>
    <w:rsid w:val="00D7524B"/>
    <w:rsid w:val="00D75396"/>
    <w:rsid w:val="00D759C0"/>
    <w:rsid w:val="00D75C05"/>
    <w:rsid w:val="00D75E99"/>
    <w:rsid w:val="00D766C7"/>
    <w:rsid w:val="00D7692B"/>
    <w:rsid w:val="00D76A19"/>
    <w:rsid w:val="00D76CBD"/>
    <w:rsid w:val="00D7734F"/>
    <w:rsid w:val="00D7735D"/>
    <w:rsid w:val="00D8044C"/>
    <w:rsid w:val="00D805D6"/>
    <w:rsid w:val="00D8075E"/>
    <w:rsid w:val="00D80860"/>
    <w:rsid w:val="00D80D4C"/>
    <w:rsid w:val="00D8166D"/>
    <w:rsid w:val="00D8184D"/>
    <w:rsid w:val="00D81A7B"/>
    <w:rsid w:val="00D8223C"/>
    <w:rsid w:val="00D82534"/>
    <w:rsid w:val="00D82B57"/>
    <w:rsid w:val="00D82CE5"/>
    <w:rsid w:val="00D8342C"/>
    <w:rsid w:val="00D85494"/>
    <w:rsid w:val="00D8582C"/>
    <w:rsid w:val="00D85D61"/>
    <w:rsid w:val="00D8616D"/>
    <w:rsid w:val="00D8711B"/>
    <w:rsid w:val="00D87384"/>
    <w:rsid w:val="00D87485"/>
    <w:rsid w:val="00D90683"/>
    <w:rsid w:val="00D915C8"/>
    <w:rsid w:val="00D9261C"/>
    <w:rsid w:val="00D9310B"/>
    <w:rsid w:val="00D93299"/>
    <w:rsid w:val="00D93726"/>
    <w:rsid w:val="00D93DD3"/>
    <w:rsid w:val="00D93F3E"/>
    <w:rsid w:val="00D9405B"/>
    <w:rsid w:val="00D94942"/>
    <w:rsid w:val="00D95145"/>
    <w:rsid w:val="00D967CB"/>
    <w:rsid w:val="00D96EE0"/>
    <w:rsid w:val="00D97386"/>
    <w:rsid w:val="00D97BD1"/>
    <w:rsid w:val="00D97EF3"/>
    <w:rsid w:val="00DA06B8"/>
    <w:rsid w:val="00DA0A1E"/>
    <w:rsid w:val="00DA286D"/>
    <w:rsid w:val="00DA2969"/>
    <w:rsid w:val="00DA29B7"/>
    <w:rsid w:val="00DA4842"/>
    <w:rsid w:val="00DA5989"/>
    <w:rsid w:val="00DA5AB1"/>
    <w:rsid w:val="00DA5F9D"/>
    <w:rsid w:val="00DA69B2"/>
    <w:rsid w:val="00DA6A7B"/>
    <w:rsid w:val="00DA7462"/>
    <w:rsid w:val="00DA777E"/>
    <w:rsid w:val="00DA7AD0"/>
    <w:rsid w:val="00DB02D7"/>
    <w:rsid w:val="00DB03CC"/>
    <w:rsid w:val="00DB12D4"/>
    <w:rsid w:val="00DB14F0"/>
    <w:rsid w:val="00DB1745"/>
    <w:rsid w:val="00DB1AFF"/>
    <w:rsid w:val="00DB219A"/>
    <w:rsid w:val="00DB3165"/>
    <w:rsid w:val="00DB4098"/>
    <w:rsid w:val="00DB4292"/>
    <w:rsid w:val="00DB5196"/>
    <w:rsid w:val="00DB5C03"/>
    <w:rsid w:val="00DB68BB"/>
    <w:rsid w:val="00DB6E46"/>
    <w:rsid w:val="00DB70E2"/>
    <w:rsid w:val="00DB7117"/>
    <w:rsid w:val="00DB7760"/>
    <w:rsid w:val="00DB7DD4"/>
    <w:rsid w:val="00DB7E44"/>
    <w:rsid w:val="00DC00B4"/>
    <w:rsid w:val="00DC037A"/>
    <w:rsid w:val="00DC0954"/>
    <w:rsid w:val="00DC15BA"/>
    <w:rsid w:val="00DC18CD"/>
    <w:rsid w:val="00DC1A68"/>
    <w:rsid w:val="00DC30B8"/>
    <w:rsid w:val="00DC32C6"/>
    <w:rsid w:val="00DC3720"/>
    <w:rsid w:val="00DC478F"/>
    <w:rsid w:val="00DC62E5"/>
    <w:rsid w:val="00DC6AB9"/>
    <w:rsid w:val="00DC6F33"/>
    <w:rsid w:val="00DC729E"/>
    <w:rsid w:val="00DC7349"/>
    <w:rsid w:val="00DD005B"/>
    <w:rsid w:val="00DD118B"/>
    <w:rsid w:val="00DD14D8"/>
    <w:rsid w:val="00DD1599"/>
    <w:rsid w:val="00DD177F"/>
    <w:rsid w:val="00DD1B03"/>
    <w:rsid w:val="00DD2772"/>
    <w:rsid w:val="00DD2A62"/>
    <w:rsid w:val="00DD2B54"/>
    <w:rsid w:val="00DD2F2F"/>
    <w:rsid w:val="00DD2F7A"/>
    <w:rsid w:val="00DD3885"/>
    <w:rsid w:val="00DD5056"/>
    <w:rsid w:val="00DD5808"/>
    <w:rsid w:val="00DD5946"/>
    <w:rsid w:val="00DD5B04"/>
    <w:rsid w:val="00DD5DAE"/>
    <w:rsid w:val="00DD5EC6"/>
    <w:rsid w:val="00DD605F"/>
    <w:rsid w:val="00DD6657"/>
    <w:rsid w:val="00DD6D71"/>
    <w:rsid w:val="00DD7236"/>
    <w:rsid w:val="00DD72A0"/>
    <w:rsid w:val="00DD735D"/>
    <w:rsid w:val="00DE0159"/>
    <w:rsid w:val="00DE064A"/>
    <w:rsid w:val="00DE0755"/>
    <w:rsid w:val="00DE082D"/>
    <w:rsid w:val="00DE0A54"/>
    <w:rsid w:val="00DE1410"/>
    <w:rsid w:val="00DE1ED0"/>
    <w:rsid w:val="00DE3119"/>
    <w:rsid w:val="00DE3FF0"/>
    <w:rsid w:val="00DE4105"/>
    <w:rsid w:val="00DE5189"/>
    <w:rsid w:val="00DE6230"/>
    <w:rsid w:val="00DE7108"/>
    <w:rsid w:val="00DE78D1"/>
    <w:rsid w:val="00DF0263"/>
    <w:rsid w:val="00DF0EB4"/>
    <w:rsid w:val="00DF1E36"/>
    <w:rsid w:val="00DF1FDB"/>
    <w:rsid w:val="00DF236B"/>
    <w:rsid w:val="00DF2A91"/>
    <w:rsid w:val="00DF2F82"/>
    <w:rsid w:val="00DF3889"/>
    <w:rsid w:val="00DF3CC9"/>
    <w:rsid w:val="00DF4451"/>
    <w:rsid w:val="00DF4750"/>
    <w:rsid w:val="00DF49FF"/>
    <w:rsid w:val="00DF4FFB"/>
    <w:rsid w:val="00DF5236"/>
    <w:rsid w:val="00DF651F"/>
    <w:rsid w:val="00DF6E10"/>
    <w:rsid w:val="00DF6F43"/>
    <w:rsid w:val="00DF752F"/>
    <w:rsid w:val="00DF76A2"/>
    <w:rsid w:val="00DF7B33"/>
    <w:rsid w:val="00E001CD"/>
    <w:rsid w:val="00E00B7A"/>
    <w:rsid w:val="00E02186"/>
    <w:rsid w:val="00E026BB"/>
    <w:rsid w:val="00E027C5"/>
    <w:rsid w:val="00E02D04"/>
    <w:rsid w:val="00E03124"/>
    <w:rsid w:val="00E031EB"/>
    <w:rsid w:val="00E03951"/>
    <w:rsid w:val="00E03DB8"/>
    <w:rsid w:val="00E057BA"/>
    <w:rsid w:val="00E05BA4"/>
    <w:rsid w:val="00E05E70"/>
    <w:rsid w:val="00E0631A"/>
    <w:rsid w:val="00E064BC"/>
    <w:rsid w:val="00E07225"/>
    <w:rsid w:val="00E07AAA"/>
    <w:rsid w:val="00E1079C"/>
    <w:rsid w:val="00E109DD"/>
    <w:rsid w:val="00E11229"/>
    <w:rsid w:val="00E114CA"/>
    <w:rsid w:val="00E11CF0"/>
    <w:rsid w:val="00E12E62"/>
    <w:rsid w:val="00E132D5"/>
    <w:rsid w:val="00E1397F"/>
    <w:rsid w:val="00E13AB8"/>
    <w:rsid w:val="00E13D8F"/>
    <w:rsid w:val="00E1482E"/>
    <w:rsid w:val="00E155D3"/>
    <w:rsid w:val="00E16382"/>
    <w:rsid w:val="00E16572"/>
    <w:rsid w:val="00E1699C"/>
    <w:rsid w:val="00E16E75"/>
    <w:rsid w:val="00E1746D"/>
    <w:rsid w:val="00E2002C"/>
    <w:rsid w:val="00E2012A"/>
    <w:rsid w:val="00E205A2"/>
    <w:rsid w:val="00E20BA4"/>
    <w:rsid w:val="00E20C24"/>
    <w:rsid w:val="00E220DE"/>
    <w:rsid w:val="00E23137"/>
    <w:rsid w:val="00E231B0"/>
    <w:rsid w:val="00E23980"/>
    <w:rsid w:val="00E241E9"/>
    <w:rsid w:val="00E2510E"/>
    <w:rsid w:val="00E2520A"/>
    <w:rsid w:val="00E253EB"/>
    <w:rsid w:val="00E257C3"/>
    <w:rsid w:val="00E25CB3"/>
    <w:rsid w:val="00E25DA4"/>
    <w:rsid w:val="00E26CB8"/>
    <w:rsid w:val="00E26FCF"/>
    <w:rsid w:val="00E27165"/>
    <w:rsid w:val="00E27226"/>
    <w:rsid w:val="00E3044A"/>
    <w:rsid w:val="00E31A4A"/>
    <w:rsid w:val="00E31C43"/>
    <w:rsid w:val="00E32206"/>
    <w:rsid w:val="00E327F8"/>
    <w:rsid w:val="00E32DD5"/>
    <w:rsid w:val="00E32FA8"/>
    <w:rsid w:val="00E3344A"/>
    <w:rsid w:val="00E33B29"/>
    <w:rsid w:val="00E33B62"/>
    <w:rsid w:val="00E3403D"/>
    <w:rsid w:val="00E34E6C"/>
    <w:rsid w:val="00E350D8"/>
    <w:rsid w:val="00E353E2"/>
    <w:rsid w:val="00E36345"/>
    <w:rsid w:val="00E367A6"/>
    <w:rsid w:val="00E36C86"/>
    <w:rsid w:val="00E36CEB"/>
    <w:rsid w:val="00E37A28"/>
    <w:rsid w:val="00E40430"/>
    <w:rsid w:val="00E40690"/>
    <w:rsid w:val="00E40AEB"/>
    <w:rsid w:val="00E41397"/>
    <w:rsid w:val="00E4143A"/>
    <w:rsid w:val="00E41A5D"/>
    <w:rsid w:val="00E424C8"/>
    <w:rsid w:val="00E4251D"/>
    <w:rsid w:val="00E429ED"/>
    <w:rsid w:val="00E42F41"/>
    <w:rsid w:val="00E43D00"/>
    <w:rsid w:val="00E44128"/>
    <w:rsid w:val="00E445E4"/>
    <w:rsid w:val="00E457CB"/>
    <w:rsid w:val="00E45D47"/>
    <w:rsid w:val="00E45DE4"/>
    <w:rsid w:val="00E45E63"/>
    <w:rsid w:val="00E46D10"/>
    <w:rsid w:val="00E50A7B"/>
    <w:rsid w:val="00E50B0B"/>
    <w:rsid w:val="00E510FE"/>
    <w:rsid w:val="00E51E25"/>
    <w:rsid w:val="00E5205B"/>
    <w:rsid w:val="00E521AE"/>
    <w:rsid w:val="00E52C99"/>
    <w:rsid w:val="00E53BCA"/>
    <w:rsid w:val="00E53F02"/>
    <w:rsid w:val="00E54534"/>
    <w:rsid w:val="00E548C3"/>
    <w:rsid w:val="00E54DA0"/>
    <w:rsid w:val="00E54F27"/>
    <w:rsid w:val="00E556F5"/>
    <w:rsid w:val="00E55FF1"/>
    <w:rsid w:val="00E56090"/>
    <w:rsid w:val="00E565B9"/>
    <w:rsid w:val="00E5733B"/>
    <w:rsid w:val="00E5756C"/>
    <w:rsid w:val="00E601BE"/>
    <w:rsid w:val="00E60B5F"/>
    <w:rsid w:val="00E613AE"/>
    <w:rsid w:val="00E61429"/>
    <w:rsid w:val="00E61ABB"/>
    <w:rsid w:val="00E61FD7"/>
    <w:rsid w:val="00E623E6"/>
    <w:rsid w:val="00E6292B"/>
    <w:rsid w:val="00E630C0"/>
    <w:rsid w:val="00E63107"/>
    <w:rsid w:val="00E634E6"/>
    <w:rsid w:val="00E63DCE"/>
    <w:rsid w:val="00E64700"/>
    <w:rsid w:val="00E64E0B"/>
    <w:rsid w:val="00E65074"/>
    <w:rsid w:val="00E65E70"/>
    <w:rsid w:val="00E65EE9"/>
    <w:rsid w:val="00E66087"/>
    <w:rsid w:val="00E66D79"/>
    <w:rsid w:val="00E66FF9"/>
    <w:rsid w:val="00E67856"/>
    <w:rsid w:val="00E679C8"/>
    <w:rsid w:val="00E70238"/>
    <w:rsid w:val="00E70314"/>
    <w:rsid w:val="00E70FCD"/>
    <w:rsid w:val="00E724E7"/>
    <w:rsid w:val="00E72B41"/>
    <w:rsid w:val="00E7347B"/>
    <w:rsid w:val="00E73D03"/>
    <w:rsid w:val="00E7471C"/>
    <w:rsid w:val="00E7498A"/>
    <w:rsid w:val="00E74C80"/>
    <w:rsid w:val="00E7514E"/>
    <w:rsid w:val="00E75602"/>
    <w:rsid w:val="00E75B34"/>
    <w:rsid w:val="00E77AF5"/>
    <w:rsid w:val="00E8029A"/>
    <w:rsid w:val="00E803A6"/>
    <w:rsid w:val="00E81653"/>
    <w:rsid w:val="00E823F9"/>
    <w:rsid w:val="00E82C1F"/>
    <w:rsid w:val="00E82EEA"/>
    <w:rsid w:val="00E83671"/>
    <w:rsid w:val="00E83A63"/>
    <w:rsid w:val="00E83E04"/>
    <w:rsid w:val="00E83FB9"/>
    <w:rsid w:val="00E8414B"/>
    <w:rsid w:val="00E843F1"/>
    <w:rsid w:val="00E84A71"/>
    <w:rsid w:val="00E8544B"/>
    <w:rsid w:val="00E86556"/>
    <w:rsid w:val="00E86798"/>
    <w:rsid w:val="00E86D35"/>
    <w:rsid w:val="00E86DC2"/>
    <w:rsid w:val="00E86E32"/>
    <w:rsid w:val="00E8732E"/>
    <w:rsid w:val="00E9011F"/>
    <w:rsid w:val="00E906EB"/>
    <w:rsid w:val="00E913F9"/>
    <w:rsid w:val="00E91F8E"/>
    <w:rsid w:val="00E9241E"/>
    <w:rsid w:val="00E92460"/>
    <w:rsid w:val="00E92E62"/>
    <w:rsid w:val="00E92E8B"/>
    <w:rsid w:val="00E93804"/>
    <w:rsid w:val="00E93A86"/>
    <w:rsid w:val="00E941AA"/>
    <w:rsid w:val="00E950FE"/>
    <w:rsid w:val="00E95434"/>
    <w:rsid w:val="00E96467"/>
    <w:rsid w:val="00E966DA"/>
    <w:rsid w:val="00E96948"/>
    <w:rsid w:val="00E9737B"/>
    <w:rsid w:val="00E97A3F"/>
    <w:rsid w:val="00E97F0A"/>
    <w:rsid w:val="00EA0100"/>
    <w:rsid w:val="00EA010D"/>
    <w:rsid w:val="00EA04DC"/>
    <w:rsid w:val="00EA0886"/>
    <w:rsid w:val="00EA0BCE"/>
    <w:rsid w:val="00EA2547"/>
    <w:rsid w:val="00EA2726"/>
    <w:rsid w:val="00EA2744"/>
    <w:rsid w:val="00EA2937"/>
    <w:rsid w:val="00EA37B9"/>
    <w:rsid w:val="00EA39F7"/>
    <w:rsid w:val="00EA3B27"/>
    <w:rsid w:val="00EA3DC2"/>
    <w:rsid w:val="00EA3F4F"/>
    <w:rsid w:val="00EA434E"/>
    <w:rsid w:val="00EA4757"/>
    <w:rsid w:val="00EA51FF"/>
    <w:rsid w:val="00EA53D3"/>
    <w:rsid w:val="00EA560B"/>
    <w:rsid w:val="00EA5669"/>
    <w:rsid w:val="00EA5C05"/>
    <w:rsid w:val="00EA5C1C"/>
    <w:rsid w:val="00EA63EF"/>
    <w:rsid w:val="00EA644F"/>
    <w:rsid w:val="00EA6750"/>
    <w:rsid w:val="00EB0A89"/>
    <w:rsid w:val="00EB0B22"/>
    <w:rsid w:val="00EB1573"/>
    <w:rsid w:val="00EB1650"/>
    <w:rsid w:val="00EB1910"/>
    <w:rsid w:val="00EB1D24"/>
    <w:rsid w:val="00EB1D35"/>
    <w:rsid w:val="00EB209B"/>
    <w:rsid w:val="00EB2E97"/>
    <w:rsid w:val="00EB3416"/>
    <w:rsid w:val="00EB4AE1"/>
    <w:rsid w:val="00EB52F4"/>
    <w:rsid w:val="00EB5694"/>
    <w:rsid w:val="00EB5779"/>
    <w:rsid w:val="00EB6098"/>
    <w:rsid w:val="00EB65ED"/>
    <w:rsid w:val="00EB67F1"/>
    <w:rsid w:val="00EB72CD"/>
    <w:rsid w:val="00EB749A"/>
    <w:rsid w:val="00EB76B6"/>
    <w:rsid w:val="00EB7D8A"/>
    <w:rsid w:val="00EC05E2"/>
    <w:rsid w:val="00EC08AF"/>
    <w:rsid w:val="00EC0B29"/>
    <w:rsid w:val="00EC0E84"/>
    <w:rsid w:val="00EC16E2"/>
    <w:rsid w:val="00EC1CE7"/>
    <w:rsid w:val="00EC26F1"/>
    <w:rsid w:val="00EC32B4"/>
    <w:rsid w:val="00EC346B"/>
    <w:rsid w:val="00EC36B1"/>
    <w:rsid w:val="00EC3C94"/>
    <w:rsid w:val="00EC44DF"/>
    <w:rsid w:val="00EC4AB1"/>
    <w:rsid w:val="00EC4EFB"/>
    <w:rsid w:val="00EC4FB9"/>
    <w:rsid w:val="00EC5310"/>
    <w:rsid w:val="00EC5393"/>
    <w:rsid w:val="00EC5741"/>
    <w:rsid w:val="00EC5ACE"/>
    <w:rsid w:val="00EC5DA3"/>
    <w:rsid w:val="00EC6014"/>
    <w:rsid w:val="00EC6B3E"/>
    <w:rsid w:val="00EC6D8D"/>
    <w:rsid w:val="00EC71C7"/>
    <w:rsid w:val="00EC73DE"/>
    <w:rsid w:val="00EC7637"/>
    <w:rsid w:val="00EC7B63"/>
    <w:rsid w:val="00EC7CF2"/>
    <w:rsid w:val="00ED046B"/>
    <w:rsid w:val="00ED046C"/>
    <w:rsid w:val="00ED053A"/>
    <w:rsid w:val="00ED1F03"/>
    <w:rsid w:val="00ED2D27"/>
    <w:rsid w:val="00ED3347"/>
    <w:rsid w:val="00ED38FD"/>
    <w:rsid w:val="00ED3954"/>
    <w:rsid w:val="00ED4048"/>
    <w:rsid w:val="00ED43A2"/>
    <w:rsid w:val="00ED43B4"/>
    <w:rsid w:val="00ED4967"/>
    <w:rsid w:val="00ED4EC8"/>
    <w:rsid w:val="00ED510D"/>
    <w:rsid w:val="00ED5140"/>
    <w:rsid w:val="00ED522A"/>
    <w:rsid w:val="00ED538C"/>
    <w:rsid w:val="00ED5771"/>
    <w:rsid w:val="00ED587F"/>
    <w:rsid w:val="00ED5964"/>
    <w:rsid w:val="00ED623F"/>
    <w:rsid w:val="00ED69BA"/>
    <w:rsid w:val="00ED72E9"/>
    <w:rsid w:val="00ED732E"/>
    <w:rsid w:val="00ED77F0"/>
    <w:rsid w:val="00ED7CB0"/>
    <w:rsid w:val="00ED7FBC"/>
    <w:rsid w:val="00EE0253"/>
    <w:rsid w:val="00EE0297"/>
    <w:rsid w:val="00EE0789"/>
    <w:rsid w:val="00EE0B63"/>
    <w:rsid w:val="00EE1031"/>
    <w:rsid w:val="00EE1258"/>
    <w:rsid w:val="00EE13DA"/>
    <w:rsid w:val="00EE162F"/>
    <w:rsid w:val="00EE1668"/>
    <w:rsid w:val="00EE1CE5"/>
    <w:rsid w:val="00EE366D"/>
    <w:rsid w:val="00EE5350"/>
    <w:rsid w:val="00EE5454"/>
    <w:rsid w:val="00EE58B8"/>
    <w:rsid w:val="00EE59B5"/>
    <w:rsid w:val="00EE5CF6"/>
    <w:rsid w:val="00EE5D1D"/>
    <w:rsid w:val="00EE5FB7"/>
    <w:rsid w:val="00EE666A"/>
    <w:rsid w:val="00EE6A1A"/>
    <w:rsid w:val="00EE7B54"/>
    <w:rsid w:val="00EE7C88"/>
    <w:rsid w:val="00EE7C8B"/>
    <w:rsid w:val="00EF0209"/>
    <w:rsid w:val="00EF0EA4"/>
    <w:rsid w:val="00EF1E97"/>
    <w:rsid w:val="00EF2436"/>
    <w:rsid w:val="00EF2547"/>
    <w:rsid w:val="00EF2B2B"/>
    <w:rsid w:val="00EF2E1C"/>
    <w:rsid w:val="00EF2FD6"/>
    <w:rsid w:val="00EF326A"/>
    <w:rsid w:val="00EF427A"/>
    <w:rsid w:val="00EF45DF"/>
    <w:rsid w:val="00EF4952"/>
    <w:rsid w:val="00EF498F"/>
    <w:rsid w:val="00EF4A42"/>
    <w:rsid w:val="00EF510C"/>
    <w:rsid w:val="00EF54B9"/>
    <w:rsid w:val="00EF55C4"/>
    <w:rsid w:val="00EF57BC"/>
    <w:rsid w:val="00EF5FD2"/>
    <w:rsid w:val="00EF6784"/>
    <w:rsid w:val="00EF688A"/>
    <w:rsid w:val="00EF6A03"/>
    <w:rsid w:val="00EF6DC2"/>
    <w:rsid w:val="00EF7AB5"/>
    <w:rsid w:val="00EF7BF4"/>
    <w:rsid w:val="00F0030F"/>
    <w:rsid w:val="00F00674"/>
    <w:rsid w:val="00F00929"/>
    <w:rsid w:val="00F01068"/>
    <w:rsid w:val="00F01657"/>
    <w:rsid w:val="00F01E67"/>
    <w:rsid w:val="00F021B7"/>
    <w:rsid w:val="00F02744"/>
    <w:rsid w:val="00F02BFD"/>
    <w:rsid w:val="00F02D25"/>
    <w:rsid w:val="00F03F1C"/>
    <w:rsid w:val="00F0435D"/>
    <w:rsid w:val="00F04580"/>
    <w:rsid w:val="00F04ECA"/>
    <w:rsid w:val="00F05DC2"/>
    <w:rsid w:val="00F06E19"/>
    <w:rsid w:val="00F06F84"/>
    <w:rsid w:val="00F076E7"/>
    <w:rsid w:val="00F07AA1"/>
    <w:rsid w:val="00F105AE"/>
    <w:rsid w:val="00F10618"/>
    <w:rsid w:val="00F107FD"/>
    <w:rsid w:val="00F10D44"/>
    <w:rsid w:val="00F1108B"/>
    <w:rsid w:val="00F11768"/>
    <w:rsid w:val="00F11951"/>
    <w:rsid w:val="00F11BA8"/>
    <w:rsid w:val="00F12259"/>
    <w:rsid w:val="00F12262"/>
    <w:rsid w:val="00F12AF8"/>
    <w:rsid w:val="00F12C52"/>
    <w:rsid w:val="00F14352"/>
    <w:rsid w:val="00F148B7"/>
    <w:rsid w:val="00F14BE9"/>
    <w:rsid w:val="00F14EA9"/>
    <w:rsid w:val="00F15505"/>
    <w:rsid w:val="00F15BFF"/>
    <w:rsid w:val="00F15C2D"/>
    <w:rsid w:val="00F17105"/>
    <w:rsid w:val="00F17C7B"/>
    <w:rsid w:val="00F200A5"/>
    <w:rsid w:val="00F20A0B"/>
    <w:rsid w:val="00F213A0"/>
    <w:rsid w:val="00F217AB"/>
    <w:rsid w:val="00F21A51"/>
    <w:rsid w:val="00F21D54"/>
    <w:rsid w:val="00F21D6D"/>
    <w:rsid w:val="00F21EF4"/>
    <w:rsid w:val="00F23113"/>
    <w:rsid w:val="00F23255"/>
    <w:rsid w:val="00F23393"/>
    <w:rsid w:val="00F23759"/>
    <w:rsid w:val="00F23CB5"/>
    <w:rsid w:val="00F245A1"/>
    <w:rsid w:val="00F24644"/>
    <w:rsid w:val="00F256FD"/>
    <w:rsid w:val="00F259F1"/>
    <w:rsid w:val="00F26D5A"/>
    <w:rsid w:val="00F26F33"/>
    <w:rsid w:val="00F27E74"/>
    <w:rsid w:val="00F300A8"/>
    <w:rsid w:val="00F30265"/>
    <w:rsid w:val="00F30400"/>
    <w:rsid w:val="00F3079E"/>
    <w:rsid w:val="00F32A03"/>
    <w:rsid w:val="00F32C50"/>
    <w:rsid w:val="00F33980"/>
    <w:rsid w:val="00F3399B"/>
    <w:rsid w:val="00F33C1A"/>
    <w:rsid w:val="00F3461B"/>
    <w:rsid w:val="00F346ED"/>
    <w:rsid w:val="00F34945"/>
    <w:rsid w:val="00F34E1E"/>
    <w:rsid w:val="00F351E8"/>
    <w:rsid w:val="00F3570C"/>
    <w:rsid w:val="00F368FF"/>
    <w:rsid w:val="00F37068"/>
    <w:rsid w:val="00F3713D"/>
    <w:rsid w:val="00F37F3F"/>
    <w:rsid w:val="00F40201"/>
    <w:rsid w:val="00F404A9"/>
    <w:rsid w:val="00F4062F"/>
    <w:rsid w:val="00F40992"/>
    <w:rsid w:val="00F40A99"/>
    <w:rsid w:val="00F40AEC"/>
    <w:rsid w:val="00F412DF"/>
    <w:rsid w:val="00F41596"/>
    <w:rsid w:val="00F41D8B"/>
    <w:rsid w:val="00F42121"/>
    <w:rsid w:val="00F424B3"/>
    <w:rsid w:val="00F428B1"/>
    <w:rsid w:val="00F428B4"/>
    <w:rsid w:val="00F4345D"/>
    <w:rsid w:val="00F4387B"/>
    <w:rsid w:val="00F445F7"/>
    <w:rsid w:val="00F4518D"/>
    <w:rsid w:val="00F45B91"/>
    <w:rsid w:val="00F46639"/>
    <w:rsid w:val="00F46692"/>
    <w:rsid w:val="00F46C3A"/>
    <w:rsid w:val="00F47AAA"/>
    <w:rsid w:val="00F47B3B"/>
    <w:rsid w:val="00F50183"/>
    <w:rsid w:val="00F50D92"/>
    <w:rsid w:val="00F51765"/>
    <w:rsid w:val="00F51A51"/>
    <w:rsid w:val="00F51CB4"/>
    <w:rsid w:val="00F52324"/>
    <w:rsid w:val="00F52950"/>
    <w:rsid w:val="00F52C9D"/>
    <w:rsid w:val="00F52E39"/>
    <w:rsid w:val="00F533F1"/>
    <w:rsid w:val="00F55679"/>
    <w:rsid w:val="00F561E3"/>
    <w:rsid w:val="00F565E6"/>
    <w:rsid w:val="00F56977"/>
    <w:rsid w:val="00F56AFA"/>
    <w:rsid w:val="00F575E2"/>
    <w:rsid w:val="00F57715"/>
    <w:rsid w:val="00F579FF"/>
    <w:rsid w:val="00F600E0"/>
    <w:rsid w:val="00F600FD"/>
    <w:rsid w:val="00F603D3"/>
    <w:rsid w:val="00F605EC"/>
    <w:rsid w:val="00F60F60"/>
    <w:rsid w:val="00F612CE"/>
    <w:rsid w:val="00F624A7"/>
    <w:rsid w:val="00F62AB6"/>
    <w:rsid w:val="00F63984"/>
    <w:rsid w:val="00F63E91"/>
    <w:rsid w:val="00F641FD"/>
    <w:rsid w:val="00F65A3C"/>
    <w:rsid w:val="00F66282"/>
    <w:rsid w:val="00F662CC"/>
    <w:rsid w:val="00F669BB"/>
    <w:rsid w:val="00F67D8B"/>
    <w:rsid w:val="00F70961"/>
    <w:rsid w:val="00F70A8F"/>
    <w:rsid w:val="00F70F18"/>
    <w:rsid w:val="00F71397"/>
    <w:rsid w:val="00F72389"/>
    <w:rsid w:val="00F72516"/>
    <w:rsid w:val="00F72AA0"/>
    <w:rsid w:val="00F72FB4"/>
    <w:rsid w:val="00F73317"/>
    <w:rsid w:val="00F735E5"/>
    <w:rsid w:val="00F73DD9"/>
    <w:rsid w:val="00F73E80"/>
    <w:rsid w:val="00F7469C"/>
    <w:rsid w:val="00F747E9"/>
    <w:rsid w:val="00F7492E"/>
    <w:rsid w:val="00F74945"/>
    <w:rsid w:val="00F749A3"/>
    <w:rsid w:val="00F74A04"/>
    <w:rsid w:val="00F74AE8"/>
    <w:rsid w:val="00F75A86"/>
    <w:rsid w:val="00F768FF"/>
    <w:rsid w:val="00F76C11"/>
    <w:rsid w:val="00F77021"/>
    <w:rsid w:val="00F775CB"/>
    <w:rsid w:val="00F77E61"/>
    <w:rsid w:val="00F814B2"/>
    <w:rsid w:val="00F815AC"/>
    <w:rsid w:val="00F83200"/>
    <w:rsid w:val="00F83B33"/>
    <w:rsid w:val="00F83CAE"/>
    <w:rsid w:val="00F840BF"/>
    <w:rsid w:val="00F8415D"/>
    <w:rsid w:val="00F8427A"/>
    <w:rsid w:val="00F843DF"/>
    <w:rsid w:val="00F84899"/>
    <w:rsid w:val="00F848AB"/>
    <w:rsid w:val="00F84A0A"/>
    <w:rsid w:val="00F853A5"/>
    <w:rsid w:val="00F85585"/>
    <w:rsid w:val="00F859F0"/>
    <w:rsid w:val="00F85CC1"/>
    <w:rsid w:val="00F86A41"/>
    <w:rsid w:val="00F86B5D"/>
    <w:rsid w:val="00F87464"/>
    <w:rsid w:val="00F87634"/>
    <w:rsid w:val="00F87B55"/>
    <w:rsid w:val="00F87C13"/>
    <w:rsid w:val="00F87C5A"/>
    <w:rsid w:val="00F87E29"/>
    <w:rsid w:val="00F87F18"/>
    <w:rsid w:val="00F87F68"/>
    <w:rsid w:val="00F90515"/>
    <w:rsid w:val="00F90C4D"/>
    <w:rsid w:val="00F90F7A"/>
    <w:rsid w:val="00F9167D"/>
    <w:rsid w:val="00F91CB2"/>
    <w:rsid w:val="00F91E01"/>
    <w:rsid w:val="00F9289C"/>
    <w:rsid w:val="00F938A7"/>
    <w:rsid w:val="00F93DBC"/>
    <w:rsid w:val="00F93E41"/>
    <w:rsid w:val="00F94644"/>
    <w:rsid w:val="00F95075"/>
    <w:rsid w:val="00F9537B"/>
    <w:rsid w:val="00F95567"/>
    <w:rsid w:val="00F95CED"/>
    <w:rsid w:val="00F963FC"/>
    <w:rsid w:val="00FA015F"/>
    <w:rsid w:val="00FA0FAC"/>
    <w:rsid w:val="00FA1DA2"/>
    <w:rsid w:val="00FA3414"/>
    <w:rsid w:val="00FA347A"/>
    <w:rsid w:val="00FA39D7"/>
    <w:rsid w:val="00FA3CDE"/>
    <w:rsid w:val="00FA49B7"/>
    <w:rsid w:val="00FA5043"/>
    <w:rsid w:val="00FA63C2"/>
    <w:rsid w:val="00FA6F8B"/>
    <w:rsid w:val="00FA7A30"/>
    <w:rsid w:val="00FB032F"/>
    <w:rsid w:val="00FB033F"/>
    <w:rsid w:val="00FB04B5"/>
    <w:rsid w:val="00FB0BFB"/>
    <w:rsid w:val="00FB0F29"/>
    <w:rsid w:val="00FB12E3"/>
    <w:rsid w:val="00FB1570"/>
    <w:rsid w:val="00FB193B"/>
    <w:rsid w:val="00FB1FBC"/>
    <w:rsid w:val="00FB27B7"/>
    <w:rsid w:val="00FB2C36"/>
    <w:rsid w:val="00FB3483"/>
    <w:rsid w:val="00FB35E3"/>
    <w:rsid w:val="00FB4D3F"/>
    <w:rsid w:val="00FB583C"/>
    <w:rsid w:val="00FB630E"/>
    <w:rsid w:val="00FB6738"/>
    <w:rsid w:val="00FB691B"/>
    <w:rsid w:val="00FB731C"/>
    <w:rsid w:val="00FB7DF8"/>
    <w:rsid w:val="00FC05A0"/>
    <w:rsid w:val="00FC0811"/>
    <w:rsid w:val="00FC1196"/>
    <w:rsid w:val="00FC15EB"/>
    <w:rsid w:val="00FC18DC"/>
    <w:rsid w:val="00FC2AC4"/>
    <w:rsid w:val="00FC2D6D"/>
    <w:rsid w:val="00FC2F73"/>
    <w:rsid w:val="00FC3A9B"/>
    <w:rsid w:val="00FC3AE1"/>
    <w:rsid w:val="00FC3DFC"/>
    <w:rsid w:val="00FC3EF4"/>
    <w:rsid w:val="00FC431B"/>
    <w:rsid w:val="00FC434C"/>
    <w:rsid w:val="00FC4FDF"/>
    <w:rsid w:val="00FC5CD9"/>
    <w:rsid w:val="00FC5CF4"/>
    <w:rsid w:val="00FC6A39"/>
    <w:rsid w:val="00FC6E50"/>
    <w:rsid w:val="00FC710F"/>
    <w:rsid w:val="00FC79AB"/>
    <w:rsid w:val="00FC7BE7"/>
    <w:rsid w:val="00FC7DAC"/>
    <w:rsid w:val="00FD04AE"/>
    <w:rsid w:val="00FD086B"/>
    <w:rsid w:val="00FD1890"/>
    <w:rsid w:val="00FD1994"/>
    <w:rsid w:val="00FD21A9"/>
    <w:rsid w:val="00FD242B"/>
    <w:rsid w:val="00FD2AC8"/>
    <w:rsid w:val="00FD2CA6"/>
    <w:rsid w:val="00FD3508"/>
    <w:rsid w:val="00FD393C"/>
    <w:rsid w:val="00FD43BB"/>
    <w:rsid w:val="00FD4AF3"/>
    <w:rsid w:val="00FD532E"/>
    <w:rsid w:val="00FD556A"/>
    <w:rsid w:val="00FD5A69"/>
    <w:rsid w:val="00FD6F3C"/>
    <w:rsid w:val="00FD798D"/>
    <w:rsid w:val="00FD7BD8"/>
    <w:rsid w:val="00FD7FB9"/>
    <w:rsid w:val="00FE018B"/>
    <w:rsid w:val="00FE100E"/>
    <w:rsid w:val="00FE11D8"/>
    <w:rsid w:val="00FE141E"/>
    <w:rsid w:val="00FE144E"/>
    <w:rsid w:val="00FE1689"/>
    <w:rsid w:val="00FE1768"/>
    <w:rsid w:val="00FE24F4"/>
    <w:rsid w:val="00FE2560"/>
    <w:rsid w:val="00FE35D0"/>
    <w:rsid w:val="00FE41AC"/>
    <w:rsid w:val="00FE42ED"/>
    <w:rsid w:val="00FE4C6D"/>
    <w:rsid w:val="00FE55A7"/>
    <w:rsid w:val="00FE55E6"/>
    <w:rsid w:val="00FE56D5"/>
    <w:rsid w:val="00FE5C5A"/>
    <w:rsid w:val="00FE6432"/>
    <w:rsid w:val="00FE6517"/>
    <w:rsid w:val="00FE6E56"/>
    <w:rsid w:val="00FE72A0"/>
    <w:rsid w:val="00FF0050"/>
    <w:rsid w:val="00FF045F"/>
    <w:rsid w:val="00FF0712"/>
    <w:rsid w:val="00FF0976"/>
    <w:rsid w:val="00FF13D4"/>
    <w:rsid w:val="00FF2053"/>
    <w:rsid w:val="00FF2F4E"/>
    <w:rsid w:val="00FF3B37"/>
    <w:rsid w:val="00FF3D6F"/>
    <w:rsid w:val="00FF4BD8"/>
    <w:rsid w:val="00FF4D11"/>
    <w:rsid w:val="00FF5214"/>
    <w:rsid w:val="00FF53A5"/>
    <w:rsid w:val="00FF596E"/>
    <w:rsid w:val="00FF5B59"/>
    <w:rsid w:val="00FF5BFD"/>
    <w:rsid w:val="00FF5C01"/>
    <w:rsid w:val="00FF5F9D"/>
    <w:rsid w:val="00FF6095"/>
    <w:rsid w:val="00FF62FE"/>
    <w:rsid w:val="00FF6553"/>
    <w:rsid w:val="00FF7134"/>
    <w:rsid w:val="00FF7A39"/>
    <w:rsid w:val="00FF7F86"/>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92E25F10-3879-490C-9C36-0F4061541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27B"/>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3">
    <w:name w:val="heading 3"/>
    <w:basedOn w:val="Normal"/>
    <w:next w:val="Normal"/>
    <w:link w:val="Ttulo3Car"/>
    <w:uiPriority w:val="9"/>
    <w:semiHidden/>
    <w:unhideWhenUsed/>
    <w:qFormat/>
    <w:rsid w:val="00992703"/>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table" w:customStyle="1" w:styleId="Tablaconcuadrcula2">
    <w:name w:val="Tabla con cuadrícula2"/>
    <w:basedOn w:val="Tablanormal"/>
    <w:next w:val="Tablaconcuadrcula"/>
    <w:uiPriority w:val="39"/>
    <w:rsid w:val="001E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spacing">
    <w:name w:val="x_msonospacing"/>
    <w:basedOn w:val="Normal"/>
    <w:rsid w:val="00292E64"/>
    <w:pPr>
      <w:spacing w:before="100" w:beforeAutospacing="1" w:after="100" w:afterAutospacing="1"/>
    </w:pPr>
    <w:rPr>
      <w:lang w:eastAsia="es-MX"/>
    </w:rPr>
  </w:style>
  <w:style w:type="paragraph" w:customStyle="1" w:styleId="Capitulo8">
    <w:name w:val="Capitulo 8"/>
    <w:basedOn w:val="Normal"/>
    <w:qFormat/>
    <w:rsid w:val="00DB5196"/>
    <w:pPr>
      <w:numPr>
        <w:numId w:val="36"/>
      </w:numPr>
      <w:spacing w:after="200" w:line="276" w:lineRule="auto"/>
      <w:ind w:left="1020" w:hanging="680"/>
      <w:contextualSpacing/>
      <w:jc w:val="both"/>
    </w:pPr>
    <w:rPr>
      <w:rFonts w:ascii="Arial" w:eastAsia="Calibri" w:hAnsi="Arial" w:cs="Arial"/>
      <w:b/>
      <w:bCs/>
      <w:color w:val="1C1C1C"/>
      <w:sz w:val="20"/>
      <w:szCs w:val="20"/>
      <w:lang w:eastAsia="en-US"/>
    </w:rPr>
  </w:style>
  <w:style w:type="paragraph" w:customStyle="1" w:styleId="Normal11pt">
    <w:name w:val="Normal + 11 pt"/>
    <w:aliases w:val="Negro,Justificado,Izquierda:  -0,95 cm,Derecha:  0,04 cm"/>
    <w:basedOn w:val="Normal"/>
    <w:uiPriority w:val="99"/>
    <w:rsid w:val="008A2527"/>
    <w:pPr>
      <w:ind w:left="-540"/>
      <w:jc w:val="both"/>
    </w:pPr>
    <w:rPr>
      <w:rFonts w:ascii="Arial" w:hAnsi="Arial" w:cs="Arial"/>
      <w:color w:val="000000"/>
      <w:sz w:val="22"/>
      <w:szCs w:val="22"/>
      <w:lang w:val="es-ES_tradnl" w:eastAsia="es-ES"/>
    </w:rPr>
  </w:style>
  <w:style w:type="paragraph" w:styleId="Revisin">
    <w:name w:val="Revision"/>
    <w:hidden/>
    <w:uiPriority w:val="99"/>
    <w:semiHidden/>
    <w:rsid w:val="00FE100E"/>
    <w:pPr>
      <w:spacing w:after="0" w:line="240" w:lineRule="auto"/>
    </w:pPr>
    <w:rPr>
      <w:rFonts w:ascii="Times New Roman" w:eastAsia="Times New Roman" w:hAnsi="Times New Roman" w:cs="Times New Roman"/>
      <w:sz w:val="24"/>
      <w:szCs w:val="24"/>
      <w:lang w:eastAsia="es-ES_tradnl"/>
    </w:rPr>
  </w:style>
  <w:style w:type="character" w:styleId="Mencinsinresolver">
    <w:name w:val="Unresolved Mention"/>
    <w:basedOn w:val="Fuentedeprrafopredeter"/>
    <w:uiPriority w:val="99"/>
    <w:semiHidden/>
    <w:unhideWhenUsed/>
    <w:rsid w:val="002B4039"/>
    <w:rPr>
      <w:color w:val="605E5C"/>
      <w:shd w:val="clear" w:color="auto" w:fill="E1DFDD"/>
    </w:rPr>
  </w:style>
  <w:style w:type="character" w:customStyle="1" w:styleId="Ttulo3Car">
    <w:name w:val="Título 3 Car"/>
    <w:basedOn w:val="Fuentedeprrafopredeter"/>
    <w:link w:val="Ttulo3"/>
    <w:uiPriority w:val="9"/>
    <w:semiHidden/>
    <w:rsid w:val="00992703"/>
    <w:rPr>
      <w:rFonts w:asciiTheme="majorHAnsi" w:eastAsiaTheme="majorEastAsia" w:hAnsiTheme="majorHAnsi" w:cstheme="majorBidi"/>
      <w:color w:val="243F60" w:themeColor="accent1" w:themeShade="7F"/>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506312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68890569">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3674024">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0150232">
      <w:bodyDiv w:val="1"/>
      <w:marLeft w:val="0"/>
      <w:marRight w:val="0"/>
      <w:marTop w:val="0"/>
      <w:marBottom w:val="0"/>
      <w:divBdr>
        <w:top w:val="none" w:sz="0" w:space="0" w:color="auto"/>
        <w:left w:val="none" w:sz="0" w:space="0" w:color="auto"/>
        <w:bottom w:val="none" w:sz="0" w:space="0" w:color="auto"/>
        <w:right w:val="none" w:sz="0" w:space="0" w:color="auto"/>
      </w:divBdr>
    </w:div>
    <w:div w:id="192500427">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27573394">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0697073">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368787">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2467761">
      <w:bodyDiv w:val="1"/>
      <w:marLeft w:val="0"/>
      <w:marRight w:val="0"/>
      <w:marTop w:val="0"/>
      <w:marBottom w:val="0"/>
      <w:divBdr>
        <w:top w:val="none" w:sz="0" w:space="0" w:color="auto"/>
        <w:left w:val="none" w:sz="0" w:space="0" w:color="auto"/>
        <w:bottom w:val="none" w:sz="0" w:space="0" w:color="auto"/>
        <w:right w:val="none" w:sz="0" w:space="0" w:color="auto"/>
      </w:divBdr>
    </w:div>
    <w:div w:id="32343807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52458027">
      <w:bodyDiv w:val="1"/>
      <w:marLeft w:val="0"/>
      <w:marRight w:val="0"/>
      <w:marTop w:val="0"/>
      <w:marBottom w:val="0"/>
      <w:divBdr>
        <w:top w:val="none" w:sz="0" w:space="0" w:color="auto"/>
        <w:left w:val="none" w:sz="0" w:space="0" w:color="auto"/>
        <w:bottom w:val="none" w:sz="0" w:space="0" w:color="auto"/>
        <w:right w:val="none" w:sz="0" w:space="0" w:color="auto"/>
      </w:divBdr>
    </w:div>
    <w:div w:id="362832124">
      <w:bodyDiv w:val="1"/>
      <w:marLeft w:val="0"/>
      <w:marRight w:val="0"/>
      <w:marTop w:val="0"/>
      <w:marBottom w:val="0"/>
      <w:divBdr>
        <w:top w:val="none" w:sz="0" w:space="0" w:color="auto"/>
        <w:left w:val="none" w:sz="0" w:space="0" w:color="auto"/>
        <w:bottom w:val="none" w:sz="0" w:space="0" w:color="auto"/>
        <w:right w:val="none" w:sz="0" w:space="0" w:color="auto"/>
      </w:divBdr>
    </w:div>
    <w:div w:id="373847752">
      <w:bodyDiv w:val="1"/>
      <w:marLeft w:val="0"/>
      <w:marRight w:val="0"/>
      <w:marTop w:val="0"/>
      <w:marBottom w:val="0"/>
      <w:divBdr>
        <w:top w:val="none" w:sz="0" w:space="0" w:color="auto"/>
        <w:left w:val="none" w:sz="0" w:space="0" w:color="auto"/>
        <w:bottom w:val="none" w:sz="0" w:space="0" w:color="auto"/>
        <w:right w:val="none" w:sz="0" w:space="0" w:color="auto"/>
      </w:divBdr>
      <w:divsChild>
        <w:div w:id="185019911">
          <w:marLeft w:val="0"/>
          <w:marRight w:val="0"/>
          <w:marTop w:val="0"/>
          <w:marBottom w:val="0"/>
          <w:divBdr>
            <w:top w:val="none" w:sz="0" w:space="0" w:color="auto"/>
            <w:left w:val="none" w:sz="0" w:space="0" w:color="auto"/>
            <w:bottom w:val="none" w:sz="0" w:space="0" w:color="auto"/>
            <w:right w:val="none" w:sz="0" w:space="0" w:color="auto"/>
          </w:divBdr>
        </w:div>
        <w:div w:id="250747312">
          <w:marLeft w:val="0"/>
          <w:marRight w:val="0"/>
          <w:marTop w:val="0"/>
          <w:marBottom w:val="0"/>
          <w:divBdr>
            <w:top w:val="none" w:sz="0" w:space="0" w:color="auto"/>
            <w:left w:val="none" w:sz="0" w:space="0" w:color="auto"/>
            <w:bottom w:val="none" w:sz="0" w:space="0" w:color="auto"/>
            <w:right w:val="none" w:sz="0" w:space="0" w:color="auto"/>
          </w:divBdr>
        </w:div>
        <w:div w:id="340739953">
          <w:marLeft w:val="0"/>
          <w:marRight w:val="0"/>
          <w:marTop w:val="0"/>
          <w:marBottom w:val="0"/>
          <w:divBdr>
            <w:top w:val="none" w:sz="0" w:space="0" w:color="auto"/>
            <w:left w:val="none" w:sz="0" w:space="0" w:color="auto"/>
            <w:bottom w:val="none" w:sz="0" w:space="0" w:color="auto"/>
            <w:right w:val="none" w:sz="0" w:space="0" w:color="auto"/>
          </w:divBdr>
        </w:div>
        <w:div w:id="355351056">
          <w:marLeft w:val="0"/>
          <w:marRight w:val="0"/>
          <w:marTop w:val="0"/>
          <w:marBottom w:val="0"/>
          <w:divBdr>
            <w:top w:val="none" w:sz="0" w:space="0" w:color="auto"/>
            <w:left w:val="none" w:sz="0" w:space="0" w:color="auto"/>
            <w:bottom w:val="none" w:sz="0" w:space="0" w:color="auto"/>
            <w:right w:val="none" w:sz="0" w:space="0" w:color="auto"/>
          </w:divBdr>
        </w:div>
        <w:div w:id="356153059">
          <w:marLeft w:val="0"/>
          <w:marRight w:val="0"/>
          <w:marTop w:val="0"/>
          <w:marBottom w:val="0"/>
          <w:divBdr>
            <w:top w:val="none" w:sz="0" w:space="0" w:color="auto"/>
            <w:left w:val="none" w:sz="0" w:space="0" w:color="auto"/>
            <w:bottom w:val="none" w:sz="0" w:space="0" w:color="auto"/>
            <w:right w:val="none" w:sz="0" w:space="0" w:color="auto"/>
          </w:divBdr>
        </w:div>
        <w:div w:id="375393709">
          <w:marLeft w:val="0"/>
          <w:marRight w:val="0"/>
          <w:marTop w:val="0"/>
          <w:marBottom w:val="0"/>
          <w:divBdr>
            <w:top w:val="none" w:sz="0" w:space="0" w:color="auto"/>
            <w:left w:val="none" w:sz="0" w:space="0" w:color="auto"/>
            <w:bottom w:val="none" w:sz="0" w:space="0" w:color="auto"/>
            <w:right w:val="none" w:sz="0" w:space="0" w:color="auto"/>
          </w:divBdr>
        </w:div>
        <w:div w:id="386532194">
          <w:marLeft w:val="0"/>
          <w:marRight w:val="0"/>
          <w:marTop w:val="0"/>
          <w:marBottom w:val="0"/>
          <w:divBdr>
            <w:top w:val="none" w:sz="0" w:space="0" w:color="auto"/>
            <w:left w:val="none" w:sz="0" w:space="0" w:color="auto"/>
            <w:bottom w:val="none" w:sz="0" w:space="0" w:color="auto"/>
            <w:right w:val="none" w:sz="0" w:space="0" w:color="auto"/>
          </w:divBdr>
        </w:div>
        <w:div w:id="497230276">
          <w:marLeft w:val="0"/>
          <w:marRight w:val="0"/>
          <w:marTop w:val="0"/>
          <w:marBottom w:val="0"/>
          <w:divBdr>
            <w:top w:val="none" w:sz="0" w:space="0" w:color="auto"/>
            <w:left w:val="none" w:sz="0" w:space="0" w:color="auto"/>
            <w:bottom w:val="none" w:sz="0" w:space="0" w:color="auto"/>
            <w:right w:val="none" w:sz="0" w:space="0" w:color="auto"/>
          </w:divBdr>
        </w:div>
        <w:div w:id="689572277">
          <w:marLeft w:val="0"/>
          <w:marRight w:val="0"/>
          <w:marTop w:val="0"/>
          <w:marBottom w:val="0"/>
          <w:divBdr>
            <w:top w:val="none" w:sz="0" w:space="0" w:color="auto"/>
            <w:left w:val="none" w:sz="0" w:space="0" w:color="auto"/>
            <w:bottom w:val="none" w:sz="0" w:space="0" w:color="auto"/>
            <w:right w:val="none" w:sz="0" w:space="0" w:color="auto"/>
          </w:divBdr>
        </w:div>
        <w:div w:id="701177010">
          <w:marLeft w:val="0"/>
          <w:marRight w:val="0"/>
          <w:marTop w:val="0"/>
          <w:marBottom w:val="0"/>
          <w:divBdr>
            <w:top w:val="none" w:sz="0" w:space="0" w:color="auto"/>
            <w:left w:val="none" w:sz="0" w:space="0" w:color="auto"/>
            <w:bottom w:val="none" w:sz="0" w:space="0" w:color="auto"/>
            <w:right w:val="none" w:sz="0" w:space="0" w:color="auto"/>
          </w:divBdr>
        </w:div>
        <w:div w:id="774130227">
          <w:marLeft w:val="0"/>
          <w:marRight w:val="0"/>
          <w:marTop w:val="0"/>
          <w:marBottom w:val="0"/>
          <w:divBdr>
            <w:top w:val="none" w:sz="0" w:space="0" w:color="auto"/>
            <w:left w:val="none" w:sz="0" w:space="0" w:color="auto"/>
            <w:bottom w:val="none" w:sz="0" w:space="0" w:color="auto"/>
            <w:right w:val="none" w:sz="0" w:space="0" w:color="auto"/>
          </w:divBdr>
        </w:div>
        <w:div w:id="856118546">
          <w:marLeft w:val="0"/>
          <w:marRight w:val="0"/>
          <w:marTop w:val="0"/>
          <w:marBottom w:val="0"/>
          <w:divBdr>
            <w:top w:val="none" w:sz="0" w:space="0" w:color="auto"/>
            <w:left w:val="none" w:sz="0" w:space="0" w:color="auto"/>
            <w:bottom w:val="none" w:sz="0" w:space="0" w:color="auto"/>
            <w:right w:val="none" w:sz="0" w:space="0" w:color="auto"/>
          </w:divBdr>
        </w:div>
        <w:div w:id="878051417">
          <w:marLeft w:val="0"/>
          <w:marRight w:val="0"/>
          <w:marTop w:val="0"/>
          <w:marBottom w:val="0"/>
          <w:divBdr>
            <w:top w:val="none" w:sz="0" w:space="0" w:color="auto"/>
            <w:left w:val="none" w:sz="0" w:space="0" w:color="auto"/>
            <w:bottom w:val="none" w:sz="0" w:space="0" w:color="auto"/>
            <w:right w:val="none" w:sz="0" w:space="0" w:color="auto"/>
          </w:divBdr>
        </w:div>
        <w:div w:id="1116949506">
          <w:marLeft w:val="0"/>
          <w:marRight w:val="0"/>
          <w:marTop w:val="0"/>
          <w:marBottom w:val="0"/>
          <w:divBdr>
            <w:top w:val="none" w:sz="0" w:space="0" w:color="auto"/>
            <w:left w:val="none" w:sz="0" w:space="0" w:color="auto"/>
            <w:bottom w:val="none" w:sz="0" w:space="0" w:color="auto"/>
            <w:right w:val="none" w:sz="0" w:space="0" w:color="auto"/>
          </w:divBdr>
        </w:div>
        <w:div w:id="1153715860">
          <w:marLeft w:val="0"/>
          <w:marRight w:val="0"/>
          <w:marTop w:val="0"/>
          <w:marBottom w:val="0"/>
          <w:divBdr>
            <w:top w:val="none" w:sz="0" w:space="0" w:color="auto"/>
            <w:left w:val="none" w:sz="0" w:space="0" w:color="auto"/>
            <w:bottom w:val="none" w:sz="0" w:space="0" w:color="auto"/>
            <w:right w:val="none" w:sz="0" w:space="0" w:color="auto"/>
          </w:divBdr>
        </w:div>
        <w:div w:id="1214005837">
          <w:marLeft w:val="0"/>
          <w:marRight w:val="0"/>
          <w:marTop w:val="0"/>
          <w:marBottom w:val="0"/>
          <w:divBdr>
            <w:top w:val="none" w:sz="0" w:space="0" w:color="auto"/>
            <w:left w:val="none" w:sz="0" w:space="0" w:color="auto"/>
            <w:bottom w:val="none" w:sz="0" w:space="0" w:color="auto"/>
            <w:right w:val="none" w:sz="0" w:space="0" w:color="auto"/>
          </w:divBdr>
        </w:div>
        <w:div w:id="1237981306">
          <w:marLeft w:val="0"/>
          <w:marRight w:val="0"/>
          <w:marTop w:val="0"/>
          <w:marBottom w:val="0"/>
          <w:divBdr>
            <w:top w:val="none" w:sz="0" w:space="0" w:color="auto"/>
            <w:left w:val="none" w:sz="0" w:space="0" w:color="auto"/>
            <w:bottom w:val="none" w:sz="0" w:space="0" w:color="auto"/>
            <w:right w:val="none" w:sz="0" w:space="0" w:color="auto"/>
          </w:divBdr>
        </w:div>
        <w:div w:id="1340767783">
          <w:marLeft w:val="0"/>
          <w:marRight w:val="0"/>
          <w:marTop w:val="0"/>
          <w:marBottom w:val="0"/>
          <w:divBdr>
            <w:top w:val="none" w:sz="0" w:space="0" w:color="auto"/>
            <w:left w:val="none" w:sz="0" w:space="0" w:color="auto"/>
            <w:bottom w:val="none" w:sz="0" w:space="0" w:color="auto"/>
            <w:right w:val="none" w:sz="0" w:space="0" w:color="auto"/>
          </w:divBdr>
        </w:div>
        <w:div w:id="1385788235">
          <w:marLeft w:val="0"/>
          <w:marRight w:val="0"/>
          <w:marTop w:val="0"/>
          <w:marBottom w:val="0"/>
          <w:divBdr>
            <w:top w:val="none" w:sz="0" w:space="0" w:color="auto"/>
            <w:left w:val="none" w:sz="0" w:space="0" w:color="auto"/>
            <w:bottom w:val="none" w:sz="0" w:space="0" w:color="auto"/>
            <w:right w:val="none" w:sz="0" w:space="0" w:color="auto"/>
          </w:divBdr>
        </w:div>
        <w:div w:id="1389064509">
          <w:marLeft w:val="0"/>
          <w:marRight w:val="0"/>
          <w:marTop w:val="0"/>
          <w:marBottom w:val="0"/>
          <w:divBdr>
            <w:top w:val="none" w:sz="0" w:space="0" w:color="auto"/>
            <w:left w:val="none" w:sz="0" w:space="0" w:color="auto"/>
            <w:bottom w:val="none" w:sz="0" w:space="0" w:color="auto"/>
            <w:right w:val="none" w:sz="0" w:space="0" w:color="auto"/>
          </w:divBdr>
        </w:div>
        <w:div w:id="1409376571">
          <w:marLeft w:val="0"/>
          <w:marRight w:val="0"/>
          <w:marTop w:val="0"/>
          <w:marBottom w:val="0"/>
          <w:divBdr>
            <w:top w:val="none" w:sz="0" w:space="0" w:color="auto"/>
            <w:left w:val="none" w:sz="0" w:space="0" w:color="auto"/>
            <w:bottom w:val="none" w:sz="0" w:space="0" w:color="auto"/>
            <w:right w:val="none" w:sz="0" w:space="0" w:color="auto"/>
          </w:divBdr>
        </w:div>
        <w:div w:id="1443916966">
          <w:marLeft w:val="0"/>
          <w:marRight w:val="0"/>
          <w:marTop w:val="0"/>
          <w:marBottom w:val="0"/>
          <w:divBdr>
            <w:top w:val="none" w:sz="0" w:space="0" w:color="auto"/>
            <w:left w:val="none" w:sz="0" w:space="0" w:color="auto"/>
            <w:bottom w:val="none" w:sz="0" w:space="0" w:color="auto"/>
            <w:right w:val="none" w:sz="0" w:space="0" w:color="auto"/>
          </w:divBdr>
        </w:div>
        <w:div w:id="1463428840">
          <w:marLeft w:val="0"/>
          <w:marRight w:val="0"/>
          <w:marTop w:val="0"/>
          <w:marBottom w:val="0"/>
          <w:divBdr>
            <w:top w:val="none" w:sz="0" w:space="0" w:color="auto"/>
            <w:left w:val="none" w:sz="0" w:space="0" w:color="auto"/>
            <w:bottom w:val="none" w:sz="0" w:space="0" w:color="auto"/>
            <w:right w:val="none" w:sz="0" w:space="0" w:color="auto"/>
          </w:divBdr>
        </w:div>
        <w:div w:id="1848668085">
          <w:marLeft w:val="0"/>
          <w:marRight w:val="0"/>
          <w:marTop w:val="0"/>
          <w:marBottom w:val="0"/>
          <w:divBdr>
            <w:top w:val="none" w:sz="0" w:space="0" w:color="auto"/>
            <w:left w:val="none" w:sz="0" w:space="0" w:color="auto"/>
            <w:bottom w:val="none" w:sz="0" w:space="0" w:color="auto"/>
            <w:right w:val="none" w:sz="0" w:space="0" w:color="auto"/>
          </w:divBdr>
        </w:div>
        <w:div w:id="1948077385">
          <w:marLeft w:val="0"/>
          <w:marRight w:val="0"/>
          <w:marTop w:val="0"/>
          <w:marBottom w:val="0"/>
          <w:divBdr>
            <w:top w:val="none" w:sz="0" w:space="0" w:color="auto"/>
            <w:left w:val="none" w:sz="0" w:space="0" w:color="auto"/>
            <w:bottom w:val="none" w:sz="0" w:space="0" w:color="auto"/>
            <w:right w:val="none" w:sz="0" w:space="0" w:color="auto"/>
          </w:divBdr>
        </w:div>
        <w:div w:id="1979995553">
          <w:marLeft w:val="0"/>
          <w:marRight w:val="0"/>
          <w:marTop w:val="0"/>
          <w:marBottom w:val="0"/>
          <w:divBdr>
            <w:top w:val="none" w:sz="0" w:space="0" w:color="auto"/>
            <w:left w:val="none" w:sz="0" w:space="0" w:color="auto"/>
            <w:bottom w:val="none" w:sz="0" w:space="0" w:color="auto"/>
            <w:right w:val="none" w:sz="0" w:space="0" w:color="auto"/>
          </w:divBdr>
        </w:div>
        <w:div w:id="2063670069">
          <w:marLeft w:val="0"/>
          <w:marRight w:val="0"/>
          <w:marTop w:val="0"/>
          <w:marBottom w:val="0"/>
          <w:divBdr>
            <w:top w:val="none" w:sz="0" w:space="0" w:color="auto"/>
            <w:left w:val="none" w:sz="0" w:space="0" w:color="auto"/>
            <w:bottom w:val="none" w:sz="0" w:space="0" w:color="auto"/>
            <w:right w:val="none" w:sz="0" w:space="0" w:color="auto"/>
          </w:divBdr>
        </w:div>
        <w:div w:id="2067101779">
          <w:marLeft w:val="0"/>
          <w:marRight w:val="0"/>
          <w:marTop w:val="0"/>
          <w:marBottom w:val="0"/>
          <w:divBdr>
            <w:top w:val="none" w:sz="0" w:space="0" w:color="auto"/>
            <w:left w:val="none" w:sz="0" w:space="0" w:color="auto"/>
            <w:bottom w:val="none" w:sz="0" w:space="0" w:color="auto"/>
            <w:right w:val="none" w:sz="0" w:space="0" w:color="auto"/>
          </w:divBdr>
        </w:div>
        <w:div w:id="2077436875">
          <w:marLeft w:val="0"/>
          <w:marRight w:val="0"/>
          <w:marTop w:val="0"/>
          <w:marBottom w:val="0"/>
          <w:divBdr>
            <w:top w:val="none" w:sz="0" w:space="0" w:color="auto"/>
            <w:left w:val="none" w:sz="0" w:space="0" w:color="auto"/>
            <w:bottom w:val="none" w:sz="0" w:space="0" w:color="auto"/>
            <w:right w:val="none" w:sz="0" w:space="0" w:color="auto"/>
          </w:divBdr>
        </w:div>
      </w:divsChild>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04181329">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3383649">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21301682">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074164726">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18734532">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0754488">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6817562">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701324343">
          <w:marLeft w:val="0"/>
          <w:marRight w:val="0"/>
          <w:marTop w:val="0"/>
          <w:marBottom w:val="0"/>
          <w:divBdr>
            <w:top w:val="none" w:sz="0" w:space="0" w:color="auto"/>
            <w:left w:val="none" w:sz="0" w:space="0" w:color="auto"/>
            <w:bottom w:val="none" w:sz="0" w:space="0" w:color="auto"/>
            <w:right w:val="none" w:sz="0" w:space="0" w:color="auto"/>
          </w:divBdr>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8514">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4952952">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5726406">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114680">
      <w:bodyDiv w:val="1"/>
      <w:marLeft w:val="0"/>
      <w:marRight w:val="0"/>
      <w:marTop w:val="0"/>
      <w:marBottom w:val="0"/>
      <w:divBdr>
        <w:top w:val="none" w:sz="0" w:space="0" w:color="auto"/>
        <w:left w:val="none" w:sz="0" w:space="0" w:color="auto"/>
        <w:bottom w:val="none" w:sz="0" w:space="0" w:color="auto"/>
        <w:right w:val="none" w:sz="0" w:space="0" w:color="auto"/>
      </w:divBdr>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212635">
      <w:bodyDiv w:val="1"/>
      <w:marLeft w:val="0"/>
      <w:marRight w:val="0"/>
      <w:marTop w:val="0"/>
      <w:marBottom w:val="0"/>
      <w:divBdr>
        <w:top w:val="none" w:sz="0" w:space="0" w:color="auto"/>
        <w:left w:val="none" w:sz="0" w:space="0" w:color="auto"/>
        <w:bottom w:val="none" w:sz="0" w:space="0" w:color="auto"/>
        <w:right w:val="none" w:sz="0" w:space="0" w:color="auto"/>
      </w:divBdr>
    </w:div>
    <w:div w:id="616832017">
      <w:bodyDiv w:val="1"/>
      <w:marLeft w:val="0"/>
      <w:marRight w:val="0"/>
      <w:marTop w:val="0"/>
      <w:marBottom w:val="0"/>
      <w:divBdr>
        <w:top w:val="none" w:sz="0" w:space="0" w:color="auto"/>
        <w:left w:val="none" w:sz="0" w:space="0" w:color="auto"/>
        <w:bottom w:val="none" w:sz="0" w:space="0" w:color="auto"/>
        <w:right w:val="none" w:sz="0" w:space="0" w:color="auto"/>
      </w:divBdr>
    </w:div>
    <w:div w:id="619846009">
      <w:bodyDiv w:val="1"/>
      <w:marLeft w:val="0"/>
      <w:marRight w:val="0"/>
      <w:marTop w:val="0"/>
      <w:marBottom w:val="0"/>
      <w:divBdr>
        <w:top w:val="none" w:sz="0" w:space="0" w:color="auto"/>
        <w:left w:val="none" w:sz="0" w:space="0" w:color="auto"/>
        <w:bottom w:val="none" w:sz="0" w:space="0" w:color="auto"/>
        <w:right w:val="none" w:sz="0" w:space="0" w:color="auto"/>
      </w:divBdr>
      <w:divsChild>
        <w:div w:id="132909867">
          <w:marLeft w:val="0"/>
          <w:marRight w:val="0"/>
          <w:marTop w:val="0"/>
          <w:marBottom w:val="0"/>
          <w:divBdr>
            <w:top w:val="none" w:sz="0" w:space="0" w:color="auto"/>
            <w:left w:val="none" w:sz="0" w:space="0" w:color="auto"/>
            <w:bottom w:val="none" w:sz="0" w:space="0" w:color="auto"/>
            <w:right w:val="none" w:sz="0" w:space="0" w:color="auto"/>
          </w:divBdr>
        </w:div>
        <w:div w:id="137571566">
          <w:marLeft w:val="0"/>
          <w:marRight w:val="0"/>
          <w:marTop w:val="0"/>
          <w:marBottom w:val="0"/>
          <w:divBdr>
            <w:top w:val="none" w:sz="0" w:space="0" w:color="auto"/>
            <w:left w:val="none" w:sz="0" w:space="0" w:color="auto"/>
            <w:bottom w:val="none" w:sz="0" w:space="0" w:color="auto"/>
            <w:right w:val="none" w:sz="0" w:space="0" w:color="auto"/>
          </w:divBdr>
        </w:div>
        <w:div w:id="137576350">
          <w:marLeft w:val="0"/>
          <w:marRight w:val="0"/>
          <w:marTop w:val="0"/>
          <w:marBottom w:val="0"/>
          <w:divBdr>
            <w:top w:val="none" w:sz="0" w:space="0" w:color="auto"/>
            <w:left w:val="none" w:sz="0" w:space="0" w:color="auto"/>
            <w:bottom w:val="none" w:sz="0" w:space="0" w:color="auto"/>
            <w:right w:val="none" w:sz="0" w:space="0" w:color="auto"/>
          </w:divBdr>
        </w:div>
        <w:div w:id="207229013">
          <w:marLeft w:val="0"/>
          <w:marRight w:val="0"/>
          <w:marTop w:val="0"/>
          <w:marBottom w:val="0"/>
          <w:divBdr>
            <w:top w:val="none" w:sz="0" w:space="0" w:color="auto"/>
            <w:left w:val="none" w:sz="0" w:space="0" w:color="auto"/>
            <w:bottom w:val="none" w:sz="0" w:space="0" w:color="auto"/>
            <w:right w:val="none" w:sz="0" w:space="0" w:color="auto"/>
          </w:divBdr>
        </w:div>
        <w:div w:id="217324288">
          <w:marLeft w:val="0"/>
          <w:marRight w:val="0"/>
          <w:marTop w:val="0"/>
          <w:marBottom w:val="0"/>
          <w:divBdr>
            <w:top w:val="none" w:sz="0" w:space="0" w:color="auto"/>
            <w:left w:val="none" w:sz="0" w:space="0" w:color="auto"/>
            <w:bottom w:val="none" w:sz="0" w:space="0" w:color="auto"/>
            <w:right w:val="none" w:sz="0" w:space="0" w:color="auto"/>
          </w:divBdr>
        </w:div>
        <w:div w:id="218594642">
          <w:marLeft w:val="0"/>
          <w:marRight w:val="0"/>
          <w:marTop w:val="0"/>
          <w:marBottom w:val="0"/>
          <w:divBdr>
            <w:top w:val="none" w:sz="0" w:space="0" w:color="auto"/>
            <w:left w:val="none" w:sz="0" w:space="0" w:color="auto"/>
            <w:bottom w:val="none" w:sz="0" w:space="0" w:color="auto"/>
            <w:right w:val="none" w:sz="0" w:space="0" w:color="auto"/>
          </w:divBdr>
        </w:div>
        <w:div w:id="237255211">
          <w:marLeft w:val="0"/>
          <w:marRight w:val="0"/>
          <w:marTop w:val="0"/>
          <w:marBottom w:val="0"/>
          <w:divBdr>
            <w:top w:val="none" w:sz="0" w:space="0" w:color="auto"/>
            <w:left w:val="none" w:sz="0" w:space="0" w:color="auto"/>
            <w:bottom w:val="none" w:sz="0" w:space="0" w:color="auto"/>
            <w:right w:val="none" w:sz="0" w:space="0" w:color="auto"/>
          </w:divBdr>
        </w:div>
        <w:div w:id="326787748">
          <w:marLeft w:val="0"/>
          <w:marRight w:val="0"/>
          <w:marTop w:val="0"/>
          <w:marBottom w:val="0"/>
          <w:divBdr>
            <w:top w:val="none" w:sz="0" w:space="0" w:color="auto"/>
            <w:left w:val="none" w:sz="0" w:space="0" w:color="auto"/>
            <w:bottom w:val="none" w:sz="0" w:space="0" w:color="auto"/>
            <w:right w:val="none" w:sz="0" w:space="0" w:color="auto"/>
          </w:divBdr>
        </w:div>
        <w:div w:id="454369506">
          <w:marLeft w:val="0"/>
          <w:marRight w:val="0"/>
          <w:marTop w:val="0"/>
          <w:marBottom w:val="0"/>
          <w:divBdr>
            <w:top w:val="none" w:sz="0" w:space="0" w:color="auto"/>
            <w:left w:val="none" w:sz="0" w:space="0" w:color="auto"/>
            <w:bottom w:val="none" w:sz="0" w:space="0" w:color="auto"/>
            <w:right w:val="none" w:sz="0" w:space="0" w:color="auto"/>
          </w:divBdr>
        </w:div>
        <w:div w:id="469977109">
          <w:marLeft w:val="0"/>
          <w:marRight w:val="0"/>
          <w:marTop w:val="0"/>
          <w:marBottom w:val="0"/>
          <w:divBdr>
            <w:top w:val="none" w:sz="0" w:space="0" w:color="auto"/>
            <w:left w:val="none" w:sz="0" w:space="0" w:color="auto"/>
            <w:bottom w:val="none" w:sz="0" w:space="0" w:color="auto"/>
            <w:right w:val="none" w:sz="0" w:space="0" w:color="auto"/>
          </w:divBdr>
        </w:div>
        <w:div w:id="473987455">
          <w:marLeft w:val="0"/>
          <w:marRight w:val="0"/>
          <w:marTop w:val="0"/>
          <w:marBottom w:val="0"/>
          <w:divBdr>
            <w:top w:val="none" w:sz="0" w:space="0" w:color="auto"/>
            <w:left w:val="none" w:sz="0" w:space="0" w:color="auto"/>
            <w:bottom w:val="none" w:sz="0" w:space="0" w:color="auto"/>
            <w:right w:val="none" w:sz="0" w:space="0" w:color="auto"/>
          </w:divBdr>
        </w:div>
        <w:div w:id="598680142">
          <w:marLeft w:val="0"/>
          <w:marRight w:val="0"/>
          <w:marTop w:val="0"/>
          <w:marBottom w:val="0"/>
          <w:divBdr>
            <w:top w:val="none" w:sz="0" w:space="0" w:color="auto"/>
            <w:left w:val="none" w:sz="0" w:space="0" w:color="auto"/>
            <w:bottom w:val="none" w:sz="0" w:space="0" w:color="auto"/>
            <w:right w:val="none" w:sz="0" w:space="0" w:color="auto"/>
          </w:divBdr>
        </w:div>
        <w:div w:id="754977389">
          <w:marLeft w:val="0"/>
          <w:marRight w:val="0"/>
          <w:marTop w:val="0"/>
          <w:marBottom w:val="0"/>
          <w:divBdr>
            <w:top w:val="none" w:sz="0" w:space="0" w:color="auto"/>
            <w:left w:val="none" w:sz="0" w:space="0" w:color="auto"/>
            <w:bottom w:val="none" w:sz="0" w:space="0" w:color="auto"/>
            <w:right w:val="none" w:sz="0" w:space="0" w:color="auto"/>
          </w:divBdr>
        </w:div>
        <w:div w:id="776950387">
          <w:marLeft w:val="0"/>
          <w:marRight w:val="0"/>
          <w:marTop w:val="0"/>
          <w:marBottom w:val="0"/>
          <w:divBdr>
            <w:top w:val="none" w:sz="0" w:space="0" w:color="auto"/>
            <w:left w:val="none" w:sz="0" w:space="0" w:color="auto"/>
            <w:bottom w:val="none" w:sz="0" w:space="0" w:color="auto"/>
            <w:right w:val="none" w:sz="0" w:space="0" w:color="auto"/>
          </w:divBdr>
        </w:div>
        <w:div w:id="797845415">
          <w:marLeft w:val="0"/>
          <w:marRight w:val="0"/>
          <w:marTop w:val="0"/>
          <w:marBottom w:val="0"/>
          <w:divBdr>
            <w:top w:val="none" w:sz="0" w:space="0" w:color="auto"/>
            <w:left w:val="none" w:sz="0" w:space="0" w:color="auto"/>
            <w:bottom w:val="none" w:sz="0" w:space="0" w:color="auto"/>
            <w:right w:val="none" w:sz="0" w:space="0" w:color="auto"/>
          </w:divBdr>
        </w:div>
        <w:div w:id="852885648">
          <w:marLeft w:val="0"/>
          <w:marRight w:val="0"/>
          <w:marTop w:val="0"/>
          <w:marBottom w:val="0"/>
          <w:divBdr>
            <w:top w:val="none" w:sz="0" w:space="0" w:color="auto"/>
            <w:left w:val="none" w:sz="0" w:space="0" w:color="auto"/>
            <w:bottom w:val="none" w:sz="0" w:space="0" w:color="auto"/>
            <w:right w:val="none" w:sz="0" w:space="0" w:color="auto"/>
          </w:divBdr>
        </w:div>
        <w:div w:id="910965516">
          <w:marLeft w:val="0"/>
          <w:marRight w:val="0"/>
          <w:marTop w:val="0"/>
          <w:marBottom w:val="0"/>
          <w:divBdr>
            <w:top w:val="none" w:sz="0" w:space="0" w:color="auto"/>
            <w:left w:val="none" w:sz="0" w:space="0" w:color="auto"/>
            <w:bottom w:val="none" w:sz="0" w:space="0" w:color="auto"/>
            <w:right w:val="none" w:sz="0" w:space="0" w:color="auto"/>
          </w:divBdr>
        </w:div>
        <w:div w:id="1145732085">
          <w:marLeft w:val="0"/>
          <w:marRight w:val="0"/>
          <w:marTop w:val="0"/>
          <w:marBottom w:val="0"/>
          <w:divBdr>
            <w:top w:val="none" w:sz="0" w:space="0" w:color="auto"/>
            <w:left w:val="none" w:sz="0" w:space="0" w:color="auto"/>
            <w:bottom w:val="none" w:sz="0" w:space="0" w:color="auto"/>
            <w:right w:val="none" w:sz="0" w:space="0" w:color="auto"/>
          </w:divBdr>
        </w:div>
        <w:div w:id="1252548912">
          <w:marLeft w:val="0"/>
          <w:marRight w:val="0"/>
          <w:marTop w:val="0"/>
          <w:marBottom w:val="0"/>
          <w:divBdr>
            <w:top w:val="none" w:sz="0" w:space="0" w:color="auto"/>
            <w:left w:val="none" w:sz="0" w:space="0" w:color="auto"/>
            <w:bottom w:val="none" w:sz="0" w:space="0" w:color="auto"/>
            <w:right w:val="none" w:sz="0" w:space="0" w:color="auto"/>
          </w:divBdr>
        </w:div>
        <w:div w:id="1275019623">
          <w:marLeft w:val="0"/>
          <w:marRight w:val="0"/>
          <w:marTop w:val="0"/>
          <w:marBottom w:val="0"/>
          <w:divBdr>
            <w:top w:val="none" w:sz="0" w:space="0" w:color="auto"/>
            <w:left w:val="none" w:sz="0" w:space="0" w:color="auto"/>
            <w:bottom w:val="none" w:sz="0" w:space="0" w:color="auto"/>
            <w:right w:val="none" w:sz="0" w:space="0" w:color="auto"/>
          </w:divBdr>
        </w:div>
        <w:div w:id="1321274061">
          <w:marLeft w:val="0"/>
          <w:marRight w:val="0"/>
          <w:marTop w:val="0"/>
          <w:marBottom w:val="0"/>
          <w:divBdr>
            <w:top w:val="none" w:sz="0" w:space="0" w:color="auto"/>
            <w:left w:val="none" w:sz="0" w:space="0" w:color="auto"/>
            <w:bottom w:val="none" w:sz="0" w:space="0" w:color="auto"/>
            <w:right w:val="none" w:sz="0" w:space="0" w:color="auto"/>
          </w:divBdr>
        </w:div>
        <w:div w:id="1396783654">
          <w:marLeft w:val="0"/>
          <w:marRight w:val="0"/>
          <w:marTop w:val="0"/>
          <w:marBottom w:val="0"/>
          <w:divBdr>
            <w:top w:val="none" w:sz="0" w:space="0" w:color="auto"/>
            <w:left w:val="none" w:sz="0" w:space="0" w:color="auto"/>
            <w:bottom w:val="none" w:sz="0" w:space="0" w:color="auto"/>
            <w:right w:val="none" w:sz="0" w:space="0" w:color="auto"/>
          </w:divBdr>
        </w:div>
        <w:div w:id="1592926720">
          <w:marLeft w:val="0"/>
          <w:marRight w:val="0"/>
          <w:marTop w:val="0"/>
          <w:marBottom w:val="0"/>
          <w:divBdr>
            <w:top w:val="none" w:sz="0" w:space="0" w:color="auto"/>
            <w:left w:val="none" w:sz="0" w:space="0" w:color="auto"/>
            <w:bottom w:val="none" w:sz="0" w:space="0" w:color="auto"/>
            <w:right w:val="none" w:sz="0" w:space="0" w:color="auto"/>
          </w:divBdr>
        </w:div>
        <w:div w:id="1636056527">
          <w:marLeft w:val="0"/>
          <w:marRight w:val="0"/>
          <w:marTop w:val="0"/>
          <w:marBottom w:val="0"/>
          <w:divBdr>
            <w:top w:val="none" w:sz="0" w:space="0" w:color="auto"/>
            <w:left w:val="none" w:sz="0" w:space="0" w:color="auto"/>
            <w:bottom w:val="none" w:sz="0" w:space="0" w:color="auto"/>
            <w:right w:val="none" w:sz="0" w:space="0" w:color="auto"/>
          </w:divBdr>
        </w:div>
        <w:div w:id="1847742798">
          <w:marLeft w:val="0"/>
          <w:marRight w:val="0"/>
          <w:marTop w:val="0"/>
          <w:marBottom w:val="0"/>
          <w:divBdr>
            <w:top w:val="none" w:sz="0" w:space="0" w:color="auto"/>
            <w:left w:val="none" w:sz="0" w:space="0" w:color="auto"/>
            <w:bottom w:val="none" w:sz="0" w:space="0" w:color="auto"/>
            <w:right w:val="none" w:sz="0" w:space="0" w:color="auto"/>
          </w:divBdr>
        </w:div>
        <w:div w:id="1897934208">
          <w:marLeft w:val="0"/>
          <w:marRight w:val="0"/>
          <w:marTop w:val="0"/>
          <w:marBottom w:val="0"/>
          <w:divBdr>
            <w:top w:val="none" w:sz="0" w:space="0" w:color="auto"/>
            <w:left w:val="none" w:sz="0" w:space="0" w:color="auto"/>
            <w:bottom w:val="none" w:sz="0" w:space="0" w:color="auto"/>
            <w:right w:val="none" w:sz="0" w:space="0" w:color="auto"/>
          </w:divBdr>
        </w:div>
        <w:div w:id="1953172906">
          <w:marLeft w:val="0"/>
          <w:marRight w:val="0"/>
          <w:marTop w:val="0"/>
          <w:marBottom w:val="0"/>
          <w:divBdr>
            <w:top w:val="none" w:sz="0" w:space="0" w:color="auto"/>
            <w:left w:val="none" w:sz="0" w:space="0" w:color="auto"/>
            <w:bottom w:val="none" w:sz="0" w:space="0" w:color="auto"/>
            <w:right w:val="none" w:sz="0" w:space="0" w:color="auto"/>
          </w:divBdr>
        </w:div>
        <w:div w:id="1987784308">
          <w:marLeft w:val="0"/>
          <w:marRight w:val="0"/>
          <w:marTop w:val="0"/>
          <w:marBottom w:val="0"/>
          <w:divBdr>
            <w:top w:val="none" w:sz="0" w:space="0" w:color="auto"/>
            <w:left w:val="none" w:sz="0" w:space="0" w:color="auto"/>
            <w:bottom w:val="none" w:sz="0" w:space="0" w:color="auto"/>
            <w:right w:val="none" w:sz="0" w:space="0" w:color="auto"/>
          </w:divBdr>
        </w:div>
        <w:div w:id="2121073037">
          <w:marLeft w:val="0"/>
          <w:marRight w:val="0"/>
          <w:marTop w:val="0"/>
          <w:marBottom w:val="0"/>
          <w:divBdr>
            <w:top w:val="none" w:sz="0" w:space="0" w:color="auto"/>
            <w:left w:val="none" w:sz="0" w:space="0" w:color="auto"/>
            <w:bottom w:val="none" w:sz="0" w:space="0" w:color="auto"/>
            <w:right w:val="none" w:sz="0" w:space="0" w:color="auto"/>
          </w:divBdr>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66521123">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8723210">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2754698">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7901838">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69859655">
      <w:bodyDiv w:val="1"/>
      <w:marLeft w:val="0"/>
      <w:marRight w:val="0"/>
      <w:marTop w:val="0"/>
      <w:marBottom w:val="0"/>
      <w:divBdr>
        <w:top w:val="none" w:sz="0" w:space="0" w:color="auto"/>
        <w:left w:val="none" w:sz="0" w:space="0" w:color="auto"/>
        <w:bottom w:val="none" w:sz="0" w:space="0" w:color="auto"/>
        <w:right w:val="none" w:sz="0" w:space="0" w:color="auto"/>
      </w:divBdr>
    </w:div>
    <w:div w:id="775096108">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34757641">
          <w:marLeft w:val="0"/>
          <w:marRight w:val="0"/>
          <w:marTop w:val="0"/>
          <w:marBottom w:val="0"/>
          <w:divBdr>
            <w:top w:val="none" w:sz="0" w:space="0" w:color="auto"/>
            <w:left w:val="none" w:sz="0" w:space="0" w:color="auto"/>
            <w:bottom w:val="none" w:sz="0" w:space="0" w:color="auto"/>
            <w:right w:val="none" w:sz="0" w:space="0" w:color="auto"/>
          </w:divBdr>
        </w:div>
        <w:div w:id="183327756">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315379722">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 w:id="1640528279">
              <w:marLeft w:val="0"/>
              <w:marRight w:val="0"/>
              <w:marTop w:val="0"/>
              <w:marBottom w:val="0"/>
              <w:divBdr>
                <w:top w:val="none" w:sz="0" w:space="0" w:color="auto"/>
                <w:left w:val="none" w:sz="0" w:space="0" w:color="auto"/>
                <w:bottom w:val="none" w:sz="0" w:space="0" w:color="auto"/>
                <w:right w:val="none" w:sz="0" w:space="0" w:color="auto"/>
              </w:divBdr>
            </w:div>
          </w:divsChild>
        </w:div>
        <w:div w:id="1856578142">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sChild>
    </w:div>
    <w:div w:id="793257506">
      <w:bodyDiv w:val="1"/>
      <w:marLeft w:val="0"/>
      <w:marRight w:val="0"/>
      <w:marTop w:val="0"/>
      <w:marBottom w:val="0"/>
      <w:divBdr>
        <w:top w:val="none" w:sz="0" w:space="0" w:color="auto"/>
        <w:left w:val="none" w:sz="0" w:space="0" w:color="auto"/>
        <w:bottom w:val="none" w:sz="0" w:space="0" w:color="auto"/>
        <w:right w:val="none" w:sz="0" w:space="0" w:color="auto"/>
      </w:divBdr>
    </w:div>
    <w:div w:id="795679400">
      <w:bodyDiv w:val="1"/>
      <w:marLeft w:val="0"/>
      <w:marRight w:val="0"/>
      <w:marTop w:val="0"/>
      <w:marBottom w:val="0"/>
      <w:divBdr>
        <w:top w:val="none" w:sz="0" w:space="0" w:color="auto"/>
        <w:left w:val="none" w:sz="0" w:space="0" w:color="auto"/>
        <w:bottom w:val="none" w:sz="0" w:space="0" w:color="auto"/>
        <w:right w:val="none" w:sz="0" w:space="0" w:color="auto"/>
      </w:divBdr>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4927695">
      <w:bodyDiv w:val="1"/>
      <w:marLeft w:val="0"/>
      <w:marRight w:val="0"/>
      <w:marTop w:val="0"/>
      <w:marBottom w:val="0"/>
      <w:divBdr>
        <w:top w:val="none" w:sz="0" w:space="0" w:color="auto"/>
        <w:left w:val="none" w:sz="0" w:space="0" w:color="auto"/>
        <w:bottom w:val="none" w:sz="0" w:space="0" w:color="auto"/>
        <w:right w:val="none" w:sz="0" w:space="0" w:color="auto"/>
      </w:divBdr>
    </w:div>
    <w:div w:id="809791542">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2053666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430862631">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149979592">
              <w:marLeft w:val="0"/>
              <w:marRight w:val="0"/>
              <w:marTop w:val="0"/>
              <w:marBottom w:val="0"/>
              <w:divBdr>
                <w:top w:val="none" w:sz="0" w:space="0" w:color="auto"/>
                <w:left w:val="none" w:sz="0" w:space="0" w:color="auto"/>
                <w:bottom w:val="none" w:sz="0" w:space="0" w:color="auto"/>
                <w:right w:val="none" w:sz="0" w:space="0" w:color="auto"/>
              </w:divBdr>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87085">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7834">
          <w:marLeft w:val="0"/>
          <w:marRight w:val="0"/>
          <w:marTop w:val="0"/>
          <w:marBottom w:val="0"/>
          <w:divBdr>
            <w:top w:val="none" w:sz="0" w:space="0" w:color="auto"/>
            <w:left w:val="none" w:sz="0" w:space="0" w:color="auto"/>
            <w:bottom w:val="none" w:sz="0" w:space="0" w:color="auto"/>
            <w:right w:val="none" w:sz="0" w:space="0" w:color="auto"/>
          </w:divBdr>
        </w:div>
        <w:div w:id="201603263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789619">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39141341">
      <w:bodyDiv w:val="1"/>
      <w:marLeft w:val="0"/>
      <w:marRight w:val="0"/>
      <w:marTop w:val="0"/>
      <w:marBottom w:val="0"/>
      <w:divBdr>
        <w:top w:val="none" w:sz="0" w:space="0" w:color="auto"/>
        <w:left w:val="none" w:sz="0" w:space="0" w:color="auto"/>
        <w:bottom w:val="none" w:sz="0" w:space="0" w:color="auto"/>
        <w:right w:val="none" w:sz="0" w:space="0" w:color="auto"/>
      </w:divBdr>
    </w:div>
    <w:div w:id="939610068">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78313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97680798">
              <w:marLeft w:val="0"/>
              <w:marRight w:val="0"/>
              <w:marTop w:val="0"/>
              <w:marBottom w:val="0"/>
              <w:divBdr>
                <w:top w:val="none" w:sz="0" w:space="0" w:color="auto"/>
                <w:left w:val="none" w:sz="0" w:space="0" w:color="auto"/>
                <w:bottom w:val="none" w:sz="0" w:space="0" w:color="auto"/>
                <w:right w:val="none" w:sz="0" w:space="0" w:color="auto"/>
              </w:divBdr>
            </w:div>
            <w:div w:id="1104544632">
              <w:marLeft w:val="0"/>
              <w:marRight w:val="0"/>
              <w:marTop w:val="0"/>
              <w:marBottom w:val="0"/>
              <w:divBdr>
                <w:top w:val="none" w:sz="0" w:space="0" w:color="auto"/>
                <w:left w:val="none" w:sz="0" w:space="0" w:color="auto"/>
                <w:bottom w:val="none" w:sz="0" w:space="0" w:color="auto"/>
                <w:right w:val="none" w:sz="0" w:space="0" w:color="auto"/>
              </w:divBdr>
              <w:divsChild>
                <w:div w:id="244340040">
                  <w:marLeft w:val="0"/>
                  <w:marRight w:val="0"/>
                  <w:marTop w:val="0"/>
                  <w:marBottom w:val="0"/>
                  <w:divBdr>
                    <w:top w:val="none" w:sz="0" w:space="0" w:color="auto"/>
                    <w:left w:val="none" w:sz="0" w:space="0" w:color="auto"/>
                    <w:bottom w:val="none" w:sz="0" w:space="0" w:color="auto"/>
                    <w:right w:val="none" w:sz="0" w:space="0" w:color="auto"/>
                  </w:divBdr>
                </w:div>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30421742">
                  <w:marLeft w:val="0"/>
                  <w:marRight w:val="0"/>
                  <w:marTop w:val="0"/>
                  <w:marBottom w:val="0"/>
                  <w:divBdr>
                    <w:top w:val="none" w:sz="0" w:space="0" w:color="auto"/>
                    <w:left w:val="none" w:sz="0" w:space="0" w:color="auto"/>
                    <w:bottom w:val="none" w:sz="0" w:space="0" w:color="auto"/>
                    <w:right w:val="none" w:sz="0" w:space="0" w:color="auto"/>
                  </w:divBdr>
                </w:div>
                <w:div w:id="544874625">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91754144">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7260892">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65756435">
      <w:bodyDiv w:val="1"/>
      <w:marLeft w:val="0"/>
      <w:marRight w:val="0"/>
      <w:marTop w:val="0"/>
      <w:marBottom w:val="0"/>
      <w:divBdr>
        <w:top w:val="none" w:sz="0" w:space="0" w:color="auto"/>
        <w:left w:val="none" w:sz="0" w:space="0" w:color="auto"/>
        <w:bottom w:val="none" w:sz="0" w:space="0" w:color="auto"/>
        <w:right w:val="none" w:sz="0" w:space="0" w:color="auto"/>
      </w:divBdr>
    </w:div>
    <w:div w:id="1067269241">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20952126">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53717969">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44797247">
      <w:bodyDiv w:val="1"/>
      <w:marLeft w:val="0"/>
      <w:marRight w:val="0"/>
      <w:marTop w:val="0"/>
      <w:marBottom w:val="0"/>
      <w:divBdr>
        <w:top w:val="none" w:sz="0" w:space="0" w:color="auto"/>
        <w:left w:val="none" w:sz="0" w:space="0" w:color="auto"/>
        <w:bottom w:val="none" w:sz="0" w:space="0" w:color="auto"/>
        <w:right w:val="none" w:sz="0" w:space="0" w:color="auto"/>
      </w:divBdr>
    </w:div>
    <w:div w:id="1248343416">
      <w:bodyDiv w:val="1"/>
      <w:marLeft w:val="0"/>
      <w:marRight w:val="0"/>
      <w:marTop w:val="0"/>
      <w:marBottom w:val="0"/>
      <w:divBdr>
        <w:top w:val="none" w:sz="0" w:space="0" w:color="auto"/>
        <w:left w:val="none" w:sz="0" w:space="0" w:color="auto"/>
        <w:bottom w:val="none" w:sz="0" w:space="0" w:color="auto"/>
        <w:right w:val="none" w:sz="0" w:space="0" w:color="auto"/>
      </w:divBdr>
    </w:div>
    <w:div w:id="1255087140">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6886234">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3118836">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6833607">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135342158">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631448889">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01537589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266958615">
              <w:marLeft w:val="0"/>
              <w:marRight w:val="0"/>
              <w:marTop w:val="0"/>
              <w:marBottom w:val="0"/>
              <w:divBdr>
                <w:top w:val="none" w:sz="0" w:space="0" w:color="auto"/>
                <w:left w:val="none" w:sz="0" w:space="0" w:color="auto"/>
                <w:bottom w:val="none" w:sz="0" w:space="0" w:color="auto"/>
                <w:right w:val="none" w:sz="0" w:space="0" w:color="auto"/>
              </w:divBdr>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sChild>
    </w:div>
    <w:div w:id="1393574512">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2109097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44824306">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1453629">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627735588">
                  <w:marLeft w:val="0"/>
                  <w:marRight w:val="0"/>
                  <w:marTop w:val="0"/>
                  <w:marBottom w:val="0"/>
                  <w:divBdr>
                    <w:top w:val="none" w:sz="0" w:space="0" w:color="auto"/>
                    <w:left w:val="none" w:sz="0" w:space="0" w:color="auto"/>
                    <w:bottom w:val="none" w:sz="0" w:space="0" w:color="auto"/>
                    <w:right w:val="none" w:sz="0" w:space="0" w:color="auto"/>
                  </w:divBdr>
                </w:div>
                <w:div w:id="198076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121466798">
                  <w:marLeft w:val="0"/>
                  <w:marRight w:val="0"/>
                  <w:marTop w:val="0"/>
                  <w:marBottom w:val="0"/>
                  <w:divBdr>
                    <w:top w:val="none" w:sz="0" w:space="0" w:color="auto"/>
                    <w:left w:val="none" w:sz="0" w:space="0" w:color="auto"/>
                    <w:bottom w:val="none" w:sz="0" w:space="0" w:color="auto"/>
                    <w:right w:val="none" w:sz="0" w:space="0" w:color="auto"/>
                  </w:divBdr>
                </w:div>
                <w:div w:id="31977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755859">
      <w:bodyDiv w:val="1"/>
      <w:marLeft w:val="0"/>
      <w:marRight w:val="0"/>
      <w:marTop w:val="0"/>
      <w:marBottom w:val="0"/>
      <w:divBdr>
        <w:top w:val="none" w:sz="0" w:space="0" w:color="auto"/>
        <w:left w:val="none" w:sz="0" w:space="0" w:color="auto"/>
        <w:bottom w:val="none" w:sz="0" w:space="0" w:color="auto"/>
        <w:right w:val="none" w:sz="0" w:space="0" w:color="auto"/>
      </w:divBdr>
    </w:div>
    <w:div w:id="160989364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8027276">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2537683">
      <w:bodyDiv w:val="1"/>
      <w:marLeft w:val="0"/>
      <w:marRight w:val="0"/>
      <w:marTop w:val="0"/>
      <w:marBottom w:val="0"/>
      <w:divBdr>
        <w:top w:val="none" w:sz="0" w:space="0" w:color="auto"/>
        <w:left w:val="none" w:sz="0" w:space="0" w:color="auto"/>
        <w:bottom w:val="none" w:sz="0" w:space="0" w:color="auto"/>
        <w:right w:val="none" w:sz="0" w:space="0" w:color="auto"/>
      </w:divBdr>
    </w:div>
    <w:div w:id="167221830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613978">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139924342">
              <w:marLeft w:val="0"/>
              <w:marRight w:val="0"/>
              <w:marTop w:val="0"/>
              <w:marBottom w:val="0"/>
              <w:divBdr>
                <w:top w:val="none" w:sz="0" w:space="0" w:color="auto"/>
                <w:left w:val="none" w:sz="0" w:space="0" w:color="auto"/>
                <w:bottom w:val="none" w:sz="0" w:space="0" w:color="auto"/>
                <w:right w:val="none" w:sz="0" w:space="0" w:color="auto"/>
              </w:divBdr>
            </w:div>
            <w:div w:id="258952796">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sChild>
        </w:div>
        <w:div w:id="1479225221">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sChild>
    </w:div>
    <w:div w:id="1707944860">
      <w:bodyDiv w:val="1"/>
      <w:marLeft w:val="0"/>
      <w:marRight w:val="0"/>
      <w:marTop w:val="0"/>
      <w:marBottom w:val="0"/>
      <w:divBdr>
        <w:top w:val="none" w:sz="0" w:space="0" w:color="auto"/>
        <w:left w:val="none" w:sz="0" w:space="0" w:color="auto"/>
        <w:bottom w:val="none" w:sz="0" w:space="0" w:color="auto"/>
        <w:right w:val="none" w:sz="0" w:space="0" w:color="auto"/>
      </w:divBdr>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27274">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1752339">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17182636">
      <w:bodyDiv w:val="1"/>
      <w:marLeft w:val="0"/>
      <w:marRight w:val="0"/>
      <w:marTop w:val="0"/>
      <w:marBottom w:val="0"/>
      <w:divBdr>
        <w:top w:val="none" w:sz="0" w:space="0" w:color="auto"/>
        <w:left w:val="none" w:sz="0" w:space="0" w:color="auto"/>
        <w:bottom w:val="none" w:sz="0" w:space="0" w:color="auto"/>
        <w:right w:val="none" w:sz="0" w:space="0" w:color="auto"/>
      </w:divBdr>
    </w:div>
    <w:div w:id="1823546151">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3950010">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3980211">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327903512">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252204489">
          <w:marLeft w:val="0"/>
          <w:marRight w:val="0"/>
          <w:marTop w:val="0"/>
          <w:marBottom w:val="0"/>
          <w:divBdr>
            <w:top w:val="none" w:sz="0" w:space="0" w:color="auto"/>
            <w:left w:val="none" w:sz="0" w:space="0" w:color="auto"/>
            <w:bottom w:val="none" w:sz="0" w:space="0" w:color="auto"/>
            <w:right w:val="none" w:sz="0" w:space="0" w:color="auto"/>
          </w:divBdr>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159733033">
          <w:marLeft w:val="0"/>
          <w:marRight w:val="0"/>
          <w:marTop w:val="0"/>
          <w:marBottom w:val="0"/>
          <w:divBdr>
            <w:top w:val="none" w:sz="0" w:space="0" w:color="auto"/>
            <w:left w:val="none" w:sz="0" w:space="0" w:color="auto"/>
            <w:bottom w:val="none" w:sz="0" w:space="0" w:color="auto"/>
            <w:right w:val="none" w:sz="0" w:space="0" w:color="auto"/>
          </w:divBdr>
        </w:div>
        <w:div w:id="643392868">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4299274">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749620085">
              <w:marLeft w:val="0"/>
              <w:marRight w:val="0"/>
              <w:marTop w:val="0"/>
              <w:marBottom w:val="0"/>
              <w:divBdr>
                <w:top w:val="none" w:sz="0" w:space="0" w:color="auto"/>
                <w:left w:val="none" w:sz="0" w:space="0" w:color="auto"/>
                <w:bottom w:val="none" w:sz="0" w:space="0" w:color="auto"/>
                <w:right w:val="none" w:sz="0" w:space="0" w:color="auto"/>
              </w:divBdr>
            </w:div>
            <w:div w:id="198596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14109">
      <w:bodyDiv w:val="1"/>
      <w:marLeft w:val="0"/>
      <w:marRight w:val="0"/>
      <w:marTop w:val="0"/>
      <w:marBottom w:val="0"/>
      <w:divBdr>
        <w:top w:val="none" w:sz="0" w:space="0" w:color="auto"/>
        <w:left w:val="none" w:sz="0" w:space="0" w:color="auto"/>
        <w:bottom w:val="none" w:sz="0" w:space="0" w:color="auto"/>
        <w:right w:val="none" w:sz="0" w:space="0" w:color="auto"/>
      </w:divBdr>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71323304">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775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292843">
      <w:bodyDiv w:val="1"/>
      <w:marLeft w:val="0"/>
      <w:marRight w:val="0"/>
      <w:marTop w:val="0"/>
      <w:marBottom w:val="0"/>
      <w:divBdr>
        <w:top w:val="none" w:sz="0" w:space="0" w:color="auto"/>
        <w:left w:val="none" w:sz="0" w:space="0" w:color="auto"/>
        <w:bottom w:val="none" w:sz="0" w:space="0" w:color="auto"/>
        <w:right w:val="none" w:sz="0" w:space="0" w:color="auto"/>
      </w:divBdr>
    </w:div>
    <w:div w:id="2012874366">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285818572">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541938974">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31392902">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69962719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sChild>
        </w:div>
        <w:div w:id="2124106103">
          <w:marLeft w:val="0"/>
          <w:marRight w:val="0"/>
          <w:marTop w:val="0"/>
          <w:marBottom w:val="0"/>
          <w:divBdr>
            <w:top w:val="none" w:sz="0" w:space="0" w:color="auto"/>
            <w:left w:val="none" w:sz="0" w:space="0" w:color="auto"/>
            <w:bottom w:val="none" w:sz="0" w:space="0" w:color="auto"/>
            <w:right w:val="none" w:sz="0" w:space="0" w:color="auto"/>
          </w:divBdr>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3993942">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51151626">
      <w:bodyDiv w:val="1"/>
      <w:marLeft w:val="0"/>
      <w:marRight w:val="0"/>
      <w:marTop w:val="0"/>
      <w:marBottom w:val="0"/>
      <w:divBdr>
        <w:top w:val="none" w:sz="0" w:space="0" w:color="auto"/>
        <w:left w:val="none" w:sz="0" w:space="0" w:color="auto"/>
        <w:bottom w:val="none" w:sz="0" w:space="0" w:color="auto"/>
        <w:right w:val="none" w:sz="0" w:space="0" w:color="auto"/>
      </w:divBdr>
    </w:div>
    <w:div w:id="207022565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203182">
      <w:bodyDiv w:val="1"/>
      <w:marLeft w:val="0"/>
      <w:marRight w:val="0"/>
      <w:marTop w:val="0"/>
      <w:marBottom w:val="0"/>
      <w:divBdr>
        <w:top w:val="none" w:sz="0" w:space="0" w:color="auto"/>
        <w:left w:val="none" w:sz="0" w:space="0" w:color="auto"/>
        <w:bottom w:val="none" w:sz="0" w:space="0" w:color="auto"/>
        <w:right w:val="none" w:sz="0" w:space="0" w:color="auto"/>
      </w:divBdr>
    </w:div>
    <w:div w:id="2096899811">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570193454">
          <w:marLeft w:val="0"/>
          <w:marRight w:val="0"/>
          <w:marTop w:val="0"/>
          <w:marBottom w:val="0"/>
          <w:divBdr>
            <w:top w:val="none" w:sz="0" w:space="0" w:color="auto"/>
            <w:left w:val="none" w:sz="0" w:space="0" w:color="auto"/>
            <w:bottom w:val="none" w:sz="0" w:space="0" w:color="auto"/>
            <w:right w:val="none" w:sz="0" w:space="0" w:color="auto"/>
          </w:divBdr>
        </w:div>
        <w:div w:id="610279058">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www.vuc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3" Type="http://schemas.openxmlformats.org/officeDocument/2006/relationships/hyperlink" Target="https://relatoria.colombiacompra.gov.co/busqueda/conceptos" TargetMode="External"/><Relationship Id="rId2" Type="http://schemas.openxmlformats.org/officeDocument/2006/relationships/hyperlink" Target="https://bienesrelevantes.colombiacompra.gov.co/"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574D1645-14F5-4C32-A336-8AB22D54BDF0}"/>
</file>

<file path=customXml/itemProps3.xml><?xml version="1.0" encoding="utf-8"?>
<ds:datastoreItem xmlns:ds="http://schemas.openxmlformats.org/officeDocument/2006/customXml" ds:itemID="{96E42282-D077-45CA-8B22-FA407503A13B}">
  <ds:schemaRefs>
    <ds:schemaRef ds:uri="http://schemas.openxmlformats.org/officeDocument/2006/bibliography"/>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4</TotalTime>
  <Pages>72</Pages>
  <Words>29254</Words>
  <Characters>160899</Characters>
  <Application>Microsoft Office Word</Application>
  <DocSecurity>0</DocSecurity>
  <Lines>1340</Lines>
  <Paragraphs>379</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189774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Tatiana Baquero Iguaran</cp:lastModifiedBy>
  <cp:revision>3</cp:revision>
  <cp:lastPrinted>2020-01-30T15:05:00Z</cp:lastPrinted>
  <dcterms:created xsi:type="dcterms:W3CDTF">2022-05-11T19:08:00Z</dcterms:created>
  <dcterms:modified xsi:type="dcterms:W3CDTF">2022-05-11T19:10:00Z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