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6D917" w14:textId="77777777" w:rsidR="00915830" w:rsidRPr="00213052" w:rsidRDefault="00915830" w:rsidP="00915830">
      <w:pPr>
        <w:jc w:val="right"/>
        <w:rPr>
          <w:rFonts w:ascii="Arial" w:hAnsi="Arial" w:cs="Arial"/>
          <w:b/>
          <w:sz w:val="16"/>
          <w:szCs w:val="16"/>
          <w:lang w:val="es-ES_tradnl" w:eastAsia="es-ES"/>
        </w:rPr>
      </w:pPr>
      <w:r w:rsidRPr="00213052">
        <w:rPr>
          <w:rFonts w:ascii="Arial" w:hAnsi="Arial" w:cs="Arial"/>
          <w:b/>
          <w:sz w:val="16"/>
          <w:szCs w:val="16"/>
          <w:lang w:val="es-ES_tradnl" w:eastAsia="es-ES"/>
        </w:rPr>
        <w:t>CCE-DES-FM-17</w:t>
      </w:r>
    </w:p>
    <w:p w14:paraId="20B310A3" w14:textId="77777777" w:rsidR="00915830" w:rsidRPr="00213052" w:rsidRDefault="00915830" w:rsidP="00915830">
      <w:pPr>
        <w:spacing w:line="276" w:lineRule="auto"/>
        <w:jc w:val="both"/>
        <w:rPr>
          <w:rFonts w:ascii="Arial" w:eastAsia="Calibri" w:hAnsi="Arial" w:cs="Arial"/>
          <w:b/>
          <w:sz w:val="16"/>
          <w:szCs w:val="16"/>
          <w:lang w:val="es-ES_tradnl"/>
        </w:rPr>
      </w:pPr>
    </w:p>
    <w:p w14:paraId="1092096C" w14:textId="77777777" w:rsidR="00915830" w:rsidRPr="00CF7EA6" w:rsidRDefault="00915830" w:rsidP="00915830">
      <w:pPr>
        <w:jc w:val="both"/>
        <w:rPr>
          <w:rFonts w:ascii="Arial" w:eastAsia="Calibri" w:hAnsi="Arial" w:cs="Arial"/>
          <w:b/>
          <w:color w:val="000000" w:themeColor="text1"/>
          <w:sz w:val="22"/>
          <w:lang w:val="es-ES_tradnl"/>
        </w:rPr>
      </w:pPr>
      <w:r w:rsidRPr="00CF7EA6">
        <w:rPr>
          <w:rFonts w:ascii="Arial" w:eastAsia="Calibri" w:hAnsi="Arial" w:cs="Arial"/>
          <w:b/>
          <w:color w:val="000000" w:themeColor="text1"/>
          <w:sz w:val="22"/>
          <w:lang w:val="es-ES_tradnl"/>
        </w:rPr>
        <w:t>ENTIDADES DE RÉGIMEN ESPECIAL – Definición</w:t>
      </w:r>
    </w:p>
    <w:p w14:paraId="4D801D4B" w14:textId="77777777" w:rsidR="00915830" w:rsidRPr="00CF7EA6" w:rsidRDefault="00915830" w:rsidP="00915830">
      <w:pPr>
        <w:jc w:val="both"/>
        <w:rPr>
          <w:rFonts w:ascii="Arial" w:eastAsia="Calibri" w:hAnsi="Arial" w:cs="Arial"/>
          <w:color w:val="000000" w:themeColor="text1"/>
          <w:sz w:val="20"/>
          <w:szCs w:val="20"/>
          <w:lang w:val="es-ES_tradnl"/>
        </w:rPr>
      </w:pPr>
    </w:p>
    <w:p w14:paraId="46F0B4C4" w14:textId="77777777" w:rsidR="00915830" w:rsidRPr="00CF7EA6" w:rsidRDefault="00915830" w:rsidP="00915830">
      <w:pPr>
        <w:jc w:val="both"/>
        <w:rPr>
          <w:rFonts w:ascii="Arial" w:eastAsia="Calibri" w:hAnsi="Arial" w:cs="Arial"/>
          <w:color w:val="000000" w:themeColor="text1"/>
          <w:sz w:val="20"/>
          <w:szCs w:val="20"/>
          <w:lang w:val="es-ES_tradnl"/>
        </w:rPr>
      </w:pPr>
      <w:r w:rsidRPr="00CF7EA6">
        <w:rPr>
          <w:rFonts w:ascii="Arial" w:eastAsia="Calibri" w:hAnsi="Arial" w:cs="Arial"/>
          <w:color w:val="000000" w:themeColor="text1"/>
          <w:sz w:val="20"/>
          <w:szCs w:val="20"/>
          <w:lang w:val="es-ES_tradnl"/>
        </w:rPr>
        <w:t>Las entidades de régimen especial son aquellas que, por expresa disposición legal y por su naturaleza o situación de competencia, tienen condiciones diferenciales respecto de la normativa de contratación pública. Esto quiere decir que no están sometidas al Estatuto General de Contratación de la Administración Pública, y por ende sus procedimientos contractuales tienen su propia normativa para su desarrollo, esto es, el derecho privado, lo cual está determinado en las normas de creación de las entidades de régimen especial y en sus manuales de contratación.</w:t>
      </w:r>
    </w:p>
    <w:p w14:paraId="1B5399F9" w14:textId="77777777" w:rsidR="00915830" w:rsidRPr="00CF7EA6" w:rsidRDefault="00915830" w:rsidP="00915830">
      <w:pPr>
        <w:jc w:val="both"/>
        <w:rPr>
          <w:rFonts w:ascii="Arial" w:eastAsia="Calibri" w:hAnsi="Arial" w:cs="Arial"/>
          <w:color w:val="000000" w:themeColor="text1"/>
          <w:sz w:val="22"/>
          <w:lang w:val="es-ES_tradnl"/>
        </w:rPr>
      </w:pPr>
    </w:p>
    <w:p w14:paraId="7146A5F8" w14:textId="77777777" w:rsidR="00915830" w:rsidRPr="00CF7EA6" w:rsidRDefault="00915830" w:rsidP="00915830">
      <w:pPr>
        <w:jc w:val="both"/>
        <w:rPr>
          <w:rFonts w:ascii="Arial" w:eastAsia="Calibri" w:hAnsi="Arial" w:cs="Arial"/>
          <w:b/>
          <w:color w:val="000000" w:themeColor="text1"/>
          <w:sz w:val="22"/>
          <w:lang w:val="es-ES_tradnl"/>
        </w:rPr>
      </w:pPr>
      <w:r w:rsidRPr="00CF7EA6">
        <w:rPr>
          <w:rFonts w:ascii="Arial" w:eastAsia="Calibri" w:hAnsi="Arial" w:cs="Arial"/>
          <w:b/>
          <w:color w:val="000000" w:themeColor="text1"/>
          <w:sz w:val="22"/>
          <w:lang w:val="es-ES_tradnl"/>
        </w:rPr>
        <w:t>ENTIDADES DE RÉGIMEN ESPECIAL – Reglas aplicables</w:t>
      </w:r>
    </w:p>
    <w:p w14:paraId="3E5A03FE" w14:textId="77777777" w:rsidR="00915830" w:rsidRPr="00CF7EA6" w:rsidRDefault="00915830" w:rsidP="00915830">
      <w:pPr>
        <w:jc w:val="both"/>
        <w:rPr>
          <w:rFonts w:ascii="Arial" w:eastAsia="Calibri" w:hAnsi="Arial" w:cs="Arial"/>
          <w:color w:val="000000" w:themeColor="text1"/>
          <w:sz w:val="20"/>
          <w:szCs w:val="20"/>
          <w:lang w:val="es-ES_tradnl"/>
        </w:rPr>
      </w:pPr>
    </w:p>
    <w:p w14:paraId="1E580C81" w14:textId="77777777" w:rsidR="00915830" w:rsidRPr="00CF7EA6" w:rsidRDefault="00915830" w:rsidP="00915830">
      <w:pPr>
        <w:jc w:val="both"/>
        <w:rPr>
          <w:rFonts w:ascii="Arial" w:eastAsia="Calibri" w:hAnsi="Arial" w:cs="Arial"/>
          <w:color w:val="000000" w:themeColor="text1"/>
          <w:sz w:val="20"/>
          <w:szCs w:val="20"/>
          <w:lang w:val="es-ES_tradnl"/>
        </w:rPr>
      </w:pPr>
      <w:r w:rsidRPr="00CF7EA6">
        <w:rPr>
          <w:rFonts w:ascii="Arial" w:eastAsia="Calibri" w:hAnsi="Arial" w:cs="Arial"/>
          <w:color w:val="000000" w:themeColor="text1"/>
          <w:sz w:val="20"/>
          <w:szCs w:val="20"/>
          <w:lang w:val="es-ES_tradnl"/>
        </w:rPr>
        <w:t>No obstante, las entidades de régimen especial cumplen una finalidad pública y utilizan recursos públicos para lograrlo, por lo que no son ajenas a los principios de la función administrativa y el control fiscal, entre otras reglas dispuestas en la normativa de contratación pública que son tra</w:t>
      </w:r>
      <w:r>
        <w:rPr>
          <w:rFonts w:ascii="Arial" w:eastAsia="Calibri" w:hAnsi="Arial" w:cs="Arial"/>
          <w:color w:val="000000" w:themeColor="text1"/>
          <w:sz w:val="20"/>
          <w:szCs w:val="20"/>
          <w:lang w:val="es-ES_tradnl"/>
        </w:rPr>
        <w:t>n</w:t>
      </w:r>
      <w:r w:rsidRPr="00CF7EA6">
        <w:rPr>
          <w:rFonts w:ascii="Arial" w:eastAsia="Calibri" w:hAnsi="Arial" w:cs="Arial"/>
          <w:color w:val="000000" w:themeColor="text1"/>
          <w:sz w:val="20"/>
          <w:szCs w:val="20"/>
          <w:lang w:val="es-ES_tradnl"/>
        </w:rPr>
        <w:t>sversales a todas las entidades, sin importar su régimen legal. Lo anterior es reafirmado por el Consejo de Estado, que destaca las reglas que sigue la contratación de las entidades de régimen especial.</w:t>
      </w:r>
    </w:p>
    <w:p w14:paraId="32E4738D" w14:textId="77777777" w:rsidR="00915830" w:rsidRPr="00CF7EA6" w:rsidRDefault="00915830" w:rsidP="00915830">
      <w:pPr>
        <w:jc w:val="both"/>
        <w:rPr>
          <w:rFonts w:ascii="Arial" w:eastAsia="Calibri" w:hAnsi="Arial" w:cs="Arial"/>
          <w:color w:val="000000" w:themeColor="text1"/>
          <w:sz w:val="20"/>
          <w:szCs w:val="20"/>
          <w:lang w:val="es-ES_tradnl"/>
        </w:rPr>
      </w:pPr>
    </w:p>
    <w:p w14:paraId="0131B507" w14:textId="77777777" w:rsidR="00915830" w:rsidRPr="00071907" w:rsidRDefault="00915830" w:rsidP="00915830">
      <w:pPr>
        <w:jc w:val="both"/>
        <w:rPr>
          <w:rFonts w:ascii="Arial" w:hAnsi="Arial" w:cs="Arial"/>
          <w:b/>
          <w:bCs/>
          <w:noProof/>
          <w:color w:val="000000" w:themeColor="text1"/>
          <w:sz w:val="22"/>
          <w:lang w:val="es-ES_tradnl"/>
        </w:rPr>
      </w:pPr>
      <w:r w:rsidRPr="00071907">
        <w:rPr>
          <w:rFonts w:ascii="Arial" w:eastAsia="Calibri" w:hAnsi="Arial" w:cs="Arial"/>
          <w:b/>
          <w:bCs/>
          <w:color w:val="000000" w:themeColor="text1"/>
          <w:sz w:val="22"/>
          <w:lang w:val="es-ES_tradnl"/>
        </w:rPr>
        <w:t>LEY 2195 DE 2022 – Aplicación de documentos tipo – entidades de régimen especial – artículo 56</w:t>
      </w:r>
    </w:p>
    <w:p w14:paraId="6AFA87FC" w14:textId="77777777" w:rsidR="00915830" w:rsidRDefault="00915830" w:rsidP="00915830">
      <w:pPr>
        <w:jc w:val="both"/>
        <w:rPr>
          <w:rFonts w:ascii="Arial" w:hAnsi="Arial" w:cs="Arial"/>
          <w:noProof/>
          <w:color w:val="000000" w:themeColor="text1"/>
          <w:sz w:val="22"/>
          <w:lang w:val="es-ES_tradnl"/>
        </w:rPr>
      </w:pPr>
    </w:p>
    <w:p w14:paraId="283FC277" w14:textId="77777777" w:rsidR="00915830" w:rsidRPr="00AB0520" w:rsidRDefault="00915830" w:rsidP="00915830">
      <w:pPr>
        <w:jc w:val="both"/>
        <w:rPr>
          <w:rFonts w:ascii="Arial" w:eastAsia="Calibri" w:hAnsi="Arial" w:cs="Arial"/>
          <w:bCs/>
          <w:sz w:val="20"/>
          <w:szCs w:val="20"/>
          <w:lang w:val="es-ES_tradnl"/>
        </w:rPr>
      </w:pPr>
      <w:r>
        <w:rPr>
          <w:rFonts w:ascii="Arial" w:eastAsia="Calibri" w:hAnsi="Arial" w:cs="Arial"/>
          <w:bCs/>
          <w:sz w:val="20"/>
          <w:szCs w:val="20"/>
          <w:lang w:val="es-ES_tradnl"/>
        </w:rPr>
        <w:t xml:space="preserve">[…] </w:t>
      </w:r>
      <w:r w:rsidRPr="00AB0520">
        <w:rPr>
          <w:rFonts w:ascii="Arial" w:eastAsia="Calibri" w:hAnsi="Arial" w:cs="Arial"/>
          <w:bCs/>
          <w:sz w:val="20"/>
          <w:szCs w:val="20"/>
          <w:lang w:val="es-ES_tradnl"/>
        </w:rPr>
        <w:t xml:space="preserve">el artículo 56 de la Ley 2195 de 2022 no modifica el régimen especial al que están sometidas las entidades exceptuadas del </w:t>
      </w:r>
      <w:r w:rsidRPr="00356E40">
        <w:rPr>
          <w:rFonts w:ascii="Arial" w:eastAsia="Calibri" w:hAnsi="Arial" w:cs="Arial"/>
          <w:bCs/>
          <w:sz w:val="20"/>
          <w:szCs w:val="20"/>
          <w:lang w:val="es-ES_tradnl"/>
        </w:rPr>
        <w:t>Estatuto General de Contratación de la Administración Pública</w:t>
      </w:r>
      <w:r w:rsidRPr="00AB0520">
        <w:rPr>
          <w:rFonts w:ascii="Arial" w:eastAsia="Calibri" w:hAnsi="Arial" w:cs="Arial"/>
          <w:bCs/>
          <w:sz w:val="20"/>
          <w:szCs w:val="20"/>
          <w:lang w:val="es-ES_tradnl"/>
        </w:rPr>
        <w:t xml:space="preserve">, como es el caso de las Empresas Sociales del Estado, previsto en la Ley 100 de 1993. Su objetivo es que, cuando una entidad sometida al </w:t>
      </w:r>
      <w:r w:rsidRPr="008D2E97">
        <w:rPr>
          <w:rFonts w:ascii="Arial" w:eastAsia="Calibri" w:hAnsi="Arial" w:cs="Arial"/>
          <w:bCs/>
          <w:sz w:val="20"/>
          <w:szCs w:val="20"/>
          <w:lang w:val="es-ES_tradnl"/>
        </w:rPr>
        <w:t xml:space="preserve">Estatuto General de Contratación de la Administración Pública </w:t>
      </w:r>
      <w:r w:rsidRPr="00AB0520">
        <w:rPr>
          <w:rFonts w:ascii="Arial" w:eastAsia="Calibri" w:hAnsi="Arial" w:cs="Arial"/>
          <w:bCs/>
          <w:sz w:val="20"/>
          <w:szCs w:val="20"/>
          <w:lang w:val="es-ES_tradnl"/>
        </w:rPr>
        <w:t>pretenda celebrar contratos para la adquisición de bienes, obras o servicios, en los que se hayan expedido documentos tipo, con otra entidad estatal (interadministrativos), con patrimonios autónomos o con personas naturales o jurídicas de derecho privado, cuyo régimen de contratación sea especial o de derecho privado, se deban aplicar los documentos tipo adoptados por la Agencia Nacional de Contratación Pública - Colombia Compra Eficiente o quien haga sus veces, conforme al parágrafo 7 del artículo 2 de la Ley 1150 de 2007 o las normas que lo modifiquen o sustituyan.</w:t>
      </w:r>
    </w:p>
    <w:p w14:paraId="31140E3F" w14:textId="77777777" w:rsidR="00915830" w:rsidRDefault="00915830" w:rsidP="00915830">
      <w:pPr>
        <w:jc w:val="both"/>
        <w:rPr>
          <w:rFonts w:ascii="Arial" w:eastAsia="Calibri" w:hAnsi="Arial" w:cs="Arial"/>
          <w:bCs/>
          <w:sz w:val="20"/>
          <w:szCs w:val="20"/>
          <w:lang w:val="es-ES_tradnl"/>
        </w:rPr>
      </w:pPr>
    </w:p>
    <w:p w14:paraId="69735782" w14:textId="77777777" w:rsidR="00915830" w:rsidRPr="00AB0520" w:rsidRDefault="00915830" w:rsidP="00915830">
      <w:pPr>
        <w:jc w:val="both"/>
        <w:rPr>
          <w:rFonts w:ascii="Arial" w:eastAsia="Calibri" w:hAnsi="Arial" w:cs="Arial"/>
          <w:bCs/>
          <w:sz w:val="20"/>
          <w:szCs w:val="20"/>
          <w:lang w:val="es-ES_tradnl"/>
        </w:rPr>
      </w:pPr>
      <w:r w:rsidRPr="00AB0520">
        <w:rPr>
          <w:rFonts w:ascii="Arial" w:eastAsia="Calibri" w:hAnsi="Arial" w:cs="Arial"/>
          <w:bCs/>
          <w:sz w:val="20"/>
          <w:szCs w:val="20"/>
          <w:lang w:val="es-ES_tradnl"/>
        </w:rPr>
        <w:t>Por su parte, con ocasión del inciso segundo del artículo 56, «Los procedimientos de selección y los contratos que realicen en desarrollo de los anteriores negocios jurídicos, donde apliquen los documentos tipo se regirán por el Estatuto General de Contratación de la Administración Pública», lo cual significa que deben identificarse y separarse, al menos, dos negocios jurídicos: el primero, el celebrado entre la entidad sometida al Estatuto General de Contratación de la Administración Pública y los demás sujetos indicados en el artículo 56; el segundo, los celebrados entre esos demás sujetos indicados en el artículo 56, para desarrollar el contrato que se celebró en aplicación de los documento tipo pertinentes. El segundo inciso obliga a que la celebración de los negocios jurídicos derivados del contrato (celebrado en aplicación de los documentos tipo) se rijan por el Estatuto General de Contratación de la Administración Pública.</w:t>
      </w:r>
    </w:p>
    <w:p w14:paraId="08F10127" w14:textId="77777777" w:rsidR="00915830" w:rsidRDefault="00915830" w:rsidP="00915830">
      <w:pPr>
        <w:jc w:val="both"/>
        <w:rPr>
          <w:rFonts w:ascii="Arial" w:eastAsia="Calibri" w:hAnsi="Arial" w:cs="Arial"/>
          <w:bCs/>
          <w:sz w:val="20"/>
          <w:szCs w:val="20"/>
          <w:lang w:val="es-ES_tradnl"/>
        </w:rPr>
      </w:pPr>
    </w:p>
    <w:p w14:paraId="20C5F05D" w14:textId="77777777" w:rsidR="00915830" w:rsidRPr="00AB0520" w:rsidRDefault="00915830" w:rsidP="00915830">
      <w:pPr>
        <w:jc w:val="both"/>
        <w:rPr>
          <w:rFonts w:ascii="Arial" w:eastAsia="Calibri" w:hAnsi="Arial" w:cs="Arial"/>
          <w:bCs/>
          <w:sz w:val="20"/>
          <w:szCs w:val="20"/>
          <w:lang w:val="es-ES_tradnl"/>
        </w:rPr>
      </w:pPr>
      <w:r w:rsidRPr="00AB0520">
        <w:rPr>
          <w:rFonts w:ascii="Arial" w:eastAsia="Calibri" w:hAnsi="Arial" w:cs="Arial"/>
          <w:bCs/>
          <w:sz w:val="20"/>
          <w:szCs w:val="20"/>
          <w:lang w:val="es-ES_tradnl"/>
        </w:rPr>
        <w:t xml:space="preserve">De conformidad con lo anterior, esa ampliación, se reitera, sólo se deriva del hecho de que las entidades no sometidas al </w:t>
      </w:r>
      <w:r w:rsidRPr="008D2E97">
        <w:rPr>
          <w:rFonts w:ascii="Arial" w:eastAsia="Calibri" w:hAnsi="Arial" w:cs="Arial"/>
          <w:bCs/>
          <w:sz w:val="20"/>
          <w:szCs w:val="20"/>
          <w:lang w:val="es-ES_tradnl"/>
        </w:rPr>
        <w:t>Estatuto General de Contratación de la Administración Pública</w:t>
      </w:r>
      <w:r w:rsidRPr="00AB0520">
        <w:rPr>
          <w:rFonts w:ascii="Arial" w:eastAsia="Calibri" w:hAnsi="Arial" w:cs="Arial"/>
          <w:bCs/>
          <w:sz w:val="20"/>
          <w:szCs w:val="20"/>
          <w:lang w:val="es-ES_tradnl"/>
        </w:rPr>
        <w:t xml:space="preserve">, </w:t>
      </w:r>
      <w:r w:rsidRPr="00AB0520">
        <w:rPr>
          <w:rFonts w:ascii="Arial" w:eastAsia="Calibri" w:hAnsi="Arial" w:cs="Arial"/>
          <w:bCs/>
          <w:sz w:val="20"/>
          <w:szCs w:val="20"/>
          <w:lang w:val="es-ES_tradnl"/>
        </w:rPr>
        <w:lastRenderedPageBreak/>
        <w:t xml:space="preserve">enunciadas en el artículo 56 de la Ley 2195 de 2022, hayan suscrito un contrato con una entidad sometida al </w:t>
      </w:r>
      <w:r w:rsidRPr="008D2E97">
        <w:rPr>
          <w:rFonts w:ascii="Arial" w:eastAsia="Calibri" w:hAnsi="Arial" w:cs="Arial"/>
          <w:bCs/>
          <w:sz w:val="20"/>
          <w:szCs w:val="20"/>
          <w:lang w:val="es-ES_tradnl"/>
        </w:rPr>
        <w:t>Estatuto General de Contratación de la Administración Pública</w:t>
      </w:r>
      <w:r w:rsidRPr="00AB0520">
        <w:rPr>
          <w:rFonts w:ascii="Arial" w:eastAsia="Calibri" w:hAnsi="Arial" w:cs="Arial"/>
          <w:bCs/>
          <w:sz w:val="20"/>
          <w:szCs w:val="20"/>
          <w:lang w:val="es-ES_tradnl"/>
        </w:rPr>
        <w:t xml:space="preserve">, en el que se haya expedido por esta Agencia documento tipo. Es decir, se reitera, el artículo 56 de la Ley 2195 de 2022 no modifica el régimen especial de contratación de las entidades exceptuadas del </w:t>
      </w:r>
      <w:r w:rsidRPr="008D2E97">
        <w:rPr>
          <w:rFonts w:ascii="Arial" w:eastAsia="Calibri" w:hAnsi="Arial" w:cs="Arial"/>
          <w:bCs/>
          <w:sz w:val="20"/>
          <w:szCs w:val="20"/>
          <w:lang w:val="es-ES_tradnl"/>
        </w:rPr>
        <w:t>Estatuto General de Contratación de la Administración Pública</w:t>
      </w:r>
      <w:r w:rsidRPr="00AB0520">
        <w:rPr>
          <w:rFonts w:ascii="Arial" w:eastAsia="Calibri" w:hAnsi="Arial" w:cs="Arial"/>
          <w:bCs/>
          <w:sz w:val="20"/>
          <w:szCs w:val="20"/>
          <w:lang w:val="es-ES_tradnl"/>
        </w:rPr>
        <w:t>.</w:t>
      </w:r>
    </w:p>
    <w:p w14:paraId="64A2E64A" w14:textId="77777777" w:rsidR="00915830" w:rsidRDefault="00915830" w:rsidP="00915830">
      <w:pPr>
        <w:jc w:val="both"/>
        <w:rPr>
          <w:rFonts w:ascii="Arial" w:eastAsia="Calibri" w:hAnsi="Arial" w:cs="Arial"/>
          <w:bCs/>
          <w:sz w:val="20"/>
          <w:szCs w:val="20"/>
          <w:lang w:val="es-ES_tradnl"/>
        </w:rPr>
      </w:pPr>
    </w:p>
    <w:p w14:paraId="5869A229" w14:textId="77777777" w:rsidR="00915830" w:rsidRPr="00213052" w:rsidRDefault="00915830" w:rsidP="00915830">
      <w:pPr>
        <w:jc w:val="both"/>
        <w:rPr>
          <w:rFonts w:ascii="Arial" w:hAnsi="Arial" w:cs="Arial"/>
          <w:noProof/>
          <w:color w:val="000000" w:themeColor="text1"/>
          <w:sz w:val="22"/>
          <w:lang w:val="es-ES_tradnl"/>
        </w:rPr>
      </w:pPr>
      <w:r w:rsidRPr="00AB0520">
        <w:rPr>
          <w:rFonts w:ascii="Arial" w:eastAsia="Calibri" w:hAnsi="Arial" w:cs="Arial"/>
          <w:bCs/>
          <w:sz w:val="20"/>
          <w:szCs w:val="20"/>
          <w:lang w:val="es-ES_tradnl"/>
        </w:rPr>
        <w:t xml:space="preserve">Sin perjuicio de lo anterior, es importante tener en cuenta que, el parágrafo del artículo en comento exceptúa de la aplicación de lo señalado en los dos primeros incisos a las Empresas Sociales del Estado, únicamente, en la contratación relacionada con el giro ordinario de sus asuntos. En tal sentido, este tipo de destinatarios no deberán regirse por el </w:t>
      </w:r>
      <w:r w:rsidRPr="008D2E97">
        <w:rPr>
          <w:rFonts w:ascii="Arial" w:eastAsia="Calibri" w:hAnsi="Arial" w:cs="Arial"/>
          <w:bCs/>
          <w:sz w:val="20"/>
          <w:szCs w:val="20"/>
          <w:lang w:val="es-ES_tradnl"/>
        </w:rPr>
        <w:t xml:space="preserve">Estatuto General de Contratación de la Administración Pública </w:t>
      </w:r>
      <w:r w:rsidRPr="00AB0520">
        <w:rPr>
          <w:rFonts w:ascii="Arial" w:eastAsia="Calibri" w:hAnsi="Arial" w:cs="Arial"/>
          <w:bCs/>
          <w:sz w:val="20"/>
          <w:szCs w:val="20"/>
          <w:lang w:val="es-ES_tradnl"/>
        </w:rPr>
        <w:t xml:space="preserve">para celebrar los negocios jurídicos relativos a objetos donde se haya expedido documento tipo pertinente, cuando se trate de objetos propios de su giro ordinario. En otras palabras, si no se trata de contratación propia de su giro ordinario, los negocios jurídicos que celebren las Empresas Sociales del Estado como derivados de un contrato celebrado con una entidad sometida al </w:t>
      </w:r>
      <w:r w:rsidRPr="008D2E97">
        <w:rPr>
          <w:rFonts w:ascii="Arial" w:eastAsia="Calibri" w:hAnsi="Arial" w:cs="Arial"/>
          <w:bCs/>
          <w:sz w:val="20"/>
          <w:szCs w:val="20"/>
          <w:lang w:val="es-ES_tradnl"/>
        </w:rPr>
        <w:t>Estatuto General de Contratación de la Administración Pública</w:t>
      </w:r>
      <w:r w:rsidRPr="00AB0520">
        <w:rPr>
          <w:rFonts w:ascii="Arial" w:eastAsia="Calibri" w:hAnsi="Arial" w:cs="Arial"/>
          <w:bCs/>
          <w:sz w:val="20"/>
          <w:szCs w:val="20"/>
          <w:lang w:val="es-ES_tradnl"/>
        </w:rPr>
        <w:t xml:space="preserve">, en donde aplicaron documentos tipo, se deberán regir por el </w:t>
      </w:r>
      <w:r w:rsidRPr="008D2E97">
        <w:rPr>
          <w:rFonts w:ascii="Arial" w:eastAsia="Calibri" w:hAnsi="Arial" w:cs="Arial"/>
          <w:bCs/>
          <w:sz w:val="20"/>
          <w:szCs w:val="20"/>
          <w:lang w:val="es-ES_tradnl"/>
        </w:rPr>
        <w:t>Estatuto General de Contratación de la Administración Pública</w:t>
      </w:r>
      <w:r w:rsidRPr="00AB0520">
        <w:rPr>
          <w:rFonts w:ascii="Arial" w:eastAsia="Calibri" w:hAnsi="Arial" w:cs="Arial"/>
          <w:bCs/>
          <w:sz w:val="20"/>
          <w:szCs w:val="20"/>
          <w:lang w:val="es-ES_tradnl"/>
        </w:rPr>
        <w:t>.</w:t>
      </w:r>
    </w:p>
    <w:p w14:paraId="677EF3B5" w14:textId="77777777" w:rsidR="00915830" w:rsidRPr="00213052" w:rsidRDefault="00915830" w:rsidP="00915830">
      <w:pPr>
        <w:jc w:val="both"/>
        <w:rPr>
          <w:rFonts w:ascii="Arial" w:hAnsi="Arial" w:cs="Arial"/>
          <w:noProof/>
          <w:color w:val="000000" w:themeColor="text1"/>
          <w:sz w:val="22"/>
          <w:lang w:val="es-ES_tradnl"/>
        </w:rPr>
      </w:pPr>
    </w:p>
    <w:p w14:paraId="0C58476A" w14:textId="77777777" w:rsidR="00915830" w:rsidRDefault="00915830" w:rsidP="00915830">
      <w:pPr>
        <w:jc w:val="both"/>
        <w:rPr>
          <w:rFonts w:ascii="Arial" w:eastAsia="Calibri" w:hAnsi="Arial" w:cs="Arial"/>
          <w:b/>
          <w:bCs/>
          <w:color w:val="000000" w:themeColor="text1"/>
          <w:sz w:val="20"/>
          <w:szCs w:val="20"/>
          <w:lang w:val="es-ES_tradnl"/>
        </w:rPr>
      </w:pPr>
      <w:r w:rsidRPr="00356E40">
        <w:rPr>
          <w:rFonts w:ascii="Arial" w:eastAsia="Calibri" w:hAnsi="Arial" w:cs="Arial"/>
          <w:b/>
          <w:bCs/>
          <w:color w:val="000000" w:themeColor="text1"/>
          <w:sz w:val="20"/>
          <w:szCs w:val="20"/>
          <w:lang w:val="es-ES_tradnl"/>
        </w:rPr>
        <w:t>GIRO ORDINARIO – Concepto</w:t>
      </w:r>
    </w:p>
    <w:p w14:paraId="31B86D20" w14:textId="77777777" w:rsidR="00915830" w:rsidRDefault="00915830" w:rsidP="00915830">
      <w:pPr>
        <w:jc w:val="both"/>
        <w:rPr>
          <w:rFonts w:ascii="Arial" w:eastAsia="Calibri" w:hAnsi="Arial" w:cs="Arial"/>
          <w:b/>
          <w:bCs/>
          <w:color w:val="000000" w:themeColor="text1"/>
          <w:sz w:val="20"/>
          <w:szCs w:val="20"/>
          <w:lang w:val="es-ES_tradnl"/>
        </w:rPr>
      </w:pPr>
    </w:p>
    <w:p w14:paraId="0B3F2045" w14:textId="77777777" w:rsidR="00915830" w:rsidRPr="00356E40" w:rsidRDefault="00915830" w:rsidP="00915830">
      <w:pPr>
        <w:jc w:val="both"/>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 xml:space="preserve">[…] </w:t>
      </w:r>
      <w:r w:rsidRPr="00356E40">
        <w:rPr>
          <w:rFonts w:ascii="Arial" w:eastAsia="Calibri" w:hAnsi="Arial" w:cs="Arial"/>
          <w:color w:val="000000" w:themeColor="text1"/>
          <w:sz w:val="20"/>
          <w:szCs w:val="20"/>
          <w:lang w:val="es-ES_tradnl"/>
        </w:rPr>
        <w:t>para el Consejo de Estado el «giro ordinario de los negocios» abarca dos (2) categorías. La primera, que se relaciona con aquellas actividades desarrolladas en cumplimiento del objeto social o funciones principales definidas expresamente en la ley. Por su parte, la segunda concibe todos los actos y contratos que se requieran para el desarrollo de las primeras, en una relación de medio a fin. De esta manera, guarda relación con todas aquellas actividades que constituyen el objeto social de la entidad o que se relacionan intrínsecamente con este. En otras palabras, son las tareas y/o labores, principales o conexas, que desarrolla la entidad para cumplir su función misional.</w:t>
      </w:r>
    </w:p>
    <w:p w14:paraId="0FC5C106" w14:textId="77777777" w:rsidR="00915830" w:rsidRDefault="00915830" w:rsidP="00915830">
      <w:pPr>
        <w:jc w:val="both"/>
        <w:rPr>
          <w:rFonts w:ascii="Arial" w:eastAsia="Calibri" w:hAnsi="Arial" w:cs="Arial"/>
          <w:color w:val="000000" w:themeColor="text1"/>
          <w:sz w:val="22"/>
          <w:lang w:val="es-ES_tradnl"/>
        </w:rPr>
      </w:pPr>
    </w:p>
    <w:p w14:paraId="308AC15F" w14:textId="77777777" w:rsidR="00915830" w:rsidRPr="00213052" w:rsidRDefault="00915830" w:rsidP="00915830">
      <w:pPr>
        <w:jc w:val="both"/>
        <w:rPr>
          <w:rFonts w:ascii="Arial" w:hAnsi="Arial" w:cs="Arial"/>
          <w:noProof/>
          <w:color w:val="000000" w:themeColor="text1"/>
          <w:sz w:val="22"/>
          <w:lang w:val="es-ES_tradnl"/>
        </w:rPr>
      </w:pPr>
    </w:p>
    <w:p w14:paraId="56292A35" w14:textId="77777777" w:rsidR="00915830" w:rsidRPr="00213052" w:rsidRDefault="00915830" w:rsidP="00915830">
      <w:pPr>
        <w:jc w:val="both"/>
        <w:rPr>
          <w:rFonts w:ascii="Arial" w:hAnsi="Arial" w:cs="Arial"/>
          <w:noProof/>
          <w:color w:val="000000" w:themeColor="text1"/>
          <w:sz w:val="22"/>
          <w:lang w:val="es-ES_tradnl"/>
        </w:rPr>
      </w:pPr>
    </w:p>
    <w:p w14:paraId="04452526" w14:textId="77777777" w:rsidR="00915830" w:rsidRDefault="00915830" w:rsidP="00915830">
      <w:pPr>
        <w:jc w:val="both"/>
        <w:rPr>
          <w:rFonts w:ascii="Arial" w:hAnsi="Arial" w:cs="Arial"/>
          <w:noProof/>
          <w:color w:val="000000" w:themeColor="text1"/>
          <w:sz w:val="22"/>
          <w:lang w:val="es-ES_tradnl"/>
        </w:rPr>
      </w:pPr>
    </w:p>
    <w:p w14:paraId="6BAED9E0" w14:textId="77777777" w:rsidR="00915830" w:rsidRDefault="00915830" w:rsidP="00915830">
      <w:pPr>
        <w:jc w:val="both"/>
        <w:rPr>
          <w:rFonts w:ascii="Arial" w:hAnsi="Arial" w:cs="Arial"/>
          <w:noProof/>
          <w:color w:val="000000" w:themeColor="text1"/>
          <w:sz w:val="22"/>
          <w:lang w:val="es-ES_tradnl"/>
        </w:rPr>
      </w:pPr>
    </w:p>
    <w:p w14:paraId="2DE9539F" w14:textId="77777777" w:rsidR="00915830" w:rsidRDefault="00915830" w:rsidP="00915830">
      <w:pPr>
        <w:jc w:val="both"/>
        <w:rPr>
          <w:rFonts w:ascii="Arial" w:hAnsi="Arial" w:cs="Arial"/>
          <w:noProof/>
          <w:color w:val="000000" w:themeColor="text1"/>
          <w:sz w:val="22"/>
          <w:lang w:val="es-ES_tradnl"/>
        </w:rPr>
      </w:pPr>
    </w:p>
    <w:p w14:paraId="6B39CE4E" w14:textId="77777777" w:rsidR="00915830" w:rsidRDefault="00915830" w:rsidP="00915830">
      <w:pPr>
        <w:jc w:val="both"/>
        <w:rPr>
          <w:rFonts w:ascii="Arial" w:hAnsi="Arial" w:cs="Arial"/>
          <w:noProof/>
          <w:color w:val="000000" w:themeColor="text1"/>
          <w:sz w:val="22"/>
          <w:lang w:val="es-ES_tradnl"/>
        </w:rPr>
      </w:pPr>
    </w:p>
    <w:p w14:paraId="23AC747C" w14:textId="77777777" w:rsidR="00915830" w:rsidRDefault="00915830" w:rsidP="00915830">
      <w:pPr>
        <w:rPr>
          <w:rFonts w:ascii="Arial" w:eastAsia="Calibri" w:hAnsi="Arial" w:cs="Arial"/>
          <w:sz w:val="22"/>
          <w:szCs w:val="20"/>
          <w:lang w:val="es-ES_tradnl"/>
        </w:rPr>
      </w:pPr>
    </w:p>
    <w:p w14:paraId="29FD6D20" w14:textId="77777777" w:rsidR="00915830" w:rsidRDefault="00915830" w:rsidP="00915830">
      <w:pPr>
        <w:rPr>
          <w:rFonts w:ascii="Arial" w:eastAsia="Calibri" w:hAnsi="Arial" w:cs="Arial"/>
          <w:sz w:val="22"/>
          <w:szCs w:val="20"/>
          <w:lang w:val="es-ES_tradnl"/>
        </w:rPr>
      </w:pPr>
    </w:p>
    <w:p w14:paraId="7A502150" w14:textId="77777777" w:rsidR="00915830" w:rsidRDefault="00915830" w:rsidP="00915830">
      <w:pPr>
        <w:rPr>
          <w:rFonts w:ascii="Arial" w:eastAsia="Calibri" w:hAnsi="Arial" w:cs="Arial"/>
          <w:sz w:val="22"/>
          <w:szCs w:val="20"/>
          <w:lang w:val="es-ES_tradnl"/>
        </w:rPr>
      </w:pPr>
    </w:p>
    <w:p w14:paraId="6F1AFF35" w14:textId="77777777" w:rsidR="00915830" w:rsidRDefault="00915830" w:rsidP="00915830">
      <w:pPr>
        <w:rPr>
          <w:rFonts w:ascii="Arial" w:eastAsia="Calibri" w:hAnsi="Arial" w:cs="Arial"/>
          <w:sz w:val="22"/>
          <w:szCs w:val="20"/>
          <w:lang w:val="es-ES_tradnl"/>
        </w:rPr>
      </w:pPr>
    </w:p>
    <w:p w14:paraId="79BD8BE9" w14:textId="77777777" w:rsidR="00915830" w:rsidRDefault="00915830" w:rsidP="00915830">
      <w:pPr>
        <w:rPr>
          <w:rFonts w:ascii="Arial" w:eastAsia="Calibri" w:hAnsi="Arial" w:cs="Arial"/>
          <w:sz w:val="22"/>
          <w:szCs w:val="20"/>
          <w:lang w:val="es-ES_tradnl"/>
        </w:rPr>
      </w:pPr>
    </w:p>
    <w:p w14:paraId="77AD6CFE" w14:textId="77777777" w:rsidR="00915830" w:rsidRDefault="00915830" w:rsidP="00915830">
      <w:pPr>
        <w:rPr>
          <w:rFonts w:ascii="Arial" w:eastAsia="Calibri" w:hAnsi="Arial" w:cs="Arial"/>
          <w:sz w:val="22"/>
          <w:szCs w:val="20"/>
          <w:lang w:val="es-ES_tradnl"/>
        </w:rPr>
      </w:pPr>
    </w:p>
    <w:p w14:paraId="533B3625" w14:textId="77777777" w:rsidR="00915830" w:rsidRDefault="00915830" w:rsidP="00915830">
      <w:pPr>
        <w:rPr>
          <w:rFonts w:ascii="Arial" w:eastAsia="Calibri" w:hAnsi="Arial" w:cs="Arial"/>
          <w:sz w:val="22"/>
          <w:szCs w:val="20"/>
          <w:lang w:val="es-ES_tradnl"/>
        </w:rPr>
      </w:pPr>
    </w:p>
    <w:p w14:paraId="21991C9C" w14:textId="77777777" w:rsidR="00915830" w:rsidRDefault="00915830" w:rsidP="00915830">
      <w:pPr>
        <w:rPr>
          <w:rFonts w:ascii="Arial" w:eastAsia="Calibri" w:hAnsi="Arial" w:cs="Arial"/>
          <w:sz w:val="22"/>
          <w:szCs w:val="20"/>
          <w:lang w:val="es-ES_tradnl"/>
        </w:rPr>
      </w:pPr>
    </w:p>
    <w:p w14:paraId="09EB471F" w14:textId="77777777" w:rsidR="00915830" w:rsidRDefault="00915830" w:rsidP="00915830">
      <w:pPr>
        <w:rPr>
          <w:rFonts w:ascii="Arial" w:eastAsia="Calibri" w:hAnsi="Arial" w:cs="Arial"/>
          <w:sz w:val="22"/>
          <w:szCs w:val="20"/>
          <w:lang w:val="es-ES_tradnl"/>
        </w:rPr>
      </w:pPr>
    </w:p>
    <w:p w14:paraId="22141774" w14:textId="77777777" w:rsidR="00915830" w:rsidRDefault="00915830" w:rsidP="00915830">
      <w:pPr>
        <w:rPr>
          <w:rFonts w:ascii="Arial" w:eastAsia="Calibri" w:hAnsi="Arial" w:cs="Arial"/>
          <w:sz w:val="22"/>
          <w:szCs w:val="20"/>
          <w:lang w:val="es-ES_tradnl"/>
        </w:rPr>
      </w:pPr>
    </w:p>
    <w:p w14:paraId="77D4708A" w14:textId="77777777" w:rsidR="00915830" w:rsidRDefault="00915830" w:rsidP="00915830">
      <w:pPr>
        <w:rPr>
          <w:rFonts w:ascii="Arial" w:eastAsia="Calibri" w:hAnsi="Arial" w:cs="Arial"/>
          <w:sz w:val="22"/>
          <w:szCs w:val="20"/>
          <w:lang w:val="es-ES_tradnl"/>
        </w:rPr>
      </w:pPr>
    </w:p>
    <w:p w14:paraId="33254CC0" w14:textId="6A5C0E79" w:rsidR="00E37F50" w:rsidRDefault="00E37F50" w:rsidP="00E37F50">
      <w:pPr>
        <w:jc w:val="right"/>
      </w:pPr>
      <w:r>
        <w:lastRenderedPageBreak/>
        <w:fldChar w:fldCharType="begin"/>
      </w:r>
      <w:r>
        <w:instrText xml:space="preserve"> INCLUDEPICTURE "/var/folders/tb/0fmk9b510f57pz5rwhv8lnpw0000gp/T/com.microsoft.Word/WebArchiveCopyPasteTempFiles/page1image60084288" \* MERGEFORMATINET </w:instrText>
      </w:r>
      <w:r>
        <w:fldChar w:fldCharType="separate"/>
      </w:r>
      <w:r>
        <w:rPr>
          <w:noProof/>
        </w:rPr>
        <w:drawing>
          <wp:inline distT="0" distB="0" distL="0" distR="0" wp14:anchorId="38B92DF8" wp14:editId="4FE39F1D">
            <wp:extent cx="2402840" cy="605790"/>
            <wp:effectExtent l="0" t="0" r="0" b="3810"/>
            <wp:docPr id="1" name="Imagen 1" descr="page1image6008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6008428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2840" cy="605790"/>
                    </a:xfrm>
                    <a:prstGeom prst="rect">
                      <a:avLst/>
                    </a:prstGeom>
                    <a:noFill/>
                    <a:ln>
                      <a:noFill/>
                    </a:ln>
                  </pic:spPr>
                </pic:pic>
              </a:graphicData>
            </a:graphic>
          </wp:inline>
        </w:drawing>
      </w:r>
      <w:r>
        <w:fldChar w:fldCharType="end"/>
      </w:r>
    </w:p>
    <w:p w14:paraId="2BEE4F33" w14:textId="77777777" w:rsidR="00915830" w:rsidRDefault="00915830" w:rsidP="00915830">
      <w:pPr>
        <w:rPr>
          <w:rFonts w:ascii="Arial" w:eastAsia="Calibri" w:hAnsi="Arial" w:cs="Arial"/>
          <w:sz w:val="22"/>
          <w:szCs w:val="20"/>
          <w:lang w:val="es-ES_tradnl"/>
        </w:rPr>
      </w:pPr>
    </w:p>
    <w:p w14:paraId="7061351C" w14:textId="30A13083" w:rsidR="00915830" w:rsidRDefault="005A61EA" w:rsidP="00915830">
      <w:pPr>
        <w:rPr>
          <w:rFonts w:ascii="Arial" w:eastAsia="Calibri" w:hAnsi="Arial" w:cs="Arial"/>
          <w:sz w:val="22"/>
          <w:szCs w:val="20"/>
          <w:lang w:val="es-ES_tradnl"/>
        </w:rPr>
      </w:pPr>
      <w:r>
        <w:rPr>
          <w:rFonts w:ascii="Arial" w:eastAsia="Calibri" w:hAnsi="Arial" w:cs="Arial"/>
          <w:sz w:val="22"/>
          <w:szCs w:val="20"/>
          <w:lang w:val="es-ES_tradnl"/>
        </w:rPr>
        <w:t>24 de Marzo de 2022.</w:t>
      </w:r>
    </w:p>
    <w:p w14:paraId="32CEEFED" w14:textId="77777777" w:rsidR="005A61EA" w:rsidRDefault="005A61EA" w:rsidP="00915830">
      <w:pPr>
        <w:rPr>
          <w:rFonts w:ascii="Arial" w:eastAsia="Calibri" w:hAnsi="Arial" w:cs="Arial"/>
          <w:sz w:val="22"/>
          <w:szCs w:val="20"/>
          <w:lang w:val="es-ES_tradnl"/>
        </w:rPr>
      </w:pPr>
    </w:p>
    <w:p w14:paraId="5C3F6E5A" w14:textId="77777777" w:rsidR="00915830" w:rsidRDefault="00915830" w:rsidP="00915830">
      <w:pPr>
        <w:rPr>
          <w:rFonts w:ascii="Arial" w:eastAsia="Calibri" w:hAnsi="Arial" w:cs="Arial"/>
          <w:sz w:val="22"/>
          <w:szCs w:val="20"/>
          <w:lang w:val="es-ES_tradnl"/>
        </w:rPr>
      </w:pPr>
      <w:r>
        <w:rPr>
          <w:rFonts w:ascii="Arial" w:eastAsia="Calibri" w:hAnsi="Arial" w:cs="Arial"/>
          <w:sz w:val="22"/>
          <w:szCs w:val="20"/>
          <w:lang w:val="es-ES_tradnl"/>
        </w:rPr>
        <w:t xml:space="preserve">Bogotá D.C., </w:t>
      </w:r>
    </w:p>
    <w:p w14:paraId="08796437" w14:textId="77777777" w:rsidR="00915830" w:rsidRDefault="00915830" w:rsidP="00915830">
      <w:pPr>
        <w:rPr>
          <w:rFonts w:ascii="Arial" w:eastAsia="Calibri" w:hAnsi="Arial" w:cs="Arial"/>
          <w:sz w:val="22"/>
          <w:szCs w:val="20"/>
          <w:lang w:val="es-ES_tradnl"/>
        </w:rPr>
      </w:pPr>
    </w:p>
    <w:p w14:paraId="34064C93" w14:textId="77777777" w:rsidR="00915830" w:rsidRDefault="00915830" w:rsidP="00915830">
      <w:pPr>
        <w:rPr>
          <w:rFonts w:ascii="Arial" w:eastAsia="Calibri" w:hAnsi="Arial" w:cs="Arial"/>
          <w:sz w:val="22"/>
          <w:szCs w:val="20"/>
          <w:lang w:val="es-ES_tradnl"/>
        </w:rPr>
      </w:pPr>
    </w:p>
    <w:p w14:paraId="70B47EE3" w14:textId="77777777" w:rsidR="00915830" w:rsidRPr="00213052" w:rsidRDefault="00915830" w:rsidP="00915830">
      <w:pPr>
        <w:rPr>
          <w:rFonts w:ascii="Arial" w:eastAsia="Calibri" w:hAnsi="Arial" w:cs="Arial"/>
          <w:sz w:val="22"/>
          <w:szCs w:val="20"/>
          <w:lang w:val="es-ES_tradnl"/>
        </w:rPr>
      </w:pPr>
      <w:r w:rsidRPr="00213052">
        <w:rPr>
          <w:rFonts w:ascii="Arial" w:eastAsia="Calibri" w:hAnsi="Arial" w:cs="Arial"/>
          <w:sz w:val="22"/>
          <w:szCs w:val="20"/>
          <w:lang w:val="es-ES_tradnl"/>
        </w:rPr>
        <w:t>Señor</w:t>
      </w:r>
      <w:r>
        <w:rPr>
          <w:rFonts w:ascii="Arial" w:eastAsia="Calibri" w:hAnsi="Arial" w:cs="Arial"/>
          <w:sz w:val="22"/>
          <w:szCs w:val="20"/>
          <w:lang w:val="es-ES_tradnl"/>
        </w:rPr>
        <w:t>a</w:t>
      </w:r>
    </w:p>
    <w:p w14:paraId="5774C259" w14:textId="77777777" w:rsidR="00915830" w:rsidRPr="00213052" w:rsidRDefault="00915830" w:rsidP="00915830">
      <w:pPr>
        <w:rPr>
          <w:rFonts w:ascii="Arial" w:eastAsia="Calibri" w:hAnsi="Arial" w:cs="Arial"/>
          <w:b/>
          <w:sz w:val="22"/>
          <w:szCs w:val="20"/>
          <w:lang w:val="es-ES_tradnl"/>
        </w:rPr>
      </w:pPr>
      <w:r>
        <w:rPr>
          <w:rFonts w:ascii="Arial" w:eastAsia="Calibri" w:hAnsi="Arial" w:cs="Arial"/>
          <w:b/>
          <w:sz w:val="22"/>
          <w:szCs w:val="20"/>
          <w:lang w:val="es-ES_tradnl"/>
        </w:rPr>
        <w:t>Johana Velandia Sierra</w:t>
      </w:r>
    </w:p>
    <w:p w14:paraId="3550C226" w14:textId="77777777" w:rsidR="00915830" w:rsidRPr="00213052" w:rsidRDefault="00915830" w:rsidP="00915830">
      <w:pPr>
        <w:rPr>
          <w:rFonts w:ascii="Arial" w:eastAsia="Calibri" w:hAnsi="Arial" w:cs="Arial"/>
          <w:sz w:val="22"/>
          <w:szCs w:val="20"/>
          <w:lang w:val="es-ES_tradnl"/>
        </w:rPr>
      </w:pPr>
      <w:r>
        <w:rPr>
          <w:rFonts w:ascii="Arial" w:eastAsia="Calibri" w:hAnsi="Arial" w:cs="Arial"/>
          <w:sz w:val="22"/>
          <w:szCs w:val="20"/>
          <w:lang w:val="es-ES_tradnl"/>
        </w:rPr>
        <w:t xml:space="preserve">Yopal, Casanare </w:t>
      </w:r>
    </w:p>
    <w:p w14:paraId="76350245" w14:textId="77777777" w:rsidR="00915830" w:rsidRPr="00213052" w:rsidRDefault="00915830" w:rsidP="00915830">
      <w:pPr>
        <w:rPr>
          <w:rFonts w:ascii="Arial" w:eastAsia="Calibri" w:hAnsi="Arial" w:cs="Arial"/>
          <w:sz w:val="22"/>
          <w:szCs w:val="20"/>
          <w:lang w:val="es-ES_tradnl"/>
        </w:rPr>
      </w:pPr>
    </w:p>
    <w:p w14:paraId="6AA5026E" w14:textId="77777777" w:rsidR="00915830" w:rsidRPr="00213052" w:rsidRDefault="00915830" w:rsidP="00915830">
      <w:pPr>
        <w:rPr>
          <w:rFonts w:ascii="Arial" w:eastAsia="Calibri" w:hAnsi="Arial" w:cs="Arial"/>
          <w:sz w:val="22"/>
          <w:szCs w:val="20"/>
          <w:lang w:val="es-ES_tradnl"/>
        </w:rPr>
      </w:pPr>
    </w:p>
    <w:p w14:paraId="575B2F6B" w14:textId="77777777" w:rsidR="00915830" w:rsidRPr="00213052" w:rsidRDefault="00915830" w:rsidP="00915830">
      <w:pPr>
        <w:rPr>
          <w:rFonts w:ascii="Arial" w:eastAsia="Calibri" w:hAnsi="Arial" w:cs="Arial"/>
          <w:b/>
          <w:sz w:val="22"/>
          <w:lang w:val="es-ES_tradnl"/>
        </w:rPr>
      </w:pPr>
      <w:r w:rsidRPr="00213052">
        <w:rPr>
          <w:rFonts w:ascii="Arial" w:eastAsia="Calibri" w:hAnsi="Arial" w:cs="Arial"/>
          <w:b/>
          <w:sz w:val="22"/>
          <w:lang w:val="es-ES_tradnl"/>
        </w:rPr>
        <w:t xml:space="preserve">                                            Concepto C – </w:t>
      </w:r>
      <w:r>
        <w:rPr>
          <w:rFonts w:ascii="Arial" w:eastAsia="Calibri" w:hAnsi="Arial" w:cs="Arial"/>
          <w:b/>
          <w:sz w:val="22"/>
          <w:lang w:val="es-ES_tradnl"/>
        </w:rPr>
        <w:t>168</w:t>
      </w:r>
      <w:r w:rsidRPr="00213052">
        <w:rPr>
          <w:rFonts w:ascii="Arial" w:eastAsia="Calibri" w:hAnsi="Arial" w:cs="Arial"/>
          <w:b/>
          <w:sz w:val="22"/>
          <w:lang w:val="es-ES_tradnl"/>
        </w:rPr>
        <w:t xml:space="preserve"> de 202</w:t>
      </w:r>
      <w:r>
        <w:rPr>
          <w:rFonts w:ascii="Arial" w:eastAsia="Calibri" w:hAnsi="Arial" w:cs="Arial"/>
          <w:b/>
          <w:sz w:val="22"/>
          <w:lang w:val="es-ES_tradnl"/>
        </w:rPr>
        <w:t>2</w:t>
      </w:r>
    </w:p>
    <w:p w14:paraId="60370691" w14:textId="77777777" w:rsidR="00915830" w:rsidRPr="00213052" w:rsidRDefault="00915830" w:rsidP="00915830">
      <w:pPr>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15830" w:rsidRPr="00213052" w14:paraId="3F2C6C4F" w14:textId="77777777" w:rsidTr="00E54AB5">
        <w:tc>
          <w:tcPr>
            <w:tcW w:w="2689" w:type="dxa"/>
            <w:hideMark/>
          </w:tcPr>
          <w:p w14:paraId="3A03DBB1" w14:textId="77777777" w:rsidR="00915830" w:rsidRPr="00213052" w:rsidRDefault="00915830" w:rsidP="00E54AB5">
            <w:pPr>
              <w:rPr>
                <w:rFonts w:ascii="Arial" w:eastAsia="Calibri" w:hAnsi="Arial" w:cs="Arial"/>
                <w:lang w:val="es-ES_tradnl"/>
              </w:rPr>
            </w:pPr>
            <w:r w:rsidRPr="00213052">
              <w:rPr>
                <w:rFonts w:ascii="Arial" w:eastAsia="Calibri" w:hAnsi="Arial" w:cs="Arial"/>
                <w:b/>
                <w:lang w:val="es-ES_tradnl"/>
              </w:rPr>
              <w:t>Temas:</w:t>
            </w:r>
            <w:r w:rsidRPr="00213052">
              <w:rPr>
                <w:rFonts w:ascii="Arial" w:eastAsia="Calibri" w:hAnsi="Arial" w:cs="Arial"/>
                <w:lang w:val="es-ES_tradnl"/>
              </w:rPr>
              <w:t xml:space="preserve">           </w:t>
            </w:r>
          </w:p>
          <w:p w14:paraId="410FE82C" w14:textId="77777777" w:rsidR="00915830" w:rsidRPr="00213052" w:rsidRDefault="00915830" w:rsidP="00E54AB5">
            <w:pPr>
              <w:rPr>
                <w:rFonts w:ascii="Arial" w:eastAsia="Calibri" w:hAnsi="Arial" w:cs="Arial"/>
                <w:lang w:val="es-ES_tradnl"/>
              </w:rPr>
            </w:pPr>
            <w:r w:rsidRPr="00213052">
              <w:rPr>
                <w:rFonts w:ascii="Arial" w:eastAsia="Calibri" w:hAnsi="Arial" w:cs="Arial"/>
                <w:lang w:val="es-ES_tradnl"/>
              </w:rPr>
              <w:t xml:space="preserve">                           </w:t>
            </w:r>
          </w:p>
        </w:tc>
        <w:tc>
          <w:tcPr>
            <w:tcW w:w="6237" w:type="dxa"/>
            <w:hideMark/>
          </w:tcPr>
          <w:p w14:paraId="1A4AB5C8" w14:textId="77777777" w:rsidR="00915830" w:rsidRPr="00213052" w:rsidRDefault="00915830" w:rsidP="00E54AB5">
            <w:pPr>
              <w:spacing w:after="120"/>
              <w:jc w:val="both"/>
              <w:rPr>
                <w:rFonts w:ascii="Arial" w:eastAsia="Calibri" w:hAnsi="Arial" w:cs="Arial"/>
                <w:highlight w:val="yellow"/>
                <w:lang w:val="es-ES_tradnl"/>
              </w:rPr>
            </w:pPr>
            <w:r w:rsidRPr="009D424B">
              <w:rPr>
                <w:rFonts w:ascii="Arial" w:eastAsia="Calibri" w:hAnsi="Arial" w:cs="Arial"/>
                <w:color w:val="000000" w:themeColor="text1"/>
                <w:lang w:val="es-ES_tradnl"/>
              </w:rPr>
              <w:t>ENTIDADES DE RÉGIMEN ESPECIAL – Definición</w:t>
            </w:r>
            <w:r>
              <w:rPr>
                <w:rFonts w:ascii="Arial" w:eastAsia="Calibri" w:hAnsi="Arial" w:cs="Arial"/>
                <w:color w:val="000000" w:themeColor="text1"/>
                <w:lang w:val="es-ES_tradnl"/>
              </w:rPr>
              <w:t xml:space="preserve"> / </w:t>
            </w:r>
            <w:r w:rsidRPr="009D424B">
              <w:rPr>
                <w:rFonts w:ascii="Arial" w:eastAsia="Calibri" w:hAnsi="Arial" w:cs="Arial"/>
                <w:color w:val="000000" w:themeColor="text1"/>
                <w:lang w:val="es-ES_tradnl"/>
              </w:rPr>
              <w:t>ENTIDADES DE RÉGIMEN ESPECIAL – Reglas aplicables</w:t>
            </w:r>
            <w:r>
              <w:rPr>
                <w:rFonts w:ascii="Arial" w:eastAsia="Calibri" w:hAnsi="Arial" w:cs="Arial"/>
                <w:color w:val="000000" w:themeColor="text1"/>
                <w:lang w:val="es-ES_tradnl"/>
              </w:rPr>
              <w:t xml:space="preserve"> / LEY 2195 DE 2022 – Aplicación de documentos tipo – entidades de régimen especial – artículo 56 / GIRO ORDINARIO - Concepto</w:t>
            </w:r>
          </w:p>
        </w:tc>
      </w:tr>
      <w:tr w:rsidR="00915830" w:rsidRPr="00213052" w14:paraId="2E0C7B09" w14:textId="77777777" w:rsidTr="00E54AB5">
        <w:tc>
          <w:tcPr>
            <w:tcW w:w="2689" w:type="dxa"/>
          </w:tcPr>
          <w:p w14:paraId="2643E473" w14:textId="77777777" w:rsidR="00915830" w:rsidRPr="00213052" w:rsidRDefault="00915830" w:rsidP="00E54AB5">
            <w:pPr>
              <w:rPr>
                <w:rFonts w:ascii="Arial" w:eastAsia="Calibri" w:hAnsi="Arial" w:cs="Arial"/>
                <w:b/>
                <w:lang w:val="es-ES_tradnl"/>
              </w:rPr>
            </w:pPr>
            <w:r w:rsidRPr="00213052">
              <w:rPr>
                <w:rFonts w:ascii="Arial" w:eastAsia="Calibri" w:hAnsi="Arial" w:cs="Arial"/>
                <w:b/>
                <w:lang w:val="es-ES_tradnl"/>
              </w:rPr>
              <w:t>Radicación:</w:t>
            </w:r>
            <w:r w:rsidRPr="00213052">
              <w:rPr>
                <w:rFonts w:ascii="Arial" w:eastAsia="Calibri" w:hAnsi="Arial" w:cs="Arial"/>
                <w:lang w:val="es-ES_tradnl"/>
              </w:rPr>
              <w:t xml:space="preserve">                              </w:t>
            </w:r>
          </w:p>
        </w:tc>
        <w:tc>
          <w:tcPr>
            <w:tcW w:w="6237" w:type="dxa"/>
          </w:tcPr>
          <w:p w14:paraId="159FC9C6" w14:textId="77777777" w:rsidR="00915830" w:rsidRPr="00213052" w:rsidRDefault="00915830" w:rsidP="00E54AB5">
            <w:pPr>
              <w:rPr>
                <w:rFonts w:ascii="Arial" w:eastAsia="Calibri" w:hAnsi="Arial" w:cs="Arial"/>
                <w:lang w:val="es-ES_tradnl"/>
              </w:rPr>
            </w:pPr>
            <w:r w:rsidRPr="00B05FD8">
              <w:rPr>
                <w:rFonts w:ascii="Arial" w:eastAsia="Calibri" w:hAnsi="Arial" w:cs="Arial"/>
                <w:lang w:val="es-ES_tradnl"/>
              </w:rPr>
              <w:t xml:space="preserve">Respuesta a consulta </w:t>
            </w:r>
            <w:r w:rsidRPr="00B05FD8">
              <w:rPr>
                <w:rFonts w:ascii="Arial" w:hAnsi="Arial" w:cs="Arial"/>
              </w:rPr>
              <w:t>P20220218001652</w:t>
            </w:r>
          </w:p>
        </w:tc>
      </w:tr>
    </w:tbl>
    <w:p w14:paraId="2FD8D466" w14:textId="77777777" w:rsidR="00915830" w:rsidRDefault="00915830" w:rsidP="00915830">
      <w:pPr>
        <w:jc w:val="both"/>
        <w:rPr>
          <w:rFonts w:ascii="Arial" w:eastAsia="Calibri" w:hAnsi="Arial" w:cs="Arial"/>
          <w:sz w:val="22"/>
          <w:lang w:val="es-ES_tradnl"/>
        </w:rPr>
      </w:pPr>
    </w:p>
    <w:p w14:paraId="2C591583" w14:textId="77777777" w:rsidR="00915830" w:rsidRPr="00213052" w:rsidRDefault="00915830" w:rsidP="00915830">
      <w:pPr>
        <w:jc w:val="both"/>
        <w:rPr>
          <w:rFonts w:ascii="Arial" w:eastAsia="Calibri" w:hAnsi="Arial" w:cs="Arial"/>
          <w:sz w:val="22"/>
          <w:lang w:val="es-ES_tradnl"/>
        </w:rPr>
      </w:pPr>
    </w:p>
    <w:p w14:paraId="709B0EDD" w14:textId="77777777" w:rsidR="00915830" w:rsidRPr="00B60BAC" w:rsidRDefault="00915830" w:rsidP="00915830">
      <w:pPr>
        <w:rPr>
          <w:rFonts w:ascii="Arial" w:hAnsi="Arial" w:cs="Arial"/>
          <w:sz w:val="22"/>
          <w:lang w:val="es-ES_tradnl"/>
        </w:rPr>
      </w:pPr>
      <w:r w:rsidRPr="00B60BAC">
        <w:rPr>
          <w:rFonts w:ascii="Arial" w:hAnsi="Arial" w:cs="Arial"/>
          <w:sz w:val="22"/>
          <w:lang w:val="es-ES_tradnl"/>
        </w:rPr>
        <w:t>Estimad</w:t>
      </w:r>
      <w:r>
        <w:rPr>
          <w:rFonts w:ascii="Arial" w:hAnsi="Arial" w:cs="Arial"/>
          <w:sz w:val="22"/>
          <w:lang w:val="es-ES_tradnl"/>
        </w:rPr>
        <w:t>a</w:t>
      </w:r>
      <w:r w:rsidRPr="00B60BAC">
        <w:rPr>
          <w:rFonts w:ascii="Arial" w:hAnsi="Arial" w:cs="Arial"/>
          <w:sz w:val="22"/>
          <w:lang w:val="es-ES_tradnl"/>
        </w:rPr>
        <w:t xml:space="preserve"> señora Velandia:</w:t>
      </w:r>
    </w:p>
    <w:p w14:paraId="0796310B" w14:textId="77777777" w:rsidR="00915830" w:rsidRPr="00213052" w:rsidRDefault="00915830" w:rsidP="00915830">
      <w:pPr>
        <w:rPr>
          <w:rFonts w:ascii="Arial" w:eastAsia="Calibri" w:hAnsi="Arial" w:cs="Arial"/>
          <w:sz w:val="22"/>
          <w:lang w:val="es-ES_tradnl"/>
        </w:rPr>
      </w:pPr>
    </w:p>
    <w:p w14:paraId="27E4371C" w14:textId="77777777" w:rsidR="00915830" w:rsidRPr="00213052" w:rsidRDefault="00915830" w:rsidP="00915830">
      <w:pPr>
        <w:spacing w:line="276" w:lineRule="auto"/>
        <w:ind w:right="51"/>
        <w:jc w:val="both"/>
        <w:rPr>
          <w:rFonts w:ascii="Arial" w:hAnsi="Arial" w:cs="Arial"/>
          <w:sz w:val="22"/>
          <w:lang w:val="es-ES_tradnl"/>
        </w:rPr>
      </w:pPr>
      <w:r w:rsidRPr="00213052">
        <w:rPr>
          <w:rFonts w:ascii="Arial" w:hAnsi="Arial" w:cs="Arial"/>
          <w:sz w:val="22"/>
          <w:lang w:val="es-ES_tradnl"/>
        </w:rPr>
        <w:t>La Agencia Nacional de Contratación Pública – Colombia Compra Eficiente, en ejercicio de la competencia otorgada por el numeral 8 del artículo 11 y el numeral 5 del artículo 3 del Decreto Ley 4170 de 2011</w:t>
      </w:r>
      <w:r>
        <w:rPr>
          <w:rFonts w:ascii="Arial" w:hAnsi="Arial" w:cs="Arial"/>
          <w:sz w:val="22"/>
          <w:lang w:val="es-ES_tradnl"/>
        </w:rPr>
        <w:t xml:space="preserve">, </w:t>
      </w:r>
      <w:r w:rsidRPr="00213052">
        <w:rPr>
          <w:rFonts w:ascii="Arial" w:hAnsi="Arial" w:cs="Arial"/>
          <w:sz w:val="22"/>
          <w:lang w:val="es-ES_tradnl"/>
        </w:rPr>
        <w:t xml:space="preserve">responde su consulta del </w:t>
      </w:r>
      <w:r>
        <w:rPr>
          <w:rFonts w:ascii="Arial" w:hAnsi="Arial" w:cs="Arial"/>
          <w:sz w:val="22"/>
          <w:lang w:val="es-ES_tradnl"/>
        </w:rPr>
        <w:t>18 de febrero de 2022</w:t>
      </w:r>
      <w:r w:rsidRPr="00213052">
        <w:rPr>
          <w:rFonts w:ascii="Arial" w:hAnsi="Arial" w:cs="Arial"/>
          <w:sz w:val="22"/>
          <w:lang w:val="es-ES_tradnl"/>
        </w:rPr>
        <w:t xml:space="preserve">. </w:t>
      </w:r>
    </w:p>
    <w:p w14:paraId="7922E4EA" w14:textId="77777777" w:rsidR="00915830" w:rsidRPr="00213052" w:rsidRDefault="00915830" w:rsidP="00915830">
      <w:pPr>
        <w:pStyle w:val="Prrafodelista"/>
        <w:tabs>
          <w:tab w:val="left" w:pos="284"/>
        </w:tabs>
        <w:spacing w:line="276" w:lineRule="auto"/>
        <w:ind w:left="0"/>
        <w:jc w:val="both"/>
        <w:rPr>
          <w:rFonts w:ascii="Arial" w:hAnsi="Arial" w:cs="Arial"/>
          <w:sz w:val="22"/>
          <w:lang w:val="es-ES_tradnl"/>
        </w:rPr>
      </w:pPr>
    </w:p>
    <w:p w14:paraId="4AB4EA9B" w14:textId="77777777" w:rsidR="00915830" w:rsidRPr="00213052" w:rsidRDefault="00915830" w:rsidP="00915830">
      <w:pPr>
        <w:pStyle w:val="Prrafodelista"/>
        <w:tabs>
          <w:tab w:val="left" w:pos="284"/>
        </w:tabs>
        <w:spacing w:line="276" w:lineRule="auto"/>
        <w:ind w:left="0"/>
        <w:jc w:val="both"/>
        <w:rPr>
          <w:rFonts w:ascii="Arial" w:eastAsia="Calibri" w:hAnsi="Arial" w:cs="Arial"/>
          <w:b/>
          <w:sz w:val="22"/>
          <w:lang w:val="es-ES_tradnl"/>
        </w:rPr>
      </w:pPr>
      <w:r w:rsidRPr="00213052">
        <w:rPr>
          <w:rFonts w:ascii="Arial" w:eastAsia="Calibri" w:hAnsi="Arial" w:cs="Arial"/>
          <w:b/>
          <w:sz w:val="22"/>
          <w:lang w:val="es-ES_tradnl"/>
        </w:rPr>
        <w:t>1.</w:t>
      </w:r>
      <w:r w:rsidRPr="00213052">
        <w:rPr>
          <w:rFonts w:ascii="Arial" w:eastAsia="Calibri" w:hAnsi="Arial" w:cs="Arial"/>
          <w:sz w:val="22"/>
          <w:lang w:val="es-ES_tradnl"/>
        </w:rPr>
        <w:t xml:space="preserve"> </w:t>
      </w:r>
      <w:r w:rsidRPr="00213052">
        <w:rPr>
          <w:rFonts w:ascii="Arial" w:eastAsia="Calibri" w:hAnsi="Arial" w:cs="Arial"/>
          <w:b/>
          <w:sz w:val="22"/>
          <w:lang w:val="es-ES_tradnl"/>
        </w:rPr>
        <w:t xml:space="preserve">Problema planteado </w:t>
      </w:r>
    </w:p>
    <w:p w14:paraId="1999110E" w14:textId="77777777" w:rsidR="00915830" w:rsidRDefault="00915830" w:rsidP="00915830">
      <w:pPr>
        <w:pStyle w:val="NormalWeb"/>
        <w:spacing w:before="0" w:beforeAutospacing="0" w:line="276" w:lineRule="auto"/>
        <w:contextualSpacing/>
        <w:jc w:val="both"/>
        <w:rPr>
          <w:rFonts w:ascii="Arial" w:hAnsi="Arial" w:cs="Arial"/>
          <w:color w:val="000000" w:themeColor="text1"/>
          <w:sz w:val="22"/>
          <w:lang w:val="es-ES_tradnl"/>
        </w:rPr>
      </w:pPr>
    </w:p>
    <w:p w14:paraId="20300A46" w14:textId="77777777" w:rsidR="00915830" w:rsidRDefault="00915830" w:rsidP="00915830">
      <w:pPr>
        <w:pStyle w:val="NormalWeb"/>
        <w:spacing w:before="0" w:beforeAutospacing="0" w:after="120" w:afterAutospacing="0" w:line="276" w:lineRule="auto"/>
        <w:contextualSpacing/>
        <w:jc w:val="both"/>
        <w:rPr>
          <w:rFonts w:ascii="Arial" w:hAnsi="Arial" w:cs="Arial"/>
          <w:color w:val="000000" w:themeColor="text1"/>
          <w:sz w:val="22"/>
          <w:lang w:val="es-ES_tradnl"/>
        </w:rPr>
      </w:pPr>
      <w:r>
        <w:rPr>
          <w:rFonts w:ascii="Arial" w:hAnsi="Arial" w:cs="Arial"/>
          <w:color w:val="000000" w:themeColor="text1"/>
          <w:sz w:val="22"/>
          <w:lang w:val="es-ES_tradnl"/>
        </w:rPr>
        <w:t xml:space="preserve">Usted realiza un par de cuestionamientos sobre el alcance del artículo 53 de la Ley 2195 de 2022 respecto a la publicidad de la gestión contractual de las entidades exceptuadas del EGCAP en el SECOP II, las cuales serán resueltas oportunamente por la </w:t>
      </w:r>
      <w:r w:rsidRPr="00551E7C">
        <w:rPr>
          <w:rFonts w:ascii="Arial" w:hAnsi="Arial" w:cs="Arial"/>
          <w:color w:val="000000" w:themeColor="text1"/>
          <w:sz w:val="22"/>
          <w:lang w:val="es-ES_tradnl"/>
        </w:rPr>
        <w:t>Subdirección de Información y Desarrollo Tecnológico</w:t>
      </w:r>
      <w:r>
        <w:rPr>
          <w:rFonts w:ascii="Arial" w:hAnsi="Arial" w:cs="Arial"/>
          <w:color w:val="000000" w:themeColor="text1"/>
          <w:sz w:val="22"/>
          <w:lang w:val="es-ES_tradnl"/>
        </w:rPr>
        <w:t xml:space="preserve">. </w:t>
      </w:r>
    </w:p>
    <w:p w14:paraId="6E06DE24" w14:textId="77777777" w:rsidR="00915830" w:rsidRPr="00F0096D" w:rsidRDefault="00915830" w:rsidP="00915830">
      <w:pPr>
        <w:pStyle w:val="NormalWeb"/>
        <w:spacing w:before="0" w:beforeAutospacing="0" w:after="120" w:afterAutospacing="0" w:line="276" w:lineRule="auto"/>
        <w:contextualSpacing/>
        <w:jc w:val="both"/>
        <w:rPr>
          <w:rFonts w:ascii="Arial" w:hAnsi="Arial" w:cs="Arial"/>
          <w:color w:val="000000" w:themeColor="text1"/>
          <w:sz w:val="12"/>
          <w:szCs w:val="12"/>
          <w:lang w:val="es-ES_tradnl"/>
        </w:rPr>
      </w:pPr>
    </w:p>
    <w:p w14:paraId="18850C8F" w14:textId="77777777" w:rsidR="00915830" w:rsidRDefault="00915830" w:rsidP="00915830">
      <w:pPr>
        <w:pStyle w:val="NormalWeb"/>
        <w:spacing w:after="0" w:afterAutospacing="0" w:line="276" w:lineRule="auto"/>
        <w:ind w:firstLine="709"/>
        <w:contextualSpacing/>
        <w:jc w:val="both"/>
        <w:rPr>
          <w:rFonts w:ascii="Arial" w:hAnsi="Arial" w:cs="Arial"/>
          <w:color w:val="000000" w:themeColor="text1"/>
          <w:sz w:val="21"/>
          <w:szCs w:val="21"/>
          <w:lang w:val="es-ES_tradnl"/>
        </w:rPr>
      </w:pPr>
      <w:r w:rsidRPr="00F0096D">
        <w:rPr>
          <w:rFonts w:ascii="Arial" w:hAnsi="Arial" w:cs="Arial"/>
          <w:color w:val="000000" w:themeColor="text1"/>
          <w:sz w:val="22"/>
          <w:szCs w:val="22"/>
          <w:lang w:val="es-ES_tradnl"/>
        </w:rPr>
        <w:t xml:space="preserve">Igualmente, </w:t>
      </w:r>
      <w:r>
        <w:rPr>
          <w:rFonts w:ascii="Arial" w:hAnsi="Arial" w:cs="Arial"/>
          <w:color w:val="000000" w:themeColor="text1"/>
          <w:sz w:val="22"/>
          <w:szCs w:val="22"/>
          <w:lang w:val="es-ES_tradnl"/>
        </w:rPr>
        <w:t>realiza una tercera pregunta sobre el régimen jurídico de las empresas sociales del Estado, la cual fue remitida a la Subdirección de Gestión Contractual para su análisis. En este sentido, a través del presente oficio, se resolverá la siguiente cuestión:</w:t>
      </w:r>
      <w:r w:rsidRPr="00F0096D">
        <w:rPr>
          <w:rFonts w:ascii="Arial" w:hAnsi="Arial" w:cs="Arial"/>
          <w:color w:val="000000" w:themeColor="text1"/>
          <w:sz w:val="22"/>
          <w:szCs w:val="22"/>
          <w:lang w:val="es-ES_tradnl"/>
        </w:rPr>
        <w:t xml:space="preserve"> </w:t>
      </w:r>
      <w:r w:rsidRPr="00F0096D">
        <w:rPr>
          <w:rFonts w:ascii="Arial" w:hAnsi="Arial" w:cs="Arial"/>
          <w:color w:val="000000" w:themeColor="text1"/>
          <w:sz w:val="22"/>
          <w:szCs w:val="22"/>
          <w:lang w:val="es-ES_tradnl"/>
        </w:rPr>
        <w:lastRenderedPageBreak/>
        <w:t>«</w:t>
      </w:r>
      <w:r w:rsidRPr="00F0096D">
        <w:rPr>
          <w:rFonts w:ascii="Arial" w:hAnsi="Arial" w:cs="Arial"/>
          <w:sz w:val="22"/>
          <w:szCs w:val="22"/>
        </w:rPr>
        <w:t>La razón de que las Empresas Sociales del Estado, cuenten con régimen excepcional de contratación al previsto en la Ley 80 de 1993 y normas concordantes, es dar a las ESE, instrumentos agiles y expeditos para la adquisición de los bienes y servicios indispensables para la prestación del servicio del derecho fundamental de Salud, en ese sentido ¿Con la expedición de la Ley 2195 de 2022, se debe entender que cesan los efectos otorgados por la Ley 100 de 1993 para estas entidades?</w:t>
      </w:r>
      <w:r w:rsidRPr="00F0096D">
        <w:rPr>
          <w:rFonts w:ascii="Arial" w:hAnsi="Arial" w:cs="Arial"/>
          <w:color w:val="000000" w:themeColor="text1"/>
          <w:sz w:val="22"/>
          <w:szCs w:val="22"/>
          <w:lang w:val="es-ES_tradnl"/>
        </w:rPr>
        <w:t>»</w:t>
      </w:r>
      <w:r w:rsidRPr="0031426E">
        <w:rPr>
          <w:rFonts w:ascii="Arial" w:hAnsi="Arial" w:cs="Arial"/>
          <w:color w:val="000000" w:themeColor="text1"/>
          <w:sz w:val="21"/>
          <w:szCs w:val="21"/>
          <w:lang w:val="es-ES_tradnl"/>
        </w:rPr>
        <w:t>.</w:t>
      </w:r>
    </w:p>
    <w:p w14:paraId="433F78A1" w14:textId="77777777" w:rsidR="00915830" w:rsidRPr="00FB56AC" w:rsidRDefault="00915830" w:rsidP="00915830">
      <w:pPr>
        <w:pStyle w:val="NormalWeb"/>
        <w:spacing w:after="0" w:afterAutospacing="0" w:line="276" w:lineRule="auto"/>
        <w:ind w:firstLine="709"/>
        <w:contextualSpacing/>
        <w:jc w:val="both"/>
        <w:rPr>
          <w:rFonts w:ascii="Arial" w:hAnsi="Arial" w:cs="Arial"/>
          <w:sz w:val="21"/>
          <w:szCs w:val="21"/>
        </w:rPr>
      </w:pPr>
    </w:p>
    <w:p w14:paraId="7503988B" w14:textId="77777777" w:rsidR="00915830" w:rsidRPr="00213052" w:rsidRDefault="00915830" w:rsidP="00915830">
      <w:pPr>
        <w:tabs>
          <w:tab w:val="left" w:pos="426"/>
        </w:tabs>
        <w:spacing w:line="276" w:lineRule="auto"/>
        <w:jc w:val="both"/>
        <w:rPr>
          <w:rFonts w:ascii="Arial" w:eastAsia="Calibri" w:hAnsi="Arial" w:cs="Arial"/>
          <w:b/>
          <w:sz w:val="22"/>
          <w:lang w:val="es-ES_tradnl"/>
        </w:rPr>
      </w:pPr>
      <w:r w:rsidRPr="00213052">
        <w:rPr>
          <w:rFonts w:ascii="Arial" w:eastAsia="Calibri" w:hAnsi="Arial" w:cs="Arial"/>
          <w:b/>
          <w:sz w:val="22"/>
          <w:lang w:val="es-ES_tradnl"/>
        </w:rPr>
        <w:t>2.</w:t>
      </w:r>
      <w:r w:rsidRPr="00213052">
        <w:rPr>
          <w:rFonts w:ascii="Arial" w:eastAsia="Calibri" w:hAnsi="Arial" w:cs="Arial"/>
          <w:sz w:val="22"/>
          <w:lang w:val="es-ES_tradnl"/>
        </w:rPr>
        <w:t xml:space="preserve"> </w:t>
      </w:r>
      <w:r w:rsidRPr="00213052">
        <w:rPr>
          <w:rFonts w:ascii="Arial" w:eastAsia="Calibri" w:hAnsi="Arial" w:cs="Arial"/>
          <w:b/>
          <w:sz w:val="22"/>
          <w:lang w:val="es-ES_tradnl"/>
        </w:rPr>
        <w:t>Consideraciones</w:t>
      </w:r>
    </w:p>
    <w:p w14:paraId="26000775" w14:textId="77777777" w:rsidR="00915830" w:rsidRPr="00213052" w:rsidRDefault="00915830" w:rsidP="00915830">
      <w:pPr>
        <w:spacing w:line="276" w:lineRule="auto"/>
        <w:jc w:val="both"/>
        <w:rPr>
          <w:rFonts w:ascii="Arial" w:hAnsi="Arial" w:cs="Arial"/>
          <w:color w:val="000000" w:themeColor="text1"/>
          <w:sz w:val="22"/>
          <w:lang w:val="es-ES_tradnl"/>
        </w:rPr>
      </w:pPr>
    </w:p>
    <w:p w14:paraId="6A2AC9D3" w14:textId="77777777" w:rsidR="00915830" w:rsidRPr="00213052" w:rsidRDefault="00915830" w:rsidP="00915830">
      <w:pPr>
        <w:spacing w:line="276" w:lineRule="auto"/>
        <w:jc w:val="both"/>
        <w:rPr>
          <w:rFonts w:ascii="Arial" w:hAnsi="Arial" w:cs="Arial"/>
          <w:b/>
          <w:color w:val="000000" w:themeColor="text1"/>
          <w:sz w:val="22"/>
          <w:lang w:val="es-ES_tradnl"/>
        </w:rPr>
      </w:pPr>
      <w:r w:rsidRPr="00213052">
        <w:rPr>
          <w:rFonts w:ascii="Arial" w:hAnsi="Arial" w:cs="Arial"/>
          <w:color w:val="000000" w:themeColor="text1"/>
          <w:sz w:val="22"/>
          <w:lang w:val="es-ES_tradnl"/>
        </w:rPr>
        <w:t xml:space="preserve">Para resolver esta consulta se </w:t>
      </w:r>
      <w:r>
        <w:rPr>
          <w:rFonts w:ascii="Arial" w:hAnsi="Arial" w:cs="Arial"/>
          <w:color w:val="000000" w:themeColor="text1"/>
          <w:sz w:val="22"/>
          <w:lang w:val="es-ES_tradnl"/>
        </w:rPr>
        <w:t>analizarán</w:t>
      </w:r>
      <w:r w:rsidRPr="00213052">
        <w:rPr>
          <w:rFonts w:ascii="Arial" w:hAnsi="Arial" w:cs="Arial"/>
          <w:color w:val="000000" w:themeColor="text1"/>
          <w:sz w:val="22"/>
          <w:lang w:val="es-ES_tradnl"/>
        </w:rPr>
        <w:t xml:space="preserve"> los siguientes temas: i) </w:t>
      </w:r>
      <w:r>
        <w:rPr>
          <w:rFonts w:ascii="Arial" w:hAnsi="Arial" w:cs="Arial"/>
          <w:bCs/>
          <w:color w:val="000000" w:themeColor="text1"/>
          <w:sz w:val="22"/>
          <w:lang w:val="es-ES_tradnl"/>
        </w:rPr>
        <w:t xml:space="preserve">régimen contractual de las empresas sociales del Estado, ii) fundamento y ámbito de aplicación de los documentos tipo y iii) incidencia del artículo 56 de la Ley 2195 de 2022 en el régimen contractual y la aplicación de los documentos tipo para las entidades exceptuadas del Estatuto General de Contratación de la Administración Pública. </w:t>
      </w:r>
    </w:p>
    <w:p w14:paraId="068D97F2" w14:textId="77777777" w:rsidR="00915830" w:rsidRDefault="00915830" w:rsidP="00915830">
      <w:pPr>
        <w:spacing w:before="120" w:line="276" w:lineRule="auto"/>
        <w:ind w:firstLine="709"/>
        <w:jc w:val="both"/>
        <w:rPr>
          <w:rFonts w:ascii="Arial" w:hAnsi="Arial" w:cs="Arial"/>
          <w:color w:val="000000" w:themeColor="text1"/>
          <w:sz w:val="22"/>
          <w:lang w:val="es-ES_tradnl"/>
        </w:rPr>
      </w:pPr>
      <w:r w:rsidRPr="000A617B">
        <w:rPr>
          <w:rFonts w:ascii="Arial" w:hAnsi="Arial" w:cs="Arial"/>
          <w:color w:val="000000" w:themeColor="text1"/>
          <w:sz w:val="22"/>
        </w:rPr>
        <w:t>La Agencia Nacional de Contratación Pública – Colombia Compra Eficiente</w:t>
      </w:r>
      <w:r>
        <w:rPr>
          <w:rFonts w:ascii="Arial" w:hAnsi="Arial" w:cs="Arial"/>
          <w:color w:val="000000" w:themeColor="text1"/>
          <w:sz w:val="22"/>
        </w:rPr>
        <w:t>,</w:t>
      </w:r>
      <w:r w:rsidRPr="000A617B">
        <w:rPr>
          <w:rFonts w:ascii="Arial" w:hAnsi="Arial" w:cs="Arial"/>
          <w:color w:val="000000" w:themeColor="text1"/>
          <w:sz w:val="22"/>
        </w:rPr>
        <w:t xml:space="preserve"> en relación con los regímenes especiales de contratación, incluido el de las empresas sociales del Estado, </w:t>
      </w:r>
      <w:r>
        <w:rPr>
          <w:rFonts w:ascii="Arial" w:hAnsi="Arial" w:cs="Arial"/>
          <w:color w:val="000000" w:themeColor="text1"/>
          <w:sz w:val="22"/>
        </w:rPr>
        <w:t>ha expedido</w:t>
      </w:r>
      <w:r w:rsidRPr="000A617B">
        <w:rPr>
          <w:rFonts w:ascii="Arial" w:hAnsi="Arial" w:cs="Arial"/>
          <w:color w:val="000000" w:themeColor="text1"/>
          <w:sz w:val="22"/>
        </w:rPr>
        <w:t xml:space="preserve"> los Conceptos del 24 de diciembre de 2019 –Radicado Nos. 4201913000007479 y 4201913000007831–, así como los </w:t>
      </w:r>
      <w:r>
        <w:rPr>
          <w:rFonts w:ascii="Arial" w:hAnsi="Arial" w:cs="Arial"/>
          <w:color w:val="000000" w:themeColor="text1"/>
          <w:sz w:val="22"/>
        </w:rPr>
        <w:t>C</w:t>
      </w:r>
      <w:r w:rsidRPr="000A617B">
        <w:rPr>
          <w:rFonts w:ascii="Arial" w:hAnsi="Arial" w:cs="Arial"/>
          <w:color w:val="000000" w:themeColor="text1"/>
          <w:sz w:val="22"/>
        </w:rPr>
        <w:t>onceptos C-027 del 13 de febrero de 2020, C-179 del 16 de marzo de 2020, C-362 del 03 de julio del año 2020, C-462 de 24 de julio de 2020</w:t>
      </w:r>
      <w:r>
        <w:rPr>
          <w:rFonts w:ascii="Arial" w:hAnsi="Arial" w:cs="Arial"/>
          <w:color w:val="000000" w:themeColor="text1"/>
          <w:sz w:val="22"/>
        </w:rPr>
        <w:t>,</w:t>
      </w:r>
      <w:r w:rsidRPr="000A617B">
        <w:rPr>
          <w:rFonts w:ascii="Arial" w:hAnsi="Arial" w:cs="Arial"/>
          <w:color w:val="000000" w:themeColor="text1"/>
          <w:sz w:val="22"/>
        </w:rPr>
        <w:t xml:space="preserve"> C</w:t>
      </w:r>
      <w:r>
        <w:rPr>
          <w:rFonts w:ascii="Arial" w:hAnsi="Arial" w:cs="Arial"/>
          <w:color w:val="000000" w:themeColor="text1"/>
          <w:sz w:val="22"/>
        </w:rPr>
        <w:t>-</w:t>
      </w:r>
      <w:r w:rsidRPr="000A617B">
        <w:rPr>
          <w:rFonts w:ascii="Arial" w:hAnsi="Arial" w:cs="Arial"/>
          <w:color w:val="000000" w:themeColor="text1"/>
          <w:sz w:val="22"/>
        </w:rPr>
        <w:t>560 de 24 de agosto de 2020</w:t>
      </w:r>
      <w:r>
        <w:rPr>
          <w:rFonts w:ascii="Arial" w:hAnsi="Arial" w:cs="Arial"/>
          <w:color w:val="000000" w:themeColor="text1"/>
          <w:sz w:val="22"/>
        </w:rPr>
        <w:t xml:space="preserve"> y C-</w:t>
      </w:r>
      <w:r w:rsidRPr="000A617B">
        <w:rPr>
          <w:rFonts w:ascii="Arial" w:hAnsi="Arial" w:cs="Arial"/>
          <w:color w:val="000000" w:themeColor="text1"/>
          <w:sz w:val="22"/>
        </w:rPr>
        <w:t>484 de</w:t>
      </w:r>
      <w:r>
        <w:rPr>
          <w:rFonts w:ascii="Arial" w:hAnsi="Arial" w:cs="Arial"/>
          <w:color w:val="000000" w:themeColor="text1"/>
          <w:sz w:val="22"/>
        </w:rPr>
        <w:t>l 13 de septiembre de</w:t>
      </w:r>
      <w:r w:rsidRPr="000A617B">
        <w:rPr>
          <w:rFonts w:ascii="Arial" w:hAnsi="Arial" w:cs="Arial"/>
          <w:color w:val="000000" w:themeColor="text1"/>
          <w:sz w:val="22"/>
        </w:rPr>
        <w:t xml:space="preserve"> 2021</w:t>
      </w:r>
      <w:r>
        <w:rPr>
          <w:rFonts w:ascii="Arial" w:hAnsi="Arial" w:cs="Arial"/>
          <w:color w:val="000000" w:themeColor="text1"/>
          <w:sz w:val="22"/>
          <w:lang w:val="es-ES_tradnl"/>
        </w:rPr>
        <w:t xml:space="preserve">. </w:t>
      </w:r>
    </w:p>
    <w:p w14:paraId="010ACECC" w14:textId="77777777" w:rsidR="00915830" w:rsidRDefault="00915830" w:rsidP="00915830">
      <w:pPr>
        <w:spacing w:before="120" w:line="276" w:lineRule="auto"/>
        <w:ind w:firstLine="709"/>
        <w:jc w:val="both"/>
        <w:rPr>
          <w:rFonts w:ascii="Arial" w:hAnsi="Arial" w:cs="Arial"/>
          <w:color w:val="000000" w:themeColor="text1"/>
          <w:sz w:val="22"/>
          <w:lang w:val="es-ES_tradnl"/>
        </w:rPr>
      </w:pPr>
      <w:r>
        <w:rPr>
          <w:rFonts w:ascii="Arial" w:hAnsi="Arial" w:cs="Arial"/>
          <w:bCs/>
          <w:color w:val="000000" w:themeColor="text1"/>
          <w:sz w:val="22"/>
          <w:lang w:val="es-ES_tradnl"/>
        </w:rPr>
        <w:t xml:space="preserve">Por otra parte, también </w:t>
      </w:r>
      <w:r w:rsidRPr="007201D3">
        <w:rPr>
          <w:rFonts w:ascii="Arial" w:hAnsi="Arial" w:cs="Arial"/>
          <w:bCs/>
          <w:color w:val="000000" w:themeColor="text1"/>
          <w:sz w:val="22"/>
          <w:lang w:val="es-ES_tradnl"/>
        </w:rPr>
        <w:t xml:space="preserve">se ha pronunciado sobre el ámbito de aplicación de los documentos tipo en la contratación estatal, entre otros, en los </w:t>
      </w:r>
      <w:r>
        <w:rPr>
          <w:rFonts w:ascii="Arial" w:hAnsi="Arial" w:cs="Arial"/>
          <w:bCs/>
          <w:color w:val="000000" w:themeColor="text1"/>
          <w:sz w:val="22"/>
          <w:lang w:val="es-ES_tradnl"/>
        </w:rPr>
        <w:t>C</w:t>
      </w:r>
      <w:r w:rsidRPr="007201D3">
        <w:rPr>
          <w:rFonts w:ascii="Arial" w:hAnsi="Arial" w:cs="Arial"/>
          <w:bCs/>
          <w:color w:val="000000" w:themeColor="text1"/>
          <w:sz w:val="22"/>
          <w:lang w:val="es-ES_tradnl"/>
        </w:rPr>
        <w:t xml:space="preserve">onceptos C-294 del 18 de mayo de 2020, C-276 y C-277 del 26 de mayo de 2020; C–380 y C–381 del 1 de junio de 2020; C-404 del 12 de junio de 2020, C-352 del 30 de junio de 2020, C-430 del 7 de julio de 2020, C-481 del 27 de julio de 2020, C-502 del 29 de julio de 2020, C-500 del 3 de agosto de 2020, C-563 del 26 de agosto de 2020, C-570 del 27 de agosto de 2020, C-713 del 2 de diciembre de 2020 y C-744 del 22 de diciembre de 2020. </w:t>
      </w:r>
      <w:r>
        <w:rPr>
          <w:rFonts w:ascii="Arial" w:hAnsi="Arial" w:cs="Arial"/>
          <w:bCs/>
          <w:color w:val="000000" w:themeColor="text1"/>
          <w:sz w:val="22"/>
          <w:lang w:val="es-ES_tradnl"/>
        </w:rPr>
        <w:t>Por lo demás</w:t>
      </w:r>
      <w:r w:rsidRPr="007201D3">
        <w:rPr>
          <w:rFonts w:ascii="Arial" w:hAnsi="Arial" w:cs="Arial"/>
          <w:bCs/>
          <w:color w:val="000000" w:themeColor="text1"/>
          <w:sz w:val="22"/>
          <w:lang w:val="es-ES_tradnl"/>
        </w:rPr>
        <w:t xml:space="preserve">, en </w:t>
      </w:r>
      <w:r>
        <w:rPr>
          <w:rFonts w:ascii="Arial" w:hAnsi="Arial" w:cs="Arial"/>
          <w:bCs/>
          <w:color w:val="000000" w:themeColor="text1"/>
          <w:sz w:val="22"/>
          <w:lang w:val="es-ES_tradnl"/>
        </w:rPr>
        <w:t>los</w:t>
      </w:r>
      <w:r w:rsidRPr="007201D3">
        <w:rPr>
          <w:rFonts w:ascii="Arial" w:hAnsi="Arial" w:cs="Arial"/>
          <w:bCs/>
          <w:color w:val="000000" w:themeColor="text1"/>
          <w:sz w:val="22"/>
          <w:lang w:val="es-ES_tradnl"/>
        </w:rPr>
        <w:t xml:space="preserve"> </w:t>
      </w:r>
      <w:r>
        <w:rPr>
          <w:rFonts w:ascii="Arial" w:hAnsi="Arial" w:cs="Arial"/>
          <w:bCs/>
          <w:color w:val="000000" w:themeColor="text1"/>
          <w:sz w:val="22"/>
          <w:lang w:val="es-ES_tradnl"/>
        </w:rPr>
        <w:t>C</w:t>
      </w:r>
      <w:r w:rsidRPr="007201D3">
        <w:rPr>
          <w:rFonts w:ascii="Arial" w:hAnsi="Arial" w:cs="Arial"/>
          <w:bCs/>
          <w:color w:val="000000" w:themeColor="text1"/>
          <w:sz w:val="22"/>
          <w:lang w:val="es-ES_tradnl"/>
        </w:rPr>
        <w:t>oncepto</w:t>
      </w:r>
      <w:r>
        <w:rPr>
          <w:rFonts w:ascii="Arial" w:hAnsi="Arial" w:cs="Arial"/>
          <w:bCs/>
          <w:color w:val="000000" w:themeColor="text1"/>
          <w:sz w:val="22"/>
          <w:lang w:val="es-ES_tradnl"/>
        </w:rPr>
        <w:t>s</w:t>
      </w:r>
      <w:r w:rsidRPr="007201D3">
        <w:rPr>
          <w:rFonts w:ascii="Arial" w:hAnsi="Arial" w:cs="Arial"/>
          <w:bCs/>
          <w:color w:val="000000" w:themeColor="text1"/>
          <w:sz w:val="22"/>
          <w:lang w:val="es-ES_tradnl"/>
        </w:rPr>
        <w:t xml:space="preserve"> C-066 del 28 de enero de 2022,</w:t>
      </w:r>
      <w:r>
        <w:rPr>
          <w:rFonts w:ascii="Arial" w:hAnsi="Arial" w:cs="Arial"/>
          <w:bCs/>
          <w:color w:val="000000" w:themeColor="text1"/>
          <w:sz w:val="22"/>
          <w:lang w:val="es-ES_tradnl"/>
        </w:rPr>
        <w:t xml:space="preserve"> C-033 del 4 de marzo de 2022, C-082 del 2 de marzo de 2022 y C-065 del 9 de marzo de 2022,</w:t>
      </w:r>
      <w:r w:rsidRPr="007201D3">
        <w:rPr>
          <w:rFonts w:ascii="Arial" w:hAnsi="Arial" w:cs="Arial"/>
          <w:bCs/>
          <w:color w:val="000000" w:themeColor="text1"/>
          <w:sz w:val="22"/>
          <w:lang w:val="es-ES_tradnl"/>
        </w:rPr>
        <w:t xml:space="preserve"> la Agencia se refirió al alcance de lo dispuesto en el artículo 56 de la Ley 2195 de 2022</w:t>
      </w:r>
      <w:r>
        <w:rPr>
          <w:rFonts w:ascii="Arial" w:hAnsi="Arial" w:cs="Arial"/>
          <w:bCs/>
          <w:color w:val="000000" w:themeColor="text1"/>
          <w:sz w:val="22"/>
          <w:lang w:val="es-ES_tradnl"/>
        </w:rPr>
        <w:t xml:space="preserve">. </w:t>
      </w:r>
      <w:r w:rsidRPr="00CB38DD">
        <w:rPr>
          <w:rFonts w:ascii="Arial" w:hAnsi="Arial" w:cs="Arial"/>
          <w:bCs/>
          <w:color w:val="000000" w:themeColor="text1"/>
          <w:sz w:val="22"/>
        </w:rPr>
        <w:t>La tesis desarrollada en estos conceptos se reitera y complementa a continuación</w:t>
      </w:r>
      <w:r>
        <w:rPr>
          <w:rFonts w:ascii="Arial" w:hAnsi="Arial" w:cs="Arial"/>
          <w:bCs/>
          <w:color w:val="000000" w:themeColor="text1"/>
          <w:sz w:val="22"/>
        </w:rPr>
        <w:t>:</w:t>
      </w:r>
    </w:p>
    <w:p w14:paraId="16AC1E36" w14:textId="77777777" w:rsidR="00915830" w:rsidRDefault="00915830" w:rsidP="00915830">
      <w:pPr>
        <w:spacing w:line="276" w:lineRule="auto"/>
        <w:jc w:val="both"/>
        <w:rPr>
          <w:rFonts w:ascii="Arial" w:hAnsi="Arial" w:cs="Arial"/>
          <w:b/>
          <w:color w:val="000000" w:themeColor="text1"/>
          <w:sz w:val="22"/>
          <w:lang w:val="es-ES_tradnl"/>
        </w:rPr>
      </w:pPr>
    </w:p>
    <w:p w14:paraId="640FB6A3" w14:textId="77777777" w:rsidR="00915830" w:rsidRPr="0026168F" w:rsidRDefault="00915830" w:rsidP="00915830">
      <w:pPr>
        <w:spacing w:line="276" w:lineRule="auto"/>
        <w:jc w:val="both"/>
        <w:rPr>
          <w:rFonts w:ascii="Arial" w:hAnsi="Arial" w:cs="Arial"/>
          <w:b/>
          <w:color w:val="000000" w:themeColor="text1"/>
          <w:sz w:val="22"/>
          <w:lang w:val="es-ES_tradnl"/>
        </w:rPr>
      </w:pPr>
      <w:r w:rsidRPr="0026168F">
        <w:rPr>
          <w:rFonts w:ascii="Arial" w:hAnsi="Arial" w:cs="Arial"/>
          <w:b/>
          <w:color w:val="000000" w:themeColor="text1"/>
          <w:sz w:val="22"/>
          <w:lang w:val="es-ES_tradnl"/>
        </w:rPr>
        <w:t>2.1. Regímenes especiales en la contratación estatal</w:t>
      </w:r>
      <w:r>
        <w:rPr>
          <w:rFonts w:ascii="Arial" w:hAnsi="Arial" w:cs="Arial"/>
          <w:b/>
          <w:color w:val="000000" w:themeColor="text1"/>
          <w:sz w:val="22"/>
          <w:lang w:val="es-ES_tradnl"/>
        </w:rPr>
        <w:t>: referencia particular a las empresas sociales del Estado</w:t>
      </w:r>
    </w:p>
    <w:p w14:paraId="49DE7952" w14:textId="77777777" w:rsidR="00915830" w:rsidRPr="0026168F" w:rsidRDefault="00915830" w:rsidP="00915830">
      <w:pPr>
        <w:tabs>
          <w:tab w:val="left" w:pos="426"/>
        </w:tabs>
        <w:spacing w:line="276" w:lineRule="auto"/>
        <w:jc w:val="both"/>
        <w:rPr>
          <w:rFonts w:ascii="Arial" w:eastAsia="Calibri" w:hAnsi="Arial" w:cs="Arial"/>
          <w:b/>
          <w:color w:val="000000" w:themeColor="text1"/>
          <w:sz w:val="22"/>
          <w:lang w:val="es-ES_tradnl"/>
        </w:rPr>
      </w:pPr>
    </w:p>
    <w:p w14:paraId="76E128BC" w14:textId="77777777" w:rsidR="00915830" w:rsidRPr="0026168F" w:rsidRDefault="00915830" w:rsidP="00915830">
      <w:pPr>
        <w:tabs>
          <w:tab w:val="left" w:pos="426"/>
        </w:tabs>
        <w:spacing w:line="276" w:lineRule="auto"/>
        <w:jc w:val="both"/>
        <w:rPr>
          <w:rFonts w:ascii="Arial" w:eastAsia="Calibri" w:hAnsi="Arial" w:cs="Arial"/>
          <w:b/>
          <w:color w:val="000000" w:themeColor="text1"/>
          <w:sz w:val="22"/>
          <w:lang w:val="es-ES_tradnl"/>
        </w:rPr>
      </w:pPr>
      <w:bookmarkStart w:id="0" w:name="_Hlk96453635"/>
      <w:r w:rsidRPr="0026168F">
        <w:rPr>
          <w:rFonts w:ascii="Arial" w:eastAsia="Calibri" w:hAnsi="Arial" w:cs="Arial"/>
          <w:color w:val="000000" w:themeColor="text1"/>
          <w:sz w:val="22"/>
          <w:lang w:val="es-ES_tradnl"/>
        </w:rPr>
        <w:lastRenderedPageBreak/>
        <w:t xml:space="preserve">Las entidades de régimen especial son aquellas que, por expresa disposición legal y por su naturaleza o situación de competencia, tienen condiciones diferenciales respecto de la normativa de contratación pública. Esto quiere decir que no están sometidas al Estatuto General de Contratación de la Administración Pública, por </w:t>
      </w:r>
      <w:r>
        <w:rPr>
          <w:rFonts w:ascii="Arial" w:eastAsia="Calibri" w:hAnsi="Arial" w:cs="Arial"/>
          <w:color w:val="000000" w:themeColor="text1"/>
          <w:sz w:val="22"/>
          <w:lang w:val="es-ES_tradnl"/>
        </w:rPr>
        <w:t>lo que</w:t>
      </w:r>
      <w:r w:rsidRPr="0026168F">
        <w:rPr>
          <w:rFonts w:ascii="Arial" w:eastAsia="Calibri" w:hAnsi="Arial" w:cs="Arial"/>
          <w:color w:val="000000" w:themeColor="text1"/>
          <w:sz w:val="22"/>
          <w:lang w:val="es-ES_tradnl"/>
        </w:rPr>
        <w:t xml:space="preserve"> sus procedimientos contractuales tienen su normativa propia para su desarrollo, esto es, el derecho privado</w:t>
      </w:r>
      <w:r>
        <w:rPr>
          <w:rFonts w:ascii="Arial" w:eastAsia="Calibri" w:hAnsi="Arial" w:cs="Arial"/>
          <w:color w:val="000000" w:themeColor="text1"/>
          <w:sz w:val="22"/>
          <w:lang w:val="es-ES_tradnl"/>
        </w:rPr>
        <w:t>. Este aspecto se determina</w:t>
      </w:r>
      <w:r w:rsidRPr="0026168F">
        <w:rPr>
          <w:rFonts w:ascii="Arial" w:eastAsia="Calibri" w:hAnsi="Arial" w:cs="Arial"/>
          <w:color w:val="000000" w:themeColor="text1"/>
          <w:sz w:val="22"/>
          <w:lang w:val="es-ES_tradnl"/>
        </w:rPr>
        <w:t xml:space="preserve"> en las normas de creación de las entidades de régimen especial y en sus manuales de contratación.</w:t>
      </w:r>
      <w:bookmarkEnd w:id="0"/>
    </w:p>
    <w:p w14:paraId="36E4AE5B" w14:textId="77777777" w:rsidR="00915830" w:rsidRPr="0026168F" w:rsidRDefault="00915830" w:rsidP="00915830">
      <w:pPr>
        <w:spacing w:before="120" w:after="120" w:line="276" w:lineRule="auto"/>
        <w:jc w:val="both"/>
        <w:rPr>
          <w:rFonts w:ascii="Arial" w:eastAsia="Calibri" w:hAnsi="Arial" w:cs="Arial"/>
          <w:color w:val="000000" w:themeColor="text1"/>
          <w:sz w:val="22"/>
          <w:lang w:val="es-ES_tradnl"/>
        </w:rPr>
      </w:pPr>
      <w:r w:rsidRPr="0026168F">
        <w:rPr>
          <w:rFonts w:ascii="Arial" w:eastAsia="Calibri" w:hAnsi="Arial" w:cs="Arial"/>
          <w:color w:val="000000" w:themeColor="text1"/>
          <w:sz w:val="22"/>
          <w:lang w:val="es-ES_tradnl"/>
        </w:rPr>
        <w:tab/>
        <w:t xml:space="preserve">Teniendo en cuenta que las entidades de régimen especial están facultadas legalmente para aplicar reglas distintas a las establecidas en la Ley 80 de 1993 y sus normas complementarias, su régimen contractual estará definido en la noma que crea el régimen especial y será desarrollado en el manual de la respectiva entidad, con el fin de que se puedan identificar las </w:t>
      </w:r>
      <w:r>
        <w:rPr>
          <w:rFonts w:ascii="Arial" w:eastAsia="Calibri" w:hAnsi="Arial" w:cs="Arial"/>
          <w:color w:val="000000" w:themeColor="text1"/>
          <w:sz w:val="22"/>
          <w:lang w:val="es-ES_tradnl"/>
        </w:rPr>
        <w:t>normas</w:t>
      </w:r>
      <w:r w:rsidRPr="0026168F">
        <w:rPr>
          <w:rFonts w:ascii="Arial" w:eastAsia="Calibri" w:hAnsi="Arial" w:cs="Arial"/>
          <w:color w:val="000000" w:themeColor="text1"/>
          <w:sz w:val="22"/>
          <w:lang w:val="es-ES_tradnl"/>
        </w:rPr>
        <w:t xml:space="preserve"> que aplican en l</w:t>
      </w:r>
      <w:r>
        <w:rPr>
          <w:rFonts w:ascii="Arial" w:eastAsia="Calibri" w:hAnsi="Arial" w:cs="Arial"/>
          <w:color w:val="000000" w:themeColor="text1"/>
          <w:sz w:val="22"/>
          <w:lang w:val="es-ES_tradnl"/>
        </w:rPr>
        <w:t>os procesos de</w:t>
      </w:r>
      <w:r w:rsidRPr="0026168F">
        <w:rPr>
          <w:rFonts w:ascii="Arial" w:eastAsia="Calibri" w:hAnsi="Arial" w:cs="Arial"/>
          <w:color w:val="000000" w:themeColor="text1"/>
          <w:sz w:val="22"/>
          <w:lang w:val="es-ES_tradnl"/>
        </w:rPr>
        <w:t xml:space="preserve"> contratación. La Agencia Nacional de Contratación Pública – Colombia Compra Eficiente expidió la Guía para las entidades estatales con régimen especial de contratación, que las define como aquellas que contratan con un régimen distinto a las Leyes 80 de 1993 y 1150 de 2007</w:t>
      </w:r>
      <w:r w:rsidRPr="0026168F">
        <w:rPr>
          <w:rStyle w:val="Refdenotaalpie"/>
          <w:rFonts w:ascii="Arial" w:eastAsia="Calibri" w:hAnsi="Arial" w:cs="Arial"/>
          <w:color w:val="000000" w:themeColor="text1"/>
          <w:sz w:val="22"/>
          <w:lang w:val="es-ES_tradnl"/>
        </w:rPr>
        <w:footnoteReference w:id="1"/>
      </w:r>
      <w:r w:rsidRPr="0026168F">
        <w:rPr>
          <w:rFonts w:ascii="Arial" w:eastAsia="Calibri" w:hAnsi="Arial" w:cs="Arial"/>
          <w:color w:val="000000" w:themeColor="text1"/>
          <w:sz w:val="22"/>
          <w:lang w:val="es-ES_tradnl"/>
        </w:rPr>
        <w:t>.</w:t>
      </w:r>
    </w:p>
    <w:p w14:paraId="7E01AED9" w14:textId="77777777" w:rsidR="00915830" w:rsidRPr="0026168F" w:rsidRDefault="00915830" w:rsidP="00915830">
      <w:pPr>
        <w:spacing w:line="276" w:lineRule="auto"/>
        <w:jc w:val="both"/>
        <w:rPr>
          <w:rFonts w:ascii="Arial" w:eastAsia="Calibri" w:hAnsi="Arial" w:cs="Arial"/>
          <w:color w:val="000000" w:themeColor="text1"/>
          <w:sz w:val="22"/>
          <w:lang w:val="es-ES_tradnl"/>
        </w:rPr>
      </w:pPr>
      <w:r w:rsidRPr="0026168F">
        <w:rPr>
          <w:rFonts w:ascii="Arial" w:eastAsia="Calibri" w:hAnsi="Arial" w:cs="Arial"/>
          <w:color w:val="000000" w:themeColor="text1"/>
          <w:sz w:val="22"/>
          <w:lang w:val="es-ES_tradnl"/>
        </w:rPr>
        <w:tab/>
        <w:t xml:space="preserve">No obstante, las entidades de régimen especial cumplen una finalidad pública y </w:t>
      </w:r>
      <w:r>
        <w:rPr>
          <w:rFonts w:ascii="Arial" w:eastAsia="Calibri" w:hAnsi="Arial" w:cs="Arial"/>
          <w:color w:val="000000" w:themeColor="text1"/>
          <w:sz w:val="22"/>
          <w:lang w:val="es-ES_tradnl"/>
        </w:rPr>
        <w:t>contratan con</w:t>
      </w:r>
      <w:r w:rsidRPr="0026168F">
        <w:rPr>
          <w:rFonts w:ascii="Arial" w:eastAsia="Calibri" w:hAnsi="Arial" w:cs="Arial"/>
          <w:color w:val="000000" w:themeColor="text1"/>
          <w:sz w:val="22"/>
          <w:lang w:val="es-ES_tradnl"/>
        </w:rPr>
        <w:t xml:space="preserve"> recursos públicos para lograrlo, por lo que no son ajenas a los principios de la función administrativa y de la gestión fiscal, entre otras reglas dispuestas en la normativa de contratación pública que son transversales a todas las entidades, sin importar su régimen contractual. Lo anterior es reafirmado por el Consejo de Estado, que destaca las reglas que sigue la contratación de las entidades de régimen especial:</w:t>
      </w:r>
    </w:p>
    <w:p w14:paraId="219DBA36" w14:textId="77777777" w:rsidR="00915830" w:rsidRPr="0026168F" w:rsidRDefault="00915830" w:rsidP="00915830">
      <w:pPr>
        <w:jc w:val="both"/>
        <w:rPr>
          <w:rFonts w:ascii="Arial" w:eastAsia="Calibri" w:hAnsi="Arial" w:cs="Arial"/>
          <w:color w:val="000000" w:themeColor="text1"/>
          <w:sz w:val="22"/>
          <w:lang w:val="es-ES_tradnl"/>
        </w:rPr>
      </w:pPr>
    </w:p>
    <w:p w14:paraId="3AFD7B5D" w14:textId="77777777" w:rsidR="00915830" w:rsidRPr="0026168F" w:rsidRDefault="00915830" w:rsidP="00915830">
      <w:pPr>
        <w:spacing w:after="120"/>
        <w:ind w:left="709" w:right="709"/>
        <w:jc w:val="both"/>
        <w:rPr>
          <w:rFonts w:ascii="Arial" w:eastAsia="Calibri" w:hAnsi="Arial" w:cs="Arial"/>
          <w:color w:val="000000" w:themeColor="text1"/>
          <w:sz w:val="21"/>
          <w:szCs w:val="21"/>
          <w:lang w:val="es-ES_tradnl"/>
        </w:rPr>
      </w:pPr>
      <w:r w:rsidRPr="0026168F">
        <w:rPr>
          <w:rFonts w:ascii="Arial" w:eastAsia="Calibri" w:hAnsi="Arial" w:cs="Arial"/>
          <w:color w:val="000000" w:themeColor="text1"/>
          <w:sz w:val="21"/>
          <w:szCs w:val="21"/>
          <w:lang w:val="es-ES_tradnl"/>
        </w:rPr>
        <w:t>[...] en la contratación de las entidades excluidas de la Ley 80 se distinguen perfectamente dos ordenamientos jurídicos: uno prevalente, el derecho privado, que aporta todas sus instituciones, reglas y principios y las pone al servicio de los contratos de dichas entidades; y otro, secundario, referido a los principios de la función administrativa y de la gestión fiscal —pero no a la Ley 80 de 1993, con sus reglas particulares—, que inspiran al régimen anterior con valores propios del derecho público.</w:t>
      </w:r>
    </w:p>
    <w:p w14:paraId="29727F25" w14:textId="77777777" w:rsidR="00915830" w:rsidRPr="0026168F" w:rsidRDefault="00915830" w:rsidP="00915830">
      <w:pPr>
        <w:spacing w:after="120"/>
        <w:ind w:left="709" w:right="709"/>
        <w:jc w:val="both"/>
        <w:rPr>
          <w:rFonts w:ascii="Arial" w:eastAsia="Calibri" w:hAnsi="Arial" w:cs="Arial"/>
          <w:color w:val="000000" w:themeColor="text1"/>
          <w:sz w:val="21"/>
          <w:szCs w:val="21"/>
          <w:lang w:val="es-ES_tradnl"/>
        </w:rPr>
      </w:pPr>
      <w:r w:rsidRPr="0026168F">
        <w:rPr>
          <w:rFonts w:ascii="Arial" w:eastAsia="Calibri" w:hAnsi="Arial" w:cs="Arial"/>
          <w:color w:val="000000" w:themeColor="text1"/>
          <w:sz w:val="21"/>
          <w:szCs w:val="21"/>
          <w:lang w:val="es-ES_tradnl"/>
        </w:rPr>
        <w:t xml:space="preserve">La Sala entiende que el régimen preponderante domina y aporta el gran volumen de normas contractuales y que el régimen inspirador influye y ayuda a interpretar pero también transforma parte de esas instituciones, porque se suma a ellas, lo que no siempre se logra conservando intacta la institución privada sino introduciéndole modificaciones. </w:t>
      </w:r>
    </w:p>
    <w:p w14:paraId="2884788C" w14:textId="77777777" w:rsidR="00915830" w:rsidRPr="0026168F" w:rsidRDefault="00915830" w:rsidP="00915830">
      <w:pPr>
        <w:ind w:left="709" w:right="709"/>
        <w:jc w:val="both"/>
        <w:rPr>
          <w:rFonts w:ascii="Arial" w:eastAsia="Calibri" w:hAnsi="Arial" w:cs="Arial"/>
          <w:color w:val="000000" w:themeColor="text1"/>
          <w:sz w:val="22"/>
          <w:lang w:val="es-ES_tradnl"/>
        </w:rPr>
      </w:pPr>
      <w:r w:rsidRPr="0026168F">
        <w:rPr>
          <w:rFonts w:ascii="Arial" w:eastAsia="Calibri" w:hAnsi="Arial" w:cs="Arial"/>
          <w:color w:val="000000" w:themeColor="text1"/>
          <w:sz w:val="21"/>
          <w:szCs w:val="21"/>
          <w:lang w:val="es-ES_tradnl"/>
        </w:rPr>
        <w:lastRenderedPageBreak/>
        <w:t>La función que cumplen los principios públicos también se representa en la necesidad práctica —normalmente no por orden de una norma— de expedir un reglamento interno de contratación que concrete la mayor parte de aportes de esos principios a la transformación de las reglas del derecho privado. Es por esta influencia que surge la necesidad de contar con procesos de selección de contratistas que garanticen la libre concurrencia, la igualdad de oportunidades de acceso a los negocios del Estado, la trasparencia y en general los demás valores propios de la gestión de lo público</w:t>
      </w:r>
      <w:r w:rsidRPr="0026168F">
        <w:rPr>
          <w:rStyle w:val="Refdenotaalpie"/>
          <w:rFonts w:ascii="Arial" w:eastAsia="Calibri" w:hAnsi="Arial" w:cs="Arial"/>
          <w:color w:val="000000" w:themeColor="text1"/>
          <w:sz w:val="22"/>
          <w:lang w:val="es-ES_tradnl"/>
        </w:rPr>
        <w:footnoteReference w:id="2"/>
      </w:r>
      <w:r w:rsidRPr="0026168F">
        <w:rPr>
          <w:rFonts w:ascii="Arial" w:eastAsia="Calibri" w:hAnsi="Arial" w:cs="Arial"/>
          <w:color w:val="000000" w:themeColor="text1"/>
          <w:sz w:val="22"/>
          <w:lang w:val="es-ES_tradnl"/>
        </w:rPr>
        <w:t>.</w:t>
      </w:r>
    </w:p>
    <w:p w14:paraId="7D115EFC" w14:textId="77777777" w:rsidR="00915830" w:rsidRPr="0026168F" w:rsidRDefault="00915830" w:rsidP="00915830">
      <w:pPr>
        <w:spacing w:line="276" w:lineRule="auto"/>
        <w:jc w:val="both"/>
        <w:rPr>
          <w:rFonts w:ascii="Arial" w:eastAsia="Calibri" w:hAnsi="Arial" w:cs="Arial"/>
          <w:color w:val="000000" w:themeColor="text1"/>
          <w:sz w:val="22"/>
          <w:lang w:val="es-ES_tradnl"/>
        </w:rPr>
      </w:pPr>
    </w:p>
    <w:p w14:paraId="1E75D85E" w14:textId="77777777" w:rsidR="00915830" w:rsidRPr="0026168F" w:rsidRDefault="00915830" w:rsidP="00915830">
      <w:pPr>
        <w:spacing w:line="276" w:lineRule="auto"/>
        <w:ind w:firstLine="708"/>
        <w:jc w:val="both"/>
        <w:rPr>
          <w:rFonts w:ascii="Arial" w:eastAsia="Calibri" w:hAnsi="Arial" w:cs="Arial"/>
          <w:color w:val="000000" w:themeColor="text1"/>
          <w:sz w:val="22"/>
          <w:lang w:val="es-ES_tradnl"/>
        </w:rPr>
      </w:pPr>
      <w:r w:rsidRPr="0026168F">
        <w:rPr>
          <w:rFonts w:ascii="Arial" w:eastAsia="Calibri" w:hAnsi="Arial" w:cs="Arial"/>
          <w:color w:val="000000" w:themeColor="text1"/>
          <w:sz w:val="22"/>
          <w:lang w:val="es-ES_tradnl"/>
        </w:rPr>
        <w:t xml:space="preserve">Teniendo en cuenta que las entidades de régimen especial administran recursos públicos, sus manuales de contratación deben </w:t>
      </w:r>
      <w:r>
        <w:rPr>
          <w:rFonts w:ascii="Arial" w:eastAsia="Calibri" w:hAnsi="Arial" w:cs="Arial"/>
          <w:color w:val="000000" w:themeColor="text1"/>
          <w:sz w:val="22"/>
          <w:lang w:val="es-ES_tradnl"/>
        </w:rPr>
        <w:t>sujetar</w:t>
      </w:r>
      <w:r w:rsidRPr="0026168F">
        <w:rPr>
          <w:rFonts w:ascii="Arial" w:eastAsia="Calibri" w:hAnsi="Arial" w:cs="Arial"/>
          <w:color w:val="000000" w:themeColor="text1"/>
          <w:sz w:val="22"/>
          <w:lang w:val="es-ES_tradnl"/>
        </w:rPr>
        <w:t xml:space="preserve">se a unas reglas mínimas que garanticen el cumplimiento de los principios de la función pública, el control fiscal y los principios rectores de la contratación estatal. </w:t>
      </w:r>
      <w:r>
        <w:rPr>
          <w:rFonts w:ascii="Arial" w:eastAsia="Calibri" w:hAnsi="Arial" w:cs="Arial"/>
          <w:color w:val="000000" w:themeColor="text1"/>
          <w:sz w:val="22"/>
          <w:lang w:val="es-ES_tradnl"/>
        </w:rPr>
        <w:t>E</w:t>
      </w:r>
      <w:r w:rsidRPr="0026168F">
        <w:rPr>
          <w:rFonts w:ascii="Arial" w:eastAsia="Calibri" w:hAnsi="Arial" w:cs="Arial"/>
          <w:color w:val="000000" w:themeColor="text1"/>
          <w:sz w:val="22"/>
          <w:lang w:val="es-ES_tradnl"/>
        </w:rPr>
        <w:t xml:space="preserve">stas reglas deben indicar el contenido de las propuestas y los procedimientos de selección, </w:t>
      </w:r>
      <w:r>
        <w:rPr>
          <w:rFonts w:ascii="Arial" w:eastAsia="Calibri" w:hAnsi="Arial" w:cs="Arial"/>
          <w:color w:val="000000" w:themeColor="text1"/>
          <w:sz w:val="22"/>
          <w:lang w:val="es-ES_tradnl"/>
        </w:rPr>
        <w:t>realizar</w:t>
      </w:r>
      <w:r w:rsidRPr="0026168F">
        <w:rPr>
          <w:rFonts w:ascii="Arial" w:eastAsia="Calibri" w:hAnsi="Arial" w:cs="Arial"/>
          <w:color w:val="000000" w:themeColor="text1"/>
          <w:sz w:val="22"/>
          <w:lang w:val="es-ES_tradnl"/>
        </w:rPr>
        <w:t xml:space="preserve"> una descripción precisa del procedimiento, los plazos de las etapas y los criterios de evaluación y desempate, </w:t>
      </w:r>
      <w:r>
        <w:rPr>
          <w:rFonts w:ascii="Arial" w:eastAsia="Calibri" w:hAnsi="Arial" w:cs="Arial"/>
          <w:color w:val="000000" w:themeColor="text1"/>
          <w:sz w:val="22"/>
          <w:lang w:val="es-ES_tradnl"/>
        </w:rPr>
        <w:t>así como</w:t>
      </w:r>
      <w:r w:rsidRPr="0026168F">
        <w:rPr>
          <w:rFonts w:ascii="Arial" w:eastAsia="Calibri" w:hAnsi="Arial" w:cs="Arial"/>
          <w:color w:val="000000" w:themeColor="text1"/>
          <w:sz w:val="22"/>
          <w:lang w:val="es-ES_tradnl"/>
        </w:rPr>
        <w:t xml:space="preserve"> todos los criterios necesarios para garantizar la selección objetiva y la protección del interés general. Lo anterior, sin perjuicio de que algunas de estas reglas se establezcan, complementen o detallen en los documentos que se expiden en desarrollo de sus procedimientos contractuales.</w:t>
      </w:r>
    </w:p>
    <w:p w14:paraId="29FA5A81" w14:textId="77777777" w:rsidR="00915830" w:rsidRPr="0026168F" w:rsidRDefault="00915830" w:rsidP="00915830">
      <w:pPr>
        <w:spacing w:before="120" w:after="120" w:line="276" w:lineRule="auto"/>
        <w:ind w:firstLine="708"/>
        <w:jc w:val="both"/>
        <w:rPr>
          <w:rFonts w:ascii="Arial" w:eastAsia="Calibri" w:hAnsi="Arial" w:cs="Arial"/>
          <w:color w:val="000000" w:themeColor="text1"/>
          <w:sz w:val="22"/>
          <w:lang w:val="es-ES_tradnl"/>
        </w:rPr>
      </w:pPr>
      <w:r w:rsidRPr="0026168F">
        <w:rPr>
          <w:rFonts w:ascii="Arial" w:eastAsia="Calibri" w:hAnsi="Arial" w:cs="Arial"/>
          <w:color w:val="000000" w:themeColor="text1"/>
          <w:sz w:val="22"/>
          <w:lang w:val="es-ES_tradnl"/>
        </w:rPr>
        <w:t xml:space="preserve">Así mismo, estas entidades deben cumplir unas obligaciones transversales a la contratación pública, entre ellas la elaboración del Plan Anual de Adquisiciones, la publicación de sus procedimientos de selección a través de la herramienta SECOP </w:t>
      </w:r>
      <w:r>
        <w:rPr>
          <w:rFonts w:ascii="Arial" w:eastAsia="Calibri" w:hAnsi="Arial" w:cs="Arial"/>
          <w:color w:val="000000" w:themeColor="text1"/>
          <w:sz w:val="22"/>
          <w:lang w:val="es-ES_tradnl"/>
        </w:rPr>
        <w:t>–</w:t>
      </w:r>
      <w:r w:rsidRPr="0026168F">
        <w:rPr>
          <w:rFonts w:ascii="Arial" w:eastAsia="Calibri" w:hAnsi="Arial" w:cs="Arial"/>
          <w:color w:val="000000" w:themeColor="text1"/>
          <w:sz w:val="22"/>
          <w:lang w:val="es-ES_tradnl"/>
        </w:rPr>
        <w:t>en la sección Régimen Especial</w:t>
      </w:r>
      <w:r>
        <w:rPr>
          <w:rFonts w:ascii="Arial" w:eastAsia="Calibri" w:hAnsi="Arial" w:cs="Arial"/>
          <w:color w:val="000000" w:themeColor="text1"/>
          <w:sz w:val="22"/>
          <w:lang w:val="es-ES_tradnl"/>
        </w:rPr>
        <w:t>–</w:t>
      </w:r>
      <w:r w:rsidRPr="0026168F">
        <w:rPr>
          <w:rFonts w:ascii="Arial" w:eastAsia="Calibri" w:hAnsi="Arial" w:cs="Arial"/>
          <w:color w:val="000000" w:themeColor="text1"/>
          <w:sz w:val="22"/>
          <w:lang w:val="es-ES_tradnl"/>
        </w:rPr>
        <w:t>, hacer uso del clasificador de bienes y servicios de las Naciones Unidas, reportar inhabilidades e incompatibilidades de los proveedores de la entidad y analizar el sector económico de los oferentes, entre otras.</w:t>
      </w:r>
    </w:p>
    <w:p w14:paraId="046EBDDD" w14:textId="77777777" w:rsidR="00915830" w:rsidRPr="00F0096D" w:rsidRDefault="00915830" w:rsidP="00915830">
      <w:pPr>
        <w:spacing w:after="120" w:line="276" w:lineRule="auto"/>
        <w:ind w:firstLine="709"/>
        <w:jc w:val="both"/>
        <w:rPr>
          <w:rFonts w:ascii="Arial" w:eastAsia="Calibri" w:hAnsi="Arial" w:cs="Arial"/>
          <w:color w:val="000000" w:themeColor="text1"/>
          <w:sz w:val="22"/>
          <w:lang w:val="es-ES_tradnl"/>
        </w:rPr>
      </w:pPr>
      <w:r w:rsidRPr="0026168F">
        <w:rPr>
          <w:rFonts w:ascii="Arial" w:eastAsia="Calibri" w:hAnsi="Arial" w:cs="Arial"/>
          <w:color w:val="000000" w:themeColor="text1"/>
          <w:sz w:val="22"/>
          <w:lang w:val="es-ES_tradnl"/>
        </w:rPr>
        <w:t>Además, debe tener</w:t>
      </w:r>
      <w:r>
        <w:rPr>
          <w:rFonts w:ascii="Arial" w:eastAsia="Calibri" w:hAnsi="Arial" w:cs="Arial"/>
          <w:color w:val="000000" w:themeColor="text1"/>
          <w:sz w:val="22"/>
          <w:lang w:val="es-ES_tradnl"/>
        </w:rPr>
        <w:t>se</w:t>
      </w:r>
      <w:r w:rsidRPr="0026168F">
        <w:rPr>
          <w:rFonts w:ascii="Arial" w:eastAsia="Calibri" w:hAnsi="Arial" w:cs="Arial"/>
          <w:color w:val="000000" w:themeColor="text1"/>
          <w:sz w:val="22"/>
          <w:lang w:val="es-ES_tradnl"/>
        </w:rPr>
        <w:t xml:space="preserve"> en cuenta que las cláusulas excepcionales no están contempladas en el derecho común. Estas se encuentran limitadas no solo al uso del Estatuto General de Contratación de la Administración Pública sino a algunos tipos de contratos específicos. En ese sentido, la única forma en que una entidad sujeta a un régimen especial pueda usar estas cláusulas es </w:t>
      </w:r>
      <w:r>
        <w:rPr>
          <w:rFonts w:ascii="Arial" w:eastAsia="Calibri" w:hAnsi="Arial" w:cs="Arial"/>
          <w:color w:val="000000" w:themeColor="text1"/>
          <w:sz w:val="22"/>
          <w:lang w:val="es-ES_tradnl"/>
        </w:rPr>
        <w:t>que una norma expresa las habilite</w:t>
      </w:r>
      <w:r w:rsidRPr="0026168F">
        <w:rPr>
          <w:rFonts w:ascii="Arial" w:eastAsia="Calibri" w:hAnsi="Arial" w:cs="Arial"/>
          <w:color w:val="000000" w:themeColor="text1"/>
          <w:sz w:val="22"/>
          <w:lang w:val="es-ES_tradnl"/>
        </w:rPr>
        <w:t xml:space="preserve">, como sucede, por ejemplo, con las empresas </w:t>
      </w:r>
      <w:r>
        <w:rPr>
          <w:rFonts w:ascii="Arial" w:eastAsia="Calibri" w:hAnsi="Arial" w:cs="Arial"/>
          <w:color w:val="000000" w:themeColor="text1"/>
          <w:sz w:val="22"/>
          <w:lang w:val="es-ES_tradnl"/>
        </w:rPr>
        <w:t>de servicios públicos domiciliarios</w:t>
      </w:r>
      <w:r>
        <w:rPr>
          <w:rStyle w:val="Refdenotaalpie"/>
          <w:rFonts w:ascii="Arial" w:eastAsia="Calibri" w:hAnsi="Arial" w:cs="Arial"/>
          <w:color w:val="000000" w:themeColor="text1"/>
          <w:sz w:val="22"/>
          <w:lang w:val="es-ES_tradnl"/>
        </w:rPr>
        <w:footnoteReference w:id="3"/>
      </w:r>
      <w:r w:rsidRPr="0026168F">
        <w:rPr>
          <w:rFonts w:ascii="Arial" w:eastAsia="Calibri" w:hAnsi="Arial" w:cs="Arial"/>
          <w:color w:val="000000" w:themeColor="text1"/>
          <w:sz w:val="22"/>
          <w:lang w:val="es-ES_tradnl"/>
        </w:rPr>
        <w:t xml:space="preserve">. De modo que </w:t>
      </w:r>
      <w:r w:rsidRPr="0026168F">
        <w:rPr>
          <w:rFonts w:ascii="Arial" w:eastAsia="Calibri" w:hAnsi="Arial" w:cs="Arial"/>
          <w:color w:val="000000" w:themeColor="text1"/>
          <w:sz w:val="22"/>
          <w:lang w:val="es-ES_tradnl"/>
        </w:rPr>
        <w:lastRenderedPageBreak/>
        <w:t xml:space="preserve">si una Entidad sujeta al régimen especial requiere sancionar </w:t>
      </w:r>
      <w:r>
        <w:rPr>
          <w:rFonts w:ascii="Arial" w:eastAsia="Calibri" w:hAnsi="Arial" w:cs="Arial"/>
          <w:color w:val="000000" w:themeColor="text1"/>
          <w:sz w:val="22"/>
          <w:lang w:val="es-ES_tradnl"/>
        </w:rPr>
        <w:t xml:space="preserve">al contratista </w:t>
      </w:r>
      <w:r w:rsidRPr="0026168F">
        <w:rPr>
          <w:rFonts w:ascii="Arial" w:eastAsia="Calibri" w:hAnsi="Arial" w:cs="Arial"/>
          <w:color w:val="000000" w:themeColor="text1"/>
          <w:sz w:val="22"/>
          <w:lang w:val="es-ES_tradnl"/>
        </w:rPr>
        <w:t>o termina</w:t>
      </w:r>
      <w:r>
        <w:rPr>
          <w:rFonts w:ascii="Arial" w:eastAsia="Calibri" w:hAnsi="Arial" w:cs="Arial"/>
          <w:color w:val="000000" w:themeColor="text1"/>
          <w:sz w:val="22"/>
          <w:lang w:val="es-ES_tradnl"/>
        </w:rPr>
        <w:t>r</w:t>
      </w:r>
      <w:r w:rsidRPr="0026168F">
        <w:rPr>
          <w:rFonts w:ascii="Arial" w:eastAsia="Calibri" w:hAnsi="Arial" w:cs="Arial"/>
          <w:color w:val="000000" w:themeColor="text1"/>
          <w:sz w:val="22"/>
          <w:lang w:val="es-ES_tradnl"/>
        </w:rPr>
        <w:t xml:space="preserve"> el contrato, por regla general, debe acudir al juez competente</w:t>
      </w:r>
      <w:r w:rsidRPr="0026168F">
        <w:rPr>
          <w:rStyle w:val="Refdenotaalpie"/>
          <w:rFonts w:ascii="Arial" w:eastAsia="Calibri" w:hAnsi="Arial" w:cs="Arial"/>
          <w:color w:val="000000" w:themeColor="text1"/>
          <w:sz w:val="22"/>
          <w:lang w:val="es-ES_tradnl"/>
        </w:rPr>
        <w:footnoteReference w:id="4"/>
      </w:r>
      <w:r w:rsidRPr="0026168F">
        <w:rPr>
          <w:rFonts w:ascii="Arial" w:eastAsia="Calibri" w:hAnsi="Arial" w:cs="Arial"/>
          <w:color w:val="000000" w:themeColor="text1"/>
          <w:sz w:val="22"/>
          <w:lang w:val="es-ES_tradnl"/>
        </w:rPr>
        <w:t xml:space="preserve">. Lo anterior, se reitera, salvo que una norma especial extienda la aplicación de alguna o algunas de las facultades o </w:t>
      </w:r>
      <w:r w:rsidRPr="00F0096D">
        <w:rPr>
          <w:rFonts w:ascii="Arial" w:eastAsia="Calibri" w:hAnsi="Arial" w:cs="Arial"/>
          <w:color w:val="000000" w:themeColor="text1"/>
          <w:sz w:val="22"/>
          <w:lang w:val="es-ES_tradnl"/>
        </w:rPr>
        <w:t>disposiciones establecidas en el Estatuto General de Contratación de la Administración Pública –en adelante Estatuto General de Contratación o EGCAP– a entidades con un régimen especial de contratación.</w:t>
      </w:r>
    </w:p>
    <w:p w14:paraId="27768733" w14:textId="77777777" w:rsidR="00915830" w:rsidRPr="00F0096D" w:rsidRDefault="00915830" w:rsidP="00915830">
      <w:pPr>
        <w:spacing w:line="276" w:lineRule="auto"/>
        <w:ind w:firstLine="708"/>
        <w:jc w:val="both"/>
        <w:rPr>
          <w:rFonts w:ascii="Arial" w:eastAsia="Calibri" w:hAnsi="Arial" w:cs="Arial"/>
          <w:color w:val="000000" w:themeColor="text1"/>
          <w:sz w:val="22"/>
        </w:rPr>
      </w:pPr>
      <w:r w:rsidRPr="00F0096D">
        <w:rPr>
          <w:rFonts w:ascii="Arial" w:hAnsi="Arial" w:cs="Arial"/>
          <w:sz w:val="22"/>
          <w:lang w:val="es-ES_tradnl"/>
        </w:rPr>
        <w:t>Particularmente, respecto al objeto de la consulta, es necesario tener en cuenta que l</w:t>
      </w:r>
      <w:r w:rsidRPr="00F0096D">
        <w:rPr>
          <w:rFonts w:ascii="Arial" w:hAnsi="Arial" w:cs="Arial"/>
          <w:sz w:val="22"/>
        </w:rPr>
        <w:t>as empresas sociales del Estado – ESE son entidades públicas que, conforme al artículo 194 de la Ley 100 de 1993, son de categoría especial, descentralizada por servicios, con personería jurídica, patrimonio propio y autonomía administrativa</w:t>
      </w:r>
      <w:r w:rsidRPr="00F0096D">
        <w:rPr>
          <w:rStyle w:val="Refdenotaalpie"/>
          <w:rFonts w:ascii="Arial" w:hAnsi="Arial" w:cs="Arial"/>
          <w:sz w:val="22"/>
        </w:rPr>
        <w:footnoteReference w:id="5"/>
      </w:r>
      <w:r w:rsidRPr="00F0096D">
        <w:rPr>
          <w:rFonts w:ascii="Arial" w:hAnsi="Arial" w:cs="Arial"/>
          <w:sz w:val="22"/>
        </w:rPr>
        <w:t>. A través de ellas la Nación o las entidades territoriales prestan el servicio de salud de manera directa, es decir</w:t>
      </w:r>
      <w:r w:rsidRPr="00F0096D">
        <w:rPr>
          <w:rFonts w:ascii="Arial" w:eastAsia="Calibri" w:hAnsi="Arial" w:cs="Arial"/>
          <w:color w:val="000000" w:themeColor="text1"/>
          <w:sz w:val="22"/>
        </w:rPr>
        <w:t xml:space="preserve">, las Empresas Sociales del Estado son, esencialmente, los hospitales públicos. El Consejo de Estado, sobre la naturaleza jurídica de estas entidades, precisó: </w:t>
      </w:r>
    </w:p>
    <w:p w14:paraId="092D870C" w14:textId="77777777" w:rsidR="00915830" w:rsidRPr="00F0096D" w:rsidRDefault="00915830" w:rsidP="00915830">
      <w:pPr>
        <w:spacing w:line="276" w:lineRule="auto"/>
        <w:jc w:val="both"/>
        <w:rPr>
          <w:rFonts w:ascii="Arial" w:eastAsia="Calibri" w:hAnsi="Arial" w:cs="Arial"/>
          <w:color w:val="000000" w:themeColor="text1"/>
          <w:sz w:val="22"/>
        </w:rPr>
      </w:pPr>
    </w:p>
    <w:p w14:paraId="32A290D5" w14:textId="77777777" w:rsidR="00915830" w:rsidRPr="00F0096D" w:rsidRDefault="00915830" w:rsidP="00915830">
      <w:pPr>
        <w:ind w:left="709" w:right="709"/>
        <w:jc w:val="both"/>
        <w:rPr>
          <w:rFonts w:ascii="Arial" w:eastAsia="Calibri" w:hAnsi="Arial" w:cs="Arial"/>
          <w:color w:val="000000" w:themeColor="text1"/>
          <w:sz w:val="21"/>
          <w:szCs w:val="21"/>
        </w:rPr>
      </w:pPr>
      <w:r w:rsidRPr="00F0096D">
        <w:rPr>
          <w:rFonts w:ascii="Arial" w:eastAsia="Calibri" w:hAnsi="Arial" w:cs="Arial"/>
          <w:color w:val="000000" w:themeColor="text1"/>
          <w:sz w:val="21"/>
          <w:szCs w:val="21"/>
        </w:rPr>
        <w:t>[…] Se tiene que las empresas sociales del Estado, es decir, los hospitales públicos a que se refiere la ley 100 de 1993, son entidades descentralizadas por servicios, de naturaleza jurídica especial, es decir, son entidades estatales que pertenecen a la estructura de la rama ejecutiva del poder público, porque así lo disponen los arts. 38 y 68 de la ley 489 de 1998 […]</w:t>
      </w:r>
      <w:r w:rsidRPr="00F0096D">
        <w:rPr>
          <w:rStyle w:val="Refdenotaalpie"/>
          <w:rFonts w:ascii="Arial" w:eastAsia="Calibri" w:hAnsi="Arial" w:cs="Arial"/>
          <w:color w:val="000000" w:themeColor="text1"/>
          <w:sz w:val="21"/>
          <w:szCs w:val="21"/>
        </w:rPr>
        <w:footnoteReference w:id="6"/>
      </w:r>
      <w:r w:rsidRPr="00F0096D">
        <w:rPr>
          <w:rFonts w:ascii="Arial" w:eastAsia="Calibri" w:hAnsi="Arial" w:cs="Arial"/>
          <w:color w:val="000000" w:themeColor="text1"/>
          <w:sz w:val="21"/>
          <w:szCs w:val="21"/>
        </w:rPr>
        <w:t xml:space="preserve">. </w:t>
      </w:r>
    </w:p>
    <w:p w14:paraId="219AFB12" w14:textId="77777777" w:rsidR="00915830" w:rsidRPr="00F0096D" w:rsidRDefault="00915830" w:rsidP="00915830">
      <w:pPr>
        <w:spacing w:line="276" w:lineRule="auto"/>
        <w:ind w:left="709" w:right="709"/>
        <w:jc w:val="both"/>
        <w:rPr>
          <w:rFonts w:ascii="Arial" w:eastAsia="Calibri" w:hAnsi="Arial" w:cs="Arial"/>
          <w:color w:val="000000" w:themeColor="text1"/>
          <w:sz w:val="22"/>
        </w:rPr>
      </w:pPr>
    </w:p>
    <w:p w14:paraId="519EA426" w14:textId="77777777" w:rsidR="00915830" w:rsidRPr="00F0096D" w:rsidRDefault="00915830" w:rsidP="00915830">
      <w:pPr>
        <w:pStyle w:val="Textoindependiente"/>
        <w:ind w:right="102" w:firstLine="709"/>
        <w:jc w:val="both"/>
        <w:rPr>
          <w:rFonts w:ascii="Arial" w:hAnsi="Arial" w:cs="Arial"/>
        </w:rPr>
      </w:pPr>
      <w:r w:rsidRPr="00F0096D">
        <w:rPr>
          <w:rFonts w:ascii="Arial" w:hAnsi="Arial" w:cs="Arial"/>
        </w:rPr>
        <w:t xml:space="preserve">De la cita precedente puede concluirse que las empresas sociales del Estado son una categoría especial de entidades públicas que hacen parte de la estructura de la Rama Ejecutiva del poder público. En este mismo sentido, el artículo 38 de la Ley 489 de 1998, en el que se consagran los organismos y entidades que integran la rama ejecutiva del </w:t>
      </w:r>
      <w:r w:rsidRPr="00F0096D">
        <w:rPr>
          <w:rFonts w:ascii="Arial" w:hAnsi="Arial" w:cs="Arial"/>
        </w:rPr>
        <w:lastRenderedPageBreak/>
        <w:t xml:space="preserve">poder público, dispuso en el literal d) del numeral 2 que las empresas sociales del Estado hacen parte del sector descentralizado por servicios de esta rama del poder público. </w:t>
      </w:r>
    </w:p>
    <w:p w14:paraId="4E0C3200" w14:textId="77777777" w:rsidR="00915830" w:rsidRPr="00F0096D" w:rsidRDefault="00915830" w:rsidP="00915830">
      <w:pPr>
        <w:spacing w:after="120" w:line="276" w:lineRule="auto"/>
        <w:ind w:firstLine="709"/>
        <w:jc w:val="both"/>
        <w:rPr>
          <w:rFonts w:ascii="Arial" w:hAnsi="Arial" w:cs="Arial"/>
          <w:sz w:val="22"/>
        </w:rPr>
      </w:pPr>
      <w:r w:rsidRPr="00F0096D">
        <w:rPr>
          <w:rFonts w:ascii="Arial" w:hAnsi="Arial" w:cs="Arial"/>
          <w:sz w:val="22"/>
        </w:rPr>
        <w:t xml:space="preserve">Ahora, de conformidad con el numeral 6 del artículo 195 de la Ley 100 de 1993, el régimen de contratación de las empresas sociales del Estado – ESE es el de derecho privado, es decir, se rige por las disposiciones contenidas en el Código de Comercio y el Código Civil aplicables en lo que resulten pertinentes, salvo en las materias particularmente reguladas </w:t>
      </w:r>
      <w:r w:rsidRPr="00F0096D">
        <w:rPr>
          <w:rFonts w:ascii="Arial" w:eastAsia="Calibri" w:hAnsi="Arial" w:cs="Arial"/>
          <w:color w:val="000000" w:themeColor="text1"/>
          <w:sz w:val="22"/>
        </w:rPr>
        <w:t xml:space="preserve">por el derecho público. </w:t>
      </w:r>
      <w:r w:rsidRPr="00F0096D">
        <w:rPr>
          <w:rFonts w:ascii="Arial" w:hAnsi="Arial" w:cs="Arial"/>
          <w:sz w:val="22"/>
        </w:rPr>
        <w:t xml:space="preserve">De manera análoga a lo explicado </w:t>
      </w:r>
      <w:r w:rsidRPr="00F0096D">
        <w:rPr>
          <w:rFonts w:ascii="Arial" w:hAnsi="Arial" w:cs="Arial"/>
          <w:i/>
          <w:iCs/>
          <w:sz w:val="22"/>
        </w:rPr>
        <w:t>ut supra</w:t>
      </w:r>
      <w:r w:rsidRPr="00F0096D">
        <w:rPr>
          <w:rFonts w:ascii="Arial" w:hAnsi="Arial" w:cs="Arial"/>
          <w:sz w:val="22"/>
        </w:rPr>
        <w:t xml:space="preserve"> con las empresas de servicios públicos domiciliarios, la norma referida prescribe que «En materia contractual se regirá por el derecho privado, pero podrá discrecionalmente utilizar las cláusulas exorbitantes previstas en el estatuto general de contratación de la administración pública».</w:t>
      </w:r>
    </w:p>
    <w:p w14:paraId="44E70EEE" w14:textId="77777777" w:rsidR="00915830" w:rsidRPr="00F0096D" w:rsidRDefault="00915830" w:rsidP="00915830">
      <w:pPr>
        <w:pStyle w:val="Textoindependiente"/>
        <w:ind w:right="102" w:firstLine="709"/>
        <w:jc w:val="both"/>
        <w:rPr>
          <w:rFonts w:ascii="Arial" w:hAnsi="Arial" w:cs="Arial"/>
        </w:rPr>
      </w:pPr>
      <w:r w:rsidRPr="00F0096D">
        <w:rPr>
          <w:rFonts w:ascii="Arial" w:hAnsi="Arial" w:cs="Arial"/>
        </w:rPr>
        <w:t>De acuerdo con esta norma, los contratos suscritos por empresas sociales del Estado se rigen por el derecho privado. Sin embargo, esto no implica la inobservancia de los principios de la función administrativa y la gestión fiscal, teniendo en cuenta que su objeto, conforme a la Sentencia C-555 de 2000, corresponde a la prestación del servicio de salud a cargo del Estado o como parte del servicio de seguridad social</w:t>
      </w:r>
      <w:r w:rsidRPr="00F0096D">
        <w:rPr>
          <w:rStyle w:val="Refdenotaalpie"/>
          <w:rFonts w:ascii="Arial" w:hAnsi="Arial" w:cs="Arial"/>
        </w:rPr>
        <w:footnoteReference w:id="7"/>
      </w:r>
      <w:r w:rsidRPr="00F0096D">
        <w:rPr>
          <w:rFonts w:ascii="Arial" w:hAnsi="Arial" w:cs="Arial"/>
        </w:rPr>
        <w:t>. En esta misma línea, el artículo 83 de la Ley 489 de 1998 dispuso que «Las empresas sociales del Estado, creadas por la Nación o por las entidades territoriales para la prestación en forma directa de servicios de salud, se sujetan al régimen previsto en la Ley 100 de 1993, la Ley 344 de 1996 y en la presente Ley en los aspectos no regulados por dichas leyes y a las normas que las complementen, sustituyan o</w:t>
      </w:r>
      <w:r w:rsidRPr="00F0096D">
        <w:rPr>
          <w:rFonts w:ascii="Arial" w:hAnsi="Arial" w:cs="Arial"/>
          <w:spacing w:val="-1"/>
        </w:rPr>
        <w:t xml:space="preserve"> </w:t>
      </w:r>
      <w:r w:rsidRPr="00F0096D">
        <w:rPr>
          <w:rFonts w:ascii="Arial" w:hAnsi="Arial" w:cs="Arial"/>
        </w:rPr>
        <w:t>adicionen».</w:t>
      </w:r>
    </w:p>
    <w:p w14:paraId="6F348DA2" w14:textId="77777777" w:rsidR="00915830" w:rsidRPr="00F0096D" w:rsidRDefault="00915830" w:rsidP="00915830">
      <w:pPr>
        <w:pStyle w:val="Textoindependiente"/>
        <w:spacing w:after="0"/>
        <w:ind w:right="102" w:firstLine="709"/>
        <w:jc w:val="both"/>
        <w:rPr>
          <w:rFonts w:ascii="Arial" w:hAnsi="Arial" w:cs="Arial"/>
        </w:rPr>
      </w:pPr>
      <w:r w:rsidRPr="00F0096D">
        <w:rPr>
          <w:rFonts w:ascii="Arial" w:hAnsi="Arial" w:cs="Arial"/>
        </w:rPr>
        <w:t xml:space="preserve">En consecuencia, por mandato del legislador, el régimen jurídico de los contratos de las ESE es una de las excepciones legales existentes para la aplicación del Estatuto General de la Contratación Estatal, aspecto que permite que dichas empresas se sustraigan de las normas que regulan la actividad contractual de las entidades estatales a que hace referencia el artículo 2° de la Ley 80 de 1993. De todas maneras, la exclusión de que gozan las ESE, frente al régimen jurídico contractual general de las entidades estatales, no ha sido absoluta, toda vez que intervienen en la prestación de servicios de salud, como actores dentro de un servicio público bajo responsabilidad del Estado, en los términos del artículo 49 de la Constitución Política. Además, de tiempo atrás en el </w:t>
      </w:r>
      <w:r w:rsidRPr="00F0096D">
        <w:rPr>
          <w:rFonts w:ascii="Arial" w:hAnsi="Arial" w:cs="Arial"/>
        </w:rPr>
        <w:lastRenderedPageBreak/>
        <w:t>ordenamiento jurídico colombiano se reconoció que las entidades exceptuadas del Estatuto General de Contratación debían respetar los principios de la función administrativa, tesis que luego fue acogida por el legislador con la expedición de la Ley 1150 de 2007. Sobre el particular, el Consejo de Estado ha sostenido lo siguiente:</w:t>
      </w:r>
    </w:p>
    <w:p w14:paraId="4E2A8380" w14:textId="77777777" w:rsidR="00915830" w:rsidRPr="00F0096D" w:rsidRDefault="00915830" w:rsidP="00915830">
      <w:pPr>
        <w:pStyle w:val="Textoindependiente"/>
        <w:spacing w:after="0"/>
        <w:ind w:right="102" w:firstLine="709"/>
        <w:jc w:val="both"/>
        <w:rPr>
          <w:rFonts w:ascii="Arial" w:hAnsi="Arial" w:cs="Arial"/>
        </w:rPr>
      </w:pPr>
    </w:p>
    <w:p w14:paraId="5003A4E2" w14:textId="77777777" w:rsidR="00915830" w:rsidRPr="00F0096D" w:rsidRDefault="00915830" w:rsidP="00915830">
      <w:pPr>
        <w:ind w:left="709" w:right="709"/>
        <w:jc w:val="both"/>
        <w:rPr>
          <w:rFonts w:ascii="Arial" w:eastAsia="Calibri" w:hAnsi="Arial" w:cs="Arial"/>
          <w:color w:val="000000" w:themeColor="text1"/>
          <w:sz w:val="21"/>
          <w:szCs w:val="21"/>
        </w:rPr>
      </w:pPr>
      <w:r w:rsidRPr="00F0096D">
        <w:rPr>
          <w:rFonts w:ascii="Arial" w:eastAsia="Calibri" w:hAnsi="Arial" w:cs="Arial"/>
          <w:color w:val="000000" w:themeColor="text1"/>
          <w:sz w:val="21"/>
          <w:szCs w:val="21"/>
        </w:rPr>
        <w:t>Siempre que esté de por medio la contratación estatal, con independencia de la normativa de prevalente aplicación al contrato, los servidores públicos responsables deben observar los principios de la Función Administrativa que establecen los artículos 209 y 210 de la Constitución Política , por lo tanto, el funcionario público no está en libertad de conceder y definir libremente el contrato, aunque se aplique el derecho privado, pues debe desarrollar en su actuar, precontractual y contractual, los principios que la Constitución Política le impone. Esta la razón por la cual el funcionario público tiene el deber de obrar con igualdad, moralidad, eficacia, economía, celeridad, imparcialidad y publicidad, en todas las etapas de la realización del contrato estatal, tanto antes de su celebración, en el momento de definir las necesidades y condiciones de la contratación y de elegir su contratista, así como en la ejecución y liquidación del contrato y éstos principios –se reitera- se deben aplicar y respetar aun cuando el contrato se rija por el derecho privado.</w:t>
      </w:r>
      <w:r w:rsidRPr="00F0096D">
        <w:rPr>
          <w:rStyle w:val="Refdenotaalpie"/>
          <w:rFonts w:ascii="Arial" w:eastAsia="Calibri" w:hAnsi="Arial" w:cs="Arial"/>
          <w:color w:val="000000" w:themeColor="text1"/>
          <w:sz w:val="21"/>
          <w:szCs w:val="21"/>
        </w:rPr>
        <w:footnoteReference w:id="8"/>
      </w:r>
    </w:p>
    <w:p w14:paraId="36D954B5" w14:textId="77777777" w:rsidR="00915830" w:rsidRPr="00F0096D" w:rsidRDefault="00915830" w:rsidP="00915830">
      <w:pPr>
        <w:pStyle w:val="Textoindependiente"/>
        <w:spacing w:after="0"/>
        <w:ind w:firstLine="709"/>
        <w:jc w:val="both"/>
        <w:rPr>
          <w:rFonts w:ascii="Arial" w:hAnsi="Arial" w:cs="Arial"/>
        </w:rPr>
      </w:pPr>
    </w:p>
    <w:p w14:paraId="4A937F17" w14:textId="77777777" w:rsidR="00915830" w:rsidRPr="00F0096D" w:rsidRDefault="00915830" w:rsidP="00915830">
      <w:pPr>
        <w:pStyle w:val="Textoindependiente"/>
        <w:ind w:right="102" w:firstLine="709"/>
        <w:jc w:val="both"/>
        <w:rPr>
          <w:rFonts w:ascii="Arial" w:hAnsi="Arial" w:cs="Arial"/>
        </w:rPr>
      </w:pPr>
      <w:r w:rsidRPr="00F0096D">
        <w:rPr>
          <w:rFonts w:ascii="Arial" w:hAnsi="Arial" w:cs="Arial"/>
        </w:rPr>
        <w:t>De lo anterior se desprende que en la actualidad los contratos celebrados por las ESE, en cumplimiento de su objeto social, están regidos, preferente, por las normas de derecho privado. No obstante, dicho régimen no es exclusivo y, por consiguiente, el margen de libertad de configuración de la actividad contractual no se rige de forma absoluta por el principio de la autonomía privada, en la medida en que también le resultan aplicables normas y principios del derecho público.</w:t>
      </w:r>
    </w:p>
    <w:p w14:paraId="177F7F4F" w14:textId="77777777" w:rsidR="00915830" w:rsidRPr="00F0096D" w:rsidRDefault="00915830" w:rsidP="00915830">
      <w:pPr>
        <w:spacing w:line="276" w:lineRule="auto"/>
        <w:ind w:firstLine="709"/>
        <w:jc w:val="both"/>
        <w:rPr>
          <w:rFonts w:ascii="Arial" w:hAnsi="Arial" w:cs="Arial"/>
          <w:bCs/>
          <w:sz w:val="22"/>
          <w:lang w:val="es-ES"/>
        </w:rPr>
      </w:pPr>
      <w:r w:rsidRPr="00F0096D">
        <w:rPr>
          <w:rFonts w:ascii="Arial" w:hAnsi="Arial" w:cs="Arial"/>
          <w:bCs/>
          <w:sz w:val="22"/>
          <w:lang w:val="es-ES"/>
        </w:rPr>
        <w:t>El régimen de derecho privado que, por regla general, caracteriza a los regímenes especiales no significa que dejen de existir elementos de derecho público que tienen como fin último garantizar que los regímenes especiales de contratación también se ordenen hacia la consecución de los fines del Estado. Estos elementos de derecho público encuentran su manifestación tanto en forma de reglas como de principios. En relación con este segundo tipo, esto es, principios de derecho público aplicables a regímenes especiales de contratación, la norma por antonomasia es el inciso primero del artículo 13 de la Ley 1150 de 2007 –modificado por el artículo 53 de la Ley 2195 de 2022– que preceptúa lo siguiente:</w:t>
      </w:r>
    </w:p>
    <w:p w14:paraId="1143A709" w14:textId="77777777" w:rsidR="00915830" w:rsidRPr="00F0096D" w:rsidRDefault="00915830" w:rsidP="00915830">
      <w:pPr>
        <w:spacing w:line="276" w:lineRule="auto"/>
        <w:ind w:firstLine="708"/>
        <w:jc w:val="both"/>
        <w:rPr>
          <w:rFonts w:ascii="Arial" w:hAnsi="Arial" w:cs="Arial"/>
          <w:bCs/>
          <w:sz w:val="22"/>
          <w:lang w:val="es-ES"/>
        </w:rPr>
      </w:pPr>
      <w:r w:rsidRPr="00F0096D">
        <w:rPr>
          <w:rFonts w:ascii="Arial" w:hAnsi="Arial" w:cs="Arial"/>
          <w:bCs/>
          <w:sz w:val="22"/>
          <w:lang w:val="es-ES"/>
        </w:rPr>
        <w:t xml:space="preserve"> </w:t>
      </w:r>
    </w:p>
    <w:p w14:paraId="6B6BB39F" w14:textId="77777777" w:rsidR="00915830" w:rsidRPr="00F0096D" w:rsidRDefault="00915830" w:rsidP="00915830">
      <w:pPr>
        <w:ind w:left="709" w:right="709"/>
        <w:jc w:val="both"/>
        <w:rPr>
          <w:rFonts w:ascii="Arial" w:hAnsi="Arial" w:cs="Arial"/>
          <w:bCs/>
          <w:sz w:val="21"/>
          <w:szCs w:val="21"/>
          <w:lang w:val="es-ES"/>
        </w:rPr>
      </w:pPr>
      <w:r w:rsidRPr="00F0096D">
        <w:rPr>
          <w:rFonts w:ascii="Arial" w:hAnsi="Arial" w:cs="Arial"/>
          <w:bCs/>
          <w:sz w:val="21"/>
          <w:szCs w:val="21"/>
          <w:lang w:val="es-ES"/>
        </w:rPr>
        <w:lastRenderedPageBreak/>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1DD6D32D" w14:textId="77777777" w:rsidR="00915830" w:rsidRPr="00F0096D" w:rsidRDefault="00915830" w:rsidP="00915830">
      <w:pPr>
        <w:ind w:left="709" w:right="709"/>
        <w:jc w:val="both"/>
        <w:rPr>
          <w:rFonts w:ascii="Arial" w:hAnsi="Arial" w:cs="Arial"/>
          <w:bCs/>
          <w:sz w:val="21"/>
          <w:szCs w:val="21"/>
          <w:lang w:val="es-ES"/>
        </w:rPr>
      </w:pPr>
      <w:r w:rsidRPr="00F0096D">
        <w:rPr>
          <w:rFonts w:ascii="Arial" w:hAnsi="Arial" w:cs="Arial"/>
          <w:bCs/>
          <w:sz w:val="21"/>
          <w:szCs w:val="21"/>
          <w:lang w:val="es-ES"/>
        </w:rPr>
        <w:t>[…]</w:t>
      </w:r>
    </w:p>
    <w:p w14:paraId="557014ED" w14:textId="77777777" w:rsidR="00915830" w:rsidRPr="00F0096D" w:rsidRDefault="00915830" w:rsidP="00915830">
      <w:pPr>
        <w:spacing w:line="276" w:lineRule="auto"/>
        <w:ind w:left="709" w:right="709"/>
        <w:jc w:val="both"/>
        <w:rPr>
          <w:rFonts w:ascii="Arial" w:hAnsi="Arial" w:cs="Arial"/>
          <w:bCs/>
          <w:sz w:val="22"/>
          <w:lang w:val="es-ES"/>
        </w:rPr>
      </w:pPr>
    </w:p>
    <w:p w14:paraId="47DFAF0D" w14:textId="77777777" w:rsidR="00915830" w:rsidRPr="00F0096D" w:rsidRDefault="00915830" w:rsidP="00915830">
      <w:pPr>
        <w:spacing w:after="120" w:line="276" w:lineRule="auto"/>
        <w:jc w:val="both"/>
        <w:rPr>
          <w:rFonts w:ascii="Arial" w:eastAsia="Calibri" w:hAnsi="Arial" w:cs="Arial"/>
          <w:color w:val="000000" w:themeColor="text1"/>
          <w:sz w:val="22"/>
        </w:rPr>
      </w:pPr>
      <w:r w:rsidRPr="00F0096D">
        <w:rPr>
          <w:rFonts w:ascii="Arial" w:hAnsi="Arial" w:cs="Arial"/>
          <w:bCs/>
          <w:sz w:val="22"/>
          <w:lang w:val="es-ES"/>
        </w:rPr>
        <w:tab/>
      </w:r>
      <w:r w:rsidRPr="00F0096D">
        <w:rPr>
          <w:rFonts w:ascii="Arial" w:eastAsia="Calibri" w:hAnsi="Arial" w:cs="Arial"/>
          <w:color w:val="000000" w:themeColor="text1"/>
          <w:sz w:val="22"/>
        </w:rPr>
        <w:t>Ahora bien, dentro de la estructura de la Administración pública se encuentran las entidades descentralizadas por servicios, y dentro de dicha categoría se ubican las empresas sociales del Estado, las cuales tienen personería jurídica, autonomía administrativa y patrimonio propio.</w:t>
      </w:r>
      <w:r w:rsidRPr="00F0096D">
        <w:rPr>
          <w:rFonts w:ascii="Arial" w:eastAsia="Calibri" w:hAnsi="Arial" w:cs="Arial"/>
          <w:b/>
          <w:bCs/>
          <w:color w:val="000000" w:themeColor="text1"/>
          <w:sz w:val="22"/>
        </w:rPr>
        <w:t xml:space="preserve"> </w:t>
      </w:r>
      <w:r w:rsidRPr="00F0096D">
        <w:rPr>
          <w:rFonts w:ascii="Arial" w:eastAsia="Calibri" w:hAnsi="Arial" w:cs="Arial"/>
          <w:color w:val="000000" w:themeColor="text1"/>
          <w:sz w:val="22"/>
        </w:rPr>
        <w:t xml:space="preserve">Estas entidades, de acuerdo con el artículo 83 de la Ley 489 de 1998, son «creadas por la Nación o por las entidades territoriales para la prestación en forma directa de servicios de salud». Su régimen jurídico lo conforman las Leyes 100 de 1993 y 344 de 1996, así como la Ley 489 de 1998 en relación con los asuntos no regulados en las dos leyes mencionadas. </w:t>
      </w:r>
    </w:p>
    <w:p w14:paraId="6B4B4F3A" w14:textId="77777777" w:rsidR="00915830" w:rsidRPr="00F0096D" w:rsidRDefault="00915830" w:rsidP="00915830">
      <w:pPr>
        <w:spacing w:after="120" w:line="276" w:lineRule="auto"/>
        <w:ind w:firstLine="709"/>
        <w:jc w:val="both"/>
        <w:rPr>
          <w:rFonts w:ascii="Arial" w:eastAsia="Calibri" w:hAnsi="Arial" w:cs="Arial"/>
          <w:color w:val="000000" w:themeColor="text1"/>
          <w:sz w:val="22"/>
          <w:lang w:val="es-ES"/>
        </w:rPr>
      </w:pPr>
      <w:r w:rsidRPr="00F0096D">
        <w:rPr>
          <w:rFonts w:ascii="Arial" w:eastAsia="Calibri" w:hAnsi="Arial" w:cs="Arial"/>
          <w:color w:val="000000" w:themeColor="text1"/>
          <w:sz w:val="22"/>
        </w:rPr>
        <w:t xml:space="preserve">En esta medida, las empresas sociales del Estado no están sometidas al EGCAP ni a las normas que lo reglamentan o complementan, pues, por disposición expresa, sus contratos se rigen por el derecho privado. Con todo, tales entidades deben tener en cuenta y aplicar los «principios generales de la actividad contractual para entidades no sometidas al estatuto general de contratación de la administración pública», consagrados en el artículo 13 de la Ley 1150 de 2007, así como los principios de la función administrativa y de la gestión fiscal, contenidos, respectivamente, en los artículos 209 y 267 de la Constitución Política. </w:t>
      </w:r>
      <w:r w:rsidRPr="00F0096D">
        <w:rPr>
          <w:rFonts w:ascii="Arial" w:eastAsia="Calibri" w:hAnsi="Arial" w:cs="Arial"/>
          <w:color w:val="000000" w:themeColor="text1"/>
          <w:sz w:val="22"/>
          <w:lang w:val="es-ES"/>
        </w:rPr>
        <w:t xml:space="preserve">Esta también ha sido la interpretación del Ministerio de la Protección Social, que en Concepto No. </w:t>
      </w:r>
      <w:r w:rsidRPr="00F0096D">
        <w:rPr>
          <w:rFonts w:ascii="Arial" w:eastAsia="Calibri" w:hAnsi="Arial" w:cs="Arial"/>
          <w:color w:val="000000" w:themeColor="text1"/>
          <w:sz w:val="22"/>
        </w:rPr>
        <w:t>201942301304712</w:t>
      </w:r>
      <w:r w:rsidRPr="00F0096D">
        <w:rPr>
          <w:rFonts w:ascii="Arial" w:eastAsia="Calibri" w:hAnsi="Arial" w:cs="Arial"/>
          <w:color w:val="000000" w:themeColor="text1"/>
          <w:sz w:val="22"/>
          <w:lang w:val="es-ES"/>
        </w:rPr>
        <w:t xml:space="preserve"> de 2019, en reiteración de lo expuesto por la Sala de Consulta y Servicio Civil del Consejo de Estado</w:t>
      </w:r>
      <w:r w:rsidRPr="00F0096D">
        <w:rPr>
          <w:rStyle w:val="Refdenotaalpie"/>
          <w:rFonts w:ascii="Arial" w:eastAsia="Calibri" w:hAnsi="Arial" w:cs="Arial"/>
          <w:color w:val="000000" w:themeColor="text1"/>
          <w:sz w:val="22"/>
          <w:lang w:val="es-ES"/>
        </w:rPr>
        <w:footnoteReference w:id="9"/>
      </w:r>
      <w:r w:rsidRPr="00F0096D">
        <w:rPr>
          <w:rFonts w:ascii="Arial" w:eastAsia="Calibri" w:hAnsi="Arial" w:cs="Arial"/>
          <w:color w:val="000000" w:themeColor="text1"/>
          <w:sz w:val="22"/>
          <w:lang w:val="es-ES"/>
        </w:rPr>
        <w:t xml:space="preserve">, explicó que «[…] </w:t>
      </w:r>
      <w:r w:rsidRPr="00F0096D">
        <w:rPr>
          <w:rFonts w:ascii="Arial" w:eastAsia="Calibri" w:hAnsi="Arial" w:cs="Arial"/>
          <w:color w:val="000000" w:themeColor="text1"/>
          <w:sz w:val="22"/>
        </w:rPr>
        <w:t>el régimen de contratación de las Empresas Sociales del Estado, está sometido al derecho privado por disposición legal y la facultad discrecional de pactar las cláusulas excepcionales dota a las mentadas entidades de herramientas especiales para garantizar ciertos fines»</w:t>
      </w:r>
      <w:r w:rsidRPr="00F0096D">
        <w:rPr>
          <w:rStyle w:val="Refdenotaalpie"/>
          <w:rFonts w:ascii="Arial" w:eastAsia="Calibri" w:hAnsi="Arial" w:cs="Arial"/>
          <w:color w:val="000000" w:themeColor="text1"/>
          <w:sz w:val="22"/>
          <w:lang w:val="es-ES"/>
        </w:rPr>
        <w:footnoteReference w:id="10"/>
      </w:r>
      <w:r w:rsidRPr="00F0096D">
        <w:rPr>
          <w:rFonts w:ascii="Arial" w:eastAsia="Calibri" w:hAnsi="Arial" w:cs="Arial"/>
          <w:color w:val="000000" w:themeColor="text1"/>
          <w:sz w:val="22"/>
          <w:lang w:val="es-ES"/>
        </w:rPr>
        <w:t xml:space="preserve">. </w:t>
      </w:r>
    </w:p>
    <w:p w14:paraId="432B452D" w14:textId="77777777" w:rsidR="00915830" w:rsidRPr="00F0096D" w:rsidRDefault="00915830" w:rsidP="00915830">
      <w:pPr>
        <w:spacing w:after="120" w:line="276" w:lineRule="auto"/>
        <w:ind w:firstLine="709"/>
        <w:jc w:val="both"/>
        <w:rPr>
          <w:rFonts w:ascii="Arial" w:eastAsia="Calibri" w:hAnsi="Arial" w:cs="Arial"/>
          <w:color w:val="000000" w:themeColor="text1"/>
          <w:sz w:val="22"/>
        </w:rPr>
      </w:pPr>
      <w:r w:rsidRPr="00F0096D">
        <w:rPr>
          <w:rFonts w:ascii="Arial" w:eastAsia="Calibri" w:hAnsi="Arial" w:cs="Arial"/>
          <w:color w:val="000000" w:themeColor="text1"/>
          <w:sz w:val="22"/>
        </w:rPr>
        <w:t xml:space="preserve">Al referirse al régimen contractual de las empresas sociales del Estado, la Sección Tercera del Consejo de Estado manifestó que «la entidad estatal debe observar en su </w:t>
      </w:r>
      <w:r w:rsidRPr="00F0096D">
        <w:rPr>
          <w:rFonts w:ascii="Arial" w:eastAsia="Calibri" w:hAnsi="Arial" w:cs="Arial"/>
          <w:color w:val="000000" w:themeColor="text1"/>
          <w:sz w:val="22"/>
        </w:rPr>
        <w:lastRenderedPageBreak/>
        <w:t>actuación, precontractual y contractual, los principios que la Constitución Política le impone, en desarrollo de lo cual le asiste la obligación de obrar con igualdad, moralidad, eficacia, economía, celeridad, imparcialidad y publicidad, en todas las etapas de la realización del contrato estatal»</w:t>
      </w:r>
      <w:r w:rsidRPr="00F0096D">
        <w:rPr>
          <w:rStyle w:val="Refdenotaalpie"/>
          <w:rFonts w:ascii="Arial" w:eastAsia="Calibri" w:hAnsi="Arial" w:cs="Arial"/>
          <w:color w:val="000000" w:themeColor="text1"/>
          <w:sz w:val="22"/>
        </w:rPr>
        <w:footnoteReference w:id="11"/>
      </w:r>
      <w:r w:rsidRPr="00F0096D">
        <w:rPr>
          <w:rFonts w:ascii="Arial" w:eastAsia="Calibri" w:hAnsi="Arial" w:cs="Arial"/>
          <w:color w:val="000000" w:themeColor="text1"/>
          <w:sz w:val="22"/>
        </w:rPr>
        <w:t xml:space="preserve">. De esta forma, aunque los contratos suscritos por las empresas sociales del Estado están excluidos del EGCAP, lo cierto es que no se rigen exclusivamente por el derecho civil y comercial, pues, conforme al artículo 13 de la Ley 1150 de 2007, a estos les aplican tanto los principios de la función administrativa y de la gestión fiscal, así como el régimen de inhabilidades e incompatibilidades, temáticas tratadas y reguladas en el referido estatuto. </w:t>
      </w:r>
    </w:p>
    <w:p w14:paraId="6E09B8C5" w14:textId="77777777" w:rsidR="00915830" w:rsidRDefault="00915830" w:rsidP="00915830">
      <w:pPr>
        <w:spacing w:line="276" w:lineRule="auto"/>
        <w:ind w:firstLine="709"/>
        <w:jc w:val="both"/>
        <w:rPr>
          <w:rFonts w:ascii="Arial" w:hAnsi="Arial" w:cs="Arial"/>
          <w:sz w:val="22"/>
          <w:lang w:val="es-ES_tradnl"/>
        </w:rPr>
      </w:pPr>
      <w:r w:rsidRPr="00F0096D">
        <w:rPr>
          <w:rFonts w:ascii="Arial" w:eastAsia="Calibri" w:hAnsi="Arial" w:cs="Arial"/>
          <w:color w:val="000000" w:themeColor="text1"/>
          <w:sz w:val="22"/>
        </w:rPr>
        <w:t xml:space="preserve">Esta exclusión del EGCAP es una circunstancia jurídicamente relevante, ya que –conforme a la Ley 2022 de 2020– las entidades sometidas a la Ley 80 de 1993 son las principales destinatarias de los documentos tipo expedidos por la </w:t>
      </w:r>
      <w:r w:rsidRPr="00F0096D">
        <w:rPr>
          <w:rFonts w:ascii="Arial" w:hAnsi="Arial" w:cs="Arial"/>
          <w:sz w:val="22"/>
          <w:lang w:val="es-ES_tradnl"/>
        </w:rPr>
        <w:t>Agencia Nacional de Contratación Pública – Colombia Compra Eficiente. Sin embargo, de acuerdo el artículo 56 de la Ley 2195 de 2022, es posible que algunos contratos de las entidades exceptuadas también se sujeten a estos documentos, caso el cual el régimen sustantivo del negocio jurídico será el del Estatuto General de Contratación. Dicho aspecto se analizará en los siguientes apartados.</w:t>
      </w:r>
    </w:p>
    <w:p w14:paraId="06024D37" w14:textId="77777777" w:rsidR="00915830" w:rsidRDefault="00915830" w:rsidP="00915830">
      <w:pPr>
        <w:spacing w:line="276" w:lineRule="auto"/>
        <w:ind w:firstLine="709"/>
        <w:jc w:val="both"/>
        <w:rPr>
          <w:rFonts w:ascii="Arial" w:hAnsi="Arial" w:cs="Arial"/>
          <w:sz w:val="22"/>
          <w:lang w:val="es-ES_tradnl"/>
        </w:rPr>
      </w:pPr>
    </w:p>
    <w:p w14:paraId="2158DCF9" w14:textId="77777777" w:rsidR="00915830" w:rsidRPr="00E858D2" w:rsidRDefault="00915830" w:rsidP="00915830">
      <w:pPr>
        <w:spacing w:line="276" w:lineRule="auto"/>
        <w:jc w:val="both"/>
        <w:rPr>
          <w:rFonts w:ascii="Arial" w:eastAsia="Arial" w:hAnsi="Arial" w:cs="Arial"/>
          <w:b/>
          <w:bCs/>
          <w:sz w:val="22"/>
          <w:lang w:val="es-ES_tradnl"/>
        </w:rPr>
      </w:pPr>
      <w:r w:rsidRPr="00E858D2">
        <w:rPr>
          <w:rFonts w:ascii="Arial" w:eastAsia="Arial" w:hAnsi="Arial" w:cs="Arial"/>
          <w:b/>
          <w:bCs/>
          <w:sz w:val="22"/>
          <w:lang w:val="es-ES_tradnl"/>
        </w:rPr>
        <w:t>2.</w:t>
      </w:r>
      <w:r>
        <w:rPr>
          <w:rFonts w:ascii="Arial" w:eastAsia="Arial" w:hAnsi="Arial" w:cs="Arial"/>
          <w:b/>
          <w:bCs/>
          <w:sz w:val="22"/>
          <w:lang w:val="es-ES_tradnl"/>
        </w:rPr>
        <w:t>2</w:t>
      </w:r>
      <w:r w:rsidRPr="00E858D2">
        <w:rPr>
          <w:rFonts w:ascii="Arial" w:eastAsia="Arial" w:hAnsi="Arial" w:cs="Arial"/>
          <w:b/>
          <w:bCs/>
          <w:sz w:val="22"/>
          <w:lang w:val="es-ES_tradnl"/>
        </w:rPr>
        <w:t xml:space="preserve">. Fundamento normativo y ámbito de aplicación de los documentos tipo </w:t>
      </w:r>
    </w:p>
    <w:p w14:paraId="6921F374" w14:textId="77777777" w:rsidR="00915830" w:rsidRPr="00E858D2" w:rsidRDefault="00915830" w:rsidP="00915830">
      <w:pPr>
        <w:spacing w:line="276" w:lineRule="auto"/>
        <w:jc w:val="both"/>
        <w:rPr>
          <w:rFonts w:ascii="Arial" w:eastAsia="Arial" w:hAnsi="Arial" w:cs="Arial"/>
          <w:b/>
          <w:bCs/>
          <w:sz w:val="22"/>
          <w:lang w:val="es-ES_tradnl"/>
        </w:rPr>
      </w:pPr>
    </w:p>
    <w:p w14:paraId="56858F6B" w14:textId="77777777" w:rsidR="00915830" w:rsidRPr="00E858D2" w:rsidRDefault="00915830" w:rsidP="00915830">
      <w:pPr>
        <w:spacing w:after="120" w:line="276" w:lineRule="auto"/>
        <w:jc w:val="both"/>
        <w:rPr>
          <w:rFonts w:ascii="Arial" w:eastAsia="Calibri" w:hAnsi="Arial" w:cs="Arial"/>
          <w:sz w:val="22"/>
          <w:lang w:val="es-ES_tradnl"/>
        </w:rPr>
      </w:pPr>
      <w:r w:rsidRPr="00E858D2">
        <w:rPr>
          <w:rFonts w:ascii="Arial" w:eastAsia="Calibri" w:hAnsi="Arial" w:cs="Arial"/>
          <w:sz w:val="22"/>
          <w:lang w:val="es-ES_tradnl"/>
        </w:rPr>
        <w:t>La adopción de los documentos tipo obligatorios en el ordenamiento jurídico colombiano se incluyó por primera vez en el parágrafo 3 del artículo 2 de la Ley 1150 de 2007</w:t>
      </w:r>
      <w:r w:rsidRPr="00E858D2">
        <w:rPr>
          <w:rStyle w:val="Refdenotaalpie"/>
          <w:rFonts w:ascii="Arial" w:eastAsia="Calibri" w:hAnsi="Arial" w:cs="Arial"/>
        </w:rPr>
        <w:footnoteReference w:id="12"/>
      </w:r>
      <w:r w:rsidRPr="00E858D2">
        <w:rPr>
          <w:rFonts w:ascii="Arial" w:eastAsia="Calibri" w:hAnsi="Arial" w:cs="Arial"/>
          <w:sz w:val="22"/>
          <w:lang w:val="es-ES_tradnl"/>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5CDBD363" w14:textId="77777777" w:rsidR="00915830" w:rsidRPr="00E858D2" w:rsidRDefault="00915830" w:rsidP="00915830">
      <w:pPr>
        <w:spacing w:line="276" w:lineRule="auto"/>
        <w:ind w:firstLine="708"/>
        <w:jc w:val="both"/>
        <w:rPr>
          <w:rFonts w:ascii="Arial" w:eastAsia="Calibri" w:hAnsi="Arial" w:cs="Arial"/>
          <w:sz w:val="22"/>
          <w:lang w:val="es-ES_tradnl"/>
        </w:rPr>
      </w:pPr>
      <w:r w:rsidRPr="00E858D2">
        <w:rPr>
          <w:rFonts w:ascii="Arial" w:eastAsia="Calibri" w:hAnsi="Arial" w:cs="Arial"/>
          <w:sz w:val="22"/>
          <w:lang w:val="es-ES_tradnl"/>
        </w:rPr>
        <w:t xml:space="preserve">Debido a lo anterior, el artículo 4 de la Ley 1882 de 2018 es el antecedente más relevante respecto a los documentos tipo. A partir de esta norma se determinó la obligatoriedad para todas las entidades sometidas al Estatuto General de Contratación de la Administración Pública de aplicar los documentos tipo adoptados por el Gobierno Nacional. Debe señalarse que en virtud de la Ley 1882 de 2018 se expidieron varios </w:t>
      </w:r>
      <w:r w:rsidRPr="00E858D2">
        <w:rPr>
          <w:rFonts w:ascii="Arial" w:eastAsia="Calibri" w:hAnsi="Arial" w:cs="Arial"/>
          <w:sz w:val="22"/>
          <w:lang w:val="es-ES_tradnl"/>
        </w:rPr>
        <w:lastRenderedPageBreak/>
        <w:t xml:space="preserve">documentos tipo para el sector de infraestructura de transporte y, por tanto, es importante explicar el proceso previsto en dicho cuerpo normativo. </w:t>
      </w:r>
    </w:p>
    <w:p w14:paraId="78495CCC" w14:textId="77777777" w:rsidR="00915830" w:rsidRPr="00E858D2" w:rsidRDefault="00915830" w:rsidP="00915830">
      <w:pPr>
        <w:spacing w:before="120" w:after="120" w:line="276" w:lineRule="auto"/>
        <w:ind w:firstLine="708"/>
        <w:jc w:val="both"/>
        <w:rPr>
          <w:rFonts w:ascii="Arial" w:eastAsia="Calibri" w:hAnsi="Arial" w:cs="Arial"/>
          <w:sz w:val="22"/>
          <w:lang w:val="es-ES_tradnl"/>
        </w:rPr>
      </w:pPr>
      <w:r w:rsidRPr="00E858D2">
        <w:rPr>
          <w:rFonts w:ascii="Arial" w:eastAsia="Calibri" w:hAnsi="Arial" w:cs="Arial"/>
          <w:sz w:val="22"/>
          <w:lang w:val="es-ES_tradnl"/>
        </w:rPr>
        <w:t>El artículo 4 de la Ley 1882 de 2018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Contratación que adelantaran</w:t>
      </w:r>
      <w:r w:rsidRPr="00E858D2">
        <w:rPr>
          <w:rStyle w:val="Refdenotaalpie"/>
          <w:rFonts w:ascii="Arial" w:eastAsia="Calibri" w:hAnsi="Arial" w:cs="Arial"/>
        </w:rPr>
        <w:footnoteReference w:id="13"/>
      </w:r>
      <w:r w:rsidRPr="00E858D2">
        <w:rPr>
          <w:rFonts w:ascii="Arial" w:eastAsia="Calibri" w:hAnsi="Arial" w:cs="Arial"/>
          <w:sz w:val="22"/>
          <w:lang w:val="es-ES_tradnl"/>
        </w:rPr>
        <w:t>.</w:t>
      </w:r>
    </w:p>
    <w:p w14:paraId="3179E42A" w14:textId="77777777" w:rsidR="00915830" w:rsidRPr="00E858D2" w:rsidRDefault="00915830" w:rsidP="00915830">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2C32E205" w14:textId="77777777" w:rsidR="00915830" w:rsidRPr="00E858D2" w:rsidRDefault="00915830" w:rsidP="00915830">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tab/>
        <w:t xml:space="preserve">De la norma descrita se concluía lo siguiente: i) la adopción de los documentos tipo estaba en cabeza del Gobierno Nacional. ii) Estos debían relacionarse con procesos de obra públicas, interventoría para las obras públicas, interventoría para consultoría de estudios y diseños y, finalmente, consultoría en ingeniería para obras. iii) Eran de obligatorio cumplimiento por parte de todas las entidades sometidas al Estatuto General de Contratación de la Administración Pública. iv) En los documentos tipo se indicarían las </w:t>
      </w:r>
      <w:r w:rsidRPr="00E858D2">
        <w:rPr>
          <w:rFonts w:ascii="Arial" w:eastAsia="Calibri" w:hAnsi="Arial" w:cs="Arial"/>
          <w:sz w:val="22"/>
          <w:lang w:val="es-ES_tradnl"/>
        </w:rPr>
        <w:lastRenderedPageBreak/>
        <w:t xml:space="preserve">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Por último, vi) los documentos tipo serían adoptados por categorías de acuerdo con la cuantía de la contratación. </w:t>
      </w:r>
    </w:p>
    <w:p w14:paraId="3715AD96" w14:textId="77777777" w:rsidR="00915830" w:rsidRPr="00E858D2" w:rsidRDefault="00915830" w:rsidP="00915830">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w:t>
      </w:r>
      <w:bookmarkStart w:id="1" w:name="_Hlk48665985"/>
      <w:r w:rsidRPr="00E858D2">
        <w:rPr>
          <w:rFonts w:ascii="Arial" w:eastAsia="Calibri" w:hAnsi="Arial" w:cs="Arial"/>
          <w:sz w:val="22"/>
          <w:lang w:val="es-ES_tradnl"/>
        </w:rPr>
        <w:t>y los criterios de escogencia, elementos propios del procedimiento de selección del contratista, materia en la que existe reserva de ley y que no se encuentra atribuida a la regulación de las entidades territoriales</w:t>
      </w:r>
      <w:bookmarkEnd w:id="1"/>
      <w:r w:rsidRPr="00E858D2">
        <w:rPr>
          <w:rFonts w:ascii="Arial" w:eastAsia="Calibri" w:hAnsi="Arial" w:cs="Arial"/>
          <w:sz w:val="22"/>
          <w:lang w:val="es-ES_tradnl"/>
        </w:rPr>
        <w:t>. De igual manera, se establece que esta autonomía se garantiza con la identificación autónoma de sus necesidades y la configuración de los elementos del contrato</w:t>
      </w:r>
      <w:r w:rsidRPr="00E858D2">
        <w:rPr>
          <w:rStyle w:val="Refdenotaalpie"/>
          <w:rFonts w:ascii="Arial" w:eastAsia="Calibri" w:hAnsi="Arial" w:cs="Arial"/>
        </w:rPr>
        <w:footnoteReference w:id="14"/>
      </w:r>
      <w:r w:rsidRPr="00E858D2">
        <w:rPr>
          <w:rFonts w:ascii="Arial" w:eastAsia="Calibri" w:hAnsi="Arial" w:cs="Arial"/>
          <w:sz w:val="22"/>
          <w:lang w:val="es-ES_tradnl"/>
        </w:rPr>
        <w:t>.</w:t>
      </w:r>
    </w:p>
    <w:p w14:paraId="55B1302D" w14:textId="77777777" w:rsidR="00915830" w:rsidRPr="00E858D2" w:rsidRDefault="00915830" w:rsidP="00915830">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tab/>
        <w:t>De este modo, los documentos tipo no afectan la autonomía de las entidades territoriales. Lo anterior, debido a que la definición de los requisitos habilitantes y de aspectos técnicos de la escogencia del contratista en los Procesos de Contratación, son aspectos en los que el legislador tiene amplia libertad de configuración normativa y, por tanto, puede atribuir dicha regulación al Gobierno Nacional. Ahora, dicha autonomía se materializa cuando las entidades territoriales deciden iniciar una convocatoria para satisfacer sus necesidades para la adquisición de un bien, obra o servicio, y además se incluyen en la minuta del contrato las condiciones particulares del negocio jurídico a celebrar.</w:t>
      </w:r>
    </w:p>
    <w:p w14:paraId="099222A4" w14:textId="77777777" w:rsidR="00915830" w:rsidRPr="00E858D2" w:rsidRDefault="00915830" w:rsidP="00915830">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tab/>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de documentos tipo mediante el Decreto 342 de 2019, relacionado con los documentos tipo para los procesos de selección de licitación de obra pública de infraestructura de transporte. Luego se expidió el Decreto 2096 de 2019, </w:t>
      </w:r>
      <w:r w:rsidRPr="00E858D2">
        <w:rPr>
          <w:rFonts w:ascii="Arial" w:eastAsia="Calibri" w:hAnsi="Arial" w:cs="Arial"/>
          <w:sz w:val="22"/>
          <w:lang w:val="es-ES_tradnl"/>
        </w:rPr>
        <w:lastRenderedPageBreak/>
        <w:t xml:space="preserve">que permitió el desarrollo de los documentos tipo para los pliegos de condiciones de los procesos de obras públicas de infraestructura de transporte que se adelantaran por la modalidad de selección abreviada de menor cuantía. </w:t>
      </w:r>
    </w:p>
    <w:p w14:paraId="46479D75" w14:textId="77777777" w:rsidR="00915830" w:rsidRPr="00E858D2" w:rsidRDefault="00915830" w:rsidP="00915830">
      <w:pPr>
        <w:spacing w:before="120" w:after="120" w:line="276" w:lineRule="auto"/>
        <w:ind w:firstLine="708"/>
        <w:jc w:val="both"/>
        <w:rPr>
          <w:rFonts w:ascii="Arial" w:eastAsia="Calibri" w:hAnsi="Arial" w:cs="Arial"/>
          <w:sz w:val="22"/>
          <w:lang w:val="es-ES_tradnl"/>
        </w:rPr>
      </w:pPr>
      <w:r w:rsidRPr="00E858D2">
        <w:rPr>
          <w:rFonts w:ascii="Arial" w:eastAsia="Calibri" w:hAnsi="Arial" w:cs="Arial"/>
          <w:sz w:val="22"/>
          <w:lang w:val="es-ES_tradnl"/>
        </w:rPr>
        <w:t>Finalmente, se profirió el Decreto 594 de 2020, frente a los documentos tipo para los contratos de obra pública</w:t>
      </w:r>
      <w:r w:rsidRPr="00E858D2" w:rsidDel="00A434AB">
        <w:rPr>
          <w:rFonts w:ascii="Arial" w:eastAsia="Calibri" w:hAnsi="Arial" w:cs="Arial"/>
          <w:sz w:val="22"/>
          <w:lang w:val="es-ES_tradnl"/>
        </w:rPr>
        <w:t xml:space="preserve"> </w:t>
      </w:r>
      <w:r w:rsidRPr="00E858D2">
        <w:rPr>
          <w:rFonts w:ascii="Arial" w:eastAsia="Calibri" w:hAnsi="Arial" w:cs="Arial"/>
          <w:sz w:val="22"/>
          <w:lang w:val="es-ES_tradnl"/>
        </w:rPr>
        <w:t xml:space="preserve">de infraestructura de transporte que se surtieran por la modalidad de mínima cuantía. Estos documentos fueron implementados y desarrollados por la Agencia Nacional de Contratación Pública </w:t>
      </w:r>
      <w:bookmarkStart w:id="2" w:name="_Hlk37841850"/>
      <w:r w:rsidRPr="00E858D2">
        <w:rPr>
          <w:rFonts w:ascii="Arial" w:eastAsia="Calibri" w:hAnsi="Arial" w:cs="Arial"/>
          <w:sz w:val="22"/>
          <w:lang w:val="es-ES_tradnl"/>
        </w:rPr>
        <w:t xml:space="preserve">– Colombia Compra Eficiente, </w:t>
      </w:r>
      <w:bookmarkEnd w:id="2"/>
      <w:r w:rsidRPr="00E858D2">
        <w:rPr>
          <w:rFonts w:ascii="Arial" w:eastAsia="Calibri" w:hAnsi="Arial" w:cs="Arial"/>
          <w:sz w:val="22"/>
          <w:lang w:val="es-ES_tradnl"/>
        </w:rPr>
        <w:t>por medio de la Resolución 1798 de 2019 –derogada por la Resolución 045 de 2020–, la Resolución 044 de 2020 y la Resolución 094 de 2020.</w:t>
      </w:r>
    </w:p>
    <w:p w14:paraId="44706DF7" w14:textId="77777777" w:rsidR="00915830" w:rsidRPr="00E858D2" w:rsidRDefault="00915830" w:rsidP="00915830">
      <w:pPr>
        <w:pStyle w:val="Normal11pt"/>
        <w:spacing w:before="120" w:line="276" w:lineRule="auto"/>
        <w:ind w:left="0" w:firstLine="709"/>
        <w:rPr>
          <w:rFonts w:eastAsia="Calibri"/>
          <w:color w:val="auto"/>
        </w:rPr>
      </w:pPr>
      <w:r w:rsidRPr="00E858D2">
        <w:rPr>
          <w:rFonts w:eastAsia="Calibri"/>
          <w:color w:val="auto"/>
        </w:rPr>
        <w:t>Con posterioridad a la adopción de los anteriores documentos tipo, se expidió la Ley 2022 de 2020, norma que modificó el parágrafo 7 del artículo 2 de la Ley 1150 de 2007, que había sido adicionado por la Ley 1882 de 2018</w:t>
      </w:r>
      <w:r w:rsidRPr="00E858D2">
        <w:rPr>
          <w:rStyle w:val="Refdenotaalpie"/>
          <w:rFonts w:eastAsia="Calibri"/>
        </w:rPr>
        <w:footnoteReference w:id="15"/>
      </w:r>
      <w:r w:rsidRPr="00E858D2">
        <w:rPr>
          <w:rFonts w:eastAsia="Calibri"/>
          <w:color w:val="auto"/>
        </w:rPr>
        <w:t xml:space="preserve">. Con esta modificación, si bien se mantuvo el mandato de aplicación obligatoria de los documentos tipo por parte de las entidades sometidas al Estatuto General de Contratación de la Administración Pública, se atribuyó, específicamente, a la </w:t>
      </w:r>
      <w:r w:rsidRPr="00E858D2">
        <w:rPr>
          <w:rFonts w:eastAsia="Calibri"/>
          <w:color w:val="auto"/>
          <w:lang w:eastAsia="en-US"/>
        </w:rPr>
        <w:t xml:space="preserve">Agencia Nacional de Contratación Pública – Colombia Compra Eficiente la competencia para su adopción. </w:t>
      </w:r>
      <w:r w:rsidRPr="00E858D2">
        <w:rPr>
          <w:rFonts w:eastAsia="Calibri"/>
          <w:color w:val="auto"/>
        </w:rPr>
        <w:t xml:space="preserve">En este marco, con la finalidad de realizar un desarrollo armónico y ajustado a la ley que otorgó esta competencia, esta </w:t>
      </w:r>
      <w:r w:rsidRPr="00E858D2">
        <w:rPr>
          <w:rFonts w:eastAsia="Calibri"/>
          <w:color w:val="auto"/>
        </w:rPr>
        <w:lastRenderedPageBreak/>
        <w:t xml:space="preserve">Agencia emitió la Resolución 160 de 2020 «Por la cual se adopta el procedimiento para implementar los documentos tipo y se define el sistema para su revisión». Asimismo, con fundamento en dicha Ley, se profirió la Resolución 240 de 2020, «Por la cual se actualizan los Documentos Tipo para los procesos de selección de licitación de obra pública de infraestructura de transporte y se deroga la Resolución 0045 de 2020». </w:t>
      </w:r>
    </w:p>
    <w:p w14:paraId="28377C1E" w14:textId="77777777" w:rsidR="00915830" w:rsidRPr="00E858D2" w:rsidRDefault="00915830" w:rsidP="00915830">
      <w:pPr>
        <w:pStyle w:val="Normal11pt"/>
        <w:spacing w:before="120" w:line="276" w:lineRule="auto"/>
        <w:ind w:left="0" w:firstLine="709"/>
        <w:rPr>
          <w:rFonts w:eastAsia="Calibri"/>
          <w:color w:val="auto"/>
        </w:rPr>
      </w:pPr>
      <w:r w:rsidRPr="00E858D2">
        <w:rPr>
          <w:rFonts w:eastAsia="Calibri"/>
          <w:color w:val="auto"/>
        </w:rPr>
        <w:t>De igual manera, se expidió la Resolución 241 de 2020, «Por la cual se actualizan los Documentos Tipo para los procesos de selección abreviada de menor cuantía de obra pública de infraestructura de transporte y se deroga la Resolución 0044 de 2020». Adicionalmente, entró en vigencia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73A14723" w14:textId="77777777" w:rsidR="00915830" w:rsidRPr="00E858D2" w:rsidRDefault="00915830" w:rsidP="00915830">
      <w:pPr>
        <w:pStyle w:val="Normal11pt"/>
        <w:spacing w:before="120" w:line="276" w:lineRule="auto"/>
        <w:ind w:left="0" w:firstLine="709"/>
        <w:rPr>
          <w:color w:val="auto"/>
        </w:rPr>
      </w:pPr>
      <w:r w:rsidRPr="00E858D2">
        <w:rPr>
          <w:rFonts w:eastAsia="Calibri"/>
          <w:color w:val="auto"/>
        </w:rPr>
        <w:t xml:space="preserve">A los actos administrativos mencionados se suman: i) la Resolución 193 de 2021, </w:t>
      </w:r>
      <w:r w:rsidRPr="00E858D2">
        <w:rPr>
          <w:color w:val="auto"/>
        </w:rPr>
        <w:t>«Por la cual se adoptan los documentos tipo para los procesos de selección de concurso de méritos, para contratar la consultoría de estudios de ingeniería de infraestructura de transporte»,</w:t>
      </w:r>
      <w:r w:rsidRPr="00E858D2">
        <w:rPr>
          <w:rFonts w:eastAsia="Calibri"/>
          <w:color w:val="auto"/>
        </w:rPr>
        <w:t xml:space="preserve"> ii) la Resolución 219 de 2020,</w:t>
      </w:r>
      <w:r w:rsidRPr="00E858D2">
        <w:rPr>
          <w:color w:val="auto"/>
        </w:rPr>
        <w:t xml:space="preserve"> «Por la cual se adoptan los documentos tipo para los procesos de licitación de obra pública de infraestructura social», iii) la Resolución 220 de 2021, «Por la cual se adoptan los documentos tipo complementarios para los procesos de licitación de obra pública de infraestructura social relacionados con el sector educativo», iv) la Resolución 392 de 2021, «Por la cual se adoptan los documentos tipo complementarios para los procesos de licitación de obra pública de infraestructura social relacionados con el sector salud», y v) la Resolución 454 de 2021, «Por la cual se adoptan los documentos tipo complementarios para los procesos de licitación de obra pública de infraestructura social relacionados con el sector cultura, recreación y deporte». </w:t>
      </w:r>
    </w:p>
    <w:p w14:paraId="0D330B6B" w14:textId="77777777" w:rsidR="00915830" w:rsidRPr="00E858D2" w:rsidRDefault="00915830" w:rsidP="00915830">
      <w:pPr>
        <w:pStyle w:val="Normal11pt"/>
        <w:spacing w:before="120" w:after="120" w:line="276" w:lineRule="auto"/>
        <w:ind w:left="0" w:firstLine="709"/>
        <w:rPr>
          <w:color w:val="auto"/>
        </w:rPr>
      </w:pPr>
      <w:r w:rsidRPr="00E858D2">
        <w:rPr>
          <w:color w:val="auto"/>
        </w:rPr>
        <w:t xml:space="preserve">En cuanto al ámbito de aplicación de estos documentos, es preciso explicar que cada una de estas resoluciones está relacionada con un sector, un objeto contractual y una modalidad de selección específica. Esto de tal manera que las entidades estatales regidas por el Estatuto General de Contratación de la Administración Pública, al momento de adelantar un proceso de contratación asociado a uno de los sectores para los que se han implementado documentos tipo, deben consultar el contenido de los respectivos </w:t>
      </w:r>
      <w:r w:rsidRPr="00E858D2">
        <w:rPr>
          <w:color w:val="auto"/>
        </w:rPr>
        <w:lastRenderedPageBreak/>
        <w:t xml:space="preserve">documentos tipo, para determinar si la modalidad de escogencia y el objeto a contratar son o no subsumibles dentro de lo dispuesto en aquellos. De ser esto así, la entidad estará obligada a adelantar el proceso de contratación aplicando los documentos tipo del caso. </w:t>
      </w:r>
    </w:p>
    <w:p w14:paraId="7A49CB87" w14:textId="77777777" w:rsidR="00915830" w:rsidRPr="00E858D2" w:rsidRDefault="00915830" w:rsidP="00915830">
      <w:pPr>
        <w:spacing w:line="276" w:lineRule="auto"/>
        <w:ind w:firstLine="708"/>
        <w:jc w:val="both"/>
        <w:rPr>
          <w:rFonts w:ascii="Arial" w:hAnsi="Arial" w:cs="Arial"/>
          <w:sz w:val="22"/>
          <w:shd w:val="clear" w:color="auto" w:fill="FFFFFF"/>
          <w:lang w:val="es-ES_tradnl"/>
        </w:rPr>
      </w:pPr>
      <w:r w:rsidRPr="00E858D2">
        <w:rPr>
          <w:rFonts w:ascii="Arial" w:hAnsi="Arial" w:cs="Arial"/>
          <w:sz w:val="22"/>
          <w:shd w:val="clear" w:color="auto" w:fill="FFFFFF"/>
          <w:lang w:val="es-ES_tradnl"/>
        </w:rPr>
        <w:t xml:space="preserve">Es importante advertir que todas las resoluciones mediante las que se han adoptado documentos tipo consagran la regla de la inalterabilidad. Esta prohibición consiste en que las entidades estatales no pueden incluir o modificar en los </w:t>
      </w:r>
      <w:r w:rsidRPr="00E858D2">
        <w:rPr>
          <w:rFonts w:ascii="Arial" w:hAnsi="Arial" w:cs="Arial"/>
          <w:i/>
          <w:iCs/>
          <w:sz w:val="22"/>
          <w:shd w:val="clear" w:color="auto" w:fill="FFFFFF"/>
          <w:lang w:val="es-ES_tradnl"/>
        </w:rPr>
        <w:t>Documentos del Proceso</w:t>
      </w:r>
      <w:r w:rsidRPr="00E858D2">
        <w:rPr>
          <w:rFonts w:ascii="Arial" w:hAnsi="Arial" w:cs="Arial"/>
          <w:sz w:val="22"/>
          <w:shd w:val="clear" w:color="auto" w:fill="FFFFFF"/>
          <w:lang w:val="es-ES_tradnl"/>
        </w:rPr>
        <w:t xml:space="preserve"> los requisitos habilitantes, los factores técnicos y económicos de escogencia y los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7C11FB11" w14:textId="77777777" w:rsidR="00915830" w:rsidRPr="00E858D2" w:rsidRDefault="00915830" w:rsidP="00915830">
      <w:pPr>
        <w:pStyle w:val="Normal11pt"/>
        <w:spacing w:before="120" w:line="276" w:lineRule="auto"/>
        <w:ind w:left="0" w:firstLine="709"/>
        <w:rPr>
          <w:rFonts w:eastAsia="Calibri"/>
          <w:color w:val="auto"/>
          <w:lang w:eastAsia="en-US"/>
        </w:rPr>
      </w:pPr>
      <w:r w:rsidRPr="00E858D2">
        <w:rPr>
          <w:rFonts w:eastAsia="Calibri"/>
          <w:color w:val="auto"/>
        </w:rPr>
        <w:t>Por último, cabe aclarar que la Agencia Nacional de Contratación Pública sigue avanzando en nuevos documentos tipo. Sin embargo, debe tenerse en cuenta que estos exigen un minucioso desarrollo en el cual se consideran las observaciones de las entidades técnicas y especializadas con la finalidad de adoptar documentos tipo que contengan las mejores prácticas contractuales que procuren el adecuado desarrollo de los principios que rigen la contratación pública.</w:t>
      </w:r>
    </w:p>
    <w:p w14:paraId="58D9B349" w14:textId="77777777" w:rsidR="00915830" w:rsidRDefault="00915830" w:rsidP="00915830">
      <w:pPr>
        <w:spacing w:line="276" w:lineRule="auto"/>
        <w:jc w:val="both"/>
        <w:rPr>
          <w:rFonts w:ascii="Arial" w:eastAsia="Calibri" w:hAnsi="Arial" w:cs="Arial"/>
          <w:color w:val="000000" w:themeColor="text1"/>
          <w:sz w:val="22"/>
        </w:rPr>
      </w:pPr>
    </w:p>
    <w:p w14:paraId="32BFD7F4" w14:textId="77777777" w:rsidR="00915830" w:rsidRPr="00E858D2" w:rsidRDefault="00915830" w:rsidP="00915830">
      <w:pPr>
        <w:tabs>
          <w:tab w:val="left" w:pos="0"/>
        </w:tabs>
        <w:spacing w:line="276" w:lineRule="auto"/>
        <w:jc w:val="both"/>
        <w:rPr>
          <w:rFonts w:ascii="Arial" w:eastAsia="Calibri" w:hAnsi="Arial" w:cs="Arial"/>
          <w:b/>
          <w:sz w:val="22"/>
          <w:lang w:val="es-ES_tradnl"/>
        </w:rPr>
      </w:pPr>
      <w:r w:rsidRPr="00E858D2">
        <w:rPr>
          <w:rFonts w:ascii="Arial" w:eastAsia="Calibri" w:hAnsi="Arial" w:cs="Arial"/>
          <w:b/>
          <w:sz w:val="22"/>
          <w:lang w:val="es-ES_tradnl"/>
        </w:rPr>
        <w:t>2.</w:t>
      </w:r>
      <w:r>
        <w:rPr>
          <w:rFonts w:ascii="Arial" w:eastAsia="Calibri" w:hAnsi="Arial" w:cs="Arial"/>
          <w:b/>
          <w:sz w:val="22"/>
          <w:lang w:val="es-ES_tradnl"/>
        </w:rPr>
        <w:t>3</w:t>
      </w:r>
      <w:r w:rsidRPr="00E858D2">
        <w:rPr>
          <w:rFonts w:ascii="Arial" w:eastAsia="Calibri" w:hAnsi="Arial" w:cs="Arial"/>
          <w:b/>
          <w:sz w:val="22"/>
          <w:lang w:val="es-ES_tradnl"/>
        </w:rPr>
        <w:t xml:space="preserve">. </w:t>
      </w:r>
      <w:bookmarkStart w:id="3" w:name="_Hlk95322387"/>
      <w:r w:rsidRPr="00E858D2">
        <w:rPr>
          <w:rFonts w:ascii="Arial" w:eastAsia="Calibri" w:hAnsi="Arial" w:cs="Arial"/>
          <w:b/>
          <w:sz w:val="22"/>
          <w:lang w:val="es-ES_tradnl"/>
        </w:rPr>
        <w:t xml:space="preserve">Análisis del artículo 56 de la Ley 2195 de 2022. Aplicación obligatoria del Estatuto General de Contratación de la Administración Pública y de los documentos tipo en la contratación de las entidades estatales exceptuadas y de los particulares </w:t>
      </w:r>
    </w:p>
    <w:bookmarkEnd w:id="3"/>
    <w:p w14:paraId="04CC7CB8" w14:textId="77777777" w:rsidR="00915830" w:rsidRPr="00E858D2" w:rsidRDefault="00915830" w:rsidP="00915830">
      <w:pPr>
        <w:tabs>
          <w:tab w:val="left" w:pos="0"/>
        </w:tabs>
        <w:spacing w:line="276" w:lineRule="auto"/>
        <w:jc w:val="both"/>
        <w:rPr>
          <w:rFonts w:ascii="Arial" w:eastAsia="Calibri" w:hAnsi="Arial" w:cs="Arial"/>
          <w:b/>
          <w:sz w:val="22"/>
          <w:lang w:val="es-ES_tradnl"/>
        </w:rPr>
      </w:pPr>
    </w:p>
    <w:p w14:paraId="33D9407D" w14:textId="77777777" w:rsidR="00915830" w:rsidRPr="00E858D2" w:rsidRDefault="00915830" w:rsidP="00915830">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 xml:space="preserve">Conforme </w:t>
      </w:r>
      <w:r>
        <w:rPr>
          <w:rFonts w:ascii="Arial" w:eastAsia="Calibri" w:hAnsi="Arial" w:cs="Arial"/>
          <w:bCs/>
          <w:sz w:val="22"/>
          <w:lang w:val="es-ES_tradnl"/>
        </w:rPr>
        <w:t>a</w:t>
      </w:r>
      <w:r w:rsidRPr="00E858D2">
        <w:rPr>
          <w:rFonts w:ascii="Arial" w:eastAsia="Calibri" w:hAnsi="Arial" w:cs="Arial"/>
          <w:bCs/>
          <w:sz w:val="22"/>
          <w:lang w:val="es-ES_tradnl"/>
        </w:rPr>
        <w:t>l acápite anterior, en virtud de la Ley 2022 de 2020, los documentos tipo expedidos por la Agencia Nacional de Contratación Pública son de aplicación obligatoria para las entidades estatales sometidas al Estatuto General de Contratación de la Administración Pública. En ese sentido, el contenido normativo de la Ley 2022 de 2020, y en su momento también la Ley 1882 de 2018</w:t>
      </w:r>
      <w:r>
        <w:rPr>
          <w:rFonts w:ascii="Arial" w:eastAsia="Calibri" w:hAnsi="Arial" w:cs="Arial"/>
          <w:bCs/>
          <w:sz w:val="22"/>
          <w:lang w:val="es-ES_tradnl"/>
        </w:rPr>
        <w:t>,</w:t>
      </w:r>
      <w:r w:rsidRPr="00E858D2">
        <w:rPr>
          <w:rFonts w:ascii="Arial" w:eastAsia="Calibri" w:hAnsi="Arial" w:cs="Arial"/>
          <w:bCs/>
          <w:sz w:val="22"/>
          <w:lang w:val="es-ES_tradnl"/>
        </w:rPr>
        <w:t xml:space="preserve"> excluía del ámbito de aplicación de los documentos tipo la contratación de entidades estatales de régimen exceptuado, por lo general, sujetas al derecho </w:t>
      </w:r>
      <w:r>
        <w:rPr>
          <w:rFonts w:ascii="Arial" w:eastAsia="Calibri" w:hAnsi="Arial" w:cs="Arial"/>
          <w:bCs/>
          <w:sz w:val="22"/>
          <w:lang w:val="es-ES_tradnl"/>
        </w:rPr>
        <w:t>civil y comercial</w:t>
      </w:r>
      <w:r w:rsidRPr="00E858D2">
        <w:rPr>
          <w:rFonts w:ascii="Arial" w:eastAsia="Calibri" w:hAnsi="Arial" w:cs="Arial"/>
          <w:bCs/>
          <w:sz w:val="22"/>
          <w:lang w:val="es-ES_tradnl"/>
        </w:rPr>
        <w:t xml:space="preserve">. </w:t>
      </w:r>
    </w:p>
    <w:p w14:paraId="308BC43E" w14:textId="77777777" w:rsidR="00915830" w:rsidRPr="00E858D2" w:rsidRDefault="00915830" w:rsidP="00915830">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
          <w:sz w:val="22"/>
          <w:lang w:val="es-ES_tradnl"/>
        </w:rPr>
        <w:tab/>
      </w:r>
      <w:r w:rsidRPr="00E858D2">
        <w:rPr>
          <w:rFonts w:ascii="Arial" w:eastAsia="Calibri" w:hAnsi="Arial" w:cs="Arial"/>
          <w:bCs/>
          <w:sz w:val="22"/>
          <w:lang w:val="es-ES_tradnl"/>
        </w:rPr>
        <w:t xml:space="preserve">No obstante, este panorama ha variado con la reciente expedición de la Ley 2195 de 2022, «Por medio de la cual se adoptan medidas en materia de transparencia, prevención y lucha contra la corrupción y se dictan otras disposiciones». De conformidad con su artículo 1, esta norma tiene por objeto la adopción de diferentes medidas tendientes a prevenir los actos de corrupción, reforzar la articulación de las entidades del Estado y a </w:t>
      </w:r>
      <w:r w:rsidRPr="00E858D2">
        <w:rPr>
          <w:rFonts w:ascii="Arial" w:eastAsia="Calibri" w:hAnsi="Arial" w:cs="Arial"/>
          <w:bCs/>
          <w:sz w:val="22"/>
          <w:lang w:val="es-ES_tradnl"/>
        </w:rPr>
        <w:lastRenderedPageBreak/>
        <w:t xml:space="preserve">recuperar los daños ocasionados por la corrupción, promoviendo la cultura de la legalidad e integridad. </w:t>
      </w:r>
    </w:p>
    <w:p w14:paraId="7CF44747" w14:textId="77777777" w:rsidR="00915830" w:rsidRPr="00E858D2" w:rsidRDefault="00915830" w:rsidP="00915830">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Entre las medidas adoptadas por la Ley mencionada se destaca el artículo 56</w:t>
      </w:r>
      <w:r>
        <w:rPr>
          <w:rFonts w:ascii="Arial" w:eastAsia="Calibri" w:hAnsi="Arial" w:cs="Arial"/>
          <w:bCs/>
          <w:sz w:val="22"/>
          <w:lang w:val="es-ES_tradnl"/>
        </w:rPr>
        <w:t>,</w:t>
      </w:r>
      <w:r w:rsidRPr="00E858D2">
        <w:rPr>
          <w:rFonts w:ascii="Arial" w:eastAsia="Calibri" w:hAnsi="Arial" w:cs="Arial"/>
          <w:bCs/>
          <w:sz w:val="22"/>
          <w:lang w:val="es-ES_tradnl"/>
        </w:rPr>
        <w:t xml:space="preserve"> disposición </w:t>
      </w:r>
      <w:r>
        <w:rPr>
          <w:rFonts w:ascii="Arial" w:eastAsia="Calibri" w:hAnsi="Arial" w:cs="Arial"/>
          <w:bCs/>
          <w:sz w:val="22"/>
          <w:lang w:val="es-ES_tradnl"/>
        </w:rPr>
        <w:t xml:space="preserve">que </w:t>
      </w:r>
      <w:r w:rsidRPr="00E858D2">
        <w:rPr>
          <w:rFonts w:ascii="Arial" w:eastAsia="Calibri" w:hAnsi="Arial" w:cs="Arial"/>
          <w:bCs/>
          <w:sz w:val="22"/>
          <w:lang w:val="es-ES_tradnl"/>
        </w:rPr>
        <w:t xml:space="preserve">se refiere de manera expresa a los documentos tipo y a su aplicabilidad a sujetos diferentes de las entidades estatales sometidas al Estatuto General de Contratación de la Administración Pública. El tenor literal de este precepto </w:t>
      </w:r>
      <w:r>
        <w:rPr>
          <w:rFonts w:ascii="Arial" w:eastAsia="Calibri" w:hAnsi="Arial" w:cs="Arial"/>
          <w:bCs/>
          <w:sz w:val="22"/>
          <w:lang w:val="es-ES_tradnl"/>
        </w:rPr>
        <w:t>dispone</w:t>
      </w:r>
      <w:r w:rsidRPr="00E858D2">
        <w:rPr>
          <w:rFonts w:ascii="Arial" w:eastAsia="Calibri" w:hAnsi="Arial" w:cs="Arial"/>
          <w:bCs/>
          <w:sz w:val="22"/>
          <w:lang w:val="es-ES_tradnl"/>
        </w:rPr>
        <w:t xml:space="preserve"> lo siguiente:</w:t>
      </w:r>
    </w:p>
    <w:p w14:paraId="425F56F2" w14:textId="77777777" w:rsidR="00915830" w:rsidRPr="00E858D2" w:rsidRDefault="00915830" w:rsidP="00915830">
      <w:pPr>
        <w:tabs>
          <w:tab w:val="left" w:pos="0"/>
        </w:tabs>
        <w:spacing w:line="276" w:lineRule="auto"/>
        <w:jc w:val="both"/>
        <w:rPr>
          <w:rFonts w:ascii="Arial" w:eastAsia="Calibri" w:hAnsi="Arial" w:cs="Arial"/>
          <w:bCs/>
          <w:sz w:val="22"/>
          <w:lang w:val="es-ES_tradnl"/>
        </w:rPr>
      </w:pPr>
    </w:p>
    <w:p w14:paraId="5E9747F8" w14:textId="77777777" w:rsidR="00915830" w:rsidRPr="00E858D2" w:rsidRDefault="00915830" w:rsidP="00915830">
      <w:pPr>
        <w:tabs>
          <w:tab w:val="left" w:pos="0"/>
        </w:tabs>
        <w:spacing w:after="120"/>
        <w:ind w:left="709" w:right="709"/>
        <w:jc w:val="both"/>
        <w:rPr>
          <w:rFonts w:ascii="Arial" w:hAnsi="Arial" w:cs="Arial"/>
          <w:sz w:val="21"/>
          <w:szCs w:val="21"/>
          <w:lang w:val="es-ES_tradnl"/>
        </w:rPr>
      </w:pPr>
      <w:r w:rsidRPr="00E858D2">
        <w:rPr>
          <w:rFonts w:ascii="Arial" w:hAnsi="Arial" w:cs="Arial"/>
          <w:sz w:val="21"/>
          <w:szCs w:val="21"/>
          <w:lang w:val="es-ES_tradnl"/>
        </w:rPr>
        <w:t xml:space="preserve">Artículo 56. Aplicación de los documentos tipo a entidades de régimen especial. Para la adquisición de bienes, obras o servicios, 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la Agencia Nacional de Contratación Pública - Colombia Compra Eficiente o quien haga sus veces, conforme al parágrafo 7 del artículo 2 de la Ley 1150 de 2007 o las normas que lo modifiquen o sustituyan. </w:t>
      </w:r>
    </w:p>
    <w:p w14:paraId="6CB0EEED" w14:textId="77777777" w:rsidR="00915830" w:rsidRPr="00E858D2" w:rsidRDefault="00915830" w:rsidP="00915830">
      <w:pPr>
        <w:tabs>
          <w:tab w:val="left" w:pos="0"/>
        </w:tabs>
        <w:spacing w:after="120"/>
        <w:ind w:left="709" w:right="709"/>
        <w:jc w:val="both"/>
        <w:rPr>
          <w:rFonts w:ascii="Arial" w:hAnsi="Arial" w:cs="Arial"/>
          <w:sz w:val="21"/>
          <w:szCs w:val="21"/>
          <w:lang w:val="es-ES_tradnl"/>
        </w:rPr>
      </w:pPr>
      <w:r w:rsidRPr="00E858D2">
        <w:rPr>
          <w:rFonts w:ascii="Arial" w:hAnsi="Arial" w:cs="Arial"/>
          <w:sz w:val="21"/>
          <w:szCs w:val="21"/>
          <w:lang w:val="es-ES_tradnl"/>
        </w:rPr>
        <w:t xml:space="preserve">Los procedimientos de selección y los contratos que realicen en desarrollo de los anteriores negocios jurídicos, donde apliquen los documentos tipo se regirán por el Estatuto General de Contratación de la Administración Pública. </w:t>
      </w:r>
    </w:p>
    <w:p w14:paraId="5ACAE146" w14:textId="77777777" w:rsidR="00915830" w:rsidRPr="00E858D2" w:rsidRDefault="00915830" w:rsidP="00915830">
      <w:pPr>
        <w:tabs>
          <w:tab w:val="left" w:pos="0"/>
        </w:tabs>
        <w:ind w:left="709" w:right="709"/>
        <w:jc w:val="both"/>
        <w:rPr>
          <w:rFonts w:ascii="Arial" w:eastAsia="Calibri" w:hAnsi="Arial" w:cs="Arial"/>
          <w:bCs/>
          <w:sz w:val="21"/>
          <w:szCs w:val="21"/>
          <w:lang w:val="es-ES_tradnl"/>
        </w:rPr>
      </w:pPr>
      <w:r w:rsidRPr="00E858D2">
        <w:rPr>
          <w:rFonts w:ascii="Arial" w:hAnsi="Arial" w:cs="Arial"/>
          <w:sz w:val="21"/>
          <w:szCs w:val="21"/>
          <w:lang w:val="es-ES_tradnl"/>
        </w:rPr>
        <w:t xml:space="preserve">Parágrafo. Se exceptúan del presente artículo las Instituciones de Educación Superior públicas, las empresas sociales del Estado, las sociedades de economía mixta y las empresas industriales y comerciales del Estado, únicamente en cuanto a la contratación de su </w:t>
      </w:r>
      <w:r w:rsidRPr="00E858D2">
        <w:rPr>
          <w:rFonts w:ascii="Arial" w:hAnsi="Arial" w:cs="Arial"/>
          <w:i/>
          <w:iCs/>
          <w:sz w:val="21"/>
          <w:szCs w:val="21"/>
          <w:lang w:val="es-ES_tradnl"/>
        </w:rPr>
        <w:t>giro ordinario</w:t>
      </w:r>
      <w:r w:rsidRPr="00E858D2">
        <w:rPr>
          <w:rFonts w:ascii="Arial" w:hAnsi="Arial" w:cs="Arial"/>
          <w:sz w:val="21"/>
          <w:szCs w:val="21"/>
          <w:lang w:val="es-ES_tradnl"/>
        </w:rPr>
        <w:t>. En estos casos, en los manuales de contratación de estas entidades, se fomentará como buena práctica la aplicación de los pliegos tipo. (Énfasis fuera de texto)</w:t>
      </w:r>
    </w:p>
    <w:p w14:paraId="343118EA" w14:textId="77777777" w:rsidR="00915830" w:rsidRPr="00E858D2" w:rsidRDefault="00915830" w:rsidP="00915830">
      <w:pPr>
        <w:tabs>
          <w:tab w:val="left" w:pos="0"/>
        </w:tabs>
        <w:spacing w:line="276" w:lineRule="auto"/>
        <w:jc w:val="both"/>
        <w:rPr>
          <w:rFonts w:ascii="Arial" w:eastAsia="Calibri" w:hAnsi="Arial" w:cs="Arial"/>
          <w:bCs/>
          <w:sz w:val="22"/>
          <w:lang w:val="es-ES_tradnl"/>
        </w:rPr>
      </w:pPr>
    </w:p>
    <w:p w14:paraId="5A95A4B8" w14:textId="77777777" w:rsidR="00915830" w:rsidRPr="00E858D2" w:rsidRDefault="00915830" w:rsidP="00915830">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Las implicaciones de esta norma son variadas y se presentan en múltiples ámbitos de la actividad contractual de las entidades estatales, que como consecuencia de la entrada en vigor de la disposición </w:t>
      </w:r>
      <w:r>
        <w:rPr>
          <w:rFonts w:ascii="Arial" w:eastAsia="Calibri" w:hAnsi="Arial" w:cs="Arial"/>
          <w:bCs/>
          <w:sz w:val="22"/>
          <w:lang w:val="es-ES_tradnl"/>
        </w:rPr>
        <w:t>citada</w:t>
      </w:r>
      <w:r w:rsidRPr="00E858D2">
        <w:rPr>
          <w:rFonts w:ascii="Arial" w:eastAsia="Calibri" w:hAnsi="Arial" w:cs="Arial"/>
          <w:bCs/>
          <w:sz w:val="22"/>
          <w:lang w:val="es-ES_tradnl"/>
        </w:rPr>
        <w:t xml:space="preserve">, ven alterado su régimen jurídico. Es por esto por lo que una interpretación adecuada de esta disposición, orientada a establecer con precisión el alcance de sus efectos, exige detenerse sobre ciertos aspectos, los cuales se desarrollan a continuación.     </w:t>
      </w:r>
    </w:p>
    <w:p w14:paraId="39DD0D45" w14:textId="77777777" w:rsidR="00915830" w:rsidRPr="00E858D2" w:rsidRDefault="00915830" w:rsidP="00915830">
      <w:pPr>
        <w:tabs>
          <w:tab w:val="left" w:pos="0"/>
        </w:tabs>
        <w:spacing w:line="276" w:lineRule="auto"/>
        <w:jc w:val="both"/>
        <w:rPr>
          <w:rFonts w:ascii="Arial" w:eastAsia="Calibri" w:hAnsi="Arial" w:cs="Arial"/>
          <w:b/>
          <w:sz w:val="22"/>
          <w:lang w:val="es-ES_tradnl"/>
        </w:rPr>
      </w:pPr>
    </w:p>
    <w:p w14:paraId="7052F584" w14:textId="77777777" w:rsidR="00915830" w:rsidRDefault="00915830" w:rsidP="00915830">
      <w:pPr>
        <w:tabs>
          <w:tab w:val="left" w:pos="426"/>
        </w:tabs>
        <w:spacing w:line="276" w:lineRule="auto"/>
        <w:ind w:left="709"/>
        <w:jc w:val="both"/>
        <w:rPr>
          <w:rFonts w:ascii="Arial" w:eastAsia="Calibri" w:hAnsi="Arial" w:cs="Arial"/>
          <w:b/>
          <w:sz w:val="22"/>
          <w:lang w:val="es-ES_tradnl"/>
        </w:rPr>
      </w:pPr>
      <w:r w:rsidRPr="00E858D2">
        <w:rPr>
          <w:rFonts w:ascii="Arial" w:eastAsia="Calibri" w:hAnsi="Arial" w:cs="Arial"/>
          <w:b/>
          <w:i/>
          <w:iCs/>
          <w:sz w:val="22"/>
          <w:lang w:val="es-ES_tradnl"/>
        </w:rPr>
        <w:t xml:space="preserve">2.2.1. </w:t>
      </w:r>
      <w:r w:rsidRPr="00E858D2">
        <w:rPr>
          <w:rFonts w:ascii="Arial" w:eastAsia="Calibri" w:hAnsi="Arial" w:cs="Arial"/>
          <w:b/>
          <w:sz w:val="22"/>
          <w:lang w:val="es-ES_tradnl"/>
        </w:rPr>
        <w:t>Ámbito de aplicación y finalidad de la norma</w:t>
      </w:r>
    </w:p>
    <w:p w14:paraId="39A1C6E9" w14:textId="77777777" w:rsidR="00915830" w:rsidRPr="00F0096D" w:rsidRDefault="00915830" w:rsidP="00915830">
      <w:pPr>
        <w:tabs>
          <w:tab w:val="left" w:pos="426"/>
        </w:tabs>
        <w:spacing w:line="276" w:lineRule="auto"/>
        <w:ind w:left="709"/>
        <w:jc w:val="both"/>
        <w:rPr>
          <w:rFonts w:ascii="Arial" w:eastAsia="Calibri" w:hAnsi="Arial" w:cs="Arial"/>
          <w:bCs/>
          <w:sz w:val="22"/>
          <w:lang w:val="es-ES_tradnl"/>
        </w:rPr>
      </w:pPr>
    </w:p>
    <w:p w14:paraId="0E589929" w14:textId="77777777" w:rsidR="00915830" w:rsidRPr="00E858D2" w:rsidRDefault="00915830" w:rsidP="00915830">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 xml:space="preserve">Como se desprende de la parte inicial de la norma citada, esta se refiere a la adquisición de bienes, obras o servicios por parte de entidades estatales sometidas al EGCAP, que celebren contratos, convenios interadministrativos o de cualquier otra índole con entidades </w:t>
      </w:r>
      <w:r w:rsidRPr="00E858D2">
        <w:rPr>
          <w:rFonts w:ascii="Arial" w:eastAsia="Calibri" w:hAnsi="Arial" w:cs="Arial"/>
          <w:bCs/>
          <w:sz w:val="22"/>
          <w:lang w:val="es-ES_tradnl"/>
        </w:rPr>
        <w:lastRenderedPageBreak/>
        <w:t xml:space="preserve">estatales exceptuadas, patrimonios autónomos, personas naturales o jurídicas de derecho privado. En ese sentido, este primer inciso formula un mandato dirigido a las entidades sometidas al EGCAP, para que, en la adquisición de bienes, obras o servicios, apliquen los documentos tipo expedidos por esta Agencia, cuando celebren contratos o convenios interadministrativos o de cualquier otra índole, con otra entidad estatal, o con patrimonios autónomos o con personas naturales o jurídicas, cuyo régimen de contratación sea especial o de derecho privado.  </w:t>
      </w:r>
    </w:p>
    <w:p w14:paraId="77F87C6E" w14:textId="77777777" w:rsidR="00915830" w:rsidRPr="00E858D2" w:rsidRDefault="00915830" w:rsidP="00915830">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De acuerdo con esto, el artículo 56 de la Ley 2195 de 2022 es una norma que complementa al parágrafo 7 del artículo 2 de la Ley 1150 de 2007, modificado por la Ley 2022 de 2020, que establece el mandato de aplicación obligatoria de los documentos tipo para las entidades sometidas al EGCAP. Si bien el texto de la Ley 2022 de 2020 establece con claridad la regla de aplicación obligatoria de los documentos tipo en los Procesos de Contratación adelantados por las entidades estatales regidas por el EGCAP, lo cierto es que sus efectos no eran los mismos en los procesos de selección adelantados por entidades exceptuadas o con regímenes especiales.  </w:t>
      </w:r>
    </w:p>
    <w:p w14:paraId="12CA6D31" w14:textId="77777777" w:rsidR="00915830" w:rsidRPr="00E858D2" w:rsidRDefault="00915830" w:rsidP="00915830">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Antes de la expedición del artículo 56 </w:t>
      </w:r>
      <w:r w:rsidRPr="00E858D2">
        <w:rPr>
          <w:rFonts w:ascii="Arial" w:eastAsia="Calibri" w:hAnsi="Arial" w:cs="Arial"/>
          <w:bCs/>
          <w:i/>
          <w:iCs/>
          <w:sz w:val="22"/>
          <w:lang w:val="es-ES_tradnl"/>
        </w:rPr>
        <w:t>ibídem</w:t>
      </w:r>
      <w:r w:rsidRPr="00E858D2">
        <w:rPr>
          <w:rFonts w:ascii="Arial" w:eastAsia="Calibri" w:hAnsi="Arial" w:cs="Arial"/>
          <w:bCs/>
          <w:sz w:val="22"/>
          <w:lang w:val="es-ES_tradnl"/>
        </w:rPr>
        <w:t xml:space="preserve">¸ la Ley 2022 de 2020 ya había establecido el mandato de aplicación obligatoria de los documentos tipo, atribuyendo a esta a Agencia la competencia para expedirlos. Dicha Ley restringe su aplicación en los Procesos de Contratación a través de los que una entidad estatal regida por el EGCAP debe adquirir una obra o servicio, por supuesto siempre que el objeto a contratar, al igual que la modalidad que se requiere emplear, estén cobijados por algún documento tipo vigente. Por el contrario, la aplicación de documentos tipo por parte de entidades con regímenes especiales o de derecho privado era un asunto que escapaba del ámbito de aplicación de lo establecido por la Ley 2022 de 2022, incluso tratándose de obras o servicios para cuya contratación hubieren documentos tipo vigentes, </w:t>
      </w:r>
      <w:r>
        <w:rPr>
          <w:rFonts w:ascii="Arial" w:eastAsia="Calibri" w:hAnsi="Arial" w:cs="Arial"/>
          <w:bCs/>
          <w:sz w:val="22"/>
          <w:lang w:val="es-ES_tradnl"/>
        </w:rPr>
        <w:t>dado</w:t>
      </w:r>
      <w:r w:rsidRPr="00E858D2">
        <w:rPr>
          <w:rFonts w:ascii="Arial" w:eastAsia="Calibri" w:hAnsi="Arial" w:cs="Arial"/>
          <w:bCs/>
          <w:sz w:val="22"/>
          <w:lang w:val="es-ES_tradnl"/>
        </w:rPr>
        <w:t xml:space="preserve"> que la aplicación de estos solo era procedente cuando el régimen de la entidad contratante es el EGCAP, toda vez que el parágrafo 7 del artículo 2 de la Ley 1150 de 2007 solo se refiere a la obligación de aplicar los documentos tipo en los Procesos de Contratación que adelanten las entidades sometidas al EGCAP. </w:t>
      </w:r>
    </w:p>
    <w:p w14:paraId="7ACBB38F" w14:textId="77777777" w:rsidR="00915830" w:rsidRPr="00E858D2" w:rsidRDefault="00915830" w:rsidP="00915830">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Por tanto, la norma, por el hecho de estar dirigida únicamente a las entidades sometidas a la Ley 80 de 1993 y la Ley 1150 de 2007, solo permitía que los documentos tipo tuvieran que aplicarse de manera obligatoria cuando este era el régimen general de la contratación de la entidad que adelantaba el Proceso de Contratación. En estos términos, si bien la Ley 2022 de 2020 no limitó la aplicabilidad de los documentos tipo expedidos por esta Agencia a una modalidad en específico, sí estableció que su implementación debía hacerse en el marco del EGCAP.</w:t>
      </w:r>
    </w:p>
    <w:p w14:paraId="73B46F14" w14:textId="77777777" w:rsidR="00915830" w:rsidRPr="00E858D2" w:rsidRDefault="00915830" w:rsidP="00915830">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lastRenderedPageBreak/>
        <w:tab/>
        <w:t xml:space="preserve">En este escenario, el primer inciso del artículo 56 de la Ley 2195 de 2022 surge como una disposición complementaria de la Ley 2022 de 2020, en la medida en que, según se desprende de su texto, de una parte, la norma busca extender la aplicación obligatoria de los documentos tipo a la celebración de contratos o convenios interadministrativos entre entidades regidas por EGCAP y otros sujetos cuyo régimen de contratación prevalente es el derecho privado. Esto de tal forma que cuando una entidad estatal regida por el EGCAP celebre contratos o convenios con otra i) entidad estatal de régimen especial o con ii) patrimonios autónomos o iii) con personas naturales o jurídicas de derecho privado, tenga que hacerlo aplicando documentos tipo. Los efectos del primer inciso del artículo 56 se proyectarían entonces a los contratos o convenios que se deban celebrar con estos sujetos, cuyos objetos comprendan la adquisición de bienes, obras o servicios, que, al tenor de lo dispuesto en el apartado normativo bajo examen, deberán celebrarse mediante documentos tipo.      </w:t>
      </w:r>
    </w:p>
    <w:p w14:paraId="6C165576" w14:textId="77777777" w:rsidR="00915830" w:rsidRPr="00E858D2" w:rsidRDefault="00915830" w:rsidP="00915830">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Sin perjuicio de lo anterior, solo es posible comprender los efectos de lo dispuesto en el artículo 56 de la Ley 2195 de 2020 cuando se interpretan en conjunto todos sus componentes. Esto </w:t>
      </w:r>
      <w:r>
        <w:rPr>
          <w:rFonts w:ascii="Arial" w:eastAsia="Calibri" w:hAnsi="Arial" w:cs="Arial"/>
          <w:bCs/>
          <w:sz w:val="22"/>
          <w:lang w:val="es-ES_tradnl"/>
        </w:rPr>
        <w:t>dado</w:t>
      </w:r>
      <w:r w:rsidRPr="00E858D2">
        <w:rPr>
          <w:rFonts w:ascii="Arial" w:eastAsia="Calibri" w:hAnsi="Arial" w:cs="Arial"/>
          <w:bCs/>
          <w:sz w:val="22"/>
          <w:lang w:val="es-ES_tradnl"/>
        </w:rPr>
        <w:t xml:space="preserve"> que, </w:t>
      </w:r>
      <w:r>
        <w:rPr>
          <w:rFonts w:ascii="Arial" w:eastAsia="Calibri" w:hAnsi="Arial" w:cs="Arial"/>
          <w:bCs/>
          <w:sz w:val="22"/>
          <w:lang w:val="es-ES_tradnl"/>
        </w:rPr>
        <w:t>a las ideas precedentes se</w:t>
      </w:r>
      <w:r w:rsidRPr="00E858D2">
        <w:rPr>
          <w:rFonts w:ascii="Arial" w:eastAsia="Calibri" w:hAnsi="Arial" w:cs="Arial"/>
          <w:bCs/>
          <w:sz w:val="22"/>
          <w:lang w:val="es-ES_tradnl"/>
        </w:rPr>
        <w:t xml:space="preserve"> suman las implicaciones de lo ordenado por el segundo inciso de la norma, en referencia a los procedimientos de selección y contratos que deban celebrarse en desarrollo de los negocios a los que se refiere el primer inciso, en los que, además de la aplicación de los documentos tipo, se dispone la aplicación del EGCAP. </w:t>
      </w:r>
    </w:p>
    <w:p w14:paraId="2FD9922B" w14:textId="77777777" w:rsidR="00915830" w:rsidRPr="00E858D2" w:rsidRDefault="00915830" w:rsidP="00915830">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De acuerdo con esto, el cambio normativo que supone el artículo en comento no se agota con el mandato de aplicación obligatoria de los documentos tipo en los convenios o contratos que celebren las entidades estatales regidas por el EGCAP con otras entidades de régimen especial, patrimonios autónomos, personas naturales o jurídicas de derecho privado, pues, según se desprende del segundo inciso de la norma, esta además ordena la aplicación del EGCAP  a los Procesos de Contratación que se adelanten y a los contratos que se celebren  con ocasión de los contratos o convenios a los que se refiere el primer inciso. </w:t>
      </w:r>
      <w:r w:rsidRPr="00397E5B">
        <w:rPr>
          <w:rFonts w:ascii="Arial" w:eastAsia="Calibri" w:hAnsi="Arial" w:cs="Arial"/>
          <w:bCs/>
          <w:sz w:val="22"/>
          <w:lang w:val="es-ES_tradnl"/>
        </w:rPr>
        <w:t xml:space="preserve">Esto significa que, ya sea una entidad estatal de régimen especial, un patrimonio autónomo o una persona natural o jurídica de derecho privado, en virtud de lo dispuesto en los incisos primero y segundo del artículo 56 </w:t>
      </w:r>
      <w:r w:rsidRPr="00397E5B">
        <w:rPr>
          <w:rFonts w:ascii="Arial" w:eastAsia="Calibri" w:hAnsi="Arial" w:cs="Arial"/>
          <w:bCs/>
          <w:i/>
          <w:iCs/>
          <w:sz w:val="22"/>
          <w:lang w:val="es-ES_tradnl"/>
        </w:rPr>
        <w:t xml:space="preserve">ejusdem, </w:t>
      </w:r>
      <w:r w:rsidRPr="00397E5B">
        <w:rPr>
          <w:rFonts w:ascii="Arial" w:eastAsia="Calibri" w:hAnsi="Arial" w:cs="Arial"/>
          <w:bCs/>
          <w:sz w:val="22"/>
          <w:lang w:val="es-ES_tradnl"/>
        </w:rPr>
        <w:t>si,</w:t>
      </w:r>
      <w:r w:rsidRPr="00397E5B">
        <w:rPr>
          <w:rFonts w:ascii="Arial" w:eastAsia="Calibri" w:hAnsi="Arial" w:cs="Arial"/>
          <w:bCs/>
          <w:i/>
          <w:iCs/>
          <w:sz w:val="22"/>
          <w:lang w:val="es-ES_tradnl"/>
        </w:rPr>
        <w:t xml:space="preserve"> </w:t>
      </w:r>
      <w:r w:rsidRPr="00397E5B">
        <w:rPr>
          <w:rFonts w:ascii="Arial" w:eastAsia="Calibri" w:hAnsi="Arial" w:cs="Arial"/>
          <w:bCs/>
          <w:sz w:val="22"/>
          <w:lang w:val="es-ES_tradnl"/>
        </w:rPr>
        <w:t>en efecto, deben subcontratar bienes, obras o servicios, en cumplimiento de un contrato o convenio con una entidad estatal sometida a la Ley 80 de 1993, deberá adelantar el procedimiento de selección, así como celebrar el respectivo contrato, implementando los documentos tipo  y aplicando las disposiciones del EGCAP.</w:t>
      </w:r>
      <w:r w:rsidRPr="00E858D2">
        <w:rPr>
          <w:rFonts w:ascii="Arial" w:eastAsia="Calibri" w:hAnsi="Arial" w:cs="Arial"/>
          <w:bCs/>
          <w:sz w:val="22"/>
          <w:lang w:val="es-ES_tradnl"/>
        </w:rPr>
        <w:t xml:space="preserve"> </w:t>
      </w:r>
    </w:p>
    <w:p w14:paraId="48C950AA" w14:textId="77777777" w:rsidR="00915830" w:rsidRDefault="00915830" w:rsidP="00915830">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Esta, además, es la interpretación que se desprende de la justificación del proyecto normativo que se convirtió en la Ley 2195 de 2022, en la que, respecto de los contratos </w:t>
      </w:r>
      <w:r w:rsidRPr="00E858D2">
        <w:rPr>
          <w:rFonts w:ascii="Arial" w:eastAsia="Calibri" w:hAnsi="Arial" w:cs="Arial"/>
          <w:bCs/>
          <w:sz w:val="22"/>
          <w:lang w:val="es-ES_tradnl"/>
        </w:rPr>
        <w:lastRenderedPageBreak/>
        <w:t xml:space="preserve">ejecutados por entidades de derecho privado, se refirió a la «[..] obligatoriedad de aplicar los documentos tipo, aun si son ejecutados con entidades de régimen especial», como uno de los propósitos de la Ley.  Conforme se indica en la justificación jurídica del proyecto ley, este: </w:t>
      </w:r>
    </w:p>
    <w:p w14:paraId="6E2869D0" w14:textId="77777777" w:rsidR="00915830" w:rsidRPr="00E858D2" w:rsidRDefault="00915830" w:rsidP="00915830">
      <w:pPr>
        <w:tabs>
          <w:tab w:val="left" w:pos="0"/>
        </w:tabs>
        <w:spacing w:line="276" w:lineRule="auto"/>
        <w:jc w:val="both"/>
        <w:rPr>
          <w:rFonts w:ascii="Arial" w:eastAsia="Calibri" w:hAnsi="Arial" w:cs="Arial"/>
          <w:bCs/>
          <w:sz w:val="22"/>
          <w:lang w:val="es-ES_tradnl"/>
        </w:rPr>
      </w:pPr>
    </w:p>
    <w:p w14:paraId="1F704B86" w14:textId="77777777" w:rsidR="00915830" w:rsidRPr="00E858D2" w:rsidRDefault="00915830" w:rsidP="00915830">
      <w:pPr>
        <w:tabs>
          <w:tab w:val="left" w:pos="0"/>
        </w:tabs>
        <w:ind w:left="709" w:right="709"/>
        <w:jc w:val="both"/>
        <w:rPr>
          <w:rFonts w:ascii="Arial" w:eastAsia="Calibri" w:hAnsi="Arial" w:cs="Arial"/>
          <w:bCs/>
          <w:sz w:val="21"/>
          <w:szCs w:val="21"/>
          <w:lang w:val="es-ES_tradnl"/>
        </w:rPr>
      </w:pPr>
      <w:r w:rsidRPr="00E858D2">
        <w:rPr>
          <w:rFonts w:ascii="Arial" w:eastAsia="Calibri" w:hAnsi="Arial" w:cs="Arial"/>
          <w:bCs/>
          <w:sz w:val="21"/>
          <w:szCs w:val="21"/>
          <w:lang w:val="es-ES_tradnl"/>
        </w:rPr>
        <w:t>[…] determina la aplicación de documentos tipo, en los términos del parágrafo 7 del artículo 2 de la Ley 1150 de 2007 o las normas que lo modifiquen o sustituyan, en los eventos en que entidades públicas sometidas al Estatuto General de Contratación de la Administración Pública celebren contratos o convenios interadministrativos o de cualquier otra índole con otras entidades estatales, patrimonios autónomos o personas naturales o jurídicas de derecho privado. Así mismo, se determina que los procedimientos de selección y los contratos realizados en dichos negocios jurídicos deben regirse por las normas de contratación pública</w:t>
      </w:r>
      <w:r w:rsidRPr="00E858D2">
        <w:rPr>
          <w:rStyle w:val="Refdenotaalpie"/>
          <w:rFonts w:ascii="Arial" w:eastAsia="Calibri" w:hAnsi="Arial" w:cs="Arial"/>
          <w:sz w:val="21"/>
          <w:szCs w:val="21"/>
        </w:rPr>
        <w:footnoteReference w:id="16"/>
      </w:r>
      <w:r w:rsidRPr="00E858D2">
        <w:rPr>
          <w:rFonts w:ascii="Arial" w:eastAsia="Calibri" w:hAnsi="Arial" w:cs="Arial"/>
          <w:bCs/>
          <w:sz w:val="21"/>
          <w:szCs w:val="21"/>
          <w:lang w:val="es-ES_tradnl"/>
        </w:rPr>
        <w:t xml:space="preserve">. </w:t>
      </w:r>
    </w:p>
    <w:p w14:paraId="320E0A01" w14:textId="77777777" w:rsidR="00915830" w:rsidRPr="00E858D2" w:rsidRDefault="00915830" w:rsidP="00915830">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 </w:t>
      </w:r>
    </w:p>
    <w:p w14:paraId="5FA29649" w14:textId="77777777" w:rsidR="00915830" w:rsidRPr="00E858D2" w:rsidRDefault="00915830" w:rsidP="00915830">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De lo anterior se desprende que el propósito del legislador con la expedición de la norma objeto, como se ha explicado, es que las entidades estatales que tienen como régimen principal el EGCAP no puedan eludir su aplicación, ni la de los documentos tipo que resulten obligatorios, celebrando convenios o contratos con entidades exceptuadas o particulares sometidos al derecho privado, para que sean estos últimos quienes, en el marco de sus regímenes especiales o de derecho privado, realicen la subcontratación de los bienes, obras o servicios que demanda la entidad estatal, en una suerte de tercerización de la contratación. Lo anterior teniendo en cuenta que, a la luz de lo dispuesto en el artículo 56 de la Ley 2195 de 2022, tales entidades exceptuadas, patrimonios autónomos o particulares, que han suscrito convenios o contratos de cualquier índole con entidades sometidas al EGCAP, estarán obligadas a aplicar dicho estatuto para la subcontratación derivada de obras, bienes, obras o servicios, siempre que exista documento tipo en el sector en el que se adelanta la contratación.  </w:t>
      </w:r>
    </w:p>
    <w:p w14:paraId="7B6C6B1F" w14:textId="77777777" w:rsidR="00915830" w:rsidRPr="00E858D2" w:rsidRDefault="00915830" w:rsidP="00915830">
      <w:pPr>
        <w:tabs>
          <w:tab w:val="left" w:pos="0"/>
        </w:tabs>
        <w:spacing w:line="276" w:lineRule="auto"/>
        <w:jc w:val="both"/>
        <w:rPr>
          <w:rFonts w:ascii="Arial" w:eastAsia="Calibri" w:hAnsi="Arial" w:cs="Arial"/>
          <w:bCs/>
          <w:sz w:val="22"/>
          <w:lang w:val="es-ES_tradnl"/>
        </w:rPr>
      </w:pPr>
    </w:p>
    <w:p w14:paraId="09568717" w14:textId="77777777" w:rsidR="00915830" w:rsidRPr="00E858D2" w:rsidRDefault="00915830" w:rsidP="00915830">
      <w:pPr>
        <w:tabs>
          <w:tab w:val="left" w:pos="0"/>
        </w:tabs>
        <w:spacing w:line="276" w:lineRule="auto"/>
        <w:jc w:val="both"/>
        <w:rPr>
          <w:rFonts w:ascii="Arial" w:eastAsia="Calibri" w:hAnsi="Arial" w:cs="Arial"/>
          <w:bCs/>
          <w:sz w:val="22"/>
          <w:lang w:val="es-ES_tradnl"/>
        </w:rPr>
      </w:pPr>
      <w:r w:rsidRPr="00E858D2">
        <w:rPr>
          <w:rFonts w:ascii="Arial" w:eastAsia="Calibri" w:hAnsi="Arial" w:cs="Arial"/>
          <w:b/>
          <w:i/>
          <w:iCs/>
          <w:sz w:val="22"/>
          <w:lang w:val="es-ES_tradnl"/>
        </w:rPr>
        <w:tab/>
        <w:t>2.2.2.</w:t>
      </w:r>
      <w:r w:rsidRPr="00E858D2">
        <w:rPr>
          <w:rFonts w:ascii="Arial" w:eastAsia="Calibri" w:hAnsi="Arial" w:cs="Arial"/>
          <w:bCs/>
          <w:sz w:val="22"/>
          <w:lang w:val="es-ES_tradnl"/>
        </w:rPr>
        <w:t xml:space="preserve"> </w:t>
      </w:r>
      <w:r w:rsidRPr="00E858D2">
        <w:rPr>
          <w:rFonts w:ascii="Arial" w:eastAsia="Calibri" w:hAnsi="Arial" w:cs="Arial"/>
          <w:b/>
          <w:sz w:val="22"/>
          <w:lang w:val="es-ES_tradnl"/>
        </w:rPr>
        <w:t>Aplicación prevalente del Estatuto General de Contratación de la Administración Pública por parte entidades exceptuadas. Aparente tensión con el literal c) del artículo 2, numeral 4, de la Ley 1150 de 2007.</w:t>
      </w:r>
    </w:p>
    <w:p w14:paraId="57893686" w14:textId="77777777" w:rsidR="00915830" w:rsidRPr="00E858D2" w:rsidRDefault="00915830" w:rsidP="00915830">
      <w:pPr>
        <w:tabs>
          <w:tab w:val="left" w:pos="0"/>
        </w:tabs>
        <w:spacing w:line="276" w:lineRule="auto"/>
        <w:jc w:val="both"/>
        <w:rPr>
          <w:rFonts w:ascii="Arial" w:eastAsia="Calibri" w:hAnsi="Arial" w:cs="Arial"/>
          <w:bCs/>
          <w:sz w:val="22"/>
          <w:lang w:val="es-ES_tradnl"/>
        </w:rPr>
      </w:pPr>
    </w:p>
    <w:p w14:paraId="45FDA339" w14:textId="77777777" w:rsidR="00915830" w:rsidRPr="00E858D2" w:rsidRDefault="00915830" w:rsidP="00915830">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 xml:space="preserve">En este punto es necesario analizar los efectos del artículo 56 de la Ley 2195 de 2022, respecto de lo dispuesto en el artículo 2, numeral 4, de la Ley 1150 de 2007, </w:t>
      </w:r>
      <w:r w:rsidRPr="00E858D2">
        <w:rPr>
          <w:rFonts w:ascii="Arial" w:eastAsia="Calibri" w:hAnsi="Arial" w:cs="Arial"/>
          <w:bCs/>
          <w:sz w:val="22"/>
          <w:lang w:val="es-ES_tradnl"/>
        </w:rPr>
        <w:lastRenderedPageBreak/>
        <w:t>particularmente, de lo establecido en el tercer inciso del literal c)</w:t>
      </w:r>
      <w:r w:rsidRPr="00E858D2">
        <w:rPr>
          <w:rStyle w:val="Refdenotaalpie"/>
          <w:rFonts w:ascii="Arial" w:eastAsia="Calibri" w:hAnsi="Arial" w:cs="Arial"/>
        </w:rPr>
        <w:footnoteReference w:id="17"/>
      </w:r>
      <w:r w:rsidRPr="00E858D2">
        <w:rPr>
          <w:rFonts w:ascii="Arial" w:eastAsia="Calibri" w:hAnsi="Arial" w:cs="Arial"/>
          <w:bCs/>
          <w:sz w:val="22"/>
          <w:lang w:val="es-ES_tradnl"/>
        </w:rPr>
        <w:t xml:space="preserve">. Lo anterior por cuanto esta norma, al establecer como causal de contratación directa la celebración de convenios o contratos interadministrativos regulaba la normativa aplicable a estos cuando el régimen prevalente de la entidad encargada de la ejecución no fuera el de la Ley 80 de 1993, casos en los que la norma imponía la aplicación de esta normativa, a menos que la entidad ejecutora desarrollara su actividad en competencia con el sector privado, o cuando la ejecución del contrato tuviere relación directa con el desarrollo de su actividad, evento en los que se imponía el derecho privado. En ese sentido, en este último evento el tercer inciso del literal c) del artículo 2-4 de la Ley 1150 de 2007, daba pie a la aplicación de normas de derecho privado, lo que evidencia una aparente tensión entre este y el artículo 56 de la Ley 2195 de 2022, en lo que se refiere al régimen aplicable en estas situaciones, </w:t>
      </w:r>
      <w:r>
        <w:rPr>
          <w:rFonts w:ascii="Arial" w:eastAsia="Calibri" w:hAnsi="Arial" w:cs="Arial"/>
          <w:bCs/>
          <w:sz w:val="22"/>
          <w:lang w:val="es-ES_tradnl"/>
        </w:rPr>
        <w:t>dado</w:t>
      </w:r>
      <w:r w:rsidRPr="00E858D2">
        <w:rPr>
          <w:rFonts w:ascii="Arial" w:eastAsia="Calibri" w:hAnsi="Arial" w:cs="Arial"/>
          <w:bCs/>
          <w:sz w:val="22"/>
          <w:lang w:val="es-ES_tradnl"/>
        </w:rPr>
        <w:t xml:space="preserve"> que en estos eventos, al tenor de lo dispuesto en esta última norma, deben aplicarse el EGCAP y los documentos tipo. </w:t>
      </w:r>
    </w:p>
    <w:p w14:paraId="2E6B94CE" w14:textId="77777777" w:rsidR="00915830" w:rsidRPr="00E858D2" w:rsidRDefault="00915830" w:rsidP="00915830">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Esto supone una aparente antinomia entre el literal c) del artículo 2, numeral 4, de la Ley 1150 de 2007 y el artículo 56 de la Ley 2195 de 2022, en la medida en que para un mismo supuesto de hecho –la celebración de un convenio interadministrativo entre una </w:t>
      </w:r>
      <w:r w:rsidRPr="00E858D2">
        <w:rPr>
          <w:rFonts w:ascii="Arial" w:eastAsia="Calibri" w:hAnsi="Arial" w:cs="Arial"/>
          <w:bCs/>
          <w:sz w:val="22"/>
          <w:lang w:val="es-ES_tradnl"/>
        </w:rPr>
        <w:lastRenderedPageBreak/>
        <w:t>entidad sometida al EGCAP y otra exceptuada, en la que la última es la ejecutora y desarrolla su actividad en competencia con el sector privado–, se establecen diferentes consecuencias jurídicas, ya que mientras que la primera norma dispone la aplicación del derecho privado, la última impone la aplicación de documentos tipo y del EGCAP. Esta aparente contradicción, necesariamente debe ser resuelta en favor del artículo 56 de la Ley 2195 de 2022, cuya aplicación debe privilegia</w:t>
      </w:r>
      <w:r>
        <w:rPr>
          <w:rFonts w:ascii="Arial" w:eastAsia="Calibri" w:hAnsi="Arial" w:cs="Arial"/>
          <w:bCs/>
          <w:sz w:val="22"/>
          <w:lang w:val="es-ES_tradnl"/>
        </w:rPr>
        <w:t>rse</w:t>
      </w:r>
      <w:r w:rsidRPr="00E858D2">
        <w:rPr>
          <w:rFonts w:ascii="Arial" w:eastAsia="Calibri" w:hAnsi="Arial" w:cs="Arial"/>
          <w:bCs/>
          <w:sz w:val="22"/>
          <w:lang w:val="es-ES_tradnl"/>
        </w:rPr>
        <w:t xml:space="preserve">, al ser esta la norma expedida más recientemente. </w:t>
      </w:r>
    </w:p>
    <w:p w14:paraId="7038672B" w14:textId="77777777" w:rsidR="00915830" w:rsidRPr="00E858D2" w:rsidRDefault="00915830" w:rsidP="00915830">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En efecto, tratándose de disposiciones de igual jerarquía normativa</w:t>
      </w:r>
      <w:r w:rsidRPr="00E858D2">
        <w:rPr>
          <w:rStyle w:val="Refdenotaalpie"/>
          <w:rFonts w:ascii="Arial" w:eastAsia="Calibri" w:hAnsi="Arial" w:cs="Arial"/>
        </w:rPr>
        <w:footnoteReference w:id="18"/>
      </w:r>
      <w:r w:rsidRPr="00E858D2">
        <w:rPr>
          <w:rFonts w:ascii="Arial" w:eastAsia="Calibri" w:hAnsi="Arial" w:cs="Arial"/>
          <w:bCs/>
          <w:sz w:val="22"/>
          <w:lang w:val="es-ES_tradnl"/>
        </w:rPr>
        <w:t xml:space="preserve">–ambas son leyes ordinarias–, que coinciden en su ámbito de aplicación, debe </w:t>
      </w:r>
      <w:r>
        <w:rPr>
          <w:rFonts w:ascii="Arial" w:eastAsia="Calibri" w:hAnsi="Arial" w:cs="Arial"/>
          <w:bCs/>
          <w:sz w:val="22"/>
          <w:lang w:val="es-ES_tradnl"/>
        </w:rPr>
        <w:t>inferir</w:t>
      </w:r>
      <w:r w:rsidRPr="00E858D2">
        <w:rPr>
          <w:rFonts w:ascii="Arial" w:eastAsia="Calibri" w:hAnsi="Arial" w:cs="Arial"/>
          <w:bCs/>
          <w:sz w:val="22"/>
          <w:lang w:val="es-ES_tradnl"/>
        </w:rPr>
        <w:t xml:space="preserve">se que, en lo que respecta al régimen aplicable a los contratos con entidades exceptuadas ejecutoras de contratos o convenios interadministrativos, que desarrollen su actividad en competencia con el sector privado, el artículo 56 de la Ley 2195 de 2022 supuso una modificación tácita del artículo 2, numeral 4, literal c), de la Ley 1150 de 2007. De acuerdo con lo expuesto, los efectos de esta modificación no solo se proyectan a la celebración propiamente dicha del contrato o convenio entre la entidad sometida y la exceptuada, sino que se extienden a todos los contratos y procedimientos de selección que adelanten estos últimos en desarrollo de la relación primigenia, en los que deberán aplicarse el EGCAP y los documentos tipo vigentes. </w:t>
      </w:r>
    </w:p>
    <w:p w14:paraId="3EDACFA3" w14:textId="77777777" w:rsidR="00915830" w:rsidRPr="00E858D2" w:rsidRDefault="00915830" w:rsidP="00915830">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tales términos, de lo analizado hasta aquí es posible concluir que un efecto importante de la norma bajo estudio es la ampliación del ámbito de aplicación de los documentos tipo, al hacerlos obligatorios para unos sujetos que, en principio, de acuerdo con la Ley 2022 de 2020, no estarían sometidos a esos documentos. Para complementar esta medida, la disposición además hace extensiva la aplicación del EGCAP a esto sujetos que, en virtud de su naturaleza jurídica, tienen, como regla general, un régimen de contratación diferente, tales como las entidades exceptuadas, los patrimonios autónomos y las personas naturales y jurídicas de derecho privado, a los que expresamente hace alusión el artículo 56.  De esta forma, independientemente de que el inciso tercero del literal c) del artículo 2, numeral 4, de la Ley 1150 de 2007 parezca indicar que se debe aplicar el derecho </w:t>
      </w:r>
      <w:r w:rsidRPr="00E858D2">
        <w:rPr>
          <w:rFonts w:ascii="Arial" w:eastAsia="Calibri" w:hAnsi="Arial" w:cs="Arial"/>
          <w:bCs/>
          <w:sz w:val="22"/>
          <w:lang w:val="es-ES_tradnl"/>
        </w:rPr>
        <w:lastRenderedPageBreak/>
        <w:t xml:space="preserve">privado, por ser este el régimen que por regla general aplica la entidad ejecutora, tratándose de objetos cobijados por documentos tipo, los mismos deberán ser contratados aplicando tales pliegos tipo y las disposiciones del EGCAP.  </w:t>
      </w:r>
    </w:p>
    <w:p w14:paraId="6B5C7328" w14:textId="77777777" w:rsidR="00915830" w:rsidRPr="00E858D2" w:rsidRDefault="00915830" w:rsidP="00915830">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este punto conviene precisar que, de conformidad con el artículo 56, el hecho de que una entidad exceptuada, un patrimonio autónomo, una persona natural o una persona jurídica, tenga suscrito un contrato o convenio con una entidad sometida al EGCAP, no significa que mute su régimen jurídico de manera permanente. Al respecto, de una lectura conjunta de los incisos primero y segundo se desprende que estos introducen el mandato de aplicación obligatoria del EGCAP por parte de los mencionados sujetos de régimen de derecho privado solo en lo referido a la subcontratación de bienes, obras y servicios relacionados con un contrato o convenio suscrito con una entidad sometida al EGCAP, siempre que exista documento tipo en el sector en el que se planea contratar. Esto significa que los contratos no relacionados con los compromisos adquiridos con la entidad sometida al EGCAP no tendrían que aplicar el régimen contractual público ni los documentos tipo, salvo que quieran hacerlo como una buena práctica de contratación. </w:t>
      </w:r>
    </w:p>
    <w:p w14:paraId="54BAC8A8" w14:textId="77777777" w:rsidR="00915830" w:rsidRPr="00E858D2" w:rsidRDefault="00915830" w:rsidP="00915830">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De acuerdo con esto, respecto de la aplicación del EGCAP por parte de entidades exceptuadas y particulares, es necesario recalcar que, conforme se interpreta de la redacción de la norma, esta solo es obligatoria en los casos en los que el objeto contractual derivado que se pretende contratar esté cobijado y sometido a algún documento tipo. Esto significa que la aplicación del EGCAP solo será forzosa cuando existe un documento tipo que contempla bienes, obras y servicios dentro de las que se subsume la actividad a contratar por parte de la entidad de régimen especial, patrimonio autónomo o particular. Por ejemplo, si en cumplimiento de un convenio con una entidad sometida al EGCAP, un particular debe contratar el desarrollo de un software o la compra de unos buses, no estará obligado a seguirse por el EGCAP, al no ser estos objetos cobijados por los documentos tipo vigentes, mientras que si lo que requiere es el mantenimiento o la rehabilitación de una vía secundaría, por el contrario sí estará sometido al EGCAP, al estar tales actividades incluidas dentro de los documentos tipo de infraestructura de transporte. Esto por supuesto puede cambiar si la Agencia, en el futuro, adopta más documentos tipo que incluyan los objetos mencionados. </w:t>
      </w:r>
    </w:p>
    <w:p w14:paraId="1CB0AA14" w14:textId="77777777" w:rsidR="00915830" w:rsidRPr="00E858D2" w:rsidRDefault="00915830" w:rsidP="00915830">
      <w:pPr>
        <w:tabs>
          <w:tab w:val="left" w:pos="0"/>
        </w:tabs>
        <w:spacing w:line="276" w:lineRule="auto"/>
        <w:jc w:val="both"/>
        <w:rPr>
          <w:rFonts w:ascii="Arial" w:eastAsia="Calibri" w:hAnsi="Arial" w:cs="Arial"/>
          <w:bCs/>
          <w:sz w:val="22"/>
          <w:lang w:val="es-ES_tradnl"/>
        </w:rPr>
      </w:pPr>
    </w:p>
    <w:p w14:paraId="40797AF6" w14:textId="77777777" w:rsidR="00915830" w:rsidRPr="00E858D2" w:rsidRDefault="00915830" w:rsidP="00915830">
      <w:pPr>
        <w:tabs>
          <w:tab w:val="left" w:pos="0"/>
        </w:tabs>
        <w:spacing w:line="276" w:lineRule="auto"/>
        <w:jc w:val="both"/>
        <w:rPr>
          <w:rFonts w:ascii="Arial" w:eastAsia="Calibri" w:hAnsi="Arial" w:cs="Arial"/>
          <w:b/>
          <w:sz w:val="22"/>
          <w:lang w:val="es-ES_tradnl"/>
        </w:rPr>
      </w:pPr>
      <w:r w:rsidRPr="00E858D2">
        <w:rPr>
          <w:rFonts w:ascii="Arial" w:eastAsia="Calibri" w:hAnsi="Arial" w:cs="Arial"/>
          <w:b/>
          <w:i/>
          <w:iCs/>
          <w:sz w:val="22"/>
          <w:lang w:val="es-ES_tradnl"/>
        </w:rPr>
        <w:tab/>
        <w:t>2.2.3.</w:t>
      </w:r>
      <w:r w:rsidRPr="00E858D2">
        <w:rPr>
          <w:rFonts w:ascii="Arial" w:eastAsia="Calibri" w:hAnsi="Arial" w:cs="Arial"/>
          <w:b/>
          <w:sz w:val="22"/>
          <w:lang w:val="es-ES_tradnl"/>
        </w:rPr>
        <w:t xml:space="preserve"> La noción de </w:t>
      </w:r>
      <w:r w:rsidRPr="00E858D2">
        <w:rPr>
          <w:rFonts w:ascii="Arial" w:eastAsia="Calibri" w:hAnsi="Arial" w:cs="Arial"/>
          <w:b/>
          <w:i/>
          <w:iCs/>
          <w:sz w:val="22"/>
          <w:lang w:val="es-ES_tradnl"/>
        </w:rPr>
        <w:t xml:space="preserve">giro ordinario </w:t>
      </w:r>
      <w:r w:rsidRPr="00E858D2">
        <w:rPr>
          <w:rFonts w:ascii="Arial" w:eastAsia="Calibri" w:hAnsi="Arial" w:cs="Arial"/>
          <w:b/>
          <w:sz w:val="22"/>
          <w:lang w:val="es-ES_tradnl"/>
        </w:rPr>
        <w:t>y su relevancia para la aplicación del artículo 56 de la Ley 2195 de 2022</w:t>
      </w:r>
    </w:p>
    <w:p w14:paraId="0F6F03F7" w14:textId="77777777" w:rsidR="00915830" w:rsidRPr="00E858D2" w:rsidRDefault="00915830" w:rsidP="00915830">
      <w:pPr>
        <w:tabs>
          <w:tab w:val="left" w:pos="0"/>
        </w:tabs>
        <w:spacing w:line="276" w:lineRule="auto"/>
        <w:jc w:val="both"/>
        <w:rPr>
          <w:rFonts w:ascii="Arial" w:eastAsia="Calibri" w:hAnsi="Arial" w:cs="Arial"/>
          <w:b/>
          <w:sz w:val="22"/>
          <w:lang w:val="es-ES_tradnl"/>
        </w:rPr>
      </w:pPr>
    </w:p>
    <w:p w14:paraId="30F7D0FB" w14:textId="77777777" w:rsidR="00915830" w:rsidRPr="00E858D2" w:rsidRDefault="00915830" w:rsidP="00915830">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 xml:space="preserve">Para responder la consulta, es necesario precisar el alcance de lo dispuesto en los dos primeros incisos del artículo 56 a luz de lo establecido en su parágrafo, el cual excluye de </w:t>
      </w:r>
      <w:r w:rsidRPr="00E858D2">
        <w:rPr>
          <w:rFonts w:ascii="Arial" w:eastAsia="Calibri" w:hAnsi="Arial" w:cs="Arial"/>
          <w:bCs/>
          <w:sz w:val="22"/>
          <w:lang w:val="es-ES_tradnl"/>
        </w:rPr>
        <w:lastRenderedPageBreak/>
        <w:t xml:space="preserve">la aplicación de los primeros incisos del artículo 56, a cierto tipo de entidades, en lo relacionado con la contratación de su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xml:space="preserve">. Conforme se desprende del texto del referido parágrafo, se exceptúa de lo señalado en los dos primeros incisos a: i) las instituciones de educación superior públicas, ii) las empresas sociales del Estado, iii) las sociedades de economía mixta y iv) las empresas industriales y comerciales del Estado, únicamente, en la contratación relacionada con el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xml:space="preserve"> Esto significa que en la contratación asociada a su </w:t>
      </w:r>
      <w:r w:rsidRPr="00E858D2">
        <w:rPr>
          <w:rFonts w:ascii="Arial" w:eastAsia="Calibri" w:hAnsi="Arial" w:cs="Arial"/>
          <w:bCs/>
          <w:i/>
          <w:iCs/>
          <w:sz w:val="22"/>
          <w:lang w:val="es-ES_tradnl"/>
        </w:rPr>
        <w:t xml:space="preserve">giro ordinario, </w:t>
      </w:r>
      <w:r w:rsidRPr="00E858D2">
        <w:rPr>
          <w:rFonts w:ascii="Arial" w:eastAsia="Calibri" w:hAnsi="Arial" w:cs="Arial"/>
          <w:bCs/>
          <w:sz w:val="22"/>
          <w:lang w:val="es-ES_tradnl"/>
        </w:rPr>
        <w:t xml:space="preserve">estos tipos de entidades no tendrían que aplicar, de manera obligatoria, los documentos tipo, ni tampoco el EGCAP. En este caso la norma se limita a fomentar la implementación de documentos tipo a modo de buena práctica contractual, en los casos en los que se estime conveniente. </w:t>
      </w:r>
    </w:p>
    <w:p w14:paraId="2E18F424" w14:textId="77777777" w:rsidR="00915830" w:rsidRPr="00E858D2" w:rsidRDefault="00915830" w:rsidP="00915830">
      <w:pPr>
        <w:tabs>
          <w:tab w:val="left" w:pos="0"/>
        </w:tabs>
        <w:spacing w:after="120" w:line="276" w:lineRule="auto"/>
        <w:jc w:val="both"/>
        <w:rPr>
          <w:rFonts w:ascii="Arial" w:eastAsia="Arial" w:hAnsi="Arial" w:cs="Arial"/>
          <w:color w:val="000000"/>
          <w:sz w:val="22"/>
          <w:lang w:val="es-ES_tradnl"/>
        </w:rPr>
      </w:pPr>
      <w:r w:rsidRPr="00E858D2">
        <w:rPr>
          <w:rFonts w:ascii="Arial" w:eastAsia="Calibri" w:hAnsi="Arial" w:cs="Arial"/>
          <w:bCs/>
          <w:sz w:val="22"/>
          <w:lang w:val="es-ES_tradnl"/>
        </w:rPr>
        <w:tab/>
        <w:t xml:space="preserve">Ahora, es importante tener en cuenta que cuando la norma se refiere a la contratación del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emplea un concepto jurídico indeterminado</w:t>
      </w:r>
      <w:r w:rsidRPr="00E858D2">
        <w:rPr>
          <w:rStyle w:val="Refdenotaalpie"/>
          <w:rFonts w:ascii="Arial" w:eastAsia="Calibri" w:hAnsi="Arial" w:cs="Arial"/>
        </w:rPr>
        <w:footnoteReference w:id="19"/>
      </w:r>
      <w:r w:rsidRPr="00E858D2">
        <w:rPr>
          <w:rFonts w:ascii="Arial" w:eastAsia="Calibri" w:hAnsi="Arial" w:cs="Arial"/>
          <w:bCs/>
          <w:sz w:val="22"/>
          <w:lang w:val="es-ES_tradnl"/>
        </w:rPr>
        <w:t xml:space="preserve">. </w:t>
      </w:r>
      <w:r w:rsidRPr="00E858D2">
        <w:rPr>
          <w:rFonts w:ascii="Arial" w:eastAsia="Arial" w:hAnsi="Arial" w:cs="Arial"/>
          <w:color w:val="000000"/>
          <w:sz w:val="22"/>
          <w:lang w:val="es-ES_tradnl"/>
        </w:rPr>
        <w:t xml:space="preserve">Un concepto adquiere esta denominación en el Derecho cuando se trata de un enunciado que goza de vaguedad y que debe materializarse en cada caso, atendiendo a las técnicas de la interpretación jurídica. De igual forma, se trata de un concepto para cuya concreción las entidades estatales gozan de cierto grado de discrecionalidad en su aplicación, pero deben respetar los límites previstos en las normas de orden público. Por ejemplo, no podrán considerar que cualquier contrato que celebren hace parte del giro ordinario de sus negocios. </w:t>
      </w:r>
    </w:p>
    <w:p w14:paraId="0E5AE372" w14:textId="77777777" w:rsidR="00915830" w:rsidRPr="00E858D2" w:rsidRDefault="00915830" w:rsidP="00915830">
      <w:pPr>
        <w:tabs>
          <w:tab w:val="left" w:pos="0"/>
        </w:tabs>
        <w:spacing w:line="276" w:lineRule="auto"/>
        <w:ind w:firstLine="709"/>
        <w:jc w:val="both"/>
        <w:rPr>
          <w:rFonts w:ascii="Arial" w:eastAsia="Calibri" w:hAnsi="Arial" w:cs="Arial"/>
          <w:bCs/>
          <w:sz w:val="22"/>
          <w:lang w:val="es-ES_tradnl"/>
        </w:rPr>
      </w:pPr>
      <w:r w:rsidRPr="00E858D2">
        <w:rPr>
          <w:rFonts w:ascii="Arial" w:eastAsia="Arial" w:hAnsi="Arial" w:cs="Arial"/>
          <w:color w:val="000000"/>
          <w:sz w:val="22"/>
          <w:lang w:val="es-ES_tradnl"/>
        </w:rPr>
        <w:t>La Corte Constitucional también ha reconocido que el Congreso de la República, dentro de su libertad de configuración legislativa, puede emplear este tipo de conceptos, que se caracterizan por tener un cierto halo de incertidumbre en su interpretación, quedando referida su determinación concreta a la actividad de los operadores jurídicos</w:t>
      </w:r>
      <w:r w:rsidRPr="00E858D2">
        <w:rPr>
          <w:rStyle w:val="Refdenotaalpie"/>
          <w:rFonts w:ascii="Arial" w:eastAsia="Arial" w:hAnsi="Arial" w:cs="Arial"/>
        </w:rPr>
        <w:footnoteReference w:id="20"/>
      </w:r>
      <w:r w:rsidRPr="00E858D2">
        <w:rPr>
          <w:rFonts w:ascii="Arial" w:eastAsia="Arial" w:hAnsi="Arial" w:cs="Arial"/>
          <w:color w:val="000000"/>
          <w:sz w:val="22"/>
          <w:lang w:val="es-ES_tradnl"/>
        </w:rPr>
        <w:t>.</w:t>
      </w:r>
    </w:p>
    <w:p w14:paraId="4FD44223" w14:textId="77777777" w:rsidR="00915830" w:rsidRPr="00E858D2" w:rsidRDefault="00915830" w:rsidP="00915830">
      <w:pPr>
        <w:tabs>
          <w:tab w:val="left" w:pos="0"/>
        </w:tabs>
        <w:spacing w:before="120" w:line="276" w:lineRule="auto"/>
        <w:ind w:firstLine="709"/>
        <w:jc w:val="both"/>
        <w:rPr>
          <w:rFonts w:ascii="Arial" w:eastAsia="Calibri" w:hAnsi="Arial" w:cs="Arial"/>
          <w:bCs/>
          <w:sz w:val="22"/>
          <w:lang w:val="es-ES_tradnl"/>
        </w:rPr>
      </w:pPr>
      <w:r w:rsidRPr="00E858D2">
        <w:rPr>
          <w:rFonts w:ascii="Arial" w:eastAsia="Calibri" w:hAnsi="Arial" w:cs="Arial"/>
          <w:bCs/>
          <w:sz w:val="22"/>
          <w:lang w:val="es-ES_tradnl"/>
        </w:rPr>
        <w:t xml:space="preserve">Aunque, como se indicó, la expresión giro ordinario de los negocios es un concepto jurídico indeterminado, el Consejo de Estado ha tenido la oportunidad de pronunciarse en distintas ocasiones sobre su alcance, estableciendo algunos criterios de interpretación.  En su momento, en relación con el alcance de la expresión </w:t>
      </w:r>
      <w:r w:rsidRPr="00E858D2">
        <w:rPr>
          <w:rFonts w:ascii="Arial" w:eastAsia="Calibri" w:hAnsi="Arial" w:cs="Arial"/>
          <w:bCs/>
          <w:i/>
          <w:iCs/>
          <w:sz w:val="22"/>
          <w:lang w:val="es-ES_tradnl"/>
        </w:rPr>
        <w:t xml:space="preserve">giro ordinario </w:t>
      </w:r>
      <w:r w:rsidRPr="00E858D2">
        <w:rPr>
          <w:rFonts w:ascii="Arial" w:eastAsia="Calibri" w:hAnsi="Arial" w:cs="Arial"/>
          <w:bCs/>
          <w:sz w:val="22"/>
          <w:lang w:val="es-ES_tradnl"/>
        </w:rPr>
        <w:t xml:space="preserve">incluida en la </w:t>
      </w:r>
      <w:r w:rsidRPr="00E858D2">
        <w:rPr>
          <w:rFonts w:ascii="Arial" w:eastAsia="Calibri" w:hAnsi="Arial" w:cs="Arial"/>
          <w:bCs/>
          <w:sz w:val="22"/>
          <w:lang w:val="es-ES_tradnl"/>
        </w:rPr>
        <w:lastRenderedPageBreak/>
        <w:t>redacción original del parágrafo 1 del artículo 32 de la Ley 80 de 1993</w:t>
      </w:r>
      <w:r w:rsidRPr="00E858D2">
        <w:rPr>
          <w:rStyle w:val="Refdenotaalpie"/>
          <w:rFonts w:ascii="Arial" w:eastAsia="Calibri" w:hAnsi="Arial" w:cs="Arial"/>
        </w:rPr>
        <w:footnoteReference w:id="21"/>
      </w:r>
      <w:r w:rsidRPr="00E858D2">
        <w:rPr>
          <w:rFonts w:ascii="Arial" w:eastAsia="Calibri" w:hAnsi="Arial" w:cs="Arial"/>
          <w:bCs/>
          <w:sz w:val="22"/>
          <w:lang w:val="es-ES_tradnl"/>
        </w:rPr>
        <w:t xml:space="preserve">, la Sección Tercera manifestó lo siguiente: </w:t>
      </w:r>
    </w:p>
    <w:p w14:paraId="1CFA1B9F" w14:textId="77777777" w:rsidR="00915830" w:rsidRPr="00E858D2" w:rsidRDefault="00915830" w:rsidP="00915830">
      <w:pPr>
        <w:tabs>
          <w:tab w:val="left" w:pos="0"/>
        </w:tabs>
        <w:spacing w:line="276" w:lineRule="auto"/>
        <w:jc w:val="both"/>
        <w:rPr>
          <w:rFonts w:ascii="Arial" w:eastAsia="Calibri" w:hAnsi="Arial" w:cs="Arial"/>
          <w:bCs/>
          <w:sz w:val="22"/>
          <w:lang w:val="es-ES_tradnl"/>
        </w:rPr>
      </w:pPr>
    </w:p>
    <w:p w14:paraId="4202739C" w14:textId="77777777" w:rsidR="00915830" w:rsidRPr="00E858D2" w:rsidRDefault="00915830" w:rsidP="00915830">
      <w:pPr>
        <w:ind w:left="709" w:right="709"/>
        <w:jc w:val="both"/>
        <w:rPr>
          <w:rFonts w:ascii="Arial" w:hAnsi="Arial" w:cs="Arial"/>
          <w:sz w:val="21"/>
          <w:szCs w:val="21"/>
          <w:lang w:val="es-ES_tradnl" w:eastAsia="es-CO"/>
        </w:rPr>
      </w:pPr>
      <w:r w:rsidRPr="00E858D2">
        <w:rPr>
          <w:rFonts w:ascii="Arial" w:hAnsi="Arial" w:cs="Arial"/>
          <w:sz w:val="21"/>
          <w:szCs w:val="21"/>
          <w:lang w:val="es-ES_tradnl"/>
        </w:rPr>
        <w:t>[E]l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en el objeto de la sociedad. Siendo así las cosas, resulta que el concepto “giro ordinario de las actividades” […], hace relación tanto a las actividades o negocios realizados en cumplimiento del objeto social o de las funciones principales, expresamente definidas por la Ley, como también a todo aquello que es conexo con ellas y que se realiza para desarrollar la función principal, estableciéndose entre estos una relación de medio a fin, estrecha y complementaria</w:t>
      </w:r>
      <w:r>
        <w:rPr>
          <w:rFonts w:ascii="Arial" w:hAnsi="Arial" w:cs="Arial"/>
          <w:sz w:val="21"/>
          <w:szCs w:val="21"/>
          <w:lang w:val="es-ES_tradnl"/>
        </w:rPr>
        <w:t>.</w:t>
      </w:r>
      <w:r w:rsidRPr="00E858D2">
        <w:rPr>
          <w:rStyle w:val="Refdenotaalpie"/>
          <w:rFonts w:ascii="Arial" w:hAnsi="Arial" w:cs="Arial"/>
        </w:rPr>
        <w:footnoteReference w:id="22"/>
      </w:r>
    </w:p>
    <w:p w14:paraId="731A0122" w14:textId="77777777" w:rsidR="00915830" w:rsidRPr="00E858D2" w:rsidRDefault="00915830" w:rsidP="00915830">
      <w:pPr>
        <w:tabs>
          <w:tab w:val="left" w:pos="0"/>
        </w:tabs>
        <w:spacing w:line="276" w:lineRule="auto"/>
        <w:jc w:val="both"/>
        <w:rPr>
          <w:rFonts w:ascii="Arial" w:eastAsia="Calibri" w:hAnsi="Arial" w:cs="Arial"/>
          <w:bCs/>
          <w:i/>
          <w:iCs/>
          <w:sz w:val="22"/>
          <w:lang w:val="es-ES_tradnl"/>
        </w:rPr>
      </w:pPr>
    </w:p>
    <w:p w14:paraId="47AA70E8" w14:textId="77777777" w:rsidR="00915830" w:rsidRDefault="00915830" w:rsidP="00915830">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el mismo sentido se pronunció recientemente el Alto Tribunal de lo Contencioso Administrativo, reiterando las anteriores consideraciones, al expresar que: </w:t>
      </w:r>
    </w:p>
    <w:p w14:paraId="70BA6259" w14:textId="77777777" w:rsidR="00915830" w:rsidRPr="00E858D2" w:rsidRDefault="00915830" w:rsidP="00915830">
      <w:pPr>
        <w:tabs>
          <w:tab w:val="left" w:pos="0"/>
        </w:tabs>
        <w:spacing w:line="276" w:lineRule="auto"/>
        <w:jc w:val="both"/>
        <w:rPr>
          <w:rFonts w:ascii="Arial" w:eastAsia="Calibri" w:hAnsi="Arial" w:cs="Arial"/>
          <w:bCs/>
          <w:sz w:val="22"/>
          <w:lang w:val="es-ES_tradnl"/>
        </w:rPr>
      </w:pPr>
    </w:p>
    <w:p w14:paraId="395BEA04" w14:textId="77777777" w:rsidR="00915830" w:rsidRPr="00E858D2" w:rsidRDefault="00915830" w:rsidP="00915830">
      <w:pPr>
        <w:tabs>
          <w:tab w:val="left" w:pos="0"/>
        </w:tabs>
        <w:spacing w:after="120"/>
        <w:ind w:left="709" w:right="709"/>
        <w:jc w:val="both"/>
        <w:rPr>
          <w:rFonts w:ascii="Arial" w:eastAsia="Calibri" w:hAnsi="Arial" w:cs="Arial"/>
          <w:bCs/>
          <w:sz w:val="21"/>
          <w:szCs w:val="21"/>
          <w:lang w:val="es-ES_tradnl"/>
        </w:rPr>
      </w:pPr>
      <w:r w:rsidRPr="00E858D2">
        <w:rPr>
          <w:rFonts w:ascii="Arial" w:eastAsia="Calibri" w:hAnsi="Arial" w:cs="Arial"/>
          <w:bCs/>
          <w:sz w:val="21"/>
          <w:szCs w:val="21"/>
          <w:lang w:val="es-ES_tradnl"/>
        </w:rPr>
        <w:t>[E]l elemento central para la determinación de este concepto jurídico, remite al objeto social –cuando se trata de empresas públicas o privadas constituidas bajo alguno de los tipos societarios definidos en la ley– pero también se refiere, mutatis mutandis, al objeto y funciones expresamente definidas en los actos de creación de entidades públicas que, por su naturaleza, se orientan al desarrollo de actividades industriales y comerciales. De forma que, el giro ordinario de los negocios se explica a partir del objeto social o, también, de las funciones expresamente fijadas por ley, según se trate de una persona jurídica pública o privada, pues ambas categorías, para estos efectos, resultan equivalentes.</w:t>
      </w:r>
    </w:p>
    <w:p w14:paraId="162D74B2" w14:textId="77777777" w:rsidR="00915830" w:rsidRPr="00E858D2" w:rsidRDefault="00915830" w:rsidP="00915830">
      <w:pPr>
        <w:tabs>
          <w:tab w:val="left" w:pos="0"/>
        </w:tabs>
        <w:spacing w:after="120"/>
        <w:ind w:left="709" w:right="709"/>
        <w:jc w:val="both"/>
        <w:rPr>
          <w:rFonts w:ascii="Arial" w:eastAsia="Calibri" w:hAnsi="Arial" w:cs="Arial"/>
          <w:bCs/>
          <w:sz w:val="21"/>
          <w:szCs w:val="21"/>
          <w:lang w:val="es-ES_tradnl"/>
        </w:rPr>
      </w:pPr>
      <w:r w:rsidRPr="00E858D2">
        <w:rPr>
          <w:rFonts w:ascii="Arial" w:eastAsia="Calibri" w:hAnsi="Arial" w:cs="Arial"/>
          <w:bCs/>
          <w:sz w:val="21"/>
          <w:szCs w:val="21"/>
          <w:lang w:val="es-ES_tradnl"/>
        </w:rPr>
        <w:t xml:space="preserve">Así las cosas, es razonable que el concepto de “giro ordinario de los negocios” sea compatible, de cara al sub lite, con el objeto y funciones de las empresas industriales y comerciales del estado –EICE– de carácter financiero, como lo es Fonade, dado que para el desarrollo de su ejercicio comercial ha sido autorizada para actuar en términos equivalentes a los particulares, de manera que al incursionar en el mercado como un partícipe más, el desarrollo de su gestión </w:t>
      </w:r>
      <w:r w:rsidRPr="00E858D2">
        <w:rPr>
          <w:rFonts w:ascii="Arial" w:eastAsia="Calibri" w:hAnsi="Arial" w:cs="Arial"/>
          <w:bCs/>
          <w:sz w:val="21"/>
          <w:szCs w:val="21"/>
          <w:lang w:val="es-ES_tradnl"/>
        </w:rPr>
        <w:lastRenderedPageBreak/>
        <w:t xml:space="preserve">está atada al giro ordinario de tales negocios, en los mismos términos en los que se desarrolla el objeto social de las empresas privadas.   </w:t>
      </w:r>
    </w:p>
    <w:p w14:paraId="68E290F3" w14:textId="77777777" w:rsidR="00915830" w:rsidRPr="00E858D2" w:rsidRDefault="00915830" w:rsidP="00915830">
      <w:pPr>
        <w:tabs>
          <w:tab w:val="left" w:pos="0"/>
        </w:tabs>
        <w:ind w:left="709" w:right="709"/>
        <w:jc w:val="both"/>
        <w:rPr>
          <w:rFonts w:ascii="Arial" w:eastAsia="Calibri" w:hAnsi="Arial" w:cs="Arial"/>
          <w:bCs/>
          <w:sz w:val="21"/>
          <w:szCs w:val="21"/>
          <w:lang w:val="es-ES_tradnl"/>
        </w:rPr>
      </w:pPr>
      <w:r w:rsidRPr="00E858D2">
        <w:rPr>
          <w:rFonts w:ascii="Arial" w:eastAsia="Calibri" w:hAnsi="Arial" w:cs="Arial"/>
          <w:bCs/>
          <w:sz w:val="21"/>
          <w:szCs w:val="21"/>
          <w:lang w:val="es-ES_tradnl"/>
        </w:rPr>
        <w:t>7.8. De otra parte, y frente a las actividades conexas o complementarias al objeto social, existe plena compatibilidad respecto de los actos y contratos que puede desarrollar una EICE bajo el giro ordinario de sus negocios pues, al tenor de lo normado en el artículo 86 de la Ley 489 de 1998, dispuso el legislador que además de las actividades y funciones previstas en la ley, en las normas de creación y en sus estatutos internos, la empresas industriales y comerciales del estado están facultadas para “desarrollar y ejecutar todos aquellos que sean necesarios para el cumplimiento del objeto asignado”, previsión que ratifica la aplicación equivalente del giro ordinario de los negocios a las EICE, en sus dos categorías de actuación –objeto principal y actividades conexas»</w:t>
      </w:r>
      <w:r w:rsidRPr="00E858D2">
        <w:rPr>
          <w:rStyle w:val="Refdenotaalpie"/>
          <w:rFonts w:ascii="Arial" w:eastAsia="Calibri" w:hAnsi="Arial" w:cs="Arial"/>
        </w:rPr>
        <w:footnoteReference w:id="23"/>
      </w:r>
      <w:r w:rsidRPr="00E858D2">
        <w:rPr>
          <w:rFonts w:ascii="Arial" w:eastAsia="Calibri" w:hAnsi="Arial" w:cs="Arial"/>
          <w:bCs/>
          <w:sz w:val="21"/>
          <w:szCs w:val="21"/>
          <w:lang w:val="es-ES_tradnl"/>
        </w:rPr>
        <w:t xml:space="preserve">. </w:t>
      </w:r>
    </w:p>
    <w:p w14:paraId="56DFB4A2" w14:textId="77777777" w:rsidR="00915830" w:rsidRPr="00E858D2" w:rsidRDefault="00915830" w:rsidP="00915830">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r>
    </w:p>
    <w:p w14:paraId="5F219C71" w14:textId="77777777" w:rsidR="00915830" w:rsidRPr="00E858D2" w:rsidRDefault="00915830" w:rsidP="00915830">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Conforme con lo expresado en estas providencias, el </w:t>
      </w:r>
      <w:r w:rsidRPr="00E858D2">
        <w:rPr>
          <w:rFonts w:ascii="Arial" w:eastAsia="Calibri" w:hAnsi="Arial" w:cs="Arial"/>
          <w:bCs/>
          <w:i/>
          <w:iCs/>
          <w:sz w:val="22"/>
          <w:lang w:val="es-ES_tradnl"/>
        </w:rPr>
        <w:t xml:space="preserve">giro ordinario </w:t>
      </w:r>
      <w:r w:rsidRPr="00E858D2">
        <w:rPr>
          <w:rFonts w:ascii="Arial" w:eastAsia="Calibri" w:hAnsi="Arial" w:cs="Arial"/>
          <w:bCs/>
          <w:sz w:val="22"/>
          <w:lang w:val="es-ES_tradnl"/>
        </w:rPr>
        <w:t>involucra los asuntos que integran el desarrollo del objeto social de una sociedad comercial, una empresa o entidad pública, lo cual comprende tanto unas actividades directamente relacionadas con dicho objeto social, así como otros actos conexos al mismo. Esta interpretación, en principio, es coherente con la regulación de la capacidad de las sociedades comerciales establecida en el Código de Comercio, cuyo artículo 99 dispone que «[</w:t>
      </w:r>
      <w:r w:rsidRPr="00E858D2">
        <w:rPr>
          <w:rFonts w:ascii="Arial" w:hAnsi="Arial" w:cs="Arial"/>
          <w:sz w:val="22"/>
          <w:lang w:val="es-ES_tradnl"/>
        </w:rPr>
        <w:t>S]e</w:t>
      </w:r>
      <w:r w:rsidRPr="00E858D2">
        <w:rPr>
          <w:rFonts w:ascii="Arial" w:eastAsia="Calibri" w:hAnsi="Arial" w:cs="Arial"/>
          <w:bCs/>
          <w:sz w:val="22"/>
          <w:lang w:val="es-ES_tradnl"/>
        </w:rPr>
        <w:t xml:space="preserve"> entenderán incluidos en el objeto social los actos directamente relacionados con el mismo y los que tengan como finalidad ejercer los derechos o cumplir las obligaciones, legal o convencionalmente derivados de la existencia y actividad de la sociedad»</w:t>
      </w:r>
      <w:r w:rsidRPr="00E858D2">
        <w:rPr>
          <w:rStyle w:val="Refdenotaalpie"/>
          <w:rFonts w:ascii="Arial" w:eastAsia="Calibri" w:hAnsi="Arial" w:cs="Arial"/>
        </w:rPr>
        <w:footnoteReference w:id="24"/>
      </w:r>
      <w:r w:rsidRPr="00E858D2">
        <w:rPr>
          <w:rFonts w:ascii="Arial" w:eastAsia="Calibri" w:hAnsi="Arial" w:cs="Arial"/>
          <w:bCs/>
          <w:sz w:val="22"/>
          <w:lang w:val="es-ES_tradnl"/>
        </w:rPr>
        <w:t xml:space="preserve">. </w:t>
      </w:r>
    </w:p>
    <w:p w14:paraId="277B82FA" w14:textId="77777777" w:rsidR="00915830" w:rsidRPr="00E858D2" w:rsidRDefault="00915830" w:rsidP="00915830">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De otra parte, la doctrina societaria también se ha encargado de definir el </w:t>
      </w:r>
      <w:r w:rsidRPr="00E858D2">
        <w:rPr>
          <w:rFonts w:ascii="Arial" w:eastAsia="Calibri" w:hAnsi="Arial" w:cs="Arial"/>
          <w:bCs/>
          <w:i/>
          <w:iCs/>
          <w:sz w:val="22"/>
          <w:lang w:val="es-ES_tradnl"/>
        </w:rPr>
        <w:t>objeto social</w:t>
      </w:r>
      <w:r w:rsidRPr="00E858D2">
        <w:rPr>
          <w:rFonts w:ascii="Arial" w:eastAsia="Calibri" w:hAnsi="Arial" w:cs="Arial"/>
          <w:bCs/>
          <w:sz w:val="22"/>
          <w:lang w:val="es-ES_tradnl"/>
        </w:rPr>
        <w:t xml:space="preserve">, así como su relación con el concepto de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Al respecto, la Superintendencia de Sociedades, citando doctrina autorizada en la materia, ha señalado:</w:t>
      </w:r>
    </w:p>
    <w:p w14:paraId="485C8830" w14:textId="77777777" w:rsidR="00915830" w:rsidRPr="00E858D2" w:rsidRDefault="00915830" w:rsidP="00915830">
      <w:pPr>
        <w:tabs>
          <w:tab w:val="left" w:pos="0"/>
        </w:tabs>
        <w:spacing w:line="276" w:lineRule="auto"/>
        <w:jc w:val="both"/>
        <w:rPr>
          <w:rFonts w:ascii="Arial" w:eastAsia="Calibri" w:hAnsi="Arial" w:cs="Arial"/>
          <w:bCs/>
          <w:sz w:val="22"/>
          <w:lang w:val="es-ES_tradnl"/>
        </w:rPr>
      </w:pPr>
    </w:p>
    <w:p w14:paraId="20E16B56" w14:textId="77777777" w:rsidR="00915830" w:rsidRPr="00E858D2" w:rsidRDefault="00915830" w:rsidP="00915830">
      <w:pPr>
        <w:tabs>
          <w:tab w:val="left" w:pos="0"/>
        </w:tabs>
        <w:spacing w:after="120"/>
        <w:ind w:left="709" w:right="709"/>
        <w:jc w:val="both"/>
        <w:rPr>
          <w:rFonts w:ascii="Arial" w:hAnsi="Arial" w:cs="Arial"/>
          <w:sz w:val="21"/>
          <w:szCs w:val="21"/>
          <w:lang w:val="es-ES_tradnl"/>
        </w:rPr>
      </w:pPr>
      <w:r w:rsidRPr="00E858D2">
        <w:rPr>
          <w:rFonts w:ascii="Arial" w:hAnsi="Arial" w:cs="Arial"/>
          <w:sz w:val="21"/>
          <w:szCs w:val="21"/>
          <w:lang w:val="es-ES_tradnl"/>
        </w:rPr>
        <w:lastRenderedPageBreak/>
        <w:t>Si bien el llamado giro ordinario de los negocios se encuentra determinado por las actividades que constituyen el objeto social, resultan oportunas algunas precisiones conceptuales en torno al empleo constante en la práctica mercantil de la referida expresión "giro ordinario de los negocios". Partiendo de las anteriores consideraciones en cuanto al tema del objeto social, se concluye que éste alude a las actividades que desarrolla o se propone realizar el ente social, al paso que solamente quedan cobijadas por "giro ordinario" aquellas actividades que en forma habitual u ordinaria, ejecuta la sociedad.</w:t>
      </w:r>
    </w:p>
    <w:p w14:paraId="02DF8A2D" w14:textId="77777777" w:rsidR="00915830" w:rsidRPr="00E858D2" w:rsidRDefault="00915830" w:rsidP="00915830">
      <w:pPr>
        <w:tabs>
          <w:tab w:val="left" w:pos="0"/>
        </w:tabs>
        <w:ind w:left="709" w:right="709"/>
        <w:jc w:val="both"/>
        <w:rPr>
          <w:rFonts w:ascii="Arial" w:eastAsia="Calibri" w:hAnsi="Arial" w:cs="Arial"/>
          <w:bCs/>
          <w:sz w:val="21"/>
          <w:szCs w:val="21"/>
          <w:lang w:val="es-ES_tradnl"/>
        </w:rPr>
      </w:pPr>
      <w:r w:rsidRPr="00E858D2">
        <w:rPr>
          <w:rFonts w:ascii="Arial" w:hAnsi="Arial" w:cs="Arial"/>
          <w:sz w:val="21"/>
          <w:szCs w:val="21"/>
          <w:lang w:val="es-ES_tradnl"/>
        </w:rPr>
        <w:t>Advierte el profesor GAVIRIA GUTIÉRREZ (Lecciones de Derecho Comercial, Biblioteca Jurídica DIKE, Medellín, 1987, Pág. 251) que "el objeto social tiene un significado de mayor amplitud que el giro ordinario, pues aquel comprende cuanto acto sea necesario o conveniente para realizar el fin social propuesto, ya sea de simple gestión ordinaria, como la compra de materias primas y la venta de productos elaborados, ya de gestión extraordinaria, como un traslado de las instalaciones industriales, un despido masivo, un cambio de marcas y demás signos distintivos", de lo cual puede deducirse una relación de género a especie entre ambos conceptos, siendo el giro ordinario una especie que se enmarca al interior del genérico objeto social»</w:t>
      </w:r>
      <w:r w:rsidRPr="00E858D2">
        <w:rPr>
          <w:rStyle w:val="Refdenotaalpie"/>
          <w:rFonts w:ascii="Arial" w:hAnsi="Arial" w:cs="Arial"/>
        </w:rPr>
        <w:footnoteReference w:id="25"/>
      </w:r>
      <w:r w:rsidRPr="00E858D2">
        <w:rPr>
          <w:rFonts w:ascii="Arial" w:hAnsi="Arial" w:cs="Arial"/>
          <w:sz w:val="21"/>
          <w:szCs w:val="21"/>
          <w:lang w:val="es-ES_tradnl"/>
        </w:rPr>
        <w:t>.</w:t>
      </w:r>
    </w:p>
    <w:p w14:paraId="54C4A235" w14:textId="77777777" w:rsidR="00915830" w:rsidRPr="00E858D2" w:rsidRDefault="00915830" w:rsidP="00915830">
      <w:pPr>
        <w:tabs>
          <w:tab w:val="left" w:pos="0"/>
        </w:tabs>
        <w:spacing w:line="276" w:lineRule="auto"/>
        <w:jc w:val="both"/>
        <w:rPr>
          <w:rFonts w:ascii="Arial" w:eastAsia="Calibri" w:hAnsi="Arial" w:cs="Arial"/>
          <w:bCs/>
          <w:sz w:val="22"/>
          <w:lang w:val="es-ES_tradnl"/>
        </w:rPr>
      </w:pPr>
    </w:p>
    <w:p w14:paraId="168FBE80" w14:textId="77777777" w:rsidR="00915830" w:rsidRPr="00E858D2" w:rsidRDefault="00915830" w:rsidP="00915830">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De acuerdo con estas consideraciones, no existe una plena equivalencia entre las </w:t>
      </w:r>
      <w:bookmarkStart w:id="4" w:name="_Hlk95322109"/>
      <w:r w:rsidRPr="00E858D2">
        <w:rPr>
          <w:rFonts w:ascii="Arial" w:eastAsia="Calibri" w:hAnsi="Arial" w:cs="Arial"/>
          <w:bCs/>
          <w:sz w:val="22"/>
          <w:lang w:val="es-ES_tradnl"/>
        </w:rPr>
        <w:t xml:space="preserve">actividades que hacen parte del desarrollo del </w:t>
      </w:r>
      <w:r w:rsidRPr="00E858D2">
        <w:rPr>
          <w:rFonts w:ascii="Arial" w:eastAsia="Calibri" w:hAnsi="Arial" w:cs="Arial"/>
          <w:bCs/>
          <w:i/>
          <w:iCs/>
          <w:sz w:val="22"/>
          <w:lang w:val="es-ES_tradnl"/>
        </w:rPr>
        <w:t>objeto social</w:t>
      </w:r>
      <w:r w:rsidRPr="00E858D2">
        <w:rPr>
          <w:rFonts w:ascii="Arial" w:eastAsia="Calibri" w:hAnsi="Arial" w:cs="Arial"/>
          <w:bCs/>
          <w:sz w:val="22"/>
          <w:lang w:val="es-ES_tradnl"/>
        </w:rPr>
        <w:t xml:space="preserve"> y las que comprende el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xml:space="preserve">, ya que como precisa la Superintendencia de Sociedades, entre lo que designan estas categorías existe una relación de género a especie. En ese sentido, de acuerdo con este criterio, las actividades que hacen parte del </w:t>
      </w:r>
      <w:r w:rsidRPr="00E858D2">
        <w:rPr>
          <w:rFonts w:ascii="Arial" w:eastAsia="Calibri" w:hAnsi="Arial" w:cs="Arial"/>
          <w:bCs/>
          <w:i/>
          <w:iCs/>
          <w:sz w:val="22"/>
          <w:lang w:val="es-ES_tradnl"/>
        </w:rPr>
        <w:t xml:space="preserve">giro ordinario </w:t>
      </w:r>
      <w:r w:rsidRPr="00E858D2">
        <w:rPr>
          <w:rFonts w:ascii="Arial" w:eastAsia="Calibri" w:hAnsi="Arial" w:cs="Arial"/>
          <w:bCs/>
          <w:sz w:val="22"/>
          <w:lang w:val="es-ES_tradnl"/>
        </w:rPr>
        <w:t xml:space="preserve">no son solo aquellas que están efectivamente comprendidas dentro del objeto social, sino que, además, se extiende a todas aquellas conexas que se desarrollan en la gestión usual de los asuntos de la sociedad. Esto significa que las actividades que hacen parte del </w:t>
      </w:r>
      <w:r w:rsidRPr="00E858D2">
        <w:rPr>
          <w:rFonts w:ascii="Arial" w:eastAsia="Calibri" w:hAnsi="Arial" w:cs="Arial"/>
          <w:bCs/>
          <w:i/>
          <w:iCs/>
          <w:sz w:val="22"/>
          <w:lang w:val="es-ES_tradnl"/>
        </w:rPr>
        <w:t>giro ordinario</w:t>
      </w:r>
      <w:r w:rsidRPr="00E858D2">
        <w:rPr>
          <w:rFonts w:ascii="Arial" w:eastAsia="Calibri" w:hAnsi="Arial" w:cs="Arial"/>
          <w:sz w:val="22"/>
        </w:rPr>
        <w:t xml:space="preserve"> son todas aquellas que hacen parte del objeto social, así como todas aquellas conexas al mismo, siguiendo lo señalado por la jurisprudencia del Consejo de Estado.   </w:t>
      </w:r>
      <w:r w:rsidRPr="00E858D2">
        <w:rPr>
          <w:rFonts w:ascii="Arial" w:eastAsia="Calibri" w:hAnsi="Arial" w:cs="Arial"/>
          <w:bCs/>
          <w:sz w:val="22"/>
          <w:lang w:val="es-ES_tradnl"/>
        </w:rPr>
        <w:t xml:space="preserve"> </w:t>
      </w:r>
    </w:p>
    <w:p w14:paraId="238BE68E" w14:textId="77777777" w:rsidR="00915830" w:rsidRPr="00E858D2" w:rsidRDefault="00915830" w:rsidP="00915830">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relación con la aplicación de lo dispuesto en el parágrafo del artículo 56 de la Ley 2195 de 2022, conviene aclarar que, a juicio de esta Agencia, a menos que el Presidente de la República en ejercicio de la potestad reglamentaria atribuida por el artículo 189.11 de la Constitución Política, disponga algo diferente, la expresión </w:t>
      </w:r>
      <w:r w:rsidRPr="00E858D2">
        <w:rPr>
          <w:rFonts w:ascii="Arial" w:eastAsia="Calibri" w:hAnsi="Arial" w:cs="Arial"/>
          <w:bCs/>
          <w:i/>
          <w:iCs/>
          <w:sz w:val="22"/>
          <w:lang w:val="es-ES_tradnl"/>
        </w:rPr>
        <w:t xml:space="preserve">giro ordinario </w:t>
      </w:r>
      <w:r w:rsidRPr="00E858D2">
        <w:rPr>
          <w:rFonts w:ascii="Arial" w:eastAsia="Calibri" w:hAnsi="Arial" w:cs="Arial"/>
          <w:bCs/>
          <w:sz w:val="22"/>
          <w:lang w:val="es-ES_tradnl"/>
        </w:rPr>
        <w:t xml:space="preserve">en dicha norma se usa para designar a la contratación directamente relacionada con los asuntos de la gestión habitual u ordinaria de los tipos de entidades mencionadas en el parágrafo. No </w:t>
      </w:r>
      <w:r w:rsidRPr="00E858D2">
        <w:rPr>
          <w:rFonts w:ascii="Arial" w:eastAsia="Calibri" w:hAnsi="Arial" w:cs="Arial"/>
          <w:bCs/>
          <w:sz w:val="22"/>
          <w:lang w:val="es-ES_tradnl"/>
        </w:rPr>
        <w:lastRenderedPageBreak/>
        <w:t xml:space="preserve">obstante, la determinación de las actividades que comprenden el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xml:space="preserve"> es un asunto que debe establecerse en cada caso concreto por parte de las entidades estatales –analizando lo establecido en sus actos de creación y verificando los negocios habituales u ordinarios que desarrollan–, pues el parágrafo del artículo 56 </w:t>
      </w:r>
      <w:r w:rsidRPr="00E858D2">
        <w:rPr>
          <w:rFonts w:ascii="Arial" w:eastAsia="Calibri" w:hAnsi="Arial" w:cs="Arial"/>
          <w:bCs/>
          <w:i/>
          <w:iCs/>
          <w:sz w:val="22"/>
          <w:lang w:val="es-ES_tradnl"/>
        </w:rPr>
        <w:t>ejusdem</w:t>
      </w:r>
      <w:r w:rsidRPr="00E858D2">
        <w:rPr>
          <w:rFonts w:ascii="Arial" w:eastAsia="Calibri" w:hAnsi="Arial" w:cs="Arial"/>
          <w:bCs/>
          <w:sz w:val="22"/>
          <w:lang w:val="es-ES_tradnl"/>
        </w:rPr>
        <w:t xml:space="preserve"> se limita a enunciar algunos tipos de entidades estatales, las cuales no solo difieren en su naturaleza jurídica, sino también en las actividades que llevan a cabo. </w:t>
      </w:r>
    </w:p>
    <w:p w14:paraId="491895F3" w14:textId="77777777" w:rsidR="00915830" w:rsidRPr="00E858D2" w:rsidRDefault="00915830" w:rsidP="00915830">
      <w:pPr>
        <w:tabs>
          <w:tab w:val="left" w:pos="0"/>
        </w:tabs>
        <w:spacing w:after="120" w:line="276" w:lineRule="auto"/>
        <w:ind w:firstLine="709"/>
        <w:jc w:val="both"/>
        <w:rPr>
          <w:rFonts w:ascii="Arial" w:eastAsia="Calibri" w:hAnsi="Arial" w:cs="Arial"/>
          <w:bCs/>
          <w:sz w:val="22"/>
          <w:lang w:val="es-ES_tradnl"/>
        </w:rPr>
      </w:pPr>
      <w:r w:rsidRPr="00E858D2">
        <w:rPr>
          <w:rFonts w:ascii="Arial" w:eastAsia="Calibri" w:hAnsi="Arial" w:cs="Arial"/>
          <w:bCs/>
          <w:sz w:val="22"/>
          <w:lang w:val="es-ES_tradnl"/>
        </w:rPr>
        <w:t xml:space="preserve">Esto impide que la Agencia Nacional de Contratación Pública, en sede consultiva, pueda determinar, con un criterio universal y absoluto, qué actividades específicas hacen parte del giro ordinario de los negocios de dichas entidades y cuáles escapan de este, pues, como se indicó, al explicar la naturaleza de los conceptos jurídicos indeterminados, la concreción del alcance de la expresión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xml:space="preserve"> debe hacerse en el caso concreto, empleando un criterio de interpretación restrictiva. Ello en la medida en que el parágrafo del artículo 56 consagra una excepción a una regla general. Además, cada una de las entidades estatales señaladas en dicho parágrafo se encuentra circunscrita, hermenéuticamente –para acotar aquel concepto–, a lo que establezcan sus normas estatutarias –actos de creación y demás reglamentos–, así como a la realidad de los negocios que hacen parte de su dinámica habitual.</w:t>
      </w:r>
    </w:p>
    <w:bookmarkEnd w:id="4"/>
    <w:p w14:paraId="4F3D663D" w14:textId="77777777" w:rsidR="00915830" w:rsidRPr="00E858D2" w:rsidRDefault="00915830" w:rsidP="00915830">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tales términos, lo dispuesto en el parágrafo del artículo 56 implica que las instituciones de educación superior públicas, las empresas sociales del Estado, las sociedades de economía mixta y las empresas industriales y comerciales del Estado, no tendrán que implementar documentos tipo únicamente para la contratación relacionada con el </w:t>
      </w:r>
      <w:r w:rsidRPr="00E858D2">
        <w:rPr>
          <w:rFonts w:ascii="Arial" w:eastAsia="Calibri" w:hAnsi="Arial" w:cs="Arial"/>
          <w:bCs/>
          <w:i/>
          <w:iCs/>
          <w:sz w:val="22"/>
          <w:lang w:val="es-ES_tradnl"/>
        </w:rPr>
        <w:t xml:space="preserve">giro ordinario </w:t>
      </w:r>
      <w:r w:rsidRPr="00E858D2">
        <w:rPr>
          <w:rFonts w:ascii="Arial" w:eastAsia="Calibri" w:hAnsi="Arial" w:cs="Arial"/>
          <w:bCs/>
          <w:sz w:val="22"/>
          <w:lang w:val="es-ES_tradnl"/>
        </w:rPr>
        <w:t xml:space="preserve">de sus asuntos, salvo que los manuales internos de contratación de estas entidades dispongan la obligación de tener en cuenta los documentos tipo como una buena práctica contractual. De acuerdo con este entendimiento, estas entidades, en virtud de su enunciación en este parágrafo, quedan, en principio, exceptuadas de los documentos tipo, incluso para la contratación de obras o servicios cubiertos por documentos tipo, en el marco del cumplimiento de contratos o convenios con entidades sometidas al EGCAP y de los negocios jurídicos que se deriven de ellos, exclusivamente en lo que se refiere a </w:t>
      </w:r>
      <w:r w:rsidRPr="00E858D2">
        <w:rPr>
          <w:rFonts w:ascii="Arial" w:eastAsia="Calibri" w:hAnsi="Arial" w:cs="Arial"/>
          <w:bCs/>
          <w:i/>
          <w:iCs/>
          <w:sz w:val="22"/>
          <w:lang w:val="es-ES_tradnl"/>
        </w:rPr>
        <w:t>su giro ordinario</w:t>
      </w:r>
      <w:r w:rsidRPr="00E858D2">
        <w:rPr>
          <w:rFonts w:ascii="Arial" w:eastAsia="Calibri" w:hAnsi="Arial" w:cs="Arial"/>
          <w:bCs/>
          <w:sz w:val="22"/>
          <w:lang w:val="es-ES_tradnl"/>
        </w:rPr>
        <w:t xml:space="preserve">, entendido este conforme a los criterios jurisprudenciales y doctrinarios aquí explicados. En otras palabras, ninguna entidad cuya naturaleza jurídica coincida con las mencionadas en el parágrafo del artículo 56, tendrá que someterse de manera obligatoria a los documentos tipo o el EGCAP para la contratación de obras o servicios asociadas a su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xml:space="preserve">, a menos que su manual de contratación establezca lo contrario. De hacerlo, primará el principio de inderogabilidad singular del reglamento, que obliga a aplicarlo en las actuaciones concretas.  </w:t>
      </w:r>
    </w:p>
    <w:p w14:paraId="01881FA2" w14:textId="77777777" w:rsidR="00915830" w:rsidRPr="00E858D2" w:rsidRDefault="00915830" w:rsidP="00915830">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lastRenderedPageBreak/>
        <w:tab/>
        <w:t>Esta interpretación, a juicio de la Agencia, se desprende de la literalidad del texto de la norma en comento, sino que además está en armonía con la voluntad del órgano legislativo. Al respecto se estima que, si bien es cierto que entre los propósitos del artículo está la extensión de los documentos tipo a entidades exceptuadas –a través de las cuales se podría estar eludiendo la aplicación de documentos tipo</w:t>
      </w:r>
      <w:r w:rsidRPr="00E858D2">
        <w:rPr>
          <w:rStyle w:val="Refdenotaalpie"/>
          <w:rFonts w:ascii="Arial" w:eastAsia="Calibri" w:hAnsi="Arial" w:cs="Arial"/>
        </w:rPr>
        <w:footnoteReference w:id="26"/>
      </w:r>
      <w:r w:rsidRPr="00E858D2">
        <w:rPr>
          <w:rFonts w:ascii="Arial" w:eastAsia="Calibri" w:hAnsi="Arial" w:cs="Arial"/>
          <w:bCs/>
          <w:sz w:val="22"/>
          <w:lang w:val="es-ES_tradnl"/>
        </w:rPr>
        <w:t>–, no es menos cierto que el Legislador, en materia de contratación estatal, goza de un amplio margen de configuración normativa, de conformidad con lo dispuesto en el inciso final del artículo 150 de la Constitución Política</w:t>
      </w:r>
      <w:r w:rsidRPr="00E858D2">
        <w:rPr>
          <w:rStyle w:val="Refdenotaalpie"/>
          <w:rFonts w:ascii="Arial" w:eastAsia="Calibri" w:hAnsi="Arial" w:cs="Arial"/>
        </w:rPr>
        <w:footnoteReference w:id="27"/>
      </w:r>
      <w:r w:rsidRPr="00E858D2">
        <w:rPr>
          <w:rFonts w:ascii="Arial" w:eastAsia="Calibri" w:hAnsi="Arial" w:cs="Arial"/>
          <w:bCs/>
          <w:sz w:val="22"/>
          <w:lang w:val="es-ES_tradnl"/>
        </w:rPr>
        <w:t xml:space="preserve">. En ese sentido, en virtud de esta potestad de configuración normativa, resulta perfectamente válido que se establezca una regla general y unas excepciones, como se hace, por ejemplo, en el artículo 56 de la Ley 2195 de 2022, en el que se consagra un mandato general en los primeros dos incisos, y una excepción en el parágrafo, para lo que enuncian unos tipos de entidades que se excluyen de la regla </w:t>
      </w:r>
      <w:r w:rsidRPr="00E858D2">
        <w:rPr>
          <w:rFonts w:ascii="Arial" w:eastAsia="Calibri" w:hAnsi="Arial" w:cs="Arial"/>
          <w:bCs/>
          <w:sz w:val="22"/>
          <w:lang w:val="es-ES_tradnl"/>
        </w:rPr>
        <w:lastRenderedPageBreak/>
        <w:t xml:space="preserve">general, únicamente respecto de la contratación de su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xml:space="preserve"> A esto se suma el hecho de que el parágrafo bajo estudio es una norma restrictiva, por lo que, en virtud de dicho carácter, amerita una interpretación apegada a lo que literalmente se desprende del texto. Como lo ha establecido el Consejo de Estado, «[…] de conformidad con la jurisprudencia uniforme y reiterada de esta Corporación, la aplicación de las normas que contemplan […] prohibiciones o limitaciones, deben responder a una interpretación restrictiva que no permite su extensión, por vía de la figura de la analogía, a supuestos no contemplados por el ordenamiento»</w:t>
      </w:r>
      <w:r w:rsidRPr="00E858D2">
        <w:rPr>
          <w:rStyle w:val="Refdenotaalpie"/>
          <w:rFonts w:ascii="Arial" w:eastAsia="Calibri" w:hAnsi="Arial" w:cs="Arial"/>
        </w:rPr>
        <w:footnoteReference w:id="28"/>
      </w:r>
      <w:r w:rsidRPr="00E858D2">
        <w:rPr>
          <w:rFonts w:ascii="Arial" w:eastAsia="Calibri" w:hAnsi="Arial" w:cs="Arial"/>
          <w:bCs/>
          <w:sz w:val="22"/>
          <w:lang w:val="es-ES_tradnl"/>
        </w:rPr>
        <w:t>.</w:t>
      </w:r>
    </w:p>
    <w:p w14:paraId="5E324BC9" w14:textId="77777777" w:rsidR="00915830" w:rsidRPr="00E858D2" w:rsidRDefault="00915830" w:rsidP="00915830">
      <w:pPr>
        <w:tabs>
          <w:tab w:val="left" w:pos="0"/>
        </w:tabs>
        <w:spacing w:before="120" w:after="120" w:line="276" w:lineRule="auto"/>
        <w:ind w:firstLine="709"/>
        <w:jc w:val="both"/>
        <w:rPr>
          <w:rFonts w:ascii="Arial" w:hAnsi="Arial" w:cs="Arial"/>
          <w:sz w:val="22"/>
        </w:rPr>
      </w:pPr>
      <w:r w:rsidRPr="00E858D2">
        <w:rPr>
          <w:rFonts w:ascii="Arial" w:eastAsia="Calibri" w:hAnsi="Arial" w:cs="Arial"/>
          <w:bCs/>
          <w:sz w:val="22"/>
          <w:lang w:val="es-ES_tradnl"/>
        </w:rPr>
        <w:t>De acuerdo con esta interpretación restrictiva</w:t>
      </w:r>
      <w:r w:rsidRPr="00E858D2">
        <w:rPr>
          <w:rStyle w:val="Refdenotaalpie"/>
          <w:rFonts w:ascii="Arial" w:eastAsia="Calibri" w:hAnsi="Arial" w:cs="Arial"/>
        </w:rPr>
        <w:footnoteReference w:id="29"/>
      </w:r>
      <w:r w:rsidRPr="00E858D2">
        <w:rPr>
          <w:rFonts w:ascii="Arial" w:eastAsia="Calibri" w:hAnsi="Arial" w:cs="Arial"/>
          <w:bCs/>
          <w:sz w:val="22"/>
          <w:lang w:val="es-ES_tradnl"/>
        </w:rPr>
        <w:t xml:space="preserve">¸ el parágrafo del artículo 56 de la Ley 2195 de 2022 es claro al excluir a las instituciones de educación superior públicas, las empresas sociales del Estado, las sociedades de economía mixta y las empresas industriales y comerciales del Estado, de la aplicación de los documentos tipo y del EGCAP, únicamente en la contratación asociada a su </w:t>
      </w:r>
      <w:r w:rsidRPr="00E858D2">
        <w:rPr>
          <w:rFonts w:ascii="Arial" w:eastAsia="Calibri" w:hAnsi="Arial" w:cs="Arial"/>
          <w:bCs/>
          <w:i/>
          <w:iCs/>
          <w:sz w:val="22"/>
          <w:lang w:val="es-ES_tradnl"/>
        </w:rPr>
        <w:t xml:space="preserve">giro ordinario, </w:t>
      </w:r>
      <w:r w:rsidRPr="00E858D2">
        <w:rPr>
          <w:rFonts w:ascii="Arial" w:eastAsia="Calibri" w:hAnsi="Arial" w:cs="Arial"/>
          <w:bCs/>
          <w:sz w:val="22"/>
          <w:lang w:val="es-ES_tradnl"/>
        </w:rPr>
        <w:t>derivada del cumplimiento de contratos y/o convenios con entidades sometidas al EGCAP. Por ello, no es posible sostener una interpretación teleológica que pretenda una aplicación extensiva de los documentos tipo por parte de las entidades estatales que menciona el parágrafo, pues  ello además implicaría contrariar aquel mandato interpretativo según el cual «cuando el sentido de la ley sea claro, no se desatenderá su tenor literal a pretexto de consultar su espíritu»</w:t>
      </w:r>
      <w:r w:rsidRPr="00E858D2">
        <w:rPr>
          <w:rStyle w:val="Refdenotaalpie"/>
          <w:rFonts w:ascii="Arial" w:hAnsi="Arial" w:cs="Arial"/>
        </w:rPr>
        <w:footnoteReference w:id="30"/>
      </w:r>
      <w:r w:rsidRPr="00E858D2">
        <w:rPr>
          <w:rFonts w:ascii="Arial" w:eastAsia="Calibri" w:hAnsi="Arial" w:cs="Arial"/>
          <w:bCs/>
          <w:sz w:val="22"/>
          <w:lang w:val="es-ES_tradnl"/>
        </w:rPr>
        <w:t>, al igual que la regla según la cual «</w:t>
      </w:r>
      <w:r w:rsidRPr="00E858D2">
        <w:rPr>
          <w:rFonts w:ascii="Arial" w:hAnsi="Arial" w:cs="Arial"/>
          <w:sz w:val="22"/>
        </w:rPr>
        <w:t>Lo favorable u odioso de una disposición no se tomará en cuenta para ampliar o restringir su interpretación»</w:t>
      </w:r>
      <w:r w:rsidRPr="00E858D2">
        <w:rPr>
          <w:rStyle w:val="Refdenotaalpie"/>
          <w:rFonts w:ascii="Arial" w:hAnsi="Arial" w:cs="Arial"/>
        </w:rPr>
        <w:footnoteReference w:id="31"/>
      </w:r>
      <w:r w:rsidRPr="00E858D2">
        <w:rPr>
          <w:rFonts w:ascii="Arial" w:hAnsi="Arial" w:cs="Arial"/>
          <w:sz w:val="22"/>
        </w:rPr>
        <w:t xml:space="preserve">. </w:t>
      </w:r>
    </w:p>
    <w:p w14:paraId="4A92583A" w14:textId="77777777" w:rsidR="00915830" w:rsidRPr="00397E5B" w:rsidRDefault="00915830" w:rsidP="00915830">
      <w:pPr>
        <w:tabs>
          <w:tab w:val="left" w:pos="0"/>
        </w:tabs>
        <w:spacing w:before="120" w:after="120" w:line="276" w:lineRule="auto"/>
        <w:ind w:firstLine="709"/>
        <w:jc w:val="both"/>
        <w:rPr>
          <w:rFonts w:ascii="Arial" w:eastAsia="Calibri" w:hAnsi="Arial" w:cs="Arial"/>
          <w:bCs/>
          <w:sz w:val="22"/>
          <w:lang w:val="es-ES_tradnl"/>
        </w:rPr>
      </w:pPr>
      <w:r w:rsidRPr="00E858D2">
        <w:rPr>
          <w:rFonts w:ascii="Arial" w:eastAsia="Calibri" w:hAnsi="Arial" w:cs="Arial"/>
          <w:bCs/>
          <w:sz w:val="22"/>
          <w:lang w:val="es-ES_tradnl"/>
        </w:rPr>
        <w:t xml:space="preserve">En conclusión, a juicio de esta Agencia lo dispuesto en el parágrafo del artículo 56 de la Ley 2195 de 2022, es una manifestación de la voluntad del Legislador de relevar a las instituciones de educación superior públicas, las empresas sociales del Estado, las sociedades de economía mixta y las empresas industriales y comerciales del Estado, de la implementación de documentos tipo y de la aplicación del EGCAP, únicamente en lo que tiene que ver con su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xml:space="preserve">. Esto significa que tales entidades, cuando en desarrollo </w:t>
      </w:r>
      <w:r w:rsidRPr="00397E5B">
        <w:rPr>
          <w:rFonts w:ascii="Arial" w:eastAsia="Calibri" w:hAnsi="Arial" w:cs="Arial"/>
          <w:bCs/>
          <w:sz w:val="22"/>
          <w:lang w:val="es-ES_tradnl"/>
        </w:rPr>
        <w:lastRenderedPageBreak/>
        <w:t xml:space="preserve">de un contrato o un convenio con una entidad sometida al EGCAP, requieran contratar un objeto cobijado por algún documento tipo, que no esté comprendido dentro de su </w:t>
      </w:r>
      <w:r w:rsidRPr="00397E5B">
        <w:rPr>
          <w:rFonts w:ascii="Arial" w:eastAsia="Calibri" w:hAnsi="Arial" w:cs="Arial"/>
          <w:bCs/>
          <w:i/>
          <w:iCs/>
          <w:sz w:val="22"/>
          <w:lang w:val="es-ES_tradnl"/>
        </w:rPr>
        <w:t>giro ordinario,</w:t>
      </w:r>
      <w:r w:rsidRPr="00397E5B">
        <w:rPr>
          <w:rFonts w:ascii="Arial" w:eastAsia="Calibri" w:hAnsi="Arial" w:cs="Arial"/>
          <w:bCs/>
          <w:sz w:val="22"/>
          <w:lang w:val="es-ES_tradnl"/>
        </w:rPr>
        <w:t xml:space="preserve"> deberán regirse por lo establecido en los dos incisos del referido artículo. Esta interpretación encuentra sustento en el principio del efecto útil del artículo 56 de la Ley 2195 de 2022, pues refleja el alcance que el Legislador quiso darle a la norma en comento.  </w:t>
      </w:r>
    </w:p>
    <w:p w14:paraId="6B4F9830" w14:textId="77777777" w:rsidR="00915830" w:rsidRPr="00397E5B" w:rsidRDefault="00915830" w:rsidP="00915830">
      <w:pPr>
        <w:spacing w:line="276" w:lineRule="auto"/>
        <w:ind w:firstLine="709"/>
        <w:jc w:val="both"/>
        <w:rPr>
          <w:rFonts w:ascii="Arial" w:eastAsia="Calibri" w:hAnsi="Arial" w:cs="Arial"/>
          <w:bCs/>
          <w:sz w:val="22"/>
          <w:lang w:val="es-ES_tradnl"/>
        </w:rPr>
      </w:pPr>
    </w:p>
    <w:p w14:paraId="678E5196" w14:textId="77777777" w:rsidR="00915830" w:rsidRPr="00397E5B" w:rsidRDefault="00915830" w:rsidP="00915830">
      <w:pPr>
        <w:pStyle w:val="Prrafodelista"/>
        <w:tabs>
          <w:tab w:val="left" w:pos="284"/>
        </w:tabs>
        <w:spacing w:line="276" w:lineRule="auto"/>
        <w:ind w:left="0"/>
        <w:jc w:val="both"/>
        <w:rPr>
          <w:rFonts w:ascii="Arial" w:eastAsia="Calibri" w:hAnsi="Arial" w:cs="Arial"/>
          <w:sz w:val="22"/>
          <w:lang w:val="es-ES_tradnl"/>
        </w:rPr>
      </w:pPr>
      <w:r w:rsidRPr="00397E5B">
        <w:rPr>
          <w:rFonts w:ascii="Arial" w:eastAsia="Calibri" w:hAnsi="Arial" w:cs="Arial"/>
          <w:b/>
          <w:sz w:val="22"/>
          <w:lang w:val="es-ES_tradnl"/>
        </w:rPr>
        <w:t>3. Respuesta</w:t>
      </w:r>
    </w:p>
    <w:p w14:paraId="59DCD3EA" w14:textId="77777777" w:rsidR="00915830" w:rsidRPr="00397E5B" w:rsidRDefault="00915830" w:rsidP="00915830">
      <w:pPr>
        <w:tabs>
          <w:tab w:val="left" w:pos="426"/>
        </w:tabs>
        <w:spacing w:line="276" w:lineRule="auto"/>
        <w:ind w:right="709"/>
        <w:jc w:val="both"/>
        <w:rPr>
          <w:rFonts w:ascii="Arial" w:eastAsia="Calibri" w:hAnsi="Arial" w:cs="Arial"/>
          <w:sz w:val="22"/>
          <w:lang w:val="es-ES_tradnl"/>
        </w:rPr>
      </w:pPr>
    </w:p>
    <w:p w14:paraId="07BA8B7B" w14:textId="77777777" w:rsidR="00915830" w:rsidRPr="00397E5B" w:rsidRDefault="00915830" w:rsidP="00915830">
      <w:pPr>
        <w:tabs>
          <w:tab w:val="left" w:pos="426"/>
        </w:tabs>
        <w:ind w:left="709" w:right="709"/>
        <w:jc w:val="both"/>
        <w:rPr>
          <w:rFonts w:ascii="Arial" w:hAnsi="Arial" w:cs="Arial"/>
          <w:color w:val="000000" w:themeColor="text1"/>
          <w:sz w:val="21"/>
          <w:szCs w:val="21"/>
          <w:lang w:val="es-ES_tradnl"/>
        </w:rPr>
      </w:pPr>
      <w:r w:rsidRPr="00397E5B">
        <w:rPr>
          <w:rFonts w:ascii="Arial" w:hAnsi="Arial" w:cs="Arial"/>
          <w:color w:val="000000" w:themeColor="text1"/>
          <w:sz w:val="21"/>
          <w:szCs w:val="21"/>
          <w:lang w:val="es-ES_tradnl"/>
        </w:rPr>
        <w:t>«</w:t>
      </w:r>
      <w:r w:rsidRPr="00397E5B">
        <w:rPr>
          <w:rFonts w:ascii="Arial" w:hAnsi="Arial" w:cs="Arial"/>
          <w:sz w:val="21"/>
          <w:szCs w:val="21"/>
        </w:rPr>
        <w:t>La razón de que las Empresas Sociales del Estado, cuenten con régimen excepcional de contratación al previsto en la Ley 80 de 1993 y normas concordantes, es dar a las ESE, instrumentos agiles y expeditos para la adquisición de los bienes y servicios indispensables para la prestación del servicio del derecho fundamental de Salud, en ese sentido ¿Con la expedición de la Ley 2195 de 2022, se debe entender que cesan los efectos otorgados por la Ley 100 de 1993 para estas entidades?</w:t>
      </w:r>
      <w:r w:rsidRPr="00397E5B">
        <w:rPr>
          <w:rFonts w:ascii="Arial" w:hAnsi="Arial" w:cs="Arial"/>
          <w:color w:val="000000" w:themeColor="text1"/>
          <w:sz w:val="21"/>
          <w:szCs w:val="21"/>
          <w:lang w:val="es-ES_tradnl"/>
        </w:rPr>
        <w:t>».</w:t>
      </w:r>
    </w:p>
    <w:p w14:paraId="1A85AE80" w14:textId="77777777" w:rsidR="00915830" w:rsidRPr="00397E5B" w:rsidRDefault="00915830" w:rsidP="00915830">
      <w:pPr>
        <w:tabs>
          <w:tab w:val="left" w:pos="426"/>
        </w:tabs>
        <w:spacing w:line="276" w:lineRule="auto"/>
        <w:ind w:right="709"/>
        <w:jc w:val="both"/>
        <w:rPr>
          <w:rFonts w:ascii="Arial" w:hAnsi="Arial" w:cs="Arial"/>
          <w:color w:val="000000" w:themeColor="text1"/>
          <w:sz w:val="22"/>
          <w:lang w:val="es-ES_tradnl"/>
        </w:rPr>
      </w:pPr>
    </w:p>
    <w:p w14:paraId="15841C8D" w14:textId="77777777" w:rsidR="00915830" w:rsidRPr="00397E5B" w:rsidRDefault="00915830" w:rsidP="00915830">
      <w:pPr>
        <w:tabs>
          <w:tab w:val="left" w:pos="426"/>
        </w:tabs>
        <w:spacing w:after="120" w:line="276" w:lineRule="auto"/>
        <w:jc w:val="both"/>
        <w:rPr>
          <w:rFonts w:ascii="Arial" w:eastAsia="Calibri" w:hAnsi="Arial" w:cs="Arial"/>
          <w:color w:val="000000" w:themeColor="text1"/>
          <w:sz w:val="22"/>
        </w:rPr>
      </w:pPr>
      <w:r w:rsidRPr="00397E5B">
        <w:rPr>
          <w:rFonts w:ascii="Arial" w:eastAsia="Calibri" w:hAnsi="Arial" w:cs="Arial"/>
          <w:bCs/>
          <w:sz w:val="22"/>
          <w:lang w:val="es-ES_tradnl"/>
        </w:rPr>
        <w:t xml:space="preserve">De acuerdo con la explicación precedente, </w:t>
      </w:r>
      <w:r w:rsidRPr="00397E5B">
        <w:rPr>
          <w:rFonts w:ascii="Arial" w:hAnsi="Arial" w:cs="Arial"/>
          <w:sz w:val="22"/>
        </w:rPr>
        <w:t xml:space="preserve">conforme al numeral 6 del artículo 195 de la Ley 100 de 1993, el régimen de contratación de las empresas sociales del Estado – ESE es el de derecho privado. </w:t>
      </w:r>
      <w:r w:rsidRPr="00397E5B">
        <w:rPr>
          <w:rFonts w:ascii="Arial" w:eastAsia="Calibri" w:hAnsi="Arial" w:cs="Arial"/>
          <w:color w:val="000000" w:themeColor="text1"/>
          <w:sz w:val="22"/>
        </w:rPr>
        <w:t>Aunque los contratos suscritos están excluidos del EGCAP, lo cierto es que no se rigen exclusivamente por el derecho civil y comercial, pues, conforme al artículo 13 de la Ley 1150 de 2007, también les aplican tanto los principios de la función administrativa y de la gestión fiscal, así como el régimen de inhabilidades e incompatibilidades, temáticas tratadas y reguladas en el referido estatuto.</w:t>
      </w:r>
    </w:p>
    <w:p w14:paraId="0847FB9B" w14:textId="77777777" w:rsidR="00915830" w:rsidRPr="00397E5B" w:rsidRDefault="00915830" w:rsidP="00915830">
      <w:pPr>
        <w:spacing w:after="120" w:line="276" w:lineRule="auto"/>
        <w:jc w:val="both"/>
        <w:rPr>
          <w:rFonts w:ascii="Arial" w:hAnsi="Arial" w:cs="Arial"/>
          <w:sz w:val="22"/>
          <w:shd w:val="clear" w:color="auto" w:fill="FFFFFF"/>
          <w:lang w:val="es-ES_tradnl"/>
        </w:rPr>
      </w:pPr>
      <w:r w:rsidRPr="00397E5B">
        <w:rPr>
          <w:rFonts w:ascii="Arial" w:eastAsia="Calibri" w:hAnsi="Arial" w:cs="Arial"/>
          <w:color w:val="000000" w:themeColor="text1"/>
          <w:sz w:val="22"/>
        </w:rPr>
        <w:tab/>
        <w:t>E</w:t>
      </w:r>
      <w:r w:rsidRPr="00397E5B">
        <w:rPr>
          <w:rFonts w:ascii="Arial" w:hAnsi="Arial" w:cs="Arial"/>
          <w:sz w:val="22"/>
          <w:shd w:val="clear" w:color="auto" w:fill="FFFFFF"/>
          <w:lang w:val="es-ES_tradnl"/>
        </w:rPr>
        <w:t xml:space="preserve">n virtud de lo establecido en el parágrafo 7 del artículo 2 de la Ley 1150 de 2007, modificado por la Ley 2022 de 2020, las entidades estatales regidas por el Estatuto General de Contratación de la Administración Pública están obligadas a aplicar los documentos tipo en los procedimientos y contratos que adelanten en aplicación de dicha normativa. Sin embargo, cuando estas entidades suscriban convenios o contratos de cualquier índole con entidades estatales de régimen especial o exceptuado, patrimonios autónomos, personas naturales o jurídicas de derecho privado, en atención a lo dispuesto en los dos primeros incisos del artículo 56 de la Ley 2195 de 2022, estos últimos también deberán aplicar documentos tipo, y en general, las disposiciones del Estatuto General de Contratación de la Administración Pública. </w:t>
      </w:r>
    </w:p>
    <w:p w14:paraId="4C8C2D7E" w14:textId="77777777" w:rsidR="00915830" w:rsidRPr="00397E5B" w:rsidRDefault="00915830" w:rsidP="00915830">
      <w:pPr>
        <w:spacing w:after="120" w:line="276" w:lineRule="auto"/>
        <w:ind w:firstLine="708"/>
        <w:jc w:val="both"/>
        <w:rPr>
          <w:rFonts w:ascii="Arial" w:hAnsi="Arial" w:cs="Arial"/>
          <w:sz w:val="22"/>
          <w:shd w:val="clear" w:color="auto" w:fill="FFFFFF"/>
          <w:lang w:val="es-ES_tradnl"/>
        </w:rPr>
      </w:pPr>
      <w:r w:rsidRPr="00397E5B">
        <w:rPr>
          <w:rFonts w:ascii="Arial" w:hAnsi="Arial" w:cs="Arial"/>
          <w:sz w:val="22"/>
          <w:shd w:val="clear" w:color="auto" w:fill="FFFFFF"/>
          <w:lang w:val="es-ES_tradnl"/>
        </w:rPr>
        <w:t xml:space="preserve">De esta manera, la aplicación del régimen contractual público y de los documentos tipo que deviene del cumplimiento del artículo 56 no se agota en la celebración del convenio o contrato propiamente dicho, sino que, por el contrario, se extiende a los compromisos contractuales derivados de este. Esto dado que el segundo inciso de la norma dispone la </w:t>
      </w:r>
      <w:r w:rsidRPr="00397E5B">
        <w:rPr>
          <w:rFonts w:ascii="Arial" w:hAnsi="Arial" w:cs="Arial"/>
          <w:sz w:val="22"/>
          <w:shd w:val="clear" w:color="auto" w:fill="FFFFFF"/>
          <w:lang w:val="es-ES_tradnl"/>
        </w:rPr>
        <w:lastRenderedPageBreak/>
        <w:t xml:space="preserve">aplicación del Estatuto General de Contratación de la Administración Pública y de los documentos tipo en todos los procedimientos de selección y los contratos que deban celebrarse para cumplir con los contratos o convenios celebrados entre una entidad sometida a la Ley 80 de 1993 y uno de los sujetos antes mencionados. Esto implica que, si una entidad exceptuada, un patrimonio autónomo o una persona natural o jurídica de derecho privado, en cumplimiento de un compromiso asumido en el contrato interadministrativo celebrado con una entidad sometida al Estatuto General, debe subcontratar una obra o servicio cobijado por algún documento tipo, </w:t>
      </w:r>
      <w:r w:rsidRPr="00397E5B">
        <w:rPr>
          <w:rFonts w:ascii="Arial" w:hAnsi="Arial" w:cs="Arial"/>
          <w:sz w:val="22"/>
          <w:lang w:val="es-ES_tradnl"/>
        </w:rPr>
        <w:t>estará obligada a</w:t>
      </w:r>
      <w:r w:rsidRPr="00397E5B">
        <w:rPr>
          <w:rFonts w:ascii="Arial" w:hAnsi="Arial" w:cs="Arial"/>
          <w:sz w:val="22"/>
          <w:shd w:val="clear" w:color="auto" w:fill="FFFFFF"/>
          <w:lang w:val="es-ES_tradnl"/>
        </w:rPr>
        <w:t xml:space="preserve"> hacerlo aplicando los mencionados documentos tipo, además de adelantar el Proceso de Contratación y celebrar el contrato conforme al Estatuto General de Contratación de la Administración Pública.  </w:t>
      </w:r>
    </w:p>
    <w:p w14:paraId="38BA1FDA" w14:textId="77777777" w:rsidR="00915830" w:rsidRPr="00397E5B" w:rsidRDefault="00915830" w:rsidP="00915830">
      <w:pPr>
        <w:spacing w:before="120" w:line="276" w:lineRule="auto"/>
        <w:ind w:firstLine="708"/>
        <w:jc w:val="both"/>
        <w:rPr>
          <w:rFonts w:ascii="Arial" w:hAnsi="Arial" w:cs="Arial"/>
          <w:sz w:val="22"/>
          <w:shd w:val="clear" w:color="auto" w:fill="FFFFFF"/>
          <w:lang w:val="es-ES_tradnl"/>
        </w:rPr>
      </w:pPr>
      <w:r w:rsidRPr="00397E5B">
        <w:rPr>
          <w:rFonts w:ascii="Arial" w:hAnsi="Arial" w:cs="Arial"/>
          <w:sz w:val="22"/>
          <w:shd w:val="clear" w:color="auto" w:fill="FFFFFF"/>
          <w:lang w:val="es-ES_tradnl"/>
        </w:rPr>
        <w:t xml:space="preserve">No obstante, de conformidad con lo establecido en el parágrafo de dicha norma, </w:t>
      </w:r>
      <w:r w:rsidRPr="00397E5B">
        <w:rPr>
          <w:rFonts w:ascii="Arial" w:eastAsia="Calibri" w:hAnsi="Arial" w:cs="Arial"/>
          <w:bCs/>
          <w:sz w:val="22"/>
          <w:lang w:val="es-ES_tradnl"/>
        </w:rPr>
        <w:t>las instituciones de educación superior públicas, las empresas sociales del Estado, las sociedades de economía mixta y las empresas industriales y comerciales del Estado, están exceptuadas de la aplicación de lo</w:t>
      </w:r>
      <w:r w:rsidRPr="00397E5B">
        <w:rPr>
          <w:rFonts w:ascii="Arial" w:hAnsi="Arial" w:cs="Arial"/>
          <w:sz w:val="22"/>
          <w:shd w:val="clear" w:color="auto" w:fill="FFFFFF"/>
          <w:lang w:val="es-ES_tradnl"/>
        </w:rPr>
        <w:t xml:space="preserve">s documentos tipo y del Estatuto General de Contratación de la Administración Pública, únicamente en la contratación relacionada con su </w:t>
      </w:r>
      <w:r w:rsidRPr="00397E5B">
        <w:rPr>
          <w:rFonts w:ascii="Arial" w:hAnsi="Arial" w:cs="Arial"/>
          <w:i/>
          <w:iCs/>
          <w:sz w:val="22"/>
          <w:shd w:val="clear" w:color="auto" w:fill="FFFFFF"/>
          <w:lang w:val="es-ES_tradnl"/>
        </w:rPr>
        <w:t>giro ordinario</w:t>
      </w:r>
      <w:r w:rsidRPr="00397E5B">
        <w:rPr>
          <w:rFonts w:ascii="Arial" w:hAnsi="Arial" w:cs="Arial"/>
          <w:sz w:val="22"/>
          <w:shd w:val="clear" w:color="auto" w:fill="FFFFFF"/>
          <w:lang w:val="es-ES_tradnl"/>
        </w:rPr>
        <w:t xml:space="preserve">. De acuerdo con lo señalado, en el marco del parágrafo del artículo 56, el </w:t>
      </w:r>
      <w:r w:rsidRPr="00397E5B">
        <w:rPr>
          <w:rFonts w:ascii="Arial" w:hAnsi="Arial" w:cs="Arial"/>
          <w:i/>
          <w:iCs/>
          <w:sz w:val="22"/>
          <w:shd w:val="clear" w:color="auto" w:fill="FFFFFF"/>
          <w:lang w:val="es-ES_tradnl"/>
        </w:rPr>
        <w:t>giro ordinario</w:t>
      </w:r>
      <w:r w:rsidRPr="00397E5B">
        <w:rPr>
          <w:rFonts w:ascii="Arial" w:hAnsi="Arial" w:cs="Arial"/>
          <w:sz w:val="22"/>
          <w:shd w:val="clear" w:color="auto" w:fill="FFFFFF"/>
          <w:lang w:val="es-ES_tradnl"/>
        </w:rPr>
        <w:t xml:space="preserve"> es un concepto jurídico indeterminado, que, de conformidad con la jurisprudencia contencioso-administrativa y el derecho societario, comprende todas aquellas actividades asociadas a la gestión habitual de una sociedad comercial, una empresa o una entidad pública, que guarden consonancia con su objeto social. Esto por supuesto a menos que, el Presidente de la República, en ejercicio de la potestad reglamentaria atribuida por el artículo 189.11 de la Constitución Política, le asigne un significado concreto a dicha expresión, para efectos de la implementación del artículo 56 de la Ley 2195 de 2022. </w:t>
      </w:r>
    </w:p>
    <w:p w14:paraId="5764C94F" w14:textId="77777777" w:rsidR="00915830" w:rsidRPr="00397E5B" w:rsidRDefault="00915830" w:rsidP="00915830">
      <w:pPr>
        <w:spacing w:before="120" w:after="120" w:line="276" w:lineRule="auto"/>
        <w:ind w:firstLine="709"/>
        <w:jc w:val="both"/>
        <w:rPr>
          <w:rFonts w:ascii="Arial" w:eastAsia="Calibri" w:hAnsi="Arial" w:cs="Arial"/>
          <w:bCs/>
          <w:sz w:val="22"/>
          <w:lang w:val="es-ES_tradnl"/>
        </w:rPr>
      </w:pPr>
      <w:r w:rsidRPr="00397E5B">
        <w:rPr>
          <w:rFonts w:ascii="Arial" w:eastAsia="Calibri" w:hAnsi="Arial" w:cs="Arial"/>
          <w:bCs/>
          <w:sz w:val="22"/>
          <w:lang w:val="es-ES_tradnl"/>
        </w:rPr>
        <w:t xml:space="preserve">A juicio de esta Agencia lo dispuesto en el parágrafo del artículo 56 de la Ley 2195 de 2022, es una manifestación de la voluntad del Legislador de relevar a las instituciones de educación superior públicas, las empresas sociales del Estado, las sociedades de economía mixta y las empresas industriales y comerciales del Estado, de la implementación de documentos tipo y de la aplicación del EGCAP, únicamente en lo que tiene que ver con su </w:t>
      </w:r>
      <w:r w:rsidRPr="00397E5B">
        <w:rPr>
          <w:rFonts w:ascii="Arial" w:eastAsia="Calibri" w:hAnsi="Arial" w:cs="Arial"/>
          <w:bCs/>
          <w:i/>
          <w:iCs/>
          <w:sz w:val="22"/>
          <w:lang w:val="es-ES_tradnl"/>
        </w:rPr>
        <w:t>giro ordinario</w:t>
      </w:r>
      <w:r w:rsidRPr="00397E5B">
        <w:rPr>
          <w:rFonts w:ascii="Arial" w:eastAsia="Calibri" w:hAnsi="Arial" w:cs="Arial"/>
          <w:bCs/>
          <w:sz w:val="22"/>
          <w:lang w:val="es-ES_tradnl"/>
        </w:rPr>
        <w:t xml:space="preserve">. Esto significa que tales entidades, cuando en desarrollo de un contrato o un convenio con una entidad sometida al EGCAP, requieran contratar un objeto cobijado por algún documento tipo, que no esté comprendido dentro de su </w:t>
      </w:r>
      <w:r w:rsidRPr="00397E5B">
        <w:rPr>
          <w:rFonts w:ascii="Arial" w:eastAsia="Calibri" w:hAnsi="Arial" w:cs="Arial"/>
          <w:bCs/>
          <w:i/>
          <w:iCs/>
          <w:sz w:val="22"/>
          <w:lang w:val="es-ES_tradnl"/>
        </w:rPr>
        <w:t>giro ordinario,</w:t>
      </w:r>
      <w:r w:rsidRPr="00397E5B">
        <w:rPr>
          <w:rFonts w:ascii="Arial" w:eastAsia="Calibri" w:hAnsi="Arial" w:cs="Arial"/>
          <w:bCs/>
          <w:sz w:val="22"/>
          <w:lang w:val="es-ES_tradnl"/>
        </w:rPr>
        <w:t xml:space="preserve"> deberán regirse por lo establecido en los dos incisos del referido artículo. Esta interpretación encuentra sustento en el principio del efecto útil del artículo 56 de la Ley 2195 de 2022, pues refleja el alcance que el Legislador quiso darle a la norma en comento. </w:t>
      </w:r>
    </w:p>
    <w:p w14:paraId="508BB0BE" w14:textId="77777777" w:rsidR="00915830" w:rsidRPr="00E858D2" w:rsidRDefault="00915830" w:rsidP="00915830">
      <w:pPr>
        <w:tabs>
          <w:tab w:val="left" w:pos="0"/>
        </w:tabs>
        <w:spacing w:line="276" w:lineRule="auto"/>
        <w:jc w:val="both"/>
        <w:rPr>
          <w:rFonts w:ascii="Arial" w:eastAsia="Calibri" w:hAnsi="Arial" w:cs="Arial"/>
          <w:bCs/>
          <w:sz w:val="22"/>
          <w:lang w:val="es-ES_tradnl"/>
        </w:rPr>
      </w:pPr>
      <w:r w:rsidRPr="00397E5B">
        <w:rPr>
          <w:rFonts w:ascii="Arial" w:eastAsia="Calibri" w:hAnsi="Arial" w:cs="Arial"/>
          <w:bCs/>
          <w:sz w:val="22"/>
          <w:lang w:val="es-ES_tradnl"/>
        </w:rPr>
        <w:lastRenderedPageBreak/>
        <w:tab/>
        <w:t>Para efectos de la consulta conviene precisar que, de conformidad con el artículo 56, el hecho de que una entidad exceptuada, un patrimonio autónomo, una persona natural o una persona jurídica, tenga suscrito un contrato o convenio con una entidad sometida al EGCAP, no significa que mute su régimen jurídico de manera permanente. Al respecto, de una lectura conjunta de los incisos primero y segundo se desprende que estos introducen el mandato de aplicación obligatoria del EGCAP por parte de los mencionados sujetos de régimen de derecho privado solo en lo referido a la subcontratación de bienes, obras y servicios relacionados con un contrato o convenio suscrito con una entidad sometida al EGCAP, siempre que exista documento tipo en el sector en el que se planea contratar. Esto significa que los contratos no relacionados con los compromisos adquiridos con la entidad sometida al EGCAP no tendrían que aplicar el régimen contractual público ni los documentos tipo, salvo que quieran hacerlo como una buena práctica de contratación.</w:t>
      </w:r>
      <w:r w:rsidRPr="00E858D2">
        <w:rPr>
          <w:rFonts w:ascii="Arial" w:eastAsia="Calibri" w:hAnsi="Arial" w:cs="Arial"/>
          <w:bCs/>
          <w:sz w:val="22"/>
          <w:lang w:val="es-ES_tradnl"/>
        </w:rPr>
        <w:t xml:space="preserve"> </w:t>
      </w:r>
    </w:p>
    <w:p w14:paraId="1A084916" w14:textId="77777777" w:rsidR="00915830" w:rsidRDefault="00915830" w:rsidP="00915830">
      <w:pPr>
        <w:tabs>
          <w:tab w:val="left" w:pos="426"/>
        </w:tabs>
        <w:spacing w:line="276" w:lineRule="auto"/>
        <w:jc w:val="both"/>
        <w:rPr>
          <w:rFonts w:ascii="Arial" w:eastAsia="Calibri" w:hAnsi="Arial" w:cs="Arial"/>
          <w:bCs/>
          <w:sz w:val="22"/>
          <w:lang w:val="es-ES_tradnl"/>
        </w:rPr>
      </w:pPr>
    </w:p>
    <w:p w14:paraId="4AE87F39" w14:textId="77777777" w:rsidR="00915830" w:rsidRPr="00987861" w:rsidRDefault="00915830" w:rsidP="00915830">
      <w:pPr>
        <w:pStyle w:val="NormalWeb"/>
        <w:spacing w:before="120" w:beforeAutospacing="0" w:after="0" w:afterAutospacing="0" w:line="276" w:lineRule="auto"/>
        <w:jc w:val="both"/>
        <w:rPr>
          <w:rFonts w:ascii="Arial" w:eastAsia="Calibri" w:hAnsi="Arial" w:cs="Arial"/>
          <w:sz w:val="22"/>
          <w:szCs w:val="22"/>
          <w:lang w:val="es-ES"/>
        </w:rPr>
      </w:pPr>
      <w:r w:rsidRPr="00987861">
        <w:rPr>
          <w:rFonts w:ascii="Arial" w:eastAsia="Calibri" w:hAnsi="Arial" w:cs="Arial"/>
          <w:sz w:val="22"/>
          <w:szCs w:val="22"/>
          <w:lang w:val="es-ES"/>
        </w:rPr>
        <w:t>Este concepto tiene el alcance previsto en el artículo 28 del Código de Procedimiento Administrativo y de lo Contencioso Administrativo.</w:t>
      </w:r>
    </w:p>
    <w:p w14:paraId="54658A51" w14:textId="77777777" w:rsidR="00915830" w:rsidRPr="00987861" w:rsidRDefault="00915830" w:rsidP="00915830">
      <w:pPr>
        <w:jc w:val="both"/>
        <w:rPr>
          <w:rFonts w:ascii="Arial" w:eastAsia="Calibri" w:hAnsi="Arial" w:cs="Arial"/>
          <w:sz w:val="22"/>
          <w:lang w:val="es-ES"/>
        </w:rPr>
      </w:pPr>
    </w:p>
    <w:p w14:paraId="567832BF" w14:textId="77777777" w:rsidR="00915830" w:rsidRDefault="00915830" w:rsidP="00915830">
      <w:pPr>
        <w:jc w:val="both"/>
        <w:rPr>
          <w:rFonts w:ascii="Arial" w:hAnsi="Arial" w:cs="Arial"/>
          <w:sz w:val="22"/>
          <w:lang w:val="es-ES" w:eastAsia="es-CO"/>
        </w:rPr>
      </w:pPr>
      <w:r w:rsidRPr="00987861">
        <w:rPr>
          <w:rFonts w:ascii="Arial" w:hAnsi="Arial" w:cs="Arial"/>
          <w:sz w:val="22"/>
          <w:lang w:val="es-ES" w:eastAsia="es-CO"/>
        </w:rPr>
        <w:t>Atentamente,</w:t>
      </w:r>
    </w:p>
    <w:p w14:paraId="1079D8D7" w14:textId="38AEB16F" w:rsidR="00915830" w:rsidRPr="009F5860" w:rsidRDefault="00113B0D" w:rsidP="00915830">
      <w:pPr>
        <w:jc w:val="center"/>
        <w:rPr>
          <w:rFonts w:ascii="Arial" w:hAnsi="Arial" w:cs="Arial"/>
          <w:sz w:val="18"/>
          <w:szCs w:val="20"/>
          <w:lang w:val="es-ES" w:eastAsia="es-CO"/>
        </w:rPr>
      </w:pPr>
      <w:r>
        <w:rPr>
          <w:noProof/>
        </w:rPr>
        <w:drawing>
          <wp:inline distT="0" distB="0" distL="0" distR="0" wp14:anchorId="286935FE" wp14:editId="67490FD6">
            <wp:extent cx="2171700" cy="923925"/>
            <wp:effectExtent l="0" t="0" r="0" b="9525"/>
            <wp:docPr id="3" name="Imagen 3"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 Carta&#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1700" cy="923925"/>
                    </a:xfrm>
                    <a:prstGeom prst="rect">
                      <a:avLst/>
                    </a:prstGeom>
                    <a:noFill/>
                    <a:ln>
                      <a:noFill/>
                    </a:ln>
                  </pic:spPr>
                </pic:pic>
              </a:graphicData>
            </a:graphic>
          </wp:inline>
        </w:drawing>
      </w:r>
    </w:p>
    <w:p w14:paraId="2D806CA6" w14:textId="77777777" w:rsidR="00915830" w:rsidRDefault="00915830" w:rsidP="00915830">
      <w:pPr>
        <w:rPr>
          <w:rFonts w:ascii="Arial" w:hAnsi="Arial" w:cs="Arial"/>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15830" w:rsidRPr="009F5860" w14:paraId="455C59FE" w14:textId="77777777" w:rsidTr="00E54AB5">
        <w:trPr>
          <w:trHeight w:val="315"/>
        </w:trPr>
        <w:tc>
          <w:tcPr>
            <w:tcW w:w="812" w:type="dxa"/>
            <w:vAlign w:val="center"/>
            <w:hideMark/>
          </w:tcPr>
          <w:p w14:paraId="32D4ED27" w14:textId="77777777" w:rsidR="00915830" w:rsidRPr="009F5860" w:rsidRDefault="00915830" w:rsidP="00E54AB5">
            <w:pPr>
              <w:rPr>
                <w:rFonts w:ascii="Arial" w:hAnsi="Arial" w:cs="Arial"/>
                <w:sz w:val="16"/>
                <w:szCs w:val="16"/>
                <w:lang w:val="es-ES" w:eastAsia="es-ES"/>
              </w:rPr>
            </w:pPr>
            <w:r w:rsidRPr="009F5860">
              <w:rPr>
                <w:rFonts w:ascii="Arial"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2D9ACAA2" w14:textId="77777777" w:rsidR="00915830" w:rsidRPr="009F5860" w:rsidRDefault="00915830" w:rsidP="00E54AB5">
            <w:pPr>
              <w:rPr>
                <w:rFonts w:ascii="Arial" w:hAnsi="Arial" w:cs="Arial"/>
                <w:sz w:val="16"/>
                <w:szCs w:val="16"/>
                <w:lang w:val="es-ES" w:eastAsia="es-ES"/>
              </w:rPr>
            </w:pPr>
            <w:r w:rsidRPr="009F5860">
              <w:rPr>
                <w:rFonts w:ascii="Arial" w:hAnsi="Arial" w:cs="Arial"/>
                <w:sz w:val="16"/>
                <w:szCs w:val="16"/>
                <w:lang w:val="es-ES" w:eastAsia="es-ES"/>
              </w:rPr>
              <w:t xml:space="preserve">Camilo Perdomo Villamil </w:t>
            </w:r>
          </w:p>
          <w:p w14:paraId="265C7E0C" w14:textId="77777777" w:rsidR="00915830" w:rsidRPr="009F5860" w:rsidRDefault="00915830" w:rsidP="00E54AB5">
            <w:pPr>
              <w:rPr>
                <w:rFonts w:ascii="Arial" w:hAnsi="Arial" w:cs="Arial"/>
                <w:sz w:val="16"/>
                <w:szCs w:val="16"/>
                <w:lang w:val="es-ES" w:eastAsia="es-ES"/>
              </w:rPr>
            </w:pPr>
            <w:r w:rsidRPr="009F5860">
              <w:rPr>
                <w:rFonts w:ascii="Arial" w:hAnsi="Arial" w:cs="Arial"/>
                <w:sz w:val="16"/>
                <w:szCs w:val="16"/>
                <w:lang w:val="es-ES" w:eastAsia="es-ES"/>
              </w:rPr>
              <w:t>Contratista de la Subdirección de Gestión Contractual</w:t>
            </w:r>
          </w:p>
        </w:tc>
      </w:tr>
      <w:tr w:rsidR="00915830" w:rsidRPr="009F5860" w14:paraId="0D84D1AD" w14:textId="77777777" w:rsidTr="00E54AB5">
        <w:trPr>
          <w:trHeight w:val="330"/>
        </w:trPr>
        <w:tc>
          <w:tcPr>
            <w:tcW w:w="812" w:type="dxa"/>
            <w:vAlign w:val="center"/>
            <w:hideMark/>
          </w:tcPr>
          <w:p w14:paraId="02F531A1" w14:textId="77777777" w:rsidR="00915830" w:rsidRPr="009F5860" w:rsidRDefault="00915830" w:rsidP="00E54AB5">
            <w:pPr>
              <w:rPr>
                <w:rFonts w:ascii="Arial" w:hAnsi="Arial" w:cs="Arial"/>
                <w:sz w:val="16"/>
                <w:szCs w:val="16"/>
                <w:lang w:val="es-ES" w:eastAsia="es-ES"/>
              </w:rPr>
            </w:pPr>
            <w:r w:rsidRPr="009F5860">
              <w:rPr>
                <w:rFonts w:ascii="Arial" w:hAnsi="Arial" w:cs="Arial"/>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37DA47D" w14:textId="77777777" w:rsidR="00915830" w:rsidRPr="00C00312" w:rsidRDefault="00915830" w:rsidP="00E54AB5">
            <w:pPr>
              <w:rPr>
                <w:rFonts w:ascii="Arial" w:hAnsi="Arial" w:cs="Arial"/>
                <w:sz w:val="16"/>
                <w:szCs w:val="16"/>
                <w:lang w:val="es-ES" w:eastAsia="es-ES"/>
              </w:rPr>
            </w:pPr>
            <w:r w:rsidRPr="00C00312">
              <w:rPr>
                <w:rFonts w:ascii="Arial" w:hAnsi="Arial" w:cs="Arial"/>
                <w:sz w:val="16"/>
                <w:szCs w:val="16"/>
                <w:lang w:val="es-ES" w:eastAsia="es-ES"/>
              </w:rPr>
              <w:t>Juan David Montoya Penagos</w:t>
            </w:r>
          </w:p>
          <w:p w14:paraId="561C0F53" w14:textId="77777777" w:rsidR="00915830" w:rsidRPr="009F5860" w:rsidRDefault="00915830" w:rsidP="00E54AB5">
            <w:pPr>
              <w:rPr>
                <w:rFonts w:ascii="Arial" w:hAnsi="Arial" w:cs="Arial"/>
                <w:sz w:val="16"/>
                <w:szCs w:val="16"/>
                <w:lang w:val="es-ES" w:eastAsia="es-ES"/>
              </w:rPr>
            </w:pPr>
            <w:r w:rsidRPr="00C00312">
              <w:rPr>
                <w:rFonts w:ascii="Arial" w:hAnsi="Arial" w:cs="Arial"/>
                <w:sz w:val="16"/>
                <w:szCs w:val="16"/>
                <w:lang w:val="es-ES" w:eastAsia="es-ES"/>
              </w:rPr>
              <w:t>Gestor T1-15 de la Subdirección de Gestión Contractual</w:t>
            </w:r>
          </w:p>
        </w:tc>
      </w:tr>
      <w:tr w:rsidR="00915830" w:rsidRPr="0008465D" w14:paraId="25E4FDE9" w14:textId="77777777" w:rsidTr="00E54AB5">
        <w:trPr>
          <w:trHeight w:val="300"/>
        </w:trPr>
        <w:tc>
          <w:tcPr>
            <w:tcW w:w="812" w:type="dxa"/>
            <w:vAlign w:val="center"/>
            <w:hideMark/>
          </w:tcPr>
          <w:p w14:paraId="3B6C8A40" w14:textId="77777777" w:rsidR="00915830" w:rsidRPr="009F5860" w:rsidRDefault="00915830" w:rsidP="00E54AB5">
            <w:pPr>
              <w:rPr>
                <w:rFonts w:ascii="Arial" w:hAnsi="Arial" w:cs="Arial"/>
                <w:sz w:val="16"/>
                <w:szCs w:val="16"/>
                <w:lang w:val="es-ES" w:eastAsia="es-ES"/>
              </w:rPr>
            </w:pPr>
            <w:r w:rsidRPr="009F5860">
              <w:rPr>
                <w:rFonts w:ascii="Arial"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E00A020" w14:textId="77777777" w:rsidR="00915830" w:rsidRPr="00E01B70" w:rsidRDefault="00915830" w:rsidP="00E54AB5">
            <w:pPr>
              <w:rPr>
                <w:rFonts w:ascii="Arial" w:hAnsi="Arial" w:cs="Arial"/>
                <w:sz w:val="16"/>
                <w:szCs w:val="16"/>
                <w:lang w:eastAsia="es-ES"/>
              </w:rPr>
            </w:pPr>
            <w:r w:rsidRPr="00E01B70">
              <w:rPr>
                <w:rFonts w:ascii="Arial" w:hAnsi="Arial" w:cs="Arial"/>
                <w:sz w:val="16"/>
                <w:szCs w:val="16"/>
                <w:lang w:eastAsia="es-ES"/>
              </w:rPr>
              <w:t xml:space="preserve">Andrés Ricardo Mancipe González </w:t>
            </w:r>
          </w:p>
          <w:p w14:paraId="090BD487" w14:textId="77777777" w:rsidR="00915830" w:rsidRPr="0008465D" w:rsidRDefault="00915830" w:rsidP="00E54AB5">
            <w:pPr>
              <w:rPr>
                <w:rFonts w:ascii="Arial" w:hAnsi="Arial" w:cs="Arial"/>
                <w:sz w:val="16"/>
                <w:szCs w:val="16"/>
                <w:lang w:val="es-ES" w:eastAsia="es-ES"/>
              </w:rPr>
            </w:pPr>
            <w:r w:rsidRPr="00E01B70">
              <w:rPr>
                <w:rFonts w:ascii="Arial" w:hAnsi="Arial" w:cs="Arial"/>
                <w:sz w:val="16"/>
                <w:szCs w:val="16"/>
                <w:lang w:eastAsia="es-ES"/>
              </w:rPr>
              <w:t>Subdirector de Gestión Contractual (E)</w:t>
            </w:r>
          </w:p>
        </w:tc>
      </w:tr>
    </w:tbl>
    <w:p w14:paraId="5CED9654" w14:textId="77777777" w:rsidR="00915830" w:rsidRPr="00B60BAC" w:rsidRDefault="00915830" w:rsidP="00915830">
      <w:pPr>
        <w:tabs>
          <w:tab w:val="left" w:pos="426"/>
        </w:tabs>
        <w:spacing w:before="120" w:after="120" w:line="276" w:lineRule="auto"/>
        <w:jc w:val="both"/>
        <w:rPr>
          <w:rFonts w:ascii="Arial" w:eastAsia="Calibri" w:hAnsi="Arial" w:cs="Arial"/>
          <w:bCs/>
          <w:sz w:val="22"/>
          <w:lang w:val="es-ES_tradnl"/>
        </w:rPr>
      </w:pPr>
    </w:p>
    <w:p w14:paraId="6D3A2DFB" w14:textId="77777777" w:rsidR="00915830" w:rsidRDefault="00915830"/>
    <w:sectPr w:rsidR="00915830" w:rsidSect="005D791B">
      <w:headerReference w:type="default" r:id="rId11"/>
      <w:footerReference w:type="default" r:id="rId12"/>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158C8" w14:textId="77777777" w:rsidR="00D331FE" w:rsidRDefault="00D331FE" w:rsidP="00915830">
      <w:r>
        <w:separator/>
      </w:r>
    </w:p>
  </w:endnote>
  <w:endnote w:type="continuationSeparator" w:id="0">
    <w:p w14:paraId="06034131" w14:textId="77777777" w:rsidR="00D331FE" w:rsidRDefault="00D331FE" w:rsidP="00915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FF95" w14:textId="77777777" w:rsidR="000A47AF" w:rsidRDefault="00D331FE" w:rsidP="00322937">
    <w:pPr>
      <w:pStyle w:val="Sinespaciado"/>
      <w:jc w:val="right"/>
      <w:rPr>
        <w:rFonts w:ascii="Arial" w:hAnsi="Arial" w:cs="Arial"/>
        <w:sz w:val="18"/>
        <w:szCs w:val="18"/>
      </w:rPr>
    </w:pPr>
  </w:p>
  <w:p w14:paraId="397BE640" w14:textId="77777777" w:rsidR="000A47AF" w:rsidRPr="008217B7" w:rsidRDefault="00A2154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613CE709" w14:textId="77777777" w:rsidR="000A47AF" w:rsidRDefault="00A2154E" w:rsidP="00322937">
    <w:pPr>
      <w:pStyle w:val="Piedepgina"/>
      <w:jc w:val="center"/>
      <w:rPr>
        <w:lang w:val="es-ES"/>
      </w:rPr>
    </w:pPr>
    <w:r>
      <w:rPr>
        <w:noProof/>
      </w:rPr>
      <w:drawing>
        <wp:inline distT="0" distB="0" distL="0" distR="0" wp14:anchorId="4FFE264D" wp14:editId="6410255F">
          <wp:extent cx="3700130" cy="519139"/>
          <wp:effectExtent l="0" t="0" r="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7878308A" w14:textId="77777777" w:rsidR="000A47AF" w:rsidRDefault="00D331FE" w:rsidP="007B0854">
    <w:pPr>
      <w:pStyle w:val="Piedepgina"/>
      <w:jc w:val="center"/>
      <w:rPr>
        <w:lang w:val="es-ES"/>
      </w:rPr>
    </w:pPr>
  </w:p>
  <w:p w14:paraId="35EB0A08" w14:textId="77777777" w:rsidR="000A47AF" w:rsidRPr="007B0854" w:rsidRDefault="00D331FE" w:rsidP="007B0854">
    <w:pPr>
      <w:pStyle w:val="Piedepgina"/>
      <w:jc w:val="center"/>
      <w:rPr>
        <w:lang w:val="es-ES"/>
      </w:rPr>
    </w:pPr>
  </w:p>
  <w:p w14:paraId="14EC9DF7" w14:textId="77777777" w:rsidR="00183D77" w:rsidRDefault="00D331FE"/>
  <w:p w14:paraId="5474C407" w14:textId="77777777" w:rsidR="00183D77" w:rsidRDefault="00D331FE"/>
  <w:p w14:paraId="1E911C55" w14:textId="77777777" w:rsidR="00183D77" w:rsidRDefault="00D331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79F6C" w14:textId="77777777" w:rsidR="00D331FE" w:rsidRDefault="00D331FE" w:rsidP="00915830">
      <w:r>
        <w:separator/>
      </w:r>
    </w:p>
  </w:footnote>
  <w:footnote w:type="continuationSeparator" w:id="0">
    <w:p w14:paraId="00CCBE30" w14:textId="77777777" w:rsidR="00D331FE" w:rsidRDefault="00D331FE" w:rsidP="00915830">
      <w:r>
        <w:continuationSeparator/>
      </w:r>
    </w:p>
  </w:footnote>
  <w:footnote w:id="1">
    <w:p w14:paraId="2871B05E" w14:textId="77777777" w:rsidR="00915830" w:rsidRPr="00F82312" w:rsidRDefault="00915830" w:rsidP="00915830">
      <w:pPr>
        <w:pStyle w:val="Textonotapie"/>
        <w:ind w:firstLine="709"/>
        <w:jc w:val="both"/>
        <w:rPr>
          <w:rFonts w:ascii="Arial" w:hAnsi="Arial" w:cs="Arial"/>
          <w:color w:val="000000" w:themeColor="text1"/>
          <w:sz w:val="19"/>
          <w:szCs w:val="19"/>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Agencia Nacional de Contratación Pública - Colombia Compra Eficiente. Guía para las Entidades Estatales con régimen especial de contratación: «Entidad Estatal de régimen especial: Entidad Estatal que realiza sus Procesos de Contratación con un régimen distinto al previsto en las Leyes 80 de 1993 y 1150 de 2007».</w:t>
      </w:r>
    </w:p>
  </w:footnote>
  <w:footnote w:id="2">
    <w:p w14:paraId="2C87DFEA" w14:textId="77777777" w:rsidR="00915830" w:rsidRPr="00F82312" w:rsidRDefault="00915830" w:rsidP="00915830">
      <w:pPr>
        <w:pStyle w:val="Textonotapie"/>
        <w:ind w:firstLine="709"/>
        <w:jc w:val="both"/>
        <w:rPr>
          <w:rFonts w:ascii="Arial" w:hAnsi="Arial" w:cs="Arial"/>
          <w:color w:val="000000" w:themeColor="text1"/>
          <w:sz w:val="19"/>
          <w:szCs w:val="19"/>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Consejo de Estado. Sección Tercera. Radicado No. 45.607 del 24 de octubre de 2016. Consejera Ponente: María Nubia Velásquez Rico.</w:t>
      </w:r>
    </w:p>
    <w:p w14:paraId="73A5DEB5" w14:textId="77777777" w:rsidR="00915830" w:rsidRPr="00F82312" w:rsidRDefault="00915830" w:rsidP="00915830">
      <w:pPr>
        <w:pStyle w:val="Textonotapie"/>
        <w:ind w:firstLine="709"/>
        <w:jc w:val="both"/>
        <w:rPr>
          <w:rFonts w:ascii="Arial" w:hAnsi="Arial" w:cs="Arial"/>
          <w:color w:val="000000" w:themeColor="text1"/>
          <w:sz w:val="19"/>
          <w:szCs w:val="19"/>
          <w:lang w:val="es-ES"/>
        </w:rPr>
      </w:pPr>
    </w:p>
  </w:footnote>
  <w:footnote w:id="3">
    <w:p w14:paraId="3D5DC9A1" w14:textId="77777777" w:rsidR="00915830" w:rsidRPr="00F0096D" w:rsidRDefault="00915830" w:rsidP="00915830">
      <w:pPr>
        <w:pStyle w:val="Textonotapie"/>
        <w:ind w:firstLine="708"/>
        <w:jc w:val="both"/>
        <w:rPr>
          <w:rFonts w:ascii="Arial" w:hAnsi="Arial" w:cs="Arial"/>
          <w:sz w:val="19"/>
          <w:szCs w:val="19"/>
        </w:rPr>
      </w:pPr>
      <w:r w:rsidRPr="00F0096D">
        <w:rPr>
          <w:rStyle w:val="Refdenotaalpie"/>
          <w:rFonts w:ascii="Arial" w:hAnsi="Arial" w:cs="Arial"/>
          <w:sz w:val="19"/>
          <w:szCs w:val="19"/>
        </w:rPr>
        <w:footnoteRef/>
      </w:r>
      <w:r w:rsidRPr="00F0096D">
        <w:rPr>
          <w:rFonts w:ascii="Arial" w:hAnsi="Arial" w:cs="Arial"/>
          <w:sz w:val="19"/>
          <w:szCs w:val="19"/>
        </w:rPr>
        <w:t xml:space="preserve"> </w:t>
      </w:r>
      <w:r>
        <w:rPr>
          <w:rFonts w:ascii="Arial" w:hAnsi="Arial" w:cs="Arial"/>
          <w:sz w:val="19"/>
          <w:szCs w:val="19"/>
        </w:rPr>
        <w:t>El inciso segundo del artículo 31 de la Ley 142 de 1994 dispone lo siguiente: «</w:t>
      </w:r>
      <w:r w:rsidRPr="00EB3343">
        <w:rPr>
          <w:rFonts w:ascii="Arial" w:hAnsi="Arial" w:cs="Arial"/>
          <w:sz w:val="19"/>
          <w:szCs w:val="19"/>
        </w:rPr>
        <w:t>Las Comisiones de Regulación podrán hacer obligatoria la inclusión, en ciertos tipos de contratos de cualquier empresa de servicios públicos, de cláusulas exorbitantes y podrán facultar, previa consulta expresa por parte de las empresas de servicios públicos domiciliarios, que se incluyan en los demás. Cuando la inclusión sea forzosa, todo lo relativo a tales cláusulas se regirá, en cuanto sea pertinente, por lo dispuesto en la </w:t>
      </w:r>
      <w:r w:rsidRPr="00F0096D">
        <w:t>Ley 80 de 1993</w:t>
      </w:r>
      <w:r w:rsidRPr="00EB3343">
        <w:rPr>
          <w:rFonts w:ascii="Arial" w:hAnsi="Arial" w:cs="Arial"/>
          <w:sz w:val="19"/>
          <w:szCs w:val="19"/>
        </w:rPr>
        <w:t>, y los actos y contratos en los que se utilicen esas cláusulas y/o se ejerciten esas facultades estarán sujetos al control de la jurisdicción contencioso administrativa. Las Comisiones de Regulación contarán con quince (15) días para responder las solicitudes elevadas por las empresas de servicios públicos domiciliarios sobre la inclusión de las cláusulas excepcionales en los respectivos contratos, transcurrido este término operará el silencio administrativo positivo</w:t>
      </w:r>
      <w:r>
        <w:rPr>
          <w:rFonts w:ascii="Arial" w:hAnsi="Arial" w:cs="Arial"/>
          <w:sz w:val="19"/>
          <w:szCs w:val="19"/>
        </w:rPr>
        <w:t>».</w:t>
      </w:r>
    </w:p>
  </w:footnote>
  <w:footnote w:id="4">
    <w:p w14:paraId="520CF357" w14:textId="77777777" w:rsidR="00915830" w:rsidRPr="00F82312" w:rsidRDefault="00915830" w:rsidP="00915830">
      <w:pPr>
        <w:pStyle w:val="Textonotapie"/>
        <w:ind w:firstLine="709"/>
        <w:jc w:val="both"/>
        <w:rPr>
          <w:rFonts w:ascii="Arial" w:hAnsi="Arial" w:cs="Arial"/>
          <w:color w:val="000000" w:themeColor="text1"/>
          <w:sz w:val="19"/>
          <w:szCs w:val="19"/>
          <w:lang w:val="es-ES"/>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Sobre las entidades de régimen especial, se puede consultar su definición y un listado aproximado de este tipo de entidades en: BARRETO MORENO, Antonio A. El derecho de la compra pública. Primera edición. Bogotá: Legis - Universidad de la Sabana, 2019. </w:t>
      </w:r>
    </w:p>
  </w:footnote>
  <w:footnote w:id="5">
    <w:p w14:paraId="55E01FE1" w14:textId="77777777" w:rsidR="00915830" w:rsidRPr="000A1BE0" w:rsidRDefault="00915830" w:rsidP="00915830">
      <w:pPr>
        <w:pStyle w:val="Textonotapie"/>
        <w:ind w:firstLine="709"/>
        <w:jc w:val="both"/>
        <w:rPr>
          <w:rFonts w:ascii="Arial" w:hAnsi="Arial" w:cs="Arial"/>
          <w:sz w:val="19"/>
          <w:szCs w:val="19"/>
        </w:rPr>
      </w:pPr>
      <w:r w:rsidRPr="000A1BE0">
        <w:rPr>
          <w:rStyle w:val="Refdenotaalpie"/>
          <w:rFonts w:ascii="Arial" w:hAnsi="Arial" w:cs="Arial"/>
          <w:sz w:val="19"/>
          <w:szCs w:val="19"/>
        </w:rPr>
        <w:footnoteRef/>
      </w:r>
      <w:r w:rsidRPr="000A1BE0">
        <w:rPr>
          <w:rFonts w:ascii="Arial" w:hAnsi="Arial" w:cs="Arial"/>
          <w:sz w:val="19"/>
          <w:szCs w:val="19"/>
        </w:rPr>
        <w:t xml:space="preserve"> </w:t>
      </w:r>
      <w:r w:rsidRPr="00770A31">
        <w:rPr>
          <w:rFonts w:ascii="Arial" w:hAnsi="Arial" w:cs="Arial"/>
          <w:sz w:val="19"/>
          <w:szCs w:val="19"/>
          <w:lang w:val="es-ES"/>
        </w:rPr>
        <w:t>«</w:t>
      </w:r>
      <w:r w:rsidRPr="000A1BE0">
        <w:rPr>
          <w:rFonts w:ascii="Arial" w:hAnsi="Arial" w:cs="Arial"/>
          <w:sz w:val="19"/>
          <w:szCs w:val="19"/>
        </w:rPr>
        <w:t>ARTÍCULO  194. Naturaleza. La prestación de servicios de salud en forma directa por la Nación o por las entidades territoriales, se hará a través de las Empresas Sociales del Estado, que constituyen una categoría especial de entidad pública descentralizada, con personería jurídica, patrimonio propio y autonomía administrativa, creadas por la Ley o por las asambleas o concejos, según el caso, sometidas al régimen jur</w:t>
      </w:r>
      <w:r>
        <w:rPr>
          <w:rFonts w:ascii="Arial" w:hAnsi="Arial" w:cs="Arial"/>
          <w:sz w:val="19"/>
          <w:szCs w:val="19"/>
        </w:rPr>
        <w:t>ídico previsto en este capítulo</w:t>
      </w:r>
      <w:r w:rsidRPr="00770A31">
        <w:rPr>
          <w:rFonts w:ascii="Arial" w:hAnsi="Arial" w:cs="Arial"/>
          <w:sz w:val="19"/>
          <w:szCs w:val="19"/>
          <w:lang w:val="es-ES"/>
        </w:rPr>
        <w:t>»</w:t>
      </w:r>
      <w:r>
        <w:rPr>
          <w:rFonts w:ascii="Arial" w:hAnsi="Arial" w:cs="Arial"/>
          <w:sz w:val="19"/>
          <w:szCs w:val="19"/>
          <w:lang w:val="es-ES"/>
        </w:rPr>
        <w:t>.</w:t>
      </w:r>
    </w:p>
  </w:footnote>
  <w:footnote w:id="6">
    <w:p w14:paraId="1233DB53" w14:textId="77777777" w:rsidR="00915830" w:rsidRPr="000A1BE0" w:rsidRDefault="00915830" w:rsidP="00915830">
      <w:pPr>
        <w:pStyle w:val="Textonotapie"/>
        <w:ind w:firstLine="709"/>
        <w:jc w:val="both"/>
        <w:rPr>
          <w:rFonts w:ascii="Arial" w:hAnsi="Arial" w:cs="Arial"/>
          <w:sz w:val="19"/>
          <w:szCs w:val="19"/>
        </w:rPr>
      </w:pPr>
      <w:r w:rsidRPr="000A1BE0">
        <w:rPr>
          <w:rStyle w:val="Refdenotaalpie"/>
          <w:rFonts w:ascii="Arial" w:hAnsi="Arial" w:cs="Arial"/>
          <w:sz w:val="19"/>
          <w:szCs w:val="19"/>
        </w:rPr>
        <w:footnoteRef/>
      </w:r>
      <w:r w:rsidRPr="000A1BE0">
        <w:rPr>
          <w:rFonts w:ascii="Arial" w:hAnsi="Arial" w:cs="Arial"/>
          <w:sz w:val="19"/>
          <w:szCs w:val="19"/>
        </w:rPr>
        <w:t xml:space="preserve"> Consejo de Estado. Sección Tercera. Sentencia 18 de febrero de 2010. Rad: 11001-03-26-000-2009-00058-00(37004). CP: Enrique Gil Botero. </w:t>
      </w:r>
    </w:p>
  </w:footnote>
  <w:footnote w:id="7">
    <w:p w14:paraId="6A71B7CC" w14:textId="77777777" w:rsidR="00915830" w:rsidRPr="000A1BE0" w:rsidRDefault="00915830" w:rsidP="00915830">
      <w:pPr>
        <w:pStyle w:val="Textonotapie"/>
        <w:ind w:firstLine="709"/>
        <w:jc w:val="both"/>
        <w:rPr>
          <w:rFonts w:ascii="Arial" w:hAnsi="Arial" w:cs="Arial"/>
          <w:sz w:val="19"/>
          <w:szCs w:val="19"/>
        </w:rPr>
      </w:pPr>
      <w:r w:rsidRPr="000A1BE0">
        <w:rPr>
          <w:rStyle w:val="Refdenotaalpie"/>
          <w:rFonts w:ascii="Arial" w:hAnsi="Arial" w:cs="Arial"/>
          <w:sz w:val="19"/>
          <w:szCs w:val="19"/>
        </w:rPr>
        <w:footnoteRef/>
      </w:r>
      <w:r w:rsidRPr="000A1BE0">
        <w:rPr>
          <w:rFonts w:ascii="Arial" w:hAnsi="Arial" w:cs="Arial"/>
          <w:sz w:val="19"/>
          <w:szCs w:val="19"/>
        </w:rPr>
        <w:t xml:space="preserve"> En sentencia C-655 de 2000, la Corte Constitucional se pronunció, así: </w:t>
      </w:r>
      <w:r w:rsidRPr="000A1BE0">
        <w:rPr>
          <w:rFonts w:ascii="Arial" w:hAnsi="Arial" w:cs="Arial"/>
          <w:sz w:val="19"/>
          <w:szCs w:val="19"/>
          <w:lang w:val="es-ES_tradnl"/>
        </w:rPr>
        <w:t>«</w:t>
      </w:r>
      <w:r w:rsidRPr="000A1BE0">
        <w:rPr>
          <w:rFonts w:ascii="Arial" w:hAnsi="Arial" w:cs="Arial"/>
          <w:color w:val="000000"/>
          <w:sz w:val="19"/>
          <w:szCs w:val="19"/>
        </w:rPr>
        <w:t>En los términos del artículo 49 de la Constitución Política, la atención de la salud y el saneamiento ambiental son servicios públicos a cargo del Estado; al cual corresponde organizarlos, dirigirlos y reglamentarlos conforme a los principios de eficiencia, universalidad y solidaridad. Igualmente es deber del Estado establecer las políticas para la prestación de servicios de salud por entidades privadas y ejercer su vigilancia y control. Debe también el Estado señalar las competencias de la Nación, las entidades territoriales y los particulares y determinar los aportes a su cargo en los términos y condiciones señalados en la ley</w:t>
      </w:r>
      <w:r w:rsidRPr="000A1BE0">
        <w:rPr>
          <w:rFonts w:ascii="Arial" w:hAnsi="Arial" w:cs="Arial"/>
          <w:sz w:val="19"/>
          <w:szCs w:val="19"/>
          <w:lang w:val="es-ES_tradnl"/>
        </w:rPr>
        <w:t>»</w:t>
      </w:r>
      <w:r w:rsidRPr="000A1BE0">
        <w:rPr>
          <w:rFonts w:ascii="Arial" w:hAnsi="Arial" w:cs="Arial"/>
          <w:color w:val="000000"/>
          <w:sz w:val="19"/>
          <w:szCs w:val="19"/>
        </w:rPr>
        <w:t>.</w:t>
      </w:r>
    </w:p>
  </w:footnote>
  <w:footnote w:id="8">
    <w:p w14:paraId="27A4F33D" w14:textId="77777777" w:rsidR="00915830" w:rsidRPr="00F0096D" w:rsidRDefault="00915830" w:rsidP="00915830">
      <w:pPr>
        <w:ind w:firstLine="709"/>
        <w:jc w:val="both"/>
        <w:rPr>
          <w:rFonts w:ascii="Arial" w:hAnsi="Arial" w:cs="Arial"/>
          <w:sz w:val="19"/>
          <w:szCs w:val="19"/>
          <w:lang w:val="es-ES"/>
        </w:rPr>
      </w:pPr>
      <w:r w:rsidRPr="000A1BE0">
        <w:rPr>
          <w:rStyle w:val="Refdenotaalpie"/>
          <w:rFonts w:ascii="Arial" w:hAnsi="Arial" w:cs="Arial"/>
          <w:sz w:val="19"/>
          <w:szCs w:val="19"/>
        </w:rPr>
        <w:footnoteRef/>
      </w:r>
      <w:r w:rsidRPr="000A1BE0">
        <w:rPr>
          <w:rFonts w:ascii="Arial" w:hAnsi="Arial" w:cs="Arial"/>
          <w:sz w:val="19"/>
          <w:szCs w:val="19"/>
        </w:rPr>
        <w:t xml:space="preserve"> Consejo de Estado, Sección Tercera, sentencia de 27 de febrero de 2013, C.P: Mauricio Fajardo Gómez de Estado. Secc. 3ª, sentencia de 8 de abril de 2014, rad. No.</w:t>
      </w:r>
      <w:r w:rsidRPr="000A1BE0">
        <w:rPr>
          <w:rFonts w:ascii="Arial" w:hAnsi="Arial" w:cs="Arial"/>
          <w:spacing w:val="-2"/>
          <w:sz w:val="19"/>
          <w:szCs w:val="19"/>
        </w:rPr>
        <w:t xml:space="preserve"> </w:t>
      </w:r>
      <w:r w:rsidRPr="000A1BE0">
        <w:rPr>
          <w:rFonts w:ascii="Arial" w:hAnsi="Arial" w:cs="Arial"/>
          <w:sz w:val="19"/>
          <w:szCs w:val="19"/>
        </w:rPr>
        <w:t>2000-01561-01(25.590).</w:t>
      </w:r>
    </w:p>
  </w:footnote>
  <w:footnote w:id="9">
    <w:p w14:paraId="7E1434BC" w14:textId="77777777" w:rsidR="00915830" w:rsidRPr="000A1BE0" w:rsidRDefault="00915830" w:rsidP="00915830">
      <w:pPr>
        <w:pStyle w:val="Textonotapie"/>
        <w:ind w:firstLine="709"/>
        <w:jc w:val="both"/>
        <w:rPr>
          <w:rFonts w:ascii="Arial" w:hAnsi="Arial" w:cs="Arial"/>
          <w:color w:val="000000" w:themeColor="text1"/>
          <w:sz w:val="19"/>
          <w:szCs w:val="19"/>
        </w:rPr>
      </w:pPr>
      <w:r w:rsidRPr="000A1BE0">
        <w:rPr>
          <w:rStyle w:val="Refdenotaalpie"/>
          <w:rFonts w:ascii="Arial" w:hAnsi="Arial" w:cs="Arial"/>
          <w:color w:val="000000" w:themeColor="text1"/>
          <w:sz w:val="19"/>
          <w:szCs w:val="19"/>
        </w:rPr>
        <w:footnoteRef/>
      </w:r>
      <w:r w:rsidRPr="000A1BE0">
        <w:rPr>
          <w:rFonts w:ascii="Arial" w:hAnsi="Arial" w:cs="Arial"/>
          <w:color w:val="000000" w:themeColor="text1"/>
          <w:sz w:val="19"/>
          <w:szCs w:val="19"/>
        </w:rPr>
        <w:t xml:space="preserve"> Consejo de Estado. Sala de Consulta y Servicio Civil. Concepto del 27 de agosto de 1998, radicación No. 1.127, M.P. Javier Henao Hidrón; y concepto del 6 de abril de 2000. Radicación No. 1.263, M.P. Flavio Augusto Rodriguez Arce</w:t>
      </w:r>
    </w:p>
  </w:footnote>
  <w:footnote w:id="10">
    <w:p w14:paraId="68381EBC" w14:textId="77777777" w:rsidR="00915830" w:rsidRPr="000A1BE0" w:rsidRDefault="00915830" w:rsidP="00915830">
      <w:pPr>
        <w:pStyle w:val="Textonotapie"/>
        <w:ind w:firstLine="709"/>
        <w:jc w:val="both"/>
        <w:rPr>
          <w:rFonts w:ascii="Arial" w:hAnsi="Arial" w:cs="Arial"/>
          <w:color w:val="000000" w:themeColor="text1"/>
          <w:sz w:val="19"/>
          <w:szCs w:val="19"/>
        </w:rPr>
      </w:pPr>
      <w:r w:rsidRPr="000A1BE0">
        <w:rPr>
          <w:rStyle w:val="Refdenotaalpie"/>
          <w:rFonts w:ascii="Arial" w:hAnsi="Arial" w:cs="Arial"/>
          <w:color w:val="000000" w:themeColor="text1"/>
          <w:sz w:val="19"/>
          <w:szCs w:val="19"/>
        </w:rPr>
        <w:footnoteRef/>
      </w:r>
      <w:r w:rsidRPr="000A1BE0">
        <w:rPr>
          <w:rFonts w:ascii="Arial" w:hAnsi="Arial" w:cs="Arial"/>
          <w:color w:val="000000" w:themeColor="text1"/>
          <w:sz w:val="19"/>
          <w:szCs w:val="19"/>
        </w:rPr>
        <w:t xml:space="preserve"> Ministerio de Salud y la Protección Social. Concepto del 16 de agosto de 2019. E</w:t>
      </w:r>
      <w:r>
        <w:rPr>
          <w:rFonts w:ascii="Arial" w:hAnsi="Arial" w:cs="Arial"/>
          <w:color w:val="000000" w:themeColor="text1"/>
          <w:sz w:val="19"/>
          <w:szCs w:val="19"/>
        </w:rPr>
        <w:t xml:space="preserve">xpediente No. 201942301304712. </w:t>
      </w:r>
    </w:p>
  </w:footnote>
  <w:footnote w:id="11">
    <w:p w14:paraId="4BFFF7AD" w14:textId="77777777" w:rsidR="00915830" w:rsidRPr="000A1BE0" w:rsidRDefault="00915830" w:rsidP="00915830">
      <w:pPr>
        <w:pStyle w:val="Textonotapie"/>
        <w:ind w:firstLine="709"/>
        <w:jc w:val="both"/>
        <w:rPr>
          <w:rFonts w:ascii="Arial" w:hAnsi="Arial" w:cs="Arial"/>
          <w:color w:val="000000" w:themeColor="text1"/>
          <w:sz w:val="19"/>
          <w:szCs w:val="19"/>
          <w:lang w:val="es-ES"/>
        </w:rPr>
      </w:pPr>
      <w:r w:rsidRPr="000A1BE0">
        <w:rPr>
          <w:rStyle w:val="Refdenotaalpie"/>
          <w:rFonts w:ascii="Arial" w:hAnsi="Arial" w:cs="Arial"/>
          <w:color w:val="000000" w:themeColor="text1"/>
          <w:sz w:val="19"/>
          <w:szCs w:val="19"/>
        </w:rPr>
        <w:footnoteRef/>
      </w:r>
      <w:r w:rsidRPr="000A1BE0">
        <w:rPr>
          <w:rFonts w:ascii="Arial" w:hAnsi="Arial" w:cs="Arial"/>
          <w:color w:val="000000" w:themeColor="text1"/>
          <w:sz w:val="19"/>
          <w:szCs w:val="19"/>
        </w:rPr>
        <w:t xml:space="preserve"> </w:t>
      </w:r>
      <w:r w:rsidRPr="000A1BE0">
        <w:rPr>
          <w:rFonts w:ascii="Arial" w:hAnsi="Arial" w:cs="Arial"/>
          <w:color w:val="000000" w:themeColor="text1"/>
          <w:sz w:val="19"/>
          <w:szCs w:val="19"/>
          <w:lang w:val="es-ES"/>
        </w:rPr>
        <w:t>Consejo de Estado. Sección Tercera. Subsección “C”. Providencia del 8 de abril de 2014. Expediente No. 25801. C</w:t>
      </w:r>
      <w:r>
        <w:rPr>
          <w:rFonts w:ascii="Arial" w:hAnsi="Arial" w:cs="Arial"/>
          <w:color w:val="000000" w:themeColor="text1"/>
          <w:sz w:val="19"/>
          <w:szCs w:val="19"/>
          <w:lang w:val="es-ES"/>
        </w:rPr>
        <w:t>.P. Enrique Gil Botero.</w:t>
      </w:r>
    </w:p>
  </w:footnote>
  <w:footnote w:id="12">
    <w:p w14:paraId="35CD7879" w14:textId="77777777" w:rsidR="00915830" w:rsidRPr="00640E20" w:rsidRDefault="00915830" w:rsidP="00915830">
      <w:pPr>
        <w:pStyle w:val="Textonotapie"/>
        <w:ind w:firstLine="709"/>
        <w:jc w:val="both"/>
        <w:rPr>
          <w:rFonts w:ascii="Arial" w:hAnsi="Arial" w:cs="Arial"/>
          <w:color w:val="000000" w:themeColor="text1"/>
          <w:sz w:val="19"/>
          <w:szCs w:val="19"/>
          <w:lang w:val="es-CO"/>
        </w:rPr>
      </w:pPr>
      <w:r w:rsidRPr="00E858D2">
        <w:rPr>
          <w:rStyle w:val="Refdenotaalpie"/>
          <w:rFonts w:ascii="Arial" w:hAnsi="Arial" w:cs="Arial"/>
          <w:sz w:val="19"/>
          <w:szCs w:val="19"/>
        </w:rPr>
        <w:footnoteRef/>
      </w:r>
      <w:r w:rsidRPr="00A83DE5">
        <w:rPr>
          <w:rFonts w:ascii="Arial" w:hAnsi="Arial" w:cs="Arial"/>
          <w:color w:val="000000" w:themeColor="text1"/>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w:t>
      </w:r>
      <w:r w:rsidRPr="00640E20">
        <w:rPr>
          <w:rFonts w:ascii="Arial" w:hAnsi="Arial" w:cs="Arial"/>
          <w:color w:val="000000" w:themeColor="text1"/>
          <w:sz w:val="19"/>
          <w:szCs w:val="19"/>
        </w:rPr>
        <w:t>as técnicas uniformes y de común utilización por parte de las entidades».</w:t>
      </w:r>
    </w:p>
  </w:footnote>
  <w:footnote w:id="13">
    <w:p w14:paraId="26937E85" w14:textId="77777777" w:rsidR="00915830" w:rsidRPr="00640E20" w:rsidRDefault="00915830" w:rsidP="00915830">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A83DE5">
        <w:rPr>
          <w:rFonts w:ascii="Arial" w:hAnsi="Arial" w:cs="Arial"/>
          <w:color w:val="000000" w:themeColor="text1"/>
          <w:sz w:val="19"/>
          <w:szCs w:val="19"/>
        </w:rPr>
        <w:t xml:space="preserve"> </w:t>
      </w:r>
      <w:r w:rsidRPr="00A83DE5">
        <w:rPr>
          <w:rFonts w:ascii="Arial" w:hAnsi="Arial" w:cs="Arial"/>
          <w:color w:val="000000" w:themeColor="text1"/>
          <w:sz w:val="19"/>
          <w:szCs w:val="19"/>
          <w:lang w:val="es-CO"/>
        </w:rPr>
        <w:t>Ley 1882 de 2018: «Artículo 4.</w:t>
      </w:r>
      <w:r w:rsidRPr="00640E20">
        <w:rPr>
          <w:rFonts w:ascii="Arial" w:hAnsi="Arial" w:cs="Arial"/>
          <w:color w:val="000000" w:themeColor="text1"/>
          <w:sz w:val="19"/>
          <w:szCs w:val="19"/>
          <w:lang w:val="es-CO"/>
        </w:rPr>
        <w:t xml:space="preserve"> </w:t>
      </w:r>
      <w:r w:rsidRPr="00640E20">
        <w:rPr>
          <w:rFonts w:ascii="Arial" w:hAnsi="Arial" w:cs="Arial"/>
          <w:color w:val="000000" w:themeColor="text1"/>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03696F84" w14:textId="77777777" w:rsidR="00915830" w:rsidRPr="00640E20" w:rsidRDefault="00915830" w:rsidP="00915830">
      <w:pPr>
        <w:pStyle w:val="Textonotapie"/>
        <w:ind w:firstLine="709"/>
        <w:jc w:val="both"/>
        <w:rPr>
          <w:rFonts w:ascii="Arial" w:hAnsi="Arial" w:cs="Arial"/>
          <w:color w:val="000000" w:themeColor="text1"/>
          <w:sz w:val="19"/>
          <w:szCs w:val="19"/>
          <w:lang w:val="es-CO"/>
        </w:rPr>
      </w:pPr>
      <w:r w:rsidRPr="00640E20">
        <w:rPr>
          <w:rFonts w:ascii="Arial" w:hAnsi="Arial" w:cs="Arial"/>
          <w:color w:val="000000" w:themeColor="text1"/>
          <w:sz w:val="19"/>
          <w:szCs w:val="19"/>
          <w:lang w:val="es-CO"/>
        </w:rPr>
        <w:t>»La facultad de adoptar documentos tipo la tendrá el Gobierno nacional, cuando lo considere necesario, en relación con otros contratos o procesos de selección.</w:t>
      </w:r>
    </w:p>
    <w:p w14:paraId="7EE7BB18" w14:textId="77777777" w:rsidR="00915830" w:rsidRPr="00640E20" w:rsidRDefault="00915830" w:rsidP="00915830">
      <w:pPr>
        <w:pStyle w:val="Textonotapie"/>
        <w:ind w:firstLine="709"/>
        <w:jc w:val="both"/>
        <w:rPr>
          <w:rFonts w:ascii="Arial" w:hAnsi="Arial" w:cs="Arial"/>
          <w:color w:val="000000" w:themeColor="text1"/>
          <w:sz w:val="19"/>
          <w:szCs w:val="19"/>
          <w:lang w:val="es-CO"/>
        </w:rPr>
      </w:pPr>
      <w:r w:rsidRPr="00640E20">
        <w:rPr>
          <w:rFonts w:ascii="Arial" w:hAnsi="Arial" w:cs="Arial"/>
          <w:color w:val="000000" w:themeColor="text1"/>
          <w:sz w:val="19"/>
          <w:szCs w:val="19"/>
          <w:lang w:val="es-CO"/>
        </w:rPr>
        <w:t>»Los pliegos tipo se adoptarán por categorías de acuerdo con la cuantía de la contratación, según la reglamentación que expida el Gobierno nacional».</w:t>
      </w:r>
    </w:p>
  </w:footnote>
  <w:footnote w:id="14">
    <w:p w14:paraId="1B018500" w14:textId="77777777" w:rsidR="00915830" w:rsidRPr="00640E20" w:rsidRDefault="00915830" w:rsidP="00915830">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A83DE5">
        <w:rPr>
          <w:rFonts w:ascii="Arial" w:hAnsi="Arial" w:cs="Arial"/>
          <w:color w:val="000000" w:themeColor="text1"/>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w:t>
      </w:r>
      <w:r w:rsidRPr="00640E20">
        <w:rPr>
          <w:rFonts w:ascii="Arial" w:hAnsi="Arial" w:cs="Arial"/>
          <w:color w:val="000000" w:themeColor="text1"/>
          <w:sz w:val="19"/>
          <w:szCs w:val="19"/>
        </w:rPr>
        <w:t>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footnote>
  <w:footnote w:id="15">
    <w:p w14:paraId="24581F74" w14:textId="77777777" w:rsidR="00915830" w:rsidRPr="00640E20" w:rsidRDefault="00915830" w:rsidP="00915830">
      <w:pPr>
        <w:pStyle w:val="NormalWeb"/>
        <w:spacing w:before="0" w:beforeAutospacing="0" w:after="0" w:afterAutospacing="0"/>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A83DE5">
        <w:rPr>
          <w:rFonts w:ascii="Arial" w:hAnsi="Arial" w:cs="Arial"/>
          <w:color w:val="000000" w:themeColor="text1"/>
          <w:sz w:val="19"/>
          <w:szCs w:val="19"/>
        </w:rPr>
        <w:t xml:space="preserve"> Ley 2022 de 2020: «</w:t>
      </w:r>
      <w:r w:rsidRPr="00A83DE5">
        <w:rPr>
          <w:rStyle w:val="Textoennegrita"/>
          <w:rFonts w:ascii="Arial" w:hAnsi="Arial" w:cs="Arial"/>
          <w:color w:val="000000" w:themeColor="text1"/>
          <w:sz w:val="19"/>
          <w:szCs w:val="19"/>
        </w:rPr>
        <w:t>Artículo 1º.</w:t>
      </w:r>
      <w:r w:rsidRPr="00640E20">
        <w:rPr>
          <w:rFonts w:ascii="Arial" w:hAnsi="Arial" w:cs="Arial"/>
          <w:color w:val="000000" w:themeColor="text1"/>
          <w:sz w:val="19"/>
          <w:szCs w:val="19"/>
        </w:rPr>
        <w:t> Modifíquese el artículo 4º de la Ley 1882 de 2018, el cual quedará así: </w:t>
      </w:r>
    </w:p>
    <w:p w14:paraId="63BB5F6F" w14:textId="77777777" w:rsidR="00915830" w:rsidRPr="00640E20" w:rsidRDefault="00915830" w:rsidP="00915830">
      <w:pPr>
        <w:pStyle w:val="NormalWeb"/>
        <w:spacing w:before="0" w:beforeAutospacing="0" w:after="0" w:afterAutospacing="0"/>
        <w:ind w:firstLine="709"/>
        <w:jc w:val="both"/>
        <w:rPr>
          <w:rFonts w:ascii="Arial" w:hAnsi="Arial" w:cs="Arial"/>
          <w:color w:val="000000" w:themeColor="text1"/>
          <w:sz w:val="19"/>
          <w:szCs w:val="19"/>
        </w:rPr>
      </w:pPr>
      <w:r w:rsidRPr="00640E20">
        <w:rPr>
          <w:rStyle w:val="Textoennegrita"/>
          <w:rFonts w:ascii="Arial" w:hAnsi="Arial" w:cs="Arial"/>
          <w:color w:val="000000" w:themeColor="text1"/>
          <w:sz w:val="19"/>
          <w:szCs w:val="19"/>
        </w:rPr>
        <w:t>»Artículo 4º.</w:t>
      </w:r>
      <w:r w:rsidRPr="00640E20">
        <w:rPr>
          <w:rFonts w:ascii="Arial" w:hAnsi="Arial" w:cs="Arial"/>
          <w:color w:val="000000" w:themeColor="text1"/>
          <w:sz w:val="19"/>
          <w:szCs w:val="19"/>
        </w:rPr>
        <w:t> Adiciónese el siguiente parágrafo al artículo 2º de la Ley 1150 de 2007. </w:t>
      </w:r>
    </w:p>
    <w:p w14:paraId="26490B4E" w14:textId="77777777" w:rsidR="00915830" w:rsidRPr="00640E20" w:rsidRDefault="00915830" w:rsidP="00915830">
      <w:pPr>
        <w:pStyle w:val="NormalWeb"/>
        <w:spacing w:before="0" w:beforeAutospacing="0" w:after="0" w:afterAutospacing="0"/>
        <w:ind w:firstLine="709"/>
        <w:jc w:val="both"/>
        <w:rPr>
          <w:rFonts w:ascii="Arial" w:hAnsi="Arial" w:cs="Arial"/>
          <w:color w:val="000000" w:themeColor="text1"/>
          <w:sz w:val="19"/>
          <w:szCs w:val="19"/>
        </w:rPr>
      </w:pPr>
      <w:r w:rsidRPr="00640E20">
        <w:rPr>
          <w:rStyle w:val="Textoennegrita"/>
          <w:rFonts w:ascii="Arial" w:hAnsi="Arial" w:cs="Arial"/>
          <w:color w:val="000000" w:themeColor="text1"/>
          <w:sz w:val="19"/>
          <w:szCs w:val="19"/>
        </w:rPr>
        <w:t>»Parágrafo 7º.</w:t>
      </w:r>
      <w:r w:rsidRPr="00640E20">
        <w:rPr>
          <w:rFonts w:ascii="Arial" w:hAnsi="Arial" w:cs="Arial"/>
          <w:color w:val="000000" w:themeColor="text1"/>
          <w:sz w:val="19"/>
          <w:szCs w:val="19"/>
        </w:rPr>
        <w:t>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5B436AFA" w14:textId="77777777" w:rsidR="00915830" w:rsidRPr="00640E20" w:rsidRDefault="00915830" w:rsidP="00915830">
      <w:pPr>
        <w:pStyle w:val="NormalWeb"/>
        <w:spacing w:before="0" w:beforeAutospacing="0" w:after="0" w:afterAutospacing="0"/>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446BE923" w14:textId="77777777" w:rsidR="00915830" w:rsidRPr="00640E20" w:rsidRDefault="00915830" w:rsidP="00915830">
      <w:pPr>
        <w:pStyle w:val="NormalWeb"/>
        <w:spacing w:before="0" w:beforeAutospacing="0" w:after="0" w:afterAutospacing="0"/>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7ADBC844" w14:textId="77777777" w:rsidR="00915830" w:rsidRPr="00640E20" w:rsidRDefault="00915830" w:rsidP="00915830">
      <w:pPr>
        <w:pStyle w:val="NormalWeb"/>
        <w:spacing w:before="0" w:beforeAutospacing="0" w:after="0" w:afterAutospacing="0"/>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5C9ECFC3" w14:textId="77777777" w:rsidR="00915830" w:rsidRPr="00640E20" w:rsidRDefault="00915830" w:rsidP="00915830">
      <w:pPr>
        <w:pStyle w:val="NormalWeb"/>
        <w:spacing w:before="0" w:beforeAutospacing="0" w:after="0" w:afterAutospacing="0"/>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16">
    <w:p w14:paraId="53955DCE" w14:textId="77777777" w:rsidR="00915830" w:rsidRPr="00B06FD5" w:rsidRDefault="00915830" w:rsidP="00915830">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 CONGRESO DE LA REPÚBLICA. Gaceta Nº 1677 del 23 de noviembre de 2021. Justificación jurídica del Proyecto de Ley No. 226 de 2021 Cámara. p. 15.</w:t>
      </w:r>
      <w:r w:rsidRPr="00640E20">
        <w:rPr>
          <w:rFonts w:ascii="Arial" w:hAnsi="Arial" w:cs="Arial"/>
          <w:color w:val="000000" w:themeColor="text1"/>
          <w:sz w:val="19"/>
          <w:szCs w:val="19"/>
        </w:rPr>
        <w:cr/>
      </w:r>
    </w:p>
  </w:footnote>
  <w:footnote w:id="17">
    <w:p w14:paraId="243C8C3E" w14:textId="77777777" w:rsidR="00915830" w:rsidRPr="00640E20" w:rsidRDefault="00915830" w:rsidP="00915830">
      <w:pPr>
        <w:pStyle w:val="NormalWeb"/>
        <w:spacing w:before="0" w:beforeAutospacing="0" w:after="0" w:afterAutospacing="0"/>
        <w:ind w:firstLine="708"/>
        <w:jc w:val="both"/>
        <w:rPr>
          <w:rFonts w:ascii="Arial" w:hAnsi="Arial" w:cs="Arial"/>
          <w:color w:val="000000"/>
          <w:sz w:val="19"/>
          <w:szCs w:val="19"/>
        </w:rPr>
      </w:pPr>
      <w:r w:rsidRPr="00E858D2">
        <w:rPr>
          <w:rStyle w:val="Refdenotaalpie"/>
          <w:rFonts w:ascii="Arial" w:hAnsi="Arial" w:cs="Arial"/>
          <w:sz w:val="19"/>
          <w:szCs w:val="19"/>
        </w:rPr>
        <w:footnoteRef/>
      </w:r>
      <w:r w:rsidRPr="00640E20">
        <w:rPr>
          <w:rFonts w:ascii="Arial" w:hAnsi="Arial" w:cs="Arial"/>
          <w:sz w:val="19"/>
          <w:szCs w:val="19"/>
        </w:rPr>
        <w:t xml:space="preserve"> «</w:t>
      </w:r>
      <w:r w:rsidRPr="00B06FD5">
        <w:rPr>
          <w:rStyle w:val="Textoennegrita"/>
          <w:rFonts w:ascii="Arial" w:hAnsi="Arial" w:cs="Arial"/>
          <w:color w:val="000000"/>
          <w:sz w:val="19"/>
          <w:szCs w:val="19"/>
        </w:rPr>
        <w:t>Artículo 2°.</w:t>
      </w:r>
      <w:r w:rsidRPr="00B06FD5">
        <w:rPr>
          <w:rStyle w:val="nfasis"/>
          <w:rFonts w:ascii="Arial" w:hAnsi="Arial" w:cs="Arial"/>
          <w:color w:val="000000"/>
          <w:sz w:val="19"/>
          <w:szCs w:val="19"/>
        </w:rPr>
        <w:t>De las modalidades de selección</w:t>
      </w:r>
      <w:r w:rsidRPr="00B06FD5">
        <w:rPr>
          <w:rStyle w:val="nfasis"/>
          <w:rFonts w:ascii="Arial" w:hAnsi="Arial" w:cs="Arial"/>
          <w:b/>
          <w:bCs/>
          <w:color w:val="000000"/>
          <w:sz w:val="19"/>
          <w:szCs w:val="19"/>
        </w:rPr>
        <w:t>. </w:t>
      </w:r>
      <w:r w:rsidRPr="00B06FD5">
        <w:rPr>
          <w:rFonts w:ascii="Arial" w:hAnsi="Arial" w:cs="Arial"/>
          <w:color w:val="000000"/>
          <w:sz w:val="19"/>
          <w:szCs w:val="19"/>
        </w:rPr>
        <w:t xml:space="preserve">La escogencia del contratista se efectuará con arreglo a las modalidades de selección de licitación pública, selección abreviada, concurso de méritos y contratación directa, con base en las siguientes reglas:  </w:t>
      </w:r>
    </w:p>
    <w:p w14:paraId="41DCE949" w14:textId="77777777" w:rsidR="00915830" w:rsidRPr="00640E20" w:rsidRDefault="00915830" w:rsidP="00915830">
      <w:pPr>
        <w:pStyle w:val="NormalWeb"/>
        <w:spacing w:before="0" w:beforeAutospacing="0" w:after="0" w:afterAutospacing="0"/>
        <w:ind w:firstLine="708"/>
        <w:jc w:val="both"/>
        <w:rPr>
          <w:rFonts w:ascii="Arial" w:hAnsi="Arial" w:cs="Arial"/>
          <w:color w:val="000000"/>
          <w:sz w:val="19"/>
          <w:szCs w:val="19"/>
        </w:rPr>
      </w:pPr>
      <w:r w:rsidRPr="00640E20">
        <w:rPr>
          <w:rFonts w:ascii="Arial" w:hAnsi="Arial" w:cs="Arial"/>
          <w:color w:val="000000"/>
          <w:sz w:val="19"/>
          <w:szCs w:val="19"/>
        </w:rPr>
        <w:t>[…]</w:t>
      </w:r>
    </w:p>
    <w:p w14:paraId="52EE694A" w14:textId="77777777" w:rsidR="00915830" w:rsidRPr="00640E20" w:rsidRDefault="00915830" w:rsidP="00915830">
      <w:pPr>
        <w:pStyle w:val="NormalWeb"/>
        <w:spacing w:before="0" w:beforeAutospacing="0" w:after="0" w:afterAutospacing="0"/>
        <w:ind w:firstLine="708"/>
        <w:jc w:val="both"/>
        <w:rPr>
          <w:rFonts w:ascii="Arial" w:hAnsi="Arial" w:cs="Arial"/>
          <w:color w:val="000000"/>
          <w:sz w:val="19"/>
          <w:szCs w:val="19"/>
        </w:rPr>
      </w:pPr>
      <w:r w:rsidRPr="00640E20">
        <w:rPr>
          <w:rFonts w:ascii="Arial" w:hAnsi="Arial" w:cs="Arial"/>
          <w:color w:val="000000"/>
          <w:sz w:val="19"/>
          <w:szCs w:val="19"/>
        </w:rPr>
        <w:t>»4. Contratación directa</w:t>
      </w:r>
      <w:r w:rsidRPr="00640E20">
        <w:rPr>
          <w:rFonts w:ascii="Arial" w:hAnsi="Arial" w:cs="Arial"/>
          <w:b/>
          <w:bCs/>
          <w:color w:val="000000"/>
          <w:sz w:val="19"/>
          <w:szCs w:val="19"/>
        </w:rPr>
        <w:t>. </w:t>
      </w:r>
      <w:r w:rsidRPr="00640E20">
        <w:rPr>
          <w:rFonts w:ascii="Arial" w:hAnsi="Arial" w:cs="Arial"/>
          <w:color w:val="000000"/>
          <w:sz w:val="19"/>
          <w:szCs w:val="19"/>
        </w:rPr>
        <w:t>La modalidad de selección de contratación directa, solamente procederá en los siguientes casos: </w:t>
      </w:r>
    </w:p>
    <w:p w14:paraId="1F4A1892" w14:textId="77777777" w:rsidR="00915830" w:rsidRPr="00640E20" w:rsidRDefault="00915830" w:rsidP="00915830">
      <w:pPr>
        <w:jc w:val="both"/>
        <w:rPr>
          <w:rFonts w:ascii="Arial" w:hAnsi="Arial" w:cs="Arial"/>
          <w:color w:val="000000"/>
          <w:sz w:val="19"/>
          <w:szCs w:val="19"/>
          <w:lang w:eastAsia="es-CO"/>
        </w:rPr>
      </w:pPr>
      <w:r w:rsidRPr="00640E20">
        <w:rPr>
          <w:rFonts w:ascii="Arial" w:hAnsi="Arial" w:cs="Arial"/>
          <w:color w:val="000000"/>
          <w:sz w:val="19"/>
          <w:szCs w:val="19"/>
          <w:lang w:eastAsia="es-CO"/>
        </w:rPr>
        <w:t>  […]  </w:t>
      </w:r>
    </w:p>
    <w:p w14:paraId="789D66F6" w14:textId="77777777" w:rsidR="00915830" w:rsidRPr="00640E20" w:rsidRDefault="00915830" w:rsidP="00915830">
      <w:pPr>
        <w:ind w:firstLine="708"/>
        <w:jc w:val="both"/>
        <w:rPr>
          <w:rFonts w:ascii="Arial" w:hAnsi="Arial" w:cs="Arial"/>
          <w:color w:val="000000"/>
          <w:sz w:val="19"/>
          <w:szCs w:val="19"/>
          <w:lang w:eastAsia="es-CO"/>
        </w:rPr>
      </w:pPr>
      <w:r w:rsidRPr="00640E20">
        <w:rPr>
          <w:rFonts w:ascii="Arial" w:hAnsi="Arial" w:cs="Arial"/>
          <w:color w:val="000000"/>
          <w:sz w:val="19"/>
          <w:szCs w:val="19"/>
          <w:lang w:eastAsia="es-CO"/>
        </w:rPr>
        <w:t>»c) Contratos interadministrativos, siempre que las obligaciones derivadas del mismo tengan relación directa con el objeto de la entidad ejecutora señalado en la ley o en sus reglamentos.  </w:t>
      </w:r>
    </w:p>
    <w:p w14:paraId="4983E7F9" w14:textId="77777777" w:rsidR="00915830" w:rsidRPr="00640E20" w:rsidRDefault="00915830" w:rsidP="00915830">
      <w:pPr>
        <w:jc w:val="both"/>
        <w:rPr>
          <w:rFonts w:ascii="Arial" w:hAnsi="Arial" w:cs="Arial"/>
          <w:color w:val="000000"/>
          <w:sz w:val="19"/>
          <w:szCs w:val="19"/>
          <w:lang w:eastAsia="es-CO"/>
        </w:rPr>
      </w:pPr>
      <w:r w:rsidRPr="00640E20">
        <w:rPr>
          <w:rFonts w:ascii="Arial" w:hAnsi="Arial" w:cs="Arial"/>
          <w:color w:val="000000"/>
          <w:sz w:val="19"/>
          <w:szCs w:val="19"/>
          <w:lang w:eastAsia="es-CO"/>
        </w:rPr>
        <w:t>  </w:t>
      </w:r>
      <w:r w:rsidRPr="00640E20">
        <w:rPr>
          <w:rFonts w:ascii="Arial" w:hAnsi="Arial" w:cs="Arial"/>
          <w:color w:val="000000"/>
          <w:sz w:val="19"/>
          <w:szCs w:val="19"/>
          <w:lang w:eastAsia="es-CO"/>
        </w:rPr>
        <w:tab/>
        <w:t>»Se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  </w:t>
      </w:r>
    </w:p>
    <w:p w14:paraId="646717FE" w14:textId="77777777" w:rsidR="00915830" w:rsidRPr="00640E20" w:rsidRDefault="00915830" w:rsidP="00915830">
      <w:pPr>
        <w:jc w:val="both"/>
        <w:rPr>
          <w:rFonts w:ascii="Arial" w:hAnsi="Arial" w:cs="Arial"/>
          <w:color w:val="000000"/>
          <w:sz w:val="19"/>
          <w:szCs w:val="19"/>
          <w:lang w:eastAsia="es-CO"/>
        </w:rPr>
      </w:pPr>
      <w:r w:rsidRPr="00640E20">
        <w:rPr>
          <w:rFonts w:ascii="Arial" w:hAnsi="Arial" w:cs="Arial"/>
          <w:color w:val="000000"/>
          <w:sz w:val="19"/>
          <w:szCs w:val="19"/>
          <w:lang w:eastAsia="es-CO"/>
        </w:rPr>
        <w:t>  </w:t>
      </w:r>
      <w:r w:rsidRPr="00640E20">
        <w:rPr>
          <w:rFonts w:ascii="Arial" w:hAnsi="Arial" w:cs="Arial"/>
          <w:color w:val="000000"/>
          <w:sz w:val="19"/>
          <w:szCs w:val="19"/>
          <w:lang w:eastAsia="es-CO"/>
        </w:rPr>
        <w:tab/>
        <w:t>»En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  </w:t>
      </w:r>
    </w:p>
    <w:p w14:paraId="621051A0" w14:textId="77777777" w:rsidR="00915830" w:rsidRPr="00640E20" w:rsidRDefault="00915830" w:rsidP="00915830">
      <w:pPr>
        <w:jc w:val="both"/>
        <w:rPr>
          <w:rFonts w:ascii="Arial" w:hAnsi="Arial" w:cs="Arial"/>
          <w:color w:val="000000"/>
          <w:sz w:val="19"/>
          <w:szCs w:val="19"/>
          <w:lang w:eastAsia="es-CO"/>
        </w:rPr>
      </w:pPr>
      <w:r w:rsidRPr="00640E20">
        <w:rPr>
          <w:rFonts w:ascii="Arial" w:hAnsi="Arial" w:cs="Arial"/>
          <w:color w:val="000000"/>
          <w:sz w:val="19"/>
          <w:szCs w:val="19"/>
          <w:lang w:eastAsia="es-CO"/>
        </w:rPr>
        <w:t>  </w:t>
      </w:r>
      <w:r w:rsidRPr="00640E20">
        <w:rPr>
          <w:rFonts w:ascii="Arial" w:hAnsi="Arial" w:cs="Arial"/>
          <w:color w:val="000000"/>
          <w:sz w:val="19"/>
          <w:szCs w:val="19"/>
          <w:lang w:eastAsia="es-CO"/>
        </w:rPr>
        <w:tab/>
        <w:t>»En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 </w:t>
      </w:r>
    </w:p>
    <w:p w14:paraId="2718459D" w14:textId="77777777" w:rsidR="00915830" w:rsidRPr="00640E20" w:rsidRDefault="00915830" w:rsidP="00915830">
      <w:pPr>
        <w:jc w:val="both"/>
        <w:rPr>
          <w:rFonts w:ascii="Arial" w:hAnsi="Arial" w:cs="Arial"/>
          <w:sz w:val="19"/>
          <w:szCs w:val="19"/>
        </w:rPr>
      </w:pPr>
      <w:r w:rsidRPr="00640E20">
        <w:rPr>
          <w:rFonts w:ascii="Arial" w:hAnsi="Arial" w:cs="Arial"/>
          <w:color w:val="000000"/>
          <w:sz w:val="19"/>
          <w:szCs w:val="19"/>
          <w:lang w:eastAsia="es-CO"/>
        </w:rPr>
        <w:t>  </w:t>
      </w:r>
      <w:r w:rsidRPr="00640E20">
        <w:rPr>
          <w:rFonts w:ascii="Arial" w:hAnsi="Arial" w:cs="Arial"/>
          <w:color w:val="000000"/>
          <w:sz w:val="19"/>
          <w:szCs w:val="19"/>
          <w:lang w:eastAsia="es-CO"/>
        </w:rPr>
        <w:tab/>
        <w:t>»Estarán exceptuados de la figura del contrato interadministrativo, los contratos de seguro de las entidades estatales[…]». </w:t>
      </w:r>
      <w:r w:rsidRPr="00640E20">
        <w:rPr>
          <w:rFonts w:ascii="Arial" w:hAnsi="Arial" w:cs="Arial"/>
          <w:sz w:val="19"/>
          <w:szCs w:val="19"/>
        </w:rPr>
        <w:t xml:space="preserve"> </w:t>
      </w:r>
    </w:p>
  </w:footnote>
  <w:footnote w:id="18">
    <w:p w14:paraId="69334D62" w14:textId="77777777" w:rsidR="00915830" w:rsidRPr="00640E20" w:rsidRDefault="00915830" w:rsidP="00915830">
      <w:pPr>
        <w:pStyle w:val="Textonotapie"/>
        <w:ind w:firstLine="708"/>
        <w:jc w:val="both"/>
        <w:rPr>
          <w:rFonts w:ascii="Arial" w:hAnsi="Arial" w:cs="Arial"/>
          <w:sz w:val="19"/>
          <w:szCs w:val="19"/>
          <w:lang w:val="es-CO"/>
        </w:rPr>
      </w:pPr>
      <w:r w:rsidRPr="00E858D2">
        <w:rPr>
          <w:rStyle w:val="Refdenotaalpie"/>
          <w:rFonts w:ascii="Arial" w:hAnsi="Arial" w:cs="Arial"/>
          <w:sz w:val="19"/>
          <w:szCs w:val="19"/>
        </w:rPr>
        <w:footnoteRef/>
      </w:r>
      <w:r w:rsidRPr="00640E20">
        <w:rPr>
          <w:rFonts w:ascii="Arial" w:hAnsi="Arial" w:cs="Arial"/>
          <w:sz w:val="19"/>
          <w:szCs w:val="19"/>
        </w:rPr>
        <w:t xml:space="preserve"> Este es uno de los casos típicos de antinomias que ha identificado la doctrina, que al respecto ha señalado: «Segundo caso: antinomias entre normas provenientes de dos fuentes distintas, pero del mismo tipo (por ejemplo, dos leyes estatales ordinarias) Ahora bien, dos fuentes del mismo tipo por lo general habrán sido promulgadas o emanadas en momentos distintos. En estos casos, la antinomia se resuelve dando la preferencia a la norma más reciente en el tiempo. La norma sucesiva debe ser aplicada, la anterior debe considerarse abrogada, ya no en vigencia […] Este modo de razonar constituye aplicación del principio cronológico: la norma sucesiva abroga la precedente («</w:t>
      </w:r>
      <w:r w:rsidRPr="00640E20">
        <w:rPr>
          <w:rFonts w:ascii="Arial" w:hAnsi="Arial" w:cs="Arial"/>
          <w:i/>
          <w:iCs/>
          <w:sz w:val="19"/>
          <w:szCs w:val="19"/>
        </w:rPr>
        <w:t>lex posterior derogat legi priori</w:t>
      </w:r>
      <w:r w:rsidRPr="00640E20">
        <w:rPr>
          <w:rFonts w:ascii="Arial" w:hAnsi="Arial" w:cs="Arial"/>
          <w:sz w:val="19"/>
          <w:szCs w:val="19"/>
        </w:rPr>
        <w:t xml:space="preserve">»)». GUASTINI, Ricardo. La interpretación de los documentos normativos. Trad. Cesar E. Moreno Primera Edición, Centro Iberoamericano de Investigaciones Jurídicas y Sociales: Derecho Global Editores, México, 2018. pp. 423 </w:t>
      </w:r>
    </w:p>
  </w:footnote>
  <w:footnote w:id="19">
    <w:p w14:paraId="702C8F07" w14:textId="77777777" w:rsidR="00915830" w:rsidRPr="00640E20" w:rsidRDefault="00915830" w:rsidP="00915830">
      <w:pPr>
        <w:pStyle w:val="Textonotapie"/>
        <w:ind w:firstLine="709"/>
        <w:jc w:val="both"/>
        <w:rPr>
          <w:rFonts w:ascii="Arial" w:hAnsi="Arial" w:cs="Arial"/>
          <w:sz w:val="19"/>
          <w:szCs w:val="19"/>
        </w:rPr>
      </w:pPr>
      <w:r w:rsidRPr="00E858D2">
        <w:rPr>
          <w:rStyle w:val="Refdenotaalpie"/>
          <w:rFonts w:ascii="Arial" w:hAnsi="Arial" w:cs="Arial"/>
          <w:sz w:val="19"/>
          <w:szCs w:val="19"/>
        </w:rPr>
        <w:footnoteRef/>
      </w:r>
      <w:r w:rsidRPr="00640E20">
        <w:rPr>
          <w:rFonts w:ascii="Arial" w:hAnsi="Arial" w:cs="Arial"/>
          <w:sz w:val="19"/>
          <w:szCs w:val="19"/>
        </w:rPr>
        <w:t xml:space="preserve"> </w:t>
      </w:r>
      <w:r w:rsidRPr="006C108F">
        <w:rPr>
          <w:rFonts w:ascii="Arial" w:hAnsi="Arial" w:cs="Arial"/>
          <w:color w:val="000000" w:themeColor="text1"/>
          <w:sz w:val="19"/>
          <w:szCs w:val="19"/>
          <w:lang w:val="es-ES"/>
        </w:rPr>
        <w:t>Según García de Enterría, «Estos concepto jurídicos indeterminados, o que se contienen en lo que también se llaman las normas flexibles, son consustanciales a toda la técnica jurídica y no constituyen una particularidad del Derecho público […], son concept</w:t>
      </w:r>
      <w:r w:rsidRPr="00640E20">
        <w:rPr>
          <w:rFonts w:ascii="Arial" w:hAnsi="Arial" w:cs="Arial"/>
          <w:color w:val="000000" w:themeColor="text1"/>
          <w:sz w:val="19"/>
          <w:szCs w:val="19"/>
          <w:lang w:val="es-ES"/>
        </w:rPr>
        <w:t>os jurídicos indeterminados, en el sentido de que la medida concreta para la aplicación de los mismos en un caso particular no nos la resuelve o determina con exactitud la propia Ley que los ha creado y de cuya aplicación se trata» (GARCÍA DE ENTERRÍA, Eduardo. La lucha contra las inmunidades del poder en el derecho administrativo. 3ª ed. Madrid: Civitas, 1983. pp. 33-34).</w:t>
      </w:r>
    </w:p>
  </w:footnote>
  <w:footnote w:id="20">
    <w:p w14:paraId="7877E4FE" w14:textId="77777777" w:rsidR="00915830" w:rsidRPr="00832CA9" w:rsidRDefault="00915830" w:rsidP="00915830">
      <w:pPr>
        <w:pStyle w:val="Textonotapie"/>
        <w:ind w:firstLine="709"/>
        <w:rPr>
          <w:rFonts w:ascii="Arial" w:hAnsi="Arial" w:cs="Arial"/>
          <w:sz w:val="19"/>
          <w:szCs w:val="19"/>
        </w:rPr>
      </w:pPr>
      <w:r w:rsidRPr="00E858D2">
        <w:rPr>
          <w:rStyle w:val="Refdenotaalpie"/>
          <w:rFonts w:ascii="Arial" w:hAnsi="Arial" w:cs="Arial"/>
          <w:sz w:val="19"/>
          <w:szCs w:val="19"/>
        </w:rPr>
        <w:footnoteRef/>
      </w:r>
      <w:r w:rsidRPr="00640E20">
        <w:rPr>
          <w:rFonts w:ascii="Arial" w:hAnsi="Arial" w:cs="Arial"/>
          <w:sz w:val="19"/>
          <w:szCs w:val="19"/>
        </w:rPr>
        <w:t xml:space="preserve"> </w:t>
      </w:r>
      <w:r w:rsidRPr="006C108F">
        <w:rPr>
          <w:rFonts w:ascii="Arial" w:hAnsi="Arial" w:cs="Arial"/>
          <w:sz w:val="19"/>
          <w:szCs w:val="19"/>
        </w:rPr>
        <w:t>Sentencia C-382 de 2019, M.P.</w:t>
      </w:r>
      <w:r w:rsidRPr="005A1626">
        <w:rPr>
          <w:rFonts w:ascii="Arial" w:hAnsi="Arial" w:cs="Arial"/>
          <w:sz w:val="19"/>
          <w:szCs w:val="19"/>
        </w:rPr>
        <w:t xml:space="preserve"> Alejandro Linares Cantillo.</w:t>
      </w:r>
    </w:p>
  </w:footnote>
  <w:footnote w:id="21">
    <w:p w14:paraId="2A98E261" w14:textId="77777777" w:rsidR="00915830" w:rsidRPr="00640E20" w:rsidRDefault="00915830" w:rsidP="00915830">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w:t>
      </w:r>
      <w:r w:rsidRPr="006C108F">
        <w:rPr>
          <w:rFonts w:ascii="Arial" w:hAnsi="Arial" w:cs="Arial"/>
          <w:color w:val="000000" w:themeColor="text1"/>
          <w:sz w:val="19"/>
          <w:szCs w:val="19"/>
        </w:rPr>
        <w:t>La redacción original del parágrafo</w:t>
      </w:r>
      <w:r w:rsidRPr="005A1626">
        <w:rPr>
          <w:rFonts w:ascii="Arial" w:hAnsi="Arial" w:cs="Arial"/>
          <w:color w:val="000000" w:themeColor="text1"/>
          <w:sz w:val="19"/>
          <w:szCs w:val="19"/>
        </w:rPr>
        <w:t xml:space="preserve"> primero</w:t>
      </w:r>
      <w:r w:rsidRPr="00832CA9">
        <w:rPr>
          <w:rFonts w:ascii="Arial" w:hAnsi="Arial" w:cs="Arial"/>
          <w:color w:val="000000" w:themeColor="text1"/>
          <w:sz w:val="19"/>
          <w:szCs w:val="19"/>
        </w:rPr>
        <w:t xml:space="preserve"> del artículo 32 de la Ley 80 d</w:t>
      </w:r>
      <w:r w:rsidRPr="00640E20">
        <w:rPr>
          <w:rFonts w:ascii="Arial" w:hAnsi="Arial" w:cs="Arial"/>
          <w:color w:val="000000" w:themeColor="text1"/>
          <w:sz w:val="19"/>
          <w:szCs w:val="19"/>
        </w:rPr>
        <w:t xml:space="preserve">e 1993, incluía la expresión </w:t>
      </w:r>
      <w:r w:rsidRPr="00640E20">
        <w:rPr>
          <w:rFonts w:ascii="Arial" w:hAnsi="Arial" w:cs="Arial"/>
          <w:i/>
          <w:iCs/>
          <w:color w:val="000000" w:themeColor="text1"/>
          <w:sz w:val="19"/>
          <w:szCs w:val="19"/>
        </w:rPr>
        <w:t>giro ordinario</w:t>
      </w:r>
      <w:r w:rsidRPr="00640E20">
        <w:rPr>
          <w:rFonts w:ascii="Arial" w:hAnsi="Arial" w:cs="Arial"/>
          <w:color w:val="000000" w:themeColor="text1"/>
          <w:sz w:val="19"/>
          <w:szCs w:val="19"/>
        </w:rPr>
        <w:t xml:space="preserve">, la cual servía de elemento calificante para la determinación del régimen aplicable a los contratos de los establecimientos de crédito público, las compañías de seguros y las demás entidades financieras públicas. Dicho parágrafo establecía «Sin perjuicio de lo dispuesto en esta ley sobre fiducia y encargo fiduciario, los contratos que celebren los establecimientos de crédito, las compañías de seguros y las demás entidades financieras de carácter estatal, que correspondan </w:t>
      </w:r>
      <w:r w:rsidRPr="00640E20">
        <w:rPr>
          <w:rFonts w:ascii="Arial" w:hAnsi="Arial" w:cs="Arial"/>
          <w:i/>
          <w:iCs/>
          <w:color w:val="000000" w:themeColor="text1"/>
          <w:sz w:val="19"/>
          <w:szCs w:val="19"/>
        </w:rPr>
        <w:t>al giro ordinario de las actividades propias de su objeto social,</w:t>
      </w:r>
      <w:r w:rsidRPr="00640E20">
        <w:rPr>
          <w:rFonts w:ascii="Arial" w:hAnsi="Arial" w:cs="Arial"/>
          <w:color w:val="000000" w:themeColor="text1"/>
          <w:sz w:val="19"/>
          <w:szCs w:val="19"/>
        </w:rPr>
        <w:t xml:space="preserve"> no estarán sujetos a las disposiciones del presente estatuto y se regirán por las disposiciones legales y reglamentarias aplicables a dichas actividades» [Énfasis fuera de texto].</w:t>
      </w:r>
    </w:p>
  </w:footnote>
  <w:footnote w:id="22">
    <w:p w14:paraId="463171B0" w14:textId="77777777" w:rsidR="00915830" w:rsidRPr="00F0096D" w:rsidRDefault="00915830" w:rsidP="00915830">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Consejo de Estado</w:t>
      </w:r>
      <w:r w:rsidRPr="005A1626">
        <w:rPr>
          <w:rFonts w:ascii="Arial" w:hAnsi="Arial" w:cs="Arial"/>
          <w:color w:val="000000" w:themeColor="text1"/>
          <w:sz w:val="19"/>
          <w:szCs w:val="19"/>
        </w:rPr>
        <w:t>.</w:t>
      </w:r>
      <w:r w:rsidRPr="00832CA9">
        <w:rPr>
          <w:rFonts w:ascii="Arial" w:hAnsi="Arial" w:cs="Arial"/>
          <w:color w:val="000000" w:themeColor="text1"/>
          <w:sz w:val="19"/>
          <w:szCs w:val="19"/>
        </w:rPr>
        <w:t xml:space="preserve"> Sección Tercera</w:t>
      </w:r>
      <w:r w:rsidRPr="00640E20">
        <w:rPr>
          <w:rFonts w:ascii="Arial" w:hAnsi="Arial" w:cs="Arial"/>
          <w:color w:val="000000" w:themeColor="text1"/>
          <w:sz w:val="19"/>
          <w:szCs w:val="19"/>
        </w:rPr>
        <w:t>. Subsección B. Sentencia del 12 de octubre de 2011. Exp. No. 20070. C.P. Danilo Rojas Betancourt.</w:t>
      </w:r>
    </w:p>
  </w:footnote>
  <w:footnote w:id="23">
    <w:p w14:paraId="71E34D98" w14:textId="77777777" w:rsidR="00915830" w:rsidRPr="00640E20" w:rsidRDefault="00915830" w:rsidP="00915830">
      <w:pPr>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Consejo de Estado. Sección Tercera. Subsección A. Sentencia del 3 de marzo de 2021. Exp. No. 51373. C.P. José Roberto Sáchica Méndez.</w:t>
      </w:r>
    </w:p>
    <w:p w14:paraId="3824A632" w14:textId="77777777" w:rsidR="00915830" w:rsidRPr="00640E20" w:rsidRDefault="00915830" w:rsidP="00915830">
      <w:pPr>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 xml:space="preserve"> </w:t>
      </w:r>
    </w:p>
  </w:footnote>
  <w:footnote w:id="24">
    <w:p w14:paraId="7108AE3E" w14:textId="77777777" w:rsidR="00915830" w:rsidRPr="00640E20" w:rsidRDefault="00915830" w:rsidP="00915830">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w:t>
      </w:r>
      <w:r w:rsidRPr="005A1626">
        <w:rPr>
          <w:rFonts w:ascii="Arial" w:hAnsi="Arial" w:cs="Arial"/>
          <w:color w:val="000000" w:themeColor="text1"/>
          <w:sz w:val="19"/>
          <w:szCs w:val="19"/>
        </w:rPr>
        <w:t>E</w:t>
      </w:r>
      <w:r w:rsidRPr="00832CA9">
        <w:rPr>
          <w:rFonts w:ascii="Arial" w:hAnsi="Arial" w:cs="Arial"/>
          <w:color w:val="000000" w:themeColor="text1"/>
          <w:sz w:val="19"/>
          <w:szCs w:val="19"/>
        </w:rPr>
        <w:t>l Consejo de Estado ha precisado</w:t>
      </w:r>
      <w:r w:rsidRPr="00640E20">
        <w:rPr>
          <w:rFonts w:ascii="Arial" w:hAnsi="Arial" w:cs="Arial"/>
          <w:color w:val="000000" w:themeColor="text1"/>
          <w:sz w:val="19"/>
          <w:szCs w:val="19"/>
        </w:rPr>
        <w:t xml:space="preserve"> que: «Según esta norma, 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del objeto de la sociedad. Tal es el caso de la contratación de la publicidad para promocionar la empresa o sus productos, o la contratación de profesionales para que realicen una consultoría o asesoría relacionada con las actividades de la empresa, etc.</w:t>
      </w:r>
    </w:p>
    <w:p w14:paraId="751177CE" w14:textId="77777777" w:rsidR="00915830" w:rsidRPr="00640E20" w:rsidRDefault="00915830" w:rsidP="00915830">
      <w:pPr>
        <w:pStyle w:val="Textonotapie"/>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»En estos casos, mal podría decirse que la sociedad no puede realizar este tipo de actos necesarios para el buen desempeño de sus actividades comerciales. Lo propio cabe decir de las entidades financieras. De manera que la norma comercial citada es perfectamente trasladable al campo financiero».  Consejo de Estado. Sección Tercera. Sentencia del 6 de julio de 2005. Exp. No. 11575. C.P. Alier E. Hernández Enríquez.</w:t>
      </w:r>
    </w:p>
  </w:footnote>
  <w:footnote w:id="25">
    <w:p w14:paraId="3A2E20A2" w14:textId="77777777" w:rsidR="00915830" w:rsidRPr="00640E20" w:rsidRDefault="00915830" w:rsidP="00915830">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Superintendencia de Sociedades. Oficio 220-014111 del 18 de febrero de 2015. Consultado el 9 de febrero de 2022 en: </w:t>
      </w:r>
      <w:hyperlink r:id="rId1" w:history="1">
        <w:r w:rsidRPr="00640E20">
          <w:rPr>
            <w:rStyle w:val="Hipervnculo"/>
            <w:rFonts w:ascii="Arial" w:hAnsi="Arial" w:cs="Arial"/>
            <w:color w:val="000000" w:themeColor="text1"/>
            <w:sz w:val="19"/>
            <w:szCs w:val="19"/>
          </w:rPr>
          <w:t>https://www.supersociedades.gov.co/nuestra_entidad/normatividad/normatividad_conceptos_juridicos/OFICIO_220-014111_DE_2015.pdf</w:t>
        </w:r>
      </w:hyperlink>
    </w:p>
  </w:footnote>
  <w:footnote w:id="26">
    <w:p w14:paraId="16A6B800" w14:textId="77777777" w:rsidR="00915830" w:rsidRPr="00640E20" w:rsidRDefault="00915830" w:rsidP="00915830">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En efecto, en audiencia </w:t>
      </w:r>
      <w:r w:rsidRPr="005A1626">
        <w:rPr>
          <w:rFonts w:ascii="Arial" w:hAnsi="Arial" w:cs="Arial"/>
          <w:color w:val="000000" w:themeColor="text1"/>
          <w:sz w:val="19"/>
          <w:szCs w:val="19"/>
        </w:rPr>
        <w:t xml:space="preserve">Pública del 18 de marzo de 2021, esta Agencia llamó la atención sobre la necesidad  de incluir en el Proyecto de Ley </w:t>
      </w:r>
      <w:r w:rsidRPr="00640E20">
        <w:rPr>
          <w:rFonts w:ascii="Arial" w:hAnsi="Arial" w:cs="Arial"/>
          <w:color w:val="000000" w:themeColor="text1"/>
          <w:sz w:val="19"/>
          <w:szCs w:val="19"/>
        </w:rPr>
        <w:t xml:space="preserve"> «[…] algunas disposiciones [..] relacionadas por ejemplo con impedir que las entidades sometidas al estatuto de contratación celebren contratos jurídicos de derecho privado, con lo que se prevé evitar escapar del ámbito del estatuto de contratación pública, asimismo fortalecer que en los convenios deben emplearse documentos tipos; extender la aplicación del estatuto de contratación algunos objetos en los cuales tienen un régimen especial y a patrimonios autónomos, así como empresas de servicios públicos». CONGRESO DE LA REPÚBLICA. Gaceta Nº 1677 del 23 de noviembre de 2021. Justificación jurídica del Proyecto de Ley No. 226 de 2021 Cámara. p. 15.</w:t>
      </w:r>
    </w:p>
  </w:footnote>
  <w:footnote w:id="27">
    <w:p w14:paraId="14EDA6FA" w14:textId="77777777" w:rsidR="00915830" w:rsidRPr="00640E20" w:rsidRDefault="00915830" w:rsidP="00915830">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Al respecto ha señalado la Corte Constitucional: «En relación con el ámbito de configuración del legislador en materia contractual la jurisprudencia constitucional ha señalado los siguientes criterios:</w:t>
      </w:r>
    </w:p>
    <w:p w14:paraId="7C2B8987" w14:textId="77777777" w:rsidR="00915830" w:rsidRPr="00640E20" w:rsidRDefault="00915830" w:rsidP="00915830">
      <w:pPr>
        <w:pStyle w:val="Textonotapie"/>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(i) De la Constitución no es posible inferir la obligación para el legislador de incorporar en un solo cuerpo normativo toda la legislación existente en materia contractual, pues si ésta hubiera sido la voluntad del constituyente, en el artículo 150 Fundamental se habría autorizado al Congreso de la República para expedir un estatuto único de contratación para el Estado y no un estatuto general como prevé la disposición constitucional.[27]</w:t>
      </w:r>
    </w:p>
    <w:p w14:paraId="2D47EF8A" w14:textId="77777777" w:rsidR="00915830" w:rsidRPr="00640E20" w:rsidRDefault="00915830" w:rsidP="00915830">
      <w:pPr>
        <w:pStyle w:val="Textonotapie"/>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(ii) El mandato otorgado al Congreso de la República, en el artículo 150 de la Carta, para que dicte un estatuto general de contratación de la administración pública y en especial de la administración nacional, implica el reconocimiento de una amplia libertad de configuración del legislador para diseñar un régimen legal cuya finalidad sea la de propender por el logro de los objetivos constitucionales del Estado Social de Derecho, toda vez que el cumplimiento de estas metas requiere del aprovisionamiento de bienes y servicios por parte de los órganos públicos mediante la contratación. En este orden de ideas, es innegable el carácter instrumental que ostenta el contrato estatal, puesto que no es un fin en sí mismo sino un medio para la consecución de los altos objetivos del Estado.[28]</w:t>
      </w:r>
    </w:p>
    <w:p w14:paraId="3BBD3F66" w14:textId="77777777" w:rsidR="00915830" w:rsidRPr="00640E20" w:rsidRDefault="00915830" w:rsidP="00915830">
      <w:pPr>
        <w:pStyle w:val="Textonotapie"/>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(iii) En virtud de la potestad de configuración que se comenta el Congreso tiene libertad para regular los aspectos más significativos de la contratación pública como son los referentes a las cláusulas excepcionales, la clasificación de los contratos estatales, los deberes y derechos de las partes contratantes, la competencia y capacidad para contratar, principios fundamentales, nulidades, control de la gestión contractual, responsabilidad contractual, liquidación de los contratos y solución de las controversias contractuales, entre otros, todo dentro de los límites de razonabilidad y proporcionalidad y con arreglo a los parámetros constitucionales». Sentencia C-713 del 7 de octubre de 2009. M.P. María Victoria Calle Correa.</w:t>
      </w:r>
    </w:p>
  </w:footnote>
  <w:footnote w:id="28">
    <w:p w14:paraId="663603B8" w14:textId="77777777" w:rsidR="00915830" w:rsidRPr="00F0096D" w:rsidRDefault="00915830" w:rsidP="00915830">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832CA9">
        <w:rPr>
          <w:rFonts w:ascii="Arial" w:hAnsi="Arial" w:cs="Arial"/>
          <w:sz w:val="19"/>
          <w:szCs w:val="19"/>
        </w:rPr>
        <w:t xml:space="preserve"> </w:t>
      </w:r>
      <w:r w:rsidRPr="00832CA9">
        <w:rPr>
          <w:rFonts w:ascii="Arial" w:hAnsi="Arial" w:cs="Arial"/>
          <w:color w:val="000000" w:themeColor="text1"/>
          <w:sz w:val="19"/>
          <w:szCs w:val="19"/>
        </w:rPr>
        <w:t>Consejo de Estado. Sección Tercera. Subsección A. Sentencia del 24 de junio de 2015. Exp. 40.635. Consejero Ponente:</w:t>
      </w:r>
      <w:r w:rsidRPr="00640E20">
        <w:rPr>
          <w:rFonts w:ascii="Arial" w:hAnsi="Arial" w:cs="Arial"/>
          <w:color w:val="000000" w:themeColor="text1"/>
          <w:sz w:val="19"/>
          <w:szCs w:val="19"/>
        </w:rPr>
        <w:t xml:space="preserve"> Hernán Andrade Rincón (E).</w:t>
      </w:r>
    </w:p>
  </w:footnote>
  <w:footnote w:id="29">
    <w:p w14:paraId="4139979D" w14:textId="77777777" w:rsidR="00915830" w:rsidRPr="00F0096D" w:rsidRDefault="00915830" w:rsidP="00915830">
      <w:pPr>
        <w:pStyle w:val="Textonotapie"/>
        <w:ind w:firstLine="709"/>
        <w:jc w:val="both"/>
        <w:rPr>
          <w:rFonts w:ascii="Arial" w:hAnsi="Arial" w:cs="Arial"/>
          <w:color w:val="000000" w:themeColor="text1"/>
          <w:sz w:val="19"/>
          <w:szCs w:val="19"/>
          <w:lang w:val="es-ES"/>
        </w:rPr>
      </w:pPr>
      <w:r w:rsidRPr="00E858D2">
        <w:rPr>
          <w:rStyle w:val="Refdenotaalpie"/>
          <w:rFonts w:ascii="Arial" w:hAnsi="Arial" w:cs="Arial"/>
          <w:sz w:val="19"/>
          <w:szCs w:val="19"/>
        </w:rPr>
        <w:footnoteRef/>
      </w:r>
      <w:r w:rsidRPr="00832CA9">
        <w:rPr>
          <w:rFonts w:ascii="Arial" w:hAnsi="Arial" w:cs="Arial"/>
          <w:sz w:val="19"/>
          <w:szCs w:val="19"/>
        </w:rPr>
        <w:t xml:space="preserve"> </w:t>
      </w:r>
      <w:r w:rsidRPr="00832CA9">
        <w:rPr>
          <w:rFonts w:ascii="Arial" w:hAnsi="Arial" w:cs="Arial"/>
          <w:color w:val="000000" w:themeColor="text1"/>
          <w:sz w:val="19"/>
          <w:szCs w:val="19"/>
          <w:lang w:val="es-ES"/>
        </w:rPr>
        <w:t>Consejo de Estado. Sala de Consulta y Servicio Civil. Concepto del 30 de abril de 2015. Expediente: 2251. Consejero Ponente: Álvaro Namén Vargas.</w:t>
      </w:r>
    </w:p>
  </w:footnote>
  <w:footnote w:id="30">
    <w:p w14:paraId="597A3FD8" w14:textId="77777777" w:rsidR="00915830" w:rsidRPr="00640E20" w:rsidRDefault="00915830" w:rsidP="00915830">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832CA9">
        <w:rPr>
          <w:rFonts w:ascii="Arial" w:hAnsi="Arial" w:cs="Arial"/>
          <w:color w:val="000000" w:themeColor="text1"/>
          <w:sz w:val="19"/>
          <w:szCs w:val="19"/>
        </w:rPr>
        <w:t xml:space="preserve"> Código Civil: «Artículo 27. Interpretación Gramatical. Cuando el sentido de la ley sea claro, no se desaten</w:t>
      </w:r>
      <w:r w:rsidRPr="00640E20">
        <w:rPr>
          <w:rFonts w:ascii="Arial" w:hAnsi="Arial" w:cs="Arial"/>
          <w:color w:val="000000" w:themeColor="text1"/>
          <w:sz w:val="19"/>
          <w:szCs w:val="19"/>
        </w:rPr>
        <w:t>derá su tenor literal a pretexto de consultar su espíritu.</w:t>
      </w:r>
    </w:p>
    <w:p w14:paraId="41F02B31" w14:textId="77777777" w:rsidR="00915830" w:rsidRPr="00640E20" w:rsidRDefault="00915830" w:rsidP="00915830">
      <w:pPr>
        <w:pStyle w:val="Textonotapie"/>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»Pero bien se puede, para interpretar una expresión oscura de la ley, recurrir a su intención o espíritu, claramente manifestados en ella misma o en la historia fidedigna de su establecimiento».</w:t>
      </w:r>
    </w:p>
  </w:footnote>
  <w:footnote w:id="31">
    <w:p w14:paraId="35B5DBF4" w14:textId="77777777" w:rsidR="00915830" w:rsidRPr="001E7B75" w:rsidRDefault="00915830" w:rsidP="00915830">
      <w:pPr>
        <w:ind w:firstLine="708"/>
        <w:jc w:val="both"/>
        <w:rPr>
          <w:rFonts w:ascii="Arial" w:hAnsi="Arial" w:cs="Arial"/>
          <w:sz w:val="19"/>
          <w:szCs w:val="19"/>
        </w:rPr>
      </w:pPr>
      <w:r w:rsidRPr="00E858D2">
        <w:rPr>
          <w:rStyle w:val="Refdenotaalpie"/>
          <w:rFonts w:ascii="Arial" w:hAnsi="Arial" w:cs="Arial"/>
          <w:sz w:val="19"/>
          <w:szCs w:val="19"/>
        </w:rPr>
        <w:footnoteRef/>
      </w:r>
      <w:r w:rsidRPr="00832CA9">
        <w:rPr>
          <w:rFonts w:ascii="Arial" w:hAnsi="Arial" w:cs="Arial"/>
          <w:sz w:val="19"/>
          <w:szCs w:val="19"/>
        </w:rPr>
        <w:t xml:space="preserve"> Código Civil: «Artículo 31. Interpretación sobre la extensión de una ley. Lo favorable u odioso de una disposición no se tomará en cuenta para ampliar o restringir su interpretación. La extensión que deba darse a toda ley se determinará por su genuino sen</w:t>
      </w:r>
      <w:r w:rsidRPr="00640E20">
        <w:rPr>
          <w:rFonts w:ascii="Arial" w:hAnsi="Arial" w:cs="Arial"/>
          <w:sz w:val="19"/>
          <w:szCs w:val="19"/>
        </w:rPr>
        <w:t>tido, y según las reglas de interpretación precedentes».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01B9" w14:textId="77777777" w:rsidR="000A47AF" w:rsidRDefault="00A2154E">
    <w:pPr>
      <w:pStyle w:val="Encabezado"/>
    </w:pPr>
    <w:r>
      <w:rPr>
        <w:noProof/>
        <w:lang w:val="en-US"/>
      </w:rPr>
      <w:drawing>
        <wp:anchor distT="0" distB="0" distL="114300" distR="114300" simplePos="0" relativeHeight="251659264" behindDoc="1" locked="0" layoutInCell="1" allowOverlap="1" wp14:anchorId="42815EFA" wp14:editId="782574C8">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82E722" w14:textId="77777777" w:rsidR="00183D77" w:rsidRDefault="00D331FE"/>
  <w:p w14:paraId="06E9BD6D" w14:textId="77777777" w:rsidR="00183D77" w:rsidRDefault="00D331FE"/>
  <w:p w14:paraId="5014A94E" w14:textId="77777777" w:rsidR="00183D77" w:rsidRDefault="00D331F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830"/>
    <w:rsid w:val="00113B0D"/>
    <w:rsid w:val="001E7B75"/>
    <w:rsid w:val="005A61EA"/>
    <w:rsid w:val="00746BCC"/>
    <w:rsid w:val="00915830"/>
    <w:rsid w:val="00A2154E"/>
    <w:rsid w:val="00D331FE"/>
    <w:rsid w:val="00E37F5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7C25E"/>
  <w15:chartTrackingRefBased/>
  <w15:docId w15:val="{9EA9BB93-8959-E44D-9E15-74B488888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F50"/>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15830"/>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915830"/>
    <w:rPr>
      <w:szCs w:val="22"/>
      <w:lang w:val="es-MX"/>
    </w:rPr>
  </w:style>
  <w:style w:type="paragraph" w:styleId="Encabezado">
    <w:name w:val="header"/>
    <w:basedOn w:val="Normal"/>
    <w:link w:val="EncabezadoCar"/>
    <w:uiPriority w:val="99"/>
    <w:unhideWhenUsed/>
    <w:rsid w:val="00915830"/>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15830"/>
    <w:rPr>
      <w:szCs w:val="22"/>
      <w:lang w:val="es-MX"/>
    </w:rPr>
  </w:style>
  <w:style w:type="table" w:styleId="Tablaconcuadrcula">
    <w:name w:val="Table Grid"/>
    <w:basedOn w:val="Tablanormal"/>
    <w:uiPriority w:val="59"/>
    <w:qFormat/>
    <w:rsid w:val="0091583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15830"/>
    <w:pPr>
      <w:ind w:left="720"/>
      <w:contextualSpacing/>
    </w:pPr>
    <w:rPr>
      <w:rFonts w:asciiTheme="minorHAnsi" w:eastAsiaTheme="minorHAnsi" w:hAnsiTheme="minorHAnsi" w:cstheme="minorBidi"/>
      <w:szCs w:val="22"/>
      <w:lang w:val="es-MX" w:eastAsia="en-US"/>
    </w:rPr>
  </w:style>
  <w:style w:type="character" w:styleId="Hipervnculo">
    <w:name w:val="Hyperlink"/>
    <w:basedOn w:val="Fuentedeprrafopredeter"/>
    <w:uiPriority w:val="99"/>
    <w:unhideWhenUsed/>
    <w:rsid w:val="00915830"/>
    <w:rPr>
      <w:color w:val="0563C1" w:themeColor="hyperlink"/>
      <w:u w:val="single"/>
    </w:rPr>
  </w:style>
  <w:style w:type="paragraph" w:styleId="NormalWeb">
    <w:name w:val="Normal (Web)"/>
    <w:basedOn w:val="Normal"/>
    <w:link w:val="NormalWebCar"/>
    <w:uiPriority w:val="99"/>
    <w:unhideWhenUsed/>
    <w:rsid w:val="00915830"/>
    <w:pPr>
      <w:spacing w:before="100" w:beforeAutospacing="1" w:after="100" w:afterAutospacing="1"/>
    </w:pPr>
    <w:rPr>
      <w:lang w:eastAsia="es-CO"/>
    </w:rPr>
  </w:style>
  <w:style w:type="paragraph" w:styleId="Sinespaciado">
    <w:name w:val="No Spacing"/>
    <w:aliases w:val="No Indent"/>
    <w:uiPriority w:val="3"/>
    <w:qFormat/>
    <w:rsid w:val="00915830"/>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915830"/>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ft"/>
    <w:basedOn w:val="Normal"/>
    <w:link w:val="TextonotapieCar"/>
    <w:uiPriority w:val="99"/>
    <w:unhideWhenUsed/>
    <w:qFormat/>
    <w:rsid w:val="00915830"/>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915830"/>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15830"/>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915830"/>
    <w:rPr>
      <w:vertAlign w:val="superscript"/>
    </w:rPr>
  </w:style>
  <w:style w:type="paragraph" w:styleId="Textoindependiente">
    <w:name w:val="Body Text"/>
    <w:basedOn w:val="Normal"/>
    <w:link w:val="TextoindependienteCar"/>
    <w:uiPriority w:val="99"/>
    <w:unhideWhenUsed/>
    <w:rsid w:val="00915830"/>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915830"/>
    <w:rPr>
      <w:rFonts w:eastAsiaTheme="minorEastAsia"/>
      <w:sz w:val="22"/>
      <w:szCs w:val="22"/>
      <w:lang w:eastAsia="es-CO"/>
    </w:rPr>
  </w:style>
  <w:style w:type="character" w:styleId="Textoennegrita">
    <w:name w:val="Strong"/>
    <w:basedOn w:val="Fuentedeprrafopredeter"/>
    <w:uiPriority w:val="22"/>
    <w:qFormat/>
    <w:rsid w:val="00915830"/>
    <w:rPr>
      <w:b/>
      <w:bCs/>
    </w:rPr>
  </w:style>
  <w:style w:type="character" w:styleId="nfasis">
    <w:name w:val="Emphasis"/>
    <w:basedOn w:val="Fuentedeprrafopredeter"/>
    <w:uiPriority w:val="20"/>
    <w:qFormat/>
    <w:rsid w:val="00915830"/>
    <w:rPr>
      <w:i/>
      <w:iCs/>
    </w:rPr>
  </w:style>
  <w:style w:type="character" w:customStyle="1" w:styleId="NormalWebCar">
    <w:name w:val="Normal (Web) Car"/>
    <w:link w:val="NormalWeb"/>
    <w:uiPriority w:val="99"/>
    <w:rsid w:val="00915830"/>
    <w:rPr>
      <w:rFonts w:ascii="Times New Roman" w:eastAsia="Times New Roman" w:hAnsi="Times New Roman" w:cs="Times New Roman"/>
      <w:lang w:eastAsia="es-CO"/>
    </w:rPr>
  </w:style>
  <w:style w:type="paragraph" w:customStyle="1" w:styleId="Appelnotedebasde">
    <w:name w:val="Appel note de bas de..."/>
    <w:basedOn w:val="Normal"/>
    <w:link w:val="Refdenotaalpie"/>
    <w:uiPriority w:val="99"/>
    <w:rsid w:val="00915830"/>
    <w:pPr>
      <w:spacing w:after="160" w:line="240" w:lineRule="exact"/>
    </w:pPr>
    <w:rPr>
      <w:rFonts w:asciiTheme="minorHAnsi" w:eastAsiaTheme="minorHAnsi" w:hAnsiTheme="minorHAnsi" w:cstheme="minorBidi"/>
      <w:vertAlign w:val="superscript"/>
      <w:lang w:eastAsia="en-US"/>
    </w:rPr>
  </w:style>
  <w:style w:type="paragraph" w:customStyle="1" w:styleId="Normal11pt">
    <w:name w:val="Normal + 11 pt"/>
    <w:aliases w:val="Negro,Justificado,Izquierda:  -0,95 cm,Derecha:  0,04 cm"/>
    <w:basedOn w:val="Normal"/>
    <w:uiPriority w:val="99"/>
    <w:rsid w:val="00915830"/>
    <w:pPr>
      <w:ind w:left="-540"/>
      <w:jc w:val="both"/>
    </w:pPr>
    <w:rPr>
      <w:rFonts w:ascii="Arial" w:hAnsi="Arial" w:cs="Arial"/>
      <w:color w:val="000000"/>
      <w:sz w:val="22"/>
      <w:szCs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993277">
      <w:bodyDiv w:val="1"/>
      <w:marLeft w:val="0"/>
      <w:marRight w:val="0"/>
      <w:marTop w:val="0"/>
      <w:marBottom w:val="0"/>
      <w:divBdr>
        <w:top w:val="none" w:sz="0" w:space="0" w:color="auto"/>
        <w:left w:val="none" w:sz="0" w:space="0" w:color="auto"/>
        <w:bottom w:val="none" w:sz="0" w:space="0" w:color="auto"/>
        <w:right w:val="none" w:sz="0" w:space="0" w:color="auto"/>
      </w:divBdr>
      <w:divsChild>
        <w:div w:id="1775444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supersociedades.gov.co/nuestra_entidad/normatividad/normatividad_conceptos_juridicos/OFICIO_220-014111_DE_201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A8A845-8055-47B3-971F-A96815271B0A}">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58B5B2BA-4F75-4280-96DA-9408C13F5AC2}">
  <ds:schemaRefs>
    <ds:schemaRef ds:uri="http://schemas.microsoft.com/sharepoint/v3/contenttype/forms"/>
  </ds:schemaRefs>
</ds:datastoreItem>
</file>

<file path=customXml/itemProps3.xml><?xml version="1.0" encoding="utf-8"?>
<ds:datastoreItem xmlns:ds="http://schemas.openxmlformats.org/officeDocument/2006/customXml" ds:itemID="{E045539C-3881-4FCA-B8B2-5F09B38B3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33</Pages>
  <Words>11948</Words>
  <Characters>65714</Characters>
  <Application>Microsoft Office Word</Application>
  <DocSecurity>0</DocSecurity>
  <Lines>547</Lines>
  <Paragraphs>155</Paragraphs>
  <ScaleCrop>false</ScaleCrop>
  <Company/>
  <LinksUpToDate>false</LinksUpToDate>
  <CharactersWithSpaces>77507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Martin Rojas Mejia</cp:lastModifiedBy>
  <cp:revision>5</cp:revision>
  <dcterms:created xsi:type="dcterms:W3CDTF">2022-04-08T17:30:00Z</dcterms:created>
  <dcterms:modified xsi:type="dcterms:W3CDTF">2022-05-24T18:28:00Z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