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FF69"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bookmarkStart w:id="0" w:name="_Hlk77152637"/>
      <w:bookmarkStart w:id="1" w:name="_Hlk77157066"/>
      <w:bookmarkStart w:id="2" w:name="_Hlk78821436"/>
      <w:r w:rsidRPr="002E61F7">
        <w:rPr>
          <w:rFonts w:ascii="Arial" w:eastAsia="Calibri" w:hAnsi="Arial" w:cs="Arial"/>
          <w:b/>
          <w:bCs/>
          <w:lang w:val="es-MX"/>
        </w:rPr>
        <w:t>LEY DE GARANTÍAS ELECTORALES ‒ Finalidad</w:t>
      </w:r>
    </w:p>
    <w:p w14:paraId="0D0C19F7"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244CE2C3" w14:textId="77777777" w:rsidR="00BC5E75" w:rsidRPr="006D076F" w:rsidRDefault="00BC5E75" w:rsidP="00BC5E75">
      <w:pPr>
        <w:tabs>
          <w:tab w:val="left" w:pos="426"/>
        </w:tabs>
        <w:spacing w:after="0" w:line="240" w:lineRule="auto"/>
        <w:contextualSpacing/>
        <w:jc w:val="both"/>
        <w:rPr>
          <w:rFonts w:ascii="Arial" w:eastAsia="Times New Roman" w:hAnsi="Arial" w:cs="Arial"/>
          <w:bCs/>
          <w:sz w:val="20"/>
          <w:szCs w:val="20"/>
          <w:lang w:val="es-MX" w:eastAsia="es-CO"/>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34A41800"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16398494"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LEY DE GARANTÍAS ELECTORALES ‒</w:t>
      </w:r>
      <w:bookmarkEnd w:id="0"/>
      <w:r w:rsidRPr="002E61F7">
        <w:rPr>
          <w:rFonts w:ascii="Arial" w:eastAsia="Calibri" w:hAnsi="Arial" w:cs="Arial"/>
          <w:b/>
          <w:bCs/>
          <w:lang w:val="es-MX"/>
        </w:rPr>
        <w:t xml:space="preserve"> Tipos de restricciones </w:t>
      </w:r>
      <w:bookmarkStart w:id="3" w:name="_Hlk77157034"/>
      <w:r w:rsidRPr="002E61F7">
        <w:rPr>
          <w:rFonts w:ascii="Arial" w:eastAsia="Calibri" w:hAnsi="Arial" w:cs="Arial"/>
          <w:b/>
          <w:bCs/>
          <w:lang w:val="es-MX"/>
        </w:rPr>
        <w:t xml:space="preserve">‒ </w:t>
      </w:r>
      <w:bookmarkStart w:id="4" w:name="_Hlk77153098"/>
      <w:bookmarkEnd w:id="3"/>
      <w:r w:rsidRPr="002E61F7">
        <w:rPr>
          <w:rFonts w:ascii="Arial" w:eastAsia="Calibri" w:hAnsi="Arial" w:cs="Arial"/>
          <w:b/>
          <w:bCs/>
          <w:lang w:val="es-MX"/>
        </w:rPr>
        <w:t xml:space="preserve">Ámbito temporal </w:t>
      </w:r>
      <w:bookmarkEnd w:id="4"/>
    </w:p>
    <w:p w14:paraId="379FEDAB"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bookmarkEnd w:id="1"/>
    <w:p w14:paraId="0D6D930A" w14:textId="77777777" w:rsidR="00BC5E75" w:rsidRPr="006D076F" w:rsidRDefault="00BC5E75" w:rsidP="00BC5E75">
      <w:pPr>
        <w:spacing w:after="0" w:line="240" w:lineRule="auto"/>
        <w:contextualSpacing/>
        <w:jc w:val="both"/>
        <w:rPr>
          <w:rFonts w:ascii="Arial" w:eastAsia="Arial" w:hAnsi="Arial" w:cs="Arial"/>
          <w:sz w:val="20"/>
          <w:szCs w:val="20"/>
          <w:lang w:val="es-ES" w:eastAsia="es-ES" w:bidi="es-ES"/>
        </w:rPr>
      </w:pPr>
      <w:r w:rsidRPr="006D076F">
        <w:rPr>
          <w:rFonts w:ascii="Arial" w:eastAsia="Calibri" w:hAnsi="Arial" w:cs="Arial"/>
          <w:noProof/>
          <w:sz w:val="20"/>
          <w:szCs w:val="20"/>
          <w:lang w:val="es-ES_tradnl"/>
        </w:rPr>
        <w:t xml:space="preserve">[…] </w:t>
      </w:r>
      <w:bookmarkStart w:id="5" w:name="_Hlk77165666"/>
      <w:r w:rsidRPr="006D076F">
        <w:rPr>
          <w:rFonts w:ascii="Arial" w:eastAsia="Arial" w:hAnsi="Arial" w:cs="Arial"/>
          <w:sz w:val="20"/>
          <w:szCs w:val="20"/>
          <w:lang w:val="es-ES" w:eastAsia="es-ES" w:bidi="es-ES"/>
        </w:rPr>
        <w:t xml:space="preserve">la Ley 996 de 2005 establece dos (2) tipos de restricciones en materia de contratación, las cuales coinciden parcialmente. </w:t>
      </w:r>
      <w:r w:rsidRPr="006D076F">
        <w:rPr>
          <w:rFonts w:ascii="Arial" w:eastAsia="Arial" w:hAnsi="Arial" w:cs="Arial"/>
          <w:i/>
          <w:iCs/>
          <w:sz w:val="20"/>
          <w:szCs w:val="20"/>
          <w:lang w:val="es-ES" w:eastAsia="es-ES" w:bidi="es-ES"/>
        </w:rPr>
        <w:t>En primer lugar</w:t>
      </w:r>
      <w:r w:rsidRPr="006D076F">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076F">
        <w:rPr>
          <w:rFonts w:ascii="Arial" w:eastAsia="Arial" w:hAnsi="Arial" w:cs="Arial"/>
          <w:i/>
          <w:iCs/>
          <w:sz w:val="20"/>
          <w:szCs w:val="20"/>
          <w:lang w:val="es-ES" w:eastAsia="es-ES" w:bidi="es-ES"/>
        </w:rPr>
        <w:t>En segundo lugar</w:t>
      </w:r>
      <w:r w:rsidRPr="006D076F">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FAE98E9" w14:textId="77777777" w:rsidR="00BC5E75" w:rsidRDefault="00BC5E75" w:rsidP="00BC5E75">
      <w:pPr>
        <w:tabs>
          <w:tab w:val="left" w:pos="426"/>
        </w:tabs>
        <w:spacing w:after="0" w:line="240" w:lineRule="auto"/>
        <w:ind w:left="426" w:hanging="426"/>
        <w:contextualSpacing/>
        <w:jc w:val="both"/>
        <w:rPr>
          <w:rFonts w:ascii="Arial" w:eastAsia="Calibri" w:hAnsi="Arial" w:cs="Arial"/>
          <w:b/>
          <w:bCs/>
          <w:sz w:val="20"/>
          <w:szCs w:val="20"/>
          <w:lang w:val="es-MX"/>
        </w:rPr>
      </w:pPr>
    </w:p>
    <w:p w14:paraId="282CF7EA" w14:textId="77777777" w:rsidR="00BC5E75" w:rsidRPr="002E61F7" w:rsidRDefault="00BC5E75" w:rsidP="00BC5E75">
      <w:pPr>
        <w:tabs>
          <w:tab w:val="left" w:pos="426"/>
        </w:tabs>
        <w:spacing w:after="0" w:line="240" w:lineRule="auto"/>
        <w:ind w:left="426" w:hanging="426"/>
        <w:contextualSpacing/>
        <w:jc w:val="both"/>
        <w:rPr>
          <w:rFonts w:ascii="Arial" w:eastAsia="Calibri" w:hAnsi="Arial" w:cs="Arial"/>
          <w:b/>
          <w:bCs/>
          <w:lang w:val="es-MX"/>
        </w:rPr>
      </w:pPr>
      <w:r w:rsidRPr="002E61F7">
        <w:rPr>
          <w:rFonts w:ascii="Arial" w:eastAsia="Calibri" w:hAnsi="Arial" w:cs="Arial"/>
          <w:b/>
          <w:bCs/>
          <w:lang w:val="es-MX"/>
        </w:rPr>
        <w:t xml:space="preserve">LEY DE GARANTÍAS ELECTORALES ─ Prohibición ‒ </w:t>
      </w:r>
      <w:bookmarkEnd w:id="5"/>
      <w:r w:rsidRPr="002E61F7">
        <w:rPr>
          <w:rFonts w:ascii="Arial" w:eastAsia="Calibri" w:hAnsi="Arial" w:cs="Arial"/>
          <w:b/>
          <w:bCs/>
          <w:lang w:val="es-MX"/>
        </w:rPr>
        <w:t xml:space="preserve">Contratación directa ‒ Alcance </w:t>
      </w:r>
    </w:p>
    <w:p w14:paraId="602F9A9B" w14:textId="77777777" w:rsidR="00BC5E75" w:rsidRPr="006D076F" w:rsidRDefault="00BC5E75" w:rsidP="00BC5E75">
      <w:pPr>
        <w:tabs>
          <w:tab w:val="left" w:pos="426"/>
        </w:tabs>
        <w:spacing w:after="0" w:line="240" w:lineRule="auto"/>
        <w:contextualSpacing/>
        <w:jc w:val="both"/>
        <w:rPr>
          <w:rFonts w:ascii="Arial" w:eastAsia="Calibri" w:hAnsi="Arial" w:cs="Arial"/>
          <w:noProof/>
          <w:sz w:val="20"/>
          <w:szCs w:val="20"/>
          <w:lang w:val="es-MX"/>
        </w:rPr>
      </w:pPr>
    </w:p>
    <w:p w14:paraId="1D4B1AE8" w14:textId="77777777" w:rsidR="00BC5E75" w:rsidRPr="006D076F" w:rsidRDefault="00BC5E75" w:rsidP="00BC5E75">
      <w:pPr>
        <w:spacing w:after="0" w:line="240" w:lineRule="auto"/>
        <w:contextualSpacing/>
        <w:jc w:val="both"/>
        <w:rPr>
          <w:rFonts w:ascii="Arial" w:eastAsia="Times New Roman" w:hAnsi="Arial" w:cs="Arial"/>
          <w:bCs/>
          <w:sz w:val="20"/>
          <w:szCs w:val="20"/>
          <w:lang w:val="es-MX" w:eastAsia="x-none"/>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076F">
        <w:rPr>
          <w:rFonts w:ascii="Arial" w:eastAsia="Times New Roman" w:hAnsi="Arial" w:cs="Arial"/>
          <w:sz w:val="20"/>
          <w:szCs w:val="20"/>
          <w:vertAlign w:val="superscript"/>
          <w:lang w:eastAsia="x-none"/>
        </w:rPr>
        <w:t xml:space="preserve"> </w:t>
      </w:r>
    </w:p>
    <w:p w14:paraId="6553EDA7" w14:textId="77777777" w:rsidR="00BC5E75" w:rsidRDefault="00BC5E75" w:rsidP="00BC5E75">
      <w:pPr>
        <w:spacing w:after="0" w:line="240" w:lineRule="auto"/>
        <w:contextualSpacing/>
        <w:jc w:val="both"/>
        <w:rPr>
          <w:rFonts w:ascii="Arial" w:eastAsia="Times New Roman" w:hAnsi="Arial" w:cs="Arial"/>
          <w:bCs/>
          <w:sz w:val="20"/>
          <w:szCs w:val="20"/>
          <w:lang w:val="es-MX" w:eastAsia="x-none"/>
        </w:rPr>
      </w:pPr>
    </w:p>
    <w:p w14:paraId="5FD1026C" w14:textId="77777777" w:rsidR="00BC5E75" w:rsidRPr="006D076F" w:rsidRDefault="00BC5E75" w:rsidP="00BC5E75">
      <w:pPr>
        <w:spacing w:after="0" w:line="240" w:lineRule="auto"/>
        <w:contextualSpacing/>
        <w:jc w:val="both"/>
        <w:rPr>
          <w:rFonts w:ascii="Arial" w:eastAsia="Times New Roman" w:hAnsi="Arial" w:cs="Arial"/>
          <w:sz w:val="20"/>
          <w:szCs w:val="20"/>
          <w:lang w:eastAsia="x-none"/>
        </w:rPr>
      </w:pPr>
      <w:r w:rsidRPr="006D076F">
        <w:rPr>
          <w:rFonts w:ascii="Arial" w:eastAsia="Times New Roman"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076F">
        <w:rPr>
          <w:rFonts w:ascii="Arial" w:eastAsia="Times New Roman"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7056D282" w14:textId="77777777" w:rsidR="00BC5E75" w:rsidRPr="002E61F7" w:rsidRDefault="00BC5E75" w:rsidP="00BC5E75">
      <w:pPr>
        <w:spacing w:after="0" w:line="240" w:lineRule="auto"/>
        <w:contextualSpacing/>
        <w:jc w:val="both"/>
        <w:rPr>
          <w:rFonts w:ascii="Arial" w:eastAsia="Times New Roman" w:hAnsi="Arial" w:cs="Arial"/>
          <w:lang w:eastAsia="x-none"/>
        </w:rPr>
      </w:pPr>
    </w:p>
    <w:p w14:paraId="4DD6A6EF"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r w:rsidRPr="002E61F7">
        <w:rPr>
          <w:rFonts w:ascii="Arial" w:eastAsia="Calibri" w:hAnsi="Arial" w:cs="Arial"/>
          <w:b/>
          <w:bCs/>
          <w:lang w:val="es-MX"/>
        </w:rPr>
        <w:t xml:space="preserve">LEY DE GARANTÍAS ELECTORALES ─ Prohibición ‒ Contratación directa ‒ </w:t>
      </w:r>
      <w:r w:rsidRPr="002E61F7">
        <w:rPr>
          <w:rFonts w:ascii="Arial" w:eastAsia="Times New Roman" w:hAnsi="Arial" w:cs="Arial"/>
          <w:b/>
          <w:bCs/>
          <w:lang w:eastAsia="es-CO"/>
        </w:rPr>
        <w:t>Excepciones</w:t>
      </w:r>
      <w:r w:rsidRPr="002E61F7">
        <w:rPr>
          <w:rFonts w:ascii="Arial" w:eastAsia="Calibri" w:hAnsi="Arial" w:cs="Arial"/>
          <w:b/>
          <w:bCs/>
          <w:lang w:val="es-MX"/>
        </w:rPr>
        <w:t xml:space="preserve"> </w:t>
      </w:r>
    </w:p>
    <w:p w14:paraId="3ECEF345" w14:textId="77777777" w:rsidR="00BC5E75" w:rsidRPr="006D076F" w:rsidRDefault="00BC5E75" w:rsidP="00BC5E75">
      <w:pPr>
        <w:tabs>
          <w:tab w:val="left" w:pos="426"/>
        </w:tabs>
        <w:spacing w:after="0" w:line="240" w:lineRule="auto"/>
        <w:contextualSpacing/>
        <w:jc w:val="both"/>
        <w:rPr>
          <w:rFonts w:ascii="Arial" w:eastAsia="Times New Roman" w:hAnsi="Arial" w:cs="Arial"/>
          <w:sz w:val="20"/>
          <w:szCs w:val="20"/>
          <w:lang w:eastAsia="x-none"/>
        </w:rPr>
      </w:pPr>
    </w:p>
    <w:p w14:paraId="24576CBE" w14:textId="77777777" w:rsidR="00BC5E75" w:rsidRDefault="00BC5E75" w:rsidP="00BC5E75">
      <w:pPr>
        <w:spacing w:after="0" w:line="240" w:lineRule="auto"/>
        <w:contextualSpacing/>
        <w:jc w:val="both"/>
        <w:rPr>
          <w:rFonts w:ascii="Arial" w:eastAsia="Times New Roman" w:hAnsi="Arial" w:cs="Arial"/>
          <w:bCs/>
          <w:sz w:val="20"/>
          <w:szCs w:val="20"/>
          <w:lang w:val="es-MX" w:eastAsia="es-CO"/>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w:t>
      </w:r>
      <w:r w:rsidRPr="006D076F">
        <w:rPr>
          <w:rFonts w:ascii="Arial" w:eastAsia="Times New Roman" w:hAnsi="Arial" w:cs="Arial"/>
          <w:bCs/>
          <w:sz w:val="20"/>
          <w:szCs w:val="20"/>
          <w:lang w:val="es-MX" w:eastAsia="x-none"/>
        </w:rPr>
        <w:lastRenderedPageBreak/>
        <w:t xml:space="preserve">del Estado; </w:t>
      </w:r>
      <w:proofErr w:type="spellStart"/>
      <w:r w:rsidRPr="006D076F">
        <w:rPr>
          <w:rFonts w:ascii="Arial" w:eastAsia="Times New Roman" w:hAnsi="Arial" w:cs="Arial"/>
          <w:bCs/>
          <w:sz w:val="20"/>
          <w:szCs w:val="20"/>
          <w:lang w:val="es-MX" w:eastAsia="x-none"/>
        </w:rPr>
        <w:t>ii</w:t>
      </w:r>
      <w:proofErr w:type="spellEnd"/>
      <w:r w:rsidRPr="006D076F">
        <w:rPr>
          <w:rFonts w:ascii="Arial" w:eastAsia="Times New Roman" w:hAnsi="Arial" w:cs="Arial"/>
          <w:bCs/>
          <w:sz w:val="20"/>
          <w:szCs w:val="20"/>
          <w:lang w:val="es-MX" w:eastAsia="x-none"/>
        </w:rPr>
        <w:t xml:space="preserve">) los contratos de crédito público; </w:t>
      </w:r>
      <w:proofErr w:type="spellStart"/>
      <w:r w:rsidRPr="006D076F">
        <w:rPr>
          <w:rFonts w:ascii="Arial" w:eastAsia="Times New Roman" w:hAnsi="Arial" w:cs="Arial"/>
          <w:bCs/>
          <w:sz w:val="20"/>
          <w:szCs w:val="20"/>
          <w:lang w:val="es-MX" w:eastAsia="x-none"/>
        </w:rPr>
        <w:t>iii</w:t>
      </w:r>
      <w:proofErr w:type="spellEnd"/>
      <w:r w:rsidRPr="006D076F">
        <w:rPr>
          <w:rFonts w:ascii="Arial" w:eastAsia="Times New Roman" w:hAnsi="Arial" w:cs="Arial"/>
          <w:bCs/>
          <w:sz w:val="20"/>
          <w:szCs w:val="20"/>
          <w:lang w:val="es-MX" w:eastAsia="x-none"/>
        </w:rPr>
        <w:t xml:space="preserve">) los requeridos para cubrir las emergencias educativas, sanitarias y desastres; </w:t>
      </w:r>
      <w:proofErr w:type="spellStart"/>
      <w:r w:rsidRPr="006D076F">
        <w:rPr>
          <w:rFonts w:ascii="Arial" w:eastAsia="Times New Roman" w:hAnsi="Arial" w:cs="Arial"/>
          <w:bCs/>
          <w:sz w:val="20"/>
          <w:szCs w:val="20"/>
          <w:lang w:val="es-MX" w:eastAsia="x-none"/>
        </w:rPr>
        <w:t>iv</w:t>
      </w:r>
      <w:proofErr w:type="spellEnd"/>
      <w:r w:rsidRPr="006D076F">
        <w:rPr>
          <w:rFonts w:ascii="Arial" w:eastAsia="Times New Roman" w:hAnsi="Arial"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076F">
        <w:rPr>
          <w:rFonts w:ascii="Arial" w:eastAsia="Times New Roman" w:hAnsi="Arial" w:cs="Arial"/>
          <w:bCs/>
          <w:sz w:val="20"/>
          <w:szCs w:val="20"/>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8F38439" w14:textId="77777777" w:rsidR="00BC5E75" w:rsidRPr="006D076F" w:rsidRDefault="00BC5E75" w:rsidP="00BC5E75">
      <w:pPr>
        <w:spacing w:after="0" w:line="240" w:lineRule="auto"/>
        <w:contextualSpacing/>
        <w:jc w:val="both"/>
        <w:rPr>
          <w:rFonts w:ascii="Arial" w:eastAsia="Times New Roman" w:hAnsi="Arial" w:cs="Arial"/>
          <w:bCs/>
          <w:sz w:val="20"/>
          <w:szCs w:val="20"/>
          <w:lang w:val="es-MX" w:eastAsia="es-CO"/>
        </w:rPr>
      </w:pPr>
    </w:p>
    <w:p w14:paraId="41245852" w14:textId="77777777" w:rsidR="00BC5E75" w:rsidRPr="002E61F7" w:rsidRDefault="00BC5E75" w:rsidP="00BC5E75">
      <w:pPr>
        <w:spacing w:after="0" w:line="240" w:lineRule="auto"/>
        <w:contextualSpacing/>
        <w:jc w:val="both"/>
        <w:rPr>
          <w:rFonts w:ascii="Arial" w:eastAsia="Times New Roman" w:hAnsi="Arial" w:cs="Arial"/>
          <w:b/>
          <w:lang w:val="es-ES" w:eastAsia="es-CO"/>
        </w:rPr>
      </w:pPr>
      <w:r w:rsidRPr="002E61F7">
        <w:rPr>
          <w:rFonts w:ascii="Arial" w:eastAsia="Times New Roman" w:hAnsi="Arial" w:cs="Arial"/>
          <w:b/>
          <w:bCs/>
          <w:lang w:eastAsia="es-CO"/>
        </w:rPr>
        <w:t xml:space="preserve">LEY DE GARANTÍAS ELECTORALES </w:t>
      </w:r>
      <w:bookmarkStart w:id="6" w:name="_Hlk77166669"/>
      <w:r w:rsidRPr="002E61F7">
        <w:rPr>
          <w:rFonts w:ascii="Arial" w:eastAsia="Times New Roman" w:hAnsi="Arial" w:cs="Arial"/>
          <w:b/>
          <w:bCs/>
          <w:lang w:eastAsia="es-CO"/>
        </w:rPr>
        <w:t>‒</w:t>
      </w:r>
      <w:bookmarkEnd w:id="6"/>
      <w:r w:rsidRPr="002E61F7">
        <w:rPr>
          <w:rFonts w:ascii="Arial" w:eastAsia="Times New Roman" w:hAnsi="Arial" w:cs="Arial"/>
          <w:b/>
          <w:bCs/>
          <w:lang w:eastAsia="es-CO"/>
        </w:rPr>
        <w:t xml:space="preserve"> </w:t>
      </w:r>
      <w:r w:rsidRPr="002E61F7">
        <w:rPr>
          <w:rFonts w:ascii="Arial" w:eastAsia="Times New Roman" w:hAnsi="Arial" w:cs="Arial"/>
          <w:b/>
          <w:lang w:val="es-ES" w:eastAsia="es-CO"/>
        </w:rPr>
        <w:t xml:space="preserve">Prohibición del artículo 33 </w:t>
      </w:r>
      <w:r w:rsidRPr="002E61F7">
        <w:rPr>
          <w:rFonts w:ascii="Arial" w:eastAsia="Times New Roman" w:hAnsi="Arial" w:cs="Arial"/>
          <w:b/>
          <w:bCs/>
          <w:lang w:eastAsia="es-CO"/>
        </w:rPr>
        <w:t>‒ Destinatarios</w:t>
      </w:r>
    </w:p>
    <w:p w14:paraId="2A5D24EC" w14:textId="77777777" w:rsidR="00BC5E75" w:rsidRPr="006D076F" w:rsidRDefault="00BC5E75" w:rsidP="00BC5E75">
      <w:pPr>
        <w:tabs>
          <w:tab w:val="left" w:pos="426"/>
        </w:tabs>
        <w:spacing w:after="0" w:line="240" w:lineRule="auto"/>
        <w:contextualSpacing/>
        <w:jc w:val="both"/>
        <w:rPr>
          <w:rFonts w:ascii="Arial" w:eastAsia="Calibri" w:hAnsi="Arial" w:cs="Arial"/>
          <w:noProof/>
          <w:sz w:val="20"/>
          <w:szCs w:val="20"/>
          <w:lang w:val="es-ES"/>
        </w:rPr>
      </w:pPr>
    </w:p>
    <w:p w14:paraId="525E311F" w14:textId="77777777" w:rsidR="00BC5E75" w:rsidRPr="006D076F" w:rsidRDefault="00BC5E75" w:rsidP="00BC5E75">
      <w:pPr>
        <w:tabs>
          <w:tab w:val="left" w:pos="426"/>
        </w:tabs>
        <w:spacing w:after="0" w:line="240" w:lineRule="auto"/>
        <w:contextualSpacing/>
        <w:jc w:val="both"/>
        <w:rPr>
          <w:rFonts w:ascii="Arial" w:eastAsia="Times New Roman" w:hAnsi="Arial" w:cs="Arial"/>
          <w:bCs/>
          <w:sz w:val="20"/>
          <w:szCs w:val="20"/>
          <w:lang w:val="es-MX" w:eastAsia="x-none"/>
        </w:rPr>
      </w:pPr>
      <w:r w:rsidRPr="006D076F">
        <w:rPr>
          <w:rFonts w:ascii="Arial" w:eastAsia="Times New Roman"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076F">
        <w:rPr>
          <w:rFonts w:ascii="Arial" w:eastAsia="Calibri" w:hAnsi="Arial" w:cs="Arial"/>
          <w:sz w:val="20"/>
          <w:szCs w:val="20"/>
          <w:lang w:val="es-MX"/>
        </w:rPr>
        <w:t xml:space="preserve"> </w:t>
      </w:r>
      <w:r w:rsidRPr="006D076F">
        <w:rPr>
          <w:rFonts w:ascii="Arial" w:eastAsia="Times New Roman" w:hAnsi="Arial" w:cs="Arial"/>
          <w:bCs/>
          <w:sz w:val="20"/>
          <w:szCs w:val="20"/>
          <w:lang w:val="es-MX" w:eastAsia="x-none"/>
        </w:rPr>
        <w:t>En efecto, como ha sostenido el Consejo de Estado, el vocablo «todos» utilizado por el legislador comprende</w:t>
      </w:r>
      <w:r w:rsidRPr="006D076F">
        <w:rPr>
          <w:rFonts w:ascii="Arial" w:eastAsia="Calibri" w:hAnsi="Arial" w:cs="Arial"/>
          <w:sz w:val="20"/>
          <w:szCs w:val="20"/>
          <w:lang w:val="es-MX"/>
        </w:rPr>
        <w:t xml:space="preserve"> </w:t>
      </w:r>
      <w:r w:rsidRPr="006D076F">
        <w:rPr>
          <w:rFonts w:ascii="Arial" w:eastAsia="Times New Roman"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28F65BB"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523E66E3"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 xml:space="preserve">LEY DE GARANTÍAS ELECTORALES ‒ Prohibición por elección de cargos populares – Convenios y contratos interadministrativos </w:t>
      </w:r>
      <w:r w:rsidRPr="002E61F7">
        <w:rPr>
          <w:rFonts w:ascii="Arial" w:eastAsia="Calibri" w:hAnsi="Arial" w:cs="Arial"/>
          <w:b/>
          <w:lang w:val="es-MX"/>
        </w:rPr>
        <w:t>– Definición – Criterio orgánico</w:t>
      </w:r>
    </w:p>
    <w:p w14:paraId="3EFDF5E6"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2FCF4475"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r w:rsidRPr="006D076F">
        <w:rPr>
          <w:rFonts w:ascii="Arial" w:eastAsia="Calibri" w:hAnsi="Arial"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3D82166B"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42A2DF83" w14:textId="77777777" w:rsidR="00BC5E75" w:rsidRPr="006D076F" w:rsidRDefault="00BC5E75" w:rsidP="00BC5E75">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6D076F">
        <w:rPr>
          <w:rFonts w:ascii="Arial" w:eastAsia="Calibri" w:hAnsi="Arial" w:cs="Arial"/>
          <w:sz w:val="20"/>
          <w:szCs w:val="20"/>
          <w:lang w:val="es-MX"/>
        </w:rPr>
        <w:t xml:space="preserve">[…] </w:t>
      </w:r>
      <w:r w:rsidRPr="006D076F">
        <w:rPr>
          <w:rFonts w:ascii="Arial" w:eastAsia="Calibri" w:hAnsi="Arial"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6D076F">
        <w:rPr>
          <w:rFonts w:ascii="Arial" w:eastAsia="Arial" w:hAnsi="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076F">
        <w:rPr>
          <w:rFonts w:ascii="Arial" w:eastAsia="Arial" w:hAnsi="Arial" w:cs="Arial"/>
          <w:spacing w:val="-6"/>
          <w:sz w:val="20"/>
          <w:szCs w:val="20"/>
          <w:lang w:val="es-ES" w:eastAsia="es-ES" w:bidi="es-ES"/>
        </w:rPr>
        <w:t xml:space="preserve"> </w:t>
      </w:r>
      <w:r w:rsidRPr="006D076F">
        <w:rPr>
          <w:rFonts w:ascii="Arial" w:eastAsia="Arial" w:hAnsi="Arial" w:cs="Arial"/>
          <w:sz w:val="20"/>
          <w:szCs w:val="20"/>
          <w:lang w:val="es-ES" w:eastAsia="es-ES" w:bidi="es-ES"/>
        </w:rPr>
        <w:t>estatales.</w:t>
      </w:r>
    </w:p>
    <w:bookmarkEnd w:id="2"/>
    <w:p w14:paraId="7D6579DB" w14:textId="77777777" w:rsidR="00BC5E75" w:rsidRPr="006D076F" w:rsidRDefault="00BC5E75" w:rsidP="00BC5E75">
      <w:pPr>
        <w:spacing w:after="0" w:line="240" w:lineRule="auto"/>
        <w:contextualSpacing/>
        <w:jc w:val="both"/>
        <w:rPr>
          <w:rFonts w:ascii="Arial" w:eastAsia="Calibri" w:hAnsi="Arial" w:cs="Arial"/>
          <w:sz w:val="20"/>
          <w:szCs w:val="20"/>
          <w:lang w:val="es-MX"/>
        </w:rPr>
      </w:pPr>
    </w:p>
    <w:p w14:paraId="3900BB86" w14:textId="77777777" w:rsidR="00BC5E75" w:rsidRPr="002E61F7" w:rsidRDefault="00BC5E75" w:rsidP="00BC5E75">
      <w:pPr>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MODIFICACIÓN DE LA LEY 2159 DE 2021 – Ley Anual de Presupuesto – Parágrafo del artículo 38 Ley de Garantías – Transitoriedad</w:t>
      </w:r>
    </w:p>
    <w:p w14:paraId="6C26CBFC"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276C6741" w14:textId="77777777" w:rsidR="00BC5E75" w:rsidRPr="006D076F" w:rsidRDefault="00BC5E75" w:rsidP="00BC5E75">
      <w:pPr>
        <w:tabs>
          <w:tab w:val="left" w:pos="426"/>
        </w:tabs>
        <w:spacing w:after="0" w:line="240" w:lineRule="auto"/>
        <w:contextualSpacing/>
        <w:jc w:val="both"/>
        <w:rPr>
          <w:rFonts w:ascii="Arial" w:eastAsia="Arial" w:hAnsi="Arial" w:cs="Arial"/>
          <w:sz w:val="20"/>
          <w:szCs w:val="20"/>
          <w:lang w:val="es-ES" w:eastAsia="es-ES" w:bidi="es-ES"/>
        </w:rPr>
      </w:pPr>
      <w:r w:rsidRPr="006D076F">
        <w:rPr>
          <w:rFonts w:ascii="Arial" w:eastAsia="Arial" w:hAnsi="Arial" w:cs="Arial"/>
          <w:sz w:val="20"/>
          <w:szCs w:val="20"/>
          <w:lang w:val="es-ES" w:eastAsia="es-ES" w:bidi="es-ES"/>
        </w:rPr>
        <w:t xml:space="preserve">Así mismo, se resalta que este parágrafo fue modificado parcial y transitoriamente por el artículo 124 de la Ley 2159 de 2021, estableciendo una excepción a la prohibición, según la cual a partir de la publicación de dicha ley y durante la vigencia fiscal 2022, la Nación podrá celebrar convenios interadministrativos con las entidades territoriales para ejecutar programas y proyectos correspondientes al Presupuesto General de la Nación. </w:t>
      </w:r>
    </w:p>
    <w:p w14:paraId="04C1E0E3"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1CDD27C1" w14:textId="77777777" w:rsidR="00BC5E75" w:rsidRPr="002E61F7" w:rsidRDefault="00BC5E75" w:rsidP="00BC5E75">
      <w:pPr>
        <w:spacing w:after="0" w:line="240" w:lineRule="auto"/>
        <w:contextualSpacing/>
        <w:jc w:val="both"/>
        <w:rPr>
          <w:rFonts w:ascii="Arial" w:eastAsia="Calibri" w:hAnsi="Arial" w:cs="Arial"/>
          <w:b/>
          <w:bCs/>
          <w:lang w:val="es-MX"/>
        </w:rPr>
      </w:pPr>
      <w:r w:rsidRPr="002E61F7">
        <w:rPr>
          <w:rFonts w:ascii="Arial" w:eastAsia="Arial" w:hAnsi="Arial" w:cs="Arial"/>
          <w:b/>
          <w:bCs/>
          <w:lang w:val="es-ES" w:eastAsia="es-ES" w:bidi="es-ES"/>
        </w:rPr>
        <w:t xml:space="preserve">CONVENIOS DE ASOCIACIÓN – Contratación con ESAL </w:t>
      </w:r>
    </w:p>
    <w:p w14:paraId="6B4ACEEF" w14:textId="77777777" w:rsidR="00BC5E75" w:rsidRPr="006D076F" w:rsidRDefault="00BC5E75" w:rsidP="00BC5E75">
      <w:pPr>
        <w:spacing w:after="0" w:line="240" w:lineRule="auto"/>
        <w:contextualSpacing/>
        <w:jc w:val="both"/>
        <w:rPr>
          <w:rFonts w:ascii="Arial" w:eastAsia="Arial" w:hAnsi="Arial" w:cs="Arial"/>
          <w:b/>
          <w:bCs/>
          <w:sz w:val="20"/>
          <w:szCs w:val="20"/>
          <w:lang w:val="es-ES" w:eastAsia="es-ES" w:bidi="es-ES"/>
        </w:rPr>
      </w:pPr>
    </w:p>
    <w:p w14:paraId="2FF18D07" w14:textId="77777777" w:rsidR="00BC5E75" w:rsidRPr="006D076F" w:rsidRDefault="00BC5E75" w:rsidP="00BC5E75">
      <w:pPr>
        <w:spacing w:after="0" w:line="240" w:lineRule="auto"/>
        <w:contextualSpacing/>
        <w:jc w:val="both"/>
        <w:rPr>
          <w:rFonts w:ascii="Arial" w:hAnsi="Arial" w:cs="Arial"/>
          <w:bCs/>
          <w:color w:val="000000"/>
          <w:sz w:val="20"/>
          <w:szCs w:val="20"/>
          <w:lang w:eastAsia="es-CO"/>
        </w:rPr>
      </w:pPr>
      <w:r w:rsidRPr="006D076F">
        <w:rPr>
          <w:rFonts w:ascii="Arial" w:hAnsi="Arial" w:cs="Arial"/>
          <w:bCs/>
          <w:color w:val="000000"/>
          <w:sz w:val="20"/>
          <w:szCs w:val="20"/>
          <w:lang w:eastAsia="es-CO"/>
        </w:rPr>
        <w:t xml:space="preserve">Por tanto, durante la vigencia de la prohibición del artículo 33 de la Ley 996 de 2005 –sin perjuicio de las excepciones dispuestas en el inciso segundo </w:t>
      </w:r>
      <w:r w:rsidRPr="006D076F">
        <w:rPr>
          <w:rFonts w:ascii="Arial" w:hAnsi="Arial" w:cs="Arial"/>
          <w:bCs/>
          <w:i/>
          <w:iCs/>
          <w:color w:val="000000"/>
          <w:sz w:val="20"/>
          <w:szCs w:val="20"/>
          <w:lang w:eastAsia="es-CO"/>
        </w:rPr>
        <w:t>ibidem</w:t>
      </w:r>
      <w:r w:rsidRPr="006D076F">
        <w:rPr>
          <w:rFonts w:ascii="Arial" w:hAnsi="Arial" w:cs="Arial"/>
          <w:bCs/>
          <w:color w:val="000000"/>
          <w:sz w:val="20"/>
          <w:szCs w:val="20"/>
          <w:lang w:eastAsia="es-CO"/>
        </w:rPr>
        <w:t xml:space="preserve">– está restringida cualquier modalidad de selección que excluya la pluralidad de oferentes. Respecto al régimen de contratación de las ESAL, esto es congruente con el numeral 15.4 de </w:t>
      </w:r>
      <w:r w:rsidRPr="006D076F">
        <w:rPr>
          <w:rFonts w:ascii="Arial" w:eastAsia="Arial" w:hAnsi="Arial" w:cs="Arial"/>
          <w:sz w:val="20"/>
          <w:szCs w:val="20"/>
          <w:lang w:val="es-ES" w:eastAsia="es-ES" w:bidi="es-ES"/>
        </w:rPr>
        <w:t>la Circular Externa Única de Colombia Compra Eficiente, en el entendido que «</w:t>
      </w:r>
      <w:r w:rsidRPr="006D076F">
        <w:rPr>
          <w:rFonts w:ascii="Arial" w:eastAsia="Arial" w:hAnsi="Arial" w:cs="Arial"/>
          <w:sz w:val="20"/>
          <w:szCs w:val="20"/>
          <w:lang w:eastAsia="es-ES" w:bidi="es-ES"/>
        </w:rPr>
        <w:t>Se encuentran restringidas las contrataciones que en el marco del Decreto 092 de 2017 se realicen a través de procesos no competitivos […]». Por el contrario, «Los procesos competitivos que se adelanten en el marco del Decreto 092 de 2017 no se encuentran restringidos por la Ley de Garantías».</w:t>
      </w:r>
    </w:p>
    <w:p w14:paraId="60BC1617" w14:textId="77777777" w:rsidR="00BC5E75" w:rsidRDefault="00BC5E75" w:rsidP="00BC5E75">
      <w:pPr>
        <w:spacing w:after="0" w:line="240" w:lineRule="auto"/>
        <w:contextualSpacing/>
        <w:jc w:val="both"/>
        <w:rPr>
          <w:rFonts w:ascii="Arial" w:eastAsia="Calibri" w:hAnsi="Arial" w:cs="Arial"/>
          <w:color w:val="000000" w:themeColor="text1"/>
          <w:sz w:val="20"/>
          <w:szCs w:val="20"/>
          <w:lang w:val="es-MX"/>
        </w:rPr>
      </w:pPr>
    </w:p>
    <w:p w14:paraId="2AA85450" w14:textId="77777777" w:rsidR="00BC5E75" w:rsidRPr="006D076F" w:rsidRDefault="00BC5E75" w:rsidP="00BC5E75">
      <w:pPr>
        <w:spacing w:after="0" w:line="240" w:lineRule="auto"/>
        <w:contextualSpacing/>
        <w:jc w:val="both"/>
        <w:rPr>
          <w:rFonts w:ascii="Arial" w:eastAsia="Calibri" w:hAnsi="Arial" w:cs="Arial"/>
          <w:color w:val="000000" w:themeColor="text1"/>
          <w:sz w:val="20"/>
          <w:szCs w:val="20"/>
        </w:rPr>
      </w:pPr>
      <w:r w:rsidRPr="006D076F">
        <w:rPr>
          <w:rFonts w:ascii="Arial" w:eastAsia="Calibri" w:hAnsi="Arial" w:cs="Arial"/>
          <w:color w:val="000000" w:themeColor="text1"/>
          <w:sz w:val="20"/>
          <w:szCs w:val="20"/>
          <w:lang w:val="es-MX"/>
        </w:rPr>
        <w:t>De otra parte, en cuanto a la restricción del parágrafo del artículo 38 de la Ley de 996 de 2005, conforme se explicó</w:t>
      </w:r>
      <w:r w:rsidRPr="006D076F">
        <w:rPr>
          <w:rFonts w:ascii="Arial" w:eastAsia="Calibri" w:hAnsi="Arial" w:cs="Arial"/>
          <w:i/>
          <w:iCs/>
          <w:color w:val="000000" w:themeColor="text1"/>
          <w:sz w:val="20"/>
          <w:szCs w:val="20"/>
          <w:lang w:val="es-MX"/>
        </w:rPr>
        <w:t xml:space="preserve"> ut supra,</w:t>
      </w:r>
      <w:r w:rsidRPr="006D076F">
        <w:rPr>
          <w:rFonts w:ascii="Arial" w:eastAsia="Calibri" w:hAnsi="Arial" w:cs="Arial"/>
          <w:color w:val="000000" w:themeColor="text1"/>
          <w:sz w:val="20"/>
          <w:szCs w:val="20"/>
          <w:lang w:val="es-MX"/>
        </w:rPr>
        <w:t xml:space="preserve"> esta solo aplica a convenios interadministrativos, es decir, a aquellos en los que ambos extremos de la relación contractual están conformados por entidades estatales. Esto significa que esta restricción no es aplicable a la celebración de contratos o convenios con ESAL, ya que este tipo de acuerdos son celebrados entre entidades estatales y entidades privadas sin ánimo de lucro. Es decir, no cumplen con el criterio orgánico que determina la calidad de interadministrativo. </w:t>
      </w:r>
      <w:r w:rsidRPr="006D076F">
        <w:rPr>
          <w:rFonts w:ascii="Arial" w:eastAsia="Calibri" w:hAnsi="Arial" w:cs="Arial"/>
          <w:color w:val="000000" w:themeColor="text1"/>
          <w:sz w:val="20"/>
          <w:szCs w:val="20"/>
        </w:rPr>
        <w:t> </w:t>
      </w:r>
    </w:p>
    <w:p w14:paraId="16B74061"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0F2D8F60" w14:textId="77777777" w:rsidR="00BC5E75" w:rsidRPr="006D076F" w:rsidRDefault="00BC5E75" w:rsidP="00BC5E75">
      <w:pPr>
        <w:spacing w:after="0" w:line="240" w:lineRule="auto"/>
        <w:contextualSpacing/>
        <w:jc w:val="both"/>
        <w:rPr>
          <w:rFonts w:ascii="Arial" w:eastAsia="Calibri" w:hAnsi="Arial" w:cs="Arial"/>
          <w:bCs/>
          <w:sz w:val="20"/>
          <w:szCs w:val="20"/>
          <w:lang w:val="es-ES_tradnl"/>
        </w:rPr>
      </w:pPr>
      <w:r w:rsidRPr="006D076F">
        <w:rPr>
          <w:rFonts w:ascii="Arial" w:eastAsia="Calibri" w:hAnsi="Arial" w:cs="Arial"/>
          <w:bCs/>
          <w:sz w:val="20"/>
          <w:szCs w:val="20"/>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6D076F">
        <w:rPr>
          <w:rFonts w:ascii="Arial" w:eastAsia="Calibri" w:hAnsi="Arial" w:cs="Arial"/>
          <w:bCs/>
          <w:sz w:val="20"/>
          <w:szCs w:val="20"/>
          <w:lang w:val="es-ES_tradnl"/>
        </w:rPr>
        <w:t>ii</w:t>
      </w:r>
      <w:proofErr w:type="spellEnd"/>
      <w:r w:rsidRPr="006D076F">
        <w:rPr>
          <w:rFonts w:ascii="Arial" w:eastAsia="Calibri" w:hAnsi="Arial" w:cs="Arial"/>
          <w:bCs/>
          <w:sz w:val="20"/>
          <w:szCs w:val="20"/>
          <w:lang w:val="es-ES_tradnl"/>
        </w:rPr>
        <w:t xml:space="preserve">) los convenios de asociación, para el desarrollo conjunto de actividades relacionadas con las funciones de las entidades estatales, en desarrollo del artículo 96 de la Ley 489 de 1998. </w:t>
      </w:r>
    </w:p>
    <w:p w14:paraId="7B9ADF08" w14:textId="77777777" w:rsidR="007C773C" w:rsidRPr="006D7E12" w:rsidRDefault="007C773C">
      <w:pPr>
        <w:rPr>
          <w:rFonts w:ascii="Arial" w:eastAsia="Calibri" w:hAnsi="Arial" w:cs="Arial"/>
          <w:b/>
          <w:bCs/>
          <w:lang w:val="es-MX"/>
        </w:rPr>
      </w:pPr>
      <w:r w:rsidRPr="006D7E12">
        <w:rPr>
          <w:rFonts w:ascii="Arial" w:eastAsia="Calibri" w:hAnsi="Arial" w:cs="Arial"/>
          <w:b/>
          <w:bCs/>
          <w:lang w:val="es-MX"/>
        </w:rPr>
        <w:br w:type="page"/>
      </w:r>
    </w:p>
    <w:p w14:paraId="378826D0" w14:textId="11EFA71D" w:rsidR="00883C23" w:rsidRPr="00CB149C" w:rsidRDefault="00883C23" w:rsidP="00CB149C">
      <w:pPr>
        <w:spacing w:after="0" w:line="276" w:lineRule="auto"/>
        <w:jc w:val="right"/>
        <w:rPr>
          <w:rFonts w:ascii="Arial" w:eastAsia="Calibri" w:hAnsi="Arial" w:cs="Arial"/>
          <w:b/>
          <w:bCs/>
          <w:sz w:val="16"/>
          <w:szCs w:val="16"/>
        </w:rPr>
      </w:pPr>
      <w:r w:rsidRPr="006D7E12">
        <w:rPr>
          <w:rFonts w:ascii="Arial" w:eastAsia="Times New Roman" w:hAnsi="Arial" w:cs="Arial"/>
          <w:b/>
          <w:bCs/>
          <w:sz w:val="16"/>
          <w:szCs w:val="16"/>
          <w:lang w:eastAsia="es-ES"/>
        </w:rPr>
        <w:lastRenderedPageBreak/>
        <w:t>CCE-DES-FM-17</w:t>
      </w:r>
    </w:p>
    <w:p w14:paraId="7D45BC78" w14:textId="4A9A7516" w:rsidR="00883C23" w:rsidRPr="006D7E12" w:rsidRDefault="00B918D9" w:rsidP="00883C23">
      <w:pPr>
        <w:tabs>
          <w:tab w:val="left" w:pos="3374"/>
        </w:tabs>
        <w:spacing w:after="0" w:line="240" w:lineRule="auto"/>
        <w:jc w:val="right"/>
        <w:rPr>
          <w:rFonts w:ascii="Arial" w:eastAsia="Calibri" w:hAnsi="Arial" w:cs="Arial"/>
          <w:lang w:val="es-MX"/>
        </w:rPr>
      </w:pPr>
      <w:r>
        <w:rPr>
          <w:noProof/>
        </w:rPr>
        <w:drawing>
          <wp:inline distT="0" distB="0" distL="0" distR="0" wp14:anchorId="228AB059" wp14:editId="4E439C05">
            <wp:extent cx="2680980" cy="605642"/>
            <wp:effectExtent l="0" t="0" r="5080" b="4445"/>
            <wp:docPr id="2091321007" name="Imagen 209132100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1007" name="Imagen 2091321007"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760264" cy="623552"/>
                    </a:xfrm>
                    <a:prstGeom prst="rect">
                      <a:avLst/>
                    </a:prstGeom>
                  </pic:spPr>
                </pic:pic>
              </a:graphicData>
            </a:graphic>
          </wp:inline>
        </w:drawing>
      </w:r>
    </w:p>
    <w:p w14:paraId="25AAA676" w14:textId="7A5D85A7" w:rsidR="00B918D9" w:rsidRDefault="00B918D9" w:rsidP="00B918D9">
      <w:pPr>
        <w:spacing w:after="0" w:line="240" w:lineRule="auto"/>
        <w:jc w:val="right"/>
        <w:rPr>
          <w:rFonts w:ascii="Arial" w:eastAsia="Calibri" w:hAnsi="Arial" w:cs="Arial"/>
        </w:rPr>
      </w:pPr>
      <w:bookmarkStart w:id="7" w:name="_Hlk96417464"/>
      <w:bookmarkStart w:id="8" w:name="_Hlk100170951"/>
      <w:r>
        <w:rPr>
          <w:noProof/>
        </w:rPr>
        <w:drawing>
          <wp:inline distT="0" distB="0" distL="0" distR="0" wp14:anchorId="70DD60EF" wp14:editId="5D8539EA">
            <wp:extent cx="2679559" cy="729329"/>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45" t="5516"/>
                    <a:stretch/>
                  </pic:blipFill>
                  <pic:spPr bwMode="auto">
                    <a:xfrm>
                      <a:off x="0" y="0"/>
                      <a:ext cx="2725010" cy="741700"/>
                    </a:xfrm>
                    <a:prstGeom prst="rect">
                      <a:avLst/>
                    </a:prstGeom>
                    <a:ln>
                      <a:noFill/>
                    </a:ln>
                    <a:extLst>
                      <a:ext uri="{53640926-AAD7-44D8-BBD7-CCE9431645EC}">
                        <a14:shadowObscured xmlns:a14="http://schemas.microsoft.com/office/drawing/2010/main"/>
                      </a:ext>
                    </a:extLst>
                  </pic:spPr>
                </pic:pic>
              </a:graphicData>
            </a:graphic>
          </wp:inline>
        </w:drawing>
      </w:r>
    </w:p>
    <w:p w14:paraId="66363838" w14:textId="77777777" w:rsidR="00B918D9" w:rsidRDefault="00B918D9" w:rsidP="00883C23">
      <w:pPr>
        <w:spacing w:after="0" w:line="240" w:lineRule="auto"/>
        <w:jc w:val="both"/>
        <w:rPr>
          <w:rFonts w:ascii="Arial" w:eastAsia="Calibri" w:hAnsi="Arial" w:cs="Arial"/>
        </w:rPr>
      </w:pPr>
    </w:p>
    <w:p w14:paraId="2A988759" w14:textId="6D836498" w:rsidR="00B918D9" w:rsidRDefault="00B918D9" w:rsidP="00883C23">
      <w:pPr>
        <w:spacing w:after="0" w:line="240" w:lineRule="auto"/>
        <w:jc w:val="both"/>
        <w:rPr>
          <w:rFonts w:ascii="Arial" w:eastAsia="Calibri" w:hAnsi="Arial" w:cs="Arial"/>
        </w:rPr>
      </w:pPr>
      <w:r>
        <w:rPr>
          <w:rFonts w:ascii="Arial" w:eastAsia="Calibri" w:hAnsi="Arial" w:cs="Arial"/>
        </w:rPr>
        <w:t>Bogotá D.C., 7 de abril de 2022</w:t>
      </w:r>
    </w:p>
    <w:p w14:paraId="661322B5" w14:textId="5E5BB1CE" w:rsidR="00B918D9" w:rsidRDefault="00B918D9" w:rsidP="00883C23">
      <w:pPr>
        <w:spacing w:after="0" w:line="240" w:lineRule="auto"/>
        <w:jc w:val="both"/>
        <w:rPr>
          <w:rFonts w:ascii="Arial" w:eastAsia="Calibri" w:hAnsi="Arial" w:cs="Arial"/>
        </w:rPr>
      </w:pPr>
    </w:p>
    <w:p w14:paraId="5A283260" w14:textId="77777777" w:rsidR="00CB149C" w:rsidRDefault="00CB149C" w:rsidP="00883C23">
      <w:pPr>
        <w:spacing w:after="0" w:line="240" w:lineRule="auto"/>
        <w:jc w:val="both"/>
        <w:rPr>
          <w:rFonts w:ascii="Arial" w:eastAsia="Calibri" w:hAnsi="Arial" w:cs="Arial"/>
        </w:rPr>
      </w:pPr>
    </w:p>
    <w:p w14:paraId="706FBDFB" w14:textId="4917A16C" w:rsidR="00883C23" w:rsidRPr="006D7E12" w:rsidRDefault="00E6401D" w:rsidP="00883C23">
      <w:pPr>
        <w:spacing w:after="0" w:line="240" w:lineRule="auto"/>
        <w:jc w:val="both"/>
        <w:rPr>
          <w:rFonts w:ascii="Arial" w:eastAsia="Calibri" w:hAnsi="Arial" w:cs="Arial"/>
        </w:rPr>
      </w:pPr>
      <w:r w:rsidRPr="006D7E12">
        <w:rPr>
          <w:rFonts w:ascii="Arial" w:eastAsia="Calibri" w:hAnsi="Arial" w:cs="Arial"/>
        </w:rPr>
        <w:t>Doctor</w:t>
      </w:r>
    </w:p>
    <w:p w14:paraId="09D8468A" w14:textId="5E961162" w:rsidR="00883C23" w:rsidRPr="006D7E12" w:rsidRDefault="00E6401D" w:rsidP="00883C23">
      <w:pPr>
        <w:spacing w:after="0" w:line="240" w:lineRule="auto"/>
        <w:jc w:val="both"/>
        <w:rPr>
          <w:rFonts w:ascii="Arial" w:eastAsia="Calibri" w:hAnsi="Arial" w:cs="Arial"/>
          <w:b/>
        </w:rPr>
      </w:pPr>
      <w:r w:rsidRPr="006D7E12">
        <w:rPr>
          <w:rFonts w:ascii="Arial" w:eastAsia="Calibri" w:hAnsi="Arial" w:cs="Arial"/>
          <w:b/>
        </w:rPr>
        <w:t>José Fernando Castillo Ruiz</w:t>
      </w:r>
    </w:p>
    <w:p w14:paraId="4916D574" w14:textId="47C39F80" w:rsidR="00883C23" w:rsidRPr="006D7E12" w:rsidRDefault="00E6401D" w:rsidP="00883C23">
      <w:pPr>
        <w:spacing w:after="0" w:line="240" w:lineRule="auto"/>
        <w:jc w:val="both"/>
        <w:rPr>
          <w:rFonts w:ascii="Arial" w:eastAsia="Calibri" w:hAnsi="Arial" w:cs="Arial"/>
        </w:rPr>
      </w:pPr>
      <w:r w:rsidRPr="006D7E12">
        <w:rPr>
          <w:rFonts w:ascii="Arial" w:hAnsi="Arial" w:cs="Arial"/>
        </w:rPr>
        <w:t xml:space="preserve">Alcalde de </w:t>
      </w:r>
      <w:r w:rsidR="00883C23" w:rsidRPr="006D7E12">
        <w:rPr>
          <w:rFonts w:ascii="Arial" w:eastAsia="Calibri" w:hAnsi="Arial" w:cs="Arial"/>
        </w:rPr>
        <w:t xml:space="preserve">Puerto Asís, Putumayo </w:t>
      </w:r>
    </w:p>
    <w:p w14:paraId="42E4525C" w14:textId="77777777" w:rsidR="00CB149C" w:rsidRPr="006D7E12" w:rsidRDefault="00CB149C" w:rsidP="00883C23">
      <w:pPr>
        <w:spacing w:after="0" w:line="240" w:lineRule="auto"/>
        <w:jc w:val="both"/>
        <w:rPr>
          <w:rFonts w:ascii="Arial" w:eastAsia="Calibri" w:hAnsi="Arial" w:cs="Arial"/>
        </w:rPr>
      </w:pPr>
    </w:p>
    <w:p w14:paraId="1ADBFDD5" w14:textId="77777777" w:rsidR="00883C23" w:rsidRPr="006D7E12" w:rsidRDefault="00883C23" w:rsidP="00883C23">
      <w:pPr>
        <w:spacing w:after="0" w:line="240" w:lineRule="auto"/>
        <w:jc w:val="both"/>
        <w:rPr>
          <w:rFonts w:ascii="Arial" w:eastAsia="Calibri" w:hAnsi="Arial" w:cs="Arial"/>
        </w:rPr>
      </w:pPr>
    </w:p>
    <w:p w14:paraId="04A59977" w14:textId="6669D896" w:rsidR="00883C23" w:rsidRPr="006D7E12" w:rsidRDefault="00883C23" w:rsidP="00883C23">
      <w:pPr>
        <w:spacing w:after="0" w:line="240" w:lineRule="auto"/>
        <w:jc w:val="both"/>
        <w:rPr>
          <w:rFonts w:ascii="Arial" w:eastAsia="Calibri" w:hAnsi="Arial" w:cs="Arial"/>
        </w:rPr>
      </w:pPr>
      <w:r w:rsidRPr="006D7E12">
        <w:rPr>
          <w:rFonts w:ascii="Arial" w:eastAsia="Calibri" w:hAnsi="Arial" w:cs="Arial"/>
        </w:rPr>
        <w:t xml:space="preserve">                                            </w:t>
      </w:r>
      <w:r w:rsidRPr="006D7E12">
        <w:rPr>
          <w:rFonts w:ascii="Arial" w:eastAsia="Calibri" w:hAnsi="Arial" w:cs="Arial"/>
          <w:b/>
        </w:rPr>
        <w:t xml:space="preserve">Concepto C – </w:t>
      </w:r>
      <w:r w:rsidR="006C4CAF" w:rsidRPr="006D7E12">
        <w:rPr>
          <w:rFonts w:ascii="Arial" w:eastAsia="Calibri" w:hAnsi="Arial" w:cs="Arial"/>
          <w:b/>
        </w:rPr>
        <w:t>172</w:t>
      </w:r>
      <w:r w:rsidRPr="006D7E12">
        <w:rPr>
          <w:rFonts w:ascii="Arial" w:eastAsia="Calibri" w:hAnsi="Arial" w:cs="Arial"/>
          <w:b/>
        </w:rPr>
        <w:t xml:space="preserve"> de 2022</w:t>
      </w:r>
      <w:r w:rsidRPr="006D7E12">
        <w:rPr>
          <w:rFonts w:ascii="Arial" w:eastAsia="Calibri" w:hAnsi="Arial" w:cs="Arial"/>
        </w:rPr>
        <w:t xml:space="preserve"> </w:t>
      </w:r>
    </w:p>
    <w:p w14:paraId="5FFD2FD6" w14:textId="77777777" w:rsidR="00883C23" w:rsidRPr="006D7E12" w:rsidRDefault="00883C23" w:rsidP="00883C23">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70B6" w:rsidRPr="006D7E12" w14:paraId="2218F9C4" w14:textId="77777777" w:rsidTr="00301B6D">
        <w:trPr>
          <w:trHeight w:val="485"/>
        </w:trPr>
        <w:tc>
          <w:tcPr>
            <w:tcW w:w="2689" w:type="dxa"/>
            <w:hideMark/>
          </w:tcPr>
          <w:p w14:paraId="0F211B22" w14:textId="77777777" w:rsidR="00883C23" w:rsidRPr="006D7E12" w:rsidRDefault="00883C23" w:rsidP="00883C23">
            <w:pPr>
              <w:contextualSpacing/>
              <w:rPr>
                <w:rFonts w:ascii="Arial" w:eastAsia="Calibri" w:hAnsi="Arial" w:cs="Arial"/>
                <w:noProof/>
                <w:lang w:val="es-ES_tradnl"/>
              </w:rPr>
            </w:pPr>
            <w:r w:rsidRPr="006D7E12">
              <w:rPr>
                <w:rFonts w:ascii="Arial" w:eastAsia="Calibri" w:hAnsi="Arial" w:cs="Arial"/>
                <w:b/>
                <w:noProof/>
                <w:lang w:val="es-ES_tradnl"/>
              </w:rPr>
              <w:t>Temas:</w:t>
            </w:r>
            <w:r w:rsidRPr="006D7E12">
              <w:rPr>
                <w:rFonts w:ascii="Arial" w:eastAsia="Calibri" w:hAnsi="Arial" w:cs="Arial"/>
                <w:noProof/>
                <w:lang w:val="es-ES_tradnl"/>
              </w:rPr>
              <w:t xml:space="preserve">        </w:t>
            </w:r>
          </w:p>
        </w:tc>
        <w:tc>
          <w:tcPr>
            <w:tcW w:w="6237" w:type="dxa"/>
            <w:hideMark/>
          </w:tcPr>
          <w:p w14:paraId="660FAC4E" w14:textId="4FCB1920" w:rsidR="00647E66" w:rsidRPr="006D7E12" w:rsidRDefault="00647E66" w:rsidP="00647E66">
            <w:pPr>
              <w:tabs>
                <w:tab w:val="left" w:pos="426"/>
              </w:tabs>
              <w:contextualSpacing/>
              <w:jc w:val="both"/>
              <w:rPr>
                <w:rFonts w:ascii="Arial" w:eastAsia="Calibri" w:hAnsi="Arial" w:cs="Arial"/>
                <w:lang w:val="es-MX"/>
              </w:rPr>
            </w:pPr>
            <w:r w:rsidRPr="006D7E12">
              <w:rPr>
                <w:rFonts w:ascii="Arial" w:eastAsia="Calibri" w:hAnsi="Arial" w:cs="Arial"/>
                <w:lang w:val="es-MX"/>
              </w:rPr>
              <w:t xml:space="preserve">LEY DE GARANTÍAS ELECTORALES ‒ Finalidad / LEY DE GARANTÍAS ELECTORALES ‒ Tipos de restricciones ‒ Ámbito temporal / LEY DE GARANTÍAS ELECTORALES ─ Prohibición ‒ Contratación directa ‒ Alcance / LEY DE GARANTÍAS ELECTORALES ─ Prohibición ‒ Contratación directa ‒ </w:t>
            </w:r>
            <w:r w:rsidRPr="006D7E12">
              <w:rPr>
                <w:rFonts w:ascii="Arial" w:eastAsia="Times New Roman" w:hAnsi="Arial" w:cs="Arial"/>
                <w:lang w:eastAsia="es-CO"/>
              </w:rPr>
              <w:t xml:space="preserve">Excepciones / LEY DE GARANTÍAS ELECTORALES ‒ </w:t>
            </w:r>
            <w:r w:rsidRPr="006D7E12">
              <w:rPr>
                <w:rFonts w:ascii="Arial" w:eastAsia="Times New Roman" w:hAnsi="Arial" w:cs="Arial"/>
                <w:lang w:val="es-ES" w:eastAsia="es-CO"/>
              </w:rPr>
              <w:t xml:space="preserve">Prohibición del artículo 33 </w:t>
            </w:r>
            <w:r w:rsidRPr="006D7E12">
              <w:rPr>
                <w:rFonts w:ascii="Arial" w:eastAsia="Times New Roman" w:hAnsi="Arial" w:cs="Arial"/>
                <w:lang w:eastAsia="es-CO"/>
              </w:rPr>
              <w:t xml:space="preserve">‒ Destinatarios / </w:t>
            </w:r>
            <w:r w:rsidRPr="006D7E12">
              <w:rPr>
                <w:rFonts w:ascii="Arial" w:eastAsia="Calibri" w:hAnsi="Arial" w:cs="Arial"/>
                <w:lang w:val="es-MX"/>
              </w:rPr>
              <w:t xml:space="preserve">LEY DE GARANTÍAS ELECTORALES ‒ Prohibición por elección de cargos populares – Convenios y contratos interadministrativos – Definición – Criterio orgánico / CONTRATOS Y CONVENIOS INTERADMINISTRATIVOS – Modalidad de selección / MODIFICACIÓN DE LA LEY 2159 DE 2021 – Ley Anual de Presupuesto – Parágrafo del artículo 38 Ley de Garantías – Transitoriedad / </w:t>
            </w:r>
            <w:r w:rsidRPr="006D7E12">
              <w:rPr>
                <w:rFonts w:ascii="Arial" w:eastAsia="Arial" w:hAnsi="Arial" w:cs="Arial"/>
                <w:lang w:val="es-ES" w:eastAsia="es-ES" w:bidi="es-ES"/>
              </w:rPr>
              <w:t>CONVENIOS DE ASOCIACIÓN – Contratación con ESAL</w:t>
            </w:r>
          </w:p>
          <w:p w14:paraId="7A54573B" w14:textId="4F95C6A9" w:rsidR="00647E66" w:rsidRPr="006D7E12" w:rsidRDefault="00647E66" w:rsidP="00647E66">
            <w:pPr>
              <w:tabs>
                <w:tab w:val="left" w:pos="426"/>
              </w:tabs>
              <w:contextualSpacing/>
              <w:jc w:val="both"/>
              <w:rPr>
                <w:rFonts w:ascii="Arial" w:eastAsia="Calibri" w:hAnsi="Arial" w:cs="Arial"/>
                <w:sz w:val="12"/>
                <w:szCs w:val="12"/>
                <w:lang w:val="es-MX"/>
              </w:rPr>
            </w:pPr>
          </w:p>
          <w:p w14:paraId="0BA70935" w14:textId="77777777" w:rsidR="00883C23" w:rsidRPr="006D7E12" w:rsidRDefault="00883C23" w:rsidP="00883C23">
            <w:pPr>
              <w:spacing w:after="120"/>
              <w:rPr>
                <w:rFonts w:ascii="Arial" w:eastAsia="Calibri" w:hAnsi="Arial" w:cs="Arial"/>
                <w:lang w:val="es-MX"/>
              </w:rPr>
            </w:pPr>
          </w:p>
        </w:tc>
      </w:tr>
      <w:tr w:rsidR="000370B6" w:rsidRPr="006D7E12" w14:paraId="222FEFA6" w14:textId="77777777" w:rsidTr="00301B6D">
        <w:tc>
          <w:tcPr>
            <w:tcW w:w="2689" w:type="dxa"/>
          </w:tcPr>
          <w:p w14:paraId="3332A0EE" w14:textId="77777777" w:rsidR="00883C23" w:rsidRPr="006D7E12" w:rsidRDefault="00883C23" w:rsidP="00883C23">
            <w:pPr>
              <w:contextualSpacing/>
              <w:rPr>
                <w:rFonts w:ascii="Arial" w:eastAsia="Calibri" w:hAnsi="Arial" w:cs="Arial"/>
                <w:b/>
                <w:noProof/>
                <w:lang w:val="es-ES_tradnl"/>
              </w:rPr>
            </w:pPr>
            <w:r w:rsidRPr="006D7E12">
              <w:rPr>
                <w:rFonts w:ascii="Arial" w:eastAsia="Calibri" w:hAnsi="Arial" w:cs="Arial"/>
                <w:b/>
                <w:noProof/>
                <w:lang w:val="es-ES_tradnl"/>
              </w:rPr>
              <w:t>Radicación:</w:t>
            </w:r>
            <w:r w:rsidRPr="006D7E12">
              <w:rPr>
                <w:rFonts w:ascii="Arial" w:eastAsia="Calibri" w:hAnsi="Arial" w:cs="Arial"/>
                <w:noProof/>
                <w:lang w:val="es-ES_tradnl"/>
              </w:rPr>
              <w:t xml:space="preserve">                              </w:t>
            </w:r>
          </w:p>
        </w:tc>
        <w:tc>
          <w:tcPr>
            <w:tcW w:w="6237" w:type="dxa"/>
          </w:tcPr>
          <w:p w14:paraId="3854A44D" w14:textId="3E4638F1" w:rsidR="00883C23" w:rsidRPr="006D7E12" w:rsidRDefault="00883C23" w:rsidP="00883C23">
            <w:pPr>
              <w:contextualSpacing/>
              <w:jc w:val="both"/>
              <w:rPr>
                <w:rFonts w:ascii="Arial" w:eastAsia="Calibri" w:hAnsi="Arial" w:cs="Arial"/>
                <w:noProof/>
                <w:lang w:val="es-ES_tradnl"/>
              </w:rPr>
            </w:pPr>
            <w:r w:rsidRPr="006D7E12">
              <w:rPr>
                <w:rFonts w:ascii="Arial" w:eastAsia="Calibri" w:hAnsi="Arial" w:cs="Arial"/>
                <w:noProof/>
                <w:lang w:val="es-ES_tradnl"/>
              </w:rPr>
              <w:t xml:space="preserve">Respuesta a consulta </w:t>
            </w:r>
            <w:r w:rsidR="000370B6" w:rsidRPr="006D7E12">
              <w:rPr>
                <w:rFonts w:ascii="Arial" w:eastAsia="Calibri" w:hAnsi="Arial" w:cs="Arial"/>
                <w:noProof/>
                <w:lang w:val="es-ES_tradnl"/>
              </w:rPr>
              <w:t>P20220222001761</w:t>
            </w:r>
          </w:p>
        </w:tc>
      </w:tr>
    </w:tbl>
    <w:p w14:paraId="24096655" w14:textId="77777777" w:rsidR="00883C23" w:rsidRPr="006D7E12" w:rsidRDefault="00883C23" w:rsidP="00883C23">
      <w:pPr>
        <w:spacing w:after="0" w:line="240" w:lineRule="auto"/>
        <w:jc w:val="both"/>
        <w:rPr>
          <w:rFonts w:ascii="Arial" w:eastAsia="Calibri" w:hAnsi="Arial" w:cs="Arial"/>
        </w:rPr>
      </w:pPr>
    </w:p>
    <w:p w14:paraId="17A7991B" w14:textId="77777777" w:rsidR="00883C23" w:rsidRPr="006D7E12" w:rsidRDefault="00883C23" w:rsidP="00883C23">
      <w:pPr>
        <w:spacing w:after="0" w:line="240" w:lineRule="auto"/>
        <w:contextualSpacing/>
        <w:jc w:val="both"/>
        <w:rPr>
          <w:rFonts w:ascii="Arial" w:eastAsia="Calibri" w:hAnsi="Arial" w:cs="Arial"/>
        </w:rPr>
      </w:pPr>
    </w:p>
    <w:p w14:paraId="13A96C90" w14:textId="7250C8EC" w:rsidR="00883C23" w:rsidRPr="006D7E12" w:rsidRDefault="00883C23" w:rsidP="00883C23">
      <w:pPr>
        <w:spacing w:after="0" w:line="276" w:lineRule="auto"/>
        <w:contextualSpacing/>
        <w:jc w:val="both"/>
        <w:rPr>
          <w:rFonts w:ascii="Arial" w:eastAsia="Calibri" w:hAnsi="Arial" w:cs="Arial"/>
        </w:rPr>
      </w:pPr>
      <w:r w:rsidRPr="006D7E12">
        <w:rPr>
          <w:rFonts w:ascii="Arial" w:eastAsia="Calibri" w:hAnsi="Arial" w:cs="Arial"/>
        </w:rPr>
        <w:t>Estimad</w:t>
      </w:r>
      <w:r w:rsidR="000370B6" w:rsidRPr="006D7E12">
        <w:rPr>
          <w:rFonts w:ascii="Arial" w:eastAsia="Calibri" w:hAnsi="Arial" w:cs="Arial"/>
        </w:rPr>
        <w:t>o</w:t>
      </w:r>
      <w:r w:rsidRPr="006D7E12">
        <w:rPr>
          <w:rFonts w:ascii="Arial" w:eastAsia="Calibri" w:hAnsi="Arial" w:cs="Arial"/>
        </w:rPr>
        <w:t xml:space="preserve"> señor</w:t>
      </w:r>
      <w:r w:rsidR="000370B6" w:rsidRPr="006D7E12">
        <w:rPr>
          <w:rFonts w:ascii="Arial" w:eastAsia="Calibri" w:hAnsi="Arial" w:cs="Arial"/>
        </w:rPr>
        <w:t xml:space="preserve"> Castillo</w:t>
      </w:r>
      <w:r w:rsidRPr="006D7E12">
        <w:rPr>
          <w:rFonts w:ascii="Arial" w:eastAsia="Calibri" w:hAnsi="Arial" w:cs="Arial"/>
        </w:rPr>
        <w:t>:</w:t>
      </w:r>
    </w:p>
    <w:p w14:paraId="65B69C4A" w14:textId="77777777" w:rsidR="00883C23" w:rsidRPr="006D7E12" w:rsidRDefault="00883C23" w:rsidP="00883C23">
      <w:pPr>
        <w:spacing w:after="0" w:line="276" w:lineRule="auto"/>
        <w:ind w:firstLine="709"/>
        <w:contextualSpacing/>
        <w:jc w:val="both"/>
        <w:rPr>
          <w:rFonts w:ascii="Arial" w:eastAsia="Calibri" w:hAnsi="Arial" w:cs="Arial"/>
        </w:rPr>
      </w:pPr>
    </w:p>
    <w:p w14:paraId="2996A3C4" w14:textId="178CA09E" w:rsidR="00883C23" w:rsidRPr="006D7E12" w:rsidRDefault="00883C23" w:rsidP="00883C23">
      <w:pPr>
        <w:spacing w:after="0" w:line="276" w:lineRule="auto"/>
        <w:ind w:right="51"/>
        <w:contextualSpacing/>
        <w:jc w:val="both"/>
        <w:rPr>
          <w:rFonts w:ascii="Arial" w:eastAsia="Calibri" w:hAnsi="Arial" w:cs="Arial"/>
        </w:rPr>
      </w:pPr>
      <w:r w:rsidRPr="006D7E12">
        <w:rPr>
          <w:rFonts w:ascii="Arial" w:eastAsia="Calibri" w:hAnsi="Arial" w:cs="Arial"/>
        </w:rPr>
        <w:lastRenderedPageBreak/>
        <w:t xml:space="preserve">En ejercicio de la competencia otorgada por el numeral 8 del artículo 11 y el numeral 5 del artículo 3 del Decreto Ley 4170 de 2011, la Agencia Nacional de Contratación Pública – Colombia Compra Eficiente responde la consulta radicada el </w:t>
      </w:r>
      <w:r w:rsidR="00924A75" w:rsidRPr="006D7E12">
        <w:rPr>
          <w:rFonts w:ascii="Arial" w:eastAsia="Calibri" w:hAnsi="Arial" w:cs="Arial"/>
        </w:rPr>
        <w:t>22 de febrero</w:t>
      </w:r>
      <w:r w:rsidRPr="006D7E12">
        <w:rPr>
          <w:rFonts w:ascii="Arial" w:eastAsia="Calibri" w:hAnsi="Arial" w:cs="Arial"/>
        </w:rPr>
        <w:t xml:space="preserve"> de 2022. </w:t>
      </w:r>
    </w:p>
    <w:p w14:paraId="13156ABA" w14:textId="77777777" w:rsidR="00883C23" w:rsidRPr="006D7E12" w:rsidRDefault="00883C23" w:rsidP="00883C23">
      <w:pPr>
        <w:spacing w:after="0" w:line="276" w:lineRule="auto"/>
        <w:contextualSpacing/>
        <w:jc w:val="both"/>
        <w:rPr>
          <w:rFonts w:ascii="Arial" w:eastAsia="Calibri" w:hAnsi="Arial" w:cs="Arial"/>
        </w:rPr>
      </w:pPr>
    </w:p>
    <w:p w14:paraId="37AC10DA" w14:textId="77777777" w:rsidR="00883C23" w:rsidRPr="006D7E12" w:rsidRDefault="00883C23" w:rsidP="00883C23">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 xml:space="preserve">1. Problema planteado </w:t>
      </w:r>
    </w:p>
    <w:p w14:paraId="5F0F4646" w14:textId="77777777" w:rsidR="00883C23" w:rsidRPr="006D7E12" w:rsidRDefault="00883C23" w:rsidP="00883C23">
      <w:pPr>
        <w:tabs>
          <w:tab w:val="left" w:pos="284"/>
        </w:tabs>
        <w:spacing w:after="0" w:line="276" w:lineRule="auto"/>
        <w:ind w:firstLine="709"/>
        <w:contextualSpacing/>
        <w:jc w:val="both"/>
        <w:rPr>
          <w:rFonts w:ascii="Arial" w:eastAsia="Calibri" w:hAnsi="Arial" w:cs="Arial"/>
          <w:b/>
        </w:rPr>
      </w:pPr>
    </w:p>
    <w:p w14:paraId="6807C56B" w14:textId="0060ABBE" w:rsidR="00883C23" w:rsidRPr="006D7E12" w:rsidRDefault="00883C23" w:rsidP="005F4339">
      <w:pPr>
        <w:spacing w:after="0" w:line="276" w:lineRule="auto"/>
        <w:contextualSpacing/>
        <w:jc w:val="both"/>
        <w:rPr>
          <w:rFonts w:ascii="Arial" w:eastAsia="Times New Roman" w:hAnsi="Arial" w:cs="Arial"/>
          <w:lang w:eastAsia="es-ES_tradnl"/>
        </w:rPr>
      </w:pPr>
      <w:bookmarkStart w:id="9" w:name="_Hlk58917991"/>
      <w:bookmarkStart w:id="10" w:name="_Hlk56103000"/>
      <w:r w:rsidRPr="006D7E12">
        <w:rPr>
          <w:rFonts w:ascii="Arial" w:eastAsia="Times New Roman" w:hAnsi="Arial" w:cs="Arial"/>
          <w:lang w:eastAsia="es-ES_tradnl"/>
        </w:rPr>
        <w:t xml:space="preserve">Usted realiza la siguiente pregunta: </w:t>
      </w:r>
      <w:bookmarkStart w:id="11" w:name="_Hlk94514883"/>
      <w:r w:rsidRPr="006D7E12">
        <w:rPr>
          <w:rFonts w:ascii="Arial" w:eastAsia="Times New Roman" w:hAnsi="Arial" w:cs="Arial"/>
          <w:lang w:eastAsia="es-ES_tradnl"/>
        </w:rPr>
        <w:t>«</w:t>
      </w:r>
      <w:r w:rsidR="004B4CA2" w:rsidRPr="006D7E12">
        <w:rPr>
          <w:rFonts w:ascii="Arial" w:eastAsia="Times New Roman" w:hAnsi="Arial" w:cs="Arial"/>
          <w:lang w:eastAsia="es-ES_tradnl"/>
        </w:rPr>
        <w:t>[…] teniendo en cuenta la ley de garantías 996 de 2005, la Alcaldía puede celebrar convenios con ESAL para cumplir con lo estipulado en la Ley 1012 de 2006, referente a los apoyos económicos a estudiantes, dando a conocer que el municipio ya tiene constituido el Fondo educativo Municipal de Educación Superior</w:t>
      </w:r>
      <w:r w:rsidR="004B2675" w:rsidRPr="006D7E12">
        <w:rPr>
          <w:rFonts w:ascii="Arial" w:eastAsia="Times New Roman" w:hAnsi="Arial" w:cs="Arial"/>
          <w:lang w:eastAsia="es-ES_tradnl"/>
        </w:rPr>
        <w:t>».</w:t>
      </w:r>
      <w:r w:rsidR="004B4CA2" w:rsidRPr="006D7E12">
        <w:rPr>
          <w:rFonts w:ascii="Arial" w:eastAsia="Times New Roman" w:hAnsi="Arial" w:cs="Arial"/>
          <w:lang w:eastAsia="es-ES_tradnl"/>
        </w:rPr>
        <w:t xml:space="preserve"> </w:t>
      </w:r>
      <w:bookmarkEnd w:id="11"/>
    </w:p>
    <w:p w14:paraId="0D2D797C" w14:textId="77777777" w:rsidR="00883C23" w:rsidRPr="006D7E12" w:rsidRDefault="00883C23" w:rsidP="005F4339">
      <w:pPr>
        <w:tabs>
          <w:tab w:val="left" w:pos="426"/>
        </w:tabs>
        <w:spacing w:after="0" w:line="276" w:lineRule="auto"/>
        <w:contextualSpacing/>
        <w:jc w:val="both"/>
        <w:rPr>
          <w:rFonts w:ascii="Arial" w:eastAsia="Calibri" w:hAnsi="Arial" w:cs="Arial"/>
        </w:rPr>
      </w:pPr>
    </w:p>
    <w:bookmarkEnd w:id="9"/>
    <w:bookmarkEnd w:id="10"/>
    <w:p w14:paraId="249A34D5" w14:textId="77777777" w:rsidR="00883C23" w:rsidRPr="006D7E12" w:rsidRDefault="00883C23" w:rsidP="005F4339">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2. Consideraciones</w:t>
      </w:r>
    </w:p>
    <w:p w14:paraId="4AE99E5A" w14:textId="77777777" w:rsidR="00883C23" w:rsidRPr="006D7E12" w:rsidRDefault="00883C23" w:rsidP="005F4339">
      <w:pPr>
        <w:tabs>
          <w:tab w:val="left" w:pos="426"/>
        </w:tabs>
        <w:spacing w:after="0" w:line="276" w:lineRule="auto"/>
        <w:ind w:firstLine="709"/>
        <w:contextualSpacing/>
        <w:jc w:val="both"/>
        <w:rPr>
          <w:rFonts w:ascii="Arial" w:eastAsia="Calibri" w:hAnsi="Arial" w:cs="Arial"/>
          <w:bCs/>
        </w:rPr>
      </w:pPr>
    </w:p>
    <w:p w14:paraId="0A3FFB9D" w14:textId="77777777" w:rsidR="00B64ACB" w:rsidRPr="006D7E12" w:rsidRDefault="00B64ACB" w:rsidP="00B64ACB">
      <w:pPr>
        <w:spacing w:after="120" w:line="276" w:lineRule="auto"/>
        <w:jc w:val="both"/>
        <w:rPr>
          <w:rFonts w:ascii="Arial" w:hAnsi="Arial" w:cs="Arial"/>
          <w:lang w:val="es-ES"/>
        </w:rPr>
      </w:pPr>
      <w:bookmarkStart w:id="12" w:name="_Hlk96420693"/>
      <w:r w:rsidRPr="006D7E12">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6D7E12">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6D7E12">
        <w:rPr>
          <w:rFonts w:ascii="Arial" w:hAnsi="Arial" w:cs="Arial"/>
          <w:bCs/>
        </w:rPr>
        <w:t xml:space="preserve"> de todos los partícipes de la contratación estatal ni para interpretar el alcance de cualquier norma vigente en el ordenamiento jurídico.</w:t>
      </w:r>
    </w:p>
    <w:p w14:paraId="53A467B6" w14:textId="43B1CC4E" w:rsidR="00B64ACB" w:rsidRPr="006D7E12" w:rsidRDefault="00B64ACB" w:rsidP="00B64ACB">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1"/>
      </w:r>
      <w:r w:rsidRPr="006D7E12">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decisión correspondiente y, en caso de conflicto, a las autoridades judiciales, fiscales y disciplinarias. </w:t>
      </w:r>
      <w:r w:rsidRPr="006D7E12">
        <w:rPr>
          <w:rFonts w:ascii="Arial" w:hAnsi="Arial" w:cs="Arial"/>
          <w:lang w:val="es-ES"/>
        </w:rPr>
        <w:lastRenderedPageBreak/>
        <w:t>De esta manera, le corresponderá a cada entidad definir la viabilidad técnica, jurídica y financiera de celebrar determinado contrato estatal en específico.</w:t>
      </w:r>
    </w:p>
    <w:p w14:paraId="652B9B5D" w14:textId="15E91C60" w:rsidR="00B64ACB" w:rsidRPr="006D7E12" w:rsidRDefault="00B64ACB">
      <w:pPr>
        <w:spacing w:after="120" w:line="276" w:lineRule="auto"/>
        <w:ind w:firstLine="708"/>
        <w:jc w:val="both"/>
        <w:rPr>
          <w:rFonts w:ascii="Arial" w:hAnsi="Arial" w:cs="Arial"/>
          <w:lang w:val="es-ES"/>
        </w:rPr>
      </w:pPr>
      <w:r w:rsidRPr="006D7E12">
        <w:rPr>
          <w:rFonts w:ascii="Arial" w:hAnsi="Arial" w:cs="Arial"/>
          <w:lang w:val="es-ES"/>
        </w:rPr>
        <w:t xml:space="preserve">En este contexto, es necesario tener en cuenta que esta Agencia no es competente para pronunciarse sobre </w:t>
      </w:r>
      <w:r w:rsidR="007A6243" w:rsidRPr="006D7E12">
        <w:rPr>
          <w:rFonts w:ascii="Arial" w:hAnsi="Arial" w:cs="Arial"/>
          <w:lang w:val="es-ES"/>
        </w:rPr>
        <w:t>e</w:t>
      </w:r>
      <w:r w:rsidR="00007534" w:rsidRPr="006D7E12">
        <w:rPr>
          <w:rFonts w:ascii="Arial" w:hAnsi="Arial" w:cs="Arial"/>
          <w:lang w:val="es-ES"/>
        </w:rPr>
        <w:t>l funcionamiento de los fondos de crédito educativo</w:t>
      </w:r>
      <w:r w:rsidRPr="006D7E12">
        <w:rPr>
          <w:rFonts w:ascii="Arial" w:hAnsi="Arial" w:cs="Arial"/>
          <w:lang w:val="es-ES"/>
        </w:rPr>
        <w:t>.</w:t>
      </w:r>
      <w:r w:rsidR="007A6243" w:rsidRPr="006D7E12">
        <w:rPr>
          <w:rFonts w:ascii="Arial" w:hAnsi="Arial" w:cs="Arial"/>
          <w:lang w:val="es-ES"/>
        </w:rPr>
        <w:t xml:space="preserve"> Al respecto, el artículo 111 de la Ley 30 de 1992 </w:t>
      </w:r>
      <w:r w:rsidR="007A6243" w:rsidRPr="006D7E12">
        <w:rPr>
          <w:rFonts w:ascii="Arial" w:eastAsia="Calibri" w:hAnsi="Arial" w:cs="Arial"/>
          <w:lang w:val="es-ES_tradnl"/>
        </w:rPr>
        <w:t>autorizó su creación a nivel departamental y municipal, con el fin de facilitar a las personas de escasos ingresos económicos el ingreso y permanencia en las instituciones de educación superior</w:t>
      </w:r>
      <w:r w:rsidR="00176B7A" w:rsidRPr="006D7E12">
        <w:rPr>
          <w:rStyle w:val="Refdenotaalpie"/>
          <w:rFonts w:ascii="Arial" w:eastAsia="Calibri" w:hAnsi="Arial" w:cs="Arial"/>
          <w:lang w:val="es-ES_tradnl"/>
        </w:rPr>
        <w:footnoteReference w:id="2"/>
      </w:r>
      <w:r w:rsidR="00176B7A" w:rsidRPr="006D7E12">
        <w:rPr>
          <w:rFonts w:ascii="Arial" w:eastAsia="Calibri" w:hAnsi="Arial" w:cs="Arial"/>
          <w:lang w:val="es-ES_tradnl"/>
        </w:rPr>
        <w:t xml:space="preserve">. De acuerdo con el parágrafo 1 del artículo 114 de la Ley 1012 de 2006, los recursos que por cualquier concepto reciban las distintas entidades del Estado para ser utilizados como becas, subsidios o créditos educativos, deberán ser trasladados al Instituto Colombiano de Crédito Educativo y Estudios Técnicos en el Exterior, </w:t>
      </w:r>
      <w:proofErr w:type="spellStart"/>
      <w:r w:rsidR="00176B7A" w:rsidRPr="006D7E12">
        <w:rPr>
          <w:rFonts w:ascii="Arial" w:eastAsia="Calibri" w:hAnsi="Arial" w:cs="Arial"/>
          <w:lang w:val="es-ES_tradnl"/>
        </w:rPr>
        <w:t>Icetex</w:t>
      </w:r>
      <w:proofErr w:type="spellEnd"/>
      <w:r w:rsidR="00176B7A" w:rsidRPr="006D7E12">
        <w:rPr>
          <w:rFonts w:ascii="Arial" w:eastAsia="Calibri" w:hAnsi="Arial" w:cs="Arial"/>
          <w:lang w:val="es-ES_tradnl"/>
        </w:rPr>
        <w:t>, o a los Fondos Educativos que para fines de crédito se creen en las entidades territoriales</w:t>
      </w:r>
      <w:r w:rsidR="00176B7A" w:rsidRPr="006D7E12">
        <w:rPr>
          <w:rStyle w:val="Refdenotaalpie"/>
          <w:rFonts w:ascii="Arial" w:eastAsia="Calibri" w:hAnsi="Arial" w:cs="Arial"/>
          <w:lang w:val="es-ES_tradnl"/>
        </w:rPr>
        <w:footnoteReference w:id="3"/>
      </w:r>
      <w:r w:rsidR="00176B7A" w:rsidRPr="006D7E12">
        <w:rPr>
          <w:rFonts w:ascii="Arial" w:eastAsia="Calibri" w:hAnsi="Arial" w:cs="Arial"/>
          <w:lang w:val="es-ES_tradnl"/>
        </w:rPr>
        <w:t xml:space="preserve">. </w:t>
      </w:r>
      <w:r w:rsidRPr="006D7E12">
        <w:rPr>
          <w:rFonts w:ascii="Arial" w:hAnsi="Arial" w:cs="Arial"/>
          <w:lang w:val="es-ES"/>
        </w:rPr>
        <w:t xml:space="preserve">Estos aspectos son ajenos al sistema de compras y contratación pública, por lo que Agencia tampoco tiene atribuciones para interpretar el alcance de la </w:t>
      </w:r>
      <w:r w:rsidR="00176B7A" w:rsidRPr="006D7E12">
        <w:rPr>
          <w:rFonts w:ascii="Arial" w:hAnsi="Arial" w:cs="Arial"/>
          <w:lang w:val="es-ES"/>
        </w:rPr>
        <w:t>Ley 1012 de 2006</w:t>
      </w:r>
      <w:r w:rsidRPr="006D7E12">
        <w:rPr>
          <w:rFonts w:ascii="Arial" w:hAnsi="Arial" w:cs="Arial"/>
          <w:lang w:val="es-ES"/>
        </w:rPr>
        <w:t>, «</w:t>
      </w:r>
      <w:r w:rsidR="00176B7A" w:rsidRPr="006D7E12">
        <w:rPr>
          <w:rFonts w:ascii="Arial" w:hAnsi="Arial" w:cs="Arial"/>
        </w:rPr>
        <w:t>por medio de la cual se reforman los artículos 111 y 114 de la Ley 30 de 1992, sobre Créditos Departamentales y Municipales para la Educación Superior</w:t>
      </w:r>
      <w:r w:rsidRPr="006D7E12">
        <w:rPr>
          <w:rFonts w:ascii="Arial" w:hAnsi="Arial" w:cs="Arial"/>
        </w:rPr>
        <w:t>»</w:t>
      </w:r>
      <w:r w:rsidRPr="006D7E12">
        <w:rPr>
          <w:rFonts w:ascii="Arial" w:hAnsi="Arial" w:cs="Arial"/>
          <w:lang w:val="es-ES"/>
        </w:rPr>
        <w:t xml:space="preserve">. </w:t>
      </w:r>
    </w:p>
    <w:p w14:paraId="7FD6A583" w14:textId="3CF718B5" w:rsidR="00EF6644" w:rsidRPr="006D7E12" w:rsidRDefault="00B64ACB" w:rsidP="003B045C">
      <w:pPr>
        <w:spacing w:after="120" w:line="276" w:lineRule="auto"/>
        <w:ind w:firstLine="708"/>
        <w:jc w:val="both"/>
        <w:rPr>
          <w:rFonts w:ascii="Arial" w:eastAsia="Calibri" w:hAnsi="Arial" w:cs="Arial"/>
          <w:szCs w:val="24"/>
          <w:lang w:eastAsia="es-ES_tradnl"/>
        </w:rPr>
      </w:pPr>
      <w:r w:rsidRPr="006D7E12">
        <w:rPr>
          <w:rFonts w:ascii="Arial" w:eastAsia="Calibri" w:hAnsi="Arial" w:cs="Arial"/>
        </w:rPr>
        <w:t xml:space="preserve">Sin perjuicio de lo anterior, </w:t>
      </w:r>
      <w:r w:rsidRPr="006D7E12">
        <w:rPr>
          <w:rFonts w:ascii="Arial" w:eastAsia="Calibri" w:hAnsi="Arial" w:cs="Arial"/>
          <w:lang w:val="es-ES"/>
        </w:rPr>
        <w:t xml:space="preserve">la Agencia –dentro de los límites de sus atribuciones, es decir, </w:t>
      </w:r>
      <w:bookmarkStart w:id="13" w:name="_Hlk61025408"/>
      <w:r w:rsidRPr="006D7E12">
        <w:rPr>
          <w:rFonts w:ascii="Arial" w:eastAsia="Calibri" w:hAnsi="Arial" w:cs="Arial"/>
          <w:lang w:val="es-ES"/>
        </w:rPr>
        <w:t xml:space="preserve">haciendo abstracción de las normas relativas </w:t>
      </w:r>
      <w:r w:rsidR="00E11379" w:rsidRPr="006D7E12">
        <w:rPr>
          <w:rFonts w:ascii="Arial" w:eastAsia="Calibri" w:hAnsi="Arial" w:cs="Arial"/>
          <w:lang w:val="es-ES"/>
        </w:rPr>
        <w:t>al funcionamiento de los fondos de crédito educativo</w:t>
      </w:r>
      <w:r w:rsidRPr="006D7E12">
        <w:rPr>
          <w:rFonts w:ascii="Arial" w:eastAsia="Calibri" w:hAnsi="Arial" w:cs="Arial"/>
          <w:lang w:val="es-ES"/>
        </w:rPr>
        <w:t xml:space="preserve"> y del caso particular </w:t>
      </w:r>
      <w:bookmarkEnd w:id="13"/>
      <w:r w:rsidRPr="006D7E12">
        <w:rPr>
          <w:rFonts w:ascii="Arial" w:eastAsia="Calibri" w:hAnsi="Arial" w:cs="Arial"/>
          <w:lang w:val="es-ES"/>
        </w:rPr>
        <w:t>expuesto en la petición– resolverá la consulta conforme a las normas generales</w:t>
      </w:r>
      <w:r w:rsidR="00E11379" w:rsidRPr="006D7E12">
        <w:rPr>
          <w:rFonts w:ascii="Arial" w:eastAsia="Calibri" w:hAnsi="Arial" w:cs="Arial"/>
          <w:lang w:val="es-ES"/>
        </w:rPr>
        <w:t xml:space="preserve"> del sistema de compras públicas. </w:t>
      </w:r>
      <w:r w:rsidR="00A116E0" w:rsidRPr="006D7E12">
        <w:rPr>
          <w:rFonts w:ascii="Arial" w:eastAsia="Calibri" w:hAnsi="Arial" w:cs="Arial"/>
          <w:lang w:val="es-ES"/>
        </w:rPr>
        <w:t xml:space="preserve">Con este objetivo se analizarán los siguientes temas: </w:t>
      </w:r>
      <w:r w:rsidR="00A116E0" w:rsidRPr="006D7E12">
        <w:rPr>
          <w:rFonts w:ascii="Arial" w:eastAsia="Calibri" w:hAnsi="Arial" w:cs="Arial"/>
          <w:bCs/>
        </w:rPr>
        <w:t xml:space="preserve">i) definición y finalidad de la Ley de Garantías Electorales, </w:t>
      </w:r>
      <w:proofErr w:type="spellStart"/>
      <w:r w:rsidR="00A116E0" w:rsidRPr="006D7E12">
        <w:rPr>
          <w:rFonts w:ascii="Arial" w:eastAsia="Calibri" w:hAnsi="Arial" w:cs="Arial"/>
          <w:bCs/>
        </w:rPr>
        <w:t>ii</w:t>
      </w:r>
      <w:proofErr w:type="spellEnd"/>
      <w:r w:rsidR="00A116E0" w:rsidRPr="006D7E12">
        <w:rPr>
          <w:rFonts w:ascii="Arial" w:eastAsia="Calibri" w:hAnsi="Arial" w:cs="Arial"/>
          <w:bCs/>
        </w:rPr>
        <w:t xml:space="preserve">) restricciones </w:t>
      </w:r>
      <w:r w:rsidR="00A116E0" w:rsidRPr="006D7E12">
        <w:rPr>
          <w:rFonts w:ascii="Arial" w:eastAsia="Calibri" w:hAnsi="Arial" w:cs="Arial"/>
          <w:bCs/>
          <w:lang w:val="es-MX"/>
        </w:rPr>
        <w:t xml:space="preserve">para elecciones presidenciales, </w:t>
      </w:r>
      <w:proofErr w:type="spellStart"/>
      <w:r w:rsidR="00A116E0" w:rsidRPr="006D7E12">
        <w:rPr>
          <w:rFonts w:ascii="Arial" w:eastAsia="Calibri" w:hAnsi="Arial" w:cs="Arial"/>
          <w:bCs/>
          <w:lang w:val="es-MX"/>
        </w:rPr>
        <w:t>iii</w:t>
      </w:r>
      <w:proofErr w:type="spellEnd"/>
      <w:r w:rsidR="00A116E0" w:rsidRPr="006D7E12">
        <w:rPr>
          <w:rFonts w:ascii="Arial" w:eastAsia="Calibri" w:hAnsi="Arial" w:cs="Arial"/>
          <w:bCs/>
          <w:lang w:val="es-MX"/>
        </w:rPr>
        <w:t xml:space="preserve">) destinatarios de la prohibición del artículo 33 de la Ley 996 de 2005, </w:t>
      </w:r>
      <w:proofErr w:type="spellStart"/>
      <w:r w:rsidR="00A116E0" w:rsidRPr="006D7E12">
        <w:rPr>
          <w:rFonts w:ascii="Arial" w:eastAsia="Calibri" w:hAnsi="Arial" w:cs="Arial"/>
          <w:bCs/>
          <w:lang w:val="es-MX"/>
        </w:rPr>
        <w:t>iv</w:t>
      </w:r>
      <w:proofErr w:type="spellEnd"/>
      <w:r w:rsidR="00A116E0" w:rsidRPr="006D7E12">
        <w:rPr>
          <w:rFonts w:ascii="Arial" w:eastAsia="Calibri" w:hAnsi="Arial" w:cs="Arial"/>
          <w:bCs/>
          <w:lang w:val="es-MX"/>
        </w:rPr>
        <w:t xml:space="preserve">) </w:t>
      </w:r>
      <w:r w:rsidR="00A116E0" w:rsidRPr="006D7E12">
        <w:rPr>
          <w:rFonts w:ascii="Arial" w:eastAsia="Calibri" w:hAnsi="Arial" w:cs="Arial"/>
          <w:lang w:val="es-MX"/>
        </w:rPr>
        <w:t>restricciones en los comicios para cargos de elección popular</w:t>
      </w:r>
      <w:bookmarkStart w:id="14" w:name="_Hlk76110351"/>
      <w:r w:rsidR="00A116E0" w:rsidRPr="006D7E12">
        <w:rPr>
          <w:rFonts w:ascii="Arial" w:eastAsia="Calibri" w:hAnsi="Arial" w:cs="Arial"/>
          <w:lang w:val="es-MX"/>
        </w:rPr>
        <w:t xml:space="preserve"> y v) </w:t>
      </w:r>
      <w:r w:rsidR="003B045C" w:rsidRPr="006D7E12">
        <w:rPr>
          <w:rFonts w:ascii="Arial" w:eastAsia="Calibri" w:hAnsi="Arial" w:cs="Arial"/>
          <w:lang w:val="es-MX" w:bidi="es-ES"/>
        </w:rPr>
        <w:t>convenios de asociación y restricciones de la Ley de Garantías Electorales</w:t>
      </w:r>
      <w:r w:rsidR="00A116E0" w:rsidRPr="006D7E12">
        <w:rPr>
          <w:rFonts w:ascii="Arial" w:eastAsia="Calibri" w:hAnsi="Arial" w:cs="Arial"/>
          <w:lang w:val="es-MX"/>
        </w:rPr>
        <w:t xml:space="preserve">. </w:t>
      </w:r>
      <w:bookmarkEnd w:id="14"/>
      <w:r w:rsidR="00E11379" w:rsidRPr="006D7E12">
        <w:rPr>
          <w:rFonts w:ascii="Arial" w:eastAsia="Calibri" w:hAnsi="Arial" w:cs="Arial"/>
          <w:lang w:val="es-ES"/>
        </w:rPr>
        <w:t xml:space="preserve"> </w:t>
      </w:r>
      <w:r w:rsidRPr="006D7E12">
        <w:rPr>
          <w:rFonts w:ascii="Arial" w:eastAsia="Calibri" w:hAnsi="Arial" w:cs="Arial"/>
          <w:lang w:val="es-ES"/>
        </w:rPr>
        <w:t xml:space="preserve"> </w:t>
      </w:r>
    </w:p>
    <w:p w14:paraId="0E1300EA" w14:textId="21AE786C" w:rsidR="00883C23" w:rsidRPr="006D7E12" w:rsidRDefault="00883C23" w:rsidP="00BE1101">
      <w:pPr>
        <w:tabs>
          <w:tab w:val="left" w:pos="426"/>
        </w:tabs>
        <w:spacing w:after="0" w:line="276" w:lineRule="auto"/>
        <w:ind w:firstLine="709"/>
        <w:jc w:val="both"/>
        <w:rPr>
          <w:rFonts w:ascii="Arial" w:eastAsia="Calibri" w:hAnsi="Arial" w:cs="Arial"/>
          <w:bCs/>
        </w:rPr>
      </w:pPr>
      <w:r w:rsidRPr="006D7E12">
        <w:rPr>
          <w:rFonts w:ascii="Arial" w:eastAsia="Calibri" w:hAnsi="Arial" w:cs="Arial"/>
          <w:bCs/>
        </w:rPr>
        <w:lastRenderedPageBreak/>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w:t>
      </w:r>
      <w:r w:rsidR="007C773C" w:rsidRPr="006D7E12">
        <w:rPr>
          <w:rFonts w:ascii="Arial" w:eastAsia="Calibri" w:hAnsi="Arial" w:cs="Arial"/>
          <w:bCs/>
        </w:rPr>
        <w:t xml:space="preserve">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y C-164 del 22 de marzo de 2022. </w:t>
      </w:r>
      <w:r w:rsidRPr="006D7E12">
        <w:rPr>
          <w:rFonts w:ascii="Arial" w:eastAsia="Calibri" w:hAnsi="Arial" w:cs="Arial"/>
          <w:bCs/>
        </w:rPr>
        <w:t>La tesis desarrollada en estos conceptos se reitera y complementa a continuación:</w:t>
      </w:r>
    </w:p>
    <w:bookmarkEnd w:id="12"/>
    <w:p w14:paraId="0A16D86B"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
          <w:bCs/>
        </w:rPr>
      </w:pPr>
    </w:p>
    <w:p w14:paraId="29793852" w14:textId="77777777" w:rsidR="00883C23" w:rsidRPr="006D7E12" w:rsidRDefault="00883C23" w:rsidP="00883C23">
      <w:pPr>
        <w:tabs>
          <w:tab w:val="left" w:pos="426"/>
        </w:tabs>
        <w:spacing w:after="0" w:line="276" w:lineRule="auto"/>
        <w:contextualSpacing/>
        <w:jc w:val="both"/>
        <w:rPr>
          <w:rFonts w:ascii="Arial" w:eastAsia="Calibri" w:hAnsi="Arial" w:cs="Arial"/>
          <w:b/>
          <w:bCs/>
        </w:rPr>
      </w:pPr>
      <w:r w:rsidRPr="006D7E12">
        <w:rPr>
          <w:rFonts w:ascii="Arial" w:eastAsia="Calibri" w:hAnsi="Arial" w:cs="Arial"/>
          <w:b/>
          <w:bCs/>
        </w:rPr>
        <w:t>2.1. Definición y finalidad de la Ley de Garantías Electorales: alcance de las restricciones</w:t>
      </w:r>
    </w:p>
    <w:p w14:paraId="2A726527"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Cs/>
        </w:rPr>
      </w:pPr>
    </w:p>
    <w:p w14:paraId="019F47F6" w14:textId="5528384D" w:rsidR="00883C23" w:rsidRPr="006D7E12" w:rsidRDefault="00883C23" w:rsidP="00883C23">
      <w:pPr>
        <w:tabs>
          <w:tab w:val="left" w:pos="426"/>
        </w:tabs>
        <w:spacing w:after="120" w:line="276" w:lineRule="auto"/>
        <w:jc w:val="both"/>
        <w:rPr>
          <w:rFonts w:ascii="Arial" w:eastAsia="Times New Roman" w:hAnsi="Arial" w:cs="Arial"/>
          <w:bCs/>
          <w:lang w:eastAsia="es-CO"/>
        </w:rPr>
      </w:pPr>
      <w:r w:rsidRPr="006D7E12">
        <w:rPr>
          <w:rFonts w:ascii="Arial" w:eastAsia="Calibri" w:hAnsi="Arial" w:cs="Arial"/>
          <w:bCs/>
        </w:rPr>
        <w:lastRenderedPageBreak/>
        <w:t>El ordenamiento jurídico colombiano contempla previsiones claras para evitar la obtención de beneficios personales en asuntos propios de la administración pública</w:t>
      </w:r>
      <w:r w:rsidRPr="006D7E12">
        <w:rPr>
          <w:rFonts w:ascii="Arial" w:eastAsia="Calibri" w:hAnsi="Arial" w:cs="Arial"/>
          <w:bCs/>
          <w:i/>
          <w:iCs/>
        </w:rPr>
        <w:t xml:space="preserve">. </w:t>
      </w:r>
      <w:r w:rsidRPr="006D7E12">
        <w:rPr>
          <w:rFonts w:ascii="Arial" w:eastAsia="Calibri" w:hAnsi="Arial" w:cs="Arial"/>
          <w:bCs/>
        </w:rPr>
        <w:t xml:space="preserve">Por ejemplo, el artículo 127 de la Constitución Política establece una prohibición contractual a los servidores públicos y en cuanto a aspectos políticos </w:t>
      </w:r>
      <w:r w:rsidR="004916F0" w:rsidRPr="006D7E12">
        <w:rPr>
          <w:rFonts w:ascii="Arial" w:eastAsia="Calibri" w:hAnsi="Arial" w:cs="Arial"/>
          <w:bCs/>
        </w:rPr>
        <w:t>consagra</w:t>
      </w:r>
      <w:r w:rsidRPr="006D7E12">
        <w:rPr>
          <w:rFonts w:ascii="Arial" w:eastAsia="Calibri" w:hAnsi="Arial" w:cs="Arial"/>
          <w:bCs/>
        </w:rPr>
        <w:t xml:space="preserve"> restricciones a ciertos empleados del Estado, incluso en época no electoral</w:t>
      </w:r>
      <w:r w:rsidRPr="006D7E12">
        <w:rPr>
          <w:rFonts w:ascii="Arial" w:eastAsia="Calibri" w:hAnsi="Arial" w:cs="Arial"/>
          <w:bCs/>
          <w:vertAlign w:val="superscript"/>
        </w:rPr>
        <w:footnoteReference w:id="4"/>
      </w:r>
      <w:r w:rsidRPr="006D7E12">
        <w:rPr>
          <w:rFonts w:ascii="Arial" w:eastAsia="Calibri" w:hAnsi="Arial" w:cs="Arial"/>
          <w:bCs/>
        </w:rPr>
        <w:t xml:space="preserve">. </w:t>
      </w:r>
    </w:p>
    <w:p w14:paraId="56986416" w14:textId="77777777" w:rsidR="00883C23" w:rsidRPr="006D7E12" w:rsidRDefault="00883C23" w:rsidP="00883C23">
      <w:pPr>
        <w:tabs>
          <w:tab w:val="left" w:pos="426"/>
        </w:tabs>
        <w:spacing w:after="0" w:line="276" w:lineRule="auto"/>
        <w:ind w:firstLine="709"/>
        <w:jc w:val="both"/>
        <w:rPr>
          <w:rFonts w:ascii="Arial" w:eastAsia="Times New Roman" w:hAnsi="Arial" w:cs="Arial"/>
          <w:bCs/>
          <w:lang w:val="es-MX" w:eastAsia="es-CO"/>
        </w:rPr>
      </w:pPr>
      <w:r w:rsidRPr="006D7E12">
        <w:rPr>
          <w:rFonts w:ascii="Arial" w:eastAsia="Times New Roman" w:hAnsi="Arial" w:cs="Arial"/>
          <w:bCs/>
          <w:lang w:eastAsia="es-CO"/>
        </w:rPr>
        <w:t>En el mismo sentido</w:t>
      </w:r>
      <w:r w:rsidRPr="006D7E12">
        <w:rPr>
          <w:rFonts w:ascii="Arial" w:eastAsia="Times New Roman" w:hAnsi="Arial" w:cs="Arial"/>
          <w:bCs/>
          <w:lang w:val="es-MX" w:eastAsia="es-CO"/>
        </w:rPr>
        <w:t xml:space="preserve">, </w:t>
      </w:r>
      <w:bookmarkStart w:id="15" w:name="_Hlk99576829"/>
      <w:r w:rsidRPr="006D7E12">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D7E12">
        <w:rPr>
          <w:rFonts w:ascii="Arial" w:eastAsia="Times New Roman" w:hAnsi="Arial" w:cs="Arial"/>
          <w:bCs/>
          <w:vertAlign w:val="superscript"/>
          <w:lang w:val="es-MX" w:eastAsia="es-CO"/>
        </w:rPr>
        <w:footnoteReference w:id="5"/>
      </w:r>
      <w:r w:rsidRPr="006D7E12">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6D7E12">
        <w:rPr>
          <w:rFonts w:ascii="Arial" w:eastAsia="Calibri" w:hAnsi="Arial" w:cs="Arial"/>
          <w:noProof/>
          <w:lang w:val="es-ES_tradnl"/>
        </w:rPr>
        <w:t xml:space="preserve"> </w:t>
      </w:r>
      <w:bookmarkEnd w:id="15"/>
      <w:r w:rsidRPr="006D7E12">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F4470EB" w14:textId="77777777" w:rsidR="00883C23" w:rsidRPr="006D7E12" w:rsidRDefault="00883C23" w:rsidP="00FF661D">
      <w:pPr>
        <w:spacing w:after="0" w:line="276" w:lineRule="auto"/>
        <w:ind w:right="709"/>
        <w:contextualSpacing/>
        <w:jc w:val="both"/>
        <w:rPr>
          <w:rFonts w:ascii="Arial" w:eastAsia="Times New Roman" w:hAnsi="Arial" w:cs="Arial"/>
          <w:sz w:val="21"/>
          <w:szCs w:val="21"/>
          <w:lang w:val="es-ES" w:eastAsia="es-CO"/>
        </w:rPr>
      </w:pPr>
    </w:p>
    <w:p w14:paraId="692F06F5" w14:textId="6E7BB27D" w:rsidR="00FF661D" w:rsidRPr="006D7E12" w:rsidRDefault="00883C2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sz w:val="21"/>
          <w:szCs w:val="21"/>
          <w:lang w:val="es-ES" w:eastAsia="es-CO"/>
        </w:rPr>
        <w:t xml:space="preserve">[…] </w:t>
      </w:r>
      <w:r w:rsidRPr="006D7E12">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E720956" w14:textId="22DF3CDF"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 xml:space="preserve">[…] </w:t>
      </w:r>
    </w:p>
    <w:p w14:paraId="23912079" w14:textId="77777777" w:rsidR="00FF661D" w:rsidRPr="006D7E12" w:rsidRDefault="00FF661D" w:rsidP="00BE1101">
      <w:pPr>
        <w:spacing w:after="0" w:line="240" w:lineRule="auto"/>
        <w:ind w:right="709"/>
        <w:contextualSpacing/>
        <w:jc w:val="both"/>
        <w:rPr>
          <w:rFonts w:ascii="Arial" w:eastAsia="Times New Roman" w:hAnsi="Arial" w:cs="Arial"/>
          <w:bCs/>
          <w:sz w:val="21"/>
          <w:szCs w:val="21"/>
          <w:lang w:val="es-MX" w:eastAsia="es-CO"/>
        </w:rPr>
      </w:pPr>
    </w:p>
    <w:p w14:paraId="07DD05FB" w14:textId="4C2ADDF0"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D7E12">
        <w:rPr>
          <w:rFonts w:ascii="Arial" w:eastAsia="Calibri" w:hAnsi="Arial" w:cs="Arial"/>
          <w:sz w:val="20"/>
          <w:szCs w:val="20"/>
          <w:vertAlign w:val="superscript"/>
          <w:lang w:val="es-MX"/>
        </w:rPr>
        <w:footnoteReference w:id="6"/>
      </w:r>
    </w:p>
    <w:p w14:paraId="453B2A93" w14:textId="77777777" w:rsidR="00883C23" w:rsidRPr="006D7E12" w:rsidRDefault="00883C23" w:rsidP="00FF661D">
      <w:pPr>
        <w:spacing w:after="0" w:line="276" w:lineRule="auto"/>
        <w:ind w:left="709" w:right="709"/>
        <w:contextualSpacing/>
        <w:jc w:val="both"/>
        <w:rPr>
          <w:rFonts w:ascii="Arial" w:eastAsia="Times New Roman" w:hAnsi="Arial" w:cs="Arial"/>
          <w:bCs/>
          <w:sz w:val="21"/>
          <w:szCs w:val="21"/>
          <w:lang w:val="es-MX" w:eastAsia="es-CO"/>
        </w:rPr>
      </w:pPr>
    </w:p>
    <w:p w14:paraId="09DD32AE" w14:textId="1A7B6457" w:rsidR="00883C23" w:rsidRPr="006D7E12" w:rsidRDefault="00883C23" w:rsidP="00883C23">
      <w:pPr>
        <w:spacing w:after="0" w:line="276" w:lineRule="auto"/>
        <w:ind w:firstLine="709"/>
        <w:jc w:val="both"/>
        <w:rPr>
          <w:rFonts w:ascii="Arial" w:eastAsia="Times New Roman" w:hAnsi="Arial" w:cs="Arial"/>
          <w:bCs/>
          <w:lang w:val="es-MX" w:eastAsia="es-CO"/>
        </w:rPr>
      </w:pPr>
      <w:bookmarkStart w:id="16" w:name="_Hlk78818186"/>
      <w:r w:rsidRPr="006D7E12">
        <w:rPr>
          <w:rFonts w:ascii="Arial" w:eastAsia="Times New Roman" w:hAnsi="Arial" w:cs="Arial"/>
          <w:bCs/>
          <w:lang w:val="es-MX" w:eastAsia="es-CO"/>
        </w:rPr>
        <w:lastRenderedPageBreak/>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6"/>
      <w:r w:rsidRPr="006D7E12">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w:t>
      </w:r>
      <w:r w:rsidR="00C0768B" w:rsidRPr="006D7E12">
        <w:rPr>
          <w:rFonts w:ascii="Arial" w:eastAsia="Times New Roman" w:hAnsi="Arial" w:cs="Arial"/>
          <w:bCs/>
          <w:lang w:val="es-MX" w:eastAsia="es-CO"/>
        </w:rPr>
        <w:t xml:space="preserve">, </w:t>
      </w:r>
      <w:r w:rsidRPr="006D7E12">
        <w:rPr>
          <w:rFonts w:ascii="Arial" w:eastAsia="Times New Roman" w:hAnsi="Arial" w:cs="Arial"/>
          <w:bCs/>
          <w:lang w:val="es-MX" w:eastAsia="es-CO"/>
        </w:rPr>
        <w:t>precisó lo siguiente:</w:t>
      </w:r>
    </w:p>
    <w:p w14:paraId="05EDF88F" w14:textId="77777777" w:rsidR="00883C23" w:rsidRPr="006D7E12" w:rsidRDefault="00883C23" w:rsidP="00AC7ED9">
      <w:pPr>
        <w:spacing w:after="0" w:line="276" w:lineRule="auto"/>
        <w:ind w:firstLine="709"/>
        <w:contextualSpacing/>
        <w:jc w:val="both"/>
        <w:rPr>
          <w:rFonts w:ascii="Arial" w:eastAsia="Times New Roman" w:hAnsi="Arial" w:cs="Arial"/>
          <w:bCs/>
          <w:lang w:val="es-MX" w:eastAsia="es-CO"/>
        </w:rPr>
      </w:pPr>
    </w:p>
    <w:p w14:paraId="15653408" w14:textId="77777777"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D7E12">
        <w:rPr>
          <w:rFonts w:ascii="Arial" w:eastAsia="Times New Roman" w:hAnsi="Arial" w:cs="Arial"/>
          <w:bCs/>
          <w:sz w:val="21"/>
          <w:szCs w:val="21"/>
          <w:lang w:val="es-MX" w:eastAsia="es-CO"/>
        </w:rPr>
        <w:t>legis</w:t>
      </w:r>
      <w:proofErr w:type="spellEnd"/>
      <w:r w:rsidRPr="006D7E12">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C1990E" w14:textId="77777777" w:rsidR="00AC7ED9" w:rsidRPr="006D7E12" w:rsidRDefault="00AC7ED9" w:rsidP="00AC7ED9">
      <w:pPr>
        <w:spacing w:after="0" w:line="240" w:lineRule="auto"/>
        <w:ind w:left="709" w:right="709"/>
        <w:contextualSpacing/>
        <w:jc w:val="both"/>
        <w:rPr>
          <w:rFonts w:ascii="Arial" w:eastAsia="Times New Roman" w:hAnsi="Arial" w:cs="Arial"/>
          <w:bCs/>
          <w:sz w:val="21"/>
          <w:szCs w:val="21"/>
          <w:lang w:val="es-MX" w:eastAsia="es-CO"/>
        </w:rPr>
      </w:pPr>
    </w:p>
    <w:p w14:paraId="6689E594" w14:textId="47070E6F"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La jurisprudencia de la Corte Constitucional</w:t>
      </w:r>
      <w:r w:rsidRPr="006D7E12">
        <w:rPr>
          <w:rFonts w:ascii="Arial" w:eastAsia="Times New Roman" w:hAnsi="Arial" w:cs="Arial"/>
          <w:bCs/>
          <w:sz w:val="21"/>
          <w:szCs w:val="21"/>
          <w:vertAlign w:val="superscript"/>
          <w:lang w:val="es-MX" w:eastAsia="es-CO"/>
        </w:rPr>
        <w:footnoteReference w:id="7"/>
      </w:r>
      <w:r w:rsidRPr="006D7E12">
        <w:rPr>
          <w:rFonts w:ascii="Arial" w:eastAsia="Times New Roman" w:hAnsi="Arial" w:cs="Arial"/>
          <w:bCs/>
          <w:sz w:val="21"/>
          <w:szCs w:val="21"/>
          <w:lang w:val="es-MX" w:eastAsia="es-CO"/>
        </w:rPr>
        <w:t> y del Consejo de Estado</w:t>
      </w:r>
      <w:r w:rsidRPr="006D7E12">
        <w:rPr>
          <w:rFonts w:ascii="Arial" w:eastAsia="Times New Roman" w:hAnsi="Arial" w:cs="Arial"/>
          <w:bCs/>
          <w:sz w:val="21"/>
          <w:szCs w:val="21"/>
          <w:vertAlign w:val="superscript"/>
          <w:lang w:val="es-MX" w:eastAsia="es-CO"/>
        </w:rPr>
        <w:footnoteReference w:id="8"/>
      </w:r>
      <w:r w:rsidRPr="006D7E12">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D7E12">
        <w:rPr>
          <w:rFonts w:ascii="Arial" w:eastAsia="Times New Roman" w:hAnsi="Arial" w:cs="Arial"/>
          <w:bCs/>
          <w:vertAlign w:val="superscript"/>
          <w:lang w:val="es-MX" w:eastAsia="es-CO"/>
        </w:rPr>
        <w:footnoteReference w:id="9"/>
      </w:r>
      <w:r w:rsidRPr="006D7E12">
        <w:rPr>
          <w:rFonts w:ascii="Arial" w:eastAsia="Times New Roman" w:hAnsi="Arial" w:cs="Arial"/>
          <w:bCs/>
          <w:sz w:val="21"/>
          <w:szCs w:val="21"/>
          <w:lang w:val="es-MX" w:eastAsia="es-CO"/>
        </w:rPr>
        <w:t>.</w:t>
      </w:r>
    </w:p>
    <w:p w14:paraId="53395454" w14:textId="77777777" w:rsidR="00883C23" w:rsidRPr="006D7E12" w:rsidRDefault="00883C23" w:rsidP="00AC7ED9">
      <w:pPr>
        <w:spacing w:after="0" w:line="276" w:lineRule="auto"/>
        <w:ind w:right="709"/>
        <w:contextualSpacing/>
        <w:jc w:val="both"/>
        <w:rPr>
          <w:rFonts w:ascii="Arial" w:eastAsia="Times New Roman" w:hAnsi="Arial" w:cs="Arial"/>
          <w:bCs/>
          <w:sz w:val="21"/>
          <w:szCs w:val="21"/>
          <w:lang w:val="es-MX" w:eastAsia="es-CO"/>
        </w:rPr>
      </w:pPr>
    </w:p>
    <w:p w14:paraId="5964F421" w14:textId="4937F5BE" w:rsidR="00883C23" w:rsidRPr="006D7E12" w:rsidRDefault="00883C23" w:rsidP="00883C23">
      <w:pPr>
        <w:spacing w:after="120" w:line="276" w:lineRule="auto"/>
        <w:jc w:val="both"/>
        <w:rPr>
          <w:rFonts w:ascii="Arial" w:eastAsia="Arial" w:hAnsi="Arial" w:cs="Arial"/>
          <w:lang w:val="es-ES" w:eastAsia="es-ES" w:bidi="es-ES"/>
        </w:rPr>
      </w:pPr>
      <w:r w:rsidRPr="006D7E12">
        <w:rPr>
          <w:rFonts w:ascii="Arial" w:eastAsia="Times New Roman" w:hAnsi="Arial" w:cs="Arial"/>
          <w:bCs/>
          <w:lang w:val="es-MX" w:eastAsia="es-CO"/>
        </w:rPr>
        <w:tab/>
        <w:t>De</w:t>
      </w:r>
      <w:r w:rsidRPr="006D7E12">
        <w:rPr>
          <w:rFonts w:ascii="Arial" w:eastAsia="Arial" w:hAnsi="Arial" w:cs="Arial"/>
          <w:lang w:val="es-ES" w:eastAsia="es-ES" w:bidi="es-ES"/>
        </w:rPr>
        <w:t xml:space="preserve"> conformidad con lo anterior, </w:t>
      </w:r>
      <w:bookmarkStart w:id="17" w:name="_Hlk77236098"/>
      <w:bookmarkStart w:id="18" w:name="_Hlk100679383"/>
      <w:r w:rsidRPr="006D7E12">
        <w:rPr>
          <w:rFonts w:ascii="Arial" w:eastAsia="Arial" w:hAnsi="Arial" w:cs="Arial"/>
          <w:lang w:val="es-ES" w:eastAsia="es-ES" w:bidi="es-ES"/>
        </w:rPr>
        <w:t xml:space="preserve">la Ley de Garantías Electorales fijó una serie de regulaciones y prohibiciones dirigidas a los servidores públicos. </w:t>
      </w:r>
      <w:r w:rsidR="00244B1C" w:rsidRPr="006D7E12">
        <w:rPr>
          <w:rFonts w:ascii="Arial" w:eastAsia="Arial" w:hAnsi="Arial" w:cs="Arial"/>
          <w:lang w:val="es-ES" w:eastAsia="es-ES" w:bidi="es-ES"/>
        </w:rPr>
        <w:t>C</w:t>
      </w:r>
      <w:r w:rsidRPr="006D7E12">
        <w:rPr>
          <w:rFonts w:ascii="Arial" w:eastAsia="Arial" w:hAnsi="Arial" w:cs="Arial"/>
          <w:lang w:val="es-ES" w:eastAsia="es-ES" w:bidi="es-ES"/>
        </w:rPr>
        <w:t xml:space="preserve">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w:t>
      </w:r>
      <w:r w:rsidRPr="006D7E12">
        <w:rPr>
          <w:rFonts w:ascii="Arial" w:eastAsia="Arial" w:hAnsi="Arial" w:cs="Arial"/>
          <w:lang w:val="es-ES" w:eastAsia="es-ES" w:bidi="es-ES"/>
        </w:rPr>
        <w:lastRenderedPageBreak/>
        <w:t>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7"/>
    </w:p>
    <w:p w14:paraId="10F6791F" w14:textId="77777777" w:rsidR="00883C23" w:rsidRPr="006D7E12" w:rsidRDefault="00883C23" w:rsidP="00883C23">
      <w:pPr>
        <w:spacing w:after="120" w:line="276" w:lineRule="auto"/>
        <w:ind w:firstLine="708"/>
        <w:jc w:val="both"/>
        <w:rPr>
          <w:rFonts w:ascii="Arial" w:eastAsia="Calibri" w:hAnsi="Arial" w:cs="Arial"/>
        </w:rPr>
      </w:pPr>
      <w:r w:rsidRPr="006D7E12">
        <w:rPr>
          <w:rFonts w:ascii="Arial" w:eastAsia="Calibri" w:hAnsi="Arial" w:cs="Arial"/>
        </w:rPr>
        <w:t xml:space="preserve">Por un lado, el artículo 33 de la Ley 996 de 2005 prohíbe </w:t>
      </w:r>
      <w:r w:rsidRPr="006D7E12">
        <w:rPr>
          <w:rFonts w:ascii="Arial" w:eastAsia="Calibri" w:hAnsi="Arial" w:cs="Arial"/>
          <w:bCs/>
        </w:rPr>
        <w:t xml:space="preserve">«[…] </w:t>
      </w:r>
      <w:r w:rsidRPr="006D7E12">
        <w:rPr>
          <w:rFonts w:ascii="Arial" w:eastAsia="Calibri" w:hAnsi="Arial" w:cs="Arial"/>
        </w:rPr>
        <w:t>la contratación directa por parte de todos los entes del Estado</w:t>
      </w:r>
      <w:r w:rsidRPr="006D7E12">
        <w:rPr>
          <w:rFonts w:ascii="Arial" w:eastAsia="Calibri" w:hAnsi="Arial" w:cs="Arial"/>
          <w:bCs/>
        </w:rPr>
        <w:t>»</w:t>
      </w:r>
      <w:r w:rsidRPr="006D7E12">
        <w:rPr>
          <w:rFonts w:ascii="Arial" w:eastAsia="Calibri" w:hAnsi="Arial" w:cs="Arial"/>
        </w:rPr>
        <w:t xml:space="preserve"> durante los cuatro (4) meses anteriores a las elecciones presidenciales, salvo </w:t>
      </w:r>
      <w:r w:rsidRPr="006D7E12">
        <w:rPr>
          <w:rFonts w:ascii="Arial" w:eastAsia="Calibri" w:hAnsi="Arial" w:cs="Arial"/>
          <w:bCs/>
        </w:rPr>
        <w:t xml:space="preserve">«[…] </w:t>
      </w:r>
      <w:r w:rsidRPr="006D7E12">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D7E12">
        <w:rPr>
          <w:rFonts w:ascii="Arial" w:eastAsia="Calibri" w:hAnsi="Arial" w:cs="Arial"/>
          <w:bCs/>
        </w:rPr>
        <w:t>»</w:t>
      </w:r>
      <w:r w:rsidRPr="006D7E12">
        <w:rPr>
          <w:rFonts w:ascii="Arial" w:eastAsia="Calibri" w:hAnsi="Arial" w:cs="Arial"/>
          <w:bCs/>
          <w:vertAlign w:val="superscript"/>
        </w:rPr>
        <w:footnoteReference w:id="10"/>
      </w:r>
      <w:r w:rsidRPr="006D7E12">
        <w:rPr>
          <w:rFonts w:ascii="Arial" w:eastAsia="Calibri" w:hAnsi="Arial" w:cs="Arial"/>
        </w:rPr>
        <w:t>.</w:t>
      </w:r>
    </w:p>
    <w:p w14:paraId="5A9159A6" w14:textId="77777777" w:rsidR="00883C23" w:rsidRPr="006D7E12" w:rsidRDefault="00883C23" w:rsidP="00FF2BA2">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6D7E12">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6D7E12">
        <w:rPr>
          <w:rFonts w:ascii="Arial" w:eastAsia="Calibri" w:hAnsi="Arial" w:cs="Arial"/>
          <w:bCs/>
        </w:rPr>
        <w:t xml:space="preserve">«[…] </w:t>
      </w:r>
      <w:r w:rsidRPr="006D7E1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D7E12">
        <w:rPr>
          <w:rFonts w:ascii="Arial" w:eastAsia="Calibri" w:hAnsi="Arial" w:cs="Arial"/>
          <w:bCs/>
          <w:sz w:val="19"/>
          <w:szCs w:val="19"/>
        </w:rPr>
        <w:t>»</w:t>
      </w:r>
      <w:bookmarkEnd w:id="18"/>
      <w:r w:rsidRPr="006D7E12">
        <w:rPr>
          <w:rFonts w:ascii="Arial" w:eastAsia="Calibri" w:hAnsi="Arial" w:cs="Arial"/>
          <w:bCs/>
          <w:sz w:val="19"/>
          <w:szCs w:val="19"/>
          <w:vertAlign w:val="superscript"/>
        </w:rPr>
        <w:footnoteReference w:id="11"/>
      </w:r>
      <w:r w:rsidRPr="006D7E12">
        <w:rPr>
          <w:rFonts w:ascii="Arial" w:eastAsia="Calibri" w:hAnsi="Arial" w:cs="Arial"/>
          <w:lang w:val="es-MX"/>
        </w:rPr>
        <w:t>.</w:t>
      </w:r>
      <w:r w:rsidRPr="006D7E12">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152928C6" w14:textId="77777777" w:rsidR="00883C23" w:rsidRPr="006D7E12" w:rsidRDefault="00883C23" w:rsidP="00FF2BA2">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670DE3E2" w14:textId="77777777" w:rsidR="00883C23" w:rsidRPr="006D7E12" w:rsidRDefault="00883C23" w:rsidP="00FF2BA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w:t>
      </w:r>
      <w:r w:rsidRPr="006D7E12">
        <w:rPr>
          <w:rFonts w:ascii="Arial" w:eastAsia="Arial" w:hAnsi="Arial" w:cs="Arial"/>
          <w:sz w:val="21"/>
          <w:szCs w:val="21"/>
          <w:lang w:val="es-ES" w:eastAsia="es-ES" w:bidi="es-ES"/>
        </w:rPr>
        <w:lastRenderedPageBreak/>
        <w:t xml:space="preserve">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Pr="006D7E12">
        <w:rPr>
          <w:rFonts w:ascii="Arial" w:eastAsia="Arial" w:hAnsi="Arial" w:cs="Arial"/>
          <w:sz w:val="21"/>
          <w:szCs w:val="21"/>
          <w:lang w:val="es-ES" w:eastAsia="es-ES" w:bidi="es-ES"/>
        </w:rPr>
        <w:t>se integran parcialmente</w:t>
      </w:r>
      <w:bookmarkEnd w:id="21"/>
      <w:r w:rsidRPr="006D7E1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D7E12">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6D7E12">
        <w:rPr>
          <w:rFonts w:ascii="Arial" w:eastAsia="Arial" w:hAnsi="Arial" w:cs="Arial"/>
          <w:sz w:val="21"/>
          <w:szCs w:val="21"/>
          <w:lang w:val="es-ES" w:eastAsia="es-ES" w:bidi="es-ES"/>
        </w:rPr>
        <w:t>.</w:t>
      </w:r>
      <w:r w:rsidRPr="006D7E12">
        <w:rPr>
          <w:rFonts w:ascii="Arial" w:eastAsia="Arial" w:hAnsi="Arial" w:cs="Arial"/>
          <w:sz w:val="21"/>
          <w:szCs w:val="21"/>
          <w:vertAlign w:val="superscript"/>
          <w:lang w:val="es-ES" w:eastAsia="es-ES" w:bidi="es-ES"/>
        </w:rPr>
        <w:footnoteReference w:id="12"/>
      </w:r>
    </w:p>
    <w:p w14:paraId="1AEC3889" w14:textId="77777777" w:rsidR="00883C23" w:rsidRPr="006D7E12" w:rsidRDefault="00883C23" w:rsidP="00FF2BA2">
      <w:pPr>
        <w:widowControl w:val="0"/>
        <w:autoSpaceDE w:val="0"/>
        <w:autoSpaceDN w:val="0"/>
        <w:spacing w:after="0" w:line="276" w:lineRule="auto"/>
        <w:contextualSpacing/>
        <w:rPr>
          <w:rFonts w:ascii="Arial" w:eastAsia="Arial" w:hAnsi="Arial" w:cs="Arial"/>
          <w:lang w:val="es-ES" w:eastAsia="es-ES" w:bidi="es-ES"/>
        </w:rPr>
      </w:pPr>
    </w:p>
    <w:p w14:paraId="734194AB"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De conformidad con lo anterior, </w:t>
      </w:r>
      <w:bookmarkStart w:id="22" w:name="_Hlk77236420"/>
      <w:bookmarkStart w:id="23" w:name="_Hlk78818435"/>
      <w:bookmarkStart w:id="24" w:name="_Hlk75780333"/>
      <w:r w:rsidRPr="006D7E12">
        <w:rPr>
          <w:rFonts w:ascii="Arial" w:eastAsia="Arial" w:hAnsi="Arial" w:cs="Arial"/>
          <w:lang w:val="es-ES" w:eastAsia="es-ES" w:bidi="es-ES"/>
        </w:rPr>
        <w:t xml:space="preserve">la Ley 996 de 2005 establece dos (2) tipos de restricciones en materia de contratación, las cuales coinciden parcialmente. </w:t>
      </w:r>
      <w:r w:rsidRPr="006D7E12">
        <w:rPr>
          <w:rFonts w:ascii="Arial" w:eastAsia="Arial" w:hAnsi="Arial" w:cs="Arial"/>
          <w:i/>
          <w:iCs/>
          <w:lang w:val="es-ES" w:eastAsia="es-ES" w:bidi="es-ES"/>
        </w:rPr>
        <w:t>En primer lugar</w:t>
      </w:r>
      <w:r w:rsidRPr="006D7E1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7E12">
        <w:rPr>
          <w:rFonts w:ascii="Arial" w:eastAsia="Arial" w:hAnsi="Arial" w:cs="Arial"/>
          <w:i/>
          <w:iCs/>
          <w:lang w:val="es-ES" w:eastAsia="es-ES" w:bidi="es-ES"/>
        </w:rPr>
        <w:t>En segundo lugar</w:t>
      </w:r>
      <w:r w:rsidRPr="006D7E1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2"/>
    </w:p>
    <w:bookmarkEnd w:id="23"/>
    <w:p w14:paraId="35F1471A"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24"/>
    <w:p w14:paraId="04418857" w14:textId="77777777" w:rsidR="00883C23" w:rsidRPr="006D7E12" w:rsidRDefault="00883C23" w:rsidP="00883C23">
      <w:pPr>
        <w:spacing w:after="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w:t>
      </w:r>
      <w:r w:rsidRPr="006D7E12">
        <w:rPr>
          <w:rFonts w:ascii="Arial" w:eastAsia="Arial" w:hAnsi="Arial" w:cs="Arial"/>
          <w:lang w:val="es-ES" w:eastAsia="es-ES" w:bidi="es-ES"/>
        </w:rPr>
        <w:lastRenderedPageBreak/>
        <w:t xml:space="preserve">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118278D" w14:textId="77777777" w:rsidR="00883C23" w:rsidRPr="006D7E12" w:rsidRDefault="00883C23" w:rsidP="00883C23">
      <w:pPr>
        <w:spacing w:after="0" w:line="276" w:lineRule="auto"/>
        <w:contextualSpacing/>
        <w:jc w:val="both"/>
        <w:rPr>
          <w:rFonts w:ascii="Arial" w:eastAsia="Times New Roman" w:hAnsi="Arial" w:cs="Arial"/>
          <w:bCs/>
          <w:lang w:val="es-ES" w:eastAsia="es-CO"/>
        </w:rPr>
      </w:pPr>
    </w:p>
    <w:p w14:paraId="6CC873B5" w14:textId="77777777" w:rsidR="00C83CBC" w:rsidRPr="006D7E12" w:rsidRDefault="00883C23" w:rsidP="00C83CBC">
      <w:pPr>
        <w:spacing w:after="0" w:line="276" w:lineRule="auto"/>
        <w:contextualSpacing/>
        <w:jc w:val="both"/>
        <w:rPr>
          <w:rFonts w:ascii="Arial" w:eastAsia="Times New Roman" w:hAnsi="Arial" w:cs="Arial"/>
          <w:b/>
          <w:lang w:val="es-ES" w:eastAsia="es-CO"/>
        </w:rPr>
      </w:pPr>
      <w:r w:rsidRPr="006D7E12">
        <w:rPr>
          <w:rFonts w:ascii="Arial" w:eastAsia="Times New Roman" w:hAnsi="Arial" w:cs="Arial"/>
          <w:b/>
          <w:lang w:val="es-ES" w:eastAsia="es-CO"/>
        </w:rPr>
        <w:t xml:space="preserve">2.2. </w:t>
      </w:r>
      <w:r w:rsidRPr="006D7E12">
        <w:rPr>
          <w:rFonts w:ascii="Arial" w:eastAsia="Times New Roman" w:hAnsi="Arial" w:cs="Arial"/>
          <w:b/>
          <w:bCs/>
          <w:lang w:val="es-MX" w:eastAsia="es-CO"/>
        </w:rPr>
        <w:t>Restricciones en elecciones presidenciales</w:t>
      </w:r>
      <w:r w:rsidR="00C83CBC" w:rsidRPr="006D7E12">
        <w:rPr>
          <w:rFonts w:ascii="Arial" w:eastAsia="Times New Roman" w:hAnsi="Arial" w:cs="Arial"/>
          <w:b/>
          <w:bCs/>
          <w:lang w:val="es-MX" w:eastAsia="es-CO"/>
        </w:rPr>
        <w:t>: prohibición del artículo 33 de la Ley 996 de 2005</w:t>
      </w:r>
    </w:p>
    <w:p w14:paraId="2FE8D1C1" w14:textId="77777777" w:rsidR="00883C23" w:rsidRPr="006D7E12" w:rsidRDefault="00883C23" w:rsidP="00883C23">
      <w:pPr>
        <w:spacing w:after="0" w:line="276" w:lineRule="auto"/>
        <w:contextualSpacing/>
        <w:jc w:val="both"/>
        <w:rPr>
          <w:rFonts w:ascii="Arial" w:eastAsia="Times New Roman" w:hAnsi="Arial" w:cs="Arial"/>
          <w:bCs/>
          <w:lang w:val="es-MX" w:eastAsia="x-none"/>
        </w:rPr>
      </w:pPr>
    </w:p>
    <w:p w14:paraId="11C3B3DB" w14:textId="245EE56F" w:rsidR="00883C23" w:rsidRPr="006D7E12" w:rsidRDefault="00883C23" w:rsidP="00497B71">
      <w:pPr>
        <w:spacing w:after="0" w:line="276" w:lineRule="auto"/>
        <w:contextualSpacing/>
        <w:jc w:val="both"/>
        <w:rPr>
          <w:rFonts w:ascii="Arial" w:eastAsia="Times New Roman" w:hAnsi="Arial" w:cs="Arial"/>
          <w:bCs/>
          <w:lang w:val="es-MX" w:eastAsia="es-CO"/>
        </w:rPr>
      </w:pPr>
      <w:r w:rsidRPr="006D7E12">
        <w:rPr>
          <w:rFonts w:ascii="Arial" w:eastAsia="Times New Roman" w:hAnsi="Arial" w:cs="Arial"/>
          <w:bCs/>
          <w:lang w:val="es-MX" w:eastAsia="x-none"/>
        </w:rPr>
        <w:t xml:space="preserve">El ámbito material de la prohibición contenida </w:t>
      </w:r>
      <w:bookmarkStart w:id="25" w:name="_Hlk75628761"/>
      <w:r w:rsidRPr="006D7E12">
        <w:rPr>
          <w:rFonts w:ascii="Arial" w:eastAsia="Times New Roman" w:hAnsi="Arial" w:cs="Arial"/>
          <w:bCs/>
          <w:lang w:val="es-MX" w:eastAsia="x-none"/>
        </w:rPr>
        <w:t xml:space="preserve">en el artículo 33 de la </w:t>
      </w:r>
      <w:r w:rsidR="00F05D7E" w:rsidRPr="006D7E12">
        <w:rPr>
          <w:rFonts w:ascii="Arial" w:eastAsia="Times New Roman" w:hAnsi="Arial" w:cs="Arial"/>
          <w:bCs/>
          <w:lang w:val="es-MX" w:eastAsia="x-none"/>
        </w:rPr>
        <w:t xml:space="preserve">Ley </w:t>
      </w:r>
      <w:r w:rsidRPr="006D7E12">
        <w:rPr>
          <w:rFonts w:ascii="Arial" w:eastAsia="Times New Roman" w:hAnsi="Arial" w:cs="Arial"/>
          <w:bCs/>
          <w:lang w:val="es-MX" w:eastAsia="x-none"/>
        </w:rPr>
        <w:t xml:space="preserve">996 de 2005 </w:t>
      </w:r>
      <w:bookmarkEnd w:id="25"/>
      <w:r w:rsidRPr="006D7E12">
        <w:rPr>
          <w:rFonts w:ascii="Arial" w:eastAsia="Times New Roman" w:hAnsi="Arial" w:cs="Arial"/>
          <w:bCs/>
          <w:lang w:val="es-MX" w:eastAsia="x-none"/>
        </w:rPr>
        <w:t xml:space="preserve">está delimitado por la expresión </w:t>
      </w:r>
      <w:r w:rsidRPr="006D7E12">
        <w:rPr>
          <w:rFonts w:ascii="Arial" w:eastAsia="Calibri" w:hAnsi="Arial" w:cs="Arial"/>
          <w:bCs/>
          <w:sz w:val="20"/>
          <w:szCs w:val="20"/>
          <w:lang w:val="es-MX"/>
        </w:rPr>
        <w:t>«</w:t>
      </w:r>
      <w:r w:rsidRPr="006D7E12">
        <w:rPr>
          <w:rFonts w:ascii="Arial" w:eastAsia="Times New Roman" w:hAnsi="Arial" w:cs="Arial"/>
          <w:bCs/>
          <w:lang w:val="es-MX" w:eastAsia="x-none"/>
        </w:rPr>
        <w:t>queda prohibida la contratación directa</w:t>
      </w:r>
      <w:r w:rsidRPr="006D7E12">
        <w:rPr>
          <w:rFonts w:ascii="Arial" w:eastAsia="Calibri" w:hAnsi="Arial" w:cs="Arial"/>
          <w:sz w:val="20"/>
          <w:szCs w:val="20"/>
          <w:lang w:val="es-MX"/>
        </w:rPr>
        <w:t>»</w:t>
      </w:r>
      <w:r w:rsidRPr="006D7E12">
        <w:rPr>
          <w:rFonts w:ascii="Arial" w:eastAsia="Times New Roman" w:hAnsi="Arial" w:cs="Arial"/>
          <w:bCs/>
          <w:lang w:val="es-MX" w:eastAsia="x-none"/>
        </w:rPr>
        <w:t>.</w:t>
      </w:r>
      <w:r w:rsidRPr="006D7E12">
        <w:rPr>
          <w:rFonts w:ascii="Arial" w:eastAsia="Times New Roman" w:hAnsi="Arial" w:cs="Arial"/>
          <w:lang w:val="es-MX" w:eastAsia="es-CO"/>
        </w:rPr>
        <w:t xml:space="preserve"> A propósito de </w:t>
      </w:r>
      <w:r w:rsidRPr="006D7E12">
        <w:rPr>
          <w:rFonts w:ascii="Arial" w:eastAsia="Times New Roman" w:hAnsi="Arial" w:cs="Arial"/>
          <w:lang w:eastAsia="es-CO"/>
        </w:rPr>
        <w:t>esta restricción de la Ley de Garantías Electorales, la Sala de Consulta y Servicio Civil del Consejo de Estado ha considerado que:</w:t>
      </w:r>
    </w:p>
    <w:p w14:paraId="1BD78AC3" w14:textId="77777777" w:rsidR="00883C23" w:rsidRPr="006D7E12" w:rsidRDefault="00883C23" w:rsidP="00497B71">
      <w:pPr>
        <w:spacing w:after="0" w:line="276" w:lineRule="auto"/>
        <w:ind w:left="708" w:right="709"/>
        <w:contextualSpacing/>
        <w:jc w:val="both"/>
        <w:rPr>
          <w:rFonts w:ascii="Arial" w:eastAsia="Calibri" w:hAnsi="Arial" w:cs="Arial"/>
          <w:sz w:val="21"/>
          <w:szCs w:val="21"/>
          <w:lang w:val="es-MX"/>
        </w:rPr>
      </w:pPr>
    </w:p>
    <w:p w14:paraId="36F32924" w14:textId="557F0038" w:rsidR="00883C23" w:rsidRPr="006D7E12" w:rsidRDefault="00883C23" w:rsidP="00497B71">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D7E12">
        <w:rPr>
          <w:rFonts w:ascii="Arial" w:eastAsia="Times New Roman" w:hAnsi="Arial" w:cs="Arial"/>
          <w:vertAlign w:val="superscript"/>
          <w:lang w:eastAsia="es-CO"/>
        </w:rPr>
        <w:footnoteReference w:id="13"/>
      </w:r>
      <w:r w:rsidRPr="006D7E12">
        <w:rPr>
          <w:rFonts w:ascii="Arial" w:eastAsia="Calibri" w:hAnsi="Arial" w:cs="Arial"/>
          <w:sz w:val="21"/>
          <w:szCs w:val="21"/>
          <w:lang w:val="es-MX"/>
        </w:rPr>
        <w:t>.</w:t>
      </w:r>
    </w:p>
    <w:p w14:paraId="0438593C" w14:textId="77777777" w:rsidR="00497B71" w:rsidRPr="006D7E12" w:rsidRDefault="00497B71" w:rsidP="00497B71">
      <w:pPr>
        <w:spacing w:after="0" w:line="240" w:lineRule="auto"/>
        <w:ind w:left="709" w:right="709"/>
        <w:contextualSpacing/>
        <w:jc w:val="both"/>
        <w:rPr>
          <w:rFonts w:ascii="Arial" w:eastAsia="Calibri" w:hAnsi="Arial" w:cs="Arial"/>
          <w:sz w:val="21"/>
          <w:szCs w:val="21"/>
          <w:lang w:val="es-MX"/>
        </w:rPr>
      </w:pPr>
    </w:p>
    <w:p w14:paraId="297E1CCD" w14:textId="77777777" w:rsidR="00883C23" w:rsidRPr="006D7E12" w:rsidRDefault="00883C23" w:rsidP="00497B71">
      <w:pPr>
        <w:spacing w:after="0" w:line="240" w:lineRule="auto"/>
        <w:ind w:left="708"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28" w:name="_Hlk75741738"/>
      <w:r w:rsidRPr="006D7E12">
        <w:rPr>
          <w:rFonts w:ascii="Arial" w:eastAsia="Calibri" w:hAnsi="Arial" w:cs="Arial"/>
          <w:sz w:val="21"/>
          <w:szCs w:val="21"/>
          <w:lang w:val="es-MX"/>
        </w:rPr>
        <w:t xml:space="preserve">de cualquier sistema que no implique convocatoria pública y posibilidad de pluralidad de oferentes, </w:t>
      </w:r>
      <w:bookmarkEnd w:id="28"/>
      <w:r w:rsidRPr="006D7E12">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6D7E12">
        <w:rPr>
          <w:rFonts w:ascii="Arial" w:eastAsia="Times New Roman" w:hAnsi="Arial" w:cs="Arial"/>
          <w:sz w:val="21"/>
          <w:szCs w:val="21"/>
          <w:vertAlign w:val="superscript"/>
          <w:lang w:val="es-MX"/>
        </w:rPr>
        <w:footnoteReference w:id="14"/>
      </w:r>
      <w:r w:rsidRPr="006D7E12">
        <w:rPr>
          <w:rFonts w:ascii="Arial" w:eastAsia="Times New Roman" w:hAnsi="Arial" w:cs="Arial"/>
          <w:sz w:val="21"/>
          <w:szCs w:val="21"/>
          <w:vertAlign w:val="superscript"/>
          <w:lang w:val="es-MX"/>
        </w:rPr>
        <w:t>.</w:t>
      </w:r>
      <w:r w:rsidRPr="006D7E12">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D7E12">
        <w:rPr>
          <w:rFonts w:ascii="Arial" w:eastAsia="Times New Roman" w:hAnsi="Arial" w:cs="Arial"/>
          <w:vertAlign w:val="superscript"/>
          <w:lang w:eastAsia="es-CO"/>
        </w:rPr>
        <w:footnoteReference w:id="15"/>
      </w:r>
      <w:r w:rsidRPr="006D7E12">
        <w:rPr>
          <w:rFonts w:ascii="Arial" w:eastAsia="Calibri" w:hAnsi="Arial" w:cs="Arial"/>
          <w:sz w:val="21"/>
          <w:szCs w:val="21"/>
          <w:lang w:val="es-MX"/>
        </w:rPr>
        <w:t xml:space="preserve"> .</w:t>
      </w:r>
    </w:p>
    <w:p w14:paraId="6623AC54" w14:textId="77777777" w:rsidR="00883C23" w:rsidRPr="006D7E12" w:rsidRDefault="00883C23" w:rsidP="00497B71">
      <w:pPr>
        <w:shd w:val="clear" w:color="auto" w:fill="FFFFFF"/>
        <w:spacing w:after="0" w:line="276" w:lineRule="auto"/>
        <w:ind w:firstLine="709"/>
        <w:contextualSpacing/>
        <w:jc w:val="both"/>
        <w:rPr>
          <w:rFonts w:ascii="Arial" w:eastAsia="Times New Roman" w:hAnsi="Arial" w:cs="Arial"/>
          <w:lang w:eastAsia="x-none"/>
        </w:rPr>
      </w:pPr>
    </w:p>
    <w:p w14:paraId="0196F3C7" w14:textId="77777777" w:rsidR="00883C23" w:rsidRPr="006D7E12" w:rsidRDefault="00883C23" w:rsidP="00D90D8A">
      <w:pPr>
        <w:spacing w:after="120" w:line="276" w:lineRule="auto"/>
        <w:ind w:firstLine="709"/>
        <w:jc w:val="both"/>
        <w:rPr>
          <w:rFonts w:ascii="Arial" w:eastAsia="Times New Roman" w:hAnsi="Arial" w:cs="Arial"/>
          <w:bCs/>
          <w:lang w:eastAsia="x-none"/>
        </w:rPr>
      </w:pPr>
      <w:bookmarkStart w:id="30" w:name="_Hlk94521748"/>
      <w:r w:rsidRPr="006D7E12">
        <w:rPr>
          <w:rFonts w:ascii="Arial" w:eastAsia="Times New Roman" w:hAnsi="Arial" w:cs="Arial"/>
          <w:lang w:eastAsia="x-none"/>
        </w:rPr>
        <w:lastRenderedPageBreak/>
        <w:t xml:space="preserve">De conformidad con el citado concepto, </w:t>
      </w:r>
      <w:bookmarkStart w:id="31" w:name="_Hlk78818702"/>
      <w:r w:rsidRPr="006D7E12">
        <w:rPr>
          <w:rFonts w:ascii="Arial" w:eastAsia="Times New Roman" w:hAnsi="Arial" w:cs="Arial"/>
          <w:lang w:eastAsia="x-none"/>
        </w:rPr>
        <w:t xml:space="preserve">la prohibición del artículo 33 de la Ley de Garantías Electorales se refiere a </w:t>
      </w:r>
      <w:bookmarkStart w:id="32" w:name="_Hlk74294635"/>
      <w:r w:rsidRPr="006D7E12">
        <w:rPr>
          <w:rFonts w:ascii="Arial" w:eastAsia="Times New Roman" w:hAnsi="Arial" w:cs="Arial"/>
          <w:sz w:val="19"/>
          <w:szCs w:val="19"/>
          <w:lang w:eastAsia="en-GB"/>
        </w:rPr>
        <w:t>«</w:t>
      </w:r>
      <w:bookmarkEnd w:id="32"/>
      <w:r w:rsidRPr="006D7E12">
        <w:rPr>
          <w:rFonts w:ascii="Arial" w:eastAsia="Times New Roman" w:hAnsi="Arial" w:cs="Arial"/>
          <w:lang w:eastAsia="x-none"/>
        </w:rPr>
        <w:t>cualquier sistema que no implique convocatoria pública y posibilidad de pluralidad de oferentes</w:t>
      </w:r>
      <w:bookmarkStart w:id="33" w:name="_Hlk74404754"/>
      <w:r w:rsidRPr="006D7E12">
        <w:rPr>
          <w:rFonts w:ascii="Arial" w:eastAsia="Times New Roman" w:hAnsi="Arial" w:cs="Arial"/>
          <w:lang w:eastAsia="en-GB"/>
        </w:rPr>
        <w:t>»</w:t>
      </w:r>
      <w:bookmarkEnd w:id="33"/>
      <w:r w:rsidRPr="006D7E12">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30"/>
      <w:bookmarkEnd w:id="31"/>
      <w:r w:rsidRPr="006D7E12">
        <w:rPr>
          <w:rFonts w:ascii="Arial" w:eastAsia="Times New Roman" w:hAnsi="Arial" w:cs="Arial"/>
          <w:lang w:eastAsia="x-none"/>
        </w:rPr>
        <w:t>Esta posición es congruente con la expedición de la Ley 1150 de 2007 que, entre otras reformas, introdujo la selección abreviada, rediseñó el concurso de méritos</w:t>
      </w:r>
      <w:r w:rsidRPr="006D7E12">
        <w:rPr>
          <w:rFonts w:ascii="Arial" w:eastAsia="Times New Roman" w:hAnsi="Arial" w:cs="Arial"/>
          <w:vertAlign w:val="superscript"/>
          <w:lang w:val="en-GB" w:eastAsia="x-none"/>
        </w:rPr>
        <w:footnoteReference w:id="16"/>
      </w:r>
      <w:r w:rsidRPr="006D7E12">
        <w:rPr>
          <w:rFonts w:ascii="Arial" w:eastAsia="Times New Roman" w:hAnsi="Arial" w:cs="Arial"/>
          <w:lang w:eastAsia="x-none"/>
        </w:rPr>
        <w:t xml:space="preserve"> y sistematizó las causales de contratación directa</w:t>
      </w:r>
      <w:r w:rsidRPr="006D7E12">
        <w:rPr>
          <w:rFonts w:ascii="Arial" w:eastAsia="Times New Roman" w:hAnsi="Arial" w:cs="Arial"/>
          <w:vertAlign w:val="superscript"/>
          <w:lang w:val="en-GB" w:eastAsia="x-none"/>
        </w:rPr>
        <w:footnoteReference w:id="17"/>
      </w:r>
      <w:r w:rsidRPr="006D7E12">
        <w:rPr>
          <w:rFonts w:ascii="Arial" w:eastAsia="Times New Roman" w:hAnsi="Arial" w:cs="Arial"/>
          <w:lang w:eastAsia="x-none"/>
        </w:rPr>
        <w:t xml:space="preserve">. </w:t>
      </w:r>
    </w:p>
    <w:p w14:paraId="1712C3EE" w14:textId="77777777" w:rsidR="00883C23" w:rsidRPr="006D7E12" w:rsidRDefault="00883C23" w:rsidP="00D90D8A">
      <w:pPr>
        <w:spacing w:after="120" w:line="276" w:lineRule="auto"/>
        <w:ind w:firstLine="709"/>
        <w:jc w:val="both"/>
        <w:rPr>
          <w:rFonts w:ascii="Arial" w:eastAsia="Times New Roman" w:hAnsi="Arial" w:cs="Arial"/>
          <w:lang w:val="es-MX" w:eastAsia="x-none"/>
        </w:rPr>
      </w:pPr>
      <w:r w:rsidRPr="006D7E12">
        <w:rPr>
          <w:rFonts w:ascii="Arial" w:eastAsia="Times New Roman" w:hAnsi="Arial" w:cs="Arial"/>
          <w:lang w:eastAsia="x-none"/>
        </w:rPr>
        <w:t xml:space="preserve">De esta forma, se ha depurado la noción de </w:t>
      </w:r>
      <w:r w:rsidRPr="006D7E12">
        <w:rPr>
          <w:rFonts w:ascii="Arial" w:eastAsia="Times New Roman" w:hAnsi="Arial" w:cs="Arial"/>
          <w:sz w:val="19"/>
          <w:szCs w:val="19"/>
          <w:lang w:eastAsia="en-GB"/>
        </w:rPr>
        <w:t>«</w:t>
      </w:r>
      <w:r w:rsidRPr="006D7E12">
        <w:rPr>
          <w:rFonts w:ascii="Arial" w:eastAsia="Times New Roman" w:hAnsi="Arial" w:cs="Arial"/>
          <w:lang w:eastAsia="x-none"/>
        </w:rPr>
        <w:t>contratación directa</w:t>
      </w:r>
      <w:r w:rsidRPr="006D7E12">
        <w:rPr>
          <w:rFonts w:ascii="Arial" w:eastAsia="Times New Roman" w:hAnsi="Arial" w:cs="Arial"/>
          <w:lang w:eastAsia="en-GB"/>
        </w:rPr>
        <w:t>»</w:t>
      </w:r>
      <w:r w:rsidRPr="006D7E12">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6D7E12">
        <w:rPr>
          <w:rFonts w:ascii="Arial" w:eastAsia="Times New Roman" w:hAnsi="Arial" w:cs="Arial"/>
          <w:vertAlign w:val="superscript"/>
          <w:lang w:val="en-GB" w:eastAsia="x-none"/>
        </w:rPr>
        <w:footnoteReference w:id="18"/>
      </w:r>
      <w:r w:rsidRPr="006D7E12">
        <w:rPr>
          <w:rFonts w:ascii="Arial" w:eastAsia="Times New Roman" w:hAnsi="Arial" w:cs="Arial"/>
          <w:lang w:eastAsia="x-none"/>
        </w:rPr>
        <w:t>, han establecido sistemas de contratación que implican convocatoria pública y participación de varios oferentes</w:t>
      </w:r>
      <w:r w:rsidRPr="006D7E12">
        <w:rPr>
          <w:rFonts w:ascii="Arial" w:eastAsia="Times New Roman" w:hAnsi="Arial" w:cs="Arial"/>
          <w:lang w:eastAsia="en-GB"/>
        </w:rPr>
        <w:t>»</w:t>
      </w:r>
      <w:r w:rsidRPr="006D7E12">
        <w:rPr>
          <w:rFonts w:ascii="Arial" w:eastAsia="Times New Roman" w:hAnsi="Arial" w:cs="Arial"/>
          <w:lang w:eastAsia="x-none"/>
        </w:rPr>
        <w:t xml:space="preserve">. </w:t>
      </w:r>
    </w:p>
    <w:p w14:paraId="45F34280" w14:textId="77777777"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E</w:t>
      </w:r>
      <w:r w:rsidRPr="006D7E12">
        <w:rPr>
          <w:rFonts w:ascii="Arial" w:eastAsia="Times New Roman" w:hAnsi="Arial" w:cs="Arial"/>
          <w:lang w:eastAsia="x-none"/>
        </w:rPr>
        <w:t xml:space="preserve">n efecto, vale la pena mencionar que, </w:t>
      </w:r>
      <w:bookmarkStart w:id="35" w:name="_Hlk75636073"/>
      <w:r w:rsidRPr="006D7E12">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5"/>
      <w:r w:rsidRPr="006D7E12">
        <w:rPr>
          <w:rFonts w:ascii="Arial" w:eastAsia="Times New Roman" w:hAnsi="Arial" w:cs="Arial"/>
          <w:vertAlign w:val="superscript"/>
          <w:lang w:eastAsia="x-none"/>
        </w:rPr>
        <w:footnoteReference w:id="19"/>
      </w:r>
      <w:r w:rsidRPr="006D7E12">
        <w:rPr>
          <w:rFonts w:ascii="Arial" w:eastAsia="Times New Roman" w:hAnsi="Arial" w:cs="Arial"/>
          <w:lang w:eastAsia="x-none"/>
        </w:rPr>
        <w:t xml:space="preserve">. </w:t>
      </w:r>
    </w:p>
    <w:p w14:paraId="204B00F5" w14:textId="66932824"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w:t>
      </w:r>
      <w:r w:rsidR="00F2080B" w:rsidRPr="006D7E12">
        <w:rPr>
          <w:rFonts w:ascii="Arial" w:eastAsia="Times New Roman" w:hAnsi="Arial" w:cs="Arial"/>
          <w:bCs/>
          <w:lang w:val="es-MX" w:eastAsia="es-CO"/>
        </w:rPr>
        <w:t xml:space="preserve"> Electorales</w:t>
      </w:r>
      <w:r w:rsidRPr="006D7E12">
        <w:rPr>
          <w:rFonts w:ascii="Arial" w:eastAsia="Times New Roman" w:hAnsi="Arial" w:cs="Arial"/>
          <w:bCs/>
          <w:lang w:val="es-MX" w:eastAsia="es-CO"/>
        </w:rPr>
        <w:t xml:space="preserve">, al señalar que no solo aplica frente a las entidades sometidas al Estatuto </w:t>
      </w:r>
      <w:r w:rsidR="00F820CB" w:rsidRPr="006D7E12">
        <w:rPr>
          <w:rFonts w:ascii="Arial" w:eastAsia="Times New Roman" w:hAnsi="Arial" w:cs="Arial"/>
          <w:bCs/>
          <w:lang w:val="es-MX" w:eastAsia="es-CO"/>
        </w:rPr>
        <w:t xml:space="preserve">General </w:t>
      </w:r>
      <w:r w:rsidRPr="006D7E12">
        <w:rPr>
          <w:rFonts w:ascii="Arial" w:eastAsia="Times New Roman" w:hAnsi="Arial" w:cs="Arial"/>
          <w:bCs/>
          <w:lang w:val="es-MX" w:eastAsia="es-CO"/>
        </w:rPr>
        <w:t xml:space="preserve">de Contratación de la Administración Pública, sino también frente a las entidades que tengan un régimen especial de contratación. No obstante, también se observa </w:t>
      </w:r>
      <w:r w:rsidRPr="006D7E12">
        <w:rPr>
          <w:rFonts w:ascii="Arial" w:eastAsia="Times New Roman" w:hAnsi="Arial" w:cs="Arial"/>
          <w:bCs/>
          <w:lang w:val="es-MX" w:eastAsia="es-CO"/>
        </w:rPr>
        <w:lastRenderedPageBreak/>
        <w:t>que luego de la expedición de Ley 1150 de 2007, el Consejo de Estado comenzó a delimitar con mayor precisión el término de «contratación directa».</w:t>
      </w:r>
    </w:p>
    <w:p w14:paraId="787067B4" w14:textId="02DB6001" w:rsidR="00883C23" w:rsidRPr="006D7E12" w:rsidRDefault="00883C23" w:rsidP="00D90D8A">
      <w:pPr>
        <w:spacing w:after="120" w:line="276" w:lineRule="auto"/>
        <w:ind w:firstLine="709"/>
        <w:jc w:val="both"/>
        <w:rPr>
          <w:rFonts w:ascii="Arial" w:eastAsia="Times New Roman" w:hAnsi="Arial" w:cs="Arial"/>
          <w:bCs/>
          <w:lang w:val="es-MX" w:eastAsia="x-none"/>
        </w:rPr>
      </w:pPr>
      <w:bookmarkStart w:id="36" w:name="_Hlk78818796"/>
      <w:r w:rsidRPr="006D7E12">
        <w:rPr>
          <w:rFonts w:ascii="Arial" w:eastAsia="Times New Roman" w:hAnsi="Arial" w:cs="Arial"/>
          <w:bCs/>
          <w:lang w:val="es-MX" w:eastAsia="x-none"/>
        </w:rPr>
        <w:t xml:space="preserve"> Así las cosas, </w:t>
      </w:r>
      <w:bookmarkStart w:id="37" w:name="_Hlk99577798"/>
      <w:r w:rsidRPr="006D7E12">
        <w:rPr>
          <w:rFonts w:ascii="Arial" w:eastAsia="Times New Roman" w:hAnsi="Arial" w:cs="Arial"/>
          <w:bCs/>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7E12">
        <w:rPr>
          <w:rFonts w:ascii="Arial" w:eastAsia="Times New Roman" w:hAnsi="Arial" w:cs="Arial"/>
          <w:vertAlign w:val="superscript"/>
          <w:lang w:eastAsia="x-none"/>
        </w:rPr>
        <w:footnoteReference w:id="20"/>
      </w:r>
      <w:r w:rsidRPr="006D7E12">
        <w:rPr>
          <w:rFonts w:ascii="Arial" w:eastAsia="Times New Roman" w:hAnsi="Arial" w:cs="Arial"/>
          <w:bCs/>
          <w:lang w:val="es-MX" w:eastAsia="x-none"/>
        </w:rPr>
        <w:t>.</w:t>
      </w:r>
      <w:r w:rsidRPr="006D7E12">
        <w:rPr>
          <w:rFonts w:ascii="Arial" w:eastAsia="Times New Roman" w:hAnsi="Arial" w:cs="Arial"/>
          <w:vertAlign w:val="superscript"/>
          <w:lang w:eastAsia="x-none"/>
        </w:rPr>
        <w:t xml:space="preserve"> </w:t>
      </w:r>
    </w:p>
    <w:bookmarkEnd w:id="36"/>
    <w:p w14:paraId="0B476725" w14:textId="34FEC202" w:rsidR="00883C23" w:rsidRPr="006D7E12" w:rsidRDefault="00883C23" w:rsidP="00D90D8A">
      <w:pPr>
        <w:spacing w:after="120" w:line="276" w:lineRule="auto"/>
        <w:ind w:firstLine="709"/>
        <w:jc w:val="both"/>
        <w:rPr>
          <w:rFonts w:ascii="Arial" w:eastAsia="Times New Roman" w:hAnsi="Arial" w:cs="Arial"/>
          <w:lang w:eastAsia="x-none"/>
        </w:rPr>
      </w:pPr>
      <w:r w:rsidRPr="006D7E12">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7E12">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w:t>
      </w:r>
      <w:r w:rsidR="007D7A6D" w:rsidRPr="006D7E12">
        <w:rPr>
          <w:rFonts w:ascii="Arial" w:eastAsia="Times New Roman" w:hAnsi="Arial" w:cs="Arial"/>
          <w:lang w:eastAsia="x-none"/>
        </w:rPr>
        <w:t xml:space="preserve"> pueden</w:t>
      </w:r>
      <w:r w:rsidRPr="006D7E12">
        <w:rPr>
          <w:rFonts w:ascii="Arial" w:eastAsia="Times New Roman" w:hAnsi="Arial" w:cs="Arial"/>
          <w:lang w:eastAsia="x-none"/>
        </w:rPr>
        <w:t xml:space="preserve"> seguir contratando bajo estos sistemas.</w:t>
      </w:r>
    </w:p>
    <w:p w14:paraId="4D4CA891" w14:textId="77777777" w:rsidR="00883C23" w:rsidRPr="006D7E12" w:rsidRDefault="00883C23" w:rsidP="00D90D8A">
      <w:pPr>
        <w:spacing w:after="120" w:line="276" w:lineRule="auto"/>
        <w:ind w:firstLine="709"/>
        <w:jc w:val="both"/>
        <w:rPr>
          <w:rFonts w:ascii="Arial" w:eastAsia="Times New Roman" w:hAnsi="Arial" w:cs="Arial"/>
          <w:bCs/>
          <w:lang w:val="es-MX" w:eastAsia="x-none"/>
        </w:rPr>
      </w:pPr>
      <w:bookmarkStart w:id="38" w:name="_Hlk77237094"/>
      <w:bookmarkEnd w:id="37"/>
      <w:r w:rsidRPr="006D7E12">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8"/>
    </w:p>
    <w:p w14:paraId="10EBB060" w14:textId="2C6590AF"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 xml:space="preserve">De otro lado, </w:t>
      </w:r>
      <w:bookmarkStart w:id="39" w:name="_Hlk99577887"/>
      <w:bookmarkStart w:id="40" w:name="_Hlk100679762"/>
      <w:r w:rsidRPr="006D7E12">
        <w:rPr>
          <w:rFonts w:ascii="Arial" w:eastAsia="Times New Roman" w:hAnsi="Arial" w:cs="Arial"/>
          <w:bCs/>
          <w:lang w:val="es-MX" w:eastAsia="x-none"/>
        </w:rPr>
        <w:t>las excepciones a la restricción prevista en la Ley de Garantías</w:t>
      </w:r>
      <w:r w:rsidR="00174706" w:rsidRPr="006D7E12">
        <w:rPr>
          <w:rFonts w:ascii="Arial" w:eastAsia="Times New Roman" w:hAnsi="Arial" w:cs="Arial"/>
          <w:bCs/>
          <w:lang w:val="es-MX" w:eastAsia="x-none"/>
        </w:rPr>
        <w:t xml:space="preserve"> Electorales</w:t>
      </w:r>
      <w:r w:rsidRPr="006D7E12">
        <w:rPr>
          <w:rFonts w:ascii="Arial" w:eastAsia="Times New Roman" w:hAnsi="Arial" w:cs="Arial"/>
          <w:bCs/>
          <w:lang w:val="es-MX" w:eastAsia="x-none"/>
        </w:rPr>
        <w:t>,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sidR="00DF5A9D" w:rsidRPr="006D7E12">
        <w:rPr>
          <w:rFonts w:ascii="Arial" w:eastAsia="Times New Roman" w:hAnsi="Arial" w:cs="Arial"/>
          <w:bCs/>
          <w:lang w:val="es-MX" w:eastAsia="x-none"/>
        </w:rPr>
        <w:t>:</w:t>
      </w:r>
      <w:r w:rsidRPr="006D7E12">
        <w:rPr>
          <w:rFonts w:ascii="Arial" w:eastAsia="Times New Roman" w:hAnsi="Arial" w:cs="Arial"/>
          <w:bCs/>
          <w:lang w:val="es-MX" w:eastAsia="x-none"/>
        </w:rPr>
        <w:t xml:space="preserve"> i) la defensa y seguridad del Estado; </w:t>
      </w:r>
      <w:proofErr w:type="spellStart"/>
      <w:r w:rsidRPr="006D7E12">
        <w:rPr>
          <w:rFonts w:ascii="Arial" w:eastAsia="Times New Roman" w:hAnsi="Arial" w:cs="Arial"/>
          <w:bCs/>
          <w:lang w:val="es-MX" w:eastAsia="x-none"/>
        </w:rPr>
        <w:t>ii</w:t>
      </w:r>
      <w:proofErr w:type="spellEnd"/>
      <w:r w:rsidRPr="006D7E12">
        <w:rPr>
          <w:rFonts w:ascii="Arial" w:eastAsia="Times New Roman" w:hAnsi="Arial" w:cs="Arial"/>
          <w:bCs/>
          <w:lang w:val="es-MX" w:eastAsia="x-none"/>
        </w:rPr>
        <w:t xml:space="preserve">) los contratos de crédito público; </w:t>
      </w:r>
      <w:proofErr w:type="spellStart"/>
      <w:r w:rsidRPr="006D7E12">
        <w:rPr>
          <w:rFonts w:ascii="Arial" w:eastAsia="Times New Roman" w:hAnsi="Arial" w:cs="Arial"/>
          <w:bCs/>
          <w:lang w:val="es-MX" w:eastAsia="x-none"/>
        </w:rPr>
        <w:t>iii</w:t>
      </w:r>
      <w:proofErr w:type="spellEnd"/>
      <w:r w:rsidRPr="006D7E12">
        <w:rPr>
          <w:rFonts w:ascii="Arial" w:eastAsia="Times New Roman" w:hAnsi="Arial" w:cs="Arial"/>
          <w:bCs/>
          <w:lang w:val="es-MX" w:eastAsia="x-none"/>
        </w:rPr>
        <w:t xml:space="preserve">) los requeridos para cubrir las emergencias educativas, sanitarias y desastres; </w:t>
      </w:r>
      <w:proofErr w:type="spellStart"/>
      <w:r w:rsidRPr="006D7E12">
        <w:rPr>
          <w:rFonts w:ascii="Arial" w:eastAsia="Times New Roman" w:hAnsi="Arial" w:cs="Arial"/>
          <w:bCs/>
          <w:lang w:val="es-MX" w:eastAsia="x-none"/>
        </w:rPr>
        <w:t>iv</w:t>
      </w:r>
      <w:proofErr w:type="spellEnd"/>
      <w:r w:rsidRPr="006D7E12">
        <w:rPr>
          <w:rFonts w:ascii="Arial" w:eastAsia="Times New Roman" w:hAnsi="Arial"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7E12">
        <w:rPr>
          <w:rFonts w:ascii="Arial" w:eastAsia="Times New Roman" w:hAnsi="Arial" w:cs="Arial"/>
          <w:bCs/>
          <w:lang w:val="es-MX" w:eastAsia="es-CO"/>
        </w:rPr>
        <w:t xml:space="preserve"> </w:t>
      </w:r>
      <w:r w:rsidR="007D7A6D" w:rsidRPr="006D7E12">
        <w:rPr>
          <w:rFonts w:ascii="Arial" w:eastAsia="Times New Roman" w:hAnsi="Arial" w:cs="Arial"/>
          <w:bCs/>
          <w:lang w:val="es-MX" w:eastAsia="es-CO"/>
        </w:rPr>
        <w:t>E</w:t>
      </w:r>
      <w:r w:rsidRPr="006D7E12">
        <w:rPr>
          <w:rFonts w:ascii="Arial" w:eastAsia="Times New Roman" w:hAnsi="Arial" w:cs="Arial"/>
          <w:bCs/>
          <w:lang w:val="es-MX"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9"/>
    </w:p>
    <w:bookmarkEnd w:id="40"/>
    <w:p w14:paraId="3CDA035B" w14:textId="64863E82" w:rsidR="00883C23" w:rsidRPr="006D7E12" w:rsidRDefault="00883C23" w:rsidP="00883C23">
      <w:pPr>
        <w:spacing w:after="0" w:line="276" w:lineRule="auto"/>
        <w:ind w:firstLine="708"/>
        <w:jc w:val="both"/>
        <w:rPr>
          <w:rFonts w:ascii="Arial" w:eastAsia="Times New Roman" w:hAnsi="Arial" w:cs="Arial"/>
          <w:bCs/>
          <w:lang w:val="es-MX" w:eastAsia="x-none"/>
        </w:rPr>
      </w:pPr>
      <w:r w:rsidRPr="006D7E12">
        <w:rPr>
          <w:rFonts w:ascii="Arial" w:eastAsia="Times New Roman" w:hAnsi="Arial" w:cs="Arial"/>
          <w:bCs/>
          <w:lang w:val="es-MX" w:eastAsia="x-none"/>
        </w:rPr>
        <w:lastRenderedPageBreak/>
        <w:t>En esta labor es importante tener en cuenta, como lo anotó la Corte Constitucional, en Sentencia C-1153 de noviembre 11 de 2005</w:t>
      </w:r>
      <w:r w:rsidR="00F04513" w:rsidRPr="006D7E12">
        <w:rPr>
          <w:rFonts w:ascii="Calibri" w:eastAsia="Calibri" w:hAnsi="Calibri" w:cs="Times New Roman"/>
          <w:sz w:val="24"/>
          <w:lang w:val="es-MX"/>
        </w:rPr>
        <w:t>,</w:t>
      </w:r>
      <w:r w:rsidRPr="006D7E12">
        <w:rPr>
          <w:rFonts w:ascii="Arial" w:eastAsia="Times New Roman" w:hAnsi="Arial" w:cs="Arial"/>
          <w:bCs/>
          <w:lang w:val="es-MX" w:eastAsia="x-none"/>
        </w:rPr>
        <w:t xml:space="preserve"> </w:t>
      </w:r>
      <w:bookmarkStart w:id="41" w:name="_Hlk74309042"/>
      <w:r w:rsidRPr="006D7E12">
        <w:rPr>
          <w:rFonts w:ascii="Arial" w:eastAsia="Times New Roman" w:hAnsi="Arial" w:cs="Arial"/>
          <w:bCs/>
          <w:lang w:val="es-MX" w:eastAsia="x-none"/>
        </w:rPr>
        <w:t>que «</w:t>
      </w:r>
      <w:bookmarkEnd w:id="41"/>
      <w:r w:rsidRPr="006D7E12">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42" w:name="_Hlk75768308"/>
      <w:r w:rsidRPr="006D7E12">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43" w:name="_Hlk74309060"/>
      <w:r w:rsidRPr="006D7E12">
        <w:rPr>
          <w:rFonts w:ascii="Arial" w:eastAsia="Times New Roman" w:hAnsi="Arial" w:cs="Arial"/>
          <w:bCs/>
          <w:lang w:val="es-MX" w:eastAsia="x-none"/>
        </w:rPr>
        <w:t>»</w:t>
      </w:r>
      <w:bookmarkEnd w:id="43"/>
      <w:r w:rsidRPr="006D7E12">
        <w:rPr>
          <w:rFonts w:ascii="Arial" w:eastAsia="Calibri" w:hAnsi="Arial" w:cs="Arial"/>
          <w:vertAlign w:val="superscript"/>
          <w:lang w:val="es-MX"/>
        </w:rPr>
        <w:footnoteReference w:id="21"/>
      </w:r>
      <w:r w:rsidRPr="006D7E12">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4" w:name="_Hlk75783800"/>
      <w:bookmarkEnd w:id="42"/>
    </w:p>
    <w:p w14:paraId="12BF818B" w14:textId="77777777" w:rsidR="00883C23" w:rsidRPr="006D7E12" w:rsidRDefault="00883C23" w:rsidP="00883C23">
      <w:pPr>
        <w:spacing w:after="0" w:line="276" w:lineRule="auto"/>
        <w:ind w:firstLine="708"/>
        <w:jc w:val="both"/>
        <w:rPr>
          <w:rFonts w:ascii="Arial" w:eastAsia="Times New Roman" w:hAnsi="Arial" w:cs="Arial"/>
          <w:bCs/>
          <w:lang w:val="es-MX" w:eastAsia="x-none"/>
        </w:rPr>
      </w:pPr>
    </w:p>
    <w:p w14:paraId="57D96FE9" w14:textId="77777777" w:rsidR="00883C23" w:rsidRPr="006D7E12" w:rsidRDefault="00883C23" w:rsidP="00883C23">
      <w:pPr>
        <w:spacing w:after="0" w:line="276" w:lineRule="auto"/>
        <w:jc w:val="both"/>
        <w:rPr>
          <w:rFonts w:ascii="Arial" w:eastAsia="Times New Roman" w:hAnsi="Arial" w:cs="Arial"/>
          <w:b/>
          <w:lang w:val="es-MX" w:eastAsia="x-none"/>
        </w:rPr>
      </w:pPr>
      <w:r w:rsidRPr="006D7E12">
        <w:rPr>
          <w:rFonts w:ascii="Arial" w:eastAsia="Times New Roman" w:hAnsi="Arial" w:cs="Arial"/>
          <w:b/>
          <w:lang w:val="es-MX" w:eastAsia="x-none"/>
        </w:rPr>
        <w:t>2.3.  Destinatarios de la restricción del artículo 33 de la Ley 996 de 2005</w:t>
      </w:r>
    </w:p>
    <w:p w14:paraId="4BA7233F" w14:textId="77777777" w:rsidR="00883C23" w:rsidRPr="006D7E12" w:rsidRDefault="00883C23" w:rsidP="00883C23">
      <w:pPr>
        <w:spacing w:after="0" w:line="276" w:lineRule="auto"/>
        <w:jc w:val="both"/>
        <w:rPr>
          <w:rFonts w:ascii="Arial" w:eastAsia="Times New Roman" w:hAnsi="Arial" w:cs="Arial"/>
          <w:bCs/>
          <w:lang w:val="es-MX" w:eastAsia="x-none"/>
        </w:rPr>
      </w:pPr>
    </w:p>
    <w:p w14:paraId="66000D6A" w14:textId="0B7C7334" w:rsidR="00883C23" w:rsidRPr="006D7E12" w:rsidRDefault="00883C23" w:rsidP="00883C23">
      <w:pPr>
        <w:spacing w:after="0" w:line="276" w:lineRule="auto"/>
        <w:jc w:val="both"/>
        <w:rPr>
          <w:rFonts w:ascii="Arial" w:eastAsia="Times New Roman" w:hAnsi="Arial" w:cs="Arial"/>
          <w:bCs/>
          <w:lang w:val="es-MX" w:eastAsia="x-none"/>
        </w:rPr>
      </w:pPr>
      <w:bookmarkStart w:id="45" w:name="_Hlk99578018"/>
      <w:r w:rsidRPr="006D7E12">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 xml:space="preserve">En efecto, como ha sostenido el Consejo de Estado, el vocablo </w:t>
      </w:r>
      <w:bookmarkStart w:id="46" w:name="_Hlk75632581"/>
      <w:r w:rsidRPr="006D7E12">
        <w:rPr>
          <w:rFonts w:ascii="Arial" w:eastAsia="Times New Roman" w:hAnsi="Arial" w:cs="Arial"/>
          <w:bCs/>
          <w:lang w:val="es-MX" w:eastAsia="x-none"/>
        </w:rPr>
        <w:t>«</w:t>
      </w:r>
      <w:bookmarkEnd w:id="46"/>
      <w:r w:rsidRPr="006D7E12">
        <w:rPr>
          <w:rFonts w:ascii="Arial" w:eastAsia="Times New Roman" w:hAnsi="Arial" w:cs="Arial"/>
          <w:bCs/>
          <w:lang w:val="es-MX" w:eastAsia="x-none"/>
        </w:rPr>
        <w:t>todos» utilizado por el legislador comprende</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44"/>
      <w:r w:rsidRPr="006D7E12">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45"/>
      <w:r w:rsidRPr="006D7E12">
        <w:rPr>
          <w:rFonts w:ascii="Arial" w:eastAsia="Times New Roman" w:hAnsi="Arial" w:cs="Arial"/>
          <w:bCs/>
          <w:lang w:val="es-MX" w:eastAsia="x-none"/>
        </w:rPr>
        <w:t xml:space="preserve">El Consejo de Estado, en Concepto con radicado 1727 de fecha 20 de febrero de 2006, consideró que: </w:t>
      </w:r>
    </w:p>
    <w:p w14:paraId="2B0F7A12" w14:textId="77777777" w:rsidR="00883C23" w:rsidRPr="006D7E12" w:rsidRDefault="00883C23" w:rsidP="00883C23">
      <w:pPr>
        <w:spacing w:after="0" w:line="276" w:lineRule="auto"/>
        <w:ind w:firstLine="708"/>
        <w:contextualSpacing/>
        <w:jc w:val="both"/>
        <w:rPr>
          <w:rFonts w:ascii="Arial" w:eastAsia="Times New Roman" w:hAnsi="Arial" w:cs="Arial"/>
          <w:bCs/>
          <w:lang w:val="es-MX" w:eastAsia="x-none"/>
        </w:rPr>
      </w:pPr>
    </w:p>
    <w:p w14:paraId="0BCAC0DC" w14:textId="77777777" w:rsidR="00883C23" w:rsidRPr="006D7E12" w:rsidRDefault="00883C23" w:rsidP="00883C23">
      <w:pPr>
        <w:spacing w:after="0" w:line="240" w:lineRule="auto"/>
        <w:ind w:left="708"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x-none"/>
        </w:rPr>
        <w:t xml:space="preserve">El artículo 33 de la ley 996 de 2005, </w:t>
      </w:r>
      <w:bookmarkStart w:id="47" w:name="_Hlk75787147"/>
      <w:r w:rsidRPr="006D7E12">
        <w:rPr>
          <w:rFonts w:ascii="Arial" w:eastAsia="Times New Roman" w:hAnsi="Arial" w:cs="Arial"/>
          <w:bCs/>
          <w:sz w:val="21"/>
          <w:szCs w:val="21"/>
          <w:lang w:val="es-MX" w:eastAsia="x-none"/>
        </w:rPr>
        <w:t xml:space="preserve">efectivamente se aplica </w:t>
      </w:r>
      <w:bookmarkStart w:id="48" w:name="_Hlk76074089"/>
      <w:r w:rsidRPr="006D7E12">
        <w:rPr>
          <w:rFonts w:ascii="Arial" w:eastAsia="Times New Roman"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48"/>
      <w:r w:rsidRPr="006D7E12">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D7E12">
        <w:rPr>
          <w:rFonts w:ascii="Arial" w:eastAsia="Times New Roman" w:hAnsi="Arial" w:cs="Arial"/>
          <w:bCs/>
          <w:sz w:val="21"/>
          <w:szCs w:val="21"/>
          <w:vertAlign w:val="superscript"/>
          <w:lang w:val="es-MX" w:eastAsia="x-none"/>
        </w:rPr>
        <w:footnoteReference w:id="22"/>
      </w:r>
      <w:r w:rsidRPr="006D7E12">
        <w:rPr>
          <w:rFonts w:ascii="Arial" w:eastAsia="Times New Roman" w:hAnsi="Arial" w:cs="Arial"/>
          <w:bCs/>
          <w:sz w:val="21"/>
          <w:szCs w:val="21"/>
          <w:lang w:val="es-MX" w:eastAsia="x-none"/>
        </w:rPr>
        <w:t>.</w:t>
      </w:r>
      <w:r w:rsidRPr="006D7E12">
        <w:rPr>
          <w:rFonts w:ascii="Arial" w:eastAsia="Times New Roman" w:hAnsi="Arial" w:cs="Arial"/>
          <w:bCs/>
          <w:sz w:val="21"/>
          <w:szCs w:val="21"/>
          <w:lang w:val="es-MX" w:eastAsia="es-CO"/>
        </w:rPr>
        <w:t xml:space="preserve"> </w:t>
      </w:r>
    </w:p>
    <w:p w14:paraId="7C5573DC" w14:textId="77777777" w:rsidR="00883C23" w:rsidRPr="006D7E12" w:rsidRDefault="00883C23" w:rsidP="00883C23">
      <w:pPr>
        <w:spacing w:after="0" w:line="276" w:lineRule="auto"/>
        <w:ind w:firstLine="708"/>
        <w:contextualSpacing/>
        <w:jc w:val="both"/>
        <w:rPr>
          <w:rFonts w:ascii="Arial" w:eastAsia="Times New Roman" w:hAnsi="Arial" w:cs="Arial"/>
          <w:bCs/>
          <w:lang w:val="es-MX" w:eastAsia="es-CO"/>
        </w:rPr>
      </w:pPr>
    </w:p>
    <w:p w14:paraId="754ACB1C" w14:textId="77777777" w:rsidR="00883C23" w:rsidRPr="006D7E12" w:rsidRDefault="00883C23" w:rsidP="00883C23">
      <w:pPr>
        <w:spacing w:after="0" w:line="276" w:lineRule="auto"/>
        <w:ind w:firstLine="708"/>
        <w:contextualSpacing/>
        <w:jc w:val="both"/>
        <w:rPr>
          <w:rFonts w:ascii="Arial" w:eastAsia="Calibri" w:hAnsi="Arial" w:cs="Arial"/>
          <w:lang w:val="es-MX"/>
        </w:rPr>
      </w:pPr>
      <w:r w:rsidRPr="006D7E12">
        <w:rPr>
          <w:rFonts w:ascii="Arial" w:eastAsia="Times New Roman" w:hAnsi="Arial" w:cs="Arial"/>
          <w:bCs/>
          <w:lang w:val="es-MX" w:eastAsia="x-none"/>
        </w:rPr>
        <w:lastRenderedPageBreak/>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9" w:name="_Hlk75635823"/>
      <w:r w:rsidRPr="006D7E12">
        <w:rPr>
          <w:rFonts w:ascii="Arial" w:eastAsia="Times New Roman" w:hAnsi="Arial" w:cs="Arial"/>
          <w:bCs/>
          <w:lang w:val="es-MX" w:eastAsia="x-none"/>
        </w:rPr>
        <w:t>»</w:t>
      </w:r>
      <w:bookmarkStart w:id="50" w:name="_Hlk75758868"/>
      <w:bookmarkStart w:id="51" w:name="_Hlk75741220"/>
      <w:bookmarkEnd w:id="49"/>
      <w:r w:rsidRPr="006D7E12">
        <w:rPr>
          <w:rFonts w:ascii="Arial" w:eastAsia="Calibri" w:hAnsi="Arial" w:cs="Arial"/>
          <w:sz w:val="24"/>
          <w:vertAlign w:val="superscript"/>
          <w:lang w:val="es-MX"/>
        </w:rPr>
        <w:footnoteReference w:id="23"/>
      </w:r>
      <w:bookmarkEnd w:id="50"/>
      <w:bookmarkEnd w:id="51"/>
      <w:r w:rsidRPr="006D7E12">
        <w:rPr>
          <w:rFonts w:ascii="Arial" w:eastAsia="Times New Roman" w:hAnsi="Arial" w:cs="Arial"/>
          <w:bCs/>
          <w:lang w:val="es-MX" w:eastAsia="x-none"/>
        </w:rPr>
        <w:t>.</w:t>
      </w:r>
      <w:r w:rsidRPr="006D7E12">
        <w:rPr>
          <w:rFonts w:ascii="Arial" w:eastAsia="Calibri" w:hAnsi="Arial" w:cs="Arial"/>
          <w:lang w:val="es-MX"/>
        </w:rPr>
        <w:t xml:space="preserve"> Sin embargo, debe precisarse el siguiente aspecto que distinguió la Sala de Consulta y Servicio Civil:</w:t>
      </w:r>
    </w:p>
    <w:p w14:paraId="515EEBAE" w14:textId="77777777" w:rsidR="00883C23" w:rsidRPr="006D7E12" w:rsidRDefault="00883C23" w:rsidP="00883C23">
      <w:pPr>
        <w:spacing w:after="0" w:line="276" w:lineRule="auto"/>
        <w:contextualSpacing/>
        <w:jc w:val="both"/>
        <w:rPr>
          <w:rFonts w:ascii="Arial" w:eastAsia="Calibri" w:hAnsi="Arial" w:cs="Arial"/>
          <w:lang w:val="es-MX"/>
        </w:rPr>
      </w:pPr>
    </w:p>
    <w:p w14:paraId="41844B73" w14:textId="77777777" w:rsidR="00883C23" w:rsidRPr="006D7E12" w:rsidRDefault="00883C23" w:rsidP="00883C23">
      <w:pPr>
        <w:spacing w:after="0" w:line="240" w:lineRule="auto"/>
        <w:ind w:left="708" w:right="709"/>
        <w:contextualSpacing/>
        <w:jc w:val="both"/>
        <w:rPr>
          <w:rFonts w:ascii="Arial" w:eastAsia="Calibri" w:hAnsi="Arial" w:cs="Arial"/>
          <w:sz w:val="21"/>
          <w:szCs w:val="21"/>
          <w:lang w:val="es-MX"/>
        </w:rPr>
      </w:pPr>
      <w:bookmarkStart w:id="53" w:name="_Hlk75811446"/>
      <w:r w:rsidRPr="006D7E12">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3"/>
      <w:r w:rsidRPr="006D7E12">
        <w:rPr>
          <w:rFonts w:ascii="Arial" w:eastAsia="Calibri" w:hAnsi="Arial" w:cs="Arial"/>
          <w:sz w:val="24"/>
          <w:vertAlign w:val="superscript"/>
          <w:lang w:val="es-MX"/>
        </w:rPr>
        <w:footnoteReference w:id="24"/>
      </w:r>
      <w:r w:rsidRPr="006D7E12">
        <w:rPr>
          <w:rFonts w:ascii="Arial" w:eastAsia="Times New Roman" w:hAnsi="Arial" w:cs="Arial"/>
          <w:bCs/>
          <w:lang w:val="es-MX" w:eastAsia="x-none"/>
        </w:rPr>
        <w:t>.</w:t>
      </w:r>
    </w:p>
    <w:p w14:paraId="0B4F616F" w14:textId="77777777" w:rsidR="00883C23" w:rsidRPr="006D7E12" w:rsidRDefault="00883C23" w:rsidP="00883C23">
      <w:pPr>
        <w:spacing w:after="0" w:line="276" w:lineRule="auto"/>
        <w:contextualSpacing/>
        <w:jc w:val="both"/>
        <w:rPr>
          <w:rFonts w:ascii="Arial" w:eastAsia="Calibri" w:hAnsi="Arial" w:cs="Arial"/>
          <w:lang w:val="es-MX"/>
        </w:rPr>
      </w:pPr>
    </w:p>
    <w:p w14:paraId="7F598CF4" w14:textId="3121CBB7" w:rsidR="00883C23" w:rsidRPr="006D7E12" w:rsidRDefault="00883C23" w:rsidP="00883C23">
      <w:pPr>
        <w:spacing w:after="120" w:line="276" w:lineRule="auto"/>
        <w:ind w:firstLine="709"/>
        <w:jc w:val="both"/>
        <w:rPr>
          <w:rFonts w:ascii="Arial" w:eastAsia="Times New Roman" w:hAnsi="Arial" w:cs="Arial"/>
          <w:bCs/>
          <w:lang w:val="es-MX" w:eastAsia="x-none"/>
        </w:rPr>
      </w:pPr>
      <w:r w:rsidRPr="006D7E12">
        <w:rPr>
          <w:rFonts w:ascii="Arial" w:eastAsia="Calibri" w:hAnsi="Arial" w:cs="Arial"/>
          <w:lang w:val="es-MX"/>
        </w:rPr>
        <w:t>Aplicando este razonamiento,</w:t>
      </w:r>
      <w:bookmarkStart w:id="54" w:name="_Hlk75811096"/>
      <w:r w:rsidRPr="006D7E12">
        <w:rPr>
          <w:rFonts w:ascii="Arial" w:eastAsia="Calibri" w:hAnsi="Arial" w:cs="Arial"/>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w:t>
      </w:r>
      <w:r w:rsidR="00004152" w:rsidRPr="006D7E12">
        <w:rPr>
          <w:rFonts w:ascii="Arial" w:eastAsia="Calibri" w:hAnsi="Arial" w:cs="Arial"/>
          <w:lang w:val="es-MX"/>
        </w:rPr>
        <w:t xml:space="preserve">Ley </w:t>
      </w:r>
      <w:r w:rsidRPr="006D7E12">
        <w:rPr>
          <w:rFonts w:ascii="Arial" w:eastAsia="Calibri" w:hAnsi="Arial" w:cs="Arial"/>
          <w:lang w:val="es-MX"/>
        </w:rPr>
        <w:t>996 de 2005</w:t>
      </w:r>
      <w:bookmarkEnd w:id="54"/>
      <w:r w:rsidRPr="006D7E12">
        <w:rPr>
          <w:rFonts w:ascii="Arial" w:eastAsia="Calibri" w:hAnsi="Arial" w:cs="Arial"/>
          <w:lang w:val="es-MX"/>
        </w:rPr>
        <w:t>»</w:t>
      </w:r>
      <w:r w:rsidRPr="006D7E12">
        <w:rPr>
          <w:rFonts w:ascii="Arial" w:eastAsia="Calibri" w:hAnsi="Arial" w:cs="Arial"/>
          <w:sz w:val="24"/>
          <w:vertAlign w:val="superscript"/>
          <w:lang w:val="es-MX"/>
        </w:rPr>
        <w:t xml:space="preserve"> </w:t>
      </w:r>
      <w:r w:rsidRPr="006D7E12">
        <w:rPr>
          <w:rFonts w:ascii="Arial" w:eastAsia="Calibri" w:hAnsi="Arial" w:cs="Arial"/>
          <w:vertAlign w:val="superscript"/>
          <w:lang w:val="es-MX"/>
        </w:rPr>
        <w:footnoteReference w:id="25"/>
      </w:r>
      <w:r w:rsidRPr="006D7E12">
        <w:rPr>
          <w:rFonts w:ascii="Arial" w:eastAsia="Calibri" w:hAnsi="Arial" w:cs="Arial"/>
          <w:lang w:val="es-MX"/>
        </w:rPr>
        <w:t>.</w:t>
      </w:r>
    </w:p>
    <w:p w14:paraId="29815E3C" w14:textId="77777777" w:rsidR="00883C23" w:rsidRPr="006D7E12" w:rsidRDefault="00883C23" w:rsidP="00883C23">
      <w:pPr>
        <w:spacing w:after="0" w:line="276" w:lineRule="auto"/>
        <w:ind w:firstLine="708"/>
        <w:jc w:val="both"/>
        <w:rPr>
          <w:rFonts w:ascii="Arial" w:eastAsia="Times New Roman" w:hAnsi="Arial" w:cs="Arial"/>
          <w:bCs/>
          <w:lang w:val="es-MX" w:eastAsia="x-none"/>
        </w:rPr>
      </w:pPr>
      <w:bookmarkStart w:id="55" w:name="_Hlk77237229"/>
      <w:bookmarkEnd w:id="47"/>
      <w:r w:rsidRPr="006D7E12">
        <w:rPr>
          <w:rFonts w:ascii="Arial" w:eastAsia="Calibri" w:hAnsi="Arial" w:cs="Arial"/>
          <w:lang w:val="es-MX"/>
        </w:rPr>
        <w:lastRenderedPageBreak/>
        <w:t>Por lo tanto, la restricción prevista en la Ley 996 de 200</w:t>
      </w:r>
      <w:bookmarkStart w:id="56" w:name="_Hlk75741539"/>
      <w:r w:rsidRPr="006D7E12">
        <w:rPr>
          <w:rFonts w:ascii="Arial" w:eastAsia="Calibri" w:hAnsi="Arial" w:cs="Arial"/>
          <w:lang w:val="es-MX"/>
        </w:rPr>
        <w:t xml:space="preserve">5, </w:t>
      </w:r>
      <w:r w:rsidRPr="006D7E12">
        <w:rPr>
          <w:rFonts w:ascii="Arial" w:eastAsia="Times New Roman" w:hAnsi="Arial" w:cs="Arial"/>
          <w:bCs/>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55"/>
    <w:bookmarkEnd w:id="56"/>
    <w:p w14:paraId="6308E55B" w14:textId="77777777" w:rsidR="00883C23" w:rsidRPr="006D7E12" w:rsidRDefault="00883C23" w:rsidP="00883C23">
      <w:pPr>
        <w:spacing w:after="0" w:line="276" w:lineRule="auto"/>
        <w:jc w:val="both"/>
        <w:rPr>
          <w:rFonts w:ascii="Arial" w:eastAsia="Calibri" w:hAnsi="Arial" w:cs="Arial"/>
          <w:lang w:val="es-MX"/>
        </w:rPr>
      </w:pPr>
    </w:p>
    <w:p w14:paraId="6753D1C9" w14:textId="77777777" w:rsidR="00883C23" w:rsidRPr="006D7E12" w:rsidRDefault="00883C23" w:rsidP="00883C23">
      <w:pPr>
        <w:spacing w:after="0" w:line="276" w:lineRule="auto"/>
        <w:jc w:val="both"/>
        <w:rPr>
          <w:rFonts w:ascii="Arial" w:eastAsia="Calibri" w:hAnsi="Arial" w:cs="Arial"/>
          <w:b/>
          <w:bCs/>
          <w:lang w:val="es-MX"/>
        </w:rPr>
      </w:pPr>
      <w:bookmarkStart w:id="57" w:name="_Hlk75784645"/>
      <w:r w:rsidRPr="006D7E12">
        <w:rPr>
          <w:rFonts w:ascii="Arial" w:eastAsia="Calibri" w:hAnsi="Arial" w:cs="Arial"/>
          <w:b/>
          <w:bCs/>
          <w:lang w:val="es-MX"/>
        </w:rPr>
        <w:t xml:space="preserve">2.4. </w:t>
      </w:r>
      <w:bookmarkStart w:id="58" w:name="_Hlk77153296"/>
      <w:r w:rsidRPr="006D7E12">
        <w:rPr>
          <w:rFonts w:ascii="Arial" w:eastAsia="Times New Roman" w:hAnsi="Arial" w:cs="Arial"/>
          <w:b/>
          <w:bCs/>
          <w:lang w:val="es-MX" w:eastAsia="es-CO"/>
        </w:rPr>
        <w:t xml:space="preserve">Restricciones </w:t>
      </w:r>
      <w:bookmarkStart w:id="59" w:name="_Hlk75643279"/>
      <w:r w:rsidRPr="006D7E12">
        <w:rPr>
          <w:rFonts w:ascii="Arial" w:eastAsia="Times New Roman" w:hAnsi="Arial" w:cs="Arial"/>
          <w:b/>
          <w:bCs/>
          <w:lang w:val="es-MX" w:eastAsia="es-CO"/>
        </w:rPr>
        <w:t xml:space="preserve">para la celebración de contratos y convenios interadministrativos en los comicios para cargos de elección popular </w:t>
      </w:r>
    </w:p>
    <w:p w14:paraId="15A40448" w14:textId="77777777" w:rsidR="00883C23" w:rsidRPr="006D7E12" w:rsidRDefault="00883C23" w:rsidP="00883C23">
      <w:pPr>
        <w:tabs>
          <w:tab w:val="left" w:pos="426"/>
        </w:tabs>
        <w:spacing w:after="0" w:line="276" w:lineRule="auto"/>
        <w:jc w:val="both"/>
        <w:rPr>
          <w:rFonts w:ascii="Arial" w:eastAsia="Calibri" w:hAnsi="Arial" w:cs="Arial"/>
          <w:bCs/>
        </w:rPr>
      </w:pPr>
      <w:bookmarkStart w:id="60" w:name="_Hlk88210558"/>
      <w:bookmarkEnd w:id="58"/>
      <w:bookmarkEnd w:id="59"/>
    </w:p>
    <w:p w14:paraId="50450616" w14:textId="77777777" w:rsidR="00883C23" w:rsidRPr="006D7E12" w:rsidRDefault="00883C23" w:rsidP="00883C23">
      <w:pPr>
        <w:tabs>
          <w:tab w:val="left" w:pos="426"/>
        </w:tabs>
        <w:spacing w:after="120" w:line="276" w:lineRule="auto"/>
        <w:jc w:val="both"/>
        <w:rPr>
          <w:rFonts w:ascii="Arial" w:eastAsia="Calibri" w:hAnsi="Arial" w:cs="Arial"/>
          <w:bCs/>
        </w:rPr>
      </w:pPr>
      <w:r w:rsidRPr="006D7E12">
        <w:rPr>
          <w:rFonts w:ascii="Arial" w:eastAsia="Calibri" w:hAnsi="Arial" w:cs="Arial"/>
          <w:bC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6D7E12">
        <w:rPr>
          <w:rFonts w:ascii="Arial" w:eastAsia="Times New Roman" w:hAnsi="Arial" w:cs="Arial"/>
          <w:bCs/>
          <w:iCs/>
          <w:lang w:val="es-MX" w:eastAsia="x-none"/>
        </w:rPr>
        <w:t xml:space="preserve"> </w:t>
      </w:r>
      <w:bookmarkStart w:id="61" w:name="_Hlk99578153"/>
      <w:bookmarkEnd w:id="60"/>
      <w:r w:rsidRPr="006D7E12">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61"/>
      <w:r w:rsidRPr="006D7E12">
        <w:rPr>
          <w:rFonts w:ascii="Arial" w:eastAsia="Times New Roman" w:hAnsi="Arial" w:cs="Arial"/>
          <w:bCs/>
          <w:iCs/>
          <w:vertAlign w:val="superscript"/>
          <w:lang w:val="es-MX" w:eastAsia="x-none"/>
        </w:rPr>
        <w:footnoteReference w:id="26"/>
      </w:r>
      <w:r w:rsidRPr="006D7E12">
        <w:rPr>
          <w:rFonts w:ascii="Arial" w:eastAsia="Times New Roman" w:hAnsi="Arial" w:cs="Arial"/>
          <w:bCs/>
          <w:iCs/>
          <w:lang w:val="es-MX" w:eastAsia="x-none"/>
        </w:rPr>
        <w:t>.</w:t>
      </w:r>
      <w:r w:rsidRPr="006D7E12">
        <w:rPr>
          <w:rFonts w:ascii="Arial" w:eastAsia="Calibri" w:hAnsi="Arial" w:cs="Arial"/>
          <w:sz w:val="24"/>
          <w:lang w:val="es-MX"/>
        </w:rPr>
        <w:t xml:space="preserve"> </w:t>
      </w:r>
    </w:p>
    <w:p w14:paraId="03076239" w14:textId="77777777" w:rsidR="00883C23" w:rsidRPr="006D7E12" w:rsidRDefault="00883C23" w:rsidP="00883C23">
      <w:pPr>
        <w:widowControl w:val="0"/>
        <w:autoSpaceDE w:val="0"/>
        <w:autoSpaceDN w:val="0"/>
        <w:spacing w:after="120" w:line="276" w:lineRule="auto"/>
        <w:ind w:firstLine="707"/>
        <w:jc w:val="both"/>
        <w:rPr>
          <w:rFonts w:ascii="Arial" w:eastAsia="Arial" w:hAnsi="Arial" w:cs="Arial"/>
          <w:lang w:val="es-ES" w:eastAsia="es-ES" w:bidi="es-ES"/>
        </w:rPr>
      </w:pPr>
      <w:r w:rsidRPr="006D7E12">
        <w:rPr>
          <w:rFonts w:ascii="Arial" w:eastAsia="Calibri" w:hAnsi="Arial" w:cs="Arial"/>
          <w:bCs/>
          <w:lang w:eastAsia="es-ES" w:bidi="es-ES"/>
        </w:rPr>
        <w:t xml:space="preserve">Ahora bien, </w:t>
      </w:r>
      <w:bookmarkStart w:id="62" w:name="_Hlk78820161"/>
      <w:r w:rsidRPr="006D7E12">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6D7E1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6D7E12">
        <w:rPr>
          <w:rFonts w:ascii="Arial" w:eastAsia="Arial" w:hAnsi="Arial" w:cs="Arial"/>
          <w:vertAlign w:val="superscript"/>
          <w:lang w:val="es-ES" w:eastAsia="es-ES" w:bidi="es-ES"/>
        </w:rPr>
        <w:footnoteReference w:id="27"/>
      </w:r>
      <w:r w:rsidRPr="006D7E12">
        <w:rPr>
          <w:rFonts w:ascii="Arial" w:eastAsia="Arial" w:hAnsi="Arial" w:cs="Arial"/>
          <w:lang w:val="es-ES" w:eastAsia="es-ES" w:bidi="es-ES"/>
        </w:rPr>
        <w:t xml:space="preserve">.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w:t>
      </w:r>
      <w:r w:rsidRPr="006D7E12">
        <w:rPr>
          <w:rFonts w:ascii="Arial" w:eastAsia="Arial" w:hAnsi="Arial" w:cs="Arial"/>
          <w:lang w:val="es-ES" w:eastAsia="es-ES" w:bidi="es-ES"/>
        </w:rPr>
        <w:lastRenderedPageBreak/>
        <w:t>entidades</w:t>
      </w:r>
      <w:r w:rsidRPr="006D7E12">
        <w:rPr>
          <w:rFonts w:ascii="Arial" w:eastAsia="Arial" w:hAnsi="Arial" w:cs="Arial"/>
          <w:spacing w:val="-6"/>
          <w:lang w:val="es-ES" w:eastAsia="es-ES" w:bidi="es-ES"/>
        </w:rPr>
        <w:t xml:space="preserve"> </w:t>
      </w:r>
      <w:r w:rsidRPr="006D7E12">
        <w:rPr>
          <w:rFonts w:ascii="Arial" w:eastAsia="Arial" w:hAnsi="Arial" w:cs="Arial"/>
          <w:lang w:val="es-ES" w:eastAsia="es-ES" w:bidi="es-ES"/>
        </w:rPr>
        <w:t>estatales.</w:t>
      </w:r>
    </w:p>
    <w:p w14:paraId="4D4FCB38" w14:textId="77777777" w:rsidR="00883C23" w:rsidRPr="006D7E12" w:rsidRDefault="00883C23" w:rsidP="00883C23">
      <w:pPr>
        <w:widowControl w:val="0"/>
        <w:autoSpaceDE w:val="0"/>
        <w:autoSpaceDN w:val="0"/>
        <w:spacing w:before="117" w:after="120" w:line="276" w:lineRule="auto"/>
        <w:ind w:firstLine="707"/>
        <w:jc w:val="both"/>
        <w:rPr>
          <w:rFonts w:ascii="Arial" w:eastAsia="Arial" w:hAnsi="Arial" w:cs="Arial"/>
          <w:lang w:val="es-ES" w:eastAsia="es-ES" w:bidi="es-ES"/>
        </w:rPr>
      </w:pPr>
      <w:bookmarkStart w:id="63" w:name="_Hlk78820654"/>
      <w:bookmarkEnd w:id="62"/>
      <w:r w:rsidRPr="006D7E1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09340B20" w14:textId="77777777" w:rsidR="00883C23" w:rsidRPr="006D7E12" w:rsidRDefault="00883C23" w:rsidP="00883C23">
      <w:pPr>
        <w:widowControl w:val="0"/>
        <w:autoSpaceDE w:val="0"/>
        <w:autoSpaceDN w:val="0"/>
        <w:spacing w:before="121" w:after="120" w:line="276" w:lineRule="auto"/>
        <w:ind w:firstLine="707"/>
        <w:jc w:val="both"/>
        <w:rPr>
          <w:rFonts w:ascii="Arial" w:eastAsia="Arial" w:hAnsi="Arial" w:cs="Arial"/>
          <w:lang w:val="es-ES" w:eastAsia="es-ES" w:bidi="es-ES"/>
        </w:rPr>
      </w:pPr>
      <w:bookmarkStart w:id="64" w:name="_Hlk99578261"/>
      <w:bookmarkEnd w:id="63"/>
      <w:r w:rsidRPr="006D7E12">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D7E12">
        <w:rPr>
          <w:rFonts w:ascii="Arial" w:eastAsia="Arial" w:hAnsi="Arial" w:cs="Arial"/>
          <w:vertAlign w:val="superscript"/>
          <w:lang w:val="es-ES" w:eastAsia="es-ES" w:bidi="es-ES"/>
        </w:rPr>
        <w:footnoteReference w:id="28"/>
      </w:r>
      <w:r w:rsidRPr="006D7E12">
        <w:rPr>
          <w:rFonts w:ascii="Arial" w:eastAsia="Arial" w:hAnsi="Arial" w:cs="Arial"/>
          <w:lang w:val="es-ES" w:eastAsia="es-ES" w:bidi="es-ES"/>
        </w:rPr>
        <w:t>. Nótese que, en este caso, lo que cambia es la modalidad de selección y no la naturaleza de contrato</w:t>
      </w:r>
      <w:r w:rsidRPr="006D7E12">
        <w:rPr>
          <w:rFonts w:ascii="Arial" w:eastAsia="Arial" w:hAnsi="Arial" w:cs="Arial"/>
          <w:spacing w:val="-18"/>
          <w:lang w:val="es-ES" w:eastAsia="es-ES" w:bidi="es-ES"/>
        </w:rPr>
        <w:t xml:space="preserve"> </w:t>
      </w:r>
      <w:r w:rsidRPr="006D7E12">
        <w:rPr>
          <w:rFonts w:ascii="Arial" w:eastAsia="Arial" w:hAnsi="Arial" w:cs="Arial"/>
          <w:lang w:val="es-ES" w:eastAsia="es-ES" w:bidi="es-ES"/>
        </w:rPr>
        <w:t>interadministrativo.</w:t>
      </w:r>
    </w:p>
    <w:bookmarkEnd w:id="64"/>
    <w:p w14:paraId="2C9B84B2" w14:textId="77777777" w:rsidR="00883C23" w:rsidRPr="006D7E12" w:rsidRDefault="00883C23" w:rsidP="00883C23">
      <w:pPr>
        <w:widowControl w:val="0"/>
        <w:autoSpaceDE w:val="0"/>
        <w:autoSpaceDN w:val="0"/>
        <w:spacing w:before="114" w:after="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6D7E12">
        <w:rPr>
          <w:rFonts w:ascii="Arial" w:eastAsia="Arial" w:hAnsi="Arial" w:cs="Arial"/>
          <w:spacing w:val="-13"/>
          <w:lang w:val="es-ES" w:eastAsia="es-ES" w:bidi="es-ES"/>
        </w:rPr>
        <w:t xml:space="preserve"> </w:t>
      </w:r>
      <w:r w:rsidRPr="006D7E12">
        <w:rPr>
          <w:rFonts w:ascii="Arial" w:eastAsia="Arial" w:hAnsi="Arial" w:cs="Arial"/>
          <w:lang w:val="es-ES" w:eastAsia="es-ES" w:bidi="es-ES"/>
        </w:rPr>
        <w:t>que:</w:t>
      </w:r>
    </w:p>
    <w:p w14:paraId="653E71BC" w14:textId="77777777" w:rsidR="00883C23" w:rsidRPr="006D7E12" w:rsidRDefault="00883C23" w:rsidP="00883C23">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279E27AB" w14:textId="77777777" w:rsidR="00883C23" w:rsidRPr="006D7E12" w:rsidRDefault="00883C23" w:rsidP="00883C23">
      <w:pPr>
        <w:spacing w:after="0" w:line="240" w:lineRule="auto"/>
        <w:ind w:left="709" w:right="709"/>
        <w:contextualSpacing/>
        <w:jc w:val="both"/>
        <w:rPr>
          <w:rFonts w:ascii="Arial" w:eastAsia="Calibri" w:hAnsi="Arial" w:cs="Arial"/>
          <w:sz w:val="21"/>
          <w:lang w:val="es-MX"/>
        </w:rPr>
      </w:pPr>
      <w:r w:rsidRPr="006D7E1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6D7E12">
        <w:rPr>
          <w:rFonts w:ascii="Arial" w:eastAsia="Calibri" w:hAnsi="Arial" w:cs="Arial"/>
          <w:sz w:val="21"/>
          <w:lang w:val="es-MX"/>
        </w:rPr>
        <w:t>ii</w:t>
      </w:r>
      <w:proofErr w:type="spellEnd"/>
      <w:r w:rsidRPr="006D7E12">
        <w:rPr>
          <w:rFonts w:ascii="Arial" w:eastAsia="Calibri" w:hAnsi="Arial" w:cs="Arial"/>
          <w:sz w:val="21"/>
          <w:lang w:val="es-MX"/>
        </w:rPr>
        <w:t>) tienen como fuente la autonomía contractual; (</w:t>
      </w:r>
      <w:proofErr w:type="spellStart"/>
      <w:r w:rsidRPr="006D7E12">
        <w:rPr>
          <w:rFonts w:ascii="Arial" w:eastAsia="Calibri" w:hAnsi="Arial" w:cs="Arial"/>
          <w:sz w:val="21"/>
          <w:lang w:val="es-MX"/>
        </w:rPr>
        <w:t>iii</w:t>
      </w:r>
      <w:proofErr w:type="spellEnd"/>
      <w:r w:rsidRPr="006D7E12">
        <w:rPr>
          <w:rFonts w:ascii="Arial" w:eastAsia="Calibri" w:hAnsi="Arial" w:cs="Arial"/>
          <w:sz w:val="21"/>
          <w:lang w:val="es-MX"/>
        </w:rPr>
        <w:t>) son contratos nominados puesto que están mencionados en la ley; (</w:t>
      </w:r>
      <w:proofErr w:type="spellStart"/>
      <w:r w:rsidRPr="006D7E12">
        <w:rPr>
          <w:rFonts w:ascii="Arial" w:eastAsia="Calibri" w:hAnsi="Arial" w:cs="Arial"/>
          <w:sz w:val="21"/>
          <w:lang w:val="es-MX"/>
        </w:rPr>
        <w:t>iv</w:t>
      </w:r>
      <w:proofErr w:type="spellEnd"/>
      <w:r w:rsidRPr="006D7E12">
        <w:rPr>
          <w:rFonts w:ascii="Arial" w:eastAsia="Calibri" w:hAnsi="Arial" w:cs="Arial"/>
          <w:sz w:val="21"/>
          <w:lang w:val="es-MX"/>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w:t>
      </w:r>
      <w:r w:rsidRPr="006D7E12">
        <w:rPr>
          <w:rFonts w:ascii="Arial" w:eastAsia="Calibri" w:hAnsi="Arial" w:cs="Arial"/>
          <w:sz w:val="21"/>
          <w:lang w:val="es-MX"/>
        </w:rPr>
        <w:lastRenderedPageBreak/>
        <w:t>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6D7E12">
        <w:rPr>
          <w:rFonts w:ascii="Arial" w:eastAsia="Calibri" w:hAnsi="Arial" w:cs="Arial"/>
          <w:sz w:val="21"/>
          <w:lang w:val="es-MX"/>
        </w:rPr>
        <w:t>vii</w:t>
      </w:r>
      <w:proofErr w:type="spellEnd"/>
      <w:r w:rsidRPr="006D7E12">
        <w:rPr>
          <w:rFonts w:ascii="Arial" w:eastAsia="Calibri" w:hAnsi="Arial" w:cs="Arial"/>
          <w:sz w:val="21"/>
          <w:lang w:val="es-MX"/>
        </w:rPr>
        <w:t>) persiguen  una finalidad común a través de la realización de intereses compartidos entre las entidades vinculadas; (</w:t>
      </w:r>
      <w:proofErr w:type="spellStart"/>
      <w:r w:rsidRPr="006D7E12">
        <w:rPr>
          <w:rFonts w:ascii="Arial" w:eastAsia="Calibri" w:hAnsi="Arial" w:cs="Arial"/>
          <w:sz w:val="21"/>
          <w:lang w:val="es-MX"/>
        </w:rPr>
        <w:t>viii</w:t>
      </w:r>
      <w:proofErr w:type="spellEnd"/>
      <w:r w:rsidRPr="006D7E12">
        <w:rPr>
          <w:rFonts w:ascii="Arial" w:eastAsia="Calibri" w:hAnsi="Arial" w:cs="Arial"/>
          <w:sz w:val="21"/>
          <w:lang w:val="es-MX"/>
        </w:rPr>
        <w:t>) la acción mediante la cual se deben ventilar las diferencias que sobre el particular surjan es la de controversias contractuales</w:t>
      </w:r>
      <w:r w:rsidRPr="006D7E12">
        <w:rPr>
          <w:rFonts w:ascii="Arial" w:eastAsia="Calibri" w:hAnsi="Arial" w:cs="Arial"/>
          <w:sz w:val="21"/>
          <w:vertAlign w:val="superscript"/>
          <w:lang w:val="es-MX"/>
        </w:rPr>
        <w:footnoteReference w:id="29"/>
      </w:r>
      <w:r w:rsidRPr="006D7E12">
        <w:rPr>
          <w:rFonts w:ascii="Arial" w:eastAsia="Calibri" w:hAnsi="Arial" w:cs="Arial"/>
          <w:sz w:val="21"/>
          <w:lang w:val="es-MX"/>
        </w:rPr>
        <w:t>.</w:t>
      </w:r>
    </w:p>
    <w:p w14:paraId="796493F3" w14:textId="77777777" w:rsidR="00883C23" w:rsidRPr="006D7E12" w:rsidRDefault="00883C23" w:rsidP="00883C23">
      <w:pPr>
        <w:spacing w:after="0" w:line="276" w:lineRule="auto"/>
        <w:ind w:left="709" w:right="709"/>
        <w:contextualSpacing/>
        <w:jc w:val="both"/>
        <w:rPr>
          <w:rFonts w:ascii="Arial" w:eastAsia="Calibri" w:hAnsi="Arial" w:cs="Arial"/>
          <w:lang w:val="es-MX"/>
        </w:rPr>
      </w:pPr>
    </w:p>
    <w:p w14:paraId="228CC066" w14:textId="77777777" w:rsidR="00883C23" w:rsidRPr="006D7E12" w:rsidRDefault="00883C23" w:rsidP="00693825">
      <w:pPr>
        <w:widowControl w:val="0"/>
        <w:autoSpaceDE w:val="0"/>
        <w:autoSpaceDN w:val="0"/>
        <w:spacing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CBDCAEC" w14:textId="77777777" w:rsidR="00883C23" w:rsidRPr="006D7E12" w:rsidRDefault="00883C23" w:rsidP="00693825">
      <w:pPr>
        <w:widowControl w:val="0"/>
        <w:autoSpaceDE w:val="0"/>
        <w:autoSpaceDN w:val="0"/>
        <w:spacing w:before="119"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6D7E12">
        <w:rPr>
          <w:rFonts w:ascii="Arial" w:eastAsia="Arial" w:hAnsi="Arial" w:cs="Arial"/>
          <w:spacing w:val="-3"/>
          <w:lang w:val="es-ES" w:eastAsia="es-ES" w:bidi="es-ES"/>
        </w:rPr>
        <w:t xml:space="preserve"> </w:t>
      </w:r>
      <w:r w:rsidRPr="006D7E12">
        <w:rPr>
          <w:rFonts w:ascii="Arial" w:eastAsia="Arial" w:hAnsi="Arial" w:cs="Arial"/>
          <w:lang w:val="es-ES" w:eastAsia="es-ES" w:bidi="es-ES"/>
        </w:rPr>
        <w:t>estatales.</w:t>
      </w:r>
    </w:p>
    <w:p w14:paraId="681E663F" w14:textId="77777777" w:rsidR="00883C23" w:rsidRPr="006D7E12" w:rsidRDefault="00883C23" w:rsidP="00693825">
      <w:pPr>
        <w:widowControl w:val="0"/>
        <w:autoSpaceDE w:val="0"/>
        <w:autoSpaceDN w:val="0"/>
        <w:spacing w:before="120"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w:t>
      </w:r>
      <w:r w:rsidRPr="006D7E12">
        <w:rPr>
          <w:rFonts w:ascii="Arial" w:eastAsia="Arial" w:hAnsi="Arial" w:cs="Arial"/>
          <w:lang w:val="es-ES" w:eastAsia="es-ES" w:bidi="es-ES"/>
        </w:rPr>
        <w:lastRenderedPageBreak/>
        <w:t>misma forma lo hace frente a los convenios, entre otras razones, porque este cuerpo normativo faculta a las entidades públicas a celebrar los demás acuerdos que permitan la autonomía de la voluntad y requieran el cumplimiento de los fines</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estatales.</w:t>
      </w:r>
    </w:p>
    <w:p w14:paraId="714566A9" w14:textId="77777777" w:rsidR="00883C23" w:rsidRPr="006D7E12" w:rsidRDefault="00883C23" w:rsidP="00693825">
      <w:pPr>
        <w:widowControl w:val="0"/>
        <w:autoSpaceDE w:val="0"/>
        <w:autoSpaceDN w:val="0"/>
        <w:spacing w:before="122" w:after="12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E805131" w14:textId="77777777" w:rsidR="00883C23" w:rsidRPr="006D7E12" w:rsidRDefault="00883C23" w:rsidP="00693825">
      <w:pPr>
        <w:widowControl w:val="0"/>
        <w:autoSpaceDE w:val="0"/>
        <w:autoSpaceDN w:val="0"/>
        <w:spacing w:after="120" w:line="276" w:lineRule="auto"/>
        <w:ind w:firstLine="708"/>
        <w:jc w:val="both"/>
        <w:rPr>
          <w:rFonts w:ascii="Arial" w:eastAsia="Calibri" w:hAnsi="Arial" w:cs="Arial"/>
          <w:bCs/>
          <w:lang w:eastAsia="es-ES" w:bidi="es-ES"/>
        </w:rPr>
      </w:pPr>
      <w:r w:rsidRPr="006D7E12">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w:t>
      </w:r>
      <w:r w:rsidRPr="006D7E12">
        <w:rPr>
          <w:rFonts w:ascii="Arial" w:eastAsia="Arial" w:hAnsi="Arial" w:cs="Arial"/>
          <w:vertAlign w:val="superscript"/>
          <w:lang w:val="es-ES" w:eastAsia="es-ES" w:bidi="es-ES"/>
        </w:rPr>
        <w:footnoteReference w:id="30"/>
      </w:r>
      <w:r w:rsidRPr="006D7E12">
        <w:rPr>
          <w:rFonts w:ascii="Arial" w:eastAsia="Arial" w:hAnsi="Arial" w:cs="Arial"/>
          <w:lang w:val="es-ES" w:eastAsia="es-ES" w:bidi="es-ES"/>
        </w:rPr>
        <w:t>.</w:t>
      </w:r>
      <w:bookmarkStart w:id="65" w:name="_Hlk77171241"/>
    </w:p>
    <w:p w14:paraId="6BB77893" w14:textId="77777777" w:rsidR="00883C23" w:rsidRPr="006D7E12" w:rsidRDefault="00883C23" w:rsidP="00693825">
      <w:pPr>
        <w:widowControl w:val="0"/>
        <w:autoSpaceDE w:val="0"/>
        <w:autoSpaceDN w:val="0"/>
        <w:spacing w:after="0" w:line="276" w:lineRule="auto"/>
        <w:ind w:firstLine="709"/>
        <w:contextualSpacing/>
        <w:jc w:val="both"/>
        <w:rPr>
          <w:rFonts w:ascii="Arial" w:eastAsia="Arial" w:hAnsi="Arial" w:cs="Arial"/>
          <w:lang w:val="es-ES" w:eastAsia="es-ES" w:bidi="es-ES"/>
        </w:rPr>
      </w:pPr>
      <w:r w:rsidRPr="006D7E1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8998CF2" w14:textId="77777777" w:rsidR="00883C23" w:rsidRPr="006D7E12" w:rsidRDefault="00883C23" w:rsidP="00693825">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35C10F55" w14:textId="08DB945D" w:rsidR="00883C23" w:rsidRPr="006D7E12" w:rsidRDefault="00883C23" w:rsidP="00693825">
      <w:pPr>
        <w:spacing w:after="0" w:line="240" w:lineRule="auto"/>
        <w:ind w:left="709" w:right="709"/>
        <w:contextualSpacing/>
        <w:jc w:val="both"/>
        <w:rPr>
          <w:rFonts w:ascii="Arial" w:eastAsia="Calibri" w:hAnsi="Arial" w:cs="Arial"/>
          <w:sz w:val="21"/>
          <w:szCs w:val="21"/>
          <w:lang w:val="es-ES_tradnl"/>
        </w:rPr>
      </w:pPr>
      <w:r w:rsidRPr="006D7E12">
        <w:rPr>
          <w:rFonts w:ascii="Arial" w:eastAsia="Calibri" w:hAnsi="Arial" w:cs="Arial"/>
          <w:sz w:val="21"/>
          <w:szCs w:val="21"/>
          <w:lang w:val="es-ES_tradnl"/>
        </w:rPr>
        <w:t>La Sala de Consulta y Servicio Civil</w:t>
      </w:r>
      <w:r w:rsidRPr="006D7E12">
        <w:rPr>
          <w:rFonts w:ascii="Arial" w:eastAsia="Calibri" w:hAnsi="Arial" w:cs="Arial"/>
          <w:sz w:val="21"/>
          <w:szCs w:val="21"/>
          <w:vertAlign w:val="superscript"/>
          <w:lang w:val="es-ES_tradnl"/>
        </w:rPr>
        <w:footnoteReference w:id="31"/>
      </w:r>
      <w:r w:rsidRPr="006D7E12">
        <w:rPr>
          <w:rFonts w:ascii="Arial" w:eastAsia="Calibri" w:hAnsi="Arial" w:cs="Arial"/>
          <w:sz w:val="21"/>
          <w:szCs w:val="21"/>
          <w:lang w:val="es-ES_tradnl"/>
        </w:rPr>
        <w:t xml:space="preserve"> de esta Corporación se ha referido a los </w:t>
      </w:r>
      <w:r w:rsidRPr="006D7E12">
        <w:rPr>
          <w:rFonts w:ascii="Arial" w:eastAsia="Calibri" w:hAnsi="Arial" w:cs="Arial"/>
          <w:i/>
          <w:sz w:val="21"/>
          <w:szCs w:val="21"/>
          <w:lang w:val="es-ES_tradnl"/>
        </w:rPr>
        <w:t>“convenios interadministrativos”</w:t>
      </w:r>
      <w:r w:rsidRPr="006D7E12">
        <w:rPr>
          <w:rFonts w:ascii="Arial" w:eastAsia="Calibri" w:hAnsi="Arial" w:cs="Arial"/>
          <w:sz w:val="21"/>
          <w:szCs w:val="21"/>
          <w:lang w:val="es-ES_tradnl"/>
        </w:rPr>
        <w:t xml:space="preserve"> a los cuales alude el artículo 95 de la Ley 489 de 1998, calificándolos de </w:t>
      </w:r>
      <w:r w:rsidRPr="006D7E12">
        <w:rPr>
          <w:rFonts w:ascii="Arial" w:eastAsia="Calibri" w:hAnsi="Arial" w:cs="Arial"/>
          <w:i/>
          <w:sz w:val="21"/>
          <w:szCs w:val="21"/>
          <w:lang w:val="es-ES_tradnl"/>
        </w:rPr>
        <w:t xml:space="preserve">“puros” </w:t>
      </w:r>
      <w:r w:rsidRPr="006D7E1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6D7E12">
        <w:rPr>
          <w:rFonts w:ascii="Arial" w:eastAsia="Calibri" w:hAnsi="Arial" w:cs="Arial"/>
          <w:i/>
          <w:sz w:val="21"/>
          <w:szCs w:val="21"/>
          <w:lang w:val="es-ES_tradnl"/>
        </w:rPr>
        <w:t>“intercambio patrimonial”</w:t>
      </w:r>
      <w:r w:rsidRPr="006D7E12">
        <w:rPr>
          <w:rFonts w:ascii="Arial" w:eastAsia="Calibri" w:hAnsi="Arial" w:cs="Arial"/>
          <w:sz w:val="21"/>
          <w:szCs w:val="21"/>
          <w:lang w:val="es-ES_tradnl"/>
        </w:rPr>
        <w:t>. Sin perjuicio de lo anterior, en otra oportunidad, la misma Sala</w:t>
      </w:r>
      <w:r w:rsidRPr="006D7E12">
        <w:rPr>
          <w:rFonts w:ascii="Arial" w:eastAsia="Calibri" w:hAnsi="Arial" w:cs="Arial"/>
          <w:sz w:val="21"/>
          <w:szCs w:val="21"/>
          <w:vertAlign w:val="superscript"/>
          <w:lang w:val="es-ES_tradnl"/>
        </w:rPr>
        <w:footnoteReference w:id="32"/>
      </w:r>
      <w:r w:rsidRPr="006D7E12">
        <w:rPr>
          <w:rFonts w:ascii="Arial" w:eastAsia="Calibri" w:hAnsi="Arial" w:cs="Arial"/>
          <w:sz w:val="21"/>
          <w:szCs w:val="21"/>
          <w:lang w:val="es-ES_tradnl"/>
        </w:rPr>
        <w:t xml:space="preserve"> había indicado que, si bien en </w:t>
      </w:r>
      <w:r w:rsidRPr="006D7E12">
        <w:rPr>
          <w:rFonts w:ascii="Arial" w:eastAsia="Calibri" w:hAnsi="Arial" w:cs="Arial"/>
          <w:sz w:val="21"/>
          <w:szCs w:val="21"/>
          <w:lang w:val="es-ES_tradnl"/>
        </w:rPr>
        <w:lastRenderedPageBreak/>
        <w:t xml:space="preserve">dichos convenios no se daba un </w:t>
      </w:r>
      <w:r w:rsidRPr="006D7E12">
        <w:rPr>
          <w:rFonts w:ascii="Arial" w:eastAsia="Calibri" w:hAnsi="Arial" w:cs="Arial"/>
          <w:i/>
          <w:sz w:val="21"/>
          <w:szCs w:val="21"/>
          <w:lang w:val="es-ES_tradnl"/>
        </w:rPr>
        <w:t>“verdadero intercambio de bienes o servicios (contrato conmutativo)”</w:t>
      </w:r>
      <w:r w:rsidRPr="006D7E12">
        <w:rPr>
          <w:rFonts w:ascii="Arial" w:eastAsia="Calibri" w:hAnsi="Arial" w:cs="Arial"/>
          <w:sz w:val="21"/>
          <w:szCs w:val="21"/>
          <w:lang w:val="es-ES_tradnl"/>
        </w:rPr>
        <w:t>, ello no impedía que se conviniera una remuneración a cargo de alguna(s) entidad(es).</w:t>
      </w:r>
    </w:p>
    <w:p w14:paraId="6AD75D38" w14:textId="77777777" w:rsidR="00693825" w:rsidRPr="006D7E12" w:rsidRDefault="00693825" w:rsidP="00693825">
      <w:pPr>
        <w:spacing w:after="0" w:line="240" w:lineRule="auto"/>
        <w:ind w:left="709" w:right="709"/>
        <w:contextualSpacing/>
        <w:jc w:val="both"/>
        <w:rPr>
          <w:rFonts w:ascii="Arial" w:eastAsia="Calibri" w:hAnsi="Arial" w:cs="Arial"/>
          <w:sz w:val="21"/>
          <w:szCs w:val="21"/>
          <w:lang w:val="es-ES_tradnl"/>
        </w:rPr>
      </w:pPr>
    </w:p>
    <w:p w14:paraId="4A760D9D" w14:textId="77777777" w:rsidR="00883C23" w:rsidRPr="006D7E12" w:rsidRDefault="00883C23" w:rsidP="00693825">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_tradnl" w:eastAsia="es-ES" w:bidi="es-ES"/>
        </w:rPr>
        <w:t xml:space="preserve">Lo expuesto evidencia que, en general, las interpretaciones en torno a los </w:t>
      </w:r>
      <w:r w:rsidRPr="006D7E12">
        <w:rPr>
          <w:rFonts w:ascii="Arial" w:eastAsia="Arial" w:hAnsi="Arial" w:cs="Arial"/>
          <w:i/>
          <w:sz w:val="21"/>
          <w:szCs w:val="21"/>
          <w:lang w:val="es-ES_tradnl" w:eastAsia="es-ES" w:bidi="es-ES"/>
        </w:rPr>
        <w:t>“convenios interadministrativos”</w:t>
      </w:r>
      <w:r w:rsidRPr="006D7E1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D7E12">
        <w:rPr>
          <w:rFonts w:ascii="Arial" w:eastAsia="Arial" w:hAnsi="Arial" w:cs="Arial"/>
          <w:sz w:val="21"/>
          <w:szCs w:val="21"/>
          <w:vertAlign w:val="superscript"/>
          <w:lang w:val="es-ES_tradnl" w:eastAsia="es-ES" w:bidi="es-ES"/>
        </w:rPr>
        <w:footnoteReference w:id="33"/>
      </w:r>
      <w:r w:rsidRPr="006D7E12">
        <w:rPr>
          <w:rFonts w:ascii="Arial" w:eastAsia="Arial" w:hAnsi="Arial" w:cs="Arial"/>
          <w:sz w:val="21"/>
          <w:szCs w:val="21"/>
          <w:vertAlign w:val="superscript"/>
          <w:lang w:val="es-ES_tradnl" w:eastAsia="es-ES" w:bidi="es-ES"/>
        </w:rPr>
        <w:footnoteReference w:id="34"/>
      </w:r>
      <w:r w:rsidRPr="006D7E12">
        <w:rPr>
          <w:rFonts w:ascii="Arial" w:eastAsia="Arial" w:hAnsi="Arial" w:cs="Arial"/>
          <w:sz w:val="21"/>
          <w:szCs w:val="21"/>
          <w:lang w:val="es-ES_tradnl" w:eastAsia="es-ES" w:bidi="es-ES"/>
        </w:rPr>
        <w:t>.</w:t>
      </w:r>
    </w:p>
    <w:p w14:paraId="2DF522CB" w14:textId="77777777" w:rsidR="00883C23" w:rsidRPr="006D7E12" w:rsidRDefault="00883C23" w:rsidP="00693825">
      <w:pPr>
        <w:widowControl w:val="0"/>
        <w:autoSpaceDE w:val="0"/>
        <w:autoSpaceDN w:val="0"/>
        <w:spacing w:after="0" w:line="276" w:lineRule="auto"/>
        <w:contextualSpacing/>
        <w:jc w:val="both"/>
        <w:rPr>
          <w:rFonts w:ascii="Arial" w:eastAsia="Arial" w:hAnsi="Arial" w:cs="Arial"/>
          <w:lang w:val="es-ES" w:eastAsia="es-ES" w:bidi="es-ES"/>
        </w:rPr>
      </w:pPr>
    </w:p>
    <w:p w14:paraId="304488A9" w14:textId="77777777" w:rsidR="00883C23" w:rsidRPr="006D7E12" w:rsidRDefault="00883C23" w:rsidP="00883C23">
      <w:pPr>
        <w:widowControl w:val="0"/>
        <w:autoSpaceDE w:val="0"/>
        <w:autoSpaceDN w:val="0"/>
        <w:spacing w:after="120" w:line="276" w:lineRule="auto"/>
        <w:jc w:val="both"/>
        <w:rPr>
          <w:rFonts w:ascii="Arial" w:eastAsia="Arial" w:hAnsi="Arial" w:cs="Arial"/>
          <w:lang w:val="es-ES" w:eastAsia="es-ES" w:bidi="es-ES"/>
        </w:rPr>
      </w:pPr>
      <w:r w:rsidRPr="006D7E12">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6D7E12">
        <w:rPr>
          <w:rFonts w:ascii="Arial" w:eastAsia="Arial" w:hAnsi="Arial" w:cs="Arial"/>
          <w:vertAlign w:val="superscript"/>
          <w:lang w:val="es-ES" w:eastAsia="es-ES" w:bidi="es-ES"/>
        </w:rPr>
        <w:footnoteReference w:id="35"/>
      </w:r>
      <w:r w:rsidRPr="006D7E1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6D7E12">
        <w:rPr>
          <w:rFonts w:ascii="Arial" w:eastAsia="Arial" w:hAnsi="Arial" w:cs="Arial"/>
          <w:vertAlign w:val="superscript"/>
          <w:lang w:val="es-ES" w:eastAsia="es-ES" w:bidi="es-ES"/>
        </w:rPr>
        <w:footnoteReference w:id="36"/>
      </w:r>
      <w:r w:rsidRPr="006D7E12">
        <w:rPr>
          <w:rFonts w:ascii="Arial" w:eastAsia="Arial" w:hAnsi="Arial" w:cs="Arial"/>
          <w:lang w:val="es-ES" w:eastAsia="es-ES" w:bidi="es-ES"/>
        </w:rPr>
        <w:t>.</w:t>
      </w:r>
    </w:p>
    <w:p w14:paraId="503B76BD" w14:textId="68CC452E"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r w:rsidRPr="006D7E12">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w:t>
      </w:r>
      <w:r w:rsidR="00112409" w:rsidRPr="006D7E12">
        <w:rPr>
          <w:rFonts w:ascii="Arial" w:eastAsia="Arial" w:hAnsi="Arial" w:cs="Arial"/>
          <w:lang w:val="es-ES" w:eastAsia="es-ES" w:bidi="es-ES"/>
        </w:rPr>
        <w:t xml:space="preserve"> </w:t>
      </w:r>
      <w:r w:rsidR="00112409" w:rsidRPr="006D7E12">
        <w:rPr>
          <w:rFonts w:ascii="Arial" w:eastAsia="Arial" w:hAnsi="Arial" w:cs="Arial"/>
          <w:lang w:val="es-ES" w:eastAsia="es-ES" w:bidi="es-ES"/>
        </w:rPr>
        <w:lastRenderedPageBreak/>
        <w:t>Electorales</w:t>
      </w:r>
      <w:r w:rsidRPr="006D7E12">
        <w:rPr>
          <w:rFonts w:ascii="Arial" w:eastAsia="Arial" w:hAnsi="Arial" w:cs="Arial"/>
          <w:lang w:val="es-ES" w:eastAsia="es-ES" w:bidi="es-ES"/>
        </w:rPr>
        <w:t>. En este sentido, la Circular, refiriéndose al parágrafo del artículo 38 de la Ley 996 de 2005, expresa:</w:t>
      </w:r>
    </w:p>
    <w:p w14:paraId="1447051B" w14:textId="77777777"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p>
    <w:p w14:paraId="5357B916" w14:textId="77777777" w:rsidR="00112409"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6D7E1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039BAB7D" w14:textId="25C00A4B" w:rsidR="00883C23"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 </w:t>
      </w:r>
    </w:p>
    <w:p w14:paraId="060E8340" w14:textId="676452A9" w:rsidR="00883C23"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EC41D27" w14:textId="77777777" w:rsidR="00112409" w:rsidRPr="006D7E12" w:rsidRDefault="00112409" w:rsidP="00112409">
      <w:pPr>
        <w:spacing w:after="0" w:line="240" w:lineRule="auto"/>
        <w:ind w:left="709" w:right="709"/>
        <w:contextualSpacing/>
        <w:jc w:val="both"/>
        <w:rPr>
          <w:rFonts w:ascii="Arial" w:eastAsia="Calibri" w:hAnsi="Arial" w:cs="Arial"/>
          <w:sz w:val="21"/>
          <w:szCs w:val="21"/>
          <w:lang w:val="es-MX"/>
        </w:rPr>
      </w:pPr>
    </w:p>
    <w:p w14:paraId="75CDE17F" w14:textId="77777777" w:rsidR="00883C23" w:rsidRPr="006D7E12" w:rsidRDefault="00883C23" w:rsidP="00112409">
      <w:pPr>
        <w:spacing w:after="0" w:line="240" w:lineRule="auto"/>
        <w:ind w:left="709" w:right="709"/>
        <w:contextualSpacing/>
        <w:jc w:val="both"/>
        <w:rPr>
          <w:rFonts w:ascii="Calibri" w:eastAsia="Calibri" w:hAnsi="Calibri" w:cs="Times New Roman"/>
          <w:sz w:val="24"/>
          <w:lang w:val="es-MX"/>
        </w:rPr>
      </w:pPr>
      <w:r w:rsidRPr="006D7E1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650CEA1" w14:textId="77777777"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p>
    <w:p w14:paraId="1513DC52" w14:textId="474A668D" w:rsidR="00883C23" w:rsidRPr="006D7E12" w:rsidRDefault="00883C23" w:rsidP="00883C23">
      <w:pPr>
        <w:widowControl w:val="0"/>
        <w:autoSpaceDE w:val="0"/>
        <w:autoSpaceDN w:val="0"/>
        <w:spacing w:after="120" w:line="276" w:lineRule="auto"/>
        <w:jc w:val="both"/>
        <w:rPr>
          <w:rFonts w:ascii="Arial" w:eastAsia="Calibri" w:hAnsi="Arial" w:cs="Arial"/>
          <w:bCs/>
          <w:lang w:eastAsia="es-ES" w:bidi="es-ES"/>
        </w:rPr>
      </w:pPr>
      <w:r w:rsidRPr="006D7E12">
        <w:rPr>
          <w:rFonts w:ascii="Arial" w:eastAsia="Arial" w:hAnsi="Arial" w:cs="Arial"/>
          <w:sz w:val="25"/>
          <w:lang w:val="es-ES" w:eastAsia="es-ES" w:bidi="es-ES"/>
        </w:rPr>
        <w:tab/>
      </w:r>
      <w:r w:rsidRPr="006D7E12">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w:t>
      </w:r>
      <w:r w:rsidR="00F82416" w:rsidRPr="006D7E12">
        <w:rPr>
          <w:rFonts w:ascii="Arial" w:eastAsia="Arial" w:hAnsi="Arial" w:cs="Arial"/>
          <w:lang w:val="es-ES" w:eastAsia="es-ES" w:bidi="es-ES"/>
        </w:rPr>
        <w:t xml:space="preserve"> Electorales</w:t>
      </w:r>
      <w:r w:rsidRPr="006D7E12">
        <w:rPr>
          <w:rFonts w:ascii="Arial" w:eastAsia="Arial" w:hAnsi="Arial" w:cs="Arial"/>
          <w:lang w:val="es-ES" w:eastAsia="es-ES" w:bidi="es-ES"/>
        </w:rPr>
        <w:t>.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65"/>
    </w:p>
    <w:p w14:paraId="35F7E392" w14:textId="70FDA1EF" w:rsidR="00883C23" w:rsidRPr="006D7E12" w:rsidRDefault="00883C23">
      <w:pPr>
        <w:tabs>
          <w:tab w:val="left" w:pos="426"/>
        </w:tabs>
        <w:spacing w:after="120" w:line="276" w:lineRule="auto"/>
        <w:ind w:firstLine="709"/>
        <w:jc w:val="both"/>
        <w:rPr>
          <w:rFonts w:ascii="Arial" w:eastAsia="Arial" w:hAnsi="Arial" w:cs="Arial"/>
          <w:lang w:val="es-ES" w:eastAsia="es-ES" w:bidi="es-ES"/>
        </w:rPr>
      </w:pPr>
      <w:r w:rsidRPr="006D7E12">
        <w:rPr>
          <w:rFonts w:ascii="Arial" w:eastAsia="Times New Roman" w:hAnsi="Arial" w:cs="Arial"/>
          <w:bCs/>
          <w:lang w:eastAsia="es-CO"/>
        </w:rPr>
        <w:lastRenderedPageBreak/>
        <w:t xml:space="preserve">Se observa entonces que </w:t>
      </w:r>
      <w:r w:rsidRPr="006D7E12">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6D7E12">
        <w:rPr>
          <w:rFonts w:ascii="Arial" w:eastAsia="Times New Roman" w:hAnsi="Arial" w:cs="Arial"/>
          <w:bCs/>
          <w:i/>
          <w:iCs/>
          <w:lang w:val="es-MX" w:eastAsia="es-CO"/>
        </w:rPr>
        <w:t>ibidem</w:t>
      </w:r>
      <w:r w:rsidRPr="006D7E12">
        <w:rPr>
          <w:rFonts w:ascii="Arial" w:eastAsia="Times New Roman" w:hAnsi="Arial" w:cs="Arial"/>
          <w:bCs/>
          <w:lang w:val="es-MX" w:eastAsia="es-CO"/>
        </w:rPr>
        <w:t xml:space="preserve">, no podrá celebrar tales convenios o contratos durante la aplicación de la </w:t>
      </w:r>
      <w:r w:rsidR="00C23407" w:rsidRPr="006D7E12">
        <w:rPr>
          <w:rFonts w:ascii="Arial" w:eastAsia="Times New Roman" w:hAnsi="Arial" w:cs="Arial"/>
          <w:bCs/>
          <w:lang w:val="es-MX" w:eastAsia="es-CO"/>
        </w:rPr>
        <w:t xml:space="preserve">Ley </w:t>
      </w:r>
      <w:r w:rsidRPr="006D7E12">
        <w:rPr>
          <w:rFonts w:ascii="Arial" w:eastAsia="Times New Roman" w:hAnsi="Arial" w:cs="Arial"/>
          <w:bCs/>
          <w:lang w:val="es-MX" w:eastAsia="es-CO"/>
        </w:rPr>
        <w:t xml:space="preserve">de </w:t>
      </w:r>
      <w:r w:rsidR="00C23407" w:rsidRPr="006D7E12">
        <w:rPr>
          <w:rFonts w:ascii="Arial" w:eastAsia="Times New Roman" w:hAnsi="Arial" w:cs="Arial"/>
          <w:bCs/>
          <w:lang w:val="es-MX" w:eastAsia="es-CO"/>
        </w:rPr>
        <w:t>Garantías</w:t>
      </w:r>
      <w:r w:rsidR="00A300C6" w:rsidRPr="006D7E12">
        <w:rPr>
          <w:rFonts w:ascii="Arial" w:eastAsia="Times New Roman" w:hAnsi="Arial" w:cs="Arial"/>
          <w:bCs/>
          <w:lang w:val="es-MX" w:eastAsia="es-CO"/>
        </w:rPr>
        <w:t xml:space="preserve"> Electorales</w:t>
      </w:r>
      <w:r w:rsidRPr="006D7E12">
        <w:rPr>
          <w:rFonts w:ascii="Arial" w:eastAsia="Times New Roman" w:hAnsi="Arial" w:cs="Arial"/>
          <w:bCs/>
          <w:lang w:val="es-MX" w:eastAsia="es-CO"/>
        </w:rPr>
        <w:t>, toda vez que la citada disposición hace referencia a dicha tipología contractual sin que el legislador hubiere contemplado excepción alguna frente a la modalidad de selección o naturaleza de su objeto</w:t>
      </w:r>
      <w:r w:rsidRPr="006D7E12">
        <w:rPr>
          <w:rFonts w:ascii="Arial" w:eastAsia="Calibri" w:hAnsi="Arial" w:cs="Arial"/>
          <w:bCs/>
          <w:vertAlign w:val="superscript"/>
          <w:lang w:val="es-MX" w:eastAsia="es-CO"/>
        </w:rPr>
        <w:footnoteReference w:id="37"/>
      </w:r>
      <w:r w:rsidRPr="006D7E12">
        <w:rPr>
          <w:rFonts w:ascii="Arial" w:eastAsia="Times New Roman" w:hAnsi="Arial" w:cs="Arial"/>
          <w:bCs/>
          <w:lang w:val="es-MX" w:eastAsia="es-CO"/>
        </w:rPr>
        <w:t xml:space="preserve">. </w:t>
      </w:r>
      <w:bookmarkStart w:id="66" w:name="_Hlk100680150"/>
      <w:r w:rsidR="00DB1FBD" w:rsidRPr="006D7E12">
        <w:rPr>
          <w:rFonts w:ascii="Arial" w:eastAsia="Arial" w:hAnsi="Arial" w:cs="Arial"/>
          <w:lang w:val="es-ES" w:eastAsia="es-ES" w:bidi="es-ES"/>
        </w:rPr>
        <w:t>Así mismo, se resalta que este parágrafo fue modificado parcial y transitoriamente por el artículo 124 de la Ley 2159 de 2021</w:t>
      </w:r>
      <w:r w:rsidR="00DB1FBD" w:rsidRPr="006D7E12">
        <w:rPr>
          <w:rFonts w:ascii="Arial" w:eastAsia="Arial" w:hAnsi="Arial" w:cs="Arial"/>
          <w:vertAlign w:val="superscript"/>
          <w:lang w:val="es-ES" w:eastAsia="es-ES" w:bidi="es-ES"/>
        </w:rPr>
        <w:footnoteReference w:id="38"/>
      </w:r>
      <w:r w:rsidR="00DB1FBD" w:rsidRPr="006D7E12">
        <w:rPr>
          <w:rFonts w:ascii="Arial" w:eastAsia="Arial" w:hAnsi="Arial" w:cs="Arial"/>
          <w:lang w:val="es-ES" w:eastAsia="es-ES" w:bidi="es-ES"/>
        </w:rPr>
        <w:t>, estableciendo una excepción a la prohibición, según la cual a partir de la publicación de dicha ley y durante la vigencia fiscal 2022, la Nación podrá celebrar convenios interadministrativos con las entidades territoriales para ejecutar programas y proyectos correspondientes al Presupuesto General de la Nación</w:t>
      </w:r>
      <w:bookmarkEnd w:id="66"/>
      <w:r w:rsidR="00DB1FBD" w:rsidRPr="006D7E12">
        <w:rPr>
          <w:rFonts w:ascii="Arial" w:eastAsia="Arial" w:hAnsi="Arial" w:cs="Arial"/>
          <w:vertAlign w:val="superscript"/>
          <w:lang w:val="es-ES" w:eastAsia="es-ES" w:bidi="es-ES"/>
        </w:rPr>
        <w:footnoteReference w:id="39"/>
      </w:r>
      <w:r w:rsidR="00DB1FBD" w:rsidRPr="006D7E12">
        <w:rPr>
          <w:rFonts w:ascii="Arial" w:eastAsia="Arial" w:hAnsi="Arial" w:cs="Arial"/>
          <w:lang w:val="es-ES" w:eastAsia="es-ES" w:bidi="es-ES"/>
        </w:rPr>
        <w:t xml:space="preserve">. </w:t>
      </w:r>
    </w:p>
    <w:p w14:paraId="1D3F2319" w14:textId="674F4EB1" w:rsidR="00BF36EC" w:rsidRPr="006D7E12" w:rsidRDefault="00BF36EC" w:rsidP="00BF36EC">
      <w:pPr>
        <w:tabs>
          <w:tab w:val="left" w:pos="426"/>
        </w:tabs>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es-CO"/>
        </w:rPr>
        <w:t xml:space="preserve">En efecto, la modificación transitoria del artículo 124 de la Ley 2159 de 2021, </w:t>
      </w:r>
      <w:r w:rsidRPr="006D7E12">
        <w:rPr>
          <w:rFonts w:ascii="Arial" w:eastAsia="Times New Roman" w:hAnsi="Arial" w:cs="Arial"/>
          <w:bCs/>
          <w:lang w:eastAsia="es-CO"/>
        </w:rPr>
        <w:t xml:space="preserve">fijó ciertas condiciones temporales, subjetivas y materiales o teleológicas para la celebración de los convenios interadministrativos: i) que sean celebrados a partir de la publicación de la Ley del Presupuesto en el Diario Oficial y hasta el término de la vigencia fiscal 2022, </w:t>
      </w:r>
      <w:proofErr w:type="spellStart"/>
      <w:r w:rsidRPr="006D7E12">
        <w:rPr>
          <w:rFonts w:ascii="Arial" w:eastAsia="Times New Roman" w:hAnsi="Arial" w:cs="Arial"/>
          <w:bCs/>
          <w:lang w:eastAsia="es-CO"/>
        </w:rPr>
        <w:t>ii</w:t>
      </w:r>
      <w:proofErr w:type="spellEnd"/>
      <w:r w:rsidRPr="006D7E12">
        <w:rPr>
          <w:rFonts w:ascii="Arial" w:eastAsia="Times New Roman" w:hAnsi="Arial" w:cs="Arial"/>
          <w:bCs/>
          <w:lang w:eastAsia="es-CO"/>
        </w:rPr>
        <w:t xml:space="preserve">) que sean celebrados entre la Nación, por una parte, y las entidades territoriales, por otra, y </w:t>
      </w:r>
      <w:proofErr w:type="spellStart"/>
      <w:r w:rsidRPr="006D7E12">
        <w:rPr>
          <w:rFonts w:ascii="Arial" w:eastAsia="Times New Roman" w:hAnsi="Arial" w:cs="Arial"/>
          <w:bCs/>
          <w:lang w:eastAsia="es-CO"/>
        </w:rPr>
        <w:t>iii</w:t>
      </w:r>
      <w:proofErr w:type="spellEnd"/>
      <w:r w:rsidRPr="006D7E12">
        <w:rPr>
          <w:rFonts w:ascii="Arial" w:eastAsia="Times New Roman" w:hAnsi="Arial" w:cs="Arial"/>
          <w:bCs/>
          <w:lang w:eastAsia="es-CO"/>
        </w:rPr>
        <w:t>) que los convenios sean celebrados con el fin de ejecutar programas o proyectos que correspondan al Presupuesto General de la Nación</w:t>
      </w:r>
      <w:r w:rsidRPr="006D7E12">
        <w:rPr>
          <w:rFonts w:ascii="Arial" w:eastAsia="Times New Roman" w:hAnsi="Arial" w:cs="Arial"/>
          <w:bCs/>
          <w:lang w:val="es-MX" w:eastAsia="es-CO"/>
        </w:rPr>
        <w:t>. De acuerdo con esto, a los convenios interadministrativos no relacionados con la ejecución de recursos del Presupuesto General Nacional, les aplicaría la restricción del artículo 38, no estando cobijados por la habilitación transitoria dispuesta en el artículo 124 de la Ley 2159 de 2021, al no cumplirse los mencionados requisitos.</w:t>
      </w:r>
      <w:r w:rsidRPr="006D7E12">
        <w:rPr>
          <w:rFonts w:ascii="Arial" w:eastAsia="Times New Roman" w:hAnsi="Arial" w:cs="Arial"/>
          <w:bCs/>
          <w:lang w:eastAsia="es-CO"/>
        </w:rPr>
        <w:t> </w:t>
      </w:r>
    </w:p>
    <w:p w14:paraId="01E23135" w14:textId="4D3A5405" w:rsidR="00883C23" w:rsidRPr="006D7E12" w:rsidRDefault="003B045C" w:rsidP="00C51624">
      <w:pPr>
        <w:widowControl w:val="0"/>
        <w:autoSpaceDE w:val="0"/>
        <w:autoSpaceDN w:val="0"/>
        <w:spacing w:after="0" w:line="276" w:lineRule="auto"/>
        <w:ind w:firstLine="709"/>
        <w:contextualSpacing/>
        <w:jc w:val="both"/>
        <w:rPr>
          <w:rFonts w:ascii="Arial" w:eastAsia="Calibri" w:hAnsi="Arial" w:cs="Arial"/>
          <w:lang w:eastAsia="es-ES" w:bidi="es-ES"/>
        </w:rPr>
      </w:pPr>
      <w:bookmarkStart w:id="67" w:name="_Hlk77154098"/>
      <w:r w:rsidRPr="006D7E12">
        <w:rPr>
          <w:rFonts w:ascii="Arial" w:eastAsia="Times New Roman" w:hAnsi="Arial" w:cs="Arial"/>
          <w:bCs/>
          <w:lang w:val="es-ES" w:eastAsia="es-CO" w:bidi="es-ES"/>
        </w:rPr>
        <w:t>En todo caso</w:t>
      </w:r>
      <w:r w:rsidR="00883C23" w:rsidRPr="006D7E12">
        <w:rPr>
          <w:rFonts w:ascii="Arial" w:eastAsia="Arial" w:hAnsi="Arial" w:cs="Arial"/>
          <w:lang w:val="es-ES" w:eastAsia="es-ES" w:bidi="es-ES"/>
        </w:rPr>
        <w:t xml:space="preserve">, es importante resaltar que la Sala de Consulta y Servicio Civil del </w:t>
      </w:r>
      <w:r w:rsidR="00883C23" w:rsidRPr="006D7E12">
        <w:rPr>
          <w:rFonts w:ascii="Arial" w:eastAsia="Arial" w:hAnsi="Arial" w:cs="Arial"/>
          <w:lang w:val="es-ES" w:eastAsia="es-ES" w:bidi="es-ES"/>
        </w:rPr>
        <w:lastRenderedPageBreak/>
        <w:t xml:space="preserve">Consejo de Estado se ha pronunciado en el sentido de que </w:t>
      </w:r>
      <w:bookmarkStart w:id="68" w:name="_Hlk78820889"/>
      <w:r w:rsidR="00883C23" w:rsidRPr="006D7E12">
        <w:rPr>
          <w:rFonts w:ascii="Arial" w:eastAsia="Arial" w:hAnsi="Arial" w:cs="Arial"/>
          <w:lang w:val="es-ES" w:eastAsia="es-ES" w:bidi="es-ES"/>
        </w:rPr>
        <w:t xml:space="preserve">no se les aplica la restricción </w:t>
      </w:r>
      <w:r w:rsidR="00C51624" w:rsidRPr="006D7E12">
        <w:rPr>
          <w:rFonts w:ascii="Arial" w:eastAsia="Arial" w:hAnsi="Arial" w:cs="Arial"/>
          <w:lang w:val="es-ES" w:eastAsia="es-ES" w:bidi="es-ES"/>
        </w:rPr>
        <w:t xml:space="preserve">contemplada en el artículo 38 </w:t>
      </w:r>
      <w:r w:rsidR="00883C23" w:rsidRPr="006D7E12">
        <w:rPr>
          <w:rFonts w:ascii="Arial" w:eastAsia="Arial" w:hAnsi="Arial" w:cs="Arial"/>
          <w:lang w:val="es-ES" w:eastAsia="es-ES" w:bidi="es-ES"/>
        </w:rPr>
        <w:t>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8"/>
      <w:r w:rsidR="00883C23" w:rsidRPr="006D7E12">
        <w:rPr>
          <w:rFonts w:ascii="Arial" w:eastAsia="Arial" w:hAnsi="Arial" w:cs="Arial"/>
          <w:vertAlign w:val="superscript"/>
          <w:lang w:val="es-ES" w:eastAsia="es-ES" w:bidi="es-ES"/>
        </w:rPr>
        <w:footnoteReference w:id="40"/>
      </w:r>
      <w:r w:rsidR="00883C23" w:rsidRPr="006D7E12">
        <w:rPr>
          <w:rFonts w:ascii="Arial" w:eastAsia="Calibri" w:hAnsi="Arial" w:cs="Arial"/>
          <w:lang w:eastAsia="es-ES" w:bidi="es-ES"/>
        </w:rPr>
        <w:t>.</w:t>
      </w:r>
      <w:bookmarkEnd w:id="67"/>
    </w:p>
    <w:bookmarkEnd w:id="57"/>
    <w:p w14:paraId="4FE1E90D" w14:textId="28B67B3B" w:rsidR="004F5C70" w:rsidRPr="006D7E12" w:rsidRDefault="004F5C70" w:rsidP="00C51624">
      <w:pPr>
        <w:spacing w:after="0" w:line="276" w:lineRule="auto"/>
        <w:ind w:firstLine="709"/>
        <w:contextualSpacing/>
        <w:jc w:val="both"/>
        <w:rPr>
          <w:rFonts w:ascii="Times New Roman" w:eastAsia="Times New Roman" w:hAnsi="Times New Roman" w:cs="Times New Roman"/>
          <w:sz w:val="24"/>
          <w:szCs w:val="24"/>
          <w:lang w:eastAsia="es-ES_tradnl"/>
        </w:rPr>
      </w:pPr>
    </w:p>
    <w:p w14:paraId="160A3B9B" w14:textId="5A529149" w:rsidR="004F5C70" w:rsidRPr="006D7E12" w:rsidRDefault="004F5C70" w:rsidP="00C51624">
      <w:pPr>
        <w:spacing w:after="0" w:line="276" w:lineRule="auto"/>
        <w:contextualSpacing/>
        <w:jc w:val="both"/>
        <w:rPr>
          <w:rFonts w:ascii="Arial" w:eastAsia="Arial" w:hAnsi="Arial" w:cs="Arial"/>
          <w:b/>
          <w:bCs/>
          <w:lang w:val="es-ES" w:eastAsia="es-ES" w:bidi="es-ES"/>
        </w:rPr>
      </w:pPr>
      <w:r w:rsidRPr="006D7E12">
        <w:rPr>
          <w:rFonts w:ascii="Arial" w:eastAsia="Arial" w:hAnsi="Arial" w:cs="Arial"/>
          <w:b/>
          <w:bCs/>
          <w:lang w:val="es-ES" w:eastAsia="es-ES" w:bidi="es-ES"/>
        </w:rPr>
        <w:t>2.</w:t>
      </w:r>
      <w:r w:rsidR="00C51624" w:rsidRPr="006D7E12">
        <w:rPr>
          <w:rFonts w:ascii="Arial" w:eastAsia="Arial" w:hAnsi="Arial" w:cs="Arial"/>
          <w:b/>
          <w:bCs/>
          <w:lang w:val="es-ES" w:eastAsia="es-ES" w:bidi="es-ES"/>
        </w:rPr>
        <w:t>5</w:t>
      </w:r>
      <w:r w:rsidRPr="006D7E12">
        <w:rPr>
          <w:rFonts w:ascii="Arial" w:eastAsia="Arial" w:hAnsi="Arial" w:cs="Arial"/>
          <w:b/>
          <w:bCs/>
          <w:lang w:val="es-ES" w:eastAsia="es-ES" w:bidi="es-ES"/>
        </w:rPr>
        <w:t>. Convenios de asociación y restricciones de la Ley de Garantías</w:t>
      </w:r>
      <w:r w:rsidR="00515FAF" w:rsidRPr="006D7E12">
        <w:rPr>
          <w:rFonts w:ascii="Arial" w:eastAsia="Arial" w:hAnsi="Arial" w:cs="Arial"/>
          <w:b/>
          <w:bCs/>
          <w:lang w:val="es-ES" w:eastAsia="es-ES" w:bidi="es-ES"/>
        </w:rPr>
        <w:t xml:space="preserve"> Electorales</w:t>
      </w:r>
    </w:p>
    <w:p w14:paraId="7DA26227" w14:textId="77777777" w:rsidR="00C51624" w:rsidRPr="006D7E12" w:rsidRDefault="00C51624" w:rsidP="00C51624">
      <w:pPr>
        <w:spacing w:after="0" w:line="276" w:lineRule="auto"/>
        <w:contextualSpacing/>
        <w:jc w:val="both"/>
        <w:rPr>
          <w:rFonts w:ascii="Arial" w:eastAsia="Arial" w:hAnsi="Arial" w:cs="Arial"/>
          <w:b/>
          <w:bCs/>
          <w:lang w:val="es-ES" w:eastAsia="es-ES" w:bidi="es-ES"/>
        </w:rPr>
      </w:pPr>
    </w:p>
    <w:p w14:paraId="099B2641" w14:textId="77777777" w:rsidR="00D044F7" w:rsidRPr="006D7E12" w:rsidRDefault="00D044F7" w:rsidP="00D044F7">
      <w:pPr>
        <w:spacing w:line="276" w:lineRule="auto"/>
        <w:jc w:val="both"/>
        <w:rPr>
          <w:rFonts w:ascii="Arial" w:eastAsia="Calibri" w:hAnsi="Arial" w:cs="Arial"/>
          <w:bCs/>
          <w:lang w:val="es-ES_tradnl"/>
        </w:rPr>
      </w:pPr>
      <w:r w:rsidRPr="006D7E12">
        <w:rPr>
          <w:rFonts w:ascii="Arial" w:eastAsia="Calibri" w:hAnsi="Arial"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6D7E12">
        <w:rPr>
          <w:rStyle w:val="Refdenotaalpie"/>
          <w:rFonts w:ascii="Arial" w:hAnsi="Arial" w:cs="Arial"/>
        </w:rPr>
        <w:footnoteReference w:id="41"/>
      </w:r>
      <w:r w:rsidRPr="006D7E12">
        <w:rPr>
          <w:rFonts w:ascii="Arial" w:eastAsia="Calibri" w:hAnsi="Arial"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6D7E12">
        <w:rPr>
          <w:rStyle w:val="Refdenotaalpie"/>
          <w:rFonts w:ascii="Arial" w:eastAsia="Calibri" w:hAnsi="Arial" w:cs="Arial"/>
          <w:bCs/>
          <w:lang w:val="es-ES_tradnl"/>
        </w:rPr>
        <w:footnoteReference w:id="42"/>
      </w:r>
      <w:r w:rsidRPr="006D7E12">
        <w:rPr>
          <w:rFonts w:ascii="Arial" w:eastAsia="Calibri" w:hAnsi="Arial" w:cs="Arial"/>
          <w:bCs/>
          <w:lang w:val="es-ES_tradnl"/>
        </w:rPr>
        <w:t>.</w:t>
      </w:r>
    </w:p>
    <w:p w14:paraId="20172F35" w14:textId="77777777" w:rsidR="00D044F7" w:rsidRPr="006D7E12" w:rsidRDefault="00D044F7" w:rsidP="00D044F7">
      <w:pPr>
        <w:spacing w:before="120" w:after="120" w:line="276" w:lineRule="auto"/>
        <w:ind w:firstLine="709"/>
        <w:jc w:val="both"/>
        <w:rPr>
          <w:rFonts w:ascii="Arial" w:eastAsia="Calibri" w:hAnsi="Arial" w:cs="Arial"/>
          <w:bCs/>
          <w:lang w:val="es-ES_tradnl"/>
        </w:rPr>
      </w:pPr>
      <w:bookmarkStart w:id="70" w:name="_Hlk38819155"/>
      <w:bookmarkStart w:id="71" w:name="_Hlk100680299"/>
      <w:r w:rsidRPr="006D7E12">
        <w:rPr>
          <w:rFonts w:ascii="Arial" w:eastAsia="Calibri" w:hAnsi="Arial" w:cs="Arial"/>
          <w:bCs/>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6D7E12">
        <w:rPr>
          <w:rFonts w:ascii="Arial" w:eastAsia="Calibri" w:hAnsi="Arial" w:cs="Arial"/>
          <w:bCs/>
          <w:lang w:val="es-ES_tradnl"/>
        </w:rPr>
        <w:t>ii</w:t>
      </w:r>
      <w:proofErr w:type="spellEnd"/>
      <w:r w:rsidRPr="006D7E12">
        <w:rPr>
          <w:rFonts w:ascii="Arial" w:eastAsia="Calibri" w:hAnsi="Arial" w:cs="Arial"/>
          <w:bCs/>
          <w:lang w:val="es-ES_tradnl"/>
        </w:rPr>
        <w:t xml:space="preserve">) los convenios de asociación, para el desarrollo conjunto de actividades relacionadas con las funciones de las entidades estatales, en desarrollo del artículo 96 de la Ley 489 de 1998. </w:t>
      </w:r>
      <w:bookmarkEnd w:id="70"/>
    </w:p>
    <w:p w14:paraId="347AC272" w14:textId="77777777" w:rsidR="00D044F7" w:rsidRPr="006D7E12" w:rsidRDefault="00D044F7" w:rsidP="00D044F7">
      <w:pPr>
        <w:spacing w:before="120" w:after="120" w:line="276" w:lineRule="auto"/>
        <w:ind w:firstLine="709"/>
        <w:jc w:val="both"/>
        <w:rPr>
          <w:rFonts w:ascii="Arial" w:eastAsia="Calibri" w:hAnsi="Arial" w:cs="Arial"/>
          <w:bCs/>
          <w:lang w:val="es-ES_tradnl"/>
        </w:rPr>
      </w:pPr>
      <w:bookmarkStart w:id="72" w:name="_Hlk95756032"/>
      <w:bookmarkEnd w:id="71"/>
      <w:r w:rsidRPr="006D7E12">
        <w:rPr>
          <w:rFonts w:ascii="Arial" w:eastAsia="Calibri" w:hAnsi="Arial" w:cs="Arial"/>
          <w:bCs/>
          <w:lang w:val="es-ES_tradnl"/>
        </w:rPr>
        <w:t xml:space="preserve">Los </w:t>
      </w:r>
      <w:r w:rsidRPr="006D7E12">
        <w:rPr>
          <w:rFonts w:ascii="Arial" w:eastAsia="Calibri" w:hAnsi="Arial" w:cs="Arial"/>
          <w:bCs/>
          <w:i/>
          <w:lang w:val="es-ES_tradnl"/>
        </w:rPr>
        <w:t>contratos del artículo 355 de la Constitución Política</w:t>
      </w:r>
      <w:r w:rsidRPr="006D7E12">
        <w:rPr>
          <w:rFonts w:ascii="Arial" w:eastAsia="Calibri" w:hAnsi="Arial" w:cs="Arial"/>
          <w:bCs/>
          <w:lang w:val="es-ES_tradnl"/>
        </w:rPr>
        <w:t xml:space="preserve"> tienen como objeto promover acciones de fomento social en beneficio de los sectores más desprotegidos de la población, </w:t>
      </w:r>
      <w:r w:rsidRPr="006D7E12">
        <w:rPr>
          <w:rFonts w:ascii="Arial" w:eastAsia="Calibri" w:hAnsi="Arial" w:cs="Arial"/>
          <w:bCs/>
          <w:lang w:val="es-ES_tradnl"/>
        </w:rPr>
        <w:lastRenderedPageBreak/>
        <w:t xml:space="preserve">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6D7E12">
        <w:rPr>
          <w:rFonts w:ascii="Arial" w:eastAsia="Calibri" w:hAnsi="Arial" w:cs="Arial"/>
          <w:bCs/>
          <w:lang w:val="es-ES_tradnl"/>
        </w:rPr>
        <w:t>ii</w:t>
      </w:r>
      <w:proofErr w:type="spellEnd"/>
      <w:r w:rsidRPr="006D7E12">
        <w:rPr>
          <w:rFonts w:ascii="Arial" w:eastAsia="Calibri" w:hAnsi="Arial" w:cs="Arial"/>
          <w:bCs/>
          <w:lang w:val="es-ES_tradnl"/>
        </w:rPr>
        <w:t>)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72"/>
    <w:p w14:paraId="6482601C" w14:textId="36FE4FAF" w:rsidR="00D044F7" w:rsidRPr="006D7E12" w:rsidRDefault="00D044F7" w:rsidP="00D044F7">
      <w:pPr>
        <w:spacing w:before="120" w:after="120" w:line="276" w:lineRule="auto"/>
        <w:ind w:firstLine="709"/>
        <w:jc w:val="both"/>
        <w:rPr>
          <w:rFonts w:ascii="Arial" w:eastAsia="Calibri" w:hAnsi="Arial" w:cs="Arial"/>
          <w:bCs/>
          <w:lang w:val="es-ES_tradnl"/>
        </w:rPr>
      </w:pPr>
      <w:r w:rsidRPr="006D7E12">
        <w:rPr>
          <w:rFonts w:ascii="Arial" w:eastAsia="Calibri" w:hAnsi="Arial" w:cs="Arial"/>
          <w:bCs/>
          <w:lang w:val="es-ES_tradnl"/>
        </w:rPr>
        <w:t xml:space="preserve">De otro lado, los </w:t>
      </w:r>
      <w:r w:rsidRPr="006D7E12">
        <w:rPr>
          <w:rFonts w:ascii="Arial" w:eastAsia="Calibri" w:hAnsi="Arial" w:cs="Arial"/>
          <w:bCs/>
          <w:i/>
          <w:lang w:val="es-ES_tradnl"/>
        </w:rPr>
        <w:t>convenios de asociación</w:t>
      </w:r>
      <w:r w:rsidRPr="006D7E12">
        <w:rPr>
          <w:rFonts w:ascii="Arial" w:eastAsia="Calibri" w:hAnsi="Arial" w:cs="Arial"/>
          <w:bCs/>
          <w:lang w:val="es-ES_tradnl"/>
        </w:rPr>
        <w:t xml:space="preserve"> «[t]</w:t>
      </w:r>
      <w:proofErr w:type="spellStart"/>
      <w:r w:rsidRPr="006D7E12">
        <w:rPr>
          <w:rFonts w:ascii="Arial" w:eastAsia="Calibri" w:hAnsi="Arial" w:cs="Arial"/>
          <w:bCs/>
          <w:lang w:val="es-ES_tradnl"/>
        </w:rPr>
        <w:t>ienen</w:t>
      </w:r>
      <w:proofErr w:type="spellEnd"/>
      <w:r w:rsidRPr="006D7E12">
        <w:rPr>
          <w:rFonts w:ascii="Arial" w:eastAsia="Calibri" w:hAnsi="Arial"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6D7E12">
        <w:rPr>
          <w:rStyle w:val="Refdenotaalpie"/>
          <w:rFonts w:ascii="Arial" w:hAnsi="Arial" w:cs="Arial"/>
        </w:rPr>
        <w:footnoteReference w:id="43"/>
      </w:r>
      <w:r w:rsidRPr="006D7E12">
        <w:rPr>
          <w:rFonts w:ascii="Arial" w:eastAsia="Calibri" w:hAnsi="Arial"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por lo que la entidad no instruye al contratista para desarrollar los programas o actividades previstas, sino que se asocia con él para el cumplimiento de objetivos comunes</w:t>
      </w:r>
      <w:r w:rsidRPr="006D7E12">
        <w:rPr>
          <w:rStyle w:val="Refdenotaalpie"/>
          <w:rFonts w:ascii="Arial" w:hAnsi="Arial" w:cs="Arial"/>
        </w:rPr>
        <w:footnoteReference w:id="44"/>
      </w:r>
      <w:r w:rsidRPr="006D7E12">
        <w:rPr>
          <w:rFonts w:ascii="Arial" w:eastAsia="Calibri" w:hAnsi="Arial" w:cs="Arial"/>
          <w:bCs/>
          <w:lang w:val="es-ES_tradnl"/>
        </w:rPr>
        <w:t>.</w:t>
      </w:r>
    </w:p>
    <w:p w14:paraId="78AE040F" w14:textId="20654D1E" w:rsidR="00D044F7" w:rsidRPr="006D7E12" w:rsidRDefault="00D044F7" w:rsidP="00D044F7">
      <w:pPr>
        <w:spacing w:before="120" w:after="120" w:line="276" w:lineRule="auto"/>
        <w:ind w:firstLine="709"/>
        <w:jc w:val="both"/>
        <w:rPr>
          <w:rFonts w:ascii="Arial" w:eastAsia="Calibri" w:hAnsi="Arial" w:cs="Arial"/>
          <w:bCs/>
        </w:rPr>
      </w:pPr>
      <w:r w:rsidRPr="006D7E12">
        <w:rPr>
          <w:rFonts w:ascii="Arial" w:eastAsia="Calibri" w:hAnsi="Arial" w:cs="Arial"/>
          <w:bCs/>
          <w:lang w:val="es-ES_tradnl"/>
        </w:rPr>
        <w:t>La normativa vigente no impide que varias entidades suscriban conjuntamente el convenio de asociación y tampoco que dos o más ESAL puedan hacerlo, a través de las figuras asociativas autorizadas por la ley, por ejemplo, como unión temporal o como consorcio</w:t>
      </w:r>
      <w:r w:rsidRPr="006D7E12">
        <w:rPr>
          <w:rStyle w:val="Refdenotaalpie"/>
          <w:rFonts w:ascii="Arial" w:eastAsia="Calibri" w:hAnsi="Arial" w:cs="Arial"/>
        </w:rPr>
        <w:footnoteReference w:id="45"/>
      </w:r>
      <w:r w:rsidRPr="006D7E12">
        <w:rPr>
          <w:rFonts w:ascii="Arial" w:eastAsia="Calibri" w:hAnsi="Arial" w:cs="Arial"/>
          <w:bCs/>
        </w:rPr>
        <w:t xml:space="preserve">. Sin embargo, como el artículo 96 de la Ley 489 de 1998 determina que el </w:t>
      </w:r>
      <w:r w:rsidRPr="006D7E12">
        <w:rPr>
          <w:rFonts w:ascii="Arial" w:eastAsia="Calibri" w:hAnsi="Arial" w:cs="Arial"/>
          <w:bCs/>
        </w:rPr>
        <w:lastRenderedPageBreak/>
        <w:t>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5B6CD1C6" w14:textId="78B88366" w:rsidR="006112E9" w:rsidRPr="006D7E12" w:rsidRDefault="00D044F7">
      <w:pPr>
        <w:spacing w:before="120" w:after="120" w:line="276" w:lineRule="auto"/>
        <w:ind w:firstLine="709"/>
        <w:jc w:val="both"/>
        <w:rPr>
          <w:rFonts w:ascii="Arial" w:hAnsi="Arial" w:cs="Arial"/>
          <w:color w:val="000000" w:themeColor="text1"/>
        </w:rPr>
      </w:pPr>
      <w:r w:rsidRPr="006D7E12">
        <w:rPr>
          <w:rFonts w:ascii="Arial" w:hAnsi="Arial" w:cs="Arial"/>
          <w:color w:val="000000" w:themeColor="text1"/>
        </w:rPr>
        <w:t xml:space="preserve">La noción «seleccionar de forma objetiva», contenida en la disposición </w:t>
      </w:r>
      <w:r w:rsidRPr="006D7E12">
        <w:rPr>
          <w:rFonts w:ascii="Arial" w:hAnsi="Arial" w:cs="Arial"/>
          <w:i/>
          <w:iCs/>
          <w:color w:val="000000" w:themeColor="text1"/>
        </w:rPr>
        <w:t xml:space="preserve">sub examine </w:t>
      </w:r>
      <w:r w:rsidRPr="006D7E12">
        <w:rPr>
          <w:rFonts w:ascii="Arial" w:hAnsi="Arial" w:cs="Arial"/>
          <w:color w:val="000000" w:themeColor="text1"/>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20050A2E" w14:textId="2D691DE8" w:rsidR="00906730" w:rsidRPr="006D7E12" w:rsidRDefault="00906730" w:rsidP="00D044F7">
      <w:pPr>
        <w:spacing w:before="120" w:after="120" w:line="276" w:lineRule="auto"/>
        <w:ind w:firstLine="709"/>
        <w:jc w:val="both"/>
        <w:rPr>
          <w:rFonts w:ascii="Arial" w:hAnsi="Arial" w:cs="Arial"/>
        </w:rPr>
      </w:pPr>
      <w:r w:rsidRPr="006D7E12">
        <w:rPr>
          <w:rFonts w:ascii="Arial" w:hAnsi="Arial" w:cs="Aria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 </w:t>
      </w:r>
    </w:p>
    <w:p w14:paraId="06EFCAEA" w14:textId="359DD743" w:rsidR="004F5C70" w:rsidRPr="006D7E12" w:rsidRDefault="004F5C70" w:rsidP="00820B42">
      <w:pPr>
        <w:spacing w:after="120" w:line="276" w:lineRule="auto"/>
        <w:ind w:firstLine="709"/>
        <w:jc w:val="both"/>
        <w:rPr>
          <w:rFonts w:ascii="Arial" w:eastAsia="Calibri" w:hAnsi="Arial" w:cs="Arial"/>
        </w:rPr>
      </w:pPr>
      <w:r w:rsidRPr="006D7E12">
        <w:rPr>
          <w:rFonts w:ascii="Arial" w:hAnsi="Arial" w:cs="Arial"/>
        </w:rPr>
        <w:t>Ahora bien, e</w:t>
      </w:r>
      <w:r w:rsidRPr="006D7E12">
        <w:rPr>
          <w:rFonts w:ascii="Arial" w:eastAsia="Calibri" w:hAnsi="Arial" w:cs="Arial"/>
        </w:rPr>
        <w:t>l Consejo de Estado, en el Auto del 6 de agosto de 2019 de la Sección Tercera, Subsección A –</w:t>
      </w:r>
      <w:proofErr w:type="spellStart"/>
      <w:r w:rsidRPr="006D7E12">
        <w:rPr>
          <w:rFonts w:ascii="Arial" w:eastAsia="Calibri" w:hAnsi="Arial" w:cs="Arial"/>
        </w:rPr>
        <w:t>Exp</w:t>
      </w:r>
      <w:proofErr w:type="spellEnd"/>
      <w:r w:rsidRPr="006D7E12">
        <w:rPr>
          <w:rFonts w:ascii="Arial" w:eastAsia="Calibri" w:hAnsi="Arial" w:cs="Arial"/>
        </w:rPr>
        <w:t>. 62.003–, estudió la solicitud de suspensión provisional</w:t>
      </w:r>
      <w:r w:rsidRPr="006D7E12">
        <w:rPr>
          <w:rStyle w:val="Refdenotaalpie"/>
          <w:rFonts w:ascii="Arial" w:eastAsia="Calibri" w:hAnsi="Arial" w:cs="Arial"/>
        </w:rPr>
        <w:footnoteReference w:id="46"/>
      </w:r>
      <w:r w:rsidRPr="006D7E12">
        <w:rPr>
          <w:rFonts w:ascii="Arial" w:eastAsia="Calibri" w:hAnsi="Arial" w:cs="Arial"/>
        </w:rPr>
        <w:t xml:space="preserve"> del inciso 2 del artículo 1, literales a y c del artículo 2, inciso 5 del artículo 2, inciso 2 del artículo 3, inciso final del artículo 4 y artículo 5 del Decreto 92 de 2017. No obstante, sobre esta última norma concluyó que el análisis de esta disposición debe realizarse a profundidad para </w:t>
      </w:r>
      <w:r w:rsidRPr="006D7E12">
        <w:rPr>
          <w:rFonts w:ascii="Arial" w:eastAsia="Calibri" w:hAnsi="Arial" w:cs="Arial"/>
        </w:rPr>
        <w:lastRenderedPageBreak/>
        <w:t xml:space="preserve">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6D7E12">
        <w:rPr>
          <w:rFonts w:ascii="Arial" w:eastAsia="Calibri" w:hAnsi="Arial" w:cs="Arial"/>
          <w:i/>
          <w:iCs/>
        </w:rPr>
        <w:t>convenio de asociación</w:t>
      </w:r>
      <w:r w:rsidRPr="006D7E12">
        <w:rPr>
          <w:rFonts w:ascii="Arial" w:eastAsia="Calibri" w:hAnsi="Arial" w:cs="Arial"/>
        </w:rPr>
        <w:t xml:space="preserve"> con ESAL de reconocida idoneidad para el cumplimiento de las funciones que la ley les asigna a las entidades públicas, debe aplicarse lo dispuesto en el artículo 5 del Decreto 092 de 2017. </w:t>
      </w:r>
    </w:p>
    <w:p w14:paraId="3B35BCCC" w14:textId="77777777" w:rsidR="00080F8E" w:rsidRPr="006D7E12" w:rsidRDefault="00080F8E" w:rsidP="00080F8E">
      <w:pPr>
        <w:spacing w:line="276" w:lineRule="auto"/>
        <w:ind w:firstLine="709"/>
        <w:jc w:val="both"/>
        <w:rPr>
          <w:rFonts w:ascii="Arial" w:hAnsi="Arial" w:cs="Arial"/>
          <w:bCs/>
          <w:color w:val="000000"/>
          <w:lang w:eastAsia="es-CO"/>
        </w:rPr>
      </w:pPr>
      <w:r w:rsidRPr="006D7E12">
        <w:rPr>
          <w:rFonts w:ascii="Arial" w:eastAsia="Calibri" w:hAnsi="Arial" w:cs="Arial"/>
          <w:color w:val="000000" w:themeColor="text1"/>
        </w:rPr>
        <w:t xml:space="preserve">En este contexto, para la restricción del artículo 33 de la </w:t>
      </w:r>
      <w:r w:rsidRPr="006D7E12">
        <w:rPr>
          <w:rFonts w:ascii="Arial" w:hAnsi="Arial" w:cs="Arial"/>
          <w:bCs/>
          <w:color w:val="000000"/>
          <w:lang w:eastAsia="es-CO"/>
        </w:rPr>
        <w:t xml:space="preserve">Ley 996 de 2005 es necesario considerar que </w:t>
      </w:r>
      <w:r w:rsidRPr="006D7E12">
        <w:rPr>
          <w:rFonts w:ascii="Arial" w:eastAsia="Calibri" w:hAnsi="Arial" w:cs="Arial"/>
          <w:lang w:val="es-ES"/>
        </w:rPr>
        <w:t>el Decreto 092 de 2017</w:t>
      </w:r>
      <w:r w:rsidRPr="006D7E12">
        <w:rPr>
          <w:rFonts w:ascii="Arial" w:hAnsi="Arial" w:cs="Arial"/>
          <w:bCs/>
          <w:color w:val="000000"/>
          <w:lang w:eastAsia="es-CO"/>
        </w:rPr>
        <w:t xml:space="preserve"> consagra un régimen jurídico que exceptúa la aplicación del Estatuto General de Contratación de la Administración Pública. Pese a lo anterior, 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6D7E12">
        <w:rPr>
          <w:rFonts w:ascii="Arial" w:hAnsi="Arial" w:cs="Arial"/>
          <w:bCs/>
          <w:i/>
          <w:iCs/>
          <w:color w:val="00000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6D7E12">
        <w:rPr>
          <w:rFonts w:ascii="Arial" w:hAnsi="Arial" w:cs="Arial"/>
          <w:bCs/>
          <w:color w:val="000000"/>
          <w:lang w:eastAsia="es-CO"/>
        </w:rPr>
        <w:t>»</w:t>
      </w:r>
      <w:r w:rsidRPr="006D7E12">
        <w:rPr>
          <w:rStyle w:val="Refdenotaalpie"/>
          <w:rFonts w:ascii="Arial" w:hAnsi="Arial" w:cs="Arial"/>
          <w:bCs/>
          <w:color w:val="000000"/>
          <w:lang w:eastAsia="es-CO"/>
        </w:rPr>
        <w:footnoteReference w:id="47"/>
      </w:r>
      <w:r w:rsidRPr="006D7E12">
        <w:rPr>
          <w:rFonts w:ascii="Arial" w:hAnsi="Arial" w:cs="Arial"/>
          <w:bCs/>
          <w:color w:val="000000"/>
          <w:lang w:eastAsia="es-CO"/>
        </w:rPr>
        <w:t xml:space="preserve"> (Énfasis fuera de texto). </w:t>
      </w:r>
    </w:p>
    <w:p w14:paraId="366E29C6" w14:textId="30CD0911" w:rsidR="00080F8E" w:rsidRPr="006D7E12" w:rsidRDefault="00080F8E" w:rsidP="00BE1101">
      <w:pPr>
        <w:spacing w:line="276" w:lineRule="auto"/>
        <w:ind w:firstLine="709"/>
        <w:jc w:val="both"/>
        <w:rPr>
          <w:rFonts w:ascii="Arial" w:hAnsi="Arial" w:cs="Arial"/>
          <w:bCs/>
          <w:color w:val="000000"/>
          <w:lang w:eastAsia="es-CO"/>
        </w:rPr>
      </w:pPr>
      <w:bookmarkStart w:id="73" w:name="_Hlk100680351"/>
      <w:r w:rsidRPr="006D7E12">
        <w:rPr>
          <w:rFonts w:ascii="Arial" w:hAnsi="Arial" w:cs="Arial"/>
          <w:bCs/>
          <w:color w:val="000000"/>
          <w:lang w:eastAsia="es-CO"/>
        </w:rPr>
        <w:t>Por tanto, durante la vigencia de la prohibición del artículo 33 de la Ley 996 de 2005</w:t>
      </w:r>
      <w:r w:rsidR="00C94147" w:rsidRPr="006D7E12">
        <w:rPr>
          <w:rFonts w:ascii="Arial" w:hAnsi="Arial" w:cs="Arial"/>
          <w:bCs/>
          <w:color w:val="000000"/>
          <w:lang w:eastAsia="es-CO"/>
        </w:rPr>
        <w:t xml:space="preserve"> –sin perjuicio de las excepciones dispuestas en el inciso segundo </w:t>
      </w:r>
      <w:r w:rsidR="00C94147" w:rsidRPr="006D7E12">
        <w:rPr>
          <w:rFonts w:ascii="Arial" w:hAnsi="Arial" w:cs="Arial"/>
          <w:bCs/>
          <w:i/>
          <w:iCs/>
          <w:color w:val="000000"/>
          <w:lang w:eastAsia="es-CO"/>
        </w:rPr>
        <w:t>ibidem</w:t>
      </w:r>
      <w:r w:rsidR="00C94147" w:rsidRPr="006D7E12">
        <w:rPr>
          <w:rFonts w:ascii="Arial" w:hAnsi="Arial" w:cs="Arial"/>
          <w:bCs/>
          <w:color w:val="000000"/>
          <w:lang w:eastAsia="es-CO"/>
        </w:rPr>
        <w:t>–</w:t>
      </w:r>
      <w:r w:rsidRPr="006D7E12">
        <w:rPr>
          <w:rFonts w:ascii="Arial" w:hAnsi="Arial" w:cs="Arial"/>
          <w:bCs/>
          <w:color w:val="000000"/>
          <w:lang w:eastAsia="es-CO"/>
        </w:rPr>
        <w:t xml:space="preserve"> está restringida cualquier modalidad de selección que excluya la pluralidad de oferentes.</w:t>
      </w:r>
      <w:r w:rsidR="008870AC" w:rsidRPr="006D7E12">
        <w:rPr>
          <w:rFonts w:ascii="Arial" w:hAnsi="Arial" w:cs="Arial"/>
          <w:bCs/>
          <w:color w:val="000000"/>
          <w:lang w:eastAsia="es-CO"/>
        </w:rPr>
        <w:t xml:space="preserve"> </w:t>
      </w:r>
      <w:r w:rsidR="00C94147" w:rsidRPr="006D7E12">
        <w:rPr>
          <w:rFonts w:ascii="Arial" w:hAnsi="Arial" w:cs="Arial"/>
          <w:bCs/>
          <w:color w:val="000000"/>
          <w:lang w:eastAsia="es-CO"/>
        </w:rPr>
        <w:t>Respecto al régimen de contratación de las ESAL</w:t>
      </w:r>
      <w:r w:rsidR="008870AC" w:rsidRPr="006D7E12">
        <w:rPr>
          <w:rFonts w:ascii="Arial" w:hAnsi="Arial" w:cs="Arial"/>
          <w:bCs/>
          <w:color w:val="000000"/>
          <w:lang w:eastAsia="es-CO"/>
        </w:rPr>
        <w:t xml:space="preserve">, </w:t>
      </w:r>
      <w:r w:rsidR="00462FFD" w:rsidRPr="006D7E12">
        <w:rPr>
          <w:rFonts w:ascii="Arial" w:hAnsi="Arial" w:cs="Arial"/>
          <w:bCs/>
          <w:color w:val="000000"/>
          <w:lang w:eastAsia="es-CO"/>
        </w:rPr>
        <w:t>esto</w:t>
      </w:r>
      <w:r w:rsidR="00C94147" w:rsidRPr="006D7E12">
        <w:rPr>
          <w:rFonts w:ascii="Arial" w:hAnsi="Arial" w:cs="Arial"/>
          <w:bCs/>
          <w:color w:val="000000"/>
          <w:lang w:eastAsia="es-CO"/>
        </w:rPr>
        <w:t xml:space="preserve"> es congruente con </w:t>
      </w:r>
      <w:r w:rsidR="008870AC" w:rsidRPr="006D7E12">
        <w:rPr>
          <w:rFonts w:ascii="Arial" w:hAnsi="Arial" w:cs="Arial"/>
          <w:bCs/>
          <w:color w:val="000000"/>
          <w:lang w:eastAsia="es-CO"/>
        </w:rPr>
        <w:t xml:space="preserve">el numeral </w:t>
      </w:r>
      <w:r w:rsidR="00C94147" w:rsidRPr="006D7E12">
        <w:rPr>
          <w:rFonts w:ascii="Arial" w:hAnsi="Arial" w:cs="Arial"/>
          <w:bCs/>
          <w:color w:val="000000"/>
          <w:lang w:eastAsia="es-CO"/>
        </w:rPr>
        <w:t xml:space="preserve">15.4 de </w:t>
      </w:r>
      <w:r w:rsidR="008870AC" w:rsidRPr="006D7E12">
        <w:rPr>
          <w:rFonts w:ascii="Arial" w:eastAsia="Arial" w:hAnsi="Arial" w:cs="Arial"/>
          <w:lang w:val="es-ES" w:eastAsia="es-ES" w:bidi="es-ES"/>
        </w:rPr>
        <w:t>la Circular Externa Única de Colombia Compra Eficiente</w:t>
      </w:r>
      <w:r w:rsidR="00C94147" w:rsidRPr="006D7E12">
        <w:rPr>
          <w:rFonts w:ascii="Arial" w:eastAsia="Arial" w:hAnsi="Arial" w:cs="Arial"/>
          <w:lang w:val="es-ES" w:eastAsia="es-ES" w:bidi="es-ES"/>
        </w:rPr>
        <w:t xml:space="preserve">, </w:t>
      </w:r>
      <w:r w:rsidR="00462FFD" w:rsidRPr="006D7E12">
        <w:rPr>
          <w:rFonts w:ascii="Arial" w:eastAsia="Arial" w:hAnsi="Arial" w:cs="Arial"/>
          <w:lang w:val="es-ES" w:eastAsia="es-ES" w:bidi="es-ES"/>
        </w:rPr>
        <w:t>en el entendido que</w:t>
      </w:r>
      <w:r w:rsidR="00C94147" w:rsidRPr="006D7E12">
        <w:rPr>
          <w:rFonts w:ascii="Arial" w:eastAsia="Arial" w:hAnsi="Arial" w:cs="Arial"/>
          <w:lang w:val="es-ES" w:eastAsia="es-ES" w:bidi="es-ES"/>
        </w:rPr>
        <w:t xml:space="preserve"> «</w:t>
      </w:r>
      <w:r w:rsidR="00C94147" w:rsidRPr="006D7E12">
        <w:rPr>
          <w:rFonts w:ascii="Arial" w:eastAsia="Arial" w:hAnsi="Arial" w:cs="Arial"/>
          <w:lang w:eastAsia="es-ES" w:bidi="es-ES"/>
        </w:rPr>
        <w:t>Se encuentran restringidas las contrataciones que en el marco del Decreto 092 de 2017 se realicen a través de procesos no competitivos […]»</w:t>
      </w:r>
      <w:r w:rsidR="00462FFD" w:rsidRPr="006D7E12">
        <w:rPr>
          <w:rFonts w:ascii="Arial" w:eastAsia="Arial" w:hAnsi="Arial" w:cs="Arial"/>
          <w:lang w:eastAsia="es-ES" w:bidi="es-ES"/>
        </w:rPr>
        <w:t>. Por el contrario</w:t>
      </w:r>
      <w:r w:rsidR="00C94147" w:rsidRPr="006D7E12">
        <w:rPr>
          <w:rFonts w:ascii="Arial" w:eastAsia="Arial" w:hAnsi="Arial" w:cs="Arial"/>
          <w:lang w:eastAsia="es-ES" w:bidi="es-ES"/>
        </w:rPr>
        <w:t>, «Los procesos competitivos que se adelanten en el marco del Decreto 092 de 2017 no se encuentran restringidos por la Ley de Garantías».</w:t>
      </w:r>
    </w:p>
    <w:p w14:paraId="23443A29" w14:textId="45DC8D3E" w:rsidR="00080F8E" w:rsidRPr="006D7E12" w:rsidRDefault="00462FFD" w:rsidP="00462FFD">
      <w:pPr>
        <w:spacing w:line="276" w:lineRule="auto"/>
        <w:ind w:firstLine="709"/>
        <w:jc w:val="both"/>
        <w:rPr>
          <w:rFonts w:ascii="Arial" w:eastAsia="Calibri" w:hAnsi="Arial" w:cs="Arial"/>
          <w:color w:val="000000" w:themeColor="text1"/>
        </w:rPr>
      </w:pPr>
      <w:r w:rsidRPr="006D7E12">
        <w:rPr>
          <w:rFonts w:ascii="Arial" w:eastAsia="Calibri" w:hAnsi="Arial" w:cs="Arial"/>
          <w:color w:val="000000" w:themeColor="text1"/>
          <w:lang w:val="es-MX"/>
        </w:rPr>
        <w:t>De otra parte, en cuanto a la restricción del parágrafo del artículo 38 de la Ley de 996 de 2005, conforme se explicó</w:t>
      </w:r>
      <w:r w:rsidRPr="006D7E12">
        <w:rPr>
          <w:rFonts w:ascii="Arial" w:eastAsia="Calibri" w:hAnsi="Arial" w:cs="Arial"/>
          <w:i/>
          <w:iCs/>
          <w:color w:val="000000" w:themeColor="text1"/>
          <w:lang w:val="es-MX"/>
        </w:rPr>
        <w:t xml:space="preserve"> ut supra,</w:t>
      </w:r>
      <w:r w:rsidRPr="006D7E12">
        <w:rPr>
          <w:rFonts w:ascii="Arial" w:eastAsia="Calibri" w:hAnsi="Arial" w:cs="Arial"/>
          <w:color w:val="000000" w:themeColor="text1"/>
          <w:lang w:val="es-MX"/>
        </w:rPr>
        <w:t xml:space="preserve"> esta solo aplica a convenios interadministrativos, es decir, a aquellos en los que ambos extremos de la relación contractual están conformados por entidades estatales. Esto significa que esta restricción no es aplicable a la celebración de contratos o convenios con ESAL, ya que este tipo de acuerdos son celebrados entre entidades estatales y entidades privadas sin ánimo de lucro. Es decir, no cumplen con el criterio orgánico que determina la calidad de interadministrativo. </w:t>
      </w:r>
      <w:r w:rsidRPr="006D7E12">
        <w:rPr>
          <w:rFonts w:ascii="Arial" w:eastAsia="Calibri" w:hAnsi="Arial" w:cs="Arial"/>
          <w:color w:val="000000" w:themeColor="text1"/>
        </w:rPr>
        <w:t> </w:t>
      </w:r>
    </w:p>
    <w:bookmarkEnd w:id="73"/>
    <w:p w14:paraId="39236395" w14:textId="2EC1D423" w:rsidR="000D38A1" w:rsidRPr="006D7E12" w:rsidRDefault="000D38A1">
      <w:pPr>
        <w:spacing w:after="0" w:line="276" w:lineRule="auto"/>
        <w:ind w:firstLine="709"/>
        <w:jc w:val="both"/>
        <w:rPr>
          <w:rFonts w:ascii="Arial" w:eastAsia="Calibri" w:hAnsi="Arial" w:cs="Arial"/>
          <w:color w:val="000000" w:themeColor="text1"/>
        </w:rPr>
      </w:pPr>
      <w:r w:rsidRPr="006D7E12">
        <w:rPr>
          <w:rFonts w:ascii="Arial" w:eastAsia="Calibri" w:hAnsi="Arial" w:cs="Arial"/>
          <w:color w:val="000000" w:themeColor="text1"/>
          <w:lang w:val="es-ES"/>
        </w:rPr>
        <w:lastRenderedPageBreak/>
        <w:t xml:space="preserve">De esta manera, </w:t>
      </w:r>
      <w:r w:rsidR="00AB2D55" w:rsidRPr="006D7E12">
        <w:rPr>
          <w:rFonts w:ascii="Arial" w:eastAsia="Calibri" w:hAnsi="Arial" w:cs="Arial"/>
          <w:color w:val="000000" w:themeColor="text1"/>
          <w:lang w:val="es-ES"/>
        </w:rPr>
        <w:t>respecto</w:t>
      </w:r>
      <w:r w:rsidRPr="006D7E12">
        <w:rPr>
          <w:rFonts w:ascii="Arial" w:eastAsia="Calibri" w:hAnsi="Arial" w:cs="Arial"/>
          <w:color w:val="000000" w:themeColor="text1"/>
          <w:lang w:val="es-ES"/>
        </w:rPr>
        <w:t xml:space="preserve"> a la celebración de convenios con ESAL en vigencia de la restricción del artículo 33 de la Ley de Garantías, se concluye que, esto solo será posible cuando dicho tipo de acuerdos se realicen a través de la modalidad </w:t>
      </w:r>
      <w:r w:rsidRPr="006D7E12">
        <w:rPr>
          <w:rFonts w:ascii="Arial" w:eastAsia="Calibri" w:hAnsi="Arial" w:cs="Arial"/>
          <w:i/>
          <w:iCs/>
          <w:color w:val="000000" w:themeColor="text1"/>
          <w:lang w:val="es-ES"/>
        </w:rPr>
        <w:t>competitiva</w:t>
      </w:r>
      <w:r w:rsidRPr="006D7E12">
        <w:rPr>
          <w:rFonts w:ascii="Arial" w:eastAsia="Calibri" w:hAnsi="Arial" w:cs="Arial"/>
          <w:color w:val="000000" w:themeColor="text1"/>
          <w:lang w:val="es-ES"/>
        </w:rPr>
        <w:t xml:space="preserve">, mientras que la celebración de este tipo de convenios en la modalidad </w:t>
      </w:r>
      <w:r w:rsidRPr="006D7E12">
        <w:rPr>
          <w:rFonts w:ascii="Arial" w:eastAsia="Calibri" w:hAnsi="Arial" w:cs="Arial"/>
          <w:i/>
          <w:iCs/>
          <w:color w:val="000000" w:themeColor="text1"/>
          <w:lang w:val="es-ES"/>
        </w:rPr>
        <w:t>no competitiva</w:t>
      </w:r>
      <w:r w:rsidRPr="006D7E12">
        <w:rPr>
          <w:rFonts w:ascii="Arial" w:eastAsia="Calibri" w:hAnsi="Arial" w:cs="Arial"/>
          <w:color w:val="000000" w:themeColor="text1"/>
          <w:lang w:val="es-ES"/>
        </w:rPr>
        <w:t xml:space="preserve"> sí estaría prohibida durante el periodo de esta restricción. De igual forma, es posible concluir que, la celebración de estos contratos con entidades privadas sin ánimo de lucro, </w:t>
      </w:r>
      <w:r w:rsidRPr="006D7E12">
        <w:rPr>
          <w:rFonts w:ascii="Arial" w:eastAsia="Calibri" w:hAnsi="Arial" w:cs="Arial"/>
          <w:i/>
          <w:iCs/>
          <w:color w:val="000000" w:themeColor="text1"/>
          <w:lang w:val="es-ES"/>
        </w:rPr>
        <w:t xml:space="preserve">per se, </w:t>
      </w:r>
      <w:r w:rsidRPr="006D7E12">
        <w:rPr>
          <w:rFonts w:ascii="Arial" w:eastAsia="Calibri" w:hAnsi="Arial" w:cs="Arial"/>
          <w:color w:val="000000" w:themeColor="text1"/>
          <w:lang w:val="es-ES"/>
        </w:rPr>
        <w:t>no está prohibida por la restricción del parágrafo del artículo 38 de la Ley 2069 de 2020, la cual solo es aplicable a convenios interadministrativos.</w:t>
      </w:r>
      <w:r w:rsidRPr="006D7E12">
        <w:rPr>
          <w:rFonts w:ascii="Arial" w:eastAsia="Calibri" w:hAnsi="Arial" w:cs="Arial"/>
          <w:color w:val="000000" w:themeColor="text1"/>
        </w:rPr>
        <w:t> </w:t>
      </w:r>
    </w:p>
    <w:p w14:paraId="7F5B96EF" w14:textId="77777777" w:rsidR="00667C06" w:rsidRPr="006D7E12" w:rsidRDefault="00667C06" w:rsidP="00667C06">
      <w:pPr>
        <w:spacing w:after="0" w:line="276" w:lineRule="auto"/>
        <w:ind w:firstLine="709"/>
        <w:contextualSpacing/>
        <w:jc w:val="both"/>
        <w:rPr>
          <w:rFonts w:ascii="Arial" w:eastAsia="Calibri" w:hAnsi="Arial" w:cs="Arial"/>
          <w:lang w:val="es-ES_tradnl"/>
        </w:rPr>
      </w:pPr>
    </w:p>
    <w:p w14:paraId="2A48EB4D" w14:textId="77777777" w:rsidR="00883C23" w:rsidRPr="006D7E12" w:rsidRDefault="00883C23" w:rsidP="00667C06">
      <w:pPr>
        <w:spacing w:after="0" w:line="276" w:lineRule="auto"/>
        <w:contextualSpacing/>
        <w:jc w:val="both"/>
        <w:rPr>
          <w:rFonts w:ascii="Arial" w:eastAsia="Calibri" w:hAnsi="Arial" w:cs="Arial"/>
          <w:b/>
        </w:rPr>
      </w:pPr>
      <w:r w:rsidRPr="006D7E12">
        <w:rPr>
          <w:rFonts w:ascii="Arial" w:eastAsia="Calibri" w:hAnsi="Arial" w:cs="Arial"/>
          <w:b/>
        </w:rPr>
        <w:t>3. Respuesta</w:t>
      </w:r>
    </w:p>
    <w:p w14:paraId="4A77B27A" w14:textId="77777777" w:rsidR="00883C23" w:rsidRPr="006D7E12" w:rsidRDefault="00883C23" w:rsidP="00667C06">
      <w:pPr>
        <w:spacing w:after="0" w:line="276" w:lineRule="auto"/>
        <w:contextualSpacing/>
        <w:jc w:val="both"/>
        <w:rPr>
          <w:rFonts w:ascii="Arial" w:eastAsia="Calibri" w:hAnsi="Arial" w:cs="Arial"/>
          <w:bCs/>
        </w:rPr>
      </w:pPr>
    </w:p>
    <w:p w14:paraId="498BF32B" w14:textId="621AE895" w:rsidR="004F2E72" w:rsidRPr="006D7E12" w:rsidRDefault="004F2E72" w:rsidP="004F2E72">
      <w:pPr>
        <w:spacing w:after="0" w:line="240" w:lineRule="auto"/>
        <w:ind w:left="709" w:right="709"/>
        <w:jc w:val="both"/>
        <w:rPr>
          <w:rFonts w:ascii="Arial" w:eastAsia="Times New Roman" w:hAnsi="Arial" w:cs="Arial"/>
          <w:sz w:val="21"/>
          <w:szCs w:val="21"/>
          <w:shd w:val="clear" w:color="auto" w:fill="FFFFFF"/>
          <w:lang w:eastAsia="es-CO"/>
        </w:rPr>
      </w:pPr>
      <w:bookmarkStart w:id="74" w:name="_Hlk57650395"/>
      <w:r w:rsidRPr="006D7E12">
        <w:rPr>
          <w:rFonts w:ascii="Arial" w:eastAsia="Times New Roman" w:hAnsi="Arial" w:cs="Arial"/>
          <w:sz w:val="21"/>
          <w:szCs w:val="21"/>
          <w:shd w:val="clear" w:color="auto" w:fill="FFFFFF"/>
          <w:lang w:eastAsia="es-CO"/>
        </w:rPr>
        <w:t>«[…] teniendo en cuenta la ley de garantías 996 de 2005, la Alcaldía puede celebrar convenios con ESAL para cumplir con lo estipulado en la Ley 1012 de 2006, referente a los apoyos económicos a estudiantes, dando a conocer que el municipio ya tiene constituido el Fondo educativo Municipal de Educación Superior»</w:t>
      </w:r>
      <w:r w:rsidR="000D38A1" w:rsidRPr="006D7E12">
        <w:rPr>
          <w:rFonts w:ascii="Arial" w:eastAsia="Times New Roman" w:hAnsi="Arial" w:cs="Arial"/>
          <w:sz w:val="21"/>
          <w:szCs w:val="21"/>
          <w:shd w:val="clear" w:color="auto" w:fill="FFFFFF"/>
          <w:lang w:eastAsia="es-CO"/>
        </w:rPr>
        <w:t>.</w:t>
      </w:r>
      <w:r w:rsidRPr="006D7E12">
        <w:rPr>
          <w:rFonts w:ascii="Arial" w:eastAsia="Times New Roman" w:hAnsi="Arial" w:cs="Arial"/>
          <w:sz w:val="21"/>
          <w:szCs w:val="21"/>
          <w:shd w:val="clear" w:color="auto" w:fill="FFFFFF"/>
          <w:lang w:eastAsia="es-CO"/>
        </w:rPr>
        <w:t xml:space="preserve"> </w:t>
      </w:r>
    </w:p>
    <w:p w14:paraId="03A49C47" w14:textId="77777777" w:rsidR="004F2E72" w:rsidRPr="006D7E12" w:rsidRDefault="004F2E72" w:rsidP="00BE1101">
      <w:pPr>
        <w:spacing w:after="0" w:line="276" w:lineRule="auto"/>
        <w:ind w:left="709" w:right="709"/>
        <w:jc w:val="both"/>
        <w:rPr>
          <w:rFonts w:ascii="Arial" w:eastAsia="Times New Roman" w:hAnsi="Arial" w:cs="Arial"/>
          <w:shd w:val="clear" w:color="auto" w:fill="FFFFFF"/>
          <w:lang w:eastAsia="es-CO"/>
        </w:rPr>
      </w:pPr>
    </w:p>
    <w:p w14:paraId="162B160D" w14:textId="23744E3C" w:rsidR="00AB0C32" w:rsidRPr="006D7E12" w:rsidRDefault="00486B76" w:rsidP="00BE1101">
      <w:pPr>
        <w:spacing w:after="120" w:line="276" w:lineRule="auto"/>
        <w:jc w:val="both"/>
        <w:rPr>
          <w:rFonts w:ascii="Arial" w:eastAsia="Calibri" w:hAnsi="Arial" w:cs="Arial"/>
          <w:bCs/>
          <w:lang w:val="es-ES_tradnl"/>
        </w:rPr>
      </w:pPr>
      <w:r w:rsidRPr="006D7E12">
        <w:rPr>
          <w:rFonts w:ascii="Arial" w:eastAsia="Times New Roman" w:hAnsi="Arial" w:cs="Arial"/>
          <w:bCs/>
          <w:lang w:val="es-MX" w:eastAsia="es-CO"/>
        </w:rPr>
        <w:t xml:space="preserve">De acuerdo con la interpretación de las normas generales del sistema de compras públicas, </w:t>
      </w:r>
      <w:r w:rsidR="00FE5DD8" w:rsidRPr="006D7E12">
        <w:rPr>
          <w:rFonts w:ascii="Arial" w:eastAsia="Times New Roman" w:hAnsi="Arial" w:cs="Arial"/>
          <w:bCs/>
          <w:lang w:val="es-MX" w:eastAsia="es-CO"/>
        </w:rPr>
        <w:t xml:space="preserve">sin perjuicio de </w:t>
      </w:r>
      <w:r w:rsidR="00FE5DD8" w:rsidRPr="006D7E12">
        <w:rPr>
          <w:rFonts w:ascii="Arial" w:eastAsia="Times New Roman" w:hAnsi="Arial" w:cs="Arial"/>
          <w:bCs/>
          <w:lang w:val="es-ES" w:eastAsia="es-CO"/>
        </w:rPr>
        <w:t>cada entidad defina la viabilidad técnica, jurídica y financiera de celebrar determinado contrato estatal en específico</w:t>
      </w:r>
      <w:r w:rsidRPr="006D7E12">
        <w:rPr>
          <w:rFonts w:ascii="Arial" w:eastAsia="Times New Roman" w:hAnsi="Arial" w:cs="Arial"/>
          <w:bCs/>
          <w:lang w:val="es-MX" w:eastAsia="es-CO"/>
        </w:rPr>
        <w:t>,</w:t>
      </w:r>
      <w:r w:rsidRPr="006D7E12" w:rsidDel="00BF36EC">
        <w:rPr>
          <w:rFonts w:ascii="Arial" w:eastAsia="Times New Roman" w:hAnsi="Arial" w:cs="Arial"/>
          <w:bCs/>
          <w:lang w:val="es-MX" w:eastAsia="es-CO"/>
        </w:rPr>
        <w:t xml:space="preserve"> </w:t>
      </w:r>
      <w:r w:rsidR="00AB0C32" w:rsidRPr="006D7E12">
        <w:rPr>
          <w:rFonts w:ascii="Arial" w:eastAsia="Calibri" w:hAnsi="Arial" w:cs="Arial"/>
          <w:bCs/>
          <w:lang w:val="es-ES_tradnl"/>
        </w:rPr>
        <w:t xml:space="preserve">el 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p>
    <w:p w14:paraId="49EACE78" w14:textId="184B5041" w:rsidR="00486B76" w:rsidRPr="006D7E12" w:rsidRDefault="00AB0C32" w:rsidP="00AB0C32">
      <w:pPr>
        <w:spacing w:after="120" w:line="276" w:lineRule="auto"/>
        <w:ind w:firstLine="708"/>
        <w:jc w:val="both"/>
        <w:rPr>
          <w:rFonts w:ascii="Arial" w:eastAsia="Calibri" w:hAnsi="Arial" w:cs="Arial"/>
          <w:bCs/>
          <w:lang w:val="es-ES_tradnl"/>
        </w:rPr>
      </w:pPr>
      <w:r w:rsidRPr="006D7E12">
        <w:rPr>
          <w:rFonts w:ascii="Arial" w:eastAsia="Calibri" w:hAnsi="Arial" w:cs="Arial"/>
          <w:bCs/>
          <w:lang w:val="es-ES_tradnl"/>
        </w:rPr>
        <w:t>En cuanto a los convenios del Decreto 092 de 2017</w:t>
      </w:r>
      <w:r w:rsidR="00EE6DF5" w:rsidRPr="006D7E12">
        <w:rPr>
          <w:rFonts w:ascii="Arial" w:eastAsia="Calibri" w:hAnsi="Arial" w:cs="Arial"/>
          <w:bCs/>
          <w:lang w:val="es-ES_tradnl"/>
        </w:rPr>
        <w:t xml:space="preserve"> con ESAL</w:t>
      </w:r>
      <w:r w:rsidRPr="006D7E12">
        <w:rPr>
          <w:rFonts w:ascii="Arial" w:eastAsia="Calibri" w:hAnsi="Arial" w:cs="Arial"/>
          <w:bCs/>
          <w:lang w:val="es-ES_tradnl"/>
        </w:rPr>
        <w:t xml:space="preserve">,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 En contraste, la restricción citada no aplicaría a los convenios que celebren las Entidades Estatales y entidades privadas sin ánimo de lucro bajo el procedimiento competitivo, pues este supone la pluralidad de oferentes y la selección objetiva del contratista.  </w:t>
      </w:r>
    </w:p>
    <w:p w14:paraId="74DB64FB" w14:textId="5F9A116F" w:rsidR="00AB0C32" w:rsidRPr="006D7E12" w:rsidRDefault="00AB0C32" w:rsidP="00AB0C32">
      <w:pPr>
        <w:spacing w:after="120" w:line="276" w:lineRule="auto"/>
        <w:ind w:firstLine="708"/>
        <w:jc w:val="both"/>
        <w:rPr>
          <w:rFonts w:ascii="Arial" w:eastAsia="Calibri" w:hAnsi="Arial" w:cs="Arial"/>
          <w:bCs/>
        </w:rPr>
      </w:pPr>
      <w:r w:rsidRPr="006D7E12">
        <w:rPr>
          <w:rFonts w:ascii="Arial" w:eastAsia="Calibri" w:hAnsi="Arial" w:cs="Arial"/>
          <w:bCs/>
        </w:rPr>
        <w:t xml:space="preserve">De otro lado, </w:t>
      </w:r>
      <w:r w:rsidRPr="006D7E12">
        <w:rPr>
          <w:rFonts w:ascii="Arial" w:eastAsia="Calibri" w:hAnsi="Arial" w:cs="Arial"/>
          <w:bCs/>
          <w:lang w:val="es-MX"/>
        </w:rPr>
        <w:t xml:space="preserve">el parágrafo del artículo 38 de la Ley de Garantías Electorales, establece una restricción en virtud de la cual, durante el periodo de cuatro meses anteriores a cualquier jornada de elecciones, las entidades territoriales no pueden suscribir convenios </w:t>
      </w:r>
      <w:r w:rsidRPr="006D7E12">
        <w:rPr>
          <w:rFonts w:ascii="Arial" w:eastAsia="Calibri" w:hAnsi="Arial" w:cs="Arial"/>
          <w:bCs/>
          <w:lang w:val="es-MX"/>
        </w:rPr>
        <w:lastRenderedPageBreak/>
        <w:t xml:space="preserve">interadministrativos que impliquen la ejecución de recursos públicos. Sin embargo, la modificación transitoria del artículo 124 de la Ley 2159 de 2021, </w:t>
      </w:r>
      <w:r w:rsidRPr="006D7E12">
        <w:rPr>
          <w:rFonts w:ascii="Arial" w:eastAsia="Calibri" w:hAnsi="Arial" w:cs="Arial"/>
          <w:bCs/>
        </w:rPr>
        <w:t xml:space="preserve">fijó ciertas condiciones temporales, subjetivas y materiales o teleológicas para la celebración de los convenios interadministrativos: i) que sean celebrados a partir de la publicación de la Ley del Presupuesto en el Diario Oficial y hasta el término de la vigencia fiscal 2022, </w:t>
      </w:r>
      <w:proofErr w:type="spellStart"/>
      <w:r w:rsidRPr="006D7E12">
        <w:rPr>
          <w:rFonts w:ascii="Arial" w:eastAsia="Calibri" w:hAnsi="Arial" w:cs="Arial"/>
          <w:bCs/>
        </w:rPr>
        <w:t>ii</w:t>
      </w:r>
      <w:proofErr w:type="spellEnd"/>
      <w:r w:rsidRPr="006D7E12">
        <w:rPr>
          <w:rFonts w:ascii="Arial" w:eastAsia="Calibri" w:hAnsi="Arial" w:cs="Arial"/>
          <w:bCs/>
        </w:rPr>
        <w:t xml:space="preserve">) que sean celebrados entre la Nación, por una parte, y las entidades territoriales, por otra, y </w:t>
      </w:r>
      <w:proofErr w:type="spellStart"/>
      <w:r w:rsidRPr="006D7E12">
        <w:rPr>
          <w:rFonts w:ascii="Arial" w:eastAsia="Calibri" w:hAnsi="Arial" w:cs="Arial"/>
          <w:bCs/>
        </w:rPr>
        <w:t>iii</w:t>
      </w:r>
      <w:proofErr w:type="spellEnd"/>
      <w:r w:rsidRPr="006D7E12">
        <w:rPr>
          <w:rFonts w:ascii="Arial" w:eastAsia="Calibri" w:hAnsi="Arial" w:cs="Arial"/>
          <w:bCs/>
        </w:rPr>
        <w:t>) que los convenios sean celebrados con el fin de ejecutar programas o proyectos que correspondan al Presupuesto General de la Nación</w:t>
      </w:r>
      <w:r w:rsidRPr="006D7E12">
        <w:rPr>
          <w:rFonts w:ascii="Arial" w:eastAsia="Calibri" w:hAnsi="Arial" w:cs="Arial"/>
          <w:bCs/>
          <w:lang w:val="es-MX"/>
        </w:rPr>
        <w:t>. De acuerdo con esto, a los convenios interadministrativos no relacionados con la ejecución de recursos del Presupuesto General Nacional, les aplicaría la restricción del artículo 38, no estando cobijados por la habilitación transitoria dispuesta en el artículo 124 de la Ley 2159 de 2021, al no cumplirse los mencionados requisitos.</w:t>
      </w:r>
      <w:r w:rsidRPr="006D7E12">
        <w:rPr>
          <w:rFonts w:ascii="Arial" w:eastAsia="Calibri" w:hAnsi="Arial" w:cs="Arial"/>
          <w:bCs/>
        </w:rPr>
        <w:t> </w:t>
      </w:r>
    </w:p>
    <w:p w14:paraId="2832421B" w14:textId="0B246964" w:rsidR="007B1ADA" w:rsidRPr="00CB149C" w:rsidRDefault="0034289F" w:rsidP="00CB149C">
      <w:pPr>
        <w:spacing w:after="120" w:line="276" w:lineRule="auto"/>
        <w:ind w:firstLine="709"/>
        <w:jc w:val="both"/>
        <w:rPr>
          <w:rFonts w:ascii="Arial" w:eastAsia="Calibri" w:hAnsi="Arial" w:cs="Arial"/>
          <w:color w:val="000000" w:themeColor="text1"/>
        </w:rPr>
      </w:pPr>
      <w:r w:rsidRPr="006D7E12">
        <w:rPr>
          <w:rFonts w:ascii="Arial" w:eastAsia="Calibri" w:hAnsi="Arial" w:cs="Arial"/>
          <w:color w:val="000000" w:themeColor="text1"/>
        </w:rPr>
        <w:t>Por último, es preciso advertir que los contratos del Decreto 092 de 2017</w:t>
      </w:r>
      <w:r w:rsidRPr="006D7E12">
        <w:rPr>
          <w:rFonts w:ascii="Arial" w:eastAsia="Calibri" w:hAnsi="Arial" w:cs="Arial"/>
          <w:i/>
          <w:iCs/>
          <w:color w:val="000000" w:themeColor="text1"/>
        </w:rPr>
        <w:t xml:space="preserve"> </w:t>
      </w:r>
      <w:r w:rsidRPr="006D7E12">
        <w:rPr>
          <w:rFonts w:ascii="Arial" w:eastAsia="Calibri" w:hAnsi="Arial" w:cs="Arial"/>
          <w:color w:val="000000" w:themeColor="text1"/>
        </w:rPr>
        <w:t>no entran dentro del ámbito de aplicación de la restricción del parágrafo del artículo 38 de la Ley 996 de 2021, pues esta norma se refiere exclusivamente a convenios interadministrativos. Esto dado que los convenios</w:t>
      </w:r>
      <w:r w:rsidRPr="006D7E12">
        <w:rPr>
          <w:rFonts w:ascii="Arial" w:eastAsia="Calibri" w:hAnsi="Arial" w:cs="Arial"/>
          <w:i/>
          <w:iCs/>
          <w:color w:val="000000" w:themeColor="text1"/>
        </w:rPr>
        <w:t xml:space="preserve"> </w:t>
      </w:r>
      <w:r w:rsidRPr="006D7E12">
        <w:rPr>
          <w:rFonts w:ascii="Arial" w:eastAsia="Calibri" w:hAnsi="Arial" w:cs="Arial"/>
          <w:color w:val="000000" w:themeColor="text1"/>
        </w:rPr>
        <w:t>son celebrados por Entidades Estatales con entidades privadas sin ánimo de lucro, correspondiendo a una naturaleza jurídica distinta de los convenios interadministrativos, los cuales son determinados por un criterio orgánico que exige que ambos extremos de la relación contractual sean entidades públicas.  </w:t>
      </w:r>
    </w:p>
    <w:p w14:paraId="43565C37" w14:textId="77777777"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r w:rsidRPr="006D7E12">
        <w:rPr>
          <w:rFonts w:ascii="Arial" w:eastAsia="Calibri" w:hAnsi="Arial" w:cs="Arial"/>
        </w:rPr>
        <w:t>Este concepto tiene el alcance previsto en el artículo 28 del Código de Procedimiento Administrativo y de lo Contencioso Administrativo.</w:t>
      </w:r>
      <w:r w:rsidRPr="006D7E12">
        <w:rPr>
          <w:rFonts w:ascii="Arial" w:eastAsia="Calibri" w:hAnsi="Arial" w:cs="Arial"/>
          <w:noProof/>
          <w:sz w:val="24"/>
          <w:lang w:eastAsia="es-CO"/>
        </w:rPr>
        <mc:AlternateContent>
          <mc:Choice Requires="wps">
            <w:drawing>
              <wp:anchor distT="0" distB="0" distL="114300" distR="114300" simplePos="0" relativeHeight="251659264" behindDoc="0" locked="0" layoutInCell="1" allowOverlap="1" wp14:anchorId="213D8542" wp14:editId="502E00A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D8691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631C94C0" w14:textId="77777777"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p>
    <w:p w14:paraId="5A8383BB" w14:textId="77777777" w:rsidR="00883C23" w:rsidRPr="006D7E12" w:rsidRDefault="00883C23" w:rsidP="00883C23">
      <w:pPr>
        <w:spacing w:after="200" w:line="276" w:lineRule="auto"/>
        <w:jc w:val="both"/>
        <w:rPr>
          <w:rFonts w:ascii="Arial" w:eastAsia="Times New Roman" w:hAnsi="Arial" w:cs="Arial"/>
          <w:lang w:eastAsia="es-CO"/>
        </w:rPr>
      </w:pPr>
      <w:r w:rsidRPr="006D7E12">
        <w:rPr>
          <w:rFonts w:ascii="Arial" w:eastAsia="Times New Roman" w:hAnsi="Arial" w:cs="Arial"/>
          <w:lang w:eastAsia="es-CO"/>
        </w:rPr>
        <w:t>Atentamente,</w:t>
      </w:r>
    </w:p>
    <w:p w14:paraId="0261920D" w14:textId="5932DBC7" w:rsidR="00883C23" w:rsidRPr="006D7E12" w:rsidRDefault="00425FC0" w:rsidP="00883C23">
      <w:pPr>
        <w:spacing w:after="200" w:line="276" w:lineRule="auto"/>
        <w:jc w:val="center"/>
        <w:rPr>
          <w:rFonts w:ascii="Arial" w:eastAsia="Times New Roman" w:hAnsi="Arial" w:cs="Arial"/>
          <w:sz w:val="18"/>
          <w:szCs w:val="20"/>
          <w:lang w:val="es-MX" w:eastAsia="es-CO"/>
        </w:rPr>
      </w:pPr>
      <w:r w:rsidRPr="009942C8">
        <w:rPr>
          <w:rFonts w:ascii="Arial" w:hAnsi="Arial" w:cs="Arial"/>
          <w:noProof/>
          <w:color w:val="000000" w:themeColor="text1"/>
          <w:lang w:val="es-ES_tradnl"/>
        </w:rPr>
        <w:drawing>
          <wp:inline distT="0" distB="0" distL="0" distR="0" wp14:anchorId="0F263AC3" wp14:editId="48A8F9AB">
            <wp:extent cx="2409825" cy="1025233"/>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0"/>
                    <a:stretch>
                      <a:fillRect/>
                    </a:stretch>
                  </pic:blipFill>
                  <pic:spPr>
                    <a:xfrm>
                      <a:off x="0" y="0"/>
                      <a:ext cx="2422103" cy="1030457"/>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6C314F" w:rsidRPr="006D7E12" w14:paraId="0494A309" w14:textId="77777777" w:rsidTr="00883C23">
        <w:trPr>
          <w:trHeight w:val="315"/>
        </w:trPr>
        <w:tc>
          <w:tcPr>
            <w:tcW w:w="812" w:type="dxa"/>
            <w:vAlign w:val="center"/>
            <w:hideMark/>
          </w:tcPr>
          <w:p w14:paraId="742CAC86"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70E38C89" w14:textId="0D668C78" w:rsidR="00883C23" w:rsidRPr="006D7E12" w:rsidRDefault="00647E66"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Diana Lucia Saavedra Castañeda</w:t>
            </w:r>
          </w:p>
          <w:p w14:paraId="64935E46" w14:textId="58D8E4A2" w:rsidR="00883C23" w:rsidRPr="006D7E12" w:rsidRDefault="00647E66"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Contratista</w:t>
            </w:r>
            <w:r w:rsidR="00883C23" w:rsidRPr="006D7E12">
              <w:rPr>
                <w:rFonts w:ascii="Arial" w:eastAsia="Times New Roman" w:hAnsi="Arial" w:cs="Arial"/>
                <w:sz w:val="16"/>
                <w:szCs w:val="16"/>
                <w:lang w:eastAsia="es-ES"/>
              </w:rPr>
              <w:t xml:space="preserve"> de la Subdirección de Gestión Contractual</w:t>
            </w:r>
          </w:p>
        </w:tc>
      </w:tr>
      <w:tr w:rsidR="006C314F" w:rsidRPr="006D7E12" w14:paraId="6BBD5900" w14:textId="77777777" w:rsidTr="00883C23">
        <w:trPr>
          <w:trHeight w:val="330"/>
        </w:trPr>
        <w:tc>
          <w:tcPr>
            <w:tcW w:w="812" w:type="dxa"/>
            <w:vAlign w:val="center"/>
            <w:hideMark/>
          </w:tcPr>
          <w:p w14:paraId="553F508F"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90251F1"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Juan David Montoya Penagos</w:t>
            </w:r>
          </w:p>
          <w:p w14:paraId="690E7C24"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Gestor T1-15 de la Subdirección de Gestión Contractual</w:t>
            </w:r>
          </w:p>
        </w:tc>
      </w:tr>
      <w:tr w:rsidR="006C314F" w:rsidRPr="006C314F" w14:paraId="548E02B4" w14:textId="77777777" w:rsidTr="00883C23">
        <w:trPr>
          <w:trHeight w:val="300"/>
        </w:trPr>
        <w:tc>
          <w:tcPr>
            <w:tcW w:w="812" w:type="dxa"/>
            <w:vAlign w:val="center"/>
            <w:hideMark/>
          </w:tcPr>
          <w:p w14:paraId="5A0C52BA"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63C089A" w14:textId="77777777" w:rsidR="004705F0" w:rsidRPr="006D7E12" w:rsidRDefault="004705F0" w:rsidP="004705F0">
            <w:pPr>
              <w:rPr>
                <w:rFonts w:ascii="Arial" w:eastAsia="Times New Roman" w:hAnsi="Arial" w:cs="Arial"/>
                <w:sz w:val="16"/>
                <w:szCs w:val="16"/>
                <w:lang w:val="es-ES" w:eastAsia="es-ES"/>
              </w:rPr>
            </w:pPr>
            <w:r w:rsidRPr="006D7E12">
              <w:rPr>
                <w:rFonts w:ascii="Arial" w:eastAsia="Times New Roman" w:hAnsi="Arial" w:cs="Arial"/>
                <w:sz w:val="16"/>
                <w:szCs w:val="16"/>
                <w:lang w:val="es-ES" w:eastAsia="es-ES"/>
              </w:rPr>
              <w:t>Andrés Ricardo Mancipe González</w:t>
            </w:r>
          </w:p>
          <w:p w14:paraId="0328F00E" w14:textId="2B67E4E1" w:rsidR="00883C23" w:rsidRPr="006C314F" w:rsidRDefault="004705F0" w:rsidP="004705F0">
            <w:pPr>
              <w:rPr>
                <w:rFonts w:ascii="Arial" w:eastAsia="Times New Roman" w:hAnsi="Arial" w:cs="Arial"/>
                <w:sz w:val="16"/>
                <w:szCs w:val="16"/>
                <w:lang w:eastAsia="es-ES"/>
              </w:rPr>
            </w:pPr>
            <w:r w:rsidRPr="006D7E12">
              <w:rPr>
                <w:rFonts w:ascii="Arial" w:eastAsia="Times New Roman" w:hAnsi="Arial" w:cs="Arial"/>
                <w:sz w:val="16"/>
                <w:szCs w:val="16"/>
                <w:lang w:val="es-ES" w:eastAsia="es-ES"/>
              </w:rPr>
              <w:t>Subdirector de Gestión Contractual (E)</w:t>
            </w:r>
          </w:p>
        </w:tc>
      </w:tr>
      <w:bookmarkEnd w:id="7"/>
      <w:bookmarkEnd w:id="74"/>
    </w:tbl>
    <w:p w14:paraId="670AA761" w14:textId="77777777" w:rsidR="00883C23" w:rsidRPr="006C314F" w:rsidRDefault="00883C23" w:rsidP="00883C23">
      <w:pPr>
        <w:spacing w:after="120" w:line="276" w:lineRule="auto"/>
        <w:contextualSpacing/>
        <w:jc w:val="both"/>
        <w:rPr>
          <w:rFonts w:ascii="Arial" w:eastAsia="Calibri" w:hAnsi="Arial" w:cs="Arial"/>
          <w:b/>
          <w:bCs/>
          <w:sz w:val="20"/>
          <w:szCs w:val="20"/>
          <w:lang w:val="es-MX"/>
        </w:rPr>
      </w:pPr>
    </w:p>
    <w:bookmarkEnd w:id="8"/>
    <w:p w14:paraId="0EB7EF9B" w14:textId="77777777" w:rsidR="00E71F3C" w:rsidRPr="006C314F" w:rsidRDefault="00E71F3C"/>
    <w:sectPr w:rsidR="00E71F3C" w:rsidRPr="006C314F" w:rsidSect="00BE1101">
      <w:headerReference w:type="default" r:id="rId11"/>
      <w:footerReference w:type="default" r:id="rId12"/>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2BBF" w14:textId="77777777" w:rsidR="00281B48" w:rsidRDefault="00281B48" w:rsidP="00883C23">
      <w:pPr>
        <w:spacing w:after="0" w:line="240" w:lineRule="auto"/>
      </w:pPr>
      <w:r>
        <w:separator/>
      </w:r>
    </w:p>
  </w:endnote>
  <w:endnote w:type="continuationSeparator" w:id="0">
    <w:p w14:paraId="1AB07BFB" w14:textId="77777777" w:rsidR="00281B48" w:rsidRDefault="00281B48" w:rsidP="0088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DF35" w14:textId="77777777" w:rsidR="00301B6D" w:rsidRDefault="00301B6D" w:rsidP="00301B6D">
    <w:pPr>
      <w:pStyle w:val="Sinespaciado"/>
      <w:rPr>
        <w:rFonts w:ascii="Arial" w:hAnsi="Arial" w:cs="Arial"/>
        <w:sz w:val="18"/>
        <w:szCs w:val="18"/>
      </w:rPr>
    </w:pPr>
  </w:p>
  <w:p w14:paraId="0D6BD032" w14:textId="77777777" w:rsidR="00301B6D" w:rsidRDefault="00301B6D" w:rsidP="00301B6D">
    <w:pPr>
      <w:pStyle w:val="Sinespaciado"/>
      <w:rPr>
        <w:rFonts w:ascii="Arial" w:hAnsi="Arial" w:cs="Arial"/>
        <w:sz w:val="18"/>
        <w:szCs w:val="18"/>
      </w:rPr>
    </w:pPr>
  </w:p>
  <w:p w14:paraId="7C1EBCC4" w14:textId="77777777" w:rsidR="00301B6D" w:rsidRPr="00883C23" w:rsidRDefault="00DB1FBD" w:rsidP="00301B6D">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p>
  <w:p w14:paraId="423CAAA8" w14:textId="77777777" w:rsidR="00301B6D" w:rsidRDefault="00DB1FBD" w:rsidP="00301B6D">
    <w:pPr>
      <w:pStyle w:val="Piedepgina"/>
      <w:jc w:val="center"/>
      <w:rPr>
        <w:lang w:val="es-ES"/>
      </w:rPr>
    </w:pPr>
    <w:r>
      <w:rPr>
        <w:noProof/>
        <w:lang w:val="es-CO" w:eastAsia="es-CO"/>
      </w:rPr>
      <w:drawing>
        <wp:inline distT="0" distB="0" distL="0" distR="0" wp14:anchorId="55A8C681" wp14:editId="46D427A4">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C6BC7D3" w14:textId="77777777" w:rsidR="00301B6D" w:rsidRDefault="00301B6D" w:rsidP="00301B6D">
    <w:pPr>
      <w:pStyle w:val="Piedepgina"/>
      <w:jc w:val="center"/>
      <w:rPr>
        <w:lang w:val="es-ES"/>
      </w:rPr>
    </w:pPr>
  </w:p>
  <w:p w14:paraId="3DDDA67F" w14:textId="77777777" w:rsidR="00301B6D" w:rsidRPr="007B0854" w:rsidRDefault="00301B6D" w:rsidP="00301B6D">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A3E1" w14:textId="77777777" w:rsidR="00281B48" w:rsidRDefault="00281B48" w:rsidP="00883C23">
      <w:pPr>
        <w:spacing w:after="0" w:line="240" w:lineRule="auto"/>
      </w:pPr>
      <w:r>
        <w:separator/>
      </w:r>
    </w:p>
  </w:footnote>
  <w:footnote w:type="continuationSeparator" w:id="0">
    <w:p w14:paraId="12C54E4B" w14:textId="77777777" w:rsidR="00281B48" w:rsidRDefault="00281B48" w:rsidP="00883C23">
      <w:pPr>
        <w:spacing w:after="0" w:line="240" w:lineRule="auto"/>
      </w:pPr>
      <w:r>
        <w:continuationSeparator/>
      </w:r>
    </w:p>
  </w:footnote>
  <w:footnote w:id="1">
    <w:p w14:paraId="36A31E4B" w14:textId="77777777" w:rsidR="00B64ACB" w:rsidRPr="00CB149C" w:rsidRDefault="00B64ACB" w:rsidP="00D044F7">
      <w:pPr>
        <w:pStyle w:val="Textonotapie"/>
        <w:spacing w:after="0" w:line="240" w:lineRule="auto"/>
        <w:ind w:firstLine="708"/>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w:t>
      </w:r>
    </w:p>
  </w:footnote>
  <w:footnote w:id="2">
    <w:p w14:paraId="64669357" w14:textId="77777777" w:rsidR="00176B7A" w:rsidRPr="00CB149C" w:rsidRDefault="00176B7A" w:rsidP="00D044F7">
      <w:pPr>
        <w:pStyle w:val="Textonotapie"/>
        <w:spacing w:after="0" w:line="240" w:lineRule="auto"/>
        <w:ind w:firstLine="708"/>
        <w:contextualSpacing/>
        <w:rPr>
          <w:rStyle w:val="Refdenotaalpie"/>
          <w:rFonts w:ascii="Arial" w:hAnsi="Arial" w:cs="Arial"/>
          <w:color w:val="000000" w:themeColor="text1"/>
          <w:sz w:val="16"/>
          <w:szCs w:val="16"/>
          <w:vertAlign w:val="baseline"/>
        </w:rPr>
      </w:pPr>
      <w:r w:rsidRPr="00CB149C">
        <w:rPr>
          <w:rStyle w:val="Refdenotaalpie"/>
          <w:rFonts w:ascii="Arial" w:hAnsi="Arial" w:cs="Arial"/>
          <w:color w:val="000000" w:themeColor="text1"/>
          <w:sz w:val="16"/>
          <w:szCs w:val="16"/>
        </w:rPr>
        <w:footnoteRef/>
      </w:r>
      <w:r w:rsidRPr="00CB149C">
        <w:rPr>
          <w:rStyle w:val="Refdenotaalpie"/>
          <w:rFonts w:ascii="Arial" w:hAnsi="Arial" w:cs="Arial"/>
          <w:color w:val="000000" w:themeColor="text1"/>
          <w:sz w:val="16"/>
          <w:szCs w:val="16"/>
        </w:rPr>
        <w:t xml:space="preserve"> </w:t>
      </w:r>
      <w:r w:rsidRPr="00CB149C">
        <w:rPr>
          <w:rStyle w:val="Refdenotaalpie"/>
          <w:rFonts w:ascii="Arial" w:hAnsi="Arial" w:cs="Arial"/>
          <w:color w:val="000000" w:themeColor="text1"/>
          <w:sz w:val="16"/>
          <w:szCs w:val="16"/>
          <w:vertAlign w:val="baseline"/>
        </w:rPr>
        <w:t>Ley 1012 de 2006. Artículo 1</w:t>
      </w:r>
      <w:r w:rsidRPr="00CB149C">
        <w:rPr>
          <w:rFonts w:ascii="Arial" w:hAnsi="Arial" w:cs="Arial"/>
          <w:color w:val="000000" w:themeColor="text1"/>
          <w:sz w:val="16"/>
          <w:szCs w:val="16"/>
        </w:rPr>
        <w:t>1</w:t>
      </w:r>
      <w:r w:rsidRPr="00CB149C">
        <w:rPr>
          <w:rStyle w:val="Refdenotaalpie"/>
          <w:rFonts w:ascii="Arial" w:hAnsi="Arial" w:cs="Arial"/>
          <w:color w:val="000000" w:themeColor="text1"/>
          <w:sz w:val="16"/>
          <w:szCs w:val="16"/>
          <w:vertAlign w:val="baseline"/>
        </w:rPr>
        <w:t xml:space="preserve">1. Con el fin de facilitar el ingreso y permanencia en las instituciones de educación superior a las personas de escasos ingresos económicos, la Nación, las entidades territoriales y las propias instituciones de este nivel de educación, establecerán una política general de ayudas y créditos para los mencionados estudiantes. Su ejecución le corresponderá al Instituto Colombiano de Crédito Educativo y Estudios Técnicos en el Exterior, </w:t>
      </w:r>
      <w:proofErr w:type="spellStart"/>
      <w:r w:rsidRPr="00CB149C">
        <w:rPr>
          <w:rStyle w:val="Refdenotaalpie"/>
          <w:rFonts w:ascii="Arial" w:hAnsi="Arial" w:cs="Arial"/>
          <w:color w:val="000000" w:themeColor="text1"/>
          <w:sz w:val="16"/>
          <w:szCs w:val="16"/>
          <w:vertAlign w:val="baseline"/>
        </w:rPr>
        <w:t>Icetex</w:t>
      </w:r>
      <w:proofErr w:type="spellEnd"/>
      <w:r w:rsidRPr="00CB149C">
        <w:rPr>
          <w:rStyle w:val="Refdenotaalpie"/>
          <w:rFonts w:ascii="Arial" w:hAnsi="Arial" w:cs="Arial"/>
          <w:color w:val="000000" w:themeColor="text1"/>
          <w:sz w:val="16"/>
          <w:szCs w:val="16"/>
          <w:vertAlign w:val="baseline"/>
        </w:rPr>
        <w:t>, y a los Fondos Educativos Departamentales y Municipales que para tales fines se creen. Estas entidades determinarán las modalidades o parámetros para el pago que por concepto de derechos pecuniarios hagan efectivas las instituciones de educación superior.</w:t>
      </w:r>
    </w:p>
  </w:footnote>
  <w:footnote w:id="3">
    <w:p w14:paraId="6922B33F" w14:textId="77777777" w:rsidR="00176B7A" w:rsidRPr="00CB149C" w:rsidRDefault="00176B7A" w:rsidP="00D044F7">
      <w:pPr>
        <w:pStyle w:val="Textonotapie"/>
        <w:spacing w:after="0" w:line="240" w:lineRule="auto"/>
        <w:ind w:firstLine="708"/>
        <w:contextualSpacing/>
        <w:rPr>
          <w:rStyle w:val="Refdenotaalpie"/>
          <w:rFonts w:ascii="Arial" w:hAnsi="Arial" w:cs="Arial"/>
          <w:color w:val="000000" w:themeColor="text1"/>
          <w:sz w:val="16"/>
          <w:szCs w:val="16"/>
          <w:vertAlign w:val="baseline"/>
        </w:rPr>
      </w:pPr>
      <w:r w:rsidRPr="00CB149C">
        <w:rPr>
          <w:rStyle w:val="Refdenotaalpie"/>
          <w:rFonts w:ascii="Arial" w:hAnsi="Arial" w:cs="Arial"/>
          <w:color w:val="000000" w:themeColor="text1"/>
          <w:sz w:val="16"/>
          <w:szCs w:val="16"/>
        </w:rPr>
        <w:footnoteRef/>
      </w:r>
      <w:r w:rsidRPr="00CB149C">
        <w:rPr>
          <w:rStyle w:val="Refdenotaalpie"/>
          <w:rFonts w:ascii="Arial" w:hAnsi="Arial" w:cs="Arial"/>
          <w:color w:val="000000" w:themeColor="text1"/>
          <w:sz w:val="16"/>
          <w:szCs w:val="16"/>
        </w:rPr>
        <w:t xml:space="preserve"> </w:t>
      </w:r>
      <w:r w:rsidRPr="00CB149C">
        <w:rPr>
          <w:rStyle w:val="Refdenotaalpie"/>
          <w:rFonts w:ascii="Arial" w:hAnsi="Arial" w:cs="Arial"/>
          <w:color w:val="000000" w:themeColor="text1"/>
          <w:sz w:val="16"/>
          <w:szCs w:val="16"/>
          <w:vertAlign w:val="baseline"/>
        </w:rPr>
        <w:t xml:space="preserve">Ley 1012 de 2006. Artículo 114. Los recursos fiscales de la Nación destinados a becas o a créditos educativos universitarios en Colombia, deberán ser girados exclusivamente al Instituto Colombiano de Crédito Educativo y Estudios Técnicos en el Exterior, </w:t>
      </w:r>
      <w:proofErr w:type="spellStart"/>
      <w:r w:rsidRPr="00CB149C">
        <w:rPr>
          <w:rStyle w:val="Refdenotaalpie"/>
          <w:rFonts w:ascii="Arial" w:hAnsi="Arial" w:cs="Arial"/>
          <w:color w:val="000000" w:themeColor="text1"/>
          <w:sz w:val="16"/>
          <w:szCs w:val="16"/>
          <w:vertAlign w:val="baseline"/>
        </w:rPr>
        <w:t>Icetex</w:t>
      </w:r>
      <w:proofErr w:type="spellEnd"/>
      <w:r w:rsidRPr="00CB149C">
        <w:rPr>
          <w:rStyle w:val="Refdenotaalpie"/>
          <w:rFonts w:ascii="Arial" w:hAnsi="Arial" w:cs="Arial"/>
          <w:color w:val="000000" w:themeColor="text1"/>
          <w:sz w:val="16"/>
          <w:szCs w:val="16"/>
          <w:vertAlign w:val="baseline"/>
        </w:rPr>
        <w:t>, y a él corresponde su administración.</w:t>
      </w:r>
    </w:p>
    <w:p w14:paraId="7343691A" w14:textId="77777777" w:rsidR="00176B7A" w:rsidRPr="00CB149C" w:rsidRDefault="00176B7A" w:rsidP="00D044F7">
      <w:pPr>
        <w:pStyle w:val="Textonotapie"/>
        <w:spacing w:after="0" w:line="240" w:lineRule="auto"/>
        <w:ind w:firstLine="708"/>
        <w:contextualSpacing/>
        <w:rPr>
          <w:rStyle w:val="Refdenotaalpie"/>
          <w:rFonts w:ascii="Arial" w:hAnsi="Arial" w:cs="Arial"/>
          <w:color w:val="000000" w:themeColor="text1"/>
          <w:sz w:val="16"/>
          <w:szCs w:val="16"/>
          <w:vertAlign w:val="baseline"/>
        </w:rPr>
      </w:pPr>
      <w:r w:rsidRPr="00CB149C">
        <w:rPr>
          <w:rStyle w:val="Refdenotaalpie"/>
          <w:rFonts w:ascii="Arial" w:hAnsi="Arial" w:cs="Arial"/>
          <w:color w:val="000000" w:themeColor="text1"/>
          <w:sz w:val="16"/>
          <w:szCs w:val="16"/>
          <w:vertAlign w:val="baseline"/>
        </w:rPr>
        <w:t xml:space="preserve">Parágrafo 1°. Los recursos que por cualquier concepto reciban las distintas entidades del Estado para ser utilizados como becas, subsidios o créditos educativos, deberán ser trasladados al Instituto Colombiano de Crédito Educativo y Estudios Técnicos en el Exterior, </w:t>
      </w:r>
      <w:proofErr w:type="spellStart"/>
      <w:r w:rsidRPr="00CB149C">
        <w:rPr>
          <w:rStyle w:val="Refdenotaalpie"/>
          <w:rFonts w:ascii="Arial" w:hAnsi="Arial" w:cs="Arial"/>
          <w:color w:val="000000" w:themeColor="text1"/>
          <w:sz w:val="16"/>
          <w:szCs w:val="16"/>
          <w:vertAlign w:val="baseline"/>
        </w:rPr>
        <w:t>Icetex</w:t>
      </w:r>
      <w:proofErr w:type="spellEnd"/>
      <w:r w:rsidRPr="00CB149C">
        <w:rPr>
          <w:rStyle w:val="Refdenotaalpie"/>
          <w:rFonts w:ascii="Arial" w:hAnsi="Arial" w:cs="Arial"/>
          <w:color w:val="000000" w:themeColor="text1"/>
          <w:sz w:val="16"/>
          <w:szCs w:val="16"/>
          <w:vertAlign w:val="baseline"/>
        </w:rPr>
        <w:t>, o a los Fondos Educativos que para fines de crédito se creen en las entidades territoriales a las que se refiere el parágrafo 2° del presente artículo.</w:t>
      </w:r>
    </w:p>
    <w:p w14:paraId="7C23F5E4" w14:textId="77777777" w:rsidR="00176B7A" w:rsidRPr="00CB149C" w:rsidRDefault="00176B7A" w:rsidP="00D044F7">
      <w:pPr>
        <w:pStyle w:val="Textonotapie"/>
        <w:spacing w:after="0" w:line="240" w:lineRule="auto"/>
        <w:ind w:firstLine="708"/>
        <w:contextualSpacing/>
        <w:rPr>
          <w:rFonts w:ascii="Arial" w:hAnsi="Arial" w:cs="Arial"/>
          <w:color w:val="000000" w:themeColor="text1"/>
          <w:sz w:val="16"/>
          <w:szCs w:val="16"/>
        </w:rPr>
      </w:pPr>
      <w:r w:rsidRPr="00CB149C">
        <w:rPr>
          <w:rStyle w:val="Refdenotaalpie"/>
          <w:rFonts w:ascii="Arial" w:hAnsi="Arial" w:cs="Arial"/>
          <w:color w:val="000000" w:themeColor="text1"/>
          <w:sz w:val="16"/>
          <w:szCs w:val="16"/>
          <w:vertAlign w:val="baseline"/>
        </w:rPr>
        <w:t>Parágrafo 2°. Los departamentos y municipios podrán crear o constituir con sus recursos propios, fondos destinados a créditos educativos universitarios.</w:t>
      </w:r>
    </w:p>
    <w:p w14:paraId="0A9D17F4" w14:textId="77777777" w:rsidR="00176B7A" w:rsidRPr="00CB149C" w:rsidRDefault="00176B7A" w:rsidP="00D044F7">
      <w:pPr>
        <w:pStyle w:val="Textonotapie"/>
        <w:spacing w:after="0" w:line="240" w:lineRule="auto"/>
        <w:ind w:firstLine="708"/>
        <w:contextualSpacing/>
        <w:rPr>
          <w:rFonts w:ascii="Arial" w:hAnsi="Arial" w:cs="Arial"/>
          <w:color w:val="000000" w:themeColor="text1"/>
          <w:sz w:val="16"/>
          <w:szCs w:val="16"/>
        </w:rPr>
      </w:pPr>
      <w:r w:rsidRPr="00CB149C">
        <w:rPr>
          <w:rFonts w:ascii="Arial" w:hAnsi="Arial" w:cs="Arial"/>
          <w:color w:val="000000" w:themeColor="text1"/>
          <w:sz w:val="16"/>
          <w:szCs w:val="16"/>
        </w:rPr>
        <w:t>[…]</w:t>
      </w:r>
    </w:p>
  </w:footnote>
  <w:footnote w:id="4">
    <w:p w14:paraId="7592975B"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A6FC354" w14:textId="4BC44309" w:rsidR="00883C23" w:rsidRPr="00CB149C" w:rsidRDefault="00883C23">
      <w:pPr>
        <w:pStyle w:val="Textonotapie"/>
        <w:spacing w:after="0" w:line="240" w:lineRule="auto"/>
        <w:ind w:firstLine="709"/>
        <w:contextualSpacing/>
        <w:rPr>
          <w:rFonts w:ascii="Arial" w:hAnsi="Arial" w:cs="Arial"/>
          <w:sz w:val="16"/>
          <w:szCs w:val="16"/>
        </w:rPr>
      </w:pPr>
      <w:r w:rsidRPr="00CB149C">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5">
    <w:p w14:paraId="4CA52D34"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Gaceta del Congreso de la República No. 71 del 2005.</w:t>
      </w:r>
    </w:p>
  </w:footnote>
  <w:footnote w:id="6">
    <w:p w14:paraId="77C40CDD"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 C- 1153 de 2005, M.P. Marco Gerardo Monroy Cabra.</w:t>
      </w:r>
    </w:p>
  </w:footnote>
  <w:footnote w:id="7">
    <w:p w14:paraId="372E667C"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8">
    <w:p w14:paraId="0A1E619E" w14:textId="77777777" w:rsidR="00883C23" w:rsidRPr="00CB149C" w:rsidRDefault="00883C23" w:rsidP="00D044F7">
      <w:pPr>
        <w:pStyle w:val="Textonotapie"/>
        <w:spacing w:after="0" w:line="240" w:lineRule="auto"/>
        <w:ind w:firstLine="709"/>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14:paraId="4A939136"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de fecha 24 de julio de 2013, radicado 2166, Consejero Ponente: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  </w:t>
      </w:r>
    </w:p>
  </w:footnote>
  <w:footnote w:id="10">
    <w:p w14:paraId="1A36A1E8"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9" w:name="33"/>
      <w:r w:rsidRPr="00CB149C">
        <w:rPr>
          <w:rFonts w:ascii="Arial" w:eastAsia="Calibri" w:hAnsi="Arial" w:cs="Arial"/>
          <w:bCs/>
          <w:color w:val="000000"/>
          <w:sz w:val="16"/>
          <w:szCs w:val="16"/>
        </w:rPr>
        <w:t>«</w:t>
      </w:r>
      <w:r w:rsidRPr="00CB149C">
        <w:rPr>
          <w:rFonts w:ascii="Arial" w:eastAsia="Times New Roman" w:hAnsi="Arial" w:cs="Arial"/>
          <w:sz w:val="16"/>
          <w:szCs w:val="16"/>
        </w:rPr>
        <w:t>Artículo 33. Restricciones a la contratación pública.</w:t>
      </w:r>
      <w:bookmarkEnd w:id="19"/>
      <w:r w:rsidRPr="00CB149C">
        <w:rPr>
          <w:rFonts w:ascii="Arial" w:eastAsia="Times New Roman"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3CEDFA3A"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Fonts w:ascii="Arial" w:eastAsia="Calibri" w:hAnsi="Arial" w:cs="Arial"/>
          <w:bCs/>
          <w:color w:val="000000"/>
          <w:sz w:val="16"/>
          <w:szCs w:val="16"/>
        </w:rPr>
        <w:t>»</w:t>
      </w:r>
      <w:r w:rsidRPr="00CB149C">
        <w:rPr>
          <w:rFonts w:ascii="Arial" w:eastAsia="Times New Roman"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B149C">
        <w:rPr>
          <w:rFonts w:ascii="Arial" w:eastAsia="Calibri" w:hAnsi="Arial" w:cs="Arial"/>
          <w:bCs/>
          <w:color w:val="000000"/>
          <w:sz w:val="16"/>
          <w:szCs w:val="16"/>
        </w:rPr>
        <w:t>»</w:t>
      </w:r>
      <w:r w:rsidRPr="00CB149C">
        <w:rPr>
          <w:rFonts w:ascii="Arial" w:eastAsia="Times New Roman" w:hAnsi="Arial" w:cs="Arial"/>
          <w:sz w:val="16"/>
          <w:szCs w:val="16"/>
        </w:rPr>
        <w:t>.</w:t>
      </w:r>
    </w:p>
  </w:footnote>
  <w:footnote w:id="11">
    <w:p w14:paraId="10A55EB6"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0" w:name="38"/>
      <w:r w:rsidRPr="00CB149C">
        <w:rPr>
          <w:rFonts w:ascii="Arial" w:eastAsia="Calibri" w:hAnsi="Arial" w:cs="Arial"/>
          <w:bCs/>
          <w:color w:val="000000"/>
          <w:sz w:val="16"/>
          <w:szCs w:val="16"/>
        </w:rPr>
        <w:t>«</w:t>
      </w:r>
      <w:r w:rsidRPr="00CB149C">
        <w:rPr>
          <w:rFonts w:ascii="Arial" w:hAnsi="Arial" w:cs="Arial"/>
          <w:sz w:val="16"/>
          <w:szCs w:val="16"/>
          <w:lang w:val="es-MX"/>
        </w:rPr>
        <w:t>Artículo 38. Prohibiciones para los servidores públicos. A los empleados del Estado les está prohibido:</w:t>
      </w:r>
      <w:bookmarkEnd w:id="20"/>
    </w:p>
    <w:p w14:paraId="332F2537"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Fonts w:ascii="Arial" w:hAnsi="Arial" w:cs="Arial"/>
          <w:sz w:val="16"/>
          <w:szCs w:val="16"/>
          <w:lang w:val="es-MX"/>
        </w:rPr>
        <w:t xml:space="preserve"> […]</w:t>
      </w:r>
    </w:p>
    <w:p w14:paraId="32B37231"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Style w:val="baj"/>
          <w:rFonts w:ascii="Arial" w:hAnsi="Arial" w:cs="Arial"/>
          <w:sz w:val="16"/>
          <w:szCs w:val="16"/>
          <w:lang w:val="es-MX"/>
        </w:rPr>
        <w:t xml:space="preserve"> Parágrafo.</w:t>
      </w:r>
      <w:r w:rsidRPr="00CB149C">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B149C">
        <w:rPr>
          <w:rFonts w:ascii="Arial" w:eastAsia="Calibri" w:hAnsi="Arial" w:cs="Arial"/>
          <w:bCs/>
          <w:color w:val="000000"/>
          <w:sz w:val="16"/>
          <w:szCs w:val="16"/>
        </w:rPr>
        <w:t>»</w:t>
      </w:r>
      <w:r w:rsidRPr="00CB149C">
        <w:rPr>
          <w:rFonts w:ascii="Arial" w:hAnsi="Arial" w:cs="Arial"/>
          <w:sz w:val="16"/>
          <w:szCs w:val="16"/>
          <w:lang w:val="es-MX"/>
        </w:rPr>
        <w:t>.</w:t>
      </w:r>
    </w:p>
  </w:footnote>
  <w:footnote w:id="12">
    <w:p w14:paraId="29309905" w14:textId="77777777" w:rsidR="00883C23" w:rsidRPr="00CB149C" w:rsidRDefault="00883C23" w:rsidP="00D044F7">
      <w:pPr>
        <w:spacing w:after="0" w:line="240" w:lineRule="auto"/>
        <w:ind w:left="100" w:right="244"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3">
    <w:p w14:paraId="486B18C7"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6" w:name="_Hlk74272731"/>
      <w:r w:rsidRPr="00CB149C">
        <w:rPr>
          <w:rFonts w:ascii="Arial" w:hAnsi="Arial" w:cs="Arial"/>
          <w:sz w:val="16"/>
          <w:szCs w:val="16"/>
        </w:rPr>
        <w:t>«</w:t>
      </w:r>
      <w:bookmarkEnd w:id="26"/>
      <w:r w:rsidRPr="00CB149C">
        <w:rPr>
          <w:rFonts w:ascii="Arial" w:hAnsi="Arial" w:cs="Arial"/>
          <w:sz w:val="16"/>
          <w:szCs w:val="16"/>
          <w:lang w:val="es-ES"/>
        </w:rPr>
        <w:t xml:space="preserve">[25] </w:t>
      </w:r>
      <w:r w:rsidRPr="00CB149C">
        <w:rPr>
          <w:rFonts w:ascii="Arial" w:hAnsi="Arial" w:cs="Arial"/>
          <w:sz w:val="16"/>
          <w:szCs w:val="16"/>
        </w:rPr>
        <w:t>Cfr. Consejo de Estado. Sección Tercera. Sentencia de 3 de diciembre de 2007. Radicados: 24.715, 25.206, 25.409, 24.524, 27.834, 25.410, 26.105, 28.244, 31.447 -acumulados-</w:t>
      </w:r>
      <w:bookmarkStart w:id="27" w:name="_Hlk74271358"/>
      <w:r w:rsidRPr="00CB149C">
        <w:rPr>
          <w:rFonts w:ascii="Arial" w:hAnsi="Arial" w:cs="Arial"/>
          <w:sz w:val="16"/>
          <w:szCs w:val="16"/>
        </w:rPr>
        <w:t>»</w:t>
      </w:r>
      <w:bookmarkEnd w:id="27"/>
      <w:r w:rsidRPr="00CB149C">
        <w:rPr>
          <w:rFonts w:ascii="Arial" w:hAnsi="Arial" w:cs="Arial"/>
          <w:sz w:val="16"/>
          <w:szCs w:val="16"/>
        </w:rPr>
        <w:t>.</w:t>
      </w:r>
    </w:p>
  </w:footnote>
  <w:footnote w:id="14">
    <w:p w14:paraId="4FA25A77"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9" w:name="_Hlk74294506"/>
      <w:r w:rsidRPr="00CB149C">
        <w:rPr>
          <w:rFonts w:ascii="Arial" w:hAnsi="Arial" w:cs="Arial"/>
          <w:sz w:val="16"/>
          <w:szCs w:val="16"/>
        </w:rPr>
        <w:t>«</w:t>
      </w:r>
      <w:r w:rsidRPr="00CB149C">
        <w:rPr>
          <w:rFonts w:ascii="Arial" w:hAnsi="Arial" w:cs="Arial"/>
          <w:sz w:val="16"/>
          <w:szCs w:val="16"/>
          <w:lang w:val="es-ES"/>
        </w:rPr>
        <w:t xml:space="preserve">[26] </w:t>
      </w:r>
      <w:bookmarkEnd w:id="29"/>
      <w:r w:rsidRPr="00CB149C">
        <w:rPr>
          <w:rFonts w:ascii="Arial" w:hAnsi="Arial" w:cs="Arial"/>
          <w:sz w:val="16"/>
          <w:szCs w:val="16"/>
        </w:rPr>
        <w:t>Al respecto ver el concepto 1712 de 2 de febrero de 2006. Consejo de Estado Sala de Consulta y Servicio Civil».</w:t>
      </w:r>
    </w:p>
  </w:footnote>
  <w:footnote w:id="15">
    <w:p w14:paraId="22756EB5"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 de septiembre de 2013. Radicación número: 11001-03-06-000-2013-00412-00 (2168). Consejero Ponente: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16">
    <w:p w14:paraId="0E24E9AD"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sz w:val="16"/>
          <w:szCs w:val="16"/>
          <w:lang w:val="es-ES"/>
        </w:rPr>
        <w:t xml:space="preserve">Artículo 2. </w:t>
      </w:r>
    </w:p>
  </w:footnote>
  <w:footnote w:id="17">
    <w:p w14:paraId="3925561C"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i/>
          <w:sz w:val="16"/>
          <w:szCs w:val="16"/>
          <w:lang w:val="es-ES"/>
        </w:rPr>
        <w:t>Ídem</w:t>
      </w:r>
      <w:r w:rsidRPr="00CB149C">
        <w:rPr>
          <w:rFonts w:ascii="Arial" w:hAnsi="Arial" w:cs="Arial"/>
          <w:sz w:val="16"/>
          <w:szCs w:val="16"/>
          <w:lang w:val="es-ES"/>
        </w:rPr>
        <w:t>.</w:t>
      </w:r>
    </w:p>
  </w:footnote>
  <w:footnote w:id="18">
    <w:p w14:paraId="686535DA"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bookmarkStart w:id="34" w:name="_Hlk74297130"/>
      <w:r w:rsidRPr="00CB149C">
        <w:rPr>
          <w:rFonts w:ascii="Arial" w:hAnsi="Arial" w:cs="Arial"/>
          <w:sz w:val="16"/>
          <w:szCs w:val="16"/>
          <w:lang w:val="es-ES"/>
        </w:rPr>
        <w:t>«</w:t>
      </w:r>
      <w:bookmarkEnd w:id="34"/>
      <w:r w:rsidRPr="00CB149C">
        <w:rPr>
          <w:rFonts w:ascii="Arial" w:hAnsi="Arial" w:cs="Arial"/>
          <w:sz w:val="16"/>
          <w:szCs w:val="16"/>
          <w:lang w:val="es-ES"/>
        </w:rPr>
        <w:t xml:space="preserve">[…] A este respecto, cabe recordar que el artículo 860 del Código de Comercio regula la licitación en el derecho privado». </w:t>
      </w:r>
    </w:p>
  </w:footnote>
  <w:footnote w:id="19">
    <w:p w14:paraId="0DCFE98E" w14:textId="77777777" w:rsidR="00883C23" w:rsidRPr="00CB149C" w:rsidRDefault="00883C23" w:rsidP="00D044F7">
      <w:pPr>
        <w:shd w:val="clear" w:color="auto" w:fill="FFFFFF"/>
        <w:spacing w:after="0" w:line="240" w:lineRule="auto"/>
        <w:ind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r w:rsidRPr="00CB149C">
        <w:rPr>
          <w:rFonts w:ascii="Arial" w:hAnsi="Arial" w:cs="Arial"/>
          <w:sz w:val="16"/>
          <w:szCs w:val="16"/>
          <w:lang w:val="es-ES"/>
        </w:rPr>
        <w:t xml:space="preserve">Consejo de Estado. Sala de Consulta y Servicio Civil, Concepto de 8 de mayo de 2018. Radicación Número: 11001-03-06-000-2018-00095-00(2382). Consejero Ponente: Álvaro </w:t>
      </w:r>
      <w:proofErr w:type="spellStart"/>
      <w:r w:rsidRPr="00CB149C">
        <w:rPr>
          <w:rFonts w:ascii="Arial" w:hAnsi="Arial" w:cs="Arial"/>
          <w:sz w:val="16"/>
          <w:szCs w:val="16"/>
          <w:lang w:val="es-ES"/>
        </w:rPr>
        <w:t>Namén</w:t>
      </w:r>
      <w:proofErr w:type="spellEnd"/>
      <w:r w:rsidRPr="00CB149C">
        <w:rPr>
          <w:rFonts w:ascii="Arial" w:hAnsi="Arial" w:cs="Arial"/>
          <w:sz w:val="16"/>
          <w:szCs w:val="16"/>
          <w:lang w:val="es-ES"/>
        </w:rPr>
        <w:t xml:space="preserve"> Vargas.</w:t>
      </w:r>
    </w:p>
  </w:footnote>
  <w:footnote w:id="20">
    <w:p w14:paraId="7C3F9BA3"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08 de mayo de 2018. </w:t>
      </w:r>
      <w:proofErr w:type="spellStart"/>
      <w:r w:rsidRPr="00CB149C">
        <w:rPr>
          <w:rFonts w:ascii="Arial" w:hAnsi="Arial" w:cs="Arial"/>
          <w:sz w:val="16"/>
          <w:szCs w:val="16"/>
        </w:rPr>
        <w:t>Exp</w:t>
      </w:r>
      <w:proofErr w:type="spellEnd"/>
      <w:r w:rsidRPr="00CB149C">
        <w:rPr>
          <w:rFonts w:ascii="Arial" w:hAnsi="Arial" w:cs="Arial"/>
          <w:sz w:val="16"/>
          <w:szCs w:val="16"/>
        </w:rPr>
        <w:t xml:space="preserve">. 2.382. C.P.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21">
    <w:p w14:paraId="2F42BF1E"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w:t>
      </w:r>
      <w:proofErr w:type="spellStart"/>
      <w:r w:rsidRPr="00CB149C">
        <w:rPr>
          <w:rFonts w:ascii="Arial" w:hAnsi="Arial" w:cs="Arial"/>
          <w:sz w:val="16"/>
          <w:szCs w:val="16"/>
        </w:rPr>
        <w:t>N°</w:t>
      </w:r>
      <w:proofErr w:type="spellEnd"/>
      <w:r w:rsidRPr="00CB149C">
        <w:rPr>
          <w:rFonts w:ascii="Arial" w:hAnsi="Arial" w:cs="Arial"/>
          <w:sz w:val="16"/>
          <w:szCs w:val="16"/>
        </w:rPr>
        <w:t xml:space="preserve"> 216/05 Senado, </w:t>
      </w:r>
      <w:proofErr w:type="spellStart"/>
      <w:r w:rsidRPr="00CB149C">
        <w:rPr>
          <w:rFonts w:ascii="Arial" w:hAnsi="Arial" w:cs="Arial"/>
          <w:sz w:val="16"/>
          <w:szCs w:val="16"/>
        </w:rPr>
        <w:t>N°</w:t>
      </w:r>
      <w:proofErr w:type="spellEnd"/>
      <w:r w:rsidRPr="00CB149C">
        <w:rPr>
          <w:rFonts w:ascii="Arial" w:hAnsi="Arial" w:cs="Arial"/>
          <w:sz w:val="16"/>
          <w:szCs w:val="16"/>
        </w:rPr>
        <w:t xml:space="preserve"> 235-Cámara que dio lugar a la Ley de Garantías Electorales.</w:t>
      </w:r>
    </w:p>
  </w:footnote>
  <w:footnote w:id="22">
    <w:p w14:paraId="2EAAA1F7"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3">
    <w:p w14:paraId="63143FD1"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52" w:name="_Hlk75633115"/>
      <w:r w:rsidRPr="00CB149C">
        <w:rPr>
          <w:rFonts w:ascii="Arial" w:hAnsi="Arial" w:cs="Arial"/>
          <w:sz w:val="16"/>
          <w:szCs w:val="16"/>
        </w:rPr>
        <w:t xml:space="preserve">Consejo de Estado. Sala de Consulta y Servicio Civil. Concepto </w:t>
      </w:r>
      <w:bookmarkEnd w:id="52"/>
      <w:r w:rsidRPr="00CB149C">
        <w:rPr>
          <w:rFonts w:ascii="Arial" w:hAnsi="Arial" w:cs="Arial"/>
          <w:sz w:val="16"/>
          <w:szCs w:val="16"/>
        </w:rPr>
        <w:t>de 6 de abril de 2006. Radicación Número: 11001-03-06-000-2006-00038-00(1738). Consejero Ponente: Enrique José Arboleda Perdomo:</w:t>
      </w:r>
      <w:r w:rsidRPr="00CB149C">
        <w:rPr>
          <w:rFonts w:ascii="Arial" w:eastAsia="Times New Roman" w:hAnsi="Arial" w:cs="Arial"/>
          <w:bCs/>
          <w:sz w:val="16"/>
          <w:szCs w:val="16"/>
          <w:lang w:eastAsia="x-none"/>
        </w:rPr>
        <w:t xml:space="preserve"> «</w:t>
      </w:r>
      <w:r w:rsidRPr="00CB149C">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CB149C">
        <w:rPr>
          <w:rFonts w:ascii="Arial" w:eastAsia="Times New Roman" w:hAnsi="Arial" w:cs="Arial"/>
          <w:bCs/>
          <w:sz w:val="16"/>
          <w:szCs w:val="16"/>
          <w:lang w:eastAsia="x-none"/>
        </w:rPr>
        <w:t>».</w:t>
      </w:r>
    </w:p>
  </w:footnote>
  <w:footnote w:id="24">
    <w:p w14:paraId="1AE132E2"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5">
    <w:p w14:paraId="4C69C88A"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ídem.</w:t>
      </w:r>
    </w:p>
  </w:footnote>
  <w:footnote w:id="26">
    <w:p w14:paraId="113F3811"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de2006. Radicación 11001-03-06-000-2006-00023-00(1724). Consejero Ponente: Flavio Augusto Rodríguez Arce.</w:t>
      </w:r>
    </w:p>
  </w:footnote>
  <w:footnote w:id="27">
    <w:p w14:paraId="4156A729"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57B892"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B149C">
        <w:rPr>
          <w:rFonts w:ascii="Arial" w:hAnsi="Arial" w:cs="Arial"/>
          <w:spacing w:val="-1"/>
          <w:sz w:val="16"/>
          <w:szCs w:val="16"/>
        </w:rPr>
        <w:t xml:space="preserve"> </w:t>
      </w:r>
      <w:r w:rsidRPr="00CB149C">
        <w:rPr>
          <w:rFonts w:ascii="Arial" w:hAnsi="Arial" w:cs="Arial"/>
          <w:sz w:val="16"/>
          <w:szCs w:val="16"/>
        </w:rPr>
        <w:t>Estatales».</w:t>
      </w:r>
    </w:p>
  </w:footnote>
  <w:footnote w:id="28">
    <w:p w14:paraId="2450895D"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B149C">
        <w:rPr>
          <w:rFonts w:ascii="Arial" w:hAnsi="Arial" w:cs="Arial"/>
          <w:spacing w:val="-6"/>
          <w:sz w:val="16"/>
          <w:szCs w:val="16"/>
        </w:rPr>
        <w:t xml:space="preserve"> </w:t>
      </w:r>
      <w:r w:rsidRPr="00CB149C">
        <w:rPr>
          <w:rFonts w:ascii="Arial" w:hAnsi="Arial" w:cs="Arial"/>
          <w:sz w:val="16"/>
          <w:szCs w:val="16"/>
        </w:rPr>
        <w:t>artículo».</w:t>
      </w:r>
    </w:p>
  </w:footnote>
  <w:footnote w:id="29">
    <w:p w14:paraId="40B283D6" w14:textId="77777777" w:rsidR="00883C23" w:rsidRPr="00CB149C" w:rsidRDefault="00883C23" w:rsidP="00D044F7">
      <w:pPr>
        <w:spacing w:after="0" w:line="240" w:lineRule="auto"/>
        <w:ind w:right="454"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position w:val="7"/>
          <w:sz w:val="16"/>
          <w:szCs w:val="16"/>
        </w:rPr>
        <w:t xml:space="preserve"> </w:t>
      </w:r>
      <w:r w:rsidRPr="00CB149C">
        <w:rPr>
          <w:rFonts w:ascii="Arial" w:hAnsi="Arial" w:cs="Arial"/>
          <w:sz w:val="16"/>
          <w:szCs w:val="16"/>
        </w:rPr>
        <w:t>Consejo de Estado. Sección Tercera. Sentencia del 23 de junio de 2010. Radicación No. 66001-23-31-000-1998-00261-01(17.860). Consejero Ponente: Mauricio Fajardo Gómez.</w:t>
      </w:r>
    </w:p>
  </w:footnote>
  <w:footnote w:id="30">
    <w:p w14:paraId="1B78746C"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Sección Tercera. Subsección C. Sentencia del 11 de diciembre de 2019. </w:t>
      </w:r>
      <w:proofErr w:type="spellStart"/>
      <w:r w:rsidRPr="00CB149C">
        <w:rPr>
          <w:rFonts w:ascii="Arial" w:hAnsi="Arial" w:cs="Arial"/>
          <w:sz w:val="16"/>
          <w:szCs w:val="16"/>
        </w:rPr>
        <w:t>Exp</w:t>
      </w:r>
      <w:proofErr w:type="spellEnd"/>
      <w:r w:rsidRPr="00CB149C">
        <w:rPr>
          <w:rFonts w:ascii="Arial" w:hAnsi="Arial" w:cs="Arial"/>
          <w:sz w:val="16"/>
          <w:szCs w:val="16"/>
        </w:rPr>
        <w:t>. 46.986. C.P. Jaime Enrique Rodríguez Navas.</w:t>
      </w:r>
    </w:p>
  </w:footnote>
  <w:footnote w:id="31">
    <w:p w14:paraId="7717183E"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«CE. SCSC. Concepto de 1 de noviembre de 2016 [Rad. 11001-03-06-000-2016-00125-00(2305)]. MP. Germán Alberto Bula Escobar».</w:t>
      </w:r>
    </w:p>
  </w:footnote>
  <w:footnote w:id="32">
    <w:p w14:paraId="4C09E787"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CB149C">
        <w:rPr>
          <w:rFonts w:ascii="Arial" w:hAnsi="Arial" w:cs="Arial"/>
          <w:i/>
          <w:sz w:val="16"/>
          <w:szCs w:val="16"/>
        </w:rPr>
        <w:t>“obligacional”</w:t>
      </w:r>
      <w:r w:rsidRPr="00CB149C">
        <w:rPr>
          <w:rFonts w:ascii="Arial" w:hAnsi="Arial" w:cs="Arial"/>
          <w:sz w:val="16"/>
          <w:szCs w:val="16"/>
        </w:rPr>
        <w:t xml:space="preserve"> de los convenios se estructura definiendo el resultado querido por las partes y los medios que cada entidad despliega para la obtención del respectivo objeto».</w:t>
      </w:r>
    </w:p>
  </w:footnote>
  <w:footnote w:id="33">
    <w:p w14:paraId="3303FA30"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«La normativa vigente del EGCAP </w:t>
      </w:r>
      <w:r w:rsidRPr="00CB149C">
        <w:rPr>
          <w:rFonts w:ascii="Arial" w:hAnsi="Arial" w:cs="Arial"/>
          <w:i/>
          <w:sz w:val="16"/>
          <w:szCs w:val="16"/>
        </w:rPr>
        <w:t>[literal c) del numeral 4. del artículo 2 de la Ley 1150/07]</w:t>
      </w:r>
      <w:r w:rsidRPr="00CB149C">
        <w:rPr>
          <w:rFonts w:ascii="Arial" w:hAnsi="Arial" w:cs="Arial"/>
          <w:sz w:val="16"/>
          <w:szCs w:val="16"/>
        </w:rPr>
        <w:t xml:space="preserve"> se refiere a </w:t>
      </w:r>
      <w:r w:rsidRPr="00CB149C">
        <w:rPr>
          <w:rFonts w:ascii="Arial" w:hAnsi="Arial" w:cs="Arial"/>
          <w:i/>
          <w:sz w:val="16"/>
          <w:szCs w:val="16"/>
        </w:rPr>
        <w:t>“contratos interadministrativos”</w:t>
      </w:r>
      <w:r w:rsidRPr="00CB149C">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4">
    <w:p w14:paraId="3AA1DC9A"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CB149C">
        <w:rPr>
          <w:rFonts w:ascii="Arial" w:hAnsi="Arial" w:cs="Arial"/>
          <w:sz w:val="16"/>
          <w:szCs w:val="16"/>
        </w:rPr>
        <w:t>Exp</w:t>
      </w:r>
      <w:proofErr w:type="spellEnd"/>
      <w:r w:rsidRPr="00CB149C">
        <w:rPr>
          <w:rFonts w:ascii="Arial" w:hAnsi="Arial" w:cs="Arial"/>
          <w:sz w:val="16"/>
          <w:szCs w:val="16"/>
        </w:rPr>
        <w:t xml:space="preserve">. 2.257. M.P.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35">
    <w:p w14:paraId="6E98DFA0"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Es lo que sucede, por ejemplo, con el Decreto 092 de 2017, que en su desarrollo hace referencia tanto a los «contratos» como a los «convenios». </w:t>
      </w:r>
    </w:p>
  </w:footnote>
  <w:footnote w:id="36">
    <w:p w14:paraId="79C7FB9A" w14:textId="77777777" w:rsidR="00883C23" w:rsidRPr="00CB149C" w:rsidRDefault="00883C23" w:rsidP="00D044F7">
      <w:pPr>
        <w:pStyle w:val="Textonotapie"/>
        <w:spacing w:after="0" w:line="240" w:lineRule="auto"/>
        <w:ind w:firstLine="708"/>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7">
    <w:p w14:paraId="080C342A"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8">
    <w:p w14:paraId="49422F74" w14:textId="77777777" w:rsidR="00DB1FBD" w:rsidRPr="00CB149C" w:rsidRDefault="00DB1FBD" w:rsidP="00D044F7">
      <w:pPr>
        <w:spacing w:after="0" w:line="240" w:lineRule="auto"/>
        <w:ind w:firstLine="708"/>
        <w:contextualSpacing/>
        <w:jc w:val="both"/>
        <w:rPr>
          <w:rFonts w:ascii="Arial" w:eastAsia="Calibri" w:hAnsi="Arial" w:cs="Arial"/>
          <w:color w:val="000000" w:themeColor="text1"/>
          <w:sz w:val="16"/>
          <w:szCs w:val="16"/>
        </w:rPr>
      </w:pPr>
      <w:r w:rsidRPr="00CB149C">
        <w:rPr>
          <w:rStyle w:val="Refdenotaalpie"/>
          <w:rFonts w:ascii="Arial" w:hAnsi="Arial" w:cs="Arial"/>
          <w:color w:val="000000" w:themeColor="text1"/>
          <w:sz w:val="16"/>
          <w:szCs w:val="16"/>
        </w:rPr>
        <w:footnoteRef/>
      </w:r>
      <w:r w:rsidRPr="00CB149C">
        <w:rPr>
          <w:rFonts w:ascii="Arial" w:hAnsi="Arial" w:cs="Arial"/>
          <w:color w:val="000000" w:themeColor="text1"/>
          <w:sz w:val="16"/>
          <w:szCs w:val="16"/>
        </w:rPr>
        <w:t xml:space="preserve"> </w:t>
      </w:r>
      <w:r w:rsidRPr="00CB149C">
        <w:rPr>
          <w:rFonts w:ascii="Arial" w:eastAsia="Calibri" w:hAnsi="Arial" w:cs="Arial"/>
          <w:color w:val="000000" w:themeColor="text1"/>
          <w:sz w:val="16"/>
          <w:szCs w:val="16"/>
        </w:rPr>
        <w:t xml:space="preserve">«ARTÍCULO 124. Con el propósito de promover la reactivación económica y la generación de empleo en las regiones, a partir de la publicación de la presente ley y durante la vigencia fiscal 2022, </w:t>
      </w:r>
      <w:r w:rsidRPr="00CB149C">
        <w:rPr>
          <w:rFonts w:ascii="Arial" w:eastAsia="Calibri" w:hAnsi="Arial" w:cs="Arial"/>
          <w:i/>
          <w:color w:val="000000" w:themeColor="text1"/>
          <w:sz w:val="16"/>
          <w:szCs w:val="16"/>
        </w:rPr>
        <w:t>la Nación podrá celebrar convenios interadministrativos con las entidades territoriales para ejecutar programas y proyectos correspondientes al Presupuesto General de la Nación.</w:t>
      </w:r>
    </w:p>
    <w:p w14:paraId="0B2358F3" w14:textId="77777777" w:rsidR="00DB1FBD" w:rsidRPr="00CB149C" w:rsidRDefault="00DB1FBD" w:rsidP="00D044F7">
      <w:pPr>
        <w:spacing w:after="0" w:line="240" w:lineRule="auto"/>
        <w:ind w:firstLine="708"/>
        <w:contextualSpacing/>
        <w:jc w:val="both"/>
        <w:rPr>
          <w:rFonts w:ascii="Arial" w:eastAsia="Calibri" w:hAnsi="Arial" w:cs="Arial"/>
          <w:color w:val="000000" w:themeColor="text1"/>
          <w:sz w:val="16"/>
          <w:szCs w:val="16"/>
        </w:rPr>
      </w:pPr>
      <w:r w:rsidRPr="00CB149C">
        <w:rPr>
          <w:rFonts w:ascii="Arial" w:eastAsia="Calibri" w:hAnsi="Arial" w:cs="Arial"/>
          <w:color w:val="000000" w:themeColor="text1"/>
          <w:sz w:val="16"/>
          <w:szCs w:val="16"/>
        </w:rPr>
        <w:t>»La presente disposición modifica únicamente en la parte pertinente el inciso primero del parágrafo del artículo 38 de la Ley 996 de 2005.</w:t>
      </w:r>
    </w:p>
    <w:p w14:paraId="661813A7" w14:textId="77777777" w:rsidR="00DB1FBD" w:rsidRPr="00CB149C" w:rsidRDefault="00DB1FBD" w:rsidP="00D044F7">
      <w:pPr>
        <w:pStyle w:val="Textonotapie"/>
        <w:spacing w:after="0" w:line="240" w:lineRule="auto"/>
        <w:ind w:firstLine="708"/>
        <w:contextualSpacing/>
        <w:rPr>
          <w:rFonts w:ascii="Arial" w:hAnsi="Arial" w:cs="Arial"/>
          <w:color w:val="000000" w:themeColor="text1"/>
          <w:sz w:val="16"/>
          <w:szCs w:val="16"/>
          <w:lang w:val="es-ES"/>
        </w:rPr>
      </w:pPr>
      <w:r w:rsidRPr="00CB149C">
        <w:rPr>
          <w:rFonts w:ascii="Arial" w:eastAsia="Calibri" w:hAnsi="Arial" w:cs="Arial"/>
          <w:color w:val="000000" w:themeColor="text1"/>
          <w:sz w:val="16"/>
          <w:szCs w:val="16"/>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 (</w:t>
      </w:r>
      <w:r w:rsidRPr="00CB149C">
        <w:rPr>
          <w:rFonts w:ascii="Arial" w:eastAsia="Calibri" w:hAnsi="Arial" w:cs="Arial"/>
          <w:color w:val="000000" w:themeColor="text1"/>
          <w:sz w:val="16"/>
          <w:szCs w:val="16"/>
          <w:lang w:val="es-CO"/>
        </w:rPr>
        <w:t>Cursiva</w:t>
      </w:r>
      <w:r w:rsidRPr="00CB149C">
        <w:rPr>
          <w:rFonts w:ascii="Arial" w:eastAsia="Calibri" w:hAnsi="Arial" w:cs="Arial"/>
          <w:color w:val="000000" w:themeColor="text1"/>
          <w:sz w:val="16"/>
          <w:szCs w:val="16"/>
        </w:rPr>
        <w:t xml:space="preserve"> fuera de texto).</w:t>
      </w:r>
    </w:p>
  </w:footnote>
  <w:footnote w:id="39">
    <w:p w14:paraId="44B6E268" w14:textId="77777777" w:rsidR="00DB1FBD" w:rsidRPr="00CB149C" w:rsidRDefault="00DB1FBD" w:rsidP="00D044F7">
      <w:pPr>
        <w:pStyle w:val="Textonotapie"/>
        <w:spacing w:after="0" w:line="240" w:lineRule="auto"/>
        <w:ind w:firstLine="708"/>
        <w:contextualSpacing/>
        <w:rPr>
          <w:rFonts w:ascii="Arial" w:hAnsi="Arial" w:cs="Arial"/>
          <w:color w:val="000000" w:themeColor="text1"/>
          <w:sz w:val="16"/>
          <w:szCs w:val="16"/>
        </w:rPr>
      </w:pPr>
      <w:r w:rsidRPr="00CB149C">
        <w:rPr>
          <w:rStyle w:val="Refdenotaalpie"/>
          <w:rFonts w:ascii="Arial" w:hAnsi="Arial" w:cs="Arial"/>
          <w:color w:val="000000" w:themeColor="text1"/>
          <w:sz w:val="16"/>
          <w:szCs w:val="16"/>
        </w:rPr>
        <w:footnoteRef/>
      </w:r>
      <w:r w:rsidRPr="00CB149C">
        <w:rPr>
          <w:rFonts w:ascii="Arial" w:hAnsi="Arial" w:cs="Arial"/>
          <w:color w:val="000000" w:themeColor="text1"/>
          <w:sz w:val="16"/>
          <w:szCs w:val="16"/>
        </w:rPr>
        <w:t xml:space="preserve"> En relación con el alcance del artículo 124 de la Ley 2195 de 2022, se pueden consultar, entre otros, los conceptos C-736 del 31 de enero de 2022.</w:t>
      </w:r>
    </w:p>
  </w:footnote>
  <w:footnote w:id="40">
    <w:p w14:paraId="5739F46A"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15 de noviembre de 2007. Expediente número 1863. Consejero Ponente: Luis Fernando Álvarez Jaramillo.</w:t>
      </w:r>
    </w:p>
  </w:footnote>
  <w:footnote w:id="41">
    <w:p w14:paraId="20BDE542" w14:textId="0AB4E9C1"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Sobre esta norma, consultar los conceptos del 8 de octubre de 2019, con radicado No. 2201913000007532, y del 20 de diciembre de 2019, con radicado No. 4201913000008240.</w:t>
      </w:r>
    </w:p>
  </w:footnote>
  <w:footnote w:id="42">
    <w:p w14:paraId="3010E5D4" w14:textId="77777777"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sz w:val="16"/>
          <w:szCs w:val="16"/>
        </w:rPr>
        <w:footnoteRef/>
      </w:r>
      <w:r w:rsidRPr="00CB149C">
        <w:rPr>
          <w:sz w:val="16"/>
          <w:szCs w:val="16"/>
        </w:rPr>
        <w:t xml:space="preserve"> </w:t>
      </w:r>
      <w:r w:rsidRPr="00CB149C">
        <w:rPr>
          <w:rFonts w:ascii="Arial" w:hAnsi="Arial"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716F53E" w14:textId="583ECD18" w:rsidR="00D044F7" w:rsidRPr="00CB149C" w:rsidRDefault="00D044F7" w:rsidP="00D044F7">
      <w:pPr>
        <w:pStyle w:val="Textonotapie"/>
        <w:spacing w:after="0" w:line="240" w:lineRule="auto"/>
        <w:ind w:firstLine="708"/>
        <w:rPr>
          <w:rFonts w:ascii="Arial" w:hAnsi="Arial" w:cs="Arial"/>
          <w:sz w:val="16"/>
          <w:szCs w:val="16"/>
        </w:rPr>
      </w:pPr>
      <w:r w:rsidRPr="00CB149C">
        <w:rPr>
          <w:rFonts w:ascii="Arial" w:hAnsi="Arial" w:cs="Arial"/>
          <w:sz w:val="16"/>
          <w:szCs w:val="16"/>
        </w:rPr>
        <w:t xml:space="preserve">»Los convenios de asociación a que se refiere el presente artículo </w:t>
      </w:r>
      <w:bookmarkStart w:id="69" w:name="_Hlk36023315"/>
      <w:r w:rsidRPr="00CB149C">
        <w:rPr>
          <w:rFonts w:ascii="Arial" w:hAnsi="Arial" w:cs="Arial"/>
          <w:sz w:val="16"/>
          <w:szCs w:val="16"/>
        </w:rPr>
        <w:t>se celebrarán de conformidad con lo dispuesto en el artículo 355 de la Constitución Política</w:t>
      </w:r>
      <w:bookmarkEnd w:id="69"/>
      <w:r w:rsidRPr="00CB149C">
        <w:rPr>
          <w:rFonts w:ascii="Arial" w:hAnsi="Arial" w:cs="Arial"/>
          <w:sz w:val="16"/>
          <w:szCs w:val="16"/>
        </w:rPr>
        <w:t>, en ellos se determinará con precisión su objeto, término, obligaciones de las partes, aportes, coordinación y todos aquellos aspectos que se consideren pertinentes».</w:t>
      </w:r>
    </w:p>
  </w:footnote>
  <w:footnote w:id="43">
    <w:p w14:paraId="27BA812C" w14:textId="7C4EF392"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Concepto del 3 de septiembre de 2019, con radicado No. 2201913000006512.</w:t>
      </w:r>
    </w:p>
  </w:footnote>
  <w:footnote w:id="44">
    <w:p w14:paraId="38FA4EE6" w14:textId="77777777"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Sobre la naturaleza de los convenios de asociación, se reitera lo expuesto en el concepto del 19 de noviembre de 2019, con radicado No. 2201913000008611.</w:t>
      </w:r>
    </w:p>
    <w:p w14:paraId="75B1A631" w14:textId="77777777" w:rsidR="00D044F7" w:rsidRPr="00CB149C" w:rsidRDefault="00D044F7" w:rsidP="00D044F7">
      <w:pPr>
        <w:pStyle w:val="Textonotapie"/>
        <w:spacing w:after="0" w:line="240" w:lineRule="auto"/>
        <w:ind w:firstLine="708"/>
        <w:rPr>
          <w:rFonts w:ascii="Arial" w:hAnsi="Arial" w:cs="Arial"/>
          <w:sz w:val="16"/>
          <w:szCs w:val="16"/>
        </w:rPr>
      </w:pPr>
    </w:p>
  </w:footnote>
  <w:footnote w:id="45">
    <w:p w14:paraId="6CEC2511" w14:textId="7BE330C8"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46">
    <w:p w14:paraId="1C01D1EF" w14:textId="2CA3607C" w:rsidR="004F5C70" w:rsidRPr="00CB149C" w:rsidRDefault="004F5C70" w:rsidP="00D044F7">
      <w:pPr>
        <w:pStyle w:val="Textonotapie"/>
        <w:spacing w:after="0" w:line="240" w:lineRule="auto"/>
        <w:ind w:firstLine="708"/>
        <w:contextualSpacing/>
        <w:rPr>
          <w:rFonts w:ascii="Arial" w:hAnsi="Arial" w:cs="Arial"/>
          <w:color w:val="000000" w:themeColor="text1"/>
          <w:sz w:val="16"/>
          <w:szCs w:val="16"/>
        </w:rPr>
      </w:pPr>
      <w:r w:rsidRPr="00CB149C">
        <w:rPr>
          <w:rStyle w:val="Refdenotaalpie"/>
          <w:rFonts w:ascii="Arial" w:hAnsi="Arial" w:cs="Arial"/>
          <w:color w:val="000000" w:themeColor="text1"/>
          <w:sz w:val="16"/>
          <w:szCs w:val="16"/>
        </w:rPr>
        <w:footnoteRef/>
      </w:r>
      <w:r w:rsidRPr="00CB149C">
        <w:rPr>
          <w:rFonts w:ascii="Arial" w:hAnsi="Arial" w:cs="Arial"/>
          <w:color w:val="000000" w:themeColor="text1"/>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47">
    <w:p w14:paraId="258967CE" w14:textId="41F01B86" w:rsidR="00080F8E" w:rsidRPr="00CB149C" w:rsidRDefault="00080F8E" w:rsidP="00BE1101">
      <w:pPr>
        <w:pStyle w:val="Textonotapie"/>
        <w:spacing w:after="0"/>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27 de abril de 2006. Rad:1712.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2A80" w14:textId="77777777" w:rsidR="00301B6D" w:rsidRDefault="00DB1FBD">
    <w:pPr>
      <w:pStyle w:val="Encabezado"/>
    </w:pPr>
    <w:r>
      <w:rPr>
        <w:noProof/>
        <w:lang w:val="es-CO" w:eastAsia="es-CO"/>
      </w:rPr>
      <w:drawing>
        <wp:anchor distT="0" distB="0" distL="114300" distR="114300" simplePos="0" relativeHeight="251659264" behindDoc="1" locked="0" layoutInCell="1" allowOverlap="1" wp14:anchorId="3ED6FD1E" wp14:editId="58B93EB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14D43" w14:textId="77777777" w:rsidR="00301B6D" w:rsidRDefault="00301B6D" w:rsidP="00301B6D">
    <w:pPr>
      <w:pStyle w:val="Encabezado"/>
      <w:spacing w:after="0"/>
    </w:pPr>
  </w:p>
  <w:p w14:paraId="0E3DD83D" w14:textId="77777777" w:rsidR="00301B6D" w:rsidRDefault="00301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51409506">
    <w:abstractNumId w:val="11"/>
  </w:num>
  <w:num w:numId="2" w16cid:durableId="1484590021">
    <w:abstractNumId w:val="9"/>
  </w:num>
  <w:num w:numId="3" w16cid:durableId="1144010932">
    <w:abstractNumId w:val="15"/>
  </w:num>
  <w:num w:numId="4" w16cid:durableId="576936095">
    <w:abstractNumId w:val="21"/>
  </w:num>
  <w:num w:numId="5" w16cid:durableId="902568487">
    <w:abstractNumId w:val="23"/>
  </w:num>
  <w:num w:numId="6" w16cid:durableId="16525601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990512">
    <w:abstractNumId w:val="6"/>
  </w:num>
  <w:num w:numId="8" w16cid:durableId="189226811">
    <w:abstractNumId w:val="24"/>
  </w:num>
  <w:num w:numId="9" w16cid:durableId="1477793863">
    <w:abstractNumId w:val="6"/>
    <w:lvlOverride w:ilvl="0">
      <w:startOverride w:val="1"/>
    </w:lvlOverride>
  </w:num>
  <w:num w:numId="10" w16cid:durableId="918321796">
    <w:abstractNumId w:val="25"/>
  </w:num>
  <w:num w:numId="11" w16cid:durableId="1643539791">
    <w:abstractNumId w:val="7"/>
  </w:num>
  <w:num w:numId="12" w16cid:durableId="283846886">
    <w:abstractNumId w:val="2"/>
  </w:num>
  <w:num w:numId="13" w16cid:durableId="441068791">
    <w:abstractNumId w:val="4"/>
  </w:num>
  <w:num w:numId="14" w16cid:durableId="1124999383">
    <w:abstractNumId w:val="20"/>
  </w:num>
  <w:num w:numId="15" w16cid:durableId="535389355">
    <w:abstractNumId w:val="13"/>
  </w:num>
  <w:num w:numId="16" w16cid:durableId="1522431659">
    <w:abstractNumId w:val="10"/>
  </w:num>
  <w:num w:numId="17" w16cid:durableId="1783308339">
    <w:abstractNumId w:val="14"/>
  </w:num>
  <w:num w:numId="18" w16cid:durableId="601455226">
    <w:abstractNumId w:val="16"/>
  </w:num>
  <w:num w:numId="19" w16cid:durableId="1201474767">
    <w:abstractNumId w:val="5"/>
  </w:num>
  <w:num w:numId="20" w16cid:durableId="1555431494">
    <w:abstractNumId w:val="27"/>
  </w:num>
  <w:num w:numId="21" w16cid:durableId="1456213259">
    <w:abstractNumId w:val="22"/>
  </w:num>
  <w:num w:numId="22" w16cid:durableId="1296182533">
    <w:abstractNumId w:val="18"/>
  </w:num>
  <w:num w:numId="23" w16cid:durableId="850487920">
    <w:abstractNumId w:val="17"/>
  </w:num>
  <w:num w:numId="24" w16cid:durableId="419524536">
    <w:abstractNumId w:val="8"/>
  </w:num>
  <w:num w:numId="25" w16cid:durableId="1165365165">
    <w:abstractNumId w:val="19"/>
  </w:num>
  <w:num w:numId="26" w16cid:durableId="1427772138">
    <w:abstractNumId w:val="1"/>
  </w:num>
  <w:num w:numId="27" w16cid:durableId="755371160">
    <w:abstractNumId w:val="12"/>
  </w:num>
  <w:num w:numId="28" w16cid:durableId="613292341">
    <w:abstractNumId w:val="26"/>
  </w:num>
  <w:num w:numId="29" w16cid:durableId="166293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23"/>
    <w:rsid w:val="00004152"/>
    <w:rsid w:val="000073BE"/>
    <w:rsid w:val="00007534"/>
    <w:rsid w:val="00007A76"/>
    <w:rsid w:val="000370B6"/>
    <w:rsid w:val="00061344"/>
    <w:rsid w:val="00080F8E"/>
    <w:rsid w:val="000B0FF6"/>
    <w:rsid w:val="000C1493"/>
    <w:rsid w:val="000D38A1"/>
    <w:rsid w:val="000F341C"/>
    <w:rsid w:val="00112409"/>
    <w:rsid w:val="0016346E"/>
    <w:rsid w:val="00174706"/>
    <w:rsid w:val="00176B7A"/>
    <w:rsid w:val="00183806"/>
    <w:rsid w:val="00185051"/>
    <w:rsid w:val="00186060"/>
    <w:rsid w:val="001A0BBF"/>
    <w:rsid w:val="001B769B"/>
    <w:rsid w:val="001D21F3"/>
    <w:rsid w:val="001E4C5E"/>
    <w:rsid w:val="00236548"/>
    <w:rsid w:val="00237FAC"/>
    <w:rsid w:val="00244B1C"/>
    <w:rsid w:val="00252A70"/>
    <w:rsid w:val="00264194"/>
    <w:rsid w:val="00270618"/>
    <w:rsid w:val="00281B48"/>
    <w:rsid w:val="002B3B3A"/>
    <w:rsid w:val="002C0430"/>
    <w:rsid w:val="002D2ECE"/>
    <w:rsid w:val="002E2D40"/>
    <w:rsid w:val="00300BA8"/>
    <w:rsid w:val="00301B6D"/>
    <w:rsid w:val="0034289F"/>
    <w:rsid w:val="00385DE6"/>
    <w:rsid w:val="003B045C"/>
    <w:rsid w:val="003C2318"/>
    <w:rsid w:val="00425FC0"/>
    <w:rsid w:val="00452837"/>
    <w:rsid w:val="00462FFD"/>
    <w:rsid w:val="004705F0"/>
    <w:rsid w:val="00486B76"/>
    <w:rsid w:val="00486D3B"/>
    <w:rsid w:val="004916F0"/>
    <w:rsid w:val="00497B71"/>
    <w:rsid w:val="004B2675"/>
    <w:rsid w:val="004B4CA2"/>
    <w:rsid w:val="004D41B6"/>
    <w:rsid w:val="004F2E72"/>
    <w:rsid w:val="004F432F"/>
    <w:rsid w:val="004F4B17"/>
    <w:rsid w:val="004F5C70"/>
    <w:rsid w:val="00515FAF"/>
    <w:rsid w:val="00580A57"/>
    <w:rsid w:val="00583B9F"/>
    <w:rsid w:val="005A66C6"/>
    <w:rsid w:val="005D5767"/>
    <w:rsid w:val="005E415D"/>
    <w:rsid w:val="005F2B73"/>
    <w:rsid w:val="005F4339"/>
    <w:rsid w:val="006112E9"/>
    <w:rsid w:val="006117E7"/>
    <w:rsid w:val="00622CEC"/>
    <w:rsid w:val="00646CF5"/>
    <w:rsid w:val="00647E66"/>
    <w:rsid w:val="00653CB1"/>
    <w:rsid w:val="00667C06"/>
    <w:rsid w:val="00673D55"/>
    <w:rsid w:val="00674123"/>
    <w:rsid w:val="00693825"/>
    <w:rsid w:val="006A3BFD"/>
    <w:rsid w:val="006B0314"/>
    <w:rsid w:val="006C1B75"/>
    <w:rsid w:val="006C314F"/>
    <w:rsid w:val="006C4CAF"/>
    <w:rsid w:val="006D7E12"/>
    <w:rsid w:val="006F0121"/>
    <w:rsid w:val="0071069B"/>
    <w:rsid w:val="00726841"/>
    <w:rsid w:val="007861C7"/>
    <w:rsid w:val="00787213"/>
    <w:rsid w:val="007A0699"/>
    <w:rsid w:val="007A6243"/>
    <w:rsid w:val="007B1ADA"/>
    <w:rsid w:val="007C0727"/>
    <w:rsid w:val="007C6B2E"/>
    <w:rsid w:val="007C773C"/>
    <w:rsid w:val="007D666E"/>
    <w:rsid w:val="007D6B81"/>
    <w:rsid w:val="007D7A6D"/>
    <w:rsid w:val="00820B42"/>
    <w:rsid w:val="00883C23"/>
    <w:rsid w:val="00886A33"/>
    <w:rsid w:val="008870AC"/>
    <w:rsid w:val="008B41AF"/>
    <w:rsid w:val="008E0383"/>
    <w:rsid w:val="008E3661"/>
    <w:rsid w:val="00906730"/>
    <w:rsid w:val="00911176"/>
    <w:rsid w:val="00924A75"/>
    <w:rsid w:val="00950E3B"/>
    <w:rsid w:val="0095308E"/>
    <w:rsid w:val="009533DD"/>
    <w:rsid w:val="009976C6"/>
    <w:rsid w:val="009B5870"/>
    <w:rsid w:val="009C0AE1"/>
    <w:rsid w:val="009C4C67"/>
    <w:rsid w:val="009E08A9"/>
    <w:rsid w:val="009F6248"/>
    <w:rsid w:val="00A116E0"/>
    <w:rsid w:val="00A300C6"/>
    <w:rsid w:val="00A351B9"/>
    <w:rsid w:val="00A564F4"/>
    <w:rsid w:val="00A74BE2"/>
    <w:rsid w:val="00AB0C32"/>
    <w:rsid w:val="00AB2D55"/>
    <w:rsid w:val="00AC7ED9"/>
    <w:rsid w:val="00AD3184"/>
    <w:rsid w:val="00B05B75"/>
    <w:rsid w:val="00B31385"/>
    <w:rsid w:val="00B52C9B"/>
    <w:rsid w:val="00B64ACB"/>
    <w:rsid w:val="00B918D9"/>
    <w:rsid w:val="00BA170A"/>
    <w:rsid w:val="00BB2660"/>
    <w:rsid w:val="00BB7896"/>
    <w:rsid w:val="00BC5E75"/>
    <w:rsid w:val="00BE1101"/>
    <w:rsid w:val="00BE51F4"/>
    <w:rsid w:val="00BF32CB"/>
    <w:rsid w:val="00BF36EC"/>
    <w:rsid w:val="00C054F3"/>
    <w:rsid w:val="00C0768B"/>
    <w:rsid w:val="00C23407"/>
    <w:rsid w:val="00C5025B"/>
    <w:rsid w:val="00C51624"/>
    <w:rsid w:val="00C52368"/>
    <w:rsid w:val="00C53096"/>
    <w:rsid w:val="00C83CBC"/>
    <w:rsid w:val="00C91855"/>
    <w:rsid w:val="00C94147"/>
    <w:rsid w:val="00C97B5F"/>
    <w:rsid w:val="00CA4235"/>
    <w:rsid w:val="00CB034D"/>
    <w:rsid w:val="00CB149C"/>
    <w:rsid w:val="00D044F7"/>
    <w:rsid w:val="00D15AE1"/>
    <w:rsid w:val="00D406B8"/>
    <w:rsid w:val="00D77C56"/>
    <w:rsid w:val="00D80C84"/>
    <w:rsid w:val="00D90D8A"/>
    <w:rsid w:val="00DB1FBD"/>
    <w:rsid w:val="00DD003E"/>
    <w:rsid w:val="00DF5A9D"/>
    <w:rsid w:val="00E0484E"/>
    <w:rsid w:val="00E11379"/>
    <w:rsid w:val="00E32EEB"/>
    <w:rsid w:val="00E6401D"/>
    <w:rsid w:val="00E71F3C"/>
    <w:rsid w:val="00E81AA7"/>
    <w:rsid w:val="00E8294A"/>
    <w:rsid w:val="00EE6DF5"/>
    <w:rsid w:val="00EF0791"/>
    <w:rsid w:val="00EF6644"/>
    <w:rsid w:val="00F04513"/>
    <w:rsid w:val="00F05D7E"/>
    <w:rsid w:val="00F2080B"/>
    <w:rsid w:val="00F3081E"/>
    <w:rsid w:val="00F464FE"/>
    <w:rsid w:val="00F51383"/>
    <w:rsid w:val="00F820CB"/>
    <w:rsid w:val="00F82416"/>
    <w:rsid w:val="00F833EF"/>
    <w:rsid w:val="00FB2766"/>
    <w:rsid w:val="00FC1379"/>
    <w:rsid w:val="00FE5DD8"/>
    <w:rsid w:val="00FF2BA2"/>
    <w:rsid w:val="00FF66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2FDA"/>
  <w15:docId w15:val="{62CC449F-4273-43BB-8634-C33D8BF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83C23"/>
    <w:pPr>
      <w:keepNext/>
      <w:numPr>
        <w:numId w:val="17"/>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883C23"/>
    <w:pPr>
      <w:keepNext/>
      <w:numPr>
        <w:ilvl w:val="1"/>
        <w:numId w:val="17"/>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883C23"/>
    <w:pPr>
      <w:keepNext/>
      <w:numPr>
        <w:ilvl w:val="2"/>
        <w:numId w:val="17"/>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883C23"/>
    <w:pPr>
      <w:keepNext/>
      <w:numPr>
        <w:ilvl w:val="3"/>
        <w:numId w:val="17"/>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883C23"/>
    <w:pPr>
      <w:numPr>
        <w:ilvl w:val="4"/>
        <w:numId w:val="17"/>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83C23"/>
    <w:pPr>
      <w:numPr>
        <w:ilvl w:val="5"/>
        <w:numId w:val="17"/>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83C23"/>
    <w:pPr>
      <w:numPr>
        <w:ilvl w:val="6"/>
        <w:numId w:val="17"/>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83C23"/>
    <w:pPr>
      <w:numPr>
        <w:ilvl w:val="7"/>
        <w:numId w:val="17"/>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83C23"/>
    <w:pPr>
      <w:numPr>
        <w:ilvl w:val="8"/>
        <w:numId w:val="17"/>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3C23"/>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883C23"/>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883C2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83C2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83C23"/>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83C2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83C2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83C2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83C23"/>
    <w:rPr>
      <w:rFonts w:ascii="Arial" w:eastAsia="Times New Roman" w:hAnsi="Arial" w:cs="Arial"/>
      <w:lang w:val="es-ES" w:eastAsia="es-ES"/>
    </w:rPr>
  </w:style>
  <w:style w:type="numbering" w:customStyle="1" w:styleId="Sinlista1">
    <w:name w:val="Sin lista1"/>
    <w:next w:val="Sinlista"/>
    <w:uiPriority w:val="99"/>
    <w:semiHidden/>
    <w:unhideWhenUsed/>
    <w:rsid w:val="00883C23"/>
  </w:style>
  <w:style w:type="paragraph" w:styleId="Piedepgina">
    <w:name w:val="footer"/>
    <w:basedOn w:val="Normal"/>
    <w:link w:val="PiedepginaCar"/>
    <w:uiPriority w:val="99"/>
    <w:unhideWhenUsed/>
    <w:rsid w:val="00883C23"/>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883C23"/>
    <w:rPr>
      <w:sz w:val="24"/>
      <w:lang w:val="es-MX"/>
    </w:rPr>
  </w:style>
  <w:style w:type="paragraph" w:styleId="Textodeglobo">
    <w:name w:val="Balloon Text"/>
    <w:basedOn w:val="Normal"/>
    <w:link w:val="TextodegloboCar"/>
    <w:uiPriority w:val="99"/>
    <w:semiHidden/>
    <w:unhideWhenUsed/>
    <w:rsid w:val="00883C23"/>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883C23"/>
    <w:rPr>
      <w:rFonts w:ascii="Tahoma" w:hAnsi="Tahoma" w:cs="Tahoma"/>
      <w:sz w:val="16"/>
      <w:szCs w:val="16"/>
      <w:lang w:val="es-MX"/>
    </w:rPr>
  </w:style>
  <w:style w:type="paragraph" w:styleId="Encabezado">
    <w:name w:val="header"/>
    <w:basedOn w:val="Normal"/>
    <w:link w:val="EncabezadoCar"/>
    <w:uiPriority w:val="99"/>
    <w:unhideWhenUsed/>
    <w:rsid w:val="00883C23"/>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883C23"/>
    <w:rPr>
      <w:sz w:val="24"/>
      <w:lang w:val="es-MX"/>
    </w:rPr>
  </w:style>
  <w:style w:type="table" w:styleId="Tablaconcuadrcula">
    <w:name w:val="Table Grid"/>
    <w:basedOn w:val="Tablanormal"/>
    <w:uiPriority w:val="39"/>
    <w:rsid w:val="00883C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83C23"/>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883C23"/>
    <w:rPr>
      <w:sz w:val="16"/>
      <w:szCs w:val="16"/>
    </w:rPr>
  </w:style>
  <w:style w:type="paragraph" w:styleId="Textocomentario">
    <w:name w:val="annotation text"/>
    <w:basedOn w:val="Normal"/>
    <w:link w:val="TextocomentarioCar"/>
    <w:uiPriority w:val="99"/>
    <w:unhideWhenUsed/>
    <w:rsid w:val="00883C23"/>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883C2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83C23"/>
    <w:rPr>
      <w:b/>
      <w:bCs/>
    </w:rPr>
  </w:style>
  <w:style w:type="character" w:customStyle="1" w:styleId="AsuntodelcomentarioCar">
    <w:name w:val="Asunto del comentario Car"/>
    <w:basedOn w:val="TextocomentarioCar"/>
    <w:link w:val="Asuntodelcomentario"/>
    <w:uiPriority w:val="99"/>
    <w:semiHidden/>
    <w:rsid w:val="00883C23"/>
    <w:rPr>
      <w:b/>
      <w:bCs/>
      <w:sz w:val="20"/>
      <w:szCs w:val="20"/>
      <w:lang w:val="es-MX"/>
    </w:rPr>
  </w:style>
  <w:style w:type="character" w:customStyle="1" w:styleId="Hipervnculo1">
    <w:name w:val="Hipervínculo1"/>
    <w:basedOn w:val="Fuentedeprrafopredeter"/>
    <w:uiPriority w:val="99"/>
    <w:unhideWhenUsed/>
    <w:rsid w:val="00883C23"/>
    <w:rPr>
      <w:color w:val="F2F2F2"/>
      <w:u w:val="single"/>
    </w:rPr>
  </w:style>
  <w:style w:type="paragraph" w:styleId="NormalWeb">
    <w:name w:val="Normal (Web)"/>
    <w:basedOn w:val="Normal"/>
    <w:link w:val="NormalWebCar"/>
    <w:uiPriority w:val="99"/>
    <w:unhideWhenUsed/>
    <w:rsid w:val="00883C23"/>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883C23"/>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83C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83C23"/>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883C23"/>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83C23"/>
    <w:rPr>
      <w:sz w:val="24"/>
      <w:lang w:val="es-MX"/>
    </w:rPr>
  </w:style>
  <w:style w:type="paragraph" w:customStyle="1" w:styleId="Capitulo1">
    <w:name w:val="Capitulo 1"/>
    <w:basedOn w:val="Normal"/>
    <w:uiPriority w:val="99"/>
    <w:qFormat/>
    <w:rsid w:val="00883C23"/>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883C23"/>
    <w:rPr>
      <w:vertAlign w:val="superscript"/>
    </w:rPr>
  </w:style>
  <w:style w:type="paragraph" w:customStyle="1" w:styleId="pa22">
    <w:name w:val="pa22"/>
    <w:basedOn w:val="Normal"/>
    <w:rsid w:val="00883C23"/>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83C23"/>
    <w:rPr>
      <w:b/>
      <w:bCs/>
    </w:rPr>
  </w:style>
  <w:style w:type="character" w:styleId="nfasis">
    <w:name w:val="Emphasis"/>
    <w:basedOn w:val="Fuentedeprrafopredeter"/>
    <w:uiPriority w:val="20"/>
    <w:qFormat/>
    <w:rsid w:val="00883C23"/>
    <w:rPr>
      <w:i/>
      <w:iCs/>
    </w:rPr>
  </w:style>
  <w:style w:type="character" w:customStyle="1" w:styleId="Mencinsinresolver1">
    <w:name w:val="Mención sin resolver1"/>
    <w:basedOn w:val="Fuentedeprrafopredeter"/>
    <w:uiPriority w:val="99"/>
    <w:semiHidden/>
    <w:unhideWhenUsed/>
    <w:rsid w:val="00883C23"/>
    <w:rPr>
      <w:color w:val="605E5C"/>
      <w:shd w:val="clear" w:color="auto" w:fill="E1DFDD"/>
    </w:rPr>
  </w:style>
  <w:style w:type="paragraph" w:customStyle="1" w:styleId="Capitulo3">
    <w:name w:val="Capitulo 3"/>
    <w:basedOn w:val="Normal"/>
    <w:qFormat/>
    <w:rsid w:val="00883C23"/>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883C23"/>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883C23"/>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883C23"/>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883C23"/>
    <w:pPr>
      <w:spacing w:after="0" w:line="240" w:lineRule="auto"/>
      <w:jc w:val="both"/>
    </w:pPr>
    <w:rPr>
      <w:sz w:val="24"/>
      <w:lang w:val="es-MX"/>
    </w:rPr>
  </w:style>
  <w:style w:type="paragraph" w:customStyle="1" w:styleId="Appelnotedebasde">
    <w:name w:val="Appel note de bas de..."/>
    <w:basedOn w:val="Normal"/>
    <w:link w:val="Refdenotaalpie"/>
    <w:uiPriority w:val="99"/>
    <w:rsid w:val="00883C23"/>
    <w:pPr>
      <w:spacing w:line="240" w:lineRule="exact"/>
      <w:jc w:val="both"/>
    </w:pPr>
    <w:rPr>
      <w:vertAlign w:val="superscript"/>
    </w:rPr>
  </w:style>
  <w:style w:type="character" w:customStyle="1" w:styleId="NormalWebCar">
    <w:name w:val="Normal (Web) Car"/>
    <w:link w:val="NormalWeb"/>
    <w:uiPriority w:val="99"/>
    <w:locked/>
    <w:rsid w:val="00883C2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83C23"/>
  </w:style>
  <w:style w:type="paragraph" w:styleId="Textoindependiente">
    <w:name w:val="Body Text"/>
    <w:basedOn w:val="Normal"/>
    <w:link w:val="TextoindependienteCar"/>
    <w:uiPriority w:val="1"/>
    <w:qFormat/>
    <w:rsid w:val="00883C23"/>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83C23"/>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883C23"/>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883C23"/>
    <w:rPr>
      <w:sz w:val="20"/>
      <w:szCs w:val="20"/>
      <w:lang w:val="es-MX"/>
    </w:rPr>
  </w:style>
  <w:style w:type="character" w:styleId="Refdenotaalfinal">
    <w:name w:val="endnote reference"/>
    <w:basedOn w:val="Fuentedeprrafopredeter"/>
    <w:uiPriority w:val="99"/>
    <w:semiHidden/>
    <w:unhideWhenUsed/>
    <w:rsid w:val="00883C23"/>
    <w:rPr>
      <w:vertAlign w:val="superscript"/>
    </w:rPr>
  </w:style>
  <w:style w:type="table" w:customStyle="1" w:styleId="Tablaconcuadrcula1">
    <w:name w:val="Tabla con cuadrícula1"/>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883C23"/>
  </w:style>
  <w:style w:type="table" w:customStyle="1" w:styleId="Tablaconcuadrcula2">
    <w:name w:val="Tabla con cuadrícula2"/>
    <w:basedOn w:val="Tablanormal"/>
    <w:next w:val="Tablaconcuadrcula"/>
    <w:uiPriority w:val="39"/>
    <w:rsid w:val="00883C23"/>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883C23"/>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883C23"/>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883C23"/>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883C23"/>
    <w:pPr>
      <w:spacing w:after="120" w:line="480" w:lineRule="auto"/>
      <w:jc w:val="both"/>
    </w:pPr>
    <w:rPr>
      <w:sz w:val="24"/>
      <w:lang w:val="es-MX"/>
    </w:rPr>
  </w:style>
  <w:style w:type="character" w:customStyle="1" w:styleId="Textoindependiente2Car">
    <w:name w:val="Texto independiente 2 Car"/>
    <w:basedOn w:val="Fuentedeprrafopredeter"/>
    <w:link w:val="Textoindependiente2"/>
    <w:uiPriority w:val="99"/>
    <w:semiHidden/>
    <w:rsid w:val="00883C23"/>
    <w:rPr>
      <w:sz w:val="24"/>
      <w:lang w:val="es-MX"/>
    </w:rPr>
  </w:style>
  <w:style w:type="character" w:customStyle="1" w:styleId="apple-converted-space">
    <w:name w:val="apple-converted-space"/>
    <w:basedOn w:val="Fuentedeprrafopredeter"/>
    <w:rsid w:val="00883C23"/>
  </w:style>
  <w:style w:type="character" w:styleId="Hipervnculo">
    <w:name w:val="Hyperlink"/>
    <w:basedOn w:val="Fuentedeprrafopredeter"/>
    <w:uiPriority w:val="99"/>
    <w:semiHidden/>
    <w:unhideWhenUsed/>
    <w:rsid w:val="00883C23"/>
    <w:rPr>
      <w:color w:val="0563C1" w:themeColor="hyperlink"/>
      <w:u w:val="single"/>
    </w:rPr>
  </w:style>
  <w:style w:type="paragraph" w:customStyle="1" w:styleId="xgmail-cuerpodeltexto0">
    <w:name w:val="x_gmail-cuerpodeltexto0"/>
    <w:basedOn w:val="Normal"/>
    <w:rsid w:val="001E4C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cuerpodeltextocursiva">
    <w:name w:val="x_gmail-cuerpodeltextocursiva"/>
    <w:basedOn w:val="Fuentedeprrafopredeter"/>
    <w:rsid w:val="001E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810">
      <w:bodyDiv w:val="1"/>
      <w:marLeft w:val="0"/>
      <w:marRight w:val="0"/>
      <w:marTop w:val="0"/>
      <w:marBottom w:val="0"/>
      <w:divBdr>
        <w:top w:val="none" w:sz="0" w:space="0" w:color="auto"/>
        <w:left w:val="none" w:sz="0" w:space="0" w:color="auto"/>
        <w:bottom w:val="none" w:sz="0" w:space="0" w:color="auto"/>
        <w:right w:val="none" w:sz="0" w:space="0" w:color="auto"/>
      </w:divBdr>
    </w:div>
    <w:div w:id="189812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E16C6F4-DB0B-4FD0-9C3D-3041E73D90A1}">
  <ds:schemaRefs>
    <ds:schemaRef ds:uri="http://schemas.openxmlformats.org/officeDocument/2006/bibliography"/>
  </ds:schemaRefs>
</ds:datastoreItem>
</file>

<file path=customXml/itemProps2.xml><?xml version="1.0" encoding="utf-8"?>
<ds:datastoreItem xmlns:ds="http://schemas.openxmlformats.org/officeDocument/2006/customXml" ds:itemID="{47BCBB12-3C31-45E9-9B65-86BF78558F67}"/>
</file>

<file path=customXml/itemProps3.xml><?xml version="1.0" encoding="utf-8"?>
<ds:datastoreItem xmlns:ds="http://schemas.openxmlformats.org/officeDocument/2006/customXml" ds:itemID="{C5230615-F0E1-4492-828C-DC45E881F982}"/>
</file>

<file path=customXml/itemProps4.xml><?xml version="1.0" encoding="utf-8"?>
<ds:datastoreItem xmlns:ds="http://schemas.openxmlformats.org/officeDocument/2006/customXml" ds:itemID="{DA572D9C-B81E-40C2-9B5D-565AAEA853A9}"/>
</file>

<file path=docProps/app.xml><?xml version="1.0" encoding="utf-8"?>
<Properties xmlns="http://schemas.openxmlformats.org/officeDocument/2006/extended-properties" xmlns:vt="http://schemas.openxmlformats.org/officeDocument/2006/docPropsVTypes">
  <Template>Normal</Template>
  <TotalTime>41</TotalTime>
  <Pages>29</Pages>
  <Words>10904</Words>
  <Characters>59972</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7</cp:revision>
  <dcterms:created xsi:type="dcterms:W3CDTF">2022-04-07T02:18:00Z</dcterms:created>
  <dcterms:modified xsi:type="dcterms:W3CDTF">2022-04-12T23:41:00Z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