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71770" w14:textId="77777777" w:rsidR="000B2F93" w:rsidRPr="0063357B" w:rsidRDefault="000B2F93" w:rsidP="000B2F93">
      <w:pPr>
        <w:jc w:val="right"/>
        <w:rPr>
          <w:rFonts w:ascii="Arial" w:hAnsi="Arial" w:cs="Arial"/>
          <w:b/>
          <w:sz w:val="16"/>
          <w:szCs w:val="16"/>
          <w:lang w:val="es-ES" w:eastAsia="es-ES"/>
        </w:rPr>
      </w:pPr>
      <w:r w:rsidRPr="0063357B">
        <w:rPr>
          <w:rFonts w:ascii="Arial" w:hAnsi="Arial" w:cs="Arial"/>
          <w:b/>
          <w:sz w:val="16"/>
          <w:szCs w:val="16"/>
          <w:lang w:val="es-ES" w:eastAsia="es-ES"/>
        </w:rPr>
        <w:t>CCE-DES-FM-17</w:t>
      </w:r>
    </w:p>
    <w:p w14:paraId="678FBD3B" w14:textId="77777777" w:rsidR="001217F8" w:rsidRPr="0063357B" w:rsidRDefault="001217F8" w:rsidP="001217F8">
      <w:pPr>
        <w:jc w:val="both"/>
        <w:rPr>
          <w:rFonts w:ascii="Arial" w:eastAsia="Calibri" w:hAnsi="Arial" w:cs="Arial"/>
          <w:b/>
          <w:color w:val="000000" w:themeColor="text1"/>
          <w:lang w:val="es-ES_tradnl"/>
        </w:rPr>
      </w:pPr>
    </w:p>
    <w:p w14:paraId="7EB6E4CB" w14:textId="0DA3FF8F" w:rsidR="001217F8" w:rsidRPr="0063357B" w:rsidRDefault="001217F8" w:rsidP="001217F8">
      <w:pPr>
        <w:jc w:val="both"/>
        <w:rPr>
          <w:rFonts w:ascii="Arial" w:eastAsia="Calibri" w:hAnsi="Arial" w:cs="Arial"/>
          <w:b/>
          <w:color w:val="000000" w:themeColor="text1"/>
          <w:sz w:val="20"/>
          <w:szCs w:val="20"/>
          <w:lang w:val="es-ES_tradnl"/>
        </w:rPr>
      </w:pPr>
      <w:r w:rsidRPr="0063357B">
        <w:rPr>
          <w:rFonts w:ascii="Arial" w:eastAsia="Calibri" w:hAnsi="Arial" w:cs="Arial"/>
          <w:b/>
          <w:color w:val="000000" w:themeColor="text1"/>
          <w:sz w:val="20"/>
          <w:szCs w:val="20"/>
          <w:lang w:val="es-ES_tradnl"/>
        </w:rPr>
        <w:t>EMPRESAS SOCIALES DEL ESTADO – Régimen jurídico – Reglas aplicables</w:t>
      </w:r>
    </w:p>
    <w:p w14:paraId="49743888" w14:textId="77777777" w:rsidR="001217F8" w:rsidRPr="0063357B" w:rsidRDefault="001217F8" w:rsidP="001217F8">
      <w:pPr>
        <w:jc w:val="both"/>
        <w:rPr>
          <w:rFonts w:ascii="Arial" w:eastAsia="Calibri" w:hAnsi="Arial" w:cs="Arial"/>
          <w:color w:val="000000" w:themeColor="text1"/>
          <w:sz w:val="20"/>
          <w:szCs w:val="20"/>
          <w:lang w:val="es-ES_tradnl"/>
        </w:rPr>
      </w:pPr>
    </w:p>
    <w:p w14:paraId="0AA98BC2" w14:textId="77777777" w:rsidR="001217F8" w:rsidRPr="0063357B" w:rsidRDefault="001217F8" w:rsidP="001217F8">
      <w:pPr>
        <w:jc w:val="both"/>
        <w:rPr>
          <w:rFonts w:eastAsia="Calibri"/>
          <w:color w:val="000000" w:themeColor="text1"/>
          <w:sz w:val="20"/>
          <w:szCs w:val="20"/>
        </w:rPr>
      </w:pPr>
      <w:r w:rsidRPr="0063357B">
        <w:rPr>
          <w:rFonts w:ascii="Arial" w:hAnsi="Arial" w:cs="Arial"/>
          <w:sz w:val="20"/>
          <w:szCs w:val="20"/>
        </w:rPr>
        <w:t>Las Empresas Sociales del Estado – ESE son entidades públicas que, conforme al artículo 194 de la Ley 100 de 1993, son de categoría especial, descentralizada por servicios, con personería jurídica, patrimonio propio y autonomía administrativa. A través de ellas la Nación o las entidades territoriales prestan el servicio de salud de manera directa, es decir</w:t>
      </w:r>
      <w:r w:rsidRPr="0063357B">
        <w:rPr>
          <w:rFonts w:ascii="Arial" w:eastAsia="Calibri" w:hAnsi="Arial" w:cs="Arial"/>
          <w:color w:val="000000" w:themeColor="text1"/>
          <w:sz w:val="20"/>
          <w:szCs w:val="20"/>
        </w:rPr>
        <w:t xml:space="preserve">, las Empresas Sociales del Estado son, esencialmente, los hospitales públicos. El Consejo de Estado, sobre la naturaleza jurídica de estas entidades, precisó: […] Se tiene que las empresas sociales del Estado, es decir, los hospitales públicos a que se refiere la ley 100 de 1993, son entidades descentralizadas por servicios, de naturaleza jurídica especial, es decir, son entidades estatales que pertenecen a la estructura de la rama ejecutiva del poder público, porque así lo disponen los arts. 38 y 68 de la ley 489 de 1998 […]. </w:t>
      </w:r>
      <w:r w:rsidRPr="0063357B">
        <w:rPr>
          <w:rFonts w:ascii="Arial" w:hAnsi="Arial" w:cs="Arial"/>
          <w:sz w:val="20"/>
          <w:szCs w:val="20"/>
        </w:rPr>
        <w:t xml:space="preserve">De la cita precedente se puede concluir entonces que, las Empresas Sociales del Estado son una categoría especial de entidades públicas que hacen parte de la estructura de la Rama Ejecutiva del poder público. En este mismo sentido, el artículo 38 de la Ley 489 de 1998, en el que se consagran los organismos y entidades que integran la rama ejecutiva del poder público, dispuso en el literal d) del numeral 2 que las Empresas Sociales del Estado hacen parte del sector descentralizado por servicios de esta rama del poder público. </w:t>
      </w:r>
    </w:p>
    <w:p w14:paraId="1F0CA5E6" w14:textId="3EEA9CA8" w:rsidR="00EA2FEE" w:rsidRPr="0063357B" w:rsidRDefault="00EA2FEE" w:rsidP="00EA2FEE">
      <w:pPr>
        <w:jc w:val="right"/>
        <w:rPr>
          <w:sz w:val="20"/>
          <w:szCs w:val="20"/>
        </w:rPr>
      </w:pPr>
    </w:p>
    <w:p w14:paraId="2325DE8E" w14:textId="704CB79C" w:rsidR="00EA2FEE" w:rsidRPr="0063357B" w:rsidRDefault="00096E71" w:rsidP="008F1F27">
      <w:pPr>
        <w:rPr>
          <w:rFonts w:ascii="Arial" w:eastAsia="Calibri" w:hAnsi="Arial" w:cs="Arial"/>
          <w:b/>
          <w:bCs/>
          <w:sz w:val="20"/>
          <w:szCs w:val="20"/>
          <w:lang w:val="es-ES"/>
        </w:rPr>
      </w:pPr>
      <w:r w:rsidRPr="0063357B">
        <w:rPr>
          <w:rFonts w:ascii="Arial" w:eastAsia="Calibri" w:hAnsi="Arial" w:cs="Arial"/>
          <w:b/>
          <w:bCs/>
          <w:sz w:val="20"/>
          <w:szCs w:val="20"/>
          <w:lang w:val="es-ES"/>
        </w:rPr>
        <w:t xml:space="preserve">ALCANCE DE LAS RESTRICCIONES – </w:t>
      </w:r>
      <w:r w:rsidR="004067BD">
        <w:rPr>
          <w:rFonts w:ascii="Arial" w:eastAsia="Calibri" w:hAnsi="Arial" w:cs="Arial"/>
          <w:b/>
          <w:bCs/>
          <w:sz w:val="20"/>
          <w:szCs w:val="20"/>
          <w:lang w:val="es-ES"/>
        </w:rPr>
        <w:t>L</w:t>
      </w:r>
      <w:r w:rsidR="004067BD" w:rsidRPr="0063357B">
        <w:rPr>
          <w:rFonts w:ascii="Arial" w:eastAsia="Calibri" w:hAnsi="Arial" w:cs="Arial"/>
          <w:b/>
          <w:bCs/>
          <w:sz w:val="20"/>
          <w:szCs w:val="20"/>
          <w:lang w:val="es-ES"/>
        </w:rPr>
        <w:t xml:space="preserve">ey de garantías </w:t>
      </w:r>
    </w:p>
    <w:p w14:paraId="239034B8" w14:textId="77777777" w:rsidR="00096E71" w:rsidRPr="0063357B" w:rsidRDefault="00096E71" w:rsidP="008F1F27">
      <w:pPr>
        <w:rPr>
          <w:rFonts w:ascii="Arial" w:eastAsia="Calibri" w:hAnsi="Arial" w:cs="Arial"/>
          <w:b/>
          <w:bCs/>
          <w:sz w:val="20"/>
          <w:szCs w:val="20"/>
          <w:lang w:val="es-ES"/>
        </w:rPr>
      </w:pPr>
    </w:p>
    <w:p w14:paraId="455A4875" w14:textId="22B85215" w:rsidR="00096E71" w:rsidRPr="0063357B" w:rsidRDefault="00096E71" w:rsidP="00096E71">
      <w:pPr>
        <w:tabs>
          <w:tab w:val="left" w:pos="426"/>
        </w:tabs>
        <w:jc w:val="both"/>
        <w:rPr>
          <w:rFonts w:ascii="Arial" w:hAnsi="Arial" w:cs="Arial"/>
          <w:bCs/>
          <w:color w:val="000000" w:themeColor="text1"/>
          <w:sz w:val="20"/>
          <w:szCs w:val="20"/>
          <w:lang w:eastAsia="es-ES_tradnl"/>
        </w:rPr>
      </w:pPr>
      <w:r w:rsidRPr="0063357B">
        <w:rPr>
          <w:rFonts w:ascii="Arial" w:hAnsi="Arial" w:cs="Arial"/>
          <w:bCs/>
          <w:color w:val="000000" w:themeColor="text1"/>
          <w:sz w:val="20"/>
          <w:szCs w:val="20"/>
          <w:lang w:eastAsia="es-ES_tradnl"/>
        </w:rPr>
        <w:t>Así las cosas, las garantías buscadas a través de este marco normativo implican la existencia de restricciones, y conviene tener en cuenta que estas no pueden interpretarse extensivamente sino en forma restrictiva o estricta. En ese sentido, es importante analizar las restricciones aplicables frente a las elecciones presidenciales y frente a los comicios a cargos de elección popular.</w:t>
      </w:r>
    </w:p>
    <w:p w14:paraId="1431B7CA" w14:textId="77777777" w:rsidR="00096E71" w:rsidRPr="0063357B" w:rsidRDefault="00096E71" w:rsidP="00096E71">
      <w:pPr>
        <w:tabs>
          <w:tab w:val="left" w:pos="426"/>
        </w:tabs>
        <w:jc w:val="both"/>
        <w:rPr>
          <w:rFonts w:ascii="Arial" w:hAnsi="Arial" w:cs="Arial"/>
          <w:bCs/>
          <w:color w:val="000000" w:themeColor="text1"/>
          <w:sz w:val="20"/>
          <w:szCs w:val="20"/>
          <w:lang w:eastAsia="es-ES_tradnl"/>
        </w:rPr>
      </w:pPr>
    </w:p>
    <w:p w14:paraId="06A94846" w14:textId="526470C9" w:rsidR="00096E71" w:rsidRPr="0063357B" w:rsidRDefault="00096E71" w:rsidP="00096E71">
      <w:pPr>
        <w:jc w:val="both"/>
        <w:rPr>
          <w:rFonts w:ascii="Arial" w:eastAsia="Calibri" w:hAnsi="Arial" w:cs="Arial"/>
          <w:b/>
          <w:bCs/>
          <w:sz w:val="20"/>
          <w:szCs w:val="20"/>
          <w:lang w:val="es-ES"/>
        </w:rPr>
      </w:pPr>
      <w:r w:rsidRPr="0063357B">
        <w:rPr>
          <w:rFonts w:ascii="Arial" w:hAnsi="Arial" w:cs="Arial"/>
          <w:bCs/>
          <w:sz w:val="20"/>
          <w:szCs w:val="20"/>
          <w:lang w:eastAsia="es-CO"/>
        </w:rPr>
        <w:t>En el mismo sentido</w:t>
      </w:r>
      <w:r w:rsidRPr="0063357B">
        <w:rPr>
          <w:rFonts w:ascii="Arial" w:hAnsi="Arial" w:cs="Arial"/>
          <w:bCs/>
          <w:sz w:val="20"/>
          <w:szCs w:val="20"/>
          <w:lang w:val="es-MX" w:eastAsia="es-CO"/>
        </w:rPr>
        <w:t>,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introduce limitaciones para realizar nombramientos, postulaciones, contrataciones o cualquier otro tipo de actividad que implique destinación de recursos públicos bajo el devenir propio de las entidades estatales.</w:t>
      </w:r>
    </w:p>
    <w:p w14:paraId="19EFE175" w14:textId="22A90199" w:rsidR="009A7542" w:rsidRPr="0063357B" w:rsidRDefault="009A7542" w:rsidP="008F1F27">
      <w:pPr>
        <w:rPr>
          <w:rFonts w:ascii="Arial" w:eastAsia="Calibri" w:hAnsi="Arial" w:cs="Arial"/>
          <w:sz w:val="20"/>
          <w:szCs w:val="20"/>
          <w:lang w:val="es-ES"/>
        </w:rPr>
      </w:pPr>
    </w:p>
    <w:p w14:paraId="48AF17FC" w14:textId="6E199CDA" w:rsidR="009A7542" w:rsidRPr="0063357B" w:rsidRDefault="00096E71" w:rsidP="008F1F27">
      <w:pPr>
        <w:rPr>
          <w:rFonts w:ascii="Arial" w:eastAsia="Calibri" w:hAnsi="Arial" w:cs="Arial"/>
          <w:b/>
          <w:bCs/>
          <w:sz w:val="20"/>
          <w:szCs w:val="20"/>
          <w:lang w:val="es-ES"/>
        </w:rPr>
      </w:pPr>
      <w:r w:rsidRPr="0063357B">
        <w:rPr>
          <w:rFonts w:ascii="Arial" w:eastAsia="Calibri" w:hAnsi="Arial" w:cs="Arial"/>
          <w:b/>
          <w:bCs/>
          <w:sz w:val="20"/>
          <w:szCs w:val="20"/>
          <w:lang w:val="es-ES"/>
        </w:rPr>
        <w:t xml:space="preserve">LEY DE GARANTÍAS ELECTORALES </w:t>
      </w:r>
      <w:r w:rsidR="004067BD" w:rsidRPr="0063357B">
        <w:rPr>
          <w:rFonts w:ascii="Arial" w:eastAsia="Calibri" w:hAnsi="Arial" w:cs="Arial"/>
          <w:b/>
          <w:bCs/>
          <w:sz w:val="20"/>
          <w:szCs w:val="20"/>
          <w:lang w:val="es-ES"/>
        </w:rPr>
        <w:t xml:space="preserve">– Artículo </w:t>
      </w:r>
      <w:r w:rsidRPr="0063357B">
        <w:rPr>
          <w:rFonts w:ascii="Arial" w:eastAsia="Calibri" w:hAnsi="Arial" w:cs="Arial"/>
          <w:b/>
          <w:bCs/>
          <w:sz w:val="20"/>
          <w:szCs w:val="20"/>
          <w:lang w:val="es-ES"/>
        </w:rPr>
        <w:t xml:space="preserve">33 – Restricciones </w:t>
      </w:r>
    </w:p>
    <w:p w14:paraId="50657596" w14:textId="77777777" w:rsidR="00096E71" w:rsidRPr="0063357B" w:rsidRDefault="00096E71" w:rsidP="008F1F27">
      <w:pPr>
        <w:rPr>
          <w:rFonts w:ascii="Arial" w:eastAsia="Calibri" w:hAnsi="Arial" w:cs="Arial"/>
          <w:b/>
          <w:bCs/>
          <w:sz w:val="20"/>
          <w:szCs w:val="20"/>
          <w:lang w:val="es-ES"/>
        </w:rPr>
      </w:pPr>
    </w:p>
    <w:p w14:paraId="6D076C50" w14:textId="77777777" w:rsidR="00096E71" w:rsidRPr="0063357B" w:rsidRDefault="00096E71" w:rsidP="00096E71">
      <w:pPr>
        <w:jc w:val="both"/>
        <w:rPr>
          <w:rFonts w:ascii="Arial" w:hAnsi="Arial" w:cs="Arial"/>
          <w:bCs/>
          <w:color w:val="000000"/>
          <w:sz w:val="20"/>
          <w:szCs w:val="20"/>
          <w:lang w:eastAsia="es-CO"/>
        </w:rPr>
      </w:pPr>
      <w:r w:rsidRPr="0063357B">
        <w:rPr>
          <w:rFonts w:ascii="Arial" w:hAnsi="Arial" w:cs="Arial"/>
          <w:bCs/>
          <w:color w:val="000000"/>
          <w:sz w:val="20"/>
          <w:szCs w:val="20"/>
          <w:lang w:eastAsia="es-CO"/>
        </w:rPr>
        <w:t>En cuanto a la restricción especial para las elecciones presidenciales, queda prohibida la contratación directa por parte de todos los entes del Estado, salvo las excepciones legales existentes, tal como lo señala el artículo 33 de la Ley 996 de 2005. A dicha prohibición se suman las previstas para los comicios a cargos de elección popular –incluidas las presidenciales– consagradas en el parágrafo del artículo 38 ibídem. Este precepto establece la prohibición para gobernadores, alcaldes, secretarios, gerentes y directores de entidades de orden municipal, departamental o distrital, para celebrar convenios o contratos interadministrativos para la ejecución de recursos públicos.</w:t>
      </w:r>
    </w:p>
    <w:p w14:paraId="50D3282E" w14:textId="77777777" w:rsidR="00096E71" w:rsidRPr="0063357B" w:rsidRDefault="00096E71" w:rsidP="00096E71">
      <w:pPr>
        <w:spacing w:before="120" w:after="120"/>
        <w:jc w:val="both"/>
        <w:rPr>
          <w:rFonts w:ascii="Arial" w:hAnsi="Arial" w:cs="Arial"/>
          <w:bCs/>
          <w:color w:val="000000"/>
          <w:sz w:val="20"/>
          <w:szCs w:val="20"/>
          <w:lang w:eastAsia="es-CO"/>
        </w:rPr>
      </w:pPr>
      <w:r w:rsidRPr="0063357B">
        <w:rPr>
          <w:rFonts w:ascii="Arial" w:hAnsi="Arial" w:cs="Arial"/>
          <w:bCs/>
          <w:color w:val="000000"/>
          <w:sz w:val="20"/>
          <w:szCs w:val="20"/>
          <w:lang w:eastAsia="es-CO"/>
        </w:rPr>
        <w:t>En ambos casos, la Ley se aplicará durante los cuatro (4) meses anteriores a las elecciones. Respecto de los comicios presidenciales, se aplicará hasta la realización de la elección en la segunda vuelta, coincidiendo con la delimitación temporal señalada para la campaña política.</w:t>
      </w:r>
    </w:p>
    <w:p w14:paraId="4FB954F0" w14:textId="77777777" w:rsidR="00096E71" w:rsidRPr="0063357B" w:rsidRDefault="00096E71" w:rsidP="00096E71">
      <w:pPr>
        <w:jc w:val="both"/>
        <w:rPr>
          <w:rFonts w:ascii="Arial" w:hAnsi="Arial" w:cs="Arial"/>
          <w:b/>
          <w:color w:val="000000" w:themeColor="text1"/>
          <w:sz w:val="20"/>
          <w:szCs w:val="20"/>
          <w:lang w:eastAsia="es-ES_tradnl"/>
        </w:rPr>
      </w:pPr>
      <w:r w:rsidRPr="0063357B">
        <w:rPr>
          <w:rFonts w:ascii="Arial" w:hAnsi="Arial" w:cs="Arial"/>
          <w:bCs/>
          <w:color w:val="000000"/>
          <w:sz w:val="20"/>
          <w:szCs w:val="20"/>
          <w:lang w:eastAsia="es-CO"/>
        </w:rPr>
        <w:lastRenderedPageBreak/>
        <w:t>Por lo anterior, es importante analizar las restricciones aplicables a cada una de estas elecciones, pues presentan importantes diferencias, como su fundamento jurídico. Con esa finalidad, en primer lugar, se analizarán las restricciones aplicables frente a las elecciones presidenciales; y, posteriormente, las referentes a los demás cargos de elección popular.</w:t>
      </w:r>
    </w:p>
    <w:p w14:paraId="144E3E36" w14:textId="77777777" w:rsidR="00096E71" w:rsidRPr="0063357B" w:rsidRDefault="00096E71" w:rsidP="008F1F27">
      <w:pPr>
        <w:rPr>
          <w:rFonts w:ascii="Arial" w:eastAsia="Calibri" w:hAnsi="Arial" w:cs="Arial"/>
          <w:b/>
          <w:bCs/>
          <w:sz w:val="20"/>
          <w:szCs w:val="20"/>
          <w:lang w:val="es-ES"/>
        </w:rPr>
      </w:pPr>
    </w:p>
    <w:p w14:paraId="7C2737D1" w14:textId="62E6F6CB" w:rsidR="009A7542" w:rsidRPr="0063357B" w:rsidRDefault="009A7542" w:rsidP="008F1F27">
      <w:pPr>
        <w:rPr>
          <w:rFonts w:ascii="Arial" w:eastAsia="Calibri" w:hAnsi="Arial" w:cs="Arial"/>
          <w:b/>
          <w:bCs/>
          <w:sz w:val="20"/>
          <w:szCs w:val="20"/>
          <w:lang w:val="es-ES"/>
        </w:rPr>
      </w:pPr>
    </w:p>
    <w:p w14:paraId="56C9D9C2" w14:textId="10290621" w:rsidR="002661F6" w:rsidRPr="0063357B" w:rsidRDefault="002661F6" w:rsidP="008F1F27">
      <w:pPr>
        <w:rPr>
          <w:rFonts w:ascii="Arial" w:eastAsia="Calibri" w:hAnsi="Arial" w:cs="Arial"/>
          <w:b/>
          <w:bCs/>
          <w:sz w:val="20"/>
          <w:szCs w:val="20"/>
          <w:lang w:val="es-ES"/>
        </w:rPr>
      </w:pPr>
    </w:p>
    <w:p w14:paraId="10DCCEF9" w14:textId="77777777" w:rsidR="002661F6" w:rsidRPr="0063357B" w:rsidRDefault="002661F6" w:rsidP="008F1F27">
      <w:pPr>
        <w:rPr>
          <w:rFonts w:ascii="Arial" w:eastAsia="Calibri" w:hAnsi="Arial" w:cs="Arial"/>
          <w:b/>
          <w:bCs/>
          <w:sz w:val="20"/>
          <w:szCs w:val="20"/>
          <w:lang w:val="es-ES"/>
        </w:rPr>
      </w:pPr>
    </w:p>
    <w:p w14:paraId="4614462F" w14:textId="77777777" w:rsidR="002661F6" w:rsidRPr="0063357B" w:rsidRDefault="002661F6" w:rsidP="008F1F27">
      <w:pPr>
        <w:rPr>
          <w:rFonts w:ascii="Arial" w:eastAsia="Calibri" w:hAnsi="Arial" w:cs="Arial"/>
          <w:b/>
          <w:bCs/>
          <w:sz w:val="20"/>
          <w:szCs w:val="20"/>
          <w:lang w:val="es-ES"/>
        </w:rPr>
      </w:pPr>
    </w:p>
    <w:p w14:paraId="062CE602" w14:textId="2BE4B75D" w:rsidR="009A7542" w:rsidRDefault="009A7542" w:rsidP="008F1F27">
      <w:pPr>
        <w:rPr>
          <w:rFonts w:ascii="Arial" w:eastAsia="Calibri" w:hAnsi="Arial" w:cs="Arial"/>
          <w:sz w:val="20"/>
          <w:szCs w:val="20"/>
          <w:lang w:val="es-ES"/>
        </w:rPr>
      </w:pPr>
    </w:p>
    <w:p w14:paraId="005B453A" w14:textId="487B7EC3" w:rsidR="00490C0A" w:rsidRDefault="00490C0A" w:rsidP="008F1F27">
      <w:pPr>
        <w:rPr>
          <w:rFonts w:ascii="Arial" w:eastAsia="Calibri" w:hAnsi="Arial" w:cs="Arial"/>
          <w:sz w:val="20"/>
          <w:szCs w:val="20"/>
          <w:lang w:val="es-ES"/>
        </w:rPr>
      </w:pPr>
    </w:p>
    <w:p w14:paraId="44BADDA0" w14:textId="4FD522BC" w:rsidR="00490C0A" w:rsidRDefault="00490C0A" w:rsidP="008F1F27">
      <w:pPr>
        <w:rPr>
          <w:rFonts w:ascii="Arial" w:eastAsia="Calibri" w:hAnsi="Arial" w:cs="Arial"/>
          <w:sz w:val="20"/>
          <w:szCs w:val="20"/>
          <w:lang w:val="es-ES"/>
        </w:rPr>
      </w:pPr>
    </w:p>
    <w:p w14:paraId="3EA25772" w14:textId="75017F63" w:rsidR="00490C0A" w:rsidRDefault="00490C0A" w:rsidP="008F1F27">
      <w:pPr>
        <w:rPr>
          <w:rFonts w:ascii="Arial" w:eastAsia="Calibri" w:hAnsi="Arial" w:cs="Arial"/>
          <w:sz w:val="20"/>
          <w:szCs w:val="20"/>
          <w:lang w:val="es-ES"/>
        </w:rPr>
      </w:pPr>
    </w:p>
    <w:p w14:paraId="5580E409" w14:textId="4CB91CD6" w:rsidR="00490C0A" w:rsidRDefault="00490C0A" w:rsidP="008F1F27">
      <w:pPr>
        <w:rPr>
          <w:rFonts w:ascii="Arial" w:eastAsia="Calibri" w:hAnsi="Arial" w:cs="Arial"/>
          <w:sz w:val="20"/>
          <w:szCs w:val="20"/>
          <w:lang w:val="es-ES"/>
        </w:rPr>
      </w:pPr>
    </w:p>
    <w:p w14:paraId="74942956" w14:textId="7302C226" w:rsidR="00490C0A" w:rsidRDefault="00490C0A" w:rsidP="008F1F27">
      <w:pPr>
        <w:rPr>
          <w:rFonts w:ascii="Arial" w:eastAsia="Calibri" w:hAnsi="Arial" w:cs="Arial"/>
          <w:sz w:val="20"/>
          <w:szCs w:val="20"/>
          <w:lang w:val="es-ES"/>
        </w:rPr>
      </w:pPr>
    </w:p>
    <w:p w14:paraId="4BDF1A06" w14:textId="48F63983" w:rsidR="00490C0A" w:rsidRDefault="00490C0A" w:rsidP="008F1F27">
      <w:pPr>
        <w:rPr>
          <w:rFonts w:ascii="Arial" w:eastAsia="Calibri" w:hAnsi="Arial" w:cs="Arial"/>
          <w:sz w:val="20"/>
          <w:szCs w:val="20"/>
          <w:lang w:val="es-ES"/>
        </w:rPr>
      </w:pPr>
    </w:p>
    <w:p w14:paraId="29092E8F" w14:textId="604BE0DD" w:rsidR="00490C0A" w:rsidRDefault="00490C0A" w:rsidP="008F1F27">
      <w:pPr>
        <w:rPr>
          <w:rFonts w:ascii="Arial" w:eastAsia="Calibri" w:hAnsi="Arial" w:cs="Arial"/>
          <w:sz w:val="20"/>
          <w:szCs w:val="20"/>
          <w:lang w:val="es-ES"/>
        </w:rPr>
      </w:pPr>
    </w:p>
    <w:p w14:paraId="59FE71F9" w14:textId="116748AF" w:rsidR="00490C0A" w:rsidRDefault="00490C0A" w:rsidP="008F1F27">
      <w:pPr>
        <w:rPr>
          <w:rFonts w:ascii="Arial" w:eastAsia="Calibri" w:hAnsi="Arial" w:cs="Arial"/>
          <w:sz w:val="20"/>
          <w:szCs w:val="20"/>
          <w:lang w:val="es-ES"/>
        </w:rPr>
      </w:pPr>
    </w:p>
    <w:p w14:paraId="425C1247" w14:textId="61360A2E" w:rsidR="00490C0A" w:rsidRDefault="00490C0A" w:rsidP="008F1F27">
      <w:pPr>
        <w:rPr>
          <w:rFonts w:ascii="Arial" w:eastAsia="Calibri" w:hAnsi="Arial" w:cs="Arial"/>
          <w:sz w:val="20"/>
          <w:szCs w:val="20"/>
          <w:lang w:val="es-ES"/>
        </w:rPr>
      </w:pPr>
    </w:p>
    <w:p w14:paraId="71315F20" w14:textId="0E1B355B" w:rsidR="00490C0A" w:rsidRDefault="00490C0A" w:rsidP="008F1F27">
      <w:pPr>
        <w:rPr>
          <w:rFonts w:ascii="Arial" w:eastAsia="Calibri" w:hAnsi="Arial" w:cs="Arial"/>
          <w:sz w:val="20"/>
          <w:szCs w:val="20"/>
          <w:lang w:val="es-ES"/>
        </w:rPr>
      </w:pPr>
    </w:p>
    <w:p w14:paraId="44DA98BC" w14:textId="11223260" w:rsidR="00490C0A" w:rsidRDefault="00490C0A" w:rsidP="008F1F27">
      <w:pPr>
        <w:rPr>
          <w:rFonts w:ascii="Arial" w:eastAsia="Calibri" w:hAnsi="Arial" w:cs="Arial"/>
          <w:sz w:val="20"/>
          <w:szCs w:val="20"/>
          <w:lang w:val="es-ES"/>
        </w:rPr>
      </w:pPr>
    </w:p>
    <w:p w14:paraId="67F34AB0" w14:textId="7B853C84" w:rsidR="00490C0A" w:rsidRDefault="00490C0A" w:rsidP="008F1F27">
      <w:pPr>
        <w:rPr>
          <w:rFonts w:ascii="Arial" w:eastAsia="Calibri" w:hAnsi="Arial" w:cs="Arial"/>
          <w:sz w:val="20"/>
          <w:szCs w:val="20"/>
          <w:lang w:val="es-ES"/>
        </w:rPr>
      </w:pPr>
    </w:p>
    <w:p w14:paraId="416F9A73" w14:textId="71850969" w:rsidR="00490C0A" w:rsidRDefault="00490C0A" w:rsidP="008F1F27">
      <w:pPr>
        <w:rPr>
          <w:rFonts w:ascii="Arial" w:eastAsia="Calibri" w:hAnsi="Arial" w:cs="Arial"/>
          <w:sz w:val="20"/>
          <w:szCs w:val="20"/>
          <w:lang w:val="es-ES"/>
        </w:rPr>
      </w:pPr>
    </w:p>
    <w:p w14:paraId="17C706F8" w14:textId="49631B74" w:rsidR="00490C0A" w:rsidRDefault="00490C0A" w:rsidP="008F1F27">
      <w:pPr>
        <w:rPr>
          <w:rFonts w:ascii="Arial" w:eastAsia="Calibri" w:hAnsi="Arial" w:cs="Arial"/>
          <w:sz w:val="20"/>
          <w:szCs w:val="20"/>
          <w:lang w:val="es-ES"/>
        </w:rPr>
      </w:pPr>
    </w:p>
    <w:p w14:paraId="7A21164A" w14:textId="62611D53" w:rsidR="00490C0A" w:rsidRDefault="00490C0A" w:rsidP="008F1F27">
      <w:pPr>
        <w:rPr>
          <w:rFonts w:ascii="Arial" w:eastAsia="Calibri" w:hAnsi="Arial" w:cs="Arial"/>
          <w:sz w:val="20"/>
          <w:szCs w:val="20"/>
          <w:lang w:val="es-ES"/>
        </w:rPr>
      </w:pPr>
    </w:p>
    <w:p w14:paraId="42AEF083" w14:textId="4C4DB8FE" w:rsidR="00490C0A" w:rsidRDefault="00490C0A" w:rsidP="008F1F27">
      <w:pPr>
        <w:rPr>
          <w:rFonts w:ascii="Arial" w:eastAsia="Calibri" w:hAnsi="Arial" w:cs="Arial"/>
          <w:sz w:val="20"/>
          <w:szCs w:val="20"/>
          <w:lang w:val="es-ES"/>
        </w:rPr>
      </w:pPr>
    </w:p>
    <w:p w14:paraId="5CBEB539" w14:textId="1B3B3A74" w:rsidR="00490C0A" w:rsidRDefault="00490C0A" w:rsidP="008F1F27">
      <w:pPr>
        <w:rPr>
          <w:rFonts w:ascii="Arial" w:eastAsia="Calibri" w:hAnsi="Arial" w:cs="Arial"/>
          <w:sz w:val="20"/>
          <w:szCs w:val="20"/>
          <w:lang w:val="es-ES"/>
        </w:rPr>
      </w:pPr>
    </w:p>
    <w:p w14:paraId="4A3E3973" w14:textId="502ECB4A" w:rsidR="00490C0A" w:rsidRDefault="00490C0A" w:rsidP="008F1F27">
      <w:pPr>
        <w:rPr>
          <w:rFonts w:ascii="Arial" w:eastAsia="Calibri" w:hAnsi="Arial" w:cs="Arial"/>
          <w:sz w:val="20"/>
          <w:szCs w:val="20"/>
          <w:lang w:val="es-ES"/>
        </w:rPr>
      </w:pPr>
    </w:p>
    <w:p w14:paraId="2E39BFE8" w14:textId="788401F1" w:rsidR="00490C0A" w:rsidRDefault="00490C0A" w:rsidP="008F1F27">
      <w:pPr>
        <w:rPr>
          <w:rFonts w:ascii="Arial" w:eastAsia="Calibri" w:hAnsi="Arial" w:cs="Arial"/>
          <w:sz w:val="20"/>
          <w:szCs w:val="20"/>
          <w:lang w:val="es-ES"/>
        </w:rPr>
      </w:pPr>
    </w:p>
    <w:p w14:paraId="7B4B7282" w14:textId="77777777" w:rsidR="00490C0A" w:rsidRPr="0063357B" w:rsidRDefault="00490C0A" w:rsidP="008F1F27">
      <w:pPr>
        <w:rPr>
          <w:rFonts w:ascii="Arial" w:eastAsia="Calibri" w:hAnsi="Arial" w:cs="Arial"/>
          <w:sz w:val="20"/>
          <w:szCs w:val="20"/>
          <w:lang w:val="es-ES"/>
        </w:rPr>
      </w:pPr>
    </w:p>
    <w:p w14:paraId="73FC2828" w14:textId="2B9D83F6" w:rsidR="009A7542" w:rsidRPr="0063357B" w:rsidRDefault="009A7542" w:rsidP="008F1F27">
      <w:pPr>
        <w:rPr>
          <w:rFonts w:ascii="Arial" w:eastAsia="Calibri" w:hAnsi="Arial" w:cs="Arial"/>
          <w:sz w:val="20"/>
          <w:szCs w:val="20"/>
          <w:lang w:val="es-ES"/>
        </w:rPr>
      </w:pPr>
    </w:p>
    <w:p w14:paraId="54DC50E7" w14:textId="23189446" w:rsidR="009A7542" w:rsidRPr="0063357B" w:rsidRDefault="009A7542" w:rsidP="008F1F27">
      <w:pPr>
        <w:rPr>
          <w:rFonts w:ascii="Arial" w:eastAsia="Calibri" w:hAnsi="Arial" w:cs="Arial"/>
          <w:sz w:val="20"/>
          <w:szCs w:val="20"/>
          <w:lang w:val="es-ES"/>
        </w:rPr>
      </w:pPr>
    </w:p>
    <w:p w14:paraId="00FCF98E" w14:textId="03FE71F0" w:rsidR="009A7542" w:rsidRPr="0063357B" w:rsidRDefault="009A7542" w:rsidP="008F1F27">
      <w:pPr>
        <w:rPr>
          <w:rFonts w:ascii="Arial" w:eastAsia="Calibri" w:hAnsi="Arial" w:cs="Arial"/>
          <w:sz w:val="20"/>
          <w:szCs w:val="20"/>
          <w:lang w:val="es-ES"/>
        </w:rPr>
      </w:pPr>
    </w:p>
    <w:p w14:paraId="5365C440" w14:textId="0226BC34" w:rsidR="009A7542" w:rsidRPr="0063357B" w:rsidRDefault="009A7542" w:rsidP="008F1F27">
      <w:pPr>
        <w:rPr>
          <w:rFonts w:ascii="Arial" w:eastAsia="Calibri" w:hAnsi="Arial" w:cs="Arial"/>
          <w:sz w:val="20"/>
          <w:szCs w:val="20"/>
          <w:lang w:val="es-ES"/>
        </w:rPr>
      </w:pPr>
    </w:p>
    <w:p w14:paraId="230ECF2A" w14:textId="105B67B0" w:rsidR="009A7542" w:rsidRPr="0063357B" w:rsidRDefault="009A7542" w:rsidP="008F1F27">
      <w:pPr>
        <w:rPr>
          <w:rFonts w:ascii="Arial" w:eastAsia="Calibri" w:hAnsi="Arial" w:cs="Arial"/>
          <w:sz w:val="20"/>
          <w:szCs w:val="20"/>
          <w:lang w:val="es-ES"/>
        </w:rPr>
      </w:pPr>
    </w:p>
    <w:p w14:paraId="1DA589F4" w14:textId="72AA2643" w:rsidR="001217F8" w:rsidRPr="0063357B" w:rsidRDefault="001217F8" w:rsidP="008F1F27">
      <w:pPr>
        <w:rPr>
          <w:rFonts w:ascii="Arial" w:eastAsia="Calibri" w:hAnsi="Arial" w:cs="Arial"/>
          <w:sz w:val="20"/>
          <w:szCs w:val="20"/>
          <w:lang w:val="es-ES"/>
        </w:rPr>
      </w:pPr>
    </w:p>
    <w:p w14:paraId="048AC344" w14:textId="5A71C2F8" w:rsidR="001217F8" w:rsidRPr="0063357B" w:rsidRDefault="001217F8" w:rsidP="008F1F27">
      <w:pPr>
        <w:rPr>
          <w:rFonts w:ascii="Arial" w:eastAsia="Calibri" w:hAnsi="Arial" w:cs="Arial"/>
          <w:sz w:val="20"/>
          <w:szCs w:val="20"/>
          <w:lang w:val="es-ES"/>
        </w:rPr>
      </w:pPr>
    </w:p>
    <w:p w14:paraId="595197EF" w14:textId="2A3E7E9F" w:rsidR="001217F8" w:rsidRPr="0063357B" w:rsidRDefault="001217F8" w:rsidP="008F1F27">
      <w:pPr>
        <w:rPr>
          <w:rFonts w:ascii="Arial" w:eastAsia="Calibri" w:hAnsi="Arial" w:cs="Arial"/>
          <w:sz w:val="20"/>
          <w:szCs w:val="20"/>
          <w:lang w:val="es-ES"/>
        </w:rPr>
      </w:pPr>
    </w:p>
    <w:p w14:paraId="3A8C6896" w14:textId="5F6C89F7" w:rsidR="001217F8" w:rsidRPr="0063357B" w:rsidRDefault="001217F8" w:rsidP="008F1F27">
      <w:pPr>
        <w:rPr>
          <w:rFonts w:ascii="Arial" w:eastAsia="Calibri" w:hAnsi="Arial" w:cs="Arial"/>
          <w:sz w:val="20"/>
          <w:szCs w:val="20"/>
          <w:lang w:val="es-ES"/>
        </w:rPr>
      </w:pPr>
    </w:p>
    <w:p w14:paraId="61F5BCF1" w14:textId="2B5E5F31" w:rsidR="002661F6" w:rsidRPr="0063357B" w:rsidRDefault="002661F6" w:rsidP="008F1F27">
      <w:pPr>
        <w:rPr>
          <w:rFonts w:ascii="Arial" w:eastAsia="Calibri" w:hAnsi="Arial" w:cs="Arial"/>
          <w:sz w:val="20"/>
          <w:szCs w:val="20"/>
          <w:lang w:val="es-ES"/>
        </w:rPr>
      </w:pPr>
    </w:p>
    <w:p w14:paraId="5E769505" w14:textId="063FBFD4" w:rsidR="002661F6" w:rsidRPr="0063357B" w:rsidRDefault="002661F6" w:rsidP="008F1F27">
      <w:pPr>
        <w:rPr>
          <w:rFonts w:ascii="Arial" w:eastAsia="Calibri" w:hAnsi="Arial" w:cs="Arial"/>
          <w:sz w:val="22"/>
          <w:szCs w:val="22"/>
          <w:lang w:val="es-ES"/>
        </w:rPr>
      </w:pPr>
    </w:p>
    <w:p w14:paraId="56AEE7C7" w14:textId="0EFEAD3D" w:rsidR="002661F6" w:rsidRPr="0063357B" w:rsidRDefault="002661F6" w:rsidP="008F1F27">
      <w:pPr>
        <w:rPr>
          <w:rFonts w:ascii="Arial" w:eastAsia="Calibri" w:hAnsi="Arial" w:cs="Arial"/>
          <w:sz w:val="22"/>
          <w:szCs w:val="22"/>
          <w:lang w:val="es-ES"/>
        </w:rPr>
      </w:pPr>
    </w:p>
    <w:p w14:paraId="5B48BEDF" w14:textId="10CF5651" w:rsidR="002661F6" w:rsidRPr="0063357B" w:rsidRDefault="002661F6" w:rsidP="008F1F27">
      <w:pPr>
        <w:rPr>
          <w:rFonts w:ascii="Arial" w:eastAsia="Calibri" w:hAnsi="Arial" w:cs="Arial"/>
          <w:sz w:val="22"/>
          <w:szCs w:val="22"/>
          <w:lang w:val="es-ES"/>
        </w:rPr>
      </w:pPr>
    </w:p>
    <w:p w14:paraId="7D2F2B14" w14:textId="15948D50" w:rsidR="002661F6" w:rsidRPr="0063357B" w:rsidRDefault="002661F6" w:rsidP="008F1F27">
      <w:pPr>
        <w:rPr>
          <w:rFonts w:ascii="Arial" w:eastAsia="Calibri" w:hAnsi="Arial" w:cs="Arial"/>
          <w:sz w:val="22"/>
          <w:szCs w:val="22"/>
          <w:lang w:val="es-ES"/>
        </w:rPr>
      </w:pPr>
    </w:p>
    <w:p w14:paraId="7EFDF107" w14:textId="6F1497DF" w:rsidR="002661F6" w:rsidRPr="0063357B" w:rsidRDefault="002661F6" w:rsidP="008F1F27">
      <w:pPr>
        <w:rPr>
          <w:rFonts w:ascii="Arial" w:eastAsia="Calibri" w:hAnsi="Arial" w:cs="Arial"/>
          <w:sz w:val="22"/>
          <w:szCs w:val="22"/>
          <w:lang w:val="es-ES"/>
        </w:rPr>
      </w:pPr>
    </w:p>
    <w:p w14:paraId="04132972" w14:textId="6E29AF63" w:rsidR="002661F6" w:rsidRPr="0063357B" w:rsidRDefault="002661F6" w:rsidP="008F1F27">
      <w:pPr>
        <w:rPr>
          <w:rFonts w:ascii="Arial" w:eastAsia="Calibri" w:hAnsi="Arial" w:cs="Arial"/>
          <w:sz w:val="22"/>
          <w:szCs w:val="22"/>
          <w:lang w:val="es-ES"/>
        </w:rPr>
      </w:pPr>
    </w:p>
    <w:p w14:paraId="503A52EA" w14:textId="77777777" w:rsidR="002661F6" w:rsidRPr="0063357B" w:rsidRDefault="002661F6" w:rsidP="008F1F27">
      <w:pPr>
        <w:rPr>
          <w:rFonts w:ascii="Arial" w:eastAsia="Calibri" w:hAnsi="Arial" w:cs="Arial"/>
          <w:sz w:val="22"/>
          <w:szCs w:val="22"/>
          <w:lang w:val="es-ES"/>
        </w:rPr>
      </w:pPr>
    </w:p>
    <w:p w14:paraId="08596699" w14:textId="77777777" w:rsidR="00C65F25" w:rsidRPr="0063357B" w:rsidRDefault="00C65F25" w:rsidP="008F1F27">
      <w:pPr>
        <w:rPr>
          <w:rFonts w:ascii="Arial" w:eastAsia="Calibri" w:hAnsi="Arial" w:cs="Arial"/>
          <w:sz w:val="22"/>
          <w:szCs w:val="22"/>
          <w:lang w:val="es-ES"/>
        </w:rPr>
      </w:pPr>
    </w:p>
    <w:p w14:paraId="70C41DFE" w14:textId="77777777" w:rsidR="00B13C1F" w:rsidRPr="0063357B" w:rsidRDefault="00B13C1F" w:rsidP="008F1F27">
      <w:pPr>
        <w:rPr>
          <w:rFonts w:ascii="Arial" w:eastAsia="Calibri" w:hAnsi="Arial" w:cs="Arial"/>
          <w:sz w:val="22"/>
          <w:szCs w:val="22"/>
          <w:lang w:val="es-ES"/>
        </w:rPr>
      </w:pPr>
    </w:p>
    <w:p w14:paraId="2CF819FF" w14:textId="7E8F8668" w:rsidR="00CC4ADC" w:rsidRDefault="00CC4ADC" w:rsidP="00CC4ADC">
      <w:pPr>
        <w:jc w:val="right"/>
      </w:pPr>
      <w:r>
        <w:lastRenderedPageBreak/>
        <w:fldChar w:fldCharType="begin"/>
      </w:r>
      <w:r>
        <w:instrText xml:space="preserve"> INCLUDEPICTURE "/var/folders/tb/0fmk9b510f57pz5rwhv8lnpw0000gp/T/com.microsoft.Word/WebArchiveCopyPasteTempFiles/page1image59901776" \* MERGEFORMATINET </w:instrText>
      </w:r>
      <w:r>
        <w:fldChar w:fldCharType="separate"/>
      </w:r>
      <w:r>
        <w:rPr>
          <w:noProof/>
        </w:rPr>
        <w:drawing>
          <wp:inline distT="0" distB="0" distL="0" distR="0" wp14:anchorId="40A249DA" wp14:editId="445150A4">
            <wp:extent cx="2402840" cy="605790"/>
            <wp:effectExtent l="0" t="0" r="0" b="3810"/>
            <wp:docPr id="1" name="Imagen 1" descr="page1image59901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599017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2840" cy="605790"/>
                    </a:xfrm>
                    <a:prstGeom prst="rect">
                      <a:avLst/>
                    </a:prstGeom>
                    <a:noFill/>
                    <a:ln>
                      <a:noFill/>
                    </a:ln>
                  </pic:spPr>
                </pic:pic>
              </a:graphicData>
            </a:graphic>
          </wp:inline>
        </w:drawing>
      </w:r>
      <w:r>
        <w:fldChar w:fldCharType="end"/>
      </w:r>
    </w:p>
    <w:p w14:paraId="04229518" w14:textId="130FA0F9" w:rsidR="00B13C1F" w:rsidRDefault="00B13C1F" w:rsidP="008F1F27">
      <w:pPr>
        <w:rPr>
          <w:rFonts w:ascii="Arial" w:eastAsia="Calibri" w:hAnsi="Arial" w:cs="Arial"/>
          <w:sz w:val="22"/>
          <w:szCs w:val="22"/>
          <w:lang w:val="es-ES"/>
        </w:rPr>
      </w:pPr>
    </w:p>
    <w:p w14:paraId="599F3577" w14:textId="18DF3FF8" w:rsidR="004067BD" w:rsidRPr="0063357B" w:rsidRDefault="004067BD" w:rsidP="008F1F27">
      <w:pPr>
        <w:rPr>
          <w:rFonts w:ascii="Arial" w:eastAsia="Calibri" w:hAnsi="Arial" w:cs="Arial"/>
          <w:sz w:val="22"/>
          <w:szCs w:val="22"/>
          <w:lang w:val="es-ES"/>
        </w:rPr>
      </w:pPr>
      <w:r>
        <w:rPr>
          <w:rFonts w:ascii="Arial" w:eastAsia="Calibri" w:hAnsi="Arial" w:cs="Arial"/>
          <w:sz w:val="22"/>
          <w:szCs w:val="22"/>
          <w:lang w:val="es-ES"/>
        </w:rPr>
        <w:t>Bogotá, 13 de abril de 2022.</w:t>
      </w:r>
    </w:p>
    <w:p w14:paraId="4C02D943" w14:textId="77777777" w:rsidR="00B13C1F" w:rsidRPr="0063357B" w:rsidRDefault="00B13C1F" w:rsidP="008F1F27">
      <w:pPr>
        <w:rPr>
          <w:rFonts w:ascii="Arial" w:eastAsia="Calibri" w:hAnsi="Arial" w:cs="Arial"/>
          <w:sz w:val="22"/>
          <w:szCs w:val="22"/>
          <w:lang w:val="es-ES"/>
        </w:rPr>
      </w:pPr>
    </w:p>
    <w:p w14:paraId="082B6DB4" w14:textId="3DBE63AE" w:rsidR="008F1F27" w:rsidRPr="0063357B" w:rsidRDefault="008F1F27" w:rsidP="008F1F27">
      <w:pPr>
        <w:rPr>
          <w:rFonts w:ascii="Arial" w:eastAsia="Calibri" w:hAnsi="Arial" w:cs="Arial"/>
          <w:sz w:val="22"/>
          <w:szCs w:val="22"/>
          <w:lang w:val="es-ES"/>
        </w:rPr>
      </w:pPr>
      <w:r w:rsidRPr="0063357B">
        <w:rPr>
          <w:rFonts w:ascii="Arial" w:eastAsia="Calibri" w:hAnsi="Arial" w:cs="Arial"/>
          <w:sz w:val="22"/>
          <w:szCs w:val="22"/>
          <w:lang w:val="es-ES"/>
        </w:rPr>
        <w:t>Señor</w:t>
      </w:r>
    </w:p>
    <w:p w14:paraId="051C590D" w14:textId="505540D4" w:rsidR="008F1F27" w:rsidRPr="0063357B" w:rsidRDefault="00EA2F02" w:rsidP="008F1F27">
      <w:pPr>
        <w:rPr>
          <w:rFonts w:ascii="Arial" w:eastAsia="Calibri" w:hAnsi="Arial" w:cs="Arial"/>
          <w:b/>
          <w:bCs/>
          <w:sz w:val="22"/>
          <w:szCs w:val="22"/>
          <w:lang w:val="es-ES"/>
        </w:rPr>
      </w:pPr>
      <w:r w:rsidRPr="0063357B">
        <w:rPr>
          <w:rFonts w:ascii="Arial" w:eastAsia="Calibri" w:hAnsi="Arial" w:cs="Arial"/>
          <w:b/>
          <w:bCs/>
          <w:sz w:val="22"/>
          <w:szCs w:val="22"/>
          <w:lang w:val="es-ES"/>
        </w:rPr>
        <w:t xml:space="preserve">Richard Mauricio Gil </w:t>
      </w:r>
    </w:p>
    <w:p w14:paraId="0732F43F" w14:textId="2D45F82A" w:rsidR="00604688" w:rsidRPr="0063357B" w:rsidRDefault="00604688" w:rsidP="008F1F27">
      <w:pPr>
        <w:rPr>
          <w:rFonts w:ascii="Arial" w:eastAsia="Calibri" w:hAnsi="Arial" w:cs="Arial"/>
          <w:sz w:val="22"/>
          <w:szCs w:val="22"/>
          <w:lang w:val="es-ES"/>
        </w:rPr>
      </w:pPr>
      <w:r w:rsidRPr="0063357B">
        <w:rPr>
          <w:rFonts w:ascii="Arial" w:eastAsia="Calibri" w:hAnsi="Arial" w:cs="Arial"/>
          <w:sz w:val="22"/>
          <w:szCs w:val="22"/>
          <w:lang w:val="es-ES"/>
        </w:rPr>
        <w:t xml:space="preserve">Tesalia, Huila </w:t>
      </w:r>
    </w:p>
    <w:p w14:paraId="75A8322F" w14:textId="77777777" w:rsidR="008F1F27" w:rsidRPr="0063357B" w:rsidRDefault="008F1F27" w:rsidP="008F1F27">
      <w:pPr>
        <w:rPr>
          <w:rFonts w:ascii="Arial" w:eastAsia="Calibri" w:hAnsi="Arial" w:cs="Arial"/>
          <w:sz w:val="22"/>
          <w:szCs w:val="22"/>
          <w:lang w:val="es-ES"/>
        </w:rPr>
      </w:pPr>
    </w:p>
    <w:p w14:paraId="509A3CD8" w14:textId="77777777" w:rsidR="008F1F27" w:rsidRPr="0063357B" w:rsidRDefault="008F1F27" w:rsidP="008F1F27">
      <w:pPr>
        <w:rPr>
          <w:rFonts w:ascii="Arial" w:eastAsia="Calibri" w:hAnsi="Arial" w:cs="Arial"/>
          <w:b/>
          <w:sz w:val="22"/>
          <w:szCs w:val="22"/>
          <w:lang w:val="es-ES"/>
        </w:rPr>
      </w:pPr>
    </w:p>
    <w:p w14:paraId="481D0967" w14:textId="298019C9" w:rsidR="008F1F27" w:rsidRPr="0063357B" w:rsidRDefault="008F1F27" w:rsidP="008F1F27">
      <w:pPr>
        <w:rPr>
          <w:rFonts w:ascii="Arial" w:eastAsia="Calibri" w:hAnsi="Arial" w:cs="Arial"/>
          <w:b/>
          <w:sz w:val="22"/>
          <w:szCs w:val="22"/>
          <w:lang w:val="es-ES"/>
        </w:rPr>
      </w:pPr>
      <w:r w:rsidRPr="0063357B">
        <w:rPr>
          <w:rFonts w:ascii="Arial" w:eastAsia="Calibri" w:hAnsi="Arial" w:cs="Arial"/>
          <w:b/>
          <w:sz w:val="22"/>
          <w:szCs w:val="22"/>
          <w:lang w:val="es-ES"/>
        </w:rPr>
        <w:t xml:space="preserve">                                            Concepto C – </w:t>
      </w:r>
      <w:r w:rsidR="00795815" w:rsidRPr="0063357B">
        <w:rPr>
          <w:rFonts w:ascii="Arial" w:eastAsia="Calibri" w:hAnsi="Arial" w:cs="Arial"/>
          <w:b/>
          <w:sz w:val="22"/>
          <w:szCs w:val="22"/>
          <w:lang w:val="es-ES"/>
        </w:rPr>
        <w:t>182</w:t>
      </w:r>
      <w:r w:rsidRPr="0063357B">
        <w:rPr>
          <w:rFonts w:ascii="Arial" w:eastAsia="Calibri" w:hAnsi="Arial" w:cs="Arial"/>
          <w:b/>
          <w:sz w:val="22"/>
          <w:szCs w:val="22"/>
          <w:lang w:val="es-ES"/>
        </w:rPr>
        <w:t xml:space="preserve"> de 2022</w:t>
      </w:r>
    </w:p>
    <w:p w14:paraId="1CFE9394" w14:textId="77777777" w:rsidR="008F1F27" w:rsidRPr="0063357B" w:rsidRDefault="008F1F27" w:rsidP="008F1F27">
      <w:pPr>
        <w:rPr>
          <w:rFonts w:ascii="Arial" w:eastAsia="Calibri" w:hAnsi="Arial" w:cs="Arial"/>
          <w:b/>
          <w:sz w:val="22"/>
          <w:szCs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8F1F27" w:rsidRPr="0063357B" w14:paraId="273EBBC8" w14:textId="77777777" w:rsidTr="00B10244">
        <w:trPr>
          <w:trHeight w:val="550"/>
        </w:trPr>
        <w:tc>
          <w:tcPr>
            <w:tcW w:w="2689" w:type="dxa"/>
          </w:tcPr>
          <w:p w14:paraId="6D706277" w14:textId="77777777" w:rsidR="008F1F27" w:rsidRPr="0063357B" w:rsidRDefault="008F1F27" w:rsidP="00B10244">
            <w:pPr>
              <w:rPr>
                <w:rFonts w:ascii="Arial" w:eastAsia="Calibri" w:hAnsi="Arial" w:cs="Arial"/>
                <w:lang w:val="es-ES"/>
              </w:rPr>
            </w:pPr>
            <w:r w:rsidRPr="0063357B">
              <w:rPr>
                <w:rFonts w:ascii="Arial" w:eastAsia="Calibri" w:hAnsi="Arial" w:cs="Arial"/>
                <w:b/>
                <w:lang w:val="es-ES"/>
              </w:rPr>
              <w:t>Temas:</w:t>
            </w:r>
            <w:r w:rsidRPr="0063357B">
              <w:rPr>
                <w:rFonts w:ascii="Arial" w:eastAsia="Calibri" w:hAnsi="Arial" w:cs="Arial"/>
                <w:lang w:val="es-ES"/>
              </w:rPr>
              <w:t xml:space="preserve">                                      </w:t>
            </w:r>
          </w:p>
        </w:tc>
        <w:tc>
          <w:tcPr>
            <w:tcW w:w="6237" w:type="dxa"/>
          </w:tcPr>
          <w:p w14:paraId="5678CB61" w14:textId="57037F09" w:rsidR="00C65F25" w:rsidRDefault="001217F8" w:rsidP="00845976">
            <w:pPr>
              <w:jc w:val="both"/>
              <w:rPr>
                <w:rFonts w:ascii="Arial" w:eastAsia="Calibri" w:hAnsi="Arial" w:cs="Arial"/>
                <w:lang w:val="es-ES"/>
              </w:rPr>
            </w:pPr>
            <w:r w:rsidRPr="0063357B">
              <w:rPr>
                <w:rFonts w:ascii="Arial" w:eastAsia="Calibri" w:hAnsi="Arial" w:cs="Arial"/>
                <w:bCs/>
                <w:color w:val="000000" w:themeColor="text1"/>
                <w:lang w:val="es-ES_tradnl"/>
              </w:rPr>
              <w:t>EMPRESAS SOCIALES DEL ESTADO – Régimen jurídico – Reglas aplicables /</w:t>
            </w:r>
            <w:r w:rsidRPr="0063357B">
              <w:rPr>
                <w:rFonts w:ascii="Arial" w:eastAsia="Calibri" w:hAnsi="Arial" w:cs="Arial"/>
                <w:color w:val="000000" w:themeColor="text1"/>
                <w:lang w:val="es-ES_tradnl"/>
              </w:rPr>
              <w:t xml:space="preserve"> </w:t>
            </w:r>
            <w:r w:rsidR="00096E71" w:rsidRPr="0063357B">
              <w:rPr>
                <w:rFonts w:ascii="Arial" w:eastAsia="Calibri" w:hAnsi="Arial" w:cs="Arial"/>
                <w:lang w:val="es-ES"/>
              </w:rPr>
              <w:t>ALCANCE DE LAS RESTRICCIONES – LEY DE GARANTÍAS</w:t>
            </w:r>
            <w:r w:rsidR="00096E71" w:rsidRPr="0063357B">
              <w:rPr>
                <w:rFonts w:ascii="Arial" w:eastAsia="Calibri" w:hAnsi="Arial" w:cs="Arial"/>
                <w:b/>
                <w:bCs/>
                <w:lang w:val="es-ES"/>
              </w:rPr>
              <w:t xml:space="preserve"> </w:t>
            </w:r>
            <w:r w:rsidR="00096E71" w:rsidRPr="0063357B">
              <w:rPr>
                <w:rFonts w:ascii="Arial" w:eastAsia="Calibri" w:hAnsi="Arial" w:cs="Arial"/>
                <w:lang w:val="es-ES"/>
              </w:rPr>
              <w:t>/ LEY DE GARANTÍAS ELECTORALES – ARTÍCULO 33 – Restricciones</w:t>
            </w:r>
            <w:r w:rsidR="00096E71" w:rsidRPr="0063357B">
              <w:rPr>
                <w:rFonts w:ascii="Arial" w:eastAsia="Calibri" w:hAnsi="Arial" w:cs="Arial"/>
                <w:b/>
                <w:bCs/>
                <w:lang w:val="es-ES"/>
              </w:rPr>
              <w:t xml:space="preserve"> </w:t>
            </w:r>
          </w:p>
          <w:p w14:paraId="08D9D14A" w14:textId="731F3CD3" w:rsidR="00490C0A" w:rsidRPr="0063357B" w:rsidRDefault="00490C0A" w:rsidP="00845976">
            <w:pPr>
              <w:jc w:val="both"/>
              <w:rPr>
                <w:rFonts w:ascii="Arial" w:eastAsia="Calibri" w:hAnsi="Arial" w:cs="Arial"/>
                <w:b/>
                <w:bCs/>
                <w:lang w:val="es-ES"/>
              </w:rPr>
            </w:pPr>
          </w:p>
        </w:tc>
      </w:tr>
      <w:tr w:rsidR="008F1F27" w:rsidRPr="0063357B" w14:paraId="4D112C5C" w14:textId="77777777" w:rsidTr="00B10244">
        <w:tc>
          <w:tcPr>
            <w:tcW w:w="2689" w:type="dxa"/>
          </w:tcPr>
          <w:p w14:paraId="2CB6AE77" w14:textId="77777777" w:rsidR="008F1F27" w:rsidRPr="0063357B" w:rsidRDefault="008F1F27" w:rsidP="00B10244">
            <w:pPr>
              <w:rPr>
                <w:rFonts w:ascii="Arial" w:eastAsia="Calibri" w:hAnsi="Arial" w:cs="Arial"/>
                <w:lang w:val="es-ES"/>
              </w:rPr>
            </w:pPr>
            <w:r w:rsidRPr="0063357B">
              <w:rPr>
                <w:rFonts w:ascii="Arial" w:eastAsia="Calibri" w:hAnsi="Arial" w:cs="Arial"/>
                <w:b/>
                <w:lang w:val="es-ES"/>
              </w:rPr>
              <w:t>Radicación:</w:t>
            </w:r>
            <w:r w:rsidRPr="0063357B">
              <w:rPr>
                <w:rFonts w:ascii="Arial" w:eastAsia="Calibri" w:hAnsi="Arial" w:cs="Arial"/>
                <w:lang w:val="es-ES"/>
              </w:rPr>
              <w:t xml:space="preserve">                              </w:t>
            </w:r>
          </w:p>
        </w:tc>
        <w:tc>
          <w:tcPr>
            <w:tcW w:w="6237" w:type="dxa"/>
          </w:tcPr>
          <w:p w14:paraId="774FD7A7" w14:textId="06F03E24" w:rsidR="008F1F27" w:rsidRPr="0063357B" w:rsidRDefault="008F1F27" w:rsidP="001217F8">
            <w:pPr>
              <w:jc w:val="both"/>
              <w:rPr>
                <w:rFonts w:ascii="Arial" w:hAnsi="Arial" w:cs="Arial"/>
                <w:bCs/>
              </w:rPr>
            </w:pPr>
            <w:r w:rsidRPr="0063357B">
              <w:rPr>
                <w:rFonts w:ascii="Arial" w:eastAsia="Calibri" w:hAnsi="Arial" w:cs="Arial"/>
                <w:bCs/>
                <w:lang w:val="es-ES"/>
              </w:rPr>
              <w:t>Respuesta a consulta</w:t>
            </w:r>
            <w:r w:rsidR="00795815" w:rsidRPr="0063357B">
              <w:rPr>
                <w:rFonts w:ascii="Arial" w:eastAsia="Calibri" w:hAnsi="Arial" w:cs="Arial"/>
                <w:bCs/>
                <w:lang w:val="es-ES"/>
              </w:rPr>
              <w:t>s</w:t>
            </w:r>
            <w:r w:rsidR="00EA2F02" w:rsidRPr="0063357B">
              <w:rPr>
                <w:rFonts w:ascii="Arial" w:eastAsia="Calibri" w:hAnsi="Arial" w:cs="Arial"/>
                <w:bCs/>
                <w:lang w:val="es-ES"/>
              </w:rPr>
              <w:t xml:space="preserve"> acumuladas</w:t>
            </w:r>
            <w:r w:rsidRPr="0063357B">
              <w:rPr>
                <w:rFonts w:ascii="Arial" w:eastAsia="Calibri" w:hAnsi="Arial" w:cs="Arial"/>
                <w:bCs/>
                <w:lang w:val="es-ES"/>
              </w:rPr>
              <w:t xml:space="preserve"> </w:t>
            </w:r>
            <w:r w:rsidR="006427D0" w:rsidRPr="0063357B">
              <w:rPr>
                <w:rFonts w:ascii="Arial" w:hAnsi="Arial" w:cs="Arial"/>
                <w:bCs/>
              </w:rPr>
              <w:t>P2022</w:t>
            </w:r>
            <w:r w:rsidR="00795815" w:rsidRPr="0063357B">
              <w:rPr>
                <w:rFonts w:ascii="Arial" w:hAnsi="Arial" w:cs="Arial"/>
                <w:bCs/>
              </w:rPr>
              <w:t>0225001881 y P2022</w:t>
            </w:r>
            <w:r w:rsidR="00604688" w:rsidRPr="0063357B">
              <w:rPr>
                <w:rFonts w:ascii="Arial" w:hAnsi="Arial" w:cs="Arial"/>
                <w:bCs/>
              </w:rPr>
              <w:t>0311</w:t>
            </w:r>
            <w:r w:rsidR="00127265" w:rsidRPr="0063357B">
              <w:rPr>
                <w:rFonts w:ascii="Arial" w:hAnsi="Arial" w:cs="Arial"/>
                <w:bCs/>
              </w:rPr>
              <w:t xml:space="preserve">002463 </w:t>
            </w:r>
          </w:p>
        </w:tc>
      </w:tr>
    </w:tbl>
    <w:p w14:paraId="6D2F9086" w14:textId="77777777" w:rsidR="008F1F27" w:rsidRPr="0063357B" w:rsidRDefault="008F1F27" w:rsidP="008F1F27">
      <w:pPr>
        <w:spacing w:line="276" w:lineRule="auto"/>
        <w:rPr>
          <w:rFonts w:ascii="Arial" w:eastAsia="Calibri" w:hAnsi="Arial" w:cs="Arial"/>
          <w:sz w:val="22"/>
          <w:szCs w:val="22"/>
          <w:lang w:val="es-ES"/>
        </w:rPr>
      </w:pPr>
    </w:p>
    <w:p w14:paraId="54C8633C" w14:textId="46E2B23F" w:rsidR="008F1F27" w:rsidRPr="0063357B" w:rsidRDefault="008F1F27" w:rsidP="008F1F27">
      <w:pPr>
        <w:tabs>
          <w:tab w:val="left" w:pos="3736"/>
        </w:tabs>
        <w:spacing w:line="276" w:lineRule="auto"/>
        <w:rPr>
          <w:rFonts w:ascii="Arial" w:eastAsia="Calibri" w:hAnsi="Arial" w:cs="Arial"/>
          <w:sz w:val="22"/>
          <w:szCs w:val="22"/>
          <w:lang w:val="es-ES"/>
        </w:rPr>
      </w:pPr>
      <w:r w:rsidRPr="0063357B">
        <w:rPr>
          <w:rFonts w:ascii="Arial" w:eastAsia="Calibri" w:hAnsi="Arial" w:cs="Arial"/>
          <w:sz w:val="22"/>
          <w:szCs w:val="22"/>
          <w:lang w:val="es-ES"/>
        </w:rPr>
        <w:t>Estimad</w:t>
      </w:r>
      <w:r w:rsidR="002221BF" w:rsidRPr="0063357B">
        <w:rPr>
          <w:rFonts w:ascii="Arial" w:eastAsia="Calibri" w:hAnsi="Arial" w:cs="Arial"/>
          <w:sz w:val="22"/>
          <w:szCs w:val="22"/>
          <w:lang w:val="es-ES"/>
        </w:rPr>
        <w:t>o</w:t>
      </w:r>
      <w:r w:rsidRPr="0063357B">
        <w:rPr>
          <w:rFonts w:ascii="Arial" w:eastAsia="Calibri" w:hAnsi="Arial" w:cs="Arial"/>
          <w:sz w:val="22"/>
          <w:szCs w:val="22"/>
          <w:lang w:val="es-ES"/>
        </w:rPr>
        <w:t xml:space="preserve"> señor </w:t>
      </w:r>
      <w:r w:rsidR="00795815" w:rsidRPr="0063357B">
        <w:rPr>
          <w:rFonts w:ascii="Arial" w:eastAsia="Calibri" w:hAnsi="Arial" w:cs="Arial"/>
          <w:sz w:val="22"/>
          <w:szCs w:val="22"/>
          <w:lang w:val="es-ES"/>
        </w:rPr>
        <w:t>Gil</w:t>
      </w:r>
      <w:r w:rsidRPr="0063357B">
        <w:rPr>
          <w:rFonts w:ascii="Arial" w:eastAsia="Calibri" w:hAnsi="Arial" w:cs="Arial"/>
          <w:sz w:val="22"/>
          <w:szCs w:val="22"/>
          <w:lang w:val="es-ES"/>
        </w:rPr>
        <w:t>:</w:t>
      </w:r>
      <w:r w:rsidRPr="0063357B">
        <w:rPr>
          <w:rFonts w:ascii="Arial" w:eastAsia="Calibri" w:hAnsi="Arial" w:cs="Arial"/>
          <w:sz w:val="22"/>
          <w:szCs w:val="22"/>
          <w:lang w:val="es-ES"/>
        </w:rPr>
        <w:tab/>
      </w:r>
    </w:p>
    <w:p w14:paraId="2693C6B2" w14:textId="77777777" w:rsidR="008F1F27" w:rsidRPr="0063357B" w:rsidRDefault="008F1F27" w:rsidP="008F1F27">
      <w:pPr>
        <w:spacing w:line="276" w:lineRule="auto"/>
        <w:rPr>
          <w:rFonts w:ascii="Arial" w:eastAsia="Calibri" w:hAnsi="Arial" w:cs="Arial"/>
          <w:sz w:val="22"/>
          <w:szCs w:val="22"/>
          <w:lang w:val="es-ES"/>
        </w:rPr>
      </w:pPr>
    </w:p>
    <w:p w14:paraId="0E3A6299" w14:textId="6500AF38" w:rsidR="008F1F27" w:rsidRPr="0063357B" w:rsidRDefault="008F1F27" w:rsidP="008F1F27">
      <w:pPr>
        <w:spacing w:line="276" w:lineRule="auto"/>
        <w:jc w:val="both"/>
        <w:rPr>
          <w:rFonts w:ascii="Arial" w:eastAsia="Calibri" w:hAnsi="Arial" w:cs="Arial"/>
          <w:sz w:val="22"/>
          <w:szCs w:val="22"/>
          <w:lang w:val="es-ES"/>
        </w:rPr>
      </w:pPr>
      <w:r w:rsidRPr="0063357B">
        <w:rPr>
          <w:rFonts w:ascii="Arial" w:eastAsia="Calibri" w:hAnsi="Arial" w:cs="Arial"/>
          <w:sz w:val="22"/>
          <w:szCs w:val="22"/>
          <w:lang w:val="es-ES"/>
        </w:rPr>
        <w:t>La Agencia Nacional de Contratación Pública – Colombia Compra Eficiente, en ejercicio de la</w:t>
      </w:r>
      <w:r w:rsidR="002221BF" w:rsidRPr="0063357B">
        <w:rPr>
          <w:rFonts w:ascii="Arial" w:eastAsia="Calibri" w:hAnsi="Arial" w:cs="Arial"/>
          <w:sz w:val="22"/>
          <w:szCs w:val="22"/>
          <w:lang w:val="es-ES"/>
        </w:rPr>
        <w:t>s</w:t>
      </w:r>
      <w:r w:rsidRPr="0063357B">
        <w:rPr>
          <w:rFonts w:ascii="Arial" w:eastAsia="Calibri" w:hAnsi="Arial" w:cs="Arial"/>
          <w:sz w:val="22"/>
          <w:szCs w:val="22"/>
          <w:lang w:val="es-ES"/>
        </w:rPr>
        <w:t xml:space="preserve"> competencia</w:t>
      </w:r>
      <w:r w:rsidR="002221BF" w:rsidRPr="0063357B">
        <w:rPr>
          <w:rFonts w:ascii="Arial" w:eastAsia="Calibri" w:hAnsi="Arial" w:cs="Arial"/>
          <w:sz w:val="22"/>
          <w:szCs w:val="22"/>
          <w:lang w:val="es-ES"/>
        </w:rPr>
        <w:t>s</w:t>
      </w:r>
      <w:r w:rsidRPr="0063357B">
        <w:rPr>
          <w:rFonts w:ascii="Arial" w:eastAsia="Calibri" w:hAnsi="Arial" w:cs="Arial"/>
          <w:sz w:val="22"/>
          <w:szCs w:val="22"/>
          <w:lang w:val="es-ES"/>
        </w:rPr>
        <w:t xml:space="preserve"> otorgada</w:t>
      </w:r>
      <w:r w:rsidR="002221BF" w:rsidRPr="0063357B">
        <w:rPr>
          <w:rFonts w:ascii="Arial" w:eastAsia="Calibri" w:hAnsi="Arial" w:cs="Arial"/>
          <w:sz w:val="22"/>
          <w:szCs w:val="22"/>
          <w:lang w:val="es-ES"/>
        </w:rPr>
        <w:t>s</w:t>
      </w:r>
      <w:r w:rsidRPr="0063357B">
        <w:rPr>
          <w:rFonts w:ascii="Arial" w:eastAsia="Calibri" w:hAnsi="Arial" w:cs="Arial"/>
          <w:sz w:val="22"/>
          <w:szCs w:val="22"/>
          <w:lang w:val="es-ES"/>
        </w:rPr>
        <w:t xml:space="preserve"> por el numeral 8 del artículo 11 y el numeral 5 del artículo 3 del Decreto Ley 4170 de 2011, responde a su consulta del </w:t>
      </w:r>
      <w:r w:rsidR="00C65F25" w:rsidRPr="0063357B">
        <w:rPr>
          <w:rFonts w:ascii="Arial" w:eastAsia="Calibri" w:hAnsi="Arial" w:cs="Arial"/>
          <w:sz w:val="22"/>
          <w:szCs w:val="22"/>
          <w:lang w:val="es-ES"/>
        </w:rPr>
        <w:t>9</w:t>
      </w:r>
      <w:r w:rsidRPr="0063357B">
        <w:rPr>
          <w:rFonts w:ascii="Arial" w:eastAsia="Calibri" w:hAnsi="Arial" w:cs="Arial"/>
          <w:sz w:val="22"/>
          <w:szCs w:val="22"/>
          <w:lang w:val="es-ES"/>
        </w:rPr>
        <w:t xml:space="preserve"> de febrero de 2022.</w:t>
      </w:r>
    </w:p>
    <w:p w14:paraId="70E54971" w14:textId="77777777" w:rsidR="008F1F27" w:rsidRPr="0063357B" w:rsidRDefault="008F1F27" w:rsidP="008F1F27">
      <w:pPr>
        <w:pStyle w:val="Prrafodelista"/>
        <w:spacing w:line="276" w:lineRule="auto"/>
        <w:ind w:left="0"/>
        <w:rPr>
          <w:rFonts w:ascii="Arial" w:eastAsia="Calibri" w:hAnsi="Arial" w:cs="Arial"/>
          <w:sz w:val="22"/>
          <w:lang w:val="es-ES"/>
        </w:rPr>
      </w:pPr>
    </w:p>
    <w:p w14:paraId="273F674B" w14:textId="77777777" w:rsidR="008F1F27" w:rsidRPr="0063357B" w:rsidRDefault="008F1F27" w:rsidP="008F1F27">
      <w:pPr>
        <w:tabs>
          <w:tab w:val="left" w:pos="0"/>
        </w:tabs>
        <w:spacing w:line="276" w:lineRule="auto"/>
        <w:jc w:val="both"/>
        <w:rPr>
          <w:rFonts w:ascii="Arial" w:eastAsia="Calibri" w:hAnsi="Arial" w:cs="Arial"/>
          <w:b/>
          <w:sz w:val="22"/>
          <w:szCs w:val="22"/>
          <w:lang w:val="es-ES"/>
        </w:rPr>
      </w:pPr>
      <w:r w:rsidRPr="0063357B">
        <w:rPr>
          <w:rFonts w:ascii="Arial" w:eastAsia="Calibri" w:hAnsi="Arial" w:cs="Arial"/>
          <w:b/>
          <w:sz w:val="22"/>
          <w:szCs w:val="22"/>
          <w:lang w:val="es-ES"/>
        </w:rPr>
        <w:t>1. Problema planteado</w:t>
      </w:r>
    </w:p>
    <w:p w14:paraId="466A69CF" w14:textId="77777777" w:rsidR="008F1F27" w:rsidRPr="0063357B" w:rsidRDefault="008F1F27" w:rsidP="008F1F27">
      <w:pPr>
        <w:rPr>
          <w:rFonts w:ascii="Arial" w:eastAsia="Calibri" w:hAnsi="Arial" w:cs="Arial"/>
          <w:sz w:val="22"/>
          <w:szCs w:val="22"/>
          <w:lang w:val="es-ES"/>
        </w:rPr>
      </w:pPr>
    </w:p>
    <w:p w14:paraId="2CCAE993" w14:textId="2DFF5294" w:rsidR="008F1F27" w:rsidRPr="0063357B" w:rsidRDefault="008F1F27" w:rsidP="008F1F27">
      <w:pPr>
        <w:spacing w:line="276" w:lineRule="auto"/>
        <w:jc w:val="both"/>
        <w:rPr>
          <w:rFonts w:ascii="Arial" w:eastAsia="Calibri" w:hAnsi="Arial" w:cs="Arial"/>
          <w:sz w:val="22"/>
          <w:szCs w:val="22"/>
          <w:lang w:val="es-ES"/>
        </w:rPr>
      </w:pPr>
      <w:r w:rsidRPr="0063357B">
        <w:rPr>
          <w:rFonts w:ascii="Arial" w:eastAsia="Calibri" w:hAnsi="Arial" w:cs="Arial"/>
          <w:sz w:val="22"/>
          <w:szCs w:val="22"/>
          <w:lang w:val="es-ES"/>
        </w:rPr>
        <w:t>Usted realiza la</w:t>
      </w:r>
      <w:r w:rsidR="009C571D" w:rsidRPr="0063357B">
        <w:rPr>
          <w:rFonts w:ascii="Arial" w:eastAsia="Calibri" w:hAnsi="Arial" w:cs="Arial"/>
          <w:sz w:val="22"/>
          <w:szCs w:val="22"/>
          <w:lang w:val="es-ES"/>
        </w:rPr>
        <w:t>s</w:t>
      </w:r>
      <w:r w:rsidRPr="0063357B">
        <w:rPr>
          <w:rFonts w:ascii="Arial" w:eastAsia="Calibri" w:hAnsi="Arial" w:cs="Arial"/>
          <w:sz w:val="22"/>
          <w:szCs w:val="22"/>
          <w:lang w:val="es-ES"/>
        </w:rPr>
        <w:t xml:space="preserve"> siguiente</w:t>
      </w:r>
      <w:r w:rsidR="009C571D" w:rsidRPr="0063357B">
        <w:rPr>
          <w:rFonts w:ascii="Arial" w:eastAsia="Calibri" w:hAnsi="Arial" w:cs="Arial"/>
          <w:sz w:val="22"/>
          <w:szCs w:val="22"/>
          <w:lang w:val="es-ES"/>
        </w:rPr>
        <w:t>s</w:t>
      </w:r>
      <w:r w:rsidRPr="0063357B">
        <w:rPr>
          <w:rFonts w:ascii="Arial" w:eastAsia="Calibri" w:hAnsi="Arial" w:cs="Arial"/>
          <w:sz w:val="22"/>
          <w:szCs w:val="22"/>
          <w:lang w:val="es-ES"/>
        </w:rPr>
        <w:t xml:space="preserve"> pregunta</w:t>
      </w:r>
      <w:r w:rsidR="009C571D" w:rsidRPr="0063357B">
        <w:rPr>
          <w:rFonts w:ascii="Arial" w:eastAsia="Calibri" w:hAnsi="Arial" w:cs="Arial"/>
          <w:sz w:val="22"/>
          <w:szCs w:val="22"/>
          <w:lang w:val="es-ES"/>
        </w:rPr>
        <w:t>s</w:t>
      </w:r>
      <w:r w:rsidRPr="0063357B">
        <w:rPr>
          <w:rFonts w:ascii="Arial" w:eastAsia="Calibri" w:hAnsi="Arial" w:cs="Arial"/>
          <w:sz w:val="22"/>
          <w:szCs w:val="22"/>
          <w:lang w:val="es-ES"/>
        </w:rPr>
        <w:t xml:space="preserve">: </w:t>
      </w:r>
    </w:p>
    <w:p w14:paraId="370FCF22" w14:textId="77777777" w:rsidR="009C571D" w:rsidRPr="0063357B" w:rsidRDefault="009C571D" w:rsidP="008F1F27">
      <w:pPr>
        <w:spacing w:line="276" w:lineRule="auto"/>
        <w:jc w:val="both"/>
        <w:rPr>
          <w:rFonts w:ascii="Arial" w:eastAsia="Calibri" w:hAnsi="Arial" w:cs="Arial"/>
          <w:sz w:val="22"/>
          <w:szCs w:val="22"/>
          <w:lang w:val="es-ES"/>
        </w:rPr>
      </w:pPr>
    </w:p>
    <w:p w14:paraId="1B75CD22" w14:textId="50E0E3BE" w:rsidR="009C571D" w:rsidRPr="0063357B" w:rsidRDefault="006427D0" w:rsidP="009C571D">
      <w:pPr>
        <w:ind w:left="709" w:right="709"/>
        <w:jc w:val="both"/>
        <w:rPr>
          <w:rFonts w:ascii="Arial" w:hAnsi="Arial" w:cs="Arial"/>
          <w:sz w:val="21"/>
          <w:szCs w:val="21"/>
        </w:rPr>
      </w:pPr>
      <w:r w:rsidRPr="0063357B">
        <w:rPr>
          <w:rFonts w:ascii="Arial" w:hAnsi="Arial" w:cs="Arial"/>
          <w:sz w:val="21"/>
          <w:szCs w:val="21"/>
        </w:rPr>
        <w:t>«</w:t>
      </w:r>
      <w:r w:rsidR="002221BF" w:rsidRPr="0063357B">
        <w:rPr>
          <w:rFonts w:ascii="Arial" w:hAnsi="Arial" w:cs="Arial"/>
          <w:sz w:val="21"/>
          <w:szCs w:val="21"/>
        </w:rPr>
        <w:t>[…]</w:t>
      </w:r>
      <w:r w:rsidR="009C571D" w:rsidRPr="0063357B">
        <w:rPr>
          <w:rFonts w:ascii="Arial" w:hAnsi="Arial" w:cs="Arial"/>
          <w:color w:val="000000" w:themeColor="text1"/>
          <w:sz w:val="21"/>
          <w:szCs w:val="21"/>
        </w:rPr>
        <w:t>¿Las EMPRESAS SOCIALES DEL ESTADO – ESE- pueden adelantar contratación directa durante el periodo de la Ley de Garantías, conforme la excepción dispuesta en la norma?</w:t>
      </w:r>
      <w:r w:rsidR="009C571D" w:rsidRPr="0063357B">
        <w:rPr>
          <w:rFonts w:ascii="Arial" w:hAnsi="Arial" w:cs="Arial"/>
          <w:sz w:val="21"/>
          <w:szCs w:val="21"/>
        </w:rPr>
        <w:t>»</w:t>
      </w:r>
      <w:r w:rsidR="00096E71" w:rsidRPr="0063357B">
        <w:rPr>
          <w:rFonts w:ascii="Arial" w:hAnsi="Arial" w:cs="Arial"/>
          <w:sz w:val="21"/>
          <w:szCs w:val="21"/>
        </w:rPr>
        <w:t>.</w:t>
      </w:r>
    </w:p>
    <w:p w14:paraId="5E8DCBBC" w14:textId="77777777" w:rsidR="00096E71" w:rsidRPr="0063357B" w:rsidRDefault="00096E71" w:rsidP="009C571D">
      <w:pPr>
        <w:ind w:left="709" w:right="709"/>
        <w:jc w:val="both"/>
        <w:rPr>
          <w:rFonts w:ascii="Arial" w:hAnsi="Arial" w:cs="Arial"/>
          <w:sz w:val="21"/>
          <w:szCs w:val="21"/>
        </w:rPr>
      </w:pPr>
    </w:p>
    <w:p w14:paraId="114B4F3F" w14:textId="2455AB05" w:rsidR="009C571D" w:rsidRPr="008A44D4" w:rsidRDefault="009C571D" w:rsidP="009C571D">
      <w:pPr>
        <w:ind w:left="709" w:right="709"/>
        <w:jc w:val="both"/>
        <w:rPr>
          <w:rFonts w:ascii="Arial" w:hAnsi="Arial" w:cs="Arial"/>
          <w:sz w:val="21"/>
          <w:szCs w:val="21"/>
        </w:rPr>
      </w:pPr>
      <w:r w:rsidRPr="0063357B">
        <w:rPr>
          <w:rFonts w:ascii="Arial" w:hAnsi="Arial" w:cs="Arial"/>
          <w:sz w:val="21"/>
          <w:szCs w:val="21"/>
        </w:rPr>
        <w:t xml:space="preserve">«2. </w:t>
      </w:r>
      <w:r w:rsidRPr="0063357B">
        <w:rPr>
          <w:rFonts w:ascii="Arial" w:hAnsi="Arial" w:cs="Arial"/>
          <w:color w:val="000000" w:themeColor="text1"/>
          <w:sz w:val="21"/>
          <w:szCs w:val="21"/>
        </w:rPr>
        <w:t>¿Las  EMPRESAS SOCIALES DEL ESTADO – ESE- pueden contratar personal durante el periodo de la Ley de Garantías, en desarrollo de contratos interadministrativos celebrados oportunamente – antes del 28 de enero de 2022- con entidades del orden Municipal o Departamental como Planes de Intervenciones Colectivas en el orden Municipal y Departamental?</w:t>
      </w:r>
      <w:r w:rsidRPr="0063357B">
        <w:rPr>
          <w:rFonts w:ascii="Arial" w:hAnsi="Arial" w:cs="Arial"/>
          <w:sz w:val="21"/>
          <w:szCs w:val="21"/>
        </w:rPr>
        <w:t>»</w:t>
      </w:r>
      <w:r w:rsidR="00B13C1F" w:rsidRPr="0063357B">
        <w:rPr>
          <w:rFonts w:ascii="Arial" w:hAnsi="Arial" w:cs="Arial"/>
          <w:sz w:val="21"/>
          <w:szCs w:val="21"/>
        </w:rPr>
        <w:t>.</w:t>
      </w:r>
    </w:p>
    <w:p w14:paraId="029DE25F" w14:textId="77777777" w:rsidR="003378D7" w:rsidRPr="008A44D4" w:rsidRDefault="003378D7" w:rsidP="003378D7">
      <w:pPr>
        <w:pStyle w:val="NormalWeb"/>
        <w:spacing w:before="0" w:beforeAutospacing="0" w:after="0" w:afterAutospacing="0"/>
        <w:ind w:right="709"/>
        <w:jc w:val="both"/>
        <w:rPr>
          <w:rFonts w:ascii="Arial" w:eastAsia="Calibri" w:hAnsi="Arial" w:cs="Arial"/>
          <w:b/>
          <w:sz w:val="22"/>
          <w:szCs w:val="22"/>
          <w:lang w:val="es-ES"/>
        </w:rPr>
      </w:pPr>
    </w:p>
    <w:p w14:paraId="7062BAA0" w14:textId="7E0AE270" w:rsidR="008F1F27" w:rsidRPr="008A44D4" w:rsidRDefault="008F1F27" w:rsidP="001B5AD6">
      <w:pPr>
        <w:pStyle w:val="NormalWeb"/>
        <w:spacing w:before="0" w:beforeAutospacing="0" w:after="0" w:afterAutospacing="0"/>
        <w:ind w:right="709"/>
        <w:jc w:val="both"/>
        <w:rPr>
          <w:rFonts w:ascii="Arial" w:eastAsia="Calibri" w:hAnsi="Arial" w:cs="Arial"/>
          <w:b/>
          <w:sz w:val="22"/>
          <w:szCs w:val="22"/>
          <w:lang w:val="es-ES"/>
        </w:rPr>
      </w:pPr>
      <w:r w:rsidRPr="008A44D4">
        <w:rPr>
          <w:rFonts w:ascii="Arial" w:eastAsia="Calibri" w:hAnsi="Arial" w:cs="Arial"/>
          <w:b/>
          <w:sz w:val="22"/>
          <w:szCs w:val="22"/>
          <w:lang w:val="es-ES"/>
        </w:rPr>
        <w:t>2. Consideraciones</w:t>
      </w:r>
    </w:p>
    <w:p w14:paraId="2C7D20A9" w14:textId="77777777" w:rsidR="003378D7" w:rsidRPr="008A44D4" w:rsidRDefault="003378D7" w:rsidP="001B5AD6">
      <w:pPr>
        <w:spacing w:line="276" w:lineRule="auto"/>
        <w:jc w:val="both"/>
        <w:rPr>
          <w:rFonts w:ascii="Arial" w:hAnsi="Arial" w:cs="Arial"/>
          <w:bCs/>
          <w:color w:val="000000" w:themeColor="text1"/>
          <w:sz w:val="22"/>
        </w:rPr>
      </w:pPr>
    </w:p>
    <w:p w14:paraId="6F18E7DA" w14:textId="7E01F767" w:rsidR="003378D7" w:rsidRPr="008A44D4" w:rsidRDefault="003378D7" w:rsidP="003378D7">
      <w:pPr>
        <w:spacing w:after="120" w:line="276" w:lineRule="auto"/>
        <w:jc w:val="both"/>
        <w:rPr>
          <w:rFonts w:ascii="Arial" w:hAnsi="Arial" w:cs="Arial"/>
          <w:bCs/>
          <w:color w:val="000000" w:themeColor="text1"/>
          <w:sz w:val="22"/>
        </w:rPr>
      </w:pPr>
      <w:r w:rsidRPr="008A44D4">
        <w:rPr>
          <w:rFonts w:ascii="Arial" w:hAnsi="Arial" w:cs="Arial"/>
          <w:bCs/>
          <w:color w:val="000000" w:themeColor="text1"/>
          <w:sz w:val="22"/>
        </w:rPr>
        <w:lastRenderedPageBreak/>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0" w:name="_Hlk61701014"/>
      <w:bookmarkStart w:id="1" w:name="_Hlk62136649"/>
      <w:r w:rsidRPr="008A44D4">
        <w:rPr>
          <w:rFonts w:ascii="Arial" w:hAnsi="Arial" w:cs="Arial"/>
          <w:bCs/>
          <w:color w:val="000000" w:themeColor="text1"/>
          <w:sz w:val="22"/>
        </w:rPr>
        <w:t xml:space="preserve"> </w:t>
      </w:r>
      <w:r w:rsidRPr="008A44D4">
        <w:rPr>
          <w:rFonts w:ascii="Arial" w:hAnsi="Arial" w:cs="Arial"/>
          <w:color w:val="000000" w:themeColor="text1"/>
          <w:sz w:val="22"/>
          <w:lang w:val="es-ES"/>
        </w:rPr>
        <w:t xml:space="preserve">Es necesario tener en cuenta que </w:t>
      </w:r>
      <w:bookmarkStart w:id="2" w:name="_Hlk61026958"/>
      <w:r w:rsidRPr="008A44D4">
        <w:rPr>
          <w:rFonts w:ascii="Arial" w:hAnsi="Arial" w:cs="Arial"/>
          <w:color w:val="000000" w:themeColor="text1"/>
          <w:sz w:val="22"/>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8A44D4">
        <w:rPr>
          <w:rFonts w:ascii="Arial" w:hAnsi="Arial" w:cs="Arial"/>
          <w:bCs/>
          <w:color w:val="000000" w:themeColor="text1"/>
          <w:sz w:val="22"/>
        </w:rPr>
        <w:t xml:space="preserve"> de todos los partícipes de la contratación estatal.</w:t>
      </w:r>
    </w:p>
    <w:p w14:paraId="2983805F" w14:textId="77777777" w:rsidR="003378D7" w:rsidRPr="008A44D4" w:rsidRDefault="003378D7" w:rsidP="003378D7">
      <w:pPr>
        <w:spacing w:after="120" w:line="276" w:lineRule="auto"/>
        <w:ind w:firstLine="708"/>
        <w:jc w:val="both"/>
        <w:rPr>
          <w:rFonts w:ascii="Arial" w:hAnsi="Arial" w:cs="Arial"/>
          <w:color w:val="000000" w:themeColor="text1"/>
          <w:sz w:val="22"/>
          <w:lang w:val="es-ES"/>
        </w:rPr>
      </w:pPr>
      <w:r w:rsidRPr="008A44D4">
        <w:rPr>
          <w:rFonts w:ascii="Arial" w:hAnsi="Arial" w:cs="Arial"/>
          <w:color w:val="000000" w:themeColor="text1"/>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8A44D4">
        <w:rPr>
          <w:rFonts w:ascii="Arial" w:hAnsi="Arial" w:cs="Arial"/>
          <w:color w:val="000000" w:themeColor="text1"/>
          <w:sz w:val="22"/>
          <w:vertAlign w:val="superscript"/>
          <w:lang w:val="es-ES"/>
        </w:rPr>
        <w:footnoteReference w:id="1"/>
      </w:r>
      <w:r w:rsidRPr="008A44D4">
        <w:rPr>
          <w:rFonts w:ascii="Arial" w:hAnsi="Arial" w:cs="Arial"/>
          <w:color w:val="000000" w:themeColor="text1"/>
          <w:sz w:val="22"/>
          <w:lang w:val="es-ES"/>
        </w:rPr>
        <w:t>. Esta competencia de interpretación de normas generales no puede extenderse a la resolución de controversias, ni a brindar asesorías sobre casos puntuales.</w:t>
      </w:r>
      <w:bookmarkEnd w:id="2"/>
      <w:r w:rsidRPr="008A44D4">
        <w:rPr>
          <w:rFonts w:ascii="Arial" w:hAnsi="Arial" w:cs="Arial"/>
          <w:color w:val="000000" w:themeColor="text1"/>
          <w:sz w:val="22"/>
          <w:lang w:val="es-ES"/>
        </w:rPr>
        <w:t xml:space="preserve"> En este contexto, previo concepto de sus órganos asesores, la solución de estos temas corresponde a la entidad que adelanta el procedimiento de selección y, en caso de conflicto, a las autoridades judiciales, fiscales y disciplinarias. </w:t>
      </w:r>
      <w:bookmarkEnd w:id="0"/>
      <w:bookmarkEnd w:id="1"/>
    </w:p>
    <w:p w14:paraId="0BD7C122" w14:textId="38579CFC" w:rsidR="003378D7" w:rsidRPr="008A44D4" w:rsidRDefault="003378D7" w:rsidP="001B5AD6">
      <w:pPr>
        <w:spacing w:after="120" w:line="276" w:lineRule="auto"/>
        <w:ind w:firstLine="708"/>
        <w:jc w:val="both"/>
        <w:rPr>
          <w:rFonts w:ascii="Arial" w:eastAsia="Calibri" w:hAnsi="Arial" w:cs="Arial"/>
          <w:b/>
          <w:sz w:val="22"/>
          <w:szCs w:val="22"/>
          <w:lang w:val="es-ES"/>
        </w:rPr>
      </w:pPr>
      <w:r w:rsidRPr="008A44D4">
        <w:rPr>
          <w:rFonts w:ascii="Arial" w:hAnsi="Arial" w:cs="Arial"/>
          <w:color w:val="000000" w:themeColor="text1"/>
          <w:sz w:val="22"/>
          <w:szCs w:val="22"/>
          <w:lang w:val="es-ES"/>
        </w:rPr>
        <w:t xml:space="preserve">La consulta formula una primera pregunta referida a la aplicación del artículo 33 de la Ley 996 de 2005, la cual indaga sobre el alcance de la excepción aplicable a las entidades sanitarias, tema que se encuentra dentro del referido ámbito de competencia de esta entidad. Sin embargo, revisada la segunda pregunta, se advierte que mediante la misma se pretende definir si una empresa </w:t>
      </w:r>
      <w:r w:rsidR="00033742" w:rsidRPr="008A44D4">
        <w:rPr>
          <w:rFonts w:ascii="Arial" w:hAnsi="Arial" w:cs="Arial"/>
          <w:color w:val="000000" w:themeColor="text1"/>
          <w:sz w:val="22"/>
          <w:szCs w:val="22"/>
          <w:lang w:val="es-ES"/>
        </w:rPr>
        <w:t xml:space="preserve">social </w:t>
      </w:r>
      <w:r w:rsidRPr="008A44D4">
        <w:rPr>
          <w:rFonts w:ascii="Arial" w:hAnsi="Arial" w:cs="Arial"/>
          <w:color w:val="000000" w:themeColor="text1"/>
          <w:sz w:val="22"/>
          <w:szCs w:val="22"/>
          <w:lang w:val="es-ES"/>
        </w:rPr>
        <w:t xml:space="preserve">del Estado, puede o no </w:t>
      </w:r>
      <w:r w:rsidR="00033742" w:rsidRPr="008A44D4">
        <w:rPr>
          <w:rFonts w:ascii="Arial" w:hAnsi="Arial" w:cs="Arial"/>
          <w:color w:val="000000" w:themeColor="text1"/>
          <w:sz w:val="22"/>
          <w:szCs w:val="22"/>
          <w:lang w:val="es-ES"/>
        </w:rPr>
        <w:t>«contratar personal» en desarrollo de un convenio interadministrativo</w:t>
      </w:r>
      <w:r w:rsidRPr="008A44D4">
        <w:rPr>
          <w:rFonts w:ascii="Arial" w:hAnsi="Arial" w:cs="Arial"/>
          <w:color w:val="000000" w:themeColor="text1"/>
          <w:sz w:val="22"/>
          <w:szCs w:val="22"/>
          <w:lang w:val="es-ES"/>
        </w:rPr>
        <w:t xml:space="preserve">, a pesar del artículo 33 de dicha ley. </w:t>
      </w:r>
      <w:r w:rsidRPr="008A44D4">
        <w:rPr>
          <w:rFonts w:ascii="Arial" w:hAnsi="Arial" w:cs="Arial"/>
          <w:color w:val="000000" w:themeColor="text1"/>
          <w:sz w:val="22"/>
          <w:szCs w:val="22"/>
        </w:rPr>
        <w:t>Cabe resaltar, como ya se indicó, que la</w:t>
      </w:r>
      <w:r w:rsidRPr="008A44D4">
        <w:rPr>
          <w:rFonts w:ascii="Arial" w:eastAsia="Arial" w:hAnsi="Arial" w:cs="Arial"/>
          <w:sz w:val="22"/>
          <w:szCs w:val="22"/>
        </w:rPr>
        <w:t xml:space="preserve"> Agencia Nacional de Contratación Pública – Colombia Compra Eficiente está facultada para atender solicitudes relacionadas con </w:t>
      </w:r>
      <w:r w:rsidRPr="008A44D4">
        <w:rPr>
          <w:rFonts w:ascii="Arial" w:eastAsia="Arial" w:hAnsi="Arial" w:cs="Arial"/>
          <w:i/>
          <w:sz w:val="22"/>
          <w:szCs w:val="22"/>
        </w:rPr>
        <w:t xml:space="preserve">temas contractuales, </w:t>
      </w:r>
      <w:r w:rsidRPr="008A44D4">
        <w:rPr>
          <w:rFonts w:ascii="Arial" w:eastAsia="Arial" w:hAnsi="Arial" w:cs="Arial"/>
          <w:sz w:val="22"/>
          <w:szCs w:val="22"/>
        </w:rPr>
        <w:t>pero sobre la aplicación de normas de carácter general en materia de contratación pública</w:t>
      </w:r>
      <w:r w:rsidR="00033742" w:rsidRPr="008A44D4">
        <w:rPr>
          <w:rFonts w:ascii="Arial" w:eastAsia="Arial" w:hAnsi="Arial" w:cs="Arial"/>
          <w:sz w:val="22"/>
          <w:szCs w:val="22"/>
        </w:rPr>
        <w:t xml:space="preserve">, </w:t>
      </w:r>
      <w:r w:rsidR="003B442E" w:rsidRPr="008A44D4">
        <w:rPr>
          <w:rFonts w:ascii="Arial" w:eastAsia="Arial" w:hAnsi="Arial" w:cs="Arial"/>
          <w:sz w:val="22"/>
          <w:szCs w:val="22"/>
        </w:rPr>
        <w:t xml:space="preserve">por lo que no es </w:t>
      </w:r>
      <w:r w:rsidRPr="008A44D4">
        <w:rPr>
          <w:rFonts w:ascii="Arial" w:hAnsi="Arial" w:cs="Arial"/>
          <w:color w:val="000000" w:themeColor="text1"/>
          <w:sz w:val="22"/>
          <w:szCs w:val="22"/>
        </w:rPr>
        <w:t xml:space="preserve">competente para </w:t>
      </w:r>
      <w:r w:rsidR="003B442E" w:rsidRPr="008A44D4">
        <w:rPr>
          <w:rFonts w:ascii="Arial" w:hAnsi="Arial" w:cs="Arial"/>
          <w:color w:val="000000" w:themeColor="text1"/>
          <w:sz w:val="22"/>
          <w:szCs w:val="22"/>
        </w:rPr>
        <w:t xml:space="preserve">interpretar </w:t>
      </w:r>
      <w:r w:rsidRPr="008A44D4">
        <w:rPr>
          <w:rFonts w:ascii="Arial" w:hAnsi="Arial" w:cs="Arial"/>
          <w:color w:val="000000" w:themeColor="text1"/>
          <w:sz w:val="22"/>
          <w:szCs w:val="22"/>
        </w:rPr>
        <w:t>normas de carácter laboral</w:t>
      </w:r>
      <w:r w:rsidR="003B442E" w:rsidRPr="008A44D4">
        <w:rPr>
          <w:rFonts w:ascii="Arial" w:hAnsi="Arial" w:cs="Arial"/>
          <w:color w:val="000000" w:themeColor="text1"/>
          <w:sz w:val="22"/>
          <w:szCs w:val="22"/>
        </w:rPr>
        <w:t xml:space="preserve">, ni para establecer la forma en la que las entidades estatales deben gestionar su nómina. </w:t>
      </w:r>
    </w:p>
    <w:p w14:paraId="169E7F5E" w14:textId="6CCC10D0" w:rsidR="008F1F27" w:rsidRPr="008A44D4" w:rsidRDefault="006D3D20" w:rsidP="001B5AD6">
      <w:pPr>
        <w:spacing w:after="120" w:line="276" w:lineRule="auto"/>
        <w:ind w:firstLine="708"/>
        <w:jc w:val="both"/>
        <w:rPr>
          <w:rFonts w:ascii="Arial" w:hAnsi="Arial" w:cs="Arial"/>
          <w:sz w:val="22"/>
          <w:szCs w:val="22"/>
          <w:lang w:val="es-MX"/>
        </w:rPr>
      </w:pPr>
      <w:r w:rsidRPr="008A44D4">
        <w:rPr>
          <w:rFonts w:ascii="Arial" w:eastAsia="Calibri" w:hAnsi="Arial" w:cs="Arial"/>
          <w:sz w:val="22"/>
          <w:szCs w:val="22"/>
          <w:lang w:val="es-ES"/>
        </w:rPr>
        <w:lastRenderedPageBreak/>
        <w:t xml:space="preserve">Sin perjuicio de lo anterior, se resolverá </w:t>
      </w:r>
      <w:r w:rsidR="002E7631" w:rsidRPr="008A44D4">
        <w:rPr>
          <w:rFonts w:ascii="Arial" w:eastAsia="Calibri" w:hAnsi="Arial" w:cs="Arial"/>
          <w:sz w:val="22"/>
          <w:szCs w:val="22"/>
          <w:lang w:val="es-ES"/>
        </w:rPr>
        <w:t>su</w:t>
      </w:r>
      <w:r w:rsidRPr="008A44D4">
        <w:rPr>
          <w:rFonts w:ascii="Arial" w:eastAsia="Calibri" w:hAnsi="Arial" w:cs="Arial"/>
          <w:sz w:val="22"/>
          <w:szCs w:val="22"/>
          <w:lang w:val="es-ES"/>
        </w:rPr>
        <w:t xml:space="preserve"> </w:t>
      </w:r>
      <w:r w:rsidR="002E7631" w:rsidRPr="008A44D4">
        <w:rPr>
          <w:rFonts w:ascii="Arial" w:eastAsia="Calibri" w:hAnsi="Arial" w:cs="Arial"/>
          <w:sz w:val="22"/>
          <w:szCs w:val="22"/>
          <w:lang w:val="es-ES"/>
        </w:rPr>
        <w:t>consulta</w:t>
      </w:r>
      <w:r w:rsidRPr="008A44D4">
        <w:rPr>
          <w:rFonts w:ascii="Arial" w:eastAsia="Calibri" w:hAnsi="Arial" w:cs="Arial"/>
          <w:sz w:val="22"/>
          <w:szCs w:val="22"/>
          <w:lang w:val="es-ES"/>
        </w:rPr>
        <w:t xml:space="preserve">, dentro los límites </w:t>
      </w:r>
      <w:r w:rsidR="00F13DC5" w:rsidRPr="008A44D4">
        <w:rPr>
          <w:rFonts w:ascii="Arial" w:eastAsia="Calibri" w:hAnsi="Arial" w:cs="Arial"/>
          <w:sz w:val="22"/>
          <w:szCs w:val="22"/>
          <w:lang w:val="es-ES"/>
        </w:rPr>
        <w:t xml:space="preserve">de la referida competencia consultiva, previo estudio de </w:t>
      </w:r>
      <w:r w:rsidR="008F1F27" w:rsidRPr="008A44D4">
        <w:rPr>
          <w:rFonts w:ascii="Arial" w:eastAsia="Calibri" w:hAnsi="Arial" w:cs="Arial"/>
          <w:sz w:val="22"/>
          <w:szCs w:val="22"/>
          <w:lang w:val="es-ES"/>
        </w:rPr>
        <w:t xml:space="preserve">los siguientes temas: i) </w:t>
      </w:r>
      <w:r w:rsidR="00F13DC5" w:rsidRPr="008A44D4">
        <w:rPr>
          <w:rFonts w:ascii="Arial" w:eastAsia="Calibri" w:hAnsi="Arial" w:cs="Arial"/>
          <w:sz w:val="22"/>
          <w:szCs w:val="22"/>
          <w:lang w:val="es-ES"/>
        </w:rPr>
        <w:t>r</w:t>
      </w:r>
      <w:r w:rsidR="00127265" w:rsidRPr="008A44D4">
        <w:rPr>
          <w:rFonts w:ascii="Arial" w:eastAsia="Calibri" w:hAnsi="Arial" w:cs="Arial"/>
          <w:sz w:val="22"/>
          <w:szCs w:val="22"/>
          <w:lang w:val="es-ES"/>
        </w:rPr>
        <w:t xml:space="preserve">égimen contractual de las empresas sociales del estado –ESE–, ii) </w:t>
      </w:r>
      <w:r w:rsidR="00F13DC5" w:rsidRPr="008A44D4">
        <w:rPr>
          <w:rFonts w:ascii="Arial" w:eastAsia="Calibri" w:hAnsi="Arial" w:cs="Arial"/>
          <w:sz w:val="22"/>
          <w:szCs w:val="22"/>
          <w:lang w:val="es-ES"/>
        </w:rPr>
        <w:t>d</w:t>
      </w:r>
      <w:r w:rsidR="00127265" w:rsidRPr="008A44D4">
        <w:rPr>
          <w:rFonts w:ascii="Arial" w:eastAsia="Calibri" w:hAnsi="Arial" w:cs="Arial"/>
          <w:sz w:val="22"/>
          <w:szCs w:val="22"/>
          <w:lang w:val="es-ES"/>
        </w:rPr>
        <w:t xml:space="preserve">efinición y finalidad de la Ley de Garantías Electorales: alcance de las restricciones, iii) </w:t>
      </w:r>
      <w:r w:rsidR="00F13DC5" w:rsidRPr="008A44D4">
        <w:rPr>
          <w:rFonts w:ascii="Arial" w:eastAsia="Calibri" w:hAnsi="Arial" w:cs="Arial"/>
          <w:sz w:val="22"/>
          <w:szCs w:val="22"/>
          <w:lang w:val="es-ES"/>
        </w:rPr>
        <w:t>d</w:t>
      </w:r>
      <w:r w:rsidR="00127265" w:rsidRPr="008A44D4">
        <w:rPr>
          <w:rFonts w:ascii="Arial" w:eastAsia="Calibri" w:hAnsi="Arial" w:cs="Arial"/>
          <w:sz w:val="22"/>
          <w:szCs w:val="22"/>
          <w:lang w:val="es-ES"/>
        </w:rPr>
        <w:t xml:space="preserve">eterminación de las restricciones según el tipo de elecciones y excepciones a las mismas, iv) restricciones del artículo 33 de la Ley 906 de 2005 en elecciones presidenciales, v) </w:t>
      </w:r>
      <w:r w:rsidR="00393ABA" w:rsidRPr="008A44D4">
        <w:rPr>
          <w:rFonts w:ascii="Arial" w:eastAsia="Calibri" w:hAnsi="Arial" w:cs="Arial"/>
          <w:sz w:val="22"/>
          <w:szCs w:val="22"/>
          <w:lang w:val="es-ES"/>
        </w:rPr>
        <w:t>v</w:t>
      </w:r>
      <w:r w:rsidR="00127265" w:rsidRPr="008A44D4">
        <w:rPr>
          <w:rFonts w:ascii="Arial" w:eastAsia="Calibri" w:hAnsi="Arial" w:cs="Arial"/>
          <w:sz w:val="22"/>
          <w:szCs w:val="22"/>
          <w:lang w:val="es-ES"/>
        </w:rPr>
        <w:t xml:space="preserve">estinatarios de la restricción del artículo 33 de la Ley 906 de 2005 y vi) Restricciones para la celebración de contratos y convenios interadministrativos en los comicios de cargos de elección popular. </w:t>
      </w:r>
    </w:p>
    <w:p w14:paraId="5988FAB6" w14:textId="0E1B0873" w:rsidR="008F1F27" w:rsidRPr="008A44D4" w:rsidRDefault="008F1F27" w:rsidP="008F1F27">
      <w:pPr>
        <w:tabs>
          <w:tab w:val="left" w:pos="426"/>
        </w:tabs>
        <w:spacing w:line="276" w:lineRule="auto"/>
        <w:ind w:firstLine="709"/>
        <w:jc w:val="both"/>
        <w:rPr>
          <w:rFonts w:ascii="Arial" w:eastAsia="Calibri" w:hAnsi="Arial" w:cs="Arial"/>
          <w:color w:val="000000" w:themeColor="text1"/>
          <w:sz w:val="22"/>
          <w:szCs w:val="22"/>
          <w:lang w:val="es-ES_tradnl"/>
        </w:rPr>
      </w:pPr>
      <w:r w:rsidRPr="008A44D4">
        <w:rPr>
          <w:rFonts w:ascii="Arial" w:eastAsia="Calibri" w:hAnsi="Arial" w:cs="Arial"/>
          <w:color w:val="000000" w:themeColor="text1"/>
          <w:sz w:val="22"/>
          <w:szCs w:val="22"/>
          <w:lang w:val="es-ES_tradnl"/>
        </w:rPr>
        <w:t>La Agencia Nacional de Contratación Pública – Colombia Compra Eficiente se ha pronunciado en diferentes ocasiones sobre la Ley de Garantías Electorales, entre otros, en los Conceptos 4201913000004536 de 17 de julio de 2019, 4201912000005556 del 12 de septiembre de 2019, 4201913000005175 del 13 de septiembre de 2019, 4201913000006452 del 07 de octubre de 2019, 4201913000005082 del 17 de octubre de 2019, 4201913000006306 del 21 de octubre de 2019, 4201912000006552 del 07 de noviembre de 2019, 4201913000006604 del 17 de diciembre de 2019,  C-227 del 24 de mayo de 2021 y 396 del 13 de agosto de 2021, C-439 del 27 de agosto de 2021, C-456 del 3 de septiembre, C-481 del 9 de septiembre de 2021, C- 528 del 27 de septiembre de 2021, C-550 del 5 de octubre de 2021 y C-523 del 10 de octubre de 2021, C-606 del 28 de octubre de 2021 y C-614 del 2 de noviembre de 2021, C-636 del 16 de noviembre de 2021, 681 del 7 de diciembre de 2021 y C-718 de 24 de enero de 2022. Teniendo en cuenta los conceptos anteriores y analizando la pregunta en cuestión, se realizan las siguientes consideraciones.</w:t>
      </w:r>
    </w:p>
    <w:p w14:paraId="5D7A0AB6" w14:textId="2DF9C40E" w:rsidR="007A76CD" w:rsidRPr="008A44D4" w:rsidRDefault="007A76CD" w:rsidP="007A76CD">
      <w:pPr>
        <w:tabs>
          <w:tab w:val="left" w:pos="426"/>
        </w:tabs>
        <w:spacing w:line="276" w:lineRule="auto"/>
        <w:jc w:val="both"/>
        <w:rPr>
          <w:rFonts w:ascii="Arial" w:eastAsia="Calibri" w:hAnsi="Arial" w:cs="Arial"/>
          <w:color w:val="000000" w:themeColor="text1"/>
          <w:sz w:val="22"/>
          <w:szCs w:val="22"/>
          <w:lang w:val="es-ES_tradnl"/>
        </w:rPr>
      </w:pPr>
    </w:p>
    <w:p w14:paraId="06A78802" w14:textId="72F38BA8" w:rsidR="009C571D" w:rsidRPr="008A44D4" w:rsidRDefault="00096E71" w:rsidP="009C571D">
      <w:pPr>
        <w:jc w:val="both"/>
        <w:rPr>
          <w:rFonts w:ascii="Arial" w:hAnsi="Arial" w:cs="Arial"/>
          <w:b/>
          <w:bCs/>
          <w:sz w:val="22"/>
          <w:szCs w:val="22"/>
        </w:rPr>
      </w:pPr>
      <w:r w:rsidRPr="008A44D4">
        <w:rPr>
          <w:rFonts w:ascii="Arial" w:hAnsi="Arial" w:cs="Arial"/>
          <w:b/>
          <w:bCs/>
          <w:sz w:val="22"/>
          <w:szCs w:val="22"/>
        </w:rPr>
        <w:t>2.</w:t>
      </w:r>
      <w:r w:rsidR="009C571D" w:rsidRPr="008A44D4">
        <w:rPr>
          <w:rFonts w:ascii="Arial" w:hAnsi="Arial" w:cs="Arial"/>
          <w:b/>
          <w:bCs/>
          <w:sz w:val="22"/>
          <w:szCs w:val="22"/>
        </w:rPr>
        <w:t xml:space="preserve">1. Régimen contractual de las Empresas Sociales del Estado –ESE– </w:t>
      </w:r>
    </w:p>
    <w:p w14:paraId="6419613B" w14:textId="77777777" w:rsidR="009C571D" w:rsidRPr="008A44D4" w:rsidRDefault="009C571D" w:rsidP="009C571D">
      <w:pPr>
        <w:jc w:val="both"/>
        <w:rPr>
          <w:rFonts w:ascii="Arial" w:hAnsi="Arial" w:cs="Arial"/>
          <w:b/>
          <w:bCs/>
          <w:sz w:val="22"/>
          <w:szCs w:val="22"/>
        </w:rPr>
      </w:pPr>
    </w:p>
    <w:p w14:paraId="3CB41097" w14:textId="77777777" w:rsidR="009C571D" w:rsidRPr="008A44D4" w:rsidRDefault="009C571D" w:rsidP="009C571D">
      <w:pPr>
        <w:spacing w:line="276" w:lineRule="auto"/>
        <w:jc w:val="both"/>
        <w:rPr>
          <w:rFonts w:ascii="Arial" w:eastAsia="Calibri" w:hAnsi="Arial" w:cs="Arial"/>
          <w:color w:val="000000" w:themeColor="text1"/>
          <w:sz w:val="22"/>
          <w:szCs w:val="22"/>
        </w:rPr>
      </w:pPr>
      <w:r w:rsidRPr="008A44D4">
        <w:rPr>
          <w:rFonts w:ascii="Arial" w:hAnsi="Arial" w:cs="Arial"/>
          <w:sz w:val="22"/>
          <w:szCs w:val="22"/>
        </w:rPr>
        <w:t>Las Empresas Sociales del Estado – ESE son entidades públicas que, conforme al artículo 194 de la Ley 100 de 1993, son de categoría especial, descentralizada por servicios, con personería jurídica, patrimonio propio y autonomía administrativa</w:t>
      </w:r>
      <w:r w:rsidRPr="008A44D4">
        <w:rPr>
          <w:rStyle w:val="Refdenotaalpie"/>
          <w:rFonts w:ascii="Arial" w:hAnsi="Arial" w:cs="Arial"/>
          <w:sz w:val="22"/>
          <w:szCs w:val="22"/>
        </w:rPr>
        <w:footnoteReference w:id="2"/>
      </w:r>
      <w:r w:rsidRPr="008A44D4">
        <w:rPr>
          <w:rFonts w:ascii="Arial" w:hAnsi="Arial" w:cs="Arial"/>
          <w:sz w:val="22"/>
          <w:szCs w:val="22"/>
        </w:rPr>
        <w:t>. A través de ellas la Nación o las entidades territoriales prestan el servicio de salud de manera directa, es decir</w:t>
      </w:r>
      <w:r w:rsidRPr="008A44D4">
        <w:rPr>
          <w:rFonts w:ascii="Arial" w:eastAsia="Calibri" w:hAnsi="Arial" w:cs="Arial"/>
          <w:color w:val="000000" w:themeColor="text1"/>
          <w:sz w:val="22"/>
          <w:szCs w:val="22"/>
        </w:rPr>
        <w:t xml:space="preserve">, las Empresas Sociales del Estado son, esencialmente, los hospitales públicos. El Consejo de Estado, sobre la naturaleza jurídica de estas entidades, precisó: </w:t>
      </w:r>
    </w:p>
    <w:p w14:paraId="62ED49DE" w14:textId="77777777" w:rsidR="009C571D" w:rsidRPr="008A44D4" w:rsidRDefault="009C571D" w:rsidP="009C571D">
      <w:pPr>
        <w:spacing w:line="276" w:lineRule="auto"/>
        <w:jc w:val="both"/>
        <w:rPr>
          <w:rFonts w:ascii="Arial" w:eastAsia="Calibri" w:hAnsi="Arial" w:cs="Arial"/>
          <w:color w:val="000000" w:themeColor="text1"/>
        </w:rPr>
      </w:pPr>
    </w:p>
    <w:p w14:paraId="4437C1C2" w14:textId="77777777" w:rsidR="009C571D" w:rsidRPr="008A44D4" w:rsidRDefault="009C571D" w:rsidP="009C571D">
      <w:pPr>
        <w:ind w:left="709" w:right="709"/>
        <w:jc w:val="both"/>
        <w:rPr>
          <w:rFonts w:ascii="Arial" w:eastAsia="Calibri" w:hAnsi="Arial" w:cs="Arial"/>
          <w:color w:val="000000" w:themeColor="text1"/>
          <w:sz w:val="21"/>
          <w:szCs w:val="21"/>
        </w:rPr>
      </w:pPr>
      <w:r w:rsidRPr="008A44D4">
        <w:rPr>
          <w:rFonts w:ascii="Arial" w:eastAsia="Calibri" w:hAnsi="Arial" w:cs="Arial"/>
          <w:color w:val="000000" w:themeColor="text1"/>
          <w:sz w:val="21"/>
          <w:szCs w:val="21"/>
        </w:rPr>
        <w:t xml:space="preserve">[…] Se tiene que las empresas sociales del Estado, es decir, los hospitales públicos a que se refiere la ley 100 de 1993, son entidades descentralizadas por servicios, de naturaleza jurídica especial, es decir, son entidades estatales que </w:t>
      </w:r>
      <w:r w:rsidRPr="008A44D4">
        <w:rPr>
          <w:rFonts w:ascii="Arial" w:eastAsia="Calibri" w:hAnsi="Arial" w:cs="Arial"/>
          <w:color w:val="000000" w:themeColor="text1"/>
          <w:sz w:val="21"/>
          <w:szCs w:val="21"/>
        </w:rPr>
        <w:lastRenderedPageBreak/>
        <w:t>pertenecen a la estructura de la rama ejecutiva del poder público, porque así lo disponen los arts. 38 y 68 de la ley 489 de 1998 […]</w:t>
      </w:r>
      <w:r w:rsidRPr="008A44D4">
        <w:rPr>
          <w:rStyle w:val="Refdenotaalpie"/>
          <w:rFonts w:ascii="Arial" w:eastAsia="Calibri" w:hAnsi="Arial" w:cs="Arial"/>
          <w:color w:val="000000" w:themeColor="text1"/>
          <w:sz w:val="21"/>
          <w:szCs w:val="21"/>
        </w:rPr>
        <w:footnoteReference w:id="3"/>
      </w:r>
      <w:r w:rsidRPr="008A44D4">
        <w:rPr>
          <w:rFonts w:ascii="Arial" w:eastAsia="Calibri" w:hAnsi="Arial" w:cs="Arial"/>
          <w:color w:val="000000" w:themeColor="text1"/>
          <w:sz w:val="21"/>
          <w:szCs w:val="21"/>
        </w:rPr>
        <w:t xml:space="preserve">. </w:t>
      </w:r>
    </w:p>
    <w:p w14:paraId="2A110FD6" w14:textId="77777777" w:rsidR="009C571D" w:rsidRPr="008A44D4" w:rsidRDefault="009C571D" w:rsidP="009C571D">
      <w:pPr>
        <w:spacing w:line="276" w:lineRule="auto"/>
        <w:ind w:left="709" w:right="709"/>
        <w:jc w:val="both"/>
        <w:rPr>
          <w:rFonts w:ascii="Arial" w:eastAsia="Calibri" w:hAnsi="Arial" w:cs="Arial"/>
          <w:color w:val="000000" w:themeColor="text1"/>
        </w:rPr>
      </w:pPr>
    </w:p>
    <w:p w14:paraId="6B994ED8" w14:textId="77777777" w:rsidR="009C571D" w:rsidRPr="008A44D4" w:rsidRDefault="009C571D" w:rsidP="00096E71">
      <w:pPr>
        <w:pStyle w:val="Textoindependiente"/>
        <w:spacing w:after="120" w:line="276" w:lineRule="auto"/>
        <w:ind w:right="102" w:firstLine="709"/>
        <w:jc w:val="both"/>
        <w:rPr>
          <w:sz w:val="22"/>
          <w:szCs w:val="22"/>
        </w:rPr>
      </w:pPr>
      <w:r w:rsidRPr="008A44D4">
        <w:rPr>
          <w:sz w:val="22"/>
          <w:szCs w:val="22"/>
        </w:rPr>
        <w:t xml:space="preserve">De la cita precedente se puede concluir entonces que, las Empresas Sociales del Estado son una categoría especial de entidades públicas que hacen parte de la estructura de la Rama Ejecutiva del poder público. En este mismo sentido, el artículo 38 de la Ley 489 de 1998, en el que se consagran los organismos y entidades que integran la rama ejecutiva del poder público, dispuso en el literal d) del numeral 2 que las Empresas Sociales del Estado hacen parte del sector descentralizado por servicios de esta rama del poder público. </w:t>
      </w:r>
    </w:p>
    <w:p w14:paraId="7372A6F5" w14:textId="77777777" w:rsidR="009C571D" w:rsidRPr="008A44D4" w:rsidRDefault="009C571D" w:rsidP="00096E71">
      <w:pPr>
        <w:spacing w:after="120" w:line="276" w:lineRule="auto"/>
        <w:ind w:firstLine="709"/>
        <w:jc w:val="both"/>
        <w:rPr>
          <w:rFonts w:ascii="Arial" w:hAnsi="Arial" w:cs="Arial"/>
          <w:sz w:val="22"/>
          <w:szCs w:val="22"/>
        </w:rPr>
      </w:pPr>
      <w:r w:rsidRPr="008A44D4">
        <w:rPr>
          <w:rFonts w:ascii="Arial" w:hAnsi="Arial" w:cs="Arial"/>
          <w:sz w:val="22"/>
          <w:szCs w:val="22"/>
        </w:rPr>
        <w:t xml:space="preserve">Ahora, de conformidad con el numeral 6 del artículo 195 de la Ley 100 de 1993, el régimen de contratación de las Empresas Sociales del Estado – ESE es el de derecho privado, es decir, por las disposiciones contenidas en el Código de Comercio y el Código Civil aplicables en lo que resulten pertinentes, salvo en las materias particularmente reguladas </w:t>
      </w:r>
      <w:r w:rsidRPr="008A44D4">
        <w:rPr>
          <w:rFonts w:ascii="Arial" w:eastAsia="Calibri" w:hAnsi="Arial" w:cs="Arial"/>
          <w:color w:val="000000" w:themeColor="text1"/>
          <w:sz w:val="22"/>
          <w:szCs w:val="22"/>
        </w:rPr>
        <w:t xml:space="preserve">por el derecho público. </w:t>
      </w:r>
      <w:r w:rsidRPr="008A44D4">
        <w:rPr>
          <w:rFonts w:ascii="Arial" w:hAnsi="Arial" w:cs="Arial"/>
          <w:sz w:val="22"/>
          <w:szCs w:val="22"/>
        </w:rPr>
        <w:t>La norma referida prescribe que «En materia contractual se regirá por el derecho privado, pero podrá discrecionalmente utilizar las cláusulas exorbitantes previstas en el estatuto general de contratación de la administración pública».</w:t>
      </w:r>
    </w:p>
    <w:p w14:paraId="107BF3D3" w14:textId="77777777" w:rsidR="009C571D" w:rsidRPr="008A44D4" w:rsidRDefault="009C571D" w:rsidP="00096E71">
      <w:pPr>
        <w:pStyle w:val="Textoindependiente"/>
        <w:spacing w:line="276" w:lineRule="auto"/>
        <w:ind w:right="102" w:firstLine="709"/>
        <w:jc w:val="both"/>
        <w:rPr>
          <w:sz w:val="22"/>
          <w:szCs w:val="22"/>
        </w:rPr>
      </w:pPr>
      <w:r w:rsidRPr="008A44D4">
        <w:rPr>
          <w:sz w:val="22"/>
          <w:szCs w:val="22"/>
        </w:rPr>
        <w:t>De acuerdo con esta norma, los contratos suscritos por Empresas Sociales del Estado se rigen por el derecho privado. Sin embargo, esto no implica la inobservancia de los principios de la función administrativa y la gestión fiscal, teniendo en cuenta que su objeto, conforme a la Sentencia C-555 de 2000, corresponde a la prestación del servicio de salud a cargo del Estado o como parte del servicio de seguridad social</w:t>
      </w:r>
      <w:r w:rsidRPr="008A44D4">
        <w:rPr>
          <w:rStyle w:val="Refdenotaalpie"/>
          <w:sz w:val="22"/>
          <w:szCs w:val="22"/>
        </w:rPr>
        <w:footnoteReference w:id="4"/>
      </w:r>
      <w:r w:rsidRPr="008A44D4">
        <w:rPr>
          <w:sz w:val="22"/>
          <w:szCs w:val="22"/>
        </w:rPr>
        <w:t>. En esta misma línea, el artículo 83 de la Ley 489 de 1998, dispuso lo</w:t>
      </w:r>
      <w:r w:rsidRPr="008A44D4">
        <w:rPr>
          <w:spacing w:val="-12"/>
          <w:sz w:val="22"/>
          <w:szCs w:val="22"/>
        </w:rPr>
        <w:t xml:space="preserve"> </w:t>
      </w:r>
      <w:r w:rsidRPr="008A44D4">
        <w:rPr>
          <w:sz w:val="22"/>
          <w:szCs w:val="22"/>
        </w:rPr>
        <w:t>siguiente:</w:t>
      </w:r>
    </w:p>
    <w:p w14:paraId="7E45B200" w14:textId="77777777" w:rsidR="009C571D" w:rsidRPr="008A44D4" w:rsidRDefault="009C571D" w:rsidP="009C571D">
      <w:pPr>
        <w:pStyle w:val="Textoindependiente"/>
        <w:ind w:right="102" w:firstLine="709"/>
      </w:pPr>
    </w:p>
    <w:p w14:paraId="52CAADB9" w14:textId="77777777" w:rsidR="009C571D" w:rsidRPr="008A44D4" w:rsidRDefault="009C571D" w:rsidP="00096E71">
      <w:pPr>
        <w:pStyle w:val="Textoindependiente"/>
        <w:ind w:left="709" w:right="709"/>
        <w:jc w:val="both"/>
        <w:rPr>
          <w:sz w:val="21"/>
          <w:szCs w:val="21"/>
        </w:rPr>
      </w:pPr>
      <w:r w:rsidRPr="008A44D4">
        <w:rPr>
          <w:sz w:val="21"/>
          <w:szCs w:val="21"/>
        </w:rPr>
        <w:t>Artículo 83º.- Empresas sociales del Estado. Las empresas sociales del Estado, creadas por la Nación o por las entidades territoriales para la prestación en forma directa de servicios de salud, se sujetan al régimen previsto en la Ley 100 de 1993, la Ley 344 de 1996 y en la presente Ley en los aspectos no regulados por dichas leyes y a las normas que las complementen, sustituyan o</w:t>
      </w:r>
      <w:r w:rsidRPr="008A44D4">
        <w:rPr>
          <w:spacing w:val="-1"/>
          <w:sz w:val="21"/>
          <w:szCs w:val="21"/>
        </w:rPr>
        <w:t xml:space="preserve"> </w:t>
      </w:r>
      <w:r w:rsidRPr="008A44D4">
        <w:rPr>
          <w:sz w:val="21"/>
          <w:szCs w:val="21"/>
        </w:rPr>
        <w:t>adicionen.</w:t>
      </w:r>
    </w:p>
    <w:p w14:paraId="447778A2" w14:textId="77777777" w:rsidR="009C571D" w:rsidRPr="008A44D4" w:rsidRDefault="009C571D" w:rsidP="009C571D">
      <w:pPr>
        <w:pStyle w:val="Textoindependiente"/>
        <w:ind w:right="534"/>
      </w:pPr>
    </w:p>
    <w:p w14:paraId="365BC44E" w14:textId="77777777" w:rsidR="009C571D" w:rsidRPr="008A44D4" w:rsidRDefault="009C571D" w:rsidP="00096E71">
      <w:pPr>
        <w:pStyle w:val="Textoindependiente"/>
        <w:spacing w:line="276" w:lineRule="auto"/>
        <w:ind w:right="102" w:firstLine="709"/>
        <w:jc w:val="both"/>
        <w:rPr>
          <w:sz w:val="22"/>
          <w:szCs w:val="22"/>
        </w:rPr>
      </w:pPr>
      <w:r w:rsidRPr="008A44D4">
        <w:rPr>
          <w:sz w:val="22"/>
          <w:szCs w:val="22"/>
        </w:rPr>
        <w:t xml:space="preserve">En consecuencia, por mandato del legislador, el régimen jurídico de los contratos de las ESE es una de las excepciones legales existentes para la aplicación del Estatuto General de la Contratación Estatal, aspecto que permite que dichas empresas se </w:t>
      </w:r>
      <w:r w:rsidRPr="008A44D4">
        <w:rPr>
          <w:sz w:val="22"/>
          <w:szCs w:val="22"/>
        </w:rPr>
        <w:lastRenderedPageBreak/>
        <w:t>sustraigan de las normas que regulan la actividad contractual de las entidades estatales a que hace referencia el artículo 2° de la Ley 80 de 1993. De todas maneras, la exclusión de que gozan las ESE, frente al régimen jurídico contractual general de las entidades estatales, no ha sido absoluta, toda vez que intervienen en la prestación de servicios de salud, como actores dentro de un servicio público bajo responsabilidad del Estado, en los términos del artículo 49 de la Constitución Política. Además, de tiempo atrás en el ordenamiento jurídico colombiano se reconoció que las entidades exceptuadas del Estatuto General de Contratación debían respetar los principios de la función administrativa, tesis que luego fue acogida por el legislador con la expedición de la Ley 1150 de 2007. Sobre el particular, el Consejo de Estado ha sostenido lo siguiente:</w:t>
      </w:r>
    </w:p>
    <w:p w14:paraId="7986BBED" w14:textId="77777777" w:rsidR="009C571D" w:rsidRPr="008A44D4" w:rsidRDefault="009C571D" w:rsidP="009C571D">
      <w:pPr>
        <w:pStyle w:val="Textoindependiente"/>
        <w:ind w:right="102" w:firstLine="709"/>
      </w:pPr>
    </w:p>
    <w:p w14:paraId="40E459E6" w14:textId="77777777" w:rsidR="009C571D" w:rsidRPr="008A44D4" w:rsidRDefault="009C571D" w:rsidP="009C571D">
      <w:pPr>
        <w:ind w:left="709" w:right="709"/>
        <w:jc w:val="both"/>
        <w:rPr>
          <w:rFonts w:ascii="Arial" w:eastAsia="Calibri" w:hAnsi="Arial" w:cs="Arial"/>
          <w:color w:val="000000" w:themeColor="text1"/>
          <w:sz w:val="21"/>
          <w:szCs w:val="21"/>
        </w:rPr>
      </w:pPr>
      <w:r w:rsidRPr="008A44D4">
        <w:rPr>
          <w:rFonts w:ascii="Arial" w:eastAsia="Calibri" w:hAnsi="Arial" w:cs="Arial"/>
          <w:color w:val="000000" w:themeColor="text1"/>
          <w:sz w:val="21"/>
          <w:szCs w:val="21"/>
        </w:rPr>
        <w:t>Siempre que esté de por medio la contratación estatal, con independencia de la normativa de prevalente aplicación al contrato, los servidores públicos responsables deben observar los principios de la Función Administrativa que establecen los artículos 209 y 210 de la Constitución Política , por lo tanto, el funcionario público no está en libertad de conceder y definir libremente el contrato, aunque se aplique el derecho privado, pues debe desarrollar en su actuar, precontractual y contractual, los principios que la Constitución Política le impone. Esta la razón por la cual el funcionario público tiene el deber de obrar con igualdad, moralidad, eficacia, economía, celeridad, imparcialidad y publicidad, en todas las etapas de la realización del contrato estatal, tanto antes de su celebración, en el momento de definir las necesidades y condiciones de la contratación y de elegir su contratista, así como en la ejecución y liquidación del contrato y éstos principios –se reitera- se deben aplicar y respetar aun cuando el contrato se rija por el derecho privado</w:t>
      </w:r>
      <w:r w:rsidRPr="008A44D4">
        <w:rPr>
          <w:rStyle w:val="Refdenotaalpie"/>
          <w:rFonts w:ascii="Arial" w:eastAsia="Calibri" w:hAnsi="Arial" w:cs="Arial"/>
          <w:color w:val="000000" w:themeColor="text1"/>
          <w:sz w:val="21"/>
          <w:szCs w:val="21"/>
        </w:rPr>
        <w:footnoteReference w:id="5"/>
      </w:r>
    </w:p>
    <w:p w14:paraId="1359AE7D" w14:textId="77777777" w:rsidR="009C571D" w:rsidRPr="008A44D4" w:rsidRDefault="009C571D" w:rsidP="00096E71">
      <w:pPr>
        <w:pStyle w:val="Textoindependiente"/>
        <w:spacing w:line="276" w:lineRule="auto"/>
        <w:ind w:firstLine="709"/>
        <w:jc w:val="both"/>
        <w:rPr>
          <w:sz w:val="22"/>
          <w:szCs w:val="22"/>
        </w:rPr>
      </w:pPr>
    </w:p>
    <w:p w14:paraId="7287B465" w14:textId="77777777" w:rsidR="009C571D" w:rsidRPr="008A44D4" w:rsidRDefault="009C571D" w:rsidP="001B5AD6">
      <w:pPr>
        <w:pStyle w:val="Textoindependiente"/>
        <w:spacing w:line="276" w:lineRule="auto"/>
        <w:ind w:right="102" w:firstLine="709"/>
        <w:jc w:val="both"/>
        <w:rPr>
          <w:sz w:val="22"/>
          <w:szCs w:val="22"/>
        </w:rPr>
      </w:pPr>
      <w:r w:rsidRPr="008A44D4">
        <w:rPr>
          <w:sz w:val="22"/>
          <w:szCs w:val="22"/>
        </w:rPr>
        <w:t>De lo anterior se colige que en la actualidad los contratos celebrados por las ESE, en cumplimiento de su objeto social, están regidos, preferente, por las normas de derecho privado. No obstante, dicho régimen no es exclusivo y, por consiguiente, el margen de libertad de configuración de la actividad contractual no se rige de forma absoluta por el principio de la autonomía privada, en la medida en que también le resultan aplicables normas y principios del derecho público.</w:t>
      </w:r>
    </w:p>
    <w:p w14:paraId="5B206F5D" w14:textId="77777777" w:rsidR="009C571D" w:rsidRPr="008A44D4" w:rsidRDefault="009C571D" w:rsidP="009C571D">
      <w:pPr>
        <w:jc w:val="both"/>
      </w:pPr>
    </w:p>
    <w:p w14:paraId="065D398D" w14:textId="66231AF6" w:rsidR="009C571D" w:rsidRPr="008A44D4" w:rsidRDefault="00096E71" w:rsidP="009C571D">
      <w:pPr>
        <w:tabs>
          <w:tab w:val="left" w:pos="426"/>
        </w:tabs>
        <w:jc w:val="both"/>
        <w:rPr>
          <w:rFonts w:ascii="Arial" w:eastAsia="Calibri" w:hAnsi="Arial" w:cs="Arial"/>
          <w:b/>
          <w:bCs/>
          <w:sz w:val="22"/>
        </w:rPr>
      </w:pPr>
      <w:r w:rsidRPr="008A44D4">
        <w:rPr>
          <w:rFonts w:ascii="Arial" w:eastAsia="Calibri" w:hAnsi="Arial" w:cs="Arial"/>
          <w:b/>
          <w:bCs/>
          <w:sz w:val="22"/>
        </w:rPr>
        <w:t>2.</w:t>
      </w:r>
      <w:r w:rsidR="009C571D" w:rsidRPr="008A44D4">
        <w:rPr>
          <w:rFonts w:ascii="Arial" w:eastAsia="Calibri" w:hAnsi="Arial" w:cs="Arial"/>
          <w:b/>
          <w:bCs/>
          <w:sz w:val="22"/>
        </w:rPr>
        <w:t>2. Definición y finalidad de la Ley de Garantías Electorales: alcance de las restricciones</w:t>
      </w:r>
    </w:p>
    <w:p w14:paraId="417585E1" w14:textId="77777777" w:rsidR="009C571D" w:rsidRPr="008A44D4" w:rsidRDefault="009C571D" w:rsidP="009C571D">
      <w:pPr>
        <w:tabs>
          <w:tab w:val="left" w:pos="426"/>
        </w:tabs>
        <w:ind w:firstLine="709"/>
        <w:jc w:val="both"/>
        <w:rPr>
          <w:rFonts w:ascii="Arial" w:eastAsia="Calibri" w:hAnsi="Arial" w:cs="Arial"/>
          <w:bCs/>
          <w:sz w:val="22"/>
        </w:rPr>
      </w:pPr>
    </w:p>
    <w:p w14:paraId="549DD04B" w14:textId="77777777" w:rsidR="009C571D" w:rsidRPr="008A44D4" w:rsidRDefault="009C571D" w:rsidP="009C571D">
      <w:pPr>
        <w:tabs>
          <w:tab w:val="left" w:pos="426"/>
        </w:tabs>
        <w:spacing w:after="120" w:line="276" w:lineRule="auto"/>
        <w:jc w:val="both"/>
        <w:rPr>
          <w:rFonts w:ascii="Arial" w:hAnsi="Arial" w:cs="Arial"/>
          <w:bCs/>
          <w:sz w:val="22"/>
          <w:szCs w:val="22"/>
          <w:lang w:eastAsia="es-CO"/>
        </w:rPr>
      </w:pPr>
      <w:r w:rsidRPr="008A44D4">
        <w:rPr>
          <w:rFonts w:ascii="Arial" w:eastAsia="Calibri" w:hAnsi="Arial" w:cs="Arial"/>
          <w:bCs/>
          <w:sz w:val="22"/>
          <w:szCs w:val="22"/>
        </w:rPr>
        <w:t>El ordenamiento jurídico colombiano contempla previsiones claras para evitar la obtención de beneficios personales en asuntos propios de la administración pública</w:t>
      </w:r>
      <w:r w:rsidRPr="008A44D4">
        <w:rPr>
          <w:rFonts w:ascii="Arial" w:eastAsia="Calibri" w:hAnsi="Arial" w:cs="Arial"/>
          <w:bCs/>
          <w:i/>
          <w:iCs/>
          <w:sz w:val="22"/>
          <w:szCs w:val="22"/>
        </w:rPr>
        <w:t xml:space="preserve">. </w:t>
      </w:r>
      <w:r w:rsidRPr="008A44D4">
        <w:rPr>
          <w:rFonts w:ascii="Arial" w:eastAsia="Calibri" w:hAnsi="Arial" w:cs="Arial"/>
          <w:bCs/>
          <w:sz w:val="22"/>
          <w:szCs w:val="22"/>
        </w:rPr>
        <w:t xml:space="preserve">Por ejemplo, el artículo 127 de la Constitución Política establece una prohibición contractual a los </w:t>
      </w:r>
      <w:r w:rsidRPr="008A44D4">
        <w:rPr>
          <w:rFonts w:ascii="Arial" w:eastAsia="Calibri" w:hAnsi="Arial" w:cs="Arial"/>
          <w:bCs/>
          <w:sz w:val="22"/>
          <w:szCs w:val="22"/>
        </w:rPr>
        <w:lastRenderedPageBreak/>
        <w:t>servidores públicos y en cuanto a aspectos políticos establece restricciones a ciertos empleados del Estado, incluso en época no electoral</w:t>
      </w:r>
      <w:r w:rsidRPr="008A44D4">
        <w:rPr>
          <w:rFonts w:ascii="Arial" w:eastAsia="Calibri" w:hAnsi="Arial" w:cs="Arial"/>
          <w:bCs/>
          <w:sz w:val="22"/>
          <w:szCs w:val="22"/>
          <w:vertAlign w:val="superscript"/>
        </w:rPr>
        <w:footnoteReference w:id="6"/>
      </w:r>
      <w:r w:rsidRPr="008A44D4">
        <w:rPr>
          <w:rFonts w:ascii="Arial" w:eastAsia="Calibri" w:hAnsi="Arial" w:cs="Arial"/>
          <w:bCs/>
          <w:sz w:val="22"/>
          <w:szCs w:val="22"/>
        </w:rPr>
        <w:t xml:space="preserve">. </w:t>
      </w:r>
    </w:p>
    <w:p w14:paraId="454CB8FE" w14:textId="77777777" w:rsidR="009C571D" w:rsidRPr="008A44D4" w:rsidRDefault="009C571D" w:rsidP="009C571D">
      <w:pPr>
        <w:spacing w:before="120" w:after="120" w:line="276" w:lineRule="auto"/>
        <w:ind w:firstLine="708"/>
        <w:jc w:val="both"/>
        <w:rPr>
          <w:rFonts w:ascii="Arial" w:eastAsia="Arial" w:hAnsi="Arial" w:cs="Arial"/>
          <w:sz w:val="22"/>
          <w:szCs w:val="22"/>
          <w:lang w:val="es-ES"/>
        </w:rPr>
      </w:pPr>
      <w:r w:rsidRPr="008A44D4">
        <w:rPr>
          <w:rFonts w:ascii="Arial" w:eastAsia="Arial" w:hAnsi="Arial" w:cs="Arial"/>
          <w:sz w:val="22"/>
          <w:szCs w:val="22"/>
          <w:lang w:val="es-ES"/>
        </w:rPr>
        <w:t>Entonces, a efectos de abordar la definición y los propósitos de la ley de garantías electorales merece especial atención la sentencia C-1153 de 2005 de la Corte Constitucional, mediante la cual esta corporación indicó lo siguiente:</w:t>
      </w:r>
    </w:p>
    <w:p w14:paraId="2B61C9C2" w14:textId="77777777" w:rsidR="009C571D" w:rsidRPr="008A44D4" w:rsidRDefault="009C571D" w:rsidP="009C571D">
      <w:pPr>
        <w:spacing w:before="120" w:after="120"/>
        <w:ind w:left="708" w:right="709"/>
        <w:jc w:val="both"/>
        <w:rPr>
          <w:rFonts w:ascii="Arial" w:hAnsi="Arial" w:cs="Arial"/>
          <w:bCs/>
          <w:color w:val="000000" w:themeColor="text1"/>
          <w:sz w:val="22"/>
          <w:szCs w:val="22"/>
          <w:lang w:eastAsia="es-ES_tradnl"/>
        </w:rPr>
      </w:pPr>
      <w:r w:rsidRPr="008A44D4">
        <w:rPr>
          <w:rFonts w:ascii="Arial" w:hAnsi="Arial" w:cs="Arial"/>
          <w:bCs/>
          <w:color w:val="000000" w:themeColor="text1"/>
          <w:sz w:val="22"/>
          <w:szCs w:val="22"/>
          <w:lang w:eastAsia="es-ES_tradnl"/>
        </w:rPr>
        <w:t>«Una ley de garantías electorales es, en síntesis,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 En suma, una ley de garantías debe hacer que quienes se presenten a las elecciones en calidad de candidatos, así como quienes acudan a ellas en calidad de electores, aprovechen en igualdad de condiciones los recursos ofrecidos por el Estado para la realización de la democracia, de manera que la voluntad popular se exprese sin obstrucciones de ningún tipo y la decisión del pueblo se vea reflejada en la persona elegida para ocupar el cargo de autoridad que se disputa»</w:t>
      </w:r>
      <w:r w:rsidRPr="008A44D4">
        <w:rPr>
          <w:rStyle w:val="Refdenotaalpie"/>
          <w:rFonts w:ascii="Arial" w:hAnsi="Arial" w:cs="Arial"/>
          <w:bCs/>
          <w:color w:val="000000" w:themeColor="text1"/>
          <w:sz w:val="22"/>
          <w:szCs w:val="22"/>
          <w:lang w:eastAsia="es-ES_tradnl"/>
        </w:rPr>
        <w:footnoteReference w:id="7"/>
      </w:r>
      <w:r w:rsidRPr="008A44D4">
        <w:rPr>
          <w:rFonts w:ascii="Arial" w:hAnsi="Arial" w:cs="Arial"/>
          <w:bCs/>
          <w:color w:val="000000" w:themeColor="text1"/>
          <w:sz w:val="22"/>
          <w:szCs w:val="22"/>
          <w:lang w:eastAsia="es-ES_tradnl"/>
        </w:rPr>
        <w:t>.</w:t>
      </w:r>
    </w:p>
    <w:p w14:paraId="6185D704" w14:textId="77777777" w:rsidR="009C571D" w:rsidRPr="008A44D4" w:rsidRDefault="009C571D" w:rsidP="009C571D">
      <w:pPr>
        <w:spacing w:after="120" w:line="276" w:lineRule="auto"/>
        <w:ind w:firstLine="709"/>
        <w:jc w:val="both"/>
        <w:rPr>
          <w:rFonts w:ascii="Arial" w:hAnsi="Arial" w:cs="Arial"/>
          <w:bCs/>
          <w:color w:val="000000"/>
          <w:sz w:val="22"/>
          <w:szCs w:val="22"/>
          <w:lang w:eastAsia="es-CO"/>
        </w:rPr>
      </w:pPr>
      <w:r w:rsidRPr="008A44D4">
        <w:rPr>
          <w:rFonts w:ascii="Arial" w:hAnsi="Arial" w:cs="Arial"/>
          <w:bCs/>
          <w:color w:val="000000"/>
          <w:sz w:val="22"/>
          <w:szCs w:val="22"/>
          <w:lang w:eastAsia="es-CO"/>
        </w:rPr>
        <w:t>Ese propósito se cumple en nuestro país por medio de la Ley 996 de 2005, denominada Ley de Garantías Electorales, con la cual se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w:t>
      </w:r>
    </w:p>
    <w:p w14:paraId="66968F7D" w14:textId="77777777" w:rsidR="009C571D" w:rsidRPr="008A44D4" w:rsidRDefault="009C571D" w:rsidP="009C571D">
      <w:pPr>
        <w:tabs>
          <w:tab w:val="left" w:pos="426"/>
        </w:tabs>
        <w:spacing w:before="120" w:after="120" w:line="276" w:lineRule="auto"/>
        <w:ind w:firstLine="709"/>
        <w:jc w:val="both"/>
        <w:rPr>
          <w:rFonts w:ascii="Arial" w:hAnsi="Arial" w:cs="Arial"/>
          <w:bCs/>
          <w:color w:val="000000" w:themeColor="text1"/>
          <w:sz w:val="22"/>
          <w:szCs w:val="22"/>
          <w:lang w:eastAsia="es-ES_tradnl"/>
        </w:rPr>
      </w:pPr>
      <w:r w:rsidRPr="008A44D4">
        <w:rPr>
          <w:rFonts w:ascii="Arial" w:hAnsi="Arial" w:cs="Arial"/>
          <w:bCs/>
          <w:color w:val="000000" w:themeColor="text1"/>
          <w:sz w:val="22"/>
          <w:szCs w:val="22"/>
          <w:lang w:eastAsia="es-ES_tradnl"/>
        </w:rPr>
        <w:t xml:space="preserve">Así las cosas, las garantías buscadas a través de este marco normativo implican la existencia de restricciones, y conviene tener en cuenta que estas no pueden interpretarse </w:t>
      </w:r>
      <w:r w:rsidRPr="008A44D4">
        <w:rPr>
          <w:rFonts w:ascii="Arial" w:hAnsi="Arial" w:cs="Arial"/>
          <w:bCs/>
          <w:color w:val="000000" w:themeColor="text1"/>
          <w:sz w:val="22"/>
          <w:szCs w:val="22"/>
          <w:lang w:eastAsia="es-ES_tradnl"/>
        </w:rPr>
        <w:lastRenderedPageBreak/>
        <w:t>extensivamente sino en forma restrictiva o estricta</w:t>
      </w:r>
      <w:r w:rsidRPr="008A44D4">
        <w:rPr>
          <w:rStyle w:val="Refdenotaalpie"/>
          <w:rFonts w:ascii="Arial" w:hAnsi="Arial" w:cs="Arial"/>
          <w:bCs/>
          <w:color w:val="000000" w:themeColor="text1"/>
          <w:sz w:val="22"/>
          <w:szCs w:val="22"/>
          <w:lang w:eastAsia="es-ES_tradnl"/>
        </w:rPr>
        <w:footnoteReference w:id="8"/>
      </w:r>
      <w:r w:rsidRPr="008A44D4">
        <w:rPr>
          <w:rFonts w:ascii="Arial" w:hAnsi="Arial" w:cs="Arial"/>
          <w:bCs/>
          <w:color w:val="000000" w:themeColor="text1"/>
          <w:sz w:val="22"/>
          <w:szCs w:val="22"/>
          <w:lang w:eastAsia="es-ES_tradnl"/>
        </w:rPr>
        <w:t>. En ese sentido, es importante analizar las restricciones aplicables frente a las elecciones presidenciales y frente a los comicios a cargos de elección popular.</w:t>
      </w:r>
    </w:p>
    <w:p w14:paraId="390BA2D9" w14:textId="77777777" w:rsidR="009C571D" w:rsidRPr="008A44D4" w:rsidRDefault="009C571D" w:rsidP="009C571D">
      <w:pPr>
        <w:tabs>
          <w:tab w:val="left" w:pos="426"/>
        </w:tabs>
        <w:spacing w:before="120" w:after="120" w:line="276" w:lineRule="auto"/>
        <w:ind w:firstLine="709"/>
        <w:jc w:val="both"/>
        <w:rPr>
          <w:rFonts w:ascii="Arial" w:hAnsi="Arial" w:cs="Arial"/>
          <w:bCs/>
          <w:color w:val="000000" w:themeColor="text1"/>
          <w:sz w:val="22"/>
          <w:szCs w:val="22"/>
          <w:lang w:eastAsia="es-ES_tradnl"/>
        </w:rPr>
      </w:pPr>
      <w:r w:rsidRPr="008A44D4">
        <w:rPr>
          <w:rFonts w:ascii="Arial" w:hAnsi="Arial" w:cs="Arial"/>
          <w:bCs/>
          <w:sz w:val="22"/>
          <w:szCs w:val="22"/>
          <w:lang w:eastAsia="es-CO"/>
        </w:rPr>
        <w:t>En el mismo sentido</w:t>
      </w:r>
      <w:r w:rsidRPr="008A44D4">
        <w:rPr>
          <w:rFonts w:ascii="Arial" w:hAnsi="Arial" w:cs="Arial"/>
          <w:bCs/>
          <w:sz w:val="22"/>
          <w:szCs w:val="22"/>
          <w:lang w:val="es-MX" w:eastAsia="es-CO"/>
        </w:rPr>
        <w:t>,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8A44D4">
        <w:rPr>
          <w:rFonts w:ascii="Arial" w:hAnsi="Arial" w:cs="Arial"/>
          <w:bCs/>
          <w:sz w:val="22"/>
          <w:szCs w:val="22"/>
          <w:vertAlign w:val="superscript"/>
          <w:lang w:val="es-MX" w:eastAsia="es-CO"/>
        </w:rPr>
        <w:footnoteReference w:id="9"/>
      </w:r>
      <w:r w:rsidRPr="008A44D4">
        <w:rPr>
          <w:rFonts w:ascii="Arial" w:hAnsi="Arial" w:cs="Arial"/>
          <w:bCs/>
          <w:sz w:val="22"/>
          <w:szCs w:val="22"/>
          <w:lang w:val="es-MX" w:eastAsia="es-CO"/>
        </w:rPr>
        <w:t>. En esta medida, introduce limitaciones para realizar nombramientos, postulaciones, contrataciones o cualquier otro tipo de actividad que implique destinación de recursos públicos bajo el devenir propio de las entidades estatales.</w:t>
      </w:r>
      <w:r w:rsidRPr="008A44D4">
        <w:rPr>
          <w:rFonts w:ascii="Arial" w:eastAsia="Calibri" w:hAnsi="Arial" w:cs="Arial"/>
          <w:noProof/>
          <w:sz w:val="22"/>
          <w:szCs w:val="22"/>
          <w:lang w:val="es-ES_tradnl"/>
        </w:rPr>
        <w:t xml:space="preserve"> </w:t>
      </w:r>
      <w:r w:rsidRPr="008A44D4">
        <w:rPr>
          <w:rFonts w:ascii="Arial" w:hAnsi="Arial" w:cs="Arial"/>
          <w:bCs/>
          <w:sz w:val="22"/>
          <w:szCs w:val="22"/>
          <w:lang w:val="es-MX" w:eastAsia="es-CO"/>
        </w:rPr>
        <w:t>En armonía con lo anterior, la Corte Constitucional ha abordado la definición de la Ley de Garantías Electorales. De esta manera, explica que tiene como propósito:</w:t>
      </w:r>
    </w:p>
    <w:p w14:paraId="0E734304" w14:textId="77777777" w:rsidR="009C571D" w:rsidRPr="008A44D4" w:rsidRDefault="009C571D" w:rsidP="009C571D">
      <w:pPr>
        <w:ind w:right="709"/>
        <w:jc w:val="both"/>
        <w:rPr>
          <w:rFonts w:ascii="Arial" w:hAnsi="Arial" w:cs="Arial"/>
          <w:sz w:val="21"/>
          <w:szCs w:val="21"/>
          <w:lang w:val="es-ES" w:eastAsia="es-CO"/>
        </w:rPr>
      </w:pPr>
    </w:p>
    <w:p w14:paraId="76DE9E4E" w14:textId="77777777" w:rsidR="009C571D" w:rsidRPr="008A44D4" w:rsidRDefault="009C571D" w:rsidP="009C571D">
      <w:pPr>
        <w:ind w:left="709" w:right="709"/>
        <w:jc w:val="both"/>
        <w:rPr>
          <w:rFonts w:ascii="Arial" w:hAnsi="Arial" w:cs="Arial"/>
          <w:bCs/>
          <w:sz w:val="21"/>
          <w:szCs w:val="21"/>
          <w:lang w:val="es-MX" w:eastAsia="es-CO"/>
        </w:rPr>
      </w:pPr>
      <w:r w:rsidRPr="008A44D4">
        <w:rPr>
          <w:rFonts w:ascii="Arial" w:eastAsia="Calibri" w:hAnsi="Arial" w:cs="Arial"/>
          <w:sz w:val="21"/>
          <w:szCs w:val="21"/>
          <w:lang w:val="es-ES"/>
        </w:rPr>
        <w:t>«</w:t>
      </w:r>
      <w:r w:rsidRPr="008A44D4">
        <w:rPr>
          <w:rFonts w:ascii="Arial" w:hAnsi="Arial" w:cs="Arial"/>
          <w:sz w:val="21"/>
          <w:szCs w:val="21"/>
          <w:lang w:val="es-ES" w:eastAsia="es-CO"/>
        </w:rPr>
        <w:t xml:space="preserve">[…] </w:t>
      </w:r>
      <w:r w:rsidRPr="008A44D4">
        <w:rPr>
          <w:rFonts w:ascii="Arial" w:hAnsi="Arial" w:cs="Arial"/>
          <w:bCs/>
          <w:sz w:val="21"/>
          <w:szCs w:val="21"/>
          <w:lang w:val="es-MX" w:eastAsia="es-CO"/>
        </w:rPr>
        <w:t>la definición de reglas claras que permitan acceder a los canales de expresión democrática de manera efectiva e igualitaria. El objetivo de una ley de garantías es definir esas reglas.</w:t>
      </w:r>
    </w:p>
    <w:p w14:paraId="556C1CD5" w14:textId="77777777" w:rsidR="009C571D" w:rsidRPr="008A44D4" w:rsidRDefault="009C571D" w:rsidP="009C571D">
      <w:pPr>
        <w:spacing w:after="120"/>
        <w:ind w:left="709" w:right="709"/>
        <w:jc w:val="both"/>
        <w:rPr>
          <w:rFonts w:ascii="Arial" w:hAnsi="Arial" w:cs="Arial"/>
          <w:bCs/>
          <w:sz w:val="21"/>
          <w:szCs w:val="21"/>
          <w:lang w:val="es-MX" w:eastAsia="es-CO"/>
        </w:rPr>
      </w:pPr>
      <w:r w:rsidRPr="008A44D4">
        <w:rPr>
          <w:rFonts w:ascii="Arial" w:hAnsi="Arial" w:cs="Arial"/>
          <w:bCs/>
          <w:sz w:val="21"/>
          <w:szCs w:val="21"/>
          <w:lang w:val="es-MX" w:eastAsia="es-CO"/>
        </w:rPr>
        <w:t xml:space="preserve">[…] </w:t>
      </w:r>
    </w:p>
    <w:p w14:paraId="2F9AF304" w14:textId="77777777" w:rsidR="009C571D" w:rsidRPr="008A44D4" w:rsidRDefault="009C571D" w:rsidP="009C571D">
      <w:pPr>
        <w:ind w:left="709" w:right="709"/>
        <w:jc w:val="both"/>
        <w:rPr>
          <w:rFonts w:ascii="Arial" w:hAnsi="Arial" w:cs="Arial"/>
          <w:bCs/>
          <w:sz w:val="21"/>
          <w:szCs w:val="21"/>
          <w:lang w:val="es-MX" w:eastAsia="es-CO"/>
        </w:rPr>
      </w:pPr>
      <w:r w:rsidRPr="008A44D4">
        <w:rPr>
          <w:rFonts w:ascii="Arial" w:hAnsi="Arial" w:cs="Arial"/>
          <w:bCs/>
          <w:sz w:val="21"/>
          <w:szCs w:val="21"/>
          <w:lang w:val="es-MX"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8A44D4">
        <w:rPr>
          <w:rFonts w:ascii="Arial" w:hAnsi="Arial" w:cs="Arial"/>
          <w:sz w:val="21"/>
          <w:szCs w:val="21"/>
          <w:lang w:val="es-ES"/>
        </w:rPr>
        <w:t>»</w:t>
      </w:r>
      <w:r w:rsidRPr="008A44D4">
        <w:rPr>
          <w:rFonts w:ascii="Arial" w:hAnsi="Arial" w:cs="Arial"/>
          <w:sz w:val="20"/>
          <w:szCs w:val="20"/>
          <w:vertAlign w:val="superscript"/>
          <w:lang w:val="es-MX"/>
        </w:rPr>
        <w:footnoteReference w:id="10"/>
      </w:r>
    </w:p>
    <w:p w14:paraId="6669BFE9" w14:textId="77777777" w:rsidR="009C571D" w:rsidRPr="008A44D4" w:rsidRDefault="009C571D" w:rsidP="009C571D">
      <w:pPr>
        <w:spacing w:line="276" w:lineRule="auto"/>
        <w:ind w:left="709" w:right="709"/>
        <w:jc w:val="both"/>
        <w:rPr>
          <w:rFonts w:ascii="Arial" w:hAnsi="Arial" w:cs="Arial"/>
          <w:bCs/>
          <w:sz w:val="21"/>
          <w:szCs w:val="21"/>
          <w:lang w:val="es-MX" w:eastAsia="es-CO"/>
        </w:rPr>
      </w:pPr>
    </w:p>
    <w:p w14:paraId="01F43739" w14:textId="77777777" w:rsidR="009C571D" w:rsidRPr="008A44D4" w:rsidRDefault="009C571D" w:rsidP="009C571D">
      <w:pPr>
        <w:spacing w:line="276" w:lineRule="auto"/>
        <w:ind w:firstLine="709"/>
        <w:jc w:val="both"/>
        <w:rPr>
          <w:rFonts w:ascii="Arial" w:hAnsi="Arial" w:cs="Arial"/>
          <w:bCs/>
          <w:sz w:val="22"/>
          <w:szCs w:val="22"/>
          <w:lang w:val="es-MX" w:eastAsia="es-CO"/>
        </w:rPr>
      </w:pPr>
      <w:r w:rsidRPr="008A44D4">
        <w:rPr>
          <w:rFonts w:ascii="Arial" w:hAnsi="Arial" w:cs="Arial"/>
          <w:bCs/>
          <w:sz w:val="22"/>
          <w:szCs w:val="22"/>
          <w:lang w:val="es-MX" w:eastAsia="es-CO"/>
        </w:rPr>
        <w:lastRenderedPageBreak/>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10F73690" w14:textId="77777777" w:rsidR="009C571D" w:rsidRPr="008A44D4" w:rsidRDefault="009C571D" w:rsidP="009C571D">
      <w:pPr>
        <w:spacing w:line="276" w:lineRule="auto"/>
        <w:ind w:firstLine="709"/>
        <w:jc w:val="both"/>
        <w:rPr>
          <w:rFonts w:ascii="Arial" w:hAnsi="Arial" w:cs="Arial"/>
          <w:bCs/>
          <w:sz w:val="22"/>
          <w:szCs w:val="22"/>
          <w:lang w:val="es-MX" w:eastAsia="es-CO"/>
        </w:rPr>
      </w:pPr>
    </w:p>
    <w:p w14:paraId="76F4F646" w14:textId="77777777" w:rsidR="009C571D" w:rsidRPr="008A44D4" w:rsidRDefault="009C571D" w:rsidP="009C571D">
      <w:pPr>
        <w:spacing w:after="120"/>
        <w:ind w:left="709" w:right="709"/>
        <w:jc w:val="both"/>
        <w:rPr>
          <w:rFonts w:ascii="Arial" w:hAnsi="Arial" w:cs="Arial"/>
          <w:bCs/>
          <w:sz w:val="21"/>
          <w:szCs w:val="21"/>
          <w:lang w:val="es-MX" w:eastAsia="es-CO"/>
        </w:rPr>
      </w:pPr>
      <w:r w:rsidRPr="008A44D4">
        <w:rPr>
          <w:rFonts w:ascii="Arial" w:eastAsia="Calibri" w:hAnsi="Arial" w:cs="Arial"/>
          <w:sz w:val="21"/>
          <w:szCs w:val="21"/>
          <w:lang w:val="es-ES"/>
        </w:rPr>
        <w:t>«</w:t>
      </w:r>
      <w:r w:rsidRPr="008A44D4">
        <w:rPr>
          <w:rFonts w:ascii="Arial" w:hAnsi="Arial" w:cs="Arial"/>
          <w:bCs/>
          <w:sz w:val="21"/>
          <w:szCs w:val="21"/>
          <w:lang w:val="es-MX" w:eastAsia="es-CO"/>
        </w:rPr>
        <w:t>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2E98C29B" w14:textId="77777777" w:rsidR="009C571D" w:rsidRPr="008A44D4" w:rsidRDefault="009C571D" w:rsidP="009C571D">
      <w:pPr>
        <w:ind w:left="709" w:right="709"/>
        <w:jc w:val="both"/>
        <w:rPr>
          <w:rFonts w:ascii="Arial" w:hAnsi="Arial" w:cs="Arial"/>
          <w:bCs/>
          <w:sz w:val="21"/>
          <w:szCs w:val="21"/>
          <w:lang w:val="es-MX" w:eastAsia="es-CO"/>
        </w:rPr>
      </w:pPr>
      <w:r w:rsidRPr="008A44D4">
        <w:rPr>
          <w:rFonts w:ascii="Arial" w:hAnsi="Arial" w:cs="Arial"/>
          <w:bCs/>
          <w:sz w:val="21"/>
          <w:szCs w:val="21"/>
          <w:lang w:val="es-MX" w:eastAsia="es-CO"/>
        </w:rPr>
        <w:t>La jurisprudencia de la Corte Constitucional</w:t>
      </w:r>
      <w:r w:rsidRPr="008A44D4">
        <w:rPr>
          <w:rFonts w:ascii="Arial" w:hAnsi="Arial" w:cs="Arial"/>
          <w:bCs/>
          <w:sz w:val="21"/>
          <w:szCs w:val="21"/>
          <w:vertAlign w:val="superscript"/>
          <w:lang w:val="es-MX" w:eastAsia="es-CO"/>
        </w:rPr>
        <w:footnoteReference w:id="11"/>
      </w:r>
      <w:r w:rsidRPr="008A44D4">
        <w:rPr>
          <w:rFonts w:ascii="Arial" w:hAnsi="Arial" w:cs="Arial"/>
          <w:bCs/>
          <w:sz w:val="21"/>
          <w:szCs w:val="21"/>
          <w:lang w:val="es-MX" w:eastAsia="es-CO"/>
        </w:rPr>
        <w:t> y del Consejo de Estado</w:t>
      </w:r>
      <w:r w:rsidRPr="008A44D4">
        <w:rPr>
          <w:rFonts w:ascii="Arial" w:hAnsi="Arial" w:cs="Arial"/>
          <w:bCs/>
          <w:sz w:val="21"/>
          <w:szCs w:val="21"/>
          <w:vertAlign w:val="superscript"/>
          <w:lang w:val="es-MX" w:eastAsia="es-CO"/>
        </w:rPr>
        <w:footnoteReference w:id="12"/>
      </w:r>
      <w:r w:rsidRPr="008A44D4">
        <w:rPr>
          <w:rFonts w:ascii="Arial" w:hAnsi="Arial" w:cs="Arial"/>
          <w:bCs/>
          <w:sz w:val="21"/>
          <w:szCs w:val="21"/>
          <w:lang w:val="es-MX"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8A44D4">
        <w:rPr>
          <w:rFonts w:ascii="Arial" w:hAnsi="Arial" w:cs="Arial"/>
          <w:sz w:val="21"/>
          <w:szCs w:val="21"/>
          <w:lang w:val="es-ES"/>
        </w:rPr>
        <w:t>»</w:t>
      </w:r>
      <w:r w:rsidRPr="008A44D4">
        <w:rPr>
          <w:rFonts w:ascii="Arial" w:hAnsi="Arial" w:cs="Arial"/>
          <w:bCs/>
          <w:sz w:val="22"/>
          <w:szCs w:val="22"/>
          <w:vertAlign w:val="superscript"/>
          <w:lang w:val="es-MX" w:eastAsia="es-CO"/>
        </w:rPr>
        <w:footnoteReference w:id="13"/>
      </w:r>
    </w:p>
    <w:p w14:paraId="356E92CB" w14:textId="77777777" w:rsidR="009C571D" w:rsidRPr="008A44D4" w:rsidRDefault="009C571D" w:rsidP="009C571D">
      <w:pPr>
        <w:spacing w:line="276" w:lineRule="auto"/>
        <w:ind w:right="709"/>
        <w:jc w:val="both"/>
        <w:rPr>
          <w:rFonts w:ascii="Arial" w:hAnsi="Arial" w:cs="Arial"/>
          <w:bCs/>
          <w:sz w:val="22"/>
          <w:szCs w:val="22"/>
          <w:lang w:val="es-MX" w:eastAsia="es-CO"/>
        </w:rPr>
      </w:pPr>
    </w:p>
    <w:p w14:paraId="6E025175" w14:textId="77777777" w:rsidR="009C571D" w:rsidRPr="008A44D4" w:rsidRDefault="009C571D" w:rsidP="009C571D">
      <w:pPr>
        <w:spacing w:after="120" w:line="276" w:lineRule="auto"/>
        <w:jc w:val="both"/>
        <w:rPr>
          <w:rFonts w:ascii="Arial" w:eastAsia="Arial" w:hAnsi="Arial" w:cs="Arial"/>
          <w:sz w:val="22"/>
          <w:szCs w:val="22"/>
          <w:lang w:val="es-ES" w:eastAsia="es-ES" w:bidi="es-ES"/>
        </w:rPr>
      </w:pPr>
      <w:r w:rsidRPr="008A44D4">
        <w:rPr>
          <w:rFonts w:ascii="Arial" w:hAnsi="Arial" w:cs="Arial"/>
          <w:bCs/>
          <w:sz w:val="22"/>
          <w:szCs w:val="22"/>
          <w:lang w:val="es-MX" w:eastAsia="es-CO"/>
        </w:rPr>
        <w:tab/>
        <w:t>De</w:t>
      </w:r>
      <w:r w:rsidRPr="008A44D4">
        <w:rPr>
          <w:rFonts w:ascii="Arial" w:eastAsia="Arial" w:hAnsi="Arial" w:cs="Arial"/>
          <w:sz w:val="22"/>
          <w:szCs w:val="22"/>
          <w:lang w:val="es-ES" w:eastAsia="es-ES" w:bidi="es-ES"/>
        </w:rPr>
        <w:t xml:space="preserve"> conformidad con lo anterior, 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w:t>
      </w:r>
      <w:r w:rsidRPr="008A44D4">
        <w:rPr>
          <w:rFonts w:ascii="Arial" w:eastAsia="Arial" w:hAnsi="Arial" w:cs="Arial"/>
          <w:sz w:val="22"/>
          <w:szCs w:val="22"/>
          <w:lang w:val="es-ES" w:eastAsia="es-ES" w:bidi="es-ES"/>
        </w:rPr>
        <w:lastRenderedPageBreak/>
        <w:t>en los períodos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p>
    <w:p w14:paraId="69FBDBEE" w14:textId="77777777" w:rsidR="009C571D" w:rsidRPr="008A44D4" w:rsidRDefault="009C571D" w:rsidP="009C571D">
      <w:pPr>
        <w:spacing w:after="120" w:line="276" w:lineRule="auto"/>
        <w:ind w:firstLine="708"/>
        <w:jc w:val="both"/>
        <w:rPr>
          <w:rFonts w:ascii="Arial" w:eastAsia="Calibri" w:hAnsi="Arial" w:cs="Arial"/>
          <w:sz w:val="22"/>
          <w:szCs w:val="22"/>
        </w:rPr>
      </w:pPr>
      <w:r w:rsidRPr="008A44D4">
        <w:rPr>
          <w:rFonts w:ascii="Arial" w:eastAsia="Calibri" w:hAnsi="Arial" w:cs="Arial"/>
          <w:sz w:val="22"/>
          <w:szCs w:val="22"/>
        </w:rPr>
        <w:t xml:space="preserve">Por un lado, el artículo 33 de la Ley 996 de 2005 prohíbe </w:t>
      </w:r>
      <w:r w:rsidRPr="008A44D4">
        <w:rPr>
          <w:rFonts w:ascii="Arial" w:eastAsia="Calibri" w:hAnsi="Arial" w:cs="Arial"/>
          <w:bCs/>
          <w:sz w:val="22"/>
          <w:szCs w:val="22"/>
        </w:rPr>
        <w:t xml:space="preserve">«[…] </w:t>
      </w:r>
      <w:r w:rsidRPr="008A44D4">
        <w:rPr>
          <w:rFonts w:ascii="Arial" w:eastAsia="Calibri" w:hAnsi="Arial" w:cs="Arial"/>
          <w:sz w:val="22"/>
          <w:szCs w:val="22"/>
        </w:rPr>
        <w:t>la contratación directa por parte de todos los entes del Estado</w:t>
      </w:r>
      <w:r w:rsidRPr="008A44D4">
        <w:rPr>
          <w:rFonts w:ascii="Arial" w:eastAsia="Calibri" w:hAnsi="Arial" w:cs="Arial"/>
          <w:bCs/>
          <w:sz w:val="22"/>
          <w:szCs w:val="22"/>
        </w:rPr>
        <w:t>»</w:t>
      </w:r>
      <w:r w:rsidRPr="008A44D4">
        <w:rPr>
          <w:rFonts w:ascii="Arial" w:eastAsia="Calibri" w:hAnsi="Arial" w:cs="Arial"/>
          <w:sz w:val="22"/>
          <w:szCs w:val="22"/>
        </w:rPr>
        <w:t xml:space="preserve"> durante los cuatro (4) meses anteriores a las elecciones presidenciales, salvo </w:t>
      </w:r>
      <w:r w:rsidRPr="008A44D4">
        <w:rPr>
          <w:rFonts w:ascii="Arial" w:eastAsia="Calibri" w:hAnsi="Arial" w:cs="Arial"/>
          <w:bCs/>
          <w:sz w:val="22"/>
          <w:szCs w:val="22"/>
        </w:rPr>
        <w:t xml:space="preserve">«[…] </w:t>
      </w:r>
      <w:r w:rsidRPr="008A44D4">
        <w:rPr>
          <w:rFonts w:ascii="Arial" w:eastAsia="Calibri" w:hAnsi="Arial" w:cs="Arial"/>
          <w:sz w:val="22"/>
          <w:szCs w:val="22"/>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8A44D4">
        <w:rPr>
          <w:rFonts w:ascii="Arial" w:eastAsia="Calibri" w:hAnsi="Arial" w:cs="Arial"/>
          <w:bCs/>
          <w:sz w:val="22"/>
          <w:szCs w:val="22"/>
        </w:rPr>
        <w:t>»</w:t>
      </w:r>
      <w:r w:rsidRPr="008A44D4">
        <w:rPr>
          <w:rFonts w:ascii="Arial" w:eastAsia="Calibri" w:hAnsi="Arial" w:cs="Arial"/>
          <w:bCs/>
          <w:sz w:val="22"/>
          <w:szCs w:val="22"/>
          <w:vertAlign w:val="superscript"/>
        </w:rPr>
        <w:footnoteReference w:id="14"/>
      </w:r>
      <w:r w:rsidRPr="008A44D4">
        <w:rPr>
          <w:rFonts w:ascii="Arial" w:eastAsia="Calibri" w:hAnsi="Arial" w:cs="Arial"/>
          <w:sz w:val="22"/>
          <w:szCs w:val="22"/>
        </w:rPr>
        <w:t>.</w:t>
      </w:r>
    </w:p>
    <w:p w14:paraId="7E311EFC" w14:textId="77777777" w:rsidR="009C571D" w:rsidRPr="008A44D4" w:rsidRDefault="009C571D" w:rsidP="009C571D">
      <w:pPr>
        <w:widowControl w:val="0"/>
        <w:autoSpaceDE w:val="0"/>
        <w:autoSpaceDN w:val="0"/>
        <w:spacing w:line="276" w:lineRule="auto"/>
        <w:ind w:right="113" w:firstLine="708"/>
        <w:jc w:val="both"/>
        <w:rPr>
          <w:rFonts w:ascii="Arial" w:eastAsia="Arial" w:hAnsi="Arial" w:cs="Arial"/>
          <w:sz w:val="22"/>
          <w:szCs w:val="22"/>
          <w:lang w:val="es-ES" w:eastAsia="es-ES" w:bidi="es-ES"/>
        </w:rPr>
      </w:pPr>
      <w:r w:rsidRPr="008A44D4">
        <w:rPr>
          <w:rFonts w:ascii="Arial" w:eastAsia="Calibri" w:hAnsi="Arial" w:cs="Arial"/>
          <w:sz w:val="22"/>
          <w:szCs w:val="22"/>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8A44D4">
        <w:rPr>
          <w:rFonts w:ascii="Arial" w:eastAsia="Calibri" w:hAnsi="Arial" w:cs="Arial"/>
          <w:bCs/>
          <w:sz w:val="22"/>
          <w:szCs w:val="22"/>
        </w:rPr>
        <w:t xml:space="preserve">«[…] </w:t>
      </w:r>
      <w:r w:rsidRPr="008A44D4">
        <w:rPr>
          <w:rFonts w:ascii="Arial" w:eastAsia="Calibri" w:hAnsi="Arial" w:cs="Arial"/>
          <w:sz w:val="22"/>
          <w:szCs w:val="22"/>
          <w:lang w:val="es-MX"/>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8A44D4">
        <w:rPr>
          <w:rFonts w:ascii="Arial" w:eastAsia="Calibri" w:hAnsi="Arial" w:cs="Arial"/>
          <w:bCs/>
          <w:sz w:val="19"/>
          <w:szCs w:val="19"/>
        </w:rPr>
        <w:t>»</w:t>
      </w:r>
      <w:r w:rsidRPr="008A44D4">
        <w:rPr>
          <w:rFonts w:ascii="Arial" w:eastAsia="Calibri" w:hAnsi="Arial" w:cs="Arial"/>
          <w:bCs/>
          <w:sz w:val="19"/>
          <w:szCs w:val="19"/>
          <w:vertAlign w:val="superscript"/>
        </w:rPr>
        <w:footnoteReference w:id="15"/>
      </w:r>
      <w:r w:rsidRPr="008A44D4">
        <w:rPr>
          <w:rFonts w:ascii="Arial" w:eastAsia="Calibri" w:hAnsi="Arial" w:cs="Arial"/>
          <w:sz w:val="22"/>
          <w:szCs w:val="22"/>
          <w:lang w:val="es-MX"/>
        </w:rPr>
        <w:t>.</w:t>
      </w:r>
      <w:r w:rsidRPr="008A44D4">
        <w:rPr>
          <w:rFonts w:ascii="Arial" w:eastAsia="Arial" w:hAnsi="Arial" w:cs="Arial"/>
          <w:sz w:val="22"/>
          <w:szCs w:val="22"/>
          <w:lang w:val="es-ES"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3D7EAE78" w14:textId="77777777" w:rsidR="009C571D" w:rsidRPr="008A44D4" w:rsidRDefault="009C571D" w:rsidP="009C571D">
      <w:pPr>
        <w:widowControl w:val="0"/>
        <w:autoSpaceDE w:val="0"/>
        <w:autoSpaceDN w:val="0"/>
        <w:ind w:left="805" w:right="812"/>
        <w:jc w:val="both"/>
        <w:rPr>
          <w:rFonts w:ascii="Arial" w:eastAsia="Arial" w:hAnsi="Arial" w:cs="Arial"/>
          <w:sz w:val="22"/>
          <w:szCs w:val="22"/>
          <w:lang w:val="es-ES" w:eastAsia="es-ES" w:bidi="es-ES"/>
        </w:rPr>
      </w:pPr>
    </w:p>
    <w:p w14:paraId="3FF8146D" w14:textId="77777777" w:rsidR="009C571D" w:rsidRPr="008A44D4" w:rsidRDefault="009C571D" w:rsidP="009C571D">
      <w:pPr>
        <w:widowControl w:val="0"/>
        <w:autoSpaceDE w:val="0"/>
        <w:autoSpaceDN w:val="0"/>
        <w:ind w:left="709" w:right="709"/>
        <w:jc w:val="both"/>
        <w:rPr>
          <w:rFonts w:ascii="Arial" w:eastAsia="Arial" w:hAnsi="Arial" w:cs="Arial"/>
          <w:sz w:val="21"/>
          <w:szCs w:val="21"/>
          <w:lang w:val="es-ES" w:eastAsia="es-ES" w:bidi="es-ES"/>
        </w:rPr>
      </w:pPr>
      <w:r w:rsidRPr="008A44D4">
        <w:rPr>
          <w:rFonts w:ascii="Arial" w:eastAsia="Calibri" w:hAnsi="Arial" w:cs="Arial"/>
          <w:sz w:val="21"/>
          <w:szCs w:val="21"/>
          <w:lang w:val="es-ES"/>
        </w:rPr>
        <w:lastRenderedPageBreak/>
        <w:t>«</w:t>
      </w:r>
      <w:r w:rsidRPr="008A44D4">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períodos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se integran parcialmente,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8A44D4">
        <w:rPr>
          <w:rFonts w:ascii="Arial" w:eastAsia="Arial" w:hAnsi="Arial" w:cs="Arial"/>
          <w:bCs/>
          <w:sz w:val="21"/>
          <w:szCs w:val="21"/>
          <w:lang w:val="es-ES" w:eastAsia="es-ES" w:bidi="es-ES"/>
        </w:rPr>
        <w:t>En cambio, para elecciones en general, excluyendo las correspondientes a Presidente de la República, a las autoridades territoriales allí mencionadas sólo se aplican las restricciones contenidas en el parágrafo del artículo 38.</w:t>
      </w:r>
      <w:r w:rsidRPr="008A44D4">
        <w:rPr>
          <w:rFonts w:ascii="Arial" w:hAnsi="Arial" w:cs="Arial"/>
          <w:sz w:val="21"/>
          <w:szCs w:val="21"/>
          <w:lang w:val="es-ES"/>
        </w:rPr>
        <w:t>»</w:t>
      </w:r>
      <w:r w:rsidRPr="008A44D4">
        <w:rPr>
          <w:rFonts w:ascii="Arial" w:eastAsia="Arial" w:hAnsi="Arial" w:cs="Arial"/>
          <w:sz w:val="21"/>
          <w:szCs w:val="21"/>
          <w:vertAlign w:val="superscript"/>
          <w:lang w:val="es-ES" w:eastAsia="es-ES" w:bidi="es-ES"/>
        </w:rPr>
        <w:footnoteReference w:id="16"/>
      </w:r>
    </w:p>
    <w:p w14:paraId="2B34637B" w14:textId="77777777" w:rsidR="009C571D" w:rsidRPr="008A44D4" w:rsidRDefault="009C571D" w:rsidP="009C571D">
      <w:pPr>
        <w:widowControl w:val="0"/>
        <w:autoSpaceDE w:val="0"/>
        <w:autoSpaceDN w:val="0"/>
        <w:spacing w:before="8"/>
        <w:rPr>
          <w:rFonts w:ascii="Arial" w:eastAsia="Arial" w:hAnsi="Arial" w:cs="Arial"/>
          <w:sz w:val="26"/>
          <w:szCs w:val="22"/>
          <w:lang w:val="es-ES" w:eastAsia="es-ES" w:bidi="es-ES"/>
        </w:rPr>
      </w:pPr>
    </w:p>
    <w:p w14:paraId="13D91CE9" w14:textId="77777777" w:rsidR="009C571D" w:rsidRPr="008A44D4" w:rsidRDefault="009C571D" w:rsidP="009C571D">
      <w:pPr>
        <w:spacing w:after="120" w:line="276" w:lineRule="auto"/>
        <w:ind w:firstLine="709"/>
        <w:jc w:val="both"/>
        <w:rPr>
          <w:rFonts w:ascii="Arial" w:eastAsia="Arial" w:hAnsi="Arial" w:cs="Arial"/>
          <w:sz w:val="22"/>
          <w:szCs w:val="22"/>
          <w:lang w:val="es-ES" w:eastAsia="es-ES" w:bidi="es-ES"/>
        </w:rPr>
      </w:pPr>
      <w:r w:rsidRPr="008A44D4">
        <w:rPr>
          <w:rFonts w:ascii="Arial" w:eastAsia="Arial" w:hAnsi="Arial" w:cs="Arial"/>
          <w:sz w:val="22"/>
          <w:szCs w:val="22"/>
          <w:lang w:val="es-ES" w:eastAsia="es-ES" w:bidi="es-ES"/>
        </w:rPr>
        <w:t xml:space="preserve">De conformidad con lo anterior, la Ley 996 de 2005 establece dos (2) tipos de restricciones en materia de contratación, las cuales coinciden parcialmente. </w:t>
      </w:r>
      <w:r w:rsidRPr="008A44D4">
        <w:rPr>
          <w:rFonts w:ascii="Arial" w:eastAsia="Arial" w:hAnsi="Arial" w:cs="Arial"/>
          <w:i/>
          <w:iCs/>
          <w:sz w:val="22"/>
          <w:szCs w:val="22"/>
          <w:lang w:val="es-ES" w:eastAsia="es-ES" w:bidi="es-ES"/>
        </w:rPr>
        <w:t>En primer lugar</w:t>
      </w:r>
      <w:r w:rsidRPr="008A44D4">
        <w:rPr>
          <w:rFonts w:ascii="Arial" w:eastAsia="Arial" w:hAnsi="Arial" w:cs="Arial"/>
          <w:sz w:val="22"/>
          <w:szCs w:val="22"/>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8A44D4">
        <w:rPr>
          <w:rFonts w:ascii="Arial" w:eastAsia="Arial" w:hAnsi="Arial" w:cs="Arial"/>
          <w:i/>
          <w:iCs/>
          <w:sz w:val="22"/>
          <w:szCs w:val="22"/>
          <w:lang w:val="es-ES" w:eastAsia="es-ES" w:bidi="es-ES"/>
        </w:rPr>
        <w:t>En segundo lugar</w:t>
      </w:r>
      <w:r w:rsidRPr="008A44D4">
        <w:rPr>
          <w:rFonts w:ascii="Arial" w:eastAsia="Arial" w:hAnsi="Arial" w:cs="Arial"/>
          <w:sz w:val="22"/>
          <w:szCs w:val="22"/>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0B36C51B" w14:textId="77777777" w:rsidR="009C571D" w:rsidRPr="008A44D4" w:rsidRDefault="009C571D" w:rsidP="009C571D">
      <w:pPr>
        <w:spacing w:after="120" w:line="276" w:lineRule="auto"/>
        <w:ind w:firstLine="709"/>
        <w:jc w:val="both"/>
        <w:rPr>
          <w:rFonts w:ascii="Arial" w:eastAsia="Arial" w:hAnsi="Arial" w:cs="Arial"/>
          <w:sz w:val="22"/>
          <w:szCs w:val="22"/>
          <w:lang w:val="es-ES" w:eastAsia="es-ES" w:bidi="es-ES"/>
        </w:rPr>
      </w:pPr>
      <w:r w:rsidRPr="008A44D4">
        <w:rPr>
          <w:rFonts w:ascii="Arial" w:eastAsia="Arial" w:hAnsi="Arial" w:cs="Arial"/>
          <w:sz w:val="22"/>
          <w:szCs w:val="22"/>
          <w:lang w:val="es-ES" w:eastAsia="es-ES" w:bidi="es-ES"/>
        </w:rPr>
        <w:t>Ambas restricciones no son excluyentes, lo que permite concluir que en el período preelectoral para elección de Presidente de la República, a todos los entes del Estado, incluidos los territoriales, aplican las restricciones del artículo 33 con sus excepciones, así como las del parágrafo del artículo 38. En cambio, tratándose de elecciones en general, excluyendo las correspondientes al Presidente de la República, las autoridades allí mencionadas sólo deben aplicar las restricciones contenidas en el parágrafo del artículo 38.</w:t>
      </w:r>
    </w:p>
    <w:p w14:paraId="4F344199" w14:textId="77777777" w:rsidR="009C571D" w:rsidRPr="008A44D4" w:rsidRDefault="009C571D" w:rsidP="009C571D">
      <w:pPr>
        <w:spacing w:before="120" w:after="120" w:line="276" w:lineRule="auto"/>
        <w:ind w:firstLine="709"/>
        <w:jc w:val="both"/>
        <w:rPr>
          <w:rFonts w:ascii="Arial" w:eastAsia="Arial" w:hAnsi="Arial" w:cs="Arial"/>
          <w:sz w:val="22"/>
          <w:szCs w:val="22"/>
          <w:lang w:val="es-ES" w:eastAsia="es-ES" w:bidi="es-ES"/>
        </w:rPr>
      </w:pPr>
      <w:r w:rsidRPr="008A44D4">
        <w:rPr>
          <w:rFonts w:ascii="Arial" w:eastAsia="Arial" w:hAnsi="Arial" w:cs="Arial"/>
          <w:sz w:val="22"/>
          <w:szCs w:val="22"/>
          <w:lang w:val="es-ES" w:eastAsia="es-ES" w:bidi="es-ES"/>
        </w:rPr>
        <w:t xml:space="preserve">La Corte Constitucional, en la Sentencia C-1153 del 11 de noviembre de 2005, señaló que, para que la garantía sea plena, era necesario que la prohibición se aplicara para el Presidente o el Vicepresidente desde que éstos –estando en ejercicio de su cargo– </w:t>
      </w:r>
      <w:r w:rsidRPr="008A44D4">
        <w:rPr>
          <w:rFonts w:ascii="Arial" w:eastAsia="Arial" w:hAnsi="Arial" w:cs="Arial"/>
          <w:sz w:val="22"/>
          <w:szCs w:val="22"/>
          <w:lang w:val="es-ES" w:eastAsia="es-ES" w:bidi="es-ES"/>
        </w:rPr>
        <w:lastRenderedPageBreak/>
        <w:t xml:space="preserve">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0F34111B" w14:textId="77777777" w:rsidR="009C571D" w:rsidRPr="008A44D4" w:rsidRDefault="009C571D" w:rsidP="009C571D">
      <w:pPr>
        <w:jc w:val="both"/>
        <w:rPr>
          <w:rFonts w:ascii="Arial" w:hAnsi="Arial" w:cs="Arial"/>
          <w:bCs/>
          <w:sz w:val="22"/>
          <w:lang w:val="es-ES" w:eastAsia="es-CO"/>
        </w:rPr>
      </w:pPr>
    </w:p>
    <w:p w14:paraId="5B80E577" w14:textId="02C06BAF" w:rsidR="009C571D" w:rsidRPr="008A44D4" w:rsidRDefault="00096E71" w:rsidP="009C571D">
      <w:pPr>
        <w:spacing w:line="276" w:lineRule="auto"/>
        <w:jc w:val="both"/>
        <w:rPr>
          <w:rFonts w:ascii="Arial" w:eastAsia="Calibri" w:hAnsi="Arial" w:cs="Arial"/>
          <w:b/>
          <w:bCs/>
          <w:sz w:val="22"/>
          <w:szCs w:val="22"/>
        </w:rPr>
      </w:pPr>
      <w:r w:rsidRPr="008A44D4">
        <w:rPr>
          <w:rFonts w:ascii="Arial" w:hAnsi="Arial" w:cs="Arial"/>
          <w:b/>
          <w:color w:val="000000" w:themeColor="text1"/>
          <w:sz w:val="22"/>
          <w:szCs w:val="22"/>
          <w:lang w:eastAsia="es-ES_tradnl"/>
        </w:rPr>
        <w:t>2.</w:t>
      </w:r>
      <w:r w:rsidR="009C571D" w:rsidRPr="008A44D4">
        <w:rPr>
          <w:rFonts w:ascii="Arial" w:hAnsi="Arial" w:cs="Arial"/>
          <w:b/>
          <w:color w:val="000000" w:themeColor="text1"/>
          <w:sz w:val="22"/>
          <w:szCs w:val="22"/>
          <w:lang w:eastAsia="es-ES_tradnl"/>
        </w:rPr>
        <w:t>3.</w:t>
      </w:r>
      <w:r w:rsidR="009C571D" w:rsidRPr="008A44D4">
        <w:rPr>
          <w:rFonts w:ascii="Arial" w:eastAsia="Calibri" w:hAnsi="Arial" w:cs="Arial"/>
          <w:b/>
          <w:bCs/>
          <w:sz w:val="22"/>
          <w:szCs w:val="22"/>
        </w:rPr>
        <w:t xml:space="preserve"> Determinación de las restricciones según el tipo de elecciones y excepciones a las mismas</w:t>
      </w:r>
    </w:p>
    <w:p w14:paraId="7AEFE9F5" w14:textId="77777777" w:rsidR="009C571D" w:rsidRPr="008A44D4" w:rsidRDefault="009C571D" w:rsidP="009C571D">
      <w:pPr>
        <w:spacing w:line="276" w:lineRule="auto"/>
        <w:jc w:val="both"/>
        <w:rPr>
          <w:rFonts w:ascii="Arial" w:eastAsia="Calibri" w:hAnsi="Arial" w:cs="Arial"/>
          <w:b/>
          <w:bCs/>
          <w:sz w:val="22"/>
          <w:szCs w:val="22"/>
        </w:rPr>
      </w:pPr>
    </w:p>
    <w:p w14:paraId="60EF5323" w14:textId="77777777" w:rsidR="009C571D" w:rsidRPr="008A44D4" w:rsidRDefault="009C571D" w:rsidP="009C571D">
      <w:pPr>
        <w:spacing w:line="276" w:lineRule="auto"/>
        <w:jc w:val="both"/>
        <w:rPr>
          <w:rFonts w:ascii="Arial" w:hAnsi="Arial" w:cs="Arial"/>
          <w:bCs/>
          <w:color w:val="000000"/>
          <w:sz w:val="22"/>
          <w:szCs w:val="22"/>
          <w:lang w:eastAsia="es-CO"/>
        </w:rPr>
      </w:pPr>
      <w:r w:rsidRPr="008A44D4">
        <w:rPr>
          <w:rFonts w:ascii="Arial" w:hAnsi="Arial" w:cs="Arial"/>
          <w:bCs/>
          <w:color w:val="000000"/>
          <w:sz w:val="22"/>
          <w:szCs w:val="22"/>
          <w:lang w:eastAsia="es-CO"/>
        </w:rPr>
        <w:t>La Ley 996 de 2005 hace referencia a las elecciones presidenciales concretamente y, en forma general, a las que se realizan para acceder a cargos de elección popular. Esta diferenciación ha sido también objeto de análisis por el Consejo de Estado, que ha precisado:</w:t>
      </w:r>
    </w:p>
    <w:p w14:paraId="58555EB9" w14:textId="77777777" w:rsidR="009C571D" w:rsidRPr="008A44D4" w:rsidRDefault="009C571D" w:rsidP="009C571D">
      <w:pPr>
        <w:ind w:firstLine="708"/>
        <w:jc w:val="both"/>
        <w:rPr>
          <w:rFonts w:ascii="Arial" w:hAnsi="Arial" w:cs="Arial"/>
          <w:bCs/>
          <w:color w:val="000000"/>
          <w:sz w:val="22"/>
          <w:szCs w:val="22"/>
          <w:lang w:eastAsia="es-CO"/>
        </w:rPr>
      </w:pPr>
    </w:p>
    <w:p w14:paraId="040D5BE3" w14:textId="05DF1A39" w:rsidR="009C571D" w:rsidRPr="008A44D4" w:rsidRDefault="009C571D" w:rsidP="00B80C75">
      <w:pPr>
        <w:ind w:left="709" w:right="709"/>
        <w:jc w:val="both"/>
        <w:rPr>
          <w:rFonts w:ascii="Arial" w:hAnsi="Arial" w:cs="Arial"/>
          <w:bCs/>
          <w:color w:val="000000"/>
          <w:sz w:val="22"/>
          <w:szCs w:val="22"/>
          <w:lang w:eastAsia="es-CO"/>
        </w:rPr>
      </w:pPr>
      <w:r w:rsidRPr="008A44D4">
        <w:rPr>
          <w:rFonts w:ascii="Arial" w:hAnsi="Arial" w:cs="Arial"/>
          <w:bCs/>
          <w:color w:val="000000"/>
          <w:sz w:val="22"/>
          <w:szCs w:val="22"/>
          <w:lang w:eastAsia="es-CO"/>
        </w:rPr>
        <w:t>[…]La ley 996 de 2005 es el instrumento jurídico garantizador de las condiciones de igualdad y equidad entre los candidatos y en razón de ello, procede su aplicación en todos los procesos electorales para cargos de elección popular, advirtiendo que contiene regulaciones y prohibiciones sobre dos tipos de campañas electorales: la presidencial y las que se adelanten para la provisión de los demás cargos de elección popular nacionales y territoriales […]</w:t>
      </w:r>
      <w:r w:rsidRPr="008A44D4">
        <w:rPr>
          <w:rStyle w:val="Refdenotaalpie"/>
          <w:rFonts w:ascii="Arial" w:hAnsi="Arial" w:cs="Arial"/>
          <w:bCs/>
          <w:color w:val="000000"/>
          <w:sz w:val="22"/>
          <w:szCs w:val="22"/>
          <w:lang w:eastAsia="es-CO"/>
        </w:rPr>
        <w:footnoteReference w:id="17"/>
      </w:r>
    </w:p>
    <w:p w14:paraId="0F8ABDBA" w14:textId="77777777" w:rsidR="009C571D" w:rsidRPr="008A44D4" w:rsidRDefault="009C571D" w:rsidP="009C571D">
      <w:pPr>
        <w:spacing w:before="120" w:line="276" w:lineRule="auto"/>
        <w:ind w:firstLine="708"/>
        <w:jc w:val="both"/>
        <w:rPr>
          <w:rFonts w:ascii="Arial" w:hAnsi="Arial" w:cs="Arial"/>
          <w:bCs/>
          <w:color w:val="000000"/>
          <w:sz w:val="22"/>
          <w:szCs w:val="22"/>
          <w:lang w:eastAsia="es-CO"/>
        </w:rPr>
      </w:pPr>
      <w:r w:rsidRPr="008A44D4">
        <w:rPr>
          <w:rFonts w:ascii="Arial" w:hAnsi="Arial" w:cs="Arial"/>
          <w:bCs/>
          <w:color w:val="000000"/>
          <w:sz w:val="22"/>
          <w:szCs w:val="22"/>
          <w:lang w:eastAsia="es-CO"/>
        </w:rPr>
        <w:t>En cuanto a la restricción especial para las elecciones presidenciales, queda prohibida la contratación directa por parte de todos los entes del Estado, salvo las excepciones legales existentes, tal como lo señala el artículo 33 de la Ley 996 de 2005. A dicha prohibición se suman las previstas para los comicios a cargos de elección popular –incluidas las presidenciales– consagradas en el parágrafo del artículo 38 ibídem. Este precepto establece la prohibición para gobernadores, alcaldes, secretarios, gerentes y directores de entidades de orden municipal, departamental o distrital, para celebrar convenios o contratos interadministrativos para la ejecución de recursos públicos.</w:t>
      </w:r>
    </w:p>
    <w:p w14:paraId="589D4D21" w14:textId="77777777" w:rsidR="009C571D" w:rsidRPr="008A44D4" w:rsidRDefault="009C571D" w:rsidP="009C571D">
      <w:pPr>
        <w:spacing w:before="120" w:after="120" w:line="276" w:lineRule="auto"/>
        <w:ind w:firstLine="709"/>
        <w:jc w:val="both"/>
        <w:rPr>
          <w:rFonts w:ascii="Arial" w:hAnsi="Arial" w:cs="Arial"/>
          <w:bCs/>
          <w:color w:val="000000"/>
          <w:sz w:val="22"/>
          <w:szCs w:val="22"/>
          <w:lang w:eastAsia="es-CO"/>
        </w:rPr>
      </w:pPr>
      <w:r w:rsidRPr="008A44D4">
        <w:rPr>
          <w:rFonts w:ascii="Arial" w:hAnsi="Arial" w:cs="Arial"/>
          <w:bCs/>
          <w:color w:val="000000"/>
          <w:sz w:val="22"/>
          <w:szCs w:val="22"/>
          <w:lang w:eastAsia="es-CO"/>
        </w:rPr>
        <w:t xml:space="preserve">En ambos casos, la Ley se aplicará durante los cuatro (4) meses anteriores a las elecciones. Respecto de los comicios presidenciales, se aplicará hasta la realización de la </w:t>
      </w:r>
      <w:r w:rsidRPr="008A44D4">
        <w:rPr>
          <w:rFonts w:ascii="Arial" w:hAnsi="Arial" w:cs="Arial"/>
          <w:bCs/>
          <w:color w:val="000000"/>
          <w:sz w:val="22"/>
          <w:szCs w:val="22"/>
          <w:lang w:eastAsia="es-CO"/>
        </w:rPr>
        <w:lastRenderedPageBreak/>
        <w:t>elección en la segunda vuelta, coincidiendo con la delimitación temporal señalada para la campaña política.</w:t>
      </w:r>
    </w:p>
    <w:p w14:paraId="25A4CC8C" w14:textId="77777777" w:rsidR="009C571D" w:rsidRPr="008A44D4" w:rsidRDefault="009C571D" w:rsidP="009C571D">
      <w:pPr>
        <w:spacing w:line="276" w:lineRule="auto"/>
        <w:ind w:firstLine="708"/>
        <w:jc w:val="both"/>
        <w:rPr>
          <w:rFonts w:ascii="Arial" w:hAnsi="Arial" w:cs="Arial"/>
          <w:b/>
          <w:color w:val="000000" w:themeColor="text1"/>
          <w:sz w:val="22"/>
          <w:szCs w:val="22"/>
          <w:lang w:eastAsia="es-ES_tradnl"/>
        </w:rPr>
      </w:pPr>
      <w:r w:rsidRPr="008A44D4">
        <w:rPr>
          <w:rFonts w:ascii="Arial" w:hAnsi="Arial" w:cs="Arial"/>
          <w:bCs/>
          <w:color w:val="000000"/>
          <w:sz w:val="22"/>
          <w:szCs w:val="22"/>
          <w:lang w:eastAsia="es-CO"/>
        </w:rPr>
        <w:t>Por lo anterior, es importante analizar las restricciones aplicables a cada una de estas elecciones, pues presentan importantes diferencias, como su fundamento jurídico. Con esa finalidad, en primer lugar, se analizarán las restricciones aplicables frente a las elecciones presidenciales; y, posteriormente, las referentes a los demás cargos de elección popular.</w:t>
      </w:r>
    </w:p>
    <w:p w14:paraId="3E47DD5E" w14:textId="77777777" w:rsidR="009C571D" w:rsidRPr="008A44D4" w:rsidRDefault="009C571D" w:rsidP="009C571D">
      <w:pPr>
        <w:spacing w:line="276" w:lineRule="auto"/>
        <w:ind w:firstLine="708"/>
        <w:jc w:val="both"/>
        <w:rPr>
          <w:rFonts w:ascii="Arial" w:hAnsi="Arial" w:cs="Arial"/>
          <w:bCs/>
          <w:color w:val="000000" w:themeColor="text1"/>
          <w:sz w:val="22"/>
          <w:szCs w:val="22"/>
          <w:lang w:eastAsia="es-ES_tradnl"/>
        </w:rPr>
      </w:pPr>
    </w:p>
    <w:p w14:paraId="66043610" w14:textId="4A9C759B" w:rsidR="009C571D" w:rsidRPr="008A44D4" w:rsidRDefault="00096E71" w:rsidP="009C571D">
      <w:pPr>
        <w:spacing w:line="276" w:lineRule="auto"/>
        <w:jc w:val="both"/>
        <w:rPr>
          <w:rFonts w:ascii="Arial" w:hAnsi="Arial" w:cs="Arial"/>
          <w:b/>
          <w:bCs/>
          <w:color w:val="000000" w:themeColor="text1"/>
          <w:sz w:val="22"/>
          <w:szCs w:val="22"/>
          <w:lang w:eastAsia="es-ES_tradnl"/>
        </w:rPr>
      </w:pPr>
      <w:r w:rsidRPr="008A44D4">
        <w:rPr>
          <w:rFonts w:ascii="Arial" w:hAnsi="Arial" w:cs="Arial"/>
          <w:b/>
          <w:bCs/>
          <w:color w:val="000000" w:themeColor="text1"/>
          <w:sz w:val="22"/>
          <w:szCs w:val="22"/>
          <w:lang w:eastAsia="es-ES_tradnl"/>
        </w:rPr>
        <w:t>2.4</w:t>
      </w:r>
      <w:r w:rsidR="009C571D" w:rsidRPr="008A44D4">
        <w:rPr>
          <w:rFonts w:ascii="Arial" w:hAnsi="Arial" w:cs="Arial"/>
          <w:b/>
          <w:bCs/>
          <w:color w:val="000000" w:themeColor="text1"/>
          <w:sz w:val="22"/>
          <w:szCs w:val="22"/>
          <w:lang w:eastAsia="es-ES_tradnl"/>
        </w:rPr>
        <w:t xml:space="preserve">. Restricciones del artículo 33 de la Ley 996 de 2005 en elecciones presidenciales </w:t>
      </w:r>
    </w:p>
    <w:p w14:paraId="4A9AF8A0" w14:textId="77777777" w:rsidR="009C571D" w:rsidRPr="008A44D4" w:rsidRDefault="009C571D" w:rsidP="009C571D">
      <w:pPr>
        <w:spacing w:line="276" w:lineRule="auto"/>
        <w:jc w:val="both"/>
        <w:rPr>
          <w:rFonts w:ascii="Arial" w:hAnsi="Arial" w:cs="Arial"/>
          <w:bCs/>
          <w:color w:val="000000" w:themeColor="text1"/>
          <w:sz w:val="22"/>
          <w:szCs w:val="22"/>
          <w:lang w:eastAsia="es-ES_tradnl"/>
        </w:rPr>
      </w:pPr>
    </w:p>
    <w:p w14:paraId="014108B0" w14:textId="77777777" w:rsidR="0091137F" w:rsidRPr="008A44D4" w:rsidRDefault="0091137F" w:rsidP="0091137F">
      <w:pPr>
        <w:spacing w:line="276" w:lineRule="auto"/>
        <w:ind w:right="49"/>
        <w:jc w:val="both"/>
        <w:rPr>
          <w:rFonts w:ascii="Arial" w:hAnsi="Arial" w:cs="Arial"/>
          <w:bCs/>
          <w:sz w:val="22"/>
          <w:szCs w:val="22"/>
          <w:lang w:val="es-MX" w:eastAsia="es-CO"/>
        </w:rPr>
      </w:pPr>
      <w:r w:rsidRPr="008A44D4">
        <w:rPr>
          <w:rFonts w:ascii="Arial" w:hAnsi="Arial" w:cs="Arial"/>
          <w:bCs/>
          <w:sz w:val="22"/>
          <w:szCs w:val="22"/>
          <w:lang w:val="es-MX" w:eastAsia="x-none"/>
        </w:rPr>
        <w:t xml:space="preserve">El ámbito material de la prohibición contenida </w:t>
      </w:r>
      <w:bookmarkStart w:id="3" w:name="_Hlk75628761"/>
      <w:r w:rsidRPr="008A44D4">
        <w:rPr>
          <w:rFonts w:ascii="Arial" w:hAnsi="Arial" w:cs="Arial"/>
          <w:bCs/>
          <w:sz w:val="22"/>
          <w:szCs w:val="22"/>
          <w:lang w:val="es-MX" w:eastAsia="x-none"/>
        </w:rPr>
        <w:t xml:space="preserve">en el artículo 33 de la ley 996 de 2005 </w:t>
      </w:r>
      <w:bookmarkEnd w:id="3"/>
      <w:r w:rsidRPr="008A44D4">
        <w:rPr>
          <w:rFonts w:ascii="Arial" w:hAnsi="Arial" w:cs="Arial"/>
          <w:bCs/>
          <w:sz w:val="22"/>
          <w:szCs w:val="22"/>
          <w:lang w:val="es-MX" w:eastAsia="x-none"/>
        </w:rPr>
        <w:t xml:space="preserve">está delimitado por la expresión </w:t>
      </w:r>
      <w:r w:rsidRPr="008A44D4">
        <w:rPr>
          <w:rFonts w:ascii="Arial" w:eastAsia="Calibri" w:hAnsi="Arial" w:cs="Arial"/>
          <w:bCs/>
          <w:sz w:val="20"/>
          <w:szCs w:val="20"/>
          <w:lang w:val="es-MX" w:eastAsia="en-US"/>
        </w:rPr>
        <w:t>«</w:t>
      </w:r>
      <w:r w:rsidRPr="008A44D4">
        <w:rPr>
          <w:rFonts w:ascii="Arial" w:hAnsi="Arial" w:cs="Arial"/>
          <w:bCs/>
          <w:sz w:val="22"/>
          <w:szCs w:val="22"/>
          <w:lang w:val="es-MX" w:eastAsia="x-none"/>
        </w:rPr>
        <w:t>queda prohibida la contratación directa</w:t>
      </w:r>
      <w:r w:rsidRPr="008A44D4">
        <w:rPr>
          <w:rFonts w:ascii="Arial" w:eastAsiaTheme="minorHAnsi" w:hAnsi="Arial" w:cs="Arial"/>
          <w:sz w:val="20"/>
          <w:szCs w:val="20"/>
          <w:lang w:val="es-MX" w:eastAsia="en-US"/>
        </w:rPr>
        <w:t>»</w:t>
      </w:r>
      <w:r w:rsidRPr="008A44D4">
        <w:rPr>
          <w:rFonts w:ascii="Arial" w:hAnsi="Arial" w:cs="Arial"/>
          <w:bCs/>
          <w:sz w:val="22"/>
          <w:szCs w:val="22"/>
          <w:lang w:val="es-MX" w:eastAsia="x-none"/>
        </w:rPr>
        <w:t xml:space="preserve">. </w:t>
      </w:r>
      <w:r w:rsidRPr="008A44D4">
        <w:rPr>
          <w:rFonts w:ascii="Arial" w:hAnsi="Arial" w:cs="Arial"/>
          <w:sz w:val="22"/>
          <w:szCs w:val="22"/>
          <w:lang w:val="es-MX" w:eastAsia="es-CO"/>
        </w:rPr>
        <w:t xml:space="preserve">A propósito de </w:t>
      </w:r>
      <w:r w:rsidRPr="008A44D4">
        <w:rPr>
          <w:rFonts w:ascii="Arial" w:hAnsi="Arial" w:cs="Arial"/>
          <w:sz w:val="22"/>
          <w:szCs w:val="22"/>
          <w:lang w:eastAsia="es-CO"/>
        </w:rPr>
        <w:t>esta restricción de la Ley de Garantías Electorales, la Sala de Consulta y Servicio Civil del Consejo de Estado ha considerado que:</w:t>
      </w:r>
    </w:p>
    <w:p w14:paraId="36F6F844" w14:textId="77777777" w:rsidR="0091137F" w:rsidRPr="008A44D4" w:rsidRDefault="0091137F" w:rsidP="0091137F">
      <w:pPr>
        <w:spacing w:line="276" w:lineRule="auto"/>
        <w:ind w:left="708" w:right="49"/>
        <w:jc w:val="both"/>
        <w:rPr>
          <w:rFonts w:ascii="Arial" w:eastAsiaTheme="minorHAnsi" w:hAnsi="Arial" w:cs="Arial"/>
          <w:sz w:val="21"/>
          <w:szCs w:val="21"/>
          <w:lang w:val="es-MX" w:eastAsia="en-US"/>
        </w:rPr>
      </w:pPr>
    </w:p>
    <w:p w14:paraId="3B9F289D" w14:textId="77777777" w:rsidR="0091137F" w:rsidRPr="008A44D4" w:rsidRDefault="0091137F" w:rsidP="0091137F">
      <w:pPr>
        <w:spacing w:after="120"/>
        <w:ind w:left="709" w:right="709"/>
        <w:jc w:val="both"/>
        <w:rPr>
          <w:rFonts w:ascii="Arial" w:hAnsi="Arial" w:cs="Arial"/>
          <w:sz w:val="21"/>
          <w:szCs w:val="21"/>
          <w:lang w:val="es-ES" w:eastAsia="es-CO"/>
        </w:rPr>
      </w:pPr>
      <w:r w:rsidRPr="008A44D4">
        <w:rPr>
          <w:rFonts w:ascii="Arial" w:hAnsi="Arial" w:cs="Arial"/>
          <w:sz w:val="21"/>
          <w:szCs w:val="21"/>
          <w:lang w:val="es-ES" w:eastAsia="es-CO"/>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8A44D4">
        <w:rPr>
          <w:rFonts w:ascii="Arial" w:hAnsi="Arial" w:cs="Arial"/>
          <w:sz w:val="21"/>
          <w:szCs w:val="21"/>
          <w:lang w:val="es-ES" w:eastAsia="es-CO"/>
        </w:rPr>
        <w:footnoteReference w:id="18"/>
      </w:r>
      <w:r w:rsidRPr="008A44D4">
        <w:rPr>
          <w:rFonts w:ascii="Arial" w:hAnsi="Arial" w:cs="Arial"/>
          <w:sz w:val="21"/>
          <w:szCs w:val="21"/>
          <w:lang w:val="es-ES" w:eastAsia="es-CO"/>
        </w:rPr>
        <w:t>.</w:t>
      </w:r>
    </w:p>
    <w:p w14:paraId="63E5E128" w14:textId="77777777" w:rsidR="0091137F" w:rsidRPr="008A44D4" w:rsidRDefault="0091137F" w:rsidP="0091137F">
      <w:pPr>
        <w:ind w:left="708" w:right="709"/>
        <w:jc w:val="both"/>
        <w:rPr>
          <w:rFonts w:ascii="Arial" w:eastAsiaTheme="minorHAnsi" w:hAnsi="Arial" w:cs="Arial"/>
          <w:sz w:val="21"/>
          <w:szCs w:val="21"/>
          <w:lang w:val="es-MX" w:eastAsia="en-US"/>
        </w:rPr>
      </w:pPr>
      <w:r w:rsidRPr="008A44D4">
        <w:rPr>
          <w:rFonts w:ascii="Arial" w:hAnsi="Arial" w:cs="Arial"/>
          <w:sz w:val="21"/>
          <w:szCs w:val="21"/>
          <w:lang w:val="es-ES" w:eastAsia="es-CO"/>
        </w:rPr>
        <w:t xml:space="preserve">Esta Sala ha entendido que para los efectos de la ley de garantías, y dada su finalidad, el enunciado ´contratación directa´ es sinónimo </w:t>
      </w:r>
      <w:bookmarkStart w:id="6" w:name="_Hlk75741738"/>
      <w:r w:rsidRPr="008A44D4">
        <w:rPr>
          <w:rFonts w:ascii="Arial" w:hAnsi="Arial" w:cs="Arial"/>
          <w:sz w:val="21"/>
          <w:szCs w:val="21"/>
          <w:lang w:val="es-ES" w:eastAsia="es-CO"/>
        </w:rPr>
        <w:t xml:space="preserve">de cualquier sistema que no implique convocatoria pública y posibilidad de pluralidad de oferentes, </w:t>
      </w:r>
      <w:bookmarkEnd w:id="6"/>
      <w:r w:rsidRPr="008A44D4">
        <w:rPr>
          <w:rFonts w:ascii="Arial" w:hAnsi="Arial" w:cs="Arial"/>
          <w:sz w:val="21"/>
          <w:szCs w:val="21"/>
          <w:lang w:val="es-ES" w:eastAsia="es-CO"/>
        </w:rPr>
        <w:t>y que, además, no necesariamente hace referencia al procedimiento especial regulado por la ley de contratación estatal, sino a cualquier otro que prescinda de un proceso de licitación pública o concurso</w:t>
      </w:r>
      <w:r w:rsidRPr="008A44D4">
        <w:rPr>
          <w:rFonts w:ascii="Arial" w:hAnsi="Arial" w:cs="Arial"/>
          <w:sz w:val="21"/>
          <w:szCs w:val="21"/>
          <w:vertAlign w:val="superscript"/>
          <w:lang w:val="es-ES" w:eastAsia="es-CO"/>
        </w:rPr>
        <w:footnoteReference w:id="19"/>
      </w:r>
      <w:r w:rsidRPr="008A44D4">
        <w:rPr>
          <w:rFonts w:ascii="Arial" w:hAnsi="Arial" w:cs="Arial"/>
          <w:sz w:val="21"/>
          <w:szCs w:val="21"/>
          <w:vertAlign w:val="superscript"/>
          <w:lang w:val="es-ES" w:eastAsia="es-CO"/>
        </w:rPr>
        <w:t>.</w:t>
      </w:r>
      <w:r w:rsidRPr="008A44D4">
        <w:rPr>
          <w:rFonts w:ascii="Arial" w:hAnsi="Arial" w:cs="Arial"/>
          <w:sz w:val="21"/>
          <w:szCs w:val="21"/>
          <w:lang w:val="es-ES" w:eastAsia="es-CO"/>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8A44D4">
        <w:rPr>
          <w:rFonts w:ascii="Arial" w:hAnsi="Arial" w:cs="Arial"/>
          <w:sz w:val="22"/>
          <w:szCs w:val="22"/>
          <w:vertAlign w:val="superscript"/>
          <w:lang w:eastAsia="es-CO"/>
        </w:rPr>
        <w:footnoteReference w:id="20"/>
      </w:r>
      <w:r w:rsidRPr="008A44D4">
        <w:rPr>
          <w:rFonts w:ascii="Arial" w:eastAsiaTheme="minorHAnsi" w:hAnsi="Arial" w:cs="Arial"/>
          <w:sz w:val="21"/>
          <w:szCs w:val="21"/>
          <w:lang w:val="es-MX" w:eastAsia="en-US"/>
        </w:rPr>
        <w:t xml:space="preserve"> .</w:t>
      </w:r>
    </w:p>
    <w:p w14:paraId="04FB985F" w14:textId="77777777" w:rsidR="0091137F" w:rsidRPr="008A44D4" w:rsidRDefault="0091137F" w:rsidP="0091137F">
      <w:pPr>
        <w:shd w:val="clear" w:color="auto" w:fill="FFFFFF"/>
        <w:spacing w:line="276" w:lineRule="auto"/>
        <w:ind w:right="49" w:firstLine="709"/>
        <w:jc w:val="both"/>
        <w:rPr>
          <w:rFonts w:ascii="Arial" w:hAnsi="Arial" w:cs="Arial"/>
          <w:sz w:val="22"/>
          <w:szCs w:val="22"/>
          <w:lang w:eastAsia="x-none"/>
        </w:rPr>
      </w:pPr>
    </w:p>
    <w:p w14:paraId="43112A03" w14:textId="77777777" w:rsidR="0091137F" w:rsidRPr="008A44D4" w:rsidRDefault="0091137F" w:rsidP="0091137F">
      <w:pPr>
        <w:spacing w:after="120" w:line="276" w:lineRule="auto"/>
        <w:ind w:right="49" w:firstLine="708"/>
        <w:jc w:val="both"/>
        <w:rPr>
          <w:rFonts w:ascii="Arial" w:hAnsi="Arial" w:cs="Arial"/>
          <w:bCs/>
          <w:sz w:val="22"/>
          <w:szCs w:val="22"/>
          <w:lang w:eastAsia="x-none"/>
        </w:rPr>
      </w:pPr>
      <w:r w:rsidRPr="008A44D4">
        <w:rPr>
          <w:rFonts w:ascii="Arial" w:hAnsi="Arial" w:cs="Arial"/>
          <w:sz w:val="22"/>
          <w:szCs w:val="22"/>
          <w:lang w:eastAsia="x-none"/>
        </w:rPr>
        <w:t xml:space="preserve">De conformidad con el citado concepto, </w:t>
      </w:r>
      <w:bookmarkStart w:id="8" w:name="_Hlk78818702"/>
      <w:r w:rsidRPr="008A44D4">
        <w:rPr>
          <w:rFonts w:ascii="Arial" w:hAnsi="Arial" w:cs="Arial"/>
          <w:sz w:val="22"/>
          <w:szCs w:val="22"/>
          <w:lang w:eastAsia="x-none"/>
        </w:rPr>
        <w:t xml:space="preserve">la prohibición del artículo 33 de la Ley de Garantías Electorales se refiere a </w:t>
      </w:r>
      <w:bookmarkStart w:id="9" w:name="_Hlk74294635"/>
      <w:r w:rsidRPr="008A44D4">
        <w:rPr>
          <w:rFonts w:ascii="Arial" w:hAnsi="Arial" w:cs="Arial"/>
          <w:sz w:val="19"/>
          <w:szCs w:val="19"/>
          <w:lang w:eastAsia="en-GB"/>
        </w:rPr>
        <w:t>«</w:t>
      </w:r>
      <w:bookmarkEnd w:id="9"/>
      <w:r w:rsidRPr="008A44D4">
        <w:rPr>
          <w:rFonts w:ascii="Arial" w:hAnsi="Arial" w:cs="Arial"/>
          <w:sz w:val="22"/>
          <w:szCs w:val="22"/>
          <w:lang w:eastAsia="x-none"/>
        </w:rPr>
        <w:t>cualquier sistema que no implique convocatoria pública y posibilidad de pluralidad de oferentes</w:t>
      </w:r>
      <w:bookmarkStart w:id="10" w:name="_Hlk74404754"/>
      <w:r w:rsidRPr="008A44D4">
        <w:rPr>
          <w:rFonts w:ascii="Arial" w:hAnsi="Arial" w:cs="Arial"/>
          <w:sz w:val="22"/>
          <w:szCs w:val="22"/>
          <w:lang w:eastAsia="en-GB"/>
        </w:rPr>
        <w:t>»</w:t>
      </w:r>
      <w:bookmarkEnd w:id="10"/>
      <w:r w:rsidRPr="008A44D4">
        <w:rPr>
          <w:rFonts w:ascii="Arial" w:hAnsi="Arial" w:cs="Arial"/>
          <w:sz w:val="22"/>
          <w:szCs w:val="22"/>
          <w:lang w:eastAsia="x-none"/>
        </w:rPr>
        <w:t xml:space="preserve">, por lo que excluye las demás modalidades de contratación previstas en la Ley 1150 de 2007, es decir, la licitación pública, la selección </w:t>
      </w:r>
      <w:r w:rsidRPr="008A44D4">
        <w:rPr>
          <w:rFonts w:ascii="Arial" w:hAnsi="Arial" w:cs="Arial"/>
          <w:sz w:val="22"/>
          <w:szCs w:val="22"/>
          <w:lang w:eastAsia="x-none"/>
        </w:rPr>
        <w:lastRenderedPageBreak/>
        <w:t xml:space="preserve">abreviada y el concurso de méritos u otros previstos en normas especiales. </w:t>
      </w:r>
      <w:bookmarkEnd w:id="8"/>
      <w:r w:rsidRPr="008A44D4">
        <w:rPr>
          <w:rFonts w:ascii="Arial" w:hAnsi="Arial" w:cs="Arial"/>
          <w:sz w:val="22"/>
          <w:szCs w:val="22"/>
          <w:lang w:eastAsia="x-none"/>
        </w:rPr>
        <w:t>Esta posición es congruente con la expedición de la Ley 1150 de 2007 que, entre otras reformas, introdujo la selección abreviada, rediseñó el concurso de méritos</w:t>
      </w:r>
      <w:r w:rsidRPr="008A44D4">
        <w:rPr>
          <w:rFonts w:ascii="Arial" w:hAnsi="Arial" w:cs="Arial"/>
          <w:sz w:val="22"/>
          <w:szCs w:val="22"/>
          <w:vertAlign w:val="superscript"/>
          <w:lang w:val="en-GB" w:eastAsia="x-none"/>
        </w:rPr>
        <w:footnoteReference w:id="21"/>
      </w:r>
      <w:r w:rsidRPr="008A44D4">
        <w:rPr>
          <w:rFonts w:ascii="Arial" w:hAnsi="Arial" w:cs="Arial"/>
          <w:sz w:val="22"/>
          <w:szCs w:val="22"/>
          <w:lang w:eastAsia="x-none"/>
        </w:rPr>
        <w:t xml:space="preserve"> y sistematizó las causales de contratación directa</w:t>
      </w:r>
      <w:r w:rsidRPr="008A44D4">
        <w:rPr>
          <w:rFonts w:ascii="Arial" w:hAnsi="Arial" w:cs="Arial"/>
          <w:sz w:val="22"/>
          <w:szCs w:val="22"/>
          <w:vertAlign w:val="superscript"/>
          <w:lang w:val="en-GB" w:eastAsia="x-none"/>
        </w:rPr>
        <w:footnoteReference w:id="22"/>
      </w:r>
      <w:r w:rsidRPr="008A44D4">
        <w:rPr>
          <w:rFonts w:ascii="Arial" w:hAnsi="Arial" w:cs="Arial"/>
          <w:sz w:val="22"/>
          <w:szCs w:val="22"/>
          <w:lang w:eastAsia="x-none"/>
        </w:rPr>
        <w:t xml:space="preserve">. </w:t>
      </w:r>
    </w:p>
    <w:p w14:paraId="04858318" w14:textId="77777777" w:rsidR="0091137F" w:rsidRPr="008A44D4" w:rsidRDefault="0091137F" w:rsidP="0091137F">
      <w:pPr>
        <w:spacing w:after="120" w:line="276" w:lineRule="auto"/>
        <w:ind w:right="49" w:firstLine="708"/>
        <w:jc w:val="both"/>
        <w:rPr>
          <w:rFonts w:ascii="Arial" w:hAnsi="Arial" w:cs="Arial"/>
          <w:sz w:val="22"/>
          <w:szCs w:val="22"/>
          <w:lang w:val="es-MX" w:eastAsia="x-none"/>
        </w:rPr>
      </w:pPr>
      <w:r w:rsidRPr="008A44D4">
        <w:rPr>
          <w:rFonts w:ascii="Arial" w:hAnsi="Arial" w:cs="Arial"/>
          <w:sz w:val="22"/>
          <w:szCs w:val="22"/>
          <w:lang w:eastAsia="x-none"/>
        </w:rPr>
        <w:t xml:space="preserve">De esta forma, con fundamento en la evolución de la normativa sobre la contratación pública, se ha depurado la noción de </w:t>
      </w:r>
      <w:r w:rsidRPr="008A44D4">
        <w:rPr>
          <w:rFonts w:ascii="Arial" w:hAnsi="Arial" w:cs="Arial"/>
          <w:sz w:val="19"/>
          <w:szCs w:val="19"/>
          <w:lang w:eastAsia="en-GB"/>
        </w:rPr>
        <w:t>«</w:t>
      </w:r>
      <w:r w:rsidRPr="008A44D4">
        <w:rPr>
          <w:rFonts w:ascii="Arial" w:hAnsi="Arial" w:cs="Arial"/>
          <w:sz w:val="22"/>
          <w:szCs w:val="22"/>
          <w:lang w:eastAsia="x-none"/>
        </w:rPr>
        <w:t>contratación directa</w:t>
      </w:r>
      <w:r w:rsidRPr="008A44D4">
        <w:rPr>
          <w:rFonts w:ascii="Arial" w:hAnsi="Arial" w:cs="Arial"/>
          <w:sz w:val="22"/>
          <w:szCs w:val="22"/>
          <w:lang w:eastAsia="en-GB"/>
        </w:rPr>
        <w:t>»</w:t>
      </w:r>
      <w:r w:rsidRPr="008A44D4">
        <w:rPr>
          <w:rFonts w:ascii="Arial" w:hAnsi="Arial" w:cs="Arial"/>
          <w:sz w:val="22"/>
          <w:szCs w:val="22"/>
          <w:lang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8A44D4">
        <w:rPr>
          <w:rFonts w:ascii="Arial" w:hAnsi="Arial" w:cs="Arial"/>
          <w:sz w:val="22"/>
          <w:szCs w:val="22"/>
          <w:vertAlign w:val="superscript"/>
          <w:lang w:val="en-GB" w:eastAsia="x-none"/>
        </w:rPr>
        <w:footnoteReference w:id="23"/>
      </w:r>
      <w:r w:rsidRPr="008A44D4">
        <w:rPr>
          <w:rFonts w:ascii="Arial" w:hAnsi="Arial" w:cs="Arial"/>
          <w:sz w:val="22"/>
          <w:szCs w:val="22"/>
          <w:lang w:eastAsia="x-none"/>
        </w:rPr>
        <w:t>, han establecido sistemas de contratación que implican convocatoria pública y participación de varios oferentes</w:t>
      </w:r>
      <w:r w:rsidRPr="008A44D4">
        <w:rPr>
          <w:rFonts w:ascii="Arial" w:hAnsi="Arial" w:cs="Arial"/>
          <w:sz w:val="22"/>
          <w:szCs w:val="22"/>
          <w:lang w:eastAsia="en-GB"/>
        </w:rPr>
        <w:t>»</w:t>
      </w:r>
      <w:r w:rsidRPr="008A44D4">
        <w:rPr>
          <w:rFonts w:ascii="Arial" w:hAnsi="Arial" w:cs="Arial"/>
          <w:sz w:val="22"/>
          <w:szCs w:val="22"/>
          <w:lang w:eastAsia="x-none"/>
        </w:rPr>
        <w:t xml:space="preserve">. </w:t>
      </w:r>
    </w:p>
    <w:p w14:paraId="1102E692" w14:textId="77777777" w:rsidR="0091137F" w:rsidRPr="008A44D4" w:rsidRDefault="0091137F" w:rsidP="0091137F">
      <w:pPr>
        <w:spacing w:after="120" w:line="276" w:lineRule="auto"/>
        <w:ind w:right="49" w:firstLine="708"/>
        <w:jc w:val="both"/>
        <w:rPr>
          <w:rFonts w:ascii="Arial" w:hAnsi="Arial" w:cs="Arial"/>
          <w:bCs/>
          <w:sz w:val="22"/>
          <w:szCs w:val="22"/>
          <w:lang w:val="es-MX" w:eastAsia="es-CO"/>
        </w:rPr>
      </w:pPr>
      <w:r w:rsidRPr="008A44D4">
        <w:rPr>
          <w:rFonts w:ascii="Arial" w:hAnsi="Arial" w:cs="Arial"/>
          <w:bCs/>
          <w:sz w:val="22"/>
          <w:szCs w:val="22"/>
          <w:lang w:val="es-MX" w:eastAsia="x-none"/>
        </w:rPr>
        <w:t>E</w:t>
      </w:r>
      <w:r w:rsidRPr="008A44D4">
        <w:rPr>
          <w:rFonts w:ascii="Arial" w:hAnsi="Arial" w:cs="Arial"/>
          <w:sz w:val="22"/>
          <w:szCs w:val="22"/>
          <w:lang w:eastAsia="x-none"/>
        </w:rPr>
        <w:t xml:space="preserve">n efecto, vale la pena mencionar que, </w:t>
      </w:r>
      <w:bookmarkStart w:id="12" w:name="_Hlk75636073"/>
      <w:r w:rsidRPr="008A44D4">
        <w:rPr>
          <w:rFonts w:ascii="Arial" w:hAnsi="Arial" w:cs="Arial"/>
          <w:sz w:val="22"/>
          <w:szCs w:val="22"/>
          <w:lang w:eastAsia="x-none"/>
        </w:rPr>
        <w:t>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bookmarkEnd w:id="12"/>
      <w:r w:rsidRPr="008A44D4">
        <w:rPr>
          <w:rFonts w:ascii="Arial" w:hAnsi="Arial" w:cs="Arial"/>
          <w:sz w:val="22"/>
          <w:szCs w:val="22"/>
          <w:vertAlign w:val="superscript"/>
          <w:lang w:eastAsia="x-none"/>
        </w:rPr>
        <w:footnoteReference w:id="24"/>
      </w:r>
      <w:r w:rsidRPr="008A44D4">
        <w:rPr>
          <w:rFonts w:ascii="Arial" w:hAnsi="Arial" w:cs="Arial"/>
          <w:sz w:val="22"/>
          <w:szCs w:val="22"/>
          <w:lang w:eastAsia="x-none"/>
        </w:rPr>
        <w:t xml:space="preserve">. </w:t>
      </w:r>
    </w:p>
    <w:p w14:paraId="37542104" w14:textId="77777777" w:rsidR="0091137F" w:rsidRPr="008A44D4" w:rsidRDefault="0091137F" w:rsidP="0091137F">
      <w:pPr>
        <w:spacing w:after="120" w:line="276" w:lineRule="auto"/>
        <w:ind w:right="49" w:firstLine="708"/>
        <w:jc w:val="both"/>
        <w:rPr>
          <w:rFonts w:ascii="Arial" w:hAnsi="Arial" w:cs="Arial"/>
          <w:bCs/>
          <w:sz w:val="22"/>
          <w:szCs w:val="22"/>
          <w:lang w:val="es-MX" w:eastAsia="es-CO"/>
        </w:rPr>
      </w:pPr>
      <w:r w:rsidRPr="008A44D4">
        <w:rPr>
          <w:rFonts w:ascii="Arial" w:hAnsi="Arial" w:cs="Arial"/>
          <w:bCs/>
          <w:sz w:val="22"/>
          <w:szCs w:val="22"/>
          <w:lang w:val="es-MX" w:eastAsia="es-CO"/>
        </w:rPr>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31837636" w14:textId="77777777" w:rsidR="0091137F" w:rsidRPr="008A44D4" w:rsidRDefault="0091137F" w:rsidP="0091137F">
      <w:pPr>
        <w:spacing w:after="120" w:line="276" w:lineRule="auto"/>
        <w:ind w:right="49" w:firstLine="708"/>
        <w:jc w:val="both"/>
        <w:rPr>
          <w:rFonts w:ascii="Arial" w:hAnsi="Arial" w:cs="Arial"/>
          <w:bCs/>
          <w:sz w:val="22"/>
          <w:szCs w:val="22"/>
          <w:lang w:val="es-MX" w:eastAsia="x-none"/>
        </w:rPr>
      </w:pPr>
      <w:bookmarkStart w:id="13" w:name="_Hlk78818796"/>
      <w:r w:rsidRPr="008A44D4">
        <w:rPr>
          <w:rFonts w:ascii="Arial" w:hAnsi="Arial" w:cs="Arial"/>
          <w:bCs/>
          <w:sz w:val="22"/>
          <w:szCs w:val="22"/>
          <w:lang w:val="es-MX" w:eastAsia="x-none"/>
        </w:rPr>
        <w:t xml:space="preserve"> Así las cosas, ha de entenderse que, para los efectos de la Ley de Garantías Electorales y, en particular, para la prohibición o restricción temporal contenida en su artículo 33, «contratación directa» es cualquier sistema de selección o procedimiento de </w:t>
      </w:r>
      <w:r w:rsidRPr="008A44D4">
        <w:rPr>
          <w:rFonts w:ascii="Arial" w:hAnsi="Arial" w:cs="Arial"/>
          <w:bCs/>
          <w:sz w:val="22"/>
          <w:szCs w:val="22"/>
          <w:lang w:val="es-MX" w:eastAsia="x-none"/>
        </w:rPr>
        <w:lastRenderedPageBreak/>
        <w:t>contratación utilizado por las entidades estatales que no incluya la convocatoria pública en alguna de sus etapas, ni permita la participación de una pluralidad de oferentes</w:t>
      </w:r>
      <w:r w:rsidRPr="008A44D4">
        <w:rPr>
          <w:rFonts w:ascii="Arial" w:hAnsi="Arial" w:cs="Arial"/>
          <w:sz w:val="22"/>
          <w:szCs w:val="22"/>
          <w:vertAlign w:val="superscript"/>
          <w:lang w:eastAsia="x-none"/>
        </w:rPr>
        <w:footnoteReference w:id="25"/>
      </w:r>
      <w:r w:rsidRPr="008A44D4">
        <w:rPr>
          <w:rFonts w:ascii="Arial" w:hAnsi="Arial" w:cs="Arial"/>
          <w:bCs/>
          <w:sz w:val="22"/>
          <w:szCs w:val="22"/>
          <w:lang w:val="es-MX" w:eastAsia="x-none"/>
        </w:rPr>
        <w:t>.</w:t>
      </w:r>
      <w:r w:rsidRPr="008A44D4">
        <w:rPr>
          <w:rFonts w:ascii="Arial" w:hAnsi="Arial" w:cs="Arial"/>
          <w:sz w:val="22"/>
          <w:szCs w:val="22"/>
          <w:vertAlign w:val="superscript"/>
          <w:lang w:eastAsia="x-none"/>
        </w:rPr>
        <w:t xml:space="preserve"> </w:t>
      </w:r>
    </w:p>
    <w:bookmarkEnd w:id="13"/>
    <w:p w14:paraId="1B5AD4B4" w14:textId="77777777" w:rsidR="0091137F" w:rsidRPr="008A44D4" w:rsidRDefault="0091137F" w:rsidP="0091137F">
      <w:pPr>
        <w:spacing w:after="120" w:line="276" w:lineRule="auto"/>
        <w:ind w:right="49" w:firstLine="708"/>
        <w:jc w:val="both"/>
        <w:rPr>
          <w:rFonts w:ascii="Arial" w:hAnsi="Arial" w:cs="Arial"/>
          <w:sz w:val="22"/>
          <w:szCs w:val="22"/>
          <w:lang w:eastAsia="x-none"/>
        </w:rPr>
      </w:pPr>
      <w:r w:rsidRPr="008A44D4">
        <w:rPr>
          <w:rFonts w:ascii="Arial" w:hAnsi="Arial" w:cs="Arial"/>
          <w:bCs/>
          <w:sz w:val="22"/>
          <w:szCs w:val="22"/>
          <w:lang w:val="es-MX" w:eastAsia="x-none"/>
        </w:rPr>
        <w:t>De lo anterior se desprende que la restricción aplica, sin perjuicio de las excepciones establecidas en la misma ley, para celebrar cualquier contrato de forma directa, esto es, sin que exista un proceso abierto y competitivo.</w:t>
      </w:r>
      <w:r w:rsidRPr="008A44D4">
        <w:rPr>
          <w:rFonts w:ascii="Arial" w:hAnsi="Arial" w:cs="Arial"/>
          <w:sz w:val="22"/>
          <w:szCs w:val="22"/>
          <w:lang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pueden las entidades públicas seguir contratando bajo estos sistemas.</w:t>
      </w:r>
    </w:p>
    <w:p w14:paraId="069EC420" w14:textId="77777777" w:rsidR="0091137F" w:rsidRPr="008A44D4" w:rsidRDefault="0091137F" w:rsidP="0091137F">
      <w:pPr>
        <w:spacing w:after="120" w:line="276" w:lineRule="auto"/>
        <w:ind w:right="49" w:firstLine="708"/>
        <w:jc w:val="both"/>
        <w:rPr>
          <w:rFonts w:ascii="Arial" w:hAnsi="Arial" w:cs="Arial"/>
          <w:bCs/>
          <w:sz w:val="22"/>
          <w:szCs w:val="22"/>
          <w:lang w:val="es-MX" w:eastAsia="x-none"/>
        </w:rPr>
      </w:pPr>
      <w:bookmarkStart w:id="14" w:name="_Hlk77237094"/>
      <w:r w:rsidRPr="008A44D4">
        <w:rPr>
          <w:rFonts w:ascii="Arial" w:hAnsi="Arial" w:cs="Arial"/>
          <w:bCs/>
          <w:sz w:val="22"/>
          <w:szCs w:val="22"/>
          <w:lang w:val="es-MX" w:eastAsia="es-CO"/>
        </w:rPr>
        <w:t>Como en otras oportunidades lo ha manifestado esta Agencia, las prórrogas, modificaciones o adiciones de los contratos suscritos antes de la entrada en vigencia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bookmarkEnd w:id="14"/>
    </w:p>
    <w:p w14:paraId="13D6C516" w14:textId="77777777" w:rsidR="0091137F" w:rsidRPr="008A44D4" w:rsidRDefault="0091137F" w:rsidP="0091137F">
      <w:pPr>
        <w:spacing w:line="276" w:lineRule="auto"/>
        <w:ind w:firstLine="708"/>
        <w:jc w:val="both"/>
        <w:rPr>
          <w:rFonts w:ascii="Arial" w:eastAsia="Arial" w:hAnsi="Arial" w:cs="Arial"/>
          <w:sz w:val="22"/>
          <w:szCs w:val="22"/>
        </w:rPr>
      </w:pPr>
      <w:r w:rsidRPr="008A44D4">
        <w:rPr>
          <w:rFonts w:ascii="Arial" w:eastAsia="Arial" w:hAnsi="Arial" w:cs="Arial"/>
          <w:sz w:val="22"/>
          <w:szCs w:val="22"/>
        </w:rPr>
        <w:t>De otro lado, 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w:t>
      </w:r>
      <w:r w:rsidRPr="001B5AD6">
        <w:rPr>
          <w:rFonts w:ascii="Arial" w:eastAsia="Arial" w:hAnsi="Arial" w:cs="Arial"/>
          <w:sz w:val="22"/>
          <w:szCs w:val="22"/>
        </w:rPr>
        <w:t>) los que deban realizar las entidades sanitarias y hospitalarias.</w:t>
      </w:r>
      <w:r w:rsidRPr="008A44D4">
        <w:rPr>
          <w:rFonts w:ascii="Arial" w:eastAsia="Arial" w:hAnsi="Arial" w:cs="Arial"/>
          <w:sz w:val="22"/>
          <w:szCs w:val="22"/>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31539F15" w14:textId="77777777" w:rsidR="0091137F" w:rsidRPr="008A44D4" w:rsidRDefault="0091137F" w:rsidP="0091137F">
      <w:pPr>
        <w:spacing w:before="120" w:line="276" w:lineRule="auto"/>
        <w:ind w:firstLine="709"/>
        <w:jc w:val="both"/>
        <w:rPr>
          <w:rFonts w:ascii="Arial" w:eastAsia="Arial" w:hAnsi="Arial" w:cs="Arial"/>
          <w:sz w:val="22"/>
          <w:szCs w:val="22"/>
        </w:rPr>
      </w:pPr>
      <w:bookmarkStart w:id="15" w:name="_2xcytpi" w:colFirst="0" w:colLast="0"/>
      <w:bookmarkEnd w:id="15"/>
      <w:r w:rsidRPr="008A44D4">
        <w:rPr>
          <w:rFonts w:ascii="Arial" w:eastAsia="Arial" w:hAnsi="Arial" w:cs="Arial"/>
          <w:sz w:val="22"/>
          <w:szCs w:val="22"/>
        </w:rPr>
        <w:t>En esta labor es importante tener en cuenta, como lo anotó la Corte Constitucional, en Sentencia C-1153 de noviembre 11 de 2005</w:t>
      </w:r>
      <w:r w:rsidRPr="008A44D4">
        <w:rPr>
          <w:vertAlign w:val="superscript"/>
        </w:rPr>
        <w:t>,</w:t>
      </w:r>
      <w:r w:rsidRPr="008A44D4">
        <w:rPr>
          <w:rFonts w:ascii="Arial" w:eastAsia="Arial" w:hAnsi="Arial" w:cs="Arial"/>
          <w:sz w:val="22"/>
          <w:szCs w:val="22"/>
        </w:rPr>
        <w:t xml:space="preserve"> que «si bien la limitación garantiza la igualdad de condiciones, también es necesario que tal limitación que pretende la igualdad no termine yendo en detrimento de intereses públicos, cuya garantía está en cabeza del ejecutivo, como son los inmersos en las excepciones para la prohibición de contratación»</w:t>
      </w:r>
      <w:r w:rsidRPr="008A44D4">
        <w:rPr>
          <w:rFonts w:ascii="Arial" w:eastAsia="Arial" w:hAnsi="Arial" w:cs="Arial"/>
          <w:sz w:val="22"/>
          <w:szCs w:val="22"/>
          <w:vertAlign w:val="superscript"/>
        </w:rPr>
        <w:footnoteReference w:id="26"/>
      </w:r>
      <w:r w:rsidRPr="008A44D4">
        <w:rPr>
          <w:rFonts w:ascii="Arial" w:eastAsia="Arial" w:hAnsi="Arial" w:cs="Arial"/>
          <w:sz w:val="22"/>
          <w:szCs w:val="22"/>
        </w:rPr>
        <w:t xml:space="preserve">. De ahí que la Corte hizo hincapié en que las excepciones a la restricción protegen diversos </w:t>
      </w:r>
      <w:r w:rsidRPr="008A44D4">
        <w:rPr>
          <w:rFonts w:ascii="Arial" w:eastAsia="Arial" w:hAnsi="Arial" w:cs="Arial"/>
          <w:sz w:val="22"/>
          <w:szCs w:val="22"/>
        </w:rPr>
        <w:lastRenderedPageBreak/>
        <w:t>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p>
    <w:p w14:paraId="700AA40B" w14:textId="77777777" w:rsidR="0091137F" w:rsidRPr="008A44D4" w:rsidRDefault="0091137F" w:rsidP="0091137F">
      <w:pPr>
        <w:spacing w:before="120" w:line="276" w:lineRule="auto"/>
        <w:ind w:firstLine="709"/>
        <w:jc w:val="both"/>
        <w:rPr>
          <w:rFonts w:ascii="Arial" w:eastAsia="Arial" w:hAnsi="Arial" w:cs="Arial"/>
          <w:sz w:val="22"/>
          <w:szCs w:val="22"/>
        </w:rPr>
      </w:pPr>
      <w:r w:rsidRPr="008A44D4">
        <w:rPr>
          <w:rFonts w:ascii="Arial" w:eastAsia="Arial" w:hAnsi="Arial" w:cs="Arial"/>
          <w:sz w:val="22"/>
          <w:szCs w:val="22"/>
        </w:rPr>
        <w:t xml:space="preserve">Como se puede apreciar, el inciso segundo del artículo 33 dispone de dos (2) grandes grupos de excepciones a la prohibición de contratar directamente en la época preelectoral. </w:t>
      </w:r>
      <w:r w:rsidRPr="008A44D4">
        <w:rPr>
          <w:rFonts w:ascii="Arial" w:eastAsia="Arial" w:hAnsi="Arial" w:cs="Arial"/>
          <w:i/>
          <w:iCs/>
          <w:sz w:val="22"/>
          <w:szCs w:val="22"/>
        </w:rPr>
        <w:t>Por un lado</w:t>
      </w:r>
      <w:r w:rsidRPr="008A44D4">
        <w:rPr>
          <w:rFonts w:ascii="Arial" w:eastAsia="Arial" w:hAnsi="Arial" w:cs="Arial"/>
          <w:sz w:val="22"/>
          <w:szCs w:val="22"/>
        </w:rPr>
        <w:t xml:space="preserve">, las que atienden el ejercicio de cierta función o la atención de determinada actividad particular y sin importar la calidad del ente que la cumpla o desarrolle. </w:t>
      </w:r>
      <w:r w:rsidRPr="008A44D4">
        <w:rPr>
          <w:rFonts w:ascii="Arial" w:eastAsia="Arial" w:hAnsi="Arial" w:cs="Arial"/>
          <w:i/>
          <w:iCs/>
          <w:sz w:val="22"/>
          <w:szCs w:val="22"/>
        </w:rPr>
        <w:t>Por otra parte</w:t>
      </w:r>
      <w:r w:rsidRPr="008A44D4">
        <w:rPr>
          <w:rFonts w:ascii="Arial" w:eastAsia="Arial" w:hAnsi="Arial" w:cs="Arial"/>
          <w:sz w:val="22"/>
          <w:szCs w:val="22"/>
        </w:rPr>
        <w:t>, las que aluden a las entidades sanitarias y hospitalarias acudiendo a un criterio eminentemente subjetivo, pese a que no limita la excepción a un tipo de entidad en particular, sino que ata su aplicación a la naturaleza del respectivo ente.</w:t>
      </w:r>
    </w:p>
    <w:p w14:paraId="63443BC5" w14:textId="77777777" w:rsidR="0091137F" w:rsidRPr="008A44D4" w:rsidRDefault="0091137F" w:rsidP="0091137F">
      <w:pPr>
        <w:spacing w:before="120" w:line="276" w:lineRule="auto"/>
        <w:ind w:firstLine="709"/>
        <w:jc w:val="both"/>
        <w:rPr>
          <w:rFonts w:ascii="Arial" w:eastAsia="Arial" w:hAnsi="Arial" w:cs="Arial"/>
          <w:sz w:val="22"/>
          <w:szCs w:val="22"/>
        </w:rPr>
      </w:pPr>
      <w:r w:rsidRPr="008A44D4">
        <w:rPr>
          <w:rFonts w:ascii="Arial" w:eastAsia="Arial" w:hAnsi="Arial" w:cs="Arial"/>
          <w:sz w:val="22"/>
          <w:szCs w:val="22"/>
        </w:rPr>
        <w:t xml:space="preserve">Así, para determinar si la contratación de una entidad pública está exceptuada de la prohibición general para la contratación directa, el intérprete deberá analizar el caso concreto para establecer que se trata de una actividad de las descritas en la norma o que se encuentra frente a una entidad de sanidad u hospitalaria. En este punto, dado que la norma no lo establece, no es posible limitar la excepción a cierto tipo de entidades públicas o hacer depender la aplicación de la excepción al nivel u orden administrativo en el que se encuentre. Como se explicó, lo relevante será verificar la naturaleza de la entidad para determinar si tiene carácter sanitario u hospitalario. </w:t>
      </w:r>
    </w:p>
    <w:p w14:paraId="29F6B243" w14:textId="77777777" w:rsidR="0091137F" w:rsidRPr="008A44D4" w:rsidRDefault="0091137F" w:rsidP="009C571D">
      <w:pPr>
        <w:spacing w:line="276" w:lineRule="auto"/>
        <w:jc w:val="both"/>
        <w:rPr>
          <w:rFonts w:ascii="Arial" w:hAnsi="Arial" w:cs="Arial"/>
          <w:bCs/>
          <w:sz w:val="22"/>
          <w:szCs w:val="22"/>
          <w:lang w:val="es-MX" w:eastAsia="es-CO"/>
        </w:rPr>
      </w:pPr>
    </w:p>
    <w:p w14:paraId="49B2D13E" w14:textId="5313EFFF" w:rsidR="009C571D" w:rsidRPr="008A44D4" w:rsidRDefault="00096E71" w:rsidP="009C571D">
      <w:pPr>
        <w:spacing w:line="276" w:lineRule="auto"/>
        <w:jc w:val="both"/>
        <w:rPr>
          <w:rFonts w:ascii="Arial" w:hAnsi="Arial" w:cs="Arial"/>
          <w:b/>
          <w:sz w:val="22"/>
          <w:szCs w:val="22"/>
          <w:lang w:val="es-MX" w:eastAsia="x-none"/>
        </w:rPr>
      </w:pPr>
      <w:r w:rsidRPr="008A44D4">
        <w:rPr>
          <w:rFonts w:ascii="Arial" w:hAnsi="Arial" w:cs="Arial"/>
          <w:b/>
          <w:sz w:val="22"/>
          <w:szCs w:val="22"/>
          <w:lang w:val="es-MX" w:eastAsia="x-none"/>
        </w:rPr>
        <w:t>2.5.</w:t>
      </w:r>
      <w:r w:rsidR="009C571D" w:rsidRPr="008A44D4">
        <w:rPr>
          <w:rFonts w:ascii="Arial" w:hAnsi="Arial" w:cs="Arial"/>
          <w:b/>
          <w:sz w:val="22"/>
          <w:szCs w:val="22"/>
          <w:lang w:val="es-MX" w:eastAsia="x-none"/>
        </w:rPr>
        <w:t xml:space="preserve"> Destinatarios de la restricción del artículo 33 de la Ley 996 de 2005</w:t>
      </w:r>
    </w:p>
    <w:p w14:paraId="6C12139C" w14:textId="77777777" w:rsidR="009C571D" w:rsidRPr="008A44D4" w:rsidRDefault="009C571D" w:rsidP="009C571D">
      <w:pPr>
        <w:spacing w:line="276" w:lineRule="auto"/>
        <w:jc w:val="both"/>
        <w:rPr>
          <w:rFonts w:ascii="Arial" w:hAnsi="Arial" w:cs="Arial"/>
          <w:bCs/>
          <w:sz w:val="22"/>
          <w:szCs w:val="22"/>
          <w:lang w:val="es-MX" w:eastAsia="x-none"/>
        </w:rPr>
      </w:pPr>
    </w:p>
    <w:p w14:paraId="6A09C902" w14:textId="77777777" w:rsidR="00210FD1" w:rsidRPr="008A44D4" w:rsidRDefault="00210FD1" w:rsidP="00210FD1">
      <w:pPr>
        <w:spacing w:line="276" w:lineRule="auto"/>
        <w:jc w:val="both"/>
        <w:rPr>
          <w:rFonts w:ascii="Arial" w:eastAsia="Arial" w:hAnsi="Arial" w:cs="Arial"/>
          <w:sz w:val="22"/>
          <w:szCs w:val="22"/>
          <w:lang w:eastAsia="es-ES_tradnl"/>
        </w:rPr>
      </w:pPr>
      <w:r w:rsidRPr="008A44D4">
        <w:rPr>
          <w:rFonts w:ascii="Arial" w:eastAsia="Arial" w:hAnsi="Arial" w:cs="Arial"/>
          <w:sz w:val="22"/>
          <w:szCs w:val="22"/>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8A44D4">
        <w:rPr>
          <w:rFonts w:ascii="Arial" w:hAnsi="Arial" w:cs="Arial"/>
        </w:rPr>
        <w:t xml:space="preserve"> </w:t>
      </w:r>
      <w:r w:rsidRPr="008A44D4">
        <w:rPr>
          <w:rFonts w:ascii="Arial" w:eastAsia="Arial" w:hAnsi="Arial" w:cs="Arial"/>
          <w:sz w:val="22"/>
          <w:szCs w:val="22"/>
        </w:rPr>
        <w:t>En efecto, tal como lo ha sostenido el Consejo de Estado, el vocablo «todos» utilizado por el legislador comprende</w:t>
      </w:r>
      <w:r w:rsidRPr="008A44D4">
        <w:rPr>
          <w:rFonts w:ascii="Arial" w:hAnsi="Arial" w:cs="Arial"/>
        </w:rPr>
        <w:t xml:space="preserve"> </w:t>
      </w:r>
      <w:r w:rsidRPr="008A44D4">
        <w:rPr>
          <w:rFonts w:ascii="Arial" w:eastAsia="Arial" w:hAnsi="Arial" w:cs="Arial"/>
          <w:sz w:val="22"/>
          <w:szCs w:val="22"/>
        </w:rPr>
        <w:t xml:space="preserve">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El Consejo de Estado, en Concepto con radicado 1727 de fecha 20 de febrero de 2006, consideró que: </w:t>
      </w:r>
    </w:p>
    <w:p w14:paraId="14714BDD" w14:textId="77777777" w:rsidR="00210FD1" w:rsidRPr="008A44D4" w:rsidRDefault="00210FD1" w:rsidP="00210FD1">
      <w:pPr>
        <w:spacing w:line="276" w:lineRule="auto"/>
        <w:ind w:firstLine="708"/>
        <w:jc w:val="both"/>
        <w:rPr>
          <w:rFonts w:ascii="Arial" w:eastAsia="Arial" w:hAnsi="Arial" w:cs="Arial"/>
          <w:sz w:val="22"/>
          <w:szCs w:val="22"/>
        </w:rPr>
      </w:pPr>
    </w:p>
    <w:p w14:paraId="5978139B" w14:textId="77777777" w:rsidR="00210FD1" w:rsidRPr="008A44D4" w:rsidRDefault="00210FD1" w:rsidP="00210FD1">
      <w:pPr>
        <w:ind w:left="709" w:right="709"/>
        <w:jc w:val="both"/>
        <w:rPr>
          <w:rFonts w:ascii="Arial" w:hAnsi="Arial" w:cs="Arial"/>
        </w:rPr>
      </w:pPr>
      <w:r w:rsidRPr="008A44D4">
        <w:rPr>
          <w:rFonts w:ascii="Arial" w:eastAsia="Arial" w:hAnsi="Arial" w:cs="Arial"/>
          <w:sz w:val="21"/>
          <w:szCs w:val="21"/>
        </w:rPr>
        <w:t xml:space="preserve">El artículo 33 de la ley 996 de 2005, 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públicos oficiales y empresas </w:t>
      </w:r>
      <w:r w:rsidRPr="008A44D4">
        <w:rPr>
          <w:rFonts w:ascii="Arial" w:eastAsia="Arial" w:hAnsi="Arial" w:cs="Arial"/>
          <w:sz w:val="21"/>
          <w:szCs w:val="21"/>
        </w:rPr>
        <w:lastRenderedPageBreak/>
        <w:t>industriales y comerciales del Estado) y a los municipios prestadores directos, incluyendo las excepciones contenidas en el segundo inciso de esta norma</w:t>
      </w:r>
      <w:r w:rsidRPr="008A44D4">
        <w:rPr>
          <w:rFonts w:ascii="Arial" w:eastAsia="Arial" w:hAnsi="Arial" w:cs="Arial"/>
          <w:sz w:val="21"/>
          <w:szCs w:val="21"/>
          <w:vertAlign w:val="superscript"/>
        </w:rPr>
        <w:footnoteReference w:id="27"/>
      </w:r>
      <w:r w:rsidRPr="008A44D4">
        <w:rPr>
          <w:rFonts w:ascii="Arial" w:eastAsia="Arial" w:hAnsi="Arial" w:cs="Arial"/>
          <w:sz w:val="21"/>
          <w:szCs w:val="21"/>
        </w:rPr>
        <w:t xml:space="preserve">. </w:t>
      </w:r>
    </w:p>
    <w:p w14:paraId="6E951598" w14:textId="77777777" w:rsidR="00210FD1" w:rsidRPr="008A44D4" w:rsidRDefault="00210FD1" w:rsidP="00210FD1">
      <w:pPr>
        <w:spacing w:line="276" w:lineRule="auto"/>
        <w:jc w:val="both"/>
        <w:rPr>
          <w:rFonts w:ascii="Arial" w:eastAsia="Arial" w:hAnsi="Arial" w:cs="Arial"/>
          <w:sz w:val="22"/>
          <w:szCs w:val="22"/>
        </w:rPr>
      </w:pPr>
    </w:p>
    <w:p w14:paraId="686A64D3" w14:textId="77777777" w:rsidR="00210FD1" w:rsidRPr="008A44D4" w:rsidRDefault="00210FD1" w:rsidP="00210FD1">
      <w:pPr>
        <w:spacing w:line="276" w:lineRule="auto"/>
        <w:ind w:firstLine="709"/>
        <w:jc w:val="both"/>
        <w:rPr>
          <w:rFonts w:ascii="Arial" w:eastAsia="Arial" w:hAnsi="Arial" w:cs="Arial"/>
          <w:bCs/>
          <w:sz w:val="22"/>
          <w:szCs w:val="22"/>
        </w:rPr>
      </w:pPr>
      <w:bookmarkStart w:id="16" w:name="_3as4poj"/>
      <w:bookmarkStart w:id="17" w:name="_1pxezwc"/>
      <w:bookmarkEnd w:id="16"/>
      <w:bookmarkEnd w:id="17"/>
      <w:r w:rsidRPr="008A44D4">
        <w:rPr>
          <w:rFonts w:ascii="Arial" w:eastAsia="Arial" w:hAnsi="Arial" w:cs="Arial"/>
          <w:sz w:val="22"/>
          <w:szCs w:val="22"/>
        </w:rPr>
        <w:t>Por lo tanto, la restricción prevista en la Ley 996 de 2005, teniendo en cuenta la finalidad de la ley de garantías electorales, cobija a cualquier ente público que pueda a través de la contratación directa romper el equilibrio entre los partidos y los candidatos en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p>
    <w:p w14:paraId="54AACF30" w14:textId="77777777" w:rsidR="00210FD1" w:rsidRPr="008A44D4" w:rsidRDefault="00210FD1" w:rsidP="00210FD1">
      <w:pPr>
        <w:spacing w:before="120" w:line="276" w:lineRule="auto"/>
        <w:ind w:firstLine="709"/>
        <w:jc w:val="both"/>
        <w:rPr>
          <w:rFonts w:ascii="Arial" w:eastAsia="Arial" w:hAnsi="Arial" w:cs="Arial"/>
          <w:bCs/>
          <w:sz w:val="22"/>
          <w:szCs w:val="22"/>
        </w:rPr>
      </w:pPr>
      <w:bookmarkStart w:id="18" w:name="_49x2ik5"/>
      <w:bookmarkEnd w:id="18"/>
      <w:r w:rsidRPr="008A44D4">
        <w:rPr>
          <w:rFonts w:ascii="Arial" w:eastAsia="Arial" w:hAnsi="Arial" w:cs="Arial"/>
          <w:bCs/>
          <w:sz w:val="22"/>
          <w:szCs w:val="22"/>
        </w:rPr>
        <w:t>En este punto, debe tenerse en cuenta que los departamentos estarían cobijados por la prohibición para contratar directamente establecida en el artículo 33 de la Ley de Garantías. Sin embargo, es necesario señalar que el inciso 2 del mismo artículo consagra excepciones a dicha prohibición sin hacer distingo entre entidades sino, como se explicó, atendiendo a la naturaleza de las funciones y actividades que ellas desarrollen. Así las cosas, no es relevante ni la nominación ni el régimen aplicable para la respectiva entidad, sino que basta con que la misma desarrolle cierto tipo de actividades cuya contratación, por su naturaleza especialmente sensible, no admiten postergación, entre ellas las realizadas por entidades sanitarias u hospitalarias.</w:t>
      </w:r>
    </w:p>
    <w:p w14:paraId="37DB4ACA" w14:textId="77777777" w:rsidR="00210FD1" w:rsidRPr="008A44D4" w:rsidRDefault="00210FD1" w:rsidP="00210FD1">
      <w:pPr>
        <w:tabs>
          <w:tab w:val="left" w:pos="426"/>
        </w:tabs>
        <w:spacing w:before="120" w:line="276" w:lineRule="auto"/>
        <w:jc w:val="both"/>
        <w:rPr>
          <w:rFonts w:ascii="Arial" w:hAnsi="Arial" w:cs="Arial"/>
          <w:bCs/>
          <w:sz w:val="22"/>
          <w:lang w:val="es-ES_tradnl"/>
        </w:rPr>
      </w:pPr>
      <w:r w:rsidRPr="008A44D4">
        <w:rPr>
          <w:rFonts w:ascii="Arial" w:eastAsia="Arial" w:hAnsi="Arial" w:cs="Arial"/>
          <w:bCs/>
          <w:sz w:val="22"/>
          <w:szCs w:val="22"/>
        </w:rPr>
        <w:tab/>
      </w:r>
      <w:r w:rsidRPr="008A44D4">
        <w:rPr>
          <w:rFonts w:ascii="Arial" w:eastAsia="Arial" w:hAnsi="Arial" w:cs="Arial"/>
          <w:bCs/>
          <w:sz w:val="22"/>
          <w:szCs w:val="22"/>
        </w:rPr>
        <w:tab/>
        <w:t xml:space="preserve">Al respecto, es importante reiterar que </w:t>
      </w:r>
      <w:r w:rsidRPr="008A44D4">
        <w:rPr>
          <w:rFonts w:ascii="Arial" w:hAnsi="Arial" w:cs="Arial"/>
          <w:bCs/>
          <w:sz w:val="22"/>
          <w:lang w:val="es-ES_tradnl"/>
        </w:rPr>
        <w:t>el segundo inciso del artículo 33 de la Ley de Garantías Electorales consagró las excepciones aplicables a la prohibición de contratación directa establecida en el mismo artículo. Como se indicó, las excepciones a la prohibición del artículo 33 de la norma mencionada son las siguientes:</w:t>
      </w:r>
    </w:p>
    <w:p w14:paraId="72D105DD" w14:textId="77777777" w:rsidR="00210FD1" w:rsidRPr="008A44D4" w:rsidRDefault="00210FD1" w:rsidP="00210FD1">
      <w:pPr>
        <w:tabs>
          <w:tab w:val="left" w:pos="709"/>
        </w:tabs>
        <w:spacing w:before="120" w:line="276" w:lineRule="auto"/>
        <w:jc w:val="both"/>
        <w:rPr>
          <w:rFonts w:ascii="Arial" w:hAnsi="Arial" w:cs="Arial"/>
          <w:bCs/>
          <w:sz w:val="22"/>
          <w:lang w:val="es-ES_tradnl"/>
        </w:rPr>
      </w:pPr>
      <w:r w:rsidRPr="008A44D4">
        <w:rPr>
          <w:rFonts w:ascii="Arial" w:hAnsi="Arial" w:cs="Arial"/>
          <w:bCs/>
          <w:sz w:val="22"/>
          <w:lang w:val="es-ES_tradnl"/>
        </w:rPr>
        <w:tab/>
        <w:t>i) La contratación referente a la defensa y seguridad del Estado;</w:t>
      </w:r>
    </w:p>
    <w:p w14:paraId="57DAF15C" w14:textId="77777777" w:rsidR="00210FD1" w:rsidRPr="008A44D4" w:rsidRDefault="00210FD1" w:rsidP="00210FD1">
      <w:pPr>
        <w:tabs>
          <w:tab w:val="left" w:pos="709"/>
        </w:tabs>
        <w:spacing w:before="120" w:line="276" w:lineRule="auto"/>
        <w:jc w:val="both"/>
        <w:rPr>
          <w:rFonts w:ascii="Arial" w:hAnsi="Arial" w:cs="Arial"/>
          <w:bCs/>
          <w:sz w:val="22"/>
          <w:lang w:val="es-ES_tradnl"/>
        </w:rPr>
      </w:pPr>
      <w:r w:rsidRPr="008A44D4">
        <w:rPr>
          <w:rFonts w:ascii="Arial" w:hAnsi="Arial" w:cs="Arial"/>
          <w:bCs/>
          <w:sz w:val="22"/>
          <w:lang w:val="es-ES_tradnl"/>
        </w:rPr>
        <w:tab/>
        <w:t>ii) Los contratos de crédito público;</w:t>
      </w:r>
    </w:p>
    <w:p w14:paraId="056A3CDA" w14:textId="77777777" w:rsidR="00210FD1" w:rsidRPr="008A44D4" w:rsidRDefault="00210FD1" w:rsidP="00210FD1">
      <w:pPr>
        <w:tabs>
          <w:tab w:val="left" w:pos="709"/>
        </w:tabs>
        <w:spacing w:before="120" w:line="276" w:lineRule="auto"/>
        <w:jc w:val="both"/>
        <w:rPr>
          <w:rFonts w:ascii="Arial" w:hAnsi="Arial" w:cs="Arial"/>
          <w:bCs/>
          <w:sz w:val="22"/>
          <w:lang w:val="es-ES_tradnl"/>
        </w:rPr>
      </w:pPr>
      <w:r w:rsidRPr="008A44D4">
        <w:rPr>
          <w:rFonts w:ascii="Arial" w:hAnsi="Arial" w:cs="Arial"/>
          <w:bCs/>
          <w:sz w:val="22"/>
          <w:lang w:val="es-ES_tradnl"/>
        </w:rPr>
        <w:tab/>
        <w:t xml:space="preserve">iii) Los contratos requeridos para cubrir las emergencias educativas, sanitarias y desastres; </w:t>
      </w:r>
    </w:p>
    <w:p w14:paraId="57AD3649" w14:textId="77777777" w:rsidR="00210FD1" w:rsidRPr="008A44D4" w:rsidRDefault="00210FD1" w:rsidP="00210FD1">
      <w:pPr>
        <w:tabs>
          <w:tab w:val="left" w:pos="709"/>
        </w:tabs>
        <w:spacing w:before="120" w:line="276" w:lineRule="auto"/>
        <w:jc w:val="both"/>
        <w:rPr>
          <w:rFonts w:ascii="Arial" w:hAnsi="Arial" w:cs="Arial"/>
          <w:bCs/>
          <w:sz w:val="22"/>
          <w:lang w:val="es-ES_tradnl"/>
        </w:rPr>
      </w:pPr>
      <w:r w:rsidRPr="008A44D4">
        <w:rPr>
          <w:rFonts w:ascii="Arial" w:hAnsi="Arial" w:cs="Arial"/>
          <w:bCs/>
          <w:sz w:val="22"/>
          <w:lang w:val="es-ES_tradnl"/>
        </w:rPr>
        <w:lastRenderedPageBreak/>
        <w:tab/>
        <w:t>iv) La contratación para la reconstrucción de vías, puentes, carreteras, infraestructura energética y de comunicaciones, en caso de que hayan sido objeto de atentados, acciones terroristas, desastres naturales o casos de fuerza mayor y;</w:t>
      </w:r>
    </w:p>
    <w:p w14:paraId="2B08661D" w14:textId="77777777" w:rsidR="00210FD1" w:rsidRPr="008A44D4" w:rsidRDefault="00210FD1" w:rsidP="00210FD1">
      <w:pPr>
        <w:tabs>
          <w:tab w:val="left" w:pos="709"/>
        </w:tabs>
        <w:spacing w:before="120" w:line="276" w:lineRule="auto"/>
        <w:jc w:val="both"/>
        <w:rPr>
          <w:rFonts w:ascii="Arial" w:hAnsi="Arial" w:cs="Arial"/>
          <w:bCs/>
          <w:sz w:val="22"/>
          <w:lang w:val="es-ES_tradnl"/>
        </w:rPr>
      </w:pPr>
      <w:r w:rsidRPr="008A44D4">
        <w:rPr>
          <w:rFonts w:ascii="Arial" w:hAnsi="Arial" w:cs="Arial"/>
          <w:bCs/>
          <w:sz w:val="22"/>
          <w:lang w:val="es-ES_tradnl"/>
        </w:rPr>
        <w:tab/>
        <w:t xml:space="preserve">v) La contratación que deban realizar las entidades sanitarias y hospitalarias. </w:t>
      </w:r>
    </w:p>
    <w:p w14:paraId="7C4226F8" w14:textId="77777777" w:rsidR="00210FD1" w:rsidRPr="008A44D4" w:rsidRDefault="00210FD1" w:rsidP="00210FD1">
      <w:pPr>
        <w:tabs>
          <w:tab w:val="left" w:pos="426"/>
        </w:tabs>
        <w:spacing w:before="120" w:line="276" w:lineRule="auto"/>
        <w:ind w:firstLine="709"/>
        <w:jc w:val="both"/>
        <w:rPr>
          <w:rFonts w:ascii="Arial" w:hAnsi="Arial" w:cs="Arial"/>
          <w:bCs/>
          <w:sz w:val="22"/>
          <w:lang w:val="es-ES_tradnl"/>
        </w:rPr>
      </w:pPr>
      <w:r w:rsidRPr="008A44D4">
        <w:rPr>
          <w:rFonts w:ascii="Arial" w:hAnsi="Arial" w:cs="Arial"/>
          <w:bCs/>
          <w:sz w:val="22"/>
          <w:lang w:val="es-ES_tradnl"/>
        </w:rPr>
        <w:t xml:space="preserve">La Sala de Consulta y Servicio Civil del Consejo de Estado, en concepto del 4 de febrero de 2010, se pronunció frente a las razones por las que el legislador consagró excepciones al artículo 33 de la Ley de Garantías Electorales: </w:t>
      </w:r>
    </w:p>
    <w:p w14:paraId="10DE0064" w14:textId="77777777" w:rsidR="00210FD1" w:rsidRPr="008A44D4" w:rsidRDefault="00210FD1" w:rsidP="00210FD1">
      <w:pPr>
        <w:tabs>
          <w:tab w:val="left" w:pos="426"/>
        </w:tabs>
        <w:ind w:firstLine="709"/>
        <w:jc w:val="both"/>
        <w:rPr>
          <w:rFonts w:ascii="Arial" w:hAnsi="Arial" w:cs="Arial"/>
          <w:bCs/>
          <w:sz w:val="22"/>
          <w:lang w:val="es-ES_tradnl"/>
        </w:rPr>
      </w:pPr>
    </w:p>
    <w:p w14:paraId="2FC1BF64" w14:textId="77777777" w:rsidR="00210FD1" w:rsidRPr="008A44D4" w:rsidRDefault="00210FD1" w:rsidP="00210FD1">
      <w:pPr>
        <w:shd w:val="clear" w:color="auto" w:fill="FFFFFF"/>
        <w:ind w:left="709" w:right="709"/>
        <w:jc w:val="both"/>
        <w:rPr>
          <w:rFonts w:ascii="Arial" w:hAnsi="Arial" w:cs="Arial"/>
          <w:sz w:val="21"/>
          <w:szCs w:val="21"/>
          <w:lang w:val="es-ES_tradnl" w:eastAsia="es-CO"/>
        </w:rPr>
      </w:pPr>
      <w:r w:rsidRPr="008A44D4">
        <w:rPr>
          <w:rFonts w:ascii="Arial" w:hAnsi="Arial" w:cs="Arial"/>
          <w:sz w:val="21"/>
          <w:szCs w:val="21"/>
          <w:lang w:val="es-ES_tradnl" w:eastAsia="es-CO"/>
        </w:rPr>
        <w:t>[…] Las excepciones establecidas en los artículos 32 y 33 en comento, guardan relación, exclusivamente, con algunos servicios públicos que por su naturaleza no admiten postergaciones en la atención de sus necesidades de personal, bienes y servicios [...]</w:t>
      </w:r>
      <w:r w:rsidRPr="008A44D4">
        <w:rPr>
          <w:rStyle w:val="Refdenotaalpie"/>
          <w:rFonts w:ascii="Arial" w:hAnsi="Arial" w:cs="Arial"/>
          <w:sz w:val="21"/>
          <w:szCs w:val="21"/>
          <w:lang w:val="es-ES_tradnl" w:eastAsia="es-CO"/>
        </w:rPr>
        <w:footnoteReference w:id="28"/>
      </w:r>
      <w:r w:rsidRPr="008A44D4">
        <w:rPr>
          <w:rFonts w:ascii="Arial" w:hAnsi="Arial" w:cs="Arial"/>
          <w:sz w:val="21"/>
          <w:szCs w:val="21"/>
          <w:lang w:val="es-ES_tradnl" w:eastAsia="es-CO"/>
        </w:rPr>
        <w:t xml:space="preserve">. </w:t>
      </w:r>
    </w:p>
    <w:p w14:paraId="36D8289C" w14:textId="77777777" w:rsidR="00210FD1" w:rsidRPr="008A44D4" w:rsidRDefault="00210FD1" w:rsidP="00210FD1">
      <w:pPr>
        <w:shd w:val="clear" w:color="auto" w:fill="FFFFFF"/>
        <w:spacing w:line="276" w:lineRule="auto"/>
        <w:ind w:left="709" w:right="709"/>
        <w:jc w:val="both"/>
        <w:rPr>
          <w:rFonts w:ascii="Arial" w:hAnsi="Arial" w:cs="Arial"/>
          <w:sz w:val="21"/>
          <w:szCs w:val="21"/>
          <w:lang w:val="es-ES_tradnl" w:eastAsia="es-CO"/>
        </w:rPr>
      </w:pPr>
    </w:p>
    <w:p w14:paraId="1D9AB4E0" w14:textId="77777777" w:rsidR="00210FD1" w:rsidRPr="008A44D4" w:rsidRDefault="00210FD1" w:rsidP="00210FD1">
      <w:pPr>
        <w:shd w:val="clear" w:color="auto" w:fill="FFFFFF"/>
        <w:spacing w:line="276" w:lineRule="auto"/>
        <w:ind w:firstLine="709"/>
        <w:jc w:val="both"/>
        <w:rPr>
          <w:rFonts w:ascii="Arial" w:hAnsi="Arial" w:cs="Arial"/>
          <w:sz w:val="22"/>
          <w:lang w:val="es-ES_tradnl" w:eastAsia="es-CO"/>
        </w:rPr>
      </w:pPr>
      <w:r w:rsidRPr="008A44D4">
        <w:rPr>
          <w:rFonts w:ascii="Arial" w:hAnsi="Arial" w:cs="Arial"/>
          <w:sz w:val="22"/>
          <w:lang w:val="es-ES_tradnl" w:eastAsia="es-CO"/>
        </w:rPr>
        <w:t>A su vez, la Corte Constitucional, al analizar la constitucionalidad de la Ley de Garantías Electorales, consideró que las prohibiciones consagradas en los artículos 32 y 33 de la ley mencionada no pueden ir en detrimento de intereses públicos. Por lo anterior, la Alta Corte consideró que las excepciones para la prohibición de contratación se encontraban justificadas, declarando su exequibilidad. Así, por ejemplo, la Corte Constitucional explicó que «las excepciones de limitación protegen diversos tipos de urgencias de defensa, salud, educación, infraestructura vial y de servicios públicos y ecológicas tienden a no limitar desproporcionadamente la acción del Estado en el cumplimiento de sus fines, en procura de la igualdad entre candidatos como garantía electoral»</w:t>
      </w:r>
      <w:r w:rsidRPr="008A44D4">
        <w:rPr>
          <w:rStyle w:val="Refdenotaalpie"/>
          <w:rFonts w:ascii="Arial" w:hAnsi="Arial" w:cs="Arial"/>
          <w:sz w:val="22"/>
          <w:lang w:val="es-ES_tradnl" w:eastAsia="es-CO"/>
        </w:rPr>
        <w:footnoteReference w:id="29"/>
      </w:r>
      <w:r w:rsidRPr="008A44D4">
        <w:rPr>
          <w:rFonts w:ascii="Arial" w:hAnsi="Arial" w:cs="Arial"/>
          <w:sz w:val="22"/>
          <w:lang w:val="es-ES_tradnl" w:eastAsia="es-CO"/>
        </w:rPr>
        <w:t xml:space="preserve">. </w:t>
      </w:r>
    </w:p>
    <w:p w14:paraId="5319C4CC" w14:textId="77777777" w:rsidR="00210FD1" w:rsidRPr="008A44D4" w:rsidRDefault="00210FD1" w:rsidP="00210FD1">
      <w:pPr>
        <w:tabs>
          <w:tab w:val="left" w:pos="426"/>
        </w:tabs>
        <w:spacing w:before="120" w:line="276" w:lineRule="auto"/>
        <w:ind w:firstLine="709"/>
        <w:jc w:val="both"/>
        <w:rPr>
          <w:rFonts w:ascii="Arial" w:hAnsi="Arial" w:cs="Arial"/>
          <w:sz w:val="22"/>
          <w:lang w:val="es-ES_tradnl" w:eastAsia="es-ES_tradnl"/>
        </w:rPr>
      </w:pPr>
      <w:r w:rsidRPr="008A44D4">
        <w:rPr>
          <w:rFonts w:ascii="Arial" w:hAnsi="Arial" w:cs="Arial"/>
          <w:bCs/>
          <w:sz w:val="22"/>
          <w:lang w:val="es-ES_tradnl"/>
        </w:rPr>
        <w:t>Por tanto, las excepciones a la prohibición contenida en el inciso segundo de artículo 33 de la ley de garantías electorales tienen por finalidad garantizar la prestación ininterrumpida de algunos servicios públicos, que dada su importancia en el orden interno, se verían irrazonablemente afectados por la restricción explicada. De igual forma, la Sala de Consulta y Servicio Civil del Consejo de Estado, en concepto del 2 de septiembre de 2013</w:t>
      </w:r>
      <w:r w:rsidRPr="008A44D4">
        <w:rPr>
          <w:rFonts w:ascii="Arial" w:hAnsi="Arial" w:cs="Arial"/>
          <w:sz w:val="22"/>
          <w:lang w:val="es-ES_tradnl"/>
        </w:rPr>
        <w:t xml:space="preserve">, mencionó las excepciones a la prohibición del artículo 33 de la Ley de Garantías Electorales, resaltando el carácter taxativo de la regla de excepción referida, y señalando la independencia de los supuestos establecidos allí, así: </w:t>
      </w:r>
    </w:p>
    <w:p w14:paraId="1E9FB4A2" w14:textId="77777777" w:rsidR="00210FD1" w:rsidRPr="008A44D4" w:rsidRDefault="00210FD1" w:rsidP="00210FD1">
      <w:pPr>
        <w:tabs>
          <w:tab w:val="left" w:pos="426"/>
        </w:tabs>
        <w:spacing w:line="276" w:lineRule="auto"/>
        <w:ind w:firstLine="709"/>
        <w:jc w:val="both"/>
        <w:rPr>
          <w:rFonts w:ascii="Arial" w:hAnsi="Arial" w:cs="Arial"/>
          <w:bCs/>
          <w:sz w:val="22"/>
          <w:lang w:val="es-ES_tradnl"/>
        </w:rPr>
      </w:pPr>
    </w:p>
    <w:p w14:paraId="6FE15B41" w14:textId="77777777" w:rsidR="00210FD1" w:rsidRPr="008A44D4" w:rsidRDefault="00210FD1" w:rsidP="00210FD1">
      <w:pPr>
        <w:tabs>
          <w:tab w:val="left" w:pos="426"/>
        </w:tabs>
        <w:ind w:right="709"/>
        <w:jc w:val="both"/>
        <w:rPr>
          <w:rFonts w:ascii="Arial" w:hAnsi="Arial" w:cs="Arial"/>
          <w:sz w:val="21"/>
          <w:szCs w:val="21"/>
          <w:lang w:val="es-ES_tradnl"/>
        </w:rPr>
      </w:pPr>
      <w:r w:rsidRPr="008A44D4">
        <w:rPr>
          <w:rFonts w:ascii="Arial" w:hAnsi="Arial" w:cs="Arial"/>
          <w:sz w:val="21"/>
          <w:szCs w:val="21"/>
          <w:lang w:val="es-ES_tradnl"/>
        </w:rPr>
        <w:tab/>
      </w:r>
      <w:r w:rsidRPr="008A44D4">
        <w:rPr>
          <w:rFonts w:ascii="Arial" w:hAnsi="Arial" w:cs="Arial"/>
          <w:sz w:val="21"/>
          <w:szCs w:val="21"/>
          <w:lang w:val="es-ES_tradnl"/>
        </w:rPr>
        <w:tab/>
        <w:t>[…]</w:t>
      </w:r>
    </w:p>
    <w:p w14:paraId="3376B37E" w14:textId="77777777" w:rsidR="00210FD1" w:rsidRPr="008A44D4" w:rsidRDefault="00210FD1" w:rsidP="00210FD1">
      <w:pPr>
        <w:tabs>
          <w:tab w:val="left" w:pos="426"/>
        </w:tabs>
        <w:ind w:right="709"/>
        <w:jc w:val="both"/>
        <w:rPr>
          <w:rFonts w:ascii="Arial" w:hAnsi="Arial" w:cs="Arial"/>
          <w:sz w:val="21"/>
          <w:szCs w:val="21"/>
          <w:lang w:val="es-ES_tradnl"/>
        </w:rPr>
      </w:pPr>
    </w:p>
    <w:p w14:paraId="6BD0AB62" w14:textId="77777777" w:rsidR="00210FD1" w:rsidRPr="008A44D4" w:rsidRDefault="00210FD1" w:rsidP="00210FD1">
      <w:pPr>
        <w:ind w:left="709" w:right="709"/>
        <w:jc w:val="both"/>
        <w:rPr>
          <w:rFonts w:ascii="Arial" w:hAnsi="Arial" w:cs="Arial"/>
          <w:i/>
          <w:sz w:val="21"/>
          <w:szCs w:val="21"/>
          <w:lang w:val="es-ES_tradnl"/>
        </w:rPr>
      </w:pPr>
      <w:r w:rsidRPr="008A44D4">
        <w:rPr>
          <w:rFonts w:ascii="Arial" w:hAnsi="Arial" w:cs="Arial"/>
          <w:i/>
          <w:sz w:val="21"/>
          <w:szCs w:val="21"/>
          <w:lang w:val="es-ES_tradnl"/>
        </w:rPr>
        <w:t>Las excepciones aplicables a la restricción de contratación pública</w:t>
      </w:r>
    </w:p>
    <w:p w14:paraId="3F4BBACC" w14:textId="77777777" w:rsidR="00210FD1" w:rsidRPr="008A44D4" w:rsidRDefault="00210FD1" w:rsidP="00210FD1">
      <w:pPr>
        <w:ind w:left="709" w:right="709"/>
        <w:jc w:val="both"/>
        <w:rPr>
          <w:rFonts w:ascii="Arial" w:hAnsi="Arial" w:cs="Arial"/>
          <w:i/>
          <w:sz w:val="21"/>
          <w:szCs w:val="21"/>
          <w:lang w:val="es-ES_tradnl"/>
        </w:rPr>
      </w:pPr>
    </w:p>
    <w:p w14:paraId="574A0909" w14:textId="77777777" w:rsidR="00210FD1" w:rsidRPr="008A44D4" w:rsidRDefault="00210FD1" w:rsidP="00210FD1">
      <w:pPr>
        <w:ind w:left="709" w:right="709"/>
        <w:jc w:val="both"/>
        <w:rPr>
          <w:rFonts w:ascii="Arial" w:hAnsi="Arial" w:cs="Arial"/>
          <w:sz w:val="21"/>
          <w:szCs w:val="21"/>
          <w:shd w:val="clear" w:color="auto" w:fill="FFFFFF"/>
          <w:lang w:val="es-ES_tradnl"/>
        </w:rPr>
      </w:pPr>
      <w:r w:rsidRPr="008A44D4">
        <w:rPr>
          <w:rFonts w:ascii="Arial" w:hAnsi="Arial" w:cs="Arial"/>
          <w:sz w:val="21"/>
          <w:szCs w:val="21"/>
          <w:shd w:val="clear" w:color="auto" w:fill="FFFFFF"/>
          <w:lang w:val="es-ES_tradnl"/>
        </w:rPr>
        <w:lastRenderedPageBreak/>
        <w:t>Ahora bien, las únicas excepciones a las disposiciones previstas en la Ley de Garantías se encuentran numeradas taxativamente en el último inciso del artículo 33 de la ley 996 de 2005, dentro de las que se encuentran:</w:t>
      </w:r>
    </w:p>
    <w:p w14:paraId="4E4991CF" w14:textId="77777777" w:rsidR="00210FD1" w:rsidRPr="008A44D4" w:rsidRDefault="00210FD1" w:rsidP="00210FD1">
      <w:pPr>
        <w:ind w:left="709" w:right="709"/>
        <w:jc w:val="both"/>
        <w:rPr>
          <w:rFonts w:ascii="Arial" w:hAnsi="Arial" w:cs="Arial"/>
          <w:sz w:val="21"/>
          <w:szCs w:val="21"/>
          <w:shd w:val="clear" w:color="auto" w:fill="FFFFFF"/>
          <w:lang w:val="es-ES_tradnl"/>
        </w:rPr>
      </w:pPr>
    </w:p>
    <w:p w14:paraId="776B8F7B" w14:textId="77777777" w:rsidR="00210FD1" w:rsidRPr="008A44D4" w:rsidRDefault="00210FD1" w:rsidP="00210FD1">
      <w:pPr>
        <w:ind w:left="709" w:right="709"/>
        <w:jc w:val="both"/>
        <w:rPr>
          <w:rFonts w:ascii="Arial" w:hAnsi="Arial" w:cs="Arial"/>
          <w:sz w:val="21"/>
          <w:szCs w:val="21"/>
          <w:shd w:val="clear" w:color="auto" w:fill="FFFFFF"/>
          <w:lang w:val="es-ES_tradnl"/>
        </w:rPr>
      </w:pPr>
      <w:r w:rsidRPr="008A44D4">
        <w:rPr>
          <w:rFonts w:ascii="Arial" w:hAnsi="Arial" w:cs="Arial"/>
          <w:sz w:val="21"/>
          <w:szCs w:val="21"/>
          <w:shd w:val="clear" w:color="auto" w:fill="FFFFFF"/>
          <w:lang w:val="es-ES_tradnl"/>
        </w:rPr>
        <w:t xml:space="preserve">[…] </w:t>
      </w:r>
    </w:p>
    <w:p w14:paraId="746C675A" w14:textId="77777777" w:rsidR="00210FD1" w:rsidRPr="008A44D4" w:rsidRDefault="00210FD1" w:rsidP="00210FD1">
      <w:pPr>
        <w:ind w:left="709" w:right="709"/>
        <w:jc w:val="both"/>
        <w:rPr>
          <w:rFonts w:ascii="Arial" w:hAnsi="Arial" w:cs="Arial"/>
          <w:sz w:val="21"/>
          <w:szCs w:val="21"/>
          <w:shd w:val="clear" w:color="auto" w:fill="FFFFFF"/>
          <w:lang w:val="es-ES_tradnl"/>
        </w:rPr>
      </w:pPr>
    </w:p>
    <w:p w14:paraId="7DC5E9B1" w14:textId="77777777" w:rsidR="00210FD1" w:rsidRPr="008A44D4" w:rsidRDefault="00210FD1" w:rsidP="00210FD1">
      <w:pPr>
        <w:ind w:left="709" w:right="709"/>
        <w:jc w:val="both"/>
        <w:rPr>
          <w:rFonts w:ascii="Arial" w:hAnsi="Arial" w:cs="Arial"/>
          <w:sz w:val="21"/>
          <w:szCs w:val="21"/>
          <w:shd w:val="clear" w:color="auto" w:fill="FFFFFF"/>
          <w:lang w:val="es-ES_tradnl"/>
        </w:rPr>
      </w:pPr>
      <w:r w:rsidRPr="008A44D4">
        <w:rPr>
          <w:rFonts w:ascii="Arial" w:hAnsi="Arial" w:cs="Arial"/>
          <w:sz w:val="21"/>
          <w:szCs w:val="21"/>
          <w:shd w:val="clear" w:color="auto" w:fill="FFFFFF"/>
          <w:lang w:val="es-ES_tradnl"/>
        </w:rPr>
        <w:t>5. Los que deban realizar las entidades sanitarias y hospitalarias […]</w:t>
      </w:r>
      <w:r w:rsidRPr="008A44D4">
        <w:rPr>
          <w:rStyle w:val="Refdenotaalpie"/>
          <w:rFonts w:ascii="Arial" w:hAnsi="Arial" w:cs="Arial"/>
          <w:sz w:val="21"/>
          <w:szCs w:val="21"/>
          <w:shd w:val="clear" w:color="auto" w:fill="FFFFFF"/>
          <w:lang w:val="es-ES_tradnl"/>
        </w:rPr>
        <w:footnoteReference w:id="30"/>
      </w:r>
      <w:r w:rsidRPr="008A44D4">
        <w:rPr>
          <w:rFonts w:ascii="Arial" w:hAnsi="Arial" w:cs="Arial"/>
          <w:sz w:val="21"/>
          <w:szCs w:val="21"/>
          <w:shd w:val="clear" w:color="auto" w:fill="FFFFFF"/>
          <w:lang w:val="es-ES_tradnl"/>
        </w:rPr>
        <w:t>.</w:t>
      </w:r>
    </w:p>
    <w:p w14:paraId="2CA33133" w14:textId="77777777" w:rsidR="00210FD1" w:rsidRPr="008A44D4" w:rsidRDefault="00210FD1" w:rsidP="00210FD1">
      <w:pPr>
        <w:spacing w:line="276" w:lineRule="auto"/>
        <w:ind w:left="709" w:right="709"/>
        <w:jc w:val="both"/>
        <w:rPr>
          <w:rFonts w:ascii="Arial" w:hAnsi="Arial" w:cs="Arial"/>
          <w:sz w:val="21"/>
          <w:szCs w:val="21"/>
          <w:shd w:val="clear" w:color="auto" w:fill="FFFFFF"/>
          <w:lang w:val="es-ES_tradnl"/>
        </w:rPr>
      </w:pPr>
    </w:p>
    <w:p w14:paraId="0BA33BC9" w14:textId="77777777" w:rsidR="00210FD1" w:rsidRPr="008A44D4" w:rsidRDefault="00210FD1" w:rsidP="00210FD1">
      <w:pPr>
        <w:tabs>
          <w:tab w:val="left" w:pos="426"/>
        </w:tabs>
        <w:spacing w:line="276" w:lineRule="auto"/>
        <w:ind w:firstLine="709"/>
        <w:jc w:val="both"/>
        <w:rPr>
          <w:rFonts w:ascii="Arial" w:hAnsi="Arial" w:cs="Arial"/>
          <w:bCs/>
          <w:sz w:val="22"/>
          <w:lang w:val="es-ES_tradnl"/>
        </w:rPr>
      </w:pPr>
      <w:r w:rsidRPr="008A44D4">
        <w:rPr>
          <w:rFonts w:ascii="Arial" w:hAnsi="Arial" w:cs="Arial"/>
          <w:bCs/>
          <w:sz w:val="22"/>
          <w:lang w:val="es-ES_tradnl"/>
        </w:rPr>
        <w:t>Lo anterior implica que las excepciones al artículo 33 en comento deben interpretarse y aplicarse manera restrictiva. En otras palabras, que no sería factible hacer interpretaciones extensivas</w:t>
      </w:r>
      <w:r w:rsidRPr="008A44D4">
        <w:rPr>
          <w:rFonts w:ascii="Arial" w:hAnsi="Arial" w:cs="Arial"/>
          <w:bCs/>
          <w:i/>
          <w:iCs/>
          <w:sz w:val="22"/>
          <w:lang w:val="es-ES_tradnl"/>
        </w:rPr>
        <w:t xml:space="preserve"> </w:t>
      </w:r>
      <w:r w:rsidRPr="008A44D4">
        <w:rPr>
          <w:rFonts w:ascii="Arial" w:hAnsi="Arial" w:cs="Arial"/>
          <w:bCs/>
          <w:sz w:val="22"/>
          <w:lang w:val="es-ES_tradnl"/>
        </w:rPr>
        <w:t xml:space="preserve">para incluir otros supuestos de hecho similares a las circunstancias previstas en dicho artículo, pues el carácter taxativo implica que solo en los eventos consagrados expresamente en la norma permiten que ciertas entidades estatales se vean exceptuadas de la prohibición. </w:t>
      </w:r>
    </w:p>
    <w:p w14:paraId="103941B9" w14:textId="77777777" w:rsidR="00210FD1" w:rsidRPr="008A44D4" w:rsidRDefault="00210FD1" w:rsidP="00210FD1">
      <w:pPr>
        <w:tabs>
          <w:tab w:val="left" w:pos="426"/>
        </w:tabs>
        <w:spacing w:before="120" w:line="276" w:lineRule="auto"/>
        <w:ind w:firstLine="709"/>
        <w:jc w:val="both"/>
        <w:rPr>
          <w:rFonts w:ascii="Arial" w:hAnsi="Arial" w:cs="Arial"/>
          <w:bCs/>
          <w:sz w:val="22"/>
          <w:lang w:val="es-ES_tradnl"/>
        </w:rPr>
      </w:pPr>
      <w:r w:rsidRPr="008A44D4">
        <w:rPr>
          <w:rFonts w:ascii="Arial" w:hAnsi="Arial" w:cs="Arial"/>
          <w:bCs/>
          <w:sz w:val="22"/>
          <w:lang w:val="es-ES_tradnl"/>
        </w:rPr>
        <w:t>Para efectos de la consulta es relevante el quinto evento</w:t>
      </w:r>
      <w:r w:rsidRPr="008A44D4">
        <w:rPr>
          <w:rFonts w:ascii="Arial" w:hAnsi="Arial" w:cs="Arial"/>
          <w:bCs/>
          <w:i/>
          <w:sz w:val="22"/>
          <w:lang w:val="es-ES_tradnl"/>
        </w:rPr>
        <w:t xml:space="preserve"> </w:t>
      </w:r>
      <w:r w:rsidRPr="008A44D4">
        <w:rPr>
          <w:rFonts w:ascii="Arial" w:hAnsi="Arial" w:cs="Arial"/>
          <w:bCs/>
          <w:iCs/>
          <w:sz w:val="22"/>
          <w:lang w:val="es-ES_tradnl"/>
        </w:rPr>
        <w:t xml:space="preserve">exceptuado de la prohibición, relacionado con la contratación por parte de las </w:t>
      </w:r>
      <w:r w:rsidRPr="008A44D4">
        <w:rPr>
          <w:rFonts w:ascii="Arial" w:hAnsi="Arial" w:cs="Arial"/>
          <w:bCs/>
          <w:i/>
          <w:iCs/>
          <w:sz w:val="22"/>
          <w:lang w:val="es-ES_tradnl"/>
        </w:rPr>
        <w:t>entidades sanitarias y hospitalarias</w:t>
      </w:r>
      <w:r w:rsidRPr="008A44D4">
        <w:rPr>
          <w:rFonts w:ascii="Arial" w:hAnsi="Arial" w:cs="Arial"/>
          <w:bCs/>
          <w:sz w:val="22"/>
          <w:lang w:val="es-ES_tradnl"/>
        </w:rPr>
        <w:t xml:space="preserve">. La aplicación de esta excepción a la restricción impuesta como regla general por el primer inciso del artículo 33, permite que las entidades sanitarias y hospitalarias, ante la importancia de los servicios que prestan para el grueso de la ciudadanía, puedan seguir realizando las compras y adquisiciones que requieren para prestarlos, incluso de manera directa, durante los periodos prelectorales, con lo que se busca garantizar que el interés público no se vea afectado por el rigor de la regla general. </w:t>
      </w:r>
    </w:p>
    <w:p w14:paraId="7F9B166B" w14:textId="77777777" w:rsidR="00210FD1" w:rsidRPr="008A44D4" w:rsidRDefault="00210FD1" w:rsidP="00210FD1">
      <w:pPr>
        <w:tabs>
          <w:tab w:val="left" w:pos="426"/>
        </w:tabs>
        <w:spacing w:before="120" w:line="276" w:lineRule="auto"/>
        <w:ind w:firstLine="709"/>
        <w:jc w:val="both"/>
        <w:rPr>
          <w:rFonts w:ascii="Arial" w:eastAsia="Arial" w:hAnsi="Arial" w:cs="Arial"/>
          <w:bCs/>
          <w:sz w:val="22"/>
          <w:szCs w:val="22"/>
        </w:rPr>
      </w:pPr>
      <w:r w:rsidRPr="008A44D4">
        <w:rPr>
          <w:rFonts w:ascii="Arial" w:hAnsi="Arial" w:cs="Arial"/>
          <w:bCs/>
          <w:sz w:val="22"/>
          <w:lang w:val="es-ES_tradnl"/>
        </w:rPr>
        <w:t xml:space="preserve">El alcance de esta excepción está determinado por la prestación de servicios sanitarios y hospitalarios, por lo que son las entidades públicas directamente encargadas de prestar estos servicios quienes estarían cobijadas por la excepción.  </w:t>
      </w:r>
      <w:r w:rsidRPr="008A44D4">
        <w:rPr>
          <w:rFonts w:ascii="Arial" w:eastAsia="Arial" w:hAnsi="Arial" w:cs="Arial"/>
          <w:bCs/>
          <w:sz w:val="22"/>
          <w:szCs w:val="22"/>
        </w:rPr>
        <w:t xml:space="preserve">Al respecto conviene diferenciar los conceptos de entidad sanitaria y autoridad sanitara, ya que, en efecto, el artículo 2.8.8.1.1.3 del Decreto 780 de 2016, «Por medio del cual se expide el Decreto Único Reglamentario del Sector Salud y Protección Social», define las </w:t>
      </w:r>
      <w:r w:rsidRPr="008A44D4">
        <w:rPr>
          <w:rFonts w:ascii="Arial" w:eastAsia="Arial" w:hAnsi="Arial" w:cs="Arial"/>
          <w:bCs/>
          <w:i/>
          <w:iCs/>
          <w:sz w:val="22"/>
          <w:szCs w:val="22"/>
        </w:rPr>
        <w:t>entidades sanitarias</w:t>
      </w:r>
      <w:r w:rsidRPr="008A44D4">
        <w:rPr>
          <w:rFonts w:ascii="Arial" w:eastAsia="Arial" w:hAnsi="Arial" w:cs="Arial"/>
          <w:bCs/>
          <w:sz w:val="22"/>
          <w:szCs w:val="22"/>
        </w:rPr>
        <w:t xml:space="preserve"> como «Entidades del Estado que prestan servicios sanitarios o de sanidad con el propósito de preservar la salud humana y la salud pública», mientras que a las </w:t>
      </w:r>
      <w:r w:rsidRPr="008A44D4">
        <w:rPr>
          <w:rFonts w:ascii="Arial" w:eastAsia="Arial" w:hAnsi="Arial" w:cs="Arial"/>
          <w:bCs/>
          <w:i/>
          <w:iCs/>
          <w:sz w:val="22"/>
          <w:szCs w:val="22"/>
        </w:rPr>
        <w:t>autoridades sanitarias</w:t>
      </w:r>
      <w:r w:rsidRPr="008A44D4">
        <w:rPr>
          <w:rFonts w:ascii="Arial" w:eastAsia="Arial" w:hAnsi="Arial" w:cs="Arial"/>
          <w:bCs/>
          <w:sz w:val="22"/>
          <w:szCs w:val="22"/>
        </w:rPr>
        <w:t xml:space="preserve"> como «Entidades jurídicas de carácter público con atribuciones para ejercer funciones de rectoría, regulación, inspección, vigilancia y control de los sectores público y privado en salud y adoptar medidas de prevención y seguimiento que garanticen la protección de la salud pública»</w:t>
      </w:r>
      <w:r w:rsidRPr="008A44D4">
        <w:rPr>
          <w:rStyle w:val="Refdenotaalpie"/>
          <w:rFonts w:ascii="Arial" w:eastAsia="Arial" w:hAnsi="Arial" w:cs="Arial"/>
          <w:bCs/>
          <w:sz w:val="22"/>
          <w:szCs w:val="22"/>
        </w:rPr>
        <w:footnoteReference w:id="31"/>
      </w:r>
      <w:r w:rsidRPr="008A44D4">
        <w:rPr>
          <w:rFonts w:ascii="Arial" w:eastAsia="Arial" w:hAnsi="Arial" w:cs="Arial"/>
          <w:bCs/>
          <w:sz w:val="22"/>
          <w:szCs w:val="22"/>
        </w:rPr>
        <w:t>.</w:t>
      </w:r>
    </w:p>
    <w:p w14:paraId="7BB7FA42" w14:textId="77777777" w:rsidR="00210FD1" w:rsidRPr="008A44D4" w:rsidRDefault="00210FD1" w:rsidP="00210FD1">
      <w:pPr>
        <w:tabs>
          <w:tab w:val="left" w:pos="426"/>
        </w:tabs>
        <w:spacing w:before="120" w:after="120" w:line="276" w:lineRule="auto"/>
        <w:ind w:firstLine="709"/>
        <w:jc w:val="both"/>
        <w:rPr>
          <w:rFonts w:ascii="Arial" w:eastAsia="Arial" w:hAnsi="Arial" w:cs="Arial"/>
          <w:bCs/>
          <w:sz w:val="22"/>
          <w:szCs w:val="22"/>
          <w:lang w:val="es-ES_tradnl"/>
        </w:rPr>
      </w:pPr>
      <w:r w:rsidRPr="008A44D4">
        <w:rPr>
          <w:rFonts w:ascii="Arial" w:eastAsia="Arial" w:hAnsi="Arial" w:cs="Arial"/>
          <w:bCs/>
          <w:sz w:val="22"/>
          <w:szCs w:val="22"/>
        </w:rPr>
        <w:lastRenderedPageBreak/>
        <w:t xml:space="preserve">Vistas las anteriores definiciones, es necesario tener en cuenta que la excepción del artículo 33 de la Ley de Garantías solo aplica a las </w:t>
      </w:r>
      <w:r w:rsidRPr="008A44D4">
        <w:rPr>
          <w:rFonts w:ascii="Arial" w:eastAsia="Arial" w:hAnsi="Arial" w:cs="Arial"/>
          <w:bCs/>
          <w:i/>
          <w:iCs/>
          <w:sz w:val="22"/>
          <w:szCs w:val="22"/>
        </w:rPr>
        <w:t>entidades sanitarias</w:t>
      </w:r>
      <w:r w:rsidRPr="008A44D4">
        <w:rPr>
          <w:rFonts w:ascii="Arial" w:eastAsia="Arial" w:hAnsi="Arial" w:cs="Arial"/>
          <w:bCs/>
          <w:sz w:val="22"/>
          <w:szCs w:val="22"/>
        </w:rPr>
        <w:t xml:space="preserve">, no a las </w:t>
      </w:r>
      <w:r w:rsidRPr="008A44D4">
        <w:rPr>
          <w:rFonts w:ascii="Arial" w:eastAsia="Arial" w:hAnsi="Arial" w:cs="Arial"/>
          <w:bCs/>
          <w:i/>
          <w:iCs/>
          <w:sz w:val="22"/>
          <w:szCs w:val="22"/>
        </w:rPr>
        <w:t>autoridades sanitarias</w:t>
      </w:r>
      <w:r w:rsidRPr="008A44D4">
        <w:rPr>
          <w:rFonts w:ascii="Arial" w:eastAsia="Arial" w:hAnsi="Arial" w:cs="Arial"/>
          <w:bCs/>
          <w:sz w:val="22"/>
          <w:szCs w:val="22"/>
        </w:rPr>
        <w:t>. Esto por cuanto,</w:t>
      </w:r>
      <w:r w:rsidRPr="008A44D4">
        <w:rPr>
          <w:rFonts w:ascii="Arial" w:eastAsia="Arial" w:hAnsi="Arial" w:cs="Arial"/>
          <w:bCs/>
          <w:sz w:val="22"/>
          <w:szCs w:val="22"/>
          <w:lang w:val="es-ES_tradnl"/>
        </w:rPr>
        <w:t xml:space="preserve"> para efectos de la excepción del artículo 33 es indiferente que la entidad estatal tenga funciones de </w:t>
      </w:r>
      <w:r w:rsidRPr="008A44D4">
        <w:rPr>
          <w:rFonts w:ascii="Arial" w:eastAsia="Arial" w:hAnsi="Arial" w:cs="Arial"/>
          <w:bCs/>
          <w:i/>
          <w:iCs/>
          <w:sz w:val="22"/>
          <w:szCs w:val="22"/>
          <w:lang w:val="es-ES_tradnl"/>
        </w:rPr>
        <w:t>autoridad sanitaria</w:t>
      </w:r>
      <w:r w:rsidRPr="008A44D4">
        <w:rPr>
          <w:rFonts w:ascii="Arial" w:eastAsia="Arial" w:hAnsi="Arial" w:cs="Arial"/>
          <w:bCs/>
          <w:sz w:val="22"/>
          <w:szCs w:val="22"/>
          <w:lang w:val="es-ES_tradnl"/>
        </w:rPr>
        <w:t xml:space="preserve">, pues lo relevante para determinar si la contratación está exceptuada de la prohibición general no es el carácter de autoridad sanitaria, sino que se trate de una </w:t>
      </w:r>
      <w:r w:rsidRPr="008A44D4">
        <w:rPr>
          <w:rFonts w:ascii="Arial" w:eastAsia="Arial" w:hAnsi="Arial" w:cs="Arial"/>
          <w:bCs/>
          <w:i/>
          <w:iCs/>
          <w:sz w:val="22"/>
          <w:szCs w:val="22"/>
          <w:lang w:val="es-ES_tradnl"/>
        </w:rPr>
        <w:t>entidad sanitaria</w:t>
      </w:r>
      <w:r w:rsidRPr="008A44D4">
        <w:rPr>
          <w:rFonts w:ascii="Arial" w:eastAsia="Arial" w:hAnsi="Arial" w:cs="Arial"/>
          <w:bCs/>
          <w:sz w:val="22"/>
          <w:szCs w:val="22"/>
          <w:lang w:val="es-ES_tradnl"/>
        </w:rPr>
        <w:t xml:space="preserve">. </w:t>
      </w:r>
    </w:p>
    <w:p w14:paraId="5C08ABB0" w14:textId="3763238F" w:rsidR="00210FD1" w:rsidRPr="008A44D4" w:rsidRDefault="00210FD1" w:rsidP="00210FD1">
      <w:pPr>
        <w:tabs>
          <w:tab w:val="left" w:pos="426"/>
        </w:tabs>
        <w:spacing w:before="120" w:after="120" w:line="276" w:lineRule="auto"/>
        <w:jc w:val="both"/>
        <w:rPr>
          <w:rFonts w:ascii="Arial" w:eastAsia="Calibri" w:hAnsi="Arial" w:cs="Arial"/>
          <w:sz w:val="22"/>
        </w:rPr>
      </w:pPr>
      <w:r w:rsidRPr="008A44D4">
        <w:rPr>
          <w:rFonts w:ascii="Arial" w:eastAsia="Calibri" w:hAnsi="Arial" w:cs="Arial"/>
          <w:sz w:val="22"/>
        </w:rPr>
        <w:tab/>
      </w:r>
      <w:r w:rsidRPr="008A44D4">
        <w:rPr>
          <w:rFonts w:ascii="Arial" w:eastAsia="Calibri" w:hAnsi="Arial" w:cs="Arial"/>
          <w:sz w:val="22"/>
        </w:rPr>
        <w:tab/>
        <w:t>De acuerdo con esto, esta Agencia ha explicado que entidades como las Empresas Sociales del Estado se encuentran cobijadas por la excepción en comento, en la medida en que por expresa disposición de la ley son entidades encargadas de la prestación de servicios de salud</w:t>
      </w:r>
      <w:r w:rsidRPr="008A44D4">
        <w:rPr>
          <w:rStyle w:val="Refdenotaalpie"/>
          <w:rFonts w:ascii="Arial" w:eastAsia="Calibri" w:hAnsi="Arial" w:cs="Arial"/>
          <w:sz w:val="22"/>
        </w:rPr>
        <w:footnoteReference w:id="32"/>
      </w:r>
      <w:r w:rsidRPr="008A44D4">
        <w:rPr>
          <w:rFonts w:ascii="Arial" w:eastAsia="Calibri" w:hAnsi="Arial" w:cs="Arial"/>
          <w:sz w:val="22"/>
        </w:rPr>
        <w:t xml:space="preserve">, lo que las ubica dentro de la referida noción de entidad sanitaria. Por el contrario, </w:t>
      </w:r>
      <w:r w:rsidRPr="008A44D4">
        <w:rPr>
          <w:rFonts w:ascii="Arial" w:eastAsia="Arial" w:hAnsi="Arial" w:cs="Arial"/>
          <w:bCs/>
          <w:sz w:val="22"/>
          <w:szCs w:val="22"/>
        </w:rPr>
        <w:t>respecto de</w:t>
      </w:r>
      <w:r w:rsidR="0063357B">
        <w:rPr>
          <w:rFonts w:ascii="Arial" w:eastAsia="Arial" w:hAnsi="Arial" w:cs="Arial"/>
          <w:bCs/>
          <w:sz w:val="22"/>
          <w:szCs w:val="22"/>
        </w:rPr>
        <w:t xml:space="preserve"> entidades territoriales como</w:t>
      </w:r>
      <w:r w:rsidRPr="008A44D4">
        <w:rPr>
          <w:rFonts w:ascii="Arial" w:eastAsia="Arial" w:hAnsi="Arial" w:cs="Arial"/>
          <w:bCs/>
          <w:sz w:val="22"/>
          <w:szCs w:val="22"/>
        </w:rPr>
        <w:t xml:space="preserve"> los departamentos se ha reconocido que, a pesar de jugar importante en la materia a través de sus secretarías de salud, no prestan un servicio directo, sino que coordinan las políticas de esta naturaleza desde un punto de vista administrativo para efectos del control y vigilancia, por lo que no se encuentran cobijados por la excepción</w:t>
      </w:r>
      <w:r w:rsidRPr="008A44D4">
        <w:rPr>
          <w:rStyle w:val="Refdenotaalpie"/>
          <w:rFonts w:ascii="Arial" w:eastAsia="Arial" w:hAnsi="Arial" w:cs="Arial"/>
          <w:bCs/>
          <w:sz w:val="22"/>
          <w:szCs w:val="22"/>
        </w:rPr>
        <w:footnoteReference w:id="33"/>
      </w:r>
      <w:r w:rsidRPr="008A44D4">
        <w:rPr>
          <w:rFonts w:ascii="Arial" w:eastAsia="Arial" w:hAnsi="Arial" w:cs="Arial"/>
          <w:bCs/>
          <w:sz w:val="22"/>
          <w:szCs w:val="22"/>
        </w:rPr>
        <w:t xml:space="preserve">. </w:t>
      </w:r>
    </w:p>
    <w:p w14:paraId="243FA0C1" w14:textId="3BB17A85" w:rsidR="00240182" w:rsidRPr="008A44D4" w:rsidRDefault="00210FD1" w:rsidP="001B5AD6">
      <w:pPr>
        <w:tabs>
          <w:tab w:val="left" w:pos="426"/>
        </w:tabs>
        <w:spacing w:before="120" w:line="276" w:lineRule="auto"/>
        <w:jc w:val="both"/>
        <w:rPr>
          <w:rFonts w:ascii="Arial" w:hAnsi="Arial" w:cs="Arial"/>
          <w:bCs/>
          <w:sz w:val="22"/>
          <w:szCs w:val="22"/>
          <w:lang w:val="es-MX" w:eastAsia="x-none"/>
        </w:rPr>
      </w:pPr>
      <w:r w:rsidRPr="008A44D4">
        <w:rPr>
          <w:rFonts w:ascii="Arial" w:eastAsia="Calibri" w:hAnsi="Arial" w:cs="Arial"/>
          <w:sz w:val="22"/>
        </w:rPr>
        <w:tab/>
      </w:r>
      <w:r w:rsidR="0063357B">
        <w:rPr>
          <w:rFonts w:ascii="Arial" w:eastAsia="Calibri" w:hAnsi="Arial" w:cs="Arial"/>
          <w:sz w:val="22"/>
        </w:rPr>
        <w:tab/>
      </w:r>
      <w:r w:rsidRPr="008A44D4">
        <w:rPr>
          <w:rFonts w:ascii="Arial" w:hAnsi="Arial" w:cs="Arial"/>
          <w:bCs/>
          <w:sz w:val="22"/>
          <w:lang w:val="es-ES_tradnl"/>
        </w:rPr>
        <w:t>Por último, es importante advertir que</w:t>
      </w:r>
      <w:r w:rsidRPr="008A44D4">
        <w:rPr>
          <w:rFonts w:ascii="Arial" w:hAnsi="Arial" w:cs="Arial"/>
          <w:bCs/>
          <w:sz w:val="22"/>
          <w:szCs w:val="22"/>
          <w:lang w:val="es-ES_tradnl" w:eastAsia="es-CO"/>
        </w:rPr>
        <w:t>, corresponde a cada entidad estatal realizar el correspondiente análisis para determinar si aplica o no una determinada excepción de acuerdo con la situación fáctica y jurídica particular del caso concreto, para lo cual las consideraciones expuestas en el presente concepto constituyen un instrumento orientador. Si es procedente la excepción, podrá la entidad realizar la contratación directa justificando las razones que avalan su procedencia. Por el contrario</w:t>
      </w:r>
      <w:r w:rsidR="00240182" w:rsidRPr="008A44D4">
        <w:rPr>
          <w:rFonts w:ascii="Arial" w:hAnsi="Arial" w:cs="Arial"/>
          <w:bCs/>
          <w:sz w:val="22"/>
          <w:szCs w:val="22"/>
          <w:lang w:val="es-ES_tradnl" w:eastAsia="es-CO"/>
        </w:rPr>
        <w:t>,</w:t>
      </w:r>
      <w:r w:rsidRPr="008A44D4">
        <w:rPr>
          <w:rFonts w:ascii="Arial" w:hAnsi="Arial" w:cs="Arial"/>
          <w:bCs/>
          <w:sz w:val="22"/>
          <w:szCs w:val="22"/>
          <w:lang w:val="es-ES_tradnl" w:eastAsia="es-CO"/>
        </w:rPr>
        <w:t xml:space="preserve"> si el estudio determina que no aplica excepción alguna estará vedada la celebración de contratos de manera directa, sin perjuicio de la posibilidad aplicar modalidades competitivas, las cuales no se encuentran restringidas por el artículo 33 de la Ley 996 de 2005, que, según lo explicado, solo restringe procesos de selección sin pluralidad de oferentes. </w:t>
      </w:r>
    </w:p>
    <w:p w14:paraId="6938A576" w14:textId="77777777" w:rsidR="008F1F27" w:rsidRPr="008A44D4" w:rsidRDefault="008F1F27" w:rsidP="008F1F27">
      <w:pPr>
        <w:tabs>
          <w:tab w:val="left" w:pos="709"/>
        </w:tabs>
        <w:spacing w:line="276" w:lineRule="auto"/>
        <w:jc w:val="both"/>
        <w:rPr>
          <w:rFonts w:ascii="Arial" w:eastAsia="Calibri" w:hAnsi="Arial" w:cs="Arial"/>
          <w:b/>
          <w:sz w:val="22"/>
          <w:szCs w:val="22"/>
          <w:lang w:val="es-ES"/>
        </w:rPr>
      </w:pPr>
    </w:p>
    <w:p w14:paraId="0B37DE35" w14:textId="0BAA4D03" w:rsidR="008F1F27" w:rsidRPr="008A44D4" w:rsidRDefault="008F1F27" w:rsidP="0011507F">
      <w:pPr>
        <w:tabs>
          <w:tab w:val="left" w:pos="709"/>
        </w:tabs>
        <w:spacing w:line="276" w:lineRule="auto"/>
        <w:jc w:val="both"/>
        <w:rPr>
          <w:rFonts w:ascii="Arial" w:eastAsia="Calibri" w:hAnsi="Arial" w:cs="Arial"/>
          <w:b/>
          <w:sz w:val="22"/>
          <w:szCs w:val="22"/>
          <w:lang w:val="es-ES"/>
        </w:rPr>
      </w:pPr>
      <w:r w:rsidRPr="008A44D4">
        <w:rPr>
          <w:rFonts w:ascii="Arial" w:eastAsia="Calibri" w:hAnsi="Arial" w:cs="Arial"/>
          <w:b/>
          <w:sz w:val="22"/>
          <w:szCs w:val="22"/>
          <w:lang w:val="es-ES"/>
        </w:rPr>
        <w:t>3. Respuesta</w:t>
      </w:r>
    </w:p>
    <w:p w14:paraId="1F592497" w14:textId="77777777" w:rsidR="00795815" w:rsidRPr="008A44D4" w:rsidRDefault="00795815" w:rsidP="001B5AD6">
      <w:pPr>
        <w:tabs>
          <w:tab w:val="left" w:pos="709"/>
        </w:tabs>
        <w:jc w:val="both"/>
        <w:rPr>
          <w:rFonts w:ascii="Arial" w:eastAsia="Calibri" w:hAnsi="Arial" w:cs="Arial"/>
          <w:b/>
          <w:sz w:val="22"/>
          <w:szCs w:val="22"/>
          <w:lang w:val="es-ES"/>
        </w:rPr>
      </w:pPr>
    </w:p>
    <w:p w14:paraId="3C06D1BE" w14:textId="761AC69D" w:rsidR="00795815" w:rsidRPr="008A44D4" w:rsidRDefault="00795815">
      <w:pPr>
        <w:ind w:left="709" w:right="709"/>
        <w:jc w:val="both"/>
        <w:rPr>
          <w:rFonts w:ascii="Arial" w:hAnsi="Arial" w:cs="Arial"/>
          <w:sz w:val="21"/>
          <w:szCs w:val="21"/>
        </w:rPr>
      </w:pPr>
      <w:r w:rsidRPr="008A44D4">
        <w:rPr>
          <w:rFonts w:ascii="Arial" w:hAnsi="Arial" w:cs="Arial"/>
          <w:sz w:val="21"/>
          <w:szCs w:val="21"/>
        </w:rPr>
        <w:lastRenderedPageBreak/>
        <w:t>«</w:t>
      </w:r>
      <w:r w:rsidRPr="008A44D4">
        <w:rPr>
          <w:rFonts w:ascii="Arial" w:hAnsi="Arial" w:cs="Arial"/>
          <w:color w:val="000000" w:themeColor="text1"/>
          <w:sz w:val="21"/>
          <w:szCs w:val="21"/>
        </w:rPr>
        <w:t>1. ¿Las EMPRESAS SOCIALES DEL ESTADO – ESE- pueden adelantar contratación directa durante el periodo de la Ley de Garantías, conforme la excepción dispuesta en la norma?</w:t>
      </w:r>
      <w:r w:rsidRPr="008A44D4">
        <w:rPr>
          <w:rFonts w:ascii="Arial" w:hAnsi="Arial" w:cs="Arial"/>
          <w:sz w:val="21"/>
          <w:szCs w:val="21"/>
        </w:rPr>
        <w:t>»</w:t>
      </w:r>
    </w:p>
    <w:p w14:paraId="7C42680C" w14:textId="77777777" w:rsidR="00870DF6" w:rsidRPr="008A44D4" w:rsidRDefault="00870DF6" w:rsidP="00795815">
      <w:pPr>
        <w:ind w:left="709" w:right="709"/>
        <w:jc w:val="both"/>
        <w:rPr>
          <w:rFonts w:ascii="Arial" w:hAnsi="Arial" w:cs="Arial"/>
          <w:sz w:val="21"/>
          <w:szCs w:val="21"/>
        </w:rPr>
      </w:pPr>
    </w:p>
    <w:p w14:paraId="6F3230AD" w14:textId="77777777" w:rsidR="0082765F" w:rsidRPr="008A44D4" w:rsidRDefault="0082765F" w:rsidP="0082765F">
      <w:pPr>
        <w:spacing w:line="276" w:lineRule="auto"/>
        <w:jc w:val="both"/>
        <w:rPr>
          <w:rFonts w:ascii="Arial" w:eastAsia="Arial" w:hAnsi="Arial" w:cs="Arial"/>
          <w:sz w:val="22"/>
          <w:szCs w:val="22"/>
        </w:rPr>
      </w:pPr>
      <w:r w:rsidRPr="008A44D4">
        <w:rPr>
          <w:rFonts w:ascii="Arial" w:eastAsia="Arial" w:hAnsi="Arial" w:cs="Arial"/>
          <w:sz w:val="22"/>
          <w:szCs w:val="22"/>
        </w:rPr>
        <w:t xml:space="preserve">El inciso segundo del artículo 33 dispone de dos (2) grandes grupos de excepciones a la prohibición de contratar directamente en la época preelectoral. </w:t>
      </w:r>
      <w:r w:rsidRPr="008A44D4">
        <w:rPr>
          <w:rFonts w:ascii="Arial" w:eastAsia="Arial" w:hAnsi="Arial" w:cs="Arial"/>
          <w:i/>
          <w:iCs/>
          <w:sz w:val="22"/>
          <w:szCs w:val="22"/>
        </w:rPr>
        <w:t>Por un lado</w:t>
      </w:r>
      <w:r w:rsidRPr="008A44D4">
        <w:rPr>
          <w:rFonts w:ascii="Arial" w:eastAsia="Arial" w:hAnsi="Arial" w:cs="Arial"/>
          <w:sz w:val="22"/>
          <w:szCs w:val="22"/>
        </w:rPr>
        <w:t xml:space="preserve">, las que atienden el ejercicio de cierta función o la atención de determinada actividad particular y sin importar la calidad del ente que la cumpla o desarrolle. </w:t>
      </w:r>
      <w:r w:rsidRPr="008A44D4">
        <w:rPr>
          <w:rFonts w:ascii="Arial" w:eastAsia="Arial" w:hAnsi="Arial" w:cs="Arial"/>
          <w:i/>
          <w:iCs/>
          <w:sz w:val="22"/>
          <w:szCs w:val="22"/>
        </w:rPr>
        <w:t>Por otra parte</w:t>
      </w:r>
      <w:r w:rsidRPr="008A44D4">
        <w:rPr>
          <w:rFonts w:ascii="Arial" w:eastAsia="Arial" w:hAnsi="Arial" w:cs="Arial"/>
          <w:sz w:val="22"/>
          <w:szCs w:val="22"/>
        </w:rPr>
        <w:t>, las que aluden a las entidades sanitarias y hospitalarias acudiendo a un criterio eminentemente subjetivo, pese a que no limita la excepción a un tipo de entidad en particular, sino que ata su aplicación a la naturaleza del respectivo ente. Así, para determinar si la contratación de una entidad pública está exceptuada de la prohibición general para la contratación directa, el intérprete deberá analizar el caso concreto para establecer que se trata de una actividad de las descritas en la norma o que se encuentra frente a una entidad de sanidad u hospitalaria.</w:t>
      </w:r>
    </w:p>
    <w:p w14:paraId="73824B84" w14:textId="77777777" w:rsidR="0082765F" w:rsidRPr="008A44D4" w:rsidRDefault="0082765F" w:rsidP="0082765F">
      <w:pPr>
        <w:spacing w:before="120" w:line="276" w:lineRule="auto"/>
        <w:ind w:firstLine="709"/>
        <w:jc w:val="both"/>
        <w:rPr>
          <w:rFonts w:ascii="Arial" w:eastAsia="Arial" w:hAnsi="Arial" w:cs="Arial"/>
          <w:sz w:val="22"/>
          <w:szCs w:val="22"/>
        </w:rPr>
      </w:pPr>
      <w:r w:rsidRPr="008A44D4">
        <w:rPr>
          <w:rFonts w:ascii="Arial" w:eastAsia="Arial" w:hAnsi="Arial" w:cs="Arial"/>
          <w:sz w:val="22"/>
          <w:szCs w:val="22"/>
        </w:rPr>
        <w:t xml:space="preserve"> En relación con las actividades descritas en el inciso segundo del artículo 33,</w:t>
      </w:r>
      <w:r w:rsidRPr="008A44D4">
        <w:rPr>
          <w:rFonts w:ascii="Arial" w:eastAsia="Arial" w:hAnsi="Arial" w:cs="Arial"/>
          <w:bCs/>
          <w:sz w:val="22"/>
          <w:szCs w:val="22"/>
        </w:rPr>
        <w:t xml:space="preserve"> no resulta relevante ni la nominación ni el régimen aplicable para la respectiva entidad, sino que basta con que la misma desarrolle cierto tipo de actividades cuya contratación, por su naturaleza especialmente sensible, no admiten postergación. Por ello, los departamentos podrán contratar directamente bajo esta excepción en la medida en que las actividades a ejecutar se traten de: </w:t>
      </w:r>
      <w:r w:rsidRPr="008A44D4">
        <w:rPr>
          <w:rFonts w:ascii="Arial" w:eastAsia="Arial" w:hAnsi="Arial" w:cs="Arial"/>
          <w:sz w:val="22"/>
          <w:szCs w:val="22"/>
        </w:rPr>
        <w:t>i) defensa y seguridad del Estado; ii) contratos de crédito público; iii) cubrir emergencias educativas, sanitarias y desastres; iv) reconstrucción de vías, puentes, carreteras, infraestructura energética y de comunicaciones, en caso de que hayan sido objeto de atentados, acciones terroristas, desastres naturales o casos de fuerza mayor.</w:t>
      </w:r>
    </w:p>
    <w:p w14:paraId="6897EBBB" w14:textId="77777777" w:rsidR="0082765F" w:rsidRPr="008A44D4" w:rsidRDefault="0082765F" w:rsidP="0082765F">
      <w:pPr>
        <w:spacing w:before="120" w:line="276" w:lineRule="auto"/>
        <w:ind w:firstLine="709"/>
        <w:jc w:val="both"/>
        <w:rPr>
          <w:rFonts w:ascii="Arial" w:eastAsia="Arial" w:hAnsi="Arial" w:cs="Arial"/>
          <w:bCs/>
          <w:sz w:val="22"/>
          <w:szCs w:val="22"/>
        </w:rPr>
      </w:pPr>
      <w:r w:rsidRPr="008A44D4">
        <w:rPr>
          <w:rFonts w:ascii="Arial" w:hAnsi="Arial" w:cs="Arial"/>
          <w:bCs/>
          <w:sz w:val="22"/>
          <w:lang w:val="es-ES_tradnl"/>
        </w:rPr>
        <w:t xml:space="preserve"> Sobre el particular debe tenerse en cuenta que, conforme al </w:t>
      </w:r>
      <w:r w:rsidRPr="008A44D4">
        <w:rPr>
          <w:rFonts w:ascii="Arial" w:eastAsia="Arial" w:hAnsi="Arial" w:cs="Arial"/>
          <w:bCs/>
          <w:sz w:val="22"/>
          <w:szCs w:val="22"/>
        </w:rPr>
        <w:t xml:space="preserve">artículo 2.8.8.1.1.3 del Decreto 780 de 2016, las </w:t>
      </w:r>
      <w:r w:rsidRPr="008A44D4">
        <w:rPr>
          <w:rFonts w:ascii="Arial" w:eastAsia="Arial" w:hAnsi="Arial" w:cs="Arial"/>
          <w:bCs/>
          <w:i/>
          <w:iCs/>
          <w:sz w:val="22"/>
          <w:szCs w:val="22"/>
        </w:rPr>
        <w:t>entidades sanitarias</w:t>
      </w:r>
      <w:r w:rsidRPr="008A44D4">
        <w:rPr>
          <w:rFonts w:ascii="Arial" w:eastAsia="Arial" w:hAnsi="Arial" w:cs="Arial"/>
          <w:bCs/>
          <w:sz w:val="22"/>
          <w:szCs w:val="22"/>
        </w:rPr>
        <w:t xml:space="preserve"> se definen como «Entidades del Estado que prestan servicios sanitarios o de sanidad con el propósito de preservar la salud humana y la salud pública» y las </w:t>
      </w:r>
      <w:r w:rsidRPr="008A44D4">
        <w:rPr>
          <w:rFonts w:ascii="Arial" w:eastAsia="Arial" w:hAnsi="Arial" w:cs="Arial"/>
          <w:bCs/>
          <w:i/>
          <w:iCs/>
          <w:sz w:val="22"/>
          <w:szCs w:val="22"/>
        </w:rPr>
        <w:t>autoridades sanitarias</w:t>
      </w:r>
      <w:r w:rsidRPr="008A44D4">
        <w:rPr>
          <w:rFonts w:ascii="Arial" w:eastAsia="Arial" w:hAnsi="Arial" w:cs="Arial"/>
          <w:bCs/>
          <w:sz w:val="22"/>
          <w:szCs w:val="22"/>
        </w:rPr>
        <w:t xml:space="preserve"> son «Entidades jurídicas de carácter público con atribuciones para ejercer funciones de rectoría, regulación, inspección, vigilancia y control de los sectores público y privado en salud y adoptar medidas de prevención y seguimiento que garanticen la protección de la salud pública». Sin embargo, es necesario tener en cuenta que la excepción del artículo 33 de la Ley de Garantías solo aplica a las </w:t>
      </w:r>
      <w:r w:rsidRPr="008A44D4">
        <w:rPr>
          <w:rFonts w:ascii="Arial" w:eastAsia="Arial" w:hAnsi="Arial" w:cs="Arial"/>
          <w:bCs/>
          <w:i/>
          <w:iCs/>
          <w:sz w:val="22"/>
          <w:szCs w:val="22"/>
        </w:rPr>
        <w:t>entidades sanitarias</w:t>
      </w:r>
      <w:r w:rsidRPr="008A44D4">
        <w:rPr>
          <w:rFonts w:ascii="Arial" w:eastAsia="Arial" w:hAnsi="Arial" w:cs="Arial"/>
          <w:bCs/>
          <w:sz w:val="22"/>
          <w:szCs w:val="22"/>
        </w:rPr>
        <w:t xml:space="preserve">, no a las </w:t>
      </w:r>
      <w:r w:rsidRPr="008A44D4">
        <w:rPr>
          <w:rFonts w:ascii="Arial" w:eastAsia="Arial" w:hAnsi="Arial" w:cs="Arial"/>
          <w:bCs/>
          <w:i/>
          <w:iCs/>
          <w:sz w:val="22"/>
          <w:szCs w:val="22"/>
        </w:rPr>
        <w:t>autoridades sanitarias</w:t>
      </w:r>
      <w:r w:rsidRPr="008A44D4">
        <w:rPr>
          <w:rFonts w:ascii="Arial" w:eastAsia="Arial" w:hAnsi="Arial" w:cs="Arial"/>
          <w:bCs/>
          <w:sz w:val="22"/>
          <w:szCs w:val="22"/>
        </w:rPr>
        <w:t xml:space="preserve">. </w:t>
      </w:r>
    </w:p>
    <w:p w14:paraId="273B4A9D" w14:textId="09D99AA9" w:rsidR="0082765F" w:rsidRPr="008A44D4" w:rsidRDefault="0082765F" w:rsidP="0082765F">
      <w:pPr>
        <w:spacing w:before="120" w:line="276" w:lineRule="auto"/>
        <w:ind w:firstLine="709"/>
        <w:jc w:val="both"/>
        <w:rPr>
          <w:rFonts w:ascii="Arial" w:eastAsia="Calibri" w:hAnsi="Arial" w:cs="Arial"/>
          <w:sz w:val="22"/>
        </w:rPr>
      </w:pPr>
      <w:r w:rsidRPr="008A44D4">
        <w:rPr>
          <w:rFonts w:ascii="Arial" w:eastAsia="Arial" w:hAnsi="Arial" w:cs="Arial"/>
          <w:bCs/>
          <w:sz w:val="22"/>
          <w:szCs w:val="22"/>
        </w:rPr>
        <w:t xml:space="preserve">Es necesario tener en cuenta que la excepción del artículo 33 de la Ley de Garantías solo aplica a las </w:t>
      </w:r>
      <w:r w:rsidRPr="008A44D4">
        <w:rPr>
          <w:rFonts w:ascii="Arial" w:eastAsia="Arial" w:hAnsi="Arial" w:cs="Arial"/>
          <w:bCs/>
          <w:i/>
          <w:iCs/>
          <w:sz w:val="22"/>
          <w:szCs w:val="22"/>
        </w:rPr>
        <w:t>entidades sanitarias</w:t>
      </w:r>
      <w:r w:rsidRPr="008A44D4">
        <w:rPr>
          <w:rFonts w:ascii="Arial" w:eastAsia="Arial" w:hAnsi="Arial" w:cs="Arial"/>
          <w:bCs/>
          <w:sz w:val="22"/>
          <w:szCs w:val="22"/>
        </w:rPr>
        <w:t xml:space="preserve">, no a las </w:t>
      </w:r>
      <w:r w:rsidRPr="008A44D4">
        <w:rPr>
          <w:rFonts w:ascii="Arial" w:eastAsia="Arial" w:hAnsi="Arial" w:cs="Arial"/>
          <w:bCs/>
          <w:i/>
          <w:iCs/>
          <w:sz w:val="22"/>
          <w:szCs w:val="22"/>
        </w:rPr>
        <w:t>autoridades sanitarias</w:t>
      </w:r>
      <w:r w:rsidRPr="008A44D4">
        <w:rPr>
          <w:rFonts w:ascii="Arial" w:eastAsia="Arial" w:hAnsi="Arial" w:cs="Arial"/>
          <w:bCs/>
          <w:sz w:val="22"/>
          <w:szCs w:val="22"/>
        </w:rPr>
        <w:t xml:space="preserve">. </w:t>
      </w:r>
      <w:r w:rsidRPr="008A44D4">
        <w:rPr>
          <w:rFonts w:ascii="Arial" w:eastAsia="Arial" w:hAnsi="Arial" w:cs="Arial"/>
          <w:bCs/>
          <w:sz w:val="22"/>
          <w:szCs w:val="22"/>
          <w:lang w:val="es-ES_tradnl"/>
        </w:rPr>
        <w:t xml:space="preserve">Por lo tanto, para efectos de la excepción del artículo 33 es indiferente que la entidad estatal tenga funciones de </w:t>
      </w:r>
      <w:r w:rsidRPr="008A44D4">
        <w:rPr>
          <w:rFonts w:ascii="Arial" w:eastAsia="Arial" w:hAnsi="Arial" w:cs="Arial"/>
          <w:bCs/>
          <w:i/>
          <w:iCs/>
          <w:sz w:val="22"/>
          <w:szCs w:val="22"/>
          <w:lang w:val="es-ES_tradnl"/>
        </w:rPr>
        <w:t>autoridad sanitaria</w:t>
      </w:r>
      <w:r w:rsidRPr="008A44D4">
        <w:rPr>
          <w:rFonts w:ascii="Arial" w:eastAsia="Arial" w:hAnsi="Arial" w:cs="Arial"/>
          <w:bCs/>
          <w:sz w:val="22"/>
          <w:szCs w:val="22"/>
          <w:lang w:val="es-ES_tradnl"/>
        </w:rPr>
        <w:t xml:space="preserve">, pues lo relevante para determinar si la contratación está exceptuada de la prohibición general no es el carácter de autoridad sanitaria, sino que se trate de una </w:t>
      </w:r>
      <w:r w:rsidRPr="008A44D4">
        <w:rPr>
          <w:rFonts w:ascii="Arial" w:eastAsia="Arial" w:hAnsi="Arial" w:cs="Arial"/>
          <w:bCs/>
          <w:i/>
          <w:iCs/>
          <w:sz w:val="22"/>
          <w:szCs w:val="22"/>
          <w:lang w:val="es-ES_tradnl"/>
        </w:rPr>
        <w:t>entidad sanitaria</w:t>
      </w:r>
      <w:r w:rsidRPr="008A44D4">
        <w:rPr>
          <w:rFonts w:ascii="Arial" w:eastAsia="Arial" w:hAnsi="Arial" w:cs="Arial"/>
          <w:bCs/>
          <w:sz w:val="22"/>
          <w:szCs w:val="22"/>
          <w:lang w:val="es-ES_tradnl"/>
        </w:rPr>
        <w:t xml:space="preserve">. </w:t>
      </w:r>
      <w:r w:rsidRPr="008A44D4">
        <w:rPr>
          <w:rFonts w:ascii="Arial" w:eastAsia="Calibri" w:hAnsi="Arial" w:cs="Arial"/>
          <w:sz w:val="22"/>
        </w:rPr>
        <w:t xml:space="preserve">De acuerdo con esto, en atención a la naturaleza jurídica </w:t>
      </w:r>
      <w:r w:rsidR="005A7581" w:rsidRPr="008A44D4">
        <w:rPr>
          <w:rFonts w:ascii="Arial" w:eastAsia="Calibri" w:hAnsi="Arial" w:cs="Arial"/>
          <w:sz w:val="22"/>
        </w:rPr>
        <w:t>de las Empresas Sociales del Estado establecida por la Ley 100 de 1993,</w:t>
      </w:r>
      <w:r w:rsidR="00084A73" w:rsidRPr="008A44D4">
        <w:rPr>
          <w:rFonts w:ascii="Arial" w:eastAsia="Calibri" w:hAnsi="Arial" w:cs="Arial"/>
          <w:sz w:val="22"/>
        </w:rPr>
        <w:t xml:space="preserve"> que las concibe como entidades </w:t>
      </w:r>
      <w:r w:rsidR="00084A73" w:rsidRPr="008A44D4">
        <w:rPr>
          <w:rFonts w:ascii="Arial" w:eastAsia="Calibri" w:hAnsi="Arial" w:cs="Arial"/>
          <w:sz w:val="22"/>
        </w:rPr>
        <w:lastRenderedPageBreak/>
        <w:t xml:space="preserve">encargadas de prestar servicios de salud a nombre del Estado, </w:t>
      </w:r>
      <w:r w:rsidR="00B43B10" w:rsidRPr="008A44D4">
        <w:rPr>
          <w:rFonts w:ascii="Arial" w:eastAsia="Calibri" w:hAnsi="Arial" w:cs="Arial"/>
          <w:sz w:val="22"/>
        </w:rPr>
        <w:t xml:space="preserve">resulta claro que estas entidades se encuentran cobijadas por la excepción relativa </w:t>
      </w:r>
      <w:r w:rsidR="00A20506" w:rsidRPr="008A44D4">
        <w:rPr>
          <w:rFonts w:ascii="Arial" w:eastAsia="Calibri" w:hAnsi="Arial" w:cs="Arial"/>
          <w:sz w:val="22"/>
        </w:rPr>
        <w:t>a las entidades sanitarias y hospitalarias establecida en el inciso segundo del artículo 33 de la Ley</w:t>
      </w:r>
      <w:r w:rsidR="00D05EA9" w:rsidRPr="008A44D4">
        <w:rPr>
          <w:rFonts w:ascii="Arial" w:eastAsia="Calibri" w:hAnsi="Arial" w:cs="Arial"/>
          <w:sz w:val="22"/>
        </w:rPr>
        <w:t xml:space="preserve"> </w:t>
      </w:r>
      <w:r w:rsidR="00A20506" w:rsidRPr="008A44D4">
        <w:rPr>
          <w:rFonts w:ascii="Arial" w:eastAsia="Calibri" w:hAnsi="Arial" w:cs="Arial"/>
          <w:sz w:val="22"/>
        </w:rPr>
        <w:t>99</w:t>
      </w:r>
      <w:r w:rsidR="00D05EA9" w:rsidRPr="008A44D4">
        <w:rPr>
          <w:rFonts w:ascii="Arial" w:eastAsia="Calibri" w:hAnsi="Arial" w:cs="Arial"/>
          <w:sz w:val="22"/>
        </w:rPr>
        <w:t>6</w:t>
      </w:r>
      <w:r w:rsidR="00A20506" w:rsidRPr="008A44D4">
        <w:rPr>
          <w:rFonts w:ascii="Arial" w:eastAsia="Calibri" w:hAnsi="Arial" w:cs="Arial"/>
          <w:sz w:val="22"/>
        </w:rPr>
        <w:t xml:space="preserve"> d</w:t>
      </w:r>
      <w:r w:rsidR="00D05EA9" w:rsidRPr="008A44D4">
        <w:rPr>
          <w:rFonts w:ascii="Arial" w:eastAsia="Calibri" w:hAnsi="Arial" w:cs="Arial"/>
          <w:sz w:val="22"/>
        </w:rPr>
        <w:t xml:space="preserve">e 2005. </w:t>
      </w:r>
    </w:p>
    <w:p w14:paraId="28AA2F2B" w14:textId="47A76B76" w:rsidR="0082765F" w:rsidRPr="008A44D4" w:rsidRDefault="0082765F" w:rsidP="0082765F">
      <w:pPr>
        <w:spacing w:before="120" w:line="276" w:lineRule="auto"/>
        <w:ind w:firstLine="708"/>
        <w:jc w:val="both"/>
        <w:rPr>
          <w:rFonts w:ascii="Arial" w:eastAsia="Arial" w:hAnsi="Arial" w:cs="Arial"/>
          <w:color w:val="1A1A1A" w:themeColor="background1" w:themeShade="1A"/>
          <w:sz w:val="22"/>
          <w:szCs w:val="22"/>
          <w:lang w:val="es-ES_tradnl"/>
        </w:rPr>
      </w:pPr>
      <w:r w:rsidRPr="008A44D4">
        <w:rPr>
          <w:rFonts w:ascii="Arial" w:hAnsi="Arial" w:cs="Arial"/>
          <w:bCs/>
          <w:sz w:val="22"/>
          <w:szCs w:val="22"/>
          <w:lang w:val="es-ES_tradnl" w:eastAsia="es-CO"/>
        </w:rPr>
        <w:t xml:space="preserve">En todo caso, corresponde a cada entidad estatal realizar el correspondiente análisis para determinar si aplica o no una determinada excepción de acuerdo con la situación fáctica y jurídica particular del caso concreto, para lo cual las consideraciones expuestas en el presente concepto constituyen un instrumento orientador. De encontrarse procedente la excepción, bien podrá la entidad realizar la contratación directa, dejando constancia de las razones que justifican su viabilidad a pesar de la restricción. Por el contrario, si el estudio determina que no aplica excepción alguna, deberá abstenerse la respectiva entidad de celebrar contratos de manera directa, pero bien podrá acudir a los procesos competitivos que resulten procedentes, los cuales no se encuentran restringidos por el artículo 33 de la Ley 996 de 2005. </w:t>
      </w:r>
    </w:p>
    <w:p w14:paraId="1E5F8851" w14:textId="77777777" w:rsidR="00D05EA9" w:rsidRPr="008A44D4" w:rsidRDefault="00D05EA9" w:rsidP="001B5AD6">
      <w:pPr>
        <w:jc w:val="both"/>
        <w:rPr>
          <w:rFonts w:ascii="Arial" w:eastAsia="Calibri" w:hAnsi="Arial" w:cs="Arial"/>
          <w:color w:val="000000" w:themeColor="text1"/>
          <w:sz w:val="22"/>
          <w:szCs w:val="22"/>
        </w:rPr>
      </w:pPr>
    </w:p>
    <w:p w14:paraId="0826AD5B" w14:textId="5A87602E" w:rsidR="00795815" w:rsidRPr="008A44D4" w:rsidRDefault="00795815" w:rsidP="001B5AD6">
      <w:pPr>
        <w:ind w:left="709" w:right="709"/>
        <w:jc w:val="both"/>
        <w:rPr>
          <w:rFonts w:ascii="Arial" w:hAnsi="Arial" w:cs="Arial"/>
          <w:sz w:val="21"/>
          <w:szCs w:val="21"/>
        </w:rPr>
      </w:pPr>
      <w:r w:rsidRPr="008A44D4">
        <w:rPr>
          <w:rFonts w:ascii="Arial" w:hAnsi="Arial" w:cs="Arial"/>
          <w:sz w:val="21"/>
          <w:szCs w:val="21"/>
        </w:rPr>
        <w:t xml:space="preserve">«2. </w:t>
      </w:r>
      <w:r w:rsidRPr="008A44D4">
        <w:rPr>
          <w:rFonts w:ascii="Arial" w:hAnsi="Arial" w:cs="Arial"/>
          <w:color w:val="000000" w:themeColor="text1"/>
          <w:sz w:val="21"/>
          <w:szCs w:val="21"/>
        </w:rPr>
        <w:t>¿Las EMPRESAS SOCIALES DEL ESTADO – ESE- pueden contratar personal durante el periodo de la Ley de Garantías, en desarrollo de contratos interadministrativos celebrados oportunamente – antes del 28 de enero de 2022- con entidades del orden Municipal o Departamental como Planes de Intervenciones Colectivas en el orden Municipal y Departamental?</w:t>
      </w:r>
      <w:r w:rsidRPr="008A44D4">
        <w:rPr>
          <w:rFonts w:ascii="Arial" w:hAnsi="Arial" w:cs="Arial"/>
          <w:sz w:val="21"/>
          <w:szCs w:val="21"/>
        </w:rPr>
        <w:t>»</w:t>
      </w:r>
    </w:p>
    <w:p w14:paraId="1681AB71" w14:textId="079AC2A7" w:rsidR="006666BB" w:rsidRPr="008A44D4" w:rsidRDefault="006666BB" w:rsidP="001B5AD6">
      <w:pPr>
        <w:spacing w:before="120" w:after="120" w:line="276" w:lineRule="auto"/>
        <w:ind w:right="709"/>
        <w:jc w:val="both"/>
        <w:rPr>
          <w:rFonts w:ascii="Arial" w:hAnsi="Arial" w:cs="Arial"/>
          <w:sz w:val="21"/>
          <w:szCs w:val="21"/>
        </w:rPr>
      </w:pPr>
    </w:p>
    <w:p w14:paraId="1A76C377" w14:textId="3AD87391" w:rsidR="0093689E" w:rsidRPr="008A44D4" w:rsidRDefault="00393ABA" w:rsidP="001B5AD6">
      <w:pPr>
        <w:shd w:val="clear" w:color="auto" w:fill="FFFFFF"/>
        <w:spacing w:line="276" w:lineRule="auto"/>
        <w:ind w:right="51"/>
        <w:jc w:val="both"/>
        <w:rPr>
          <w:rFonts w:ascii="Arial" w:eastAsia="Calibri" w:hAnsi="Arial" w:cs="Arial"/>
          <w:color w:val="000000" w:themeColor="text1"/>
          <w:sz w:val="21"/>
          <w:szCs w:val="21"/>
        </w:rPr>
      </w:pPr>
      <w:r w:rsidRPr="008A44D4">
        <w:rPr>
          <w:rFonts w:ascii="Arial" w:hAnsi="Arial" w:cs="Arial"/>
          <w:sz w:val="21"/>
          <w:szCs w:val="21"/>
        </w:rPr>
        <w:t xml:space="preserve">Conforme a lo expuesto al inicio de las consideraciones, </w:t>
      </w:r>
      <w:r w:rsidR="00F31000" w:rsidRPr="008A44D4">
        <w:rPr>
          <w:rFonts w:ascii="Arial" w:hAnsi="Arial" w:cs="Arial"/>
          <w:bCs/>
          <w:sz w:val="22"/>
          <w:szCs w:val="22"/>
          <w:lang w:val="es-MX" w:eastAsia="es-CO"/>
        </w:rPr>
        <w:t xml:space="preserve">la función consultiva atribuida a esta Agencia por </w:t>
      </w:r>
      <w:r w:rsidR="00F31000" w:rsidRPr="008A44D4">
        <w:rPr>
          <w:rFonts w:ascii="Arial" w:hAnsi="Arial" w:cs="Arial"/>
          <w:bCs/>
          <w:sz w:val="22"/>
          <w:szCs w:val="22"/>
          <w:lang w:val="es-ES_tradnl" w:eastAsia="es-CO"/>
        </w:rPr>
        <w:t xml:space="preserve">los artículos 3, numeral 5, 11, numeral 8, 12, numeral 6, y 13, numeral 4, del Decreto 4170 de 2011, </w:t>
      </w:r>
      <w:r w:rsidR="00F31000" w:rsidRPr="008A44D4">
        <w:rPr>
          <w:rFonts w:ascii="Arial" w:hAnsi="Arial" w:cs="Arial"/>
          <w:bCs/>
          <w:sz w:val="22"/>
          <w:szCs w:val="22"/>
          <w:lang w:val="es-MX" w:eastAsia="es-CO"/>
        </w:rPr>
        <w:t xml:space="preserve">se limita a responder solicitudes sobre la aplicación de normas de carácter general en materia de compras y contratación pública. </w:t>
      </w:r>
      <w:r w:rsidR="00F31000" w:rsidRPr="008A44D4">
        <w:rPr>
          <w:rFonts w:ascii="Arial" w:hAnsi="Arial" w:cs="Arial"/>
          <w:bCs/>
          <w:sz w:val="22"/>
          <w:szCs w:val="22"/>
          <w:lang w:val="es-ES" w:eastAsia="es-CO"/>
        </w:rPr>
        <w:t>Esta competencia de interpretación de normas generales, por definición, no puede extenderse a la resolución de controversias, ni a brindar asesorías sobre casos puntuales</w:t>
      </w:r>
      <w:r w:rsidR="003D2FEB" w:rsidRPr="008A44D4">
        <w:rPr>
          <w:rFonts w:ascii="Arial" w:hAnsi="Arial" w:cs="Arial"/>
          <w:bCs/>
          <w:sz w:val="22"/>
          <w:szCs w:val="22"/>
          <w:lang w:val="es-ES" w:eastAsia="es-CO"/>
        </w:rPr>
        <w:t>, máxime si</w:t>
      </w:r>
      <w:r w:rsidR="006B5DBF" w:rsidRPr="008A44D4">
        <w:rPr>
          <w:rFonts w:ascii="Arial" w:hAnsi="Arial" w:cs="Arial"/>
          <w:bCs/>
          <w:sz w:val="22"/>
          <w:szCs w:val="22"/>
          <w:lang w:val="es-ES" w:eastAsia="es-CO"/>
        </w:rPr>
        <w:t xml:space="preserve"> ello implica pronunciarse sobre asuntos ajenos a la contratación estatal</w:t>
      </w:r>
      <w:r w:rsidR="00DE3D74">
        <w:rPr>
          <w:rFonts w:ascii="Arial" w:hAnsi="Arial" w:cs="Arial"/>
          <w:bCs/>
          <w:sz w:val="22"/>
          <w:szCs w:val="22"/>
          <w:lang w:val="es-ES" w:eastAsia="es-CO"/>
        </w:rPr>
        <w:t>, como lo son los laborales</w:t>
      </w:r>
      <w:r w:rsidR="00F31000" w:rsidRPr="008A44D4">
        <w:rPr>
          <w:rFonts w:ascii="Arial" w:hAnsi="Arial" w:cs="Arial"/>
          <w:bCs/>
          <w:sz w:val="22"/>
          <w:szCs w:val="22"/>
          <w:lang w:val="es-ES" w:eastAsia="es-CO"/>
        </w:rPr>
        <w:t xml:space="preserve">. </w:t>
      </w:r>
      <w:r w:rsidR="00F31000" w:rsidRPr="008A44D4">
        <w:rPr>
          <w:rFonts w:ascii="Arial" w:hAnsi="Arial" w:cs="Arial"/>
          <w:bCs/>
          <w:sz w:val="22"/>
          <w:szCs w:val="22"/>
          <w:lang w:val="es-MX" w:eastAsia="es-CO"/>
        </w:rPr>
        <w:t xml:space="preserve">En tal sentido, no es competencia de esta Agencia determinar la forma en que las entidades adelantarán sus contrataciones, así como tampoco solucionar problemas jurídicos particulares </w:t>
      </w:r>
      <w:r w:rsidR="000211DD" w:rsidRPr="008A44D4">
        <w:rPr>
          <w:rFonts w:ascii="Arial" w:hAnsi="Arial" w:cs="Arial"/>
          <w:bCs/>
          <w:sz w:val="22"/>
          <w:szCs w:val="22"/>
          <w:lang w:val="es-MX" w:eastAsia="es-CO"/>
        </w:rPr>
        <w:t xml:space="preserve">relacionadas con la gestión del personal de las entidades estatales. </w:t>
      </w:r>
      <w:r w:rsidR="00F31000" w:rsidRPr="008A44D4">
        <w:rPr>
          <w:rFonts w:ascii="Arial" w:hAnsi="Arial" w:cs="Arial"/>
          <w:bCs/>
          <w:sz w:val="22"/>
          <w:szCs w:val="22"/>
          <w:lang w:val="es-MX" w:eastAsia="es-CO"/>
        </w:rPr>
        <w:t xml:space="preserve">Estas funciones son competencia exclusiva de las entidades respectivas que fueron dotadas de autonomía administrativa y son las responsables de </w:t>
      </w:r>
      <w:r w:rsidR="000211DD" w:rsidRPr="008A44D4">
        <w:rPr>
          <w:rFonts w:ascii="Arial" w:hAnsi="Arial" w:cs="Arial"/>
          <w:bCs/>
          <w:sz w:val="22"/>
          <w:szCs w:val="22"/>
          <w:lang w:val="es-MX" w:eastAsia="es-CO"/>
        </w:rPr>
        <w:t>realizar la gestión de su personal</w:t>
      </w:r>
      <w:r w:rsidR="00F31000" w:rsidRPr="008A44D4">
        <w:rPr>
          <w:rFonts w:ascii="Arial" w:hAnsi="Arial" w:cs="Arial"/>
          <w:bCs/>
          <w:sz w:val="22"/>
          <w:szCs w:val="22"/>
          <w:lang w:val="es-MX" w:eastAsia="es-CO"/>
        </w:rPr>
        <w:t>. Por consiguiente, corresponde a cada</w:t>
      </w:r>
      <w:r w:rsidR="00F31000" w:rsidRPr="008A44D4">
        <w:rPr>
          <w:rFonts w:ascii="Arial" w:hAnsi="Arial" w:cs="Arial"/>
          <w:bCs/>
          <w:sz w:val="22"/>
          <w:szCs w:val="22"/>
          <w:lang w:val="es-ES_tradnl" w:eastAsia="es-CO"/>
        </w:rPr>
        <w:t xml:space="preserve"> entidad, en el marco de sus competencias, determinar la forma en la cual deberán dar cumplimiento a las obligaciones constitucionales y legales que le asisten.</w:t>
      </w:r>
    </w:p>
    <w:p w14:paraId="27AE687B" w14:textId="6026AFC9" w:rsidR="00795815" w:rsidRPr="008A44D4" w:rsidRDefault="00795815" w:rsidP="001B5AD6">
      <w:pPr>
        <w:shd w:val="clear" w:color="auto" w:fill="FFFFFF"/>
        <w:spacing w:after="120" w:line="276" w:lineRule="auto"/>
        <w:ind w:right="51"/>
        <w:jc w:val="both"/>
        <w:rPr>
          <w:rFonts w:ascii="Arial" w:hAnsi="Arial" w:cs="Arial"/>
          <w:bCs/>
          <w:sz w:val="22"/>
          <w:szCs w:val="22"/>
          <w:lang w:val="es-MX" w:eastAsia="x-none"/>
        </w:rPr>
      </w:pPr>
    </w:p>
    <w:p w14:paraId="5F50678A" w14:textId="77777777" w:rsidR="008F1F27" w:rsidRPr="008A44D4" w:rsidRDefault="008F1F27">
      <w:pPr>
        <w:spacing w:line="276" w:lineRule="auto"/>
        <w:jc w:val="both"/>
        <w:rPr>
          <w:rFonts w:ascii="Arial" w:eastAsia="Calibri" w:hAnsi="Arial" w:cs="Arial"/>
          <w:sz w:val="22"/>
          <w:szCs w:val="22"/>
          <w:lang w:val="es-ES"/>
        </w:rPr>
      </w:pPr>
      <w:r w:rsidRPr="008A44D4">
        <w:rPr>
          <w:rFonts w:ascii="Arial" w:eastAsia="Calibri" w:hAnsi="Arial" w:cs="Arial"/>
          <w:sz w:val="22"/>
          <w:szCs w:val="22"/>
          <w:lang w:val="es-ES"/>
        </w:rPr>
        <w:t>Este concepto tiene el alcance previsto en el artículo 28 del Código de Procedimiento Administrativo y de lo Contencioso Administrativo.</w:t>
      </w:r>
    </w:p>
    <w:p w14:paraId="2AA109C0" w14:textId="77777777" w:rsidR="008F1F27" w:rsidRPr="008A44D4" w:rsidRDefault="008F1F27" w:rsidP="008F1F27">
      <w:pPr>
        <w:jc w:val="both"/>
        <w:rPr>
          <w:rFonts w:ascii="Arial" w:eastAsia="Calibri" w:hAnsi="Arial" w:cs="Arial"/>
          <w:sz w:val="22"/>
          <w:szCs w:val="22"/>
          <w:lang w:val="es-ES"/>
        </w:rPr>
      </w:pPr>
    </w:p>
    <w:p w14:paraId="7EFFE4CF" w14:textId="77777777" w:rsidR="008F1F27" w:rsidRPr="008A44D4" w:rsidRDefault="008F1F27" w:rsidP="008F1F27">
      <w:pPr>
        <w:jc w:val="both"/>
        <w:rPr>
          <w:rFonts w:ascii="Arial" w:hAnsi="Arial" w:cs="Arial"/>
          <w:sz w:val="22"/>
          <w:szCs w:val="22"/>
          <w:lang w:val="es-ES" w:eastAsia="es-CO"/>
        </w:rPr>
      </w:pPr>
      <w:r w:rsidRPr="008A44D4">
        <w:rPr>
          <w:rFonts w:ascii="Arial" w:hAnsi="Arial" w:cs="Arial"/>
          <w:sz w:val="22"/>
          <w:szCs w:val="22"/>
          <w:lang w:val="es-ES" w:eastAsia="es-CO"/>
        </w:rPr>
        <w:lastRenderedPageBreak/>
        <w:t>Atentamente,</w:t>
      </w:r>
    </w:p>
    <w:p w14:paraId="16592186" w14:textId="77777777" w:rsidR="002E7631" w:rsidRPr="008A44D4" w:rsidRDefault="002E7631" w:rsidP="002E7631">
      <w:pPr>
        <w:jc w:val="both"/>
        <w:rPr>
          <w:rFonts w:ascii="Arial" w:hAnsi="Arial" w:cs="Arial"/>
          <w:sz w:val="22"/>
          <w:szCs w:val="22"/>
          <w:lang w:val="es-ES" w:eastAsia="es-CO"/>
        </w:rPr>
      </w:pPr>
    </w:p>
    <w:p w14:paraId="4CD537C3" w14:textId="55406608" w:rsidR="002E7631" w:rsidRPr="008A44D4" w:rsidRDefault="004067BD" w:rsidP="002E7631">
      <w:pPr>
        <w:jc w:val="center"/>
        <w:rPr>
          <w:rFonts w:ascii="Arial" w:hAnsi="Arial" w:cs="Arial"/>
          <w:sz w:val="22"/>
          <w:szCs w:val="22"/>
          <w:lang w:val="es-ES" w:eastAsia="es-CO"/>
        </w:rPr>
      </w:pPr>
      <w:r>
        <w:rPr>
          <w:noProof/>
        </w:rPr>
        <w:drawing>
          <wp:inline distT="0" distB="0" distL="0" distR="0" wp14:anchorId="2297289C" wp14:editId="1BFDAB23">
            <wp:extent cx="2171700" cy="923925"/>
            <wp:effectExtent l="0" t="0" r="0" b="9525"/>
            <wp:docPr id="5" name="Imagen 5"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 Carta&#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1700" cy="923925"/>
                    </a:xfrm>
                    <a:prstGeom prst="rect">
                      <a:avLst/>
                    </a:prstGeom>
                    <a:noFill/>
                    <a:ln>
                      <a:noFill/>
                    </a:ln>
                  </pic:spPr>
                </pic:pic>
              </a:graphicData>
            </a:graphic>
          </wp:inline>
        </w:drawing>
      </w:r>
    </w:p>
    <w:p w14:paraId="2AC91360" w14:textId="77777777" w:rsidR="002E7631" w:rsidRPr="008A44D4" w:rsidRDefault="002E7631" w:rsidP="002E7631">
      <w:pPr>
        <w:jc w:val="center"/>
        <w:rPr>
          <w:rFonts w:ascii="Arial" w:hAnsi="Arial" w:cs="Arial"/>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2E7631" w:rsidRPr="008A44D4" w14:paraId="477C4BAB" w14:textId="77777777" w:rsidTr="008A5DF2">
        <w:trPr>
          <w:trHeight w:val="315"/>
        </w:trPr>
        <w:tc>
          <w:tcPr>
            <w:tcW w:w="812" w:type="dxa"/>
            <w:vAlign w:val="center"/>
            <w:hideMark/>
          </w:tcPr>
          <w:p w14:paraId="7EF9140D" w14:textId="77777777" w:rsidR="002E7631" w:rsidRPr="008A44D4" w:rsidRDefault="002E7631" w:rsidP="008A5DF2">
            <w:pPr>
              <w:rPr>
                <w:rFonts w:ascii="Arial" w:hAnsi="Arial" w:cs="Arial"/>
                <w:sz w:val="16"/>
                <w:szCs w:val="16"/>
                <w:lang w:val="es-ES" w:eastAsia="es-ES"/>
              </w:rPr>
            </w:pPr>
            <w:r w:rsidRPr="008A44D4">
              <w:rPr>
                <w:rFonts w:ascii="Arial" w:hAnsi="Arial" w:cs="Arial"/>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3483302F" w14:textId="77777777" w:rsidR="002E7631" w:rsidRPr="008A44D4" w:rsidRDefault="002E7631" w:rsidP="008A5DF2">
            <w:pPr>
              <w:rPr>
                <w:rFonts w:ascii="Arial" w:hAnsi="Arial" w:cs="Arial"/>
                <w:sz w:val="16"/>
                <w:szCs w:val="16"/>
                <w:lang w:val="es-ES" w:eastAsia="es-ES"/>
              </w:rPr>
            </w:pPr>
            <w:r w:rsidRPr="008A44D4">
              <w:rPr>
                <w:rFonts w:ascii="Arial" w:hAnsi="Arial" w:cs="Arial"/>
                <w:sz w:val="16"/>
                <w:szCs w:val="16"/>
                <w:lang w:val="es-ES" w:eastAsia="es-ES"/>
              </w:rPr>
              <w:t xml:space="preserve">Camilo Perdomo Villamil </w:t>
            </w:r>
          </w:p>
          <w:p w14:paraId="27DC3F7C" w14:textId="77777777" w:rsidR="002E7631" w:rsidRPr="008A44D4" w:rsidRDefault="002E7631" w:rsidP="008A5DF2">
            <w:pPr>
              <w:rPr>
                <w:rFonts w:ascii="Arial" w:hAnsi="Arial" w:cs="Arial"/>
                <w:sz w:val="16"/>
                <w:szCs w:val="16"/>
                <w:lang w:val="es-ES" w:eastAsia="es-ES"/>
              </w:rPr>
            </w:pPr>
            <w:r w:rsidRPr="008A44D4">
              <w:rPr>
                <w:rFonts w:ascii="Arial" w:hAnsi="Arial" w:cs="Arial"/>
                <w:sz w:val="16"/>
                <w:szCs w:val="16"/>
                <w:lang w:val="es-ES" w:eastAsia="es-ES"/>
              </w:rPr>
              <w:t>Contratista de la Subdirección de Gestión Contractual</w:t>
            </w:r>
          </w:p>
        </w:tc>
      </w:tr>
      <w:tr w:rsidR="002E7631" w:rsidRPr="008A44D4" w14:paraId="29B8C6ED" w14:textId="77777777" w:rsidTr="008A5DF2">
        <w:trPr>
          <w:trHeight w:val="330"/>
        </w:trPr>
        <w:tc>
          <w:tcPr>
            <w:tcW w:w="812" w:type="dxa"/>
            <w:vAlign w:val="center"/>
            <w:hideMark/>
          </w:tcPr>
          <w:p w14:paraId="066FADE0" w14:textId="77777777" w:rsidR="002E7631" w:rsidRPr="008A44D4" w:rsidRDefault="002E7631" w:rsidP="008A5DF2">
            <w:pPr>
              <w:rPr>
                <w:rFonts w:ascii="Arial" w:hAnsi="Arial" w:cs="Arial"/>
                <w:sz w:val="16"/>
                <w:szCs w:val="16"/>
                <w:lang w:val="es-ES" w:eastAsia="es-ES"/>
              </w:rPr>
            </w:pPr>
            <w:r w:rsidRPr="008A44D4">
              <w:rPr>
                <w:rFonts w:ascii="Arial" w:hAnsi="Arial" w:cs="Arial"/>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56E1A2F" w14:textId="77777777" w:rsidR="002E7631" w:rsidRPr="008A44D4" w:rsidRDefault="002E7631" w:rsidP="008A5DF2">
            <w:pPr>
              <w:rPr>
                <w:rFonts w:ascii="Arial" w:hAnsi="Arial" w:cs="Arial"/>
                <w:sz w:val="16"/>
                <w:szCs w:val="16"/>
                <w:lang w:val="es-ES" w:eastAsia="es-ES"/>
              </w:rPr>
            </w:pPr>
            <w:r w:rsidRPr="008A44D4">
              <w:rPr>
                <w:rFonts w:ascii="Arial" w:hAnsi="Arial" w:cs="Arial"/>
                <w:sz w:val="16"/>
                <w:szCs w:val="16"/>
                <w:lang w:val="es-ES" w:eastAsia="es-ES"/>
              </w:rPr>
              <w:t>Alejandro Sarmiento Cantillo</w:t>
            </w:r>
          </w:p>
          <w:p w14:paraId="517FAA65" w14:textId="16E7B053" w:rsidR="002E7631" w:rsidRPr="008A44D4" w:rsidRDefault="002E7631">
            <w:pPr>
              <w:rPr>
                <w:rFonts w:ascii="Arial" w:hAnsi="Arial" w:cs="Arial"/>
                <w:sz w:val="16"/>
                <w:szCs w:val="16"/>
                <w:lang w:val="es-ES" w:eastAsia="es-ES"/>
              </w:rPr>
            </w:pPr>
            <w:r w:rsidRPr="008A44D4">
              <w:rPr>
                <w:rFonts w:ascii="Arial" w:hAnsi="Arial" w:cs="Arial"/>
                <w:sz w:val="16"/>
                <w:szCs w:val="16"/>
                <w:lang w:val="es-ES" w:eastAsia="es-ES"/>
              </w:rPr>
              <w:t>Gestor T1-15  de la Subdirección de Gestión Contractual</w:t>
            </w:r>
          </w:p>
        </w:tc>
      </w:tr>
      <w:tr w:rsidR="002E7631" w:rsidRPr="008A44D4" w14:paraId="402ECD0F" w14:textId="77777777" w:rsidTr="008A5DF2">
        <w:trPr>
          <w:trHeight w:val="300"/>
        </w:trPr>
        <w:tc>
          <w:tcPr>
            <w:tcW w:w="812" w:type="dxa"/>
            <w:vAlign w:val="center"/>
            <w:hideMark/>
          </w:tcPr>
          <w:p w14:paraId="30B42A98" w14:textId="77777777" w:rsidR="002E7631" w:rsidRPr="008A44D4" w:rsidRDefault="002E7631" w:rsidP="008A5DF2">
            <w:pPr>
              <w:rPr>
                <w:rFonts w:ascii="Arial" w:hAnsi="Arial" w:cs="Arial"/>
                <w:sz w:val="16"/>
                <w:szCs w:val="16"/>
                <w:lang w:val="es-ES" w:eastAsia="es-ES"/>
              </w:rPr>
            </w:pPr>
            <w:r w:rsidRPr="008A44D4">
              <w:rPr>
                <w:rFonts w:ascii="Arial" w:hAnsi="Arial" w:cs="Arial"/>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AD2E16A" w14:textId="77777777" w:rsidR="002E7631" w:rsidRPr="008A44D4" w:rsidRDefault="002E7631" w:rsidP="008A5DF2">
            <w:pPr>
              <w:rPr>
                <w:rFonts w:ascii="Arial" w:hAnsi="Arial" w:cs="Arial"/>
                <w:sz w:val="16"/>
                <w:szCs w:val="16"/>
                <w:lang w:val="es-ES" w:eastAsia="es-ES"/>
              </w:rPr>
            </w:pPr>
            <w:r w:rsidRPr="008A44D4">
              <w:rPr>
                <w:rFonts w:ascii="Arial" w:hAnsi="Arial" w:cs="Arial"/>
                <w:sz w:val="16"/>
                <w:szCs w:val="16"/>
                <w:lang w:val="es-ES" w:eastAsia="es-ES"/>
              </w:rPr>
              <w:t>Andrés Ricardo Mancipe González</w:t>
            </w:r>
          </w:p>
          <w:p w14:paraId="571E4AF7" w14:textId="77777777" w:rsidR="002E7631" w:rsidRPr="008A44D4" w:rsidRDefault="002E7631" w:rsidP="008A5DF2">
            <w:pPr>
              <w:rPr>
                <w:rFonts w:ascii="Arial" w:hAnsi="Arial" w:cs="Arial"/>
                <w:sz w:val="16"/>
                <w:szCs w:val="16"/>
                <w:lang w:val="es-ES" w:eastAsia="es-ES"/>
              </w:rPr>
            </w:pPr>
            <w:r w:rsidRPr="008A44D4">
              <w:rPr>
                <w:rFonts w:ascii="Arial" w:hAnsi="Arial" w:cs="Arial"/>
                <w:sz w:val="16"/>
                <w:szCs w:val="16"/>
                <w:lang w:val="es-ES" w:eastAsia="es-ES"/>
              </w:rPr>
              <w:t>Subdirector de Gestión Contractual ANCP – CCE (E)</w:t>
            </w:r>
          </w:p>
        </w:tc>
      </w:tr>
    </w:tbl>
    <w:p w14:paraId="50A69111" w14:textId="77777777" w:rsidR="000B2F93" w:rsidRDefault="000B2F93" w:rsidP="008F1F27">
      <w:pPr>
        <w:spacing w:line="276" w:lineRule="auto"/>
      </w:pPr>
    </w:p>
    <w:sectPr w:rsidR="000B2F93" w:rsidSect="007F1895">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A738B" w14:textId="77777777" w:rsidR="009145FC" w:rsidRDefault="009145FC" w:rsidP="000B2F93">
      <w:r>
        <w:separator/>
      </w:r>
    </w:p>
  </w:endnote>
  <w:endnote w:type="continuationSeparator" w:id="0">
    <w:p w14:paraId="2BC0E0E9" w14:textId="77777777" w:rsidR="009145FC" w:rsidRDefault="009145FC" w:rsidP="000B2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17096" w14:textId="77777777" w:rsidR="00387886" w:rsidRDefault="009145FC" w:rsidP="007F1895">
    <w:pPr>
      <w:pStyle w:val="Sinespaciado"/>
      <w:jc w:val="right"/>
      <w:rPr>
        <w:rFonts w:ascii="Arial" w:hAnsi="Arial" w:cs="Arial"/>
        <w:sz w:val="18"/>
        <w:szCs w:val="18"/>
      </w:rPr>
    </w:pPr>
  </w:p>
  <w:p w14:paraId="6B8912A4" w14:textId="77777777" w:rsidR="00387886" w:rsidRDefault="009145FC" w:rsidP="007F1895">
    <w:pPr>
      <w:pStyle w:val="Sinespaciado"/>
      <w:jc w:val="right"/>
      <w:rPr>
        <w:rFonts w:ascii="Arial" w:hAnsi="Arial" w:cs="Arial"/>
        <w:sz w:val="18"/>
        <w:szCs w:val="18"/>
      </w:rPr>
    </w:pPr>
  </w:p>
  <w:p w14:paraId="049D09DA" w14:textId="77777777" w:rsidR="00387886" w:rsidRPr="008217B7" w:rsidRDefault="007C2EF0" w:rsidP="007F189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178FB5CE" w14:textId="77777777" w:rsidR="00387886" w:rsidRDefault="007C2EF0" w:rsidP="007F1895">
    <w:pPr>
      <w:pStyle w:val="Piedepgina"/>
      <w:jc w:val="center"/>
      <w:rPr>
        <w:lang w:val="es-ES"/>
      </w:rPr>
    </w:pPr>
    <w:r>
      <w:rPr>
        <w:noProof/>
      </w:rPr>
      <w:drawing>
        <wp:inline distT="0" distB="0" distL="0" distR="0" wp14:anchorId="231BB9A0" wp14:editId="79ACFD46">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7F3E6FDB" w14:textId="77777777" w:rsidR="00387886" w:rsidRPr="00E756AC" w:rsidRDefault="009145FC" w:rsidP="007F1895">
    <w:pPr>
      <w:pStyle w:val="Piedepgina"/>
      <w:jc w:val="center"/>
      <w:rPr>
        <w:sz w:val="18"/>
        <w:szCs w:val="18"/>
        <w:lang w:val="es-ES"/>
      </w:rPr>
    </w:pPr>
  </w:p>
  <w:p w14:paraId="19562477" w14:textId="77777777" w:rsidR="00387886" w:rsidRPr="00E756AC" w:rsidRDefault="009145FC" w:rsidP="007F1895">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00B34" w14:textId="77777777" w:rsidR="009145FC" w:rsidRDefault="009145FC" w:rsidP="000B2F93">
      <w:r>
        <w:separator/>
      </w:r>
    </w:p>
  </w:footnote>
  <w:footnote w:type="continuationSeparator" w:id="0">
    <w:p w14:paraId="39265928" w14:textId="77777777" w:rsidR="009145FC" w:rsidRDefault="009145FC" w:rsidP="000B2F93">
      <w:r>
        <w:continuationSeparator/>
      </w:r>
    </w:p>
  </w:footnote>
  <w:footnote w:id="1">
    <w:p w14:paraId="236E34FA" w14:textId="77777777" w:rsidR="003378D7" w:rsidRPr="00BE6590" w:rsidRDefault="003378D7" w:rsidP="003378D7">
      <w:pPr>
        <w:pStyle w:val="Textonotapie"/>
        <w:ind w:firstLine="709"/>
        <w:jc w:val="both"/>
        <w:rPr>
          <w:rFonts w:ascii="Arial" w:hAnsi="Arial" w:cs="Arial"/>
          <w:color w:val="000000" w:themeColor="text1"/>
          <w:sz w:val="19"/>
          <w:szCs w:val="19"/>
          <w:lang w:val="es-ES"/>
        </w:rPr>
      </w:pPr>
      <w:r w:rsidRPr="00BE6590">
        <w:rPr>
          <w:rStyle w:val="Refdenotaalpie"/>
          <w:rFonts w:ascii="Arial" w:hAnsi="Arial" w:cs="Arial"/>
          <w:color w:val="000000" w:themeColor="text1"/>
          <w:sz w:val="19"/>
          <w:szCs w:val="19"/>
        </w:rPr>
        <w:footnoteRef/>
      </w:r>
      <w:r w:rsidRPr="00BE6590">
        <w:rPr>
          <w:rFonts w:ascii="Arial" w:hAnsi="Arial" w:cs="Arial"/>
          <w:color w:val="000000" w:themeColor="text1"/>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BE6590">
        <w:rPr>
          <w:rFonts w:ascii="Arial" w:hAnsi="Arial" w:cs="Arial"/>
          <w:i/>
          <w:iCs/>
          <w:color w:val="000000" w:themeColor="text1"/>
          <w:sz w:val="19"/>
          <w:szCs w:val="19"/>
        </w:rPr>
        <w:t xml:space="preserve">ibídem </w:t>
      </w:r>
      <w:r w:rsidRPr="00BE6590">
        <w:rPr>
          <w:rFonts w:ascii="Arial" w:hAnsi="Arial" w:cs="Arial"/>
          <w:color w:val="000000" w:themeColor="text1"/>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ibídem señala que es función de la Subdirección de Gestión Contractual: «[a]bsolver consultas sobre la aplicación de normas de carácter general».</w:t>
      </w:r>
    </w:p>
  </w:footnote>
  <w:footnote w:id="2">
    <w:p w14:paraId="5569D0C4" w14:textId="77777777" w:rsidR="009C571D" w:rsidRDefault="009C571D" w:rsidP="00210FD1">
      <w:pPr>
        <w:pStyle w:val="Textonotapie"/>
        <w:spacing w:line="20" w:lineRule="atLeast"/>
        <w:ind w:firstLine="709"/>
        <w:jc w:val="both"/>
        <w:rPr>
          <w:rFonts w:ascii="Arial" w:hAnsi="Arial" w:cs="Arial"/>
          <w:sz w:val="19"/>
          <w:szCs w:val="19"/>
          <w:lang w:val="es-ES"/>
        </w:rPr>
      </w:pPr>
      <w:r w:rsidRPr="000A1BE0">
        <w:rPr>
          <w:rStyle w:val="Refdenotaalpie"/>
          <w:rFonts w:ascii="Arial" w:hAnsi="Arial" w:cs="Arial"/>
          <w:sz w:val="19"/>
          <w:szCs w:val="19"/>
        </w:rPr>
        <w:footnoteRef/>
      </w:r>
      <w:r w:rsidRPr="000A1BE0">
        <w:rPr>
          <w:rFonts w:ascii="Arial" w:hAnsi="Arial" w:cs="Arial"/>
          <w:sz w:val="19"/>
          <w:szCs w:val="19"/>
        </w:rPr>
        <w:t xml:space="preserve"> </w:t>
      </w:r>
      <w:r w:rsidRPr="00770A31">
        <w:rPr>
          <w:rFonts w:ascii="Arial" w:hAnsi="Arial" w:cs="Arial"/>
          <w:sz w:val="19"/>
          <w:szCs w:val="19"/>
          <w:lang w:val="es-ES"/>
        </w:rPr>
        <w:t>«</w:t>
      </w:r>
      <w:r w:rsidRPr="000A1BE0">
        <w:rPr>
          <w:rFonts w:ascii="Arial" w:hAnsi="Arial" w:cs="Arial"/>
          <w:sz w:val="19"/>
          <w:szCs w:val="19"/>
        </w:rPr>
        <w:t>A</w:t>
      </w:r>
      <w:r>
        <w:rPr>
          <w:rFonts w:ascii="Arial" w:hAnsi="Arial" w:cs="Arial"/>
          <w:sz w:val="19"/>
          <w:szCs w:val="19"/>
        </w:rPr>
        <w:t xml:space="preserve">rtículo </w:t>
      </w:r>
      <w:r w:rsidRPr="000A1BE0">
        <w:rPr>
          <w:rFonts w:ascii="Arial" w:hAnsi="Arial" w:cs="Arial"/>
          <w:sz w:val="19"/>
          <w:szCs w:val="19"/>
        </w:rPr>
        <w:t>194. Naturaleza. La prestación de servicios de salud en forma directa por la Nación o por las entidades territoriales, se hará a través de las Empresas Sociales del Estado, que constituyen una categoría especial de entidad pública descentralizada, con personería jurídica, patrimonio propio y autonomía administrativa, creadas por la Ley o por las asambleas o concejos, según el caso, sometidas al régimen jur</w:t>
      </w:r>
      <w:r>
        <w:rPr>
          <w:rFonts w:ascii="Arial" w:hAnsi="Arial" w:cs="Arial"/>
          <w:sz w:val="19"/>
          <w:szCs w:val="19"/>
        </w:rPr>
        <w:t>ídico previsto en este capítulo</w:t>
      </w:r>
      <w:r w:rsidRPr="00770A31">
        <w:rPr>
          <w:rFonts w:ascii="Arial" w:hAnsi="Arial" w:cs="Arial"/>
          <w:sz w:val="19"/>
          <w:szCs w:val="19"/>
          <w:lang w:val="es-ES"/>
        </w:rPr>
        <w:t>»</w:t>
      </w:r>
      <w:r>
        <w:rPr>
          <w:rFonts w:ascii="Arial" w:hAnsi="Arial" w:cs="Arial"/>
          <w:sz w:val="19"/>
          <w:szCs w:val="19"/>
          <w:lang w:val="es-ES"/>
        </w:rPr>
        <w:t>.</w:t>
      </w:r>
    </w:p>
    <w:p w14:paraId="577AC751" w14:textId="77777777" w:rsidR="009C571D" w:rsidRPr="000A1BE0" w:rsidRDefault="009C571D" w:rsidP="00210FD1">
      <w:pPr>
        <w:pStyle w:val="Textonotapie"/>
        <w:spacing w:line="20" w:lineRule="atLeast"/>
        <w:ind w:firstLine="709"/>
        <w:jc w:val="both"/>
        <w:rPr>
          <w:rFonts w:ascii="Arial" w:hAnsi="Arial" w:cs="Arial"/>
          <w:sz w:val="19"/>
          <w:szCs w:val="19"/>
        </w:rPr>
      </w:pPr>
    </w:p>
  </w:footnote>
  <w:footnote w:id="3">
    <w:p w14:paraId="1C3D5FA5" w14:textId="77777777" w:rsidR="009C571D" w:rsidRPr="000A1BE0" w:rsidRDefault="009C571D" w:rsidP="00210FD1">
      <w:pPr>
        <w:pStyle w:val="Textonotapie"/>
        <w:spacing w:line="20" w:lineRule="atLeast"/>
        <w:ind w:firstLine="709"/>
        <w:jc w:val="both"/>
        <w:rPr>
          <w:rFonts w:ascii="Arial" w:hAnsi="Arial" w:cs="Arial"/>
          <w:sz w:val="19"/>
          <w:szCs w:val="19"/>
        </w:rPr>
      </w:pPr>
      <w:r w:rsidRPr="000A1BE0">
        <w:rPr>
          <w:rStyle w:val="Refdenotaalpie"/>
          <w:rFonts w:ascii="Arial" w:hAnsi="Arial" w:cs="Arial"/>
          <w:sz w:val="19"/>
          <w:szCs w:val="19"/>
        </w:rPr>
        <w:footnoteRef/>
      </w:r>
      <w:r w:rsidRPr="000A1BE0">
        <w:rPr>
          <w:rFonts w:ascii="Arial" w:hAnsi="Arial" w:cs="Arial"/>
          <w:sz w:val="19"/>
          <w:szCs w:val="19"/>
        </w:rPr>
        <w:t xml:space="preserve"> Consejo de Estado. Sección Tercera. Sentencia 18 de febrero de 2010. Rad: 11001-03-26-000-2009-00058-00(37004). CP: Enrique Gil Botero. </w:t>
      </w:r>
    </w:p>
  </w:footnote>
  <w:footnote w:id="4">
    <w:p w14:paraId="798B0206" w14:textId="77777777" w:rsidR="009C571D" w:rsidRPr="000A1BE0" w:rsidRDefault="009C571D" w:rsidP="00210FD1">
      <w:pPr>
        <w:pStyle w:val="Textonotapie"/>
        <w:spacing w:line="20" w:lineRule="atLeast"/>
        <w:ind w:firstLine="709"/>
        <w:jc w:val="both"/>
        <w:rPr>
          <w:rFonts w:ascii="Arial" w:hAnsi="Arial" w:cs="Arial"/>
          <w:sz w:val="19"/>
          <w:szCs w:val="19"/>
        </w:rPr>
      </w:pPr>
      <w:r w:rsidRPr="000A1BE0">
        <w:rPr>
          <w:rStyle w:val="Refdenotaalpie"/>
          <w:rFonts w:ascii="Arial" w:hAnsi="Arial" w:cs="Arial"/>
          <w:sz w:val="19"/>
          <w:szCs w:val="19"/>
        </w:rPr>
        <w:footnoteRef/>
      </w:r>
      <w:r w:rsidRPr="000A1BE0">
        <w:rPr>
          <w:rFonts w:ascii="Arial" w:hAnsi="Arial" w:cs="Arial"/>
          <w:sz w:val="19"/>
          <w:szCs w:val="19"/>
        </w:rPr>
        <w:t xml:space="preserve"> En sentencia C-655 de 2000, la Corte Constitucional se pronunció, así: </w:t>
      </w:r>
      <w:r w:rsidRPr="000A1BE0">
        <w:rPr>
          <w:rFonts w:ascii="Arial" w:hAnsi="Arial" w:cs="Arial"/>
          <w:sz w:val="19"/>
          <w:szCs w:val="19"/>
          <w:lang w:val="es-ES_tradnl"/>
        </w:rPr>
        <w:t>«</w:t>
      </w:r>
      <w:r w:rsidRPr="000A1BE0">
        <w:rPr>
          <w:rFonts w:ascii="Arial" w:hAnsi="Arial" w:cs="Arial"/>
          <w:color w:val="000000"/>
          <w:sz w:val="19"/>
          <w:szCs w:val="19"/>
        </w:rPr>
        <w:t>En los términos del artículo 49 de la Constitución Política, la atención de la salud y el saneamiento ambiental son servicios públicos a cargo del Estado; al cual corresponde organizarlos, dirigirlos y reglamentarlos conforme a los principios de eficiencia, universalidad y solidaridad. Igualmente es deber del Estado establecer las políticas para la prestación de servicios de salud por entidades privadas y ejercer su vigilancia y control. Debe también el Estado señalar las competencias de la Nación, las entidades territoriales y los particulares y determinar los aportes a su cargo en los términos y condiciones señalados en la ley</w:t>
      </w:r>
      <w:r w:rsidRPr="000A1BE0">
        <w:rPr>
          <w:rFonts w:ascii="Arial" w:hAnsi="Arial" w:cs="Arial"/>
          <w:sz w:val="19"/>
          <w:szCs w:val="19"/>
          <w:lang w:val="es-ES_tradnl"/>
        </w:rPr>
        <w:t>»</w:t>
      </w:r>
      <w:r w:rsidRPr="000A1BE0">
        <w:rPr>
          <w:rFonts w:ascii="Arial" w:hAnsi="Arial" w:cs="Arial"/>
          <w:color w:val="000000"/>
          <w:sz w:val="19"/>
          <w:szCs w:val="19"/>
        </w:rPr>
        <w:t>.</w:t>
      </w:r>
    </w:p>
  </w:footnote>
  <w:footnote w:id="5">
    <w:p w14:paraId="64D98C26" w14:textId="77777777" w:rsidR="009C571D" w:rsidRPr="000A1BE0" w:rsidRDefault="009C571D" w:rsidP="00210FD1">
      <w:pPr>
        <w:spacing w:line="20" w:lineRule="atLeast"/>
        <w:ind w:firstLine="709"/>
        <w:jc w:val="both"/>
        <w:rPr>
          <w:rFonts w:ascii="Arial" w:hAnsi="Arial" w:cs="Arial"/>
          <w:sz w:val="19"/>
          <w:szCs w:val="19"/>
          <w:lang w:val="es-ES"/>
        </w:rPr>
      </w:pPr>
      <w:r w:rsidRPr="000A1BE0">
        <w:rPr>
          <w:rStyle w:val="Refdenotaalpie"/>
          <w:rFonts w:ascii="Arial" w:hAnsi="Arial" w:cs="Arial"/>
          <w:sz w:val="19"/>
          <w:szCs w:val="19"/>
        </w:rPr>
        <w:footnoteRef/>
      </w:r>
      <w:r w:rsidRPr="000A1BE0">
        <w:rPr>
          <w:rFonts w:ascii="Arial" w:hAnsi="Arial" w:cs="Arial"/>
          <w:sz w:val="19"/>
          <w:szCs w:val="19"/>
        </w:rPr>
        <w:t xml:space="preserve"> Consejo de Estado, Sección Tercera, sentencia de 27 de febrero de 2013, C.P: Mauricio Fajardo Gómez de Estado. Secc. 3ª, sentencia de 8 de abril de 2014, rad. No.</w:t>
      </w:r>
      <w:r w:rsidRPr="000A1BE0">
        <w:rPr>
          <w:rFonts w:ascii="Arial" w:hAnsi="Arial" w:cs="Arial"/>
          <w:spacing w:val="-2"/>
          <w:sz w:val="19"/>
          <w:szCs w:val="19"/>
        </w:rPr>
        <w:t xml:space="preserve"> </w:t>
      </w:r>
      <w:r w:rsidRPr="000A1BE0">
        <w:rPr>
          <w:rFonts w:ascii="Arial" w:hAnsi="Arial" w:cs="Arial"/>
          <w:sz w:val="19"/>
          <w:szCs w:val="19"/>
        </w:rPr>
        <w:t>2000-01561-01(25.590).</w:t>
      </w:r>
    </w:p>
    <w:p w14:paraId="08E28445" w14:textId="77777777" w:rsidR="009C571D" w:rsidRPr="000A1BE0" w:rsidRDefault="009C571D" w:rsidP="00210FD1">
      <w:pPr>
        <w:pStyle w:val="Textonotapie"/>
        <w:spacing w:line="20" w:lineRule="atLeast"/>
        <w:ind w:firstLine="709"/>
        <w:jc w:val="both"/>
        <w:rPr>
          <w:rFonts w:ascii="Arial" w:hAnsi="Arial" w:cs="Arial"/>
          <w:sz w:val="19"/>
          <w:szCs w:val="19"/>
        </w:rPr>
      </w:pPr>
    </w:p>
  </w:footnote>
  <w:footnote w:id="6">
    <w:p w14:paraId="74F90535" w14:textId="77777777" w:rsidR="009C571D" w:rsidRDefault="009C571D" w:rsidP="00210FD1">
      <w:pPr>
        <w:spacing w:line="20" w:lineRule="atLeast"/>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w:t>
      </w:r>
    </w:p>
    <w:p w14:paraId="1049C0A9" w14:textId="77777777" w:rsidR="009C571D" w:rsidRPr="00EC20D7" w:rsidRDefault="009C571D" w:rsidP="00210FD1">
      <w:pPr>
        <w:spacing w:line="20" w:lineRule="atLeast"/>
        <w:ind w:firstLine="709"/>
        <w:jc w:val="both"/>
        <w:rPr>
          <w:rFonts w:ascii="Arial" w:hAnsi="Arial" w:cs="Arial"/>
          <w:sz w:val="19"/>
          <w:szCs w:val="19"/>
        </w:rPr>
      </w:pPr>
      <w:r w:rsidRPr="00EC20D7">
        <w:rPr>
          <w:rFonts w:ascii="Arial" w:hAnsi="Arial" w:cs="Arial"/>
          <w:sz w:val="19"/>
          <w:szCs w:val="19"/>
        </w:rPr>
        <w:t xml:space="preserve"> </w:t>
      </w:r>
    </w:p>
    <w:p w14:paraId="7870D75A" w14:textId="77777777" w:rsidR="009C571D" w:rsidRPr="00EC20D7" w:rsidRDefault="009C571D" w:rsidP="00210FD1">
      <w:pPr>
        <w:spacing w:line="20" w:lineRule="atLeast"/>
        <w:ind w:firstLine="709"/>
        <w:jc w:val="both"/>
        <w:rPr>
          <w:rFonts w:ascii="Arial" w:hAnsi="Arial" w:cs="Arial"/>
          <w:sz w:val="19"/>
          <w:szCs w:val="19"/>
        </w:rPr>
      </w:pPr>
      <w:r w:rsidRPr="00EC20D7">
        <w:rPr>
          <w:rFonts w:ascii="Arial" w:hAnsi="Arial" w:cs="Arial"/>
          <w:sz w:val="19"/>
          <w:szCs w:val="19"/>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footnote>
  <w:footnote w:id="7">
    <w:p w14:paraId="5C3D1248" w14:textId="77777777" w:rsidR="00EA2F02" w:rsidRDefault="00EA2F02" w:rsidP="00210FD1">
      <w:pPr>
        <w:pStyle w:val="Textonotapie"/>
        <w:spacing w:line="20" w:lineRule="atLeast"/>
        <w:ind w:firstLine="708"/>
        <w:jc w:val="both"/>
        <w:rPr>
          <w:rFonts w:ascii="Arial" w:hAnsi="Arial" w:cs="Arial"/>
          <w:sz w:val="19"/>
          <w:szCs w:val="19"/>
          <w:lang w:val="es-CO"/>
        </w:rPr>
      </w:pPr>
    </w:p>
    <w:p w14:paraId="1C028E3C" w14:textId="71A4D99B" w:rsidR="009C571D" w:rsidRPr="009F4D74" w:rsidRDefault="009C571D" w:rsidP="00210FD1">
      <w:pPr>
        <w:pStyle w:val="Textonotapie"/>
        <w:spacing w:line="20" w:lineRule="atLeast"/>
        <w:ind w:firstLine="708"/>
        <w:jc w:val="both"/>
        <w:rPr>
          <w:rFonts w:ascii="Arial" w:hAnsi="Arial" w:cs="Arial"/>
          <w:sz w:val="19"/>
          <w:szCs w:val="19"/>
          <w:lang w:val="es-CO"/>
        </w:rPr>
      </w:pPr>
      <w:r w:rsidRPr="009F4D74">
        <w:rPr>
          <w:vertAlign w:val="superscript"/>
          <w:lang w:val="es-CO"/>
        </w:rPr>
        <w:footnoteRef/>
      </w:r>
      <w:r w:rsidRPr="009F4D74">
        <w:rPr>
          <w:rFonts w:ascii="Arial" w:hAnsi="Arial" w:cs="Arial"/>
          <w:sz w:val="19"/>
          <w:szCs w:val="19"/>
          <w:lang w:val="es-CO"/>
        </w:rPr>
        <w:t xml:space="preserve"> Corte Constitucional. Sentencia C-1153 de 11 de noviembre de 2006, expediente: PE-024</w:t>
      </w:r>
    </w:p>
  </w:footnote>
  <w:footnote w:id="8">
    <w:p w14:paraId="29175510" w14:textId="77777777" w:rsidR="009C571D" w:rsidRDefault="009C571D" w:rsidP="00210FD1">
      <w:pPr>
        <w:pStyle w:val="Textonotapie"/>
        <w:spacing w:line="20" w:lineRule="atLeast"/>
        <w:jc w:val="both"/>
        <w:rPr>
          <w:rFonts w:ascii="Arial" w:hAnsi="Arial" w:cs="Arial"/>
          <w:sz w:val="19"/>
          <w:szCs w:val="19"/>
          <w:lang w:val="es-CO"/>
        </w:rPr>
      </w:pPr>
      <w:r w:rsidRPr="009F4D74">
        <w:rPr>
          <w:rFonts w:ascii="Arial" w:hAnsi="Arial" w:cs="Arial"/>
          <w:sz w:val="19"/>
          <w:szCs w:val="19"/>
          <w:lang w:val="es-CO"/>
        </w:rPr>
        <w:tab/>
      </w:r>
    </w:p>
    <w:p w14:paraId="7F27024D" w14:textId="77777777" w:rsidR="009C571D" w:rsidRPr="009F4D74" w:rsidRDefault="009C571D" w:rsidP="00210FD1">
      <w:pPr>
        <w:pStyle w:val="Textonotapie"/>
        <w:spacing w:line="20" w:lineRule="atLeast"/>
        <w:ind w:firstLine="708"/>
        <w:jc w:val="both"/>
        <w:rPr>
          <w:rFonts w:ascii="Arial" w:hAnsi="Arial" w:cs="Arial"/>
          <w:sz w:val="19"/>
          <w:szCs w:val="19"/>
          <w:lang w:val="es-CO"/>
        </w:rPr>
      </w:pPr>
      <w:r w:rsidRPr="009F4D74">
        <w:rPr>
          <w:vertAlign w:val="superscript"/>
          <w:lang w:val="es-CO"/>
        </w:rPr>
        <w:footnoteRef/>
      </w:r>
      <w:r w:rsidRPr="009F4D74">
        <w:rPr>
          <w:rFonts w:ascii="Arial" w:hAnsi="Arial" w:cs="Arial"/>
          <w:sz w:val="19"/>
          <w:szCs w:val="19"/>
          <w:lang w:val="es-CO"/>
        </w:rPr>
        <w:t xml:space="preserve"> Así lo indicó la Sala de Consulta y Servicio Civil del Consejo de Estado en el concepto 2166 del 24 de julio de 2013 al analizar la referida ley, precisando lo siguiente:</w:t>
      </w:r>
    </w:p>
    <w:p w14:paraId="38DBF55A" w14:textId="77777777" w:rsidR="009C571D" w:rsidRPr="009F4D74" w:rsidRDefault="009C571D" w:rsidP="00210FD1">
      <w:pPr>
        <w:pStyle w:val="Textonotapie"/>
        <w:spacing w:line="20" w:lineRule="atLeast"/>
        <w:ind w:firstLine="708"/>
        <w:jc w:val="both"/>
        <w:rPr>
          <w:rFonts w:ascii="Arial" w:hAnsi="Arial" w:cs="Arial"/>
          <w:sz w:val="19"/>
          <w:szCs w:val="19"/>
          <w:lang w:val="es-CO"/>
        </w:rPr>
      </w:pPr>
      <w:r w:rsidRPr="009F4D74">
        <w:rPr>
          <w:rFonts w:ascii="Arial" w:hAnsi="Arial" w:cs="Arial"/>
          <w:sz w:val="19"/>
          <w:szCs w:val="19"/>
          <w:lang w:val="es-CO"/>
        </w:rPr>
        <w:t>«La jurisprudencia de la Corte Constitucional y del Consejo de Estado,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 »</w:t>
      </w:r>
      <w:r w:rsidRPr="009F4D74">
        <w:rPr>
          <w:rFonts w:ascii="Arial" w:hAnsi="Arial" w:cs="Arial"/>
          <w:sz w:val="19"/>
          <w:szCs w:val="19"/>
          <w:lang w:val="es-CO"/>
        </w:rPr>
        <w:tab/>
      </w:r>
    </w:p>
  </w:footnote>
  <w:footnote w:id="9">
    <w:p w14:paraId="6960549C" w14:textId="77777777" w:rsidR="009C571D" w:rsidRDefault="009C571D" w:rsidP="00210FD1">
      <w:pPr>
        <w:pStyle w:val="Textonotapie"/>
        <w:spacing w:line="20" w:lineRule="atLeast"/>
        <w:ind w:firstLine="709"/>
        <w:jc w:val="both"/>
        <w:rPr>
          <w:rFonts w:ascii="Arial" w:hAnsi="Arial" w:cs="Arial"/>
          <w:sz w:val="19"/>
          <w:szCs w:val="19"/>
          <w:lang w:val="es-CO"/>
        </w:rPr>
      </w:pPr>
    </w:p>
    <w:p w14:paraId="2F9AD97D" w14:textId="77777777" w:rsidR="009C571D" w:rsidRPr="009F4D74" w:rsidRDefault="009C571D" w:rsidP="00210FD1">
      <w:pPr>
        <w:pStyle w:val="Textonotapie"/>
        <w:spacing w:line="20" w:lineRule="atLeast"/>
        <w:ind w:firstLine="709"/>
        <w:jc w:val="both"/>
        <w:rPr>
          <w:rFonts w:ascii="Arial" w:hAnsi="Arial" w:cs="Arial"/>
          <w:sz w:val="19"/>
          <w:szCs w:val="19"/>
          <w:lang w:val="es-CO"/>
        </w:rPr>
      </w:pPr>
      <w:r w:rsidRPr="009F4D74">
        <w:rPr>
          <w:vertAlign w:val="superscript"/>
          <w:lang w:val="es-CO"/>
        </w:rPr>
        <w:footnoteRef/>
      </w:r>
      <w:r w:rsidRPr="009F4D74">
        <w:rPr>
          <w:rFonts w:ascii="Arial" w:hAnsi="Arial" w:cs="Arial"/>
          <w:sz w:val="19"/>
          <w:szCs w:val="19"/>
          <w:lang w:val="es-CO"/>
        </w:rPr>
        <w:t xml:space="preserve"> Gaceta del Congreso de la República No. 71 del 2005.</w:t>
      </w:r>
    </w:p>
    <w:p w14:paraId="62964AB4" w14:textId="77777777" w:rsidR="009C571D" w:rsidRPr="002F0981" w:rsidRDefault="009C571D" w:rsidP="00210FD1">
      <w:pPr>
        <w:pStyle w:val="Textonotapie"/>
        <w:spacing w:line="20" w:lineRule="atLeast"/>
        <w:ind w:firstLine="709"/>
        <w:jc w:val="both"/>
        <w:rPr>
          <w:rFonts w:ascii="Arial" w:hAnsi="Arial" w:cs="Arial"/>
          <w:sz w:val="19"/>
          <w:szCs w:val="19"/>
          <w:lang w:val="es-CO"/>
        </w:rPr>
      </w:pPr>
    </w:p>
  </w:footnote>
  <w:footnote w:id="10">
    <w:p w14:paraId="3ABCC15E" w14:textId="77777777" w:rsidR="009C571D" w:rsidRPr="00EC20D7" w:rsidRDefault="009C571D" w:rsidP="00210FD1">
      <w:pPr>
        <w:pStyle w:val="Textonotapie"/>
        <w:spacing w:line="20" w:lineRule="atLeast"/>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Corte Constitucional, Sentencia C- 1153 de 2005, M.P. Marco Gerardo Monroy Cabra.</w:t>
      </w:r>
    </w:p>
  </w:footnote>
  <w:footnote w:id="11">
    <w:p w14:paraId="76531527" w14:textId="77777777" w:rsidR="009C571D" w:rsidRDefault="009C571D" w:rsidP="00210FD1">
      <w:pPr>
        <w:pStyle w:val="Textonotapie"/>
        <w:spacing w:line="20" w:lineRule="atLeast"/>
        <w:ind w:firstLine="709"/>
        <w:jc w:val="both"/>
        <w:rPr>
          <w:rFonts w:ascii="Arial" w:hAnsi="Arial" w:cs="Arial"/>
          <w:sz w:val="19"/>
          <w:szCs w:val="19"/>
        </w:rPr>
      </w:pPr>
    </w:p>
    <w:p w14:paraId="6C5F697C" w14:textId="77777777" w:rsidR="009C571D" w:rsidRPr="00EC20D7" w:rsidRDefault="009C571D" w:rsidP="00210FD1">
      <w:pPr>
        <w:pStyle w:val="Textonotapie"/>
        <w:spacing w:line="20" w:lineRule="atLeast"/>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235E9EAD" w14:textId="77777777" w:rsidR="009C571D" w:rsidRPr="00EC20D7" w:rsidRDefault="009C571D" w:rsidP="00210FD1">
      <w:pPr>
        <w:pStyle w:val="Textonotapie"/>
        <w:spacing w:line="20" w:lineRule="atLeast"/>
        <w:ind w:firstLine="709"/>
        <w:jc w:val="both"/>
        <w:rPr>
          <w:rFonts w:ascii="Arial" w:hAnsi="Arial" w:cs="Arial"/>
          <w:sz w:val="19"/>
          <w:szCs w:val="19"/>
        </w:rPr>
      </w:pPr>
    </w:p>
  </w:footnote>
  <w:footnote w:id="12">
    <w:p w14:paraId="7FFA2A96" w14:textId="77777777" w:rsidR="009C571D" w:rsidRPr="00EC20D7" w:rsidRDefault="009C571D" w:rsidP="00210FD1">
      <w:pPr>
        <w:pStyle w:val="Textonotapie"/>
        <w:spacing w:line="20" w:lineRule="atLeast"/>
        <w:ind w:firstLine="709"/>
        <w:jc w:val="both"/>
        <w:rPr>
          <w:rFonts w:ascii="Arial" w:hAnsi="Arial" w:cs="Arial"/>
          <w:sz w:val="19"/>
          <w:szCs w:val="19"/>
          <w:lang w:val="es-CO"/>
        </w:rPr>
      </w:pPr>
      <w:r w:rsidRPr="00EC20D7">
        <w:rPr>
          <w:rStyle w:val="Refdenotaalpie"/>
          <w:rFonts w:ascii="Arial" w:hAnsi="Arial" w:cs="Arial"/>
          <w:sz w:val="19"/>
          <w:szCs w:val="19"/>
        </w:rPr>
        <w:footnoteRef/>
      </w:r>
      <w:r w:rsidRPr="00EC20D7">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3B40B13B" w14:textId="77777777" w:rsidR="009C571D" w:rsidRPr="00EC20D7" w:rsidRDefault="009C571D" w:rsidP="00210FD1">
      <w:pPr>
        <w:pStyle w:val="Textonotapie"/>
        <w:spacing w:line="20" w:lineRule="atLeast"/>
        <w:ind w:firstLine="709"/>
        <w:jc w:val="both"/>
        <w:rPr>
          <w:rFonts w:ascii="Arial" w:hAnsi="Arial" w:cs="Arial"/>
          <w:sz w:val="19"/>
          <w:szCs w:val="19"/>
          <w:lang w:val="es-CO"/>
        </w:rPr>
      </w:pPr>
    </w:p>
  </w:footnote>
  <w:footnote w:id="13">
    <w:p w14:paraId="3BDBFE46" w14:textId="77777777" w:rsidR="009C571D" w:rsidRPr="00EC20D7" w:rsidRDefault="009C571D" w:rsidP="00210FD1">
      <w:pPr>
        <w:pStyle w:val="Textonotapie"/>
        <w:spacing w:line="20" w:lineRule="atLeast"/>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Consejo de Estado, Sala de Consulta y Servicio Civil de fecha 24 de julio de 2013, radicado 2166, Consejero Ponente: Álvaro Nam</w:t>
      </w:r>
      <w:r>
        <w:rPr>
          <w:rFonts w:ascii="Arial" w:hAnsi="Arial" w:cs="Arial"/>
          <w:sz w:val="19"/>
          <w:szCs w:val="19"/>
        </w:rPr>
        <w:t>e</w:t>
      </w:r>
      <w:r w:rsidRPr="00EC20D7">
        <w:rPr>
          <w:rFonts w:ascii="Arial" w:hAnsi="Arial" w:cs="Arial"/>
          <w:sz w:val="19"/>
          <w:szCs w:val="19"/>
        </w:rPr>
        <w:t xml:space="preserve">n Vargas.  </w:t>
      </w:r>
    </w:p>
  </w:footnote>
  <w:footnote w:id="14">
    <w:p w14:paraId="01B6951B" w14:textId="77777777" w:rsidR="009C571D" w:rsidRDefault="009C571D" w:rsidP="00210FD1">
      <w:pPr>
        <w:spacing w:line="20" w:lineRule="atLeast"/>
        <w:ind w:firstLine="709"/>
        <w:jc w:val="both"/>
        <w:rPr>
          <w:rFonts w:ascii="Arial" w:hAnsi="Arial" w:cs="Arial"/>
          <w:sz w:val="19"/>
          <w:szCs w:val="19"/>
        </w:rPr>
      </w:pPr>
    </w:p>
    <w:p w14:paraId="5482DFD5" w14:textId="77777777" w:rsidR="009C571D" w:rsidRPr="00EC20D7" w:rsidRDefault="009C571D" w:rsidP="00210FD1">
      <w:pPr>
        <w:spacing w:line="20" w:lineRule="atLeast"/>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w:t>
      </w:r>
      <w:r w:rsidRPr="00EC20D7">
        <w:rPr>
          <w:rFonts w:ascii="Arial" w:eastAsia="Calibri" w:hAnsi="Arial" w:cs="Arial"/>
          <w:bCs/>
          <w:color w:val="000000"/>
          <w:sz w:val="19"/>
          <w:szCs w:val="19"/>
        </w:rPr>
        <w:t>«</w:t>
      </w:r>
      <w:r w:rsidRPr="00EC20D7">
        <w:rPr>
          <w:rFonts w:ascii="Arial" w:hAnsi="Arial" w:cs="Arial"/>
          <w:sz w:val="19"/>
          <w:szCs w:val="19"/>
        </w:rPr>
        <w:t>Artículo 33. Restricciones a la contratación pública. Durante los cuatro (4) meses anteriores a la elección presidencial y hasta la realización de la elección en la segunda vuelta, si fuere el caso, queda prohibida la contratación directa por parte de todos los entes del Estado.</w:t>
      </w:r>
    </w:p>
    <w:p w14:paraId="3BD1E2F8" w14:textId="77777777" w:rsidR="009C571D" w:rsidRPr="00EC20D7" w:rsidRDefault="009C571D" w:rsidP="00210FD1">
      <w:pPr>
        <w:spacing w:line="20" w:lineRule="atLeast"/>
        <w:ind w:firstLine="709"/>
        <w:jc w:val="both"/>
        <w:rPr>
          <w:rFonts w:ascii="Arial" w:hAnsi="Arial" w:cs="Arial"/>
          <w:sz w:val="19"/>
          <w:szCs w:val="19"/>
        </w:rPr>
      </w:pPr>
      <w:r w:rsidRPr="00EC20D7">
        <w:rPr>
          <w:rFonts w:ascii="Arial" w:eastAsia="Calibri" w:hAnsi="Arial" w:cs="Arial"/>
          <w:bCs/>
          <w:color w:val="000000"/>
          <w:sz w:val="19"/>
          <w:szCs w:val="19"/>
        </w:rPr>
        <w:t>»</w:t>
      </w:r>
      <w:r w:rsidRPr="00EC20D7">
        <w:rPr>
          <w:rFonts w:ascii="Arial" w:hAnsi="Arial" w:cs="Arial"/>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EC20D7">
        <w:rPr>
          <w:rFonts w:ascii="Arial" w:eastAsia="Calibri" w:hAnsi="Arial" w:cs="Arial"/>
          <w:bCs/>
          <w:color w:val="000000"/>
          <w:sz w:val="19"/>
          <w:szCs w:val="19"/>
        </w:rPr>
        <w:t>»</w:t>
      </w:r>
      <w:r w:rsidRPr="00EC20D7">
        <w:rPr>
          <w:rFonts w:ascii="Arial" w:hAnsi="Arial" w:cs="Arial"/>
          <w:sz w:val="19"/>
          <w:szCs w:val="19"/>
        </w:rPr>
        <w:t>.</w:t>
      </w:r>
    </w:p>
  </w:footnote>
  <w:footnote w:id="15">
    <w:p w14:paraId="7DFD26D9" w14:textId="77777777" w:rsidR="009C571D" w:rsidRDefault="009C571D" w:rsidP="00210FD1">
      <w:pPr>
        <w:pStyle w:val="NormalWeb"/>
        <w:spacing w:before="0" w:beforeAutospacing="0" w:after="0" w:afterAutospacing="0" w:line="20" w:lineRule="atLeast"/>
        <w:ind w:firstLine="709"/>
        <w:jc w:val="both"/>
        <w:rPr>
          <w:rFonts w:ascii="Arial" w:hAnsi="Arial" w:cs="Arial"/>
          <w:sz w:val="19"/>
          <w:szCs w:val="19"/>
        </w:rPr>
      </w:pPr>
    </w:p>
    <w:p w14:paraId="73C83C1A" w14:textId="77777777" w:rsidR="009C571D" w:rsidRPr="00EC20D7" w:rsidRDefault="009C571D" w:rsidP="00210FD1">
      <w:pPr>
        <w:pStyle w:val="NormalWeb"/>
        <w:spacing w:before="0" w:beforeAutospacing="0" w:after="0" w:afterAutospacing="0" w:line="20" w:lineRule="atLeast"/>
        <w:ind w:firstLine="709"/>
        <w:jc w:val="both"/>
        <w:rPr>
          <w:rFonts w:ascii="Arial" w:hAnsi="Arial" w:cs="Arial"/>
          <w:sz w:val="19"/>
          <w:szCs w:val="19"/>
          <w:lang w:val="es-MX"/>
        </w:rPr>
      </w:pPr>
      <w:r w:rsidRPr="00EC20D7">
        <w:rPr>
          <w:rStyle w:val="Refdenotaalpie"/>
          <w:rFonts w:ascii="Arial" w:hAnsi="Arial" w:cs="Arial"/>
          <w:sz w:val="19"/>
          <w:szCs w:val="19"/>
        </w:rPr>
        <w:footnoteRef/>
      </w:r>
      <w:r w:rsidRPr="00EC20D7">
        <w:rPr>
          <w:rFonts w:ascii="Arial" w:hAnsi="Arial" w:cs="Arial"/>
          <w:sz w:val="19"/>
          <w:szCs w:val="19"/>
        </w:rPr>
        <w:t xml:space="preserve"> </w:t>
      </w:r>
      <w:r w:rsidRPr="00EC20D7">
        <w:rPr>
          <w:rFonts w:ascii="Arial" w:eastAsia="Calibri" w:hAnsi="Arial" w:cs="Arial"/>
          <w:bCs/>
          <w:color w:val="000000"/>
          <w:sz w:val="19"/>
          <w:szCs w:val="19"/>
        </w:rPr>
        <w:t>«</w:t>
      </w:r>
      <w:r w:rsidRPr="00EC20D7">
        <w:rPr>
          <w:rFonts w:ascii="Arial" w:hAnsi="Arial" w:cs="Arial"/>
          <w:sz w:val="19"/>
          <w:szCs w:val="19"/>
          <w:lang w:val="es-MX"/>
        </w:rPr>
        <w:t>Artículo 38. Prohibiciones para los servidores públicos. A los empleados del Estado les está prohibido:</w:t>
      </w:r>
    </w:p>
    <w:p w14:paraId="63B6B997" w14:textId="77777777" w:rsidR="009C571D" w:rsidRPr="00EC20D7" w:rsidRDefault="009C571D" w:rsidP="00210FD1">
      <w:pPr>
        <w:pStyle w:val="NormalWeb"/>
        <w:spacing w:before="0" w:beforeAutospacing="0" w:after="0" w:afterAutospacing="0" w:line="20" w:lineRule="atLeast"/>
        <w:ind w:firstLine="709"/>
        <w:jc w:val="both"/>
        <w:rPr>
          <w:rFonts w:ascii="Arial" w:hAnsi="Arial" w:cs="Arial"/>
          <w:sz w:val="19"/>
          <w:szCs w:val="19"/>
          <w:lang w:val="es-MX"/>
        </w:rPr>
      </w:pPr>
      <w:r w:rsidRPr="00EC20D7">
        <w:rPr>
          <w:rFonts w:ascii="Arial" w:eastAsia="Calibri" w:hAnsi="Arial" w:cs="Arial"/>
          <w:bCs/>
          <w:color w:val="000000"/>
          <w:sz w:val="19"/>
          <w:szCs w:val="19"/>
        </w:rPr>
        <w:t>»</w:t>
      </w:r>
      <w:r w:rsidRPr="00EC20D7">
        <w:rPr>
          <w:rFonts w:ascii="Arial" w:hAnsi="Arial" w:cs="Arial"/>
          <w:sz w:val="19"/>
          <w:szCs w:val="19"/>
          <w:lang w:val="es-MX"/>
        </w:rPr>
        <w:t xml:space="preserve"> […]</w:t>
      </w:r>
    </w:p>
    <w:p w14:paraId="73FAB157" w14:textId="77777777" w:rsidR="009C571D" w:rsidRPr="002F0981" w:rsidRDefault="009C571D" w:rsidP="00210FD1">
      <w:pPr>
        <w:spacing w:line="20" w:lineRule="atLeast"/>
        <w:ind w:firstLine="709"/>
        <w:jc w:val="both"/>
        <w:rPr>
          <w:rFonts w:ascii="Arial" w:hAnsi="Arial" w:cs="Arial"/>
          <w:sz w:val="19"/>
          <w:szCs w:val="19"/>
          <w:lang w:val="es-MX"/>
        </w:rPr>
      </w:pPr>
      <w:r w:rsidRPr="0026728E">
        <w:rPr>
          <w:rFonts w:ascii="Arial" w:eastAsia="Calibri" w:hAnsi="Arial" w:cs="Arial"/>
          <w:bCs/>
          <w:color w:val="000000"/>
          <w:sz w:val="19"/>
          <w:szCs w:val="19"/>
        </w:rPr>
        <w:t>»</w:t>
      </w:r>
      <w:r w:rsidRPr="002F0981">
        <w:rPr>
          <w:rStyle w:val="baj"/>
          <w:rFonts w:ascii="Arial" w:hAnsi="Arial" w:cs="Arial"/>
          <w:sz w:val="19"/>
          <w:szCs w:val="19"/>
        </w:rPr>
        <w:t xml:space="preserve"> Parágrafo.</w:t>
      </w:r>
      <w:r w:rsidRPr="002F0981">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26728E">
        <w:rPr>
          <w:rFonts w:ascii="Arial" w:eastAsia="Calibri" w:hAnsi="Arial" w:cs="Arial"/>
          <w:bCs/>
          <w:color w:val="000000"/>
          <w:sz w:val="19"/>
          <w:szCs w:val="19"/>
        </w:rPr>
        <w:t>»</w:t>
      </w:r>
      <w:r w:rsidRPr="002F0981">
        <w:rPr>
          <w:rFonts w:ascii="Arial" w:hAnsi="Arial" w:cs="Arial"/>
          <w:sz w:val="19"/>
          <w:szCs w:val="19"/>
          <w:lang w:val="es-MX"/>
        </w:rPr>
        <w:t>.</w:t>
      </w:r>
    </w:p>
  </w:footnote>
  <w:footnote w:id="16">
    <w:p w14:paraId="033A033B" w14:textId="77777777" w:rsidR="009C571D" w:rsidRPr="002F0981" w:rsidRDefault="009C571D" w:rsidP="00210FD1">
      <w:pPr>
        <w:spacing w:line="20" w:lineRule="atLeast"/>
        <w:ind w:left="100" w:right="244" w:firstLine="709"/>
        <w:jc w:val="both"/>
        <w:rPr>
          <w:rFonts w:ascii="Arial" w:hAnsi="Arial" w:cs="Arial"/>
          <w:sz w:val="19"/>
          <w:szCs w:val="19"/>
          <w:lang w:val="es-ES"/>
        </w:rPr>
      </w:pPr>
      <w:r w:rsidRPr="0026728E">
        <w:rPr>
          <w:rStyle w:val="Refdenotaalpie"/>
          <w:rFonts w:ascii="Arial" w:hAnsi="Arial" w:cs="Arial"/>
          <w:sz w:val="19"/>
          <w:szCs w:val="19"/>
        </w:rPr>
        <w:footnoteRef/>
      </w:r>
      <w:r w:rsidRPr="00AC7007">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17">
    <w:p w14:paraId="639A9E9C" w14:textId="77777777" w:rsidR="009C571D" w:rsidRPr="003A5B09" w:rsidRDefault="009C571D" w:rsidP="00210FD1">
      <w:pPr>
        <w:pStyle w:val="Textonotapie"/>
        <w:spacing w:line="20" w:lineRule="atLeast"/>
        <w:ind w:firstLine="709"/>
        <w:jc w:val="both"/>
        <w:rPr>
          <w:rFonts w:ascii="Arial" w:hAnsi="Arial" w:cs="Arial"/>
          <w:sz w:val="19"/>
          <w:szCs w:val="19"/>
        </w:rPr>
      </w:pPr>
      <w:r w:rsidRPr="003A5B09">
        <w:rPr>
          <w:rStyle w:val="Refdenotaalpie"/>
          <w:rFonts w:ascii="Arial" w:hAnsi="Arial" w:cs="Arial"/>
          <w:sz w:val="19"/>
          <w:szCs w:val="19"/>
        </w:rPr>
        <w:footnoteRef/>
      </w:r>
      <w:r w:rsidRPr="003A5B09">
        <w:rPr>
          <w:rFonts w:ascii="Arial" w:hAnsi="Arial" w:cs="Arial"/>
          <w:sz w:val="19"/>
          <w:szCs w:val="19"/>
        </w:rPr>
        <w:t xml:space="preserve"> Consejo de Estado. Sala de Consulta y Servicio Civil. Concepto del 18 de febrero de 2010. Radicación 2010-00006-00(1985)A.</w:t>
      </w:r>
    </w:p>
    <w:p w14:paraId="3DC3BF02" w14:textId="77777777" w:rsidR="009C571D" w:rsidRPr="003A5B09" w:rsidRDefault="009C571D" w:rsidP="00210FD1">
      <w:pPr>
        <w:pStyle w:val="Textonotapie"/>
        <w:spacing w:line="20" w:lineRule="atLeast"/>
        <w:ind w:firstLine="709"/>
        <w:jc w:val="both"/>
        <w:rPr>
          <w:rFonts w:ascii="Arial" w:hAnsi="Arial" w:cs="Arial"/>
          <w:sz w:val="19"/>
          <w:szCs w:val="19"/>
          <w:lang w:val="es-CO"/>
        </w:rPr>
      </w:pPr>
    </w:p>
  </w:footnote>
  <w:footnote w:id="18">
    <w:p w14:paraId="4BB5E57C" w14:textId="77777777" w:rsidR="0091137F" w:rsidRPr="00D05C96" w:rsidRDefault="0091137F" w:rsidP="0091137F">
      <w:pPr>
        <w:pStyle w:val="Textonotapie"/>
        <w:ind w:right="51" w:firstLine="709"/>
        <w:jc w:val="both"/>
        <w:rPr>
          <w:rFonts w:ascii="Arial" w:hAnsi="Arial" w:cs="Arial"/>
          <w:sz w:val="16"/>
          <w:szCs w:val="16"/>
        </w:rPr>
      </w:pPr>
      <w:r w:rsidRPr="00D05C96">
        <w:rPr>
          <w:rStyle w:val="Refdenotaalpie"/>
          <w:rFonts w:ascii="Arial" w:hAnsi="Arial" w:cs="Arial"/>
          <w:sz w:val="16"/>
          <w:szCs w:val="16"/>
        </w:rPr>
        <w:footnoteRef/>
      </w:r>
      <w:r w:rsidRPr="00D05C96">
        <w:rPr>
          <w:rFonts w:ascii="Arial" w:hAnsi="Arial" w:cs="Arial"/>
          <w:sz w:val="16"/>
          <w:szCs w:val="16"/>
        </w:rPr>
        <w:t xml:space="preserve"> </w:t>
      </w:r>
      <w:bookmarkStart w:id="4" w:name="_Hlk74272731"/>
      <w:r w:rsidRPr="00D05C96">
        <w:rPr>
          <w:rFonts w:ascii="Arial" w:hAnsi="Arial" w:cs="Arial"/>
          <w:sz w:val="16"/>
          <w:szCs w:val="16"/>
        </w:rPr>
        <w:t>«</w:t>
      </w:r>
      <w:bookmarkEnd w:id="4"/>
      <w:r w:rsidRPr="00D05C96">
        <w:rPr>
          <w:rFonts w:ascii="Arial" w:hAnsi="Arial" w:cs="Arial"/>
          <w:sz w:val="16"/>
          <w:szCs w:val="16"/>
          <w:lang w:val="es-ES"/>
        </w:rPr>
        <w:t xml:space="preserve">[25] </w:t>
      </w:r>
      <w:r w:rsidRPr="00D05C96">
        <w:rPr>
          <w:rFonts w:ascii="Arial" w:hAnsi="Arial" w:cs="Arial"/>
          <w:sz w:val="16"/>
          <w:szCs w:val="16"/>
        </w:rPr>
        <w:t>Cfr. Consejo de Estado. Sección Tercera. Sentencia de 3 de diciembre de 2007. Radicados: 24.715, 25.206, 25.409, 24.524, 27.834, 25.410, 26.105, 28.244, 31.447 -acumulados-</w:t>
      </w:r>
      <w:bookmarkStart w:id="5" w:name="_Hlk74271358"/>
      <w:r w:rsidRPr="00D05C96">
        <w:rPr>
          <w:rFonts w:ascii="Arial" w:hAnsi="Arial" w:cs="Arial"/>
          <w:sz w:val="16"/>
          <w:szCs w:val="16"/>
        </w:rPr>
        <w:t>»</w:t>
      </w:r>
      <w:bookmarkEnd w:id="5"/>
      <w:r w:rsidRPr="00D05C96">
        <w:rPr>
          <w:rFonts w:ascii="Arial" w:hAnsi="Arial" w:cs="Arial"/>
          <w:sz w:val="16"/>
          <w:szCs w:val="16"/>
        </w:rPr>
        <w:t>.</w:t>
      </w:r>
    </w:p>
  </w:footnote>
  <w:footnote w:id="19">
    <w:p w14:paraId="1C3195A0" w14:textId="77777777" w:rsidR="0091137F" w:rsidRPr="00D05C96" w:rsidRDefault="0091137F" w:rsidP="0091137F">
      <w:pPr>
        <w:pStyle w:val="Textonotapie"/>
        <w:ind w:right="51" w:firstLine="709"/>
        <w:jc w:val="both"/>
        <w:rPr>
          <w:rFonts w:ascii="Arial" w:hAnsi="Arial" w:cs="Arial"/>
          <w:sz w:val="16"/>
          <w:szCs w:val="16"/>
        </w:rPr>
      </w:pPr>
      <w:r w:rsidRPr="00D05C96">
        <w:rPr>
          <w:rStyle w:val="Refdenotaalpie"/>
          <w:rFonts w:ascii="Arial" w:hAnsi="Arial" w:cs="Arial"/>
          <w:sz w:val="16"/>
          <w:szCs w:val="16"/>
        </w:rPr>
        <w:footnoteRef/>
      </w:r>
      <w:r w:rsidRPr="00D05C96">
        <w:rPr>
          <w:rFonts w:ascii="Arial" w:hAnsi="Arial" w:cs="Arial"/>
          <w:sz w:val="16"/>
          <w:szCs w:val="16"/>
        </w:rPr>
        <w:t xml:space="preserve"> </w:t>
      </w:r>
      <w:bookmarkStart w:id="7" w:name="_Hlk74294506"/>
      <w:r w:rsidRPr="00D05C96">
        <w:rPr>
          <w:rFonts w:ascii="Arial" w:hAnsi="Arial" w:cs="Arial"/>
          <w:sz w:val="16"/>
          <w:szCs w:val="16"/>
        </w:rPr>
        <w:t>«</w:t>
      </w:r>
      <w:r w:rsidRPr="00D05C96">
        <w:rPr>
          <w:rFonts w:ascii="Arial" w:hAnsi="Arial" w:cs="Arial"/>
          <w:sz w:val="16"/>
          <w:szCs w:val="16"/>
          <w:lang w:val="es-ES"/>
        </w:rPr>
        <w:t xml:space="preserve">[26] </w:t>
      </w:r>
      <w:bookmarkEnd w:id="7"/>
      <w:r w:rsidRPr="00D05C96">
        <w:rPr>
          <w:rFonts w:ascii="Arial" w:hAnsi="Arial" w:cs="Arial"/>
          <w:sz w:val="16"/>
          <w:szCs w:val="16"/>
        </w:rPr>
        <w:t>Al respecto ver el concepto 1712 de 2 de febrero de 2006. Consejo de Estado Sala de Consulta y Servicio Civil».</w:t>
      </w:r>
    </w:p>
  </w:footnote>
  <w:footnote w:id="20">
    <w:p w14:paraId="3545CADB" w14:textId="77777777" w:rsidR="0091137F" w:rsidRPr="00D05C96" w:rsidRDefault="0091137F" w:rsidP="0091137F">
      <w:pPr>
        <w:pStyle w:val="Textonotapie"/>
        <w:ind w:firstLine="709"/>
        <w:jc w:val="both"/>
        <w:rPr>
          <w:rFonts w:ascii="Arial" w:hAnsi="Arial" w:cs="Arial"/>
          <w:sz w:val="16"/>
          <w:szCs w:val="16"/>
        </w:rPr>
      </w:pPr>
      <w:r w:rsidRPr="00D05C96">
        <w:rPr>
          <w:rStyle w:val="Refdenotaalpie"/>
          <w:rFonts w:ascii="Arial" w:hAnsi="Arial" w:cs="Arial"/>
          <w:sz w:val="16"/>
          <w:szCs w:val="16"/>
        </w:rPr>
        <w:footnoteRef/>
      </w:r>
      <w:r w:rsidRPr="00D05C96">
        <w:rPr>
          <w:rFonts w:ascii="Arial" w:hAnsi="Arial" w:cs="Arial"/>
          <w:sz w:val="16"/>
          <w:szCs w:val="16"/>
        </w:rPr>
        <w:t xml:space="preserve"> Consejo de Estado. Sala de Consulta y Servicio Civil. Concepto del 2 de septiembre de 2013. Radicación número: 11001-03-06-000-2013-00412-00 (2168). Consejero Ponente: Álvaro Namén Vargas.</w:t>
      </w:r>
    </w:p>
  </w:footnote>
  <w:footnote w:id="21">
    <w:p w14:paraId="51840215" w14:textId="77777777" w:rsidR="0091137F" w:rsidRPr="00D05C96" w:rsidRDefault="0091137F" w:rsidP="0091137F">
      <w:pPr>
        <w:pStyle w:val="Textonotapie"/>
        <w:ind w:firstLine="709"/>
        <w:jc w:val="both"/>
        <w:rPr>
          <w:rFonts w:ascii="Arial" w:hAnsi="Arial" w:cs="Arial"/>
          <w:sz w:val="16"/>
          <w:szCs w:val="16"/>
          <w:lang w:val="es-ES"/>
        </w:rPr>
      </w:pPr>
      <w:r w:rsidRPr="00D05C96">
        <w:rPr>
          <w:rStyle w:val="Refdenotaalpie"/>
          <w:rFonts w:ascii="Arial" w:hAnsi="Arial" w:cs="Arial"/>
          <w:sz w:val="16"/>
          <w:szCs w:val="16"/>
        </w:rPr>
        <w:footnoteRef/>
      </w:r>
      <w:r w:rsidRPr="00D05C96">
        <w:rPr>
          <w:rFonts w:ascii="Arial" w:hAnsi="Arial" w:cs="Arial"/>
          <w:sz w:val="16"/>
          <w:szCs w:val="16"/>
        </w:rPr>
        <w:t xml:space="preserve"> </w:t>
      </w:r>
      <w:r w:rsidRPr="00D05C96">
        <w:rPr>
          <w:rFonts w:ascii="Arial" w:hAnsi="Arial" w:cs="Arial"/>
          <w:sz w:val="16"/>
          <w:szCs w:val="16"/>
          <w:lang w:val="es-ES"/>
        </w:rPr>
        <w:t xml:space="preserve">Artículo 2. </w:t>
      </w:r>
    </w:p>
  </w:footnote>
  <w:footnote w:id="22">
    <w:p w14:paraId="5050C741" w14:textId="77777777" w:rsidR="0091137F" w:rsidRPr="00D05C96" w:rsidRDefault="0091137F" w:rsidP="0091137F">
      <w:pPr>
        <w:pStyle w:val="Textonotapie"/>
        <w:ind w:firstLine="709"/>
        <w:jc w:val="both"/>
        <w:rPr>
          <w:rFonts w:ascii="Arial" w:hAnsi="Arial" w:cs="Arial"/>
          <w:sz w:val="16"/>
          <w:szCs w:val="16"/>
          <w:lang w:val="es-ES"/>
        </w:rPr>
      </w:pPr>
      <w:r w:rsidRPr="00D05C96">
        <w:rPr>
          <w:rStyle w:val="Refdenotaalpie"/>
          <w:rFonts w:ascii="Arial" w:hAnsi="Arial" w:cs="Arial"/>
          <w:sz w:val="16"/>
          <w:szCs w:val="16"/>
        </w:rPr>
        <w:footnoteRef/>
      </w:r>
      <w:r w:rsidRPr="00D05C96">
        <w:rPr>
          <w:rFonts w:ascii="Arial" w:hAnsi="Arial" w:cs="Arial"/>
          <w:sz w:val="16"/>
          <w:szCs w:val="16"/>
        </w:rPr>
        <w:t xml:space="preserve"> </w:t>
      </w:r>
      <w:r w:rsidRPr="00D05C96">
        <w:rPr>
          <w:rFonts w:ascii="Arial" w:hAnsi="Arial" w:cs="Arial"/>
          <w:i/>
          <w:sz w:val="16"/>
          <w:szCs w:val="16"/>
          <w:lang w:val="es-ES"/>
        </w:rPr>
        <w:t>Ídem</w:t>
      </w:r>
      <w:r w:rsidRPr="00D05C96">
        <w:rPr>
          <w:rFonts w:ascii="Arial" w:hAnsi="Arial" w:cs="Arial"/>
          <w:sz w:val="16"/>
          <w:szCs w:val="16"/>
          <w:lang w:val="es-ES"/>
        </w:rPr>
        <w:t>.</w:t>
      </w:r>
    </w:p>
  </w:footnote>
  <w:footnote w:id="23">
    <w:p w14:paraId="45F8EA78" w14:textId="77777777" w:rsidR="0091137F" w:rsidRPr="00D05C96" w:rsidRDefault="0091137F" w:rsidP="0091137F">
      <w:pPr>
        <w:pStyle w:val="Textonotapie"/>
        <w:ind w:firstLine="709"/>
        <w:jc w:val="both"/>
        <w:rPr>
          <w:rFonts w:ascii="Arial" w:hAnsi="Arial" w:cs="Arial"/>
          <w:sz w:val="16"/>
          <w:szCs w:val="16"/>
          <w:lang w:val="es-ES"/>
        </w:rPr>
      </w:pPr>
      <w:r w:rsidRPr="00D05C96">
        <w:rPr>
          <w:rStyle w:val="Refdenotaalpie"/>
          <w:rFonts w:ascii="Arial" w:hAnsi="Arial" w:cs="Arial"/>
          <w:sz w:val="16"/>
          <w:szCs w:val="16"/>
        </w:rPr>
        <w:footnoteRef/>
      </w:r>
      <w:r w:rsidRPr="00D05C96">
        <w:rPr>
          <w:rStyle w:val="Refdenotaalpie"/>
          <w:rFonts w:ascii="Arial" w:hAnsi="Arial" w:cs="Arial"/>
          <w:sz w:val="16"/>
          <w:szCs w:val="16"/>
        </w:rPr>
        <w:t xml:space="preserve"> </w:t>
      </w:r>
      <w:bookmarkStart w:id="11" w:name="_Hlk74297130"/>
      <w:r w:rsidRPr="00D05C96">
        <w:rPr>
          <w:rFonts w:ascii="Arial" w:hAnsi="Arial" w:cs="Arial"/>
          <w:sz w:val="16"/>
          <w:szCs w:val="16"/>
          <w:lang w:val="es-ES"/>
        </w:rPr>
        <w:t>«</w:t>
      </w:r>
      <w:bookmarkEnd w:id="11"/>
      <w:r w:rsidRPr="00D05C96">
        <w:rPr>
          <w:rFonts w:ascii="Arial" w:hAnsi="Arial" w:cs="Arial"/>
          <w:sz w:val="16"/>
          <w:szCs w:val="16"/>
          <w:lang w:val="es-ES"/>
        </w:rPr>
        <w:t xml:space="preserve">[…] A este respecto, cabe recordar que el artículo 860 del Código de Comercio regula la licitación en el derecho privado». </w:t>
      </w:r>
    </w:p>
  </w:footnote>
  <w:footnote w:id="24">
    <w:p w14:paraId="7947DFF9" w14:textId="77777777" w:rsidR="0091137F" w:rsidRPr="00D05C96" w:rsidRDefault="0091137F" w:rsidP="0091137F">
      <w:pPr>
        <w:shd w:val="clear" w:color="auto" w:fill="FFFFFF"/>
        <w:ind w:firstLine="709"/>
        <w:jc w:val="both"/>
        <w:rPr>
          <w:rFonts w:ascii="Arial" w:hAnsi="Arial" w:cs="Arial"/>
          <w:sz w:val="16"/>
          <w:szCs w:val="16"/>
          <w:lang w:val="es-ES"/>
        </w:rPr>
      </w:pPr>
      <w:r w:rsidRPr="00D05C96">
        <w:rPr>
          <w:rStyle w:val="Refdenotaalpie"/>
          <w:rFonts w:ascii="Arial" w:hAnsi="Arial" w:cs="Arial"/>
          <w:sz w:val="16"/>
          <w:szCs w:val="16"/>
        </w:rPr>
        <w:footnoteRef/>
      </w:r>
      <w:r w:rsidRPr="00D05C96">
        <w:rPr>
          <w:rStyle w:val="Refdenotaalpie"/>
          <w:rFonts w:ascii="Arial" w:hAnsi="Arial" w:cs="Arial"/>
          <w:sz w:val="16"/>
          <w:szCs w:val="16"/>
        </w:rPr>
        <w:t xml:space="preserve"> </w:t>
      </w:r>
      <w:r w:rsidRPr="00D05C96">
        <w:rPr>
          <w:rFonts w:ascii="Arial" w:hAnsi="Arial" w:cs="Arial"/>
          <w:sz w:val="16"/>
          <w:szCs w:val="16"/>
          <w:lang w:val="es-ES"/>
        </w:rPr>
        <w:t>Consejo de Estado. Sala de Consulta y Servicio Civil, Concepto de 8 de mayo de 2018. Radicación Número: 11001-03-06-000-2018-00095-00(2382). Consejero Ponente: Álvaro Namén Vargas.</w:t>
      </w:r>
    </w:p>
  </w:footnote>
  <w:footnote w:id="25">
    <w:p w14:paraId="55684040" w14:textId="77777777" w:rsidR="0091137F" w:rsidRPr="00D05C96" w:rsidRDefault="0091137F" w:rsidP="0091137F">
      <w:pPr>
        <w:pStyle w:val="Textonotapie"/>
        <w:ind w:firstLine="709"/>
        <w:jc w:val="both"/>
        <w:rPr>
          <w:rFonts w:ascii="Arial" w:hAnsi="Arial" w:cs="Arial"/>
          <w:sz w:val="16"/>
          <w:szCs w:val="16"/>
        </w:rPr>
      </w:pPr>
      <w:r w:rsidRPr="00D05C96">
        <w:rPr>
          <w:rStyle w:val="Refdenotaalpie"/>
          <w:rFonts w:ascii="Arial" w:hAnsi="Arial" w:cs="Arial"/>
          <w:sz w:val="16"/>
          <w:szCs w:val="16"/>
        </w:rPr>
        <w:footnoteRef/>
      </w:r>
      <w:r w:rsidRPr="00D05C96">
        <w:rPr>
          <w:rFonts w:ascii="Arial" w:hAnsi="Arial" w:cs="Arial"/>
          <w:sz w:val="16"/>
          <w:szCs w:val="16"/>
        </w:rPr>
        <w:t xml:space="preserve"> Consejo de Estado. Sala de Consulta y Servicio Civil. Concepto del 08 de mayo de 2018. Exp. 2.382. C.P. Álvaro Namén Vargas.</w:t>
      </w:r>
    </w:p>
  </w:footnote>
  <w:footnote w:id="26">
    <w:p w14:paraId="1B75CD90" w14:textId="77777777" w:rsidR="0091137F" w:rsidRPr="00D05C96" w:rsidRDefault="0091137F" w:rsidP="0091137F">
      <w:pPr>
        <w:pBdr>
          <w:top w:val="nil"/>
          <w:left w:val="nil"/>
          <w:bottom w:val="nil"/>
          <w:right w:val="nil"/>
          <w:between w:val="nil"/>
        </w:pBdr>
        <w:ind w:firstLine="709"/>
        <w:jc w:val="both"/>
        <w:rPr>
          <w:rFonts w:ascii="Arial" w:eastAsia="Arial" w:hAnsi="Arial" w:cs="Arial"/>
          <w:color w:val="000000"/>
          <w:sz w:val="16"/>
          <w:szCs w:val="16"/>
        </w:rPr>
      </w:pPr>
      <w:r w:rsidRPr="00D05C96">
        <w:rPr>
          <w:rFonts w:ascii="Arial" w:hAnsi="Arial" w:cs="Arial"/>
          <w:sz w:val="16"/>
          <w:szCs w:val="16"/>
          <w:vertAlign w:val="superscript"/>
        </w:rPr>
        <w:footnoteRef/>
      </w:r>
      <w:r w:rsidRPr="00D05C96">
        <w:rPr>
          <w:rFonts w:ascii="Arial" w:eastAsia="Arial" w:hAnsi="Arial" w:cs="Arial"/>
          <w:color w:val="000000"/>
          <w:sz w:val="16"/>
          <w:szCs w:val="16"/>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footnote>
  <w:footnote w:id="27">
    <w:p w14:paraId="61214800" w14:textId="77777777" w:rsidR="00210FD1" w:rsidRPr="00F223B3" w:rsidRDefault="00210FD1" w:rsidP="00210FD1">
      <w:pPr>
        <w:ind w:firstLine="709"/>
        <w:jc w:val="both"/>
        <w:rPr>
          <w:rFonts w:ascii="Arial" w:eastAsia="Arial" w:hAnsi="Arial" w:cs="Arial"/>
          <w:sz w:val="19"/>
          <w:szCs w:val="19"/>
        </w:rPr>
      </w:pPr>
      <w:r w:rsidRPr="00F223B3">
        <w:rPr>
          <w:rFonts w:ascii="Arial" w:hAnsi="Arial" w:cs="Arial"/>
          <w:sz w:val="19"/>
          <w:szCs w:val="19"/>
          <w:vertAlign w:val="superscript"/>
        </w:rPr>
        <w:footnoteRef/>
      </w:r>
      <w:r w:rsidRPr="00F223B3">
        <w:rPr>
          <w:rFonts w:ascii="Arial" w:eastAsia="Arial" w:hAnsi="Arial" w:cs="Arial"/>
          <w:sz w:val="19"/>
          <w:szCs w:val="19"/>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p w14:paraId="54D414CC" w14:textId="77777777" w:rsidR="00210FD1" w:rsidRPr="00F223B3" w:rsidRDefault="00210FD1">
      <w:pPr>
        <w:ind w:firstLine="709"/>
        <w:jc w:val="both"/>
        <w:rPr>
          <w:rFonts w:ascii="Arial" w:eastAsia="Arial" w:hAnsi="Arial" w:cs="Arial"/>
          <w:sz w:val="19"/>
          <w:szCs w:val="19"/>
        </w:rPr>
      </w:pPr>
    </w:p>
  </w:footnote>
  <w:footnote w:id="28">
    <w:p w14:paraId="672EA60E" w14:textId="77777777" w:rsidR="00210FD1" w:rsidRPr="00F223B3" w:rsidRDefault="00210FD1" w:rsidP="001B5AD6">
      <w:pPr>
        <w:pStyle w:val="Textonotapie"/>
        <w:ind w:firstLine="708"/>
        <w:jc w:val="both"/>
        <w:rPr>
          <w:rFonts w:ascii="Arial" w:hAnsi="Arial" w:cs="Arial"/>
          <w:sz w:val="19"/>
          <w:szCs w:val="19"/>
        </w:rPr>
      </w:pPr>
      <w:r w:rsidRPr="00F223B3">
        <w:rPr>
          <w:rStyle w:val="Refdenotaalpie"/>
          <w:rFonts w:ascii="Arial" w:hAnsi="Arial" w:cs="Arial"/>
          <w:sz w:val="19"/>
          <w:szCs w:val="19"/>
        </w:rPr>
        <w:footnoteRef/>
      </w:r>
      <w:r w:rsidRPr="00F223B3">
        <w:rPr>
          <w:rFonts w:ascii="Arial" w:hAnsi="Arial" w:cs="Arial"/>
          <w:sz w:val="19"/>
          <w:szCs w:val="19"/>
        </w:rPr>
        <w:t xml:space="preserve"> Consejo de Estado. Sala de Consulta y Servicio Civil. Concepto del 18 de febrero 2010. Rad. 11001-03-06-000-2010-00006-00 (1985). C.P. Enrique José Arboleda Perdomo.</w:t>
      </w:r>
    </w:p>
    <w:p w14:paraId="03A56006" w14:textId="77777777" w:rsidR="00210FD1" w:rsidRPr="00F223B3" w:rsidRDefault="00210FD1" w:rsidP="001B5AD6">
      <w:pPr>
        <w:pStyle w:val="Textonotapie"/>
        <w:ind w:firstLine="708"/>
        <w:jc w:val="both"/>
        <w:rPr>
          <w:rFonts w:ascii="Arial" w:hAnsi="Arial" w:cs="Arial"/>
          <w:sz w:val="19"/>
          <w:szCs w:val="19"/>
        </w:rPr>
      </w:pPr>
    </w:p>
  </w:footnote>
  <w:footnote w:id="29">
    <w:p w14:paraId="7A618019" w14:textId="77777777" w:rsidR="00210FD1" w:rsidRPr="00F223B3" w:rsidRDefault="00210FD1" w:rsidP="001B5AD6">
      <w:pPr>
        <w:pStyle w:val="Textonotapie"/>
        <w:ind w:firstLine="708"/>
        <w:jc w:val="both"/>
        <w:rPr>
          <w:rFonts w:ascii="Arial" w:hAnsi="Arial" w:cs="Arial"/>
          <w:sz w:val="19"/>
          <w:szCs w:val="19"/>
        </w:rPr>
      </w:pPr>
      <w:r w:rsidRPr="00F223B3">
        <w:rPr>
          <w:rStyle w:val="Refdenotaalpie"/>
          <w:rFonts w:ascii="Arial" w:hAnsi="Arial" w:cs="Arial"/>
          <w:sz w:val="19"/>
          <w:szCs w:val="19"/>
        </w:rPr>
        <w:footnoteRef/>
      </w:r>
      <w:r w:rsidRPr="00F223B3">
        <w:rPr>
          <w:rFonts w:ascii="Arial" w:hAnsi="Arial" w:cs="Arial"/>
          <w:sz w:val="19"/>
          <w:szCs w:val="19"/>
        </w:rPr>
        <w:t xml:space="preserve"> Corte Constitucional. Sentencia C-1153 de 2005 M.P. Marco Gerardo Monroy Cabra. </w:t>
      </w:r>
    </w:p>
  </w:footnote>
  <w:footnote w:id="30">
    <w:p w14:paraId="097C2896" w14:textId="77777777" w:rsidR="00210FD1" w:rsidRPr="00F223B3" w:rsidRDefault="00210FD1" w:rsidP="001B5AD6">
      <w:pPr>
        <w:pStyle w:val="Textonotapie"/>
        <w:ind w:firstLine="708"/>
        <w:jc w:val="both"/>
        <w:rPr>
          <w:rFonts w:ascii="Arial" w:hAnsi="Arial" w:cs="Arial"/>
          <w:sz w:val="19"/>
          <w:szCs w:val="19"/>
        </w:rPr>
      </w:pPr>
      <w:r w:rsidRPr="00F223B3">
        <w:rPr>
          <w:rStyle w:val="Refdenotaalpie"/>
          <w:rFonts w:ascii="Arial" w:hAnsi="Arial" w:cs="Arial"/>
          <w:sz w:val="19"/>
          <w:szCs w:val="19"/>
        </w:rPr>
        <w:footnoteRef/>
      </w:r>
      <w:r w:rsidRPr="00F223B3">
        <w:rPr>
          <w:rFonts w:ascii="Arial" w:hAnsi="Arial" w:cs="Arial"/>
          <w:sz w:val="19"/>
          <w:szCs w:val="19"/>
        </w:rPr>
        <w:t xml:space="preserve"> Consejo de Estado. Sala de Consulta y Servicio Civil. Concepto del 02 de septiembre de 2013. Rad. 11001-03-06-000-2013-00412-00 (2168). C.P. Álvaro Namén Vargas.</w:t>
      </w:r>
    </w:p>
    <w:p w14:paraId="7B2DAC60" w14:textId="77777777" w:rsidR="00210FD1" w:rsidRPr="00F223B3" w:rsidRDefault="00210FD1" w:rsidP="001B5AD6">
      <w:pPr>
        <w:pStyle w:val="Textonotapie"/>
        <w:jc w:val="both"/>
        <w:rPr>
          <w:rFonts w:ascii="Arial" w:hAnsi="Arial" w:cs="Arial"/>
          <w:sz w:val="19"/>
          <w:szCs w:val="19"/>
        </w:rPr>
      </w:pPr>
    </w:p>
  </w:footnote>
  <w:footnote w:id="31">
    <w:p w14:paraId="223ACD52" w14:textId="6A6ECF96" w:rsidR="00210FD1" w:rsidRDefault="00210FD1">
      <w:pPr>
        <w:pStyle w:val="Textonotapie"/>
        <w:ind w:firstLine="708"/>
        <w:jc w:val="both"/>
        <w:rPr>
          <w:rFonts w:ascii="Arial" w:hAnsi="Arial" w:cs="Arial"/>
          <w:sz w:val="19"/>
          <w:szCs w:val="19"/>
        </w:rPr>
      </w:pPr>
      <w:r w:rsidRPr="00F223B3">
        <w:rPr>
          <w:rStyle w:val="Refdenotaalpie"/>
          <w:rFonts w:ascii="Arial" w:hAnsi="Arial" w:cs="Arial"/>
          <w:sz w:val="19"/>
          <w:szCs w:val="19"/>
        </w:rPr>
        <w:footnoteRef/>
      </w:r>
      <w:r w:rsidRPr="00F223B3">
        <w:rPr>
          <w:rFonts w:ascii="Arial" w:hAnsi="Arial" w:cs="Arial"/>
          <w:sz w:val="19"/>
          <w:szCs w:val="19"/>
        </w:rPr>
        <w:t xml:space="preserve"> El artículo 2.8.8.1.4.2 del Decreto 780 de 2016 dispone que «Para efectos de la aplicación del presente Capítulo, entiéndase por Autoridades Sanitarias del Sivigila, el Ministerio de Salud y Protección Social; el Instituto Nacional de Salud (INS); el Instituto Nacional de Vigilancia de Medicamentos y Alimentos (Invima), las Direcciones Territoriales de Salud, </w:t>
      </w:r>
      <w:r w:rsidRPr="00F223B3">
        <w:rPr>
          <w:rFonts w:ascii="Arial" w:hAnsi="Arial" w:cs="Arial"/>
          <w:i/>
          <w:iCs/>
          <w:sz w:val="19"/>
          <w:szCs w:val="19"/>
        </w:rPr>
        <w:t>y todas aquellas entidades que de acuerdo con la ley ejerzan funciones de vigilancia y control sanitario</w:t>
      </w:r>
      <w:r w:rsidRPr="00F223B3">
        <w:rPr>
          <w:rFonts w:ascii="Arial" w:hAnsi="Arial" w:cs="Arial"/>
          <w:sz w:val="19"/>
          <w:szCs w:val="19"/>
        </w:rPr>
        <w:t xml:space="preserve">, las cuales deben adoptar medidas sanitarias que garanticen la protección de la salud pública y el cumplimiento de lo dispuesto en esta norma, así como adelantar los procedimientos y aplicar las sanciones a que hubiere lugar» (Énfasis fuera de texto).  </w:t>
      </w:r>
    </w:p>
    <w:p w14:paraId="381E9CC3" w14:textId="77777777" w:rsidR="0063357B" w:rsidRPr="00F223B3" w:rsidRDefault="0063357B" w:rsidP="001B5AD6">
      <w:pPr>
        <w:pStyle w:val="Textonotapie"/>
        <w:ind w:firstLine="708"/>
        <w:jc w:val="both"/>
        <w:rPr>
          <w:rFonts w:ascii="Arial" w:hAnsi="Arial" w:cs="Arial"/>
          <w:sz w:val="19"/>
          <w:szCs w:val="19"/>
        </w:rPr>
      </w:pPr>
    </w:p>
  </w:footnote>
  <w:footnote w:id="32">
    <w:p w14:paraId="44E392BD" w14:textId="77777777" w:rsidR="00210FD1" w:rsidRPr="00F223B3" w:rsidRDefault="00210FD1" w:rsidP="001B5AD6">
      <w:pPr>
        <w:pStyle w:val="Textonotapie"/>
        <w:ind w:firstLine="708"/>
        <w:jc w:val="both"/>
        <w:rPr>
          <w:rFonts w:ascii="Arial" w:hAnsi="Arial" w:cs="Arial"/>
          <w:sz w:val="19"/>
          <w:szCs w:val="19"/>
        </w:rPr>
      </w:pPr>
      <w:r w:rsidRPr="008A5DF2">
        <w:rPr>
          <w:rStyle w:val="Refdenotaalpie"/>
          <w:rFonts w:ascii="Arial" w:hAnsi="Arial" w:cs="Arial"/>
          <w:sz w:val="19"/>
          <w:szCs w:val="19"/>
        </w:rPr>
        <w:footnoteRef/>
      </w:r>
      <w:r w:rsidRPr="008A5DF2">
        <w:rPr>
          <w:rFonts w:ascii="Arial" w:hAnsi="Arial" w:cs="Arial"/>
          <w:sz w:val="19"/>
          <w:szCs w:val="19"/>
        </w:rPr>
        <w:t>Ley 100 de 1993: «</w:t>
      </w:r>
      <w:r w:rsidRPr="00F223B3">
        <w:rPr>
          <w:rFonts w:ascii="Arial" w:hAnsi="Arial" w:cs="Arial"/>
          <w:sz w:val="19"/>
          <w:szCs w:val="19"/>
        </w:rPr>
        <w:t xml:space="preserve">Artículo </w:t>
      </w:r>
      <w:r w:rsidRPr="008A5DF2">
        <w:rPr>
          <w:rFonts w:ascii="Arial" w:hAnsi="Arial" w:cs="Arial"/>
          <w:sz w:val="19"/>
          <w:szCs w:val="19"/>
        </w:rPr>
        <w:t>194. Naturaleza. La prestación de servicios de salud en forma directa por la Nación o por las entidades territoriales, se hará a través de las Empresas Sociales del Estado, que constituyen una categoría especial de entidad pública descentralizada, con personería jurídica, patrimonio propio y autonomía administrativa, creadas por la Ley o por las asambleas o concejos, según el caso, sometidas al régimen jurídico previsto en este capítulo».</w:t>
      </w:r>
    </w:p>
    <w:p w14:paraId="69812F3B" w14:textId="77777777" w:rsidR="00210FD1" w:rsidRPr="008A5DF2" w:rsidRDefault="00210FD1" w:rsidP="001B5AD6">
      <w:pPr>
        <w:pStyle w:val="Textonotapie"/>
        <w:ind w:firstLine="708"/>
        <w:jc w:val="both"/>
        <w:rPr>
          <w:rFonts w:ascii="Arial" w:hAnsi="Arial" w:cs="Arial"/>
          <w:sz w:val="19"/>
          <w:szCs w:val="19"/>
        </w:rPr>
      </w:pPr>
    </w:p>
  </w:footnote>
  <w:footnote w:id="33">
    <w:p w14:paraId="1BFDCAB8" w14:textId="77777777" w:rsidR="00210FD1" w:rsidRPr="00F223B3" w:rsidRDefault="00210FD1" w:rsidP="001B5AD6">
      <w:pPr>
        <w:pStyle w:val="Textonotapie"/>
        <w:ind w:firstLine="708"/>
        <w:jc w:val="both"/>
        <w:rPr>
          <w:rFonts w:ascii="Arial" w:hAnsi="Arial" w:cs="Arial"/>
          <w:sz w:val="19"/>
          <w:szCs w:val="19"/>
        </w:rPr>
      </w:pPr>
      <w:r w:rsidRPr="008A5DF2">
        <w:rPr>
          <w:rStyle w:val="Refdenotaalpie"/>
          <w:rFonts w:ascii="Arial" w:hAnsi="Arial" w:cs="Arial"/>
          <w:sz w:val="19"/>
          <w:szCs w:val="19"/>
        </w:rPr>
        <w:footnoteRef/>
      </w:r>
      <w:r w:rsidRPr="008A5DF2">
        <w:rPr>
          <w:rFonts w:ascii="Arial" w:hAnsi="Arial" w:cs="Arial"/>
          <w:sz w:val="19"/>
          <w:szCs w:val="19"/>
        </w:rPr>
        <w:t xml:space="preserve"> Agencia Nacional de Contratación Pública – Colombia Compra Eficiente. Concepto C-014 del 18 de febrero de 2022. Radicado de entrada No. P20220106000098. Radicado de salida No. RS20220218001642</w:t>
      </w:r>
    </w:p>
    <w:p w14:paraId="7256B7FA" w14:textId="77777777" w:rsidR="00210FD1" w:rsidRPr="008A5DF2" w:rsidRDefault="00210FD1" w:rsidP="001B5AD6">
      <w:pPr>
        <w:pStyle w:val="Textonotapie"/>
        <w:ind w:firstLine="708"/>
        <w:jc w:val="both"/>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2A9E4" w14:textId="77777777" w:rsidR="00387886" w:rsidRDefault="007C2EF0">
    <w:pPr>
      <w:pStyle w:val="Encabezado"/>
    </w:pPr>
    <w:r>
      <w:rPr>
        <w:noProof/>
        <w:lang w:val="es-CO" w:eastAsia="es-CO"/>
      </w:rPr>
      <w:drawing>
        <wp:anchor distT="0" distB="0" distL="114300" distR="114300" simplePos="0" relativeHeight="251659264" behindDoc="1" locked="0" layoutInCell="1" allowOverlap="1" wp14:anchorId="57019949" wp14:editId="7362747C">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F93"/>
    <w:rsid w:val="00001212"/>
    <w:rsid w:val="000211DD"/>
    <w:rsid w:val="00033742"/>
    <w:rsid w:val="00045B0C"/>
    <w:rsid w:val="00084A73"/>
    <w:rsid w:val="00096E71"/>
    <w:rsid w:val="000B2F93"/>
    <w:rsid w:val="0011507F"/>
    <w:rsid w:val="001217F8"/>
    <w:rsid w:val="00127265"/>
    <w:rsid w:val="001475BD"/>
    <w:rsid w:val="001556E0"/>
    <w:rsid w:val="00196917"/>
    <w:rsid w:val="001A5E07"/>
    <w:rsid w:val="001B5AD6"/>
    <w:rsid w:val="00210B43"/>
    <w:rsid w:val="00210FD1"/>
    <w:rsid w:val="002221BF"/>
    <w:rsid w:val="00240182"/>
    <w:rsid w:val="00242093"/>
    <w:rsid w:val="002661F6"/>
    <w:rsid w:val="00286D26"/>
    <w:rsid w:val="002D5147"/>
    <w:rsid w:val="002E7631"/>
    <w:rsid w:val="002F7680"/>
    <w:rsid w:val="003343F7"/>
    <w:rsid w:val="003378D7"/>
    <w:rsid w:val="003619BF"/>
    <w:rsid w:val="00393ABA"/>
    <w:rsid w:val="003B442E"/>
    <w:rsid w:val="003D0C6E"/>
    <w:rsid w:val="003D2FEB"/>
    <w:rsid w:val="004067BD"/>
    <w:rsid w:val="00490C0A"/>
    <w:rsid w:val="0051161A"/>
    <w:rsid w:val="00516564"/>
    <w:rsid w:val="005656A6"/>
    <w:rsid w:val="00567737"/>
    <w:rsid w:val="0057649B"/>
    <w:rsid w:val="005A7581"/>
    <w:rsid w:val="00604688"/>
    <w:rsid w:val="00606D43"/>
    <w:rsid w:val="006207FB"/>
    <w:rsid w:val="0063357B"/>
    <w:rsid w:val="006427D0"/>
    <w:rsid w:val="00644635"/>
    <w:rsid w:val="006666BB"/>
    <w:rsid w:val="00682EF1"/>
    <w:rsid w:val="006942D5"/>
    <w:rsid w:val="006B5DBF"/>
    <w:rsid w:val="006D3D20"/>
    <w:rsid w:val="00705099"/>
    <w:rsid w:val="00717506"/>
    <w:rsid w:val="007338B1"/>
    <w:rsid w:val="00741ACB"/>
    <w:rsid w:val="00795589"/>
    <w:rsid w:val="00795815"/>
    <w:rsid w:val="007A76CD"/>
    <w:rsid w:val="007C2EF0"/>
    <w:rsid w:val="007D46E5"/>
    <w:rsid w:val="0082765F"/>
    <w:rsid w:val="00845839"/>
    <w:rsid w:val="00845976"/>
    <w:rsid w:val="008533B5"/>
    <w:rsid w:val="00854B53"/>
    <w:rsid w:val="00870DF6"/>
    <w:rsid w:val="0089562B"/>
    <w:rsid w:val="008A44D4"/>
    <w:rsid w:val="008B3615"/>
    <w:rsid w:val="008E1838"/>
    <w:rsid w:val="008F1F27"/>
    <w:rsid w:val="0091137F"/>
    <w:rsid w:val="009145FC"/>
    <w:rsid w:val="0093689E"/>
    <w:rsid w:val="00996618"/>
    <w:rsid w:val="009A7542"/>
    <w:rsid w:val="009C571D"/>
    <w:rsid w:val="009D7FE7"/>
    <w:rsid w:val="00A20506"/>
    <w:rsid w:val="00A719A4"/>
    <w:rsid w:val="00AA4DF3"/>
    <w:rsid w:val="00AB1845"/>
    <w:rsid w:val="00AF4692"/>
    <w:rsid w:val="00B13C1F"/>
    <w:rsid w:val="00B43B10"/>
    <w:rsid w:val="00B80C75"/>
    <w:rsid w:val="00BF34F2"/>
    <w:rsid w:val="00C13502"/>
    <w:rsid w:val="00C30FC7"/>
    <w:rsid w:val="00C37DB8"/>
    <w:rsid w:val="00C65F25"/>
    <w:rsid w:val="00C763FB"/>
    <w:rsid w:val="00CC4ADC"/>
    <w:rsid w:val="00CE46DF"/>
    <w:rsid w:val="00CF0ADF"/>
    <w:rsid w:val="00D00AE4"/>
    <w:rsid w:val="00D05EA9"/>
    <w:rsid w:val="00D7626A"/>
    <w:rsid w:val="00D90A52"/>
    <w:rsid w:val="00DE3D74"/>
    <w:rsid w:val="00E02352"/>
    <w:rsid w:val="00E15647"/>
    <w:rsid w:val="00E8316F"/>
    <w:rsid w:val="00EA2F02"/>
    <w:rsid w:val="00EA2FEE"/>
    <w:rsid w:val="00EE5807"/>
    <w:rsid w:val="00F12E62"/>
    <w:rsid w:val="00F13DC5"/>
    <w:rsid w:val="00F14E18"/>
    <w:rsid w:val="00F31000"/>
    <w:rsid w:val="00FA17C1"/>
    <w:rsid w:val="00FE34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6394C"/>
  <w15:chartTrackingRefBased/>
  <w15:docId w15:val="{847351DB-D241-9A45-8995-A577B5239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ADC"/>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B2F93"/>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0B2F93"/>
    <w:rPr>
      <w:szCs w:val="22"/>
      <w:lang w:val="es-MX"/>
    </w:rPr>
  </w:style>
  <w:style w:type="paragraph" w:styleId="Encabezado">
    <w:name w:val="header"/>
    <w:basedOn w:val="Normal"/>
    <w:link w:val="EncabezadoCar"/>
    <w:uiPriority w:val="99"/>
    <w:unhideWhenUsed/>
    <w:rsid w:val="000B2F93"/>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0B2F93"/>
    <w:rPr>
      <w:szCs w:val="22"/>
      <w:lang w:val="es-MX"/>
    </w:rPr>
  </w:style>
  <w:style w:type="table" w:styleId="Tablaconcuadrcula">
    <w:name w:val="Table Grid"/>
    <w:basedOn w:val="Tablanormal"/>
    <w:uiPriority w:val="39"/>
    <w:qFormat/>
    <w:rsid w:val="000B2F9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0B2F93"/>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uiPriority w:val="3"/>
    <w:qFormat/>
    <w:rsid w:val="000B2F93"/>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0B2F93"/>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0B2F93"/>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0B2F93"/>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0B2F93"/>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0B2F93"/>
    <w:rPr>
      <w:vertAlign w:val="superscript"/>
    </w:rPr>
  </w:style>
  <w:style w:type="paragraph" w:customStyle="1" w:styleId="Appelnotedebasde">
    <w:name w:val="Appel note de bas de..."/>
    <w:basedOn w:val="Normal"/>
    <w:link w:val="Refdenotaalpie"/>
    <w:uiPriority w:val="99"/>
    <w:rsid w:val="000B2F93"/>
    <w:pPr>
      <w:spacing w:after="160" w:line="240" w:lineRule="exact"/>
    </w:pPr>
    <w:rPr>
      <w:rFonts w:asciiTheme="minorHAnsi" w:eastAsiaTheme="minorHAnsi" w:hAnsiTheme="minorHAnsi" w:cstheme="minorBidi"/>
      <w:vertAlign w:val="superscript"/>
      <w:lang w:eastAsia="en-US"/>
    </w:rPr>
  </w:style>
  <w:style w:type="paragraph" w:styleId="NormalWeb">
    <w:name w:val="Normal (Web)"/>
    <w:basedOn w:val="Normal"/>
    <w:link w:val="NormalWebCar"/>
    <w:uiPriority w:val="99"/>
    <w:unhideWhenUsed/>
    <w:rsid w:val="000B2F93"/>
    <w:pPr>
      <w:spacing w:before="100" w:beforeAutospacing="1" w:after="100" w:afterAutospacing="1"/>
    </w:pPr>
  </w:style>
  <w:style w:type="character" w:customStyle="1" w:styleId="NormalWebCar">
    <w:name w:val="Normal (Web) Car"/>
    <w:link w:val="NormalWeb"/>
    <w:uiPriority w:val="99"/>
    <w:rsid w:val="000B2F93"/>
    <w:rPr>
      <w:rFonts w:ascii="Times New Roman" w:eastAsia="Times New Roman" w:hAnsi="Times New Roman" w:cs="Times New Roman"/>
      <w:lang w:eastAsia="es-MX"/>
    </w:rPr>
  </w:style>
  <w:style w:type="paragraph" w:styleId="Textoindependiente">
    <w:name w:val="Body Text"/>
    <w:basedOn w:val="Normal"/>
    <w:link w:val="TextoindependienteCar"/>
    <w:uiPriority w:val="1"/>
    <w:qFormat/>
    <w:rsid w:val="008F1F27"/>
    <w:pPr>
      <w:widowControl w:val="0"/>
      <w:autoSpaceDE w:val="0"/>
      <w:autoSpaceDN w:val="0"/>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8F1F27"/>
    <w:rPr>
      <w:rFonts w:ascii="Arial" w:eastAsia="Arial" w:hAnsi="Arial" w:cs="Arial"/>
      <w:sz w:val="20"/>
      <w:szCs w:val="20"/>
      <w:lang w:val="es-ES"/>
    </w:rPr>
  </w:style>
  <w:style w:type="character" w:customStyle="1" w:styleId="baj">
    <w:name w:val="b_aj"/>
    <w:basedOn w:val="Fuentedeprrafopredeter"/>
    <w:rsid w:val="008F1F27"/>
  </w:style>
  <w:style w:type="paragraph" w:styleId="Revisin">
    <w:name w:val="Revision"/>
    <w:hidden/>
    <w:uiPriority w:val="99"/>
    <w:semiHidden/>
    <w:rsid w:val="002D5147"/>
    <w:rPr>
      <w:rFonts w:ascii="Times New Roman" w:eastAsia="Times New Roman" w:hAnsi="Times New Roman" w:cs="Times New Roman"/>
      <w:lang w:eastAsia="es-MX"/>
    </w:rPr>
  </w:style>
  <w:style w:type="character" w:styleId="Refdecomentario">
    <w:name w:val="annotation reference"/>
    <w:basedOn w:val="Fuentedeprrafopredeter"/>
    <w:uiPriority w:val="99"/>
    <w:semiHidden/>
    <w:unhideWhenUsed/>
    <w:rsid w:val="00FE34A6"/>
    <w:rPr>
      <w:sz w:val="16"/>
      <w:szCs w:val="16"/>
    </w:rPr>
  </w:style>
  <w:style w:type="paragraph" w:styleId="Textocomentario">
    <w:name w:val="annotation text"/>
    <w:basedOn w:val="Normal"/>
    <w:link w:val="TextocomentarioCar"/>
    <w:uiPriority w:val="99"/>
    <w:semiHidden/>
    <w:unhideWhenUsed/>
    <w:rsid w:val="00FE34A6"/>
    <w:rPr>
      <w:sz w:val="20"/>
      <w:szCs w:val="20"/>
    </w:rPr>
  </w:style>
  <w:style w:type="character" w:customStyle="1" w:styleId="TextocomentarioCar">
    <w:name w:val="Texto comentario Car"/>
    <w:basedOn w:val="Fuentedeprrafopredeter"/>
    <w:link w:val="Textocomentario"/>
    <w:uiPriority w:val="99"/>
    <w:semiHidden/>
    <w:rsid w:val="00FE34A6"/>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FE34A6"/>
    <w:rPr>
      <w:b/>
      <w:bCs/>
    </w:rPr>
  </w:style>
  <w:style w:type="character" w:customStyle="1" w:styleId="AsuntodelcomentarioCar">
    <w:name w:val="Asunto del comentario Car"/>
    <w:basedOn w:val="TextocomentarioCar"/>
    <w:link w:val="Asuntodelcomentario"/>
    <w:uiPriority w:val="99"/>
    <w:semiHidden/>
    <w:rsid w:val="00FE34A6"/>
    <w:rPr>
      <w:rFonts w:ascii="Times New Roman" w:eastAsia="Times New Roman" w:hAnsi="Times New Roman" w:cs="Times New Roman"/>
      <w:b/>
      <w:bCs/>
      <w:sz w:val="20"/>
      <w:szCs w:val="20"/>
      <w:lang w:eastAsia="es-MX"/>
    </w:rPr>
  </w:style>
  <w:style w:type="character" w:styleId="Hipervnculo">
    <w:name w:val="Hyperlink"/>
    <w:basedOn w:val="Fuentedeprrafopredeter"/>
    <w:uiPriority w:val="99"/>
    <w:unhideWhenUsed/>
    <w:rsid w:val="00210F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521641">
      <w:bodyDiv w:val="1"/>
      <w:marLeft w:val="0"/>
      <w:marRight w:val="0"/>
      <w:marTop w:val="0"/>
      <w:marBottom w:val="0"/>
      <w:divBdr>
        <w:top w:val="none" w:sz="0" w:space="0" w:color="auto"/>
        <w:left w:val="none" w:sz="0" w:space="0" w:color="auto"/>
        <w:bottom w:val="none" w:sz="0" w:space="0" w:color="auto"/>
        <w:right w:val="none" w:sz="0" w:space="0" w:color="auto"/>
      </w:divBdr>
      <w:divsChild>
        <w:div w:id="1752896554">
          <w:marLeft w:val="0"/>
          <w:marRight w:val="0"/>
          <w:marTop w:val="0"/>
          <w:marBottom w:val="0"/>
          <w:divBdr>
            <w:top w:val="none" w:sz="0" w:space="0" w:color="auto"/>
            <w:left w:val="none" w:sz="0" w:space="0" w:color="auto"/>
            <w:bottom w:val="none" w:sz="0" w:space="0" w:color="auto"/>
            <w:right w:val="none" w:sz="0" w:space="0" w:color="auto"/>
          </w:divBdr>
        </w:div>
      </w:divsChild>
    </w:div>
    <w:div w:id="1167014024">
      <w:bodyDiv w:val="1"/>
      <w:marLeft w:val="0"/>
      <w:marRight w:val="0"/>
      <w:marTop w:val="0"/>
      <w:marBottom w:val="0"/>
      <w:divBdr>
        <w:top w:val="none" w:sz="0" w:space="0" w:color="auto"/>
        <w:left w:val="none" w:sz="0" w:space="0" w:color="auto"/>
        <w:bottom w:val="none" w:sz="0" w:space="0" w:color="auto"/>
        <w:right w:val="none" w:sz="0" w:space="0" w:color="auto"/>
      </w:divBdr>
      <w:divsChild>
        <w:div w:id="631056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C44A669C-028C-434B-8FF4-7ECF2069A0B0}">
  <ds:schemaRefs>
    <ds:schemaRef ds:uri="http://schemas.microsoft.com/sharepoint/v3/contenttype/forms"/>
  </ds:schemaRefs>
</ds:datastoreItem>
</file>

<file path=customXml/itemProps2.xml><?xml version="1.0" encoding="utf-8"?>
<ds:datastoreItem xmlns:ds="http://schemas.openxmlformats.org/officeDocument/2006/customXml" ds:itemID="{4C2FA472-6920-4668-9A4A-17803B5BA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68B997-832B-436B-A340-517EA8BEDB58}">
  <ds:schemaRefs>
    <ds:schemaRef ds:uri="http://schemas.openxmlformats.org/officeDocument/2006/bibliography"/>
  </ds:schemaRefs>
</ds:datastoreItem>
</file>

<file path=customXml/itemProps4.xml><?xml version="1.0" encoding="utf-8"?>
<ds:datastoreItem xmlns:ds="http://schemas.openxmlformats.org/officeDocument/2006/customXml" ds:itemID="{13AA7ADA-D0C0-4453-AAB4-EC351A14C637}">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8660</Words>
  <Characters>47631</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Martin Rojas Mejia</cp:lastModifiedBy>
  <cp:revision>4</cp:revision>
  <dcterms:created xsi:type="dcterms:W3CDTF">2022-04-12T18:26:00Z</dcterms:created>
  <dcterms:modified xsi:type="dcterms:W3CDTF">2022-05-24T19:23:00Z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