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531" w14:textId="3C03602B" w:rsidR="005C0B82" w:rsidRPr="00056464" w:rsidRDefault="005C0B82" w:rsidP="005C0B82">
      <w:pPr>
        <w:contextualSpacing/>
        <w:jc w:val="both"/>
        <w:rPr>
          <w:rFonts w:ascii="Arial" w:eastAsia="Calibri" w:hAnsi="Arial" w:cs="Arial"/>
          <w:b/>
          <w:bCs/>
          <w:sz w:val="22"/>
          <w:szCs w:val="22"/>
          <w:lang w:val="es-MX" w:eastAsia="en-US"/>
        </w:rPr>
      </w:pPr>
      <w:bookmarkStart w:id="0" w:name="_Hlk79765235"/>
      <w:bookmarkStart w:id="1" w:name="_Hlk28946138"/>
      <w:bookmarkStart w:id="2" w:name="_Hlk29548183"/>
      <w:r w:rsidRPr="00056464">
        <w:rPr>
          <w:rFonts w:ascii="Arial" w:eastAsia="Calibri" w:hAnsi="Arial" w:cs="Arial"/>
          <w:b/>
          <w:bCs/>
          <w:sz w:val="22"/>
          <w:szCs w:val="22"/>
          <w:lang w:val="es-MX" w:eastAsia="en-US"/>
        </w:rPr>
        <w:t>LEY DE GARANTÍAS ELECTORALES – Finalidad</w:t>
      </w:r>
    </w:p>
    <w:p w14:paraId="64BEA57E" w14:textId="77777777" w:rsidR="005C0B82" w:rsidRPr="00056464" w:rsidRDefault="005C0B82" w:rsidP="005C0B82">
      <w:pPr>
        <w:contextualSpacing/>
        <w:jc w:val="both"/>
        <w:rPr>
          <w:rFonts w:ascii="Arial" w:eastAsia="Calibri" w:hAnsi="Arial" w:cs="Arial"/>
          <w:sz w:val="20"/>
          <w:szCs w:val="20"/>
          <w:lang w:val="es-MX" w:eastAsia="en-US"/>
        </w:rPr>
      </w:pPr>
    </w:p>
    <w:p w14:paraId="00DFB190" w14:textId="77777777" w:rsidR="005C0B82" w:rsidRPr="00056464" w:rsidRDefault="005C0B82" w:rsidP="005C0B82">
      <w:pPr>
        <w:tabs>
          <w:tab w:val="left" w:pos="426"/>
        </w:tabs>
        <w:contextualSpacing/>
        <w:jc w:val="both"/>
        <w:rPr>
          <w:rFonts w:ascii="Arial" w:eastAsia="Calibri" w:hAnsi="Arial" w:cs="Arial"/>
          <w:bCs/>
          <w:sz w:val="20"/>
          <w:szCs w:val="20"/>
        </w:rPr>
      </w:pPr>
      <w:r w:rsidRPr="00056464">
        <w:rPr>
          <w:rFonts w:ascii="Arial" w:eastAsia="Calibri" w:hAnsi="Arial" w:cs="Arial"/>
          <w:bCs/>
          <w:sz w:val="20"/>
          <w:szCs w:val="20"/>
        </w:rPr>
        <w:t>El ordenamiento jurídico colombiano contempla previsiones claras para evitar la obtención de beneficios personales en asuntos propios de la administración pública</w:t>
      </w:r>
      <w:r w:rsidRPr="00056464">
        <w:rPr>
          <w:rFonts w:ascii="Arial" w:eastAsia="Calibri" w:hAnsi="Arial" w:cs="Arial"/>
          <w:bCs/>
          <w:i/>
          <w:iCs/>
          <w:sz w:val="20"/>
          <w:szCs w:val="20"/>
        </w:rPr>
        <w:t xml:space="preserve">. </w:t>
      </w:r>
      <w:r w:rsidRPr="00056464">
        <w:rPr>
          <w:rFonts w:ascii="Arial" w:eastAsia="Calibri" w:hAnsi="Arial" w:cs="Arial"/>
          <w:bCs/>
          <w:sz w:val="20"/>
          <w:szCs w:val="20"/>
        </w:rPr>
        <w:t xml:space="preserve">Por ejemplo, el artículo 127 de la Constitución Política establece una prohibición contractual a los servidores públicos y en cuanto a aspectos políticos consagra restricciones a ciertos empleados del Estado, incluso en época no electoral. </w:t>
      </w:r>
    </w:p>
    <w:p w14:paraId="20AB8C2C" w14:textId="77777777" w:rsidR="005C0B82" w:rsidRPr="00056464" w:rsidRDefault="005C0B82" w:rsidP="005C0B82">
      <w:pPr>
        <w:tabs>
          <w:tab w:val="left" w:pos="426"/>
        </w:tabs>
        <w:contextualSpacing/>
        <w:jc w:val="both"/>
        <w:rPr>
          <w:rFonts w:ascii="Arial" w:hAnsi="Arial" w:cs="Arial"/>
          <w:bCs/>
          <w:sz w:val="20"/>
          <w:szCs w:val="20"/>
          <w:lang w:eastAsia="es-CO"/>
        </w:rPr>
      </w:pPr>
    </w:p>
    <w:p w14:paraId="702D49ED" w14:textId="77777777" w:rsidR="005C0B82" w:rsidRPr="00056464" w:rsidRDefault="005C0B82" w:rsidP="005C0B82">
      <w:pPr>
        <w:contextualSpacing/>
        <w:jc w:val="both"/>
        <w:rPr>
          <w:rFonts w:ascii="Arial" w:eastAsia="Arial" w:hAnsi="Arial" w:cs="Arial"/>
          <w:sz w:val="20"/>
          <w:szCs w:val="20"/>
          <w:lang w:val="es-ES" w:eastAsia="es-ES" w:bidi="es-ES"/>
        </w:rPr>
      </w:pPr>
      <w:r w:rsidRPr="00056464">
        <w:rPr>
          <w:rFonts w:ascii="Arial" w:hAnsi="Arial" w:cs="Arial"/>
          <w:bCs/>
          <w:sz w:val="20"/>
          <w:szCs w:val="20"/>
          <w:lang w:eastAsia="es-CO"/>
        </w:rPr>
        <w:t>En el mismo sentido</w:t>
      </w:r>
      <w:r w:rsidRPr="00056464">
        <w:rPr>
          <w:rFonts w:ascii="Arial" w:hAnsi="Arial" w:cs="Arial"/>
          <w:bCs/>
          <w:sz w:val="20"/>
          <w:szCs w:val="20"/>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056464">
        <w:rPr>
          <w:rFonts w:ascii="Arial" w:eastAsia="Arial" w:hAnsi="Arial" w:cs="Arial"/>
          <w:sz w:val="20"/>
          <w:szCs w:val="20"/>
          <w:lang w:val="es-ES" w:eastAsia="es-ES" w:bidi="es-ES"/>
        </w:rPr>
        <w:t xml:space="preserve"> […]</w:t>
      </w:r>
    </w:p>
    <w:p w14:paraId="1479FB8E" w14:textId="77777777" w:rsidR="005C0B82" w:rsidRPr="00056464" w:rsidRDefault="005C0B82" w:rsidP="005C0B82">
      <w:pPr>
        <w:tabs>
          <w:tab w:val="left" w:pos="426"/>
        </w:tabs>
        <w:contextualSpacing/>
        <w:jc w:val="both"/>
        <w:rPr>
          <w:rFonts w:ascii="Arial" w:eastAsia="Calibri" w:hAnsi="Arial" w:cs="Arial"/>
          <w:bCs/>
          <w:sz w:val="20"/>
          <w:szCs w:val="20"/>
          <w:lang w:val="es-MX" w:eastAsia="en-US"/>
        </w:rPr>
      </w:pPr>
    </w:p>
    <w:p w14:paraId="26B4286A" w14:textId="77777777" w:rsidR="005C0B82" w:rsidRPr="00056464" w:rsidRDefault="005C0B82" w:rsidP="005C0B82">
      <w:pPr>
        <w:tabs>
          <w:tab w:val="left" w:pos="426"/>
        </w:tabs>
        <w:contextualSpacing/>
        <w:jc w:val="both"/>
        <w:rPr>
          <w:rFonts w:ascii="Arial" w:eastAsia="Calibri" w:hAnsi="Arial" w:cs="Arial"/>
          <w:b/>
          <w:bCs/>
          <w:sz w:val="22"/>
          <w:szCs w:val="22"/>
          <w:lang w:val="es-MX" w:eastAsia="en-US"/>
        </w:rPr>
      </w:pPr>
      <w:bookmarkStart w:id="3" w:name="_Hlk77152637"/>
      <w:bookmarkStart w:id="4" w:name="_Hlk77157066"/>
      <w:r w:rsidRPr="00056464">
        <w:rPr>
          <w:rFonts w:ascii="Arial" w:eastAsia="Calibri" w:hAnsi="Arial" w:cs="Arial"/>
          <w:b/>
          <w:bCs/>
          <w:sz w:val="22"/>
          <w:szCs w:val="22"/>
          <w:lang w:val="es-MX" w:eastAsia="en-US"/>
        </w:rPr>
        <w:t>LEY DE GARANTÍAS ELECTORALES ‒</w:t>
      </w:r>
      <w:bookmarkEnd w:id="3"/>
      <w:r w:rsidRPr="00056464">
        <w:rPr>
          <w:rFonts w:ascii="Arial" w:eastAsia="Calibri" w:hAnsi="Arial" w:cs="Arial"/>
          <w:b/>
          <w:bCs/>
          <w:sz w:val="22"/>
          <w:szCs w:val="22"/>
          <w:lang w:val="es-MX" w:eastAsia="en-US"/>
        </w:rPr>
        <w:t xml:space="preserve"> Restricciones </w:t>
      </w:r>
      <w:bookmarkStart w:id="5" w:name="_Hlk77157034"/>
      <w:r w:rsidRPr="00056464">
        <w:rPr>
          <w:rFonts w:ascii="Arial" w:eastAsia="Calibri" w:hAnsi="Arial" w:cs="Arial"/>
          <w:b/>
          <w:bCs/>
          <w:sz w:val="22"/>
          <w:szCs w:val="22"/>
          <w:lang w:val="es-MX" w:eastAsia="en-US"/>
        </w:rPr>
        <w:t xml:space="preserve">‒ </w:t>
      </w:r>
      <w:bookmarkEnd w:id="5"/>
      <w:r w:rsidRPr="00056464">
        <w:rPr>
          <w:rFonts w:ascii="Arial" w:eastAsia="Calibri" w:hAnsi="Arial" w:cs="Arial"/>
          <w:b/>
          <w:bCs/>
          <w:sz w:val="22"/>
          <w:szCs w:val="22"/>
          <w:lang w:val="es-MX" w:eastAsia="en-US"/>
        </w:rPr>
        <w:t>Contratación</w:t>
      </w:r>
      <w:bookmarkStart w:id="6" w:name="_Hlk77153098"/>
      <w:r w:rsidRPr="00056464">
        <w:rPr>
          <w:rFonts w:ascii="Arial" w:eastAsia="Calibri" w:hAnsi="Arial" w:cs="Arial"/>
          <w:b/>
          <w:bCs/>
          <w:sz w:val="22"/>
          <w:szCs w:val="22"/>
          <w:lang w:val="es-MX" w:eastAsia="en-US"/>
        </w:rPr>
        <w:t xml:space="preserve"> ‒ Tipos de elección</w:t>
      </w:r>
      <w:bookmarkEnd w:id="6"/>
      <w:r w:rsidRPr="00056464">
        <w:rPr>
          <w:rFonts w:ascii="Arial" w:eastAsia="Calibri" w:hAnsi="Arial" w:cs="Arial"/>
          <w:b/>
          <w:bCs/>
          <w:sz w:val="22"/>
          <w:szCs w:val="22"/>
          <w:lang w:val="es-MX" w:eastAsia="en-US"/>
        </w:rPr>
        <w:t xml:space="preserve"> </w:t>
      </w:r>
    </w:p>
    <w:p w14:paraId="687F3C54" w14:textId="77777777" w:rsidR="005C0B82" w:rsidRPr="00056464" w:rsidRDefault="005C0B82" w:rsidP="005C0B82">
      <w:pPr>
        <w:tabs>
          <w:tab w:val="left" w:pos="426"/>
        </w:tabs>
        <w:contextualSpacing/>
        <w:jc w:val="both"/>
        <w:rPr>
          <w:rFonts w:ascii="Arial" w:eastAsia="Calibri" w:hAnsi="Arial" w:cs="Arial"/>
          <w:b/>
          <w:bCs/>
          <w:sz w:val="20"/>
          <w:szCs w:val="20"/>
          <w:lang w:val="es-MX" w:eastAsia="en-US"/>
        </w:rPr>
      </w:pPr>
    </w:p>
    <w:bookmarkEnd w:id="4"/>
    <w:p w14:paraId="743A49D7" w14:textId="77777777" w:rsidR="005C0B82" w:rsidRPr="00056464" w:rsidRDefault="005C0B82" w:rsidP="005C0B82">
      <w:pPr>
        <w:contextualSpacing/>
        <w:jc w:val="both"/>
        <w:rPr>
          <w:rFonts w:ascii="Arial" w:eastAsia="Arial" w:hAnsi="Arial" w:cs="Arial"/>
          <w:sz w:val="20"/>
          <w:szCs w:val="20"/>
          <w:lang w:val="es-ES" w:eastAsia="es-ES" w:bidi="es-ES"/>
        </w:rPr>
      </w:pPr>
      <w:r w:rsidRPr="00056464">
        <w:rPr>
          <w:rFonts w:ascii="Arial" w:eastAsia="Arial" w:hAnsi="Arial" w:cs="Arial"/>
          <w:sz w:val="20"/>
          <w:szCs w:val="20"/>
          <w:lang w:val="es-ES" w:eastAsia="es-ES" w:bidi="es-ES"/>
        </w:rPr>
        <w:t xml:space="preserve">[…] </w:t>
      </w:r>
      <w:bookmarkStart w:id="7" w:name="_Hlk77165666"/>
      <w:r w:rsidRPr="00056464">
        <w:rPr>
          <w:rFonts w:ascii="Arial" w:eastAsia="Arial" w:hAnsi="Arial" w:cs="Arial"/>
          <w:sz w:val="20"/>
          <w:szCs w:val="20"/>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p>
    <w:p w14:paraId="7B2FA973" w14:textId="77777777" w:rsidR="005C0B82" w:rsidRPr="00056464" w:rsidRDefault="005C0B82" w:rsidP="005C0B82">
      <w:pPr>
        <w:contextualSpacing/>
        <w:jc w:val="both"/>
        <w:rPr>
          <w:rFonts w:ascii="Arial" w:eastAsia="Arial" w:hAnsi="Arial" w:cs="Arial"/>
          <w:sz w:val="20"/>
          <w:szCs w:val="20"/>
          <w:lang w:val="es-ES" w:eastAsia="es-ES" w:bidi="es-ES"/>
        </w:rPr>
      </w:pPr>
    </w:p>
    <w:p w14:paraId="6E8493CA" w14:textId="77777777" w:rsidR="005C0B82" w:rsidRPr="00056464" w:rsidRDefault="005C0B82" w:rsidP="005C0B82">
      <w:pPr>
        <w:contextualSpacing/>
        <w:jc w:val="both"/>
        <w:rPr>
          <w:rFonts w:ascii="Arial" w:eastAsia="Calibri" w:hAnsi="Arial" w:cs="Arial"/>
          <w:sz w:val="20"/>
          <w:szCs w:val="20"/>
        </w:rPr>
      </w:pPr>
      <w:r w:rsidRPr="00056464">
        <w:rPr>
          <w:rFonts w:ascii="Arial" w:eastAsia="Calibri" w:hAnsi="Arial" w:cs="Arial"/>
          <w:sz w:val="20"/>
          <w:szCs w:val="20"/>
        </w:rPr>
        <w:t xml:space="preserve">Por un lado, el artículo 33 de la Ley 996 de 2005 prohíbe </w:t>
      </w:r>
      <w:r w:rsidRPr="00056464">
        <w:rPr>
          <w:rFonts w:ascii="Arial" w:eastAsia="Calibri" w:hAnsi="Arial" w:cs="Arial"/>
          <w:bCs/>
          <w:sz w:val="20"/>
          <w:szCs w:val="20"/>
        </w:rPr>
        <w:t xml:space="preserve">«[…] </w:t>
      </w:r>
      <w:r w:rsidRPr="00056464">
        <w:rPr>
          <w:rFonts w:ascii="Arial" w:eastAsia="Calibri" w:hAnsi="Arial" w:cs="Arial"/>
          <w:sz w:val="20"/>
          <w:szCs w:val="20"/>
        </w:rPr>
        <w:t>la contratación directa por parte de todos los entes del Estado</w:t>
      </w:r>
      <w:r w:rsidRPr="00056464">
        <w:rPr>
          <w:rFonts w:ascii="Arial" w:eastAsia="Calibri" w:hAnsi="Arial" w:cs="Arial"/>
          <w:bCs/>
          <w:sz w:val="20"/>
          <w:szCs w:val="20"/>
        </w:rPr>
        <w:t>»</w:t>
      </w:r>
      <w:r w:rsidRPr="00056464">
        <w:rPr>
          <w:rFonts w:ascii="Arial" w:eastAsia="Calibri" w:hAnsi="Arial" w:cs="Arial"/>
          <w:sz w:val="20"/>
          <w:szCs w:val="20"/>
        </w:rPr>
        <w:t xml:space="preserve"> durante los cuatro (4) meses anteriores a las elecciones presidenciales, salvo </w:t>
      </w:r>
      <w:r w:rsidRPr="00056464">
        <w:rPr>
          <w:rFonts w:ascii="Arial" w:eastAsia="Calibri" w:hAnsi="Arial" w:cs="Arial"/>
          <w:bCs/>
          <w:sz w:val="20"/>
          <w:szCs w:val="20"/>
        </w:rPr>
        <w:t xml:space="preserve">«[…] </w:t>
      </w:r>
      <w:r w:rsidRPr="00056464">
        <w:rPr>
          <w:rFonts w:ascii="Arial" w:eastAsia="Calibri" w:hAnsi="Arial" w:cs="Arial"/>
          <w:sz w:val="20"/>
          <w:szCs w:val="20"/>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56464">
        <w:rPr>
          <w:rFonts w:ascii="Arial" w:eastAsia="Calibri" w:hAnsi="Arial" w:cs="Arial"/>
          <w:bCs/>
          <w:sz w:val="20"/>
          <w:szCs w:val="20"/>
        </w:rPr>
        <w:t>»</w:t>
      </w:r>
      <w:r w:rsidRPr="00056464">
        <w:rPr>
          <w:rFonts w:ascii="Arial" w:eastAsia="Calibri" w:hAnsi="Arial" w:cs="Arial"/>
          <w:sz w:val="20"/>
          <w:szCs w:val="20"/>
        </w:rPr>
        <w:t>.</w:t>
      </w:r>
    </w:p>
    <w:p w14:paraId="6F26A5B0" w14:textId="77777777" w:rsidR="005C0B82" w:rsidRPr="00056464" w:rsidRDefault="005C0B82" w:rsidP="005C0B82">
      <w:pPr>
        <w:contextualSpacing/>
        <w:jc w:val="both"/>
        <w:rPr>
          <w:rFonts w:ascii="Arial" w:eastAsia="Calibri" w:hAnsi="Arial" w:cs="Arial"/>
          <w:sz w:val="20"/>
          <w:szCs w:val="20"/>
        </w:rPr>
      </w:pPr>
    </w:p>
    <w:p w14:paraId="38AF5423" w14:textId="77777777" w:rsidR="005C0B82" w:rsidRPr="00056464" w:rsidRDefault="005C0B82" w:rsidP="005C0B82">
      <w:pPr>
        <w:contextualSpacing/>
        <w:jc w:val="both"/>
        <w:rPr>
          <w:rFonts w:ascii="Arial" w:eastAsia="Calibri" w:hAnsi="Arial" w:cs="Arial"/>
          <w:bCs/>
          <w:sz w:val="20"/>
          <w:szCs w:val="20"/>
        </w:rPr>
      </w:pPr>
      <w:r w:rsidRPr="00056464">
        <w:rPr>
          <w:rFonts w:ascii="Arial" w:eastAsia="Calibri" w:hAnsi="Arial" w:cs="Arial"/>
          <w:sz w:val="20"/>
          <w:szCs w:val="20"/>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056464">
        <w:rPr>
          <w:rFonts w:ascii="Arial" w:eastAsia="Calibri" w:hAnsi="Arial" w:cs="Arial"/>
          <w:bCs/>
          <w:sz w:val="20"/>
          <w:szCs w:val="20"/>
        </w:rPr>
        <w:t xml:space="preserve">«[…] </w:t>
      </w:r>
      <w:r w:rsidRPr="00056464">
        <w:rPr>
          <w:rFonts w:ascii="Arial" w:eastAsia="Calibri" w:hAnsi="Arial" w:cs="Arial"/>
          <w:sz w:val="20"/>
          <w:szCs w:val="20"/>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56464">
        <w:rPr>
          <w:rFonts w:ascii="Arial" w:eastAsia="Calibri" w:hAnsi="Arial" w:cs="Arial"/>
          <w:bCs/>
          <w:sz w:val="20"/>
          <w:szCs w:val="20"/>
        </w:rPr>
        <w:t>»</w:t>
      </w:r>
    </w:p>
    <w:p w14:paraId="393B9EA7" w14:textId="77777777" w:rsidR="005C0B82" w:rsidRPr="00056464" w:rsidRDefault="005C0B82" w:rsidP="005C0B82">
      <w:pPr>
        <w:contextualSpacing/>
        <w:jc w:val="both"/>
        <w:rPr>
          <w:rFonts w:ascii="Arial" w:eastAsia="Calibri" w:hAnsi="Arial" w:cs="Arial"/>
          <w:b/>
          <w:bCs/>
          <w:sz w:val="20"/>
          <w:szCs w:val="20"/>
          <w:lang w:val="es-MX" w:eastAsia="en-US"/>
        </w:rPr>
      </w:pPr>
    </w:p>
    <w:p w14:paraId="3F4241A3" w14:textId="77777777" w:rsidR="005C0B82" w:rsidRPr="00056464" w:rsidRDefault="005C0B82" w:rsidP="005C0B82">
      <w:pPr>
        <w:tabs>
          <w:tab w:val="left" w:pos="426"/>
        </w:tabs>
        <w:contextualSpacing/>
        <w:jc w:val="both"/>
        <w:rPr>
          <w:rFonts w:ascii="Arial" w:eastAsia="Calibri" w:hAnsi="Arial" w:cs="Arial"/>
          <w:b/>
          <w:bCs/>
          <w:sz w:val="22"/>
          <w:szCs w:val="22"/>
          <w:lang w:val="es-MX" w:eastAsia="en-US"/>
        </w:rPr>
      </w:pPr>
      <w:r w:rsidRPr="00056464">
        <w:rPr>
          <w:rFonts w:ascii="Arial" w:eastAsia="Calibri" w:hAnsi="Arial" w:cs="Arial"/>
          <w:b/>
          <w:bCs/>
          <w:sz w:val="22"/>
          <w:szCs w:val="22"/>
          <w:lang w:val="es-MX" w:eastAsia="en-US"/>
        </w:rPr>
        <w:t xml:space="preserve">LEY DE GARANTÍAS ELECTORALES ─ Prohibición artículo 33 ‒ </w:t>
      </w:r>
      <w:bookmarkEnd w:id="7"/>
      <w:r w:rsidRPr="00056464">
        <w:rPr>
          <w:rFonts w:ascii="Arial" w:eastAsia="Calibri" w:hAnsi="Arial" w:cs="Arial"/>
          <w:b/>
          <w:bCs/>
          <w:sz w:val="22"/>
          <w:szCs w:val="22"/>
          <w:lang w:val="es-MX" w:eastAsia="en-US"/>
        </w:rPr>
        <w:t xml:space="preserve">Contratación directa ‒ Alcance </w:t>
      </w:r>
    </w:p>
    <w:p w14:paraId="6BDCE34D" w14:textId="77777777" w:rsidR="005C0B82" w:rsidRPr="00056464" w:rsidRDefault="005C0B82" w:rsidP="005C0B82">
      <w:pPr>
        <w:tabs>
          <w:tab w:val="left" w:pos="426"/>
        </w:tabs>
        <w:contextualSpacing/>
        <w:jc w:val="both"/>
        <w:rPr>
          <w:rFonts w:ascii="Arial" w:eastAsia="Calibri" w:hAnsi="Arial" w:cs="Arial"/>
          <w:noProof/>
          <w:sz w:val="20"/>
          <w:szCs w:val="20"/>
          <w:lang w:val="es-MX" w:eastAsia="en-US"/>
        </w:rPr>
      </w:pPr>
    </w:p>
    <w:p w14:paraId="1409000E" w14:textId="77777777" w:rsidR="005C0B82" w:rsidRPr="00056464" w:rsidRDefault="005C0B82" w:rsidP="005C0B82">
      <w:pPr>
        <w:contextualSpacing/>
        <w:jc w:val="both"/>
        <w:rPr>
          <w:rFonts w:ascii="Arial" w:hAnsi="Arial" w:cs="Arial"/>
          <w:bCs/>
          <w:sz w:val="20"/>
          <w:szCs w:val="20"/>
          <w:lang w:val="es-MX" w:eastAsia="x-none"/>
        </w:rPr>
      </w:pPr>
      <w:r w:rsidRPr="00056464">
        <w:rPr>
          <w:rFonts w:ascii="Arial" w:eastAsia="Arial" w:hAnsi="Arial" w:cs="Arial"/>
          <w:sz w:val="20"/>
          <w:szCs w:val="20"/>
          <w:lang w:val="es-ES" w:eastAsia="es-ES" w:bidi="es-ES"/>
        </w:rPr>
        <w:t xml:space="preserve">[…] </w:t>
      </w:r>
      <w:r w:rsidRPr="00056464">
        <w:rPr>
          <w:rFonts w:ascii="Arial" w:hAnsi="Arial" w:cs="Arial"/>
          <w:bCs/>
          <w:sz w:val="20"/>
          <w:szCs w:val="20"/>
          <w:lang w:val="es-MX" w:eastAsia="x-none"/>
        </w:rPr>
        <w:t>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056464">
        <w:rPr>
          <w:rFonts w:ascii="Arial" w:hAnsi="Arial" w:cs="Arial"/>
          <w:sz w:val="20"/>
          <w:szCs w:val="20"/>
          <w:vertAlign w:val="superscript"/>
          <w:lang w:eastAsia="x-none"/>
        </w:rPr>
        <w:t xml:space="preserve"> </w:t>
      </w:r>
    </w:p>
    <w:p w14:paraId="3853CEF6" w14:textId="77777777" w:rsidR="005C0B82" w:rsidRPr="00056464" w:rsidRDefault="005C0B82" w:rsidP="005C0B82">
      <w:pPr>
        <w:contextualSpacing/>
        <w:jc w:val="both"/>
        <w:rPr>
          <w:rFonts w:ascii="Arial" w:hAnsi="Arial" w:cs="Arial"/>
          <w:sz w:val="20"/>
          <w:szCs w:val="20"/>
          <w:lang w:eastAsia="x-none"/>
        </w:rPr>
      </w:pPr>
      <w:r w:rsidRPr="00056464">
        <w:rPr>
          <w:rFonts w:ascii="Arial" w:hAnsi="Arial" w:cs="Arial"/>
          <w:bCs/>
          <w:sz w:val="20"/>
          <w:szCs w:val="20"/>
          <w:lang w:val="es-MX" w:eastAsia="x-none"/>
        </w:rPr>
        <w:lastRenderedPageBreak/>
        <w:t>De lo anterior se desprende que la restricción aplica, sin perjuicio de las excepciones establecidas en la misma ley, para celebrar cualquier contrato de forma directa, esto es, sin que exista un proceso abierto y competitivo.</w:t>
      </w:r>
      <w:r w:rsidRPr="00056464">
        <w:rPr>
          <w:rFonts w:ascii="Arial"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02377DDA" w14:textId="77777777" w:rsidR="005C0B82" w:rsidRPr="00056464" w:rsidRDefault="005C0B82" w:rsidP="005C0B82">
      <w:pPr>
        <w:contextualSpacing/>
        <w:jc w:val="both"/>
        <w:rPr>
          <w:rFonts w:ascii="Arial" w:hAnsi="Arial" w:cs="Arial"/>
          <w:b/>
          <w:bCs/>
          <w:sz w:val="20"/>
          <w:szCs w:val="20"/>
          <w:lang w:val="es-MX" w:eastAsia="es-ES"/>
        </w:rPr>
      </w:pPr>
    </w:p>
    <w:p w14:paraId="25E3B671" w14:textId="77777777" w:rsidR="005C0B82" w:rsidRPr="00056464" w:rsidRDefault="005C0B82" w:rsidP="005C0B82">
      <w:pPr>
        <w:shd w:val="clear" w:color="auto" w:fill="FFFFFF"/>
        <w:contextualSpacing/>
        <w:jc w:val="both"/>
        <w:rPr>
          <w:rFonts w:ascii="Arial" w:hAnsi="Arial" w:cs="Arial"/>
          <w:b/>
          <w:bCs/>
          <w:sz w:val="22"/>
          <w:szCs w:val="22"/>
          <w:lang w:eastAsia="es-CO"/>
        </w:rPr>
      </w:pPr>
      <w:r w:rsidRPr="00056464">
        <w:rPr>
          <w:rFonts w:ascii="Arial" w:hAnsi="Arial" w:cs="Arial"/>
          <w:b/>
          <w:bCs/>
          <w:sz w:val="22"/>
          <w:szCs w:val="22"/>
          <w:lang w:eastAsia="es-CO"/>
        </w:rPr>
        <w:t xml:space="preserve">LEY DE GARANTÍAS ELECTORALES </w:t>
      </w:r>
      <w:bookmarkStart w:id="8" w:name="_Hlk77022358"/>
      <w:r w:rsidRPr="00056464">
        <w:rPr>
          <w:rFonts w:ascii="Arial" w:hAnsi="Arial" w:cs="Arial"/>
          <w:b/>
          <w:bCs/>
          <w:sz w:val="22"/>
          <w:szCs w:val="22"/>
          <w:lang w:eastAsia="es-CO"/>
        </w:rPr>
        <w:t>‒</w:t>
      </w:r>
      <w:bookmarkEnd w:id="8"/>
      <w:r w:rsidRPr="00056464">
        <w:rPr>
          <w:rFonts w:ascii="Arial" w:hAnsi="Arial" w:cs="Arial"/>
          <w:b/>
          <w:bCs/>
          <w:sz w:val="22"/>
          <w:szCs w:val="22"/>
          <w:lang w:eastAsia="es-CO"/>
        </w:rPr>
        <w:t xml:space="preserve"> Excepciones</w:t>
      </w:r>
      <w:r w:rsidRPr="00056464">
        <w:rPr>
          <w:rFonts w:ascii="Arial" w:hAnsi="Arial" w:cs="Arial"/>
          <w:b/>
          <w:sz w:val="22"/>
          <w:szCs w:val="22"/>
          <w:lang w:eastAsia="es-CO"/>
        </w:rPr>
        <w:t xml:space="preserve"> </w:t>
      </w:r>
    </w:p>
    <w:p w14:paraId="2BDAC0E8" w14:textId="77777777" w:rsidR="005C0B82" w:rsidRPr="00056464" w:rsidRDefault="005C0B82" w:rsidP="005C0B82">
      <w:pPr>
        <w:shd w:val="clear" w:color="auto" w:fill="FFFFFF"/>
        <w:contextualSpacing/>
        <w:jc w:val="both"/>
        <w:rPr>
          <w:rFonts w:ascii="Arial" w:hAnsi="Arial" w:cs="Arial"/>
          <w:b/>
          <w:sz w:val="20"/>
          <w:szCs w:val="20"/>
          <w:lang w:eastAsia="es-CO"/>
        </w:rPr>
      </w:pPr>
    </w:p>
    <w:p w14:paraId="02274313" w14:textId="77777777" w:rsidR="005C0B82" w:rsidRPr="00056464" w:rsidRDefault="005C0B82" w:rsidP="005C0B82">
      <w:pPr>
        <w:contextualSpacing/>
        <w:jc w:val="both"/>
        <w:rPr>
          <w:rFonts w:ascii="Arial" w:hAnsi="Arial" w:cs="Arial"/>
          <w:bCs/>
          <w:sz w:val="20"/>
          <w:szCs w:val="20"/>
          <w:lang w:val="es-MX" w:eastAsia="es-CO"/>
        </w:rPr>
      </w:pPr>
      <w:r w:rsidRPr="00056464">
        <w:rPr>
          <w:rFonts w:ascii="Arial" w:eastAsia="Arial" w:hAnsi="Arial" w:cs="Arial"/>
          <w:sz w:val="20"/>
          <w:szCs w:val="20"/>
          <w:lang w:val="es-ES" w:eastAsia="es-ES" w:bidi="es-ES"/>
        </w:rPr>
        <w:t xml:space="preserve">[…] </w:t>
      </w:r>
      <w:r w:rsidRPr="00056464">
        <w:rPr>
          <w:rFonts w:ascii="Arial" w:hAnsi="Arial" w:cs="Arial"/>
          <w:bCs/>
          <w:sz w:val="20"/>
          <w:szCs w:val="20"/>
          <w:lang w:val="es-MX"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056464">
        <w:rPr>
          <w:rFonts w:ascii="Arial" w:hAnsi="Arial" w:cs="Arial"/>
          <w:bCs/>
          <w:sz w:val="20"/>
          <w:szCs w:val="20"/>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744EB9F" w14:textId="77777777" w:rsidR="005C0B82" w:rsidRPr="00056464" w:rsidRDefault="005C0B82" w:rsidP="005C0B82">
      <w:pPr>
        <w:contextualSpacing/>
        <w:jc w:val="both"/>
        <w:rPr>
          <w:rFonts w:ascii="Arial" w:eastAsia="Arial" w:hAnsi="Arial" w:cs="Arial"/>
          <w:sz w:val="20"/>
          <w:szCs w:val="20"/>
          <w:lang w:val="es-ES" w:eastAsia="es-ES" w:bidi="es-ES"/>
        </w:rPr>
      </w:pPr>
    </w:p>
    <w:p w14:paraId="6A1003AF" w14:textId="77777777" w:rsidR="005C0B82" w:rsidRPr="00056464" w:rsidRDefault="005C0B82" w:rsidP="005C0B82">
      <w:pPr>
        <w:contextualSpacing/>
        <w:jc w:val="both"/>
        <w:rPr>
          <w:rFonts w:ascii="Arial" w:eastAsia="Calibri" w:hAnsi="Arial" w:cs="Arial"/>
          <w:b/>
          <w:bCs/>
          <w:sz w:val="22"/>
          <w:szCs w:val="22"/>
          <w:lang w:val="es-MX" w:eastAsia="en-US"/>
        </w:rPr>
      </w:pPr>
      <w:r w:rsidRPr="00056464">
        <w:rPr>
          <w:rFonts w:ascii="Arial" w:eastAsia="Calibri" w:hAnsi="Arial" w:cs="Arial"/>
          <w:b/>
          <w:bCs/>
          <w:sz w:val="22"/>
          <w:szCs w:val="22"/>
          <w:lang w:val="es-MX" w:eastAsia="en-US"/>
        </w:rPr>
        <w:t>LEY DE GARANTÍAS ELECTORALES ─ Prohibición artículo 33 ‒ Contratación directa ‒ Destinatarios</w:t>
      </w:r>
    </w:p>
    <w:p w14:paraId="036A4804" w14:textId="77777777" w:rsidR="005C0B82" w:rsidRPr="00056464" w:rsidRDefault="005C0B82" w:rsidP="005C0B82">
      <w:pPr>
        <w:contextualSpacing/>
        <w:jc w:val="both"/>
        <w:rPr>
          <w:rFonts w:ascii="Arial" w:eastAsia="Calibri" w:hAnsi="Arial" w:cs="Arial"/>
          <w:b/>
          <w:bCs/>
          <w:sz w:val="20"/>
          <w:szCs w:val="20"/>
          <w:lang w:val="es-MX" w:eastAsia="en-US"/>
        </w:rPr>
      </w:pPr>
    </w:p>
    <w:p w14:paraId="1F596319" w14:textId="77777777" w:rsidR="005C0B82" w:rsidRPr="00056464" w:rsidRDefault="005C0B82" w:rsidP="005C0B82">
      <w:pPr>
        <w:contextualSpacing/>
        <w:jc w:val="both"/>
        <w:rPr>
          <w:rFonts w:ascii="Arial" w:hAnsi="Arial" w:cs="Arial"/>
          <w:bCs/>
          <w:sz w:val="20"/>
          <w:szCs w:val="20"/>
          <w:lang w:val="es-MX" w:eastAsia="x-none"/>
        </w:rPr>
      </w:pPr>
      <w:r w:rsidRPr="00056464">
        <w:rPr>
          <w:rFonts w:ascii="Arial" w:eastAsia="Arial" w:hAnsi="Arial" w:cs="Arial"/>
          <w:sz w:val="20"/>
          <w:szCs w:val="20"/>
          <w:lang w:val="es-ES" w:eastAsia="es-ES" w:bidi="es-ES"/>
        </w:rPr>
        <w:t xml:space="preserve">[…] </w:t>
      </w:r>
      <w:r w:rsidRPr="00056464">
        <w:rPr>
          <w:rFonts w:ascii="Arial" w:eastAsia="Calibri" w:hAnsi="Arial" w:cs="Arial"/>
          <w:sz w:val="20"/>
          <w:szCs w:val="20"/>
          <w:lang w:val="es-MX"/>
        </w:rPr>
        <w:t xml:space="preserve">la restricción prevista en la Ley 996 de 2005, </w:t>
      </w:r>
      <w:r w:rsidRPr="00056464">
        <w:rPr>
          <w:rFonts w:ascii="Arial" w:hAnsi="Arial" w:cs="Arial"/>
          <w:bCs/>
          <w:sz w:val="20"/>
          <w:szCs w:val="20"/>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0"/>
    <w:p w14:paraId="433B7EEA" w14:textId="77777777" w:rsidR="005C0B82" w:rsidRPr="00056464" w:rsidRDefault="005C0B82" w:rsidP="005C0B82">
      <w:pPr>
        <w:contextualSpacing/>
        <w:jc w:val="both"/>
        <w:rPr>
          <w:rFonts w:ascii="Arial" w:eastAsia="Calibri" w:hAnsi="Arial" w:cs="Arial"/>
          <w:sz w:val="20"/>
          <w:szCs w:val="20"/>
          <w:lang w:val="es-ES" w:eastAsia="en-US"/>
        </w:rPr>
      </w:pPr>
    </w:p>
    <w:p w14:paraId="5C809FC3" w14:textId="77777777" w:rsidR="005C0B82" w:rsidRPr="00056464" w:rsidRDefault="005C0B82" w:rsidP="005C0B82">
      <w:pPr>
        <w:contextualSpacing/>
        <w:rPr>
          <w:rFonts w:ascii="Arial" w:eastAsiaTheme="minorHAnsi" w:hAnsi="Arial" w:cs="Arial"/>
          <w:b/>
          <w:sz w:val="22"/>
          <w:szCs w:val="22"/>
          <w:lang w:val="es-MX" w:eastAsia="es-ES"/>
        </w:rPr>
      </w:pPr>
      <w:r w:rsidRPr="00056464">
        <w:rPr>
          <w:rFonts w:ascii="Arial" w:eastAsiaTheme="minorHAnsi" w:hAnsi="Arial" w:cs="Arial"/>
          <w:b/>
          <w:sz w:val="22"/>
          <w:szCs w:val="22"/>
          <w:lang w:val="es-MX" w:eastAsia="es-ES"/>
        </w:rPr>
        <w:t xml:space="preserve">CONVENIOS SOLIDARIOS – </w:t>
      </w:r>
      <w:r w:rsidRPr="00056464">
        <w:rPr>
          <w:rFonts w:ascii="Arial" w:eastAsia="Calibri" w:hAnsi="Arial" w:cs="Arial"/>
          <w:b/>
          <w:sz w:val="22"/>
          <w:szCs w:val="22"/>
          <w:lang w:val="es-ES" w:eastAsia="en-US"/>
        </w:rPr>
        <w:t xml:space="preserve">Marco normativo </w:t>
      </w:r>
    </w:p>
    <w:p w14:paraId="4D7DE3FD" w14:textId="77777777" w:rsidR="005C0B82" w:rsidRPr="00056464" w:rsidRDefault="005C0B82" w:rsidP="005C0B82">
      <w:pPr>
        <w:contextualSpacing/>
        <w:rPr>
          <w:rFonts w:ascii="Arial" w:eastAsiaTheme="minorHAnsi" w:hAnsi="Arial" w:cs="Arial"/>
          <w:b/>
          <w:sz w:val="20"/>
          <w:szCs w:val="20"/>
          <w:lang w:val="es-MX" w:eastAsia="es-ES"/>
        </w:rPr>
      </w:pPr>
    </w:p>
    <w:p w14:paraId="71A04D2E" w14:textId="77777777" w:rsidR="005C0B82" w:rsidRPr="00056464" w:rsidRDefault="005C0B82" w:rsidP="005C0B82">
      <w:pPr>
        <w:contextualSpacing/>
        <w:jc w:val="both"/>
        <w:rPr>
          <w:rFonts w:ascii="Arial" w:eastAsia="Calibri" w:hAnsi="Arial" w:cs="Arial"/>
          <w:sz w:val="20"/>
          <w:szCs w:val="20"/>
          <w:lang w:val="es-ES"/>
        </w:rPr>
      </w:pPr>
      <w:r w:rsidRPr="00056464">
        <w:rPr>
          <w:rFonts w:ascii="Arial" w:eastAsia="Calibri" w:hAnsi="Arial" w:cs="Arial"/>
          <w:sz w:val="20"/>
          <w:szCs w:val="20"/>
          <w:lang w:val="es-ES"/>
        </w:rPr>
        <w:t>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A su vez, el referido mandato constitucional faculta al Gobierno Nacional para reglamentar la materia.</w:t>
      </w:r>
    </w:p>
    <w:p w14:paraId="2DBDC99C" w14:textId="77777777" w:rsidR="005C0B82" w:rsidRPr="00056464" w:rsidRDefault="005C0B82" w:rsidP="005C0B82">
      <w:pPr>
        <w:contextualSpacing/>
        <w:jc w:val="both"/>
        <w:rPr>
          <w:rFonts w:ascii="Arial" w:eastAsia="Calibri" w:hAnsi="Arial" w:cs="Arial"/>
          <w:sz w:val="20"/>
          <w:szCs w:val="20"/>
          <w:lang w:val="es-ES"/>
        </w:rPr>
      </w:pPr>
    </w:p>
    <w:p w14:paraId="64EC2EBA" w14:textId="77777777" w:rsidR="005C0B82" w:rsidRPr="00056464" w:rsidRDefault="005C0B82" w:rsidP="005C0B82">
      <w:pPr>
        <w:contextualSpacing/>
        <w:jc w:val="both"/>
        <w:rPr>
          <w:rFonts w:ascii="Arial" w:eastAsia="Calibri" w:hAnsi="Arial" w:cs="Arial"/>
          <w:sz w:val="20"/>
          <w:szCs w:val="20"/>
          <w:lang w:val="es-ES"/>
        </w:rPr>
      </w:pPr>
      <w:r w:rsidRPr="00056464">
        <w:rPr>
          <w:rFonts w:ascii="Arial" w:eastAsia="Calibri" w:hAnsi="Arial" w:cs="Arial"/>
          <w:sz w:val="20"/>
          <w:szCs w:val="20"/>
          <w:lang w:val="es-ES"/>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w:t>
      </w:r>
      <w:r w:rsidRPr="00056464">
        <w:rPr>
          <w:rFonts w:ascii="Arial" w:eastAsia="Calibri" w:hAnsi="Arial" w:cs="Arial"/>
          <w:sz w:val="20"/>
          <w:szCs w:val="20"/>
          <w:lang w:val="es-ES"/>
        </w:rPr>
        <w:lastRenderedPageBreak/>
        <w:t>institucionales, comunitarios, económicos y sociales para la construcción de obras y la satisfacción de necesidades y aspiraciones de las comunidades»</w:t>
      </w:r>
    </w:p>
    <w:p w14:paraId="53C9733B" w14:textId="77777777" w:rsidR="005C0B82" w:rsidRPr="00056464" w:rsidRDefault="005C0B82" w:rsidP="005C0B82">
      <w:pPr>
        <w:contextualSpacing/>
        <w:jc w:val="both"/>
        <w:rPr>
          <w:rFonts w:ascii="Arial" w:eastAsia="Calibri" w:hAnsi="Arial" w:cs="Arial"/>
          <w:sz w:val="20"/>
          <w:szCs w:val="20"/>
          <w:lang w:val="es-ES" w:eastAsia="en-US"/>
        </w:rPr>
      </w:pPr>
    </w:p>
    <w:p w14:paraId="72567A38" w14:textId="77777777" w:rsidR="005C0B82" w:rsidRPr="00056464" w:rsidRDefault="005C0B82" w:rsidP="005C0B82">
      <w:pPr>
        <w:autoSpaceDE w:val="0"/>
        <w:autoSpaceDN w:val="0"/>
        <w:adjustRightInd w:val="0"/>
        <w:contextualSpacing/>
        <w:jc w:val="both"/>
        <w:rPr>
          <w:rFonts w:ascii="Arial" w:eastAsia="Calibri" w:hAnsi="Arial" w:cs="Arial"/>
          <w:b/>
          <w:bCs/>
          <w:sz w:val="22"/>
          <w:szCs w:val="22"/>
          <w:lang w:val="es-ES" w:eastAsia="en-US"/>
        </w:rPr>
      </w:pPr>
      <w:r w:rsidRPr="00056464">
        <w:rPr>
          <w:rFonts w:ascii="Arial" w:eastAsiaTheme="minorHAnsi" w:hAnsi="Arial" w:cs="Arial"/>
          <w:b/>
          <w:bCs/>
          <w:sz w:val="22"/>
          <w:szCs w:val="22"/>
          <w:lang w:eastAsia="es-ES"/>
        </w:rPr>
        <w:t>CONVENIOS SOLIDARIOS</w:t>
      </w:r>
      <w:r w:rsidRPr="00056464">
        <w:rPr>
          <w:rFonts w:ascii="Arial" w:eastAsiaTheme="minorHAnsi" w:hAnsi="Arial" w:cs="Arial"/>
          <w:b/>
          <w:bCs/>
          <w:sz w:val="22"/>
          <w:szCs w:val="22"/>
          <w:lang w:eastAsia="en-US"/>
        </w:rPr>
        <w:t xml:space="preserve"> – </w:t>
      </w:r>
      <w:r w:rsidRPr="00056464">
        <w:rPr>
          <w:rFonts w:ascii="Arial" w:eastAsia="Calibri" w:hAnsi="Arial" w:cs="Arial"/>
          <w:b/>
          <w:bCs/>
          <w:sz w:val="22"/>
          <w:szCs w:val="22"/>
          <w:lang w:val="es-ES" w:eastAsia="en-US"/>
        </w:rPr>
        <w:t xml:space="preserve">Regímenes </w:t>
      </w:r>
      <w:r w:rsidRPr="00056464">
        <w:rPr>
          <w:rFonts w:ascii="Arial" w:eastAsia="Calibri" w:hAnsi="Arial" w:cs="Arial"/>
          <w:b/>
          <w:sz w:val="22"/>
          <w:szCs w:val="22"/>
          <w:lang w:val="es-ES" w:eastAsia="en-US"/>
        </w:rPr>
        <w:t xml:space="preserve">de celebración – Juntas de Acción Comunal </w:t>
      </w:r>
      <w:r w:rsidRPr="00056464">
        <w:rPr>
          <w:rFonts w:ascii="Arial" w:eastAsiaTheme="minorHAnsi" w:hAnsi="Arial" w:cs="Arial"/>
          <w:b/>
          <w:bCs/>
          <w:sz w:val="22"/>
          <w:szCs w:val="22"/>
          <w:lang w:eastAsia="en-US"/>
        </w:rPr>
        <w:t>– Naturaleza jurídica – Aplicación de Ley de Garantías</w:t>
      </w:r>
    </w:p>
    <w:p w14:paraId="7A9BA3BC" w14:textId="77777777" w:rsidR="005C0B82" w:rsidRPr="00056464" w:rsidRDefault="005C0B82" w:rsidP="005C0B82">
      <w:pPr>
        <w:contextualSpacing/>
        <w:jc w:val="both"/>
        <w:rPr>
          <w:rFonts w:ascii="Arial" w:eastAsia="Calibri" w:hAnsi="Arial" w:cs="Arial"/>
          <w:sz w:val="20"/>
          <w:szCs w:val="20"/>
          <w:lang w:val="es-ES" w:eastAsia="en-US"/>
        </w:rPr>
      </w:pPr>
    </w:p>
    <w:p w14:paraId="3FE56AFE" w14:textId="271A6E3A" w:rsidR="005C0B82" w:rsidRPr="00056464" w:rsidRDefault="005C0B82" w:rsidP="005C0B82">
      <w:pPr>
        <w:contextualSpacing/>
        <w:jc w:val="both"/>
        <w:rPr>
          <w:rFonts w:ascii="Arial" w:eastAsia="Calibri" w:hAnsi="Arial" w:cs="Arial"/>
          <w:sz w:val="20"/>
          <w:szCs w:val="20"/>
          <w:lang w:val="es-ES" w:eastAsia="en-US"/>
        </w:rPr>
      </w:pPr>
      <w:r w:rsidRPr="00056464">
        <w:rPr>
          <w:rFonts w:ascii="Arial" w:hAnsi="Arial" w:cs="Arial"/>
          <w:bCs/>
          <w:sz w:val="20"/>
          <w:szCs w:val="20"/>
          <w:lang w:val="es-ES_tradnl" w:eastAsia="x-none"/>
        </w:rPr>
        <w:t>Aplicadas las consideraciones de los acápites precedentes al tema objeto de consulta,</w:t>
      </w:r>
      <w:r w:rsidRPr="00056464">
        <w:rPr>
          <w:rFonts w:ascii="Arial" w:eastAsia="Calibri" w:hAnsi="Arial" w:cs="Arial"/>
          <w:sz w:val="20"/>
          <w:szCs w:val="20"/>
          <w:lang w:val="es-ES" w:eastAsia="en-US"/>
        </w:rPr>
        <w:t xml:space="preserve"> se reitera que el artículo 33 de la Ley 996 de 2005 prohíbe la contratación directa «Durante los cuatro (4) meses anteriores a la elección presidencial y hasta la realización de la elección en la segunda vuelta». Esta norma consagra excepciones taxativas a dicha prohibición, dentro de las cuales no está prevista la posibilidad de que se celebren </w:t>
      </w:r>
      <w:r w:rsidRPr="00056464">
        <w:rPr>
          <w:rFonts w:ascii="Arial" w:eastAsia="Calibri" w:hAnsi="Arial" w:cs="Arial"/>
          <w:i/>
          <w:iCs/>
          <w:sz w:val="20"/>
          <w:szCs w:val="20"/>
          <w:lang w:val="es-ES" w:eastAsia="en-US"/>
        </w:rPr>
        <w:t>directamente</w:t>
      </w:r>
      <w:r w:rsidRPr="00056464">
        <w:rPr>
          <w:rFonts w:ascii="Arial" w:eastAsia="Calibri" w:hAnsi="Arial" w:cs="Arial"/>
          <w:sz w:val="20"/>
          <w:szCs w:val="20"/>
          <w:lang w:val="es-ES" w:eastAsia="en-US"/>
        </w:rPr>
        <w:t xml:space="preserve"> convenios solidarios por parte de las entidades territoriales. Por tanto, como lo señala la Circular Conjunta 100-006 de 2021 del Departamento Administrativo de la Presidencia de la República y del Departamento Administrativo de la Función Pública, el artículo 33 de la Ley de Garantías Electorales «restringe la contratación directa por parte de todos los entes del Estado desde el día 29 de enero de 2022 y hasta la elección en segunda vuelta, si fuere el caso». Dentro de esta restricción queda contemplada la prohibición de celebrar </w:t>
      </w:r>
      <w:r w:rsidRPr="00056464">
        <w:rPr>
          <w:rFonts w:ascii="Arial" w:eastAsia="Calibri" w:hAnsi="Arial" w:cs="Arial"/>
          <w:i/>
          <w:iCs/>
          <w:sz w:val="20"/>
          <w:szCs w:val="20"/>
          <w:lang w:val="es-ES" w:eastAsia="en-US"/>
        </w:rPr>
        <w:t>directamente</w:t>
      </w:r>
      <w:r w:rsidRPr="00056464">
        <w:rPr>
          <w:rFonts w:ascii="Arial" w:eastAsia="Calibri" w:hAnsi="Arial" w:cs="Arial"/>
          <w:sz w:val="20"/>
          <w:szCs w:val="20"/>
          <w:lang w:val="es-ES" w:eastAsia="en-US"/>
        </w:rPr>
        <w:t xml:space="preserve"> convenios solidarios. Lo anterior, salvo que en el caso concreto se presente alguna de las excepciones establecidas a la prohibición consagrada en el inciso segundo del artículo 33 de la Ley de Garantías Electorales.</w:t>
      </w:r>
    </w:p>
    <w:p w14:paraId="5F466A50" w14:textId="77777777" w:rsidR="005C0B82" w:rsidRPr="00056464" w:rsidRDefault="005C0B82" w:rsidP="005C0B82">
      <w:pPr>
        <w:contextualSpacing/>
        <w:jc w:val="both"/>
        <w:rPr>
          <w:rFonts w:ascii="Arial" w:eastAsia="Calibri" w:hAnsi="Arial" w:cs="Arial"/>
          <w:sz w:val="20"/>
          <w:szCs w:val="20"/>
          <w:lang w:val="es-ES" w:eastAsia="en-US"/>
        </w:rPr>
      </w:pPr>
    </w:p>
    <w:p w14:paraId="2B696950" w14:textId="77777777" w:rsidR="005C0B82" w:rsidRPr="00056464" w:rsidRDefault="005C0B82" w:rsidP="005C0B82">
      <w:pPr>
        <w:contextualSpacing/>
        <w:jc w:val="both"/>
        <w:rPr>
          <w:rFonts w:ascii="Arial" w:hAnsi="Arial" w:cs="Arial"/>
          <w:sz w:val="20"/>
          <w:szCs w:val="20"/>
        </w:rPr>
      </w:pPr>
      <w:r w:rsidRPr="00056464">
        <w:rPr>
          <w:rFonts w:ascii="Arial" w:hAnsi="Arial" w:cs="Arial"/>
          <w:bCs/>
          <w:sz w:val="20"/>
          <w:szCs w:val="20"/>
          <w:lang w:val="es-ES_tradnl"/>
        </w:rPr>
        <w:t>Sin perjuicio de lo anterior,</w:t>
      </w:r>
      <w:r w:rsidRPr="00056464">
        <w:rPr>
          <w:rFonts w:ascii="Arial" w:eastAsia="Calibri" w:hAnsi="Arial" w:cs="Arial"/>
          <w:sz w:val="20"/>
          <w:szCs w:val="20"/>
          <w:lang w:val="es-ES"/>
        </w:rPr>
        <w:t xml:space="preserve"> dado que lo prohibido es la contratación </w:t>
      </w:r>
      <w:r w:rsidRPr="00056464">
        <w:rPr>
          <w:rFonts w:ascii="Arial" w:eastAsia="Calibri" w:hAnsi="Arial" w:cs="Arial"/>
          <w:i/>
          <w:iCs/>
          <w:sz w:val="20"/>
          <w:szCs w:val="20"/>
          <w:lang w:val="es-ES"/>
        </w:rPr>
        <w:t xml:space="preserve">directa, </w:t>
      </w:r>
      <w:r w:rsidRPr="00056464">
        <w:rPr>
          <w:rFonts w:ascii="Arial" w:eastAsia="Calibri" w:hAnsi="Arial" w:cs="Arial"/>
          <w:sz w:val="20"/>
          <w:szCs w:val="20"/>
          <w:lang w:val="es-ES"/>
        </w:rPr>
        <w:t xml:space="preserve">en cada caso particular debe analizarse la forma en que se celebrará el convenio solidario, de acuerdo con el marco jurídico que los regula, bajo la premisa de que las entidades estatales </w:t>
      </w:r>
      <w:r w:rsidRPr="00056464">
        <w:rPr>
          <w:rFonts w:ascii="Arial" w:eastAsiaTheme="minorHAnsi" w:hAnsi="Arial" w:cs="Arial"/>
          <w:sz w:val="20"/>
          <w:szCs w:val="20"/>
          <w:lang w:val="es-MX" w:eastAsia="en-US"/>
        </w:rPr>
        <w:t>podrán suscribir convenios solidarios durante la vigencia de la prohibición analizada, en tanto se de aplicación a un proceso competitivo para la selección del contratista, esto es, en el que exista convocatoria pública y posibilidad de participación de pluralidad de oferentes.</w:t>
      </w:r>
    </w:p>
    <w:p w14:paraId="1D9BB46C" w14:textId="5140A74B" w:rsidR="005C0B82" w:rsidRDefault="005C0B82" w:rsidP="005C0B82">
      <w:pPr>
        <w:spacing w:after="160" w:line="259" w:lineRule="auto"/>
        <w:jc w:val="both"/>
        <w:rPr>
          <w:rFonts w:ascii="Arial" w:eastAsiaTheme="minorHAnsi" w:hAnsi="Arial" w:cs="Arial"/>
          <w:sz w:val="20"/>
          <w:szCs w:val="20"/>
          <w:lang w:val="es-ES" w:eastAsia="en-US"/>
        </w:rPr>
      </w:pPr>
      <w:r>
        <w:rPr>
          <w:rFonts w:ascii="Arial" w:eastAsiaTheme="minorHAnsi" w:hAnsi="Arial" w:cs="Arial"/>
          <w:sz w:val="20"/>
          <w:szCs w:val="20"/>
          <w:lang w:val="es-ES" w:eastAsia="en-US"/>
        </w:rPr>
        <w:br w:type="page"/>
      </w:r>
    </w:p>
    <w:p w14:paraId="45B56B40" w14:textId="77777777" w:rsidR="0033652B" w:rsidRPr="005C0B82" w:rsidRDefault="0033652B" w:rsidP="0033652B">
      <w:pPr>
        <w:jc w:val="right"/>
        <w:rPr>
          <w:rFonts w:ascii="Arial" w:eastAsia="Calibri" w:hAnsi="Arial" w:cs="Arial"/>
          <w:b/>
          <w:sz w:val="16"/>
          <w:szCs w:val="16"/>
          <w:lang w:val="es-ES_tradnl"/>
        </w:rPr>
      </w:pPr>
      <w:r w:rsidRPr="005C0B82">
        <w:rPr>
          <w:rFonts w:ascii="Arial" w:hAnsi="Arial" w:cs="Arial"/>
          <w:bCs/>
          <w:sz w:val="16"/>
          <w:szCs w:val="16"/>
          <w:lang w:val="es-ES_tradnl" w:eastAsia="es-ES"/>
        </w:rPr>
        <w:lastRenderedPageBreak/>
        <w:t>CCE-DES-FM-17</w:t>
      </w:r>
      <w:bookmarkEnd w:id="1"/>
      <w:bookmarkEnd w:id="2"/>
    </w:p>
    <w:p w14:paraId="6473FB1A" w14:textId="39DB6DA7" w:rsidR="0033652B" w:rsidRDefault="00BA4190" w:rsidP="00F711A0">
      <w:pPr>
        <w:jc w:val="right"/>
        <w:rPr>
          <w:rFonts w:ascii="Arial" w:hAnsi="Arial" w:cs="Arial"/>
          <w:sz w:val="22"/>
          <w:lang w:val="es-ES"/>
        </w:rPr>
      </w:pPr>
      <w:r>
        <w:rPr>
          <w:noProof/>
        </w:rPr>
        <w:drawing>
          <wp:inline distT="0" distB="0" distL="0" distR="0" wp14:anchorId="4F7B30BB" wp14:editId="44095C96">
            <wp:extent cx="3388813" cy="765544"/>
            <wp:effectExtent l="0" t="0" r="2540" b="0"/>
            <wp:docPr id="2091321007" name="Imagen 209132100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1007" name="Imagen 2091321007"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451844" cy="779783"/>
                    </a:xfrm>
                    <a:prstGeom prst="rect">
                      <a:avLst/>
                    </a:prstGeom>
                  </pic:spPr>
                </pic:pic>
              </a:graphicData>
            </a:graphic>
          </wp:inline>
        </w:drawing>
      </w:r>
    </w:p>
    <w:p w14:paraId="320A6919" w14:textId="1A20487D" w:rsidR="00BA4190" w:rsidRPr="005C0B82" w:rsidRDefault="00BA4190" w:rsidP="00F711A0">
      <w:pPr>
        <w:jc w:val="right"/>
        <w:rPr>
          <w:rFonts w:ascii="Arial" w:hAnsi="Arial" w:cs="Arial"/>
          <w:sz w:val="22"/>
          <w:lang w:val="es-ES"/>
        </w:rPr>
      </w:pPr>
      <w:r>
        <w:rPr>
          <w:noProof/>
        </w:rPr>
        <w:drawing>
          <wp:inline distT="0" distB="0" distL="0" distR="0" wp14:anchorId="63899888" wp14:editId="6257D4E0">
            <wp:extent cx="3399982" cy="9399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2557" cy="946193"/>
                    </a:xfrm>
                    <a:prstGeom prst="rect">
                      <a:avLst/>
                    </a:prstGeom>
                  </pic:spPr>
                </pic:pic>
              </a:graphicData>
            </a:graphic>
          </wp:inline>
        </w:drawing>
      </w:r>
    </w:p>
    <w:p w14:paraId="487839A4" w14:textId="77777777" w:rsidR="00F711A0" w:rsidRPr="005C0B82" w:rsidRDefault="00F711A0" w:rsidP="0033652B">
      <w:pPr>
        <w:jc w:val="both"/>
        <w:rPr>
          <w:rFonts w:ascii="Arial" w:eastAsia="Calibri" w:hAnsi="Arial" w:cs="Arial"/>
          <w:sz w:val="22"/>
        </w:rPr>
      </w:pPr>
      <w:bookmarkStart w:id="9" w:name="_Hlk80951783"/>
    </w:p>
    <w:p w14:paraId="35C33FFE" w14:textId="31F2CB66" w:rsidR="00F711A0" w:rsidRPr="005C0B82" w:rsidRDefault="00F711A0" w:rsidP="0033652B">
      <w:pPr>
        <w:jc w:val="both"/>
        <w:rPr>
          <w:rFonts w:ascii="Arial" w:eastAsia="Calibri" w:hAnsi="Arial" w:cs="Arial"/>
          <w:sz w:val="22"/>
        </w:rPr>
      </w:pPr>
      <w:r w:rsidRPr="005C0B82">
        <w:rPr>
          <w:rFonts w:ascii="Arial" w:eastAsia="Calibri" w:hAnsi="Arial" w:cs="Arial"/>
          <w:sz w:val="22"/>
        </w:rPr>
        <w:t xml:space="preserve">Bogotá D.C., </w:t>
      </w:r>
      <w:r w:rsidR="00BA4190">
        <w:rPr>
          <w:rFonts w:ascii="Arial" w:eastAsia="Calibri" w:hAnsi="Arial" w:cs="Arial"/>
          <w:sz w:val="22"/>
        </w:rPr>
        <w:t>12 de abril de 2022</w:t>
      </w:r>
    </w:p>
    <w:p w14:paraId="63E2D3D5" w14:textId="77777777" w:rsidR="00F711A0" w:rsidRPr="005C0B82" w:rsidRDefault="00F711A0" w:rsidP="0033652B">
      <w:pPr>
        <w:jc w:val="both"/>
        <w:rPr>
          <w:rFonts w:ascii="Arial" w:eastAsia="Calibri" w:hAnsi="Arial" w:cs="Arial"/>
          <w:sz w:val="22"/>
        </w:rPr>
      </w:pPr>
    </w:p>
    <w:p w14:paraId="71A318EC" w14:textId="77777777" w:rsidR="00F711A0" w:rsidRPr="005C0B82" w:rsidRDefault="00F711A0" w:rsidP="0033652B">
      <w:pPr>
        <w:jc w:val="both"/>
        <w:rPr>
          <w:rFonts w:ascii="Arial" w:eastAsia="Calibri" w:hAnsi="Arial" w:cs="Arial"/>
          <w:sz w:val="22"/>
        </w:rPr>
      </w:pPr>
    </w:p>
    <w:p w14:paraId="5074F6D3" w14:textId="0FE57AC2" w:rsidR="0033652B" w:rsidRPr="005C0B82" w:rsidRDefault="0033652B" w:rsidP="0033652B">
      <w:pPr>
        <w:jc w:val="both"/>
        <w:rPr>
          <w:rFonts w:ascii="Arial" w:eastAsia="Calibri" w:hAnsi="Arial" w:cs="Arial"/>
          <w:sz w:val="22"/>
        </w:rPr>
      </w:pPr>
      <w:r w:rsidRPr="005C0B82">
        <w:rPr>
          <w:rFonts w:ascii="Arial" w:eastAsia="Calibri" w:hAnsi="Arial" w:cs="Arial"/>
          <w:sz w:val="22"/>
        </w:rPr>
        <w:t>Señora</w:t>
      </w:r>
    </w:p>
    <w:p w14:paraId="322DE973" w14:textId="66D793A8" w:rsidR="0033652B" w:rsidRPr="005C0B82" w:rsidRDefault="00C2180B" w:rsidP="0033652B">
      <w:pPr>
        <w:jc w:val="both"/>
        <w:rPr>
          <w:rFonts w:ascii="Arial" w:eastAsia="Calibri" w:hAnsi="Arial" w:cs="Arial"/>
          <w:b/>
          <w:sz w:val="22"/>
        </w:rPr>
      </w:pPr>
      <w:r w:rsidRPr="005C0B82">
        <w:rPr>
          <w:rFonts w:ascii="Arial" w:eastAsia="Calibri" w:hAnsi="Arial" w:cs="Arial"/>
          <w:b/>
          <w:sz w:val="22"/>
        </w:rPr>
        <w:t>Lina</w:t>
      </w:r>
      <w:r w:rsidR="00F711A0" w:rsidRPr="005C0B82">
        <w:rPr>
          <w:rFonts w:ascii="Arial" w:eastAsia="Calibri" w:hAnsi="Arial" w:cs="Arial"/>
          <w:b/>
          <w:sz w:val="22"/>
        </w:rPr>
        <w:t xml:space="preserve"> Yinedt</w:t>
      </w:r>
      <w:r w:rsidRPr="005C0B82">
        <w:rPr>
          <w:rFonts w:ascii="Arial" w:eastAsia="Calibri" w:hAnsi="Arial" w:cs="Arial"/>
          <w:b/>
          <w:sz w:val="22"/>
        </w:rPr>
        <w:t xml:space="preserve"> Olmos Fajardo </w:t>
      </w:r>
    </w:p>
    <w:p w14:paraId="2661B0BA" w14:textId="68C66B60" w:rsidR="0033652B" w:rsidRPr="005C0B82" w:rsidRDefault="00C2180B" w:rsidP="0033652B">
      <w:pPr>
        <w:jc w:val="both"/>
        <w:rPr>
          <w:rFonts w:ascii="Arial" w:hAnsi="Arial" w:cs="Arial"/>
          <w:sz w:val="22"/>
        </w:rPr>
      </w:pPr>
      <w:r w:rsidRPr="005C0B82">
        <w:rPr>
          <w:rFonts w:ascii="Arial" w:hAnsi="Arial" w:cs="Arial"/>
          <w:sz w:val="22"/>
        </w:rPr>
        <w:t>Boyacá</w:t>
      </w:r>
      <w:r w:rsidR="00F711A0" w:rsidRPr="005C0B82">
        <w:rPr>
          <w:rFonts w:ascii="Arial" w:hAnsi="Arial" w:cs="Arial"/>
          <w:sz w:val="22"/>
        </w:rPr>
        <w:t xml:space="preserve">, </w:t>
      </w:r>
      <w:r w:rsidRPr="005C0B82">
        <w:rPr>
          <w:rFonts w:ascii="Arial" w:hAnsi="Arial" w:cs="Arial"/>
          <w:sz w:val="22"/>
        </w:rPr>
        <w:t xml:space="preserve">Tunja </w:t>
      </w:r>
    </w:p>
    <w:p w14:paraId="0CC5A225" w14:textId="77777777" w:rsidR="0033652B" w:rsidRPr="005C0B82" w:rsidRDefault="0033652B" w:rsidP="0033652B">
      <w:pPr>
        <w:jc w:val="both"/>
        <w:rPr>
          <w:rFonts w:ascii="Arial" w:eastAsia="Calibri" w:hAnsi="Arial" w:cs="Arial"/>
          <w:sz w:val="22"/>
        </w:rPr>
      </w:pPr>
    </w:p>
    <w:p w14:paraId="14EA1F5D" w14:textId="77777777" w:rsidR="0033652B" w:rsidRPr="005C0B82" w:rsidRDefault="0033652B" w:rsidP="0033652B">
      <w:pPr>
        <w:jc w:val="both"/>
        <w:rPr>
          <w:rFonts w:ascii="Arial" w:eastAsia="Calibri" w:hAnsi="Arial" w:cs="Arial"/>
          <w:sz w:val="22"/>
        </w:rPr>
      </w:pPr>
    </w:p>
    <w:p w14:paraId="74C1F5EB" w14:textId="3CD48429" w:rsidR="0033652B" w:rsidRPr="005C0B82" w:rsidRDefault="0033652B" w:rsidP="0033652B">
      <w:pPr>
        <w:rPr>
          <w:rFonts w:ascii="Arial" w:eastAsia="Calibri" w:hAnsi="Arial" w:cs="Arial"/>
          <w:b/>
          <w:bCs/>
          <w:sz w:val="22"/>
          <w:lang w:val="es-ES_tradnl"/>
        </w:rPr>
      </w:pPr>
      <w:r w:rsidRPr="005C0B82">
        <w:rPr>
          <w:rFonts w:ascii="Arial" w:eastAsia="Calibri" w:hAnsi="Arial" w:cs="Arial"/>
          <w:b/>
          <w:bCs/>
          <w:sz w:val="22"/>
        </w:rPr>
        <w:t xml:space="preserve">                                            </w:t>
      </w:r>
      <w:r w:rsidRPr="005C0B82">
        <w:rPr>
          <w:rFonts w:ascii="Arial" w:eastAsia="Calibri" w:hAnsi="Arial" w:cs="Arial"/>
          <w:b/>
          <w:bCs/>
          <w:sz w:val="22"/>
          <w:lang w:val="es-ES_tradnl"/>
        </w:rPr>
        <w:t xml:space="preserve">Concepto C ‒ </w:t>
      </w:r>
      <w:r w:rsidR="000368D5" w:rsidRPr="005C0B82">
        <w:rPr>
          <w:rFonts w:ascii="Arial" w:eastAsia="Calibri" w:hAnsi="Arial" w:cs="Arial"/>
          <w:b/>
          <w:bCs/>
          <w:sz w:val="22"/>
          <w:lang w:val="es-ES_tradnl"/>
        </w:rPr>
        <w:t>185</w:t>
      </w:r>
      <w:r w:rsidRPr="005C0B82">
        <w:rPr>
          <w:rFonts w:ascii="Arial" w:eastAsia="Calibri" w:hAnsi="Arial" w:cs="Arial"/>
          <w:b/>
          <w:bCs/>
          <w:sz w:val="22"/>
          <w:lang w:val="es-ES_tradnl"/>
        </w:rPr>
        <w:t xml:space="preserve"> de 2022</w:t>
      </w:r>
    </w:p>
    <w:p w14:paraId="50042EFB" w14:textId="77777777" w:rsidR="0033652B" w:rsidRPr="005C0B82" w:rsidRDefault="0033652B" w:rsidP="0033652B">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68D5" w:rsidRPr="005C0B82" w14:paraId="7FBC7E67" w14:textId="77777777" w:rsidTr="00B4010D">
        <w:tc>
          <w:tcPr>
            <w:tcW w:w="2689" w:type="dxa"/>
          </w:tcPr>
          <w:p w14:paraId="4B8B41B4" w14:textId="77777777" w:rsidR="0033652B" w:rsidRPr="005C0B82" w:rsidRDefault="0033652B" w:rsidP="00B4010D">
            <w:pPr>
              <w:jc w:val="both"/>
              <w:rPr>
                <w:rFonts w:ascii="Arial" w:eastAsia="Calibri" w:hAnsi="Arial" w:cs="Arial"/>
                <w:b/>
                <w:sz w:val="22"/>
                <w:szCs w:val="22"/>
                <w:lang w:val="es-ES_tradnl"/>
              </w:rPr>
            </w:pPr>
            <w:r w:rsidRPr="005C0B82">
              <w:rPr>
                <w:rFonts w:ascii="Arial" w:eastAsia="Calibri" w:hAnsi="Arial" w:cs="Arial"/>
                <w:b/>
                <w:sz w:val="22"/>
                <w:szCs w:val="22"/>
                <w:lang w:val="es-ES_tradnl"/>
              </w:rPr>
              <w:t xml:space="preserve">Temas:                                      </w:t>
            </w:r>
          </w:p>
        </w:tc>
        <w:tc>
          <w:tcPr>
            <w:tcW w:w="6237" w:type="dxa"/>
          </w:tcPr>
          <w:p w14:paraId="2BCF7228" w14:textId="77777777" w:rsidR="005C0B82" w:rsidRPr="00063BE4" w:rsidRDefault="005C0B82" w:rsidP="005C0B82">
            <w:pPr>
              <w:autoSpaceDE w:val="0"/>
              <w:autoSpaceDN w:val="0"/>
              <w:adjustRightInd w:val="0"/>
              <w:contextualSpacing/>
              <w:jc w:val="both"/>
              <w:rPr>
                <w:rFonts w:ascii="Arial" w:eastAsia="Calibri" w:hAnsi="Arial" w:cs="Arial"/>
                <w:sz w:val="22"/>
                <w:szCs w:val="22"/>
                <w:lang w:val="es-ES" w:eastAsia="en-US"/>
              </w:rPr>
            </w:pPr>
            <w:r w:rsidRPr="00063BE4">
              <w:rPr>
                <w:rFonts w:ascii="Arial" w:eastAsia="Calibri" w:hAnsi="Arial" w:cs="Arial"/>
                <w:sz w:val="22"/>
                <w:szCs w:val="22"/>
                <w:lang w:val="es-MX" w:eastAsia="en-US"/>
              </w:rPr>
              <w:t xml:space="preserve">LEY DE GARANTÍAS ELECTORALES – Finalidad / LEY DE GARANTÍAS ELECTORALES ‒ Restricciones ‒ Contratación ‒ Tipos de elección / LEY DE GARANTÍAS ELECTORALES ─ Prohibición artículo 33 ‒ Contratación directa ‒ Alcance / </w:t>
            </w:r>
            <w:r w:rsidRPr="00063BE4">
              <w:rPr>
                <w:rFonts w:ascii="Arial" w:hAnsi="Arial" w:cs="Arial"/>
                <w:sz w:val="22"/>
                <w:szCs w:val="22"/>
                <w:lang w:eastAsia="es-CO"/>
              </w:rPr>
              <w:t xml:space="preserve">LEY DE GARANTÍAS ELECTORALES ‒ Excepciones / </w:t>
            </w:r>
            <w:r w:rsidRPr="00063BE4">
              <w:rPr>
                <w:rFonts w:ascii="Arial" w:eastAsia="Calibri" w:hAnsi="Arial" w:cs="Arial"/>
                <w:sz w:val="22"/>
                <w:szCs w:val="22"/>
                <w:lang w:val="es-MX" w:eastAsia="en-US"/>
              </w:rPr>
              <w:t xml:space="preserve">LEY DE GARANTÍAS ELECTORALES ─ Prohibición artículo 33 ‒ Contratación directa ‒ Destinatarios / </w:t>
            </w:r>
            <w:r w:rsidRPr="00063BE4">
              <w:rPr>
                <w:rFonts w:ascii="Arial" w:eastAsiaTheme="minorHAnsi" w:hAnsi="Arial" w:cs="Arial"/>
                <w:sz w:val="22"/>
                <w:szCs w:val="22"/>
                <w:lang w:eastAsia="es-ES"/>
              </w:rPr>
              <w:t>CONVENIOS SOLIDARIOS</w:t>
            </w:r>
            <w:r w:rsidRPr="00063BE4">
              <w:rPr>
                <w:rFonts w:ascii="Arial" w:eastAsiaTheme="minorHAnsi" w:hAnsi="Arial" w:cs="Arial"/>
                <w:sz w:val="22"/>
                <w:szCs w:val="22"/>
                <w:lang w:eastAsia="en-US"/>
              </w:rPr>
              <w:t xml:space="preserve"> – </w:t>
            </w:r>
            <w:r w:rsidRPr="00063BE4">
              <w:rPr>
                <w:rFonts w:ascii="Arial" w:eastAsia="Calibri" w:hAnsi="Arial" w:cs="Arial"/>
                <w:sz w:val="22"/>
                <w:szCs w:val="22"/>
                <w:lang w:val="es-ES" w:eastAsia="en-US"/>
              </w:rPr>
              <w:t xml:space="preserve">Regímenes de celebración – Juntas de Acción Comunal </w:t>
            </w:r>
            <w:r w:rsidRPr="00063BE4">
              <w:rPr>
                <w:rFonts w:ascii="Arial" w:eastAsiaTheme="minorHAnsi" w:hAnsi="Arial" w:cs="Arial"/>
                <w:sz w:val="22"/>
                <w:szCs w:val="22"/>
                <w:lang w:eastAsia="en-US"/>
              </w:rPr>
              <w:t>– Naturaleza jurídica – Aplicación de Ley de Garantías</w:t>
            </w:r>
          </w:p>
          <w:p w14:paraId="38646D29" w14:textId="688D14D4" w:rsidR="00453EF5" w:rsidRPr="005C0B82" w:rsidRDefault="00453EF5" w:rsidP="005C0B82">
            <w:pPr>
              <w:contextualSpacing/>
              <w:jc w:val="both"/>
              <w:rPr>
                <w:rFonts w:ascii="Arial" w:eastAsiaTheme="minorHAnsi" w:hAnsi="Arial" w:cs="Arial"/>
                <w:bCs/>
                <w:sz w:val="22"/>
                <w:szCs w:val="22"/>
                <w:lang w:eastAsia="en-US"/>
              </w:rPr>
            </w:pPr>
          </w:p>
        </w:tc>
      </w:tr>
      <w:tr w:rsidR="000368D5" w:rsidRPr="005C0B82" w14:paraId="30992DD0" w14:textId="77777777" w:rsidTr="00F711A0">
        <w:trPr>
          <w:trHeight w:val="197"/>
        </w:trPr>
        <w:tc>
          <w:tcPr>
            <w:tcW w:w="2689" w:type="dxa"/>
          </w:tcPr>
          <w:p w14:paraId="7D4A44AD" w14:textId="77777777" w:rsidR="0033652B" w:rsidRPr="005C0B82" w:rsidRDefault="0033652B" w:rsidP="00B4010D">
            <w:pPr>
              <w:jc w:val="both"/>
              <w:rPr>
                <w:rFonts w:ascii="Arial" w:eastAsia="Calibri" w:hAnsi="Arial" w:cs="Arial"/>
                <w:sz w:val="22"/>
                <w:szCs w:val="22"/>
                <w:lang w:val="es-ES_tradnl"/>
              </w:rPr>
            </w:pPr>
            <w:r w:rsidRPr="005C0B82">
              <w:rPr>
                <w:rFonts w:ascii="Arial" w:eastAsia="Calibri" w:hAnsi="Arial" w:cs="Arial"/>
                <w:b/>
                <w:sz w:val="22"/>
                <w:szCs w:val="22"/>
                <w:lang w:val="es-ES_tradnl"/>
              </w:rPr>
              <w:t>Radicación</w:t>
            </w:r>
            <w:r w:rsidRPr="005C0B82">
              <w:rPr>
                <w:rFonts w:ascii="Arial" w:eastAsia="Calibri" w:hAnsi="Arial" w:cs="Arial"/>
                <w:sz w:val="22"/>
                <w:szCs w:val="22"/>
                <w:lang w:val="es-ES_tradnl"/>
              </w:rPr>
              <w:t xml:space="preserve">:                              </w:t>
            </w:r>
          </w:p>
        </w:tc>
        <w:tc>
          <w:tcPr>
            <w:tcW w:w="6237" w:type="dxa"/>
          </w:tcPr>
          <w:p w14:paraId="2539AC71" w14:textId="4F102975" w:rsidR="0033652B" w:rsidRPr="005C0B82" w:rsidRDefault="0033652B" w:rsidP="00F711A0">
            <w:pPr>
              <w:jc w:val="both"/>
              <w:rPr>
                <w:rFonts w:ascii="Arial" w:eastAsia="Calibri" w:hAnsi="Arial" w:cs="Arial"/>
                <w:sz w:val="22"/>
                <w:szCs w:val="22"/>
                <w:lang w:val="es-ES_tradnl"/>
              </w:rPr>
            </w:pPr>
            <w:r w:rsidRPr="005C0B82">
              <w:rPr>
                <w:rFonts w:ascii="Arial" w:eastAsiaTheme="minorHAnsi" w:hAnsi="Arial" w:cs="Arial"/>
                <w:bCs/>
                <w:sz w:val="22"/>
                <w:szCs w:val="22"/>
                <w:lang w:eastAsia="en-US"/>
              </w:rPr>
              <w:t xml:space="preserve">Respuesta a consulta </w:t>
            </w:r>
            <w:r w:rsidR="008C57CC" w:rsidRPr="005C0B82">
              <w:rPr>
                <w:rFonts w:ascii="Arial" w:eastAsiaTheme="minorHAnsi" w:hAnsi="Arial" w:cs="Arial"/>
                <w:bCs/>
                <w:sz w:val="22"/>
                <w:szCs w:val="22"/>
                <w:lang w:eastAsia="en-US"/>
              </w:rPr>
              <w:t>P20220224001878</w:t>
            </w:r>
          </w:p>
        </w:tc>
      </w:tr>
    </w:tbl>
    <w:p w14:paraId="7F7F5854" w14:textId="77777777" w:rsidR="0033652B" w:rsidRPr="005C0B82" w:rsidRDefault="0033652B" w:rsidP="0033652B">
      <w:pPr>
        <w:jc w:val="both"/>
        <w:rPr>
          <w:rFonts w:ascii="Arial" w:eastAsia="Calibri" w:hAnsi="Arial" w:cs="Arial"/>
          <w:color w:val="FF0000"/>
          <w:sz w:val="22"/>
          <w:lang w:val="es-ES_tradnl"/>
        </w:rPr>
      </w:pPr>
    </w:p>
    <w:p w14:paraId="536C9190" w14:textId="77777777" w:rsidR="0033652B" w:rsidRPr="005C0B82" w:rsidRDefault="0033652B" w:rsidP="0033652B">
      <w:pPr>
        <w:jc w:val="both"/>
        <w:rPr>
          <w:rFonts w:ascii="Arial" w:eastAsia="Calibri" w:hAnsi="Arial" w:cs="Arial"/>
          <w:sz w:val="22"/>
          <w:lang w:val="es-ES_tradnl"/>
        </w:rPr>
      </w:pPr>
    </w:p>
    <w:p w14:paraId="071935AE" w14:textId="01054F2D" w:rsidR="0033652B" w:rsidRPr="005C0B82" w:rsidRDefault="0033652B" w:rsidP="0033652B">
      <w:pPr>
        <w:jc w:val="both"/>
        <w:rPr>
          <w:rFonts w:ascii="Arial" w:eastAsia="Calibri" w:hAnsi="Arial" w:cs="Arial"/>
          <w:sz w:val="22"/>
          <w:lang w:val="es-ES_tradnl"/>
        </w:rPr>
      </w:pPr>
      <w:r w:rsidRPr="005C0B82">
        <w:rPr>
          <w:rFonts w:ascii="Arial" w:eastAsia="Calibri" w:hAnsi="Arial" w:cs="Arial"/>
          <w:sz w:val="22"/>
          <w:lang w:val="es-ES_tradnl"/>
        </w:rPr>
        <w:t xml:space="preserve">Estimada señora </w:t>
      </w:r>
      <w:r w:rsidR="00E21455" w:rsidRPr="005C0B82">
        <w:rPr>
          <w:rFonts w:ascii="Arial" w:eastAsia="Calibri" w:hAnsi="Arial" w:cs="Arial"/>
          <w:sz w:val="22"/>
          <w:lang w:val="es-ES_tradnl"/>
        </w:rPr>
        <w:t>Olmos Fajardo</w:t>
      </w:r>
      <w:r w:rsidRPr="005C0B82">
        <w:rPr>
          <w:rFonts w:ascii="Arial" w:eastAsia="Calibri" w:hAnsi="Arial" w:cs="Arial"/>
          <w:sz w:val="22"/>
          <w:lang w:val="es-ES_tradnl"/>
        </w:rPr>
        <w:t xml:space="preserve">: </w:t>
      </w:r>
    </w:p>
    <w:p w14:paraId="6D2D0B0E" w14:textId="77777777" w:rsidR="0033652B" w:rsidRPr="005C0B82" w:rsidRDefault="0033652B" w:rsidP="0033652B">
      <w:pPr>
        <w:jc w:val="both"/>
        <w:rPr>
          <w:rFonts w:ascii="Arial" w:eastAsia="Calibri" w:hAnsi="Arial" w:cs="Arial"/>
          <w:sz w:val="22"/>
          <w:lang w:val="es-ES_tradnl"/>
        </w:rPr>
      </w:pPr>
    </w:p>
    <w:p w14:paraId="740E16C9" w14:textId="0D749A2A" w:rsidR="0033652B" w:rsidRPr="005C0B82" w:rsidRDefault="0033652B" w:rsidP="0033652B">
      <w:pPr>
        <w:spacing w:line="276" w:lineRule="auto"/>
        <w:jc w:val="both"/>
        <w:rPr>
          <w:rFonts w:ascii="Arial" w:eastAsia="Calibri" w:hAnsi="Arial" w:cs="Arial"/>
          <w:sz w:val="22"/>
          <w:lang w:val="es-ES_tradnl"/>
        </w:rPr>
      </w:pPr>
      <w:r w:rsidRPr="005C0B82">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a </w:t>
      </w:r>
      <w:r w:rsidR="008C57CC" w:rsidRPr="005C0B82">
        <w:rPr>
          <w:rFonts w:ascii="Arial" w:eastAsia="Calibri" w:hAnsi="Arial" w:cs="Arial"/>
          <w:sz w:val="22"/>
          <w:lang w:val="es-ES_tradnl"/>
        </w:rPr>
        <w:t>la</w:t>
      </w:r>
      <w:r w:rsidRPr="005C0B82">
        <w:rPr>
          <w:rFonts w:ascii="Arial" w:eastAsia="Calibri" w:hAnsi="Arial" w:cs="Arial"/>
          <w:sz w:val="22"/>
          <w:lang w:val="es-ES_tradnl"/>
        </w:rPr>
        <w:t xml:space="preserve"> consulta</w:t>
      </w:r>
      <w:r w:rsidR="0099439E" w:rsidRPr="005C0B82">
        <w:rPr>
          <w:rFonts w:ascii="Arial" w:eastAsia="Calibri" w:hAnsi="Arial" w:cs="Arial"/>
          <w:sz w:val="22"/>
          <w:lang w:val="es-ES_tradnl"/>
        </w:rPr>
        <w:t xml:space="preserve"> realizada a esta entidad el </w:t>
      </w:r>
      <w:r w:rsidR="00517136" w:rsidRPr="005C0B82">
        <w:rPr>
          <w:rFonts w:ascii="Arial" w:eastAsia="Calibri" w:hAnsi="Arial" w:cs="Arial"/>
          <w:sz w:val="22"/>
          <w:lang w:val="es-ES_tradnl"/>
        </w:rPr>
        <w:t>24 de febrero de 2022.</w:t>
      </w:r>
      <w:r w:rsidRPr="005C0B82">
        <w:rPr>
          <w:rFonts w:ascii="Arial" w:eastAsia="Calibri" w:hAnsi="Arial" w:cs="Arial"/>
          <w:sz w:val="22"/>
          <w:lang w:val="es-ES_tradnl"/>
        </w:rPr>
        <w:t xml:space="preserve"> </w:t>
      </w:r>
    </w:p>
    <w:p w14:paraId="5B8D2337" w14:textId="77777777" w:rsidR="0033652B" w:rsidRPr="005C0B82" w:rsidRDefault="0033652B" w:rsidP="0033652B">
      <w:pPr>
        <w:spacing w:line="276" w:lineRule="auto"/>
        <w:jc w:val="both"/>
        <w:rPr>
          <w:rFonts w:ascii="Arial" w:eastAsia="Calibri" w:hAnsi="Arial" w:cs="Arial"/>
          <w:b/>
          <w:sz w:val="22"/>
          <w:lang w:val="es-ES_tradnl"/>
        </w:rPr>
      </w:pPr>
    </w:p>
    <w:p w14:paraId="508CDB1B" w14:textId="77777777" w:rsidR="0033652B" w:rsidRPr="005C0B82" w:rsidRDefault="0033652B" w:rsidP="0033652B">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5C0B82">
        <w:rPr>
          <w:rFonts w:ascii="Arial" w:eastAsia="Calibri" w:hAnsi="Arial" w:cs="Arial"/>
          <w:b/>
          <w:sz w:val="22"/>
          <w:lang w:val="es-ES_tradnl"/>
        </w:rPr>
        <w:t xml:space="preserve">Problema planteado </w:t>
      </w:r>
    </w:p>
    <w:p w14:paraId="46BE8AC0" w14:textId="77777777" w:rsidR="0033652B" w:rsidRPr="005C0B82" w:rsidRDefault="0033652B" w:rsidP="0033652B">
      <w:pPr>
        <w:tabs>
          <w:tab w:val="left" w:pos="426"/>
        </w:tabs>
        <w:spacing w:line="276" w:lineRule="auto"/>
        <w:jc w:val="both"/>
        <w:rPr>
          <w:rFonts w:ascii="Arial" w:eastAsia="Calibri" w:hAnsi="Arial" w:cs="Arial"/>
          <w:b/>
          <w:sz w:val="22"/>
          <w:lang w:val="es-ES_tradnl"/>
        </w:rPr>
      </w:pPr>
    </w:p>
    <w:p w14:paraId="58F654FD" w14:textId="71521532" w:rsidR="00C16B3A" w:rsidRPr="005C0B82" w:rsidRDefault="0033652B" w:rsidP="00C6796C">
      <w:pPr>
        <w:autoSpaceDE w:val="0"/>
        <w:autoSpaceDN w:val="0"/>
        <w:adjustRightInd w:val="0"/>
        <w:spacing w:line="276" w:lineRule="auto"/>
        <w:jc w:val="both"/>
        <w:rPr>
          <w:rFonts w:ascii="Arial" w:hAnsi="Arial" w:cs="Arial"/>
          <w:sz w:val="22"/>
          <w:szCs w:val="22"/>
          <w:lang w:val="es-ES_tradnl"/>
        </w:rPr>
      </w:pPr>
      <w:r w:rsidRPr="005C0B82">
        <w:rPr>
          <w:rFonts w:ascii="Arial" w:hAnsi="Arial" w:cs="Arial"/>
          <w:sz w:val="22"/>
          <w:szCs w:val="22"/>
          <w:lang w:val="es-ES_tradnl"/>
        </w:rPr>
        <w:lastRenderedPageBreak/>
        <w:t>Usted realiza la</w:t>
      </w:r>
      <w:r w:rsidR="00F711A0" w:rsidRPr="005C0B82">
        <w:rPr>
          <w:rFonts w:ascii="Arial" w:hAnsi="Arial" w:cs="Arial"/>
          <w:sz w:val="22"/>
          <w:szCs w:val="22"/>
          <w:lang w:val="es-ES_tradnl"/>
        </w:rPr>
        <w:t>s</w:t>
      </w:r>
      <w:r w:rsidRPr="005C0B82">
        <w:rPr>
          <w:rFonts w:ascii="Arial" w:hAnsi="Arial" w:cs="Arial"/>
          <w:sz w:val="22"/>
          <w:szCs w:val="22"/>
          <w:lang w:val="es-ES_tradnl"/>
        </w:rPr>
        <w:t xml:space="preserve"> siguiente</w:t>
      </w:r>
      <w:r w:rsidR="00F711A0" w:rsidRPr="005C0B82">
        <w:rPr>
          <w:rFonts w:ascii="Arial" w:hAnsi="Arial" w:cs="Arial"/>
          <w:sz w:val="22"/>
          <w:szCs w:val="22"/>
          <w:lang w:val="es-ES_tradnl"/>
        </w:rPr>
        <w:t>s</w:t>
      </w:r>
      <w:r w:rsidRPr="005C0B82">
        <w:rPr>
          <w:rFonts w:ascii="Arial" w:hAnsi="Arial" w:cs="Arial"/>
          <w:sz w:val="22"/>
          <w:szCs w:val="22"/>
          <w:lang w:val="es-ES_tradnl"/>
        </w:rPr>
        <w:t xml:space="preserve"> </w:t>
      </w:r>
      <w:r w:rsidR="00C16B3A" w:rsidRPr="005C0B82">
        <w:rPr>
          <w:rFonts w:ascii="Arial" w:hAnsi="Arial" w:cs="Arial"/>
          <w:sz w:val="22"/>
          <w:szCs w:val="22"/>
          <w:lang w:val="es-ES_tradnl"/>
        </w:rPr>
        <w:t>consulta</w:t>
      </w:r>
      <w:r w:rsidR="00F711A0" w:rsidRPr="005C0B82">
        <w:rPr>
          <w:rFonts w:ascii="Arial" w:hAnsi="Arial" w:cs="Arial"/>
          <w:sz w:val="22"/>
          <w:szCs w:val="22"/>
          <w:lang w:val="es-ES_tradnl"/>
        </w:rPr>
        <w:t>s</w:t>
      </w:r>
      <w:r w:rsidRPr="005C0B82">
        <w:rPr>
          <w:rFonts w:ascii="Arial" w:hAnsi="Arial" w:cs="Arial"/>
          <w:sz w:val="22"/>
          <w:szCs w:val="22"/>
          <w:lang w:val="es-ES_tradnl"/>
        </w:rPr>
        <w:t>:</w:t>
      </w:r>
      <w:r w:rsidR="00F711A0" w:rsidRPr="005C0B82">
        <w:rPr>
          <w:rFonts w:ascii="Arial" w:hAnsi="Arial" w:cs="Arial"/>
          <w:sz w:val="22"/>
          <w:szCs w:val="22"/>
          <w:lang w:val="es-ES_tradnl"/>
        </w:rPr>
        <w:t xml:space="preserve"> </w:t>
      </w:r>
      <w:bookmarkStart w:id="10" w:name="_Hlk100307517"/>
      <w:r w:rsidR="00F711A0" w:rsidRPr="005C0B82">
        <w:rPr>
          <w:rFonts w:ascii="Arial" w:hAnsi="Arial" w:cs="Arial"/>
          <w:sz w:val="22"/>
          <w:szCs w:val="22"/>
          <w:lang w:val="es-ES_tradnl"/>
        </w:rPr>
        <w:t>i) «</w:t>
      </w:r>
      <w:r w:rsidR="00F711A0" w:rsidRPr="005C0B82">
        <w:rPr>
          <w:rFonts w:ascii="Arial" w:hAnsi="Arial" w:cs="Arial"/>
          <w:sz w:val="22"/>
          <w:szCs w:val="22"/>
        </w:rPr>
        <w:t>¿Es el convenio solidario un contrato directo al cual sea aplicable la restricción del artículo 33 de la ley 996 del 2005?</w:t>
      </w:r>
      <w:r w:rsidR="00F711A0" w:rsidRPr="005C0B82">
        <w:rPr>
          <w:rFonts w:ascii="Arial" w:hAnsi="Arial" w:cs="Arial"/>
          <w:sz w:val="22"/>
          <w:szCs w:val="22"/>
          <w:lang w:val="es-ES_tradnl"/>
        </w:rPr>
        <w:t>», ii) «</w:t>
      </w:r>
      <w:r w:rsidR="00F711A0" w:rsidRPr="005C0B82">
        <w:rPr>
          <w:rFonts w:ascii="Arial" w:hAnsi="Arial" w:cs="Arial"/>
          <w:sz w:val="22"/>
          <w:szCs w:val="22"/>
        </w:rPr>
        <w:t xml:space="preserve">¿Las entidades públicas pueden celebrar convenios con las juntas de acción comunal durante la restricción del artículo 33 es decir después del 28 de enero del 2022 y antes de la elección del presidente?», iii) </w:t>
      </w:r>
      <w:r w:rsidR="00C6796C" w:rsidRPr="005C0B82">
        <w:rPr>
          <w:rFonts w:ascii="Arial" w:hAnsi="Arial" w:cs="Arial"/>
          <w:sz w:val="22"/>
          <w:szCs w:val="22"/>
        </w:rPr>
        <w:t>«A pesar de que los convenios solidarios no se realizan en el marco de la contratación directa determinada en el Ley 80 de 1993, sino por régimen especial, ¿estos convenios solidarios (Con juntas de acción comunal) se incluyen dentro de la contratación directa a que refiere el artículo 33 de la ley 996 del 2005?»</w:t>
      </w:r>
      <w:bookmarkEnd w:id="10"/>
      <w:r w:rsidR="00C6796C" w:rsidRPr="005C0B82">
        <w:rPr>
          <w:rFonts w:ascii="Arial" w:hAnsi="Arial" w:cs="Arial"/>
          <w:sz w:val="22"/>
          <w:szCs w:val="22"/>
        </w:rPr>
        <w:t>.</w:t>
      </w:r>
      <w:r w:rsidRPr="005C0B82">
        <w:rPr>
          <w:rFonts w:ascii="Arial" w:hAnsi="Arial" w:cs="Arial"/>
          <w:sz w:val="22"/>
          <w:szCs w:val="22"/>
          <w:lang w:val="es-ES_tradnl"/>
        </w:rPr>
        <w:t xml:space="preserve"> </w:t>
      </w:r>
    </w:p>
    <w:p w14:paraId="69BE627A" w14:textId="77777777" w:rsidR="00C16B3A" w:rsidRPr="005C0B82" w:rsidRDefault="00C16B3A" w:rsidP="0033652B">
      <w:pPr>
        <w:autoSpaceDE w:val="0"/>
        <w:autoSpaceDN w:val="0"/>
        <w:adjustRightInd w:val="0"/>
        <w:spacing w:line="276" w:lineRule="auto"/>
        <w:jc w:val="both"/>
        <w:rPr>
          <w:rFonts w:ascii="Arial" w:hAnsi="Arial" w:cs="Arial"/>
          <w:color w:val="FF0000"/>
          <w:sz w:val="22"/>
          <w:szCs w:val="22"/>
          <w:highlight w:val="yellow"/>
          <w:lang w:val="es-ES_tradnl"/>
        </w:rPr>
      </w:pPr>
    </w:p>
    <w:p w14:paraId="3CC99EA9" w14:textId="77777777" w:rsidR="0033652B" w:rsidRPr="005C0B82" w:rsidRDefault="0033652B" w:rsidP="0033652B">
      <w:pPr>
        <w:pStyle w:val="Prrafodelista"/>
        <w:numPr>
          <w:ilvl w:val="0"/>
          <w:numId w:val="1"/>
        </w:numPr>
        <w:tabs>
          <w:tab w:val="left" w:pos="0"/>
          <w:tab w:val="left" w:pos="284"/>
        </w:tabs>
        <w:ind w:left="0" w:firstLine="0"/>
        <w:jc w:val="both"/>
        <w:rPr>
          <w:rFonts w:ascii="Arial" w:eastAsia="Calibri" w:hAnsi="Arial" w:cs="Arial"/>
          <w:b/>
          <w:sz w:val="22"/>
          <w:lang w:val="es-ES_tradnl"/>
        </w:rPr>
      </w:pPr>
      <w:r w:rsidRPr="005C0B82">
        <w:rPr>
          <w:rFonts w:ascii="Arial" w:eastAsia="Calibri" w:hAnsi="Arial" w:cs="Arial"/>
          <w:b/>
          <w:sz w:val="22"/>
          <w:lang w:val="es-ES_tradnl"/>
        </w:rPr>
        <w:t>Consideraciones</w:t>
      </w:r>
    </w:p>
    <w:p w14:paraId="1DD88214" w14:textId="77777777" w:rsidR="0033652B" w:rsidRPr="005C0B82" w:rsidRDefault="0033652B" w:rsidP="0033652B">
      <w:pPr>
        <w:spacing w:line="276" w:lineRule="auto"/>
        <w:jc w:val="both"/>
        <w:rPr>
          <w:rFonts w:ascii="Arial" w:eastAsia="Calibri" w:hAnsi="Arial" w:cs="Arial"/>
          <w:sz w:val="22"/>
          <w:szCs w:val="22"/>
          <w:lang w:val="es-ES_tradnl"/>
        </w:rPr>
      </w:pPr>
    </w:p>
    <w:p w14:paraId="1602F416" w14:textId="4DAAA483" w:rsidR="0033652B" w:rsidRPr="005C0B82" w:rsidRDefault="0033652B" w:rsidP="0033652B">
      <w:pPr>
        <w:spacing w:after="120" w:line="276" w:lineRule="auto"/>
        <w:jc w:val="both"/>
        <w:rPr>
          <w:rFonts w:ascii="Arial" w:eastAsia="Calibri" w:hAnsi="Arial" w:cs="Arial"/>
          <w:sz w:val="22"/>
          <w:szCs w:val="22"/>
          <w:lang w:val="es-ES"/>
        </w:rPr>
      </w:pPr>
      <w:r w:rsidRPr="005C0B82">
        <w:rPr>
          <w:rFonts w:ascii="Arial" w:hAnsi="Arial" w:cs="Arial"/>
          <w:sz w:val="22"/>
          <w:szCs w:val="22"/>
        </w:rPr>
        <w:t>Para resolver su consulta se estudiarán</w:t>
      </w:r>
      <w:r w:rsidRPr="005C0B82">
        <w:rPr>
          <w:rFonts w:ascii="Arial" w:eastAsia="Calibri" w:hAnsi="Arial" w:cs="Arial"/>
          <w:sz w:val="22"/>
          <w:szCs w:val="22"/>
          <w:lang w:val="es-ES"/>
        </w:rPr>
        <w:t xml:space="preserve"> los siguientes temas:</w:t>
      </w:r>
      <w:r w:rsidRPr="005C0B82">
        <w:rPr>
          <w:rFonts w:ascii="Arial" w:eastAsia="Calibri" w:hAnsi="Arial" w:cs="Arial"/>
          <w:sz w:val="22"/>
          <w:szCs w:val="22"/>
        </w:rPr>
        <w:t xml:space="preserve"> i) definición y finalidad de la Ley de Garantías Electorales</w:t>
      </w:r>
      <w:r w:rsidR="00CE42F4" w:rsidRPr="005C0B82">
        <w:rPr>
          <w:rFonts w:ascii="Arial" w:eastAsia="Calibri" w:hAnsi="Arial" w:cs="Arial"/>
          <w:sz w:val="22"/>
          <w:szCs w:val="22"/>
        </w:rPr>
        <w:t>,</w:t>
      </w:r>
      <w:r w:rsidRPr="005C0B82">
        <w:rPr>
          <w:rFonts w:ascii="Arial" w:eastAsia="Calibri" w:hAnsi="Arial" w:cs="Arial"/>
          <w:sz w:val="22"/>
          <w:szCs w:val="22"/>
        </w:rPr>
        <w:t xml:space="preserve"> ii) restricciones para elecciones presidenciales</w:t>
      </w:r>
      <w:r w:rsidR="00CE42F4" w:rsidRPr="005C0B82">
        <w:rPr>
          <w:rFonts w:ascii="Arial" w:eastAsia="Calibri" w:hAnsi="Arial" w:cs="Arial"/>
          <w:sz w:val="22"/>
          <w:szCs w:val="22"/>
        </w:rPr>
        <w:t>, iii) destinatarios de la restricción del artículo 33 de la Ley 996 de 2005 y iv) régimen de celebración de los convenios solidarios y aplicación de la Ley de Garantías.</w:t>
      </w:r>
    </w:p>
    <w:p w14:paraId="0A5ABA06" w14:textId="442FF4B1" w:rsidR="0033652B" w:rsidRPr="005C0B82" w:rsidRDefault="0033652B" w:rsidP="0033450D">
      <w:pPr>
        <w:spacing w:line="276" w:lineRule="auto"/>
        <w:ind w:firstLine="709"/>
        <w:jc w:val="both"/>
        <w:rPr>
          <w:rFonts w:ascii="Arial" w:eastAsia="Calibri" w:hAnsi="Arial" w:cs="Arial"/>
          <w:sz w:val="22"/>
          <w:szCs w:val="22"/>
        </w:rPr>
      </w:pPr>
      <w:r w:rsidRPr="005C0B82">
        <w:rPr>
          <w:rFonts w:ascii="Arial" w:eastAsia="Calibri" w:hAnsi="Arial" w:cs="Arial"/>
          <w:sz w:val="22"/>
        </w:rPr>
        <w:t>Esta Agencia se ha pronunciado en diferentes ocasiones sobre la Ley de Garantías Electorales, entre otros, en los</w:t>
      </w:r>
      <w:r w:rsidRPr="005C0B82">
        <w:rPr>
          <w:rFonts w:ascii="Arial" w:hAnsi="Arial" w:cs="Arial"/>
        </w:rPr>
        <w:t xml:space="preserve"> </w:t>
      </w:r>
      <w:r w:rsidRPr="005C0B82">
        <w:rPr>
          <w:rFonts w:ascii="Arial" w:eastAsia="Calibri" w:hAnsi="Arial" w:cs="Arial"/>
          <w:sz w:val="22"/>
        </w:rPr>
        <w:t xml:space="preserve">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C-693 del 9 de diciembre de 2021, C-695 del 22 de diciembre de 2021, </w:t>
      </w:r>
      <w:r w:rsidR="005C2C91" w:rsidRPr="005C0B82">
        <w:rPr>
          <w:rFonts w:ascii="Arial" w:eastAsia="Calibri" w:hAnsi="Arial" w:cs="Arial"/>
          <w:sz w:val="22"/>
        </w:rPr>
        <w:t>C-002</w:t>
      </w:r>
      <w:r w:rsidR="00685A6B" w:rsidRPr="005C0B82">
        <w:rPr>
          <w:rFonts w:ascii="Arial" w:eastAsia="Calibri" w:hAnsi="Arial" w:cs="Arial"/>
          <w:sz w:val="22"/>
        </w:rPr>
        <w:t xml:space="preserve"> del </w:t>
      </w:r>
      <w:r w:rsidR="00570C11" w:rsidRPr="005C0B82">
        <w:rPr>
          <w:rFonts w:ascii="Arial" w:eastAsia="Calibri" w:hAnsi="Arial" w:cs="Arial"/>
          <w:sz w:val="22"/>
        </w:rPr>
        <w:t>15</w:t>
      </w:r>
      <w:r w:rsidR="00685A6B" w:rsidRPr="005C0B82">
        <w:rPr>
          <w:rFonts w:ascii="Arial" w:eastAsia="Calibri" w:hAnsi="Arial" w:cs="Arial"/>
          <w:sz w:val="22"/>
        </w:rPr>
        <w:t xml:space="preserve">de enero de 2022, C-005 del </w:t>
      </w:r>
      <w:r w:rsidR="00570C11" w:rsidRPr="005C0B82">
        <w:rPr>
          <w:rFonts w:ascii="Arial" w:eastAsia="Calibri" w:hAnsi="Arial" w:cs="Arial"/>
          <w:sz w:val="22"/>
        </w:rPr>
        <w:t>15</w:t>
      </w:r>
      <w:r w:rsidR="00685A6B" w:rsidRPr="005C0B82">
        <w:rPr>
          <w:rFonts w:ascii="Arial" w:eastAsia="Calibri" w:hAnsi="Arial" w:cs="Arial"/>
          <w:sz w:val="22"/>
        </w:rPr>
        <w:t>de enero de 2022, C-009</w:t>
      </w:r>
      <w:r w:rsidR="005C2C91" w:rsidRPr="005C0B82">
        <w:rPr>
          <w:rFonts w:ascii="Arial" w:eastAsia="Calibri" w:hAnsi="Arial" w:cs="Arial"/>
          <w:sz w:val="22"/>
        </w:rPr>
        <w:t xml:space="preserve"> del</w:t>
      </w:r>
      <w:r w:rsidR="00570C11" w:rsidRPr="005C0B82">
        <w:rPr>
          <w:rFonts w:ascii="Arial" w:eastAsia="Calibri" w:hAnsi="Arial" w:cs="Arial"/>
          <w:sz w:val="22"/>
        </w:rPr>
        <w:t xml:space="preserve"> del 16 de enero de 2022, </w:t>
      </w:r>
      <w:r w:rsidR="004F7F07" w:rsidRPr="005C0B82">
        <w:rPr>
          <w:rFonts w:ascii="Arial" w:eastAsia="Calibri" w:hAnsi="Arial" w:cs="Arial"/>
          <w:sz w:val="22"/>
        </w:rPr>
        <w:t>C-014</w:t>
      </w:r>
      <w:r w:rsidR="00881C2C" w:rsidRPr="005C0B82">
        <w:rPr>
          <w:rFonts w:ascii="Arial" w:eastAsia="Calibri" w:hAnsi="Arial" w:cs="Arial"/>
          <w:sz w:val="22"/>
        </w:rPr>
        <w:t xml:space="preserve"> del 18 de febrero de 2022</w:t>
      </w:r>
      <w:r w:rsidR="001A7CC6" w:rsidRPr="005C0B82">
        <w:rPr>
          <w:rFonts w:ascii="Arial" w:eastAsia="Calibri" w:hAnsi="Arial" w:cs="Arial"/>
          <w:sz w:val="22"/>
        </w:rPr>
        <w:t xml:space="preserve">, </w:t>
      </w:r>
      <w:r w:rsidR="004F7F07" w:rsidRPr="005C0B82">
        <w:rPr>
          <w:rFonts w:ascii="Arial" w:eastAsia="Calibri" w:hAnsi="Arial" w:cs="Arial"/>
          <w:sz w:val="22"/>
        </w:rPr>
        <w:t>C-015</w:t>
      </w:r>
      <w:r w:rsidR="00881C2C" w:rsidRPr="005C0B82">
        <w:rPr>
          <w:rFonts w:ascii="Arial" w:eastAsia="Calibri" w:hAnsi="Arial" w:cs="Arial"/>
          <w:sz w:val="22"/>
        </w:rPr>
        <w:t xml:space="preserve"> del 12 de enero de 2022</w:t>
      </w:r>
      <w:r w:rsidR="001A7CC6" w:rsidRPr="005C0B82">
        <w:rPr>
          <w:rFonts w:ascii="Arial" w:eastAsia="Calibri" w:hAnsi="Arial" w:cs="Arial"/>
          <w:sz w:val="22"/>
        </w:rPr>
        <w:t xml:space="preserve">, </w:t>
      </w:r>
      <w:r w:rsidR="004F7F07" w:rsidRPr="005C0B82">
        <w:rPr>
          <w:rFonts w:ascii="Arial" w:eastAsia="Calibri" w:hAnsi="Arial" w:cs="Arial"/>
          <w:sz w:val="22"/>
        </w:rPr>
        <w:t>C-022</w:t>
      </w:r>
      <w:r w:rsidR="00881C2C" w:rsidRPr="005C0B82">
        <w:rPr>
          <w:rFonts w:ascii="Arial" w:eastAsia="Calibri" w:hAnsi="Arial" w:cs="Arial"/>
          <w:sz w:val="22"/>
        </w:rPr>
        <w:t xml:space="preserve"> del 21 de febrero de 2022</w:t>
      </w:r>
      <w:r w:rsidR="001A7CC6" w:rsidRPr="005C0B82">
        <w:rPr>
          <w:rFonts w:ascii="Arial" w:eastAsia="Calibri" w:hAnsi="Arial" w:cs="Arial"/>
          <w:sz w:val="22"/>
        </w:rPr>
        <w:t xml:space="preserve">, </w:t>
      </w:r>
      <w:r w:rsidR="004F7F07" w:rsidRPr="005C0B82">
        <w:rPr>
          <w:rFonts w:ascii="Arial" w:eastAsia="Calibri" w:hAnsi="Arial" w:cs="Arial"/>
          <w:sz w:val="22"/>
        </w:rPr>
        <w:t xml:space="preserve">C-023 del </w:t>
      </w:r>
      <w:r w:rsidR="00D91EE0" w:rsidRPr="005C0B82">
        <w:rPr>
          <w:rFonts w:ascii="Arial" w:eastAsia="Calibri" w:hAnsi="Arial" w:cs="Arial"/>
          <w:sz w:val="22"/>
        </w:rPr>
        <w:t>2</w:t>
      </w:r>
      <w:r w:rsidR="007A729C" w:rsidRPr="005C0B82">
        <w:rPr>
          <w:rFonts w:ascii="Arial" w:eastAsia="Calibri" w:hAnsi="Arial" w:cs="Arial"/>
          <w:sz w:val="22"/>
        </w:rPr>
        <w:t>2</w:t>
      </w:r>
      <w:r w:rsidR="00D91EE0" w:rsidRPr="005C0B82">
        <w:rPr>
          <w:rFonts w:ascii="Arial" w:eastAsia="Calibri" w:hAnsi="Arial" w:cs="Arial"/>
          <w:sz w:val="22"/>
        </w:rPr>
        <w:t xml:space="preserve"> de febrero de 2022</w:t>
      </w:r>
      <w:r w:rsidR="001A7CC6" w:rsidRPr="005C0B82">
        <w:rPr>
          <w:rFonts w:ascii="Arial" w:eastAsia="Calibri" w:hAnsi="Arial" w:cs="Arial"/>
          <w:sz w:val="22"/>
        </w:rPr>
        <w:t xml:space="preserve">, </w:t>
      </w:r>
      <w:r w:rsidR="006D4430" w:rsidRPr="005C0B82">
        <w:rPr>
          <w:rFonts w:ascii="Arial" w:eastAsia="Calibri" w:hAnsi="Arial" w:cs="Arial"/>
          <w:sz w:val="22"/>
        </w:rPr>
        <w:t>C-008</w:t>
      </w:r>
      <w:r w:rsidR="00D91EE0" w:rsidRPr="005C0B82">
        <w:rPr>
          <w:rFonts w:ascii="Arial" w:eastAsia="Calibri" w:hAnsi="Arial" w:cs="Arial"/>
          <w:sz w:val="22"/>
        </w:rPr>
        <w:t xml:space="preserve"> del </w:t>
      </w:r>
      <w:r w:rsidR="00191998" w:rsidRPr="005C0B82">
        <w:rPr>
          <w:rFonts w:ascii="Arial" w:eastAsia="Calibri" w:hAnsi="Arial" w:cs="Arial"/>
          <w:sz w:val="22"/>
        </w:rPr>
        <w:t>24 de febrero de 2022</w:t>
      </w:r>
      <w:r w:rsidR="001A7CC6" w:rsidRPr="005C0B82">
        <w:rPr>
          <w:rFonts w:ascii="Arial" w:eastAsia="Calibri" w:hAnsi="Arial" w:cs="Arial"/>
          <w:sz w:val="22"/>
        </w:rPr>
        <w:t xml:space="preserve">, </w:t>
      </w:r>
      <w:r w:rsidR="006D4430" w:rsidRPr="005C0B82">
        <w:rPr>
          <w:rFonts w:ascii="Arial" w:eastAsia="Calibri" w:hAnsi="Arial" w:cs="Arial"/>
          <w:sz w:val="22"/>
        </w:rPr>
        <w:t>C-045</w:t>
      </w:r>
      <w:r w:rsidR="00D91EE0" w:rsidRPr="005C0B82">
        <w:rPr>
          <w:rFonts w:ascii="Arial" w:eastAsia="Calibri" w:hAnsi="Arial" w:cs="Arial"/>
          <w:sz w:val="22"/>
        </w:rPr>
        <w:t xml:space="preserve"> del </w:t>
      </w:r>
      <w:r w:rsidR="00191998" w:rsidRPr="005C0B82">
        <w:rPr>
          <w:rFonts w:ascii="Arial" w:eastAsia="Calibri" w:hAnsi="Arial" w:cs="Arial"/>
          <w:sz w:val="22"/>
        </w:rPr>
        <w:t>3 de marzo de 2022</w:t>
      </w:r>
      <w:r w:rsidR="001A7CC6" w:rsidRPr="005C0B82">
        <w:rPr>
          <w:rFonts w:ascii="Arial" w:eastAsia="Calibri" w:hAnsi="Arial" w:cs="Arial"/>
          <w:sz w:val="22"/>
        </w:rPr>
        <w:t xml:space="preserve">, </w:t>
      </w:r>
      <w:r w:rsidR="006D4430" w:rsidRPr="005C0B82">
        <w:rPr>
          <w:rFonts w:ascii="Arial" w:eastAsia="Calibri" w:hAnsi="Arial" w:cs="Arial"/>
          <w:sz w:val="22"/>
        </w:rPr>
        <w:t>C-054</w:t>
      </w:r>
      <w:r w:rsidR="007A729C" w:rsidRPr="005C0B82">
        <w:rPr>
          <w:rFonts w:ascii="Arial" w:eastAsia="Calibri" w:hAnsi="Arial" w:cs="Arial"/>
          <w:sz w:val="22"/>
        </w:rPr>
        <w:t xml:space="preserve"> del </w:t>
      </w:r>
      <w:r w:rsidR="00631D4F" w:rsidRPr="005C0B82">
        <w:rPr>
          <w:rFonts w:ascii="Arial" w:eastAsia="Calibri" w:hAnsi="Arial" w:cs="Arial"/>
          <w:sz w:val="22"/>
        </w:rPr>
        <w:t>7</w:t>
      </w:r>
      <w:r w:rsidR="007A729C" w:rsidRPr="005C0B82">
        <w:rPr>
          <w:rFonts w:ascii="Arial" w:eastAsia="Calibri" w:hAnsi="Arial" w:cs="Arial"/>
          <w:sz w:val="22"/>
        </w:rPr>
        <w:t xml:space="preserve"> de marzo de 2022</w:t>
      </w:r>
      <w:r w:rsidR="001A7CC6" w:rsidRPr="005C0B82">
        <w:rPr>
          <w:rFonts w:ascii="Arial" w:eastAsia="Calibri" w:hAnsi="Arial" w:cs="Arial"/>
          <w:sz w:val="22"/>
        </w:rPr>
        <w:t xml:space="preserve">, </w:t>
      </w:r>
      <w:r w:rsidR="006D4430" w:rsidRPr="005C0B82">
        <w:rPr>
          <w:rFonts w:ascii="Arial" w:eastAsia="Calibri" w:hAnsi="Arial" w:cs="Arial"/>
          <w:sz w:val="22"/>
        </w:rPr>
        <w:t>C-055</w:t>
      </w:r>
      <w:r w:rsidR="007A729C" w:rsidRPr="005C0B82">
        <w:rPr>
          <w:rFonts w:ascii="Arial" w:eastAsia="Calibri" w:hAnsi="Arial" w:cs="Arial"/>
          <w:sz w:val="22"/>
        </w:rPr>
        <w:t xml:space="preserve"> del </w:t>
      </w:r>
      <w:r w:rsidR="00631D4F" w:rsidRPr="005C0B82">
        <w:rPr>
          <w:rFonts w:ascii="Arial" w:eastAsia="Calibri" w:hAnsi="Arial" w:cs="Arial"/>
          <w:sz w:val="22"/>
        </w:rPr>
        <w:t>17 de febrero</w:t>
      </w:r>
      <w:r w:rsidR="007A729C" w:rsidRPr="005C0B82">
        <w:rPr>
          <w:rFonts w:ascii="Arial" w:eastAsia="Calibri" w:hAnsi="Arial" w:cs="Arial"/>
          <w:sz w:val="22"/>
        </w:rPr>
        <w:t xml:space="preserve"> de 2022</w:t>
      </w:r>
      <w:r w:rsidR="001A7CC6" w:rsidRPr="005C0B82">
        <w:rPr>
          <w:rFonts w:ascii="Arial" w:eastAsia="Calibri" w:hAnsi="Arial" w:cs="Arial"/>
          <w:sz w:val="22"/>
        </w:rPr>
        <w:t xml:space="preserve">, </w:t>
      </w:r>
      <w:r w:rsidR="006D4430" w:rsidRPr="005C0B82">
        <w:rPr>
          <w:rFonts w:ascii="Arial" w:eastAsia="Calibri" w:hAnsi="Arial" w:cs="Arial"/>
          <w:sz w:val="22"/>
        </w:rPr>
        <w:t>C-064</w:t>
      </w:r>
      <w:r w:rsidR="007A729C" w:rsidRPr="005C0B82">
        <w:rPr>
          <w:rFonts w:ascii="Arial" w:eastAsia="Calibri" w:hAnsi="Arial" w:cs="Arial"/>
          <w:sz w:val="22"/>
        </w:rPr>
        <w:t xml:space="preserve"> del </w:t>
      </w:r>
      <w:r w:rsidR="003E4FC9" w:rsidRPr="005C0B82">
        <w:rPr>
          <w:rFonts w:ascii="Arial" w:eastAsia="Calibri" w:hAnsi="Arial" w:cs="Arial"/>
          <w:sz w:val="22"/>
        </w:rPr>
        <w:t>8</w:t>
      </w:r>
      <w:r w:rsidR="007A729C" w:rsidRPr="005C0B82">
        <w:rPr>
          <w:rFonts w:ascii="Arial" w:eastAsia="Calibri" w:hAnsi="Arial" w:cs="Arial"/>
          <w:sz w:val="22"/>
        </w:rPr>
        <w:t xml:space="preserve"> de marzo de 2022</w:t>
      </w:r>
      <w:r w:rsidR="001A7CC6" w:rsidRPr="005C0B82">
        <w:rPr>
          <w:rFonts w:ascii="Arial" w:eastAsia="Calibri" w:hAnsi="Arial" w:cs="Arial"/>
          <w:sz w:val="22"/>
        </w:rPr>
        <w:t xml:space="preserve">, </w:t>
      </w:r>
      <w:r w:rsidR="006D4430" w:rsidRPr="005C0B82">
        <w:rPr>
          <w:rFonts w:ascii="Arial" w:eastAsia="Calibri" w:hAnsi="Arial" w:cs="Arial"/>
          <w:sz w:val="22"/>
        </w:rPr>
        <w:t>C-072</w:t>
      </w:r>
      <w:r w:rsidR="007A729C" w:rsidRPr="005C0B82">
        <w:rPr>
          <w:rFonts w:ascii="Arial" w:eastAsia="Calibri" w:hAnsi="Arial" w:cs="Arial"/>
          <w:sz w:val="22"/>
        </w:rPr>
        <w:t xml:space="preserve"> del </w:t>
      </w:r>
      <w:r w:rsidR="003E4FC9" w:rsidRPr="005C0B82">
        <w:rPr>
          <w:rFonts w:ascii="Arial" w:eastAsia="Calibri" w:hAnsi="Arial" w:cs="Arial"/>
          <w:sz w:val="22"/>
        </w:rPr>
        <w:t xml:space="preserve">11 </w:t>
      </w:r>
      <w:r w:rsidR="007A729C" w:rsidRPr="005C0B82">
        <w:rPr>
          <w:rFonts w:ascii="Arial" w:eastAsia="Calibri" w:hAnsi="Arial" w:cs="Arial"/>
          <w:sz w:val="22"/>
        </w:rPr>
        <w:t>de marzo de 2022</w:t>
      </w:r>
      <w:r w:rsidR="001A7CC6" w:rsidRPr="005C0B82">
        <w:rPr>
          <w:rFonts w:ascii="Arial" w:eastAsia="Calibri" w:hAnsi="Arial" w:cs="Arial"/>
          <w:sz w:val="22"/>
        </w:rPr>
        <w:t xml:space="preserve">, </w:t>
      </w:r>
      <w:r w:rsidR="006D4430" w:rsidRPr="005C0B82">
        <w:rPr>
          <w:rFonts w:ascii="Arial" w:eastAsia="Calibri" w:hAnsi="Arial" w:cs="Arial"/>
          <w:sz w:val="22"/>
        </w:rPr>
        <w:t>C-109</w:t>
      </w:r>
      <w:r w:rsidR="007A729C" w:rsidRPr="005C0B82">
        <w:rPr>
          <w:rFonts w:ascii="Arial" w:eastAsia="Calibri" w:hAnsi="Arial" w:cs="Arial"/>
          <w:sz w:val="22"/>
        </w:rPr>
        <w:t xml:space="preserve"> del </w:t>
      </w:r>
      <w:r w:rsidR="00E26AC8" w:rsidRPr="005C0B82">
        <w:rPr>
          <w:rFonts w:ascii="Arial" w:eastAsia="Calibri" w:hAnsi="Arial" w:cs="Arial"/>
          <w:sz w:val="22"/>
        </w:rPr>
        <w:t>14</w:t>
      </w:r>
      <w:r w:rsidR="007A729C" w:rsidRPr="005C0B82">
        <w:rPr>
          <w:rFonts w:ascii="Arial" w:eastAsia="Calibri" w:hAnsi="Arial" w:cs="Arial"/>
          <w:sz w:val="22"/>
        </w:rPr>
        <w:t xml:space="preserve"> de marzo de 2022</w:t>
      </w:r>
      <w:r w:rsidR="001A7CC6" w:rsidRPr="005C0B82">
        <w:rPr>
          <w:rFonts w:ascii="Arial" w:eastAsia="Calibri" w:hAnsi="Arial" w:cs="Arial"/>
          <w:sz w:val="22"/>
        </w:rPr>
        <w:t xml:space="preserve">, </w:t>
      </w:r>
      <w:r w:rsidR="000A7D44" w:rsidRPr="005C0B82">
        <w:rPr>
          <w:rFonts w:ascii="Arial" w:eastAsia="Calibri" w:hAnsi="Arial" w:cs="Arial"/>
          <w:sz w:val="22"/>
        </w:rPr>
        <w:t>C-073</w:t>
      </w:r>
      <w:r w:rsidR="007A729C" w:rsidRPr="005C0B82">
        <w:rPr>
          <w:rFonts w:ascii="Arial" w:eastAsia="Calibri" w:hAnsi="Arial" w:cs="Arial"/>
          <w:sz w:val="22"/>
        </w:rPr>
        <w:t xml:space="preserve"> del </w:t>
      </w:r>
      <w:r w:rsidR="00E26AC8" w:rsidRPr="005C0B82">
        <w:rPr>
          <w:rFonts w:ascii="Arial" w:eastAsia="Calibri" w:hAnsi="Arial" w:cs="Arial"/>
          <w:sz w:val="22"/>
        </w:rPr>
        <w:t>14</w:t>
      </w:r>
      <w:r w:rsidR="007A729C" w:rsidRPr="005C0B82">
        <w:rPr>
          <w:rFonts w:ascii="Arial" w:eastAsia="Calibri" w:hAnsi="Arial" w:cs="Arial"/>
          <w:sz w:val="22"/>
        </w:rPr>
        <w:t xml:space="preserve"> de </w:t>
      </w:r>
      <w:r w:rsidR="007A729C" w:rsidRPr="005C0B82">
        <w:rPr>
          <w:rFonts w:ascii="Arial" w:eastAsia="Calibri" w:hAnsi="Arial" w:cs="Arial"/>
          <w:sz w:val="22"/>
        </w:rPr>
        <w:lastRenderedPageBreak/>
        <w:t>marzo de 2022</w:t>
      </w:r>
      <w:r w:rsidR="001A7CC6" w:rsidRPr="005C0B82">
        <w:rPr>
          <w:rFonts w:ascii="Arial" w:eastAsia="Calibri" w:hAnsi="Arial" w:cs="Arial"/>
          <w:sz w:val="22"/>
        </w:rPr>
        <w:t xml:space="preserve">, </w:t>
      </w:r>
      <w:r w:rsidR="000A7D44" w:rsidRPr="005C0B82">
        <w:rPr>
          <w:rFonts w:ascii="Arial" w:eastAsia="Calibri" w:hAnsi="Arial" w:cs="Arial"/>
          <w:sz w:val="22"/>
        </w:rPr>
        <w:t>C-075</w:t>
      </w:r>
      <w:r w:rsidR="007A729C" w:rsidRPr="005C0B82">
        <w:rPr>
          <w:rFonts w:ascii="Arial" w:eastAsia="Calibri" w:hAnsi="Arial" w:cs="Arial"/>
          <w:sz w:val="22"/>
        </w:rPr>
        <w:t xml:space="preserve"> del </w:t>
      </w:r>
      <w:r w:rsidR="00E26AC8" w:rsidRPr="005C0B82">
        <w:rPr>
          <w:rFonts w:ascii="Arial" w:eastAsia="Calibri" w:hAnsi="Arial" w:cs="Arial"/>
          <w:sz w:val="22"/>
        </w:rPr>
        <w:t>10</w:t>
      </w:r>
      <w:r w:rsidR="007A729C" w:rsidRPr="005C0B82">
        <w:rPr>
          <w:rFonts w:ascii="Arial" w:eastAsia="Calibri" w:hAnsi="Arial" w:cs="Arial"/>
          <w:sz w:val="22"/>
        </w:rPr>
        <w:t xml:space="preserve"> de marzo de 2022</w:t>
      </w:r>
      <w:r w:rsidR="001A7CC6" w:rsidRPr="005C0B82">
        <w:rPr>
          <w:rFonts w:ascii="Arial" w:eastAsia="Calibri" w:hAnsi="Arial" w:cs="Arial"/>
          <w:sz w:val="22"/>
        </w:rPr>
        <w:t xml:space="preserve">, </w:t>
      </w:r>
      <w:r w:rsidR="000A7D44" w:rsidRPr="005C0B82">
        <w:rPr>
          <w:rFonts w:ascii="Arial" w:eastAsia="Calibri" w:hAnsi="Arial" w:cs="Arial"/>
          <w:sz w:val="22"/>
        </w:rPr>
        <w:t>C-076</w:t>
      </w:r>
      <w:r w:rsidR="007A729C" w:rsidRPr="005C0B82">
        <w:rPr>
          <w:rFonts w:ascii="Arial" w:eastAsia="Calibri" w:hAnsi="Arial" w:cs="Arial"/>
          <w:sz w:val="22"/>
        </w:rPr>
        <w:t xml:space="preserve"> del </w:t>
      </w:r>
      <w:r w:rsidR="00E26AC8" w:rsidRPr="005C0B82">
        <w:rPr>
          <w:rFonts w:ascii="Arial" w:eastAsia="Calibri" w:hAnsi="Arial" w:cs="Arial"/>
          <w:sz w:val="22"/>
        </w:rPr>
        <w:t>15</w:t>
      </w:r>
      <w:r w:rsidR="007A729C" w:rsidRPr="005C0B82">
        <w:rPr>
          <w:rFonts w:ascii="Arial" w:eastAsia="Calibri" w:hAnsi="Arial" w:cs="Arial"/>
          <w:sz w:val="22"/>
        </w:rPr>
        <w:t xml:space="preserve"> de marzo de 2022</w:t>
      </w:r>
      <w:r w:rsidR="001A7CC6" w:rsidRPr="005C0B82">
        <w:rPr>
          <w:rFonts w:ascii="Arial" w:eastAsia="Calibri" w:hAnsi="Arial" w:cs="Arial"/>
          <w:sz w:val="22"/>
        </w:rPr>
        <w:t xml:space="preserve">, </w:t>
      </w:r>
      <w:r w:rsidR="000A7D44" w:rsidRPr="005C0B82">
        <w:rPr>
          <w:rFonts w:ascii="Arial" w:eastAsia="Calibri" w:hAnsi="Arial" w:cs="Arial"/>
          <w:sz w:val="22"/>
        </w:rPr>
        <w:t>C-077</w:t>
      </w:r>
      <w:r w:rsidR="007A729C" w:rsidRPr="005C0B82">
        <w:rPr>
          <w:rFonts w:ascii="Arial" w:eastAsia="Calibri" w:hAnsi="Arial" w:cs="Arial"/>
          <w:sz w:val="22"/>
        </w:rPr>
        <w:t xml:space="preserve"> del </w:t>
      </w:r>
      <w:r w:rsidR="00E26AC8" w:rsidRPr="005C0B82">
        <w:rPr>
          <w:rFonts w:ascii="Arial" w:eastAsia="Calibri" w:hAnsi="Arial" w:cs="Arial"/>
          <w:sz w:val="22"/>
        </w:rPr>
        <w:t>17</w:t>
      </w:r>
      <w:r w:rsidR="007A729C" w:rsidRPr="005C0B82">
        <w:rPr>
          <w:rFonts w:ascii="Arial" w:eastAsia="Calibri" w:hAnsi="Arial" w:cs="Arial"/>
          <w:sz w:val="22"/>
        </w:rPr>
        <w:t xml:space="preserve"> de marzo de 2022</w:t>
      </w:r>
      <w:r w:rsidR="001A7CC6" w:rsidRPr="005C0B82">
        <w:rPr>
          <w:rFonts w:ascii="Arial" w:eastAsia="Calibri" w:hAnsi="Arial" w:cs="Arial"/>
          <w:sz w:val="22"/>
        </w:rPr>
        <w:t xml:space="preserve">, </w:t>
      </w:r>
      <w:r w:rsidR="000A7D44" w:rsidRPr="005C0B82">
        <w:rPr>
          <w:rFonts w:ascii="Arial" w:eastAsia="Calibri" w:hAnsi="Arial" w:cs="Arial"/>
          <w:sz w:val="22"/>
        </w:rPr>
        <w:t>C-092</w:t>
      </w:r>
      <w:r w:rsidR="007A729C" w:rsidRPr="005C0B82">
        <w:rPr>
          <w:rFonts w:ascii="Arial" w:eastAsia="Calibri" w:hAnsi="Arial" w:cs="Arial"/>
          <w:sz w:val="22"/>
        </w:rPr>
        <w:t xml:space="preserve"> del </w:t>
      </w:r>
      <w:r w:rsidR="00E26AC8" w:rsidRPr="005C0B82">
        <w:rPr>
          <w:rFonts w:ascii="Arial" w:eastAsia="Calibri" w:hAnsi="Arial" w:cs="Arial"/>
          <w:sz w:val="22"/>
        </w:rPr>
        <w:t>16</w:t>
      </w:r>
      <w:r w:rsidR="007A729C" w:rsidRPr="005C0B82">
        <w:rPr>
          <w:rFonts w:ascii="Arial" w:eastAsia="Calibri" w:hAnsi="Arial" w:cs="Arial"/>
          <w:sz w:val="22"/>
        </w:rPr>
        <w:t xml:space="preserve"> de marzo de 2022</w:t>
      </w:r>
      <w:r w:rsidR="001A7CC6" w:rsidRPr="005C0B82">
        <w:rPr>
          <w:rFonts w:ascii="Arial" w:eastAsia="Calibri" w:hAnsi="Arial" w:cs="Arial"/>
          <w:sz w:val="22"/>
        </w:rPr>
        <w:t xml:space="preserve">, </w:t>
      </w:r>
      <w:r w:rsidR="000A7D44" w:rsidRPr="005C0B82">
        <w:rPr>
          <w:rFonts w:ascii="Arial" w:eastAsia="Calibri" w:hAnsi="Arial" w:cs="Arial"/>
          <w:sz w:val="22"/>
        </w:rPr>
        <w:t>C-096</w:t>
      </w:r>
      <w:r w:rsidR="007A729C" w:rsidRPr="005C0B82">
        <w:rPr>
          <w:rFonts w:ascii="Arial" w:eastAsia="Calibri" w:hAnsi="Arial" w:cs="Arial"/>
          <w:sz w:val="22"/>
        </w:rPr>
        <w:t xml:space="preserve"> del </w:t>
      </w:r>
      <w:r w:rsidR="00E26AC8" w:rsidRPr="005C0B82">
        <w:rPr>
          <w:rFonts w:ascii="Arial" w:eastAsia="Calibri" w:hAnsi="Arial" w:cs="Arial"/>
          <w:sz w:val="22"/>
        </w:rPr>
        <w:t>16</w:t>
      </w:r>
      <w:r w:rsidR="007A729C" w:rsidRPr="005C0B82">
        <w:rPr>
          <w:rFonts w:ascii="Arial" w:eastAsia="Calibri" w:hAnsi="Arial" w:cs="Arial"/>
          <w:sz w:val="22"/>
        </w:rPr>
        <w:t xml:space="preserve"> de marzo de 2022</w:t>
      </w:r>
      <w:r w:rsidR="001A7CC6" w:rsidRPr="005C0B82">
        <w:rPr>
          <w:rFonts w:ascii="Arial" w:eastAsia="Calibri" w:hAnsi="Arial" w:cs="Arial"/>
          <w:sz w:val="22"/>
        </w:rPr>
        <w:t xml:space="preserve">, </w:t>
      </w:r>
      <w:r w:rsidR="000A7D44" w:rsidRPr="005C0B82">
        <w:rPr>
          <w:rFonts w:ascii="Arial" w:eastAsia="Calibri" w:hAnsi="Arial" w:cs="Arial"/>
          <w:sz w:val="22"/>
        </w:rPr>
        <w:t>C-097</w:t>
      </w:r>
      <w:r w:rsidR="007A729C" w:rsidRPr="005C0B82">
        <w:rPr>
          <w:rFonts w:ascii="Arial" w:eastAsia="Calibri" w:hAnsi="Arial" w:cs="Arial"/>
          <w:sz w:val="22"/>
        </w:rPr>
        <w:t xml:space="preserve"> del</w:t>
      </w:r>
      <w:r w:rsidR="00E26AC8" w:rsidRPr="005C0B82">
        <w:rPr>
          <w:rFonts w:ascii="Arial" w:eastAsia="Calibri" w:hAnsi="Arial" w:cs="Arial"/>
          <w:sz w:val="22"/>
        </w:rPr>
        <w:t xml:space="preserve"> 22</w:t>
      </w:r>
      <w:r w:rsidR="007A729C" w:rsidRPr="005C0B82">
        <w:rPr>
          <w:rFonts w:ascii="Arial" w:eastAsia="Calibri" w:hAnsi="Arial" w:cs="Arial"/>
          <w:sz w:val="22"/>
        </w:rPr>
        <w:t xml:space="preserve"> de marzo de 2022</w:t>
      </w:r>
      <w:r w:rsidR="001A7CC6" w:rsidRPr="005C0B82">
        <w:rPr>
          <w:rFonts w:ascii="Arial" w:eastAsia="Calibri" w:hAnsi="Arial" w:cs="Arial"/>
          <w:sz w:val="22"/>
        </w:rPr>
        <w:t xml:space="preserve">, </w:t>
      </w:r>
      <w:r w:rsidR="000A7D44" w:rsidRPr="005C0B82">
        <w:rPr>
          <w:rFonts w:ascii="Arial" w:eastAsia="Calibri" w:hAnsi="Arial" w:cs="Arial"/>
          <w:sz w:val="22"/>
        </w:rPr>
        <w:t>C</w:t>
      </w:r>
      <w:r w:rsidR="007A729C" w:rsidRPr="005C0B82">
        <w:rPr>
          <w:rFonts w:ascii="Arial" w:eastAsia="Calibri" w:hAnsi="Arial" w:cs="Arial"/>
          <w:sz w:val="22"/>
        </w:rPr>
        <w:t>-</w:t>
      </w:r>
      <w:r w:rsidR="009050CE" w:rsidRPr="005C0B82">
        <w:rPr>
          <w:rFonts w:ascii="Arial" w:eastAsia="Calibri" w:hAnsi="Arial" w:cs="Arial"/>
          <w:sz w:val="22"/>
        </w:rPr>
        <w:t>098</w:t>
      </w:r>
      <w:r w:rsidR="007A729C" w:rsidRPr="005C0B82">
        <w:rPr>
          <w:rFonts w:ascii="Arial" w:eastAsia="Calibri" w:hAnsi="Arial" w:cs="Arial"/>
          <w:sz w:val="22"/>
        </w:rPr>
        <w:t xml:space="preserve"> del </w:t>
      </w:r>
      <w:r w:rsidR="00E26AC8" w:rsidRPr="005C0B82">
        <w:rPr>
          <w:rFonts w:ascii="Arial" w:eastAsia="Calibri" w:hAnsi="Arial" w:cs="Arial"/>
          <w:sz w:val="22"/>
        </w:rPr>
        <w:t>18</w:t>
      </w:r>
      <w:r w:rsidR="007A729C" w:rsidRPr="005C0B82">
        <w:rPr>
          <w:rFonts w:ascii="Arial" w:eastAsia="Calibri" w:hAnsi="Arial" w:cs="Arial"/>
          <w:sz w:val="22"/>
        </w:rPr>
        <w:t xml:space="preserve"> de </w:t>
      </w:r>
      <w:r w:rsidR="00035663" w:rsidRPr="005C0B82">
        <w:rPr>
          <w:rFonts w:ascii="Arial" w:eastAsia="Calibri" w:hAnsi="Arial" w:cs="Arial"/>
          <w:sz w:val="22"/>
        </w:rPr>
        <w:t xml:space="preserve">febrero </w:t>
      </w:r>
      <w:r w:rsidR="007A729C" w:rsidRPr="005C0B82">
        <w:rPr>
          <w:rFonts w:ascii="Arial" w:eastAsia="Calibri" w:hAnsi="Arial" w:cs="Arial"/>
          <w:sz w:val="22"/>
        </w:rPr>
        <w:t>de 2022</w:t>
      </w:r>
      <w:r w:rsidR="001A7CC6" w:rsidRPr="005C0B82">
        <w:rPr>
          <w:rFonts w:ascii="Arial" w:eastAsia="Calibri" w:hAnsi="Arial" w:cs="Arial"/>
          <w:sz w:val="22"/>
        </w:rPr>
        <w:t xml:space="preserve">, </w:t>
      </w:r>
      <w:r w:rsidR="009050CE" w:rsidRPr="005C0B82">
        <w:rPr>
          <w:rFonts w:ascii="Arial" w:eastAsia="Calibri" w:hAnsi="Arial" w:cs="Arial"/>
          <w:sz w:val="22"/>
        </w:rPr>
        <w:t>C-099</w:t>
      </w:r>
      <w:r w:rsidR="007A729C" w:rsidRPr="005C0B82">
        <w:rPr>
          <w:rFonts w:ascii="Arial" w:eastAsia="Calibri" w:hAnsi="Arial" w:cs="Arial"/>
          <w:sz w:val="22"/>
        </w:rPr>
        <w:t xml:space="preserve"> del </w:t>
      </w:r>
      <w:r w:rsidR="00035663" w:rsidRPr="005C0B82">
        <w:rPr>
          <w:rFonts w:ascii="Arial" w:eastAsia="Calibri" w:hAnsi="Arial" w:cs="Arial"/>
          <w:sz w:val="22"/>
        </w:rPr>
        <w:t>22</w:t>
      </w:r>
      <w:r w:rsidR="007A729C" w:rsidRPr="005C0B82">
        <w:rPr>
          <w:rFonts w:ascii="Arial" w:eastAsia="Calibri" w:hAnsi="Arial" w:cs="Arial"/>
          <w:sz w:val="22"/>
        </w:rPr>
        <w:t xml:space="preserve"> de marzo de 2022</w:t>
      </w:r>
      <w:r w:rsidR="001A7CC6" w:rsidRPr="005C0B82">
        <w:rPr>
          <w:rFonts w:ascii="Arial" w:eastAsia="Calibri" w:hAnsi="Arial" w:cs="Arial"/>
          <w:sz w:val="22"/>
        </w:rPr>
        <w:t xml:space="preserve">, </w:t>
      </w:r>
      <w:r w:rsidR="009050CE" w:rsidRPr="005C0B82">
        <w:rPr>
          <w:rFonts w:ascii="Arial" w:eastAsia="Calibri" w:hAnsi="Arial" w:cs="Arial"/>
          <w:sz w:val="22"/>
        </w:rPr>
        <w:t>C-100</w:t>
      </w:r>
      <w:r w:rsidR="007A729C" w:rsidRPr="005C0B82">
        <w:rPr>
          <w:rFonts w:ascii="Arial" w:eastAsia="Calibri" w:hAnsi="Arial" w:cs="Arial"/>
          <w:sz w:val="22"/>
        </w:rPr>
        <w:t xml:space="preserve"> del </w:t>
      </w:r>
      <w:r w:rsidR="00035663" w:rsidRPr="005C0B82">
        <w:rPr>
          <w:rFonts w:ascii="Arial" w:eastAsia="Calibri" w:hAnsi="Arial" w:cs="Arial"/>
          <w:sz w:val="22"/>
        </w:rPr>
        <w:t>29</w:t>
      </w:r>
      <w:r w:rsidR="007A729C" w:rsidRPr="005C0B82">
        <w:rPr>
          <w:rFonts w:ascii="Arial" w:eastAsia="Calibri" w:hAnsi="Arial" w:cs="Arial"/>
          <w:sz w:val="22"/>
        </w:rPr>
        <w:t xml:space="preserve"> de marzo de 2022</w:t>
      </w:r>
      <w:r w:rsidR="001A7CC6" w:rsidRPr="005C0B82">
        <w:rPr>
          <w:rFonts w:ascii="Arial" w:eastAsia="Calibri" w:hAnsi="Arial" w:cs="Arial"/>
          <w:sz w:val="22"/>
          <w:szCs w:val="22"/>
        </w:rPr>
        <w:t xml:space="preserve">, </w:t>
      </w:r>
      <w:r w:rsidR="003B381D" w:rsidRPr="005C0B82">
        <w:rPr>
          <w:rFonts w:ascii="Arial" w:eastAsia="Calibri" w:hAnsi="Arial" w:cs="Arial"/>
          <w:bCs/>
          <w:sz w:val="22"/>
          <w:szCs w:val="22"/>
        </w:rPr>
        <w:t>C-127 del 22 de marzo de 2022 y C-164 del 22 de marzo de 2022.</w:t>
      </w:r>
    </w:p>
    <w:p w14:paraId="5900FF2E" w14:textId="77777777" w:rsidR="0033652B" w:rsidRPr="005C0B82" w:rsidRDefault="0033652B" w:rsidP="0033652B">
      <w:pPr>
        <w:spacing w:line="276" w:lineRule="auto"/>
        <w:contextualSpacing/>
        <w:jc w:val="both"/>
        <w:rPr>
          <w:rFonts w:ascii="Arial" w:eastAsia="Calibri" w:hAnsi="Arial" w:cs="Arial"/>
          <w:sz w:val="22"/>
        </w:rPr>
      </w:pPr>
    </w:p>
    <w:p w14:paraId="164A79FB" w14:textId="77777777" w:rsidR="0033652B" w:rsidRPr="005C0B82" w:rsidRDefault="0033652B" w:rsidP="0033652B">
      <w:pPr>
        <w:tabs>
          <w:tab w:val="left" w:pos="426"/>
        </w:tabs>
        <w:contextualSpacing/>
        <w:jc w:val="both"/>
        <w:rPr>
          <w:rFonts w:ascii="Arial" w:eastAsia="Calibri" w:hAnsi="Arial" w:cs="Arial"/>
          <w:b/>
          <w:bCs/>
          <w:sz w:val="22"/>
        </w:rPr>
      </w:pPr>
      <w:r w:rsidRPr="005C0B82">
        <w:rPr>
          <w:rFonts w:ascii="Arial" w:eastAsia="Calibri" w:hAnsi="Arial" w:cs="Arial"/>
          <w:b/>
          <w:bCs/>
          <w:sz w:val="22"/>
        </w:rPr>
        <w:t>2.1. Definición y finalidad de la Ley de Garantías Electorales: alcance de las restricciones</w:t>
      </w:r>
    </w:p>
    <w:p w14:paraId="423645BC" w14:textId="77777777" w:rsidR="0033652B" w:rsidRPr="005C0B82" w:rsidRDefault="0033652B" w:rsidP="0033652B">
      <w:pPr>
        <w:tabs>
          <w:tab w:val="left" w:pos="426"/>
        </w:tabs>
        <w:ind w:firstLine="709"/>
        <w:contextualSpacing/>
        <w:rPr>
          <w:rFonts w:ascii="Arial" w:eastAsia="Calibri" w:hAnsi="Arial" w:cs="Arial"/>
          <w:bCs/>
          <w:sz w:val="22"/>
        </w:rPr>
      </w:pPr>
    </w:p>
    <w:p w14:paraId="7FA1FFBE" w14:textId="77777777" w:rsidR="00A26168" w:rsidRPr="005C0B82" w:rsidRDefault="00A26168" w:rsidP="00A26168">
      <w:pPr>
        <w:tabs>
          <w:tab w:val="left" w:pos="426"/>
        </w:tabs>
        <w:spacing w:after="120" w:line="276" w:lineRule="auto"/>
        <w:jc w:val="both"/>
        <w:rPr>
          <w:rFonts w:ascii="Arial" w:hAnsi="Arial" w:cs="Arial"/>
          <w:bCs/>
          <w:sz w:val="22"/>
          <w:szCs w:val="22"/>
          <w:lang w:eastAsia="es-CO"/>
        </w:rPr>
      </w:pPr>
      <w:bookmarkStart w:id="11" w:name="_Hlk100654825"/>
      <w:r w:rsidRPr="005C0B82">
        <w:rPr>
          <w:rFonts w:ascii="Arial" w:eastAsia="Calibri" w:hAnsi="Arial" w:cs="Arial"/>
          <w:bCs/>
          <w:sz w:val="22"/>
          <w:szCs w:val="22"/>
        </w:rPr>
        <w:t>El ordenamiento jurídico colombiano contempla previsiones claras para evitar la obtención de beneficios personales en asuntos propios de la administración pública</w:t>
      </w:r>
      <w:r w:rsidRPr="005C0B82">
        <w:rPr>
          <w:rFonts w:ascii="Arial" w:eastAsia="Calibri" w:hAnsi="Arial" w:cs="Arial"/>
          <w:bCs/>
          <w:i/>
          <w:iCs/>
          <w:sz w:val="22"/>
          <w:szCs w:val="22"/>
        </w:rPr>
        <w:t xml:space="preserve">. </w:t>
      </w:r>
      <w:r w:rsidRPr="005C0B82">
        <w:rPr>
          <w:rFonts w:ascii="Arial" w:eastAsia="Calibri" w:hAnsi="Arial" w:cs="Arial"/>
          <w:bCs/>
          <w:sz w:val="22"/>
          <w:szCs w:val="22"/>
        </w:rPr>
        <w:t>Por ejemplo, el artículo 127 de la Constitución Política establece una prohibición contractual a los servidores públicos y en cuanto a aspectos políticos consagra restricciones a ciertos empleados del Estado, incluso en época no electoral</w:t>
      </w:r>
      <w:r w:rsidRPr="005C0B82">
        <w:rPr>
          <w:rFonts w:ascii="Arial" w:eastAsia="Calibri" w:hAnsi="Arial" w:cs="Arial"/>
          <w:bCs/>
          <w:sz w:val="22"/>
          <w:szCs w:val="22"/>
          <w:vertAlign w:val="superscript"/>
        </w:rPr>
        <w:footnoteReference w:id="1"/>
      </w:r>
      <w:r w:rsidRPr="005C0B82">
        <w:rPr>
          <w:rFonts w:ascii="Arial" w:eastAsia="Calibri" w:hAnsi="Arial" w:cs="Arial"/>
          <w:bCs/>
          <w:sz w:val="22"/>
          <w:szCs w:val="22"/>
        </w:rPr>
        <w:t xml:space="preserve">. </w:t>
      </w:r>
    </w:p>
    <w:p w14:paraId="04DD212D" w14:textId="77777777" w:rsidR="00A26168" w:rsidRPr="005C0B82" w:rsidRDefault="00A26168" w:rsidP="00A26168">
      <w:pPr>
        <w:tabs>
          <w:tab w:val="left" w:pos="426"/>
        </w:tabs>
        <w:spacing w:line="276" w:lineRule="auto"/>
        <w:ind w:firstLine="709"/>
        <w:jc w:val="both"/>
        <w:rPr>
          <w:rFonts w:ascii="Arial" w:hAnsi="Arial" w:cs="Arial"/>
          <w:bCs/>
          <w:sz w:val="22"/>
          <w:szCs w:val="22"/>
          <w:lang w:val="es-MX" w:eastAsia="es-CO"/>
        </w:rPr>
      </w:pPr>
      <w:r w:rsidRPr="005C0B82">
        <w:rPr>
          <w:rFonts w:ascii="Arial" w:hAnsi="Arial" w:cs="Arial"/>
          <w:bCs/>
          <w:sz w:val="22"/>
          <w:szCs w:val="22"/>
          <w:lang w:eastAsia="es-CO"/>
        </w:rPr>
        <w:t>En el mismo sentido</w:t>
      </w:r>
      <w:r w:rsidRPr="005C0B82">
        <w:rPr>
          <w:rFonts w:ascii="Arial" w:hAnsi="Arial" w:cs="Arial"/>
          <w:bCs/>
          <w:sz w:val="22"/>
          <w:szCs w:val="22"/>
          <w:lang w:val="es-MX" w:eastAsia="es-CO"/>
        </w:rPr>
        <w:t xml:space="preserve">, </w:t>
      </w:r>
      <w:bookmarkStart w:id="12" w:name="_Hlk99576829"/>
      <w:r w:rsidRPr="005C0B82">
        <w:rPr>
          <w:rFonts w:ascii="Arial" w:hAnsi="Arial" w:cs="Arial"/>
          <w:bCs/>
          <w:sz w:val="22"/>
          <w:szCs w:val="22"/>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bookmarkEnd w:id="11"/>
      <w:r w:rsidRPr="005C0B82">
        <w:rPr>
          <w:rFonts w:ascii="Arial" w:hAnsi="Arial" w:cs="Arial"/>
          <w:bCs/>
          <w:sz w:val="22"/>
          <w:szCs w:val="22"/>
          <w:vertAlign w:val="superscript"/>
          <w:lang w:val="es-MX" w:eastAsia="es-CO"/>
        </w:rPr>
        <w:footnoteReference w:id="2"/>
      </w:r>
      <w:r w:rsidRPr="005C0B82">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5C0B82">
        <w:rPr>
          <w:rFonts w:ascii="Arial" w:eastAsia="Calibri" w:hAnsi="Arial" w:cs="Arial"/>
          <w:noProof/>
          <w:sz w:val="22"/>
          <w:szCs w:val="22"/>
          <w:lang w:val="es-ES_tradnl"/>
        </w:rPr>
        <w:t xml:space="preserve"> </w:t>
      </w:r>
      <w:bookmarkEnd w:id="12"/>
      <w:r w:rsidRPr="005C0B82">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324E6648" w14:textId="77777777" w:rsidR="00A26168" w:rsidRPr="005C0B82" w:rsidRDefault="00A26168" w:rsidP="00A26168">
      <w:pPr>
        <w:spacing w:line="276" w:lineRule="auto"/>
        <w:ind w:right="709"/>
        <w:contextualSpacing/>
        <w:jc w:val="both"/>
        <w:rPr>
          <w:rFonts w:ascii="Arial" w:hAnsi="Arial" w:cs="Arial"/>
          <w:sz w:val="22"/>
          <w:szCs w:val="22"/>
          <w:lang w:val="es-ES" w:eastAsia="es-CO"/>
        </w:rPr>
      </w:pPr>
    </w:p>
    <w:p w14:paraId="704D3001" w14:textId="3E3DB404" w:rsidR="00A26168" w:rsidRPr="005C0B82" w:rsidRDefault="00A26168" w:rsidP="00A26168">
      <w:pPr>
        <w:ind w:left="709" w:right="709"/>
        <w:contextualSpacing/>
        <w:jc w:val="both"/>
        <w:rPr>
          <w:rFonts w:ascii="Arial" w:hAnsi="Arial" w:cs="Arial"/>
          <w:bCs/>
          <w:sz w:val="21"/>
          <w:szCs w:val="21"/>
          <w:lang w:val="es-MX" w:eastAsia="es-CO"/>
        </w:rPr>
      </w:pPr>
      <w:r w:rsidRPr="005C0B82">
        <w:rPr>
          <w:rFonts w:ascii="Arial" w:hAnsi="Arial" w:cs="Arial"/>
          <w:sz w:val="21"/>
          <w:szCs w:val="21"/>
          <w:lang w:val="es-ES" w:eastAsia="es-CO"/>
        </w:rPr>
        <w:t xml:space="preserve">[…] </w:t>
      </w:r>
      <w:r w:rsidRPr="005C0B82">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5C37869B" w14:textId="77777777" w:rsidR="00A26168" w:rsidRPr="005C0B82" w:rsidRDefault="00A26168" w:rsidP="00A26168">
      <w:pPr>
        <w:ind w:left="709" w:right="709"/>
        <w:contextualSpacing/>
        <w:jc w:val="both"/>
        <w:rPr>
          <w:rFonts w:ascii="Arial" w:hAnsi="Arial" w:cs="Arial"/>
          <w:bCs/>
          <w:sz w:val="21"/>
          <w:szCs w:val="21"/>
          <w:lang w:val="es-MX" w:eastAsia="es-CO"/>
        </w:rPr>
      </w:pPr>
      <w:r w:rsidRPr="005C0B82">
        <w:rPr>
          <w:rFonts w:ascii="Arial" w:hAnsi="Arial" w:cs="Arial"/>
          <w:bCs/>
          <w:sz w:val="21"/>
          <w:szCs w:val="21"/>
          <w:lang w:val="es-MX" w:eastAsia="es-CO"/>
        </w:rPr>
        <w:t xml:space="preserve">[…] </w:t>
      </w:r>
    </w:p>
    <w:p w14:paraId="5933C60B" w14:textId="77777777" w:rsidR="00A26168" w:rsidRPr="005C0B82" w:rsidRDefault="00A26168" w:rsidP="0033450D">
      <w:pPr>
        <w:ind w:right="709"/>
        <w:contextualSpacing/>
        <w:jc w:val="both"/>
        <w:rPr>
          <w:rFonts w:ascii="Arial" w:hAnsi="Arial" w:cs="Arial"/>
          <w:bCs/>
          <w:sz w:val="21"/>
          <w:szCs w:val="21"/>
          <w:lang w:val="es-MX" w:eastAsia="es-CO"/>
        </w:rPr>
      </w:pPr>
    </w:p>
    <w:p w14:paraId="324176C1" w14:textId="77777777" w:rsidR="00A26168" w:rsidRPr="005C0B82" w:rsidRDefault="00A26168" w:rsidP="00A26168">
      <w:pPr>
        <w:ind w:left="709" w:right="709"/>
        <w:contextualSpacing/>
        <w:jc w:val="both"/>
        <w:rPr>
          <w:rFonts w:ascii="Arial" w:hAnsi="Arial" w:cs="Arial"/>
          <w:bCs/>
          <w:sz w:val="21"/>
          <w:szCs w:val="21"/>
          <w:lang w:val="es-MX" w:eastAsia="es-CO"/>
        </w:rPr>
      </w:pPr>
      <w:r w:rsidRPr="005C0B82">
        <w:rPr>
          <w:rFonts w:ascii="Arial"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w:t>
      </w:r>
      <w:r w:rsidRPr="005C0B82">
        <w:rPr>
          <w:rFonts w:ascii="Arial" w:hAnsi="Arial" w:cs="Arial"/>
          <w:bCs/>
          <w:sz w:val="21"/>
          <w:szCs w:val="21"/>
          <w:lang w:val="es-MX" w:eastAsia="es-CO"/>
        </w:rPr>
        <w:lastRenderedPageBreak/>
        <w:t>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C0B82">
        <w:rPr>
          <w:rFonts w:ascii="Arial" w:eastAsia="Calibri" w:hAnsi="Arial" w:cs="Arial"/>
          <w:sz w:val="20"/>
          <w:szCs w:val="20"/>
          <w:vertAlign w:val="superscript"/>
          <w:lang w:val="es-MX"/>
        </w:rPr>
        <w:footnoteReference w:id="3"/>
      </w:r>
    </w:p>
    <w:p w14:paraId="14758D07" w14:textId="77777777" w:rsidR="00A26168" w:rsidRPr="005C0B82" w:rsidRDefault="00A26168" w:rsidP="00A26168">
      <w:pPr>
        <w:spacing w:line="276" w:lineRule="auto"/>
        <w:ind w:left="709" w:right="709"/>
        <w:contextualSpacing/>
        <w:jc w:val="both"/>
        <w:rPr>
          <w:rFonts w:ascii="Arial" w:hAnsi="Arial" w:cs="Arial"/>
          <w:bCs/>
          <w:sz w:val="22"/>
          <w:szCs w:val="22"/>
          <w:lang w:val="es-MX" w:eastAsia="es-CO"/>
        </w:rPr>
      </w:pPr>
    </w:p>
    <w:p w14:paraId="7CB000E2" w14:textId="602FC156" w:rsidR="00A26168" w:rsidRPr="005C0B82" w:rsidRDefault="00A26168" w:rsidP="00A26168">
      <w:pPr>
        <w:spacing w:line="276" w:lineRule="auto"/>
        <w:ind w:firstLine="709"/>
        <w:jc w:val="both"/>
        <w:rPr>
          <w:rFonts w:ascii="Arial" w:hAnsi="Arial" w:cs="Arial"/>
          <w:bCs/>
          <w:sz w:val="22"/>
          <w:szCs w:val="22"/>
          <w:lang w:val="es-MX" w:eastAsia="es-CO"/>
        </w:rPr>
      </w:pPr>
      <w:bookmarkStart w:id="13" w:name="_Hlk78818186"/>
      <w:r w:rsidRPr="005C0B82">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3"/>
      <w:r w:rsidRPr="005C0B82">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071ED8EA" w14:textId="77777777" w:rsidR="00A26168" w:rsidRPr="005C0B82" w:rsidRDefault="00A26168" w:rsidP="00A26168">
      <w:pPr>
        <w:spacing w:line="276" w:lineRule="auto"/>
        <w:ind w:firstLine="709"/>
        <w:contextualSpacing/>
        <w:jc w:val="both"/>
        <w:rPr>
          <w:rFonts w:ascii="Arial" w:hAnsi="Arial" w:cs="Arial"/>
          <w:bCs/>
          <w:sz w:val="22"/>
          <w:szCs w:val="22"/>
          <w:lang w:val="es-MX" w:eastAsia="es-CO"/>
        </w:rPr>
      </w:pPr>
    </w:p>
    <w:p w14:paraId="45743165" w14:textId="77777777" w:rsidR="00A26168" w:rsidRPr="005C0B82" w:rsidRDefault="00A26168" w:rsidP="00A26168">
      <w:pPr>
        <w:ind w:left="709" w:right="709"/>
        <w:contextualSpacing/>
        <w:jc w:val="both"/>
        <w:rPr>
          <w:rFonts w:ascii="Arial" w:hAnsi="Arial" w:cs="Arial"/>
          <w:bCs/>
          <w:sz w:val="21"/>
          <w:szCs w:val="21"/>
          <w:lang w:val="es-MX" w:eastAsia="es-CO"/>
        </w:rPr>
      </w:pPr>
      <w:r w:rsidRPr="005C0B82">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597C5DD" w14:textId="77777777" w:rsidR="00A26168" w:rsidRPr="005C0B82" w:rsidRDefault="00A26168" w:rsidP="00A26168">
      <w:pPr>
        <w:ind w:left="709" w:right="709"/>
        <w:contextualSpacing/>
        <w:jc w:val="both"/>
        <w:rPr>
          <w:rFonts w:ascii="Arial" w:hAnsi="Arial" w:cs="Arial"/>
          <w:bCs/>
          <w:sz w:val="21"/>
          <w:szCs w:val="21"/>
          <w:lang w:val="es-MX" w:eastAsia="es-CO"/>
        </w:rPr>
      </w:pPr>
    </w:p>
    <w:p w14:paraId="7A8E5E69" w14:textId="77777777" w:rsidR="00A26168" w:rsidRPr="005C0B82" w:rsidRDefault="00A26168" w:rsidP="00A26168">
      <w:pPr>
        <w:ind w:left="709" w:right="709"/>
        <w:contextualSpacing/>
        <w:jc w:val="both"/>
        <w:rPr>
          <w:rFonts w:ascii="Arial" w:hAnsi="Arial" w:cs="Arial"/>
          <w:bCs/>
          <w:sz w:val="21"/>
          <w:szCs w:val="21"/>
          <w:lang w:val="es-MX" w:eastAsia="es-CO"/>
        </w:rPr>
      </w:pPr>
      <w:r w:rsidRPr="005C0B82">
        <w:rPr>
          <w:rFonts w:ascii="Arial" w:hAnsi="Arial" w:cs="Arial"/>
          <w:bCs/>
          <w:sz w:val="21"/>
          <w:szCs w:val="21"/>
          <w:lang w:val="es-MX" w:eastAsia="es-CO"/>
        </w:rPr>
        <w:t>La jurisprudencia de la Corte Constitucional</w:t>
      </w:r>
      <w:r w:rsidRPr="005C0B82">
        <w:rPr>
          <w:rFonts w:ascii="Arial" w:hAnsi="Arial" w:cs="Arial"/>
          <w:bCs/>
          <w:sz w:val="21"/>
          <w:szCs w:val="21"/>
          <w:vertAlign w:val="superscript"/>
          <w:lang w:val="es-MX" w:eastAsia="es-CO"/>
        </w:rPr>
        <w:footnoteReference w:id="4"/>
      </w:r>
      <w:r w:rsidRPr="005C0B82">
        <w:rPr>
          <w:rFonts w:ascii="Arial" w:hAnsi="Arial" w:cs="Arial"/>
          <w:bCs/>
          <w:sz w:val="21"/>
          <w:szCs w:val="21"/>
          <w:lang w:val="es-MX" w:eastAsia="es-CO"/>
        </w:rPr>
        <w:t> y del Consejo de Estado</w:t>
      </w:r>
      <w:r w:rsidRPr="005C0B82">
        <w:rPr>
          <w:rFonts w:ascii="Arial" w:hAnsi="Arial" w:cs="Arial"/>
          <w:bCs/>
          <w:sz w:val="21"/>
          <w:szCs w:val="21"/>
          <w:vertAlign w:val="superscript"/>
          <w:lang w:val="es-MX" w:eastAsia="es-CO"/>
        </w:rPr>
        <w:footnoteReference w:id="5"/>
      </w:r>
      <w:r w:rsidRPr="005C0B82">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C0B82">
        <w:rPr>
          <w:rFonts w:ascii="Arial" w:hAnsi="Arial" w:cs="Arial"/>
          <w:bCs/>
          <w:vertAlign w:val="superscript"/>
          <w:lang w:val="es-MX" w:eastAsia="es-CO"/>
        </w:rPr>
        <w:footnoteReference w:id="6"/>
      </w:r>
      <w:r w:rsidRPr="005C0B82">
        <w:rPr>
          <w:rFonts w:ascii="Arial" w:hAnsi="Arial" w:cs="Arial"/>
          <w:bCs/>
          <w:sz w:val="21"/>
          <w:szCs w:val="21"/>
          <w:lang w:val="es-MX" w:eastAsia="es-CO"/>
        </w:rPr>
        <w:t>.</w:t>
      </w:r>
    </w:p>
    <w:p w14:paraId="42C8EC03" w14:textId="77777777" w:rsidR="00A26168" w:rsidRPr="005C0B82" w:rsidRDefault="00A26168" w:rsidP="00A26168">
      <w:pPr>
        <w:spacing w:line="276" w:lineRule="auto"/>
        <w:ind w:right="709"/>
        <w:contextualSpacing/>
        <w:jc w:val="both"/>
        <w:rPr>
          <w:rFonts w:ascii="Arial" w:hAnsi="Arial" w:cs="Arial"/>
          <w:bCs/>
          <w:sz w:val="22"/>
          <w:szCs w:val="22"/>
          <w:lang w:val="es-MX" w:eastAsia="es-CO"/>
        </w:rPr>
      </w:pPr>
    </w:p>
    <w:p w14:paraId="31131152" w14:textId="0EB4C3CD" w:rsidR="00A26168" w:rsidRPr="005C0B82" w:rsidRDefault="00A26168" w:rsidP="00A26168">
      <w:pPr>
        <w:spacing w:after="120" w:line="276" w:lineRule="auto"/>
        <w:jc w:val="both"/>
        <w:rPr>
          <w:rFonts w:ascii="Arial" w:eastAsia="Arial" w:hAnsi="Arial" w:cs="Arial"/>
          <w:sz w:val="22"/>
          <w:szCs w:val="22"/>
          <w:lang w:val="es-ES" w:eastAsia="es-ES" w:bidi="es-ES"/>
        </w:rPr>
      </w:pPr>
      <w:r w:rsidRPr="005C0B82">
        <w:rPr>
          <w:rFonts w:ascii="Arial" w:hAnsi="Arial" w:cs="Arial"/>
          <w:bCs/>
          <w:sz w:val="22"/>
          <w:szCs w:val="22"/>
          <w:lang w:val="es-MX" w:eastAsia="es-CO"/>
        </w:rPr>
        <w:tab/>
        <w:t>De</w:t>
      </w:r>
      <w:r w:rsidRPr="005C0B82">
        <w:rPr>
          <w:rFonts w:ascii="Arial" w:eastAsia="Arial" w:hAnsi="Arial" w:cs="Arial"/>
          <w:sz w:val="22"/>
          <w:szCs w:val="22"/>
          <w:lang w:val="es-ES" w:eastAsia="es-ES" w:bidi="es-ES"/>
        </w:rPr>
        <w:t xml:space="preserve"> conformidad con lo anterior, </w:t>
      </w:r>
      <w:bookmarkStart w:id="14" w:name="_Hlk77236098"/>
      <w:bookmarkStart w:id="15" w:name="_Hlk100654902"/>
      <w:r w:rsidRPr="005C0B82">
        <w:rPr>
          <w:rFonts w:ascii="Arial" w:eastAsia="Arial" w:hAnsi="Arial" w:cs="Arial"/>
          <w:sz w:val="22"/>
          <w:szCs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4"/>
    </w:p>
    <w:p w14:paraId="438C55A6" w14:textId="77777777" w:rsidR="00A26168" w:rsidRPr="005C0B82" w:rsidRDefault="00A26168" w:rsidP="00A26168">
      <w:pPr>
        <w:spacing w:after="120" w:line="276" w:lineRule="auto"/>
        <w:ind w:firstLine="708"/>
        <w:jc w:val="both"/>
        <w:rPr>
          <w:rFonts w:ascii="Arial" w:eastAsia="Calibri" w:hAnsi="Arial" w:cs="Arial"/>
          <w:sz w:val="22"/>
          <w:szCs w:val="22"/>
        </w:rPr>
      </w:pPr>
      <w:r w:rsidRPr="005C0B82">
        <w:rPr>
          <w:rFonts w:ascii="Arial" w:eastAsia="Calibri" w:hAnsi="Arial" w:cs="Arial"/>
          <w:sz w:val="22"/>
          <w:szCs w:val="22"/>
        </w:rPr>
        <w:t xml:space="preserve">Por un lado, el artículo 33 de la Ley 996 de 2005 prohíbe </w:t>
      </w:r>
      <w:r w:rsidRPr="005C0B82">
        <w:rPr>
          <w:rFonts w:ascii="Arial" w:eastAsia="Calibri" w:hAnsi="Arial" w:cs="Arial"/>
          <w:bCs/>
          <w:sz w:val="22"/>
          <w:szCs w:val="22"/>
        </w:rPr>
        <w:t xml:space="preserve">«[…] </w:t>
      </w:r>
      <w:r w:rsidRPr="005C0B82">
        <w:rPr>
          <w:rFonts w:ascii="Arial" w:eastAsia="Calibri" w:hAnsi="Arial" w:cs="Arial"/>
          <w:sz w:val="22"/>
          <w:szCs w:val="22"/>
        </w:rPr>
        <w:t>la contratación directa por parte de todos los entes del Estado</w:t>
      </w:r>
      <w:r w:rsidRPr="005C0B82">
        <w:rPr>
          <w:rFonts w:ascii="Arial" w:eastAsia="Calibri" w:hAnsi="Arial" w:cs="Arial"/>
          <w:bCs/>
          <w:sz w:val="22"/>
          <w:szCs w:val="22"/>
        </w:rPr>
        <w:t>»</w:t>
      </w:r>
      <w:r w:rsidRPr="005C0B82">
        <w:rPr>
          <w:rFonts w:ascii="Arial" w:eastAsia="Calibri" w:hAnsi="Arial" w:cs="Arial"/>
          <w:sz w:val="22"/>
          <w:szCs w:val="22"/>
        </w:rPr>
        <w:t xml:space="preserve"> durante los cuatro (4) meses anteriores a las elecciones presidenciales, salvo </w:t>
      </w:r>
      <w:r w:rsidRPr="005C0B82">
        <w:rPr>
          <w:rFonts w:ascii="Arial" w:eastAsia="Calibri" w:hAnsi="Arial" w:cs="Arial"/>
          <w:bCs/>
          <w:sz w:val="22"/>
          <w:szCs w:val="22"/>
        </w:rPr>
        <w:t xml:space="preserve">«[…] </w:t>
      </w:r>
      <w:r w:rsidRPr="005C0B82">
        <w:rPr>
          <w:rFonts w:ascii="Arial" w:eastAsia="Calibri" w:hAnsi="Arial" w:cs="Arial"/>
          <w:sz w:val="22"/>
          <w:szCs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C0B82">
        <w:rPr>
          <w:rFonts w:ascii="Arial" w:eastAsia="Calibri" w:hAnsi="Arial" w:cs="Arial"/>
          <w:bCs/>
          <w:sz w:val="22"/>
          <w:szCs w:val="22"/>
        </w:rPr>
        <w:t>»</w:t>
      </w:r>
      <w:r w:rsidRPr="005C0B82">
        <w:rPr>
          <w:rFonts w:ascii="Arial" w:eastAsia="Calibri" w:hAnsi="Arial" w:cs="Arial"/>
          <w:bCs/>
          <w:sz w:val="22"/>
          <w:szCs w:val="22"/>
          <w:vertAlign w:val="superscript"/>
        </w:rPr>
        <w:footnoteReference w:id="7"/>
      </w:r>
      <w:r w:rsidRPr="005C0B82">
        <w:rPr>
          <w:rFonts w:ascii="Arial" w:eastAsia="Calibri" w:hAnsi="Arial" w:cs="Arial"/>
          <w:sz w:val="22"/>
          <w:szCs w:val="22"/>
        </w:rPr>
        <w:t>.</w:t>
      </w:r>
    </w:p>
    <w:p w14:paraId="79BE997E" w14:textId="77777777" w:rsidR="00A26168" w:rsidRPr="005C0B82" w:rsidRDefault="00A26168" w:rsidP="00A26168">
      <w:pPr>
        <w:widowControl w:val="0"/>
        <w:autoSpaceDE w:val="0"/>
        <w:autoSpaceDN w:val="0"/>
        <w:spacing w:line="276" w:lineRule="auto"/>
        <w:ind w:right="113" w:firstLine="708"/>
        <w:contextualSpacing/>
        <w:jc w:val="both"/>
        <w:rPr>
          <w:rFonts w:ascii="Arial" w:eastAsia="Arial" w:hAnsi="Arial" w:cs="Arial"/>
          <w:sz w:val="22"/>
          <w:szCs w:val="22"/>
          <w:lang w:val="es-ES" w:eastAsia="es-ES" w:bidi="es-ES"/>
        </w:rPr>
      </w:pPr>
      <w:r w:rsidRPr="005C0B82">
        <w:rPr>
          <w:rFonts w:ascii="Arial" w:eastAsia="Calibri" w:hAnsi="Arial" w:cs="Arial"/>
          <w:sz w:val="22"/>
          <w:szCs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C0B82">
        <w:rPr>
          <w:rFonts w:ascii="Arial" w:eastAsia="Calibri" w:hAnsi="Arial" w:cs="Arial"/>
          <w:bCs/>
          <w:sz w:val="22"/>
          <w:szCs w:val="22"/>
        </w:rPr>
        <w:t xml:space="preserve">«[…] </w:t>
      </w:r>
      <w:r w:rsidRPr="005C0B82">
        <w:rPr>
          <w:rFonts w:ascii="Arial" w:eastAsia="Calibri" w:hAnsi="Arial" w:cs="Arial"/>
          <w:sz w:val="22"/>
          <w:szCs w:val="22"/>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C0B82">
        <w:rPr>
          <w:rFonts w:ascii="Arial" w:eastAsia="Calibri" w:hAnsi="Arial" w:cs="Arial"/>
          <w:bCs/>
          <w:sz w:val="22"/>
          <w:szCs w:val="22"/>
        </w:rPr>
        <w:t>»</w:t>
      </w:r>
      <w:bookmarkEnd w:id="15"/>
      <w:r w:rsidRPr="005C0B82">
        <w:rPr>
          <w:rFonts w:ascii="Arial" w:eastAsia="Calibri" w:hAnsi="Arial" w:cs="Arial"/>
          <w:bCs/>
          <w:sz w:val="22"/>
          <w:szCs w:val="22"/>
          <w:vertAlign w:val="superscript"/>
        </w:rPr>
        <w:footnoteReference w:id="8"/>
      </w:r>
      <w:r w:rsidRPr="005C0B82">
        <w:rPr>
          <w:rFonts w:ascii="Arial" w:eastAsia="Calibri" w:hAnsi="Arial" w:cs="Arial"/>
          <w:sz w:val="22"/>
          <w:szCs w:val="22"/>
          <w:lang w:val="es-MX"/>
        </w:rPr>
        <w:t>.</w:t>
      </w:r>
      <w:r w:rsidRPr="005C0B82">
        <w:rPr>
          <w:rFonts w:ascii="Arial" w:eastAsia="Arial" w:hAnsi="Arial" w:cs="Arial"/>
          <w:sz w:val="22"/>
          <w:szCs w:val="22"/>
          <w:lang w:val="es-ES" w:eastAsia="es-ES" w:bidi="es-ES"/>
        </w:rPr>
        <w:t xml:space="preserve"> La Sala de Consulta y Servicio Civil del Consejo de Estado ha aclarado la </w:t>
      </w:r>
      <w:r w:rsidRPr="005C0B82">
        <w:rPr>
          <w:rFonts w:ascii="Arial" w:eastAsia="Arial" w:hAnsi="Arial" w:cs="Arial"/>
          <w:sz w:val="22"/>
          <w:szCs w:val="22"/>
          <w:lang w:val="es-ES" w:eastAsia="es-ES" w:bidi="es-ES"/>
        </w:rPr>
        <w:lastRenderedPageBreak/>
        <w:t>distinción en la aplicación de las prohibiciones de la Ley 996 de 2005, dependiendo del tipo de elección que se trate. Al respecto, considera que:</w:t>
      </w:r>
    </w:p>
    <w:p w14:paraId="20136EF6" w14:textId="77777777" w:rsidR="00A26168" w:rsidRPr="005C0B82" w:rsidRDefault="00A26168" w:rsidP="00A26168">
      <w:pPr>
        <w:widowControl w:val="0"/>
        <w:autoSpaceDE w:val="0"/>
        <w:autoSpaceDN w:val="0"/>
        <w:spacing w:line="276" w:lineRule="auto"/>
        <w:ind w:left="805" w:right="812"/>
        <w:contextualSpacing/>
        <w:jc w:val="both"/>
        <w:rPr>
          <w:rFonts w:ascii="Arial" w:eastAsia="Arial" w:hAnsi="Arial" w:cs="Arial"/>
          <w:sz w:val="22"/>
          <w:szCs w:val="22"/>
          <w:lang w:val="es-ES" w:eastAsia="es-ES" w:bidi="es-ES"/>
        </w:rPr>
      </w:pPr>
    </w:p>
    <w:p w14:paraId="24949455" w14:textId="77777777" w:rsidR="00A26168" w:rsidRPr="005C0B82" w:rsidRDefault="00A26168" w:rsidP="00A26168">
      <w:pPr>
        <w:widowControl w:val="0"/>
        <w:autoSpaceDE w:val="0"/>
        <w:autoSpaceDN w:val="0"/>
        <w:ind w:left="709" w:right="709"/>
        <w:contextualSpacing/>
        <w:jc w:val="both"/>
        <w:rPr>
          <w:rFonts w:ascii="Arial" w:eastAsia="Arial" w:hAnsi="Arial" w:cs="Arial"/>
          <w:sz w:val="21"/>
          <w:szCs w:val="21"/>
          <w:lang w:val="es-ES" w:eastAsia="es-ES" w:bidi="es-ES"/>
        </w:rPr>
      </w:pPr>
      <w:r w:rsidRPr="005C0B8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8" w:name="_Hlk76109421"/>
      <w:r w:rsidRPr="005C0B82">
        <w:rPr>
          <w:rFonts w:ascii="Arial" w:eastAsia="Arial" w:hAnsi="Arial" w:cs="Arial"/>
          <w:sz w:val="21"/>
          <w:szCs w:val="21"/>
          <w:lang w:val="es-ES" w:eastAsia="es-ES" w:bidi="es-ES"/>
        </w:rPr>
        <w:t>se integran parcialmente</w:t>
      </w:r>
      <w:bookmarkEnd w:id="18"/>
      <w:r w:rsidRPr="005C0B8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C0B82">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C0B82">
        <w:rPr>
          <w:rFonts w:ascii="Arial" w:eastAsia="Arial" w:hAnsi="Arial" w:cs="Arial"/>
          <w:sz w:val="21"/>
          <w:szCs w:val="21"/>
          <w:lang w:val="es-ES" w:eastAsia="es-ES" w:bidi="es-ES"/>
        </w:rPr>
        <w:t>.</w:t>
      </w:r>
      <w:r w:rsidRPr="005C0B82">
        <w:rPr>
          <w:rFonts w:ascii="Arial" w:eastAsia="Arial" w:hAnsi="Arial" w:cs="Arial"/>
          <w:sz w:val="21"/>
          <w:szCs w:val="21"/>
          <w:vertAlign w:val="superscript"/>
          <w:lang w:val="es-ES" w:eastAsia="es-ES" w:bidi="es-ES"/>
        </w:rPr>
        <w:footnoteReference w:id="9"/>
      </w:r>
    </w:p>
    <w:p w14:paraId="730B46DC" w14:textId="77777777" w:rsidR="00A26168" w:rsidRPr="005C0B82" w:rsidRDefault="00A26168" w:rsidP="00A26168">
      <w:pPr>
        <w:widowControl w:val="0"/>
        <w:autoSpaceDE w:val="0"/>
        <w:autoSpaceDN w:val="0"/>
        <w:spacing w:line="276" w:lineRule="auto"/>
        <w:contextualSpacing/>
        <w:rPr>
          <w:rFonts w:ascii="Arial" w:eastAsia="Arial" w:hAnsi="Arial" w:cs="Arial"/>
          <w:sz w:val="22"/>
          <w:szCs w:val="22"/>
          <w:lang w:val="es-ES" w:eastAsia="es-ES" w:bidi="es-ES"/>
        </w:rPr>
      </w:pPr>
    </w:p>
    <w:p w14:paraId="12AA58CA" w14:textId="77777777" w:rsidR="00A26168" w:rsidRPr="005C0B82" w:rsidRDefault="00A26168" w:rsidP="00A26168">
      <w:pPr>
        <w:spacing w:after="120" w:line="276" w:lineRule="auto"/>
        <w:ind w:firstLine="709"/>
        <w:jc w:val="both"/>
        <w:rPr>
          <w:rFonts w:ascii="Arial" w:eastAsia="Arial" w:hAnsi="Arial" w:cs="Arial"/>
          <w:sz w:val="22"/>
          <w:szCs w:val="22"/>
          <w:lang w:val="es-ES" w:eastAsia="es-ES" w:bidi="es-ES"/>
        </w:rPr>
      </w:pPr>
      <w:r w:rsidRPr="005C0B82">
        <w:rPr>
          <w:rFonts w:ascii="Arial" w:eastAsia="Arial" w:hAnsi="Arial" w:cs="Arial"/>
          <w:sz w:val="22"/>
          <w:szCs w:val="22"/>
          <w:lang w:val="es-ES" w:eastAsia="es-ES" w:bidi="es-ES"/>
        </w:rPr>
        <w:t xml:space="preserve">De conformidad con lo anterior, </w:t>
      </w:r>
      <w:bookmarkStart w:id="19" w:name="_Hlk77236420"/>
      <w:bookmarkStart w:id="20" w:name="_Hlk78818435"/>
      <w:bookmarkStart w:id="21" w:name="_Hlk75780333"/>
      <w:r w:rsidRPr="005C0B82">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5C0B82">
        <w:rPr>
          <w:rFonts w:ascii="Arial" w:eastAsia="Arial" w:hAnsi="Arial" w:cs="Arial"/>
          <w:i/>
          <w:iCs/>
          <w:sz w:val="22"/>
          <w:szCs w:val="22"/>
          <w:lang w:val="es-ES" w:eastAsia="es-ES" w:bidi="es-ES"/>
        </w:rPr>
        <w:t>En primer lugar</w:t>
      </w:r>
      <w:r w:rsidRPr="005C0B82">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C0B82">
        <w:rPr>
          <w:rFonts w:ascii="Arial" w:eastAsia="Arial" w:hAnsi="Arial" w:cs="Arial"/>
          <w:i/>
          <w:iCs/>
          <w:sz w:val="22"/>
          <w:szCs w:val="22"/>
          <w:lang w:val="es-ES" w:eastAsia="es-ES" w:bidi="es-ES"/>
        </w:rPr>
        <w:t>En segundo lugar</w:t>
      </w:r>
      <w:r w:rsidRPr="005C0B82">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9"/>
    </w:p>
    <w:bookmarkEnd w:id="20"/>
    <w:p w14:paraId="2C1D0265" w14:textId="77777777" w:rsidR="00A26168" w:rsidRPr="005C0B82" w:rsidRDefault="00A26168" w:rsidP="00A26168">
      <w:pPr>
        <w:spacing w:after="120" w:line="276" w:lineRule="auto"/>
        <w:ind w:firstLine="709"/>
        <w:jc w:val="both"/>
        <w:rPr>
          <w:rFonts w:ascii="Arial" w:eastAsia="Arial" w:hAnsi="Arial" w:cs="Arial"/>
          <w:sz w:val="22"/>
          <w:szCs w:val="22"/>
          <w:lang w:val="es-ES" w:eastAsia="es-ES" w:bidi="es-ES"/>
        </w:rPr>
      </w:pPr>
      <w:r w:rsidRPr="005C0B82">
        <w:rPr>
          <w:rFonts w:ascii="Arial" w:eastAsia="Arial" w:hAnsi="Arial" w:cs="Arial"/>
          <w:sz w:val="22"/>
          <w:szCs w:val="22"/>
          <w:lang w:val="es-ES" w:eastAsia="es-ES" w:bidi="es-ES"/>
        </w:rPr>
        <w:t xml:space="preserve">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w:t>
      </w:r>
      <w:r w:rsidRPr="005C0B82">
        <w:rPr>
          <w:rFonts w:ascii="Arial" w:eastAsia="Arial" w:hAnsi="Arial" w:cs="Arial"/>
          <w:sz w:val="22"/>
          <w:szCs w:val="22"/>
          <w:lang w:val="es-ES" w:eastAsia="es-ES" w:bidi="es-ES"/>
        </w:rPr>
        <w:lastRenderedPageBreak/>
        <w:t>excluyendo las correspondientes al Presidente de la República, las autoridades allí mencionadas sólo deben aplicar las restricciones contenidas en el parágrafo del artículo 38.</w:t>
      </w:r>
    </w:p>
    <w:bookmarkEnd w:id="21"/>
    <w:p w14:paraId="14E88CC6" w14:textId="43B2096D" w:rsidR="0033652B" w:rsidRPr="005C0B82" w:rsidRDefault="00A26168" w:rsidP="00A26168">
      <w:pPr>
        <w:spacing w:line="276" w:lineRule="auto"/>
        <w:ind w:firstLine="708"/>
        <w:jc w:val="both"/>
        <w:rPr>
          <w:rFonts w:ascii="Arial" w:eastAsia="Arial" w:hAnsi="Arial" w:cs="Arial"/>
          <w:sz w:val="22"/>
          <w:szCs w:val="22"/>
          <w:lang w:val="es-ES" w:eastAsia="es-ES" w:bidi="es-ES"/>
        </w:rPr>
      </w:pPr>
      <w:r w:rsidRPr="005C0B82">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r w:rsidR="0033652B" w:rsidRPr="005C0B82">
        <w:rPr>
          <w:rFonts w:ascii="Arial" w:eastAsia="Arial" w:hAnsi="Arial" w:cs="Arial"/>
          <w:sz w:val="22"/>
          <w:szCs w:val="22"/>
          <w:lang w:val="es-ES" w:eastAsia="es-ES" w:bidi="es-ES"/>
        </w:rPr>
        <w:t xml:space="preserve">  </w:t>
      </w:r>
    </w:p>
    <w:p w14:paraId="386D4C3A" w14:textId="77777777" w:rsidR="0033652B" w:rsidRPr="005C0B82" w:rsidRDefault="0033652B" w:rsidP="0033652B">
      <w:pPr>
        <w:contextualSpacing/>
        <w:rPr>
          <w:rFonts w:ascii="Arial" w:hAnsi="Arial" w:cs="Arial"/>
          <w:bCs/>
          <w:sz w:val="22"/>
          <w:lang w:val="es-ES" w:eastAsia="es-CO"/>
        </w:rPr>
      </w:pPr>
    </w:p>
    <w:p w14:paraId="7A642265" w14:textId="77777777" w:rsidR="004E62AB" w:rsidRPr="005C0B82" w:rsidRDefault="0033652B" w:rsidP="004E62AB">
      <w:pPr>
        <w:spacing w:line="276" w:lineRule="auto"/>
        <w:contextualSpacing/>
        <w:jc w:val="both"/>
        <w:rPr>
          <w:rFonts w:ascii="Arial" w:hAnsi="Arial" w:cs="Arial"/>
          <w:b/>
          <w:lang w:val="es-ES" w:eastAsia="es-CO"/>
        </w:rPr>
      </w:pPr>
      <w:r w:rsidRPr="005C0B82">
        <w:rPr>
          <w:rFonts w:ascii="Arial" w:hAnsi="Arial" w:cs="Arial"/>
          <w:b/>
          <w:sz w:val="22"/>
          <w:lang w:val="es-ES" w:eastAsia="es-CO"/>
        </w:rPr>
        <w:t xml:space="preserve">2.2. </w:t>
      </w:r>
      <w:r w:rsidRPr="005C0B82">
        <w:rPr>
          <w:rFonts w:ascii="Arial" w:hAnsi="Arial" w:cs="Arial"/>
          <w:b/>
          <w:bCs/>
          <w:sz w:val="22"/>
          <w:lang w:eastAsia="es-CO"/>
        </w:rPr>
        <w:t>Restricciones en elecciones presidenciales</w:t>
      </w:r>
      <w:r w:rsidR="004E62AB" w:rsidRPr="005C0B82">
        <w:rPr>
          <w:rFonts w:ascii="Arial" w:hAnsi="Arial" w:cs="Arial"/>
          <w:b/>
          <w:bCs/>
          <w:sz w:val="22"/>
          <w:szCs w:val="22"/>
          <w:lang w:val="es-MX" w:eastAsia="es-CO"/>
        </w:rPr>
        <w:t>: prohibición del artículo 33 de la Ley 996 de 2005</w:t>
      </w:r>
    </w:p>
    <w:p w14:paraId="57CBD605" w14:textId="77777777" w:rsidR="0033652B" w:rsidRPr="005C0B82" w:rsidRDefault="0033652B" w:rsidP="0033652B">
      <w:pPr>
        <w:contextualSpacing/>
        <w:rPr>
          <w:rFonts w:ascii="Arial" w:hAnsi="Arial" w:cs="Arial"/>
          <w:bCs/>
          <w:sz w:val="22"/>
          <w:lang w:eastAsia="x-none"/>
        </w:rPr>
      </w:pPr>
    </w:p>
    <w:p w14:paraId="1CF7B4BD" w14:textId="77777777" w:rsidR="009C1D94" w:rsidRPr="005C0B82" w:rsidRDefault="009C1D94" w:rsidP="009C1D94">
      <w:pPr>
        <w:spacing w:line="276" w:lineRule="auto"/>
        <w:contextualSpacing/>
        <w:jc w:val="both"/>
        <w:rPr>
          <w:rFonts w:ascii="Arial" w:hAnsi="Arial" w:cs="Arial"/>
          <w:bCs/>
          <w:sz w:val="22"/>
          <w:szCs w:val="22"/>
          <w:lang w:val="es-MX" w:eastAsia="es-CO"/>
        </w:rPr>
      </w:pPr>
      <w:r w:rsidRPr="005C0B82">
        <w:rPr>
          <w:rFonts w:ascii="Arial" w:hAnsi="Arial" w:cs="Arial"/>
          <w:bCs/>
          <w:sz w:val="22"/>
          <w:szCs w:val="22"/>
          <w:lang w:val="es-MX" w:eastAsia="x-none"/>
        </w:rPr>
        <w:t xml:space="preserve">El ámbito material de la prohibición contenida </w:t>
      </w:r>
      <w:bookmarkStart w:id="22" w:name="_Hlk75628761"/>
      <w:r w:rsidRPr="005C0B82">
        <w:rPr>
          <w:rFonts w:ascii="Arial" w:hAnsi="Arial" w:cs="Arial"/>
          <w:bCs/>
          <w:sz w:val="22"/>
          <w:szCs w:val="22"/>
          <w:lang w:val="es-MX" w:eastAsia="x-none"/>
        </w:rPr>
        <w:t xml:space="preserve">en el artículo 33 de la Ley 996 de 2005 </w:t>
      </w:r>
      <w:bookmarkEnd w:id="22"/>
      <w:r w:rsidRPr="005C0B82">
        <w:rPr>
          <w:rFonts w:ascii="Arial" w:hAnsi="Arial" w:cs="Arial"/>
          <w:bCs/>
          <w:sz w:val="22"/>
          <w:szCs w:val="22"/>
          <w:lang w:val="es-MX" w:eastAsia="x-none"/>
        </w:rPr>
        <w:t xml:space="preserve">está delimitado por la expresión </w:t>
      </w:r>
      <w:r w:rsidRPr="005C0B82">
        <w:rPr>
          <w:rFonts w:ascii="Arial" w:eastAsia="Calibri" w:hAnsi="Arial" w:cs="Arial"/>
          <w:bCs/>
          <w:sz w:val="22"/>
          <w:szCs w:val="22"/>
          <w:lang w:val="es-MX"/>
        </w:rPr>
        <w:t>«</w:t>
      </w:r>
      <w:r w:rsidRPr="005C0B82">
        <w:rPr>
          <w:rFonts w:ascii="Arial" w:hAnsi="Arial" w:cs="Arial"/>
          <w:bCs/>
          <w:sz w:val="22"/>
          <w:szCs w:val="22"/>
          <w:lang w:val="es-MX" w:eastAsia="x-none"/>
        </w:rPr>
        <w:t>queda prohibida la contratación directa</w:t>
      </w:r>
      <w:r w:rsidRPr="005C0B82">
        <w:rPr>
          <w:rFonts w:ascii="Arial" w:eastAsia="Calibri" w:hAnsi="Arial" w:cs="Arial"/>
          <w:sz w:val="22"/>
          <w:szCs w:val="22"/>
          <w:lang w:val="es-MX"/>
        </w:rPr>
        <w:t>»</w:t>
      </w:r>
      <w:r w:rsidRPr="005C0B82">
        <w:rPr>
          <w:rFonts w:ascii="Arial" w:hAnsi="Arial" w:cs="Arial"/>
          <w:bCs/>
          <w:sz w:val="22"/>
          <w:szCs w:val="22"/>
          <w:lang w:val="es-MX" w:eastAsia="x-none"/>
        </w:rPr>
        <w:t>.</w:t>
      </w:r>
      <w:r w:rsidRPr="005C0B82">
        <w:rPr>
          <w:rFonts w:ascii="Arial" w:hAnsi="Arial" w:cs="Arial"/>
          <w:sz w:val="22"/>
          <w:szCs w:val="22"/>
          <w:lang w:val="es-MX" w:eastAsia="es-CO"/>
        </w:rPr>
        <w:t xml:space="preserve"> A propósito de </w:t>
      </w:r>
      <w:r w:rsidRPr="005C0B82">
        <w:rPr>
          <w:rFonts w:ascii="Arial" w:hAnsi="Arial" w:cs="Arial"/>
          <w:sz w:val="22"/>
          <w:szCs w:val="22"/>
          <w:lang w:eastAsia="es-CO"/>
        </w:rPr>
        <w:t>esta restricción de la Ley de Garantías Electorales, la Sala de Consulta y Servicio Civil del Consejo de Estado ha considerado que:</w:t>
      </w:r>
    </w:p>
    <w:p w14:paraId="65DD6603" w14:textId="77777777" w:rsidR="009C1D94" w:rsidRPr="005C0B82" w:rsidRDefault="009C1D94" w:rsidP="009C1D94">
      <w:pPr>
        <w:spacing w:line="276" w:lineRule="auto"/>
        <w:ind w:left="708" w:right="709"/>
        <w:contextualSpacing/>
        <w:jc w:val="both"/>
        <w:rPr>
          <w:rFonts w:ascii="Arial" w:eastAsia="Calibri" w:hAnsi="Arial" w:cs="Arial"/>
          <w:sz w:val="22"/>
          <w:szCs w:val="22"/>
          <w:lang w:val="es-MX"/>
        </w:rPr>
      </w:pPr>
    </w:p>
    <w:p w14:paraId="799F797F" w14:textId="77777777" w:rsidR="009C1D94" w:rsidRPr="005C0B82" w:rsidRDefault="009C1D94" w:rsidP="009C1D94">
      <w:pPr>
        <w:ind w:left="709" w:right="709"/>
        <w:contextualSpacing/>
        <w:jc w:val="both"/>
        <w:rPr>
          <w:rFonts w:ascii="Arial" w:eastAsia="Calibri" w:hAnsi="Arial" w:cs="Arial"/>
          <w:sz w:val="21"/>
          <w:szCs w:val="21"/>
          <w:lang w:val="es-MX"/>
        </w:rPr>
      </w:pPr>
      <w:r w:rsidRPr="005C0B82">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C0B82">
        <w:rPr>
          <w:rFonts w:ascii="Arial" w:hAnsi="Arial" w:cs="Arial"/>
          <w:vertAlign w:val="superscript"/>
          <w:lang w:eastAsia="es-CO"/>
        </w:rPr>
        <w:footnoteReference w:id="10"/>
      </w:r>
      <w:r w:rsidRPr="005C0B82">
        <w:rPr>
          <w:rFonts w:ascii="Arial" w:eastAsia="Calibri" w:hAnsi="Arial" w:cs="Arial"/>
          <w:sz w:val="21"/>
          <w:szCs w:val="21"/>
          <w:lang w:val="es-MX"/>
        </w:rPr>
        <w:t>.</w:t>
      </w:r>
    </w:p>
    <w:p w14:paraId="7604F95D" w14:textId="77777777" w:rsidR="009C1D94" w:rsidRPr="005C0B82" w:rsidRDefault="009C1D94" w:rsidP="009C1D94">
      <w:pPr>
        <w:ind w:left="709" w:right="709"/>
        <w:contextualSpacing/>
        <w:jc w:val="both"/>
        <w:rPr>
          <w:rFonts w:ascii="Arial" w:eastAsia="Calibri" w:hAnsi="Arial" w:cs="Arial"/>
          <w:sz w:val="21"/>
          <w:szCs w:val="21"/>
          <w:lang w:val="es-MX"/>
        </w:rPr>
      </w:pPr>
    </w:p>
    <w:p w14:paraId="37DF6B48" w14:textId="77777777" w:rsidR="009C1D94" w:rsidRPr="005C0B82" w:rsidRDefault="009C1D94" w:rsidP="009C1D94">
      <w:pPr>
        <w:ind w:left="708" w:right="709"/>
        <w:contextualSpacing/>
        <w:jc w:val="both"/>
        <w:rPr>
          <w:rFonts w:ascii="Arial" w:eastAsia="Calibri" w:hAnsi="Arial" w:cs="Arial"/>
          <w:sz w:val="21"/>
          <w:szCs w:val="21"/>
          <w:lang w:val="es-MX"/>
        </w:rPr>
      </w:pPr>
      <w:r w:rsidRPr="005C0B82">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25" w:name="_Hlk75741738"/>
      <w:r w:rsidRPr="005C0B82">
        <w:rPr>
          <w:rFonts w:ascii="Arial" w:eastAsia="Calibri" w:hAnsi="Arial" w:cs="Arial"/>
          <w:sz w:val="21"/>
          <w:szCs w:val="21"/>
          <w:lang w:val="es-MX"/>
        </w:rPr>
        <w:t xml:space="preserve">de cualquier sistema que no implique convocatoria pública y posibilidad de pluralidad de oferentes, </w:t>
      </w:r>
      <w:bookmarkEnd w:id="25"/>
      <w:r w:rsidRPr="005C0B82">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5C0B82">
        <w:rPr>
          <w:rFonts w:ascii="Arial" w:hAnsi="Arial" w:cs="Arial"/>
          <w:sz w:val="21"/>
          <w:szCs w:val="21"/>
          <w:vertAlign w:val="superscript"/>
          <w:lang w:val="es-MX"/>
        </w:rPr>
        <w:footnoteReference w:id="11"/>
      </w:r>
      <w:r w:rsidRPr="005C0B82">
        <w:rPr>
          <w:rFonts w:ascii="Arial" w:hAnsi="Arial" w:cs="Arial"/>
          <w:sz w:val="21"/>
          <w:szCs w:val="21"/>
          <w:vertAlign w:val="superscript"/>
          <w:lang w:val="es-MX"/>
        </w:rPr>
        <w:t>.</w:t>
      </w:r>
      <w:r w:rsidRPr="005C0B82">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w:t>
      </w:r>
      <w:r w:rsidRPr="005C0B82">
        <w:rPr>
          <w:rFonts w:ascii="Arial" w:eastAsia="Calibri" w:hAnsi="Arial" w:cs="Arial"/>
          <w:sz w:val="21"/>
          <w:szCs w:val="21"/>
          <w:lang w:val="es-MX"/>
        </w:rPr>
        <w:lastRenderedPageBreak/>
        <w:t>abreviada, razón por la cual en ese periodo preelectoral de que trata la disposición pueden las entidades públicas seguir contratando bajo estos sistemas. [...]</w:t>
      </w:r>
      <w:r w:rsidRPr="005C0B82">
        <w:rPr>
          <w:rFonts w:ascii="Arial" w:hAnsi="Arial" w:cs="Arial"/>
          <w:vertAlign w:val="superscript"/>
          <w:lang w:eastAsia="es-CO"/>
        </w:rPr>
        <w:footnoteReference w:id="12"/>
      </w:r>
      <w:r w:rsidRPr="005C0B82">
        <w:rPr>
          <w:rFonts w:ascii="Arial" w:eastAsia="Calibri" w:hAnsi="Arial" w:cs="Arial"/>
          <w:sz w:val="21"/>
          <w:szCs w:val="21"/>
          <w:lang w:val="es-MX"/>
        </w:rPr>
        <w:t xml:space="preserve"> .</w:t>
      </w:r>
    </w:p>
    <w:p w14:paraId="112384CC" w14:textId="77777777" w:rsidR="009C1D94" w:rsidRPr="005C0B82" w:rsidRDefault="009C1D94" w:rsidP="009C1D94">
      <w:pPr>
        <w:shd w:val="clear" w:color="auto" w:fill="FFFFFF"/>
        <w:spacing w:line="276" w:lineRule="auto"/>
        <w:ind w:firstLine="709"/>
        <w:contextualSpacing/>
        <w:jc w:val="both"/>
        <w:rPr>
          <w:rFonts w:ascii="Arial" w:hAnsi="Arial" w:cs="Arial"/>
          <w:sz w:val="22"/>
          <w:szCs w:val="22"/>
          <w:lang w:eastAsia="x-none"/>
        </w:rPr>
      </w:pPr>
    </w:p>
    <w:p w14:paraId="1AAA3F35" w14:textId="77777777" w:rsidR="009C1D94" w:rsidRPr="005C0B82" w:rsidRDefault="009C1D94" w:rsidP="009C1D94">
      <w:pPr>
        <w:spacing w:after="120" w:line="276" w:lineRule="auto"/>
        <w:ind w:firstLine="709"/>
        <w:jc w:val="both"/>
        <w:rPr>
          <w:rFonts w:ascii="Arial" w:hAnsi="Arial" w:cs="Arial"/>
          <w:bCs/>
          <w:sz w:val="22"/>
          <w:szCs w:val="22"/>
          <w:lang w:eastAsia="x-none"/>
        </w:rPr>
      </w:pPr>
      <w:bookmarkStart w:id="27" w:name="_Hlk94521748"/>
      <w:r w:rsidRPr="005C0B82">
        <w:rPr>
          <w:rFonts w:ascii="Arial" w:hAnsi="Arial" w:cs="Arial"/>
          <w:sz w:val="22"/>
          <w:szCs w:val="22"/>
          <w:lang w:eastAsia="x-none"/>
        </w:rPr>
        <w:t xml:space="preserve">De conformidad con el citado concepto, </w:t>
      </w:r>
      <w:bookmarkStart w:id="28" w:name="_Hlk78818702"/>
      <w:r w:rsidRPr="005C0B82">
        <w:rPr>
          <w:rFonts w:ascii="Arial" w:hAnsi="Arial" w:cs="Arial"/>
          <w:sz w:val="22"/>
          <w:szCs w:val="22"/>
          <w:lang w:eastAsia="x-none"/>
        </w:rPr>
        <w:t xml:space="preserve">la prohibición del artículo 33 de la Ley de Garantías Electorales se refiere a </w:t>
      </w:r>
      <w:bookmarkStart w:id="29" w:name="_Hlk74294635"/>
      <w:r w:rsidRPr="005C0B82">
        <w:rPr>
          <w:rFonts w:ascii="Arial" w:hAnsi="Arial" w:cs="Arial"/>
          <w:sz w:val="22"/>
          <w:szCs w:val="22"/>
          <w:lang w:eastAsia="en-GB"/>
        </w:rPr>
        <w:t>«</w:t>
      </w:r>
      <w:bookmarkEnd w:id="29"/>
      <w:r w:rsidRPr="005C0B82">
        <w:rPr>
          <w:rFonts w:ascii="Arial" w:hAnsi="Arial" w:cs="Arial"/>
          <w:sz w:val="22"/>
          <w:szCs w:val="22"/>
          <w:lang w:eastAsia="x-none"/>
        </w:rPr>
        <w:t>cualquier sistema que no implique convocatoria pública y posibilidad de pluralidad de oferentes</w:t>
      </w:r>
      <w:bookmarkStart w:id="30" w:name="_Hlk74404754"/>
      <w:r w:rsidRPr="005C0B82">
        <w:rPr>
          <w:rFonts w:ascii="Arial" w:hAnsi="Arial" w:cs="Arial"/>
          <w:sz w:val="22"/>
          <w:szCs w:val="22"/>
          <w:lang w:eastAsia="en-GB"/>
        </w:rPr>
        <w:t>»</w:t>
      </w:r>
      <w:bookmarkEnd w:id="30"/>
      <w:r w:rsidRPr="005C0B82">
        <w:rPr>
          <w:rFonts w:ascii="Arial" w:hAnsi="Arial" w:cs="Arial"/>
          <w:sz w:val="22"/>
          <w:szCs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7"/>
      <w:bookmarkEnd w:id="28"/>
      <w:r w:rsidRPr="005C0B82">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5C0B82">
        <w:rPr>
          <w:rFonts w:ascii="Arial" w:hAnsi="Arial" w:cs="Arial"/>
          <w:sz w:val="22"/>
          <w:szCs w:val="22"/>
          <w:vertAlign w:val="superscript"/>
          <w:lang w:val="en-GB" w:eastAsia="x-none"/>
        </w:rPr>
        <w:footnoteReference w:id="13"/>
      </w:r>
      <w:r w:rsidRPr="005C0B82">
        <w:rPr>
          <w:rFonts w:ascii="Arial" w:hAnsi="Arial" w:cs="Arial"/>
          <w:sz w:val="22"/>
          <w:szCs w:val="22"/>
          <w:lang w:eastAsia="x-none"/>
        </w:rPr>
        <w:t xml:space="preserve"> y sistematizó las causales de contratación directa</w:t>
      </w:r>
      <w:r w:rsidRPr="005C0B82">
        <w:rPr>
          <w:rFonts w:ascii="Arial" w:hAnsi="Arial" w:cs="Arial"/>
          <w:sz w:val="22"/>
          <w:szCs w:val="22"/>
          <w:vertAlign w:val="superscript"/>
          <w:lang w:val="en-GB" w:eastAsia="x-none"/>
        </w:rPr>
        <w:footnoteReference w:id="14"/>
      </w:r>
      <w:r w:rsidRPr="005C0B82">
        <w:rPr>
          <w:rFonts w:ascii="Arial" w:hAnsi="Arial" w:cs="Arial"/>
          <w:sz w:val="22"/>
          <w:szCs w:val="22"/>
          <w:lang w:eastAsia="x-none"/>
        </w:rPr>
        <w:t xml:space="preserve">. </w:t>
      </w:r>
    </w:p>
    <w:p w14:paraId="10479778" w14:textId="77777777" w:rsidR="009C1D94" w:rsidRPr="005C0B82" w:rsidRDefault="009C1D94" w:rsidP="009C1D94">
      <w:pPr>
        <w:spacing w:after="120" w:line="276" w:lineRule="auto"/>
        <w:ind w:firstLine="709"/>
        <w:jc w:val="both"/>
        <w:rPr>
          <w:rFonts w:ascii="Arial" w:hAnsi="Arial" w:cs="Arial"/>
          <w:sz w:val="22"/>
          <w:szCs w:val="22"/>
          <w:lang w:val="es-MX" w:eastAsia="x-none"/>
        </w:rPr>
      </w:pPr>
      <w:r w:rsidRPr="005C0B82">
        <w:rPr>
          <w:rFonts w:ascii="Arial" w:hAnsi="Arial" w:cs="Arial"/>
          <w:sz w:val="22"/>
          <w:szCs w:val="22"/>
          <w:lang w:eastAsia="x-none"/>
        </w:rPr>
        <w:t xml:space="preserve">De esta forma, se ha depurado la noción de </w:t>
      </w:r>
      <w:r w:rsidRPr="005C0B82">
        <w:rPr>
          <w:rFonts w:ascii="Arial" w:hAnsi="Arial" w:cs="Arial"/>
          <w:sz w:val="22"/>
          <w:szCs w:val="22"/>
          <w:lang w:eastAsia="en-GB"/>
        </w:rPr>
        <w:t>«</w:t>
      </w:r>
      <w:r w:rsidRPr="005C0B82">
        <w:rPr>
          <w:rFonts w:ascii="Arial" w:hAnsi="Arial" w:cs="Arial"/>
          <w:sz w:val="22"/>
          <w:szCs w:val="22"/>
          <w:lang w:eastAsia="x-none"/>
        </w:rPr>
        <w:t>contratación directa</w:t>
      </w:r>
      <w:r w:rsidRPr="005C0B82">
        <w:rPr>
          <w:rFonts w:ascii="Arial" w:hAnsi="Arial" w:cs="Arial"/>
          <w:sz w:val="22"/>
          <w:szCs w:val="22"/>
          <w:lang w:eastAsia="en-GB"/>
        </w:rPr>
        <w:t>»</w:t>
      </w:r>
      <w:r w:rsidRPr="005C0B82">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C0B82">
        <w:rPr>
          <w:rFonts w:ascii="Arial" w:hAnsi="Arial" w:cs="Arial"/>
          <w:sz w:val="22"/>
          <w:szCs w:val="22"/>
          <w:vertAlign w:val="superscript"/>
          <w:lang w:val="en-GB" w:eastAsia="x-none"/>
        </w:rPr>
        <w:footnoteReference w:id="15"/>
      </w:r>
      <w:r w:rsidRPr="005C0B82">
        <w:rPr>
          <w:rFonts w:ascii="Arial" w:hAnsi="Arial" w:cs="Arial"/>
          <w:sz w:val="22"/>
          <w:szCs w:val="22"/>
          <w:lang w:eastAsia="x-none"/>
        </w:rPr>
        <w:t>, han establecido sistemas de contratación que implican convocatoria pública y participación de varios oferentes</w:t>
      </w:r>
      <w:r w:rsidRPr="005C0B82">
        <w:rPr>
          <w:rFonts w:ascii="Arial" w:hAnsi="Arial" w:cs="Arial"/>
          <w:sz w:val="22"/>
          <w:szCs w:val="22"/>
          <w:lang w:eastAsia="en-GB"/>
        </w:rPr>
        <w:t>»</w:t>
      </w:r>
      <w:r w:rsidRPr="005C0B82">
        <w:rPr>
          <w:rFonts w:ascii="Arial" w:hAnsi="Arial" w:cs="Arial"/>
          <w:sz w:val="22"/>
          <w:szCs w:val="22"/>
          <w:lang w:eastAsia="x-none"/>
        </w:rPr>
        <w:t xml:space="preserve">. </w:t>
      </w:r>
    </w:p>
    <w:p w14:paraId="258A8773" w14:textId="77777777" w:rsidR="009C1D94" w:rsidRPr="005C0B82" w:rsidRDefault="009C1D94" w:rsidP="009C1D94">
      <w:pPr>
        <w:spacing w:after="120" w:line="276" w:lineRule="auto"/>
        <w:ind w:firstLine="709"/>
        <w:jc w:val="both"/>
        <w:rPr>
          <w:rFonts w:ascii="Arial" w:hAnsi="Arial" w:cs="Arial"/>
          <w:bCs/>
          <w:sz w:val="22"/>
          <w:szCs w:val="22"/>
          <w:lang w:val="es-MX" w:eastAsia="es-CO"/>
        </w:rPr>
      </w:pPr>
      <w:r w:rsidRPr="005C0B82">
        <w:rPr>
          <w:rFonts w:ascii="Arial" w:hAnsi="Arial" w:cs="Arial"/>
          <w:bCs/>
          <w:sz w:val="22"/>
          <w:szCs w:val="22"/>
          <w:lang w:val="es-MX" w:eastAsia="x-none"/>
        </w:rPr>
        <w:t>E</w:t>
      </w:r>
      <w:r w:rsidRPr="005C0B82">
        <w:rPr>
          <w:rFonts w:ascii="Arial" w:hAnsi="Arial" w:cs="Arial"/>
          <w:sz w:val="22"/>
          <w:szCs w:val="22"/>
          <w:lang w:eastAsia="x-none"/>
        </w:rPr>
        <w:t xml:space="preserve">n efecto, vale la pena mencionar que, </w:t>
      </w:r>
      <w:bookmarkStart w:id="32" w:name="_Hlk75636073"/>
      <w:r w:rsidRPr="005C0B82">
        <w:rPr>
          <w:rFonts w:ascii="Arial" w:hAnsi="Arial" w:cs="Arial"/>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2"/>
      <w:r w:rsidRPr="005C0B82">
        <w:rPr>
          <w:rFonts w:ascii="Arial" w:hAnsi="Arial" w:cs="Arial"/>
          <w:sz w:val="22"/>
          <w:szCs w:val="22"/>
          <w:vertAlign w:val="superscript"/>
          <w:lang w:eastAsia="x-none"/>
        </w:rPr>
        <w:footnoteReference w:id="16"/>
      </w:r>
      <w:r w:rsidRPr="005C0B82">
        <w:rPr>
          <w:rFonts w:ascii="Arial" w:hAnsi="Arial" w:cs="Arial"/>
          <w:sz w:val="22"/>
          <w:szCs w:val="22"/>
          <w:lang w:eastAsia="x-none"/>
        </w:rPr>
        <w:t xml:space="preserve">. </w:t>
      </w:r>
    </w:p>
    <w:p w14:paraId="4E7B0ABD" w14:textId="77777777" w:rsidR="009C1D94" w:rsidRPr="005C0B82" w:rsidRDefault="009C1D94" w:rsidP="009C1D94">
      <w:pPr>
        <w:spacing w:after="120" w:line="276" w:lineRule="auto"/>
        <w:ind w:firstLine="709"/>
        <w:jc w:val="both"/>
        <w:rPr>
          <w:rFonts w:ascii="Arial" w:hAnsi="Arial" w:cs="Arial"/>
          <w:bCs/>
          <w:sz w:val="22"/>
          <w:szCs w:val="22"/>
          <w:lang w:val="es-MX" w:eastAsia="es-CO"/>
        </w:rPr>
      </w:pPr>
      <w:r w:rsidRPr="005C0B82">
        <w:rPr>
          <w:rFonts w:ascii="Arial" w:hAnsi="Arial" w:cs="Arial"/>
          <w:bCs/>
          <w:sz w:val="22"/>
          <w:szCs w:val="22"/>
          <w:lang w:val="es-MX" w:eastAsia="es-CO"/>
        </w:rPr>
        <w:t xml:space="preserve">Como se advierte de lo anterior, el Consejo de Estado realiza una interpretación amplia de la contratación directa, para efectos de aplicar las restricciones establecidas en la Ley de Garantías Electorales, al señalar que no solo aplica frente a las entidades </w:t>
      </w:r>
      <w:r w:rsidRPr="005C0B82">
        <w:rPr>
          <w:rFonts w:ascii="Arial" w:hAnsi="Arial" w:cs="Arial"/>
          <w:bCs/>
          <w:sz w:val="22"/>
          <w:szCs w:val="22"/>
          <w:lang w:val="es-MX" w:eastAsia="es-CO"/>
        </w:rPr>
        <w:lastRenderedPageBreak/>
        <w:t>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6157C4D5" w14:textId="47C83CA7" w:rsidR="009C1D94" w:rsidRPr="005C0B82" w:rsidRDefault="009C1D94" w:rsidP="009C1D94">
      <w:pPr>
        <w:spacing w:after="120" w:line="276" w:lineRule="auto"/>
        <w:ind w:firstLine="709"/>
        <w:jc w:val="both"/>
        <w:rPr>
          <w:rFonts w:ascii="Arial" w:hAnsi="Arial" w:cs="Arial"/>
          <w:bCs/>
          <w:sz w:val="22"/>
          <w:szCs w:val="22"/>
          <w:lang w:val="es-MX" w:eastAsia="x-none"/>
        </w:rPr>
      </w:pPr>
      <w:bookmarkStart w:id="33" w:name="_Hlk78818796"/>
      <w:r w:rsidRPr="005C0B82">
        <w:rPr>
          <w:rFonts w:ascii="Arial" w:hAnsi="Arial" w:cs="Arial"/>
          <w:bCs/>
          <w:sz w:val="22"/>
          <w:szCs w:val="22"/>
          <w:lang w:val="es-MX" w:eastAsia="x-none"/>
        </w:rPr>
        <w:t xml:space="preserve"> Así las cosas, </w:t>
      </w:r>
      <w:bookmarkStart w:id="34" w:name="_Hlk99577798"/>
      <w:r w:rsidRPr="005C0B82">
        <w:rPr>
          <w:rFonts w:ascii="Arial" w:hAnsi="Arial" w:cs="Arial"/>
          <w:bCs/>
          <w:sz w:val="22"/>
          <w:szCs w:val="22"/>
          <w:lang w:val="es-MX" w:eastAsia="x-none"/>
        </w:rPr>
        <w:t xml:space="preserve">ha de entenderse que, </w:t>
      </w:r>
      <w:bookmarkStart w:id="35" w:name="_Hlk100654949"/>
      <w:r w:rsidRPr="005C0B82">
        <w:rPr>
          <w:rFonts w:ascii="Arial" w:hAnsi="Arial" w:cs="Arial"/>
          <w:bCs/>
          <w:sz w:val="22"/>
          <w:szCs w:val="22"/>
          <w:lang w:val="es-MX" w:eastAsia="x-none"/>
        </w:rPr>
        <w:t>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5C0B82">
        <w:rPr>
          <w:rFonts w:ascii="Arial" w:hAnsi="Arial" w:cs="Arial"/>
          <w:sz w:val="22"/>
          <w:szCs w:val="22"/>
          <w:vertAlign w:val="superscript"/>
          <w:lang w:eastAsia="x-none"/>
        </w:rPr>
        <w:footnoteReference w:id="17"/>
      </w:r>
      <w:r w:rsidRPr="005C0B82">
        <w:rPr>
          <w:rFonts w:ascii="Arial" w:hAnsi="Arial" w:cs="Arial"/>
          <w:bCs/>
          <w:sz w:val="22"/>
          <w:szCs w:val="22"/>
          <w:lang w:val="es-MX" w:eastAsia="x-none"/>
        </w:rPr>
        <w:t>.</w:t>
      </w:r>
      <w:r w:rsidRPr="005C0B82">
        <w:rPr>
          <w:rFonts w:ascii="Arial" w:hAnsi="Arial" w:cs="Arial"/>
          <w:sz w:val="22"/>
          <w:szCs w:val="22"/>
          <w:vertAlign w:val="superscript"/>
          <w:lang w:eastAsia="x-none"/>
        </w:rPr>
        <w:t xml:space="preserve"> </w:t>
      </w:r>
    </w:p>
    <w:bookmarkEnd w:id="33"/>
    <w:p w14:paraId="7F2706DA" w14:textId="67CBC0CF" w:rsidR="009C1D94" w:rsidRPr="005C0B82" w:rsidRDefault="009C1D94" w:rsidP="009C1D94">
      <w:pPr>
        <w:spacing w:after="120" w:line="276" w:lineRule="auto"/>
        <w:ind w:firstLine="709"/>
        <w:jc w:val="both"/>
        <w:rPr>
          <w:rFonts w:ascii="Arial" w:hAnsi="Arial" w:cs="Arial"/>
          <w:sz w:val="22"/>
          <w:szCs w:val="22"/>
          <w:lang w:eastAsia="x-none"/>
        </w:rPr>
      </w:pPr>
      <w:r w:rsidRPr="005C0B82">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5C0B82">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173ED37B" w14:textId="77777777" w:rsidR="009C1D94" w:rsidRPr="005C0B82" w:rsidRDefault="009C1D94" w:rsidP="009C1D94">
      <w:pPr>
        <w:spacing w:after="120" w:line="276" w:lineRule="auto"/>
        <w:ind w:firstLine="709"/>
        <w:jc w:val="both"/>
        <w:rPr>
          <w:rFonts w:ascii="Arial" w:hAnsi="Arial" w:cs="Arial"/>
          <w:bCs/>
          <w:sz w:val="22"/>
          <w:szCs w:val="22"/>
          <w:lang w:val="es-MX" w:eastAsia="x-none"/>
        </w:rPr>
      </w:pPr>
      <w:bookmarkStart w:id="36" w:name="_Hlk77237094"/>
      <w:bookmarkEnd w:id="34"/>
      <w:bookmarkEnd w:id="35"/>
      <w:r w:rsidRPr="005C0B82">
        <w:rPr>
          <w:rFonts w:ascii="Arial" w:hAnsi="Arial" w:cs="Arial"/>
          <w:bCs/>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6"/>
    </w:p>
    <w:p w14:paraId="6043D9F1" w14:textId="0EB0C5DB" w:rsidR="009C1D94" w:rsidRPr="005C0B82" w:rsidRDefault="009C1D94" w:rsidP="009C1D94">
      <w:pPr>
        <w:spacing w:after="120" w:line="276" w:lineRule="auto"/>
        <w:ind w:firstLine="709"/>
        <w:jc w:val="both"/>
        <w:rPr>
          <w:rFonts w:ascii="Arial" w:hAnsi="Arial" w:cs="Arial"/>
          <w:bCs/>
          <w:sz w:val="22"/>
          <w:szCs w:val="22"/>
          <w:lang w:val="es-MX" w:eastAsia="es-CO"/>
        </w:rPr>
      </w:pPr>
      <w:r w:rsidRPr="005C0B82">
        <w:rPr>
          <w:rFonts w:ascii="Arial" w:hAnsi="Arial" w:cs="Arial"/>
          <w:bCs/>
          <w:sz w:val="22"/>
          <w:szCs w:val="22"/>
          <w:lang w:val="es-MX" w:eastAsia="x-none"/>
        </w:rPr>
        <w:t xml:space="preserve">De otro lado, </w:t>
      </w:r>
      <w:bookmarkStart w:id="37" w:name="_Hlk99577887"/>
      <w:r w:rsidRPr="005C0B82">
        <w:rPr>
          <w:rFonts w:ascii="Arial" w:hAnsi="Arial" w:cs="Arial"/>
          <w:bCs/>
          <w:sz w:val="22"/>
          <w:szCs w:val="22"/>
          <w:lang w:val="es-MX"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C0B82">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7"/>
    </w:p>
    <w:p w14:paraId="260CDE99" w14:textId="77777777" w:rsidR="009C1D94" w:rsidRPr="005C0B82" w:rsidRDefault="009C1D94" w:rsidP="0033450D">
      <w:pPr>
        <w:spacing w:line="276" w:lineRule="auto"/>
        <w:ind w:firstLine="709"/>
        <w:jc w:val="both"/>
        <w:rPr>
          <w:rFonts w:ascii="Arial" w:hAnsi="Arial" w:cs="Arial"/>
          <w:bCs/>
          <w:sz w:val="22"/>
          <w:szCs w:val="22"/>
          <w:lang w:val="es-MX" w:eastAsia="x-none"/>
        </w:rPr>
      </w:pPr>
      <w:r w:rsidRPr="005C0B82">
        <w:rPr>
          <w:rFonts w:ascii="Arial" w:hAnsi="Arial" w:cs="Arial"/>
          <w:bCs/>
          <w:sz w:val="22"/>
          <w:szCs w:val="22"/>
          <w:lang w:val="es-MX" w:eastAsia="x-none"/>
        </w:rPr>
        <w:lastRenderedPageBreak/>
        <w:t>En esta labor es importante tener en cuenta, como lo anotó la Corte Constitucional, en Sentencia C-1153 de noviembre 11 de 2005</w:t>
      </w:r>
      <w:r w:rsidRPr="005C0B82">
        <w:rPr>
          <w:rFonts w:ascii="Arial" w:eastAsia="Calibri" w:hAnsi="Arial" w:cs="Arial"/>
          <w:sz w:val="22"/>
          <w:szCs w:val="22"/>
          <w:lang w:val="es-MX"/>
        </w:rPr>
        <w:t>,</w:t>
      </w:r>
      <w:r w:rsidRPr="005C0B82">
        <w:rPr>
          <w:rFonts w:ascii="Arial" w:hAnsi="Arial" w:cs="Arial"/>
          <w:bCs/>
          <w:sz w:val="22"/>
          <w:szCs w:val="22"/>
          <w:lang w:val="es-MX" w:eastAsia="x-none"/>
        </w:rPr>
        <w:t xml:space="preserve"> </w:t>
      </w:r>
      <w:bookmarkStart w:id="38" w:name="_Hlk74309042"/>
      <w:r w:rsidRPr="005C0B82">
        <w:rPr>
          <w:rFonts w:ascii="Arial" w:hAnsi="Arial" w:cs="Arial"/>
          <w:bCs/>
          <w:sz w:val="22"/>
          <w:szCs w:val="22"/>
          <w:lang w:val="es-MX" w:eastAsia="x-none"/>
        </w:rPr>
        <w:t>que «</w:t>
      </w:r>
      <w:bookmarkEnd w:id="38"/>
      <w:r w:rsidRPr="005C0B82">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39" w:name="_Hlk75768308"/>
      <w:r w:rsidRPr="005C0B82">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40" w:name="_Hlk74309060"/>
      <w:r w:rsidRPr="005C0B82">
        <w:rPr>
          <w:rFonts w:ascii="Arial" w:hAnsi="Arial" w:cs="Arial"/>
          <w:bCs/>
          <w:sz w:val="22"/>
          <w:szCs w:val="22"/>
          <w:lang w:val="es-MX" w:eastAsia="x-none"/>
        </w:rPr>
        <w:t>»</w:t>
      </w:r>
      <w:bookmarkEnd w:id="40"/>
      <w:r w:rsidRPr="005C0B82">
        <w:rPr>
          <w:rFonts w:ascii="Arial" w:eastAsia="Calibri" w:hAnsi="Arial" w:cs="Arial"/>
          <w:sz w:val="22"/>
          <w:szCs w:val="22"/>
          <w:vertAlign w:val="superscript"/>
          <w:lang w:val="es-MX"/>
        </w:rPr>
        <w:footnoteReference w:id="18"/>
      </w:r>
      <w:r w:rsidRPr="005C0B82">
        <w:rPr>
          <w:rFonts w:ascii="Arial" w:hAnsi="Arial" w:cs="Arial"/>
          <w:bCs/>
          <w:sz w:val="22"/>
          <w:szCs w:val="22"/>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End w:id="39"/>
    </w:p>
    <w:p w14:paraId="1CBF4472" w14:textId="77777777" w:rsidR="0033652B" w:rsidRPr="005C0B82" w:rsidRDefault="0033652B" w:rsidP="0033652B">
      <w:pPr>
        <w:ind w:firstLine="708"/>
        <w:contextualSpacing/>
        <w:rPr>
          <w:rFonts w:ascii="Arial" w:hAnsi="Arial" w:cs="Arial"/>
          <w:bCs/>
          <w:sz w:val="22"/>
          <w:lang w:val="es-MX" w:eastAsia="x-none"/>
        </w:rPr>
      </w:pPr>
    </w:p>
    <w:p w14:paraId="70B17877" w14:textId="77777777" w:rsidR="0033652B" w:rsidRPr="005C0B82" w:rsidRDefault="0033652B" w:rsidP="0033652B">
      <w:pPr>
        <w:contextualSpacing/>
        <w:rPr>
          <w:rFonts w:ascii="Arial" w:hAnsi="Arial" w:cs="Arial"/>
          <w:b/>
          <w:sz w:val="22"/>
          <w:lang w:eastAsia="x-none"/>
        </w:rPr>
      </w:pPr>
      <w:r w:rsidRPr="005C0B82">
        <w:rPr>
          <w:rFonts w:ascii="Arial" w:hAnsi="Arial" w:cs="Arial"/>
          <w:b/>
          <w:sz w:val="22"/>
          <w:lang w:eastAsia="x-none"/>
        </w:rPr>
        <w:t xml:space="preserve">2.3.  </w:t>
      </w:r>
      <w:bookmarkStart w:id="41" w:name="_Hlk100308399"/>
      <w:r w:rsidRPr="005C0B82">
        <w:rPr>
          <w:rFonts w:ascii="Arial" w:hAnsi="Arial" w:cs="Arial"/>
          <w:b/>
          <w:sz w:val="22"/>
          <w:lang w:eastAsia="x-none"/>
        </w:rPr>
        <w:t>Destinatarios de la restricción del artículo 33 de la Ley 996 de 2005</w:t>
      </w:r>
      <w:bookmarkEnd w:id="41"/>
    </w:p>
    <w:p w14:paraId="63677021" w14:textId="77777777" w:rsidR="0033652B" w:rsidRPr="005C0B82" w:rsidRDefault="0033652B" w:rsidP="005839CA">
      <w:pPr>
        <w:spacing w:line="276" w:lineRule="auto"/>
        <w:contextualSpacing/>
        <w:rPr>
          <w:rFonts w:ascii="Arial" w:hAnsi="Arial" w:cs="Arial"/>
          <w:bCs/>
          <w:sz w:val="22"/>
          <w:szCs w:val="22"/>
          <w:lang w:eastAsia="x-none"/>
        </w:rPr>
      </w:pPr>
    </w:p>
    <w:p w14:paraId="1557E893" w14:textId="40DC1117" w:rsidR="009C1D94" w:rsidRPr="005C0B82" w:rsidRDefault="009C1D94" w:rsidP="009C1D94">
      <w:pPr>
        <w:spacing w:line="276" w:lineRule="auto"/>
        <w:jc w:val="both"/>
        <w:rPr>
          <w:rFonts w:ascii="Arial" w:hAnsi="Arial" w:cs="Arial"/>
          <w:bCs/>
          <w:sz w:val="22"/>
          <w:szCs w:val="22"/>
          <w:lang w:val="es-MX" w:eastAsia="x-none"/>
        </w:rPr>
      </w:pPr>
      <w:bookmarkStart w:id="42" w:name="_Hlk99578018"/>
      <w:r w:rsidRPr="005C0B82">
        <w:rPr>
          <w:rFonts w:ascii="Arial"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C0B82">
        <w:rPr>
          <w:rFonts w:ascii="Arial" w:eastAsia="Calibri" w:hAnsi="Arial" w:cs="Arial"/>
          <w:sz w:val="22"/>
          <w:szCs w:val="22"/>
          <w:lang w:val="es-MX"/>
        </w:rPr>
        <w:t xml:space="preserve"> </w:t>
      </w:r>
      <w:r w:rsidRPr="005C0B82">
        <w:rPr>
          <w:rFonts w:ascii="Arial" w:hAnsi="Arial" w:cs="Arial"/>
          <w:bCs/>
          <w:sz w:val="22"/>
          <w:szCs w:val="22"/>
          <w:lang w:val="es-MX" w:eastAsia="x-none"/>
        </w:rPr>
        <w:t>En efecto, como ha sostenido el Consejo de Estado, el vocablo «todos» utilizado por el legislador comprende</w:t>
      </w:r>
      <w:r w:rsidRPr="005C0B82">
        <w:rPr>
          <w:rFonts w:ascii="Arial" w:eastAsia="Calibri" w:hAnsi="Arial" w:cs="Arial"/>
          <w:sz w:val="22"/>
          <w:szCs w:val="22"/>
          <w:lang w:val="es-MX"/>
        </w:rPr>
        <w:t xml:space="preserve"> </w:t>
      </w:r>
      <w:r w:rsidRPr="005C0B82">
        <w:rPr>
          <w:rFonts w:ascii="Arial" w:hAnsi="Arial" w:cs="Arial"/>
          <w:bCs/>
          <w:sz w:val="22"/>
          <w:szCs w:val="22"/>
          <w:lang w:val="es-MX"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bookmarkEnd w:id="42"/>
      <w:r w:rsidRPr="005C0B82">
        <w:rPr>
          <w:rFonts w:ascii="Arial" w:hAnsi="Arial" w:cs="Arial"/>
          <w:bCs/>
          <w:sz w:val="22"/>
          <w:szCs w:val="22"/>
          <w:lang w:val="es-MX" w:eastAsia="x-none"/>
        </w:rPr>
        <w:t xml:space="preserve">El Consejo de Estado, en Concepto con radicado 1727 de fecha 20 de febrero de 2006, consideró que: </w:t>
      </w:r>
    </w:p>
    <w:p w14:paraId="68821203" w14:textId="77777777" w:rsidR="009C1D94" w:rsidRPr="005C0B82" w:rsidRDefault="009C1D94" w:rsidP="009C1D94">
      <w:pPr>
        <w:spacing w:line="276" w:lineRule="auto"/>
        <w:ind w:firstLine="708"/>
        <w:contextualSpacing/>
        <w:jc w:val="both"/>
        <w:rPr>
          <w:rFonts w:ascii="Arial" w:hAnsi="Arial" w:cs="Arial"/>
          <w:bCs/>
          <w:sz w:val="22"/>
          <w:szCs w:val="22"/>
          <w:lang w:val="es-MX" w:eastAsia="x-none"/>
        </w:rPr>
      </w:pPr>
    </w:p>
    <w:p w14:paraId="60F9E949" w14:textId="77777777" w:rsidR="009C1D94" w:rsidRPr="005C0B82" w:rsidRDefault="009C1D94" w:rsidP="009C1D94">
      <w:pPr>
        <w:ind w:left="708" w:right="709"/>
        <w:contextualSpacing/>
        <w:jc w:val="both"/>
        <w:rPr>
          <w:rFonts w:ascii="Arial" w:hAnsi="Arial" w:cs="Arial"/>
          <w:bCs/>
          <w:sz w:val="21"/>
          <w:szCs w:val="21"/>
          <w:lang w:val="es-MX" w:eastAsia="es-CO"/>
        </w:rPr>
      </w:pPr>
      <w:r w:rsidRPr="005C0B82">
        <w:rPr>
          <w:rFonts w:ascii="Arial" w:hAnsi="Arial" w:cs="Arial"/>
          <w:bCs/>
          <w:sz w:val="21"/>
          <w:szCs w:val="21"/>
          <w:lang w:val="es-MX"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5C0B82">
        <w:rPr>
          <w:rFonts w:ascii="Arial" w:hAnsi="Arial" w:cs="Arial"/>
          <w:bCs/>
          <w:sz w:val="21"/>
          <w:szCs w:val="21"/>
          <w:vertAlign w:val="superscript"/>
          <w:lang w:val="es-MX" w:eastAsia="x-none"/>
        </w:rPr>
        <w:footnoteReference w:id="19"/>
      </w:r>
      <w:r w:rsidRPr="005C0B82">
        <w:rPr>
          <w:rFonts w:ascii="Arial" w:hAnsi="Arial" w:cs="Arial"/>
          <w:bCs/>
          <w:sz w:val="21"/>
          <w:szCs w:val="21"/>
          <w:lang w:val="es-MX" w:eastAsia="x-none"/>
        </w:rPr>
        <w:t>.</w:t>
      </w:r>
      <w:r w:rsidRPr="005C0B82">
        <w:rPr>
          <w:rFonts w:ascii="Arial" w:hAnsi="Arial" w:cs="Arial"/>
          <w:bCs/>
          <w:sz w:val="21"/>
          <w:szCs w:val="21"/>
          <w:lang w:val="es-MX" w:eastAsia="es-CO"/>
        </w:rPr>
        <w:t xml:space="preserve"> </w:t>
      </w:r>
    </w:p>
    <w:p w14:paraId="6E777A72" w14:textId="77777777" w:rsidR="009C1D94" w:rsidRPr="005C0B82" w:rsidRDefault="009C1D94" w:rsidP="009C1D94">
      <w:pPr>
        <w:spacing w:line="276" w:lineRule="auto"/>
        <w:ind w:firstLine="708"/>
        <w:contextualSpacing/>
        <w:jc w:val="both"/>
        <w:rPr>
          <w:rFonts w:ascii="Arial" w:hAnsi="Arial" w:cs="Arial"/>
          <w:bCs/>
          <w:sz w:val="22"/>
          <w:szCs w:val="22"/>
          <w:lang w:val="es-MX" w:eastAsia="es-CO"/>
        </w:rPr>
      </w:pPr>
    </w:p>
    <w:p w14:paraId="78A15AF3" w14:textId="77777777" w:rsidR="009C1D94" w:rsidRPr="005C0B82" w:rsidRDefault="009C1D94" w:rsidP="009C1D94">
      <w:pPr>
        <w:spacing w:line="276" w:lineRule="auto"/>
        <w:ind w:firstLine="708"/>
        <w:contextualSpacing/>
        <w:jc w:val="both"/>
        <w:rPr>
          <w:rFonts w:ascii="Arial" w:eastAsia="Calibri" w:hAnsi="Arial" w:cs="Arial"/>
          <w:sz w:val="22"/>
          <w:szCs w:val="22"/>
          <w:lang w:val="es-MX"/>
        </w:rPr>
      </w:pPr>
      <w:r w:rsidRPr="005C0B82">
        <w:rPr>
          <w:rFonts w:ascii="Arial" w:hAnsi="Arial" w:cs="Arial"/>
          <w:bCs/>
          <w:sz w:val="22"/>
          <w:szCs w:val="22"/>
          <w:lang w:val="es-MX" w:eastAsia="x-none"/>
        </w:rPr>
        <w:lastRenderedPageBreak/>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3" w:name="_Hlk75635823"/>
      <w:r w:rsidRPr="005C0B82">
        <w:rPr>
          <w:rFonts w:ascii="Arial" w:hAnsi="Arial" w:cs="Arial"/>
          <w:bCs/>
          <w:sz w:val="22"/>
          <w:szCs w:val="22"/>
          <w:lang w:val="es-MX" w:eastAsia="x-none"/>
        </w:rPr>
        <w:t>»</w:t>
      </w:r>
      <w:bookmarkStart w:id="44" w:name="_Hlk75758868"/>
      <w:bookmarkStart w:id="45" w:name="_Hlk75741220"/>
      <w:bookmarkEnd w:id="43"/>
      <w:r w:rsidRPr="005C0B82">
        <w:rPr>
          <w:rFonts w:ascii="Arial" w:eastAsia="Calibri" w:hAnsi="Arial" w:cs="Arial"/>
          <w:sz w:val="22"/>
          <w:szCs w:val="22"/>
          <w:vertAlign w:val="superscript"/>
          <w:lang w:val="es-MX"/>
        </w:rPr>
        <w:footnoteReference w:id="20"/>
      </w:r>
      <w:bookmarkEnd w:id="44"/>
      <w:bookmarkEnd w:id="45"/>
      <w:r w:rsidRPr="005C0B82">
        <w:rPr>
          <w:rFonts w:ascii="Arial" w:hAnsi="Arial" w:cs="Arial"/>
          <w:bCs/>
          <w:sz w:val="22"/>
          <w:szCs w:val="22"/>
          <w:lang w:val="es-MX" w:eastAsia="x-none"/>
        </w:rPr>
        <w:t>.</w:t>
      </w:r>
      <w:r w:rsidRPr="005C0B82">
        <w:rPr>
          <w:rFonts w:ascii="Arial" w:eastAsia="Calibri" w:hAnsi="Arial" w:cs="Arial"/>
          <w:sz w:val="22"/>
          <w:szCs w:val="22"/>
          <w:lang w:val="es-MX"/>
        </w:rPr>
        <w:t xml:space="preserve"> Sin embargo, debe precisarse el siguiente aspecto que distinguió la Sala de Consulta y Servicio Civil:</w:t>
      </w:r>
    </w:p>
    <w:p w14:paraId="612B2013" w14:textId="77777777" w:rsidR="009C1D94" w:rsidRPr="005C0B82" w:rsidRDefault="009C1D94" w:rsidP="009C1D94">
      <w:pPr>
        <w:spacing w:line="276" w:lineRule="auto"/>
        <w:contextualSpacing/>
        <w:jc w:val="both"/>
        <w:rPr>
          <w:rFonts w:ascii="Arial" w:eastAsia="Calibri" w:hAnsi="Arial" w:cs="Arial"/>
          <w:sz w:val="22"/>
          <w:szCs w:val="22"/>
          <w:lang w:val="es-MX"/>
        </w:rPr>
      </w:pPr>
    </w:p>
    <w:p w14:paraId="4E7A6639" w14:textId="77777777" w:rsidR="009C1D94" w:rsidRPr="005C0B82" w:rsidRDefault="009C1D94" w:rsidP="009C1D94">
      <w:pPr>
        <w:ind w:left="708" w:right="709"/>
        <w:contextualSpacing/>
        <w:jc w:val="both"/>
        <w:rPr>
          <w:rFonts w:ascii="Arial" w:eastAsia="Calibri" w:hAnsi="Arial" w:cs="Arial"/>
          <w:sz w:val="21"/>
          <w:szCs w:val="21"/>
          <w:lang w:val="es-MX"/>
        </w:rPr>
      </w:pPr>
      <w:bookmarkStart w:id="47" w:name="_Hlk75811446"/>
      <w:r w:rsidRPr="005C0B82">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7"/>
      <w:r w:rsidRPr="005C0B82">
        <w:rPr>
          <w:rFonts w:ascii="Arial" w:eastAsia="Calibri" w:hAnsi="Arial" w:cs="Arial"/>
          <w:vertAlign w:val="superscript"/>
          <w:lang w:val="es-MX"/>
        </w:rPr>
        <w:footnoteReference w:id="21"/>
      </w:r>
      <w:r w:rsidRPr="005C0B82">
        <w:rPr>
          <w:rFonts w:ascii="Arial" w:hAnsi="Arial" w:cs="Arial"/>
          <w:bCs/>
          <w:lang w:val="es-MX" w:eastAsia="x-none"/>
        </w:rPr>
        <w:t>.</w:t>
      </w:r>
    </w:p>
    <w:p w14:paraId="48B07312" w14:textId="77777777" w:rsidR="009C1D94" w:rsidRPr="005C0B82" w:rsidRDefault="009C1D94" w:rsidP="009C1D94">
      <w:pPr>
        <w:spacing w:line="276" w:lineRule="auto"/>
        <w:contextualSpacing/>
        <w:jc w:val="both"/>
        <w:rPr>
          <w:rFonts w:ascii="Arial" w:eastAsia="Calibri" w:hAnsi="Arial" w:cs="Arial"/>
          <w:sz w:val="22"/>
          <w:szCs w:val="22"/>
          <w:lang w:val="es-MX"/>
        </w:rPr>
      </w:pPr>
    </w:p>
    <w:p w14:paraId="343B55A1" w14:textId="77777777" w:rsidR="009C1D94" w:rsidRPr="005C0B82" w:rsidRDefault="009C1D94" w:rsidP="009C1D94">
      <w:pPr>
        <w:spacing w:after="120" w:line="276" w:lineRule="auto"/>
        <w:ind w:firstLine="709"/>
        <w:jc w:val="both"/>
        <w:rPr>
          <w:rFonts w:ascii="Arial" w:hAnsi="Arial" w:cs="Arial"/>
          <w:bCs/>
          <w:sz w:val="22"/>
          <w:szCs w:val="22"/>
          <w:lang w:val="es-MX" w:eastAsia="x-none"/>
        </w:rPr>
      </w:pPr>
      <w:r w:rsidRPr="005C0B82">
        <w:rPr>
          <w:rFonts w:ascii="Arial" w:eastAsia="Calibri" w:hAnsi="Arial" w:cs="Arial"/>
          <w:sz w:val="22"/>
          <w:szCs w:val="22"/>
          <w:lang w:val="es-MX"/>
        </w:rPr>
        <w:t>Aplicando este razonamiento,</w:t>
      </w:r>
      <w:bookmarkStart w:id="48" w:name="_Hlk75811096"/>
      <w:r w:rsidRPr="005C0B82">
        <w:rPr>
          <w:rFonts w:ascii="Arial" w:eastAsia="Calibri" w:hAnsi="Arial" w:cs="Arial"/>
          <w:sz w:val="22"/>
          <w:szCs w:val="22"/>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8"/>
      <w:r w:rsidRPr="005C0B82">
        <w:rPr>
          <w:rFonts w:ascii="Arial" w:eastAsia="Calibri" w:hAnsi="Arial" w:cs="Arial"/>
          <w:sz w:val="22"/>
          <w:szCs w:val="22"/>
          <w:lang w:val="es-MX"/>
        </w:rPr>
        <w:t>»</w:t>
      </w:r>
      <w:r w:rsidRPr="005C0B82">
        <w:rPr>
          <w:rFonts w:ascii="Arial" w:eastAsia="Calibri" w:hAnsi="Arial" w:cs="Arial"/>
          <w:sz w:val="22"/>
          <w:szCs w:val="22"/>
          <w:vertAlign w:val="superscript"/>
          <w:lang w:val="es-MX"/>
        </w:rPr>
        <w:t xml:space="preserve"> </w:t>
      </w:r>
      <w:r w:rsidRPr="005C0B82">
        <w:rPr>
          <w:rFonts w:ascii="Arial" w:eastAsia="Calibri" w:hAnsi="Arial" w:cs="Arial"/>
          <w:sz w:val="22"/>
          <w:szCs w:val="22"/>
          <w:vertAlign w:val="superscript"/>
          <w:lang w:val="es-MX"/>
        </w:rPr>
        <w:footnoteReference w:id="22"/>
      </w:r>
      <w:r w:rsidRPr="005C0B82">
        <w:rPr>
          <w:rFonts w:ascii="Arial" w:eastAsia="Calibri" w:hAnsi="Arial" w:cs="Arial"/>
          <w:sz w:val="22"/>
          <w:szCs w:val="22"/>
          <w:lang w:val="es-MX"/>
        </w:rPr>
        <w:t>.</w:t>
      </w:r>
    </w:p>
    <w:p w14:paraId="6350BE07" w14:textId="77777777" w:rsidR="009C1D94" w:rsidRPr="005C0B82" w:rsidRDefault="009C1D94" w:rsidP="009C1D94">
      <w:pPr>
        <w:spacing w:line="276" w:lineRule="auto"/>
        <w:ind w:firstLine="708"/>
        <w:jc w:val="both"/>
        <w:rPr>
          <w:rFonts w:ascii="Arial" w:hAnsi="Arial" w:cs="Arial"/>
          <w:bCs/>
          <w:lang w:val="es-MX" w:eastAsia="x-none"/>
        </w:rPr>
      </w:pPr>
      <w:bookmarkStart w:id="49" w:name="_Hlk77237229"/>
      <w:r w:rsidRPr="005C0B82">
        <w:rPr>
          <w:rFonts w:ascii="Arial" w:eastAsia="Calibri" w:hAnsi="Arial" w:cs="Arial"/>
          <w:sz w:val="22"/>
          <w:szCs w:val="22"/>
          <w:lang w:val="es-MX"/>
        </w:rPr>
        <w:t xml:space="preserve">Por lo tanto, </w:t>
      </w:r>
      <w:bookmarkStart w:id="50" w:name="_Hlk100655057"/>
      <w:r w:rsidRPr="005C0B82">
        <w:rPr>
          <w:rFonts w:ascii="Arial" w:eastAsia="Calibri" w:hAnsi="Arial" w:cs="Arial"/>
          <w:sz w:val="22"/>
          <w:szCs w:val="22"/>
          <w:lang w:val="es-MX"/>
        </w:rPr>
        <w:t>la restricción prevista en la Ley 996 de 200</w:t>
      </w:r>
      <w:bookmarkStart w:id="51" w:name="_Hlk75741539"/>
      <w:r w:rsidRPr="005C0B82">
        <w:rPr>
          <w:rFonts w:ascii="Arial" w:eastAsia="Calibri" w:hAnsi="Arial" w:cs="Arial"/>
          <w:sz w:val="22"/>
          <w:szCs w:val="22"/>
          <w:lang w:val="es-MX"/>
        </w:rPr>
        <w:t xml:space="preserve">5, </w:t>
      </w:r>
      <w:r w:rsidRPr="005C0B82">
        <w:rPr>
          <w:rFonts w:ascii="Arial" w:hAnsi="Arial" w:cs="Arial"/>
          <w:bCs/>
          <w:sz w:val="22"/>
          <w:szCs w:val="22"/>
          <w:lang w:val="es-MX" w:eastAsia="x-none"/>
        </w:rPr>
        <w:t xml:space="preserve">teniendo en cuenta la finalidad de la ley de garantías electorales, cobija a cualquier ente público que pueda a </w:t>
      </w:r>
      <w:r w:rsidRPr="005C0B82">
        <w:rPr>
          <w:rFonts w:ascii="Arial" w:hAnsi="Arial" w:cs="Arial"/>
          <w:bCs/>
          <w:sz w:val="22"/>
          <w:szCs w:val="22"/>
          <w:lang w:val="es-MX" w:eastAsia="x-none"/>
        </w:rPr>
        <w:lastRenderedPageBreak/>
        <w:t>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49"/>
    <w:bookmarkEnd w:id="51"/>
    <w:bookmarkEnd w:id="50"/>
    <w:p w14:paraId="1B4299B2" w14:textId="77777777" w:rsidR="0033652B" w:rsidRPr="005C0B82" w:rsidRDefault="0033652B" w:rsidP="0033652B">
      <w:pPr>
        <w:contextualSpacing/>
        <w:rPr>
          <w:rFonts w:ascii="Arial" w:hAnsi="Arial" w:cs="Arial"/>
          <w:sz w:val="22"/>
          <w:lang w:val="es-MX"/>
        </w:rPr>
      </w:pPr>
    </w:p>
    <w:p w14:paraId="650EFC2E" w14:textId="6E36F500" w:rsidR="0033652B" w:rsidRPr="005C0B82" w:rsidRDefault="0033652B" w:rsidP="0033450D">
      <w:pPr>
        <w:contextualSpacing/>
        <w:jc w:val="both"/>
        <w:rPr>
          <w:rFonts w:ascii="Arial" w:hAnsi="Arial" w:cs="Arial"/>
          <w:b/>
          <w:bCs/>
          <w:sz w:val="22"/>
        </w:rPr>
      </w:pPr>
      <w:bookmarkStart w:id="52" w:name="_Hlk75784645"/>
      <w:r w:rsidRPr="005C0B82">
        <w:rPr>
          <w:rFonts w:ascii="Arial" w:hAnsi="Arial" w:cs="Arial"/>
          <w:b/>
          <w:bCs/>
          <w:sz w:val="22"/>
        </w:rPr>
        <w:t xml:space="preserve">2.4. </w:t>
      </w:r>
      <w:bookmarkStart w:id="53" w:name="_Hlk100308429"/>
      <w:r w:rsidR="00DA3488" w:rsidRPr="005C0B82">
        <w:rPr>
          <w:rFonts w:ascii="Arial" w:hAnsi="Arial" w:cs="Arial"/>
          <w:b/>
          <w:bCs/>
          <w:sz w:val="22"/>
          <w:lang w:eastAsia="es-CO"/>
        </w:rPr>
        <w:t xml:space="preserve">Régimen de celebración de los convenios solidarios y aplicación de la Ley de </w:t>
      </w:r>
      <w:r w:rsidR="00CE42F4" w:rsidRPr="005C0B82">
        <w:rPr>
          <w:rFonts w:ascii="Arial" w:hAnsi="Arial" w:cs="Arial"/>
          <w:b/>
          <w:bCs/>
          <w:sz w:val="22"/>
          <w:lang w:eastAsia="es-CO"/>
        </w:rPr>
        <w:t>G</w:t>
      </w:r>
      <w:r w:rsidR="00DA3488" w:rsidRPr="005C0B82">
        <w:rPr>
          <w:rFonts w:ascii="Arial" w:hAnsi="Arial" w:cs="Arial"/>
          <w:b/>
          <w:bCs/>
          <w:sz w:val="22"/>
          <w:lang w:eastAsia="es-CO"/>
        </w:rPr>
        <w:t>arantías</w:t>
      </w:r>
      <w:bookmarkEnd w:id="53"/>
      <w:r w:rsidRPr="005C0B82">
        <w:rPr>
          <w:rFonts w:ascii="Arial" w:hAnsi="Arial" w:cs="Arial"/>
          <w:b/>
          <w:bCs/>
          <w:sz w:val="22"/>
          <w:lang w:eastAsia="es-CO"/>
        </w:rPr>
        <w:t xml:space="preserve"> </w:t>
      </w:r>
    </w:p>
    <w:p w14:paraId="0AED6B99" w14:textId="7E1E1350" w:rsidR="0033652B" w:rsidRPr="005C0B82" w:rsidRDefault="0033652B" w:rsidP="0033450D">
      <w:pPr>
        <w:tabs>
          <w:tab w:val="left" w:pos="426"/>
        </w:tabs>
        <w:spacing w:line="276" w:lineRule="auto"/>
        <w:jc w:val="both"/>
        <w:rPr>
          <w:rFonts w:ascii="Arial" w:eastAsia="Calibri" w:hAnsi="Arial" w:cs="Arial"/>
          <w:bCs/>
          <w:sz w:val="22"/>
          <w:szCs w:val="22"/>
        </w:rPr>
      </w:pPr>
      <w:bookmarkStart w:id="54" w:name="_Hlk88210558"/>
    </w:p>
    <w:p w14:paraId="7548E1F1" w14:textId="77777777" w:rsidR="00702472" w:rsidRPr="005C0B82" w:rsidRDefault="00702472" w:rsidP="0033450D">
      <w:pPr>
        <w:spacing w:after="120" w:line="276" w:lineRule="auto"/>
        <w:jc w:val="both"/>
        <w:rPr>
          <w:rFonts w:ascii="Arial" w:eastAsia="Calibri" w:hAnsi="Arial" w:cs="Arial"/>
          <w:color w:val="000000" w:themeColor="text1"/>
          <w:sz w:val="22"/>
          <w:szCs w:val="22"/>
          <w:lang w:val="es-ES"/>
        </w:rPr>
      </w:pPr>
      <w:bookmarkStart w:id="55" w:name="_Hlk100655657"/>
      <w:r w:rsidRPr="005C0B82">
        <w:rPr>
          <w:rFonts w:ascii="Arial" w:eastAsia="Calibri" w:hAnsi="Arial" w:cs="Arial"/>
          <w:color w:val="000000" w:themeColor="text1"/>
          <w:sz w:val="22"/>
          <w:szCs w:val="22"/>
          <w:lang w:val="es-ES"/>
        </w:rPr>
        <w:t>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A su vez, el referido mandato constitucional faculta al Gobierno Nacional para reglamentar la materia.</w:t>
      </w:r>
    </w:p>
    <w:p w14:paraId="0810CADF" w14:textId="77777777" w:rsidR="00702472" w:rsidRPr="005C0B82" w:rsidRDefault="00702472" w:rsidP="0033450D">
      <w:pPr>
        <w:spacing w:after="120" w:line="276" w:lineRule="auto"/>
        <w:ind w:firstLine="708"/>
        <w:jc w:val="both"/>
        <w:rPr>
          <w:rFonts w:ascii="Arial" w:eastAsia="Calibri" w:hAnsi="Arial" w:cs="Arial"/>
          <w:color w:val="000000" w:themeColor="text1"/>
          <w:sz w:val="22"/>
          <w:szCs w:val="22"/>
          <w:lang w:val="es-ES"/>
        </w:rPr>
      </w:pPr>
      <w:r w:rsidRPr="005C0B82">
        <w:rPr>
          <w:rFonts w:ascii="Arial" w:eastAsia="Calibri" w:hAnsi="Arial" w:cs="Arial"/>
          <w:color w:val="000000" w:themeColor="text1"/>
          <w:sz w:val="22"/>
          <w:szCs w:val="22"/>
          <w:lang w:val="es-ES"/>
        </w:rPr>
        <w:t xml:space="preserve">En concordancia </w:t>
      </w:r>
      <w:bookmarkStart w:id="56" w:name="_Hlk99631246"/>
      <w:r w:rsidRPr="005C0B82">
        <w:rPr>
          <w:rFonts w:ascii="Arial" w:eastAsia="Calibri" w:hAnsi="Arial" w:cs="Arial"/>
          <w:color w:val="000000" w:themeColor="text1"/>
          <w:sz w:val="22"/>
          <w:szCs w:val="22"/>
          <w:lang w:val="es-ES"/>
        </w:rPr>
        <w:t>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w:t>
      </w:r>
      <w:bookmarkEnd w:id="55"/>
      <w:r w:rsidRPr="005C0B82">
        <w:rPr>
          <w:rFonts w:ascii="Arial" w:eastAsia="Calibri" w:hAnsi="Arial" w:cs="Arial"/>
          <w:color w:val="000000" w:themeColor="text1"/>
          <w:sz w:val="22"/>
          <w:szCs w:val="22"/>
          <w:lang w:val="es-ES"/>
        </w:rPr>
        <w:t>.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07438B48" w14:textId="77777777" w:rsidR="00702472" w:rsidRPr="005C0B82" w:rsidRDefault="00702472" w:rsidP="0033450D">
      <w:pPr>
        <w:spacing w:after="120" w:line="276" w:lineRule="auto"/>
        <w:ind w:firstLine="708"/>
        <w:jc w:val="both"/>
        <w:rPr>
          <w:rFonts w:ascii="Arial" w:eastAsia="Calibri" w:hAnsi="Arial" w:cs="Arial"/>
          <w:color w:val="000000" w:themeColor="text1"/>
          <w:sz w:val="22"/>
          <w:szCs w:val="22"/>
          <w:lang w:val="es-ES"/>
        </w:rPr>
      </w:pPr>
      <w:r w:rsidRPr="005C0B82">
        <w:rPr>
          <w:rFonts w:ascii="Arial" w:eastAsia="Calibri" w:hAnsi="Arial" w:cs="Arial"/>
          <w:color w:val="000000" w:themeColor="text1"/>
          <w:sz w:val="22"/>
          <w:szCs w:val="22"/>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5C0B82">
        <w:rPr>
          <w:rFonts w:ascii="Arial" w:eastAsia="Calibri" w:hAnsi="Arial" w:cs="Arial"/>
          <w:color w:val="000000" w:themeColor="text1"/>
          <w:sz w:val="22"/>
          <w:szCs w:val="22"/>
          <w:vertAlign w:val="superscript"/>
        </w:rPr>
        <w:footnoteReference w:id="23"/>
      </w:r>
      <w:r w:rsidRPr="005C0B82">
        <w:rPr>
          <w:rFonts w:ascii="Arial" w:eastAsia="Calibri" w:hAnsi="Arial" w:cs="Arial"/>
          <w:color w:val="000000" w:themeColor="text1"/>
          <w:sz w:val="22"/>
          <w:szCs w:val="22"/>
          <w:lang w:val="es-ES"/>
        </w:rPr>
        <w:t>.</w:t>
      </w:r>
    </w:p>
    <w:p w14:paraId="4542FA76" w14:textId="77777777" w:rsidR="00702472" w:rsidRPr="005C0B82" w:rsidRDefault="00702472" w:rsidP="0033450D">
      <w:pPr>
        <w:spacing w:after="120" w:line="276" w:lineRule="auto"/>
        <w:ind w:firstLine="708"/>
        <w:jc w:val="both"/>
        <w:rPr>
          <w:rFonts w:ascii="Arial" w:eastAsia="Calibri" w:hAnsi="Arial" w:cs="Arial"/>
          <w:color w:val="000000" w:themeColor="text1"/>
          <w:sz w:val="22"/>
          <w:szCs w:val="22"/>
          <w:lang w:val="es-ES"/>
        </w:rPr>
      </w:pPr>
      <w:r w:rsidRPr="005C0B82">
        <w:rPr>
          <w:rFonts w:ascii="Arial" w:eastAsia="Calibri" w:hAnsi="Arial" w:cs="Arial"/>
          <w:color w:val="000000" w:themeColor="text1"/>
          <w:sz w:val="22"/>
          <w:szCs w:val="22"/>
          <w:lang w:val="es-ES"/>
        </w:rPr>
        <w:lastRenderedPageBreak/>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358F4846" w14:textId="77777777" w:rsidR="00702472" w:rsidRPr="005C0B82" w:rsidRDefault="00702472" w:rsidP="0033450D">
      <w:pPr>
        <w:spacing w:after="120" w:line="276" w:lineRule="auto"/>
        <w:ind w:firstLine="709"/>
        <w:jc w:val="both"/>
        <w:rPr>
          <w:rFonts w:ascii="Arial" w:eastAsia="Calibri" w:hAnsi="Arial" w:cs="Arial"/>
          <w:color w:val="000000" w:themeColor="text1"/>
          <w:sz w:val="22"/>
          <w:szCs w:val="22"/>
          <w:lang w:val="es-ES"/>
        </w:rPr>
      </w:pPr>
      <w:r w:rsidRPr="005C0B82">
        <w:rPr>
          <w:rFonts w:ascii="Arial" w:eastAsia="Calibri" w:hAnsi="Arial" w:cs="Arial"/>
          <w:color w:val="000000" w:themeColor="text1"/>
          <w:sz w:val="22"/>
          <w:szCs w:val="22"/>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54D4833D" w14:textId="77777777" w:rsidR="00702472" w:rsidRPr="005C0B82" w:rsidRDefault="00702472" w:rsidP="0033450D">
      <w:pPr>
        <w:spacing w:after="120" w:line="276" w:lineRule="auto"/>
        <w:ind w:firstLine="709"/>
        <w:jc w:val="both"/>
        <w:rPr>
          <w:rFonts w:ascii="Arial" w:eastAsia="Calibri" w:hAnsi="Arial" w:cs="Arial"/>
          <w:color w:val="000000" w:themeColor="text1"/>
          <w:sz w:val="22"/>
          <w:szCs w:val="22"/>
          <w:lang w:val="es-ES"/>
        </w:rPr>
      </w:pPr>
      <w:r w:rsidRPr="005C0B82">
        <w:rPr>
          <w:rFonts w:ascii="Arial" w:eastAsia="Calibri" w:hAnsi="Arial" w:cs="Arial"/>
          <w:color w:val="000000" w:themeColor="text1"/>
          <w:sz w:val="22"/>
          <w:szCs w:val="22"/>
          <w:lang w:val="es-ES"/>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56"/>
      <w:r w:rsidRPr="005C0B82">
        <w:rPr>
          <w:rFonts w:ascii="Arial" w:eastAsia="Calibri" w:hAnsi="Arial" w:cs="Arial"/>
          <w:color w:val="000000" w:themeColor="text1"/>
          <w:sz w:val="22"/>
          <w:szCs w:val="22"/>
          <w:lang w:val="es-ES"/>
        </w:rPr>
        <w:t xml:space="preserve">del interés público, y ser concordantes con el Plan Nacional o los planes seccionales de desarrollo, según el caso. </w:t>
      </w:r>
    </w:p>
    <w:p w14:paraId="77BBA4E2" w14:textId="0D9BF8DE" w:rsidR="00702472" w:rsidRPr="005C0B82" w:rsidRDefault="00702472" w:rsidP="0033450D">
      <w:pPr>
        <w:spacing w:after="120" w:line="276" w:lineRule="auto"/>
        <w:ind w:firstLine="709"/>
        <w:jc w:val="both"/>
        <w:rPr>
          <w:rFonts w:ascii="Arial" w:hAnsi="Arial" w:cs="Arial"/>
          <w:color w:val="000000" w:themeColor="text1"/>
          <w:sz w:val="22"/>
          <w:szCs w:val="22"/>
          <w:lang w:val="es-ES"/>
        </w:rPr>
      </w:pPr>
      <w:r w:rsidRPr="005C0B82">
        <w:rPr>
          <w:rFonts w:ascii="Arial" w:hAnsi="Arial" w:cs="Arial"/>
          <w:color w:val="000000" w:themeColor="text1"/>
          <w:sz w:val="22"/>
          <w:szCs w:val="22"/>
          <w:lang w:val="es-ES"/>
        </w:rPr>
        <w:t xml:space="preserve">De esta manera, habiendo abordado las características generales aplicables a la celebración de cualquier convenio solidario, debe destacarse que el </w:t>
      </w:r>
      <w:bookmarkStart w:id="57" w:name="_Hlk69293147"/>
      <w:r w:rsidRPr="005C0B82">
        <w:rPr>
          <w:rFonts w:ascii="Arial" w:hAnsi="Arial" w:cs="Arial"/>
          <w:i/>
          <w:iCs/>
          <w:color w:val="000000" w:themeColor="text1"/>
          <w:sz w:val="22"/>
          <w:szCs w:val="22"/>
          <w:lang w:val="es-ES"/>
        </w:rPr>
        <w:t>primer régimen</w:t>
      </w:r>
      <w:r w:rsidRPr="005C0B82">
        <w:rPr>
          <w:rFonts w:ascii="Arial" w:hAnsi="Arial" w:cs="Arial"/>
          <w:color w:val="000000" w:themeColor="text1"/>
          <w:sz w:val="22"/>
          <w:szCs w:val="22"/>
          <w:lang w:val="es-ES"/>
        </w:rPr>
        <w:t xml:space="preserve"> encuentra su fundamento en el </w:t>
      </w:r>
      <w:r w:rsidRPr="005C0B82">
        <w:rPr>
          <w:rFonts w:ascii="Arial" w:hAnsi="Arial" w:cs="Arial"/>
          <w:i/>
          <w:iCs/>
          <w:color w:val="000000" w:themeColor="text1"/>
          <w:sz w:val="22"/>
          <w:szCs w:val="22"/>
          <w:lang w:val="es-ES"/>
        </w:rPr>
        <w:t>parágrafo cuarto del artículo 3 de la Ley 136 de 1994</w:t>
      </w:r>
      <w:r w:rsidRPr="005C0B82">
        <w:rPr>
          <w:rFonts w:ascii="Arial" w:hAnsi="Arial" w:cs="Arial"/>
          <w:color w:val="000000" w:themeColor="text1"/>
          <w:sz w:val="22"/>
          <w:szCs w:val="22"/>
          <w:lang w:val="es-ES"/>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r w:rsidR="000D7FF7" w:rsidRPr="005C0B82">
        <w:rPr>
          <w:rStyle w:val="Refdenotaalpie"/>
          <w:rFonts w:ascii="Arial" w:hAnsi="Arial" w:cs="Arial"/>
          <w:color w:val="000000" w:themeColor="text1"/>
          <w:sz w:val="22"/>
          <w:szCs w:val="22"/>
          <w:lang w:val="es-ES"/>
        </w:rPr>
        <w:footnoteReference w:id="24"/>
      </w:r>
      <w:r w:rsidRPr="005C0B82">
        <w:rPr>
          <w:rFonts w:ascii="Arial" w:hAnsi="Arial" w:cs="Arial"/>
          <w:color w:val="000000" w:themeColor="text1"/>
          <w:sz w:val="22"/>
          <w:szCs w:val="22"/>
          <w:lang w:val="es-ES"/>
        </w:rPr>
        <w:t>.</w:t>
      </w:r>
      <w:bookmarkEnd w:id="57"/>
      <w:r w:rsidRPr="005C0B82">
        <w:rPr>
          <w:rFonts w:ascii="Arial" w:hAnsi="Arial" w:cs="Arial"/>
          <w:color w:val="000000" w:themeColor="text1"/>
          <w:sz w:val="22"/>
          <w:szCs w:val="22"/>
          <w:lang w:val="es-ES"/>
        </w:rPr>
        <w:t xml:space="preserve"> </w:t>
      </w:r>
    </w:p>
    <w:p w14:paraId="74B15740" w14:textId="77777777" w:rsidR="00702472" w:rsidRPr="005C0B82" w:rsidRDefault="00702472" w:rsidP="0033450D">
      <w:pPr>
        <w:spacing w:after="120" w:line="276" w:lineRule="auto"/>
        <w:ind w:firstLine="709"/>
        <w:jc w:val="both"/>
        <w:rPr>
          <w:rFonts w:ascii="Arial" w:hAnsi="Arial" w:cs="Arial"/>
          <w:color w:val="000000" w:themeColor="text1"/>
          <w:sz w:val="22"/>
          <w:szCs w:val="22"/>
          <w:lang w:val="es-ES"/>
        </w:rPr>
      </w:pPr>
      <w:r w:rsidRPr="005C0B82">
        <w:rPr>
          <w:rFonts w:ascii="Arial" w:hAnsi="Arial" w:cs="Arial"/>
          <w:color w:val="000000" w:themeColor="text1"/>
          <w:sz w:val="22"/>
          <w:szCs w:val="22"/>
          <w:lang w:val="es-ES"/>
        </w:rPr>
        <w:t xml:space="preserve">Un </w:t>
      </w:r>
      <w:r w:rsidRPr="005C0B82">
        <w:rPr>
          <w:rFonts w:ascii="Arial" w:hAnsi="Arial" w:cs="Arial"/>
          <w:i/>
          <w:iCs/>
          <w:color w:val="000000" w:themeColor="text1"/>
          <w:sz w:val="22"/>
          <w:szCs w:val="22"/>
          <w:lang w:val="es-ES"/>
        </w:rPr>
        <w:t>segundo</w:t>
      </w:r>
      <w:r w:rsidRPr="005C0B82">
        <w:rPr>
          <w:rFonts w:ascii="Arial" w:hAnsi="Arial" w:cs="Arial"/>
          <w:color w:val="000000" w:themeColor="text1"/>
          <w:sz w:val="22"/>
          <w:szCs w:val="22"/>
          <w:lang w:val="es-ES"/>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526D3AD8" w14:textId="77777777" w:rsidR="00702472" w:rsidRPr="005C0B82" w:rsidRDefault="00702472" w:rsidP="0033450D">
      <w:pPr>
        <w:spacing w:after="120" w:line="276" w:lineRule="auto"/>
        <w:ind w:firstLine="709"/>
        <w:jc w:val="both"/>
        <w:rPr>
          <w:rFonts w:ascii="Arial" w:hAnsi="Arial" w:cs="Arial"/>
          <w:color w:val="000000" w:themeColor="text1"/>
          <w:sz w:val="22"/>
          <w:szCs w:val="22"/>
          <w:lang w:val="es-ES"/>
        </w:rPr>
      </w:pPr>
      <w:r w:rsidRPr="005C0B82">
        <w:rPr>
          <w:rFonts w:ascii="Arial" w:hAnsi="Arial" w:cs="Arial"/>
          <w:color w:val="000000" w:themeColor="text1"/>
          <w:sz w:val="22"/>
          <w:szCs w:val="22"/>
          <w:lang w:val="es-ES"/>
        </w:rPr>
        <w:lastRenderedPageBreak/>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43774F67" w14:textId="77777777" w:rsidR="00702472" w:rsidRPr="005C0B82" w:rsidRDefault="00702472" w:rsidP="0033450D">
      <w:pPr>
        <w:spacing w:after="120" w:line="276" w:lineRule="auto"/>
        <w:ind w:firstLine="709"/>
        <w:jc w:val="both"/>
        <w:rPr>
          <w:rFonts w:ascii="Arial" w:hAnsi="Arial" w:cs="Arial"/>
          <w:color w:val="000000" w:themeColor="text1"/>
          <w:sz w:val="22"/>
          <w:szCs w:val="22"/>
          <w:lang w:val="es-ES"/>
        </w:rPr>
      </w:pPr>
      <w:r w:rsidRPr="005C0B82">
        <w:rPr>
          <w:rFonts w:ascii="Arial" w:hAnsi="Arial" w:cs="Arial"/>
          <w:color w:val="000000" w:themeColor="text1"/>
          <w:sz w:val="22"/>
          <w:szCs w:val="22"/>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532E0193" w14:textId="23BBCB13" w:rsidR="00702472" w:rsidRPr="005C0B82" w:rsidRDefault="00702472" w:rsidP="00702472">
      <w:pPr>
        <w:spacing w:line="276" w:lineRule="auto"/>
        <w:ind w:firstLine="709"/>
        <w:jc w:val="both"/>
        <w:rPr>
          <w:rFonts w:ascii="Arial" w:hAnsi="Arial" w:cs="Arial"/>
          <w:color w:val="000000" w:themeColor="text1"/>
          <w:sz w:val="22"/>
          <w:szCs w:val="22"/>
          <w:lang w:val="es-ES"/>
        </w:rPr>
      </w:pPr>
      <w:r w:rsidRPr="005C0B82">
        <w:rPr>
          <w:rFonts w:ascii="Arial" w:hAnsi="Arial" w:cs="Arial"/>
          <w:i/>
          <w:iCs/>
          <w:color w:val="000000" w:themeColor="text1"/>
          <w:sz w:val="22"/>
          <w:szCs w:val="22"/>
          <w:lang w:val="es-ES"/>
        </w:rPr>
        <w:t>Por último</w:t>
      </w:r>
      <w:r w:rsidRPr="005C0B82">
        <w:rPr>
          <w:rFonts w:ascii="Arial" w:hAnsi="Arial" w:cs="Arial"/>
          <w:color w:val="000000" w:themeColor="text1"/>
          <w:sz w:val="22"/>
          <w:szCs w:val="22"/>
          <w:lang w:val="es-ES"/>
        </w:rPr>
        <w:t xml:space="preserve">, en armonía con la modificación realizada por la Ley 1955 de 2019, se presenta un </w:t>
      </w:r>
      <w:r w:rsidRPr="005C0B82">
        <w:rPr>
          <w:rFonts w:ascii="Arial" w:hAnsi="Arial" w:cs="Arial"/>
          <w:i/>
          <w:iCs/>
          <w:color w:val="000000" w:themeColor="text1"/>
          <w:sz w:val="22"/>
          <w:szCs w:val="22"/>
          <w:lang w:val="es-ES"/>
        </w:rPr>
        <w:t>tercer régimen</w:t>
      </w:r>
      <w:r w:rsidRPr="005C0B82">
        <w:rPr>
          <w:rFonts w:ascii="Arial" w:hAnsi="Arial" w:cs="Arial"/>
          <w:color w:val="000000" w:themeColor="text1"/>
          <w:sz w:val="22"/>
          <w:szCs w:val="22"/>
          <w:lang w:val="es-ES"/>
        </w:rPr>
        <w:t xml:space="preserve">, </w:t>
      </w:r>
      <w:bookmarkStart w:id="58" w:name="_Hlk98594490"/>
      <w:r w:rsidRPr="005C0B82">
        <w:rPr>
          <w:rFonts w:ascii="Arial" w:hAnsi="Arial" w:cs="Arial"/>
          <w:color w:val="000000" w:themeColor="text1"/>
          <w:sz w:val="22"/>
          <w:szCs w:val="22"/>
          <w:lang w:val="es-ES"/>
        </w:rPr>
        <w:t>que encuentra su fundamento en los parágrafos tercero y quinto del artículo tercero de la Ley 136 de 1994</w:t>
      </w:r>
      <w:bookmarkEnd w:id="58"/>
      <w:r w:rsidRPr="005C0B82">
        <w:rPr>
          <w:rFonts w:ascii="Arial" w:hAnsi="Arial" w:cs="Arial"/>
          <w:color w:val="000000" w:themeColor="text1"/>
          <w:sz w:val="22"/>
          <w:szCs w:val="22"/>
          <w:lang w:val="es-ES"/>
        </w:rPr>
        <w:t>. Retomando los conceptos de esta Agencia</w:t>
      </w:r>
      <w:r w:rsidRPr="005C0B82">
        <w:rPr>
          <w:rFonts w:ascii="Arial" w:hAnsi="Arial" w:cs="Arial"/>
          <w:color w:val="000000" w:themeColor="text1"/>
          <w:sz w:val="22"/>
          <w:szCs w:val="22"/>
          <w:vertAlign w:val="superscript"/>
          <w:lang w:val="es-ES"/>
        </w:rPr>
        <w:footnoteReference w:id="25"/>
      </w:r>
      <w:r w:rsidRPr="005C0B82">
        <w:rPr>
          <w:rFonts w:ascii="Arial" w:hAnsi="Arial" w:cs="Arial"/>
          <w:color w:val="000000" w:themeColor="text1"/>
          <w:sz w:val="22"/>
          <w:szCs w:val="22"/>
          <w:lang w:val="es-ES"/>
        </w:rPr>
        <w:t>, se ha considerado que estas normas deben interpretarse armónicamente con lo dispuesto en el artículo 141 de la precitada Ley</w:t>
      </w:r>
      <w:r w:rsidRPr="005C0B82">
        <w:rPr>
          <w:rFonts w:ascii="Arial" w:hAnsi="Arial" w:cs="Arial"/>
          <w:color w:val="000000" w:themeColor="text1"/>
          <w:sz w:val="22"/>
          <w:szCs w:val="22"/>
          <w:vertAlign w:val="superscript"/>
          <w:lang w:val="es-ES"/>
        </w:rPr>
        <w:footnoteReference w:id="26"/>
      </w:r>
      <w:r w:rsidRPr="005C0B82">
        <w:rPr>
          <w:rFonts w:ascii="Arial" w:hAnsi="Arial" w:cs="Arial"/>
          <w:color w:val="000000" w:themeColor="text1"/>
          <w:sz w:val="22"/>
          <w:szCs w:val="22"/>
          <w:lang w:val="es-ES"/>
        </w:rPr>
        <w:t xml:space="preserve"> y el artículo 55 de la Ley 743 de 2002</w:t>
      </w:r>
      <w:r w:rsidRPr="005C0B82">
        <w:rPr>
          <w:rFonts w:ascii="Arial" w:hAnsi="Arial" w:cs="Arial"/>
          <w:color w:val="000000" w:themeColor="text1"/>
          <w:sz w:val="22"/>
          <w:szCs w:val="22"/>
          <w:vertAlign w:val="superscript"/>
          <w:lang w:val="es-ES"/>
        </w:rPr>
        <w:footnoteReference w:id="27"/>
      </w:r>
      <w:r w:rsidRPr="005C0B82">
        <w:rPr>
          <w:rFonts w:ascii="Arial" w:hAnsi="Arial" w:cs="Arial"/>
          <w:color w:val="000000" w:themeColor="text1"/>
          <w:sz w:val="22"/>
          <w:szCs w:val="22"/>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w:t>
      </w:r>
      <w:r w:rsidRPr="005C0B82">
        <w:rPr>
          <w:rFonts w:ascii="Arial" w:hAnsi="Arial" w:cs="Arial"/>
          <w:color w:val="000000" w:themeColor="text1"/>
          <w:sz w:val="22"/>
          <w:szCs w:val="22"/>
          <w:lang w:val="es-ES"/>
        </w:rPr>
        <w:lastRenderedPageBreak/>
        <w:t>tercero del artículo tercero de la Ley 136 de 1994, en consonancia con el artículo 355 constitucional; y iii) no exista otra forma especial de contratación.</w:t>
      </w:r>
    </w:p>
    <w:p w14:paraId="6728366B" w14:textId="5A2EC8F7" w:rsidR="00C040EF" w:rsidRPr="005C0B82" w:rsidRDefault="00C040EF" w:rsidP="00C040EF">
      <w:pPr>
        <w:spacing w:before="120" w:after="120" w:line="276" w:lineRule="auto"/>
        <w:ind w:firstLine="709"/>
        <w:jc w:val="both"/>
        <w:rPr>
          <w:rFonts w:ascii="Arial" w:eastAsia="Calibri" w:hAnsi="Arial" w:cs="Arial"/>
          <w:color w:val="000000" w:themeColor="text1"/>
          <w:sz w:val="22"/>
          <w:szCs w:val="22"/>
          <w:lang w:val="es-ES" w:eastAsia="en-US"/>
        </w:rPr>
      </w:pPr>
      <w:bookmarkStart w:id="60" w:name="_Hlk100655724"/>
      <w:r w:rsidRPr="005C0B82">
        <w:rPr>
          <w:rFonts w:ascii="Arial" w:hAnsi="Arial" w:cs="Arial"/>
          <w:bCs/>
          <w:color w:val="000000" w:themeColor="text1"/>
          <w:sz w:val="22"/>
          <w:szCs w:val="22"/>
          <w:lang w:val="es-ES_tradnl" w:eastAsia="x-none"/>
        </w:rPr>
        <w:t xml:space="preserve">Aplicadas las consideraciones </w:t>
      </w:r>
      <w:r w:rsidR="006F3271" w:rsidRPr="005C0B82">
        <w:rPr>
          <w:rFonts w:ascii="Arial" w:hAnsi="Arial" w:cs="Arial"/>
          <w:bCs/>
          <w:color w:val="000000" w:themeColor="text1"/>
          <w:sz w:val="22"/>
          <w:szCs w:val="22"/>
          <w:lang w:val="es-ES_tradnl" w:eastAsia="x-none"/>
        </w:rPr>
        <w:t>de los acápites precedentes al tema objeto de consulta</w:t>
      </w:r>
      <w:r w:rsidRPr="005C0B82">
        <w:rPr>
          <w:rFonts w:ascii="Arial" w:hAnsi="Arial" w:cs="Arial"/>
          <w:bCs/>
          <w:color w:val="000000" w:themeColor="text1"/>
          <w:sz w:val="22"/>
          <w:szCs w:val="22"/>
          <w:lang w:val="es-ES_tradnl" w:eastAsia="x-none"/>
        </w:rPr>
        <w:t>,</w:t>
      </w:r>
      <w:r w:rsidRPr="005C0B82">
        <w:rPr>
          <w:rFonts w:ascii="Arial" w:eastAsia="Calibri" w:hAnsi="Arial" w:cs="Arial"/>
          <w:color w:val="000000" w:themeColor="text1"/>
          <w:sz w:val="22"/>
          <w:szCs w:val="22"/>
          <w:lang w:val="es-ES" w:eastAsia="en-US"/>
        </w:rPr>
        <w:t xml:space="preserve"> se reitera que el artículo 33 de la Ley 996 de 2005 prohíbe la contratación directa «Durante los cuatro (4) meses anteriores a la elección presidencial y hasta la realización de la elección en la segunda vuelta». Esta norma consagra excepciones taxativas a dicha prohibición, dentro de las cuales no está prevista la posibilidad de que se celebren </w:t>
      </w:r>
      <w:r w:rsidRPr="005C0B82">
        <w:rPr>
          <w:rFonts w:ascii="Arial" w:eastAsia="Calibri" w:hAnsi="Arial" w:cs="Arial"/>
          <w:i/>
          <w:iCs/>
          <w:color w:val="000000" w:themeColor="text1"/>
          <w:sz w:val="22"/>
          <w:szCs w:val="22"/>
          <w:lang w:val="es-ES" w:eastAsia="en-US"/>
        </w:rPr>
        <w:t>directamente</w:t>
      </w:r>
      <w:r w:rsidRPr="005C0B82">
        <w:rPr>
          <w:rFonts w:ascii="Arial" w:eastAsia="Calibri" w:hAnsi="Arial" w:cs="Arial"/>
          <w:color w:val="000000" w:themeColor="text1"/>
          <w:sz w:val="22"/>
          <w:szCs w:val="22"/>
          <w:lang w:val="es-ES" w:eastAsia="en-US"/>
        </w:rPr>
        <w:t xml:space="preserve"> convenios solidarios por parte de las entidades territoriales. Por tanto, como lo señala la Circular Conjunta 100-006 de 2021 del Departamento Administrativo de la Presidencia de la República y del Departamento Administrativo de la Función Pública</w:t>
      </w:r>
      <w:r w:rsidRPr="005C0B82">
        <w:rPr>
          <w:rFonts w:ascii="Arial" w:eastAsia="Calibri" w:hAnsi="Arial" w:cs="Arial"/>
          <w:color w:val="000000" w:themeColor="text1"/>
          <w:vertAlign w:val="superscript"/>
        </w:rPr>
        <w:footnoteReference w:id="28"/>
      </w:r>
      <w:r w:rsidRPr="005C0B82">
        <w:rPr>
          <w:rFonts w:ascii="Arial" w:eastAsia="Calibri" w:hAnsi="Arial" w:cs="Arial"/>
          <w:color w:val="000000" w:themeColor="text1"/>
          <w:sz w:val="22"/>
          <w:szCs w:val="22"/>
          <w:lang w:val="es-ES" w:eastAsia="en-US"/>
        </w:rPr>
        <w:t xml:space="preserve">, el artículo 33 de la Ley de Garantías Electorales «restringe la contratación directa por parte de todos los entes del Estado desde el día 29 de enero de 2022 y hasta la elección en segunda vuelta, si fuere el caso». Dentro de esta restricción queda contemplada la prohibición de celebrar </w:t>
      </w:r>
      <w:r w:rsidRPr="005C0B82">
        <w:rPr>
          <w:rFonts w:ascii="Arial" w:eastAsia="Calibri" w:hAnsi="Arial" w:cs="Arial"/>
          <w:i/>
          <w:iCs/>
          <w:color w:val="000000" w:themeColor="text1"/>
          <w:sz w:val="22"/>
          <w:szCs w:val="22"/>
          <w:lang w:val="es-ES" w:eastAsia="en-US"/>
        </w:rPr>
        <w:t>directamente</w:t>
      </w:r>
      <w:r w:rsidRPr="005C0B82">
        <w:rPr>
          <w:rFonts w:ascii="Arial" w:eastAsia="Calibri" w:hAnsi="Arial" w:cs="Arial"/>
          <w:color w:val="000000" w:themeColor="text1"/>
          <w:sz w:val="22"/>
          <w:szCs w:val="22"/>
          <w:lang w:val="es-ES" w:eastAsia="en-US"/>
        </w:rPr>
        <w:t xml:space="preserve"> convenios solidarios. Lo anterior, salvo que en el caso concreto se presente alguna de las excepciones establecidas a la prohibición consagrada en el inciso segundo del artículo 33 de la Ley de Garantías Electorales.</w:t>
      </w:r>
    </w:p>
    <w:p w14:paraId="0CBC8429" w14:textId="77777777" w:rsidR="00C040EF" w:rsidRPr="005C0B82" w:rsidRDefault="00C040EF" w:rsidP="00C040EF">
      <w:pPr>
        <w:spacing w:before="120" w:line="276" w:lineRule="auto"/>
        <w:ind w:firstLine="708"/>
        <w:jc w:val="both"/>
        <w:rPr>
          <w:rFonts w:ascii="Arial" w:eastAsiaTheme="minorHAnsi" w:hAnsi="Arial" w:cs="Arial"/>
          <w:color w:val="000000" w:themeColor="text1"/>
          <w:sz w:val="22"/>
          <w:szCs w:val="22"/>
          <w:lang w:val="es-MX" w:eastAsia="en-US"/>
        </w:rPr>
      </w:pPr>
      <w:r w:rsidRPr="005C0B82">
        <w:rPr>
          <w:rFonts w:ascii="Arial" w:hAnsi="Arial" w:cs="Arial"/>
          <w:bCs/>
          <w:color w:val="000000" w:themeColor="text1"/>
          <w:sz w:val="22"/>
          <w:lang w:val="es-ES_tradnl"/>
        </w:rPr>
        <w:t>Sin perjuicio de lo anterior,</w:t>
      </w:r>
      <w:r w:rsidRPr="005C0B82">
        <w:rPr>
          <w:rFonts w:ascii="Arial" w:eastAsia="Calibri" w:hAnsi="Arial" w:cs="Arial"/>
          <w:color w:val="000000" w:themeColor="text1"/>
          <w:sz w:val="22"/>
          <w:lang w:val="es-ES"/>
        </w:rPr>
        <w:t xml:space="preserve"> dado que lo prohibido es la contratación </w:t>
      </w:r>
      <w:r w:rsidRPr="005C0B82">
        <w:rPr>
          <w:rFonts w:ascii="Arial" w:eastAsia="Calibri" w:hAnsi="Arial" w:cs="Arial"/>
          <w:i/>
          <w:iCs/>
          <w:color w:val="000000" w:themeColor="text1"/>
          <w:sz w:val="22"/>
          <w:lang w:val="es-ES"/>
        </w:rPr>
        <w:t xml:space="preserve">directa, </w:t>
      </w:r>
      <w:r w:rsidRPr="005C0B82">
        <w:rPr>
          <w:rFonts w:ascii="Arial" w:eastAsia="Calibri" w:hAnsi="Arial" w:cs="Arial"/>
          <w:color w:val="000000" w:themeColor="text1"/>
          <w:sz w:val="22"/>
          <w:lang w:val="es-ES"/>
        </w:rPr>
        <w:t xml:space="preserve">en cada caso particular debe analizarse la forma en que se celebrará el convenio solidario, de acuerdo con el marco jurídico que los regula, bajo la premisa de que las entidades estatales </w:t>
      </w:r>
      <w:r w:rsidRPr="005C0B82">
        <w:rPr>
          <w:rFonts w:ascii="Arial" w:eastAsiaTheme="minorHAnsi" w:hAnsi="Arial" w:cs="Arial"/>
          <w:color w:val="000000" w:themeColor="text1"/>
          <w:sz w:val="22"/>
          <w:szCs w:val="22"/>
          <w:lang w:val="es-MX" w:eastAsia="en-US"/>
        </w:rPr>
        <w:t xml:space="preserve">podrán suscribir convenios solidarios durante la vigencia de la prohibición analizada, en tanto se de aplicación a un proceso competitivo para la selección del contratista, esto es, en el que exista convocatoria pública y posibilidad de participación de pluralidad de oferentes. </w:t>
      </w:r>
      <w:bookmarkEnd w:id="60"/>
      <w:r w:rsidRPr="005C0B82">
        <w:rPr>
          <w:rFonts w:ascii="Arial" w:eastAsiaTheme="minorHAnsi" w:hAnsi="Arial" w:cs="Arial"/>
          <w:color w:val="000000" w:themeColor="text1"/>
          <w:sz w:val="22"/>
          <w:szCs w:val="22"/>
          <w:lang w:val="es-MX" w:eastAsia="en-US"/>
        </w:rPr>
        <w:t xml:space="preserve">Esto, debido a que la prohibición de contratación directa del artículo 33 de la Ley de Garantías Electorales únicamente aplica a los procedimientos «no competitivos», que son los que implican una contratación directa. En efecto, como lo explica la Sala de Consulta y Servicio Civil del Consejo de Estado: </w:t>
      </w:r>
      <w:r w:rsidRPr="005C0B82">
        <w:rPr>
          <w:rFonts w:ascii="Arial" w:hAnsi="Arial" w:cs="Arial"/>
          <w:color w:val="000000" w:themeColor="text1"/>
          <w:sz w:val="21"/>
          <w:szCs w:val="21"/>
        </w:rPr>
        <w:t>«</w:t>
      </w:r>
      <w:r w:rsidRPr="005C0B82">
        <w:rPr>
          <w:rFonts w:ascii="Arial" w:eastAsiaTheme="minorHAnsi" w:hAnsi="Arial" w:cs="Arial"/>
          <w:color w:val="000000" w:themeColor="text1"/>
          <w:sz w:val="22"/>
          <w:szCs w:val="22"/>
          <w:lang w:val="es-MX" w:eastAsia="en-US"/>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5C0B82">
        <w:rPr>
          <w:rFonts w:ascii="Arial" w:hAnsi="Arial" w:cs="Arial"/>
          <w:color w:val="000000" w:themeColor="text1"/>
        </w:rPr>
        <w:t>»</w:t>
      </w:r>
      <w:r w:rsidRPr="005C0B82">
        <w:rPr>
          <w:rFonts w:ascii="Arial" w:eastAsiaTheme="minorHAnsi" w:hAnsi="Arial" w:cs="Arial"/>
          <w:color w:val="000000" w:themeColor="text1"/>
          <w:sz w:val="22"/>
          <w:szCs w:val="22"/>
          <w:lang w:val="es-MX" w:eastAsia="en-US"/>
        </w:rPr>
        <w:t xml:space="preserve">. En este sentido, la prohibición del artículo 33 solo aplicaría a los convenios solidarios que se celebren de forma directa, durante el término de vigencia de la restricción, salvo que se configure alguna de las excepciones establecidas en el inciso segundo de la misma disposición, bajo los cuales sí procedería la contratación directa. </w:t>
      </w:r>
    </w:p>
    <w:bookmarkEnd w:id="54"/>
    <w:bookmarkEnd w:id="52"/>
    <w:p w14:paraId="50623126" w14:textId="77777777" w:rsidR="0033652B" w:rsidRPr="005C0B82" w:rsidRDefault="0033652B" w:rsidP="0033652B">
      <w:pPr>
        <w:tabs>
          <w:tab w:val="left" w:pos="426"/>
        </w:tabs>
        <w:spacing w:line="276" w:lineRule="auto"/>
        <w:contextualSpacing/>
        <w:jc w:val="both"/>
        <w:rPr>
          <w:rFonts w:ascii="Arial" w:hAnsi="Arial" w:cs="Arial"/>
          <w:sz w:val="22"/>
          <w:lang w:val="es-MX"/>
        </w:rPr>
      </w:pPr>
    </w:p>
    <w:p w14:paraId="62045C9D" w14:textId="77777777" w:rsidR="0033652B" w:rsidRPr="005C0B82" w:rsidRDefault="0033652B" w:rsidP="0033652B">
      <w:pPr>
        <w:tabs>
          <w:tab w:val="left" w:pos="0"/>
        </w:tabs>
        <w:contextualSpacing/>
        <w:jc w:val="both"/>
        <w:rPr>
          <w:rFonts w:ascii="Arial" w:eastAsia="Calibri" w:hAnsi="Arial" w:cs="Arial"/>
          <w:b/>
          <w:sz w:val="22"/>
          <w:lang w:val="es-ES_tradnl"/>
        </w:rPr>
      </w:pPr>
      <w:r w:rsidRPr="005C0B82">
        <w:rPr>
          <w:rFonts w:ascii="Arial" w:eastAsia="Calibri" w:hAnsi="Arial" w:cs="Arial"/>
          <w:b/>
          <w:sz w:val="22"/>
          <w:lang w:val="es-ES_tradnl"/>
        </w:rPr>
        <w:lastRenderedPageBreak/>
        <w:t>3. Respuesta</w:t>
      </w:r>
    </w:p>
    <w:p w14:paraId="77AB055C" w14:textId="7A177623" w:rsidR="00256E36" w:rsidRPr="005C0B82" w:rsidRDefault="00256E36" w:rsidP="007D43F2">
      <w:pPr>
        <w:autoSpaceDE w:val="0"/>
        <w:autoSpaceDN w:val="0"/>
        <w:adjustRightInd w:val="0"/>
        <w:spacing w:line="276" w:lineRule="auto"/>
        <w:ind w:left="709" w:right="709"/>
        <w:contextualSpacing/>
        <w:jc w:val="both"/>
        <w:rPr>
          <w:rFonts w:ascii="Arial" w:hAnsi="Arial" w:cs="Arial"/>
          <w:color w:val="FF0000"/>
          <w:sz w:val="22"/>
          <w:szCs w:val="22"/>
          <w:lang w:val="es-ES_tradnl"/>
        </w:rPr>
      </w:pPr>
    </w:p>
    <w:p w14:paraId="7624036B" w14:textId="6721BC0A" w:rsidR="007D43F2" w:rsidRPr="005C0B82" w:rsidRDefault="007D43F2" w:rsidP="007D43F2">
      <w:pPr>
        <w:autoSpaceDE w:val="0"/>
        <w:autoSpaceDN w:val="0"/>
        <w:adjustRightInd w:val="0"/>
        <w:spacing w:after="120"/>
        <w:ind w:left="709" w:right="709"/>
        <w:contextualSpacing/>
        <w:jc w:val="both"/>
        <w:rPr>
          <w:rFonts w:ascii="Arial" w:hAnsi="Arial" w:cs="Arial"/>
          <w:sz w:val="21"/>
          <w:szCs w:val="21"/>
          <w:lang w:val="es-ES_tradnl"/>
        </w:rPr>
      </w:pPr>
      <w:r w:rsidRPr="005C0B82">
        <w:rPr>
          <w:rFonts w:ascii="Arial" w:hAnsi="Arial" w:cs="Arial"/>
          <w:sz w:val="21"/>
          <w:szCs w:val="21"/>
          <w:lang w:val="es-ES_tradnl"/>
        </w:rPr>
        <w:t>i) «</w:t>
      </w:r>
      <w:r w:rsidRPr="005C0B82">
        <w:rPr>
          <w:rFonts w:ascii="Arial" w:hAnsi="Arial" w:cs="Arial"/>
          <w:sz w:val="21"/>
          <w:szCs w:val="21"/>
        </w:rPr>
        <w:t>¿Es el convenio solidario un contrato directo al cual sea aplicable la restricción del artículo 33 de la ley 996 del 2005?</w:t>
      </w:r>
      <w:r w:rsidRPr="005C0B82">
        <w:rPr>
          <w:rFonts w:ascii="Arial" w:hAnsi="Arial" w:cs="Arial"/>
          <w:sz w:val="21"/>
          <w:szCs w:val="21"/>
          <w:lang w:val="es-ES_tradnl"/>
        </w:rPr>
        <w:t>».</w:t>
      </w:r>
    </w:p>
    <w:p w14:paraId="1437AE9E" w14:textId="77777777" w:rsidR="007D43F2" w:rsidRPr="005C0B82" w:rsidRDefault="007D43F2" w:rsidP="007D43F2">
      <w:pPr>
        <w:autoSpaceDE w:val="0"/>
        <w:autoSpaceDN w:val="0"/>
        <w:adjustRightInd w:val="0"/>
        <w:spacing w:after="120"/>
        <w:ind w:left="709" w:right="709"/>
        <w:contextualSpacing/>
        <w:jc w:val="both"/>
        <w:rPr>
          <w:rFonts w:ascii="Arial" w:hAnsi="Arial" w:cs="Arial"/>
          <w:sz w:val="12"/>
          <w:szCs w:val="12"/>
          <w:lang w:val="es-ES_tradnl"/>
        </w:rPr>
      </w:pPr>
    </w:p>
    <w:p w14:paraId="655D782C" w14:textId="373294DA" w:rsidR="007D43F2" w:rsidRPr="005C0B82" w:rsidRDefault="007D43F2" w:rsidP="007D43F2">
      <w:pPr>
        <w:autoSpaceDE w:val="0"/>
        <w:autoSpaceDN w:val="0"/>
        <w:adjustRightInd w:val="0"/>
        <w:spacing w:after="120"/>
        <w:ind w:left="709" w:right="709"/>
        <w:contextualSpacing/>
        <w:jc w:val="both"/>
        <w:rPr>
          <w:rFonts w:ascii="Arial" w:hAnsi="Arial" w:cs="Arial"/>
          <w:sz w:val="21"/>
          <w:szCs w:val="21"/>
        </w:rPr>
      </w:pPr>
      <w:r w:rsidRPr="005C0B82">
        <w:rPr>
          <w:rFonts w:ascii="Arial" w:hAnsi="Arial" w:cs="Arial"/>
          <w:sz w:val="21"/>
          <w:szCs w:val="21"/>
          <w:lang w:val="es-ES_tradnl"/>
        </w:rPr>
        <w:t>ii) «</w:t>
      </w:r>
      <w:r w:rsidRPr="005C0B82">
        <w:rPr>
          <w:rFonts w:ascii="Arial" w:hAnsi="Arial" w:cs="Arial"/>
          <w:sz w:val="21"/>
          <w:szCs w:val="21"/>
        </w:rPr>
        <w:t xml:space="preserve">¿Las entidades públicas pueden celebrar convenios con las juntas de acción comunal durante la restricción del artículo 33 es decir después del 28 de enero del 2022 y antes de la elección del presidente?». </w:t>
      </w:r>
    </w:p>
    <w:p w14:paraId="2A85448A" w14:textId="77777777" w:rsidR="007D43F2" w:rsidRPr="005C0B82" w:rsidRDefault="007D43F2" w:rsidP="007D43F2">
      <w:pPr>
        <w:autoSpaceDE w:val="0"/>
        <w:autoSpaceDN w:val="0"/>
        <w:adjustRightInd w:val="0"/>
        <w:spacing w:after="120"/>
        <w:ind w:left="709" w:right="709"/>
        <w:contextualSpacing/>
        <w:jc w:val="both"/>
        <w:rPr>
          <w:rFonts w:ascii="Arial" w:hAnsi="Arial" w:cs="Arial"/>
          <w:sz w:val="12"/>
          <w:szCs w:val="12"/>
        </w:rPr>
      </w:pPr>
    </w:p>
    <w:p w14:paraId="711C14D2" w14:textId="4DD82758" w:rsidR="007D43F2" w:rsidRPr="005C0B82" w:rsidRDefault="007D43F2" w:rsidP="007D43F2">
      <w:pPr>
        <w:autoSpaceDE w:val="0"/>
        <w:autoSpaceDN w:val="0"/>
        <w:adjustRightInd w:val="0"/>
        <w:ind w:left="709" w:right="709"/>
        <w:contextualSpacing/>
        <w:jc w:val="both"/>
        <w:rPr>
          <w:rFonts w:ascii="Arial" w:hAnsi="Arial" w:cs="Arial"/>
          <w:color w:val="FF0000"/>
          <w:sz w:val="21"/>
          <w:szCs w:val="21"/>
          <w:lang w:val="es-ES_tradnl"/>
        </w:rPr>
      </w:pPr>
      <w:r w:rsidRPr="005C0B82">
        <w:rPr>
          <w:rFonts w:ascii="Arial" w:hAnsi="Arial" w:cs="Arial"/>
          <w:sz w:val="21"/>
          <w:szCs w:val="21"/>
        </w:rPr>
        <w:t>iii) «A pesar de que los convenios solidarios no se realizan en el marco de la contratación directa determinada en el Ley 80 de 1993, sino por régimen especial, ¿estos convenios solidarios (Con juntas de acción comunal) se incluyen dentro de la contratación directa a que refiere el artículo 33 de la ley 996 del 2005?».</w:t>
      </w:r>
    </w:p>
    <w:p w14:paraId="7A423CDE" w14:textId="67A9EB55" w:rsidR="001A0F92" w:rsidRPr="005C0B82" w:rsidRDefault="001A0F92" w:rsidP="007D43F2">
      <w:pPr>
        <w:spacing w:line="276" w:lineRule="auto"/>
        <w:ind w:left="709" w:right="709"/>
        <w:contextualSpacing/>
        <w:jc w:val="both"/>
        <w:rPr>
          <w:rFonts w:ascii="Arial" w:hAnsi="Arial" w:cs="Arial"/>
          <w:sz w:val="22"/>
          <w:szCs w:val="22"/>
          <w:lang w:val="es-ES" w:eastAsia="es-CO"/>
        </w:rPr>
      </w:pPr>
    </w:p>
    <w:p w14:paraId="0D5161A0" w14:textId="77777777" w:rsidR="00347270" w:rsidRPr="005C0B82" w:rsidRDefault="00347270" w:rsidP="00347270">
      <w:pPr>
        <w:spacing w:after="120" w:line="276" w:lineRule="auto"/>
        <w:jc w:val="both"/>
        <w:rPr>
          <w:rFonts w:ascii="Arial" w:eastAsia="Calibri" w:hAnsi="Arial" w:cs="Arial"/>
          <w:color w:val="000000" w:themeColor="text1"/>
          <w:sz w:val="22"/>
          <w:szCs w:val="22"/>
          <w:lang w:val="es-ES" w:eastAsia="en-US"/>
        </w:rPr>
      </w:pPr>
      <w:r w:rsidRPr="005C0B82">
        <w:rPr>
          <w:rFonts w:ascii="Arial" w:hAnsi="Arial" w:cs="Arial"/>
          <w:bCs/>
          <w:color w:val="000000" w:themeColor="text1"/>
          <w:sz w:val="22"/>
          <w:szCs w:val="22"/>
          <w:lang w:val="es-ES_tradnl" w:eastAsia="x-none"/>
        </w:rPr>
        <w:t>De acuerdo con las consideraciones expuestas,</w:t>
      </w:r>
      <w:r w:rsidRPr="005C0B82">
        <w:rPr>
          <w:rFonts w:ascii="Arial" w:eastAsia="Calibri" w:hAnsi="Arial" w:cs="Arial"/>
          <w:color w:val="000000" w:themeColor="text1"/>
          <w:sz w:val="22"/>
          <w:szCs w:val="22"/>
          <w:lang w:val="es-ES" w:eastAsia="en-US"/>
        </w:rPr>
        <w:t xml:space="preserve"> se reitera que el artículo 33 de la Ley 996 de 2005 prohíbe la contratación directa «Durante los cuatro (4) meses anteriores a la elección presidencial y hasta la realización de la elección en la segunda vuelta». Esta norma –en su inciso segundo– consagra excepciones taxativas a dicha prohibición, dentro de las cuales no está prevista la posibilidad de que se celebren </w:t>
      </w:r>
      <w:r w:rsidRPr="005C0B82">
        <w:rPr>
          <w:rFonts w:ascii="Arial" w:eastAsia="Calibri" w:hAnsi="Arial" w:cs="Arial"/>
          <w:i/>
          <w:iCs/>
          <w:color w:val="000000" w:themeColor="text1"/>
          <w:sz w:val="22"/>
          <w:szCs w:val="22"/>
          <w:lang w:val="es-ES" w:eastAsia="en-US"/>
        </w:rPr>
        <w:t>directamente</w:t>
      </w:r>
      <w:r w:rsidRPr="005C0B82">
        <w:rPr>
          <w:rFonts w:ascii="Arial" w:eastAsia="Calibri" w:hAnsi="Arial" w:cs="Arial"/>
          <w:color w:val="000000" w:themeColor="text1"/>
          <w:sz w:val="22"/>
          <w:szCs w:val="22"/>
          <w:lang w:val="es-ES" w:eastAsia="en-US"/>
        </w:rPr>
        <w:t xml:space="preserve"> convenios solidarios por parte de las entidades territoriales. Por tanto, como lo señala la Circular Conjunta 100-006 de 2021 del Departamento Administrativo de la Presidencia de la República y del Departamento Administrativo de la Función Pública, el artículo 33 de la Ley de Garantías Electorales «restringe la contratación directa por parte de todos los entes del Estado desde el día 29 de enero de 2022 y hasta la elección en segunda vuelta, si fuere el caso». Dentro de esta restricción queda contemplada la prohibición de celebrar </w:t>
      </w:r>
      <w:r w:rsidRPr="005C0B82">
        <w:rPr>
          <w:rFonts w:ascii="Arial" w:eastAsia="Calibri" w:hAnsi="Arial" w:cs="Arial"/>
          <w:i/>
          <w:iCs/>
          <w:color w:val="000000" w:themeColor="text1"/>
          <w:sz w:val="22"/>
          <w:szCs w:val="22"/>
          <w:lang w:val="es-ES" w:eastAsia="en-US"/>
        </w:rPr>
        <w:t>directamente</w:t>
      </w:r>
      <w:r w:rsidRPr="005C0B82">
        <w:rPr>
          <w:rFonts w:ascii="Arial" w:eastAsia="Calibri" w:hAnsi="Arial" w:cs="Arial"/>
          <w:color w:val="000000" w:themeColor="text1"/>
          <w:sz w:val="22"/>
          <w:szCs w:val="22"/>
          <w:lang w:val="es-ES" w:eastAsia="en-US"/>
        </w:rPr>
        <w:t xml:space="preserve"> convenios solidarios. Lo anterior, salvo que en el caso concreto se presente alguna de las excepciones establecidas a la prohibición consagrada en el inciso segundo del artículo 33 de la Ley de Garantías Electorales.</w:t>
      </w:r>
    </w:p>
    <w:p w14:paraId="4B4A888B" w14:textId="4FF0C90E" w:rsidR="0033652B" w:rsidRPr="005C0B82" w:rsidRDefault="00347270" w:rsidP="00347270">
      <w:pPr>
        <w:pStyle w:val="NormalWeb"/>
        <w:shd w:val="clear" w:color="auto" w:fill="FFFFFF"/>
        <w:spacing w:before="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sidRPr="005C0B82">
        <w:rPr>
          <w:rFonts w:ascii="Arial" w:hAnsi="Arial" w:cs="Arial"/>
          <w:bCs/>
          <w:color w:val="000000" w:themeColor="text1"/>
          <w:sz w:val="22"/>
          <w:lang w:val="es-ES_tradnl" w:eastAsia="es-ES_tradnl"/>
        </w:rPr>
        <w:t>Sin perjuicio de lo anterior,</w:t>
      </w:r>
      <w:r w:rsidRPr="005C0B82">
        <w:rPr>
          <w:rFonts w:ascii="Arial" w:eastAsia="Calibri" w:hAnsi="Arial" w:cs="Arial"/>
          <w:color w:val="000000" w:themeColor="text1"/>
          <w:sz w:val="22"/>
          <w:lang w:val="es-ES"/>
        </w:rPr>
        <w:t xml:space="preserve"> dado que lo prohibido es la contratación </w:t>
      </w:r>
      <w:r w:rsidRPr="005C0B82">
        <w:rPr>
          <w:rFonts w:ascii="Arial" w:eastAsia="Calibri" w:hAnsi="Arial" w:cs="Arial"/>
          <w:i/>
          <w:iCs/>
          <w:color w:val="000000" w:themeColor="text1"/>
          <w:sz w:val="22"/>
          <w:lang w:val="es-ES"/>
        </w:rPr>
        <w:t xml:space="preserve">directa, </w:t>
      </w:r>
      <w:r w:rsidRPr="005C0B82">
        <w:rPr>
          <w:rFonts w:ascii="Arial" w:eastAsia="Calibri" w:hAnsi="Arial" w:cs="Arial"/>
          <w:color w:val="000000" w:themeColor="text1"/>
          <w:sz w:val="22"/>
          <w:lang w:val="es-ES"/>
        </w:rPr>
        <w:t xml:space="preserve">en cada caso particular debe analizarse la forma en que se celebrará el convenio solidario, de acuerdo con el marco jurídico que los regula, bajo la premisa de que </w:t>
      </w:r>
      <w:r w:rsidRPr="005C0B82">
        <w:rPr>
          <w:rFonts w:ascii="Arial" w:eastAsia="Calibri" w:hAnsi="Arial" w:cs="Arial"/>
          <w:i/>
          <w:iCs/>
          <w:color w:val="000000" w:themeColor="text1"/>
          <w:sz w:val="22"/>
          <w:lang w:val="es-ES"/>
        </w:rPr>
        <w:t xml:space="preserve">las entidades estatales </w:t>
      </w:r>
      <w:r w:rsidRPr="005C0B82">
        <w:rPr>
          <w:rFonts w:ascii="Arial" w:eastAsiaTheme="minorHAnsi" w:hAnsi="Arial" w:cs="Arial"/>
          <w:i/>
          <w:iCs/>
          <w:color w:val="000000" w:themeColor="text1"/>
          <w:sz w:val="22"/>
          <w:szCs w:val="22"/>
          <w:lang w:val="es-MX" w:eastAsia="en-US"/>
        </w:rPr>
        <w:t>podrán suscribir convenios solidarios durante la vigencia de la prohibición analizada, en tanto se de aplicación a un proceso competitivo para la selección del contratista</w:t>
      </w:r>
      <w:r w:rsidRPr="005C0B82">
        <w:rPr>
          <w:rFonts w:ascii="Arial" w:eastAsiaTheme="minorHAnsi" w:hAnsi="Arial" w:cs="Arial"/>
          <w:color w:val="000000" w:themeColor="text1"/>
          <w:sz w:val="22"/>
          <w:szCs w:val="22"/>
          <w:lang w:val="es-MX" w:eastAsia="en-US"/>
        </w:rPr>
        <w:t xml:space="preserve">, esto es, en el que exista convocatoria pública y posibilidad de participación de pluralidad de oferentes. Esto, debido a que la prohibición de contratación directa del artículo 33 de la Ley de Garantías Electorales únicamente aplica a los procedimientos «no competitivos», que son los que implican una contratación directa. En efecto, como lo explica la Sala de Consulta y Servicio Civil del Consejo de Estado: </w:t>
      </w:r>
      <w:r w:rsidRPr="005C0B82">
        <w:rPr>
          <w:rFonts w:ascii="Arial" w:hAnsi="Arial" w:cs="Arial"/>
          <w:color w:val="000000" w:themeColor="text1"/>
          <w:sz w:val="21"/>
          <w:szCs w:val="21"/>
        </w:rPr>
        <w:t>«</w:t>
      </w:r>
      <w:r w:rsidRPr="005C0B82">
        <w:rPr>
          <w:rFonts w:ascii="Arial" w:eastAsiaTheme="minorHAnsi" w:hAnsi="Arial" w:cs="Arial"/>
          <w:color w:val="000000" w:themeColor="text1"/>
          <w:sz w:val="22"/>
          <w:szCs w:val="22"/>
          <w:lang w:val="es-MX" w:eastAsia="en-US"/>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5C0B82">
        <w:rPr>
          <w:rFonts w:ascii="Arial" w:hAnsi="Arial" w:cs="Arial"/>
          <w:color w:val="000000" w:themeColor="text1"/>
        </w:rPr>
        <w:t>»</w:t>
      </w:r>
      <w:r w:rsidRPr="005C0B82">
        <w:rPr>
          <w:rFonts w:ascii="Arial" w:eastAsiaTheme="minorHAnsi" w:hAnsi="Arial" w:cs="Arial"/>
          <w:color w:val="000000" w:themeColor="text1"/>
          <w:sz w:val="22"/>
          <w:szCs w:val="22"/>
          <w:lang w:val="es-MX" w:eastAsia="en-US"/>
        </w:rPr>
        <w:t xml:space="preserve">. Así las cosas, </w:t>
      </w:r>
      <w:r w:rsidRPr="005C0B82">
        <w:rPr>
          <w:rFonts w:ascii="Arial" w:eastAsiaTheme="minorHAnsi" w:hAnsi="Arial" w:cs="Arial"/>
          <w:color w:val="000000" w:themeColor="text1"/>
          <w:sz w:val="22"/>
          <w:szCs w:val="22"/>
          <w:lang w:val="es-MX" w:eastAsia="en-US"/>
        </w:rPr>
        <w:lastRenderedPageBreak/>
        <w:t xml:space="preserve">la prohibición del artículo 33 solo aplicaría a los convenios solidarios que se celebren de forma </w:t>
      </w:r>
      <w:r w:rsidRPr="005C0B82">
        <w:rPr>
          <w:rFonts w:ascii="Arial" w:eastAsiaTheme="minorHAnsi" w:hAnsi="Arial" w:cs="Arial"/>
          <w:i/>
          <w:iCs/>
          <w:color w:val="000000" w:themeColor="text1"/>
          <w:sz w:val="22"/>
          <w:szCs w:val="22"/>
          <w:lang w:val="es-MX" w:eastAsia="en-US"/>
        </w:rPr>
        <w:t>directa</w:t>
      </w:r>
      <w:r w:rsidRPr="005C0B82">
        <w:rPr>
          <w:rFonts w:ascii="Arial" w:eastAsiaTheme="minorHAnsi" w:hAnsi="Arial" w:cs="Arial"/>
          <w:color w:val="000000" w:themeColor="text1"/>
          <w:sz w:val="22"/>
          <w:szCs w:val="22"/>
          <w:lang w:val="es-MX" w:eastAsia="en-US"/>
        </w:rPr>
        <w:t xml:space="preserve">, durante el término de vigencia de la restricción, salvo que se configure alguna de las excepciones establecidas en el inciso segundo de la misma disposición, bajo los cuales sí procedería la contratación directa. </w:t>
      </w:r>
    </w:p>
    <w:p w14:paraId="635DF5AD" w14:textId="77777777" w:rsidR="00347270" w:rsidRPr="005C0B82" w:rsidRDefault="00347270" w:rsidP="0023528C">
      <w:pPr>
        <w:pStyle w:val="NormalWeb"/>
        <w:shd w:val="clear" w:color="auto" w:fill="FFFFFF"/>
        <w:spacing w:before="0" w:beforeAutospacing="0" w:after="0" w:afterAutospacing="0" w:line="276" w:lineRule="auto"/>
        <w:ind w:firstLine="709"/>
        <w:jc w:val="both"/>
        <w:rPr>
          <w:rFonts w:ascii="Arial" w:eastAsiaTheme="minorHAnsi" w:hAnsi="Arial" w:cs="Arial"/>
          <w:color w:val="000000" w:themeColor="text1"/>
          <w:sz w:val="22"/>
          <w:szCs w:val="22"/>
          <w:lang w:val="es-MX" w:eastAsia="en-US"/>
        </w:rPr>
      </w:pPr>
    </w:p>
    <w:p w14:paraId="05652B05" w14:textId="77777777" w:rsidR="0033652B" w:rsidRPr="005C0B82" w:rsidRDefault="0033652B" w:rsidP="0033652B">
      <w:pPr>
        <w:spacing w:line="276" w:lineRule="auto"/>
        <w:jc w:val="both"/>
        <w:rPr>
          <w:rFonts w:ascii="Arial" w:hAnsi="Arial" w:cs="Arial"/>
          <w:sz w:val="22"/>
          <w:lang w:val="es-ES_tradnl"/>
        </w:rPr>
      </w:pPr>
      <w:r w:rsidRPr="005C0B82">
        <w:rPr>
          <w:rFonts w:ascii="Arial" w:hAnsi="Arial" w:cs="Arial"/>
          <w:sz w:val="22"/>
          <w:lang w:val="es-ES_tradnl"/>
        </w:rPr>
        <w:t>Este concepto tiene el alcance previsto en el artículo 28 del Código de Procedimiento Administrativo y de lo Contencioso Administrativo.</w:t>
      </w:r>
    </w:p>
    <w:p w14:paraId="15300F39" w14:textId="77777777" w:rsidR="0033652B" w:rsidRPr="005C0B82" w:rsidRDefault="0033652B" w:rsidP="0033652B">
      <w:pPr>
        <w:pStyle w:val="NormalWeb"/>
        <w:spacing w:before="0" w:beforeAutospacing="0" w:after="0" w:afterAutospacing="0" w:line="276" w:lineRule="auto"/>
        <w:jc w:val="both"/>
        <w:rPr>
          <w:rFonts w:ascii="Arial" w:hAnsi="Arial" w:cs="Arial"/>
          <w:sz w:val="22"/>
          <w:szCs w:val="22"/>
          <w:lang w:val="es-ES_tradnl"/>
        </w:rPr>
      </w:pPr>
    </w:p>
    <w:p w14:paraId="3F463116" w14:textId="77777777" w:rsidR="00453EF5" w:rsidRPr="005C0B82" w:rsidRDefault="0033652B" w:rsidP="00453EF5">
      <w:pPr>
        <w:spacing w:after="200" w:line="276" w:lineRule="auto"/>
        <w:jc w:val="both"/>
        <w:rPr>
          <w:rFonts w:ascii="Arial" w:hAnsi="Arial" w:cs="Arial"/>
          <w:lang w:eastAsia="es-CO"/>
        </w:rPr>
      </w:pPr>
      <w:r w:rsidRPr="005C0B82">
        <w:rPr>
          <w:rFonts w:ascii="Arial" w:hAnsi="Arial" w:cs="Arial"/>
          <w:sz w:val="22"/>
          <w:szCs w:val="22"/>
          <w:lang w:val="es-ES_tradnl"/>
        </w:rPr>
        <w:t>Atentamente,</w:t>
      </w:r>
      <w:bookmarkEnd w:id="9"/>
    </w:p>
    <w:p w14:paraId="1801D036" w14:textId="6621769A" w:rsidR="00453EF5" w:rsidRPr="005C0B82" w:rsidRDefault="002D358E">
      <w:pPr>
        <w:spacing w:after="200" w:line="276" w:lineRule="auto"/>
        <w:jc w:val="center"/>
        <w:rPr>
          <w:rFonts w:ascii="Arial" w:hAnsi="Arial" w:cs="Arial"/>
          <w:color w:val="FF0000"/>
          <w:sz w:val="18"/>
          <w:szCs w:val="20"/>
          <w:lang w:val="es-MX" w:eastAsia="es-CO"/>
        </w:rPr>
      </w:pPr>
      <w:r w:rsidRPr="009942C8">
        <w:rPr>
          <w:rFonts w:ascii="Arial" w:hAnsi="Arial" w:cs="Arial"/>
          <w:noProof/>
          <w:color w:val="000000" w:themeColor="text1"/>
          <w:lang w:val="es-ES_tradnl"/>
        </w:rPr>
        <w:drawing>
          <wp:inline distT="0" distB="0" distL="0" distR="0" wp14:anchorId="2CCFE689" wp14:editId="3ECBE186">
            <wp:extent cx="2409825" cy="1025233"/>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0"/>
                    <a:stretch>
                      <a:fillRect/>
                    </a:stretch>
                  </pic:blipFill>
                  <pic:spPr>
                    <a:xfrm>
                      <a:off x="0" y="0"/>
                      <a:ext cx="2422103" cy="1030457"/>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453EF5" w:rsidRPr="005C0B82" w14:paraId="71900189" w14:textId="77777777" w:rsidTr="00DD57A0">
        <w:trPr>
          <w:trHeight w:val="315"/>
        </w:trPr>
        <w:tc>
          <w:tcPr>
            <w:tcW w:w="812" w:type="dxa"/>
            <w:vAlign w:val="center"/>
            <w:hideMark/>
          </w:tcPr>
          <w:p w14:paraId="189D7818" w14:textId="77777777" w:rsidR="00453EF5" w:rsidRPr="005C0B82" w:rsidRDefault="00453EF5" w:rsidP="00DD57A0">
            <w:pPr>
              <w:rPr>
                <w:rFonts w:ascii="Arial" w:hAnsi="Arial" w:cs="Arial"/>
                <w:sz w:val="16"/>
                <w:szCs w:val="16"/>
                <w:lang w:eastAsia="es-ES"/>
              </w:rPr>
            </w:pPr>
            <w:r w:rsidRPr="005C0B82">
              <w:rPr>
                <w:rFonts w:ascii="Arial"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6C14E757" w14:textId="77777777" w:rsidR="00453EF5" w:rsidRPr="005C0B82" w:rsidRDefault="00453EF5" w:rsidP="00DD57A0">
            <w:pPr>
              <w:rPr>
                <w:rFonts w:ascii="Arial" w:hAnsi="Arial" w:cs="Arial"/>
                <w:sz w:val="16"/>
                <w:szCs w:val="16"/>
                <w:lang w:eastAsia="es-ES"/>
              </w:rPr>
            </w:pPr>
            <w:r w:rsidRPr="005C0B82">
              <w:rPr>
                <w:rFonts w:ascii="Arial" w:hAnsi="Arial" w:cs="Arial"/>
                <w:sz w:val="16"/>
                <w:szCs w:val="16"/>
                <w:lang w:eastAsia="es-ES"/>
              </w:rPr>
              <w:t>Diana Lucia Saavedra Castañeda</w:t>
            </w:r>
          </w:p>
          <w:p w14:paraId="78FBDE67" w14:textId="77777777" w:rsidR="00453EF5" w:rsidRPr="005C0B82" w:rsidRDefault="00453EF5" w:rsidP="00DD57A0">
            <w:pPr>
              <w:rPr>
                <w:rFonts w:ascii="Arial" w:hAnsi="Arial" w:cs="Arial"/>
                <w:sz w:val="16"/>
                <w:szCs w:val="16"/>
                <w:lang w:eastAsia="es-ES"/>
              </w:rPr>
            </w:pPr>
            <w:r w:rsidRPr="005C0B82">
              <w:rPr>
                <w:rFonts w:ascii="Arial" w:hAnsi="Arial" w:cs="Arial"/>
                <w:sz w:val="16"/>
                <w:szCs w:val="16"/>
                <w:lang w:eastAsia="es-ES"/>
              </w:rPr>
              <w:t>Contratista de la Subdirección de Gestión Contractual</w:t>
            </w:r>
          </w:p>
        </w:tc>
      </w:tr>
      <w:tr w:rsidR="00453EF5" w:rsidRPr="005C0B82" w14:paraId="3C3A31B6" w14:textId="77777777" w:rsidTr="00DD57A0">
        <w:trPr>
          <w:trHeight w:val="330"/>
        </w:trPr>
        <w:tc>
          <w:tcPr>
            <w:tcW w:w="812" w:type="dxa"/>
            <w:vAlign w:val="center"/>
            <w:hideMark/>
          </w:tcPr>
          <w:p w14:paraId="3C97E92B" w14:textId="77777777" w:rsidR="00453EF5" w:rsidRPr="005C0B82" w:rsidRDefault="00453EF5" w:rsidP="00DD57A0">
            <w:pPr>
              <w:rPr>
                <w:rFonts w:ascii="Arial" w:hAnsi="Arial" w:cs="Arial"/>
                <w:sz w:val="16"/>
                <w:szCs w:val="16"/>
                <w:lang w:eastAsia="es-ES"/>
              </w:rPr>
            </w:pPr>
            <w:r w:rsidRPr="005C0B82">
              <w:rPr>
                <w:rFonts w:ascii="Arial"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2AD8EEF7" w14:textId="77777777" w:rsidR="00453EF5" w:rsidRPr="005C0B82" w:rsidRDefault="00453EF5" w:rsidP="00DD57A0">
            <w:pPr>
              <w:rPr>
                <w:rFonts w:ascii="Arial" w:hAnsi="Arial" w:cs="Arial"/>
                <w:sz w:val="16"/>
                <w:szCs w:val="16"/>
                <w:lang w:eastAsia="es-ES"/>
              </w:rPr>
            </w:pPr>
            <w:r w:rsidRPr="005C0B82">
              <w:rPr>
                <w:rFonts w:ascii="Arial" w:hAnsi="Arial" w:cs="Arial"/>
                <w:sz w:val="16"/>
                <w:szCs w:val="16"/>
                <w:lang w:eastAsia="es-ES"/>
              </w:rPr>
              <w:t>Juan David Montoya Penagos</w:t>
            </w:r>
          </w:p>
          <w:p w14:paraId="5F543320" w14:textId="77777777" w:rsidR="00453EF5" w:rsidRPr="005C0B82" w:rsidRDefault="00453EF5" w:rsidP="00DD57A0">
            <w:pPr>
              <w:rPr>
                <w:rFonts w:ascii="Arial" w:hAnsi="Arial" w:cs="Arial"/>
                <w:sz w:val="16"/>
                <w:szCs w:val="16"/>
                <w:lang w:eastAsia="es-ES"/>
              </w:rPr>
            </w:pPr>
            <w:r w:rsidRPr="005C0B82">
              <w:rPr>
                <w:rFonts w:ascii="Arial" w:hAnsi="Arial" w:cs="Arial"/>
                <w:sz w:val="16"/>
                <w:szCs w:val="16"/>
                <w:lang w:eastAsia="es-ES"/>
              </w:rPr>
              <w:t>Gestor T1-15 de la Subdirección de Gestión Contractual</w:t>
            </w:r>
          </w:p>
        </w:tc>
      </w:tr>
      <w:tr w:rsidR="00453EF5" w:rsidRPr="005C0B82" w14:paraId="761160AD" w14:textId="77777777" w:rsidTr="00DD57A0">
        <w:trPr>
          <w:trHeight w:val="300"/>
        </w:trPr>
        <w:tc>
          <w:tcPr>
            <w:tcW w:w="812" w:type="dxa"/>
            <w:vAlign w:val="center"/>
            <w:hideMark/>
          </w:tcPr>
          <w:p w14:paraId="1F91D9DA" w14:textId="77777777" w:rsidR="00453EF5" w:rsidRPr="005C0B82" w:rsidRDefault="00453EF5" w:rsidP="00DD57A0">
            <w:pPr>
              <w:rPr>
                <w:rFonts w:ascii="Arial" w:hAnsi="Arial" w:cs="Arial"/>
                <w:sz w:val="16"/>
                <w:szCs w:val="16"/>
                <w:lang w:eastAsia="es-ES"/>
              </w:rPr>
            </w:pPr>
            <w:r w:rsidRPr="005C0B82">
              <w:rPr>
                <w:rFonts w:ascii="Arial"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66DF621A" w14:textId="77777777" w:rsidR="006F37C9" w:rsidRPr="005C0B82" w:rsidRDefault="006F37C9" w:rsidP="006F37C9">
            <w:pPr>
              <w:rPr>
                <w:rFonts w:ascii="Arial" w:hAnsi="Arial" w:cs="Arial"/>
                <w:sz w:val="16"/>
                <w:szCs w:val="16"/>
                <w:lang w:eastAsia="es-ES"/>
              </w:rPr>
            </w:pPr>
            <w:r w:rsidRPr="005C0B82">
              <w:rPr>
                <w:rFonts w:ascii="Arial" w:hAnsi="Arial" w:cs="Arial"/>
                <w:sz w:val="16"/>
                <w:szCs w:val="16"/>
                <w:lang w:eastAsia="es-ES"/>
              </w:rPr>
              <w:t>Andrés Ricardo Mancipe González</w:t>
            </w:r>
          </w:p>
          <w:p w14:paraId="1700001F" w14:textId="76248902" w:rsidR="00453EF5" w:rsidRPr="005C0B82" w:rsidRDefault="006F37C9" w:rsidP="00DD57A0">
            <w:pPr>
              <w:rPr>
                <w:rFonts w:ascii="Arial" w:hAnsi="Arial" w:cs="Arial"/>
                <w:sz w:val="16"/>
                <w:szCs w:val="16"/>
                <w:lang w:eastAsia="es-ES"/>
              </w:rPr>
            </w:pPr>
            <w:r w:rsidRPr="005C0B82">
              <w:rPr>
                <w:rFonts w:ascii="Arial" w:hAnsi="Arial" w:cs="Arial"/>
                <w:sz w:val="16"/>
                <w:szCs w:val="16"/>
                <w:lang w:eastAsia="es-ES"/>
              </w:rPr>
              <w:t>Subdirector de Gestión Contractual (E)</w:t>
            </w:r>
          </w:p>
        </w:tc>
      </w:tr>
    </w:tbl>
    <w:p w14:paraId="13B6CEA0" w14:textId="77777777" w:rsidR="00453EF5" w:rsidRPr="005C0B82" w:rsidRDefault="00453EF5" w:rsidP="00453EF5">
      <w:pPr>
        <w:rPr>
          <w:rFonts w:ascii="Arial" w:hAnsi="Arial" w:cs="Arial"/>
          <w:color w:val="FF0000"/>
        </w:rPr>
      </w:pPr>
    </w:p>
    <w:p w14:paraId="007B25D7" w14:textId="67219AAD" w:rsidR="0033652B" w:rsidRPr="005C0B82" w:rsidRDefault="0033652B" w:rsidP="00453EF5">
      <w:pPr>
        <w:pStyle w:val="NormalWeb"/>
        <w:spacing w:before="0" w:beforeAutospacing="0" w:after="0" w:afterAutospacing="0" w:line="276" w:lineRule="auto"/>
        <w:jc w:val="both"/>
        <w:rPr>
          <w:rFonts w:ascii="Arial" w:hAnsi="Arial" w:cs="Arial"/>
          <w:color w:val="FF0000"/>
          <w:lang w:val="es-ES_tradnl"/>
        </w:rPr>
      </w:pPr>
      <w:r w:rsidRPr="005C0B82">
        <w:rPr>
          <w:rFonts w:ascii="Arial" w:hAnsi="Arial" w:cs="Arial"/>
          <w:color w:val="FF0000"/>
          <w:lang w:val="es-ES_tradnl"/>
        </w:rPr>
        <w:tab/>
      </w:r>
    </w:p>
    <w:p w14:paraId="0F676354" w14:textId="77777777" w:rsidR="004B13E3" w:rsidRPr="005C0B82" w:rsidRDefault="004B13E3">
      <w:pPr>
        <w:rPr>
          <w:rFonts w:ascii="Arial" w:hAnsi="Arial" w:cs="Arial"/>
          <w:color w:val="FF0000"/>
        </w:rPr>
      </w:pPr>
    </w:p>
    <w:sectPr w:rsidR="004B13E3" w:rsidRPr="005C0B82"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8255" w14:textId="77777777" w:rsidR="003F3785" w:rsidRDefault="003F3785" w:rsidP="0033652B">
      <w:r>
        <w:separator/>
      </w:r>
    </w:p>
  </w:endnote>
  <w:endnote w:type="continuationSeparator" w:id="0">
    <w:p w14:paraId="515A52B8" w14:textId="77777777" w:rsidR="003F3785" w:rsidRDefault="003F3785" w:rsidP="003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D949" w14:textId="77777777" w:rsidR="00DE104F" w:rsidRDefault="002D358E" w:rsidP="00322937">
    <w:pPr>
      <w:pStyle w:val="Sinespaciado"/>
      <w:jc w:val="right"/>
      <w:rPr>
        <w:rFonts w:ascii="Arial" w:hAnsi="Arial" w:cs="Arial"/>
        <w:sz w:val="18"/>
        <w:szCs w:val="18"/>
      </w:rPr>
    </w:pPr>
  </w:p>
  <w:p w14:paraId="42C0AC9F" w14:textId="77777777" w:rsidR="00DE104F" w:rsidRPr="008217B7" w:rsidRDefault="00B101D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41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41</w:t>
    </w:r>
    <w:r w:rsidRPr="00084B97">
      <w:rPr>
        <w:rFonts w:ascii="Arial" w:hAnsi="Arial" w:cs="Arial"/>
        <w:b/>
        <w:bCs/>
        <w:color w:val="7F7F7F" w:themeColor="text1" w:themeTint="80"/>
        <w:sz w:val="16"/>
        <w:szCs w:val="16"/>
      </w:rPr>
      <w:fldChar w:fldCharType="end"/>
    </w:r>
  </w:p>
  <w:p w14:paraId="74AB2733" w14:textId="77777777" w:rsidR="00DE104F" w:rsidRDefault="00B101D0" w:rsidP="00322937">
    <w:pPr>
      <w:pStyle w:val="Piedepgina"/>
      <w:jc w:val="center"/>
      <w:rPr>
        <w:lang w:val="es-ES"/>
      </w:rPr>
    </w:pPr>
    <w:r>
      <w:rPr>
        <w:noProof/>
        <w:lang w:val="en-US"/>
      </w:rPr>
      <w:drawing>
        <wp:inline distT="0" distB="0" distL="0" distR="0" wp14:anchorId="51EE6F34" wp14:editId="432CF54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50BCEC1" w14:textId="77777777" w:rsidR="00DE104F" w:rsidRDefault="002D358E" w:rsidP="007B0854">
    <w:pPr>
      <w:pStyle w:val="Piedepgina"/>
      <w:jc w:val="center"/>
      <w:rPr>
        <w:lang w:val="es-ES"/>
      </w:rPr>
    </w:pPr>
  </w:p>
  <w:p w14:paraId="1107AC71" w14:textId="77777777" w:rsidR="00DE104F" w:rsidRPr="007B0854" w:rsidRDefault="002D358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1830" w14:textId="77777777" w:rsidR="003F3785" w:rsidRDefault="003F3785" w:rsidP="0033652B">
      <w:r>
        <w:separator/>
      </w:r>
    </w:p>
  </w:footnote>
  <w:footnote w:type="continuationSeparator" w:id="0">
    <w:p w14:paraId="7559CACC" w14:textId="77777777" w:rsidR="003F3785" w:rsidRDefault="003F3785" w:rsidP="0033652B">
      <w:r>
        <w:continuationSeparator/>
      </w:r>
    </w:p>
  </w:footnote>
  <w:footnote w:id="1">
    <w:p w14:paraId="22E0E007" w14:textId="77777777" w:rsidR="00A26168" w:rsidRPr="00B35679" w:rsidRDefault="00A26168" w:rsidP="0023528C">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1653287" w14:textId="72A90543" w:rsidR="00A26168" w:rsidRPr="00B35679" w:rsidRDefault="00A26168" w:rsidP="0023528C">
      <w:pPr>
        <w:pStyle w:val="Textonotapie"/>
        <w:ind w:firstLine="709"/>
        <w:contextualSpacing/>
        <w:jc w:val="both"/>
        <w:rPr>
          <w:rFonts w:ascii="Arial" w:hAnsi="Arial" w:cs="Arial"/>
          <w:sz w:val="19"/>
          <w:szCs w:val="19"/>
        </w:rPr>
      </w:pPr>
      <w:r w:rsidRPr="00B35679">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2">
    <w:p w14:paraId="225012AD" w14:textId="77777777" w:rsidR="00A26168" w:rsidRPr="00B35679" w:rsidRDefault="00A26168" w:rsidP="0023528C">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Gaceta del Congreso de la República No. 71 del 2005.</w:t>
      </w:r>
    </w:p>
  </w:footnote>
  <w:footnote w:id="3">
    <w:p w14:paraId="74E94213" w14:textId="77777777" w:rsidR="00A26168" w:rsidRPr="00B35679" w:rsidRDefault="00A26168" w:rsidP="0023528C">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 C- 1153 de 2005, M.P. Marco Gerardo Monroy Cabra.</w:t>
      </w:r>
    </w:p>
  </w:footnote>
  <w:footnote w:id="4">
    <w:p w14:paraId="3398C655" w14:textId="77777777" w:rsidR="00A26168" w:rsidRPr="00B35679" w:rsidRDefault="00A26168" w:rsidP="0023528C">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06FD6AA6" w14:textId="77777777" w:rsidR="00A26168" w:rsidRPr="00B35679" w:rsidRDefault="00A26168" w:rsidP="0023528C">
      <w:pPr>
        <w:pStyle w:val="Textonotapie"/>
        <w:ind w:firstLine="709"/>
        <w:contextualSpacing/>
        <w:jc w:val="both"/>
        <w:rPr>
          <w:rFonts w:ascii="Arial" w:hAnsi="Arial" w:cs="Arial"/>
          <w:sz w:val="19"/>
          <w:szCs w:val="19"/>
          <w:lang w:val="es-CO"/>
        </w:rPr>
      </w:pPr>
      <w:r w:rsidRPr="00B35679">
        <w:rPr>
          <w:rStyle w:val="Refdenotaalpie"/>
          <w:rFonts w:ascii="Arial" w:hAnsi="Arial" w:cs="Arial"/>
          <w:sz w:val="19"/>
          <w:szCs w:val="19"/>
        </w:rPr>
        <w:footnoteRef/>
      </w:r>
      <w:r w:rsidRPr="00B35679">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42F10585" w14:textId="77777777" w:rsidR="00A26168" w:rsidRPr="00B35679" w:rsidRDefault="00A26168" w:rsidP="0023528C">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de fecha 24 de julio de 2013, radicado 2166, Consejero Ponente: Álvaro Namén Vargas.  </w:t>
      </w:r>
    </w:p>
  </w:footnote>
  <w:footnote w:id="7">
    <w:p w14:paraId="336DA765" w14:textId="77777777" w:rsidR="00A26168" w:rsidRPr="00B35679" w:rsidRDefault="00A26168" w:rsidP="0023528C">
      <w:pPr>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16" w:name="33"/>
      <w:r w:rsidRPr="00B35679">
        <w:rPr>
          <w:rFonts w:ascii="Arial" w:eastAsia="Calibri" w:hAnsi="Arial" w:cs="Arial"/>
          <w:bCs/>
          <w:color w:val="000000"/>
          <w:sz w:val="19"/>
          <w:szCs w:val="19"/>
        </w:rPr>
        <w:t>«</w:t>
      </w:r>
      <w:r w:rsidRPr="00B35679">
        <w:rPr>
          <w:rFonts w:ascii="Arial" w:hAnsi="Arial" w:cs="Arial"/>
          <w:sz w:val="19"/>
          <w:szCs w:val="19"/>
        </w:rPr>
        <w:t>Artículo 33. Restricciones a la contratación pública.</w:t>
      </w:r>
      <w:bookmarkEnd w:id="16"/>
      <w:r w:rsidRPr="00B35679">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0BB8CA2" w14:textId="77777777" w:rsidR="00A26168" w:rsidRPr="00B35679" w:rsidRDefault="00A26168" w:rsidP="0023528C">
      <w:pPr>
        <w:ind w:firstLine="709"/>
        <w:contextualSpacing/>
        <w:jc w:val="both"/>
        <w:rPr>
          <w:rFonts w:ascii="Arial" w:hAnsi="Arial" w:cs="Arial"/>
          <w:sz w:val="19"/>
          <w:szCs w:val="19"/>
        </w:rPr>
      </w:pPr>
      <w:r w:rsidRPr="00B35679">
        <w:rPr>
          <w:rFonts w:ascii="Arial" w:eastAsia="Calibri" w:hAnsi="Arial" w:cs="Arial"/>
          <w:bCs/>
          <w:color w:val="000000"/>
          <w:sz w:val="19"/>
          <w:szCs w:val="19"/>
        </w:rPr>
        <w:t>»</w:t>
      </w:r>
      <w:r w:rsidRPr="00B35679">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35679">
        <w:rPr>
          <w:rFonts w:ascii="Arial" w:eastAsia="Calibri" w:hAnsi="Arial" w:cs="Arial"/>
          <w:bCs/>
          <w:color w:val="000000"/>
          <w:sz w:val="19"/>
          <w:szCs w:val="19"/>
        </w:rPr>
        <w:t>»</w:t>
      </w:r>
      <w:r w:rsidRPr="00B35679">
        <w:rPr>
          <w:rFonts w:ascii="Arial" w:hAnsi="Arial" w:cs="Arial"/>
          <w:sz w:val="19"/>
          <w:szCs w:val="19"/>
        </w:rPr>
        <w:t>.</w:t>
      </w:r>
    </w:p>
  </w:footnote>
  <w:footnote w:id="8">
    <w:p w14:paraId="060EEC83" w14:textId="77777777" w:rsidR="00A26168" w:rsidRPr="00B35679" w:rsidRDefault="00A26168" w:rsidP="0023528C">
      <w:pPr>
        <w:pStyle w:val="NormalWeb"/>
        <w:spacing w:before="0" w:beforeAutospacing="0" w:after="0" w:afterAutospacing="0"/>
        <w:ind w:firstLine="709"/>
        <w:contextualSpacing/>
        <w:jc w:val="both"/>
        <w:rPr>
          <w:rFonts w:ascii="Arial" w:hAnsi="Arial" w:cs="Arial"/>
          <w:sz w:val="19"/>
          <w:szCs w:val="19"/>
          <w:lang w:val="es-MX"/>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17" w:name="38"/>
      <w:r w:rsidRPr="00B35679">
        <w:rPr>
          <w:rFonts w:ascii="Arial" w:eastAsia="Calibri" w:hAnsi="Arial" w:cs="Arial"/>
          <w:bCs/>
          <w:color w:val="000000"/>
          <w:sz w:val="19"/>
          <w:szCs w:val="19"/>
        </w:rPr>
        <w:t>«</w:t>
      </w:r>
      <w:r w:rsidRPr="00B35679">
        <w:rPr>
          <w:rFonts w:ascii="Arial" w:hAnsi="Arial" w:cs="Arial"/>
          <w:sz w:val="19"/>
          <w:szCs w:val="19"/>
          <w:lang w:val="es-MX"/>
        </w:rPr>
        <w:t>Artículo 38. Prohibiciones para los servidores públicos. A los empleados del Estado les está prohibido:</w:t>
      </w:r>
      <w:bookmarkEnd w:id="17"/>
    </w:p>
    <w:p w14:paraId="0593FFE9" w14:textId="77777777" w:rsidR="00A26168" w:rsidRPr="00B35679" w:rsidRDefault="00A26168" w:rsidP="0023528C">
      <w:pPr>
        <w:pStyle w:val="NormalWeb"/>
        <w:spacing w:before="0" w:beforeAutospacing="0" w:after="0" w:afterAutospacing="0"/>
        <w:ind w:firstLine="709"/>
        <w:contextualSpacing/>
        <w:jc w:val="both"/>
        <w:rPr>
          <w:rFonts w:ascii="Arial" w:hAnsi="Arial" w:cs="Arial"/>
          <w:sz w:val="19"/>
          <w:szCs w:val="19"/>
          <w:lang w:val="es-MX"/>
        </w:rPr>
      </w:pPr>
      <w:r w:rsidRPr="00B35679">
        <w:rPr>
          <w:rFonts w:ascii="Arial" w:eastAsia="Calibri" w:hAnsi="Arial" w:cs="Arial"/>
          <w:bCs/>
          <w:color w:val="000000"/>
          <w:sz w:val="19"/>
          <w:szCs w:val="19"/>
        </w:rPr>
        <w:t>»</w:t>
      </w:r>
      <w:r w:rsidRPr="00B35679">
        <w:rPr>
          <w:rFonts w:ascii="Arial" w:hAnsi="Arial" w:cs="Arial"/>
          <w:sz w:val="19"/>
          <w:szCs w:val="19"/>
          <w:lang w:val="es-MX"/>
        </w:rPr>
        <w:t xml:space="preserve"> […]</w:t>
      </w:r>
    </w:p>
    <w:p w14:paraId="19CD4877" w14:textId="77777777" w:rsidR="00A26168" w:rsidRPr="00B35679" w:rsidRDefault="00A26168" w:rsidP="0023528C">
      <w:pPr>
        <w:pStyle w:val="NormalWeb"/>
        <w:spacing w:before="0" w:beforeAutospacing="0" w:after="0" w:afterAutospacing="0"/>
        <w:ind w:firstLine="709"/>
        <w:contextualSpacing/>
        <w:jc w:val="both"/>
        <w:rPr>
          <w:rFonts w:ascii="Arial" w:hAnsi="Arial" w:cs="Arial"/>
          <w:sz w:val="19"/>
          <w:szCs w:val="19"/>
          <w:lang w:val="es-MX"/>
        </w:rPr>
      </w:pPr>
      <w:r w:rsidRPr="00B35679">
        <w:rPr>
          <w:rFonts w:ascii="Arial" w:eastAsia="Calibri" w:hAnsi="Arial" w:cs="Arial"/>
          <w:bCs/>
          <w:color w:val="000000"/>
          <w:sz w:val="19"/>
          <w:szCs w:val="19"/>
        </w:rPr>
        <w:t>»</w:t>
      </w:r>
      <w:r w:rsidRPr="00B35679">
        <w:rPr>
          <w:rStyle w:val="baj"/>
          <w:rFonts w:ascii="Arial" w:eastAsiaTheme="minorEastAsia" w:hAnsi="Arial" w:cs="Arial"/>
          <w:sz w:val="19"/>
          <w:szCs w:val="19"/>
          <w:lang w:val="es-MX"/>
        </w:rPr>
        <w:t xml:space="preserve"> Parágrafo.</w:t>
      </w:r>
      <w:r w:rsidRPr="00B35679">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35679">
        <w:rPr>
          <w:rFonts w:ascii="Arial" w:eastAsia="Calibri" w:hAnsi="Arial" w:cs="Arial"/>
          <w:bCs/>
          <w:color w:val="000000"/>
          <w:sz w:val="19"/>
          <w:szCs w:val="19"/>
        </w:rPr>
        <w:t>»</w:t>
      </w:r>
      <w:r w:rsidRPr="00B35679">
        <w:rPr>
          <w:rFonts w:ascii="Arial" w:hAnsi="Arial" w:cs="Arial"/>
          <w:sz w:val="19"/>
          <w:szCs w:val="19"/>
          <w:lang w:val="es-MX"/>
        </w:rPr>
        <w:t>.</w:t>
      </w:r>
    </w:p>
  </w:footnote>
  <w:footnote w:id="9">
    <w:p w14:paraId="7361C742" w14:textId="77777777" w:rsidR="00A26168" w:rsidRPr="00B35679" w:rsidRDefault="00A26168" w:rsidP="0023528C">
      <w:pPr>
        <w:ind w:left="100" w:right="244" w:firstLine="709"/>
        <w:contextualSpacing/>
        <w:jc w:val="both"/>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56C46A93" w14:textId="77777777" w:rsidR="009C1D94" w:rsidRPr="00B35679" w:rsidRDefault="009C1D94" w:rsidP="0023528C">
      <w:pPr>
        <w:pStyle w:val="Textonotapie"/>
        <w:ind w:right="51"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23" w:name="_Hlk74272731"/>
      <w:r w:rsidRPr="00B35679">
        <w:rPr>
          <w:rFonts w:ascii="Arial" w:hAnsi="Arial" w:cs="Arial"/>
          <w:sz w:val="19"/>
          <w:szCs w:val="19"/>
        </w:rPr>
        <w:t>«</w:t>
      </w:r>
      <w:bookmarkEnd w:id="23"/>
      <w:r w:rsidRPr="00B35679">
        <w:rPr>
          <w:rFonts w:ascii="Arial" w:hAnsi="Arial" w:cs="Arial"/>
          <w:sz w:val="19"/>
          <w:szCs w:val="19"/>
          <w:lang w:val="es-ES"/>
        </w:rPr>
        <w:t xml:space="preserve">[25] </w:t>
      </w:r>
      <w:r w:rsidRPr="00B35679">
        <w:rPr>
          <w:rFonts w:ascii="Arial" w:hAnsi="Arial" w:cs="Arial"/>
          <w:sz w:val="19"/>
          <w:szCs w:val="19"/>
        </w:rPr>
        <w:t>Cfr. Consejo de Estado. Sección Tercera. Sentencia de 3 de diciembre de 2007. Radicados: 24.715, 25.206, 25.409, 24.524, 27.834, 25.410, 26.105, 28.244, 31.447 -acumulados-</w:t>
      </w:r>
      <w:bookmarkStart w:id="24" w:name="_Hlk74271358"/>
      <w:r w:rsidRPr="00B35679">
        <w:rPr>
          <w:rFonts w:ascii="Arial" w:hAnsi="Arial" w:cs="Arial"/>
          <w:sz w:val="19"/>
          <w:szCs w:val="19"/>
        </w:rPr>
        <w:t>»</w:t>
      </w:r>
      <w:bookmarkEnd w:id="24"/>
      <w:r w:rsidRPr="00B35679">
        <w:rPr>
          <w:rFonts w:ascii="Arial" w:hAnsi="Arial" w:cs="Arial"/>
          <w:sz w:val="19"/>
          <w:szCs w:val="19"/>
        </w:rPr>
        <w:t>.</w:t>
      </w:r>
    </w:p>
  </w:footnote>
  <w:footnote w:id="11">
    <w:p w14:paraId="48395ED2" w14:textId="77777777" w:rsidR="009C1D94" w:rsidRPr="00B35679" w:rsidRDefault="009C1D94" w:rsidP="0023528C">
      <w:pPr>
        <w:pStyle w:val="Textonotapie"/>
        <w:ind w:right="51"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26" w:name="_Hlk74294506"/>
      <w:r w:rsidRPr="00B35679">
        <w:rPr>
          <w:rFonts w:ascii="Arial" w:hAnsi="Arial" w:cs="Arial"/>
          <w:sz w:val="19"/>
          <w:szCs w:val="19"/>
        </w:rPr>
        <w:t>«</w:t>
      </w:r>
      <w:r w:rsidRPr="00B35679">
        <w:rPr>
          <w:rFonts w:ascii="Arial" w:hAnsi="Arial" w:cs="Arial"/>
          <w:sz w:val="19"/>
          <w:szCs w:val="19"/>
          <w:lang w:val="es-ES"/>
        </w:rPr>
        <w:t xml:space="preserve">[26] </w:t>
      </w:r>
      <w:bookmarkEnd w:id="26"/>
      <w:r w:rsidRPr="00B35679">
        <w:rPr>
          <w:rFonts w:ascii="Arial" w:hAnsi="Arial" w:cs="Arial"/>
          <w:sz w:val="19"/>
          <w:szCs w:val="19"/>
        </w:rPr>
        <w:t>Al respecto ver el concepto 1712 de 2 de febrero de 2006. Consejo de Estado Sala de Consulta y Servicio Civil».</w:t>
      </w:r>
    </w:p>
  </w:footnote>
  <w:footnote w:id="12">
    <w:p w14:paraId="5BF77AD3" w14:textId="77777777" w:rsidR="009C1D94" w:rsidRPr="00B35679" w:rsidRDefault="009C1D94" w:rsidP="0023528C">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3">
    <w:p w14:paraId="402FD701" w14:textId="77777777" w:rsidR="009C1D94" w:rsidRPr="00B35679" w:rsidRDefault="009C1D94" w:rsidP="0023528C">
      <w:pPr>
        <w:pStyle w:val="Textonotapie"/>
        <w:ind w:firstLine="709"/>
        <w:contextualSpacing/>
        <w:jc w:val="both"/>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hAnsi="Arial" w:cs="Arial"/>
          <w:sz w:val="19"/>
          <w:szCs w:val="19"/>
          <w:lang w:val="es-ES"/>
        </w:rPr>
        <w:t xml:space="preserve">Artículo 2. </w:t>
      </w:r>
    </w:p>
  </w:footnote>
  <w:footnote w:id="14">
    <w:p w14:paraId="06581FDA" w14:textId="77777777" w:rsidR="009C1D94" w:rsidRPr="00B35679" w:rsidRDefault="009C1D94" w:rsidP="0023528C">
      <w:pPr>
        <w:pStyle w:val="Textonotapie"/>
        <w:ind w:firstLine="709"/>
        <w:contextualSpacing/>
        <w:jc w:val="both"/>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hAnsi="Arial" w:cs="Arial"/>
          <w:i/>
          <w:sz w:val="19"/>
          <w:szCs w:val="19"/>
          <w:lang w:val="es-ES"/>
        </w:rPr>
        <w:t>Ídem</w:t>
      </w:r>
      <w:r w:rsidRPr="00B35679">
        <w:rPr>
          <w:rFonts w:ascii="Arial" w:hAnsi="Arial" w:cs="Arial"/>
          <w:sz w:val="19"/>
          <w:szCs w:val="19"/>
          <w:lang w:val="es-ES"/>
        </w:rPr>
        <w:t>.</w:t>
      </w:r>
    </w:p>
  </w:footnote>
  <w:footnote w:id="15">
    <w:p w14:paraId="7DCAA38A" w14:textId="77777777" w:rsidR="009C1D94" w:rsidRPr="00B35679" w:rsidRDefault="009C1D94" w:rsidP="0023528C">
      <w:pPr>
        <w:pStyle w:val="Textonotapie"/>
        <w:ind w:firstLine="709"/>
        <w:contextualSpacing/>
        <w:jc w:val="both"/>
        <w:rPr>
          <w:rFonts w:ascii="Arial" w:hAnsi="Arial" w:cs="Arial"/>
          <w:sz w:val="19"/>
          <w:szCs w:val="19"/>
          <w:lang w:val="es-ES"/>
        </w:rPr>
      </w:pPr>
      <w:r w:rsidRPr="00B35679">
        <w:rPr>
          <w:rStyle w:val="Refdenotaalpie"/>
          <w:rFonts w:ascii="Arial" w:hAnsi="Arial" w:cs="Arial"/>
          <w:sz w:val="19"/>
          <w:szCs w:val="19"/>
        </w:rPr>
        <w:footnoteRef/>
      </w:r>
      <w:r w:rsidRPr="00B35679">
        <w:rPr>
          <w:rStyle w:val="Refdenotaalpie"/>
          <w:rFonts w:ascii="Arial" w:hAnsi="Arial" w:cs="Arial"/>
          <w:sz w:val="19"/>
          <w:szCs w:val="19"/>
        </w:rPr>
        <w:t xml:space="preserve"> </w:t>
      </w:r>
      <w:bookmarkStart w:id="31" w:name="_Hlk74297130"/>
      <w:r w:rsidRPr="00B35679">
        <w:rPr>
          <w:rFonts w:ascii="Arial" w:hAnsi="Arial" w:cs="Arial"/>
          <w:sz w:val="19"/>
          <w:szCs w:val="19"/>
          <w:lang w:val="es-ES"/>
        </w:rPr>
        <w:t>«</w:t>
      </w:r>
      <w:bookmarkEnd w:id="31"/>
      <w:r w:rsidRPr="00B35679">
        <w:rPr>
          <w:rFonts w:ascii="Arial" w:hAnsi="Arial" w:cs="Arial"/>
          <w:sz w:val="19"/>
          <w:szCs w:val="19"/>
          <w:lang w:val="es-ES"/>
        </w:rPr>
        <w:t xml:space="preserve">[…] A este respecto, cabe recordar que el artículo 860 del Código de Comercio regula la licitación en el derecho privado». </w:t>
      </w:r>
    </w:p>
  </w:footnote>
  <w:footnote w:id="16">
    <w:p w14:paraId="61F0F1EC" w14:textId="77777777" w:rsidR="009C1D94" w:rsidRPr="00B35679" w:rsidRDefault="009C1D94" w:rsidP="0023528C">
      <w:pPr>
        <w:shd w:val="clear" w:color="auto" w:fill="FFFFFF"/>
        <w:ind w:firstLine="709"/>
        <w:contextualSpacing/>
        <w:jc w:val="both"/>
        <w:rPr>
          <w:rFonts w:ascii="Arial" w:hAnsi="Arial" w:cs="Arial"/>
          <w:sz w:val="19"/>
          <w:szCs w:val="19"/>
          <w:lang w:val="es-ES"/>
        </w:rPr>
      </w:pPr>
      <w:r w:rsidRPr="00B35679">
        <w:rPr>
          <w:rStyle w:val="Refdenotaalpie"/>
          <w:rFonts w:ascii="Arial" w:hAnsi="Arial" w:cs="Arial"/>
          <w:sz w:val="19"/>
          <w:szCs w:val="19"/>
        </w:rPr>
        <w:footnoteRef/>
      </w:r>
      <w:r w:rsidRPr="00B35679">
        <w:rPr>
          <w:rStyle w:val="Refdenotaalpie"/>
          <w:rFonts w:ascii="Arial" w:hAnsi="Arial" w:cs="Arial"/>
          <w:sz w:val="19"/>
          <w:szCs w:val="19"/>
        </w:rPr>
        <w:t xml:space="preserve"> </w:t>
      </w:r>
      <w:r w:rsidRPr="00B35679">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7">
    <w:p w14:paraId="737DD042" w14:textId="77777777" w:rsidR="009C1D94" w:rsidRPr="00B35679" w:rsidRDefault="009C1D94" w:rsidP="0023528C">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08 de mayo de 2018. Exp. 2.382. C.P. Álvaro Namén Vargas.</w:t>
      </w:r>
    </w:p>
  </w:footnote>
  <w:footnote w:id="18">
    <w:p w14:paraId="3CAB78E6" w14:textId="77777777" w:rsidR="009C1D94" w:rsidRPr="00B35679" w:rsidRDefault="009C1D94" w:rsidP="0023528C">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2B9709C1" w14:textId="77777777" w:rsidR="009C1D94" w:rsidRPr="00B35679" w:rsidRDefault="009C1D94" w:rsidP="0023528C">
      <w:pPr>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5C5E0A94" w14:textId="77777777" w:rsidR="009C1D94" w:rsidRPr="00B35679" w:rsidRDefault="009C1D94" w:rsidP="0023528C">
      <w:pPr>
        <w:pStyle w:val="Textonotapie"/>
        <w:ind w:right="51"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46" w:name="_Hlk75633115"/>
      <w:r w:rsidRPr="00B35679">
        <w:rPr>
          <w:rFonts w:ascii="Arial" w:hAnsi="Arial" w:cs="Arial"/>
          <w:sz w:val="19"/>
          <w:szCs w:val="19"/>
        </w:rPr>
        <w:t xml:space="preserve">Consejo de Estado. Sala de Consulta y Servicio Civil. Concepto </w:t>
      </w:r>
      <w:bookmarkEnd w:id="46"/>
      <w:r w:rsidRPr="00B35679">
        <w:rPr>
          <w:rFonts w:ascii="Arial" w:hAnsi="Arial" w:cs="Arial"/>
          <w:sz w:val="19"/>
          <w:szCs w:val="19"/>
        </w:rPr>
        <w:t>de 6 de abril de 2006. Radicación Número: 11001-03-06-000-2006-00038-00(1738). Consejero Ponente: Enrique José Arboleda Perdomo:</w:t>
      </w:r>
      <w:r w:rsidRPr="00B35679">
        <w:rPr>
          <w:rFonts w:ascii="Arial" w:eastAsia="Times New Roman" w:hAnsi="Arial" w:cs="Arial"/>
          <w:bCs/>
          <w:sz w:val="19"/>
          <w:szCs w:val="19"/>
          <w:lang w:eastAsia="x-none"/>
        </w:rPr>
        <w:t xml:space="preserve"> «</w:t>
      </w:r>
      <w:r w:rsidRPr="00B35679">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B35679">
        <w:rPr>
          <w:rFonts w:ascii="Arial" w:eastAsia="Times New Roman" w:hAnsi="Arial" w:cs="Arial"/>
          <w:bCs/>
          <w:sz w:val="19"/>
          <w:szCs w:val="19"/>
          <w:lang w:eastAsia="x-none"/>
        </w:rPr>
        <w:t>».</w:t>
      </w:r>
    </w:p>
  </w:footnote>
  <w:footnote w:id="21">
    <w:p w14:paraId="1EC8A4F6" w14:textId="77777777" w:rsidR="009C1D94" w:rsidRPr="00B35679" w:rsidRDefault="009C1D94" w:rsidP="0023528C">
      <w:pPr>
        <w:pStyle w:val="Textonotapie"/>
        <w:ind w:right="51"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2">
    <w:p w14:paraId="126D3900" w14:textId="77777777" w:rsidR="009C1D94" w:rsidRPr="00B35679" w:rsidRDefault="009C1D94" w:rsidP="0023528C">
      <w:pPr>
        <w:pStyle w:val="Textonotapie"/>
        <w:ind w:right="51"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ídem.</w:t>
      </w:r>
    </w:p>
  </w:footnote>
  <w:footnote w:id="23">
    <w:p w14:paraId="2CF1B4EF" w14:textId="77777777" w:rsidR="00702472" w:rsidRDefault="00702472" w:rsidP="0023528C">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El numeral 16 del artículo tercero de la Ley 136 de 1994 dispone:</w:t>
      </w:r>
      <w:r>
        <w:rPr>
          <w:rFonts w:ascii="Arial" w:hAnsi="Arial" w:cs="Arial"/>
          <w:color w:val="000000" w:themeColor="text1"/>
          <w:sz w:val="19"/>
          <w:szCs w:val="19"/>
          <w:lang w:val="es-CO"/>
        </w:rPr>
        <w:t xml:space="preserve"> «[…] </w:t>
      </w:r>
      <w:r>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Pr>
          <w:rFonts w:ascii="Arial" w:hAnsi="Arial" w:cs="Arial"/>
          <w:color w:val="000000" w:themeColor="text1"/>
          <w:sz w:val="19"/>
          <w:szCs w:val="19"/>
          <w:lang w:val="es-CO"/>
        </w:rPr>
        <w:t xml:space="preserve"> […]».</w:t>
      </w:r>
    </w:p>
  </w:footnote>
  <w:footnote w:id="24">
    <w:p w14:paraId="33A723E8" w14:textId="6F7EA699" w:rsidR="000D7FF7" w:rsidRPr="0033450D" w:rsidRDefault="000D7FF7" w:rsidP="0023528C">
      <w:pPr>
        <w:pStyle w:val="Textonotapie"/>
        <w:ind w:firstLine="708"/>
        <w:jc w:val="both"/>
        <w:rPr>
          <w:rFonts w:ascii="Arial" w:hAnsi="Arial" w:cs="Arial"/>
          <w:sz w:val="19"/>
          <w:szCs w:val="19"/>
        </w:rPr>
      </w:pPr>
      <w:r w:rsidRPr="0033450D">
        <w:rPr>
          <w:rStyle w:val="Refdenotaalpie"/>
          <w:rFonts w:ascii="Arial" w:hAnsi="Arial" w:cs="Arial"/>
          <w:sz w:val="19"/>
          <w:szCs w:val="19"/>
        </w:rPr>
        <w:footnoteRef/>
      </w:r>
      <w:r>
        <w:rPr>
          <w:rFonts w:ascii="Arial" w:hAnsi="Arial" w:cs="Arial"/>
          <w:sz w:val="19"/>
          <w:szCs w:val="19"/>
          <w:lang w:val="es-ES"/>
        </w:rPr>
        <w:t xml:space="preserve"> Es necesario tener en cuenta que</w:t>
      </w:r>
      <w:r w:rsidRPr="000D7FF7">
        <w:rPr>
          <w:rFonts w:ascii="Arial" w:hAnsi="Arial" w:cs="Arial"/>
          <w:sz w:val="19"/>
          <w:szCs w:val="19"/>
          <w:lang w:val="es-ES"/>
        </w:rPr>
        <w:t xml:space="preserve"> el artículo 95 de la Ley 2166 de 2021 amplió esta subregla en cuanto a los sujetos aplicables, condiciones y la cuantía del contrato.</w:t>
      </w:r>
    </w:p>
  </w:footnote>
  <w:footnote w:id="25">
    <w:p w14:paraId="393989C8" w14:textId="69979995" w:rsidR="00702472" w:rsidRPr="00470264" w:rsidRDefault="00702472" w:rsidP="0023528C">
      <w:pPr>
        <w:pStyle w:val="Textonotapie"/>
        <w:ind w:firstLine="709"/>
        <w:jc w:val="both"/>
        <w:rPr>
          <w:rFonts w:ascii="Arial" w:hAnsi="Arial" w:cs="Arial"/>
          <w:sz w:val="19"/>
          <w:szCs w:val="19"/>
          <w:lang w:val="es-ES"/>
        </w:rPr>
      </w:pPr>
      <w:r w:rsidRPr="001B4A52">
        <w:rPr>
          <w:rStyle w:val="Refdenotaalpie"/>
          <w:rFonts w:ascii="Arial" w:hAnsi="Arial" w:cs="Arial"/>
          <w:sz w:val="19"/>
          <w:szCs w:val="19"/>
        </w:rPr>
        <w:footnoteRef/>
      </w:r>
      <w:r w:rsidRPr="001B4A52">
        <w:rPr>
          <w:rFonts w:ascii="Arial" w:hAnsi="Arial" w:cs="Arial"/>
          <w:sz w:val="19"/>
          <w:szCs w:val="19"/>
        </w:rPr>
        <w:t xml:space="preserve"> Al respecto puede </w:t>
      </w:r>
      <w:r>
        <w:rPr>
          <w:rFonts w:ascii="Arial" w:hAnsi="Arial" w:cs="Arial"/>
          <w:sz w:val="19"/>
          <w:szCs w:val="19"/>
        </w:rPr>
        <w:t>consultarse</w:t>
      </w:r>
      <w:r w:rsidRPr="001B4A52">
        <w:rPr>
          <w:rFonts w:ascii="Arial" w:hAnsi="Arial" w:cs="Arial"/>
          <w:sz w:val="19"/>
          <w:szCs w:val="19"/>
        </w:rPr>
        <w:t xml:space="preserve">, entre otros, los conceptos </w:t>
      </w:r>
      <w:r w:rsidRPr="001B4A52">
        <w:rPr>
          <w:rFonts w:ascii="Arial" w:hAnsi="Arial" w:cs="Arial"/>
          <w:sz w:val="19"/>
          <w:szCs w:val="19"/>
          <w:lang w:val="es-ES"/>
        </w:rPr>
        <w:t>C–155 del 14 de abril de 2021, C-364 del 28 de julio de 2021, C-394 del 17 de septiembre de 2021</w:t>
      </w:r>
      <w:r>
        <w:rPr>
          <w:rFonts w:ascii="Arial" w:hAnsi="Arial" w:cs="Arial"/>
          <w:sz w:val="19"/>
          <w:szCs w:val="19"/>
          <w:lang w:val="es-ES"/>
        </w:rPr>
        <w:t xml:space="preserve"> y </w:t>
      </w:r>
      <w:r w:rsidRPr="001B4A52">
        <w:rPr>
          <w:rFonts w:ascii="Arial" w:hAnsi="Arial" w:cs="Arial"/>
          <w:sz w:val="19"/>
          <w:szCs w:val="19"/>
          <w:lang w:val="es-ES"/>
        </w:rPr>
        <w:t>C-627 del 25 de octubre de 2021</w:t>
      </w:r>
      <w:r>
        <w:rPr>
          <w:rFonts w:ascii="Arial" w:hAnsi="Arial" w:cs="Arial"/>
          <w:sz w:val="19"/>
          <w:szCs w:val="19"/>
          <w:lang w:val="es-ES"/>
        </w:rPr>
        <w:t>.</w:t>
      </w:r>
      <w:r w:rsidRPr="001B4A52">
        <w:rPr>
          <w:rFonts w:ascii="Arial" w:hAnsi="Arial" w:cs="Arial"/>
          <w:sz w:val="19"/>
          <w:szCs w:val="19"/>
          <w:lang w:val="es-ES"/>
        </w:rPr>
        <w:t xml:space="preserve"> </w:t>
      </w:r>
    </w:p>
  </w:footnote>
  <w:footnote w:id="26">
    <w:p w14:paraId="715195A8" w14:textId="77EBDBC5" w:rsidR="00702472" w:rsidRPr="00470264" w:rsidRDefault="00702472" w:rsidP="0023528C">
      <w:pPr>
        <w:pStyle w:val="Textonotapie"/>
        <w:ind w:firstLine="709"/>
        <w:jc w:val="both"/>
        <w:rPr>
          <w:rFonts w:ascii="Arial" w:hAnsi="Arial" w:cs="Arial"/>
          <w:sz w:val="19"/>
          <w:szCs w:val="19"/>
        </w:rPr>
      </w:pPr>
      <w:r w:rsidRPr="00130C11">
        <w:rPr>
          <w:rStyle w:val="Refdenotaalpie"/>
          <w:rFonts w:ascii="Arial" w:hAnsi="Arial" w:cs="Arial"/>
          <w:sz w:val="19"/>
          <w:szCs w:val="19"/>
        </w:rPr>
        <w:footnoteRef/>
      </w:r>
      <w:r w:rsidRPr="00130C11">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27">
    <w:p w14:paraId="61E7325C" w14:textId="77777777" w:rsidR="00702472" w:rsidRPr="00130C11" w:rsidRDefault="00702472" w:rsidP="0023528C">
      <w:pPr>
        <w:pStyle w:val="Textonotapie"/>
        <w:ind w:firstLine="708"/>
        <w:jc w:val="both"/>
        <w:rPr>
          <w:rFonts w:ascii="Arial" w:hAnsi="Arial" w:cs="Arial"/>
          <w:sz w:val="19"/>
          <w:szCs w:val="19"/>
        </w:rPr>
      </w:pPr>
      <w:r w:rsidRPr="00130C11">
        <w:rPr>
          <w:rStyle w:val="Refdenotaalpie"/>
          <w:rFonts w:ascii="Arial" w:hAnsi="Arial" w:cs="Arial"/>
          <w:sz w:val="19"/>
          <w:szCs w:val="19"/>
        </w:rPr>
        <w:footnoteRef/>
      </w:r>
      <w:r w:rsidRPr="00130C11">
        <w:rPr>
          <w:rFonts w:ascii="Arial" w:hAnsi="Arial" w:cs="Arial"/>
          <w:sz w:val="19"/>
          <w:szCs w:val="19"/>
        </w:rPr>
        <w:t xml:space="preserve"> Ley 743 del 2002 «Artículo 55. </w:t>
      </w:r>
      <w:bookmarkStart w:id="59" w:name="_Hlk98586808"/>
      <w:r w:rsidRPr="00130C11">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7D83D5A6" w14:textId="77777777" w:rsidR="00702472" w:rsidRPr="00130C11" w:rsidRDefault="00702472" w:rsidP="0023528C">
      <w:pPr>
        <w:pStyle w:val="Textonotapie"/>
        <w:jc w:val="both"/>
        <w:rPr>
          <w:lang w:val="es-CO"/>
        </w:rPr>
      </w:pPr>
      <w:r w:rsidRPr="00130C11">
        <w:rPr>
          <w:rFonts w:ascii="Arial" w:hAnsi="Arial" w:cs="Arial"/>
          <w:sz w:val="19"/>
          <w:szCs w:val="19"/>
        </w:rPr>
        <w:t>»Los contratos o convenios que celebren los organismos comunales se regularán por el régimen vigente de contratación para organizaciones solidarias».</w:t>
      </w:r>
      <w:r>
        <w:t xml:space="preserve">  </w:t>
      </w:r>
      <w:bookmarkEnd w:id="59"/>
    </w:p>
  </w:footnote>
  <w:footnote w:id="28">
    <w:p w14:paraId="3726D1D7" w14:textId="77777777" w:rsidR="00C040EF" w:rsidRPr="00EA03F6" w:rsidRDefault="00C040EF" w:rsidP="0023528C">
      <w:pPr>
        <w:pStyle w:val="Textonotapie"/>
        <w:ind w:firstLine="708"/>
        <w:jc w:val="both"/>
        <w:rPr>
          <w:rFonts w:ascii="Arial" w:hAnsi="Arial" w:cs="Arial"/>
          <w:color w:val="000000" w:themeColor="text1"/>
          <w:sz w:val="19"/>
          <w:szCs w:val="19"/>
          <w:lang w:val="es-ES"/>
        </w:rPr>
      </w:pPr>
      <w:r w:rsidRPr="004A1D82">
        <w:rPr>
          <w:rStyle w:val="Refdenotaalpie"/>
          <w:rFonts w:ascii="Arial" w:hAnsi="Arial" w:cs="Arial"/>
          <w:sz w:val="19"/>
          <w:szCs w:val="19"/>
        </w:rPr>
        <w:footnoteRef/>
      </w:r>
      <w:hyperlink r:id="rId1" w:anchor=":~:text=La%20Ley%20de%20Garant%C3%ADas%20proh%C3%ADbe,de%20la%20Rep%C3%BAblica%20sea%20elegido" w:history="1">
        <w:r w:rsidRPr="00EA03F6">
          <w:rPr>
            <w:rStyle w:val="Hipervnculo"/>
            <w:rFonts w:ascii="Arial" w:hAnsi="Arial" w:cs="Arial"/>
            <w:color w:val="000000" w:themeColor="text1"/>
            <w:sz w:val="19"/>
            <w:szCs w:val="19"/>
            <w:lang w:val="es-ES"/>
          </w:rPr>
          <w:t>https://www.funcionpublica.gov.co/eva/gestornormativo/norma.php?i=173606#:~:text=La%20Ley%20de%20Garant%C3%ADas%20proh%C3%ADbe,de%20la%20Rep%C3%BAblica%20sea%20elegido</w:t>
        </w:r>
      </w:hyperlink>
      <w:r w:rsidRPr="00EA03F6">
        <w:rPr>
          <w:rFonts w:ascii="Arial" w:hAnsi="Arial" w:cs="Arial"/>
          <w:color w:val="000000" w:themeColor="text1"/>
          <w:sz w:val="19"/>
          <w:szCs w:val="19"/>
          <w:lang w:val="es-ES"/>
        </w:rPr>
        <w:t>.</w:t>
      </w:r>
    </w:p>
    <w:p w14:paraId="674D00BE" w14:textId="77777777" w:rsidR="00C040EF" w:rsidRPr="004A1D82" w:rsidRDefault="00C040EF" w:rsidP="0023528C">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5EF8" w14:textId="77777777" w:rsidR="00DE104F" w:rsidRDefault="00B101D0">
    <w:pPr>
      <w:pStyle w:val="Encabezado"/>
    </w:pPr>
    <w:r>
      <w:rPr>
        <w:noProof/>
        <w:lang w:val="en-US"/>
      </w:rPr>
      <w:drawing>
        <wp:anchor distT="0" distB="0" distL="114300" distR="114300" simplePos="0" relativeHeight="251659264" behindDoc="1" locked="0" layoutInCell="1" allowOverlap="1" wp14:anchorId="6CDAD40C" wp14:editId="2205C1F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206860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2B"/>
    <w:rsid w:val="00020E0C"/>
    <w:rsid w:val="00024CE9"/>
    <w:rsid w:val="000272B1"/>
    <w:rsid w:val="00035663"/>
    <w:rsid w:val="000368D5"/>
    <w:rsid w:val="00056115"/>
    <w:rsid w:val="00063BE4"/>
    <w:rsid w:val="00081407"/>
    <w:rsid w:val="00093FDA"/>
    <w:rsid w:val="000A0E79"/>
    <w:rsid w:val="000A7D44"/>
    <w:rsid w:val="000B5BD3"/>
    <w:rsid w:val="000D0A77"/>
    <w:rsid w:val="000D7FF7"/>
    <w:rsid w:val="00114755"/>
    <w:rsid w:val="00121D67"/>
    <w:rsid w:val="001502CE"/>
    <w:rsid w:val="0017219C"/>
    <w:rsid w:val="001800CB"/>
    <w:rsid w:val="00191998"/>
    <w:rsid w:val="001925CB"/>
    <w:rsid w:val="001A0F92"/>
    <w:rsid w:val="001A7CC6"/>
    <w:rsid w:val="001B0FA8"/>
    <w:rsid w:val="001C1EFC"/>
    <w:rsid w:val="001C236A"/>
    <w:rsid w:val="001C4A10"/>
    <w:rsid w:val="001D3ADC"/>
    <w:rsid w:val="001E3C2A"/>
    <w:rsid w:val="001F0754"/>
    <w:rsid w:val="002076E2"/>
    <w:rsid w:val="00213C99"/>
    <w:rsid w:val="00214351"/>
    <w:rsid w:val="0023528C"/>
    <w:rsid w:val="002515CA"/>
    <w:rsid w:val="00256E36"/>
    <w:rsid w:val="0027369C"/>
    <w:rsid w:val="002773B8"/>
    <w:rsid w:val="002978E3"/>
    <w:rsid w:val="002A6841"/>
    <w:rsid w:val="002D358E"/>
    <w:rsid w:val="002D4F72"/>
    <w:rsid w:val="002F25EB"/>
    <w:rsid w:val="003013EE"/>
    <w:rsid w:val="00313B1E"/>
    <w:rsid w:val="00324ABD"/>
    <w:rsid w:val="0033450D"/>
    <w:rsid w:val="0033652B"/>
    <w:rsid w:val="00347270"/>
    <w:rsid w:val="003658C3"/>
    <w:rsid w:val="003A4EE2"/>
    <w:rsid w:val="003B040E"/>
    <w:rsid w:val="003B381D"/>
    <w:rsid w:val="003D5AA0"/>
    <w:rsid w:val="003E4FC9"/>
    <w:rsid w:val="003F3785"/>
    <w:rsid w:val="00453EF5"/>
    <w:rsid w:val="00470264"/>
    <w:rsid w:val="0047437F"/>
    <w:rsid w:val="0048660C"/>
    <w:rsid w:val="00487FC3"/>
    <w:rsid w:val="004B13E3"/>
    <w:rsid w:val="004D22A9"/>
    <w:rsid w:val="004E094B"/>
    <w:rsid w:val="004E62AB"/>
    <w:rsid w:val="004E73B4"/>
    <w:rsid w:val="004F65FC"/>
    <w:rsid w:val="004F7F07"/>
    <w:rsid w:val="00517136"/>
    <w:rsid w:val="005337A3"/>
    <w:rsid w:val="00557977"/>
    <w:rsid w:val="00570C11"/>
    <w:rsid w:val="00583433"/>
    <w:rsid w:val="005839CA"/>
    <w:rsid w:val="00584A38"/>
    <w:rsid w:val="005C0B82"/>
    <w:rsid w:val="005C2C91"/>
    <w:rsid w:val="005D253A"/>
    <w:rsid w:val="005E39A0"/>
    <w:rsid w:val="005E79C0"/>
    <w:rsid w:val="0061576A"/>
    <w:rsid w:val="00617C46"/>
    <w:rsid w:val="00620C52"/>
    <w:rsid w:val="00621263"/>
    <w:rsid w:val="00631D4F"/>
    <w:rsid w:val="006363D4"/>
    <w:rsid w:val="006433AD"/>
    <w:rsid w:val="0065115D"/>
    <w:rsid w:val="00652FAE"/>
    <w:rsid w:val="0066114B"/>
    <w:rsid w:val="00670F6E"/>
    <w:rsid w:val="0067351F"/>
    <w:rsid w:val="00682BBB"/>
    <w:rsid w:val="00685A10"/>
    <w:rsid w:val="00685A6B"/>
    <w:rsid w:val="006A7FDE"/>
    <w:rsid w:val="006C087D"/>
    <w:rsid w:val="006D4430"/>
    <w:rsid w:val="006F3271"/>
    <w:rsid w:val="006F37C9"/>
    <w:rsid w:val="00702472"/>
    <w:rsid w:val="00751B3D"/>
    <w:rsid w:val="00770932"/>
    <w:rsid w:val="007A3A3A"/>
    <w:rsid w:val="007A3BEB"/>
    <w:rsid w:val="007A729C"/>
    <w:rsid w:val="007C0BF8"/>
    <w:rsid w:val="007D43F2"/>
    <w:rsid w:val="007F3D88"/>
    <w:rsid w:val="007F5B28"/>
    <w:rsid w:val="008055E6"/>
    <w:rsid w:val="00806A89"/>
    <w:rsid w:val="0080782E"/>
    <w:rsid w:val="00875BEA"/>
    <w:rsid w:val="00881C2C"/>
    <w:rsid w:val="008A27CE"/>
    <w:rsid w:val="008C57CC"/>
    <w:rsid w:val="008D5C63"/>
    <w:rsid w:val="008E7BD3"/>
    <w:rsid w:val="008F7BE1"/>
    <w:rsid w:val="009050CE"/>
    <w:rsid w:val="0096541E"/>
    <w:rsid w:val="00976C49"/>
    <w:rsid w:val="0099439E"/>
    <w:rsid w:val="00994F84"/>
    <w:rsid w:val="009C1D94"/>
    <w:rsid w:val="009C413C"/>
    <w:rsid w:val="009E4BBD"/>
    <w:rsid w:val="009F107E"/>
    <w:rsid w:val="00A15783"/>
    <w:rsid w:val="00A26168"/>
    <w:rsid w:val="00A76977"/>
    <w:rsid w:val="00A82235"/>
    <w:rsid w:val="00A841F4"/>
    <w:rsid w:val="00AD0F4B"/>
    <w:rsid w:val="00B07AA1"/>
    <w:rsid w:val="00B101D0"/>
    <w:rsid w:val="00B11D00"/>
    <w:rsid w:val="00B2689E"/>
    <w:rsid w:val="00B3015F"/>
    <w:rsid w:val="00B44F6A"/>
    <w:rsid w:val="00B8074D"/>
    <w:rsid w:val="00B90B35"/>
    <w:rsid w:val="00B91EEE"/>
    <w:rsid w:val="00BA3361"/>
    <w:rsid w:val="00BA4190"/>
    <w:rsid w:val="00BC32F9"/>
    <w:rsid w:val="00BD093C"/>
    <w:rsid w:val="00BF67A5"/>
    <w:rsid w:val="00C040EF"/>
    <w:rsid w:val="00C04862"/>
    <w:rsid w:val="00C16B3A"/>
    <w:rsid w:val="00C2180B"/>
    <w:rsid w:val="00C36710"/>
    <w:rsid w:val="00C4664E"/>
    <w:rsid w:val="00C5746C"/>
    <w:rsid w:val="00C6796C"/>
    <w:rsid w:val="00C7278F"/>
    <w:rsid w:val="00C80312"/>
    <w:rsid w:val="00C90219"/>
    <w:rsid w:val="00C91B92"/>
    <w:rsid w:val="00C93871"/>
    <w:rsid w:val="00CA2DB6"/>
    <w:rsid w:val="00CA67CD"/>
    <w:rsid w:val="00CE42F4"/>
    <w:rsid w:val="00CF6C72"/>
    <w:rsid w:val="00D13661"/>
    <w:rsid w:val="00D167A5"/>
    <w:rsid w:val="00D264F8"/>
    <w:rsid w:val="00D3658A"/>
    <w:rsid w:val="00D36B06"/>
    <w:rsid w:val="00D42711"/>
    <w:rsid w:val="00D62B6E"/>
    <w:rsid w:val="00D81D4F"/>
    <w:rsid w:val="00D91EE0"/>
    <w:rsid w:val="00D93D77"/>
    <w:rsid w:val="00D9512A"/>
    <w:rsid w:val="00DA0763"/>
    <w:rsid w:val="00DA221E"/>
    <w:rsid w:val="00DA3488"/>
    <w:rsid w:val="00E21455"/>
    <w:rsid w:val="00E21BBC"/>
    <w:rsid w:val="00E23BFB"/>
    <w:rsid w:val="00E26AC8"/>
    <w:rsid w:val="00E6742A"/>
    <w:rsid w:val="00E6749D"/>
    <w:rsid w:val="00E74C9E"/>
    <w:rsid w:val="00E839E2"/>
    <w:rsid w:val="00EA243B"/>
    <w:rsid w:val="00EA2FBC"/>
    <w:rsid w:val="00EA3147"/>
    <w:rsid w:val="00ED5465"/>
    <w:rsid w:val="00EE0CC8"/>
    <w:rsid w:val="00EE4DE3"/>
    <w:rsid w:val="00EE6A4B"/>
    <w:rsid w:val="00EF1342"/>
    <w:rsid w:val="00EF5363"/>
    <w:rsid w:val="00F41690"/>
    <w:rsid w:val="00F651E3"/>
    <w:rsid w:val="00F711A0"/>
    <w:rsid w:val="00F914C6"/>
    <w:rsid w:val="00F96A8F"/>
    <w:rsid w:val="00FB3B31"/>
    <w:rsid w:val="00FB6E85"/>
    <w:rsid w:val="00FD7395"/>
    <w:rsid w:val="00FE1F0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84D8"/>
  <w15:chartTrackingRefBased/>
  <w15:docId w15:val="{7AFE5880-6705-483A-BD05-6830DE42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52B"/>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3652B"/>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3652B"/>
    <w:rPr>
      <w:sz w:val="24"/>
      <w:lang w:val="es-MX"/>
    </w:rPr>
  </w:style>
  <w:style w:type="paragraph" w:styleId="Encabezado">
    <w:name w:val="header"/>
    <w:basedOn w:val="Normal"/>
    <w:link w:val="EncabezadoCar"/>
    <w:uiPriority w:val="99"/>
    <w:unhideWhenUsed/>
    <w:rsid w:val="0033652B"/>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3652B"/>
    <w:rPr>
      <w:sz w:val="24"/>
      <w:lang w:val="es-MX"/>
    </w:rPr>
  </w:style>
  <w:style w:type="table" w:styleId="Tablaconcuadrcula">
    <w:name w:val="Table Grid"/>
    <w:basedOn w:val="Tablanormal"/>
    <w:uiPriority w:val="59"/>
    <w:rsid w:val="0033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3652B"/>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33652B"/>
    <w:pPr>
      <w:spacing w:before="100" w:beforeAutospacing="1" w:after="100" w:afterAutospacing="1"/>
    </w:pPr>
    <w:rPr>
      <w:lang w:eastAsia="es-CO"/>
    </w:rPr>
  </w:style>
  <w:style w:type="paragraph" w:styleId="Sinespaciado">
    <w:name w:val="No Spacing"/>
    <w:aliases w:val="No Indent"/>
    <w:uiPriority w:val="3"/>
    <w:qFormat/>
    <w:rsid w:val="0033652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3652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3652B"/>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3652B"/>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3652B"/>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33652B"/>
    <w:rPr>
      <w:vertAlign w:val="superscript"/>
    </w:rPr>
  </w:style>
  <w:style w:type="paragraph" w:styleId="Textoindependiente">
    <w:name w:val="Body Text"/>
    <w:basedOn w:val="Normal"/>
    <w:link w:val="TextoindependienteCar"/>
    <w:uiPriority w:val="99"/>
    <w:unhideWhenUsed/>
    <w:rsid w:val="0033652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33652B"/>
    <w:rPr>
      <w:rFonts w:eastAsiaTheme="minorEastAsia"/>
      <w:lang w:eastAsia="es-CO"/>
    </w:rPr>
  </w:style>
  <w:style w:type="character" w:customStyle="1" w:styleId="normaltextrun">
    <w:name w:val="normaltextrun"/>
    <w:basedOn w:val="Fuentedeprrafopredeter"/>
    <w:rsid w:val="0033652B"/>
  </w:style>
  <w:style w:type="paragraph" w:customStyle="1" w:styleId="Appelnotedebasde">
    <w:name w:val="Appel note de bas de..."/>
    <w:basedOn w:val="Normal"/>
    <w:link w:val="Refdenotaalpie"/>
    <w:uiPriority w:val="99"/>
    <w:rsid w:val="0033652B"/>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33652B"/>
    <w:rPr>
      <w:b/>
      <w:bCs/>
    </w:rPr>
  </w:style>
  <w:style w:type="character" w:styleId="nfasis">
    <w:name w:val="Emphasis"/>
    <w:basedOn w:val="Fuentedeprrafopredeter"/>
    <w:uiPriority w:val="20"/>
    <w:qFormat/>
    <w:rsid w:val="0033652B"/>
    <w:rPr>
      <w:i/>
      <w:iCs/>
    </w:rPr>
  </w:style>
  <w:style w:type="character" w:customStyle="1" w:styleId="NormalWebCar">
    <w:name w:val="Normal (Web) Car"/>
    <w:link w:val="NormalWeb"/>
    <w:uiPriority w:val="99"/>
    <w:rsid w:val="0033652B"/>
    <w:rPr>
      <w:rFonts w:ascii="Times New Roman" w:eastAsia="Times New Roman" w:hAnsi="Times New Roman" w:cs="Times New Roman"/>
      <w:sz w:val="24"/>
      <w:szCs w:val="24"/>
      <w:lang w:eastAsia="es-CO"/>
    </w:rPr>
  </w:style>
  <w:style w:type="character" w:customStyle="1" w:styleId="baj">
    <w:name w:val="b_aj"/>
    <w:basedOn w:val="Fuentedeprrafopredeter"/>
    <w:rsid w:val="0033652B"/>
  </w:style>
  <w:style w:type="character" w:styleId="Refdecomentario">
    <w:name w:val="annotation reference"/>
    <w:basedOn w:val="Fuentedeprrafopredeter"/>
    <w:uiPriority w:val="99"/>
    <w:semiHidden/>
    <w:unhideWhenUsed/>
    <w:rsid w:val="00324ABD"/>
    <w:rPr>
      <w:sz w:val="16"/>
      <w:szCs w:val="16"/>
    </w:rPr>
  </w:style>
  <w:style w:type="paragraph" w:styleId="Textocomentario">
    <w:name w:val="annotation text"/>
    <w:basedOn w:val="Normal"/>
    <w:link w:val="TextocomentarioCar"/>
    <w:uiPriority w:val="99"/>
    <w:unhideWhenUsed/>
    <w:rsid w:val="00324ABD"/>
    <w:rPr>
      <w:sz w:val="20"/>
      <w:szCs w:val="20"/>
    </w:rPr>
  </w:style>
  <w:style w:type="character" w:customStyle="1" w:styleId="TextocomentarioCar">
    <w:name w:val="Texto comentario Car"/>
    <w:basedOn w:val="Fuentedeprrafopredeter"/>
    <w:link w:val="Textocomentario"/>
    <w:uiPriority w:val="99"/>
    <w:rsid w:val="00324ABD"/>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24ABD"/>
    <w:rPr>
      <w:b/>
      <w:bCs/>
    </w:rPr>
  </w:style>
  <w:style w:type="character" w:customStyle="1" w:styleId="AsuntodelcomentarioCar">
    <w:name w:val="Asunto del comentario Car"/>
    <w:basedOn w:val="TextocomentarioCar"/>
    <w:link w:val="Asuntodelcomentario"/>
    <w:uiPriority w:val="99"/>
    <w:semiHidden/>
    <w:rsid w:val="00324ABD"/>
    <w:rPr>
      <w:rFonts w:ascii="Times New Roman" w:eastAsia="Times New Roman" w:hAnsi="Times New Roman" w:cs="Times New Roman"/>
      <w:b/>
      <w:bCs/>
      <w:sz w:val="20"/>
      <w:szCs w:val="20"/>
      <w:lang w:eastAsia="es-ES_tradnl"/>
    </w:rPr>
  </w:style>
  <w:style w:type="character" w:styleId="Hipervnculo">
    <w:name w:val="Hyperlink"/>
    <w:basedOn w:val="Fuentedeprrafopredeter"/>
    <w:uiPriority w:val="99"/>
    <w:unhideWhenUsed/>
    <w:rsid w:val="00C040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736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25543A3-CF40-4728-A931-4B98830725EE}">
  <ds:schemaRefs>
    <ds:schemaRef ds:uri="http://schemas.openxmlformats.org/officeDocument/2006/bibliography"/>
  </ds:schemaRefs>
</ds:datastoreItem>
</file>

<file path=customXml/itemProps2.xml><?xml version="1.0" encoding="utf-8"?>
<ds:datastoreItem xmlns:ds="http://schemas.openxmlformats.org/officeDocument/2006/customXml" ds:itemID="{0B607116-3A0B-4605-9741-449BD0395FDC}"/>
</file>

<file path=customXml/itemProps3.xml><?xml version="1.0" encoding="utf-8"?>
<ds:datastoreItem xmlns:ds="http://schemas.openxmlformats.org/officeDocument/2006/customXml" ds:itemID="{88B3D628-6FF2-49DA-AA40-BE0747001152}"/>
</file>

<file path=customXml/itemProps4.xml><?xml version="1.0" encoding="utf-8"?>
<ds:datastoreItem xmlns:ds="http://schemas.openxmlformats.org/officeDocument/2006/customXml" ds:itemID="{370DC5C0-4504-4467-8198-449A3388F3C8}"/>
</file>

<file path=docProps/app.xml><?xml version="1.0" encoding="utf-8"?>
<Properties xmlns="http://schemas.openxmlformats.org/officeDocument/2006/extended-properties" xmlns:vt="http://schemas.openxmlformats.org/officeDocument/2006/docPropsVTypes">
  <Template>Normal</Template>
  <TotalTime>3</TotalTime>
  <Pages>20</Pages>
  <Words>7797</Words>
  <Characters>42887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5</cp:revision>
  <dcterms:created xsi:type="dcterms:W3CDTF">2022-04-12T16:39:00Z</dcterms:created>
  <dcterms:modified xsi:type="dcterms:W3CDTF">2022-04-12T22:01:00Z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