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218B" w14:textId="26399F7A" w:rsidR="2652533D" w:rsidRDefault="2652533D" w:rsidP="2652533D">
      <w:pPr>
        <w:pStyle w:val="paragraph"/>
        <w:spacing w:before="0" w:beforeAutospacing="0" w:after="0" w:afterAutospacing="0"/>
        <w:jc w:val="both"/>
        <w:rPr>
          <w:rStyle w:val="normaltextrun"/>
          <w:rFonts w:ascii="Arial" w:hAnsi="Arial" w:cs="Arial"/>
          <w:b/>
          <w:bCs/>
          <w:color w:val="000000" w:themeColor="text1"/>
          <w:sz w:val="22"/>
          <w:szCs w:val="22"/>
        </w:rPr>
      </w:pPr>
    </w:p>
    <w:p w14:paraId="06DBCAB5" w14:textId="13F24487" w:rsidR="2652533D" w:rsidRDefault="2652533D" w:rsidP="2652533D">
      <w:pPr>
        <w:pStyle w:val="paragraph"/>
        <w:spacing w:before="0" w:beforeAutospacing="0" w:after="0" w:afterAutospacing="0"/>
        <w:jc w:val="both"/>
        <w:rPr>
          <w:rStyle w:val="normaltextrun"/>
          <w:rFonts w:ascii="Arial" w:hAnsi="Arial" w:cs="Arial"/>
          <w:b/>
          <w:bCs/>
          <w:color w:val="000000" w:themeColor="text1"/>
          <w:sz w:val="22"/>
          <w:szCs w:val="22"/>
        </w:rPr>
      </w:pPr>
    </w:p>
    <w:p w14:paraId="5876C41E" w14:textId="53A5EB38" w:rsidR="2652533D" w:rsidRDefault="2652533D" w:rsidP="2652533D">
      <w:pPr>
        <w:pStyle w:val="paragraph"/>
        <w:spacing w:before="0" w:beforeAutospacing="0" w:after="0" w:afterAutospacing="0"/>
        <w:jc w:val="both"/>
        <w:rPr>
          <w:rStyle w:val="normaltextrun"/>
          <w:rFonts w:ascii="Arial" w:hAnsi="Arial" w:cs="Arial"/>
          <w:b/>
          <w:bCs/>
          <w:color w:val="000000" w:themeColor="text1"/>
          <w:sz w:val="22"/>
          <w:szCs w:val="22"/>
        </w:rPr>
      </w:pPr>
    </w:p>
    <w:p w14:paraId="31BF0E0B" w14:textId="0B4CE4D4"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b/>
          <w:bCs/>
          <w:color w:val="000000"/>
          <w:sz w:val="22"/>
          <w:szCs w:val="22"/>
        </w:rPr>
        <w:t>LEY DE EMPRENDIMIENTO – Finalidad</w:t>
      </w:r>
      <w:r w:rsidR="006D7173" w:rsidRPr="00DA3080">
        <w:rPr>
          <w:rStyle w:val="normaltextrun"/>
          <w:rFonts w:ascii="Arial" w:hAnsi="Arial" w:cs="Arial"/>
          <w:b/>
          <w:bCs/>
          <w:color w:val="000000"/>
          <w:sz w:val="22"/>
          <w:szCs w:val="22"/>
        </w:rPr>
        <w:t xml:space="preserve"> </w:t>
      </w:r>
    </w:p>
    <w:p w14:paraId="098A946A"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0"/>
          <w:szCs w:val="20"/>
        </w:rPr>
        <w:t> </w:t>
      </w:r>
    </w:p>
    <w:p w14:paraId="27A2B2B6" w14:textId="77777777" w:rsidR="00292ACB" w:rsidRPr="00DA3080" w:rsidRDefault="00292ACB" w:rsidP="003F7B85">
      <w:pPr>
        <w:pStyle w:val="paragraph"/>
        <w:spacing w:before="0" w:beforeAutospacing="0" w:after="0" w:afterAutospacing="0"/>
        <w:jc w:val="both"/>
        <w:textAlignment w:val="baseline"/>
        <w:rPr>
          <w:rStyle w:val="normaltextrun"/>
          <w:rFonts w:ascii="Arial" w:hAnsi="Arial" w:cs="Arial"/>
          <w:color w:val="000000"/>
          <w:sz w:val="20"/>
          <w:szCs w:val="20"/>
        </w:rPr>
      </w:pPr>
      <w:r w:rsidRPr="00DA3080">
        <w:rPr>
          <w:rStyle w:val="normaltextrun"/>
          <w:rFonts w:ascii="Arial" w:hAnsi="Arial" w:cs="Arial"/>
          <w:color w:val="000000"/>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6DB353F9" w14:textId="54DFC558"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0"/>
          <w:szCs w:val="20"/>
        </w:rPr>
        <w:t> </w:t>
      </w:r>
    </w:p>
    <w:p w14:paraId="13A964EE"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b/>
          <w:bCs/>
          <w:color w:val="000000"/>
          <w:sz w:val="22"/>
          <w:szCs w:val="22"/>
        </w:rPr>
        <w:t>RELACIÓN ENTRE LEY Y REGLAMENTO – Tesis de la aplicación directa – Tesis de la reglamentación – Diferencias</w:t>
      </w:r>
      <w:r w:rsidRPr="00DA3080">
        <w:rPr>
          <w:rStyle w:val="eop"/>
          <w:rFonts w:ascii="Arial" w:hAnsi="Arial" w:cs="Arial"/>
          <w:color w:val="000000"/>
          <w:sz w:val="22"/>
          <w:szCs w:val="22"/>
        </w:rPr>
        <w:t> </w:t>
      </w:r>
    </w:p>
    <w:p w14:paraId="6491C079"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0"/>
          <w:szCs w:val="20"/>
        </w:rPr>
        <w:t> </w:t>
      </w:r>
    </w:p>
    <w:p w14:paraId="4691BCC5" w14:textId="1418D20C"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color w:val="000000"/>
          <w:sz w:val="20"/>
          <w:szCs w:val="20"/>
        </w:rPr>
        <w:t>[…] </w:t>
      </w:r>
      <w:r w:rsidR="00292ACB" w:rsidRPr="00DA3080">
        <w:rPr>
          <w:rStyle w:val="normaltextrun"/>
          <w:rFonts w:ascii="Arial" w:hAnsi="Arial" w:cs="Arial"/>
          <w:color w:val="000000"/>
          <w:sz w:val="20"/>
          <w:szCs w:val="20"/>
        </w:rPr>
        <w:t>quien opte por la tesis de la aplicación directa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p>
    <w:p w14:paraId="6003B119"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color w:val="000000"/>
          <w:sz w:val="20"/>
          <w:szCs w:val="20"/>
        </w:rPr>
        <w:t>[…]</w:t>
      </w:r>
      <w:r w:rsidRPr="00DA3080">
        <w:rPr>
          <w:rStyle w:val="eop"/>
          <w:rFonts w:ascii="Arial" w:hAnsi="Arial" w:cs="Arial"/>
          <w:color w:val="000000"/>
          <w:sz w:val="20"/>
          <w:szCs w:val="20"/>
        </w:rPr>
        <w:t> </w:t>
      </w:r>
    </w:p>
    <w:p w14:paraId="08ADFCA1" w14:textId="18EB1147" w:rsidR="003F7B85" w:rsidRPr="00DA3080" w:rsidRDefault="00292ACB"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color w:val="000000"/>
          <w:sz w:val="20"/>
          <w:szCs w:val="20"/>
        </w:rPr>
        <w:t>Ahora bien, la relación entre estas dos (2) fuentes del derecho es totalmente diferente en la tesis de la reglamentación.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r w:rsidR="003F7B85" w:rsidRPr="00DA3080">
        <w:rPr>
          <w:rStyle w:val="normaltextrun"/>
          <w:rFonts w:ascii="Arial" w:hAnsi="Arial" w:cs="Arial"/>
          <w:color w:val="000000"/>
          <w:sz w:val="20"/>
          <w:szCs w:val="20"/>
        </w:rPr>
        <w:t> […].</w:t>
      </w:r>
      <w:r w:rsidR="003F7B85" w:rsidRPr="00DA3080">
        <w:rPr>
          <w:rStyle w:val="eop"/>
          <w:rFonts w:ascii="Arial" w:hAnsi="Arial" w:cs="Arial"/>
          <w:color w:val="000000"/>
          <w:sz w:val="20"/>
          <w:szCs w:val="20"/>
        </w:rPr>
        <w:t> </w:t>
      </w:r>
    </w:p>
    <w:p w14:paraId="15C15939"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0"/>
          <w:szCs w:val="20"/>
        </w:rPr>
        <w:t> </w:t>
      </w:r>
    </w:p>
    <w:p w14:paraId="3588A40B"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b/>
          <w:bCs/>
          <w:color w:val="000000"/>
          <w:sz w:val="22"/>
          <w:szCs w:val="22"/>
        </w:rPr>
        <w:t>REGLAMENTACIÓN PREVIA – Ley 2069 de 2020</w:t>
      </w:r>
      <w:r w:rsidRPr="00DA3080">
        <w:rPr>
          <w:rStyle w:val="eop"/>
          <w:rFonts w:ascii="Arial" w:hAnsi="Arial" w:cs="Arial"/>
          <w:color w:val="000000"/>
          <w:sz w:val="22"/>
          <w:szCs w:val="22"/>
        </w:rPr>
        <w:t> </w:t>
      </w:r>
    </w:p>
    <w:p w14:paraId="560A06A6"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0"/>
          <w:szCs w:val="20"/>
        </w:rPr>
        <w:t> </w:t>
      </w:r>
    </w:p>
    <w:p w14:paraId="5A930B5A" w14:textId="37BC49DB" w:rsidR="00292ACB" w:rsidRPr="00DA3080" w:rsidRDefault="00425AF4" w:rsidP="00425AF4">
      <w:pPr>
        <w:pStyle w:val="paragraph"/>
        <w:spacing w:before="0" w:beforeAutospacing="0" w:after="120" w:afterAutospacing="0"/>
        <w:jc w:val="both"/>
        <w:textAlignment w:val="baseline"/>
        <w:rPr>
          <w:rFonts w:ascii="Segoe UI" w:hAnsi="Segoe UI" w:cs="Segoe UI"/>
          <w:sz w:val="18"/>
          <w:szCs w:val="18"/>
        </w:rPr>
      </w:pPr>
      <w:r w:rsidRPr="00425AF4">
        <w:rPr>
          <w:rStyle w:val="normaltextrun"/>
          <w:rFonts w:ascii="Arial" w:hAnsi="Arial" w:cs="Arial"/>
          <w:color w:val="000000"/>
          <w:sz w:val="20"/>
          <w:szCs w:val="20"/>
          <w:lang w:val="es-ES"/>
        </w:rPr>
        <w:t xml:space="preserve">La referencia hecha en una ley a que el gobierno nacional reglamentará la materia indica que el reglamento es indispensable para su cumplimiento. Naturalmente, este reconocimiento no siempre implica que la ley está sometida a condición para </w:t>
      </w:r>
      <w:proofErr w:type="gramStart"/>
      <w:r w:rsidRPr="00425AF4">
        <w:rPr>
          <w:rStyle w:val="normaltextrun"/>
          <w:rFonts w:ascii="Arial" w:hAnsi="Arial" w:cs="Arial"/>
          <w:color w:val="000000"/>
          <w:sz w:val="20"/>
          <w:szCs w:val="20"/>
          <w:lang w:val="es-ES"/>
        </w:rPr>
        <w:t>entrar en vigencia</w:t>
      </w:r>
      <w:proofErr w:type="gramEnd"/>
      <w:r w:rsidRPr="00425AF4">
        <w:rPr>
          <w:rStyle w:val="normaltextrun"/>
          <w:rFonts w:ascii="Arial" w:hAnsi="Arial" w:cs="Arial"/>
          <w:color w:val="000000"/>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r w:rsidR="00292ACB" w:rsidRPr="00DA3080">
        <w:rPr>
          <w:rStyle w:val="normaltextrun"/>
          <w:rFonts w:ascii="Arial" w:hAnsi="Arial" w:cs="Arial"/>
          <w:color w:val="000000"/>
          <w:sz w:val="20"/>
          <w:szCs w:val="20"/>
          <w:lang w:val="es-ES"/>
        </w:rPr>
        <w:t xml:space="preserve">. </w:t>
      </w:r>
      <w:r w:rsidR="003F7B85" w:rsidRPr="00DA3080">
        <w:rPr>
          <w:rStyle w:val="normaltextrun"/>
          <w:rFonts w:ascii="Arial" w:hAnsi="Arial" w:cs="Arial"/>
          <w:color w:val="000000"/>
          <w:sz w:val="20"/>
          <w:szCs w:val="20"/>
          <w:lang w:val="es-ES"/>
        </w:rPr>
        <w:t>[…]</w:t>
      </w:r>
      <w:r w:rsidR="003F7B85" w:rsidRPr="00DA3080">
        <w:rPr>
          <w:rStyle w:val="eop"/>
          <w:rFonts w:ascii="Arial" w:hAnsi="Arial" w:cs="Arial"/>
          <w:color w:val="000000"/>
          <w:sz w:val="20"/>
          <w:szCs w:val="20"/>
        </w:rPr>
        <w:t> </w:t>
      </w:r>
    </w:p>
    <w:p w14:paraId="00C9AB19" w14:textId="5D82E740"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color w:val="000000"/>
          <w:sz w:val="20"/>
          <w:szCs w:val="20"/>
          <w:lang w:val="es-ES"/>
        </w:rPr>
        <w:t>[…] </w:t>
      </w:r>
      <w:r w:rsidR="00292ACB" w:rsidRPr="00DA3080">
        <w:rPr>
          <w:rStyle w:val="normaltextrun"/>
          <w:rFonts w:ascii="Arial" w:hAnsi="Arial" w:cs="Arial"/>
          <w:color w:val="000000"/>
          <w:sz w:val="20"/>
          <w:szCs w:val="20"/>
        </w:rPr>
        <w:t xml:space="preserve">en los artículos 31, 32, 34 y 36, el Congreso de la República reconoce la necesidad de un reglamento para el efectivo cumplimiento de la Ley 2069 de 2020,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00292ACB" w:rsidRPr="00DA3080">
        <w:rPr>
          <w:rStyle w:val="normaltextrun"/>
          <w:rFonts w:ascii="Arial" w:hAnsi="Arial" w:cs="Arial"/>
          <w:color w:val="000000"/>
          <w:sz w:val="20"/>
          <w:szCs w:val="20"/>
        </w:rPr>
        <w:t>mipymes</w:t>
      </w:r>
      <w:proofErr w:type="spellEnd"/>
      <w:r w:rsidR="00292ACB" w:rsidRPr="00DA3080">
        <w:rPr>
          <w:rStyle w:val="normaltextrun"/>
          <w:rFonts w:ascii="Arial" w:hAnsi="Arial" w:cs="Arial"/>
          <w:color w:val="000000"/>
          <w:sz w:val="20"/>
          <w:szCs w:val="20"/>
        </w:rPr>
        <w:t xml:space="preserve">, </w:t>
      </w:r>
      <w:proofErr w:type="spellStart"/>
      <w:r w:rsidR="00292ACB" w:rsidRPr="00DA3080">
        <w:rPr>
          <w:rStyle w:val="normaltextrun"/>
          <w:rFonts w:ascii="Arial" w:hAnsi="Arial" w:cs="Arial"/>
          <w:color w:val="000000"/>
          <w:sz w:val="20"/>
          <w:szCs w:val="20"/>
        </w:rPr>
        <w:t>ii</w:t>
      </w:r>
      <w:proofErr w:type="spellEnd"/>
      <w:r w:rsidR="00292ACB" w:rsidRPr="00DA3080">
        <w:rPr>
          <w:rStyle w:val="normaltextrun"/>
          <w:rFonts w:ascii="Arial" w:hAnsi="Arial" w:cs="Arial"/>
          <w:color w:val="000000"/>
          <w:sz w:val="20"/>
          <w:szCs w:val="20"/>
        </w:rPr>
        <w:t xml:space="preserve">) la definición de «emprendimientos y empresas de mujeres», </w:t>
      </w:r>
      <w:proofErr w:type="spellStart"/>
      <w:r w:rsidR="00292ACB" w:rsidRPr="00DA3080">
        <w:rPr>
          <w:rStyle w:val="normaltextrun"/>
          <w:rFonts w:ascii="Arial" w:hAnsi="Arial" w:cs="Arial"/>
          <w:color w:val="000000"/>
          <w:sz w:val="20"/>
          <w:szCs w:val="20"/>
        </w:rPr>
        <w:t>iii</w:t>
      </w:r>
      <w:proofErr w:type="spellEnd"/>
      <w:r w:rsidR="00292ACB" w:rsidRPr="00DA3080">
        <w:rPr>
          <w:rStyle w:val="normaltextrun"/>
          <w:rFonts w:ascii="Arial" w:hAnsi="Arial" w:cs="Arial"/>
          <w:color w:val="000000"/>
          <w:sz w:val="20"/>
          <w:szCs w:val="20"/>
        </w:rPr>
        <w:t xml:space="preserve">) las convocatorias limitadas a </w:t>
      </w:r>
      <w:proofErr w:type="spellStart"/>
      <w:r w:rsidR="00292ACB" w:rsidRPr="00DA3080">
        <w:rPr>
          <w:rStyle w:val="normaltextrun"/>
          <w:rFonts w:ascii="Arial" w:hAnsi="Arial" w:cs="Arial"/>
          <w:color w:val="000000"/>
          <w:sz w:val="20"/>
          <w:szCs w:val="20"/>
        </w:rPr>
        <w:t>mipymes</w:t>
      </w:r>
      <w:proofErr w:type="spellEnd"/>
      <w:r w:rsidR="00292ACB" w:rsidRPr="00DA3080">
        <w:rPr>
          <w:rStyle w:val="normaltextrun"/>
          <w:rFonts w:ascii="Arial" w:hAnsi="Arial" w:cs="Arial"/>
          <w:color w:val="000000"/>
          <w:sz w:val="20"/>
          <w:szCs w:val="20"/>
        </w:rPr>
        <w:t xml:space="preserve"> y el fomento en la ejecución de los contratos estatales por parte de sujetos de especial protección, así como </w:t>
      </w:r>
      <w:proofErr w:type="spellStart"/>
      <w:r w:rsidR="00292ACB" w:rsidRPr="00DA3080">
        <w:rPr>
          <w:rStyle w:val="normaltextrun"/>
          <w:rFonts w:ascii="Arial" w:hAnsi="Arial" w:cs="Arial"/>
          <w:color w:val="000000"/>
          <w:sz w:val="20"/>
          <w:szCs w:val="20"/>
        </w:rPr>
        <w:t>iv</w:t>
      </w:r>
      <w:proofErr w:type="spellEnd"/>
      <w:r w:rsidR="00292ACB" w:rsidRPr="00DA3080">
        <w:rPr>
          <w:rStyle w:val="normaltextrun"/>
          <w:rFonts w:ascii="Arial" w:hAnsi="Arial" w:cs="Arial"/>
          <w:color w:val="000000"/>
          <w:sz w:val="20"/>
          <w:szCs w:val="20"/>
        </w:rPr>
        <w:t>) la promoción de las compras públicas de tecnología e innovación</w:t>
      </w:r>
      <w:r w:rsidRPr="00DA3080">
        <w:rPr>
          <w:rStyle w:val="normaltextrun"/>
          <w:rFonts w:ascii="Arial" w:hAnsi="Arial" w:cs="Arial"/>
          <w:color w:val="000000"/>
          <w:sz w:val="20"/>
          <w:szCs w:val="20"/>
        </w:rPr>
        <w:t>.</w:t>
      </w:r>
      <w:r w:rsidRPr="00DA3080">
        <w:rPr>
          <w:rStyle w:val="eop"/>
          <w:rFonts w:ascii="Arial" w:hAnsi="Arial" w:cs="Arial"/>
          <w:color w:val="000000"/>
          <w:sz w:val="20"/>
          <w:szCs w:val="20"/>
        </w:rPr>
        <w:t> </w:t>
      </w:r>
    </w:p>
    <w:p w14:paraId="76677A96" w14:textId="7056669C"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2"/>
          <w:szCs w:val="22"/>
        </w:rPr>
        <w:t>  </w:t>
      </w:r>
    </w:p>
    <w:p w14:paraId="7AD6C86C"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b/>
          <w:bCs/>
          <w:color w:val="000000"/>
          <w:sz w:val="22"/>
          <w:szCs w:val="22"/>
          <w:lang w:val="es-ES"/>
        </w:rPr>
        <w:t>LEY 2069 DE 2020</w:t>
      </w:r>
      <w:r w:rsidRPr="00DA3080">
        <w:rPr>
          <w:rStyle w:val="normaltextrun"/>
          <w:rFonts w:ascii="Arial" w:hAnsi="Arial" w:cs="Arial"/>
          <w:b/>
          <w:bCs/>
          <w:color w:val="000000"/>
          <w:sz w:val="22"/>
          <w:szCs w:val="22"/>
        </w:rPr>
        <w:t> – Mínima cuantía – Eficacia directa</w:t>
      </w:r>
      <w:r w:rsidRPr="00DA3080">
        <w:rPr>
          <w:rStyle w:val="eop"/>
          <w:rFonts w:ascii="Arial" w:hAnsi="Arial" w:cs="Arial"/>
          <w:color w:val="000000"/>
          <w:sz w:val="22"/>
          <w:szCs w:val="22"/>
        </w:rPr>
        <w:t> </w:t>
      </w:r>
    </w:p>
    <w:p w14:paraId="1CD3C1DC" w14:textId="77777777" w:rsidR="003F7B85" w:rsidRPr="00DA3080" w:rsidRDefault="003F7B85" w:rsidP="003F7B85">
      <w:pPr>
        <w:pStyle w:val="paragraph"/>
        <w:spacing w:before="0" w:beforeAutospacing="0" w:after="0" w:afterAutospacing="0"/>
        <w:textAlignment w:val="baseline"/>
        <w:rPr>
          <w:rFonts w:ascii="Segoe UI" w:hAnsi="Segoe UI" w:cs="Segoe UI"/>
          <w:sz w:val="18"/>
          <w:szCs w:val="18"/>
        </w:rPr>
      </w:pPr>
      <w:r w:rsidRPr="00DA3080">
        <w:rPr>
          <w:rStyle w:val="eop"/>
          <w:rFonts w:ascii="Arial" w:hAnsi="Arial" w:cs="Arial"/>
          <w:color w:val="000000"/>
          <w:sz w:val="22"/>
          <w:szCs w:val="22"/>
        </w:rPr>
        <w:lastRenderedPageBreak/>
        <w:t> </w:t>
      </w:r>
    </w:p>
    <w:p w14:paraId="3B92232C" w14:textId="4252F0BE" w:rsidR="003F7B85" w:rsidRPr="00DA3080" w:rsidRDefault="00292ACB"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color w:val="000000"/>
          <w:sz w:val="20"/>
          <w:szCs w:val="20"/>
        </w:rPr>
        <w:t>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02F08B7F" w14:textId="6A2D12B6" w:rsidR="00292ACB" w:rsidRPr="00DA3080" w:rsidRDefault="00FC5E0C" w:rsidP="003F7B85">
      <w:pPr>
        <w:pStyle w:val="paragraph"/>
        <w:spacing w:before="0" w:beforeAutospacing="0" w:after="0" w:afterAutospacing="0"/>
        <w:jc w:val="both"/>
        <w:textAlignment w:val="baseline"/>
        <w:rPr>
          <w:rStyle w:val="normaltextrun"/>
          <w:rFonts w:ascii="Arial" w:hAnsi="Arial" w:cs="Arial"/>
          <w:color w:val="000000"/>
          <w:sz w:val="20"/>
          <w:szCs w:val="20"/>
          <w:lang w:val="es-ES"/>
        </w:rPr>
      </w:pPr>
      <w:r w:rsidRPr="00DA3080">
        <w:rPr>
          <w:rStyle w:val="normaltextrun"/>
          <w:rFonts w:ascii="Arial" w:hAnsi="Arial" w:cs="Arial"/>
          <w:color w:val="000000"/>
          <w:sz w:val="20"/>
          <w:szCs w:val="20"/>
          <w:lang w:val="es-ES"/>
        </w:rPr>
        <w:t>[…]</w:t>
      </w:r>
    </w:p>
    <w:p w14:paraId="705C2048" w14:textId="1350589C" w:rsidR="003F7B85" w:rsidRPr="00DA3080" w:rsidRDefault="00425AF4" w:rsidP="003F7B85">
      <w:pPr>
        <w:pStyle w:val="paragraph"/>
        <w:spacing w:before="0" w:beforeAutospacing="0" w:after="0" w:afterAutospacing="0"/>
        <w:jc w:val="both"/>
        <w:textAlignment w:val="baseline"/>
        <w:rPr>
          <w:rFonts w:ascii="Segoe UI" w:hAnsi="Segoe UI" w:cs="Segoe UI"/>
          <w:sz w:val="18"/>
          <w:szCs w:val="18"/>
        </w:rPr>
      </w:pPr>
      <w:r w:rsidRPr="00425AF4">
        <w:rPr>
          <w:rStyle w:val="normaltextrun"/>
          <w:rFonts w:ascii="Arial" w:hAnsi="Arial" w:cs="Arial"/>
          <w:color w:val="000000"/>
          <w:sz w:val="20"/>
          <w:szCs w:val="20"/>
          <w:lang w:val="es-ES"/>
        </w:rPr>
        <w:t xml:space="preserve">En esencia, el artículo 30 de la Ley 2069 de 2020 conserva a grandes rasgos el procedimiento previsto en el derogado 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a </w:t>
      </w:r>
      <w:proofErr w:type="spellStart"/>
      <w:r w:rsidRPr="00425AF4">
        <w:rPr>
          <w:rStyle w:val="normaltextrun"/>
          <w:rFonts w:ascii="Arial" w:hAnsi="Arial" w:cs="Arial"/>
          <w:color w:val="000000"/>
          <w:sz w:val="20"/>
          <w:szCs w:val="20"/>
          <w:lang w:val="es-ES"/>
        </w:rPr>
        <w:t>Mipymes</w:t>
      </w:r>
      <w:proofErr w:type="spellEnd"/>
      <w:r w:rsidRPr="00425AF4">
        <w:rPr>
          <w:rStyle w:val="normaltextrun"/>
          <w:rFonts w:ascii="Arial" w:hAnsi="Arial" w:cs="Arial"/>
          <w:color w:val="000000"/>
          <w:sz w:val="20"/>
          <w:szCs w:val="20"/>
          <w:lang w:val="es-ES"/>
        </w:rPr>
        <w:t xml:space="preserve"> o establecimientos que correspondan a la definición de "gran almacén" señalada por la Superintendencia de Industria y Comercio, se determinarán en el reglamento que para el efecto expida el Gobierno Nacional»</w:t>
      </w:r>
    </w:p>
    <w:p w14:paraId="194F5E13"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2"/>
          <w:szCs w:val="22"/>
        </w:rPr>
        <w:t> </w:t>
      </w:r>
    </w:p>
    <w:p w14:paraId="14D8B262" w14:textId="362DF7D5"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normaltextrun"/>
          <w:rFonts w:ascii="Arial" w:hAnsi="Arial" w:cs="Arial"/>
          <w:b/>
          <w:bCs/>
          <w:color w:val="000000"/>
          <w:sz w:val="22"/>
          <w:szCs w:val="22"/>
          <w:lang w:val="es-ES"/>
        </w:rPr>
        <w:t>MÍNIMA CUANTÍA</w:t>
      </w:r>
      <w:r w:rsidRPr="00DA3080">
        <w:rPr>
          <w:rStyle w:val="normaltextrun"/>
          <w:rFonts w:ascii="Arial" w:hAnsi="Arial" w:cs="Arial"/>
          <w:b/>
          <w:bCs/>
          <w:color w:val="000000"/>
          <w:sz w:val="22"/>
          <w:szCs w:val="22"/>
        </w:rPr>
        <w:t> – Normas reglamentarias – Decreto 1082 de 2015 –</w:t>
      </w:r>
      <w:r w:rsidR="003F0360" w:rsidRPr="00DA3080">
        <w:rPr>
          <w:rStyle w:val="normaltextrun"/>
          <w:rFonts w:ascii="Arial" w:hAnsi="Arial" w:cs="Arial"/>
          <w:b/>
          <w:bCs/>
          <w:color w:val="000000"/>
          <w:sz w:val="22"/>
          <w:szCs w:val="22"/>
        </w:rPr>
        <w:t xml:space="preserve"> </w:t>
      </w:r>
      <w:r w:rsidRPr="00DA3080">
        <w:rPr>
          <w:rStyle w:val="normaltextrun"/>
          <w:rFonts w:ascii="Arial" w:hAnsi="Arial" w:cs="Arial"/>
          <w:b/>
          <w:bCs/>
          <w:color w:val="000000"/>
          <w:sz w:val="22"/>
          <w:szCs w:val="22"/>
        </w:rPr>
        <w:t>Vigencia</w:t>
      </w:r>
      <w:r w:rsidRPr="00DA3080">
        <w:rPr>
          <w:rStyle w:val="eop"/>
          <w:rFonts w:ascii="Arial" w:hAnsi="Arial" w:cs="Arial"/>
          <w:color w:val="000000"/>
          <w:sz w:val="22"/>
          <w:szCs w:val="22"/>
        </w:rPr>
        <w:t> </w:t>
      </w:r>
    </w:p>
    <w:p w14:paraId="584004E9" w14:textId="77777777" w:rsidR="003F7B85" w:rsidRPr="00DA3080" w:rsidRDefault="003F7B85" w:rsidP="003F7B85">
      <w:pPr>
        <w:pStyle w:val="paragraph"/>
        <w:spacing w:before="0" w:beforeAutospacing="0" w:after="0" w:afterAutospacing="0"/>
        <w:jc w:val="both"/>
        <w:textAlignment w:val="baseline"/>
        <w:rPr>
          <w:rFonts w:ascii="Segoe UI" w:hAnsi="Segoe UI" w:cs="Segoe UI"/>
          <w:sz w:val="18"/>
          <w:szCs w:val="18"/>
        </w:rPr>
      </w:pPr>
      <w:r w:rsidRPr="00DA3080">
        <w:rPr>
          <w:rStyle w:val="eop"/>
          <w:rFonts w:ascii="Arial" w:hAnsi="Arial" w:cs="Arial"/>
          <w:color w:val="000000"/>
          <w:sz w:val="22"/>
          <w:szCs w:val="22"/>
        </w:rPr>
        <w:t> </w:t>
      </w:r>
    </w:p>
    <w:p w14:paraId="6A1FB8DF" w14:textId="716B4C45" w:rsidR="00425AF4" w:rsidRPr="00425AF4" w:rsidRDefault="00425AF4" w:rsidP="00425AF4">
      <w:pPr>
        <w:tabs>
          <w:tab w:val="left" w:pos="709"/>
        </w:tabs>
        <w:spacing w:after="120" w:line="240" w:lineRule="auto"/>
        <w:rPr>
          <w:rFonts w:ascii="Arial" w:eastAsia="Calibri" w:hAnsi="Arial" w:cs="Arial"/>
          <w:bCs/>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425AF4">
        <w:rPr>
          <w:rFonts w:ascii="Arial" w:eastAsia="Calibri" w:hAnsi="Arial" w:cs="Arial"/>
          <w:color w:val="000000" w:themeColor="text1"/>
          <w:sz w:val="20"/>
          <w:szCs w:val="20"/>
          <w:lang w:val="es-ES_tradnl"/>
        </w:rPr>
        <w:t xml:space="preserve">recientemente se expidió el Decreto 1860 del 24 de diciembre de 2021 </w:t>
      </w:r>
      <w:r w:rsidRPr="00425AF4">
        <w:rPr>
          <w:rFonts w:ascii="Arial" w:eastAsia="Calibri" w:hAnsi="Arial" w:cs="Arial"/>
          <w:bCs/>
          <w:color w:val="000000" w:themeColor="text1"/>
          <w:sz w:val="20"/>
          <w:szCs w:val="20"/>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5E044593" w14:textId="45627C77" w:rsidR="00425AF4" w:rsidRPr="00425AF4" w:rsidRDefault="00425AF4" w:rsidP="00425AF4">
      <w:pPr>
        <w:tabs>
          <w:tab w:val="left" w:pos="709"/>
        </w:tabs>
        <w:spacing w:after="120" w:line="240" w:lineRule="auto"/>
        <w:rPr>
          <w:rFonts w:ascii="Arial" w:eastAsia="Calibri" w:hAnsi="Arial" w:cs="Arial"/>
          <w:bCs/>
          <w:color w:val="000000" w:themeColor="text1"/>
          <w:sz w:val="20"/>
          <w:szCs w:val="20"/>
          <w:lang w:val="es-ES_tradnl"/>
        </w:rPr>
      </w:pPr>
      <w:r w:rsidRPr="00425AF4">
        <w:rPr>
          <w:rFonts w:ascii="Arial" w:eastAsia="Calibri" w:hAnsi="Arial" w:cs="Arial"/>
          <w:bCs/>
          <w:color w:val="000000" w:themeColor="text1"/>
          <w:sz w:val="20"/>
          <w:szCs w:val="20"/>
          <w:lang w:val="es-ES_tradnl"/>
        </w:rPr>
        <w:t xml:space="preserve">Teniendo en cuenta lo anterior, la nueva Subsección 5 a que se hizo referencia contiene los siguientes artículos: i) 2.2.1.2.1.5.1. que se ocupa de desarrollar el contenido de los estudios previos para la contratación de mínima cuantía. </w:t>
      </w:r>
      <w:proofErr w:type="spellStart"/>
      <w:r w:rsidRPr="00425AF4">
        <w:rPr>
          <w:rFonts w:ascii="Arial" w:eastAsia="Calibri" w:hAnsi="Arial" w:cs="Arial"/>
          <w:bCs/>
          <w:color w:val="000000" w:themeColor="text1"/>
          <w:sz w:val="20"/>
          <w:szCs w:val="20"/>
          <w:lang w:val="es-ES_tradnl"/>
        </w:rPr>
        <w:t>ii</w:t>
      </w:r>
      <w:proofErr w:type="spellEnd"/>
      <w:r w:rsidRPr="00425AF4">
        <w:rPr>
          <w:rFonts w:ascii="Arial" w:eastAsia="Calibri" w:hAnsi="Arial" w:cs="Arial"/>
          <w:bCs/>
          <w:color w:val="000000" w:themeColor="text1"/>
          <w:sz w:val="20"/>
          <w:szCs w:val="20"/>
          <w:lang w:val="es-ES_tradnl"/>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w:t>
      </w:r>
      <w:proofErr w:type="spellStart"/>
      <w:r w:rsidRPr="00425AF4">
        <w:rPr>
          <w:rFonts w:ascii="Arial" w:eastAsia="Calibri" w:hAnsi="Arial" w:cs="Arial"/>
          <w:bCs/>
          <w:color w:val="000000" w:themeColor="text1"/>
          <w:sz w:val="20"/>
          <w:szCs w:val="20"/>
          <w:lang w:val="es-ES_tradnl"/>
        </w:rPr>
        <w:t>mipymes</w:t>
      </w:r>
      <w:proofErr w:type="spellEnd"/>
      <w:r w:rsidRPr="00425AF4">
        <w:rPr>
          <w:rFonts w:ascii="Arial" w:eastAsia="Calibri" w:hAnsi="Arial" w:cs="Arial"/>
          <w:bCs/>
          <w:color w:val="000000" w:themeColor="text1"/>
          <w:sz w:val="20"/>
          <w:szCs w:val="20"/>
          <w:lang w:val="es-ES_tradnl"/>
        </w:rPr>
        <w:t xml:space="preserve">, de acuerdo con el mandato del parágrafo 1 del artículo 30 de la Ley 2069 de 2020. </w:t>
      </w:r>
      <w:proofErr w:type="spellStart"/>
      <w:r w:rsidRPr="00425AF4">
        <w:rPr>
          <w:rFonts w:ascii="Arial" w:eastAsia="Calibri" w:hAnsi="Arial" w:cs="Arial"/>
          <w:bCs/>
          <w:color w:val="000000" w:themeColor="text1"/>
          <w:sz w:val="20"/>
          <w:szCs w:val="20"/>
          <w:lang w:val="es-ES_tradnl"/>
        </w:rPr>
        <w:t>iii</w:t>
      </w:r>
      <w:proofErr w:type="spellEnd"/>
      <w:r w:rsidRPr="00425AF4">
        <w:rPr>
          <w:rFonts w:ascii="Arial" w:eastAsia="Calibri" w:hAnsi="Arial" w:cs="Arial"/>
          <w:bCs/>
          <w:color w:val="000000" w:themeColor="text1"/>
          <w:sz w:val="20"/>
          <w:szCs w:val="20"/>
          <w:lang w:val="es-ES_tradnl"/>
        </w:rPr>
        <w:t xml:space="preserve">) 2.2.1.2.1.5.3. que regula un procedimiento especial para las adquisiciones en grandes almacenes cuando se trate de mínima cuantía. </w:t>
      </w:r>
      <w:proofErr w:type="spellStart"/>
      <w:r w:rsidRPr="00425AF4">
        <w:rPr>
          <w:rFonts w:ascii="Arial" w:eastAsia="Calibri" w:hAnsi="Arial" w:cs="Arial"/>
          <w:bCs/>
          <w:color w:val="000000" w:themeColor="text1"/>
          <w:sz w:val="20"/>
          <w:szCs w:val="20"/>
          <w:lang w:val="es-ES_tradnl"/>
        </w:rPr>
        <w:t>iv</w:t>
      </w:r>
      <w:proofErr w:type="spellEnd"/>
      <w:r w:rsidRPr="00425AF4">
        <w:rPr>
          <w:rFonts w:ascii="Arial" w:eastAsia="Calibri" w:hAnsi="Arial" w:cs="Arial"/>
          <w:bCs/>
          <w:color w:val="000000" w:themeColor="text1"/>
          <w:sz w:val="20"/>
          <w:szCs w:val="20"/>
          <w:lang w:val="es-ES_tradnl"/>
        </w:rPr>
        <w:t xml:space="preserve">) 2.2.1.2.1.5.4. el cual establece la posibilidad de la Agencia Nacional de Contratación Pública – Colombia Compra Eficiente cree y establezca las reglas para la utilización de Instrumentos de agregación de demanda en la Tienda Virtual del Estado Colombiano para adquisiciones hasta el monto de la mínima cuantía con </w:t>
      </w:r>
      <w:proofErr w:type="spellStart"/>
      <w:r w:rsidRPr="00425AF4">
        <w:rPr>
          <w:rFonts w:ascii="Arial" w:eastAsia="Calibri" w:hAnsi="Arial" w:cs="Arial"/>
          <w:bCs/>
          <w:color w:val="000000" w:themeColor="text1"/>
          <w:sz w:val="20"/>
          <w:szCs w:val="20"/>
          <w:lang w:val="es-ES_tradnl"/>
        </w:rPr>
        <w:t>Mipyme</w:t>
      </w:r>
      <w:proofErr w:type="spellEnd"/>
      <w:r w:rsidRPr="00425AF4">
        <w:rPr>
          <w:rFonts w:ascii="Arial" w:eastAsia="Calibri" w:hAnsi="Arial" w:cs="Arial"/>
          <w:bCs/>
          <w:color w:val="000000" w:themeColor="text1"/>
          <w:sz w:val="20"/>
          <w:szCs w:val="20"/>
          <w:lang w:val="es-ES_tradnl"/>
        </w:rPr>
        <w:t xml:space="preserve"> y con grandes almacenes. Y v) 2.2.1.2.1.5.5. el cual establece que la entidad estatal es libre de exigir o no garantías en el proceso de selección de mínima cuantía y en la adquisición de «grandes almacenes».</w:t>
      </w:r>
    </w:p>
    <w:p w14:paraId="64EDF29D" w14:textId="61DF0F80" w:rsidR="00425AF4" w:rsidRPr="00425AF4" w:rsidRDefault="00425AF4" w:rsidP="00425AF4">
      <w:pPr>
        <w:tabs>
          <w:tab w:val="left" w:pos="709"/>
        </w:tabs>
        <w:spacing w:after="120" w:line="240" w:lineRule="auto"/>
        <w:rPr>
          <w:rFonts w:ascii="Arial" w:eastAsia="Calibri" w:hAnsi="Arial" w:cs="Arial"/>
          <w:bCs/>
          <w:color w:val="000000" w:themeColor="text1"/>
          <w:sz w:val="20"/>
          <w:szCs w:val="20"/>
          <w:lang w:val="es-ES_tradnl"/>
        </w:rPr>
      </w:pPr>
      <w:r w:rsidRPr="00425AF4">
        <w:rPr>
          <w:rFonts w:ascii="Arial" w:eastAsia="Calibri" w:hAnsi="Arial" w:cs="Arial"/>
          <w:bCs/>
          <w:color w:val="000000" w:themeColor="text1"/>
          <w:sz w:val="20"/>
          <w:szCs w:val="20"/>
          <w:lang w:val="es-ES_tradnl"/>
        </w:rPr>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59AE0EEF" w14:textId="2F285CE1" w:rsidR="00425AF4" w:rsidRPr="00425AF4" w:rsidRDefault="00425AF4" w:rsidP="00425AF4">
      <w:pPr>
        <w:pStyle w:val="paragraph"/>
        <w:spacing w:before="0" w:beforeAutospacing="0" w:after="0" w:afterAutospacing="0"/>
        <w:jc w:val="both"/>
        <w:textAlignment w:val="baseline"/>
        <w:rPr>
          <w:rFonts w:ascii="Arial" w:eastAsia="Calibri" w:hAnsi="Arial" w:cs="Arial"/>
          <w:color w:val="000000" w:themeColor="text1"/>
          <w:sz w:val="20"/>
          <w:szCs w:val="20"/>
          <w:lang w:val="es-ES_tradnl"/>
        </w:rPr>
      </w:pPr>
      <w:r w:rsidRPr="00425AF4">
        <w:rPr>
          <w:rFonts w:ascii="Arial" w:eastAsia="Calibri" w:hAnsi="Arial" w:cs="Arial"/>
          <w:color w:val="000000" w:themeColor="text1"/>
          <w:sz w:val="20"/>
          <w:szCs w:val="20"/>
          <w:lang w:val="es-ES_tradnl"/>
        </w:rPr>
        <w:lastRenderedPageBreak/>
        <w:t xml:space="preserve">Sin embargo, el artículo 8 del Decreto 1860 del 24 de diciembre de 2021 estableció un término para la </w:t>
      </w:r>
      <w:proofErr w:type="gramStart"/>
      <w:r w:rsidRPr="00425AF4">
        <w:rPr>
          <w:rFonts w:ascii="Arial" w:eastAsia="Calibri" w:hAnsi="Arial" w:cs="Arial"/>
          <w:color w:val="000000" w:themeColor="text1"/>
          <w:sz w:val="20"/>
          <w:szCs w:val="20"/>
          <w:lang w:val="es-ES_tradnl"/>
        </w:rPr>
        <w:t>entrada en vigencia</w:t>
      </w:r>
      <w:proofErr w:type="gramEnd"/>
      <w:r w:rsidRPr="00425AF4">
        <w:rPr>
          <w:rFonts w:ascii="Arial" w:eastAsia="Calibri" w:hAnsi="Arial" w:cs="Arial"/>
          <w:color w:val="000000" w:themeColor="text1"/>
          <w:sz w:val="20"/>
          <w:szCs w:val="20"/>
          <w:lang w:val="es-ES_tradnl"/>
        </w:rPr>
        <w:t xml:space="preserve"> de sus disposiciones, al señalar que «aplicarán a los procedimientos de selección cuya invitación, aviso de convocatoria o documento equivalente se publique a los tres (3) meses contados a partir de su expedición». Debido a lo anterior, la regulación vigente de la modalidad de mínima cuantía es la expuesta en el numeral anterior de este concepto, donde se concluyó que </w:t>
      </w:r>
      <w:r w:rsidRPr="00425AF4">
        <w:rPr>
          <w:rFonts w:ascii="Arial" w:hAnsi="Arial" w:cs="Arial"/>
          <w:color w:val="000000" w:themeColor="text1"/>
          <w:sz w:val="20"/>
          <w:szCs w:val="20"/>
          <w:lang w:val="es-ES_tradnl"/>
        </w:rPr>
        <w:t>a excepción de</w:t>
      </w:r>
      <w:r w:rsidRPr="00425AF4">
        <w:rPr>
          <w:rFonts w:ascii="Arial" w:eastAsia="Calibri" w:hAnsi="Arial" w:cs="Arial"/>
          <w:color w:val="000000" w:themeColor="text1"/>
          <w:sz w:val="20"/>
          <w:szCs w:val="20"/>
          <w:lang w:val="es-ES_tradnl"/>
        </w:rPr>
        <w:t xml:space="preserve">l numeral 7 del artículo 2.2.1.2.1.5.2 y el numeral 3 del artículo 2.2.1.2.1.5.3 del Decreto Único Reglamentario del Sector Administrativo de Planeación Nacional, </w:t>
      </w:r>
      <w:r w:rsidRPr="00425AF4">
        <w:rPr>
          <w:rFonts w:ascii="Arial" w:eastAsia="Calibri" w:hAnsi="Arial" w:cs="Arial"/>
          <w:bCs/>
          <w:color w:val="000000" w:themeColor="text1"/>
          <w:sz w:val="20"/>
          <w:szCs w:val="20"/>
          <w:lang w:val="es-ES_tradnl"/>
        </w:rPr>
        <w:t>los</w:t>
      </w:r>
      <w:r w:rsidRPr="00425AF4">
        <w:rPr>
          <w:rFonts w:ascii="Arial" w:eastAsia="Calibri" w:hAnsi="Arial" w:cs="Arial"/>
          <w:color w:val="000000" w:themeColor="text1"/>
          <w:sz w:val="20"/>
          <w:szCs w:val="20"/>
          <w:lang w:val="es-ES_tradnl"/>
        </w:rPr>
        <w:t xml:space="preserve"> artículos originales 2.2.1.2.1.5.1 al 2.2.1.2.1.5.4 de este reglamento –antes de la modificación del Decreto 1860 de 2021– continúan rigiendo bajo la vigencia del numeral 5 del artículo 2 de la Ley 1150 de 2007, modificado por el artículo 30 de la Ley de Emprendimiento. No obstante, para las </w:t>
      </w:r>
      <w:r w:rsidRPr="00425AF4">
        <w:rPr>
          <w:rFonts w:ascii="Arial" w:eastAsia="Calibri" w:hAnsi="Arial" w:cs="Arial"/>
          <w:i/>
          <w:iCs/>
          <w:color w:val="000000" w:themeColor="text1"/>
          <w:sz w:val="20"/>
          <w:szCs w:val="20"/>
          <w:lang w:val="es-ES_tradnl"/>
        </w:rPr>
        <w:t>invitaciones</w:t>
      </w:r>
      <w:r w:rsidRPr="00425AF4">
        <w:rPr>
          <w:rFonts w:ascii="Arial" w:eastAsia="Calibri" w:hAnsi="Arial" w:cs="Arial"/>
          <w:color w:val="000000" w:themeColor="text1"/>
          <w:sz w:val="20"/>
          <w:szCs w:val="20"/>
          <w:lang w:val="es-ES_tradnl"/>
        </w:rPr>
        <w:t xml:space="preserve"> que se publiquen a partir del 24 de marzo de 2022, la regulación aplicable a la modalidad de mínima cuantía será la establecida en el artículo 30 de la Ley 2069 de 2020 y el artículo 2 del Decreto 1860 de 2021, que modificó los artículos 2.2.1.2.1.5.1. a 2.2.1.2.1.5.5. del Decreto 1082 de 2015.</w:t>
      </w:r>
    </w:p>
    <w:p w14:paraId="2DEFBD00" w14:textId="1AF23A2A" w:rsidR="00972F82" w:rsidRPr="00DA3080" w:rsidRDefault="00EB0A3B" w:rsidP="00425AF4">
      <w:pPr>
        <w:pStyle w:val="paragraph"/>
        <w:spacing w:before="0" w:beforeAutospacing="0" w:after="0" w:afterAutospacing="0"/>
        <w:jc w:val="both"/>
        <w:textAlignment w:val="baseline"/>
        <w:rPr>
          <w:rFonts w:ascii="Segoe UI" w:hAnsi="Segoe UI" w:cs="Segoe UI"/>
          <w:sz w:val="18"/>
          <w:szCs w:val="18"/>
        </w:rPr>
      </w:pPr>
      <w:r w:rsidRPr="00DA3080">
        <w:rPr>
          <w:rFonts w:ascii="Arial" w:hAnsi="Arial" w:cs="Arial"/>
          <w:sz w:val="20"/>
          <w:szCs w:val="20"/>
        </w:rPr>
        <w:br/>
      </w:r>
      <w:r w:rsidR="00972F82" w:rsidRPr="00DA3080">
        <w:rPr>
          <w:rStyle w:val="normaltextrun"/>
          <w:rFonts w:ascii="Arial" w:hAnsi="Arial" w:cs="Arial"/>
          <w:b/>
          <w:bCs/>
          <w:color w:val="000000"/>
          <w:sz w:val="22"/>
          <w:szCs w:val="22"/>
          <w:lang w:val="es-ES"/>
        </w:rPr>
        <w:t>MÍNIMA CUANTÍA</w:t>
      </w:r>
      <w:r w:rsidR="00972F82" w:rsidRPr="00DA3080">
        <w:rPr>
          <w:rStyle w:val="normaltextrun"/>
          <w:rFonts w:ascii="Arial" w:hAnsi="Arial" w:cs="Arial"/>
          <w:b/>
          <w:bCs/>
          <w:color w:val="000000"/>
          <w:sz w:val="22"/>
          <w:szCs w:val="22"/>
        </w:rPr>
        <w:t> – </w:t>
      </w:r>
      <w:r w:rsidR="00707BDC" w:rsidRPr="00DA3080">
        <w:rPr>
          <w:rStyle w:val="normaltextrun"/>
          <w:rFonts w:ascii="Arial" w:hAnsi="Arial" w:cs="Arial"/>
          <w:b/>
          <w:bCs/>
          <w:color w:val="000000"/>
          <w:sz w:val="22"/>
          <w:szCs w:val="22"/>
        </w:rPr>
        <w:t>Declaratoria de desierta – Fundamento</w:t>
      </w:r>
      <w:r w:rsidR="00972F82" w:rsidRPr="00DA3080">
        <w:rPr>
          <w:rStyle w:val="eop"/>
          <w:rFonts w:ascii="Arial" w:hAnsi="Arial" w:cs="Arial"/>
          <w:color w:val="000000"/>
          <w:sz w:val="22"/>
          <w:szCs w:val="22"/>
        </w:rPr>
        <w:t> </w:t>
      </w:r>
    </w:p>
    <w:p w14:paraId="6132750D" w14:textId="3448C8BF" w:rsidR="00972F82" w:rsidRPr="00DA3080" w:rsidRDefault="00972F82" w:rsidP="00972F82">
      <w:pPr>
        <w:pStyle w:val="paragraph"/>
        <w:spacing w:before="0" w:beforeAutospacing="0" w:after="0" w:afterAutospacing="0"/>
        <w:jc w:val="both"/>
        <w:textAlignment w:val="baseline"/>
        <w:rPr>
          <w:rFonts w:ascii="Segoe UI" w:hAnsi="Segoe UI" w:cs="Segoe UI"/>
          <w:sz w:val="18"/>
          <w:szCs w:val="18"/>
        </w:rPr>
      </w:pPr>
    </w:p>
    <w:p w14:paraId="4D8CF18E" w14:textId="3B188C70" w:rsidR="00550E53" w:rsidRPr="00DA3080" w:rsidRDefault="00707BDC" w:rsidP="00550E53">
      <w:pPr>
        <w:tabs>
          <w:tab w:val="left" w:pos="3374"/>
        </w:tabs>
        <w:spacing w:after="0" w:line="240" w:lineRule="auto"/>
        <w:rPr>
          <w:rFonts w:ascii="Arial" w:eastAsia="Times New Roman" w:hAnsi="Arial" w:cs="Arial"/>
          <w:color w:val="000000"/>
          <w:sz w:val="20"/>
          <w:szCs w:val="20"/>
          <w:lang w:val="es-CO" w:eastAsia="es-CO"/>
        </w:rPr>
      </w:pPr>
      <w:r w:rsidRPr="00DA3080">
        <w:rPr>
          <w:rFonts w:ascii="Arial" w:eastAsia="Times New Roman" w:hAnsi="Arial" w:cs="Arial"/>
          <w:color w:val="000000"/>
          <w:sz w:val="20"/>
          <w:szCs w:val="20"/>
          <w:lang w:val="es-CO" w:eastAsia="es-CO"/>
        </w:rPr>
        <w:t xml:space="preserve">[…] </w:t>
      </w:r>
      <w:proofErr w:type="spellStart"/>
      <w:r w:rsidRPr="00DA3080">
        <w:rPr>
          <w:rFonts w:ascii="Arial" w:eastAsia="Times New Roman" w:hAnsi="Arial" w:cs="Arial"/>
          <w:color w:val="000000"/>
          <w:sz w:val="20"/>
          <w:szCs w:val="20"/>
          <w:lang w:val="es-ES_tradnl" w:eastAsia="es-CO"/>
        </w:rPr>
        <w:t>como</w:t>
      </w:r>
      <w:proofErr w:type="spellEnd"/>
      <w:r w:rsidRPr="00DA3080">
        <w:rPr>
          <w:rFonts w:ascii="Arial" w:eastAsia="Times New Roman" w:hAnsi="Arial" w:cs="Arial"/>
          <w:color w:val="000000"/>
          <w:sz w:val="20"/>
          <w:szCs w:val="20"/>
          <w:lang w:val="es-ES_tradnl" w:eastAsia="es-CO"/>
        </w:rPr>
        <w:t xml:space="preserve"> se señaló en los acápites precedentes, los principios de la contratación estatal resultan aplicables, en lo pertinente, a los procesos de mínima cuantía, lo que es especialmente relevante para el asunto estudiado, en el entendido de aplicar el principio de economía en la forma en que la Ley 80 de 1993 regula este principio en el artículo 25. Esto es relevante, porque esta Agencia considera </w:t>
      </w:r>
      <w:proofErr w:type="gramStart"/>
      <w:r w:rsidRPr="00DA3080">
        <w:rPr>
          <w:rFonts w:ascii="Arial" w:eastAsia="Times New Roman" w:hAnsi="Arial" w:cs="Arial"/>
          <w:color w:val="000000"/>
          <w:sz w:val="20"/>
          <w:szCs w:val="20"/>
          <w:lang w:val="es-ES_tradnl" w:eastAsia="es-CO"/>
        </w:rPr>
        <w:t>que</w:t>
      </w:r>
      <w:proofErr w:type="gramEnd"/>
      <w:r w:rsidRPr="00DA3080">
        <w:rPr>
          <w:rFonts w:ascii="Arial" w:eastAsia="Times New Roman" w:hAnsi="Arial" w:cs="Arial"/>
          <w:color w:val="000000"/>
          <w:sz w:val="20"/>
          <w:szCs w:val="20"/>
          <w:lang w:val="es-ES_tradnl" w:eastAsia="es-CO"/>
        </w:rPr>
        <w:t xml:space="preserve"> al no existir regulación especial de la declaratoria de desierta en los procesos de mínima cuantía, el fundamento para esta actuación se encuentra consagrado en el artículo 25, numeral 18, de la Ley 80 de 1993.</w:t>
      </w:r>
      <w:r w:rsidR="00550E53" w:rsidRPr="00DA3080">
        <w:rPr>
          <w:rFonts w:ascii="Arial" w:eastAsia="Times New Roman" w:hAnsi="Arial" w:cs="Arial"/>
          <w:color w:val="000000"/>
          <w:sz w:val="20"/>
          <w:szCs w:val="20"/>
          <w:lang w:val="es-CO" w:eastAsia="es-CO"/>
        </w:rPr>
        <w:t xml:space="preserve"> </w:t>
      </w:r>
    </w:p>
    <w:p w14:paraId="37D08353" w14:textId="554ACA70" w:rsidR="00707BDC" w:rsidRPr="00DA3080" w:rsidRDefault="00707BDC" w:rsidP="00550E53">
      <w:pPr>
        <w:tabs>
          <w:tab w:val="left" w:pos="3374"/>
        </w:tabs>
        <w:spacing w:after="0" w:line="240" w:lineRule="auto"/>
        <w:rPr>
          <w:rFonts w:ascii="Arial" w:eastAsia="Times New Roman" w:hAnsi="Arial" w:cs="Arial"/>
          <w:color w:val="000000"/>
          <w:sz w:val="20"/>
          <w:szCs w:val="20"/>
          <w:lang w:val="es-CO" w:eastAsia="es-CO"/>
        </w:rPr>
      </w:pPr>
    </w:p>
    <w:p w14:paraId="314508E0" w14:textId="1B14BADB" w:rsidR="00707BDC" w:rsidRPr="00DA3080" w:rsidRDefault="00707BDC" w:rsidP="00707BDC">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r w:rsidRPr="00DA3080">
        <w:rPr>
          <w:rStyle w:val="normaltextrun"/>
          <w:rFonts w:ascii="Arial" w:hAnsi="Arial" w:cs="Arial"/>
          <w:b/>
          <w:bCs/>
          <w:color w:val="000000"/>
          <w:sz w:val="22"/>
          <w:szCs w:val="22"/>
          <w:lang w:val="es-ES"/>
        </w:rPr>
        <w:t>DECLARATORIA DE DESIERTA – Recursos – Procedencia – Vacíos – Regulación</w:t>
      </w:r>
      <w:r w:rsidR="00D909A0" w:rsidRPr="00DA3080">
        <w:rPr>
          <w:rStyle w:val="normaltextrun"/>
          <w:rFonts w:ascii="Arial" w:hAnsi="Arial" w:cs="Arial"/>
          <w:b/>
          <w:bCs/>
          <w:color w:val="000000"/>
          <w:sz w:val="22"/>
          <w:szCs w:val="22"/>
          <w:lang w:val="es-ES"/>
        </w:rPr>
        <w:t xml:space="preserve"> – Mínima cuantía</w:t>
      </w:r>
    </w:p>
    <w:p w14:paraId="407AA5F4" w14:textId="47F3631B" w:rsidR="00EB0A3B" w:rsidRPr="00DA3080" w:rsidRDefault="00EB0A3B" w:rsidP="001E47F9">
      <w:pPr>
        <w:tabs>
          <w:tab w:val="left" w:pos="3374"/>
        </w:tabs>
        <w:spacing w:after="0" w:line="240" w:lineRule="auto"/>
        <w:rPr>
          <w:rFonts w:ascii="Arial" w:hAnsi="Arial" w:cs="Arial"/>
          <w:sz w:val="20"/>
          <w:szCs w:val="20"/>
          <w:lang w:val="es-CO"/>
        </w:rPr>
      </w:pPr>
    </w:p>
    <w:p w14:paraId="08282FAC" w14:textId="1F695F43" w:rsidR="00425AF4" w:rsidRPr="00425AF4" w:rsidRDefault="00707BDC" w:rsidP="00E840EC">
      <w:pPr>
        <w:tabs>
          <w:tab w:val="left" w:pos="709"/>
        </w:tabs>
        <w:spacing w:after="120" w:line="240" w:lineRule="auto"/>
        <w:rPr>
          <w:rFonts w:ascii="Arial" w:eastAsia="Calibri" w:hAnsi="Arial" w:cs="Arial"/>
          <w:color w:val="000000" w:themeColor="text1"/>
          <w:sz w:val="20"/>
          <w:szCs w:val="20"/>
          <w:lang w:val="es-CO"/>
        </w:rPr>
      </w:pPr>
      <w:r w:rsidRPr="00425AF4">
        <w:rPr>
          <w:rFonts w:ascii="Arial" w:eastAsia="Times New Roman" w:hAnsi="Arial" w:cs="Arial"/>
          <w:color w:val="000000"/>
          <w:sz w:val="20"/>
          <w:szCs w:val="20"/>
          <w:lang w:val="es-ES_tradnl" w:eastAsia="es-CO"/>
        </w:rPr>
        <w:t xml:space="preserve">[…] </w:t>
      </w:r>
      <w:r w:rsidR="00425AF4" w:rsidRPr="00425AF4">
        <w:rPr>
          <w:rFonts w:ascii="Arial" w:eastAsia="Calibri" w:hAnsi="Arial" w:cs="Arial"/>
          <w:color w:val="000000" w:themeColor="text1"/>
          <w:sz w:val="20"/>
          <w:szCs w:val="20"/>
          <w:lang w:val="es-ES_tradnl"/>
        </w:rPr>
        <w:t>la regla especial respecto a que frente al «acto de adjudicación» no proceden recursos, no es posible extenderla a la declaratoria de desierta, por tratarse de un acto con una naturaleza y contenido diferente, tal como se viene expresando y, además, bajo el entendido de que dicha disposición limita el ejercicio de un derecho, como sería la interposición de un recurso, por lo que su interpretación debe ser estricta. Por ello, esta Agencia considera que la declaratoria de desierta hace parte de aquellos actos regulados en el inciso segundo del artículo 77, es decir, que frente a ella procede el recurso de reposición.</w:t>
      </w:r>
    </w:p>
    <w:p w14:paraId="5F2DCE56" w14:textId="28783DE5" w:rsidR="00707BDC" w:rsidRPr="00425AF4" w:rsidRDefault="00425AF4" w:rsidP="00425AF4">
      <w:pPr>
        <w:tabs>
          <w:tab w:val="left" w:pos="3374"/>
        </w:tabs>
        <w:spacing w:after="0" w:line="240" w:lineRule="auto"/>
        <w:rPr>
          <w:rFonts w:ascii="Arial" w:eastAsia="Times New Roman" w:hAnsi="Arial" w:cs="Arial"/>
          <w:color w:val="000000"/>
          <w:sz w:val="20"/>
          <w:szCs w:val="20"/>
          <w:lang w:val="es-ES_tradnl" w:eastAsia="es-CO"/>
        </w:rPr>
      </w:pPr>
      <w:r w:rsidRPr="00425AF4">
        <w:rPr>
          <w:rFonts w:ascii="Arial" w:eastAsia="Times New Roman" w:hAnsi="Arial" w:cs="Arial"/>
          <w:bCs/>
          <w:color w:val="000000" w:themeColor="text1"/>
          <w:sz w:val="20"/>
          <w:szCs w:val="20"/>
          <w:lang w:val="es-CO" w:eastAsia="es-ES_tradnl"/>
        </w:rPr>
        <w:t xml:space="preserve">En armonía con lo anterior, frente al acto administrativo que declara desierto un procedimiento de selección, incluido uno de mínima cuantía, procede el recurso de reposición, independientemente de los hechos y fundamentos que aduzca la entidad en el respectivo acto. Ahora bien, el EGCAP, si bien establece los recursos que proceden frente a los actos proferidos en desarrollo de la actividad contractual, no regula aspectos como: frente a quién se interponen, la oportunidad o término con que se cuenta para presentarlos, el efecto en que se conceden, los requisitos para interponerlos, etc. Por tanto, estos aspectos deben regularse conforme a las disposiciones establecidas en el Código de Procedimiento Administrativo y de lo Contencioso Administrativo –CPACA–, esto es, con los artículos 74 y ss. Lo anterior con fundamento en la remisión que realiza el inciso primero del artículo 77 de la Ley 80 de 1993 –lo que se explicó anteriormente–, que resulta armónico con los artículos 2 y 34 del CPACA, sin perjuicio que, como se ha indicado, se observen prevalentemente las disposiciones establecidas en el </w:t>
      </w:r>
      <w:r w:rsidRPr="00425AF4">
        <w:rPr>
          <w:rFonts w:ascii="Arial" w:eastAsia="Calibri" w:hAnsi="Arial" w:cs="Arial"/>
          <w:bCs/>
          <w:color w:val="000000" w:themeColor="text1"/>
          <w:sz w:val="20"/>
          <w:szCs w:val="20"/>
          <w:lang w:val="es-ES_tradnl"/>
        </w:rPr>
        <w:t>Estatuto General de Contratación de la Administración Pública</w:t>
      </w:r>
      <w:r>
        <w:rPr>
          <w:rFonts w:ascii="Arial" w:eastAsia="Calibri" w:hAnsi="Arial" w:cs="Arial"/>
          <w:bCs/>
          <w:color w:val="000000" w:themeColor="text1"/>
          <w:sz w:val="20"/>
          <w:szCs w:val="20"/>
          <w:lang w:val="es-ES_tradnl"/>
        </w:rPr>
        <w:t>.</w:t>
      </w:r>
    </w:p>
    <w:p w14:paraId="3D5331EF" w14:textId="772D4074" w:rsidR="001E47F9" w:rsidRPr="00DA3080" w:rsidRDefault="00EB0A3B" w:rsidP="68B5C083">
      <w:pPr>
        <w:spacing w:after="0" w:line="240" w:lineRule="auto"/>
        <w:jc w:val="right"/>
        <w:rPr>
          <w:lang w:val="es-CO"/>
        </w:rPr>
      </w:pPr>
      <w:r w:rsidRPr="68B5C083">
        <w:rPr>
          <w:rFonts w:ascii="Arial" w:hAnsi="Arial" w:cs="Arial"/>
          <w:sz w:val="20"/>
          <w:szCs w:val="20"/>
          <w:lang w:val="es-CO"/>
        </w:rPr>
        <w:br w:type="page"/>
      </w:r>
      <w:r w:rsidR="68B5C083">
        <w:rPr>
          <w:noProof/>
        </w:rPr>
        <w:lastRenderedPageBreak/>
        <w:drawing>
          <wp:inline distT="0" distB="0" distL="0" distR="0" wp14:anchorId="4B74950C" wp14:editId="3AC86DCB">
            <wp:extent cx="3162300" cy="714375"/>
            <wp:effectExtent l="0" t="0" r="0" b="0"/>
            <wp:docPr id="2091321007" name="Imagen 209132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62300" cy="714375"/>
                    </a:xfrm>
                    <a:prstGeom prst="rect">
                      <a:avLst/>
                    </a:prstGeom>
                  </pic:spPr>
                </pic:pic>
              </a:graphicData>
            </a:graphic>
          </wp:inline>
        </w:drawing>
      </w:r>
    </w:p>
    <w:p w14:paraId="40F80B04" w14:textId="2616BD1D" w:rsidR="00253927" w:rsidRDefault="0077354A" w:rsidP="0077354A">
      <w:pPr>
        <w:spacing w:after="0" w:line="240" w:lineRule="auto"/>
        <w:jc w:val="right"/>
        <w:rPr>
          <w:rFonts w:ascii="Arial" w:eastAsia="Calibri" w:hAnsi="Arial" w:cs="Arial"/>
          <w:sz w:val="22"/>
          <w:lang w:val="es-CO"/>
        </w:rPr>
      </w:pPr>
      <w:r>
        <w:rPr>
          <w:noProof/>
        </w:rPr>
        <w:drawing>
          <wp:inline distT="0" distB="0" distL="0" distR="0" wp14:anchorId="52D8502B" wp14:editId="425B95EC">
            <wp:extent cx="2469094" cy="670618"/>
            <wp:effectExtent l="0" t="0" r="762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69094" cy="670618"/>
                    </a:xfrm>
                    <a:prstGeom prst="rect">
                      <a:avLst/>
                    </a:prstGeom>
                  </pic:spPr>
                </pic:pic>
              </a:graphicData>
            </a:graphic>
          </wp:inline>
        </w:drawing>
      </w:r>
    </w:p>
    <w:p w14:paraId="5161B5E9" w14:textId="77777777" w:rsidR="00B64323" w:rsidRPr="00DA3080" w:rsidRDefault="00B64323" w:rsidP="0077354A">
      <w:pPr>
        <w:spacing w:after="0" w:line="240" w:lineRule="auto"/>
        <w:jc w:val="right"/>
        <w:rPr>
          <w:rFonts w:ascii="Arial" w:eastAsia="Calibri" w:hAnsi="Arial" w:cs="Arial"/>
          <w:sz w:val="22"/>
          <w:lang w:val="es-CO"/>
        </w:rPr>
      </w:pPr>
    </w:p>
    <w:p w14:paraId="1889AB7A" w14:textId="7F68BFCE" w:rsidR="00D03D28" w:rsidRPr="00B64323" w:rsidRDefault="00B64323" w:rsidP="00B64323">
      <w:pPr>
        <w:jc w:val="left"/>
        <w:rPr>
          <w:rFonts w:ascii="Arial" w:eastAsia="Calibri" w:hAnsi="Arial" w:cs="Arial"/>
          <w:sz w:val="22"/>
        </w:rPr>
      </w:pPr>
      <w:r w:rsidRPr="004C6114">
        <w:rPr>
          <w:rFonts w:ascii="Arial" w:hAnsi="Arial" w:cs="Arial"/>
          <w:noProof/>
          <w:color w:val="000000" w:themeColor="text1"/>
          <w:sz w:val="22"/>
          <w:lang w:val="es-ES_tradnl"/>
        </w:rPr>
        <w:t>Bogotá,</w:t>
      </w:r>
      <w:r>
        <w:rPr>
          <w:rFonts w:ascii="Arial" w:hAnsi="Arial" w:cs="Arial"/>
          <w:noProof/>
          <w:color w:val="000000" w:themeColor="text1"/>
          <w:sz w:val="22"/>
          <w:lang w:val="es-ES_tradnl"/>
        </w:rPr>
        <w:t xml:space="preserve"> </w:t>
      </w:r>
      <w:r>
        <w:rPr>
          <w:rFonts w:ascii="Arial" w:hAnsi="Arial" w:cs="Arial"/>
          <w:noProof/>
          <w:color w:val="000000" w:themeColor="text1"/>
          <w:sz w:val="22"/>
          <w:lang w:val="es-ES_tradnl"/>
        </w:rPr>
        <w:t>17</w:t>
      </w:r>
      <w:r>
        <w:rPr>
          <w:rFonts w:ascii="Arial" w:hAnsi="Arial" w:cs="Arial"/>
          <w:noProof/>
          <w:color w:val="000000" w:themeColor="text1"/>
          <w:sz w:val="22"/>
          <w:lang w:val="es-ES_tradnl"/>
        </w:rPr>
        <w:t xml:space="preserve"> de </w:t>
      </w:r>
      <w:r>
        <w:rPr>
          <w:rFonts w:ascii="Arial" w:hAnsi="Arial" w:cs="Arial"/>
          <w:noProof/>
          <w:color w:val="000000" w:themeColor="text1"/>
          <w:sz w:val="22"/>
          <w:lang w:val="es-ES_tradnl"/>
        </w:rPr>
        <w:t>febrero</w:t>
      </w:r>
      <w:r>
        <w:rPr>
          <w:rFonts w:ascii="Arial" w:hAnsi="Arial" w:cs="Arial"/>
          <w:noProof/>
          <w:color w:val="000000" w:themeColor="text1"/>
          <w:sz w:val="22"/>
          <w:lang w:val="es-ES_tradnl"/>
        </w:rPr>
        <w:t xml:space="preserve"> de 2022</w:t>
      </w:r>
    </w:p>
    <w:p w14:paraId="62205C71" w14:textId="70629375" w:rsidR="00D45D43" w:rsidRPr="00DA3080" w:rsidRDefault="00D45D43">
      <w:pPr>
        <w:spacing w:after="0" w:line="240" w:lineRule="auto"/>
        <w:rPr>
          <w:rFonts w:ascii="Arial" w:eastAsia="Calibri" w:hAnsi="Arial" w:cs="Arial"/>
          <w:sz w:val="22"/>
          <w:lang w:val="es-CO"/>
        </w:rPr>
      </w:pPr>
      <w:r w:rsidRPr="00DA3080">
        <w:rPr>
          <w:rFonts w:ascii="Arial" w:eastAsia="Calibri" w:hAnsi="Arial" w:cs="Arial"/>
          <w:sz w:val="22"/>
          <w:lang w:val="es-CO"/>
        </w:rPr>
        <w:t>Señor</w:t>
      </w:r>
    </w:p>
    <w:p w14:paraId="28CC415F" w14:textId="435AAA24" w:rsidR="00347E32" w:rsidRPr="00DA3080" w:rsidRDefault="00B67549">
      <w:pPr>
        <w:spacing w:after="0" w:line="240" w:lineRule="auto"/>
        <w:rPr>
          <w:rFonts w:ascii="Arial" w:eastAsia="Calibri" w:hAnsi="Arial" w:cs="Arial"/>
          <w:b/>
          <w:sz w:val="22"/>
          <w:lang w:val="es-CO"/>
        </w:rPr>
      </w:pPr>
      <w:r w:rsidRPr="00DA3080">
        <w:rPr>
          <w:rFonts w:ascii="Arial" w:eastAsia="Calibri" w:hAnsi="Arial" w:cs="Arial"/>
          <w:b/>
          <w:sz w:val="22"/>
          <w:lang w:val="es-CO"/>
        </w:rPr>
        <w:t>Juan Pablo Bustos</w:t>
      </w:r>
    </w:p>
    <w:p w14:paraId="5FE0EF95" w14:textId="4C985DF1" w:rsidR="005F5BE7" w:rsidRPr="00DA3080" w:rsidRDefault="006D204C">
      <w:pPr>
        <w:tabs>
          <w:tab w:val="left" w:pos="3374"/>
        </w:tabs>
        <w:spacing w:after="0" w:line="240" w:lineRule="auto"/>
        <w:rPr>
          <w:rFonts w:ascii="Arial" w:eastAsia="Calibri" w:hAnsi="Arial" w:cs="Arial"/>
          <w:noProof/>
          <w:sz w:val="22"/>
          <w:lang w:val="es-ES_tradnl"/>
        </w:rPr>
      </w:pPr>
      <w:r w:rsidRPr="00DA3080">
        <w:rPr>
          <w:rFonts w:ascii="Arial" w:hAnsi="Arial" w:cs="Arial"/>
          <w:sz w:val="22"/>
          <w:lang w:val="es-ES_tradnl"/>
        </w:rPr>
        <w:t>Bogotá D.C.</w:t>
      </w:r>
      <w:r w:rsidR="00DF55AA" w:rsidRPr="00DA3080">
        <w:rPr>
          <w:rFonts w:ascii="Arial" w:hAnsi="Arial" w:cs="Arial"/>
          <w:sz w:val="22"/>
        </w:rPr>
        <w:t xml:space="preserve"> </w:t>
      </w:r>
    </w:p>
    <w:p w14:paraId="506DAD6F" w14:textId="55AF5153" w:rsidR="000C6406" w:rsidRPr="00DA3080" w:rsidRDefault="000C6406">
      <w:pPr>
        <w:spacing w:after="0" w:line="240" w:lineRule="auto"/>
        <w:rPr>
          <w:rFonts w:ascii="Arial" w:eastAsia="Calibri" w:hAnsi="Arial" w:cs="Arial"/>
          <w:sz w:val="22"/>
          <w:lang w:val="es-CO"/>
        </w:rPr>
      </w:pPr>
    </w:p>
    <w:p w14:paraId="41CFAE86" w14:textId="77777777" w:rsidR="00D03D28" w:rsidRPr="00DA3080" w:rsidRDefault="00D03D28">
      <w:pPr>
        <w:spacing w:after="0" w:line="240" w:lineRule="auto"/>
        <w:rPr>
          <w:rFonts w:ascii="Arial" w:eastAsia="Calibri" w:hAnsi="Arial" w:cs="Arial"/>
          <w:sz w:val="22"/>
          <w:lang w:val="es-CO"/>
        </w:rPr>
      </w:pPr>
    </w:p>
    <w:p w14:paraId="425712DB" w14:textId="1C933D1A" w:rsidR="00D45D43" w:rsidRPr="00DA3080" w:rsidRDefault="00D45D43" w:rsidP="00621AFC">
      <w:pPr>
        <w:spacing w:after="0" w:line="240" w:lineRule="auto"/>
        <w:jc w:val="center"/>
        <w:rPr>
          <w:rFonts w:ascii="Arial" w:hAnsi="Arial" w:cs="Arial"/>
          <w:sz w:val="22"/>
          <w:lang w:val="es-CO"/>
        </w:rPr>
      </w:pPr>
      <w:r w:rsidRPr="00DA3080">
        <w:rPr>
          <w:rFonts w:ascii="Arial" w:eastAsia="Calibri" w:hAnsi="Arial" w:cs="Arial"/>
          <w:b/>
          <w:sz w:val="22"/>
          <w:lang w:val="es-CO"/>
        </w:rPr>
        <w:t>Concepto C</w:t>
      </w:r>
      <w:r w:rsidR="007B23EC" w:rsidRPr="00DA3080">
        <w:rPr>
          <w:rFonts w:ascii="Arial" w:eastAsia="Calibri" w:hAnsi="Arial" w:cs="Arial"/>
          <w:b/>
          <w:sz w:val="22"/>
          <w:lang w:val="es-CO"/>
        </w:rPr>
        <w:t xml:space="preserve"> – </w:t>
      </w:r>
      <w:r w:rsidR="00447B3C" w:rsidRPr="00DA3080">
        <w:rPr>
          <w:rFonts w:ascii="Arial" w:eastAsia="Calibri" w:hAnsi="Arial" w:cs="Arial"/>
          <w:b/>
          <w:sz w:val="22"/>
          <w:lang w:val="es-CO"/>
        </w:rPr>
        <w:t>00</w:t>
      </w:r>
      <w:r w:rsidR="00DD34C7" w:rsidRPr="00DA3080">
        <w:rPr>
          <w:rFonts w:ascii="Arial" w:eastAsia="Calibri" w:hAnsi="Arial" w:cs="Arial"/>
          <w:b/>
          <w:sz w:val="22"/>
          <w:lang w:val="es-CO"/>
        </w:rPr>
        <w:t>1</w:t>
      </w:r>
      <w:r w:rsidR="00447B3C" w:rsidRPr="00DA3080">
        <w:rPr>
          <w:rFonts w:ascii="Arial" w:eastAsia="Calibri" w:hAnsi="Arial" w:cs="Arial"/>
          <w:b/>
          <w:sz w:val="22"/>
          <w:lang w:val="es-CO"/>
        </w:rPr>
        <w:t xml:space="preserve"> de 2022</w:t>
      </w:r>
    </w:p>
    <w:p w14:paraId="0FD04F51" w14:textId="77777777" w:rsidR="00D45D43" w:rsidRPr="00DA3080" w:rsidRDefault="00D45D43">
      <w:pPr>
        <w:spacing w:after="0" w:line="240" w:lineRule="auto"/>
        <w:rPr>
          <w:rFonts w:ascii="Arial" w:eastAsia="Calibri" w:hAnsi="Arial" w:cs="Arial"/>
          <w:bCs/>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D45D43" w:rsidRPr="00DA3080" w14:paraId="2F506374" w14:textId="77777777" w:rsidTr="00D03D28">
        <w:trPr>
          <w:trHeight w:val="1038"/>
        </w:trPr>
        <w:tc>
          <w:tcPr>
            <w:tcW w:w="2410" w:type="dxa"/>
            <w:hideMark/>
          </w:tcPr>
          <w:p w14:paraId="457F7D77" w14:textId="70F68E3C" w:rsidR="00D45D43" w:rsidRPr="00DA3080" w:rsidRDefault="00D45D43" w:rsidP="00D03D28">
            <w:pPr>
              <w:spacing w:line="240" w:lineRule="auto"/>
              <w:contextualSpacing/>
              <w:rPr>
                <w:rFonts w:ascii="Arial" w:eastAsia="Calibri" w:hAnsi="Arial" w:cs="Arial"/>
                <w:noProof/>
                <w:lang w:val="es-ES_tradnl"/>
              </w:rPr>
            </w:pPr>
            <w:r w:rsidRPr="00DA3080">
              <w:rPr>
                <w:rFonts w:ascii="Arial" w:eastAsia="Calibri" w:hAnsi="Arial" w:cs="Arial"/>
                <w:b/>
                <w:noProof/>
                <w:lang w:val="es-ES_tradnl"/>
              </w:rPr>
              <w:t>Temas:</w:t>
            </w:r>
            <w:r w:rsidR="00DD34C7" w:rsidRPr="00DA3080">
              <w:rPr>
                <w:rFonts w:ascii="Arial" w:eastAsia="Calibri" w:hAnsi="Arial" w:cs="Arial"/>
                <w:noProof/>
                <w:lang w:val="es-ES_tradnl"/>
              </w:rPr>
              <w:t xml:space="preserve"> </w:t>
            </w:r>
          </w:p>
        </w:tc>
        <w:tc>
          <w:tcPr>
            <w:tcW w:w="6516" w:type="dxa"/>
            <w:hideMark/>
          </w:tcPr>
          <w:p w14:paraId="04A6CBA1" w14:textId="3A1E37A0" w:rsidR="00DF1D02" w:rsidRPr="00DA3080" w:rsidRDefault="003F7B85" w:rsidP="00D03D28">
            <w:pPr>
              <w:tabs>
                <w:tab w:val="left" w:pos="3374"/>
              </w:tabs>
              <w:spacing w:after="120" w:line="240" w:lineRule="auto"/>
              <w:rPr>
                <w:rFonts w:ascii="Arial" w:hAnsi="Arial" w:cs="Arial"/>
              </w:rPr>
            </w:pPr>
            <w:r w:rsidRPr="00DA3080">
              <w:rPr>
                <w:rStyle w:val="normaltextrun"/>
                <w:rFonts w:ascii="Arial" w:hAnsi="Arial" w:cs="Arial"/>
                <w:color w:val="000000"/>
                <w:shd w:val="clear" w:color="auto" w:fill="FFFFFF"/>
              </w:rPr>
              <w:t>LEY DE EMPRENDIMIENTO – Finalidad / RELACIÓN ENTRE LEY Y REGLAMENTO – Tesis de la aplicación directa – Tesis de la reglamentación – Diferencias / REGLAMENTACIÓN PREVIA – Ley 2069 de 2020 / LEY 2069 DE 2020 – Mínima cuantía – Eficacia directa / MÍNIMA CUANTÍA – Normas reglamentarias – Decreto 1082 de 2015 –Vigencia</w:t>
            </w:r>
            <w:r w:rsidR="00D909A0" w:rsidRPr="00DA3080">
              <w:rPr>
                <w:rStyle w:val="normaltextrun"/>
                <w:rFonts w:ascii="Arial" w:hAnsi="Arial" w:cs="Arial"/>
                <w:color w:val="000000"/>
                <w:shd w:val="clear" w:color="auto" w:fill="FFFFFF"/>
              </w:rPr>
              <w:t xml:space="preserve"> /</w:t>
            </w:r>
            <w:r w:rsidR="00D909A0" w:rsidRPr="00DA3080">
              <w:rPr>
                <w:rStyle w:val="normaltextrun"/>
                <w:rFonts w:ascii="Arial" w:hAnsi="Arial" w:cs="Arial"/>
                <w:color w:val="000000"/>
                <w:lang w:val="es-ES"/>
              </w:rPr>
              <w:t xml:space="preserve"> MÍNIMA CUANTÍA</w:t>
            </w:r>
            <w:r w:rsidR="00D909A0" w:rsidRPr="00DA3080">
              <w:rPr>
                <w:rStyle w:val="normaltextrun"/>
                <w:rFonts w:ascii="Arial" w:hAnsi="Arial" w:cs="Arial"/>
                <w:color w:val="000000"/>
              </w:rPr>
              <w:t xml:space="preserve"> – Declaratoria de desierta – Fundamento / </w:t>
            </w:r>
            <w:r w:rsidR="00D909A0" w:rsidRPr="00DA3080">
              <w:rPr>
                <w:rStyle w:val="normaltextrun"/>
                <w:rFonts w:ascii="Arial" w:hAnsi="Arial" w:cs="Arial"/>
                <w:color w:val="000000"/>
                <w:lang w:val="es-ES"/>
              </w:rPr>
              <w:t>DECLARATORIA DE DESIERTA – Recursos – Procedencia – Vacíos – Regulación – Mínima cuantía</w:t>
            </w:r>
          </w:p>
          <w:p w14:paraId="7477B464" w14:textId="77777777" w:rsidR="00D45D43" w:rsidRPr="00DA3080" w:rsidRDefault="00D45D43">
            <w:pPr>
              <w:spacing w:after="0" w:line="240" w:lineRule="auto"/>
              <w:contextualSpacing/>
              <w:rPr>
                <w:rFonts w:ascii="Arial" w:eastAsia="Calibri" w:hAnsi="Arial" w:cs="Arial"/>
                <w:bCs/>
              </w:rPr>
            </w:pPr>
          </w:p>
        </w:tc>
      </w:tr>
      <w:tr w:rsidR="00D45D43" w:rsidRPr="00DA3080" w14:paraId="5B6E69F2" w14:textId="77777777" w:rsidTr="00D03D28">
        <w:trPr>
          <w:trHeight w:val="198"/>
        </w:trPr>
        <w:tc>
          <w:tcPr>
            <w:tcW w:w="2410" w:type="dxa"/>
          </w:tcPr>
          <w:p w14:paraId="3A042E2F" w14:textId="4F5F5186" w:rsidR="00D45D43" w:rsidRPr="00DA3080" w:rsidRDefault="00D45D43" w:rsidP="00D03D28">
            <w:pPr>
              <w:spacing w:after="0" w:line="240" w:lineRule="auto"/>
              <w:rPr>
                <w:rFonts w:ascii="Arial" w:eastAsia="Calibri" w:hAnsi="Arial" w:cs="Arial"/>
                <w:b/>
                <w:noProof/>
                <w:lang w:val="es-ES_tradnl"/>
              </w:rPr>
            </w:pPr>
            <w:r w:rsidRPr="00DA3080">
              <w:rPr>
                <w:rFonts w:ascii="Arial" w:eastAsia="Calibri" w:hAnsi="Arial" w:cs="Arial"/>
                <w:b/>
                <w:noProof/>
                <w:lang w:val="es-ES_tradnl"/>
              </w:rPr>
              <w:t>Radicación:</w:t>
            </w:r>
            <w:r w:rsidR="00470509" w:rsidRPr="00DA3080">
              <w:rPr>
                <w:rFonts w:ascii="Arial" w:eastAsia="Calibri" w:hAnsi="Arial" w:cs="Arial"/>
                <w:noProof/>
                <w:lang w:val="es-ES_tradnl"/>
              </w:rPr>
              <w:t xml:space="preserve"> </w:t>
            </w:r>
          </w:p>
        </w:tc>
        <w:tc>
          <w:tcPr>
            <w:tcW w:w="6516" w:type="dxa"/>
          </w:tcPr>
          <w:p w14:paraId="4D6CA122" w14:textId="16FBA23E" w:rsidR="00D45D43" w:rsidRPr="00DA3080" w:rsidRDefault="00D45D43">
            <w:pPr>
              <w:spacing w:after="0" w:line="240" w:lineRule="auto"/>
              <w:ind w:right="136"/>
              <w:contextualSpacing/>
              <w:rPr>
                <w:rFonts w:ascii="Arial" w:eastAsia="Calibri" w:hAnsi="Arial" w:cs="Arial"/>
                <w:noProof/>
                <w:lang w:val="es-ES_tradnl"/>
              </w:rPr>
            </w:pPr>
            <w:r w:rsidRPr="00DA3080">
              <w:rPr>
                <w:rFonts w:ascii="Arial" w:eastAsia="Calibri" w:hAnsi="Arial" w:cs="Arial"/>
                <w:noProof/>
                <w:lang w:val="es-ES_tradnl"/>
              </w:rPr>
              <w:t>Respuesta a consulta</w:t>
            </w:r>
            <w:r w:rsidR="009C4A25" w:rsidRPr="00DA3080">
              <w:rPr>
                <w:rFonts w:ascii="Arial" w:eastAsia="Calibri" w:hAnsi="Arial" w:cs="Arial"/>
                <w:noProof/>
                <w:lang w:val="es-ES_tradnl"/>
              </w:rPr>
              <w:t xml:space="preserve"> </w:t>
            </w:r>
            <w:r w:rsidR="00DD34C7" w:rsidRPr="00DA3080">
              <w:rPr>
                <w:rFonts w:ascii="Arial" w:eastAsia="Calibri" w:hAnsi="Arial" w:cs="Arial"/>
                <w:noProof/>
                <w:lang w:val="es-ES_tradnl"/>
              </w:rPr>
              <w:t>P20220103000007</w:t>
            </w:r>
          </w:p>
        </w:tc>
      </w:tr>
    </w:tbl>
    <w:p w14:paraId="35E34587" w14:textId="77777777" w:rsidR="00D45D43" w:rsidRPr="00DA3080" w:rsidRDefault="00D45D43">
      <w:pPr>
        <w:spacing w:after="0" w:line="240" w:lineRule="auto"/>
        <w:rPr>
          <w:rFonts w:ascii="Arial" w:eastAsia="Calibri" w:hAnsi="Arial" w:cs="Arial"/>
          <w:sz w:val="22"/>
          <w:lang w:val="es-CO"/>
        </w:rPr>
      </w:pPr>
    </w:p>
    <w:p w14:paraId="6AEF12FF" w14:textId="77777777" w:rsidR="00D45D43" w:rsidRPr="00DA3080" w:rsidRDefault="00D45D43">
      <w:pPr>
        <w:spacing w:after="0" w:line="240" w:lineRule="auto"/>
        <w:rPr>
          <w:rFonts w:ascii="Arial" w:eastAsia="Calibri" w:hAnsi="Arial" w:cs="Arial"/>
          <w:sz w:val="22"/>
          <w:lang w:val="es-CO"/>
        </w:rPr>
      </w:pPr>
    </w:p>
    <w:p w14:paraId="70B8C15C" w14:textId="1CB9B42C" w:rsidR="00D45D43" w:rsidRPr="00DA3080" w:rsidRDefault="00D45D43" w:rsidP="00001D47">
      <w:pPr>
        <w:spacing w:after="0"/>
        <w:rPr>
          <w:rFonts w:ascii="Arial" w:eastAsia="Calibri" w:hAnsi="Arial" w:cs="Arial"/>
          <w:sz w:val="22"/>
          <w:lang w:val="es-CO"/>
        </w:rPr>
      </w:pPr>
      <w:r w:rsidRPr="00DA3080">
        <w:rPr>
          <w:rFonts w:ascii="Arial" w:eastAsia="Calibri" w:hAnsi="Arial" w:cs="Arial"/>
          <w:sz w:val="22"/>
          <w:lang w:val="es-CO"/>
        </w:rPr>
        <w:t>Estimad</w:t>
      </w:r>
      <w:r w:rsidR="00DD34C7" w:rsidRPr="00DA3080">
        <w:rPr>
          <w:rFonts w:ascii="Arial" w:eastAsia="Calibri" w:hAnsi="Arial" w:cs="Arial"/>
          <w:sz w:val="22"/>
          <w:lang w:val="es-CO"/>
        </w:rPr>
        <w:t>o</w:t>
      </w:r>
      <w:r w:rsidRPr="00DA3080">
        <w:rPr>
          <w:rFonts w:ascii="Arial" w:eastAsia="Calibri" w:hAnsi="Arial" w:cs="Arial"/>
          <w:sz w:val="22"/>
          <w:lang w:val="es-CO"/>
        </w:rPr>
        <w:t xml:space="preserve"> señor </w:t>
      </w:r>
      <w:r w:rsidR="00DD34C7" w:rsidRPr="00DA3080">
        <w:rPr>
          <w:rFonts w:ascii="Arial" w:eastAsia="Calibri" w:hAnsi="Arial" w:cs="Arial"/>
          <w:sz w:val="22"/>
          <w:lang w:val="es-CO"/>
        </w:rPr>
        <w:t>Bustos</w:t>
      </w:r>
      <w:r w:rsidRPr="00DA3080">
        <w:rPr>
          <w:rFonts w:ascii="Arial" w:eastAsia="Calibri" w:hAnsi="Arial" w:cs="Arial"/>
          <w:sz w:val="22"/>
          <w:lang w:val="es-CO"/>
        </w:rPr>
        <w:t>:</w:t>
      </w:r>
    </w:p>
    <w:p w14:paraId="7ADEE905" w14:textId="77777777" w:rsidR="00D45D43" w:rsidRPr="00DA3080" w:rsidRDefault="00D45D43" w:rsidP="00001D47">
      <w:pPr>
        <w:spacing w:after="0"/>
        <w:ind w:firstLine="709"/>
        <w:rPr>
          <w:rFonts w:ascii="Arial" w:eastAsia="Calibri" w:hAnsi="Arial" w:cs="Arial"/>
          <w:sz w:val="22"/>
          <w:lang w:val="es-CO"/>
        </w:rPr>
      </w:pPr>
    </w:p>
    <w:p w14:paraId="594BDCF2" w14:textId="52C9F3F7" w:rsidR="00D45D43" w:rsidRPr="00DA3080" w:rsidRDefault="009047DF" w:rsidP="00001D47">
      <w:pPr>
        <w:spacing w:after="0"/>
        <w:rPr>
          <w:rFonts w:ascii="Arial" w:eastAsia="Calibri" w:hAnsi="Arial" w:cs="Arial"/>
          <w:color w:val="000000" w:themeColor="text1"/>
          <w:sz w:val="22"/>
          <w:lang w:val="es-CO"/>
        </w:rPr>
      </w:pPr>
      <w:r w:rsidRPr="00DA3080">
        <w:rPr>
          <w:rFonts w:ascii="Arial" w:eastAsia="Calibri" w:hAnsi="Arial" w:cs="Arial"/>
          <w:color w:val="000000" w:themeColor="text1"/>
          <w:sz w:val="22"/>
          <w:lang w:val="es-CO"/>
        </w:rPr>
        <w:t xml:space="preserve">En ejercicio de la competencia otorgada por el numeral 8 del artículo 11 y el numeral 5 del artículo 3 del Decreto Ley 4170 de 2011, </w:t>
      </w:r>
      <w:r w:rsidRPr="00DA3080">
        <w:rPr>
          <w:rFonts w:ascii="Arial MT" w:eastAsia="Arial MT" w:hAnsi="Arial MT" w:cs="Arial MT"/>
          <w:sz w:val="22"/>
          <w:lang w:val="es-ES"/>
        </w:rPr>
        <w:t>y</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dentro</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de</w:t>
      </w:r>
      <w:r w:rsidRPr="00DA3080">
        <w:rPr>
          <w:rFonts w:ascii="Arial MT" w:eastAsia="Arial MT" w:hAnsi="Arial MT" w:cs="Arial MT"/>
          <w:spacing w:val="-8"/>
          <w:sz w:val="22"/>
          <w:lang w:val="es-ES"/>
        </w:rPr>
        <w:t xml:space="preserve"> </w:t>
      </w:r>
      <w:r w:rsidRPr="00DA3080">
        <w:rPr>
          <w:rFonts w:ascii="Arial MT" w:eastAsia="Arial MT" w:hAnsi="Arial MT" w:cs="Arial MT"/>
          <w:sz w:val="22"/>
          <w:lang w:val="es-ES"/>
        </w:rPr>
        <w:t>los</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términos</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establecidos</w:t>
      </w:r>
      <w:r w:rsidRPr="00DA3080">
        <w:rPr>
          <w:rFonts w:ascii="Arial MT" w:eastAsia="Arial MT" w:hAnsi="Arial MT" w:cs="Arial MT"/>
          <w:spacing w:val="-8"/>
          <w:sz w:val="22"/>
          <w:lang w:val="es-ES"/>
        </w:rPr>
        <w:t xml:space="preserve"> </w:t>
      </w:r>
      <w:r w:rsidRPr="00DA3080">
        <w:rPr>
          <w:rFonts w:ascii="Arial MT" w:eastAsia="Arial MT" w:hAnsi="Arial MT" w:cs="Arial MT"/>
          <w:sz w:val="22"/>
          <w:lang w:val="es-ES"/>
        </w:rPr>
        <w:t>en</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el artículo</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14</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la</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Ley</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1437</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2011,</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modificados</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por</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el</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artículo</w:t>
      </w:r>
      <w:r w:rsidRPr="00DA3080">
        <w:rPr>
          <w:rFonts w:ascii="Arial MT" w:eastAsia="Arial MT" w:hAnsi="Arial MT" w:cs="Arial MT"/>
          <w:spacing w:val="-7"/>
          <w:sz w:val="22"/>
          <w:lang w:val="es-ES"/>
        </w:rPr>
        <w:t xml:space="preserve"> </w:t>
      </w:r>
      <w:r w:rsidRPr="00DA3080">
        <w:rPr>
          <w:rFonts w:ascii="Arial MT" w:eastAsia="Arial MT" w:hAnsi="Arial MT" w:cs="Arial MT"/>
          <w:sz w:val="22"/>
          <w:lang w:val="es-ES"/>
        </w:rPr>
        <w:t>5</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del</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Decreto</w:t>
      </w:r>
      <w:r w:rsidRPr="00DA3080">
        <w:rPr>
          <w:rFonts w:ascii="Arial MT" w:eastAsia="Arial MT" w:hAnsi="Arial MT" w:cs="Arial MT"/>
          <w:spacing w:val="-6"/>
          <w:sz w:val="22"/>
          <w:lang w:val="es-ES"/>
        </w:rPr>
        <w:t xml:space="preserve"> </w:t>
      </w:r>
      <w:r w:rsidRPr="00DA3080">
        <w:rPr>
          <w:rFonts w:ascii="Arial MT" w:eastAsia="Arial MT" w:hAnsi="Arial MT" w:cs="Arial MT"/>
          <w:sz w:val="22"/>
          <w:lang w:val="es-ES"/>
        </w:rPr>
        <w:t xml:space="preserve">Legislativo 491 del 28 de marzo de 2020, </w:t>
      </w:r>
      <w:r w:rsidRPr="00DA3080">
        <w:rPr>
          <w:rFonts w:ascii="Arial" w:eastAsia="Calibri" w:hAnsi="Arial" w:cs="Arial"/>
          <w:color w:val="000000" w:themeColor="text1"/>
          <w:sz w:val="22"/>
          <w:lang w:val="es-CO"/>
        </w:rPr>
        <w:t>la Agencia Nacional de Contratación Pública – Colombia Compra Eficiente responde la consulta realizada el 3 de enero de 2022.</w:t>
      </w:r>
    </w:p>
    <w:p w14:paraId="28A1367B" w14:textId="77777777" w:rsidR="009047DF" w:rsidRPr="00DA3080" w:rsidRDefault="009047DF" w:rsidP="00001D47">
      <w:pPr>
        <w:spacing w:after="0"/>
        <w:rPr>
          <w:rFonts w:ascii="Arial" w:eastAsia="Calibri" w:hAnsi="Arial" w:cs="Arial"/>
          <w:sz w:val="22"/>
          <w:lang w:val="es-CO"/>
        </w:rPr>
      </w:pPr>
    </w:p>
    <w:p w14:paraId="7AE4AC66" w14:textId="0A4DD470" w:rsidR="005F5BE7" w:rsidRPr="00DA3080" w:rsidRDefault="00F80890" w:rsidP="0082500C">
      <w:pPr>
        <w:tabs>
          <w:tab w:val="left" w:pos="284"/>
        </w:tabs>
        <w:spacing w:after="0"/>
        <w:rPr>
          <w:rFonts w:ascii="Arial" w:eastAsia="Calibri" w:hAnsi="Arial" w:cs="Arial"/>
          <w:b/>
          <w:sz w:val="22"/>
          <w:lang w:val="es-CO"/>
        </w:rPr>
      </w:pPr>
      <w:r w:rsidRPr="00DA3080">
        <w:rPr>
          <w:rFonts w:ascii="Arial" w:eastAsia="Calibri" w:hAnsi="Arial" w:cs="Arial"/>
          <w:b/>
          <w:sz w:val="22"/>
          <w:lang w:val="es-CO"/>
        </w:rPr>
        <w:t xml:space="preserve">1. </w:t>
      </w:r>
      <w:r w:rsidR="00D45D43" w:rsidRPr="00DA3080">
        <w:rPr>
          <w:rFonts w:ascii="Arial" w:eastAsia="Calibri" w:hAnsi="Arial" w:cs="Arial"/>
          <w:b/>
          <w:sz w:val="22"/>
          <w:lang w:val="es-CO"/>
        </w:rPr>
        <w:t>Problema planteado</w:t>
      </w:r>
      <w:bookmarkStart w:id="0" w:name="_Hlk78213421"/>
      <w:bookmarkStart w:id="1" w:name="_Hlk78192084"/>
      <w:bookmarkStart w:id="2" w:name="_Hlk58917991"/>
      <w:bookmarkStart w:id="3" w:name="_Hlk56103000"/>
    </w:p>
    <w:bookmarkEnd w:id="0"/>
    <w:bookmarkEnd w:id="1"/>
    <w:p w14:paraId="0F2BCC12" w14:textId="49173AD7" w:rsidR="005E3465" w:rsidRPr="00DA3080" w:rsidRDefault="001D07C5" w:rsidP="00DD34C7">
      <w:pPr>
        <w:pStyle w:val="NormalWeb"/>
        <w:spacing w:after="0"/>
        <w:rPr>
          <w:rFonts w:ascii="Arial" w:hAnsi="Arial" w:cs="Arial"/>
          <w:sz w:val="22"/>
          <w:szCs w:val="22"/>
        </w:rPr>
      </w:pPr>
      <w:r>
        <w:rPr>
          <w:rFonts w:ascii="Arial" w:hAnsi="Arial" w:cs="Arial"/>
          <w:sz w:val="22"/>
        </w:rPr>
        <w:t>Analizada la pregunta del peticionario, se colige que su finalidad consiste en que esta Agencia conceptúe sobre el siguiente tema</w:t>
      </w:r>
      <w:r w:rsidR="00126EAB" w:rsidRPr="00DA3080">
        <w:rPr>
          <w:rFonts w:ascii="Arial" w:hAnsi="Arial" w:cs="Arial"/>
          <w:sz w:val="22"/>
        </w:rPr>
        <w:t>:</w:t>
      </w:r>
      <w:r w:rsidR="005F5BE7" w:rsidRPr="00DA3080">
        <w:rPr>
          <w:rFonts w:ascii="Arial" w:hAnsi="Arial" w:cs="Arial"/>
          <w:sz w:val="22"/>
          <w:shd w:val="clear" w:color="auto" w:fill="FFFFFF"/>
        </w:rPr>
        <w:t xml:space="preserve"> </w:t>
      </w:r>
      <w:bookmarkEnd w:id="2"/>
      <w:bookmarkEnd w:id="3"/>
      <w:r w:rsidR="00DD34C7" w:rsidRPr="00DA3080">
        <w:rPr>
          <w:rFonts w:ascii="Arial" w:hAnsi="Arial" w:cs="Arial"/>
          <w:sz w:val="22"/>
          <w:szCs w:val="22"/>
          <w:lang w:eastAsia="es-ES_tradnl"/>
        </w:rPr>
        <w:t>«</w:t>
      </w:r>
      <w:proofErr w:type="gramStart"/>
      <w:r w:rsidR="00DD34C7" w:rsidRPr="00DA3080">
        <w:rPr>
          <w:rFonts w:ascii="Arial" w:hAnsi="Arial" w:cs="Arial"/>
          <w:sz w:val="22"/>
          <w:szCs w:val="22"/>
          <w:lang w:eastAsia="es-ES_tradnl"/>
        </w:rPr>
        <w:t xml:space="preserve">¿Aplican los recursos establecidos en el artículo 74 de la Ley 1437 de 2011, contra el acto administrativo que declara desierto un proceso de selección de mínima cuantía, regulado por el numeral 5 del artículo 2º de la Ley </w:t>
      </w:r>
      <w:r w:rsidR="00DD34C7" w:rsidRPr="00DA3080">
        <w:rPr>
          <w:rFonts w:ascii="Arial" w:hAnsi="Arial" w:cs="Arial"/>
          <w:sz w:val="22"/>
          <w:szCs w:val="22"/>
          <w:lang w:eastAsia="es-ES_tradnl"/>
        </w:rPr>
        <w:lastRenderedPageBreak/>
        <w:t>1150 de 2007 y los artículos 2.</w:t>
      </w:r>
      <w:proofErr w:type="gramEnd"/>
      <w:r w:rsidR="00DD34C7" w:rsidRPr="00DA3080">
        <w:rPr>
          <w:rFonts w:ascii="Arial" w:hAnsi="Arial" w:cs="Arial"/>
          <w:sz w:val="22"/>
          <w:szCs w:val="22"/>
          <w:lang w:eastAsia="es-ES_tradnl"/>
        </w:rPr>
        <w:t xml:space="preserve">2.1.2.1.5.1. y siguientes del Decreto 1082 de 2015 cuando la causal es la </w:t>
      </w:r>
      <w:proofErr w:type="gramStart"/>
      <w:r w:rsidR="00DD34C7" w:rsidRPr="00DA3080">
        <w:rPr>
          <w:rFonts w:ascii="Arial" w:hAnsi="Arial" w:cs="Arial"/>
          <w:sz w:val="22"/>
          <w:szCs w:val="22"/>
          <w:lang w:eastAsia="es-ES_tradnl"/>
        </w:rPr>
        <w:t>ausencia oferentes</w:t>
      </w:r>
      <w:proofErr w:type="gramEnd"/>
      <w:r w:rsidR="00DD34C7" w:rsidRPr="00DA3080">
        <w:rPr>
          <w:rFonts w:ascii="Arial" w:hAnsi="Arial" w:cs="Arial"/>
          <w:sz w:val="22"/>
          <w:szCs w:val="22"/>
          <w:lang w:eastAsia="es-ES_tradnl"/>
        </w:rPr>
        <w:t xml:space="preserve"> en el proceso?</w:t>
      </w:r>
      <w:r w:rsidR="008D2010" w:rsidRPr="00DA3080">
        <w:rPr>
          <w:rFonts w:ascii="Arial" w:hAnsi="Arial" w:cs="Arial"/>
          <w:sz w:val="22"/>
          <w:szCs w:val="22"/>
          <w:lang w:eastAsia="es-ES_tradnl"/>
        </w:rPr>
        <w:t>»</w:t>
      </w:r>
      <w:r w:rsidR="002D1C3A" w:rsidRPr="00DA3080">
        <w:rPr>
          <w:rFonts w:ascii="Arial" w:hAnsi="Arial" w:cs="Arial"/>
          <w:sz w:val="22"/>
          <w:szCs w:val="22"/>
          <w:lang w:eastAsia="es-ES_tradnl"/>
        </w:rPr>
        <w:t>.</w:t>
      </w:r>
    </w:p>
    <w:p w14:paraId="416ED36B" w14:textId="1E408457" w:rsidR="00D45D43" w:rsidRPr="00DA3080" w:rsidRDefault="0029475E" w:rsidP="0082500C">
      <w:pPr>
        <w:pStyle w:val="NormalWeb"/>
        <w:spacing w:before="0" w:beforeAutospacing="0" w:after="0" w:afterAutospacing="0"/>
        <w:rPr>
          <w:rFonts w:ascii="Arial" w:eastAsia="Calibri" w:hAnsi="Arial" w:cs="Arial"/>
          <w:b/>
          <w:sz w:val="22"/>
        </w:rPr>
      </w:pPr>
      <w:r w:rsidRPr="00DA3080">
        <w:rPr>
          <w:rFonts w:ascii="Arial" w:eastAsia="Calibri" w:hAnsi="Arial" w:cs="Arial"/>
          <w:b/>
          <w:sz w:val="22"/>
        </w:rPr>
        <w:t xml:space="preserve">2. </w:t>
      </w:r>
      <w:r w:rsidR="00D45D43" w:rsidRPr="00DA3080">
        <w:rPr>
          <w:rFonts w:ascii="Arial" w:eastAsia="Calibri" w:hAnsi="Arial" w:cs="Arial"/>
          <w:b/>
          <w:sz w:val="22"/>
        </w:rPr>
        <w:t>Consideraciones</w:t>
      </w:r>
    </w:p>
    <w:p w14:paraId="2C21C11E" w14:textId="77777777" w:rsidR="005E3465" w:rsidRPr="00DA3080" w:rsidRDefault="005E3465" w:rsidP="0082500C">
      <w:pPr>
        <w:pStyle w:val="NormalWeb"/>
        <w:spacing w:before="0" w:beforeAutospacing="0" w:after="0" w:afterAutospacing="0"/>
        <w:rPr>
          <w:rFonts w:ascii="Arial" w:eastAsia="Calibri" w:hAnsi="Arial" w:cs="Arial"/>
          <w:b/>
          <w:sz w:val="22"/>
        </w:rPr>
      </w:pPr>
    </w:p>
    <w:p w14:paraId="46B18824" w14:textId="15E8FCC8" w:rsidR="00D14890" w:rsidRPr="00DA3080" w:rsidRDefault="00DD34C7" w:rsidP="00D14890">
      <w:pPr>
        <w:tabs>
          <w:tab w:val="left" w:pos="426"/>
        </w:tabs>
        <w:spacing w:after="120"/>
        <w:rPr>
          <w:rFonts w:ascii="Arial" w:eastAsia="Calibri" w:hAnsi="Arial" w:cs="Arial"/>
          <w:color w:val="000000" w:themeColor="text1"/>
          <w:sz w:val="22"/>
          <w:lang w:val="es-ES_tradnl"/>
        </w:rPr>
      </w:pPr>
      <w:bookmarkStart w:id="4" w:name="_Hlk79772899"/>
      <w:r w:rsidRPr="00DA3080">
        <w:rPr>
          <w:rFonts w:ascii="Arial" w:eastAsia="Calibri" w:hAnsi="Arial" w:cs="Arial"/>
          <w:bCs/>
          <w:color w:val="000000" w:themeColor="text1"/>
          <w:sz w:val="22"/>
          <w:lang w:val="es-ES_tradnl"/>
        </w:rPr>
        <w:t>Teniendo en cuenta que la pregunta del peticionario se relaciona con los procesos de mínima cuantía, p</w:t>
      </w:r>
      <w:r w:rsidR="00D14890" w:rsidRPr="00DA3080">
        <w:rPr>
          <w:rFonts w:ascii="Arial" w:eastAsia="Calibri" w:hAnsi="Arial" w:cs="Arial"/>
          <w:bCs/>
          <w:color w:val="000000" w:themeColor="text1"/>
          <w:sz w:val="22"/>
          <w:lang w:val="es-ES_tradnl"/>
        </w:rPr>
        <w:t>ara resolver la inquietud planteada</w:t>
      </w:r>
      <w:r w:rsidRPr="00DA3080">
        <w:rPr>
          <w:rFonts w:ascii="Arial" w:eastAsia="Calibri" w:hAnsi="Arial" w:cs="Arial"/>
          <w:bCs/>
          <w:color w:val="000000" w:themeColor="text1"/>
          <w:sz w:val="22"/>
          <w:lang w:val="es-ES_tradnl"/>
        </w:rPr>
        <w:t xml:space="preserve"> se considera importante realizar algunas precisiones previas en torno al régimen actual de esta modalidad de selección, para posteriormente abordar la inquietud particular del peticionario. Esto es especialmente importante,</w:t>
      </w:r>
      <w:r w:rsidR="00D14890" w:rsidRPr="00DA3080">
        <w:rPr>
          <w:rFonts w:ascii="Arial" w:eastAsia="Calibri" w:hAnsi="Arial" w:cs="Arial"/>
          <w:bCs/>
          <w:color w:val="000000" w:themeColor="text1"/>
          <w:sz w:val="22"/>
          <w:lang w:val="es-ES_tradnl"/>
        </w:rPr>
        <w:t xml:space="preserve"> </w:t>
      </w:r>
      <w:r w:rsidR="0056751F" w:rsidRPr="00DA3080">
        <w:rPr>
          <w:rFonts w:ascii="Arial" w:eastAsia="Calibri" w:hAnsi="Arial" w:cs="Arial"/>
          <w:bCs/>
          <w:color w:val="000000" w:themeColor="text1"/>
          <w:sz w:val="22"/>
          <w:lang w:val="es-ES_tradnl"/>
        </w:rPr>
        <w:t>dado</w:t>
      </w:r>
      <w:r w:rsidR="00DE4D02" w:rsidRPr="00DA3080">
        <w:rPr>
          <w:rFonts w:ascii="Arial" w:eastAsia="Calibri" w:hAnsi="Arial" w:cs="Arial"/>
          <w:bCs/>
          <w:color w:val="000000" w:themeColor="text1"/>
          <w:sz w:val="22"/>
          <w:lang w:val="es-ES_tradnl"/>
        </w:rPr>
        <w:t xml:space="preserve"> que el artículo 94 de la Ley 1474 de 2011 fue modificado por </w:t>
      </w:r>
      <w:r w:rsidR="00D14890" w:rsidRPr="00DA3080">
        <w:rPr>
          <w:rFonts w:ascii="Arial" w:eastAsia="Calibri" w:hAnsi="Arial" w:cs="Arial"/>
          <w:bCs/>
          <w:color w:val="000000" w:themeColor="text1"/>
          <w:sz w:val="22"/>
          <w:lang w:val="es-ES_tradnl"/>
        </w:rPr>
        <w:t xml:space="preserve">el artículo 30 de la </w:t>
      </w:r>
      <w:bookmarkStart w:id="5" w:name="_Hlk63688922"/>
      <w:r w:rsidR="00D14890" w:rsidRPr="00DA3080">
        <w:rPr>
          <w:rFonts w:ascii="Arial" w:eastAsia="Calibri" w:hAnsi="Arial" w:cs="Arial"/>
          <w:bCs/>
          <w:color w:val="000000" w:themeColor="text1"/>
          <w:sz w:val="22"/>
          <w:lang w:val="es-ES_tradnl"/>
        </w:rPr>
        <w:t>Ley 2069 de 2020</w:t>
      </w:r>
      <w:bookmarkEnd w:id="5"/>
      <w:r w:rsidR="001C20AE" w:rsidRPr="00DA3080">
        <w:rPr>
          <w:rFonts w:ascii="Arial" w:eastAsia="Calibri" w:hAnsi="Arial" w:cs="Arial"/>
          <w:bCs/>
          <w:color w:val="000000" w:themeColor="text1"/>
          <w:sz w:val="22"/>
          <w:lang w:val="es-ES_tradnl"/>
        </w:rPr>
        <w:t xml:space="preserve"> y que este último fue reglamentado por el Decreto </w:t>
      </w:r>
      <w:r w:rsidR="00E83E82" w:rsidRPr="00DA3080">
        <w:rPr>
          <w:rFonts w:ascii="Arial" w:eastAsia="Calibri" w:hAnsi="Arial" w:cs="Arial"/>
          <w:bCs/>
          <w:color w:val="000000" w:themeColor="text1"/>
          <w:sz w:val="22"/>
          <w:lang w:val="es-ES_tradnl"/>
        </w:rPr>
        <w:t>1860 de</w:t>
      </w:r>
      <w:r w:rsidRPr="00DA3080">
        <w:rPr>
          <w:rFonts w:ascii="Arial" w:eastAsia="Calibri" w:hAnsi="Arial" w:cs="Arial"/>
          <w:bCs/>
          <w:color w:val="000000" w:themeColor="text1"/>
          <w:sz w:val="22"/>
          <w:lang w:val="es-ES_tradnl"/>
        </w:rPr>
        <w:t>l 24 de diciembre de 2021</w:t>
      </w:r>
      <w:r w:rsidR="00404092"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 xml:space="preserve">por lo que </w:t>
      </w:r>
      <w:r w:rsidR="00404092" w:rsidRPr="00DA3080">
        <w:rPr>
          <w:rFonts w:ascii="Arial" w:eastAsia="Calibri" w:hAnsi="Arial" w:cs="Arial"/>
          <w:bCs/>
          <w:color w:val="000000" w:themeColor="text1"/>
          <w:sz w:val="22"/>
          <w:lang w:val="es-ES_tradnl"/>
        </w:rPr>
        <w:t xml:space="preserve">se analizarán los siguientes temas: i) </w:t>
      </w:r>
      <w:r w:rsidR="00404092" w:rsidRPr="00DA3080">
        <w:rPr>
          <w:rFonts w:ascii="Arial" w:eastAsia="Calibri" w:hAnsi="Arial" w:cs="Arial"/>
          <w:color w:val="000000" w:themeColor="text1"/>
          <w:sz w:val="22"/>
          <w:lang w:val="es-ES_tradnl"/>
        </w:rPr>
        <w:t xml:space="preserve">vigencia y ámbito de aplicación de la Ley de Emprendimiento, </w:t>
      </w:r>
      <w:proofErr w:type="spellStart"/>
      <w:r w:rsidR="00404092" w:rsidRPr="00DA3080">
        <w:rPr>
          <w:rFonts w:ascii="Arial" w:eastAsia="Calibri" w:hAnsi="Arial" w:cs="Arial"/>
          <w:color w:val="000000" w:themeColor="text1"/>
          <w:sz w:val="22"/>
          <w:lang w:val="es-ES_tradnl"/>
        </w:rPr>
        <w:t>ii</w:t>
      </w:r>
      <w:proofErr w:type="spellEnd"/>
      <w:r w:rsidR="00404092" w:rsidRPr="00DA3080">
        <w:rPr>
          <w:rFonts w:ascii="Arial" w:eastAsia="Calibri" w:hAnsi="Arial" w:cs="Arial"/>
          <w:color w:val="000000" w:themeColor="text1"/>
          <w:sz w:val="22"/>
          <w:lang w:val="es-ES_tradnl"/>
        </w:rPr>
        <w:t>)</w:t>
      </w:r>
      <w:r w:rsidR="00630A18" w:rsidRPr="00DA3080">
        <w:rPr>
          <w:rFonts w:ascii="Arial" w:eastAsia="Calibri" w:hAnsi="Arial" w:cs="Arial"/>
          <w:color w:val="000000" w:themeColor="text1"/>
          <w:sz w:val="22"/>
          <w:lang w:val="es-ES_tradnl"/>
        </w:rPr>
        <w:t xml:space="preserve"> </w:t>
      </w:r>
      <w:r w:rsidR="00630A18" w:rsidRPr="00DA3080">
        <w:rPr>
          <w:rFonts w:ascii="Arial" w:eastAsia="Calibri" w:hAnsi="Arial" w:cs="Arial"/>
          <w:bCs/>
          <w:color w:val="000000" w:themeColor="text1"/>
          <w:sz w:val="22"/>
          <w:lang w:val="es-ES_tradnl"/>
        </w:rPr>
        <w:t xml:space="preserve">intervención del reglamento para la efectividad de la Ley 2069 de 2020 en el sistema de compras públicas, </w:t>
      </w:r>
      <w:proofErr w:type="spellStart"/>
      <w:r w:rsidR="00630A18" w:rsidRPr="00DA3080">
        <w:rPr>
          <w:rFonts w:ascii="Arial" w:eastAsia="Calibri" w:hAnsi="Arial" w:cs="Arial"/>
          <w:bCs/>
          <w:color w:val="000000" w:themeColor="text1"/>
          <w:sz w:val="22"/>
          <w:lang w:val="es-ES_tradnl"/>
        </w:rPr>
        <w:t>iii</w:t>
      </w:r>
      <w:proofErr w:type="spellEnd"/>
      <w:r w:rsidR="00630A18" w:rsidRPr="00DA3080">
        <w:rPr>
          <w:rFonts w:ascii="Arial" w:eastAsia="Calibri" w:hAnsi="Arial" w:cs="Arial"/>
          <w:bCs/>
          <w:color w:val="000000" w:themeColor="text1"/>
          <w:sz w:val="22"/>
          <w:lang w:val="es-ES_tradnl"/>
        </w:rPr>
        <w:t xml:space="preserve">) </w:t>
      </w:r>
      <w:r w:rsidR="00F75BD9" w:rsidRPr="00DA3080">
        <w:rPr>
          <w:rFonts w:ascii="Arial" w:eastAsia="Calibri" w:hAnsi="Arial" w:cs="Arial"/>
          <w:bCs/>
          <w:color w:val="000000" w:themeColor="text1"/>
          <w:sz w:val="22"/>
          <w:lang w:val="es-ES_tradnl"/>
        </w:rPr>
        <w:t xml:space="preserve">regulación de la mínima cuantía y vigencia del procedimiento previsto en el Decreto 1082 de 2015, </w:t>
      </w:r>
      <w:proofErr w:type="spellStart"/>
      <w:r w:rsidR="00F75BD9" w:rsidRPr="00DA3080">
        <w:rPr>
          <w:rFonts w:ascii="Arial" w:eastAsia="Calibri" w:hAnsi="Arial" w:cs="Arial"/>
          <w:bCs/>
          <w:color w:val="000000" w:themeColor="text1"/>
          <w:sz w:val="22"/>
          <w:lang w:val="es-ES_tradnl"/>
        </w:rPr>
        <w:t>iv</w:t>
      </w:r>
      <w:proofErr w:type="spellEnd"/>
      <w:r w:rsidR="00F75BD9" w:rsidRPr="00DA3080">
        <w:rPr>
          <w:rFonts w:ascii="Arial" w:eastAsia="Calibri" w:hAnsi="Arial" w:cs="Arial"/>
          <w:bCs/>
          <w:color w:val="000000" w:themeColor="text1"/>
          <w:sz w:val="22"/>
          <w:lang w:val="es-ES_tradnl"/>
        </w:rPr>
        <w:t>) régimen aplicable a los procesos de mínima cuantía cuya invitación se publique a partir del 24 de marzo de 2022 y</w:t>
      </w:r>
      <w:r w:rsidR="00407706" w:rsidRPr="00DA3080">
        <w:rPr>
          <w:rFonts w:ascii="Arial" w:eastAsia="Calibri" w:hAnsi="Arial" w:cs="Arial"/>
          <w:bCs/>
          <w:color w:val="000000" w:themeColor="text1"/>
          <w:sz w:val="22"/>
          <w:lang w:val="es-ES_tradnl"/>
        </w:rPr>
        <w:t>, finalmente,</w:t>
      </w:r>
      <w:r w:rsidR="00F75BD9" w:rsidRPr="00DA3080">
        <w:rPr>
          <w:rFonts w:ascii="Arial" w:eastAsia="Calibri" w:hAnsi="Arial" w:cs="Arial"/>
          <w:bCs/>
          <w:color w:val="000000" w:themeColor="text1"/>
          <w:sz w:val="22"/>
          <w:lang w:val="es-ES_tradnl"/>
        </w:rPr>
        <w:t xml:space="preserve"> v) </w:t>
      </w:r>
      <w:r w:rsidRPr="00DA3080">
        <w:rPr>
          <w:rFonts w:ascii="Arial" w:eastAsia="Calibri" w:hAnsi="Arial" w:cs="Arial"/>
          <w:bCs/>
          <w:color w:val="000000" w:themeColor="text1"/>
          <w:sz w:val="22"/>
          <w:lang w:val="es-ES_tradnl"/>
        </w:rPr>
        <w:t>la declaratoria de desierta en los procesos de mínima cuantía</w:t>
      </w:r>
      <w:r w:rsidR="00871843" w:rsidRPr="00DA3080">
        <w:rPr>
          <w:rFonts w:ascii="Arial" w:eastAsia="Calibri" w:hAnsi="Arial" w:cs="Arial"/>
          <w:bCs/>
          <w:color w:val="000000" w:themeColor="text1"/>
          <w:sz w:val="22"/>
          <w:lang w:val="es-ES_tradnl"/>
        </w:rPr>
        <w:t>.</w:t>
      </w:r>
      <w:r w:rsidR="00404092" w:rsidRPr="00DA3080">
        <w:rPr>
          <w:rFonts w:ascii="Arial" w:eastAsia="Calibri" w:hAnsi="Arial" w:cs="Arial"/>
          <w:color w:val="000000" w:themeColor="text1"/>
          <w:sz w:val="22"/>
          <w:lang w:val="es-ES_tradnl"/>
        </w:rPr>
        <w:t xml:space="preserve"> </w:t>
      </w:r>
    </w:p>
    <w:p w14:paraId="2E9170E9" w14:textId="3EA84A85" w:rsidR="00D14890" w:rsidRPr="00DA3080" w:rsidRDefault="00D14890" w:rsidP="003350BE">
      <w:pPr>
        <w:tabs>
          <w:tab w:val="left" w:pos="426"/>
        </w:tabs>
        <w:spacing w:after="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r>
      <w:r w:rsidRPr="00DA3080">
        <w:rPr>
          <w:rFonts w:ascii="Arial" w:eastAsia="Calibri" w:hAnsi="Arial" w:cs="Arial"/>
          <w:bCs/>
          <w:color w:val="000000" w:themeColor="text1"/>
          <w:sz w:val="22"/>
          <w:lang w:val="es-ES_tradnl"/>
        </w:rPr>
        <w:tab/>
        <w:t>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w:t>
      </w:r>
      <w:r w:rsidR="008162EB"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C-551 del 24 de septiembre de 2020</w:t>
      </w:r>
      <w:r w:rsidR="008162EB" w:rsidRPr="00DA3080">
        <w:rPr>
          <w:rFonts w:ascii="Arial" w:eastAsia="Calibri" w:hAnsi="Arial" w:cs="Arial"/>
          <w:bCs/>
          <w:color w:val="000000" w:themeColor="text1"/>
          <w:sz w:val="22"/>
          <w:lang w:val="es-ES_tradnl"/>
        </w:rPr>
        <w:t xml:space="preserve"> y C-542 de 20 de octubre de 2021</w:t>
      </w:r>
      <w:r w:rsidRPr="00DA3080">
        <w:rPr>
          <w:rFonts w:ascii="Arial" w:eastAsia="Calibri" w:hAnsi="Arial" w:cs="Arial"/>
          <w:bCs/>
          <w:color w:val="000000" w:themeColor="text1"/>
          <w:sz w:val="22"/>
          <w:lang w:val="es-ES_tradnl"/>
        </w:rPr>
        <w:t xml:space="preserve"> explicó la relación entre la ley y el reglamento, de manera que si bien, por regla general, la primera rige a partir de su promulgación, excepcionalmente esta requiere desarrollo reglamentario como una condición previa para su aplicación. Igualmente, en los conceptos C-005 del 16 de febrero de 2021, C-037 del 26 de febrero de 2021, C-035 del 02 de marzo de 2021, C-126 del 06 de abril de 2021, C-127 del 06 de abril de 2021, C-144 del 07 de abril de 2021, C-141 del 08 de abril de 2021, C-163</w:t>
      </w:r>
      <w:r w:rsidR="0014516B" w:rsidRPr="00DA3080">
        <w:rPr>
          <w:rFonts w:ascii="Arial" w:eastAsia="Calibri" w:hAnsi="Arial" w:cs="Arial"/>
          <w:bCs/>
          <w:color w:val="000000" w:themeColor="text1"/>
          <w:sz w:val="22"/>
          <w:lang w:val="es-ES_tradnl"/>
        </w:rPr>
        <w:t xml:space="preserve"> y</w:t>
      </w:r>
      <w:r w:rsidRPr="00DA3080">
        <w:rPr>
          <w:rFonts w:ascii="Arial" w:eastAsia="Calibri" w:hAnsi="Arial" w:cs="Arial"/>
          <w:bCs/>
          <w:color w:val="000000" w:themeColor="text1"/>
          <w:sz w:val="22"/>
          <w:lang w:val="es-ES_tradnl"/>
        </w:rPr>
        <w:t xml:space="preserve"> C-164 del 19 de abril de 2021, C-242 del 25 de mayo de 2021</w:t>
      </w:r>
      <w:r w:rsidR="008162EB"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C-496 del 14 de septiembre de 2021</w:t>
      </w:r>
      <w:r w:rsidR="008162EB" w:rsidRPr="00DA3080">
        <w:rPr>
          <w:rFonts w:ascii="Arial" w:eastAsia="Calibri" w:hAnsi="Arial" w:cs="Arial"/>
          <w:bCs/>
          <w:color w:val="000000" w:themeColor="text1"/>
          <w:sz w:val="22"/>
          <w:lang w:val="es-ES_tradnl"/>
        </w:rPr>
        <w:t xml:space="preserve"> y C-573 de 13 de octubre de 2021</w:t>
      </w:r>
      <w:r w:rsidRPr="00DA3080">
        <w:rPr>
          <w:rFonts w:ascii="Arial" w:eastAsia="Calibri" w:hAnsi="Arial" w:cs="Arial"/>
          <w:bCs/>
          <w:color w:val="000000" w:themeColor="text1"/>
          <w:sz w:val="22"/>
          <w:lang w:val="es-ES_tradnl"/>
        </w:rPr>
        <w:t>, se analizó el alcance del artículo 30 de la Ley 2069 de 2020, concluyendo que goza de eficacia directa. En lo pertinente, la tesis desarrollada en estos conceptos se reitera a continuación y se complementa con algunas ideas relativas a la consulta realizada</w:t>
      </w:r>
      <w:r w:rsidR="00FC36A1" w:rsidRPr="00DA3080">
        <w:rPr>
          <w:rFonts w:ascii="Arial" w:eastAsia="Calibri" w:hAnsi="Arial" w:cs="Arial"/>
          <w:bCs/>
          <w:color w:val="000000" w:themeColor="text1"/>
          <w:sz w:val="22"/>
          <w:lang w:val="es-ES_tradnl"/>
        </w:rPr>
        <w:t>.</w:t>
      </w:r>
      <w:r w:rsidR="0099041F" w:rsidRPr="00DA3080">
        <w:rPr>
          <w:rFonts w:ascii="Arial" w:eastAsia="Calibri" w:hAnsi="Arial" w:cs="Arial"/>
          <w:bCs/>
          <w:color w:val="000000" w:themeColor="text1"/>
          <w:sz w:val="22"/>
          <w:lang w:val="es-ES_tradnl"/>
        </w:rPr>
        <w:t xml:space="preserve"> Finalmente, en el desarrollo del concepto se hará referencia al Decreto 1860 del 24 de diciembre de 2021, en relación con la modalidad de mínima cuantía.</w:t>
      </w:r>
    </w:p>
    <w:p w14:paraId="593FB731" w14:textId="77777777" w:rsidR="003350BE" w:rsidRPr="00DA3080" w:rsidRDefault="003350BE" w:rsidP="003350BE">
      <w:pPr>
        <w:tabs>
          <w:tab w:val="left" w:pos="426"/>
        </w:tabs>
        <w:spacing w:after="0"/>
        <w:rPr>
          <w:rFonts w:ascii="Arial" w:eastAsia="Calibri" w:hAnsi="Arial" w:cs="Arial"/>
          <w:bCs/>
          <w:color w:val="000000" w:themeColor="text1"/>
          <w:sz w:val="22"/>
          <w:lang w:val="es-ES_tradnl"/>
        </w:rPr>
      </w:pPr>
    </w:p>
    <w:p w14:paraId="0F6A6DA4" w14:textId="5A5C15E7" w:rsidR="00D14890" w:rsidRPr="00DA3080" w:rsidRDefault="00D14890" w:rsidP="00D14890">
      <w:pPr>
        <w:spacing w:after="0"/>
        <w:rPr>
          <w:rFonts w:ascii="Arial" w:eastAsia="Calibri" w:hAnsi="Arial" w:cs="Arial"/>
          <w:b/>
          <w:bCs/>
          <w:color w:val="000000" w:themeColor="text1"/>
          <w:sz w:val="22"/>
          <w:lang w:val="es-ES_tradnl"/>
        </w:rPr>
      </w:pPr>
      <w:r w:rsidRPr="00DA3080">
        <w:rPr>
          <w:rFonts w:ascii="Arial" w:eastAsia="Calibri" w:hAnsi="Arial" w:cs="Arial"/>
          <w:b/>
          <w:bCs/>
          <w:color w:val="000000" w:themeColor="text1"/>
          <w:sz w:val="22"/>
          <w:lang w:val="es-ES_tradnl"/>
        </w:rPr>
        <w:t xml:space="preserve">2.1. </w:t>
      </w:r>
      <w:bookmarkStart w:id="6" w:name="_Hlk94169136"/>
      <w:r w:rsidRPr="00DA3080">
        <w:rPr>
          <w:rFonts w:ascii="Arial" w:eastAsia="Calibri" w:hAnsi="Arial" w:cs="Arial"/>
          <w:b/>
          <w:bCs/>
          <w:color w:val="000000" w:themeColor="text1"/>
          <w:sz w:val="22"/>
          <w:lang w:val="es-ES_tradnl"/>
        </w:rPr>
        <w:t>Vigencia y ámbito de aplicación de la Ley 2069 de 2020</w:t>
      </w:r>
      <w:bookmarkEnd w:id="6"/>
      <w:r w:rsidRPr="00DA3080">
        <w:rPr>
          <w:rFonts w:ascii="Arial" w:eastAsia="Calibri" w:hAnsi="Arial" w:cs="Arial"/>
          <w:b/>
          <w:bCs/>
          <w:color w:val="000000" w:themeColor="text1"/>
          <w:sz w:val="22"/>
          <w:lang w:val="es-ES_tradnl"/>
        </w:rPr>
        <w:t>: impacto sobre la contratación estatal</w:t>
      </w:r>
    </w:p>
    <w:p w14:paraId="19C137B4" w14:textId="77777777" w:rsidR="00D14890" w:rsidRPr="00DA3080" w:rsidRDefault="00D14890" w:rsidP="00BF0F70">
      <w:pPr>
        <w:spacing w:after="0"/>
        <w:rPr>
          <w:rFonts w:ascii="Arial" w:eastAsia="Calibri" w:hAnsi="Arial" w:cs="Arial"/>
          <w:b/>
          <w:bCs/>
          <w:color w:val="000000" w:themeColor="text1"/>
          <w:sz w:val="22"/>
          <w:lang w:val="es-ES_tradnl"/>
        </w:rPr>
      </w:pPr>
    </w:p>
    <w:p w14:paraId="00FCDFC2" w14:textId="5B637CEE" w:rsidR="00D14890" w:rsidRPr="00DA3080" w:rsidRDefault="00D14890" w:rsidP="00BF0F70">
      <w:pPr>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lastRenderedPageBreak/>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020CB48" w14:textId="4F7B4408" w:rsidR="00D14890" w:rsidRPr="00DA3080" w:rsidRDefault="00D14890" w:rsidP="00BF0F70">
      <w:pPr>
        <w:spacing w:after="120"/>
        <w:ind w:firstLine="709"/>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En cuan</w:t>
      </w:r>
      <w:r w:rsidR="00FC36A1" w:rsidRPr="00DA3080">
        <w:rPr>
          <w:rFonts w:ascii="Arial" w:eastAsia="Calibri" w:hAnsi="Arial" w:cs="Arial"/>
          <w:color w:val="000000" w:themeColor="text1"/>
          <w:sz w:val="22"/>
          <w:lang w:val="es-ES_tradnl"/>
        </w:rPr>
        <w:t>t</w:t>
      </w:r>
      <w:r w:rsidRPr="00DA3080">
        <w:rPr>
          <w:rFonts w:ascii="Arial" w:eastAsia="Calibri" w:hAnsi="Arial" w:cs="Arial"/>
          <w:color w:val="000000" w:themeColor="text1"/>
          <w:sz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A3080">
        <w:rPr>
          <w:rFonts w:ascii="Arial" w:eastAsia="Calibri" w:hAnsi="Arial" w:cs="Arial"/>
          <w:color w:val="000000" w:themeColor="text1"/>
          <w:sz w:val="22"/>
          <w:lang w:val="es-ES_tradnl"/>
        </w:rPr>
        <w:t>de acuerdo a</w:t>
      </w:r>
      <w:proofErr w:type="gramEnd"/>
      <w:r w:rsidRPr="00DA3080">
        <w:rPr>
          <w:rFonts w:ascii="Arial" w:eastAsia="Calibri" w:hAnsi="Arial" w:cs="Arial"/>
          <w:color w:val="000000" w:themeColor="text1"/>
          <w:sz w:val="22"/>
          <w:lang w:val="es-ES_tradnl"/>
        </w:rPr>
        <w:t xml:space="preserve"> las realidades socioeconómicas de cada región». En desarrollo de esta finalidad, se establecen medidas de apoyo para las micro, pequeñas y medianas empresas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mediante la racionalización y simplificación de los trámites y tarifas</w:t>
      </w:r>
      <w:r w:rsidRPr="00DA3080">
        <w:rPr>
          <w:rStyle w:val="Refdenotaalpie"/>
          <w:rFonts w:ascii="Arial" w:eastAsia="Calibri" w:hAnsi="Arial" w:cs="Arial"/>
          <w:color w:val="000000" w:themeColor="text1"/>
          <w:sz w:val="22"/>
          <w:lang w:val="es-ES_tradnl"/>
        </w:rPr>
        <w:footnoteReference w:id="1"/>
      </w:r>
      <w:r w:rsidRPr="00DA3080">
        <w:rPr>
          <w:rFonts w:ascii="Arial" w:eastAsia="Calibri" w:hAnsi="Arial" w:cs="Arial"/>
          <w:color w:val="000000" w:themeColor="text1"/>
          <w:sz w:val="22"/>
          <w:lang w:val="es-ES_tradnl"/>
        </w:rPr>
        <w:t>, así como incentivos a favor de aquellas dentro del sistema de compras y contratación pública</w:t>
      </w:r>
      <w:r w:rsidRPr="00DA3080">
        <w:rPr>
          <w:rStyle w:val="Refdenotaalpie"/>
          <w:rFonts w:ascii="Arial" w:eastAsia="Calibri" w:hAnsi="Arial" w:cs="Arial"/>
          <w:color w:val="000000" w:themeColor="text1"/>
          <w:sz w:val="22"/>
          <w:lang w:val="es-ES_tradnl"/>
        </w:rPr>
        <w:footnoteReference w:id="2"/>
      </w:r>
      <w:r w:rsidRPr="00DA3080">
        <w:rPr>
          <w:rFonts w:ascii="Arial" w:eastAsia="Calibri" w:hAnsi="Arial" w:cs="Arial"/>
          <w:color w:val="000000" w:themeColor="text1"/>
          <w:sz w:val="22"/>
          <w:lang w:val="es-ES_tradnl"/>
        </w:rPr>
        <w:t>. También se consagran mecanismos de acceso al financiamiento</w:t>
      </w:r>
      <w:r w:rsidRPr="00DA3080">
        <w:rPr>
          <w:rStyle w:val="Refdenotaalpie"/>
          <w:rFonts w:ascii="Arial" w:eastAsia="Calibri" w:hAnsi="Arial" w:cs="Arial"/>
          <w:color w:val="000000" w:themeColor="text1"/>
          <w:sz w:val="22"/>
          <w:lang w:val="es-ES_tradnl"/>
        </w:rPr>
        <w:footnoteReference w:id="3"/>
      </w:r>
      <w:r w:rsidRPr="00DA3080">
        <w:rPr>
          <w:rFonts w:ascii="Arial" w:eastAsia="Calibri" w:hAnsi="Arial" w:cs="Arial"/>
          <w:color w:val="000000" w:themeColor="text1"/>
          <w:sz w:val="22"/>
          <w:lang w:val="es-ES_tradnl"/>
        </w:rPr>
        <w:t>, se unifican las fuentes de emprendimiento y de desarrollo empresarial, para fortalecer y promover los distintos sectores de la economía</w:t>
      </w:r>
      <w:r w:rsidRPr="00DA3080">
        <w:rPr>
          <w:rStyle w:val="Refdenotaalpie"/>
          <w:rFonts w:ascii="Arial" w:eastAsia="Calibri" w:hAnsi="Arial" w:cs="Arial"/>
          <w:color w:val="000000" w:themeColor="text1"/>
          <w:sz w:val="22"/>
          <w:lang w:val="es-ES_tradnl"/>
        </w:rPr>
        <w:footnoteReference w:id="4"/>
      </w:r>
      <w:r w:rsidRPr="00DA3080">
        <w:rPr>
          <w:rFonts w:ascii="Arial" w:eastAsia="Calibri" w:hAnsi="Arial" w:cs="Arial"/>
          <w:color w:val="000000" w:themeColor="text1"/>
          <w:sz w:val="22"/>
          <w:lang w:val="es-ES_tradnl"/>
        </w:rPr>
        <w:t xml:space="preserve"> y se prevén medidas de educación para el emprendimiento y la innovación</w:t>
      </w:r>
      <w:r w:rsidRPr="00DA3080">
        <w:rPr>
          <w:rStyle w:val="Refdenotaalpie"/>
          <w:rFonts w:ascii="Arial" w:eastAsia="Calibri" w:hAnsi="Arial" w:cs="Arial"/>
          <w:color w:val="000000" w:themeColor="text1"/>
          <w:sz w:val="22"/>
          <w:lang w:val="es-ES_tradnl"/>
        </w:rPr>
        <w:footnoteReference w:id="5"/>
      </w:r>
      <w:r w:rsidRPr="00DA3080">
        <w:rPr>
          <w:rFonts w:ascii="Arial" w:eastAsia="Calibri" w:hAnsi="Arial" w:cs="Arial"/>
          <w:color w:val="000000" w:themeColor="text1"/>
          <w:sz w:val="22"/>
          <w:lang w:val="es-ES_tradnl"/>
        </w:rPr>
        <w:t>.</w:t>
      </w:r>
    </w:p>
    <w:p w14:paraId="0523264F" w14:textId="77777777" w:rsidR="00D14890" w:rsidRPr="00DA3080" w:rsidRDefault="00D14890" w:rsidP="00BF0F70">
      <w:pPr>
        <w:spacing w:after="120"/>
        <w:ind w:firstLine="709"/>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 xml:space="preserve">La Ley 2069 de 2020 guarda </w:t>
      </w:r>
      <w:r w:rsidRPr="00DA3080">
        <w:rPr>
          <w:rFonts w:ascii="Arial" w:eastAsia="Calibri" w:hAnsi="Arial" w:cs="Arial"/>
          <w:bCs/>
          <w:color w:val="000000" w:themeColor="text1"/>
          <w:sz w:val="22"/>
          <w:lang w:val="es-ES_tradnl"/>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DA3080">
        <w:rPr>
          <w:rStyle w:val="Refdenotaalpie"/>
          <w:rFonts w:ascii="Arial" w:eastAsia="Calibri" w:hAnsi="Arial" w:cs="Arial"/>
          <w:bCs/>
          <w:color w:val="000000" w:themeColor="text1"/>
          <w:sz w:val="22"/>
          <w:lang w:val="es-ES_tradnl"/>
        </w:rPr>
        <w:footnoteReference w:id="6"/>
      </w:r>
      <w:r w:rsidRPr="00DA3080">
        <w:rPr>
          <w:rFonts w:ascii="Arial" w:eastAsia="Calibri" w:hAnsi="Arial" w:cs="Arial"/>
          <w:bCs/>
          <w:color w:val="000000" w:themeColor="text1"/>
          <w:sz w:val="22"/>
          <w:lang w:val="es-ES_tradnl"/>
        </w:rPr>
        <w:t>.</w:t>
      </w:r>
    </w:p>
    <w:p w14:paraId="30815690" w14:textId="77777777" w:rsidR="00D14890" w:rsidRPr="00DA3080" w:rsidRDefault="00D14890" w:rsidP="00BF0F7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lastRenderedPageBreak/>
        <w:tab/>
        <w:t xml:space="preserve">Por ello, la ley impulsa medidas para i) reducir cargas y trámites para los emprendedores del país,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xml:space="preserve">) facilitar su acceso al sistema de compras y contratación pública, </w:t>
      </w:r>
      <w:proofErr w:type="spellStart"/>
      <w:r w:rsidRPr="00DA3080">
        <w:rPr>
          <w:rFonts w:ascii="Arial" w:eastAsia="Calibri" w:hAnsi="Arial" w:cs="Arial"/>
          <w:bCs/>
          <w:color w:val="000000" w:themeColor="text1"/>
          <w:sz w:val="22"/>
          <w:lang w:val="es-ES_tradnl"/>
        </w:rPr>
        <w:t>iii</w:t>
      </w:r>
      <w:proofErr w:type="spellEnd"/>
      <w:r w:rsidRPr="00DA3080">
        <w:rPr>
          <w:rFonts w:ascii="Arial" w:eastAsia="Calibri" w:hAnsi="Arial" w:cs="Arial"/>
          <w:bCs/>
          <w:color w:val="000000" w:themeColor="text1"/>
          <w:sz w:val="22"/>
          <w:lang w:val="es-ES_tradnl"/>
        </w:rPr>
        <w:t xml:space="preserve">) incentivar el crecimiento económico con la llegada de más actores al ecosistema de inversión y financiación, </w:t>
      </w:r>
      <w:proofErr w:type="spellStart"/>
      <w:r w:rsidRPr="00DA3080">
        <w:rPr>
          <w:rFonts w:ascii="Arial" w:eastAsia="Calibri" w:hAnsi="Arial" w:cs="Arial"/>
          <w:bCs/>
          <w:color w:val="000000" w:themeColor="text1"/>
          <w:sz w:val="22"/>
          <w:lang w:val="es-ES_tradnl"/>
        </w:rPr>
        <w:t>iv</w:t>
      </w:r>
      <w:proofErr w:type="spellEnd"/>
      <w:r w:rsidRPr="00DA3080">
        <w:rPr>
          <w:rFonts w:ascii="Arial" w:eastAsia="Calibri" w:hAnsi="Arial" w:cs="Arial"/>
          <w:bCs/>
          <w:color w:val="000000" w:themeColor="text1"/>
          <w:sz w:val="22"/>
          <w:lang w:val="es-ES_tradnl"/>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DA3080">
        <w:rPr>
          <w:rStyle w:val="Refdenotaalpie"/>
          <w:rFonts w:ascii="Arial" w:eastAsia="Calibri" w:hAnsi="Arial" w:cs="Arial"/>
          <w:bCs/>
          <w:color w:val="000000" w:themeColor="text1"/>
          <w:sz w:val="22"/>
          <w:lang w:val="es-ES_tradnl"/>
        </w:rPr>
        <w:footnoteReference w:id="7"/>
      </w:r>
      <w:r w:rsidRPr="00DA3080">
        <w:rPr>
          <w:rFonts w:ascii="Arial" w:eastAsia="Calibri" w:hAnsi="Arial" w:cs="Arial"/>
          <w:bCs/>
          <w:color w:val="000000" w:themeColor="text1"/>
          <w:sz w:val="22"/>
          <w:lang w:val="es-ES_tradnl"/>
        </w:rPr>
        <w:t>.</w:t>
      </w:r>
    </w:p>
    <w:p w14:paraId="6CE2A6AD" w14:textId="66B8BFE8" w:rsidR="00D14890" w:rsidRPr="00DA3080" w:rsidRDefault="00D14890" w:rsidP="00BF0F70">
      <w:pPr>
        <w:spacing w:after="0"/>
        <w:ind w:firstLine="709"/>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xml:space="preserve"> en el procedimiento de mínima cuantía, </w:t>
      </w:r>
      <w:proofErr w:type="spellStart"/>
      <w:r w:rsidRPr="00DA3080">
        <w:rPr>
          <w:rFonts w:ascii="Arial" w:eastAsia="Calibri" w:hAnsi="Arial" w:cs="Arial"/>
          <w:color w:val="000000" w:themeColor="text1"/>
          <w:sz w:val="22"/>
          <w:lang w:val="es-ES_tradnl"/>
        </w:rPr>
        <w:t>ii</w:t>
      </w:r>
      <w:proofErr w:type="spellEnd"/>
      <w:r w:rsidRPr="00DA3080">
        <w:rPr>
          <w:rFonts w:ascii="Arial" w:eastAsia="Calibri" w:hAnsi="Arial" w:cs="Arial"/>
          <w:color w:val="000000" w:themeColor="text1"/>
          <w:sz w:val="22"/>
          <w:lang w:val="es-ES_tradnl"/>
        </w:rPr>
        <w:t xml:space="preserve">) criterios diferenciales para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xml:space="preserve"> en el sistema de compras públicas, </w:t>
      </w:r>
      <w:proofErr w:type="spellStart"/>
      <w:r w:rsidRPr="00DA3080">
        <w:rPr>
          <w:rFonts w:ascii="Arial" w:eastAsia="Calibri" w:hAnsi="Arial" w:cs="Arial"/>
          <w:color w:val="000000" w:themeColor="text1"/>
          <w:sz w:val="22"/>
          <w:lang w:val="es-ES_tradnl"/>
        </w:rPr>
        <w:t>iii</w:t>
      </w:r>
      <w:proofErr w:type="spellEnd"/>
      <w:r w:rsidRPr="00DA3080">
        <w:rPr>
          <w:rFonts w:ascii="Arial" w:eastAsia="Calibri" w:hAnsi="Arial" w:cs="Arial"/>
          <w:color w:val="000000" w:themeColor="text1"/>
          <w:sz w:val="22"/>
          <w:lang w:val="es-ES_tradnl"/>
        </w:rPr>
        <w:t xml:space="preserve">) criterios diferenciales para emprendimientos y empresas de mujeres en el sistema de compras públicas, </w:t>
      </w:r>
      <w:proofErr w:type="spellStart"/>
      <w:r w:rsidRPr="00DA3080">
        <w:rPr>
          <w:rFonts w:ascii="Arial" w:eastAsia="Calibri" w:hAnsi="Arial" w:cs="Arial"/>
          <w:color w:val="000000" w:themeColor="text1"/>
          <w:sz w:val="22"/>
          <w:lang w:val="es-ES_tradnl"/>
        </w:rPr>
        <w:t>iv</w:t>
      </w:r>
      <w:proofErr w:type="spellEnd"/>
      <w:r w:rsidRPr="00DA3080">
        <w:rPr>
          <w:rFonts w:ascii="Arial" w:eastAsia="Calibri" w:hAnsi="Arial" w:cs="Arial"/>
          <w:color w:val="000000" w:themeColor="text1"/>
          <w:sz w:val="22"/>
          <w:lang w:val="es-ES_tradnl"/>
        </w:rPr>
        <w:t xml:space="preserve">) promoción del acceso de las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4E212146" w14:textId="77777777" w:rsidR="00D14890" w:rsidRPr="00DA3080" w:rsidRDefault="00D14890" w:rsidP="00BF0F70">
      <w:pPr>
        <w:spacing w:after="0"/>
        <w:rPr>
          <w:rFonts w:ascii="Arial" w:hAnsi="Arial" w:cs="Arial"/>
          <w:sz w:val="22"/>
          <w:lang w:val="es-ES_tradnl"/>
        </w:rPr>
      </w:pPr>
    </w:p>
    <w:p w14:paraId="579C1890" w14:textId="17D84737" w:rsidR="00D14890" w:rsidRPr="00DA3080" w:rsidRDefault="00D14890" w:rsidP="00D14890">
      <w:pPr>
        <w:tabs>
          <w:tab w:val="left" w:pos="709"/>
        </w:tabs>
        <w:spacing w:after="0"/>
        <w:rPr>
          <w:rFonts w:ascii="Arial" w:eastAsia="Calibri" w:hAnsi="Arial" w:cs="Arial"/>
          <w:b/>
          <w:color w:val="000000" w:themeColor="text1"/>
          <w:sz w:val="22"/>
          <w:lang w:val="es-ES_tradnl"/>
        </w:rPr>
      </w:pPr>
      <w:r w:rsidRPr="00DA3080">
        <w:rPr>
          <w:rFonts w:ascii="Arial" w:eastAsia="Calibri" w:hAnsi="Arial" w:cs="Arial"/>
          <w:b/>
          <w:color w:val="000000" w:themeColor="text1"/>
          <w:sz w:val="22"/>
          <w:lang w:val="es-ES_tradnl"/>
        </w:rPr>
        <w:t xml:space="preserve">2.2. </w:t>
      </w:r>
      <w:bookmarkStart w:id="7" w:name="_Hlk94169497"/>
      <w:r w:rsidRPr="00DA3080">
        <w:rPr>
          <w:rFonts w:ascii="Arial" w:eastAsia="Calibri" w:hAnsi="Arial" w:cs="Arial"/>
          <w:b/>
          <w:color w:val="000000" w:themeColor="text1"/>
          <w:sz w:val="22"/>
          <w:lang w:val="es-ES_tradnl"/>
        </w:rPr>
        <w:t>Intervención del reglamento para la efectividad de la Ley 2069 de 2020 en el sistema de compras públicas</w:t>
      </w:r>
      <w:bookmarkEnd w:id="7"/>
      <w:r w:rsidRPr="00DA3080">
        <w:rPr>
          <w:rFonts w:ascii="Arial" w:eastAsia="Calibri" w:hAnsi="Arial" w:cs="Arial"/>
          <w:b/>
          <w:color w:val="000000" w:themeColor="text1"/>
          <w:sz w:val="22"/>
          <w:lang w:val="es-ES_tradnl"/>
        </w:rPr>
        <w:t>: la conclusión no es la misma frente a todos los artículos</w:t>
      </w:r>
    </w:p>
    <w:p w14:paraId="5F30D867" w14:textId="77777777" w:rsidR="00D14890" w:rsidRPr="00DA3080" w:rsidRDefault="00D14890" w:rsidP="00BF0F70">
      <w:pPr>
        <w:tabs>
          <w:tab w:val="left" w:pos="709"/>
        </w:tabs>
        <w:spacing w:after="0"/>
        <w:rPr>
          <w:rFonts w:ascii="Arial" w:eastAsia="Calibri" w:hAnsi="Arial" w:cs="Arial"/>
          <w:b/>
          <w:color w:val="000000" w:themeColor="text1"/>
          <w:sz w:val="22"/>
          <w:lang w:val="es-ES_tradnl"/>
        </w:rPr>
      </w:pPr>
    </w:p>
    <w:p w14:paraId="1A672EFF" w14:textId="7777777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todos sus enunciados normativos. En efecto, los artículos 31, 32, 34 y 36 de la Ley 2069 de 2020</w:t>
      </w:r>
      <w:r w:rsidRPr="00DA3080">
        <w:rPr>
          <w:rFonts w:ascii="Arial" w:eastAsia="Calibri" w:hAnsi="Arial" w:cs="Arial"/>
          <w:bCs/>
          <w:color w:val="000000" w:themeColor="text1"/>
          <w:sz w:val="22"/>
          <w:lang w:val="es-ES_tradnl"/>
        </w:rPr>
        <w:t xml:space="preserve"> disponen que el gobierno nacional reglamentará i) los criterios diferenciales para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xml:space="preserve">) la definición de «emprendimientos y empresas de mujeres», </w:t>
      </w:r>
      <w:proofErr w:type="spellStart"/>
      <w:r w:rsidRPr="00DA3080">
        <w:rPr>
          <w:rFonts w:ascii="Arial" w:eastAsia="Calibri" w:hAnsi="Arial" w:cs="Arial"/>
          <w:bCs/>
          <w:color w:val="000000" w:themeColor="text1"/>
          <w:sz w:val="22"/>
          <w:lang w:val="es-ES_tradnl"/>
        </w:rPr>
        <w:t>iii</w:t>
      </w:r>
      <w:proofErr w:type="spellEnd"/>
      <w:r w:rsidRPr="00DA3080">
        <w:rPr>
          <w:rFonts w:ascii="Arial" w:eastAsia="Calibri" w:hAnsi="Arial" w:cs="Arial"/>
          <w:bCs/>
          <w:color w:val="000000" w:themeColor="text1"/>
          <w:sz w:val="22"/>
          <w:lang w:val="es-ES_tradnl"/>
        </w:rPr>
        <w:t xml:space="preserve">) las convocatorias limitadas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y el fomento en la ejecución de los contratos estatales por parte de sujetos de especial protección, así como </w:t>
      </w:r>
      <w:proofErr w:type="spellStart"/>
      <w:r w:rsidRPr="00DA3080">
        <w:rPr>
          <w:rFonts w:ascii="Arial" w:eastAsia="Calibri" w:hAnsi="Arial" w:cs="Arial"/>
          <w:bCs/>
          <w:color w:val="000000" w:themeColor="text1"/>
          <w:sz w:val="22"/>
          <w:lang w:val="es-ES_tradnl"/>
        </w:rPr>
        <w:t>iv</w:t>
      </w:r>
      <w:proofErr w:type="spellEnd"/>
      <w:r w:rsidRPr="00DA3080">
        <w:rPr>
          <w:rFonts w:ascii="Arial" w:eastAsia="Calibri" w:hAnsi="Arial" w:cs="Arial"/>
          <w:bCs/>
          <w:color w:val="000000" w:themeColor="text1"/>
          <w:sz w:val="22"/>
          <w:lang w:val="es-ES_tradnl"/>
        </w:rPr>
        <w:t xml:space="preserve">) la promoción de las compras públicas de tecnología e innovación. En este contexto, es necesario analizar si las entidades pueden aplicar directamente las </w:t>
      </w:r>
      <w:r w:rsidRPr="00DA3080">
        <w:rPr>
          <w:rFonts w:ascii="Arial" w:eastAsia="Calibri" w:hAnsi="Arial" w:cs="Arial"/>
          <w:bCs/>
          <w:color w:val="000000" w:themeColor="text1"/>
          <w:sz w:val="22"/>
          <w:lang w:val="es-ES_tradnl"/>
        </w:rPr>
        <w:lastRenderedPageBreak/>
        <w:t xml:space="preserve">normas citadas o, por el contrario, si su efectividad está condicionada a la expedición del reglamento correspondiente. </w:t>
      </w:r>
    </w:p>
    <w:p w14:paraId="0382A895" w14:textId="7777777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La respuesta a la inquietud planteada en el párrafo precedente es de enorme importancia por los efectos prácticos de ambas posiciones. Por un lado, quien opte por la </w:t>
      </w:r>
      <w:r w:rsidRPr="00DA3080">
        <w:rPr>
          <w:rFonts w:ascii="Arial" w:eastAsia="Calibri" w:hAnsi="Arial" w:cs="Arial"/>
          <w:bCs/>
          <w:i/>
          <w:iCs/>
          <w:color w:val="000000" w:themeColor="text1"/>
          <w:sz w:val="22"/>
          <w:lang w:val="es-ES_tradnl"/>
        </w:rPr>
        <w:t>tesis de la aplicación directa</w:t>
      </w:r>
      <w:r w:rsidRPr="00DA3080">
        <w:rPr>
          <w:rFonts w:ascii="Arial" w:eastAsia="Calibri" w:hAnsi="Arial" w:cs="Arial"/>
          <w:bCs/>
          <w:color w:val="000000" w:themeColor="text1"/>
          <w:sz w:val="22"/>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p>
    <w:p w14:paraId="468A1B98" w14:textId="7777777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DA3080">
        <w:rPr>
          <w:rStyle w:val="Refdenotaalpie"/>
          <w:rFonts w:ascii="Arial" w:eastAsia="Calibri" w:hAnsi="Arial" w:cs="Arial"/>
          <w:bCs/>
          <w:color w:val="000000" w:themeColor="text1"/>
          <w:sz w:val="22"/>
          <w:lang w:val="es-ES_tradnl"/>
        </w:rPr>
        <w:footnoteReference w:id="8"/>
      </w:r>
      <w:r w:rsidRPr="00DA3080">
        <w:rPr>
          <w:rFonts w:ascii="Arial" w:eastAsia="Calibri" w:hAnsi="Arial" w:cs="Arial"/>
          <w:bCs/>
          <w:color w:val="000000" w:themeColor="text1"/>
          <w:sz w:val="22"/>
          <w:lang w:val="es-ES_tradnl"/>
        </w:rPr>
        <w:t>. En este contexto, si la expedición de reglamentos no es obligatoria, la ausencia de estos no excusa la inaplicación de la ley, pues contiene unos elementos mínimos que vinculan directamente a los destinatarios.</w:t>
      </w:r>
    </w:p>
    <w:p w14:paraId="3B516A4A" w14:textId="28590476"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Este es el caso de lo previsto en los artículos 30, 33 y 35 de la Ley de Emprendimiento. En relación con las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y mínima cuantía, dado que el artículo 30 de la Ley 2069 de 2020 regula aspectos como i) el término mínimo para publicar la invitación,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xml:space="preserve">) el plazo mínimo de recepción de las ofertas, </w:t>
      </w:r>
      <w:proofErr w:type="spellStart"/>
      <w:r w:rsidRPr="00DA3080">
        <w:rPr>
          <w:rFonts w:ascii="Arial" w:eastAsia="Calibri" w:hAnsi="Arial" w:cs="Arial"/>
          <w:bCs/>
          <w:color w:val="000000" w:themeColor="text1"/>
          <w:sz w:val="22"/>
          <w:lang w:val="es-ES_tradnl"/>
        </w:rPr>
        <w:t>iii</w:t>
      </w:r>
      <w:proofErr w:type="spellEnd"/>
      <w:r w:rsidRPr="00DA3080">
        <w:rPr>
          <w:rFonts w:ascii="Arial" w:eastAsia="Calibri" w:hAnsi="Arial" w:cs="Arial"/>
          <w:bCs/>
          <w:color w:val="000000" w:themeColor="text1"/>
          <w:sz w:val="22"/>
          <w:lang w:val="es-ES_tradnl"/>
        </w:rPr>
        <w:t xml:space="preserve">) el factor de evaluación que define la selección del proponente y </w:t>
      </w:r>
      <w:proofErr w:type="spellStart"/>
      <w:r w:rsidRPr="00DA3080">
        <w:rPr>
          <w:rFonts w:ascii="Arial" w:eastAsia="Calibri" w:hAnsi="Arial" w:cs="Arial"/>
          <w:bCs/>
          <w:color w:val="000000" w:themeColor="text1"/>
          <w:sz w:val="22"/>
          <w:lang w:val="es-ES_tradnl"/>
        </w:rPr>
        <w:t>iv</w:t>
      </w:r>
      <w:proofErr w:type="spellEnd"/>
      <w:r w:rsidRPr="00DA3080">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sin perjuicio de que el Gobierno Nacional, conforme a lo dispuesto en el parágrafo 1 </w:t>
      </w:r>
      <w:r w:rsidRPr="00DA3080">
        <w:rPr>
          <w:rFonts w:ascii="Arial" w:eastAsia="Calibri" w:hAnsi="Arial" w:cs="Arial"/>
          <w:bCs/>
          <w:i/>
          <w:iCs/>
          <w:color w:val="000000" w:themeColor="text1"/>
          <w:sz w:val="22"/>
          <w:lang w:val="es-ES_tradnl"/>
        </w:rPr>
        <w:t>ibidem</w:t>
      </w:r>
      <w:r w:rsidRPr="00DA3080">
        <w:rPr>
          <w:rFonts w:ascii="Arial" w:eastAsia="Calibri" w:hAnsi="Arial" w:cs="Arial"/>
          <w:bCs/>
          <w:color w:val="000000" w:themeColor="text1"/>
          <w:sz w:val="22"/>
          <w:lang w:val="es-ES_tradnl"/>
        </w:rPr>
        <w:t xml:space="preserve">, ejerza la potestad reglamentaria para regular tanto las particularidades del procedimiento de selección como la posibilidad de realizar estas adquisiciones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o establecimientos que correspondan a la definición de «gran almacén», aspectos en la que la norma excluye la regulación autónoma de la materia por parte de las entidades contratantes</w:t>
      </w:r>
      <w:r w:rsidR="00BF6E40" w:rsidRPr="00DA3080">
        <w:rPr>
          <w:rFonts w:ascii="Arial" w:eastAsia="Calibri" w:hAnsi="Arial" w:cs="Arial"/>
          <w:bCs/>
          <w:color w:val="000000" w:themeColor="text1"/>
          <w:sz w:val="22"/>
          <w:lang w:val="es-ES_tradnl"/>
        </w:rPr>
        <w:t xml:space="preserve">, </w:t>
      </w:r>
      <w:r w:rsidR="002210B9" w:rsidRPr="00DA3080">
        <w:rPr>
          <w:rFonts w:ascii="Arial" w:eastAsia="Calibri" w:hAnsi="Arial" w:cs="Arial"/>
          <w:bCs/>
          <w:color w:val="000000" w:themeColor="text1"/>
          <w:sz w:val="22"/>
          <w:lang w:val="es-ES_tradnl"/>
        </w:rPr>
        <w:t xml:space="preserve">aclarando que esta </w:t>
      </w:r>
      <w:r w:rsidR="00BF6E40" w:rsidRPr="00DA3080">
        <w:rPr>
          <w:rFonts w:ascii="Arial" w:eastAsia="Calibri" w:hAnsi="Arial" w:cs="Arial"/>
          <w:bCs/>
          <w:color w:val="000000" w:themeColor="text1"/>
          <w:sz w:val="22"/>
          <w:lang w:val="es-ES_tradnl"/>
        </w:rPr>
        <w:t xml:space="preserve">regulación se efectuó mediante el Decreto 1860 del 24 de diciembre de 2021, pero cuyas modificaciones, </w:t>
      </w:r>
      <w:r w:rsidR="00BF6E40" w:rsidRPr="00DA3080">
        <w:rPr>
          <w:rFonts w:ascii="Arial" w:eastAsia="Calibri" w:hAnsi="Arial" w:cs="Arial"/>
          <w:color w:val="000000" w:themeColor="text1"/>
          <w:sz w:val="22"/>
          <w:lang w:val="es-ES_tradnl"/>
        </w:rPr>
        <w:t>de acuerdo con su artículo 8, solo «aplicarán a los procedimientos de selección cuya invitación, aviso de convocatoria o documento equivalente se publique a los tres (3) meses contados a partir de su expedición», esto es, a partir del 24 de marzo de 202</w:t>
      </w:r>
      <w:r w:rsidR="00B408BE" w:rsidRPr="00DA3080">
        <w:rPr>
          <w:rFonts w:ascii="Arial" w:eastAsia="Calibri" w:hAnsi="Arial" w:cs="Arial"/>
          <w:color w:val="000000" w:themeColor="text1"/>
          <w:sz w:val="22"/>
          <w:lang w:val="es-ES_tradnl"/>
        </w:rPr>
        <w:t>2</w:t>
      </w:r>
      <w:r w:rsidR="00BF6E40" w:rsidRPr="00DA3080">
        <w:rPr>
          <w:rFonts w:ascii="Arial" w:eastAsia="Calibri" w:hAnsi="Arial" w:cs="Arial"/>
          <w:color w:val="000000" w:themeColor="text1"/>
          <w:sz w:val="22"/>
          <w:lang w:val="es-ES_tradnl"/>
        </w:rPr>
        <w:t>, aspecto que se analizará en el desarrollo del concepto</w:t>
      </w:r>
      <w:r w:rsidR="00432867" w:rsidRPr="00DA3080">
        <w:rPr>
          <w:rFonts w:ascii="Arial" w:eastAsia="Calibri" w:hAnsi="Arial" w:cs="Arial"/>
          <w:color w:val="000000" w:themeColor="text1"/>
          <w:sz w:val="22"/>
          <w:lang w:val="es-ES_tradnl"/>
        </w:rPr>
        <w:t>.</w:t>
      </w:r>
    </w:p>
    <w:p w14:paraId="3D676B14" w14:textId="77777777" w:rsidR="00D14890" w:rsidRPr="00DA3080" w:rsidRDefault="00D14890">
      <w:pPr>
        <w:spacing w:after="120"/>
        <w:rPr>
          <w:rFonts w:ascii="Arial" w:hAnsi="Arial" w:cs="Arial"/>
          <w:sz w:val="22"/>
          <w:lang w:val="es-ES_tradnl"/>
        </w:rPr>
      </w:pPr>
      <w:r w:rsidRPr="00DA3080">
        <w:rPr>
          <w:rFonts w:ascii="Arial" w:eastAsia="Calibri" w:hAnsi="Arial" w:cs="Arial"/>
          <w:bCs/>
          <w:color w:val="000000" w:themeColor="text1"/>
          <w:sz w:val="22"/>
          <w:lang w:val="es-ES_tradnl"/>
        </w:rPr>
        <w:lastRenderedPageBreak/>
        <w:tab/>
        <w:t xml:space="preserve">En lo que se refiere a la promoción del acceso de las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 </w:t>
      </w:r>
      <w:r w:rsidRPr="00DA3080">
        <w:rPr>
          <w:rFonts w:ascii="Arial" w:hAnsi="Arial" w:cs="Arial"/>
          <w:sz w:val="22"/>
          <w:lang w:val="es-ES_tradnl"/>
        </w:rPr>
        <w:t xml:space="preserve">Por tanto, conforme al marco normativo que regule el acceso de las </w:t>
      </w:r>
      <w:proofErr w:type="spellStart"/>
      <w:r w:rsidRPr="00DA3080">
        <w:rPr>
          <w:rFonts w:ascii="Arial" w:hAnsi="Arial" w:cs="Arial"/>
          <w:sz w:val="22"/>
          <w:lang w:val="es-ES_tradnl"/>
        </w:rPr>
        <w:t>mipymes</w:t>
      </w:r>
      <w:proofErr w:type="spellEnd"/>
      <w:r w:rsidRPr="00DA3080">
        <w:rPr>
          <w:rFonts w:ascii="Arial" w:hAnsi="Arial" w:cs="Arial"/>
          <w:sz w:val="22"/>
          <w:lang w:val="es-ES_tradnl"/>
        </w:rPr>
        <w:t xml:space="preserve"> al mercado de compras públicas, las entidades deberán adoptar las medidas necesarias para el acatamiento de esta disposición.</w:t>
      </w:r>
    </w:p>
    <w:p w14:paraId="4383C212" w14:textId="1908DC78"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w:t>
      </w:r>
      <w:r w:rsidR="00986D22" w:rsidRPr="00DA3080">
        <w:rPr>
          <w:rFonts w:ascii="Arial" w:eastAsia="Calibri" w:hAnsi="Arial" w:cs="Arial"/>
          <w:bCs/>
          <w:color w:val="000000" w:themeColor="text1"/>
          <w:sz w:val="22"/>
          <w:lang w:val="es-ES_tradnl"/>
        </w:rPr>
        <w:t xml:space="preserve"> de Contratación</w:t>
      </w:r>
      <w:r w:rsidRPr="00DA3080">
        <w:rPr>
          <w:rFonts w:ascii="Arial" w:eastAsia="Calibri" w:hAnsi="Arial" w:cs="Arial"/>
          <w:bCs/>
          <w:color w:val="000000" w:themeColor="text1"/>
          <w:sz w:val="22"/>
          <w:lang w:val="es-ES_tradnl"/>
        </w:rPr>
        <w:t>, las entidades exceptuadas de la Ley 80 de 1993 y los patrimonios autónomos</w:t>
      </w:r>
      <w:r w:rsidR="00730134" w:rsidRPr="00DA3080">
        <w:rPr>
          <w:rFonts w:ascii="Arial" w:eastAsia="Calibri" w:hAnsi="Arial" w:cs="Arial"/>
          <w:bCs/>
          <w:color w:val="000000" w:themeColor="text1"/>
          <w:sz w:val="22"/>
          <w:lang w:val="es-ES_tradnl"/>
        </w:rPr>
        <w:t xml:space="preserve"> constituidos por Entidades Estatales</w:t>
      </w:r>
      <w:r w:rsidRPr="00DA3080">
        <w:rPr>
          <w:rFonts w:ascii="Arial" w:eastAsia="Calibri" w:hAnsi="Arial" w:cs="Arial"/>
          <w:bCs/>
          <w:color w:val="000000" w:themeColor="text1"/>
          <w:sz w:val="22"/>
          <w:lang w:val="es-ES_tradnl"/>
        </w:rPr>
        <w:t xml:space="preserve">. De esta manera, sin perjuicio de lo dispuesto en el parágrafo 3 para los casos en que concurren dos o más de los factores de desempate, no requiere de una reglamentación previa para su exigibilidad. </w:t>
      </w:r>
    </w:p>
    <w:p w14:paraId="487B9718" w14:textId="6EC49CD8"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Ahora bien, la relación entre estas dos (2) fuentes del derecho es totalmente diferente en la </w:t>
      </w:r>
      <w:r w:rsidRPr="00DA3080">
        <w:rPr>
          <w:rFonts w:ascii="Arial" w:eastAsia="Calibri" w:hAnsi="Arial" w:cs="Arial"/>
          <w:bCs/>
          <w:i/>
          <w:iCs/>
          <w:color w:val="000000" w:themeColor="text1"/>
          <w:sz w:val="22"/>
          <w:lang w:val="es-ES_tradnl"/>
        </w:rPr>
        <w:t>tesis de la reglamentación</w:t>
      </w:r>
      <w:r w:rsidRPr="00DA3080">
        <w:rPr>
          <w:rFonts w:ascii="Arial" w:eastAsia="Calibri" w:hAnsi="Arial" w:cs="Arial"/>
          <w:bCs/>
          <w:color w:val="000000" w:themeColor="text1"/>
          <w:sz w:val="22"/>
          <w:lang w:val="es-ES_tradnl"/>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Este el caso de los</w:t>
      </w:r>
      <w:r w:rsidRPr="00DA3080">
        <w:rPr>
          <w:rFonts w:ascii="Arial" w:eastAsia="Calibri" w:hAnsi="Arial" w:cs="Arial"/>
          <w:color w:val="000000" w:themeColor="text1"/>
          <w:sz w:val="22"/>
          <w:lang w:val="es-ES_tradnl"/>
        </w:rPr>
        <w:t xml:space="preserve"> artículos 31, 32, 34 y 36 de la Ley de Emprendimiento</w:t>
      </w:r>
      <w:r w:rsidRPr="00DA3080">
        <w:rPr>
          <w:rFonts w:ascii="Arial" w:eastAsia="Calibri" w:hAnsi="Arial" w:cs="Arial"/>
          <w:bCs/>
          <w:color w:val="000000" w:themeColor="text1"/>
          <w:sz w:val="22"/>
          <w:lang w:val="es-ES_tradnl"/>
        </w:rPr>
        <w:t xml:space="preserve">. </w:t>
      </w:r>
    </w:p>
    <w:p w14:paraId="48605DD1" w14:textId="7777777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En efecto, estas disposiciones contienen un mandato de reglamentación que debe acatar el Gobierno Nacional</w:t>
      </w:r>
      <w:r w:rsidRPr="00DA3080">
        <w:rPr>
          <w:rStyle w:val="Refdenotaalpie"/>
          <w:rFonts w:ascii="Arial" w:eastAsia="Calibri" w:hAnsi="Arial" w:cs="Arial"/>
          <w:bCs/>
          <w:color w:val="000000" w:themeColor="text1"/>
          <w:sz w:val="22"/>
          <w:lang w:val="es-ES_tradnl"/>
        </w:rPr>
        <w:footnoteReference w:id="9"/>
      </w:r>
      <w:r w:rsidRPr="00DA3080">
        <w:rPr>
          <w:rFonts w:ascii="Arial" w:eastAsia="Calibri" w:hAnsi="Arial" w:cs="Arial"/>
          <w:bCs/>
          <w:color w:val="000000" w:themeColor="text1"/>
          <w:sz w:val="22"/>
          <w:lang w:val="es-ES_tradnl"/>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DA3080">
        <w:rPr>
          <w:rFonts w:ascii="Arial" w:eastAsia="Calibri" w:hAnsi="Arial" w:cs="Arial"/>
          <w:bCs/>
          <w:i/>
          <w:iCs/>
          <w:color w:val="000000" w:themeColor="text1"/>
          <w:sz w:val="22"/>
          <w:lang w:val="es-ES_tradnl"/>
        </w:rPr>
        <w:t>laguna técnica</w:t>
      </w:r>
      <w:r w:rsidRPr="00DA3080">
        <w:rPr>
          <w:rFonts w:ascii="Arial" w:eastAsia="Calibri" w:hAnsi="Arial" w:cs="Arial"/>
          <w:bCs/>
          <w:color w:val="000000" w:themeColor="text1"/>
          <w:sz w:val="22"/>
          <w:lang w:val="es-ES_tradnl"/>
        </w:rPr>
        <w:t xml:space="preserve">, la cual se produce «[…] cuando falta en [el ordenamiento] una norma cuya existencia es condición necesaria para la eficacia (y/o para la efectividad) de otra norma. Sucede por tanto que una norma no puede producir efectos jurídicos (y/o no puede ser </w:t>
      </w:r>
      <w:r w:rsidRPr="00DA3080">
        <w:rPr>
          <w:rFonts w:ascii="Arial" w:eastAsia="Calibri" w:hAnsi="Arial" w:cs="Arial"/>
          <w:bCs/>
          <w:color w:val="000000" w:themeColor="text1"/>
          <w:sz w:val="22"/>
          <w:lang w:val="es-ES_tradnl"/>
        </w:rPr>
        <w:lastRenderedPageBreak/>
        <w:t>obedecida o aplicada) en ausencia de otras normas que […] la concreten» (Corchetes fuera de texto)</w:t>
      </w:r>
      <w:r w:rsidRPr="00DA3080">
        <w:rPr>
          <w:rStyle w:val="Refdenotaalpie"/>
          <w:rFonts w:ascii="Arial" w:eastAsia="Calibri" w:hAnsi="Arial" w:cs="Arial"/>
          <w:bCs/>
          <w:color w:val="000000" w:themeColor="text1"/>
          <w:sz w:val="22"/>
          <w:lang w:val="es-ES_tradnl"/>
        </w:rPr>
        <w:footnoteReference w:id="10"/>
      </w:r>
      <w:r w:rsidRPr="00DA3080">
        <w:rPr>
          <w:rFonts w:ascii="Arial" w:eastAsia="Calibri" w:hAnsi="Arial" w:cs="Arial"/>
          <w:bCs/>
          <w:color w:val="000000" w:themeColor="text1"/>
          <w:sz w:val="22"/>
          <w:lang w:val="es-ES_tradnl"/>
        </w:rPr>
        <w:t>.</w:t>
      </w:r>
    </w:p>
    <w:p w14:paraId="33FBFC8F" w14:textId="6BB05273"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Este tipo de lagunas no son ajenas a la contratación estatal</w:t>
      </w:r>
      <w:r w:rsidR="00986D22" w:rsidRPr="00DA3080">
        <w:rPr>
          <w:rFonts w:ascii="Arial" w:eastAsia="Calibri" w:hAnsi="Arial" w:cs="Arial"/>
          <w:bCs/>
          <w:color w:val="000000" w:themeColor="text1"/>
          <w:sz w:val="22"/>
          <w:lang w:val="es-ES_tradnl"/>
        </w:rPr>
        <w:t>. Por ejemplo,</w:t>
      </w:r>
      <w:r w:rsidRPr="00DA3080">
        <w:rPr>
          <w:rFonts w:ascii="Arial" w:eastAsia="Calibri" w:hAnsi="Arial" w:cs="Arial"/>
          <w:bCs/>
          <w:color w:val="000000" w:themeColor="text1"/>
          <w:sz w:val="22"/>
          <w:lang w:val="es-ES_tradnl"/>
        </w:rPr>
        <w:t xml:space="preserve"> el procedimiento para la cesión unilateral del contrato del artículo 9 de la Ley 2014 de 2019 también estaba condicionado por su reglamentación previa en los términos del parágrafo 2 </w:t>
      </w:r>
      <w:r w:rsidRPr="00DA3080">
        <w:rPr>
          <w:rFonts w:ascii="Arial" w:eastAsia="Calibri" w:hAnsi="Arial" w:cs="Arial"/>
          <w:bCs/>
          <w:i/>
          <w:iCs/>
          <w:color w:val="000000" w:themeColor="text1"/>
          <w:sz w:val="22"/>
          <w:lang w:val="es-ES_tradnl"/>
        </w:rPr>
        <w:t>ibidem</w:t>
      </w:r>
      <w:r w:rsidRPr="00DA3080">
        <w:rPr>
          <w:rFonts w:ascii="Arial" w:eastAsia="Calibri" w:hAnsi="Arial" w:cs="Arial"/>
          <w:bCs/>
          <w:color w:val="000000" w:themeColor="text1"/>
          <w:sz w:val="22"/>
          <w:lang w:val="es-ES_tradnl"/>
        </w:rPr>
        <w:t xml:space="preserve"> antes de su declaratoria de inconstitucionalidad</w:t>
      </w:r>
      <w:r w:rsidRPr="00DA3080">
        <w:rPr>
          <w:rStyle w:val="Refdenotaalpie"/>
          <w:rFonts w:ascii="Arial" w:eastAsia="Calibri" w:hAnsi="Arial" w:cs="Arial"/>
          <w:bCs/>
          <w:color w:val="000000" w:themeColor="text1"/>
          <w:sz w:val="22"/>
          <w:lang w:val="es-ES_tradnl"/>
        </w:rPr>
        <w:footnoteReference w:id="11"/>
      </w:r>
      <w:r w:rsidRPr="00DA3080">
        <w:rPr>
          <w:rFonts w:ascii="Arial" w:eastAsia="Calibri" w:hAnsi="Arial" w:cs="Arial"/>
          <w:bCs/>
          <w:color w:val="000000" w:themeColor="text1"/>
          <w:sz w:val="22"/>
          <w:lang w:val="es-ES_tradnl"/>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DA3080">
        <w:rPr>
          <w:rStyle w:val="Refdenotaalpie"/>
          <w:rFonts w:ascii="Arial" w:eastAsia="Calibri" w:hAnsi="Arial" w:cs="Arial"/>
          <w:bCs/>
          <w:color w:val="000000" w:themeColor="text1"/>
          <w:sz w:val="22"/>
          <w:lang w:val="es-ES_tradnl"/>
        </w:rPr>
        <w:footnoteReference w:id="12"/>
      </w:r>
      <w:r w:rsidRPr="00DA3080">
        <w:rPr>
          <w:rFonts w:ascii="Arial" w:eastAsia="Calibri" w:hAnsi="Arial" w:cs="Arial"/>
          <w:bCs/>
          <w:color w:val="000000" w:themeColor="text1"/>
          <w:sz w:val="22"/>
          <w:lang w:val="es-ES_tradnl"/>
        </w:rPr>
        <w:t xml:space="preserve">. </w:t>
      </w:r>
    </w:p>
    <w:p w14:paraId="6514C76C" w14:textId="36A80245" w:rsidR="00D14890" w:rsidRPr="00DA3080" w:rsidRDefault="00D14890">
      <w:pPr>
        <w:spacing w:after="120"/>
        <w:ind w:firstLine="709"/>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w:t>
      </w:r>
      <w:r w:rsidR="003B67A4" w:rsidRPr="00DA3080">
        <w:rPr>
          <w:rFonts w:ascii="Arial" w:eastAsia="Calibri" w:hAnsi="Arial" w:cs="Arial"/>
          <w:color w:val="000000" w:themeColor="text1"/>
          <w:sz w:val="22"/>
          <w:lang w:val="es-ES_tradnl"/>
        </w:rPr>
        <w:t xml:space="preserve"> y el artículo</w:t>
      </w:r>
      <w:r w:rsidR="00826682" w:rsidRPr="00DA3080">
        <w:rPr>
          <w:rFonts w:ascii="Arial" w:eastAsia="Calibri" w:hAnsi="Arial" w:cs="Arial"/>
          <w:color w:val="000000" w:themeColor="text1"/>
          <w:sz w:val="22"/>
          <w:lang w:val="es-ES_tradnl"/>
        </w:rPr>
        <w:t xml:space="preserve"> 265</w:t>
      </w:r>
      <w:r w:rsidR="003B67A4" w:rsidRPr="00DA3080">
        <w:rPr>
          <w:rFonts w:ascii="Arial" w:eastAsia="Calibri" w:hAnsi="Arial" w:cs="Arial"/>
          <w:color w:val="000000" w:themeColor="text1"/>
          <w:sz w:val="22"/>
          <w:lang w:val="es-ES_tradnl"/>
        </w:rPr>
        <w:t xml:space="preserve"> de la Ley 2094 de 2021 volvió a prorrogarlo hasta el 22 de marzo de 2022.</w:t>
      </w:r>
      <w:r w:rsidR="006D7173" w:rsidRPr="00DA3080">
        <w:rPr>
          <w:rFonts w:ascii="Arial" w:eastAsia="Calibri" w:hAnsi="Arial" w:cs="Arial"/>
          <w:color w:val="000000" w:themeColor="text1"/>
          <w:sz w:val="22"/>
          <w:lang w:val="es-ES_tradnl"/>
        </w:rPr>
        <w:t xml:space="preserve"> </w:t>
      </w:r>
    </w:p>
    <w:p w14:paraId="69337364" w14:textId="6657EA1B" w:rsidR="00D14890" w:rsidRPr="00DA3080" w:rsidRDefault="00D14890" w:rsidP="00BF0F70">
      <w:pPr>
        <w:spacing w:after="0"/>
        <w:ind w:firstLine="709"/>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w:t>
      </w:r>
      <w:r w:rsidR="00986D22" w:rsidRPr="00DA3080">
        <w:rPr>
          <w:rFonts w:ascii="Arial" w:eastAsia="Calibri" w:hAnsi="Arial" w:cs="Arial"/>
          <w:color w:val="000000" w:themeColor="text1"/>
          <w:sz w:val="22"/>
          <w:lang w:val="es-ES_tradnl"/>
        </w:rPr>
        <w:t>:</w:t>
      </w:r>
      <w:r w:rsidRPr="00DA3080">
        <w:rPr>
          <w:rFonts w:ascii="Arial" w:eastAsia="Calibri" w:hAnsi="Arial" w:cs="Arial"/>
          <w:color w:val="000000" w:themeColor="text1"/>
          <w:sz w:val="22"/>
          <w:lang w:val="es-ES_tradnl"/>
        </w:rPr>
        <w:t xml:space="preserve"> la selección abreviada; pero esas normas no podían aplicarse hasta que no se cumpliera la condición: la expedición del reglamento. Sobre este asunto, es preciso llamar la atención sobre la jurisprudencia. Al respecto, el Consejo de Estado considera que: </w:t>
      </w:r>
    </w:p>
    <w:p w14:paraId="75DEB883" w14:textId="77777777" w:rsidR="00D14890" w:rsidRPr="00DA3080" w:rsidRDefault="00D14890" w:rsidP="00BF0F70">
      <w:pPr>
        <w:shd w:val="clear" w:color="auto" w:fill="FFFFFF"/>
        <w:spacing w:after="0"/>
        <w:ind w:left="709" w:right="760"/>
        <w:rPr>
          <w:rFonts w:ascii="Arial" w:eastAsia="Calibri" w:hAnsi="Arial" w:cs="Arial"/>
          <w:color w:val="000000" w:themeColor="text1"/>
          <w:sz w:val="22"/>
          <w:lang w:val="es-ES_tradnl"/>
        </w:rPr>
      </w:pPr>
    </w:p>
    <w:p w14:paraId="7C597D16" w14:textId="77777777" w:rsidR="00D14890" w:rsidRPr="00DA3080" w:rsidRDefault="00D14890" w:rsidP="00BF0F70">
      <w:pPr>
        <w:shd w:val="clear" w:color="auto" w:fill="FFFFFF"/>
        <w:spacing w:after="0" w:line="240" w:lineRule="auto"/>
        <w:ind w:left="709" w:right="760"/>
        <w:rPr>
          <w:rFonts w:ascii="Arial" w:eastAsia="Calibri" w:hAnsi="Arial" w:cs="Arial"/>
          <w:color w:val="000000" w:themeColor="text1"/>
          <w:sz w:val="21"/>
          <w:szCs w:val="21"/>
          <w:lang w:val="es-ES_tradnl"/>
        </w:rPr>
      </w:pPr>
      <w:r w:rsidRPr="00DA3080">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DA3080">
        <w:rPr>
          <w:rStyle w:val="Refdenotaalpie"/>
          <w:rFonts w:ascii="Arial" w:eastAsia="Calibri" w:hAnsi="Arial" w:cs="Arial"/>
          <w:color w:val="000000" w:themeColor="text1"/>
          <w:sz w:val="21"/>
          <w:szCs w:val="21"/>
          <w:lang w:val="es-ES_tradnl"/>
        </w:rPr>
        <w:footnoteReference w:id="13"/>
      </w:r>
      <w:r w:rsidRPr="00DA3080">
        <w:rPr>
          <w:rFonts w:ascii="Arial" w:eastAsia="Calibri" w:hAnsi="Arial" w:cs="Arial"/>
          <w:color w:val="000000" w:themeColor="text1"/>
          <w:sz w:val="21"/>
          <w:szCs w:val="21"/>
          <w:lang w:val="es-ES_tradnl"/>
        </w:rPr>
        <w:t>.</w:t>
      </w:r>
    </w:p>
    <w:p w14:paraId="1020ACCE" w14:textId="77777777" w:rsidR="00D14890" w:rsidRPr="00DA3080" w:rsidRDefault="00D14890" w:rsidP="00BF0F70">
      <w:pPr>
        <w:shd w:val="clear" w:color="auto" w:fill="FFFFFF"/>
        <w:spacing w:after="0"/>
        <w:ind w:left="709" w:right="760"/>
        <w:rPr>
          <w:rFonts w:ascii="Arial" w:eastAsia="Calibri" w:hAnsi="Arial" w:cs="Arial"/>
          <w:color w:val="000000" w:themeColor="text1"/>
          <w:sz w:val="22"/>
          <w:lang w:val="es-ES_tradnl"/>
        </w:rPr>
      </w:pPr>
    </w:p>
    <w:p w14:paraId="50921F65" w14:textId="4C518E7E" w:rsidR="00D14890" w:rsidRPr="00DA3080" w:rsidRDefault="00D14890" w:rsidP="00D14890">
      <w:pPr>
        <w:shd w:val="clear" w:color="auto" w:fill="FFFFFF"/>
        <w:spacing w:after="120"/>
        <w:ind w:right="51" w:firstLine="709"/>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 xml:space="preserve">La referencia hecha en una ley a que el gobierno nacional reglamentará la materia indica que el reglamento es indispensable para </w:t>
      </w:r>
      <w:r w:rsidR="00986D22" w:rsidRPr="00DA3080">
        <w:rPr>
          <w:rFonts w:ascii="Arial" w:eastAsia="Calibri" w:hAnsi="Arial" w:cs="Arial"/>
          <w:color w:val="000000" w:themeColor="text1"/>
          <w:sz w:val="22"/>
          <w:lang w:val="es-ES_tradnl"/>
        </w:rPr>
        <w:t xml:space="preserve">su </w:t>
      </w:r>
      <w:r w:rsidRPr="00DA3080">
        <w:rPr>
          <w:rFonts w:ascii="Arial" w:eastAsia="Calibri" w:hAnsi="Arial" w:cs="Arial"/>
          <w:color w:val="000000" w:themeColor="text1"/>
          <w:sz w:val="22"/>
          <w:lang w:val="es-ES_tradnl"/>
        </w:rPr>
        <w:t xml:space="preserve">cumplimiento. Naturalmente, este reconocimiento no siempre implica que la ley está sometida a condición para </w:t>
      </w:r>
      <w:proofErr w:type="gramStart"/>
      <w:r w:rsidRPr="00DA3080">
        <w:rPr>
          <w:rFonts w:ascii="Arial" w:eastAsia="Calibri" w:hAnsi="Arial" w:cs="Arial"/>
          <w:color w:val="000000" w:themeColor="text1"/>
          <w:sz w:val="22"/>
          <w:lang w:val="es-ES_tradnl"/>
        </w:rPr>
        <w:t>entrar en vigencia</w:t>
      </w:r>
      <w:proofErr w:type="gramEnd"/>
      <w:r w:rsidRPr="00DA3080">
        <w:rPr>
          <w:rFonts w:ascii="Arial" w:eastAsia="Calibri" w:hAnsi="Arial" w:cs="Arial"/>
          <w:color w:val="000000" w:themeColor="text1"/>
          <w:sz w:val="22"/>
          <w:lang w:val="es-ES_tradnl"/>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10CB4740" w14:textId="77777777" w:rsidR="00D14890" w:rsidRPr="00DA3080"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DA3080">
        <w:rPr>
          <w:rFonts w:ascii="Arial" w:eastAsia="Calibri" w:hAnsi="Arial" w:cs="Arial"/>
          <w:color w:val="000000" w:themeColor="text1"/>
          <w:sz w:val="22"/>
          <w:lang w:val="es-ES_tradnl"/>
        </w:rPr>
        <w:t xml:space="preserve">En tal sentido, el Congreso de la República dispuso la expedición de un decreto reglamentario para detallar el contenido los artículos 31, 32, 34 y 36 de la Ley 2069 de 2020. Por ello, en ausencia de desarrollo normativo posterior existe una </w:t>
      </w:r>
      <w:r w:rsidRPr="00DA3080">
        <w:rPr>
          <w:rFonts w:ascii="Arial" w:eastAsia="Calibri" w:hAnsi="Arial" w:cs="Arial"/>
          <w:i/>
          <w:iCs/>
          <w:color w:val="000000" w:themeColor="text1"/>
          <w:sz w:val="22"/>
          <w:lang w:val="es-ES_tradnl"/>
        </w:rPr>
        <w:t>laguna técnica</w:t>
      </w:r>
      <w:r w:rsidRPr="00DA3080">
        <w:rPr>
          <w:rFonts w:ascii="Arial" w:eastAsia="Calibri" w:hAnsi="Arial" w:cs="Arial"/>
          <w:color w:val="000000" w:themeColor="text1"/>
          <w:sz w:val="22"/>
          <w:lang w:val="es-ES_tradnl"/>
        </w:rPr>
        <w:t xml:space="preserve"> que impide aplicar estas disposiciones</w:t>
      </w:r>
      <w:r w:rsidRPr="00DA3080">
        <w:rPr>
          <w:rFonts w:ascii="Arial" w:eastAsia="Calibri" w:hAnsi="Arial" w:cs="Arial"/>
          <w:bCs/>
          <w:color w:val="000000" w:themeColor="text1"/>
          <w:sz w:val="22"/>
          <w:lang w:val="es-ES_tradnl"/>
        </w:rPr>
        <w:t xml:space="preserve">. 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y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xml:space="preserve">) las convocatorias limitadas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así como el fomento en la ejecución de los contratos estatales por parte de sujetos de especial protección</w:t>
      </w:r>
      <w:r w:rsidRPr="00DA3080">
        <w:rPr>
          <w:rStyle w:val="Refdenotaalpie"/>
          <w:rFonts w:ascii="Arial" w:eastAsia="Calibri" w:hAnsi="Arial" w:cs="Arial"/>
          <w:bCs/>
          <w:color w:val="000000" w:themeColor="text1"/>
          <w:sz w:val="22"/>
          <w:lang w:val="es-ES_tradnl"/>
        </w:rPr>
        <w:footnoteReference w:id="14"/>
      </w:r>
      <w:r w:rsidRPr="00DA3080">
        <w:rPr>
          <w:rFonts w:ascii="Arial" w:eastAsia="Calibri" w:hAnsi="Arial" w:cs="Arial"/>
          <w:bCs/>
          <w:color w:val="000000" w:themeColor="text1"/>
          <w:sz w:val="22"/>
          <w:lang w:val="es-ES_tradnl"/>
        </w:rPr>
        <w:t xml:space="preserve">. </w:t>
      </w:r>
    </w:p>
    <w:p w14:paraId="617928C1" w14:textId="3C5622F7" w:rsidR="00D14890" w:rsidRPr="00DA3080"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DA3080">
        <w:rPr>
          <w:rFonts w:ascii="Arial" w:eastAsia="Calibri" w:hAnsi="Arial" w:cs="Arial"/>
          <w:color w:val="000000" w:themeColor="text1"/>
          <w:sz w:val="22"/>
          <w:lang w:val="es-ES_tradnl"/>
        </w:rPr>
        <w:t>los artículos 31, 32, 34 y 36 de la Ley 2069 de 2020</w:t>
      </w:r>
      <w:r w:rsidRPr="00DA3080">
        <w:rPr>
          <w:rFonts w:ascii="Arial" w:eastAsia="Calibri" w:hAnsi="Arial" w:cs="Arial"/>
          <w:bCs/>
          <w:color w:val="000000" w:themeColor="text1"/>
          <w:sz w:val="22"/>
          <w:lang w:val="es-ES_tradnl"/>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w:t>
      </w:r>
      <w:r w:rsidR="00BC6406" w:rsidRPr="00DA3080">
        <w:rPr>
          <w:rFonts w:ascii="Arial" w:eastAsia="Calibri" w:hAnsi="Arial" w:cs="Arial"/>
          <w:bCs/>
          <w:color w:val="000000" w:themeColor="text1"/>
          <w:sz w:val="22"/>
          <w:lang w:val="es-ES_tradnl"/>
        </w:rPr>
        <w:t xml:space="preserve">, por lo </w:t>
      </w:r>
      <w:proofErr w:type="gramStart"/>
      <w:r w:rsidR="00BC6406" w:rsidRPr="00DA3080">
        <w:rPr>
          <w:rFonts w:ascii="Arial" w:eastAsia="Calibri" w:hAnsi="Arial" w:cs="Arial"/>
          <w:bCs/>
          <w:color w:val="000000" w:themeColor="text1"/>
          <w:sz w:val="22"/>
          <w:lang w:val="es-ES_tradnl"/>
        </w:rPr>
        <w:t>que</w:t>
      </w:r>
      <w:proofErr w:type="gramEnd"/>
      <w:r w:rsidRPr="00DA3080">
        <w:rPr>
          <w:rFonts w:ascii="Arial" w:eastAsia="Calibri" w:hAnsi="Arial" w:cs="Arial"/>
          <w:bCs/>
          <w:color w:val="000000" w:themeColor="text1"/>
          <w:sz w:val="22"/>
          <w:lang w:val="es-ES_tradnl"/>
        </w:rPr>
        <w:t xml:space="preserve"> </w:t>
      </w:r>
      <w:r w:rsidR="00BC6406" w:rsidRPr="00DA3080">
        <w:rPr>
          <w:rFonts w:ascii="Arial" w:eastAsia="Calibri" w:hAnsi="Arial" w:cs="Arial"/>
          <w:bCs/>
          <w:color w:val="000000" w:themeColor="text1"/>
          <w:sz w:val="22"/>
          <w:lang w:val="es-ES_tradnl"/>
        </w:rPr>
        <w:t>d</w:t>
      </w:r>
      <w:r w:rsidRPr="00DA3080">
        <w:rPr>
          <w:rFonts w:ascii="Arial" w:eastAsia="Calibri" w:hAnsi="Arial" w:cs="Arial"/>
          <w:bCs/>
          <w:color w:val="000000" w:themeColor="text1"/>
          <w:sz w:val="22"/>
          <w:lang w:val="es-ES_tradnl"/>
        </w:rPr>
        <w:t>esde esta perspectiva, la exigencia de la reglamentación tiene pretensiones unificadoras.</w:t>
      </w:r>
      <w:r w:rsidR="00DD34C7" w:rsidRPr="00DA3080">
        <w:rPr>
          <w:rFonts w:ascii="Arial" w:eastAsia="Calibri" w:hAnsi="Arial" w:cs="Arial"/>
          <w:bCs/>
          <w:color w:val="000000" w:themeColor="text1"/>
          <w:sz w:val="22"/>
          <w:lang w:val="es-ES_tradnl"/>
        </w:rPr>
        <w:t xml:space="preserve"> </w:t>
      </w:r>
    </w:p>
    <w:p w14:paraId="001D7166" w14:textId="77777777" w:rsidR="00D14890" w:rsidRPr="00DA3080"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 xml:space="preserve">Por tanto, si bien en principio el ejercicio de la potestad reglamentaria es discrecional, esta puede ser excepcionalmente obligatoria para efectividad de la ley. Por </w:t>
      </w:r>
      <w:r w:rsidRPr="00DA3080">
        <w:rPr>
          <w:rFonts w:ascii="Arial" w:eastAsia="Calibri" w:hAnsi="Arial" w:cs="Arial"/>
          <w:bCs/>
          <w:color w:val="000000" w:themeColor="text1"/>
          <w:sz w:val="22"/>
          <w:lang w:val="es-ES_tradnl"/>
        </w:rPr>
        <w:lastRenderedPageBreak/>
        <w:t>ejemplo, para la doctrina esto último sucede cuando «[…] la necesidad del reglamento es inminente, y así nace desde la norma que confiere la potestad reglamentaria […]»</w:t>
      </w:r>
      <w:r w:rsidRPr="00DA3080">
        <w:rPr>
          <w:rStyle w:val="Refdenotaalpie"/>
          <w:rFonts w:ascii="Arial" w:eastAsia="Calibri" w:hAnsi="Arial" w:cs="Arial"/>
          <w:bCs/>
          <w:color w:val="000000" w:themeColor="text1"/>
          <w:sz w:val="22"/>
          <w:lang w:val="es-ES_tradnl"/>
        </w:rPr>
        <w:footnoteReference w:id="15"/>
      </w:r>
      <w:r w:rsidRPr="00DA3080">
        <w:rPr>
          <w:rFonts w:ascii="Arial" w:eastAsia="Calibri" w:hAnsi="Arial" w:cs="Arial"/>
          <w:bCs/>
          <w:color w:val="000000" w:themeColor="text1"/>
          <w:sz w:val="22"/>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DA3080">
        <w:rPr>
          <w:rStyle w:val="Refdenotaalpie"/>
          <w:rFonts w:ascii="Arial" w:eastAsia="Calibri" w:hAnsi="Arial" w:cs="Arial"/>
          <w:bCs/>
          <w:color w:val="000000" w:themeColor="text1"/>
          <w:sz w:val="22"/>
          <w:lang w:val="es-ES_tradnl"/>
        </w:rPr>
        <w:footnoteReference w:id="16"/>
      </w:r>
      <w:r w:rsidRPr="00DA3080">
        <w:rPr>
          <w:rFonts w:ascii="Arial" w:eastAsia="Calibri" w:hAnsi="Arial" w:cs="Arial"/>
          <w:bCs/>
          <w:color w:val="000000" w:themeColor="text1"/>
          <w:sz w:val="22"/>
          <w:lang w:val="es-ES_tradnl"/>
        </w:rPr>
        <w:t>.</w:t>
      </w:r>
    </w:p>
    <w:p w14:paraId="7BE18D8A" w14:textId="77777777" w:rsidR="007335D8" w:rsidRPr="00DA3080" w:rsidRDefault="00D14890" w:rsidP="007335D8">
      <w:pPr>
        <w:shd w:val="clear" w:color="auto" w:fill="FFFFFF"/>
        <w:spacing w:after="120"/>
        <w:ind w:right="51" w:firstLine="709"/>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 xml:space="preserve">Así las cosas, es posible afirmar que, en </w:t>
      </w:r>
      <w:r w:rsidRPr="00DA3080">
        <w:rPr>
          <w:rFonts w:ascii="Arial" w:eastAsia="Calibri" w:hAnsi="Arial" w:cs="Arial"/>
          <w:color w:val="000000" w:themeColor="text1"/>
          <w:sz w:val="22"/>
          <w:lang w:val="es-ES_tradnl"/>
        </w:rPr>
        <w:t>los artículos 31, 32, 34 y 36</w:t>
      </w:r>
      <w:r w:rsidRPr="00DA3080">
        <w:rPr>
          <w:rFonts w:ascii="Arial" w:eastAsia="Calibri" w:hAnsi="Arial" w:cs="Arial"/>
          <w:bCs/>
          <w:color w:val="000000" w:themeColor="text1"/>
          <w:sz w:val="22"/>
          <w:lang w:val="es-ES_tradnl"/>
        </w:rPr>
        <w:t xml:space="preserve">, el Congreso de la República reconoce la necesidad de un reglamento para el efectivo cumplimiento de la </w:t>
      </w:r>
      <w:r w:rsidRPr="00DA3080">
        <w:rPr>
          <w:rFonts w:ascii="Arial" w:eastAsia="Calibri" w:hAnsi="Arial" w:cs="Arial"/>
          <w:color w:val="000000" w:themeColor="text1"/>
          <w:sz w:val="22"/>
          <w:lang w:val="es-ES_tradnl"/>
        </w:rPr>
        <w:t>Ley 2069 de 2020</w:t>
      </w:r>
      <w:r w:rsidRPr="00DA3080">
        <w:rPr>
          <w:rFonts w:ascii="Arial" w:eastAsia="Calibri" w:hAnsi="Arial" w:cs="Arial"/>
          <w:bCs/>
          <w:color w:val="000000" w:themeColor="text1"/>
          <w:sz w:val="22"/>
          <w:lang w:val="es-ES_tradnl"/>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xml:space="preserve">) la definición de «emprendimientos y empresas de mujeres», </w:t>
      </w:r>
      <w:proofErr w:type="spellStart"/>
      <w:r w:rsidRPr="00DA3080">
        <w:rPr>
          <w:rFonts w:ascii="Arial" w:eastAsia="Calibri" w:hAnsi="Arial" w:cs="Arial"/>
          <w:bCs/>
          <w:color w:val="000000" w:themeColor="text1"/>
          <w:sz w:val="22"/>
          <w:lang w:val="es-ES_tradnl"/>
        </w:rPr>
        <w:t>iii</w:t>
      </w:r>
      <w:proofErr w:type="spellEnd"/>
      <w:r w:rsidRPr="00DA3080">
        <w:rPr>
          <w:rFonts w:ascii="Arial" w:eastAsia="Calibri" w:hAnsi="Arial" w:cs="Arial"/>
          <w:bCs/>
          <w:color w:val="000000" w:themeColor="text1"/>
          <w:sz w:val="22"/>
          <w:lang w:val="es-ES_tradnl"/>
        </w:rPr>
        <w:t xml:space="preserve">) las convocatorias limitadas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y el fomento en la ejecución de los contratos estatales por parte de sujetos de especial protección, así como </w:t>
      </w:r>
      <w:proofErr w:type="spellStart"/>
      <w:r w:rsidRPr="00DA3080">
        <w:rPr>
          <w:rFonts w:ascii="Arial" w:eastAsia="Calibri" w:hAnsi="Arial" w:cs="Arial"/>
          <w:bCs/>
          <w:color w:val="000000" w:themeColor="text1"/>
          <w:sz w:val="22"/>
          <w:lang w:val="es-ES_tradnl"/>
        </w:rPr>
        <w:t>iv</w:t>
      </w:r>
      <w:proofErr w:type="spellEnd"/>
      <w:r w:rsidRPr="00DA3080">
        <w:rPr>
          <w:rFonts w:ascii="Arial" w:eastAsia="Calibri" w:hAnsi="Arial" w:cs="Arial"/>
          <w:bCs/>
          <w:color w:val="000000" w:themeColor="text1"/>
          <w:sz w:val="22"/>
          <w:lang w:val="es-ES_tradnl"/>
        </w:rPr>
        <w:t>) la promoción de las compras públicas de tecnología e innovación.</w:t>
      </w:r>
      <w:r w:rsidR="00C52881" w:rsidRPr="00DA3080">
        <w:rPr>
          <w:rFonts w:ascii="Arial" w:eastAsia="Calibri" w:hAnsi="Arial" w:cs="Arial"/>
          <w:bCs/>
          <w:color w:val="000000" w:themeColor="text1"/>
          <w:sz w:val="22"/>
          <w:lang w:val="es-ES_tradnl"/>
        </w:rPr>
        <w:t xml:space="preserve"> </w:t>
      </w:r>
    </w:p>
    <w:p w14:paraId="0493FE25" w14:textId="6F627CAA" w:rsidR="00D14890" w:rsidRPr="00DA3080" w:rsidRDefault="00C52881" w:rsidP="00BF0F70">
      <w:pPr>
        <w:shd w:val="clear" w:color="auto" w:fill="FFFFFF"/>
        <w:spacing w:after="0"/>
        <w:ind w:right="51" w:firstLine="709"/>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Actualmente, dicha reglamentación se efectuó, en lo que tiene relación con los artículos 30, 31, 32, 34 y 35 de la Ley 2069 de 2020, mediante el reciente Decreto 1860 del 24 de diciembre de 2021</w:t>
      </w:r>
      <w:r w:rsidR="009D5F81"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w:t>
      </w:r>
      <w:r w:rsidR="009D5F81" w:rsidRPr="00DA3080">
        <w:rPr>
          <w:rFonts w:ascii="Arial" w:eastAsia="Calibri" w:hAnsi="Arial" w:cs="Arial"/>
          <w:bCs/>
          <w:color w:val="000000" w:themeColor="text1"/>
          <w:sz w:val="22"/>
          <w:lang w:val="es-ES_tradnl"/>
        </w:rPr>
        <w:t>S</w:t>
      </w:r>
      <w:r w:rsidRPr="00DA3080">
        <w:rPr>
          <w:rFonts w:ascii="Arial" w:eastAsia="Calibri" w:hAnsi="Arial" w:cs="Arial"/>
          <w:bCs/>
          <w:color w:val="000000" w:themeColor="text1"/>
          <w:sz w:val="22"/>
          <w:lang w:val="es-ES_tradnl"/>
        </w:rPr>
        <w:t xml:space="preserve">in embargo, dichas </w:t>
      </w:r>
      <w:r w:rsidR="00EB1312" w:rsidRPr="00DA3080">
        <w:rPr>
          <w:rFonts w:ascii="Arial" w:eastAsia="Calibri" w:hAnsi="Arial" w:cs="Arial"/>
          <w:bCs/>
          <w:color w:val="000000" w:themeColor="text1"/>
          <w:sz w:val="22"/>
          <w:lang w:val="es-ES_tradnl"/>
        </w:rPr>
        <w:t>disposiciones</w:t>
      </w:r>
      <w:r w:rsidRPr="00DA3080">
        <w:rPr>
          <w:rFonts w:ascii="Arial" w:eastAsia="Calibri" w:hAnsi="Arial" w:cs="Arial"/>
          <w:bCs/>
          <w:color w:val="000000" w:themeColor="text1"/>
          <w:sz w:val="22"/>
          <w:lang w:val="es-ES_tradnl"/>
        </w:rPr>
        <w:t xml:space="preserve">, </w:t>
      </w:r>
      <w:r w:rsidRPr="00DA3080">
        <w:rPr>
          <w:rFonts w:ascii="Arial" w:eastAsia="Calibri" w:hAnsi="Arial" w:cs="Arial"/>
          <w:color w:val="000000" w:themeColor="text1"/>
          <w:sz w:val="22"/>
          <w:lang w:val="es-ES_tradnl"/>
        </w:rPr>
        <w:t>de acuerdo con su artículo 8, solo «aplicarán a los procedimientos de selección cuya invitación, aviso de convocatoria o documento equivalente se publique a los tres (3) meses contados a partir de su expedición», esto es, a partir del 24 de marzo de 202</w:t>
      </w:r>
      <w:r w:rsidR="00B408BE" w:rsidRPr="00DA3080">
        <w:rPr>
          <w:rFonts w:ascii="Arial" w:eastAsia="Calibri" w:hAnsi="Arial" w:cs="Arial"/>
          <w:color w:val="000000" w:themeColor="text1"/>
          <w:sz w:val="22"/>
          <w:lang w:val="es-ES_tradnl"/>
        </w:rPr>
        <w:t>2</w:t>
      </w:r>
      <w:r w:rsidRPr="00DA3080">
        <w:rPr>
          <w:rFonts w:ascii="Arial" w:eastAsia="Calibri" w:hAnsi="Arial" w:cs="Arial"/>
          <w:color w:val="000000" w:themeColor="text1"/>
          <w:sz w:val="22"/>
          <w:lang w:val="es-ES_tradnl"/>
        </w:rPr>
        <w:t>, aspecto que se analizará en el desarrollo del concepto</w:t>
      </w:r>
      <w:r w:rsidR="00EB1312" w:rsidRPr="00DA3080">
        <w:rPr>
          <w:rFonts w:ascii="Arial" w:eastAsia="Calibri" w:hAnsi="Arial" w:cs="Arial"/>
          <w:color w:val="000000" w:themeColor="text1"/>
          <w:sz w:val="22"/>
          <w:lang w:val="es-ES_tradnl"/>
        </w:rPr>
        <w:t xml:space="preserve">. A diferencia de lo anterior, </w:t>
      </w:r>
      <w:r w:rsidR="00EB1312" w:rsidRPr="00DA3080">
        <w:rPr>
          <w:rFonts w:ascii="Arial" w:eastAsia="Calibri" w:hAnsi="Arial" w:cs="Arial"/>
          <w:bCs/>
          <w:color w:val="000000" w:themeColor="text1"/>
          <w:sz w:val="22"/>
          <w:lang w:val="es-ES_tradnl"/>
        </w:rPr>
        <w:t>es necesario analizar con mayor detalle lo relacionado con el</w:t>
      </w:r>
      <w:r w:rsidR="00D14890" w:rsidRPr="00DA3080">
        <w:rPr>
          <w:rFonts w:ascii="Arial" w:eastAsia="Calibri" w:hAnsi="Arial" w:cs="Arial"/>
          <w:bCs/>
          <w:color w:val="000000" w:themeColor="text1"/>
          <w:sz w:val="22"/>
          <w:lang w:val="es-ES_tradnl"/>
        </w:rPr>
        <w:t xml:space="preserve"> artículo 30 de la Ley 2069 de 2020, porque, como se explicará a continuación, esta norma </w:t>
      </w:r>
      <w:r w:rsidR="00EB1312" w:rsidRPr="00DA3080">
        <w:rPr>
          <w:rFonts w:ascii="Arial" w:eastAsia="Calibri" w:hAnsi="Arial" w:cs="Arial"/>
          <w:bCs/>
          <w:color w:val="000000" w:themeColor="text1"/>
          <w:sz w:val="22"/>
          <w:lang w:val="es-ES_tradnl"/>
        </w:rPr>
        <w:t xml:space="preserve">ha </w:t>
      </w:r>
      <w:r w:rsidR="00D14890" w:rsidRPr="00DA3080">
        <w:rPr>
          <w:rFonts w:ascii="Arial" w:eastAsia="Calibri" w:hAnsi="Arial" w:cs="Arial"/>
          <w:bCs/>
          <w:color w:val="000000" w:themeColor="text1"/>
          <w:sz w:val="22"/>
          <w:lang w:val="es-ES_tradnl"/>
        </w:rPr>
        <w:t>goza</w:t>
      </w:r>
      <w:r w:rsidR="00EB1312" w:rsidRPr="00DA3080">
        <w:rPr>
          <w:rFonts w:ascii="Arial" w:eastAsia="Calibri" w:hAnsi="Arial" w:cs="Arial"/>
          <w:bCs/>
          <w:color w:val="000000" w:themeColor="text1"/>
          <w:sz w:val="22"/>
          <w:lang w:val="es-ES_tradnl"/>
        </w:rPr>
        <w:t>do</w:t>
      </w:r>
      <w:r w:rsidR="00D14890" w:rsidRPr="00DA3080">
        <w:rPr>
          <w:rFonts w:ascii="Arial" w:eastAsia="Calibri" w:hAnsi="Arial" w:cs="Arial"/>
          <w:bCs/>
          <w:color w:val="000000" w:themeColor="text1"/>
          <w:sz w:val="22"/>
          <w:lang w:val="es-ES_tradnl"/>
        </w:rPr>
        <w:t xml:space="preserve"> de eficacia directa, sin perjuicio de </w:t>
      </w:r>
      <w:r w:rsidRPr="00DA3080">
        <w:rPr>
          <w:rFonts w:ascii="Arial" w:eastAsia="Calibri" w:hAnsi="Arial" w:cs="Arial"/>
          <w:bCs/>
          <w:color w:val="000000" w:themeColor="text1"/>
          <w:sz w:val="22"/>
          <w:lang w:val="es-ES_tradnl"/>
        </w:rPr>
        <w:t>la reglamentación por parte del Gobierno Nacional</w:t>
      </w:r>
      <w:r w:rsidR="00D14890" w:rsidRPr="00DA3080">
        <w:rPr>
          <w:rFonts w:ascii="Arial" w:eastAsia="Calibri" w:hAnsi="Arial" w:cs="Arial"/>
          <w:bCs/>
          <w:color w:val="000000" w:themeColor="text1"/>
          <w:sz w:val="22"/>
          <w:lang w:val="es-ES_tradnl"/>
        </w:rPr>
        <w:t>.</w:t>
      </w:r>
    </w:p>
    <w:p w14:paraId="3C898BBD" w14:textId="77777777" w:rsidR="00D14890" w:rsidRPr="00DA3080" w:rsidRDefault="00D14890" w:rsidP="00BF0F70">
      <w:pPr>
        <w:spacing w:after="0"/>
        <w:rPr>
          <w:rFonts w:ascii="Arial" w:hAnsi="Arial" w:cs="Arial"/>
          <w:sz w:val="22"/>
          <w:lang w:val="es-ES_tradnl"/>
        </w:rPr>
      </w:pPr>
    </w:p>
    <w:p w14:paraId="5C7369A9" w14:textId="5903A75A" w:rsidR="00D14890" w:rsidRPr="00DA3080" w:rsidRDefault="00D14890" w:rsidP="00D14890">
      <w:pPr>
        <w:tabs>
          <w:tab w:val="left" w:pos="709"/>
        </w:tabs>
        <w:spacing w:after="0"/>
        <w:rPr>
          <w:rFonts w:ascii="Arial" w:eastAsia="Calibri" w:hAnsi="Arial" w:cs="Arial"/>
          <w:b/>
          <w:i/>
          <w:iCs/>
          <w:color w:val="000000" w:themeColor="text1"/>
          <w:sz w:val="22"/>
          <w:lang w:val="es-ES_tradnl"/>
        </w:rPr>
      </w:pPr>
      <w:r w:rsidRPr="00DA3080">
        <w:rPr>
          <w:rFonts w:ascii="Arial" w:eastAsia="Calibri" w:hAnsi="Arial" w:cs="Arial"/>
          <w:b/>
          <w:color w:val="000000" w:themeColor="text1"/>
          <w:sz w:val="22"/>
          <w:lang w:val="es-ES_tradnl"/>
        </w:rPr>
        <w:t>2.3. Eficacia directa del artículo 30 de la Ley 2069 de 2020</w:t>
      </w:r>
      <w:bookmarkStart w:id="8" w:name="_Hlk69580086"/>
      <w:r w:rsidRPr="00DA3080">
        <w:rPr>
          <w:rFonts w:ascii="Arial" w:eastAsia="Calibri" w:hAnsi="Arial" w:cs="Arial"/>
          <w:b/>
          <w:color w:val="000000" w:themeColor="text1"/>
          <w:sz w:val="22"/>
          <w:lang w:val="es-ES_tradnl"/>
        </w:rPr>
        <w:t>: regulación de la mínima cuantía y vigencia del procedimiento previsto en el Decreto 1082 de 2015</w:t>
      </w:r>
      <w:r w:rsidR="00B02214" w:rsidRPr="00DA3080">
        <w:rPr>
          <w:rFonts w:ascii="Arial" w:eastAsia="Calibri" w:hAnsi="Arial" w:cs="Arial"/>
          <w:b/>
          <w:color w:val="000000" w:themeColor="text1"/>
          <w:sz w:val="22"/>
          <w:lang w:val="es-ES_tradnl"/>
        </w:rPr>
        <w:t>, antes de la modificación realizada por el Decreto 1860 del 24 de diciembre de 2021</w:t>
      </w:r>
      <w:bookmarkEnd w:id="8"/>
    </w:p>
    <w:p w14:paraId="18B50C90" w14:textId="77777777" w:rsidR="00D14890" w:rsidRPr="00DA3080" w:rsidRDefault="00D14890" w:rsidP="00BF0F70">
      <w:pPr>
        <w:tabs>
          <w:tab w:val="left" w:pos="709"/>
        </w:tabs>
        <w:spacing w:after="0"/>
        <w:rPr>
          <w:rFonts w:ascii="Arial" w:eastAsia="Calibri" w:hAnsi="Arial" w:cs="Arial"/>
          <w:bCs/>
          <w:color w:val="000000" w:themeColor="text1"/>
          <w:sz w:val="22"/>
          <w:lang w:val="es-ES_tradnl"/>
        </w:rPr>
      </w:pPr>
    </w:p>
    <w:p w14:paraId="336A6460" w14:textId="6FD44FF6" w:rsidR="00DC7418" w:rsidRPr="00DA3080" w:rsidRDefault="001547C6">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 xml:space="preserve">Con la finalidad de explicar el régimen jurídico vigente aplicable a la modalidad de mínima cuantía, en este numeral se hará referencia a las normas del Decreto 1082 de 2015 que </w:t>
      </w:r>
      <w:r w:rsidR="001261F5" w:rsidRPr="00DA3080">
        <w:rPr>
          <w:rFonts w:ascii="Arial" w:eastAsia="Calibri" w:hAnsi="Arial" w:cs="Arial"/>
          <w:bCs/>
          <w:color w:val="000000" w:themeColor="text1"/>
          <w:sz w:val="22"/>
          <w:lang w:val="es-ES_tradnl"/>
        </w:rPr>
        <w:t>la regulan</w:t>
      </w:r>
      <w:r w:rsidRPr="00DA3080">
        <w:rPr>
          <w:rFonts w:ascii="Arial" w:eastAsia="Calibri" w:hAnsi="Arial" w:cs="Arial"/>
          <w:bCs/>
          <w:color w:val="000000" w:themeColor="text1"/>
          <w:sz w:val="22"/>
          <w:lang w:val="es-ES_tradnl"/>
        </w:rPr>
        <w:t xml:space="preserve">, antes de la reciente </w:t>
      </w:r>
      <w:r w:rsidR="00903EB8" w:rsidRPr="00DA3080">
        <w:rPr>
          <w:rFonts w:ascii="Arial" w:eastAsia="Calibri" w:hAnsi="Arial" w:cs="Arial"/>
          <w:bCs/>
          <w:color w:val="000000" w:themeColor="text1"/>
          <w:sz w:val="22"/>
          <w:lang w:val="es-ES_tradnl"/>
        </w:rPr>
        <w:t>expedición</w:t>
      </w:r>
      <w:r w:rsidRPr="00DA3080">
        <w:rPr>
          <w:rFonts w:ascii="Arial" w:eastAsia="Calibri" w:hAnsi="Arial" w:cs="Arial"/>
          <w:bCs/>
          <w:color w:val="000000" w:themeColor="text1"/>
          <w:sz w:val="22"/>
          <w:lang w:val="es-ES_tradnl"/>
        </w:rPr>
        <w:t xml:space="preserve"> </w:t>
      </w:r>
      <w:r w:rsidR="00903EB8" w:rsidRPr="00DA3080">
        <w:rPr>
          <w:rFonts w:ascii="Arial" w:eastAsia="Calibri" w:hAnsi="Arial" w:cs="Arial"/>
          <w:bCs/>
          <w:color w:val="000000" w:themeColor="text1"/>
          <w:sz w:val="22"/>
          <w:lang w:val="es-ES_tradnl"/>
        </w:rPr>
        <w:t>d</w:t>
      </w:r>
      <w:r w:rsidRPr="00DA3080">
        <w:rPr>
          <w:rFonts w:ascii="Arial" w:eastAsia="Calibri" w:hAnsi="Arial" w:cs="Arial"/>
          <w:bCs/>
          <w:color w:val="000000" w:themeColor="text1"/>
          <w:sz w:val="22"/>
          <w:lang w:val="es-ES_tradnl"/>
        </w:rPr>
        <w:t>el Decreto 1860 del 24 de diciembre de 2021, «por el cual se modifica y adiciona el Decreto 1082 de 2015,</w:t>
      </w:r>
      <w:r w:rsidR="006D7173"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Único Reglamentario del Sector Administrativo de Planeación Nacional,</w:t>
      </w:r>
      <w:r w:rsidR="006D7173"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 xml:space="preserve">con el fin </w:t>
      </w:r>
      <w:r w:rsidR="00C4185F" w:rsidRPr="00DA3080">
        <w:rPr>
          <w:rFonts w:ascii="Arial" w:eastAsia="Calibri" w:hAnsi="Arial" w:cs="Arial"/>
          <w:bCs/>
          <w:color w:val="000000" w:themeColor="text1"/>
          <w:sz w:val="22"/>
          <w:lang w:val="es-ES_tradnl"/>
        </w:rPr>
        <w:t xml:space="preserve">de </w:t>
      </w:r>
      <w:r w:rsidRPr="00DA3080">
        <w:rPr>
          <w:rFonts w:ascii="Arial" w:eastAsia="Calibri" w:hAnsi="Arial" w:cs="Arial"/>
          <w:bCs/>
          <w:color w:val="000000" w:themeColor="text1"/>
          <w:sz w:val="22"/>
          <w:lang w:val="es-ES_tradnl"/>
        </w:rPr>
        <w:t>reglamentar los artículos 30,</w:t>
      </w:r>
      <w:r w:rsidR="006D7173"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31,</w:t>
      </w:r>
      <w:r w:rsidR="006D7173"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32,</w:t>
      </w:r>
      <w:r w:rsidR="006D7173"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 xml:space="preserve">34 </w:t>
      </w:r>
      <w:r w:rsidR="00C52881" w:rsidRPr="00DA3080">
        <w:rPr>
          <w:rFonts w:ascii="Arial" w:eastAsia="Calibri" w:hAnsi="Arial" w:cs="Arial"/>
          <w:bCs/>
          <w:color w:val="000000" w:themeColor="text1"/>
          <w:sz w:val="22"/>
          <w:lang w:val="es-ES_tradnl"/>
        </w:rPr>
        <w:t>y</w:t>
      </w:r>
      <w:r w:rsidRPr="00DA3080">
        <w:rPr>
          <w:rFonts w:ascii="Arial" w:eastAsia="Calibri" w:hAnsi="Arial" w:cs="Arial"/>
          <w:bCs/>
          <w:color w:val="000000" w:themeColor="text1"/>
          <w:sz w:val="22"/>
          <w:lang w:val="es-ES_tradnl"/>
        </w:rPr>
        <w:t xml:space="preserve"> 35 de la</w:t>
      </w:r>
      <w:r w:rsidR="006D7173"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Ley 2069 de 2020,</w:t>
      </w:r>
      <w:r w:rsidR="006D7173"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 xml:space="preserve">en lo relativo al sistema de compras públicas y se </w:t>
      </w:r>
      <w:r w:rsidRPr="00DA3080">
        <w:rPr>
          <w:rFonts w:ascii="Arial" w:eastAsia="Calibri" w:hAnsi="Arial" w:cs="Arial"/>
          <w:bCs/>
          <w:color w:val="000000" w:themeColor="text1"/>
          <w:sz w:val="22"/>
          <w:lang w:val="es-ES_tradnl"/>
        </w:rPr>
        <w:lastRenderedPageBreak/>
        <w:t>dictan otras disposiciones</w:t>
      </w:r>
      <w:r w:rsidR="00567D5C" w:rsidRPr="00DA3080">
        <w:rPr>
          <w:rFonts w:ascii="Arial" w:eastAsia="Calibri" w:hAnsi="Arial" w:cs="Arial"/>
          <w:bCs/>
          <w:color w:val="000000" w:themeColor="text1"/>
          <w:sz w:val="22"/>
          <w:lang w:val="es-ES_tradnl"/>
        </w:rPr>
        <w:t xml:space="preserve">». </w:t>
      </w:r>
      <w:r w:rsidR="005C26A7" w:rsidRPr="00DA3080">
        <w:rPr>
          <w:rFonts w:ascii="Arial" w:eastAsia="Calibri" w:hAnsi="Arial" w:cs="Arial"/>
          <w:bCs/>
          <w:color w:val="000000" w:themeColor="text1"/>
          <w:sz w:val="22"/>
          <w:lang w:val="es-ES_tradnl"/>
        </w:rPr>
        <w:t>De esta manera</w:t>
      </w:r>
      <w:r w:rsidR="000D7279" w:rsidRPr="00DA3080">
        <w:rPr>
          <w:rFonts w:ascii="Arial" w:eastAsia="Calibri" w:hAnsi="Arial" w:cs="Arial"/>
          <w:bCs/>
          <w:color w:val="000000" w:themeColor="text1"/>
          <w:sz w:val="22"/>
          <w:lang w:val="es-ES_tradnl"/>
        </w:rPr>
        <w:t xml:space="preserve">, se reitera la advertencia en el sentido de que las referencias que se harán al Decreto 1082 de 2015 se entenderán antes de las modificaciones realizadas por el Decreto 1860. </w:t>
      </w:r>
    </w:p>
    <w:p w14:paraId="2CD4621A" w14:textId="3F0C888D" w:rsidR="000D7279" w:rsidRPr="00DA3080" w:rsidRDefault="00EB7E35">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r>
      <w:r w:rsidR="00567D5C" w:rsidRPr="00DA3080">
        <w:rPr>
          <w:rFonts w:ascii="Arial" w:eastAsia="Calibri" w:hAnsi="Arial" w:cs="Arial"/>
          <w:bCs/>
          <w:color w:val="000000" w:themeColor="text1"/>
          <w:sz w:val="22"/>
          <w:lang w:val="es-ES_tradnl"/>
        </w:rPr>
        <w:t xml:space="preserve">Este esquema de análisis resulta procedente, toda vez, que de acuerdo con el Decreto 1860 de 2021 </w:t>
      </w:r>
      <w:r w:rsidR="00903EB8" w:rsidRPr="00DA3080">
        <w:rPr>
          <w:rFonts w:ascii="Arial" w:eastAsia="Calibri" w:hAnsi="Arial" w:cs="Arial"/>
          <w:bCs/>
          <w:color w:val="000000" w:themeColor="text1"/>
          <w:sz w:val="22"/>
          <w:lang w:val="es-ES_tradnl"/>
        </w:rPr>
        <w:t xml:space="preserve">–al que se hará referencia en el numeral siguiente de este concepto– </w:t>
      </w:r>
      <w:r w:rsidR="00567D5C" w:rsidRPr="00DA3080">
        <w:rPr>
          <w:rFonts w:ascii="Arial" w:eastAsia="Calibri" w:hAnsi="Arial" w:cs="Arial"/>
          <w:bCs/>
          <w:color w:val="000000" w:themeColor="text1"/>
          <w:sz w:val="22"/>
          <w:lang w:val="es-ES_tradnl"/>
        </w:rPr>
        <w:t xml:space="preserve">las disposiciones </w:t>
      </w:r>
      <w:r w:rsidR="00C4185F" w:rsidRPr="00DA3080">
        <w:rPr>
          <w:rFonts w:ascii="Arial" w:eastAsia="Calibri" w:hAnsi="Arial" w:cs="Arial"/>
          <w:bCs/>
          <w:color w:val="000000" w:themeColor="text1"/>
          <w:sz w:val="22"/>
          <w:lang w:val="es-ES_tradnl"/>
        </w:rPr>
        <w:t>contenidas</w:t>
      </w:r>
      <w:r w:rsidR="00567D5C" w:rsidRPr="00DA3080">
        <w:rPr>
          <w:rFonts w:ascii="Arial" w:eastAsia="Calibri" w:hAnsi="Arial" w:cs="Arial"/>
          <w:bCs/>
          <w:color w:val="000000" w:themeColor="text1"/>
          <w:sz w:val="22"/>
          <w:lang w:val="es-ES_tradnl"/>
        </w:rPr>
        <w:t xml:space="preserve"> en dicho reglamento aplicarán a</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los</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procedimientos</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de</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selección</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cuya</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invitación,</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aviso</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de convocatoria o documento equivalente se publique a los tres (3)</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meses contados a partir de su</w:t>
      </w:r>
      <w:r w:rsidR="006D7173" w:rsidRPr="00DA3080">
        <w:rPr>
          <w:rFonts w:ascii="Arial" w:eastAsia="Calibri" w:hAnsi="Arial" w:cs="Arial"/>
          <w:bCs/>
          <w:color w:val="000000" w:themeColor="text1"/>
          <w:sz w:val="22"/>
          <w:lang w:val="es-ES_tradnl"/>
        </w:rPr>
        <w:t xml:space="preserve"> </w:t>
      </w:r>
      <w:r w:rsidR="00567D5C" w:rsidRPr="00DA3080">
        <w:rPr>
          <w:rFonts w:ascii="Arial" w:eastAsia="Calibri" w:hAnsi="Arial" w:cs="Arial"/>
          <w:bCs/>
          <w:color w:val="000000" w:themeColor="text1"/>
          <w:sz w:val="22"/>
          <w:lang w:val="es-ES_tradnl"/>
        </w:rPr>
        <w:t xml:space="preserve">expedición. </w:t>
      </w:r>
      <w:r w:rsidR="00903EB8" w:rsidRPr="00DA3080">
        <w:rPr>
          <w:rFonts w:ascii="Arial" w:eastAsia="Calibri" w:hAnsi="Arial" w:cs="Arial"/>
          <w:bCs/>
          <w:color w:val="000000" w:themeColor="text1"/>
          <w:sz w:val="22"/>
          <w:lang w:val="es-ES_tradnl"/>
        </w:rPr>
        <w:t>En tal sentido, tratándose de los procesos de mínima cuantía, dichas modificaciones tendrán efectos en los procesos cuya invitación se publique a partir del 24 de marzo de 2022.</w:t>
      </w:r>
      <w:r w:rsidR="0068071A" w:rsidRPr="00DA3080">
        <w:rPr>
          <w:rFonts w:ascii="Arial" w:eastAsia="Calibri" w:hAnsi="Arial" w:cs="Arial"/>
          <w:bCs/>
          <w:color w:val="000000" w:themeColor="text1"/>
          <w:sz w:val="22"/>
          <w:lang w:val="es-ES_tradnl"/>
        </w:rPr>
        <w:t xml:space="preserve"> </w:t>
      </w:r>
      <w:r w:rsidR="000D7279" w:rsidRPr="00DA3080">
        <w:rPr>
          <w:rFonts w:ascii="Arial" w:eastAsia="Calibri" w:hAnsi="Arial" w:cs="Arial"/>
          <w:bCs/>
          <w:color w:val="000000" w:themeColor="text1"/>
          <w:sz w:val="22"/>
          <w:lang w:val="es-ES_tradnl"/>
        </w:rPr>
        <w:t xml:space="preserve">Hecha la anterior precisión, a </w:t>
      </w:r>
      <w:r w:rsidR="001261F5" w:rsidRPr="00DA3080">
        <w:rPr>
          <w:rFonts w:ascii="Arial" w:eastAsia="Calibri" w:hAnsi="Arial" w:cs="Arial"/>
          <w:bCs/>
          <w:color w:val="000000" w:themeColor="text1"/>
          <w:sz w:val="22"/>
          <w:lang w:val="es-ES_tradnl"/>
        </w:rPr>
        <w:t>continuación,</w:t>
      </w:r>
      <w:r w:rsidR="000D7279" w:rsidRPr="00DA3080">
        <w:rPr>
          <w:rFonts w:ascii="Arial" w:eastAsia="Calibri" w:hAnsi="Arial" w:cs="Arial"/>
          <w:bCs/>
          <w:color w:val="000000" w:themeColor="text1"/>
          <w:sz w:val="22"/>
          <w:lang w:val="es-ES_tradnl"/>
        </w:rPr>
        <w:t xml:space="preserve"> se explicará cuál es el régimen vigente en la actualidad, </w:t>
      </w:r>
      <w:r w:rsidR="000F0F68" w:rsidRPr="00DA3080">
        <w:rPr>
          <w:rFonts w:ascii="Arial" w:eastAsia="Calibri" w:hAnsi="Arial" w:cs="Arial"/>
          <w:bCs/>
          <w:color w:val="000000" w:themeColor="text1"/>
          <w:sz w:val="22"/>
          <w:lang w:val="es-ES_tradnl"/>
        </w:rPr>
        <w:t>reiterando</w:t>
      </w:r>
      <w:r w:rsidR="000D7279" w:rsidRPr="00DA3080">
        <w:rPr>
          <w:rFonts w:ascii="Arial" w:eastAsia="Calibri" w:hAnsi="Arial" w:cs="Arial"/>
          <w:bCs/>
          <w:color w:val="000000" w:themeColor="text1"/>
          <w:sz w:val="22"/>
          <w:lang w:val="es-ES_tradnl"/>
        </w:rPr>
        <w:t xml:space="preserve"> la interpretación </w:t>
      </w:r>
      <w:r w:rsidR="000F0F68" w:rsidRPr="00DA3080">
        <w:rPr>
          <w:rFonts w:ascii="Arial" w:eastAsia="Calibri" w:hAnsi="Arial" w:cs="Arial"/>
          <w:bCs/>
          <w:color w:val="000000" w:themeColor="text1"/>
          <w:sz w:val="22"/>
          <w:lang w:val="es-ES_tradnl"/>
        </w:rPr>
        <w:t>realizada por</w:t>
      </w:r>
      <w:r w:rsidR="000D7279" w:rsidRPr="00DA3080">
        <w:rPr>
          <w:rFonts w:ascii="Arial" w:eastAsia="Calibri" w:hAnsi="Arial" w:cs="Arial"/>
          <w:bCs/>
          <w:color w:val="000000" w:themeColor="text1"/>
          <w:sz w:val="22"/>
          <w:lang w:val="es-ES_tradnl"/>
        </w:rPr>
        <w:t xml:space="preserve"> la Agencia en conceptos anteriores</w:t>
      </w:r>
      <w:r w:rsidR="000D7279" w:rsidRPr="00DA3080">
        <w:rPr>
          <w:rStyle w:val="Refdenotaalpie"/>
          <w:rFonts w:ascii="Arial" w:eastAsia="Calibri" w:hAnsi="Arial" w:cs="Arial"/>
          <w:bCs/>
          <w:color w:val="000000" w:themeColor="text1"/>
          <w:sz w:val="22"/>
          <w:lang w:val="es-ES_tradnl"/>
        </w:rPr>
        <w:footnoteReference w:id="17"/>
      </w:r>
      <w:r w:rsidR="000D7279" w:rsidRPr="00DA3080">
        <w:rPr>
          <w:rFonts w:ascii="Arial" w:eastAsia="Calibri" w:hAnsi="Arial" w:cs="Arial"/>
          <w:bCs/>
          <w:color w:val="000000" w:themeColor="text1"/>
          <w:sz w:val="22"/>
          <w:lang w:val="es-ES_tradnl"/>
        </w:rPr>
        <w:t>.</w:t>
      </w:r>
    </w:p>
    <w:p w14:paraId="52A967BD" w14:textId="6A7A5939" w:rsidR="00D14890" w:rsidRPr="00DA3080" w:rsidRDefault="000D7279">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 xml:space="preserve"> </w:t>
      </w:r>
      <w:r w:rsidR="0068071A" w:rsidRPr="00DA3080">
        <w:rPr>
          <w:rFonts w:ascii="Arial" w:eastAsia="Calibri" w:hAnsi="Arial" w:cs="Arial"/>
          <w:bCs/>
          <w:color w:val="000000" w:themeColor="text1"/>
          <w:sz w:val="22"/>
          <w:lang w:val="es-ES_tradnl"/>
        </w:rPr>
        <w:tab/>
      </w:r>
      <w:r w:rsidR="00D14890" w:rsidRPr="00DA3080">
        <w:rPr>
          <w:rFonts w:ascii="Arial" w:eastAsia="Calibri" w:hAnsi="Arial" w:cs="Arial"/>
          <w:bCs/>
          <w:color w:val="000000" w:themeColor="text1"/>
          <w:sz w:val="22"/>
          <w:lang w:val="es-ES_tradnl"/>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9" w:name="_Hlk69566698"/>
      <w:r w:rsidR="00D14890" w:rsidRPr="00DA3080">
        <w:rPr>
          <w:rFonts w:ascii="Arial" w:eastAsia="Calibri" w:hAnsi="Arial" w:cs="Arial"/>
          <w:bCs/>
          <w:color w:val="000000" w:themeColor="text1"/>
          <w:sz w:val="22"/>
          <w:lang w:val="es-ES_tradnl"/>
        </w:rPr>
        <w:t>el artículo 94 de la Ley 1474 de 2011</w:t>
      </w:r>
      <w:bookmarkEnd w:id="9"/>
      <w:r w:rsidR="00D14890" w:rsidRPr="00DA3080">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00D14890" w:rsidRPr="00DA3080">
        <w:rPr>
          <w:rStyle w:val="Refdenotaalpie"/>
          <w:rFonts w:ascii="Arial" w:eastAsia="Calibri" w:hAnsi="Arial" w:cs="Arial"/>
          <w:bCs/>
          <w:color w:val="000000" w:themeColor="text1"/>
          <w:sz w:val="22"/>
          <w:lang w:val="es-ES_tradnl"/>
        </w:rPr>
        <w:footnoteReference w:id="18"/>
      </w:r>
      <w:r w:rsidR="00D14890" w:rsidRPr="00DA3080">
        <w:rPr>
          <w:rFonts w:ascii="Arial" w:eastAsia="Calibri" w:hAnsi="Arial" w:cs="Arial"/>
          <w:bCs/>
          <w:color w:val="000000" w:themeColor="text1"/>
          <w:sz w:val="22"/>
          <w:lang w:val="es-ES_tradnl"/>
        </w:rPr>
        <w:t>.</w:t>
      </w:r>
    </w:p>
    <w:p w14:paraId="47FD945A" w14:textId="7777777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En esencia, el artículo 30 de la Ley 2069 de 2020 conserva a grandes rasgos el procedimiento previsto en el derogado artículo 94 de la Ley 1474 de 2011, el cual define </w:t>
      </w:r>
      <w:r w:rsidRPr="00DA3080">
        <w:rPr>
          <w:rFonts w:ascii="Arial" w:eastAsia="Calibri" w:hAnsi="Arial" w:cs="Arial"/>
          <w:bCs/>
          <w:color w:val="000000" w:themeColor="text1"/>
          <w:sz w:val="22"/>
          <w:lang w:val="es-ES_tradnl"/>
        </w:rPr>
        <w:lastRenderedPageBreak/>
        <w:t>los aspectos generales del procedimiento contractual</w:t>
      </w:r>
      <w:r w:rsidRPr="00DA3080">
        <w:rPr>
          <w:rStyle w:val="Refdenotaalpie"/>
          <w:rFonts w:ascii="Arial" w:eastAsia="Calibri" w:hAnsi="Arial" w:cs="Arial"/>
          <w:bCs/>
          <w:color w:val="000000" w:themeColor="text1"/>
          <w:sz w:val="22"/>
          <w:lang w:val="es-ES_tradnl"/>
        </w:rPr>
        <w:footnoteReference w:id="19"/>
      </w:r>
      <w:r w:rsidRPr="00DA3080">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DA3080">
        <w:rPr>
          <w:rFonts w:ascii="Arial" w:eastAsia="Calibri" w:hAnsi="Arial" w:cs="Arial"/>
          <w:bCs/>
          <w:i/>
          <w:iCs/>
          <w:color w:val="000000" w:themeColor="text1"/>
          <w:sz w:val="22"/>
          <w:lang w:val="es-ES_tradnl"/>
        </w:rPr>
        <w:t xml:space="preserve">a </w:t>
      </w:r>
      <w:proofErr w:type="spellStart"/>
      <w:r w:rsidRPr="00DA3080">
        <w:rPr>
          <w:rFonts w:ascii="Arial" w:eastAsia="Calibri" w:hAnsi="Arial" w:cs="Arial"/>
          <w:bCs/>
          <w:i/>
          <w:i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6631209A" w14:textId="7777777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Esta modificación es importante, pues antes de la Ley de Emprendimiento era imposible limitar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DA3080">
        <w:rPr>
          <w:rFonts w:ascii="Arial" w:hAnsi="Arial" w:cs="Arial"/>
          <w:color w:val="000000"/>
          <w:sz w:val="22"/>
          <w:lang w:val="es-ES_tradnl"/>
        </w:rPr>
        <w:t xml:space="preserve">», ni </w:t>
      </w:r>
      <w:r w:rsidRPr="00DA3080">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en esta modalidad de selección.</w:t>
      </w:r>
    </w:p>
    <w:p w14:paraId="05BCA0F8" w14:textId="6114F22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Como se observa, el parágrafo 1 del artículo 30 de la Ley 2069 de 2020 dispone que el reglamento es importante para regular</w:t>
      </w:r>
      <w:r w:rsidR="004D402A"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i) las «particularidades del procedimiento de selección» y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xml:space="preserve">) la posibilidad de realizar estas adquisiciones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o establecimientos que correspondan a la definición de «gran almacén»</w:t>
      </w:r>
      <w:r w:rsidR="004D402A" w:rsidRPr="00DA3080">
        <w:rPr>
          <w:rFonts w:ascii="Arial" w:eastAsia="Calibri" w:hAnsi="Arial" w:cs="Arial"/>
          <w:bCs/>
          <w:color w:val="000000" w:themeColor="text1"/>
          <w:sz w:val="22"/>
          <w:lang w:val="es-ES_tradnl"/>
        </w:rPr>
        <w:t xml:space="preserve">, desarrollos que se realizaron mediante el Decreto 1860 del 24 de diciembre de 2021, pero que solo resulta aplicable para los procesos de mínima cuantía, cuya invitación se publique a partir del </w:t>
      </w:r>
      <w:r w:rsidR="00683714" w:rsidRPr="00DA3080">
        <w:rPr>
          <w:rFonts w:ascii="Arial" w:eastAsia="Calibri" w:hAnsi="Arial" w:cs="Arial"/>
          <w:bCs/>
          <w:color w:val="000000" w:themeColor="text1"/>
          <w:sz w:val="22"/>
          <w:lang w:val="es-ES_tradnl"/>
        </w:rPr>
        <w:t>24 de marzo de 2022</w:t>
      </w:r>
      <w:r w:rsidRPr="00DA3080">
        <w:rPr>
          <w:rFonts w:ascii="Arial" w:eastAsia="Calibri" w:hAnsi="Arial" w:cs="Arial"/>
          <w:bCs/>
          <w:color w:val="000000" w:themeColor="text1"/>
          <w:sz w:val="22"/>
          <w:lang w:val="es-ES_tradnl"/>
        </w:rPr>
        <w:t xml:space="preserve">. No obstante, </w:t>
      </w:r>
      <w:r w:rsidR="00683714" w:rsidRPr="00DA3080">
        <w:rPr>
          <w:rFonts w:ascii="Arial" w:eastAsia="Calibri" w:hAnsi="Arial" w:cs="Arial"/>
          <w:bCs/>
          <w:color w:val="000000" w:themeColor="text1"/>
          <w:sz w:val="22"/>
          <w:lang w:val="es-ES_tradnl"/>
        </w:rPr>
        <w:t>mientras empiezan a regir las disposiciones del Decreto 1860</w:t>
      </w:r>
      <w:r w:rsidR="00CA441D" w:rsidRPr="00DA3080">
        <w:rPr>
          <w:rFonts w:ascii="Arial" w:eastAsia="Calibri" w:hAnsi="Arial" w:cs="Arial"/>
          <w:bCs/>
          <w:color w:val="000000" w:themeColor="text1"/>
          <w:sz w:val="22"/>
          <w:lang w:val="es-ES_tradnl"/>
        </w:rPr>
        <w:t xml:space="preserve"> de 2021,</w:t>
      </w:r>
      <w:r w:rsidR="00683714" w:rsidRPr="00DA3080">
        <w:rPr>
          <w:rFonts w:ascii="Arial" w:eastAsia="Calibri" w:hAnsi="Arial" w:cs="Arial"/>
          <w:bCs/>
          <w:color w:val="000000" w:themeColor="text1"/>
          <w:sz w:val="22"/>
          <w:lang w:val="es-ES_tradnl"/>
        </w:rPr>
        <w:t xml:space="preserve"> </w:t>
      </w:r>
      <w:r w:rsidRPr="00DA3080">
        <w:rPr>
          <w:rFonts w:ascii="Arial" w:eastAsia="Calibri" w:hAnsi="Arial" w:cs="Arial"/>
          <w:bCs/>
          <w:color w:val="000000" w:themeColor="text1"/>
          <w:sz w:val="22"/>
          <w:lang w:val="es-ES_tradnl"/>
        </w:rPr>
        <w:t>¿</w:t>
      </w:r>
      <w:r w:rsidR="0018455A" w:rsidRPr="00DA3080">
        <w:rPr>
          <w:rFonts w:ascii="Arial" w:eastAsia="Calibri" w:hAnsi="Arial" w:cs="Arial"/>
          <w:bCs/>
          <w:color w:val="000000" w:themeColor="text1"/>
          <w:sz w:val="22"/>
          <w:lang w:val="es-ES_tradnl"/>
        </w:rPr>
        <w:t xml:space="preserve">era </w:t>
      </w:r>
      <w:r w:rsidRPr="00DA3080">
        <w:rPr>
          <w:rFonts w:ascii="Arial" w:eastAsia="Calibri" w:hAnsi="Arial" w:cs="Arial"/>
          <w:bCs/>
          <w:color w:val="000000" w:themeColor="text1"/>
          <w:sz w:val="22"/>
          <w:lang w:val="es-ES_tradnl"/>
        </w:rPr>
        <w:t>necesario el desarrollo normativo para la vigencia de la mínima cuantía? En principio, la respuesta positiva a esta inquietud se fundamentaría en la necesidad de que el reglamento precise los detalles del procedimiento de selección</w:t>
      </w:r>
      <w:r w:rsidR="004D402A" w:rsidRPr="00DA3080">
        <w:rPr>
          <w:rFonts w:ascii="Arial" w:eastAsia="Calibri" w:hAnsi="Arial" w:cs="Arial"/>
          <w:bCs/>
          <w:color w:val="000000" w:themeColor="text1"/>
          <w:sz w:val="22"/>
          <w:lang w:val="es-ES_tradnl"/>
        </w:rPr>
        <w:t>.</w:t>
      </w:r>
    </w:p>
    <w:p w14:paraId="30780896" w14:textId="77777777"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La Subdirección de Gestión Contractual no comparte esta tesis, porque si la ley define los aspectos generales del procedimiento, estos vinculan directamente a las </w:t>
      </w:r>
      <w:r w:rsidRPr="00DA3080">
        <w:rPr>
          <w:rFonts w:ascii="Arial" w:eastAsia="Calibri" w:hAnsi="Arial" w:cs="Arial"/>
          <w:bCs/>
          <w:color w:val="000000" w:themeColor="text1"/>
          <w:sz w:val="22"/>
          <w:lang w:val="es-ES_tradnl"/>
        </w:rPr>
        <w:lastRenderedPageBreak/>
        <w:t>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DA3080">
        <w:rPr>
          <w:rStyle w:val="Refdenotaalpie"/>
          <w:rFonts w:ascii="Arial" w:eastAsia="Calibri" w:hAnsi="Arial" w:cs="Arial"/>
          <w:bCs/>
          <w:color w:val="000000" w:themeColor="text1"/>
          <w:sz w:val="22"/>
          <w:lang w:val="es-ES_tradnl"/>
        </w:rPr>
        <w:footnoteReference w:id="20"/>
      </w:r>
      <w:r w:rsidRPr="00DA3080">
        <w:rPr>
          <w:rFonts w:ascii="Arial" w:eastAsia="Calibri" w:hAnsi="Arial" w:cs="Arial"/>
          <w:bCs/>
          <w:color w:val="000000" w:themeColor="text1"/>
          <w:sz w:val="22"/>
          <w:lang w:val="es-ES_tradnl"/>
        </w:rPr>
        <w:t xml:space="preserve">. </w:t>
      </w:r>
    </w:p>
    <w:p w14:paraId="07EE28B4" w14:textId="7ACC8CA2" w:rsidR="00D14890" w:rsidRPr="00DA3080" w:rsidRDefault="00D14890" w:rsidP="00BF0F70">
      <w:pPr>
        <w:spacing w:after="120"/>
        <w:rPr>
          <w:rFonts w:ascii="Arial" w:eastAsia="Calibri" w:hAnsi="Arial" w:cs="Arial"/>
          <w:color w:val="000000" w:themeColor="text1"/>
          <w:sz w:val="22"/>
          <w:lang w:val="es-ES_tradnl"/>
        </w:rPr>
      </w:pPr>
      <w:r w:rsidRPr="00DA3080">
        <w:rPr>
          <w:rFonts w:ascii="Arial" w:eastAsia="Calibri" w:hAnsi="Arial" w:cs="Arial"/>
          <w:bCs/>
          <w:color w:val="000000" w:themeColor="text1"/>
          <w:sz w:val="22"/>
          <w:lang w:val="es-ES_tradnl"/>
        </w:rPr>
        <w:tab/>
        <w:t xml:space="preserve">Por tanto, dado que </w:t>
      </w:r>
      <w:bookmarkStart w:id="10" w:name="_Hlk69400380"/>
      <w:r w:rsidRPr="00DA3080">
        <w:rPr>
          <w:rFonts w:ascii="Arial" w:eastAsia="Calibri" w:hAnsi="Arial" w:cs="Arial"/>
          <w:bCs/>
          <w:color w:val="000000" w:themeColor="text1"/>
          <w:sz w:val="22"/>
          <w:lang w:val="es-ES_tradnl"/>
        </w:rPr>
        <w:t>el artículo 30 de la Ley 2069 de 2020</w:t>
      </w:r>
      <w:bookmarkEnd w:id="10"/>
      <w:r w:rsidRPr="00DA3080">
        <w:rPr>
          <w:rFonts w:ascii="Arial" w:eastAsia="Calibri" w:hAnsi="Arial" w:cs="Arial"/>
          <w:bCs/>
          <w:color w:val="000000" w:themeColor="text1"/>
          <w:sz w:val="22"/>
          <w:lang w:val="es-ES_tradnl"/>
        </w:rPr>
        <w:t xml:space="preserve"> regula aspectos de la mínima cuantía como</w:t>
      </w:r>
      <w:r w:rsidR="00B429FC"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i) el término mínimo para publicar la invitación,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xml:space="preserve">) el plazo mínimo de recepción de las ofertas, </w:t>
      </w:r>
      <w:proofErr w:type="spellStart"/>
      <w:r w:rsidRPr="00DA3080">
        <w:rPr>
          <w:rFonts w:ascii="Arial" w:eastAsia="Calibri" w:hAnsi="Arial" w:cs="Arial"/>
          <w:bCs/>
          <w:color w:val="000000" w:themeColor="text1"/>
          <w:sz w:val="22"/>
          <w:lang w:val="es-ES_tradnl"/>
        </w:rPr>
        <w:t>iii</w:t>
      </w:r>
      <w:proofErr w:type="spellEnd"/>
      <w:r w:rsidRPr="00DA3080">
        <w:rPr>
          <w:rFonts w:ascii="Arial" w:eastAsia="Calibri" w:hAnsi="Arial" w:cs="Arial"/>
          <w:bCs/>
          <w:color w:val="000000" w:themeColor="text1"/>
          <w:sz w:val="22"/>
          <w:lang w:val="es-ES_tradnl"/>
        </w:rPr>
        <w:t xml:space="preserve">) el factor de evaluación que define la selección del proponente y </w:t>
      </w:r>
      <w:proofErr w:type="spellStart"/>
      <w:r w:rsidRPr="00DA3080">
        <w:rPr>
          <w:rFonts w:ascii="Arial" w:eastAsia="Calibri" w:hAnsi="Arial" w:cs="Arial"/>
          <w:bCs/>
          <w:color w:val="000000" w:themeColor="text1"/>
          <w:sz w:val="22"/>
          <w:lang w:val="es-ES_tradnl"/>
        </w:rPr>
        <w:t>iv</w:t>
      </w:r>
      <w:proofErr w:type="spellEnd"/>
      <w:r w:rsidRPr="00DA3080">
        <w:rPr>
          <w:rFonts w:ascii="Arial" w:eastAsia="Calibri" w:hAnsi="Arial" w:cs="Arial"/>
          <w:bCs/>
          <w:color w:val="000000" w:themeColor="text1"/>
          <w:sz w:val="22"/>
          <w:lang w:val="es-ES_tradnl"/>
        </w:rPr>
        <w:t>) el perfeccionamiento del contrato, las entidades deben estructurar sus procedimientos de selección de acuerdo con estos parámetros, los cuales tienen una aplicación inmediata sin que el reglamento condicione su vigencia</w:t>
      </w:r>
      <w:r w:rsidR="00683714" w:rsidRPr="00DA3080">
        <w:rPr>
          <w:rFonts w:ascii="Arial" w:eastAsia="Calibri" w:hAnsi="Arial" w:cs="Arial"/>
          <w:bCs/>
          <w:color w:val="000000" w:themeColor="text1"/>
          <w:sz w:val="22"/>
          <w:lang w:val="es-ES_tradnl"/>
        </w:rPr>
        <w:t xml:space="preserve"> efectiva</w:t>
      </w:r>
      <w:r w:rsidRPr="00DA3080">
        <w:rPr>
          <w:rFonts w:ascii="Arial" w:eastAsia="Calibri" w:hAnsi="Arial" w:cs="Arial"/>
          <w:bCs/>
          <w:color w:val="000000" w:themeColor="text1"/>
          <w:sz w:val="22"/>
          <w:lang w:val="es-ES_tradnl"/>
        </w:rPr>
        <w:t xml:space="preserve">. En otras palabras, la mínima cuantía es directamente aplicable, sin perjuicio de que a través del ejercicio de la potestad reglamentaria se desarrolle específicamente la «Singularidad, especialidad e individualidad» del trámite, así como </w:t>
      </w:r>
      <w:r w:rsidR="004D402A" w:rsidRPr="00DA3080">
        <w:rPr>
          <w:rFonts w:ascii="Arial" w:eastAsia="Calibri" w:hAnsi="Arial" w:cs="Arial"/>
          <w:bCs/>
          <w:color w:val="000000" w:themeColor="text1"/>
          <w:sz w:val="22"/>
          <w:lang w:val="es-ES_tradnl"/>
        </w:rPr>
        <w:t xml:space="preserve">la </w:t>
      </w:r>
      <w:r w:rsidRPr="00DA3080">
        <w:rPr>
          <w:rFonts w:ascii="Arial" w:eastAsia="Calibri" w:hAnsi="Arial" w:cs="Arial"/>
          <w:bCs/>
          <w:color w:val="000000" w:themeColor="text1"/>
          <w:sz w:val="22"/>
          <w:lang w:val="es-ES_tradnl"/>
        </w:rPr>
        <w:t xml:space="preserve">realización </w:t>
      </w:r>
      <w:r w:rsidR="00BC6406" w:rsidRPr="00DA3080">
        <w:rPr>
          <w:rFonts w:ascii="Arial" w:eastAsia="Calibri" w:hAnsi="Arial" w:cs="Arial"/>
          <w:bCs/>
          <w:color w:val="000000" w:themeColor="text1"/>
          <w:sz w:val="22"/>
          <w:lang w:val="es-ES_tradnl"/>
        </w:rPr>
        <w:t xml:space="preserve">de </w:t>
      </w:r>
      <w:r w:rsidRPr="00DA3080">
        <w:rPr>
          <w:rFonts w:ascii="Arial" w:eastAsia="Calibri" w:hAnsi="Arial" w:cs="Arial"/>
          <w:bCs/>
          <w:color w:val="000000" w:themeColor="text1"/>
          <w:sz w:val="22"/>
          <w:lang w:val="es-ES_tradnl"/>
        </w:rPr>
        <w:t xml:space="preserve">estas adquisiciones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o establecimientos que correspondan a la definición de «gran almacén»</w:t>
      </w:r>
      <w:r w:rsidR="00683714" w:rsidRPr="00DA3080">
        <w:rPr>
          <w:rFonts w:ascii="Arial" w:eastAsia="Calibri" w:hAnsi="Arial" w:cs="Arial"/>
          <w:bCs/>
          <w:color w:val="000000" w:themeColor="text1"/>
          <w:sz w:val="22"/>
          <w:lang w:val="es-ES_tradnl"/>
        </w:rPr>
        <w:t>, lo cual se realizó mediante el Decreto 1860 del 24 de diciembre de 2021, pero que solo resulta aplicable para los procesos de mínima cuantía, cuya invitación se publique a partir del 24 de marzo de 2022</w:t>
      </w:r>
      <w:r w:rsidRPr="00DA3080">
        <w:rPr>
          <w:rFonts w:ascii="Arial" w:eastAsia="Calibri" w:hAnsi="Arial" w:cs="Arial"/>
          <w:bCs/>
          <w:color w:val="000000" w:themeColor="text1"/>
          <w:sz w:val="22"/>
          <w:lang w:val="es-ES_tradnl"/>
        </w:rPr>
        <w:t>.</w:t>
      </w:r>
      <w:r w:rsidRPr="00DA3080">
        <w:rPr>
          <w:rFonts w:ascii="Arial" w:eastAsia="Calibri" w:hAnsi="Arial" w:cs="Arial"/>
          <w:color w:val="000000" w:themeColor="text1"/>
          <w:sz w:val="22"/>
          <w:lang w:val="es-ES_tradnl"/>
        </w:rPr>
        <w:t xml:space="preserve"> </w:t>
      </w:r>
      <w:bookmarkStart w:id="11" w:name="_Hlk69580333"/>
      <w:r w:rsidR="00683714" w:rsidRPr="00DA3080">
        <w:rPr>
          <w:rFonts w:ascii="Arial" w:eastAsia="Calibri" w:hAnsi="Arial" w:cs="Arial"/>
          <w:color w:val="000000" w:themeColor="text1"/>
          <w:sz w:val="22"/>
          <w:lang w:val="es-ES_tradnl"/>
        </w:rPr>
        <w:t xml:space="preserve">Teniendo en cuenta lo anterior, bajo </w:t>
      </w:r>
      <w:r w:rsidR="00BC6406" w:rsidRPr="00DA3080">
        <w:rPr>
          <w:rFonts w:ascii="Arial" w:eastAsia="Calibri" w:hAnsi="Arial" w:cs="Arial"/>
          <w:color w:val="000000" w:themeColor="text1"/>
          <w:sz w:val="22"/>
          <w:lang w:val="es-ES_tradnl"/>
        </w:rPr>
        <w:t>el marco jurídico actual</w:t>
      </w:r>
      <w:r w:rsidR="00683714" w:rsidRPr="00DA3080">
        <w:rPr>
          <w:rFonts w:ascii="Arial" w:eastAsia="Calibri" w:hAnsi="Arial" w:cs="Arial"/>
          <w:color w:val="000000" w:themeColor="text1"/>
          <w:sz w:val="22"/>
          <w:lang w:val="es-ES_tradnl"/>
        </w:rPr>
        <w:t xml:space="preserve"> es posible afirmar que </w:t>
      </w:r>
      <w:r w:rsidRPr="00DA3080">
        <w:rPr>
          <w:rFonts w:ascii="Arial" w:eastAsia="Calibri" w:hAnsi="Arial" w:cs="Arial"/>
          <w:color w:val="000000" w:themeColor="text1"/>
          <w:sz w:val="22"/>
          <w:lang w:val="es-ES_tradnl"/>
        </w:rPr>
        <w:t xml:space="preserve">el artículo 30 de la Ley 2069 de 2020 </w:t>
      </w:r>
      <w:bookmarkStart w:id="12" w:name="_Hlk69396275"/>
      <w:r w:rsidRPr="00DA3080">
        <w:rPr>
          <w:rFonts w:ascii="Arial" w:eastAsia="Calibri" w:hAnsi="Arial" w:cs="Arial"/>
          <w:color w:val="000000" w:themeColor="text1"/>
          <w:sz w:val="22"/>
          <w:lang w:val="es-ES_tradnl"/>
        </w:rPr>
        <w:t>sustituyó el contenido del numeral 5, del artículo 2 de la Ley 1150 de 2007</w:t>
      </w:r>
      <w:bookmarkEnd w:id="12"/>
      <w:r w:rsidRPr="00DA3080">
        <w:rPr>
          <w:rFonts w:ascii="Arial" w:eastAsia="Calibri" w:hAnsi="Arial" w:cs="Arial"/>
          <w:color w:val="000000" w:themeColor="text1"/>
          <w:sz w:val="22"/>
          <w:lang w:val="es-ES_tradnl"/>
        </w:rPr>
        <w:t xml:space="preserve">. </w:t>
      </w:r>
    </w:p>
    <w:p w14:paraId="569C3C6F" w14:textId="10FE7726" w:rsidR="00D14890" w:rsidRPr="00DA3080" w:rsidRDefault="00D14890" w:rsidP="00BF0F70">
      <w:pPr>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Para efectos de la consulta, resta precisar si con el artículo 30 de la Ley 2069 de 2020 están vigentes los artículos </w:t>
      </w:r>
      <w:r w:rsidR="00EC7CBE" w:rsidRPr="00DA3080">
        <w:rPr>
          <w:rFonts w:ascii="Arial" w:eastAsia="Calibri" w:hAnsi="Arial" w:cs="Arial"/>
          <w:color w:val="000000" w:themeColor="text1"/>
          <w:sz w:val="22"/>
          <w:lang w:val="es-ES_tradnl"/>
        </w:rPr>
        <w:t xml:space="preserve">originales </w:t>
      </w:r>
      <w:r w:rsidRPr="00DA3080">
        <w:rPr>
          <w:rFonts w:ascii="Arial" w:eastAsia="Calibri" w:hAnsi="Arial" w:cs="Arial"/>
          <w:color w:val="000000" w:themeColor="text1"/>
          <w:sz w:val="22"/>
          <w:lang w:val="es-ES_tradnl"/>
        </w:rPr>
        <w:t>2.2.1.2.1.5.1 al 2.2.1.2.1.5.4 del Decreto 1082 de 2015, que regulan el procedimiento de la mínima cuantía en el Decreto Único Reglamentario del Sector Administrativo de Planeación Nacional</w:t>
      </w:r>
      <w:r w:rsidR="00683714" w:rsidRPr="00DA3080">
        <w:rPr>
          <w:rFonts w:ascii="Arial" w:eastAsia="Calibri" w:hAnsi="Arial" w:cs="Arial"/>
          <w:color w:val="000000" w:themeColor="text1"/>
          <w:sz w:val="22"/>
          <w:lang w:val="es-ES_tradnl"/>
        </w:rPr>
        <w:t>, mientras entran a regir las modificaciones realizadas por el Decreto 1860 del 24 de diciembre de 2021</w:t>
      </w:r>
      <w:r w:rsidRPr="00DA3080">
        <w:rPr>
          <w:rFonts w:ascii="Arial" w:eastAsia="Calibri" w:hAnsi="Arial" w:cs="Arial"/>
          <w:color w:val="000000" w:themeColor="text1"/>
          <w:sz w:val="22"/>
          <w:lang w:val="es-ES_tradnl"/>
        </w:rPr>
        <w:t xml:space="preserve">. En otras palabras, ¿la modificación de la Ley de Emprendimiento en la mínima cuantía </w:t>
      </w:r>
      <w:r w:rsidR="00EC7CBE" w:rsidRPr="00DA3080">
        <w:rPr>
          <w:rFonts w:ascii="Arial" w:eastAsia="Calibri" w:hAnsi="Arial" w:cs="Arial"/>
          <w:color w:val="000000" w:themeColor="text1"/>
          <w:sz w:val="22"/>
          <w:lang w:val="es-ES_tradnl"/>
        </w:rPr>
        <w:t xml:space="preserve">supuso </w:t>
      </w:r>
      <w:r w:rsidRPr="00DA3080">
        <w:rPr>
          <w:rFonts w:ascii="Arial" w:eastAsia="Calibri" w:hAnsi="Arial" w:cs="Arial"/>
          <w:color w:val="000000" w:themeColor="text1"/>
          <w:sz w:val="22"/>
          <w:lang w:val="es-ES_tradnl"/>
        </w:rPr>
        <w:t xml:space="preserve">la desaparición del fundamento jurídico de los artículos </w:t>
      </w:r>
      <w:r w:rsidR="00EC7CBE" w:rsidRPr="00DA3080">
        <w:rPr>
          <w:rFonts w:ascii="Arial" w:eastAsia="Calibri" w:hAnsi="Arial" w:cs="Arial"/>
          <w:color w:val="000000" w:themeColor="text1"/>
          <w:sz w:val="22"/>
          <w:lang w:val="es-ES_tradnl"/>
        </w:rPr>
        <w:t xml:space="preserve">originales </w:t>
      </w:r>
      <w:r w:rsidRPr="00DA3080">
        <w:rPr>
          <w:rFonts w:ascii="Arial" w:eastAsia="Calibri" w:hAnsi="Arial" w:cs="Arial"/>
          <w:color w:val="000000" w:themeColor="text1"/>
          <w:sz w:val="22"/>
          <w:lang w:val="es-ES_tradnl"/>
        </w:rPr>
        <w:t xml:space="preserve">del decreto </w:t>
      </w:r>
      <w:r w:rsidR="00EC7CBE" w:rsidRPr="00DA3080">
        <w:rPr>
          <w:rFonts w:ascii="Arial" w:eastAsia="Calibri" w:hAnsi="Arial" w:cs="Arial"/>
          <w:color w:val="000000" w:themeColor="text1"/>
          <w:sz w:val="22"/>
          <w:lang w:val="es-ES_tradnl"/>
        </w:rPr>
        <w:t>1082 de 2015 –antes de la modificación realizada por el Decreto 1860–</w:t>
      </w:r>
      <w:r w:rsidRPr="00DA3080">
        <w:rPr>
          <w:rFonts w:ascii="Arial" w:eastAsia="Calibri" w:hAnsi="Arial" w:cs="Arial"/>
          <w:color w:val="000000" w:themeColor="text1"/>
          <w:sz w:val="22"/>
          <w:lang w:val="es-ES_tradnl"/>
        </w:rPr>
        <w:t xml:space="preserve">? </w:t>
      </w:r>
    </w:p>
    <w:p w14:paraId="42C74D42" w14:textId="2C33C744" w:rsidR="00D14890" w:rsidRPr="00DA3080" w:rsidRDefault="00D14890" w:rsidP="00BF0F70">
      <w:pPr>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En principio, dado que </w:t>
      </w:r>
      <w:bookmarkStart w:id="13" w:name="_Hlk69395804"/>
      <w:r w:rsidRPr="00DA3080">
        <w:rPr>
          <w:rFonts w:ascii="Arial" w:eastAsia="Calibri" w:hAnsi="Arial" w:cs="Arial"/>
          <w:color w:val="000000" w:themeColor="text1"/>
          <w:sz w:val="22"/>
          <w:lang w:val="es-ES_tradnl"/>
        </w:rPr>
        <w:t>el artículo 94 de la Ley 1474 de 2011</w:t>
      </w:r>
      <w:bookmarkEnd w:id="13"/>
      <w:r w:rsidRPr="00DA3080">
        <w:rPr>
          <w:rFonts w:ascii="Arial" w:eastAsia="Calibri" w:hAnsi="Arial" w:cs="Arial"/>
          <w:color w:val="000000" w:themeColor="text1"/>
          <w:sz w:val="22"/>
          <w:lang w:val="es-ES_tradnl"/>
        </w:rPr>
        <w:t xml:space="preserve"> fue subrogado por el artículo 30 de la Ley 2069 de 2020, podría concluirse la pérdida de fuerza ejecutoria –o decaimiento– de los artículos </w:t>
      </w:r>
      <w:r w:rsidR="00EC7CBE" w:rsidRPr="00DA3080">
        <w:rPr>
          <w:rFonts w:ascii="Arial" w:eastAsia="Calibri" w:hAnsi="Arial" w:cs="Arial"/>
          <w:color w:val="000000" w:themeColor="text1"/>
          <w:sz w:val="22"/>
          <w:lang w:val="es-ES_tradnl"/>
        </w:rPr>
        <w:t xml:space="preserve">originales </w:t>
      </w:r>
      <w:r w:rsidRPr="00DA3080">
        <w:rPr>
          <w:rFonts w:ascii="Arial" w:eastAsia="Calibri" w:hAnsi="Arial" w:cs="Arial"/>
          <w:color w:val="000000" w:themeColor="text1"/>
          <w:sz w:val="22"/>
          <w:lang w:val="es-ES_tradnl"/>
        </w:rPr>
        <w:t>2.2.1.2.1.5.1 al 2.2.1.2.1.5.4 del Decreto 1082 de 2015, de conformidad con lo establecido en el artículo 91, numeral 2, de la Ley 1437 de 2011</w:t>
      </w:r>
      <w:r w:rsidRPr="00DA3080">
        <w:rPr>
          <w:rStyle w:val="Refdenotaalpie"/>
          <w:rFonts w:ascii="Arial" w:eastAsia="Calibri" w:hAnsi="Arial" w:cs="Arial"/>
          <w:color w:val="000000" w:themeColor="text1"/>
          <w:sz w:val="22"/>
          <w:lang w:val="es-ES_tradnl"/>
        </w:rPr>
        <w:footnoteReference w:id="21"/>
      </w:r>
      <w:r w:rsidRPr="00DA3080">
        <w:rPr>
          <w:rFonts w:ascii="Arial" w:eastAsia="Calibri" w:hAnsi="Arial" w:cs="Arial"/>
          <w:color w:val="000000" w:themeColor="text1"/>
          <w:sz w:val="22"/>
          <w:lang w:val="es-ES_tradnl"/>
        </w:rPr>
        <w:t xml:space="preserve">. Esta conclusión podría sustentarse en dos (2) argumentos. </w:t>
      </w:r>
      <w:r w:rsidRPr="00DA3080">
        <w:rPr>
          <w:rFonts w:ascii="Arial" w:eastAsia="Calibri" w:hAnsi="Arial" w:cs="Arial"/>
          <w:i/>
          <w:iCs/>
          <w:color w:val="000000" w:themeColor="text1"/>
          <w:sz w:val="22"/>
          <w:lang w:val="es-ES_tradnl"/>
        </w:rPr>
        <w:t>Por un lado</w:t>
      </w:r>
      <w:r w:rsidRPr="00DA3080">
        <w:rPr>
          <w:rFonts w:ascii="Arial" w:eastAsia="Calibri" w:hAnsi="Arial" w:cs="Arial"/>
          <w:color w:val="000000" w:themeColor="text1"/>
          <w:sz w:val="22"/>
          <w:lang w:val="es-ES_tradnl"/>
        </w:rPr>
        <w:t xml:space="preserve">, en que el artículo 30 de la Ley 2069 de 2020, en el parágrafo primero, contiene un nuevo mandato de reglamentación. Esto significa que sería voluntad del legislador ordenarle al gobierno </w:t>
      </w:r>
      <w:r w:rsidRPr="00DA3080">
        <w:rPr>
          <w:rFonts w:ascii="Arial" w:eastAsia="Calibri" w:hAnsi="Arial" w:cs="Arial"/>
          <w:color w:val="000000" w:themeColor="text1"/>
          <w:sz w:val="22"/>
          <w:lang w:val="es-ES_tradnl"/>
        </w:rPr>
        <w:lastRenderedPageBreak/>
        <w:t xml:space="preserve">nacional que expidiera una nueva reglamentación en la que –además de regular la adquisición a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xml:space="preserve">– disponga las particularidades del procedimiento contractual. Por ello, ese mandato, que debería cumplirse en el futuro, mal podría entenderse satisfecho con normas reglamentarias del pasado, como son las </w:t>
      </w:r>
      <w:r w:rsidR="00EC7CBE" w:rsidRPr="00DA3080">
        <w:rPr>
          <w:rFonts w:ascii="Arial" w:eastAsia="Calibri" w:hAnsi="Arial" w:cs="Arial"/>
          <w:color w:val="000000" w:themeColor="text1"/>
          <w:sz w:val="22"/>
          <w:lang w:val="es-ES_tradnl"/>
        </w:rPr>
        <w:t xml:space="preserve">originales </w:t>
      </w:r>
      <w:r w:rsidRPr="00DA3080">
        <w:rPr>
          <w:rFonts w:ascii="Arial" w:eastAsia="Calibri" w:hAnsi="Arial" w:cs="Arial"/>
          <w:color w:val="000000" w:themeColor="text1"/>
          <w:sz w:val="22"/>
          <w:lang w:val="es-ES_tradnl"/>
        </w:rPr>
        <w:t xml:space="preserve">del Decreto 1082 de 2015. </w:t>
      </w:r>
      <w:r w:rsidRPr="00DA3080">
        <w:rPr>
          <w:rFonts w:ascii="Arial" w:eastAsia="Calibri" w:hAnsi="Arial" w:cs="Arial"/>
          <w:i/>
          <w:iCs/>
          <w:color w:val="000000" w:themeColor="text1"/>
          <w:sz w:val="22"/>
          <w:lang w:val="es-ES_tradnl"/>
        </w:rPr>
        <w:t>Por otra parte</w:t>
      </w:r>
      <w:r w:rsidRPr="00DA3080">
        <w:rPr>
          <w:rFonts w:ascii="Arial" w:eastAsia="Calibri" w:hAnsi="Arial" w:cs="Arial"/>
          <w:color w:val="000000" w:themeColor="text1"/>
          <w:sz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xml:space="preserve"> y de aplicar el artículo 12 de la Ley 1150 de 2007. Tales cambios exigen una reglamentación distinta del mandato legal, aunque esto no obsta para la aplicación inmediata del artículo 30 de la Ley 2069 de 2020</w:t>
      </w:r>
      <w:r w:rsidR="00EC7CBE" w:rsidRPr="00DA3080">
        <w:rPr>
          <w:rFonts w:ascii="Arial" w:eastAsia="Calibri" w:hAnsi="Arial" w:cs="Arial"/>
          <w:color w:val="000000" w:themeColor="text1"/>
          <w:sz w:val="22"/>
          <w:lang w:val="es-ES_tradnl"/>
        </w:rPr>
        <w:t>, esto es, antes de que empiecen a regir las disposiciones del Decreto 1860 del 24 de diciembre de 2021</w:t>
      </w:r>
      <w:r w:rsidRPr="00DA3080">
        <w:rPr>
          <w:rFonts w:ascii="Arial" w:eastAsia="Calibri" w:hAnsi="Arial" w:cs="Arial"/>
          <w:color w:val="000000" w:themeColor="text1"/>
          <w:sz w:val="22"/>
          <w:lang w:val="es-ES_tradnl"/>
        </w:rPr>
        <w:t>.</w:t>
      </w:r>
    </w:p>
    <w:p w14:paraId="72EBBC22" w14:textId="59705205" w:rsidR="00D14890" w:rsidRPr="00DA3080" w:rsidRDefault="00D14890" w:rsidP="00BF0F70">
      <w:pPr>
        <w:spacing w:after="0"/>
        <w:rPr>
          <w:rFonts w:ascii="Arial" w:eastAsia="Calibri" w:hAnsi="Arial" w:cs="Arial"/>
          <w:bCs/>
          <w:color w:val="000000" w:themeColor="text1"/>
          <w:sz w:val="22"/>
          <w:lang w:val="es-ES_tradnl"/>
        </w:rPr>
      </w:pPr>
      <w:r w:rsidRPr="00DA3080">
        <w:rPr>
          <w:rFonts w:ascii="Arial" w:eastAsia="Calibri" w:hAnsi="Arial" w:cs="Arial"/>
          <w:color w:val="000000" w:themeColor="text1"/>
          <w:sz w:val="22"/>
          <w:lang w:val="es-ES_tradnl"/>
        </w:rPr>
        <w:tab/>
        <w:t xml:space="preserve">Esta argumentación sería coherente con lo explicado por esta Agencia a partir del </w:t>
      </w:r>
      <w:r w:rsidRPr="00DA3080">
        <w:rPr>
          <w:rFonts w:ascii="Arial" w:eastAsia="Calibri" w:hAnsi="Arial" w:cs="Arial"/>
          <w:bCs/>
          <w:sz w:val="22"/>
          <w:lang w:val="es-ES_tradnl"/>
        </w:rPr>
        <w:t xml:space="preserve">Concepto C-043 del 9 de febrero de 2020, </w:t>
      </w:r>
      <w:r w:rsidRPr="00DA3080">
        <w:rPr>
          <w:rFonts w:ascii="Arial" w:eastAsia="Calibri" w:hAnsi="Arial" w:cs="Arial"/>
          <w:bCs/>
          <w:color w:val="000000" w:themeColor="text1"/>
          <w:sz w:val="22"/>
          <w:lang w:val="es-ES_tradnl"/>
        </w:rPr>
        <w:t xml:space="preserve">en relación con las convocatorias limitadas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sz w:val="22"/>
          <w:lang w:val="es-ES_tradnl"/>
        </w:rPr>
        <w:t xml:space="preserve">. Con las precisiones doctrinales posteriores, </w:t>
      </w:r>
      <w:r w:rsidRPr="00DA3080">
        <w:rPr>
          <w:rFonts w:ascii="Arial" w:eastAsia="Calibri" w:hAnsi="Arial" w:cs="Arial"/>
          <w:bCs/>
          <w:color w:val="000000" w:themeColor="text1"/>
          <w:sz w:val="22"/>
          <w:lang w:val="es-ES_tradnl"/>
        </w:rPr>
        <w:t xml:space="preserve">además de la pérdida de fuerza ejecutoria de los artículos 2.2.1.2.4.2.2 y 2.2.1.2.4.2.3 del Decreto 1082 de 2015 por la desaparición de su fundamento de derecho, se advierte una manifiesta oposición entre dichos enunciados normativos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DA3080">
        <w:rPr>
          <w:rFonts w:ascii="Arial" w:eastAsia="Calibri" w:hAnsi="Arial" w:cs="Arial"/>
          <w:bCs/>
          <w:color w:val="000000" w:themeColor="text1"/>
          <w:sz w:val="22"/>
          <w:lang w:val="es-ES_tradnl"/>
        </w:rPr>
        <w:t>esta</w:t>
      </w:r>
      <w:proofErr w:type="spellEnd"/>
      <w:r w:rsidRPr="00DA3080">
        <w:rPr>
          <w:rFonts w:ascii="Arial" w:eastAsia="Calibri" w:hAnsi="Arial" w:cs="Arial"/>
          <w:bCs/>
          <w:color w:val="000000" w:themeColor="text1"/>
          <w:sz w:val="22"/>
          <w:lang w:val="es-ES_tradnl"/>
        </w:rPr>
        <w:t xml:space="preserve"> «deroga […] todas las disposiciones que le sean contrarias». Por ello, puede afirmarse que, además del decaimiento de los artículos 2.2.1.2.4.2.2 y 2.2.1.2.4.2.3 </w:t>
      </w:r>
      <w:r w:rsidR="00BC58B3" w:rsidRPr="00DA3080">
        <w:rPr>
          <w:rFonts w:ascii="Arial" w:eastAsia="Calibri" w:hAnsi="Arial" w:cs="Arial"/>
          <w:bCs/>
          <w:color w:val="000000" w:themeColor="text1"/>
          <w:sz w:val="22"/>
          <w:lang w:val="es-ES_tradnl"/>
        </w:rPr>
        <w:t xml:space="preserve">originales </w:t>
      </w:r>
      <w:r w:rsidRPr="00DA3080">
        <w:rPr>
          <w:rFonts w:ascii="Arial" w:eastAsia="Calibri" w:hAnsi="Arial" w:cs="Arial"/>
          <w:bCs/>
          <w:color w:val="000000" w:themeColor="text1"/>
          <w:sz w:val="22"/>
          <w:lang w:val="es-ES_tradnl"/>
        </w:rPr>
        <w:t>del Decreto 1082 de 2015</w:t>
      </w:r>
      <w:r w:rsidR="00BC58B3" w:rsidRPr="00DA3080">
        <w:rPr>
          <w:rFonts w:ascii="Arial" w:eastAsia="Calibri" w:hAnsi="Arial" w:cs="Arial"/>
          <w:bCs/>
          <w:color w:val="000000" w:themeColor="text1"/>
          <w:sz w:val="22"/>
          <w:lang w:val="es-ES_tradnl"/>
        </w:rPr>
        <w:t xml:space="preserve"> –antes de la modificación del Decreto 1860–</w:t>
      </w:r>
      <w:r w:rsidRPr="00DA3080">
        <w:rPr>
          <w:rFonts w:ascii="Arial" w:eastAsia="Calibri" w:hAnsi="Arial" w:cs="Arial"/>
          <w:bCs/>
          <w:color w:val="000000" w:themeColor="text1"/>
          <w:sz w:val="22"/>
          <w:lang w:val="es-ES_tradnl"/>
        </w:rPr>
        <w:t xml:space="preserve">, </w:t>
      </w:r>
      <w:r w:rsidR="00BC58B3" w:rsidRPr="00DA3080">
        <w:rPr>
          <w:rFonts w:ascii="Arial" w:eastAsia="Calibri" w:hAnsi="Arial" w:cs="Arial"/>
          <w:bCs/>
          <w:color w:val="000000" w:themeColor="text1"/>
          <w:sz w:val="22"/>
          <w:lang w:val="es-ES_tradnl"/>
        </w:rPr>
        <w:t>se entendieron</w:t>
      </w:r>
      <w:r w:rsidRPr="00DA3080">
        <w:rPr>
          <w:rFonts w:ascii="Arial" w:eastAsia="Calibri" w:hAnsi="Arial" w:cs="Arial"/>
          <w:bCs/>
          <w:color w:val="000000" w:themeColor="text1"/>
          <w:sz w:val="22"/>
          <w:lang w:val="es-ES_tradnl"/>
        </w:rPr>
        <w:t xml:space="preserve"> derogados</w:t>
      </w:r>
      <w:r w:rsidR="00D46A61" w:rsidRPr="00DA3080">
        <w:rPr>
          <w:rFonts w:ascii="Arial" w:eastAsia="Calibri" w:hAnsi="Arial" w:cs="Arial"/>
          <w:bCs/>
          <w:color w:val="000000" w:themeColor="text1"/>
          <w:sz w:val="22"/>
          <w:lang w:val="es-ES_tradnl"/>
        </w:rPr>
        <w:t xml:space="preserve">, de acuerdo con el artículo 84 </w:t>
      </w:r>
      <w:proofErr w:type="spellStart"/>
      <w:r w:rsidR="00D46A61" w:rsidRPr="00DA3080">
        <w:rPr>
          <w:rFonts w:ascii="Arial" w:eastAsia="Calibri" w:hAnsi="Arial" w:cs="Arial"/>
          <w:bCs/>
          <w:color w:val="000000" w:themeColor="text1"/>
          <w:sz w:val="22"/>
          <w:lang w:val="es-ES_tradnl"/>
        </w:rPr>
        <w:t>ibídem</w:t>
      </w:r>
      <w:proofErr w:type="spellEnd"/>
      <w:r w:rsidRPr="00DA3080">
        <w:rPr>
          <w:rFonts w:ascii="Arial" w:eastAsia="Calibri" w:hAnsi="Arial" w:cs="Arial"/>
          <w:bCs/>
          <w:color w:val="000000" w:themeColor="text1"/>
          <w:sz w:val="22"/>
          <w:lang w:val="es-ES_tradnl"/>
        </w:rPr>
        <w:t>. Al respecto, el concepto anteriormente citado precisa que:</w:t>
      </w:r>
    </w:p>
    <w:p w14:paraId="339B6469" w14:textId="4B68B75B" w:rsidR="00A544F0" w:rsidRPr="00DA3080" w:rsidRDefault="00D14890" w:rsidP="00BF0F70">
      <w:pPr>
        <w:spacing w:after="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 xml:space="preserve"> </w:t>
      </w:r>
    </w:p>
    <w:p w14:paraId="2755C249" w14:textId="77777777" w:rsidR="00D14890" w:rsidRPr="00DA3080" w:rsidRDefault="00D14890" w:rsidP="00BF0F70">
      <w:pPr>
        <w:spacing w:after="0" w:line="240" w:lineRule="auto"/>
        <w:ind w:left="709" w:right="709"/>
        <w:rPr>
          <w:rFonts w:ascii="Arial" w:eastAsia="Calibri" w:hAnsi="Arial" w:cs="Arial"/>
          <w:bCs/>
          <w:color w:val="000000" w:themeColor="text1"/>
          <w:sz w:val="21"/>
          <w:szCs w:val="21"/>
          <w:lang w:val="es-ES_tradnl"/>
        </w:rPr>
      </w:pPr>
      <w:r w:rsidRPr="00DA3080">
        <w:rPr>
          <w:rFonts w:ascii="Arial" w:eastAsia="Calibri" w:hAnsi="Arial" w:cs="Arial"/>
          <w:bCs/>
          <w:color w:val="000000" w:themeColor="text1"/>
          <w:sz w:val="21"/>
          <w:szCs w:val="21"/>
          <w:lang w:val="es-ES_tradnl"/>
        </w:rPr>
        <w:t xml:space="preserve">[…] el artículo 34, reiteradamente, señala que el gobierno nacional debe definir las condiciones para la aplicación de las reglas recientemente expedidas, que permitan llevar a cabo las convocatorias limitadas a </w:t>
      </w:r>
      <w:proofErr w:type="spellStart"/>
      <w:r w:rsidRPr="00DA3080">
        <w:rPr>
          <w:rFonts w:ascii="Arial" w:eastAsia="Calibri" w:hAnsi="Arial" w:cs="Arial"/>
          <w:bCs/>
          <w:color w:val="000000" w:themeColor="text1"/>
          <w:sz w:val="21"/>
          <w:szCs w:val="21"/>
          <w:lang w:val="es-ES_tradnl"/>
        </w:rPr>
        <w:t>mipymes</w:t>
      </w:r>
      <w:proofErr w:type="spellEnd"/>
      <w:r w:rsidRPr="00DA3080">
        <w:rPr>
          <w:rFonts w:ascii="Arial" w:eastAsia="Calibri" w:hAnsi="Arial" w:cs="Arial"/>
          <w:bCs/>
          <w:color w:val="000000" w:themeColor="text1"/>
          <w:sz w:val="21"/>
          <w:szCs w:val="21"/>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DA3080">
        <w:rPr>
          <w:rFonts w:ascii="Arial" w:eastAsia="Calibri" w:hAnsi="Arial" w:cs="Arial"/>
          <w:bCs/>
          <w:color w:val="000000" w:themeColor="text1"/>
          <w:sz w:val="21"/>
          <w:szCs w:val="21"/>
          <w:lang w:val="es-ES_tradnl"/>
        </w:rPr>
        <w:t>mipymes</w:t>
      </w:r>
      <w:proofErr w:type="spellEnd"/>
      <w:r w:rsidRPr="00DA3080">
        <w:rPr>
          <w:rFonts w:ascii="Arial" w:eastAsia="Calibri" w:hAnsi="Arial" w:cs="Arial"/>
          <w:bCs/>
          <w:color w:val="000000" w:themeColor="text1"/>
          <w:sz w:val="21"/>
          <w:szCs w:val="21"/>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DA3080">
        <w:rPr>
          <w:rFonts w:ascii="Arial" w:eastAsia="Calibri" w:hAnsi="Arial" w:cs="Arial"/>
          <w:bCs/>
          <w:color w:val="000000" w:themeColor="text1"/>
          <w:sz w:val="21"/>
          <w:szCs w:val="21"/>
          <w:lang w:val="es-ES_tradnl"/>
        </w:rPr>
        <w:t>mipymes</w:t>
      </w:r>
      <w:proofErr w:type="spellEnd"/>
      <w:r w:rsidRPr="00DA3080">
        <w:rPr>
          <w:rFonts w:ascii="Arial" w:eastAsia="Calibri" w:hAnsi="Arial" w:cs="Arial"/>
          <w:bCs/>
          <w:color w:val="000000" w:themeColor="text1"/>
          <w:sz w:val="21"/>
          <w:szCs w:val="21"/>
          <w:lang w:val="es-ES_tradnl"/>
        </w:rPr>
        <w:t>, pues al tenor del artículo 34 de la Ley 2069 de 2020, la eficacia de esta norma quedó condicionada a la expedición del decreto reglamentario que fije las condiciones de su operatividad.</w:t>
      </w:r>
    </w:p>
    <w:p w14:paraId="200B33F4" w14:textId="77777777" w:rsidR="00D14890" w:rsidRPr="00DA3080" w:rsidRDefault="00D14890" w:rsidP="00BF0F70">
      <w:pPr>
        <w:spacing w:after="0"/>
        <w:ind w:left="709" w:right="709"/>
        <w:rPr>
          <w:rFonts w:ascii="Arial" w:eastAsia="Calibri" w:hAnsi="Arial" w:cs="Arial"/>
          <w:bCs/>
          <w:color w:val="000000" w:themeColor="text1"/>
          <w:sz w:val="22"/>
          <w:lang w:val="es-ES_tradnl"/>
        </w:rPr>
      </w:pPr>
    </w:p>
    <w:p w14:paraId="68D4CB6A" w14:textId="2ECD1829" w:rsidR="00D14890" w:rsidRPr="00DA3080" w:rsidRDefault="00D14890" w:rsidP="00D14890">
      <w:pPr>
        <w:spacing w:after="120"/>
        <w:rPr>
          <w:rFonts w:ascii="Arial" w:eastAsia="Calibri" w:hAnsi="Arial" w:cs="Arial"/>
          <w:color w:val="000000" w:themeColor="text1"/>
          <w:sz w:val="22"/>
          <w:lang w:val="es-ES_tradnl"/>
        </w:rPr>
      </w:pPr>
      <w:r w:rsidRPr="00DA3080">
        <w:rPr>
          <w:rFonts w:ascii="Arial" w:eastAsia="Calibri" w:hAnsi="Arial" w:cs="Arial"/>
          <w:bCs/>
          <w:color w:val="000000" w:themeColor="text1"/>
          <w:sz w:val="22"/>
          <w:lang w:val="es-ES_tradnl"/>
        </w:rPr>
        <w:tab/>
        <w:t>Aplicando analógicamente este razonamiento a la mínima cuantía, debería concluirse que, como los</w:t>
      </w:r>
      <w:r w:rsidRPr="00DA3080">
        <w:rPr>
          <w:rFonts w:ascii="Arial" w:eastAsia="Calibri" w:hAnsi="Arial" w:cs="Arial"/>
          <w:color w:val="000000" w:themeColor="text1"/>
          <w:sz w:val="22"/>
          <w:lang w:val="es-ES_tradnl"/>
        </w:rPr>
        <w:t xml:space="preserve"> artículos</w:t>
      </w:r>
      <w:r w:rsidR="00EC7CBE" w:rsidRPr="00DA3080">
        <w:rPr>
          <w:rFonts w:ascii="Arial" w:eastAsia="Calibri" w:hAnsi="Arial" w:cs="Arial"/>
          <w:color w:val="000000" w:themeColor="text1"/>
          <w:sz w:val="22"/>
          <w:lang w:val="es-ES_tradnl"/>
        </w:rPr>
        <w:t xml:space="preserve"> originales</w:t>
      </w:r>
      <w:r w:rsidRPr="00DA3080">
        <w:rPr>
          <w:rFonts w:ascii="Arial" w:eastAsia="Calibri" w:hAnsi="Arial" w:cs="Arial"/>
          <w:color w:val="000000" w:themeColor="text1"/>
          <w:sz w:val="22"/>
          <w:lang w:val="es-ES_tradnl"/>
        </w:rPr>
        <w:t xml:space="preserve"> 2.2.1.2.1.5.1 al 2.2.1.2.1.5.4 del Decreto 1082 de 2015 reglamentaban el artículo 94 de la Ley 1474 de 2011, con el artículo 30 de la Ley 2069 de 2020 es necesaria una nueva reglamentación del parágrafo primero que defina las particularidades del procedimiento de selección. Esto en la medida que las normas citadas </w:t>
      </w:r>
      <w:r w:rsidRPr="00DA3080">
        <w:rPr>
          <w:rFonts w:ascii="Arial" w:eastAsia="Calibri" w:hAnsi="Arial" w:cs="Arial"/>
          <w:color w:val="000000" w:themeColor="text1"/>
          <w:sz w:val="22"/>
          <w:lang w:val="es-ES_tradnl"/>
        </w:rPr>
        <w:lastRenderedPageBreak/>
        <w:t xml:space="preserve">del decreto reglamentario perderían su fundamento jurídico por la sustitución del contenido del numeral 5 del artículo 2 de la Ley 1150 de 2007. </w:t>
      </w:r>
    </w:p>
    <w:p w14:paraId="468C8F0E" w14:textId="5EDF708C" w:rsidR="00D14890" w:rsidRPr="00DA3080" w:rsidRDefault="00D14890" w:rsidP="00BF0F70">
      <w:pPr>
        <w:tabs>
          <w:tab w:val="left" w:pos="709"/>
        </w:tabs>
        <w:spacing w:after="0"/>
        <w:rPr>
          <w:rFonts w:ascii="Arial" w:eastAsia="Calibri" w:hAnsi="Arial" w:cs="Arial"/>
          <w:bCs/>
          <w:color w:val="000000" w:themeColor="text1"/>
          <w:sz w:val="22"/>
          <w:lang w:val="es-ES_tradnl"/>
        </w:rPr>
      </w:pPr>
      <w:r w:rsidRPr="00DA3080">
        <w:rPr>
          <w:rFonts w:ascii="Arial" w:eastAsia="Calibri" w:hAnsi="Arial" w:cs="Arial"/>
          <w:color w:val="000000" w:themeColor="text1"/>
          <w:sz w:val="22"/>
          <w:lang w:val="es-ES_tradnl"/>
        </w:rPr>
        <w:tab/>
        <w:t xml:space="preserve">Aunque el argumento es plausible, para la Subdirección de Gestión Contractual las consideraciones relacionadas con la limitación a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xml:space="preserve"> no son aplicables a la regulación de la mínima cuantía, ya que tienen un alcance diferente. </w:t>
      </w:r>
      <w:r w:rsidR="00422C66" w:rsidRPr="00DA3080">
        <w:rPr>
          <w:rFonts w:ascii="Arial" w:eastAsia="Calibri" w:hAnsi="Arial" w:cs="Arial"/>
          <w:color w:val="000000" w:themeColor="text1"/>
          <w:sz w:val="22"/>
          <w:lang w:val="es-ES_tradnl"/>
        </w:rPr>
        <w:t>En efecto, e</w:t>
      </w:r>
      <w:r w:rsidRPr="00DA3080">
        <w:rPr>
          <w:rFonts w:ascii="Arial" w:eastAsia="Calibri" w:hAnsi="Arial" w:cs="Arial"/>
          <w:bCs/>
          <w:color w:val="000000" w:themeColor="text1"/>
          <w:sz w:val="22"/>
          <w:lang w:val="es-ES_tradnl"/>
        </w:rPr>
        <w:t xml:space="preserve">l artículo 34 </w:t>
      </w:r>
      <w:r w:rsidRPr="00DA3080">
        <w:rPr>
          <w:rFonts w:ascii="Arial" w:eastAsia="Calibri" w:hAnsi="Arial" w:cs="Arial"/>
          <w:bCs/>
          <w:i/>
          <w:iCs/>
          <w:color w:val="000000" w:themeColor="text1"/>
          <w:sz w:val="22"/>
          <w:lang w:val="es-ES_tradnl"/>
        </w:rPr>
        <w:t>ibidem</w:t>
      </w:r>
      <w:r w:rsidRPr="00DA3080">
        <w:rPr>
          <w:rFonts w:ascii="Arial" w:eastAsia="Calibri" w:hAnsi="Arial" w:cs="Arial"/>
          <w:bCs/>
          <w:color w:val="000000" w:themeColor="text1"/>
          <w:sz w:val="22"/>
          <w:lang w:val="es-ES_tradnl"/>
        </w:rPr>
        <w:t xml:space="preserve"> modifica el artículo 12 de la Ley 1150 de 2007, el cual regula la promoción del desarrollo en la contratación pública. Inicialmente, la redacción de la Ley 1150 fue modificada por el artículo 32 de la Ley 1450 de 2011, pero esta última fue derogada con la expedición de la Ley de Emprendimiento. Al respecto, la norma dispone:</w:t>
      </w:r>
      <w:r w:rsidR="0013758A" w:rsidRPr="00DA3080">
        <w:rPr>
          <w:rFonts w:ascii="Arial" w:eastAsia="Calibri" w:hAnsi="Arial" w:cs="Arial"/>
          <w:bCs/>
          <w:color w:val="000000" w:themeColor="text1"/>
          <w:sz w:val="22"/>
          <w:lang w:val="es-ES_tradnl"/>
        </w:rPr>
        <w:t xml:space="preserve"> </w:t>
      </w:r>
    </w:p>
    <w:p w14:paraId="1500C4A7" w14:textId="77777777" w:rsidR="00A544F0" w:rsidRPr="00DA3080" w:rsidRDefault="00A544F0" w:rsidP="00BF0F70">
      <w:pPr>
        <w:tabs>
          <w:tab w:val="left" w:pos="709"/>
        </w:tabs>
        <w:spacing w:after="0"/>
        <w:rPr>
          <w:rFonts w:ascii="Arial" w:eastAsia="Calibri" w:hAnsi="Arial" w:cs="Arial"/>
          <w:bCs/>
          <w:color w:val="000000" w:themeColor="text1"/>
          <w:sz w:val="22"/>
          <w:lang w:val="es-ES_tradnl"/>
        </w:rPr>
      </w:pPr>
    </w:p>
    <w:p w14:paraId="7FEFE3FE" w14:textId="77777777" w:rsidR="00D14890" w:rsidRPr="00DA3080" w:rsidRDefault="00D14890" w:rsidP="00BF0F70">
      <w:pPr>
        <w:tabs>
          <w:tab w:val="left" w:pos="1276"/>
        </w:tabs>
        <w:spacing w:after="120" w:line="240" w:lineRule="auto"/>
        <w:ind w:left="709" w:right="709"/>
        <w:rPr>
          <w:rFonts w:ascii="Arial" w:eastAsia="Calibri" w:hAnsi="Arial" w:cs="Arial"/>
          <w:bCs/>
          <w:color w:val="000000" w:themeColor="text1"/>
          <w:sz w:val="21"/>
          <w:szCs w:val="21"/>
          <w:lang w:val="es-ES_tradnl"/>
        </w:rPr>
      </w:pPr>
      <w:r w:rsidRPr="00DA3080">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DA3080">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DA3080">
        <w:rPr>
          <w:rFonts w:ascii="Arial" w:eastAsia="Calibri" w:hAnsi="Arial" w:cs="Arial"/>
          <w:bCs/>
          <w:color w:val="000000" w:themeColor="text1"/>
          <w:sz w:val="21"/>
          <w:szCs w:val="21"/>
          <w:lang w:val="es-ES_tradnl"/>
        </w:rPr>
        <w:t xml:space="preserve"> adopten en beneficio de las </w:t>
      </w:r>
      <w:proofErr w:type="spellStart"/>
      <w:r w:rsidRPr="00DA3080">
        <w:rPr>
          <w:rFonts w:ascii="Arial" w:eastAsia="Calibri" w:hAnsi="Arial" w:cs="Arial"/>
          <w:bCs/>
          <w:color w:val="000000" w:themeColor="text1"/>
          <w:sz w:val="21"/>
          <w:szCs w:val="21"/>
          <w:lang w:val="es-ES_tradnl"/>
        </w:rPr>
        <w:t>Mipyme</w:t>
      </w:r>
      <w:proofErr w:type="spellEnd"/>
      <w:r w:rsidRPr="00DA3080">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DA3080">
        <w:rPr>
          <w:rFonts w:ascii="Arial" w:eastAsia="Calibri" w:hAnsi="Arial" w:cs="Arial"/>
          <w:bCs/>
          <w:i/>
          <w:iCs/>
          <w:color w:val="000000" w:themeColor="text1"/>
          <w:sz w:val="21"/>
          <w:szCs w:val="21"/>
          <w:lang w:val="es-ES_tradnl"/>
        </w:rPr>
        <w:t xml:space="preserve">de por lo menos dos (2) </w:t>
      </w:r>
      <w:proofErr w:type="spellStart"/>
      <w:r w:rsidRPr="00DA3080">
        <w:rPr>
          <w:rFonts w:ascii="Arial" w:eastAsia="Calibri" w:hAnsi="Arial" w:cs="Arial"/>
          <w:bCs/>
          <w:i/>
          <w:iCs/>
          <w:color w:val="000000" w:themeColor="text1"/>
          <w:sz w:val="21"/>
          <w:szCs w:val="21"/>
          <w:lang w:val="es-ES_tradnl"/>
        </w:rPr>
        <w:t>Mipyme</w:t>
      </w:r>
      <w:proofErr w:type="spellEnd"/>
      <w:r w:rsidRPr="00DA3080">
        <w:rPr>
          <w:rFonts w:ascii="Arial" w:eastAsia="Calibri" w:hAnsi="Arial" w:cs="Arial"/>
          <w:bCs/>
          <w:color w:val="000000" w:themeColor="text1"/>
          <w:sz w:val="21"/>
          <w:szCs w:val="21"/>
          <w:lang w:val="es-ES_tradnl"/>
        </w:rPr>
        <w:t>.</w:t>
      </w:r>
    </w:p>
    <w:p w14:paraId="310A91AB" w14:textId="77777777" w:rsidR="00D14890" w:rsidRPr="00DA3080" w:rsidRDefault="00D14890" w:rsidP="00BF0F70">
      <w:pPr>
        <w:tabs>
          <w:tab w:val="left" w:pos="1276"/>
        </w:tabs>
        <w:spacing w:after="120" w:line="240" w:lineRule="auto"/>
        <w:ind w:left="709" w:right="709"/>
        <w:rPr>
          <w:rFonts w:ascii="Arial" w:eastAsia="Calibri" w:hAnsi="Arial" w:cs="Arial"/>
          <w:bCs/>
          <w:color w:val="000000" w:themeColor="text1"/>
          <w:sz w:val="21"/>
          <w:szCs w:val="21"/>
          <w:lang w:val="es-ES_tradnl"/>
        </w:rPr>
      </w:pPr>
      <w:r w:rsidRPr="00DA3080">
        <w:rPr>
          <w:rFonts w:ascii="Arial" w:eastAsia="Calibri" w:hAnsi="Arial" w:cs="Arial"/>
          <w:bCs/>
          <w:color w:val="000000" w:themeColor="text1"/>
          <w:sz w:val="21"/>
          <w:szCs w:val="21"/>
          <w:lang w:val="es-ES_tradnl"/>
        </w:rPr>
        <w:t xml:space="preserve">Asimismo, el reglamento podrá establecer condiciones preferenciales en favor de la oferta de bienes y servicios producidos por las </w:t>
      </w:r>
      <w:proofErr w:type="spellStart"/>
      <w:r w:rsidRPr="00DA3080">
        <w:rPr>
          <w:rFonts w:ascii="Arial" w:eastAsia="Calibri" w:hAnsi="Arial" w:cs="Arial"/>
          <w:bCs/>
          <w:color w:val="000000" w:themeColor="text1"/>
          <w:sz w:val="21"/>
          <w:szCs w:val="21"/>
          <w:lang w:val="es-ES_tradnl"/>
        </w:rPr>
        <w:t>Mipyme</w:t>
      </w:r>
      <w:proofErr w:type="spellEnd"/>
      <w:r w:rsidRPr="00DA3080">
        <w:rPr>
          <w:rFonts w:ascii="Arial" w:eastAsia="Calibri" w:hAnsi="Arial" w:cs="Arial"/>
          <w:bCs/>
          <w:color w:val="000000" w:themeColor="text1"/>
          <w:sz w:val="21"/>
          <w:szCs w:val="21"/>
          <w:lang w:val="es-ES_tradnl"/>
        </w:rPr>
        <w:t>, respetando los montos y las condiciones contenidas en los compromisos internacionales vigentes</w:t>
      </w:r>
      <w:r w:rsidRPr="00DA3080">
        <w:rPr>
          <w:rFonts w:ascii="Arial" w:eastAsia="Calibri" w:hAnsi="Arial" w:cs="Arial"/>
          <w:bCs/>
          <w:i/>
          <w:iCs/>
          <w:color w:val="000000" w:themeColor="text1"/>
          <w:sz w:val="21"/>
          <w:szCs w:val="21"/>
          <w:lang w:val="es-ES_tradnl"/>
        </w:rPr>
        <w:t>, cuando sean aplicables</w:t>
      </w:r>
      <w:r w:rsidRPr="00DA3080">
        <w:rPr>
          <w:rFonts w:ascii="Arial" w:eastAsia="Calibri" w:hAnsi="Arial" w:cs="Arial"/>
          <w:bCs/>
          <w:color w:val="000000" w:themeColor="text1"/>
          <w:sz w:val="21"/>
          <w:szCs w:val="21"/>
          <w:lang w:val="es-ES_tradnl"/>
        </w:rPr>
        <w:t>.</w:t>
      </w:r>
    </w:p>
    <w:p w14:paraId="7D83137A" w14:textId="77777777" w:rsidR="00D14890" w:rsidRPr="00DA3080" w:rsidRDefault="00D14890" w:rsidP="00BF0F70">
      <w:pPr>
        <w:tabs>
          <w:tab w:val="left" w:pos="1276"/>
        </w:tabs>
        <w:spacing w:after="0" w:line="240" w:lineRule="auto"/>
        <w:ind w:left="709" w:right="709"/>
        <w:rPr>
          <w:rFonts w:ascii="Arial" w:eastAsia="Calibri" w:hAnsi="Arial" w:cs="Arial"/>
          <w:bCs/>
          <w:color w:val="000000" w:themeColor="text1"/>
          <w:sz w:val="21"/>
          <w:szCs w:val="21"/>
          <w:lang w:val="es-ES_tradnl"/>
        </w:rPr>
      </w:pPr>
      <w:r w:rsidRPr="00DA3080">
        <w:rPr>
          <w:rFonts w:ascii="Arial" w:eastAsia="Calibri" w:hAnsi="Arial" w:cs="Arial"/>
          <w:bCs/>
          <w:color w:val="000000" w:themeColor="text1"/>
          <w:sz w:val="21"/>
          <w:szCs w:val="21"/>
          <w:lang w:val="es-ES_tradnl"/>
        </w:rPr>
        <w:t>En todo caso, se deberá garantizar la satisfacción de las condiciones técnicas y económicas requeridas en el Proceso de Contratación</w:t>
      </w:r>
      <w:r w:rsidRPr="00DA3080">
        <w:rPr>
          <w:rStyle w:val="Refdenotaalpie"/>
          <w:rFonts w:ascii="Arial" w:eastAsia="Calibri" w:hAnsi="Arial" w:cs="Arial"/>
          <w:bCs/>
          <w:color w:val="000000" w:themeColor="text1"/>
          <w:sz w:val="21"/>
          <w:szCs w:val="21"/>
          <w:lang w:val="es-ES_tradnl"/>
        </w:rPr>
        <w:footnoteReference w:id="22"/>
      </w:r>
      <w:r w:rsidRPr="00DA3080">
        <w:rPr>
          <w:rFonts w:ascii="Arial" w:eastAsia="Calibri" w:hAnsi="Arial" w:cs="Arial"/>
          <w:bCs/>
          <w:color w:val="000000" w:themeColor="text1"/>
          <w:sz w:val="21"/>
          <w:szCs w:val="21"/>
          <w:lang w:val="es-ES_tradnl"/>
        </w:rPr>
        <w:t>. (Énfasis fuera de texto)</w:t>
      </w:r>
    </w:p>
    <w:p w14:paraId="288F1EAA" w14:textId="77777777" w:rsidR="00D14890" w:rsidRPr="00DA3080" w:rsidRDefault="00D14890" w:rsidP="00BF0F70">
      <w:pPr>
        <w:tabs>
          <w:tab w:val="left" w:pos="1276"/>
        </w:tabs>
        <w:spacing w:after="0"/>
        <w:ind w:left="709" w:right="709"/>
        <w:rPr>
          <w:rFonts w:ascii="Arial" w:eastAsia="Calibri" w:hAnsi="Arial" w:cs="Arial"/>
          <w:bCs/>
          <w:color w:val="000000" w:themeColor="text1"/>
          <w:sz w:val="22"/>
          <w:lang w:val="es-ES_tradnl"/>
        </w:rPr>
      </w:pPr>
    </w:p>
    <w:p w14:paraId="1598369A" w14:textId="20E8A559"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En contraste con la redacción de la Ley 1450 de 2011, la Ley de Emprendimiento amplía la limitación a </w:t>
      </w:r>
      <w:proofErr w:type="spellStart"/>
      <w:r w:rsidRPr="00DA3080">
        <w:rPr>
          <w:rFonts w:ascii="Arial" w:eastAsia="Calibri" w:hAnsi="Arial" w:cs="Arial"/>
          <w:bCs/>
          <w:color w:val="000000" w:themeColor="text1"/>
          <w:sz w:val="22"/>
          <w:lang w:val="es-ES_tradnl"/>
        </w:rPr>
        <w:t>mipymes</w:t>
      </w:r>
      <w:proofErr w:type="spellEnd"/>
      <w:r w:rsidR="00422C66"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de forma que ya no solo aplica en los procedimientos de </w:t>
      </w:r>
      <w:r w:rsidRPr="00DA3080">
        <w:rPr>
          <w:rFonts w:ascii="Arial" w:eastAsia="Calibri" w:hAnsi="Arial" w:cs="Arial"/>
          <w:bCs/>
          <w:color w:val="000000" w:themeColor="text1"/>
          <w:sz w:val="22"/>
          <w:lang w:val="es-ES_tradnl"/>
        </w:rPr>
        <w:lastRenderedPageBreak/>
        <w:t xml:space="preserve">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0B73796E" w14:textId="49B40B8F" w:rsidR="00D14890" w:rsidRPr="00DA3080" w:rsidRDefault="00D14890">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Además de que el artículo 34 de la Ley de Emprendimiento no es una norma de aplicación directa, contempla supuestos que no </w:t>
      </w:r>
      <w:r w:rsidR="008F3ED2" w:rsidRPr="00DA3080">
        <w:rPr>
          <w:rFonts w:ascii="Arial" w:eastAsia="Calibri" w:hAnsi="Arial" w:cs="Arial"/>
          <w:bCs/>
          <w:color w:val="000000" w:themeColor="text1"/>
          <w:sz w:val="22"/>
          <w:lang w:val="es-ES_tradnl"/>
        </w:rPr>
        <w:t xml:space="preserve">estaban </w:t>
      </w:r>
      <w:r w:rsidRPr="00DA3080">
        <w:rPr>
          <w:rFonts w:ascii="Arial" w:eastAsia="Calibri" w:hAnsi="Arial" w:cs="Arial"/>
          <w:bCs/>
          <w:color w:val="000000" w:themeColor="text1"/>
          <w:sz w:val="22"/>
          <w:lang w:val="es-ES_tradnl"/>
        </w:rPr>
        <w:t>previstos en el Decreto 1082 de 2015</w:t>
      </w:r>
      <w:r w:rsidR="00AB22C5" w:rsidRPr="00DA3080">
        <w:rPr>
          <w:rFonts w:ascii="Arial" w:eastAsia="Calibri" w:hAnsi="Arial" w:cs="Arial"/>
          <w:bCs/>
          <w:color w:val="000000" w:themeColor="text1"/>
          <w:sz w:val="22"/>
          <w:lang w:val="es-ES_tradnl"/>
        </w:rPr>
        <w:t xml:space="preserve"> original –antes de la modificación realizada por el Decreto 1860 de 2021–</w:t>
      </w:r>
      <w:r w:rsidRPr="00DA3080">
        <w:rPr>
          <w:rFonts w:ascii="Arial" w:eastAsia="Calibri" w:hAnsi="Arial" w:cs="Arial"/>
          <w:bCs/>
          <w:color w:val="000000" w:themeColor="text1"/>
          <w:sz w:val="22"/>
          <w:lang w:val="es-ES_tradnl"/>
        </w:rPr>
        <w:t xml:space="preserve">. Particularmente, conforme al artículo 2.2.1.2.4.2.2 </w:t>
      </w:r>
      <w:proofErr w:type="spellStart"/>
      <w:r w:rsidRPr="00DA3080">
        <w:rPr>
          <w:rFonts w:ascii="Arial" w:eastAsia="Calibri" w:hAnsi="Arial" w:cs="Arial"/>
          <w:bCs/>
          <w:i/>
          <w:iCs/>
          <w:color w:val="000000" w:themeColor="text1"/>
          <w:sz w:val="22"/>
          <w:lang w:val="es-ES_tradnl"/>
        </w:rPr>
        <w:t>ibídem</w:t>
      </w:r>
      <w:proofErr w:type="spellEnd"/>
      <w:r w:rsidRPr="00DA3080">
        <w:rPr>
          <w:rFonts w:ascii="Arial" w:eastAsia="Calibri" w:hAnsi="Arial" w:cs="Arial"/>
          <w:bCs/>
          <w:color w:val="000000" w:themeColor="text1"/>
          <w:sz w:val="22"/>
          <w:lang w:val="es-ES_tradnl"/>
        </w:rPr>
        <w:t xml:space="preserve">, las convocatorias limitadas únicamente </w:t>
      </w:r>
      <w:r w:rsidR="008F3ED2" w:rsidRPr="00DA3080">
        <w:rPr>
          <w:rFonts w:ascii="Arial" w:eastAsia="Calibri" w:hAnsi="Arial" w:cs="Arial"/>
          <w:bCs/>
          <w:color w:val="000000" w:themeColor="text1"/>
          <w:sz w:val="22"/>
          <w:lang w:val="es-ES_tradnl"/>
        </w:rPr>
        <w:t>eran</w:t>
      </w:r>
      <w:r w:rsidRPr="00DA3080">
        <w:rPr>
          <w:rFonts w:ascii="Arial" w:eastAsia="Calibri" w:hAnsi="Arial" w:cs="Arial"/>
          <w:bCs/>
          <w:color w:val="000000" w:themeColor="text1"/>
          <w:sz w:val="22"/>
          <w:lang w:val="es-ES_tradnl"/>
        </w:rPr>
        <w:t xml:space="preserve"> obligatorias en la licitación pública, selección abreviada y concurso de méritos de las entidades sometidas a la Ley 80 de 1993, siempre que la entidad contratante recib</w:t>
      </w:r>
      <w:r w:rsidR="008F3ED2" w:rsidRPr="00DA3080">
        <w:rPr>
          <w:rFonts w:ascii="Arial" w:eastAsia="Calibri" w:hAnsi="Arial" w:cs="Arial"/>
          <w:bCs/>
          <w:color w:val="000000" w:themeColor="text1"/>
          <w:sz w:val="22"/>
          <w:lang w:val="es-ES_tradnl"/>
        </w:rPr>
        <w:t>iera</w:t>
      </w:r>
      <w:r w:rsidRPr="00DA3080">
        <w:rPr>
          <w:rFonts w:ascii="Arial" w:eastAsia="Calibri" w:hAnsi="Arial" w:cs="Arial"/>
          <w:bCs/>
          <w:color w:val="000000" w:themeColor="text1"/>
          <w:sz w:val="22"/>
          <w:lang w:val="es-ES_tradnl"/>
        </w:rPr>
        <w:t xml:space="preserve"> solicitudes de limitación de por lo menos tres (3) </w:t>
      </w:r>
      <w:proofErr w:type="spellStart"/>
      <w:r w:rsidRPr="00DA3080">
        <w:rPr>
          <w:rFonts w:ascii="Arial" w:eastAsia="Calibri" w:hAnsi="Arial" w:cs="Arial"/>
          <w:bCs/>
          <w:color w:val="000000" w:themeColor="text1"/>
          <w:sz w:val="22"/>
          <w:lang w:val="es-ES_tradnl"/>
        </w:rPr>
        <w:t>mipyme</w:t>
      </w:r>
      <w:proofErr w:type="spellEnd"/>
      <w:r w:rsidRPr="00DA3080">
        <w:rPr>
          <w:rFonts w:ascii="Arial" w:eastAsia="Calibri" w:hAnsi="Arial" w:cs="Arial"/>
          <w:bCs/>
          <w:color w:val="000000" w:themeColor="text1"/>
          <w:sz w:val="22"/>
          <w:lang w:val="es-ES_tradnl"/>
        </w:rPr>
        <w:t xml:space="preserve"> nacionales. Frente a este escenario, surge la necesidad de expedir una nueva reglamentación para las convocatorias limitadas que desarrolle los nuevos elementos previstos en la ley</w:t>
      </w:r>
      <w:r w:rsidR="008F3ED2" w:rsidRPr="00DA3080">
        <w:rPr>
          <w:rFonts w:ascii="Arial" w:eastAsia="Calibri" w:hAnsi="Arial" w:cs="Arial"/>
          <w:bCs/>
          <w:color w:val="000000" w:themeColor="text1"/>
          <w:sz w:val="22"/>
          <w:lang w:val="es-ES_tradnl"/>
        </w:rPr>
        <w:t xml:space="preserve">, regulación que se efectuó mediante el Decreto 1860 del 24 de diciembre de 2021, pero cuyas modificaciones, </w:t>
      </w:r>
      <w:r w:rsidR="008F3ED2" w:rsidRPr="00DA3080">
        <w:rPr>
          <w:rFonts w:ascii="Arial" w:eastAsia="Calibri" w:hAnsi="Arial" w:cs="Arial"/>
          <w:color w:val="000000" w:themeColor="text1"/>
          <w:sz w:val="22"/>
          <w:lang w:val="es-ES_tradnl"/>
        </w:rPr>
        <w:t>de acuerdo con su artículo 8, solo «aplicarán a los procedimientos de selección cuya invitación, aviso de convocatoria o documento equivalente se publique a los tres (3) meses contados a partir de su expedición», esto es, a partir del 24 de marzo de 2021.</w:t>
      </w:r>
    </w:p>
    <w:p w14:paraId="68062F60" w14:textId="0F22A859" w:rsidR="00D14890" w:rsidRPr="00DA3080" w:rsidRDefault="00D14890">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bCs/>
          <w:color w:val="000000" w:themeColor="text1"/>
          <w:sz w:val="22"/>
          <w:lang w:val="es-ES_tradnl"/>
        </w:rPr>
        <w:tab/>
        <w:t xml:space="preserve">Por el contrario, el artículo 30 de la Ley 2069 de 2020 es directamente aplicable, pues –a diferencia de que sucedió en su momento con la selección abreviada– la mínima cuantía no </w:t>
      </w:r>
      <w:r w:rsidR="00BA413D" w:rsidRPr="00DA3080">
        <w:rPr>
          <w:rFonts w:ascii="Arial" w:eastAsia="Calibri" w:hAnsi="Arial" w:cs="Arial"/>
          <w:bCs/>
          <w:color w:val="000000" w:themeColor="text1"/>
          <w:sz w:val="22"/>
          <w:lang w:val="es-ES_tradnl"/>
        </w:rPr>
        <w:t xml:space="preserve">requería </w:t>
      </w:r>
      <w:r w:rsidRPr="00DA3080">
        <w:rPr>
          <w:rFonts w:ascii="Arial" w:eastAsia="Calibri" w:hAnsi="Arial" w:cs="Arial"/>
          <w:bCs/>
          <w:color w:val="000000" w:themeColor="text1"/>
          <w:sz w:val="22"/>
          <w:lang w:val="es-ES_tradnl"/>
        </w:rPr>
        <w:t>desarrollo reglamentario posterior para su vigencia. Aunque el parágrafo primero habilita el ejercicio de la potestad dispuesta en el artículo 189.11 superior, el grueso de los</w:t>
      </w:r>
      <w:r w:rsidRPr="00DA3080">
        <w:rPr>
          <w:rFonts w:ascii="Arial" w:eastAsia="Calibri" w:hAnsi="Arial" w:cs="Arial"/>
          <w:color w:val="000000" w:themeColor="text1"/>
          <w:sz w:val="22"/>
          <w:lang w:val="es-ES_tradnl"/>
        </w:rPr>
        <w:t xml:space="preserve"> artículos 2.2.1.2.1.5.1 al 2.2.1.2.1.5.4 </w:t>
      </w:r>
      <w:r w:rsidR="00AB22C5" w:rsidRPr="00DA3080">
        <w:rPr>
          <w:rFonts w:ascii="Arial" w:eastAsia="Calibri" w:hAnsi="Arial" w:cs="Arial"/>
          <w:color w:val="000000" w:themeColor="text1"/>
          <w:sz w:val="22"/>
          <w:lang w:val="es-ES_tradnl"/>
        </w:rPr>
        <w:t xml:space="preserve">originales </w:t>
      </w:r>
      <w:r w:rsidRPr="00DA3080">
        <w:rPr>
          <w:rFonts w:ascii="Arial" w:eastAsia="Calibri" w:hAnsi="Arial" w:cs="Arial"/>
          <w:color w:val="000000" w:themeColor="text1"/>
          <w:sz w:val="22"/>
          <w:lang w:val="es-ES_tradnl"/>
        </w:rPr>
        <w:t xml:space="preserve">del Decreto 1082 de 2015 </w:t>
      </w:r>
      <w:r w:rsidR="00AB22C5" w:rsidRPr="00DA3080">
        <w:rPr>
          <w:rFonts w:ascii="Arial" w:eastAsia="Calibri" w:hAnsi="Arial" w:cs="Arial"/>
          <w:color w:val="000000" w:themeColor="text1"/>
          <w:sz w:val="22"/>
          <w:lang w:val="es-ES_tradnl"/>
        </w:rPr>
        <w:t xml:space="preserve">son </w:t>
      </w:r>
      <w:r w:rsidRPr="00DA3080">
        <w:rPr>
          <w:rFonts w:ascii="Arial" w:eastAsia="Calibri" w:hAnsi="Arial" w:cs="Arial"/>
          <w:color w:val="000000" w:themeColor="text1"/>
          <w:sz w:val="22"/>
          <w:lang w:val="es-ES_tradnl"/>
        </w:rPr>
        <w:t>compatible</w:t>
      </w:r>
      <w:r w:rsidR="00AB22C5" w:rsidRPr="00DA3080">
        <w:rPr>
          <w:rFonts w:ascii="Arial" w:eastAsia="Calibri" w:hAnsi="Arial" w:cs="Arial"/>
          <w:color w:val="000000" w:themeColor="text1"/>
          <w:sz w:val="22"/>
          <w:lang w:val="es-ES_tradnl"/>
        </w:rPr>
        <w:t>s</w:t>
      </w:r>
      <w:r w:rsidRPr="00DA3080">
        <w:rPr>
          <w:rFonts w:ascii="Arial" w:eastAsia="Calibri" w:hAnsi="Arial" w:cs="Arial"/>
          <w:color w:val="000000" w:themeColor="text1"/>
          <w:sz w:val="22"/>
          <w:lang w:val="es-ES_tradnl"/>
        </w:rPr>
        <w:t xml:space="preserve"> con la norma vigente. Lo anterior considerando que, conforme a los parágrafos del artículo 30 de la Ley 2069 de 2020, el cambio </w:t>
      </w:r>
      <w:r w:rsidR="00F36F7D" w:rsidRPr="00DA3080">
        <w:rPr>
          <w:rFonts w:ascii="Arial" w:eastAsia="Calibri" w:hAnsi="Arial" w:cs="Arial"/>
          <w:color w:val="000000" w:themeColor="text1"/>
          <w:sz w:val="22"/>
          <w:lang w:val="es-ES_tradnl"/>
        </w:rPr>
        <w:t xml:space="preserve">realmente </w:t>
      </w:r>
      <w:r w:rsidRPr="00DA3080">
        <w:rPr>
          <w:rFonts w:ascii="Arial" w:eastAsia="Calibri" w:hAnsi="Arial" w:cs="Arial"/>
          <w:color w:val="000000" w:themeColor="text1"/>
          <w:sz w:val="22"/>
          <w:lang w:val="es-ES_tradnl"/>
        </w:rPr>
        <w:t xml:space="preserve">consiste en la posibilidad de limitar a </w:t>
      </w:r>
      <w:proofErr w:type="spellStart"/>
      <w:r w:rsidRPr="00DA3080">
        <w:rPr>
          <w:rFonts w:ascii="Arial" w:eastAsia="Calibri" w:hAnsi="Arial" w:cs="Arial"/>
          <w:color w:val="000000" w:themeColor="text1"/>
          <w:sz w:val="22"/>
          <w:lang w:val="es-ES_tradnl"/>
        </w:rPr>
        <w:t>mypimes</w:t>
      </w:r>
      <w:proofErr w:type="spellEnd"/>
      <w:r w:rsidRPr="00DA3080">
        <w:rPr>
          <w:rFonts w:ascii="Arial" w:eastAsia="Calibri" w:hAnsi="Arial" w:cs="Arial"/>
          <w:color w:val="000000" w:themeColor="text1"/>
          <w:sz w:val="22"/>
          <w:lang w:val="es-ES_tradnl"/>
        </w:rPr>
        <w:t xml:space="preserve"> el procedimiento de selección. Esta materia corresponde al desarrollo reglamentario del artículo 34 </w:t>
      </w:r>
      <w:proofErr w:type="spellStart"/>
      <w:r w:rsidRPr="00DA3080">
        <w:rPr>
          <w:rFonts w:ascii="Arial" w:eastAsia="Calibri" w:hAnsi="Arial" w:cs="Arial"/>
          <w:i/>
          <w:iCs/>
          <w:color w:val="000000" w:themeColor="text1"/>
          <w:sz w:val="22"/>
          <w:lang w:val="es-ES_tradnl"/>
        </w:rPr>
        <w:t>ibídem</w:t>
      </w:r>
      <w:proofErr w:type="spellEnd"/>
      <w:r w:rsidRPr="00DA3080">
        <w:rPr>
          <w:rFonts w:ascii="Arial" w:eastAsia="Calibri" w:hAnsi="Arial" w:cs="Arial"/>
          <w:color w:val="000000" w:themeColor="text1"/>
          <w:sz w:val="22"/>
          <w:lang w:val="es-ES_tradnl"/>
        </w:rPr>
        <w:t xml:space="preserve">, ya que –fuera del reducido margen de aplicación del artículo 2.2.1.2.4.2.2 del Decreto 1082 de 2015– las convocatorias limitadas son posibles en «[…] las Entidades Estatales indistintamente de su régimen de contratación, los patrimonios autónomos constituidos por Entidades Estatales y los particulares que ejecuten recursos públicos […]», sin distinguir entre procesos de contratación. </w:t>
      </w:r>
    </w:p>
    <w:p w14:paraId="50545B7A" w14:textId="2203FA90" w:rsidR="00D14890" w:rsidRPr="00DA3080" w:rsidRDefault="00D14890">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Por tanto, las diferencias entre el alcance de la mínima cuantía y de las convocatorias limitadas, impide aplicar por analogía las consideraciones realizadas por la Agencia a partir del </w:t>
      </w:r>
      <w:r w:rsidRPr="00DA3080">
        <w:rPr>
          <w:rFonts w:ascii="Arial" w:eastAsia="Calibri" w:hAnsi="Arial" w:cs="Arial"/>
          <w:bCs/>
          <w:sz w:val="22"/>
          <w:lang w:val="es-ES_tradnl"/>
        </w:rPr>
        <w:t>Concepto C-043 del 9 de febrero de 2020 al artículo 30 de la Ley de Emprendimiento</w:t>
      </w:r>
      <w:r w:rsidRPr="00DA3080">
        <w:rPr>
          <w:rFonts w:ascii="Arial" w:eastAsia="Calibri" w:hAnsi="Arial" w:cs="Arial"/>
          <w:color w:val="000000" w:themeColor="text1"/>
          <w:sz w:val="22"/>
          <w:lang w:val="es-ES_tradnl"/>
        </w:rPr>
        <w:t>. En este caso no es posible sostener que la sustitución del contenido del del artículo 2</w:t>
      </w:r>
      <w:r w:rsidR="0049749B" w:rsidRPr="00DA3080">
        <w:rPr>
          <w:rFonts w:ascii="Arial" w:eastAsia="Calibri" w:hAnsi="Arial" w:cs="Arial"/>
          <w:color w:val="000000" w:themeColor="text1"/>
          <w:sz w:val="22"/>
          <w:lang w:val="es-ES_tradnl"/>
        </w:rPr>
        <w:t>.5</w:t>
      </w:r>
      <w:r w:rsidRPr="00DA3080">
        <w:rPr>
          <w:rFonts w:ascii="Arial" w:eastAsia="Calibri" w:hAnsi="Arial" w:cs="Arial"/>
          <w:color w:val="000000" w:themeColor="text1"/>
          <w:sz w:val="22"/>
          <w:lang w:val="es-ES_tradnl"/>
        </w:rPr>
        <w:t xml:space="preserve"> de la Ley 1150 de 2007 genera el decaimiento de los artículos 2.2.1.2.1.5.1 al 2.2.1.2.1.5.4 </w:t>
      </w:r>
      <w:r w:rsidR="003C7C98" w:rsidRPr="00DA3080">
        <w:rPr>
          <w:rFonts w:ascii="Arial" w:eastAsia="Calibri" w:hAnsi="Arial" w:cs="Arial"/>
          <w:color w:val="000000" w:themeColor="text1"/>
          <w:sz w:val="22"/>
          <w:lang w:val="es-ES_tradnl"/>
        </w:rPr>
        <w:t xml:space="preserve">originales </w:t>
      </w:r>
      <w:r w:rsidRPr="00DA3080">
        <w:rPr>
          <w:rFonts w:ascii="Arial" w:eastAsia="Calibri" w:hAnsi="Arial" w:cs="Arial"/>
          <w:color w:val="000000" w:themeColor="text1"/>
          <w:sz w:val="22"/>
          <w:lang w:val="es-ES_tradnl"/>
        </w:rPr>
        <w:t xml:space="preserve">del Decreto 1082 de 2015. Lo anterior teniendo en cuenta </w:t>
      </w:r>
      <w:proofErr w:type="gramStart"/>
      <w:r w:rsidRPr="00DA3080">
        <w:rPr>
          <w:rFonts w:ascii="Arial" w:eastAsia="Calibri" w:hAnsi="Arial" w:cs="Arial"/>
          <w:color w:val="000000" w:themeColor="text1"/>
          <w:sz w:val="22"/>
          <w:lang w:val="es-ES_tradnl"/>
        </w:rPr>
        <w:t>que</w:t>
      </w:r>
      <w:proofErr w:type="gramEnd"/>
      <w:r w:rsidRPr="00DA3080">
        <w:rPr>
          <w:rFonts w:ascii="Arial" w:eastAsia="Calibri" w:hAnsi="Arial" w:cs="Arial"/>
          <w:color w:val="000000" w:themeColor="text1"/>
          <w:sz w:val="22"/>
          <w:lang w:val="es-ES_tradnl"/>
        </w:rPr>
        <w:t xml:space="preserve"> si bien existe un cambio formal en el fundamento jurídico, la doctrina considera que el </w:t>
      </w:r>
      <w:r w:rsidRPr="00DA3080">
        <w:rPr>
          <w:rFonts w:ascii="Arial" w:eastAsia="Calibri" w:hAnsi="Arial" w:cs="Arial"/>
          <w:color w:val="000000" w:themeColor="text1"/>
          <w:sz w:val="22"/>
          <w:lang w:val="es-ES_tradnl"/>
        </w:rPr>
        <w:lastRenderedPageBreak/>
        <w:t>decaimiento se produce –entre otras causas– por la «[…] derogación o modificación de la norma legal en que se fundó el acto administrativo, cuando dicha regla es condición indispensable para su vigencia […]»</w:t>
      </w:r>
      <w:r w:rsidRPr="00DA3080">
        <w:rPr>
          <w:rStyle w:val="Refdenotaalpie"/>
          <w:rFonts w:ascii="Arial" w:eastAsia="Calibri" w:hAnsi="Arial" w:cs="Arial"/>
          <w:color w:val="000000" w:themeColor="text1"/>
          <w:sz w:val="22"/>
          <w:lang w:val="es-ES_tradnl"/>
        </w:rPr>
        <w:footnoteReference w:id="23"/>
      </w:r>
      <w:r w:rsidRPr="00DA3080">
        <w:rPr>
          <w:rFonts w:ascii="Arial" w:eastAsia="Calibri" w:hAnsi="Arial" w:cs="Arial"/>
          <w:color w:val="000000" w:themeColor="text1"/>
          <w:sz w:val="22"/>
          <w:lang w:val="es-ES_tradnl"/>
        </w:rPr>
        <w:t xml:space="preserve">. </w:t>
      </w:r>
    </w:p>
    <w:p w14:paraId="4F463CD9" w14:textId="0DB02388" w:rsidR="00D14890" w:rsidRPr="00DA3080" w:rsidRDefault="00D14890">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El decaimiento afecta los artículos </w:t>
      </w:r>
      <w:r w:rsidRPr="00DA3080">
        <w:rPr>
          <w:rFonts w:ascii="Arial" w:eastAsia="Calibri" w:hAnsi="Arial" w:cs="Arial"/>
          <w:bCs/>
          <w:color w:val="000000" w:themeColor="text1"/>
          <w:sz w:val="22"/>
          <w:lang w:val="es-ES_tradnl"/>
        </w:rPr>
        <w:t xml:space="preserve">2.2.1.2.4.2.2 y 2.2.1.2.4.2.3 del Decreto 1082 de 2015 </w:t>
      </w:r>
      <w:r w:rsidRPr="00DA3080">
        <w:rPr>
          <w:rFonts w:ascii="Arial" w:eastAsia="Calibri" w:hAnsi="Arial" w:cs="Arial"/>
          <w:color w:val="000000" w:themeColor="text1"/>
          <w:sz w:val="22"/>
          <w:lang w:val="es-ES_tradnl"/>
        </w:rPr>
        <w:t xml:space="preserve">por la subrogación del artículo 32 de la Ley 1450 de 2011, el cual regulaba las convocatorias limitadas a </w:t>
      </w:r>
      <w:proofErr w:type="spellStart"/>
      <w:r w:rsidRPr="00DA3080">
        <w:rPr>
          <w:rFonts w:ascii="Arial" w:eastAsia="Calibri" w:hAnsi="Arial" w:cs="Arial"/>
          <w:color w:val="000000" w:themeColor="text1"/>
          <w:sz w:val="22"/>
          <w:lang w:val="es-ES_tradnl"/>
        </w:rPr>
        <w:t>mipymes</w:t>
      </w:r>
      <w:proofErr w:type="spellEnd"/>
      <w:r w:rsidRPr="00DA3080">
        <w:rPr>
          <w:rFonts w:ascii="Arial" w:eastAsia="Calibri" w:hAnsi="Arial" w:cs="Arial"/>
          <w:color w:val="000000" w:themeColor="text1"/>
          <w:sz w:val="22"/>
          <w:lang w:val="es-ES_tradnl"/>
        </w:rPr>
        <w:t xml:space="preserve">. En este caso, desaparece el fundamento jurídico de las normas citadas del Decreto Único Reglamentario del Sector Administrativo de Planeación Nacional, ya que el artículo 34 de la Ley de Emprendimiento introduce modificaciones sustanciales a la materia como se explicó </w:t>
      </w:r>
      <w:r w:rsidRPr="00DA3080">
        <w:rPr>
          <w:rFonts w:ascii="Arial" w:eastAsia="Calibri" w:hAnsi="Arial" w:cs="Arial"/>
          <w:i/>
          <w:iCs/>
          <w:color w:val="000000" w:themeColor="text1"/>
          <w:sz w:val="22"/>
          <w:lang w:val="es-ES_tradnl"/>
        </w:rPr>
        <w:t>ut supra</w:t>
      </w:r>
      <w:r w:rsidRPr="00DA3080">
        <w:rPr>
          <w:rFonts w:ascii="Arial" w:eastAsia="Calibri" w:hAnsi="Arial" w:cs="Arial"/>
          <w:color w:val="000000" w:themeColor="text1"/>
          <w:sz w:val="22"/>
          <w:lang w:val="es-ES_tradnl"/>
        </w:rPr>
        <w:t>, por lo que es necesario que un nuevo reglamento defina las reglas de las convocatorias limitadas como una condición para su exigibilidad en los procedimientos contractuales</w:t>
      </w:r>
      <w:r w:rsidR="003C7C98" w:rsidRPr="00DA3080">
        <w:rPr>
          <w:rFonts w:ascii="Arial" w:eastAsia="Calibri" w:hAnsi="Arial" w:cs="Arial"/>
          <w:color w:val="000000" w:themeColor="text1"/>
          <w:sz w:val="22"/>
          <w:lang w:val="es-ES_tradnl"/>
        </w:rPr>
        <w:t xml:space="preserve">, regulación que se efectuó mediante el </w:t>
      </w:r>
      <w:r w:rsidR="003C7C98" w:rsidRPr="00DA3080">
        <w:rPr>
          <w:rFonts w:ascii="Arial" w:eastAsia="Calibri" w:hAnsi="Arial" w:cs="Arial"/>
          <w:bCs/>
          <w:color w:val="000000" w:themeColor="text1"/>
          <w:sz w:val="22"/>
          <w:lang w:val="es-ES_tradnl"/>
        </w:rPr>
        <w:t>Decreto 1860 del 24 de diciembre de 2021, pero que solo resulta aplicable para los procesos cuya invitación, aviso de convocatoria o documento equivalente se publique a los tres (3) meses contados a partir de su expedición, esto es, a partir del 24 de marzo de 2022.</w:t>
      </w:r>
      <w:r w:rsidRPr="00DA3080">
        <w:rPr>
          <w:rFonts w:ascii="Arial" w:eastAsia="Calibri" w:hAnsi="Arial" w:cs="Arial"/>
          <w:color w:val="000000" w:themeColor="text1"/>
          <w:sz w:val="22"/>
          <w:lang w:val="es-ES_tradnl"/>
        </w:rPr>
        <w:t xml:space="preserve"> </w:t>
      </w:r>
    </w:p>
    <w:p w14:paraId="54992F64" w14:textId="6860C986" w:rsidR="00D14890" w:rsidRPr="00DA3080" w:rsidRDefault="00D14890">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Lo mismo no sucede con la regulación de la mínima cuantía en el Decreto 1082 de 2015. </w:t>
      </w:r>
      <w:bookmarkStart w:id="15" w:name="_Hlk69487065"/>
      <w:bookmarkStart w:id="16" w:name="_Hlk69487402"/>
      <w:r w:rsidRPr="00DA3080">
        <w:rPr>
          <w:rFonts w:ascii="Arial" w:eastAsia="Calibri" w:hAnsi="Arial" w:cs="Arial"/>
          <w:color w:val="000000" w:themeColor="text1"/>
          <w:sz w:val="22"/>
          <w:lang w:val="es-ES_tradnl"/>
        </w:rPr>
        <w:t>Aunque el artículo 30 de la Ley de Emprendimiento subroga el contenido del numeral 5 del artículo 2 de la Ley 1150 de 2007, ambas disposiciones son de aplicación directa</w:t>
      </w:r>
      <w:r w:rsidR="0035216D" w:rsidRPr="00DA3080">
        <w:rPr>
          <w:rFonts w:ascii="Arial" w:eastAsia="Calibri" w:hAnsi="Arial" w:cs="Arial"/>
          <w:color w:val="000000" w:themeColor="text1"/>
          <w:sz w:val="22"/>
          <w:lang w:val="es-ES_tradnl"/>
        </w:rPr>
        <w:t>, sin que se necesitara la expedición de un nuevo reglamento</w:t>
      </w:r>
      <w:r w:rsidRPr="00DA3080">
        <w:rPr>
          <w:rFonts w:ascii="Arial" w:eastAsia="Calibri" w:hAnsi="Arial" w:cs="Arial"/>
          <w:color w:val="000000" w:themeColor="text1"/>
          <w:sz w:val="22"/>
          <w:lang w:val="es-ES_tradnl"/>
        </w:rPr>
        <w:t>. Adicionalmente, pese a que la Ley de Emprendimiento permite las convocatorias limitadas a la</w:t>
      </w:r>
      <w:r w:rsidR="00BC6406" w:rsidRPr="00DA3080">
        <w:rPr>
          <w:rFonts w:ascii="Arial" w:eastAsia="Calibri" w:hAnsi="Arial" w:cs="Arial"/>
          <w:color w:val="000000" w:themeColor="text1"/>
          <w:sz w:val="22"/>
          <w:lang w:val="es-ES_tradnl"/>
        </w:rPr>
        <w:t>s</w:t>
      </w:r>
      <w:r w:rsidRPr="00DA3080">
        <w:rPr>
          <w:rFonts w:ascii="Arial" w:eastAsia="Calibri" w:hAnsi="Arial" w:cs="Arial"/>
          <w:color w:val="000000" w:themeColor="text1"/>
          <w:sz w:val="22"/>
          <w:lang w:val="es-ES_tradnl"/>
        </w:rPr>
        <w:t xml:space="preserve"> </w:t>
      </w:r>
      <w:proofErr w:type="spellStart"/>
      <w:r w:rsidRPr="00DA3080">
        <w:rPr>
          <w:rFonts w:ascii="Arial" w:eastAsia="Calibri" w:hAnsi="Arial" w:cs="Arial"/>
          <w:color w:val="000000" w:themeColor="text1"/>
          <w:sz w:val="22"/>
          <w:lang w:val="es-ES_tradnl"/>
        </w:rPr>
        <w:t>m</w:t>
      </w:r>
      <w:r w:rsidR="00F36F7D" w:rsidRPr="00DA3080">
        <w:rPr>
          <w:rFonts w:ascii="Arial" w:eastAsia="Calibri" w:hAnsi="Arial" w:cs="Arial"/>
          <w:color w:val="000000" w:themeColor="text1"/>
          <w:sz w:val="22"/>
          <w:lang w:val="es-ES_tradnl"/>
        </w:rPr>
        <w:t>i</w:t>
      </w:r>
      <w:r w:rsidRPr="00DA3080">
        <w:rPr>
          <w:rFonts w:ascii="Arial" w:eastAsia="Calibri" w:hAnsi="Arial" w:cs="Arial"/>
          <w:color w:val="000000" w:themeColor="text1"/>
          <w:sz w:val="22"/>
          <w:lang w:val="es-ES_tradnl"/>
        </w:rPr>
        <w:t>p</w:t>
      </w:r>
      <w:r w:rsidR="00F36F7D" w:rsidRPr="00DA3080">
        <w:rPr>
          <w:rFonts w:ascii="Arial" w:eastAsia="Calibri" w:hAnsi="Arial" w:cs="Arial"/>
          <w:color w:val="000000" w:themeColor="text1"/>
          <w:sz w:val="22"/>
          <w:lang w:val="es-ES_tradnl"/>
        </w:rPr>
        <w:t>y</w:t>
      </w:r>
      <w:r w:rsidRPr="00DA3080">
        <w:rPr>
          <w:rFonts w:ascii="Arial" w:eastAsia="Calibri" w:hAnsi="Arial" w:cs="Arial"/>
          <w:color w:val="000000" w:themeColor="text1"/>
          <w:sz w:val="22"/>
          <w:lang w:val="es-ES_tradnl"/>
        </w:rPr>
        <w:t>mes</w:t>
      </w:r>
      <w:proofErr w:type="spellEnd"/>
      <w:r w:rsidRPr="00DA3080">
        <w:rPr>
          <w:rFonts w:ascii="Arial" w:eastAsia="Calibri" w:hAnsi="Arial" w:cs="Arial"/>
          <w:color w:val="000000" w:themeColor="text1"/>
          <w:sz w:val="22"/>
          <w:lang w:val="es-ES_tradnl"/>
        </w:rPr>
        <w:t xml:space="preserve"> en la mínima cuantía, el desarrollo reglamentario de este tema hace parte del artículo 34 </w:t>
      </w:r>
      <w:proofErr w:type="spellStart"/>
      <w:r w:rsidRPr="00DA3080">
        <w:rPr>
          <w:rFonts w:ascii="Arial" w:eastAsia="Calibri" w:hAnsi="Arial" w:cs="Arial"/>
          <w:i/>
          <w:iCs/>
          <w:color w:val="000000" w:themeColor="text1"/>
          <w:sz w:val="22"/>
          <w:lang w:val="es-ES_tradnl"/>
        </w:rPr>
        <w:t>ibídem</w:t>
      </w:r>
      <w:proofErr w:type="spellEnd"/>
      <w:r w:rsidRPr="00DA3080">
        <w:rPr>
          <w:rFonts w:ascii="Arial" w:eastAsia="Calibri" w:hAnsi="Arial" w:cs="Arial"/>
          <w:color w:val="000000" w:themeColor="text1"/>
          <w:sz w:val="22"/>
          <w:lang w:val="es-ES_tradnl"/>
        </w:rPr>
        <w:t xml:space="preserve">. </w:t>
      </w:r>
      <w:bookmarkEnd w:id="15"/>
    </w:p>
    <w:p w14:paraId="13BBF203" w14:textId="1C27F473" w:rsidR="00D14890" w:rsidRPr="00DA3080" w:rsidRDefault="00D14890">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r>
      <w:r w:rsidRPr="00DA3080">
        <w:rPr>
          <w:rFonts w:ascii="Arial" w:eastAsia="Calibri" w:hAnsi="Arial" w:cs="Arial"/>
          <w:bCs/>
          <w:color w:val="000000" w:themeColor="text1"/>
          <w:sz w:val="22"/>
          <w:lang w:val="es-ES_tradnl"/>
        </w:rPr>
        <w:t xml:space="preserve">Para permitir la adquisición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y la aplicación del artículo 12 de la Ley 1150 de 2007, </w:t>
      </w:r>
      <w:r w:rsidRPr="00DA3080">
        <w:rPr>
          <w:rFonts w:ascii="Arial" w:eastAsia="Calibri" w:hAnsi="Arial" w:cs="Arial"/>
          <w:color w:val="000000" w:themeColor="text1"/>
          <w:sz w:val="22"/>
          <w:lang w:val="es-ES_tradnl"/>
        </w:rPr>
        <w:t>la Ley de Emprendimiento pudo modificar únicamente los parágrafos 1 y 2 d</w:t>
      </w:r>
      <w:r w:rsidRPr="00DA3080">
        <w:rPr>
          <w:rFonts w:ascii="Arial" w:eastAsia="Calibri" w:hAnsi="Arial" w:cs="Arial"/>
          <w:bCs/>
          <w:color w:val="000000" w:themeColor="text1"/>
          <w:sz w:val="22"/>
          <w:lang w:val="es-ES_tradnl"/>
        </w:rPr>
        <w:t xml:space="preserve">el artículo 94 de la Ley 1474 de 2011. Pese a que el artículo 30 de la Ley 2069 de 2020 optó por sustituir integralmente la regulación anterior, </w:t>
      </w:r>
      <w:bookmarkStart w:id="17" w:name="_Hlk69572931"/>
      <w:r w:rsidRPr="00DA3080">
        <w:rPr>
          <w:rFonts w:ascii="Arial" w:eastAsia="Calibri" w:hAnsi="Arial" w:cs="Arial"/>
          <w:bCs/>
          <w:color w:val="000000" w:themeColor="text1"/>
          <w:sz w:val="22"/>
          <w:lang w:val="es-ES_tradnl"/>
        </w:rPr>
        <w:t xml:space="preserve">se observa que materialmente no existe una derogación de la mínima cuantía ni una modificación sustancial que incida en el procedimiento, por lo que no desaparece el fundamento jurídico de las normas reglamentarias que </w:t>
      </w:r>
      <w:bookmarkEnd w:id="17"/>
      <w:r w:rsidR="0035216D" w:rsidRPr="00DA3080">
        <w:rPr>
          <w:rFonts w:ascii="Arial" w:eastAsia="Calibri" w:hAnsi="Arial" w:cs="Arial"/>
          <w:bCs/>
          <w:color w:val="000000" w:themeColor="text1"/>
          <w:sz w:val="22"/>
          <w:lang w:val="es-ES_tradnl"/>
        </w:rPr>
        <w:t>desarrollaban esta modalidad de selección al momento de expedirse la Ley 2069 de 2020</w:t>
      </w:r>
      <w:r w:rsidRPr="00DA3080">
        <w:rPr>
          <w:rFonts w:ascii="Arial" w:eastAsia="Calibri" w:hAnsi="Arial" w:cs="Arial"/>
          <w:bCs/>
          <w:color w:val="000000" w:themeColor="text1"/>
          <w:sz w:val="22"/>
          <w:lang w:val="es-ES_tradnl"/>
        </w:rPr>
        <w:t xml:space="preserve">. </w:t>
      </w:r>
      <w:bookmarkStart w:id="18" w:name="_Hlk69573039"/>
      <w:r w:rsidRPr="00DA3080">
        <w:rPr>
          <w:rFonts w:ascii="Arial" w:eastAsia="Calibri" w:hAnsi="Arial" w:cs="Arial"/>
          <w:bCs/>
          <w:color w:val="000000" w:themeColor="text1"/>
          <w:sz w:val="22"/>
          <w:lang w:val="es-ES_tradnl"/>
        </w:rPr>
        <w:t xml:space="preserve">En esta medida, siguen vigentes gran parte de los </w:t>
      </w:r>
      <w:r w:rsidRPr="00DA3080">
        <w:rPr>
          <w:rFonts w:ascii="Arial" w:eastAsia="Calibri" w:hAnsi="Arial" w:cs="Arial"/>
          <w:color w:val="000000" w:themeColor="text1"/>
          <w:sz w:val="22"/>
          <w:lang w:val="es-ES_tradnl"/>
        </w:rPr>
        <w:t xml:space="preserve">artículos 2.2.1.2.1.5.1 al 2.2.1.2.1.5.4 </w:t>
      </w:r>
      <w:r w:rsidR="0035216D" w:rsidRPr="00DA3080">
        <w:rPr>
          <w:rFonts w:ascii="Arial" w:eastAsia="Calibri" w:hAnsi="Arial" w:cs="Arial"/>
          <w:color w:val="000000" w:themeColor="text1"/>
          <w:sz w:val="22"/>
          <w:lang w:val="es-ES_tradnl"/>
        </w:rPr>
        <w:t xml:space="preserve">originales </w:t>
      </w:r>
      <w:r w:rsidRPr="00DA3080">
        <w:rPr>
          <w:rFonts w:ascii="Arial" w:eastAsia="Calibri" w:hAnsi="Arial" w:cs="Arial"/>
          <w:color w:val="000000" w:themeColor="text1"/>
          <w:sz w:val="22"/>
          <w:lang w:val="es-ES_tradnl"/>
        </w:rPr>
        <w:t xml:space="preserve">del Decreto </w:t>
      </w:r>
      <w:r w:rsidR="0035216D" w:rsidRPr="00DA3080">
        <w:rPr>
          <w:rFonts w:ascii="Arial" w:eastAsia="Calibri" w:hAnsi="Arial" w:cs="Arial"/>
          <w:color w:val="000000" w:themeColor="text1"/>
          <w:sz w:val="22"/>
          <w:lang w:val="es-ES_tradnl"/>
        </w:rPr>
        <w:t>1082 de 2015, los cuales aplicarán a los procesos de mínima cuantía que se inicien antes del 24 de marzo de 2022, de acuerdo con las normas de vigencia del Decreto 1860 de 2021</w:t>
      </w:r>
      <w:r w:rsidR="00422C66" w:rsidRPr="00DA3080">
        <w:rPr>
          <w:rFonts w:ascii="Arial" w:eastAsia="Calibri" w:hAnsi="Arial" w:cs="Arial"/>
          <w:color w:val="000000" w:themeColor="text1"/>
          <w:sz w:val="22"/>
          <w:lang w:val="es-ES_tradnl"/>
        </w:rPr>
        <w:t>.</w:t>
      </w:r>
      <w:r w:rsidRPr="00DA3080">
        <w:rPr>
          <w:rFonts w:ascii="Arial" w:eastAsia="Calibri" w:hAnsi="Arial" w:cs="Arial"/>
          <w:color w:val="000000" w:themeColor="text1"/>
          <w:sz w:val="22"/>
          <w:lang w:val="es-ES_tradnl"/>
        </w:rPr>
        <w:t xml:space="preserve"> </w:t>
      </w:r>
      <w:bookmarkEnd w:id="16"/>
    </w:p>
    <w:p w14:paraId="2C401909" w14:textId="7AB482C0" w:rsidR="00D14890" w:rsidRPr="00DA3080" w:rsidRDefault="00D14890">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No obstante, es necesario introducir un matiz en la conclusión precedente, </w:t>
      </w:r>
      <w:r w:rsidR="00BC6406" w:rsidRPr="00DA3080">
        <w:rPr>
          <w:rFonts w:ascii="Arial" w:eastAsia="Calibri" w:hAnsi="Arial" w:cs="Arial"/>
          <w:color w:val="000000" w:themeColor="text1"/>
          <w:sz w:val="22"/>
          <w:lang w:val="es-ES_tradnl"/>
        </w:rPr>
        <w:t>pues</w:t>
      </w:r>
      <w:r w:rsidRPr="00DA3080">
        <w:rPr>
          <w:rFonts w:ascii="Arial" w:eastAsia="Calibri" w:hAnsi="Arial" w:cs="Arial"/>
          <w:color w:val="000000" w:themeColor="text1"/>
          <w:sz w:val="22"/>
          <w:lang w:val="es-ES_tradnl"/>
        </w:rPr>
        <w:t xml:space="preserve"> los factores de desempate previstos en el numeral 7 del artículo 2.2.1.2.1.5.2 y el numeral 3 </w:t>
      </w:r>
      <w:r w:rsidRPr="00DA3080">
        <w:rPr>
          <w:rFonts w:ascii="Arial" w:eastAsia="Calibri" w:hAnsi="Arial" w:cs="Arial"/>
          <w:color w:val="000000" w:themeColor="text1"/>
          <w:sz w:val="22"/>
          <w:lang w:val="es-ES_tradnl"/>
        </w:rPr>
        <w:lastRenderedPageBreak/>
        <w:t xml:space="preserve">del artículo 2.2.1.2.1.5.3 del Decreto 1082 de 2015 </w:t>
      </w:r>
      <w:r w:rsidR="0035216D" w:rsidRPr="00DA3080">
        <w:rPr>
          <w:rFonts w:ascii="Arial" w:eastAsia="Calibri" w:hAnsi="Arial" w:cs="Arial"/>
          <w:color w:val="000000" w:themeColor="text1"/>
          <w:sz w:val="22"/>
          <w:lang w:val="es-ES_tradnl"/>
        </w:rPr>
        <w:t>perdieron</w:t>
      </w:r>
      <w:r w:rsidRPr="00DA3080">
        <w:rPr>
          <w:rFonts w:ascii="Arial" w:eastAsia="Calibri" w:hAnsi="Arial" w:cs="Arial"/>
          <w:color w:val="000000" w:themeColor="text1"/>
          <w:sz w:val="22"/>
          <w:lang w:val="es-ES_tradnl"/>
        </w:rPr>
        <w:t xml:space="preserve"> vigencia con la expedición del artículo 35 de la Ley de Emprendimiento. </w:t>
      </w:r>
      <w:bookmarkEnd w:id="18"/>
      <w:r w:rsidRPr="00DA3080">
        <w:rPr>
          <w:rFonts w:ascii="Arial" w:eastAsia="Calibri" w:hAnsi="Arial" w:cs="Arial"/>
          <w:color w:val="000000" w:themeColor="text1"/>
          <w:sz w:val="22"/>
          <w:lang w:val="es-ES_tradnl"/>
        </w:rPr>
        <w:t>Al respecto</w:t>
      </w:r>
      <w:r w:rsidRPr="00DA3080">
        <w:rPr>
          <w:rFonts w:ascii="Arial" w:hAnsi="Arial" w:cs="Arial"/>
          <w:color w:val="000000" w:themeColor="text1"/>
          <w:sz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 </w:t>
      </w:r>
    </w:p>
    <w:p w14:paraId="320D2DBC" w14:textId="6BF6FE20" w:rsidR="00D14890" w:rsidRPr="00DA3080" w:rsidRDefault="00D14890" w:rsidP="00BF0F70">
      <w:pPr>
        <w:spacing w:after="120"/>
        <w:ind w:firstLine="709"/>
        <w:rPr>
          <w:rFonts w:ascii="Arial" w:hAnsi="Arial" w:cs="Arial"/>
          <w:color w:val="000000" w:themeColor="text1"/>
          <w:sz w:val="22"/>
          <w:lang w:val="es-ES_tradnl"/>
        </w:rPr>
      </w:pPr>
      <w:bookmarkStart w:id="19" w:name="_Hlk69573103"/>
      <w:r w:rsidRPr="00DA3080">
        <w:rPr>
          <w:rFonts w:ascii="Arial" w:hAnsi="Arial" w:cs="Arial"/>
          <w:color w:val="000000" w:themeColor="text1"/>
          <w:sz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DA3080">
        <w:rPr>
          <w:rFonts w:ascii="Arial" w:hAnsi="Arial" w:cs="Arial"/>
          <w:i/>
          <w:iCs/>
          <w:color w:val="000000" w:themeColor="text1"/>
          <w:sz w:val="22"/>
          <w:lang w:val="es-ES_tradnl"/>
        </w:rPr>
        <w:t>secundum</w:t>
      </w:r>
      <w:proofErr w:type="spellEnd"/>
      <w:r w:rsidRPr="00DA3080">
        <w:rPr>
          <w:rFonts w:ascii="Arial" w:hAnsi="Arial" w:cs="Arial"/>
          <w:i/>
          <w:iCs/>
          <w:color w:val="000000" w:themeColor="text1"/>
          <w:sz w:val="22"/>
          <w:lang w:val="es-ES_tradnl"/>
        </w:rPr>
        <w:t xml:space="preserve"> </w:t>
      </w:r>
      <w:proofErr w:type="spellStart"/>
      <w:r w:rsidRPr="00DA3080">
        <w:rPr>
          <w:rFonts w:ascii="Arial" w:hAnsi="Arial" w:cs="Arial"/>
          <w:i/>
          <w:iCs/>
          <w:color w:val="000000" w:themeColor="text1"/>
          <w:sz w:val="22"/>
          <w:lang w:val="es-ES_tradnl"/>
        </w:rPr>
        <w:t>legem</w:t>
      </w:r>
      <w:proofErr w:type="spellEnd"/>
      <w:r w:rsidRPr="00DA3080">
        <w:rPr>
          <w:rFonts w:ascii="Arial" w:hAnsi="Arial" w:cs="Arial"/>
          <w:color w:val="000000" w:themeColor="text1"/>
          <w:sz w:val="22"/>
          <w:lang w:val="es-ES_tradnl"/>
        </w:rPr>
        <w:t xml:space="preserve"> –es decir, que desarrolla una norma de mayor jerarquía–, la expedición de una ley en sentido formal –en otras palabras, una fuente que condiciona el contenido de este último–, hace que la disposición reglamentaria decaiga.</w:t>
      </w:r>
      <w:r w:rsidR="006D7173" w:rsidRPr="00DA3080">
        <w:rPr>
          <w:rFonts w:ascii="Arial" w:hAnsi="Arial" w:cs="Arial"/>
          <w:color w:val="000000" w:themeColor="text1"/>
          <w:sz w:val="22"/>
          <w:lang w:val="es-ES_tradnl"/>
        </w:rPr>
        <w:t xml:space="preserve"> </w:t>
      </w:r>
    </w:p>
    <w:bookmarkEnd w:id="19"/>
    <w:p w14:paraId="3EA0595E" w14:textId="1A361A3C" w:rsidR="00D14890" w:rsidRPr="00DA3080" w:rsidRDefault="00D14890" w:rsidP="00BF0F70">
      <w:pPr>
        <w:spacing w:after="120"/>
        <w:ind w:firstLine="709"/>
        <w:rPr>
          <w:rFonts w:ascii="Arial" w:hAnsi="Arial" w:cs="Arial"/>
          <w:color w:val="000000" w:themeColor="text1"/>
          <w:sz w:val="22"/>
          <w:lang w:val="es-ES_tradnl"/>
        </w:rPr>
      </w:pPr>
      <w:r w:rsidRPr="00DA3080">
        <w:rPr>
          <w:rFonts w:ascii="Arial" w:hAnsi="Arial" w:cs="Arial"/>
          <w:color w:val="000000" w:themeColor="text1"/>
          <w:sz w:val="22"/>
          <w:lang w:val="es-ES_tradnl"/>
        </w:rPr>
        <w:t xml:space="preserve">Lo expuesto en los dos (2) párrafos precedentes también aplica </w:t>
      </w:r>
      <w:r w:rsidRPr="00DA3080">
        <w:rPr>
          <w:rFonts w:ascii="Arial" w:hAnsi="Arial" w:cs="Arial"/>
          <w:i/>
          <w:iCs/>
          <w:color w:val="000000" w:themeColor="text1"/>
          <w:sz w:val="22"/>
          <w:lang w:val="es-ES_tradnl"/>
        </w:rPr>
        <w:t>mutatis mutandis</w:t>
      </w:r>
      <w:r w:rsidRPr="00DA3080">
        <w:rPr>
          <w:rFonts w:ascii="Arial" w:hAnsi="Arial" w:cs="Arial"/>
          <w:color w:val="000000" w:themeColor="text1"/>
          <w:sz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r w:rsidR="006D7173" w:rsidRPr="00DA3080">
        <w:rPr>
          <w:rFonts w:ascii="Arial" w:hAnsi="Arial" w:cs="Arial"/>
          <w:color w:val="000000" w:themeColor="text1"/>
          <w:sz w:val="22"/>
          <w:lang w:val="es-ES_tradnl"/>
        </w:rPr>
        <w:t xml:space="preserve"> </w:t>
      </w:r>
    </w:p>
    <w:p w14:paraId="28913D59" w14:textId="3839FFBB" w:rsidR="00D14890" w:rsidRPr="00DA3080" w:rsidRDefault="00D14890" w:rsidP="00BF0F70">
      <w:pPr>
        <w:spacing w:after="120"/>
        <w:ind w:firstLine="709"/>
        <w:rPr>
          <w:rFonts w:ascii="Arial" w:hAnsi="Arial" w:cs="Arial"/>
          <w:color w:val="000000" w:themeColor="text1"/>
          <w:sz w:val="22"/>
          <w:lang w:val="es-ES_tradnl"/>
        </w:rPr>
      </w:pPr>
      <w:r w:rsidRPr="00DA3080">
        <w:rPr>
          <w:rFonts w:ascii="Arial" w:hAnsi="Arial" w:cs="Arial"/>
          <w:color w:val="000000" w:themeColor="text1"/>
          <w:sz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modificar aspectos elevados a rango de ley, como lo son los criterios de desempate previstos en el artículo 35 de la Ley 2069 de 2020. </w:t>
      </w:r>
      <w:r w:rsidR="00C46366" w:rsidRPr="00DA3080">
        <w:rPr>
          <w:rFonts w:ascii="Arial" w:hAnsi="Arial" w:cs="Arial"/>
          <w:color w:val="000000" w:themeColor="text1"/>
          <w:sz w:val="22"/>
          <w:lang w:val="es-ES_tradnl"/>
        </w:rPr>
        <w:t xml:space="preserve">Esta idea es especialmente importante, para el análisis que se realizará en el numeral 2.5. de este concepto, en relación con </w:t>
      </w:r>
      <w:r w:rsidR="00427C16" w:rsidRPr="00DA3080">
        <w:rPr>
          <w:rFonts w:ascii="Arial" w:hAnsi="Arial" w:cs="Arial"/>
          <w:color w:val="000000" w:themeColor="text1"/>
          <w:sz w:val="22"/>
          <w:lang w:val="es-ES_tradnl"/>
        </w:rPr>
        <w:t>la declaratoria de desierta en los procesos de mínima cuantía.</w:t>
      </w:r>
    </w:p>
    <w:p w14:paraId="66EB3CC5" w14:textId="77777777" w:rsidR="00D14890" w:rsidRPr="00DA3080" w:rsidRDefault="00D14890" w:rsidP="00BF0F70">
      <w:pPr>
        <w:spacing w:after="0"/>
        <w:ind w:firstLine="709"/>
        <w:rPr>
          <w:rFonts w:ascii="Arial" w:hAnsi="Arial" w:cs="Arial"/>
          <w:color w:val="000000" w:themeColor="text1"/>
          <w:sz w:val="22"/>
          <w:lang w:val="es-ES_tradnl"/>
        </w:rPr>
      </w:pPr>
      <w:r w:rsidRPr="00DA3080">
        <w:rPr>
          <w:rFonts w:ascii="Arial" w:hAnsi="Arial" w:cs="Arial"/>
          <w:color w:val="000000" w:themeColor="text1"/>
          <w:sz w:val="22"/>
          <w:lang w:val="es-ES_tradnl"/>
        </w:rPr>
        <w:lastRenderedPageBreak/>
        <w:t xml:space="preserve">Además, aunque el artículo 5.1 de la Ley 57 de 1887 consagra la regla </w:t>
      </w:r>
      <w:r w:rsidRPr="00DA3080">
        <w:rPr>
          <w:rFonts w:ascii="Arial" w:hAnsi="Arial" w:cs="Arial"/>
          <w:i/>
          <w:iCs/>
          <w:color w:val="000000" w:themeColor="text1"/>
          <w:sz w:val="22"/>
          <w:lang w:val="es-ES_tradnl"/>
        </w:rPr>
        <w:t xml:space="preserve">lex </w:t>
      </w:r>
      <w:proofErr w:type="spellStart"/>
      <w:r w:rsidRPr="00DA3080">
        <w:rPr>
          <w:rFonts w:ascii="Arial" w:hAnsi="Arial" w:cs="Arial"/>
          <w:i/>
          <w:iCs/>
          <w:color w:val="000000" w:themeColor="text1"/>
          <w:sz w:val="22"/>
          <w:lang w:val="es-ES_tradnl"/>
        </w:rPr>
        <w:t>specialis</w:t>
      </w:r>
      <w:proofErr w:type="spellEnd"/>
      <w:r w:rsidRPr="00DA3080">
        <w:rPr>
          <w:rFonts w:ascii="Arial" w:hAnsi="Arial" w:cs="Arial"/>
          <w:i/>
          <w:iCs/>
          <w:color w:val="000000" w:themeColor="text1"/>
          <w:sz w:val="22"/>
          <w:lang w:val="es-ES_tradnl"/>
        </w:rPr>
        <w:t xml:space="preserve"> </w:t>
      </w:r>
      <w:proofErr w:type="spellStart"/>
      <w:r w:rsidRPr="00DA3080">
        <w:rPr>
          <w:rFonts w:ascii="Arial" w:hAnsi="Arial" w:cs="Arial"/>
          <w:i/>
          <w:iCs/>
          <w:color w:val="000000" w:themeColor="text1"/>
          <w:sz w:val="22"/>
          <w:lang w:val="es-ES_tradnl"/>
        </w:rPr>
        <w:t>derogat</w:t>
      </w:r>
      <w:proofErr w:type="spellEnd"/>
      <w:r w:rsidRPr="00DA3080">
        <w:rPr>
          <w:rFonts w:ascii="Arial" w:hAnsi="Arial" w:cs="Arial"/>
          <w:i/>
          <w:iCs/>
          <w:color w:val="000000" w:themeColor="text1"/>
          <w:sz w:val="22"/>
          <w:lang w:val="es-ES_tradnl"/>
        </w:rPr>
        <w:t xml:space="preserve"> </w:t>
      </w:r>
      <w:proofErr w:type="spellStart"/>
      <w:r w:rsidRPr="00DA3080">
        <w:rPr>
          <w:rFonts w:ascii="Arial" w:hAnsi="Arial" w:cs="Arial"/>
          <w:i/>
          <w:iCs/>
          <w:color w:val="000000" w:themeColor="text1"/>
          <w:sz w:val="22"/>
          <w:lang w:val="es-ES_tradnl"/>
        </w:rPr>
        <w:t>legi</w:t>
      </w:r>
      <w:proofErr w:type="spellEnd"/>
      <w:r w:rsidRPr="00DA3080">
        <w:rPr>
          <w:rFonts w:ascii="Arial" w:hAnsi="Arial" w:cs="Arial"/>
          <w:i/>
          <w:iCs/>
          <w:color w:val="000000" w:themeColor="text1"/>
          <w:sz w:val="22"/>
          <w:lang w:val="es-ES_tradnl"/>
        </w:rPr>
        <w:t xml:space="preserve"> </w:t>
      </w:r>
      <w:proofErr w:type="spellStart"/>
      <w:r w:rsidRPr="00DA3080">
        <w:rPr>
          <w:rFonts w:ascii="Arial" w:hAnsi="Arial" w:cs="Arial"/>
          <w:i/>
          <w:iCs/>
          <w:color w:val="000000" w:themeColor="text1"/>
          <w:sz w:val="22"/>
          <w:lang w:val="es-ES_tradnl"/>
        </w:rPr>
        <w:t>generali</w:t>
      </w:r>
      <w:proofErr w:type="spellEnd"/>
      <w:r w:rsidRPr="00DA3080">
        <w:rPr>
          <w:rStyle w:val="Refdenotaalpie"/>
          <w:rFonts w:ascii="Arial" w:hAnsi="Arial" w:cs="Arial"/>
          <w:color w:val="000000" w:themeColor="text1"/>
          <w:sz w:val="22"/>
          <w:lang w:val="es-ES_tradnl"/>
        </w:rPr>
        <w:footnoteReference w:id="24"/>
      </w:r>
      <w:r w:rsidRPr="00DA3080">
        <w:rPr>
          <w:rFonts w:ascii="Arial" w:hAnsi="Arial" w:cs="Arial"/>
          <w:color w:val="000000" w:themeColor="text1"/>
          <w:sz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DA3080">
        <w:rPr>
          <w:rStyle w:val="Refdenotaalpie"/>
          <w:rFonts w:ascii="Arial" w:hAnsi="Arial" w:cs="Arial"/>
          <w:color w:val="000000" w:themeColor="text1"/>
          <w:sz w:val="22"/>
          <w:lang w:val="es-ES_tradnl"/>
        </w:rPr>
        <w:footnoteReference w:id="25"/>
      </w:r>
      <w:r w:rsidRPr="00DA3080">
        <w:rPr>
          <w:rFonts w:ascii="Arial" w:hAnsi="Arial" w:cs="Arial"/>
          <w:color w:val="000000" w:themeColor="text1"/>
          <w:sz w:val="22"/>
          <w:lang w:val="es-ES_tradnl"/>
        </w:rPr>
        <w:t xml:space="preserve">. Al respecto, la doctrina considera que: </w:t>
      </w:r>
    </w:p>
    <w:p w14:paraId="5D3494D9" w14:textId="31EE89BB" w:rsidR="00647607" w:rsidRPr="00DA3080" w:rsidRDefault="006D7173" w:rsidP="00BF0F70">
      <w:pPr>
        <w:spacing w:after="0"/>
        <w:ind w:firstLine="709"/>
        <w:rPr>
          <w:rFonts w:ascii="Arial" w:hAnsi="Arial" w:cs="Arial"/>
          <w:color w:val="000000" w:themeColor="text1"/>
          <w:sz w:val="22"/>
          <w:lang w:val="es-ES_tradnl"/>
        </w:rPr>
      </w:pPr>
      <w:r w:rsidRPr="00DA3080">
        <w:rPr>
          <w:rFonts w:ascii="Arial" w:hAnsi="Arial" w:cs="Arial"/>
          <w:color w:val="000000" w:themeColor="text1"/>
          <w:sz w:val="22"/>
          <w:lang w:val="es-ES_tradnl"/>
        </w:rPr>
        <w:t xml:space="preserve"> </w:t>
      </w:r>
    </w:p>
    <w:p w14:paraId="070847DD" w14:textId="77777777" w:rsidR="00D14890" w:rsidRPr="00DA3080" w:rsidRDefault="00D14890" w:rsidP="00BF0F70">
      <w:pPr>
        <w:spacing w:after="0" w:line="240" w:lineRule="auto"/>
        <w:ind w:left="709" w:right="758"/>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 xml:space="preserve">[…] la preferencia por la norma especial sobre la norma posterior no puede tener jamás un valor absoluto, porque razones de orden teleológico pueden impeler a dar prioridad a la </w:t>
      </w:r>
      <w:r w:rsidRPr="00DA3080">
        <w:rPr>
          <w:rFonts w:ascii="Arial" w:hAnsi="Arial" w:cs="Arial"/>
          <w:i/>
          <w:iCs/>
          <w:color w:val="000000" w:themeColor="text1"/>
          <w:sz w:val="21"/>
          <w:szCs w:val="21"/>
          <w:lang w:val="es-ES_tradnl"/>
        </w:rPr>
        <w:t xml:space="preserve">lex posterior </w:t>
      </w:r>
      <w:proofErr w:type="spellStart"/>
      <w:r w:rsidRPr="00DA3080">
        <w:rPr>
          <w:rFonts w:ascii="Arial" w:hAnsi="Arial" w:cs="Arial"/>
          <w:i/>
          <w:iCs/>
          <w:color w:val="000000" w:themeColor="text1"/>
          <w:sz w:val="21"/>
          <w:szCs w:val="21"/>
          <w:lang w:val="es-ES_tradnl"/>
        </w:rPr>
        <w:t>generalis</w:t>
      </w:r>
      <w:proofErr w:type="spellEnd"/>
      <w:r w:rsidRPr="00DA3080">
        <w:rPr>
          <w:rFonts w:ascii="Arial" w:hAnsi="Arial" w:cs="Arial"/>
          <w:color w:val="000000" w:themeColor="text1"/>
          <w:sz w:val="21"/>
          <w:szCs w:val="21"/>
          <w:lang w:val="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DA3080">
        <w:rPr>
          <w:rFonts w:ascii="Arial" w:hAnsi="Arial" w:cs="Arial"/>
          <w:i/>
          <w:iCs/>
          <w:color w:val="000000" w:themeColor="text1"/>
          <w:sz w:val="21"/>
          <w:szCs w:val="21"/>
          <w:lang w:val="es-ES_tradnl"/>
        </w:rPr>
        <w:t xml:space="preserve">lex posterior </w:t>
      </w:r>
      <w:proofErr w:type="spellStart"/>
      <w:r w:rsidRPr="00DA3080">
        <w:rPr>
          <w:rFonts w:ascii="Arial" w:hAnsi="Arial" w:cs="Arial"/>
          <w:i/>
          <w:iCs/>
          <w:color w:val="000000" w:themeColor="text1"/>
          <w:sz w:val="21"/>
          <w:szCs w:val="21"/>
          <w:lang w:val="es-ES_tradnl"/>
        </w:rPr>
        <w:t>generalis</w:t>
      </w:r>
      <w:proofErr w:type="spellEnd"/>
      <w:r w:rsidRPr="00DA3080">
        <w:rPr>
          <w:rFonts w:ascii="Arial" w:hAnsi="Arial" w:cs="Arial"/>
          <w:i/>
          <w:iCs/>
          <w:color w:val="000000" w:themeColor="text1"/>
          <w:sz w:val="21"/>
          <w:szCs w:val="21"/>
          <w:lang w:val="es-ES_tradnl"/>
        </w:rPr>
        <w:t xml:space="preserve"> non </w:t>
      </w:r>
      <w:proofErr w:type="spellStart"/>
      <w:r w:rsidRPr="00DA3080">
        <w:rPr>
          <w:rFonts w:ascii="Arial" w:hAnsi="Arial" w:cs="Arial"/>
          <w:i/>
          <w:iCs/>
          <w:color w:val="000000" w:themeColor="text1"/>
          <w:sz w:val="21"/>
          <w:szCs w:val="21"/>
          <w:lang w:val="es-ES_tradnl"/>
        </w:rPr>
        <w:t>derogat</w:t>
      </w:r>
      <w:proofErr w:type="spellEnd"/>
      <w:r w:rsidRPr="00DA3080">
        <w:rPr>
          <w:rFonts w:ascii="Arial" w:hAnsi="Arial" w:cs="Arial"/>
          <w:i/>
          <w:iCs/>
          <w:color w:val="000000" w:themeColor="text1"/>
          <w:sz w:val="21"/>
          <w:szCs w:val="21"/>
          <w:lang w:val="es-ES_tradnl"/>
        </w:rPr>
        <w:t xml:space="preserve"> </w:t>
      </w:r>
      <w:proofErr w:type="spellStart"/>
      <w:r w:rsidRPr="00DA3080">
        <w:rPr>
          <w:rFonts w:ascii="Arial" w:hAnsi="Arial" w:cs="Arial"/>
          <w:i/>
          <w:iCs/>
          <w:color w:val="000000" w:themeColor="text1"/>
          <w:sz w:val="21"/>
          <w:szCs w:val="21"/>
          <w:lang w:val="es-ES_tradnl"/>
        </w:rPr>
        <w:t>legi</w:t>
      </w:r>
      <w:proofErr w:type="spellEnd"/>
      <w:r w:rsidRPr="00DA3080">
        <w:rPr>
          <w:rFonts w:ascii="Arial" w:hAnsi="Arial" w:cs="Arial"/>
          <w:i/>
          <w:iCs/>
          <w:color w:val="000000" w:themeColor="text1"/>
          <w:sz w:val="21"/>
          <w:szCs w:val="21"/>
          <w:lang w:val="es-ES_tradnl"/>
        </w:rPr>
        <w:t xml:space="preserve"> priori </w:t>
      </w:r>
      <w:proofErr w:type="spellStart"/>
      <w:r w:rsidRPr="00DA3080">
        <w:rPr>
          <w:rFonts w:ascii="Arial" w:hAnsi="Arial" w:cs="Arial"/>
          <w:i/>
          <w:iCs/>
          <w:color w:val="000000" w:themeColor="text1"/>
          <w:sz w:val="21"/>
          <w:szCs w:val="21"/>
          <w:lang w:val="es-ES_tradnl"/>
        </w:rPr>
        <w:t>speciali</w:t>
      </w:r>
      <w:proofErr w:type="spellEnd"/>
      <w:r w:rsidRPr="00DA3080">
        <w:rPr>
          <w:rFonts w:ascii="Arial" w:hAnsi="Arial" w:cs="Arial"/>
          <w:color w:val="000000" w:themeColor="text1"/>
          <w:sz w:val="21"/>
          <w:szCs w:val="21"/>
          <w:lang w:val="es-ES_tradnl"/>
        </w:rPr>
        <w:t xml:space="preserve"> opera como una mera presunción hermenéutica, que puede ser destruida por una clara </w:t>
      </w:r>
      <w:proofErr w:type="spellStart"/>
      <w:r w:rsidRPr="00DA3080">
        <w:rPr>
          <w:rFonts w:ascii="Arial" w:hAnsi="Arial" w:cs="Arial"/>
          <w:i/>
          <w:iCs/>
          <w:color w:val="000000" w:themeColor="text1"/>
          <w:sz w:val="21"/>
          <w:szCs w:val="21"/>
          <w:lang w:val="es-ES_tradnl"/>
        </w:rPr>
        <w:t>voluntas</w:t>
      </w:r>
      <w:proofErr w:type="spellEnd"/>
      <w:r w:rsidRPr="00DA3080">
        <w:rPr>
          <w:rFonts w:ascii="Arial" w:hAnsi="Arial" w:cs="Arial"/>
          <w:i/>
          <w:iCs/>
          <w:color w:val="000000" w:themeColor="text1"/>
          <w:sz w:val="21"/>
          <w:szCs w:val="21"/>
          <w:lang w:val="es-ES_tradnl"/>
        </w:rPr>
        <w:t xml:space="preserve"> </w:t>
      </w:r>
      <w:proofErr w:type="spellStart"/>
      <w:r w:rsidRPr="00DA3080">
        <w:rPr>
          <w:rFonts w:ascii="Arial" w:hAnsi="Arial" w:cs="Arial"/>
          <w:i/>
          <w:iCs/>
          <w:color w:val="000000" w:themeColor="text1"/>
          <w:sz w:val="21"/>
          <w:szCs w:val="21"/>
          <w:lang w:val="es-ES_tradnl"/>
        </w:rPr>
        <w:t>legis</w:t>
      </w:r>
      <w:proofErr w:type="spellEnd"/>
      <w:r w:rsidRPr="00DA3080">
        <w:rPr>
          <w:rFonts w:ascii="Arial" w:hAnsi="Arial" w:cs="Arial"/>
          <w:color w:val="000000" w:themeColor="text1"/>
          <w:sz w:val="21"/>
          <w:szCs w:val="21"/>
          <w:lang w:val="es-ES_tradnl"/>
        </w:rPr>
        <w:t xml:space="preserve"> de sentido contrario</w:t>
      </w:r>
      <w:r w:rsidRPr="00DA3080">
        <w:rPr>
          <w:rStyle w:val="Refdenotaalpie"/>
          <w:rFonts w:ascii="Arial" w:hAnsi="Arial" w:cs="Arial"/>
          <w:color w:val="000000" w:themeColor="text1"/>
          <w:sz w:val="21"/>
          <w:szCs w:val="21"/>
          <w:lang w:val="es-ES_tradnl"/>
        </w:rPr>
        <w:footnoteReference w:id="26"/>
      </w:r>
      <w:r w:rsidRPr="00DA3080">
        <w:rPr>
          <w:rFonts w:ascii="Arial" w:hAnsi="Arial" w:cs="Arial"/>
          <w:color w:val="000000" w:themeColor="text1"/>
          <w:sz w:val="21"/>
          <w:szCs w:val="21"/>
          <w:lang w:val="es-ES_tradnl"/>
        </w:rPr>
        <w:t xml:space="preserve">. </w:t>
      </w:r>
    </w:p>
    <w:p w14:paraId="63B99C9C" w14:textId="77777777" w:rsidR="00D14890" w:rsidRPr="00DA3080" w:rsidRDefault="00D14890" w:rsidP="00BF0F70">
      <w:pPr>
        <w:spacing w:after="0"/>
        <w:rPr>
          <w:rFonts w:ascii="Arial" w:hAnsi="Arial" w:cs="Arial"/>
          <w:color w:val="000000" w:themeColor="text1"/>
          <w:sz w:val="22"/>
          <w:lang w:val="es-ES_tradnl"/>
        </w:rPr>
      </w:pPr>
    </w:p>
    <w:p w14:paraId="62B9F6C5" w14:textId="27269E2E" w:rsidR="00D14890" w:rsidRPr="00DA3080" w:rsidRDefault="00D14890">
      <w:pPr>
        <w:spacing w:after="120"/>
        <w:rPr>
          <w:rFonts w:ascii="Arial" w:eastAsia="Calibri" w:hAnsi="Arial" w:cs="Arial"/>
          <w:bCs/>
          <w:color w:val="000000" w:themeColor="text1"/>
          <w:sz w:val="22"/>
          <w:lang w:val="es-ES_tradnl"/>
        </w:rPr>
      </w:pPr>
      <w:r w:rsidRPr="00DA3080">
        <w:rPr>
          <w:rFonts w:ascii="Arial" w:hAnsi="Arial" w:cs="Arial"/>
          <w:color w:val="000000" w:themeColor="text1"/>
          <w:sz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DA3080">
        <w:rPr>
          <w:rFonts w:ascii="Arial" w:eastAsia="Calibri" w:hAnsi="Arial" w:cs="Arial"/>
          <w:bCs/>
          <w:color w:val="000000" w:themeColor="text1"/>
          <w:sz w:val="22"/>
          <w:lang w:val="es-ES_tradnl"/>
        </w:rPr>
        <w:t>conforme a la exposición de motivos, la ley «</w:t>
      </w:r>
      <w:r w:rsidRPr="00DA3080">
        <w:rPr>
          <w:rFonts w:ascii="Arial" w:hAnsi="Arial" w:cs="Arial"/>
          <w:sz w:val="22"/>
          <w:lang w:val="es-ES_tradnl"/>
        </w:rPr>
        <w:t xml:space="preserve">[…] </w:t>
      </w:r>
      <w:r w:rsidRPr="00DA3080">
        <w:rPr>
          <w:rFonts w:ascii="Arial" w:eastAsia="Calibri" w:hAnsi="Arial" w:cs="Arial"/>
          <w:bCs/>
          <w:color w:val="000000" w:themeColor="text1"/>
          <w:sz w:val="22"/>
          <w:lang w:val="es-ES_tradnl"/>
        </w:rPr>
        <w:t xml:space="preserve">propone facilitar el acceso de las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a la modalidad de contratación de mínima cuantía, la limitación de estos procesos a </w:t>
      </w:r>
      <w:proofErr w:type="spellStart"/>
      <w:r w:rsidRPr="00DA3080">
        <w:rPr>
          <w:rFonts w:ascii="Arial" w:eastAsia="Calibri" w:hAnsi="Arial" w:cs="Arial"/>
          <w:bCs/>
          <w:color w:val="000000" w:themeColor="text1"/>
          <w:sz w:val="22"/>
          <w:lang w:val="es-ES_tradnl"/>
        </w:rPr>
        <w:t>Mipymes</w:t>
      </w:r>
      <w:proofErr w:type="spellEnd"/>
      <w:r w:rsidRPr="00DA3080">
        <w:rPr>
          <w:rFonts w:ascii="Arial" w:eastAsia="Calibri" w:hAnsi="Arial" w:cs="Arial"/>
          <w:bCs/>
          <w:color w:val="000000" w:themeColor="text1"/>
          <w:sz w:val="22"/>
          <w:lang w:val="es-ES_tradnl"/>
        </w:rPr>
        <w:t xml:space="preserve">, […] y </w:t>
      </w:r>
      <w:r w:rsidRPr="00DA3080">
        <w:rPr>
          <w:rFonts w:ascii="Arial" w:eastAsia="Calibri" w:hAnsi="Arial" w:cs="Arial"/>
          <w:bCs/>
          <w:i/>
          <w:iCs/>
          <w:color w:val="000000" w:themeColor="text1"/>
          <w:sz w:val="22"/>
          <w:lang w:val="es-ES_tradnl"/>
        </w:rPr>
        <w:t>define la inclusión de factores de desempate en los procesos de contratación pública que priorizan este segmento</w:t>
      </w:r>
      <w:r w:rsidRPr="00DA3080">
        <w:rPr>
          <w:rFonts w:ascii="Arial" w:eastAsia="Calibri" w:hAnsi="Arial" w:cs="Arial"/>
          <w:bCs/>
          <w:color w:val="000000" w:themeColor="text1"/>
          <w:sz w:val="22"/>
          <w:lang w:val="es-ES_tradnl"/>
        </w:rPr>
        <w:t xml:space="preserve">» (Énfasis </w:t>
      </w:r>
      <w:r w:rsidRPr="00DA3080">
        <w:rPr>
          <w:rFonts w:ascii="Arial" w:eastAsia="Calibri" w:hAnsi="Arial" w:cs="Arial"/>
          <w:bCs/>
          <w:color w:val="000000" w:themeColor="text1"/>
          <w:sz w:val="22"/>
          <w:lang w:val="es-ES_tradnl"/>
        </w:rPr>
        <w:lastRenderedPageBreak/>
        <w:t>fuera de texto)</w:t>
      </w:r>
      <w:r w:rsidRPr="00DA3080">
        <w:rPr>
          <w:rStyle w:val="Refdenotaalpie"/>
          <w:rFonts w:ascii="Arial" w:eastAsia="Calibri" w:hAnsi="Arial" w:cs="Arial"/>
          <w:bCs/>
          <w:color w:val="000000" w:themeColor="text1"/>
          <w:sz w:val="22"/>
          <w:lang w:val="es-ES_tradnl"/>
        </w:rPr>
        <w:footnoteReference w:id="27"/>
      </w:r>
      <w:r w:rsidRPr="00DA3080">
        <w:rPr>
          <w:rFonts w:ascii="Arial" w:eastAsia="Calibri" w:hAnsi="Arial" w:cs="Arial"/>
          <w:bCs/>
          <w:color w:val="000000" w:themeColor="text1"/>
          <w:sz w:val="22"/>
          <w:lang w:val="es-ES_tradnl"/>
        </w:rPr>
        <w:t>. En esta medida, carece de sentido que los criterios de desempate sean inaplicables a la mínima cuantía</w:t>
      </w:r>
      <w:r w:rsidR="005B286C" w:rsidRPr="00DA3080">
        <w:rPr>
          <w:rFonts w:ascii="Arial" w:eastAsia="Calibri" w:hAnsi="Arial" w:cs="Arial"/>
          <w:bCs/>
          <w:color w:val="000000" w:themeColor="text1"/>
          <w:sz w:val="22"/>
          <w:lang w:val="es-ES_tradnl"/>
        </w:rPr>
        <w:t xml:space="preserve"> desde la expedición de la Ley 2069 de 2020</w:t>
      </w:r>
      <w:r w:rsidRPr="00DA3080">
        <w:rPr>
          <w:rFonts w:ascii="Arial" w:eastAsia="Calibri" w:hAnsi="Arial" w:cs="Arial"/>
          <w:bCs/>
          <w:color w:val="000000" w:themeColor="text1"/>
          <w:sz w:val="22"/>
          <w:lang w:val="es-ES_tradnl"/>
        </w:rPr>
        <w:t xml:space="preserve">, cuando la regla prevista en el artículo citado </w:t>
      </w:r>
      <w:r w:rsidR="00752DAC" w:rsidRPr="00DA3080">
        <w:rPr>
          <w:rFonts w:ascii="Arial" w:eastAsia="Calibri" w:hAnsi="Arial" w:cs="Arial"/>
          <w:bCs/>
          <w:color w:val="000000" w:themeColor="text1"/>
          <w:sz w:val="22"/>
          <w:lang w:val="es-ES_tradnl"/>
        </w:rPr>
        <w:t>aplica en los procesos de contratación realizados por las entidades estatales indistintamente de su régimen de contratación, así como los celebrados por los procesos de contratación de los patrimonios autónomos constituidos por entidades estatales</w:t>
      </w:r>
      <w:r w:rsidR="005B286C"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sin consideración al valor del presupuesto oficial estimado. </w:t>
      </w:r>
      <w:r w:rsidR="005B286C" w:rsidRPr="00DA3080">
        <w:rPr>
          <w:rFonts w:ascii="Arial" w:eastAsia="Calibri" w:hAnsi="Arial" w:cs="Arial"/>
          <w:bCs/>
          <w:color w:val="000000" w:themeColor="text1"/>
          <w:sz w:val="22"/>
          <w:lang w:val="es-ES_tradnl"/>
        </w:rPr>
        <w:t>En este sentido, los criterios de desempate aplicables a los procesos de mínima cuantía, desde la expedición de la Ley 2069 de 2020 son los establecidos en el artículo 35 de dicha Ley, entendiéndose derogadas las normas que le sean contrarias.</w:t>
      </w:r>
    </w:p>
    <w:p w14:paraId="0BDB4852" w14:textId="0057B3F6" w:rsidR="007553C8" w:rsidRPr="00DA3080" w:rsidRDefault="00D14890" w:rsidP="002E40D4">
      <w:pPr>
        <w:tabs>
          <w:tab w:val="left" w:pos="709"/>
        </w:tabs>
        <w:spacing w:after="0"/>
        <w:rPr>
          <w:rFonts w:ascii="Arial" w:eastAsia="Calibri" w:hAnsi="Arial" w:cs="Arial"/>
          <w:color w:val="000000" w:themeColor="text1"/>
          <w:sz w:val="22"/>
          <w:lang w:val="es-ES_tradnl"/>
        </w:rPr>
      </w:pPr>
      <w:r w:rsidRPr="00DA3080">
        <w:rPr>
          <w:rFonts w:ascii="Arial" w:eastAsia="Calibri" w:hAnsi="Arial" w:cs="Arial"/>
          <w:bCs/>
          <w:color w:val="000000" w:themeColor="text1"/>
          <w:sz w:val="22"/>
          <w:lang w:val="es-ES_tradnl"/>
        </w:rPr>
        <w:tab/>
        <w:t xml:space="preserve">Teniendo en cuenta lo anterior, se concluye que el artículo </w:t>
      </w:r>
      <w:r w:rsidRPr="00DA3080">
        <w:rPr>
          <w:rFonts w:ascii="Arial" w:hAnsi="Arial" w:cs="Arial"/>
          <w:color w:val="000000" w:themeColor="text1"/>
          <w:sz w:val="22"/>
          <w:lang w:val="es-ES_tradnl"/>
        </w:rPr>
        <w:t>35 de la Ley 2069 de 2020 es aplicable al procedimiento de mínima cuantía</w:t>
      </w:r>
      <w:r w:rsidR="005B286C" w:rsidRPr="00DA3080">
        <w:rPr>
          <w:rFonts w:ascii="Arial" w:hAnsi="Arial" w:cs="Arial"/>
          <w:color w:val="000000" w:themeColor="text1"/>
          <w:sz w:val="22"/>
          <w:lang w:val="es-ES_tradnl"/>
        </w:rPr>
        <w:t xml:space="preserve"> desde la expedición de dicha Ley</w:t>
      </w:r>
      <w:r w:rsidRPr="00DA3080">
        <w:rPr>
          <w:rFonts w:ascii="Arial" w:hAnsi="Arial" w:cs="Arial"/>
          <w:color w:val="000000" w:themeColor="text1"/>
          <w:sz w:val="22"/>
          <w:lang w:val="es-ES_tradnl"/>
        </w:rPr>
        <w:t>, por lo que se present</w:t>
      </w:r>
      <w:r w:rsidR="005B286C" w:rsidRPr="00DA3080">
        <w:rPr>
          <w:rFonts w:ascii="Arial" w:hAnsi="Arial" w:cs="Arial"/>
          <w:color w:val="000000" w:themeColor="text1"/>
          <w:sz w:val="22"/>
          <w:lang w:val="es-ES_tradnl"/>
        </w:rPr>
        <w:t>ó</w:t>
      </w:r>
      <w:r w:rsidRPr="00DA3080">
        <w:rPr>
          <w:rFonts w:ascii="Arial" w:hAnsi="Arial" w:cs="Arial"/>
          <w:color w:val="000000" w:themeColor="text1"/>
          <w:sz w:val="22"/>
          <w:lang w:val="es-ES_tradnl"/>
        </w:rPr>
        <w:t xml:space="preserve"> tanto la derogación como el decaimiento de los criterios de desempate previstos en el Decreto 1082 de 2015 para esta modalidad de selección. De esta manera, a excepción de</w:t>
      </w:r>
      <w:r w:rsidRPr="00DA3080">
        <w:rPr>
          <w:rFonts w:ascii="Arial" w:eastAsia="Calibri" w:hAnsi="Arial" w:cs="Arial"/>
          <w:color w:val="000000" w:themeColor="text1"/>
          <w:sz w:val="22"/>
          <w:lang w:val="es-ES_tradnl"/>
        </w:rPr>
        <w:t>l numeral 7 del artículo 2.2.1.2.1.5.2 y el numeral 3 del artículo 2.2.1.2.1.5.3 del Decreto Único Reglamentario del Sector Administrativo de Planeación Nacional</w:t>
      </w:r>
      <w:r w:rsidR="005B286C" w:rsidRPr="00DA3080">
        <w:rPr>
          <w:rFonts w:ascii="Arial" w:eastAsia="Calibri" w:hAnsi="Arial" w:cs="Arial"/>
          <w:color w:val="000000" w:themeColor="text1"/>
          <w:sz w:val="22"/>
          <w:lang w:val="es-ES_tradnl"/>
        </w:rPr>
        <w:t xml:space="preserve"> –que se refieren a criterios de desempate–</w:t>
      </w:r>
      <w:r w:rsidRPr="00DA3080">
        <w:rPr>
          <w:rFonts w:ascii="Arial" w:eastAsia="Calibri" w:hAnsi="Arial" w:cs="Arial"/>
          <w:color w:val="000000" w:themeColor="text1"/>
          <w:sz w:val="22"/>
          <w:lang w:val="es-ES_tradnl"/>
        </w:rPr>
        <w:t xml:space="preserve">, </w:t>
      </w:r>
      <w:r w:rsidRPr="00DA3080">
        <w:rPr>
          <w:rFonts w:ascii="Arial" w:eastAsia="Calibri" w:hAnsi="Arial" w:cs="Arial"/>
          <w:bCs/>
          <w:color w:val="000000" w:themeColor="text1"/>
          <w:sz w:val="22"/>
          <w:lang w:val="es-ES_tradnl"/>
        </w:rPr>
        <w:t>los</w:t>
      </w:r>
      <w:r w:rsidRPr="00DA3080">
        <w:rPr>
          <w:rFonts w:ascii="Arial" w:eastAsia="Calibri" w:hAnsi="Arial" w:cs="Arial"/>
          <w:color w:val="000000" w:themeColor="text1"/>
          <w:sz w:val="22"/>
          <w:lang w:val="es-ES_tradnl"/>
        </w:rPr>
        <w:t xml:space="preserve"> artículos 2.2.1.2.1.5.1 al 2.2.1.2.1.5.4 de este reglamento continúan </w:t>
      </w:r>
      <w:r w:rsidR="00043EF1" w:rsidRPr="00DA3080">
        <w:rPr>
          <w:rFonts w:ascii="Arial" w:eastAsia="Calibri" w:hAnsi="Arial" w:cs="Arial"/>
          <w:color w:val="000000" w:themeColor="text1"/>
          <w:sz w:val="22"/>
          <w:lang w:val="es-ES_tradnl"/>
        </w:rPr>
        <w:t xml:space="preserve">rigiendo </w:t>
      </w:r>
      <w:r w:rsidRPr="00DA3080">
        <w:rPr>
          <w:rFonts w:ascii="Arial" w:eastAsia="Calibri" w:hAnsi="Arial" w:cs="Arial"/>
          <w:color w:val="000000" w:themeColor="text1"/>
          <w:sz w:val="22"/>
          <w:lang w:val="es-ES_tradnl"/>
        </w:rPr>
        <w:t>bajo la vigencia del numeral 5 del artículo 2 de la Ley 1150 de 2007, modificado por el artículo 30 de la Ley de Emprendimiento.</w:t>
      </w:r>
      <w:bookmarkEnd w:id="11"/>
      <w:r w:rsidR="00043EF1" w:rsidRPr="00DA3080">
        <w:rPr>
          <w:rFonts w:ascii="Arial" w:eastAsia="Calibri" w:hAnsi="Arial" w:cs="Arial"/>
          <w:color w:val="000000" w:themeColor="text1"/>
          <w:sz w:val="22"/>
          <w:lang w:val="es-ES_tradnl"/>
        </w:rPr>
        <w:t xml:space="preserve"> Sin embargo, el régimen aplicable a la mínima cuantía variará para los procesos cuya invitación se publique a partir del 24 de marzo de 2022, como se explicará en el numeral siguiente.</w:t>
      </w:r>
    </w:p>
    <w:p w14:paraId="3D4C4671" w14:textId="77777777" w:rsidR="00043EF1" w:rsidRPr="00DA3080" w:rsidRDefault="00043EF1" w:rsidP="008E1C63">
      <w:pPr>
        <w:tabs>
          <w:tab w:val="left" w:pos="709"/>
        </w:tabs>
        <w:spacing w:after="0"/>
        <w:rPr>
          <w:rFonts w:ascii="Arial" w:eastAsia="Calibri" w:hAnsi="Arial" w:cs="Arial"/>
          <w:color w:val="000000" w:themeColor="text1"/>
          <w:sz w:val="22"/>
          <w:lang w:val="es-ES_tradnl"/>
        </w:rPr>
      </w:pPr>
    </w:p>
    <w:p w14:paraId="5BB55741" w14:textId="03271C2F" w:rsidR="00B02214" w:rsidRPr="00DA3080" w:rsidRDefault="00043EF1" w:rsidP="008E1C63">
      <w:pPr>
        <w:tabs>
          <w:tab w:val="left" w:pos="709"/>
        </w:tabs>
        <w:spacing w:after="0"/>
        <w:rPr>
          <w:rFonts w:ascii="Arial" w:eastAsia="Calibri" w:hAnsi="Arial" w:cs="Arial"/>
          <w:b/>
          <w:bCs/>
          <w:color w:val="000000" w:themeColor="text1"/>
          <w:sz w:val="22"/>
          <w:lang w:val="es-ES_tradnl"/>
        </w:rPr>
      </w:pPr>
      <w:r w:rsidRPr="00DA3080">
        <w:rPr>
          <w:rFonts w:ascii="Arial" w:eastAsia="Calibri" w:hAnsi="Arial" w:cs="Arial"/>
          <w:b/>
          <w:bCs/>
          <w:color w:val="000000" w:themeColor="text1"/>
          <w:sz w:val="22"/>
          <w:lang w:val="es-ES_tradnl"/>
        </w:rPr>
        <w:t xml:space="preserve">2.4. </w:t>
      </w:r>
      <w:bookmarkStart w:id="20" w:name="_Hlk94169601"/>
      <w:r w:rsidRPr="00DA3080">
        <w:rPr>
          <w:rFonts w:ascii="Arial" w:eastAsia="Calibri" w:hAnsi="Arial" w:cs="Arial"/>
          <w:b/>
          <w:bCs/>
          <w:color w:val="000000" w:themeColor="text1"/>
          <w:sz w:val="22"/>
          <w:lang w:val="es-ES_tradnl"/>
        </w:rPr>
        <w:t xml:space="preserve">Régimen aplicable a los procesos de mínima cuantía, cuya invitación se publique </w:t>
      </w:r>
      <w:r w:rsidR="006C054F" w:rsidRPr="00DA3080">
        <w:rPr>
          <w:rFonts w:ascii="Arial" w:eastAsia="Calibri" w:hAnsi="Arial" w:cs="Arial"/>
          <w:b/>
          <w:bCs/>
          <w:color w:val="000000" w:themeColor="text1"/>
          <w:sz w:val="22"/>
          <w:lang w:val="es-ES_tradnl"/>
        </w:rPr>
        <w:t>a partir</w:t>
      </w:r>
      <w:r w:rsidRPr="00DA3080">
        <w:rPr>
          <w:rFonts w:ascii="Arial" w:eastAsia="Calibri" w:hAnsi="Arial" w:cs="Arial"/>
          <w:b/>
          <w:bCs/>
          <w:color w:val="000000" w:themeColor="text1"/>
          <w:sz w:val="22"/>
          <w:lang w:val="es-ES_tradnl"/>
        </w:rPr>
        <w:t xml:space="preserve"> del 24 de marzo de 2022</w:t>
      </w:r>
      <w:bookmarkEnd w:id="20"/>
    </w:p>
    <w:p w14:paraId="12656AA5" w14:textId="686CF8BF" w:rsidR="00043EF1" w:rsidRPr="00DA3080" w:rsidRDefault="00043EF1" w:rsidP="008E1C63">
      <w:pPr>
        <w:tabs>
          <w:tab w:val="left" w:pos="709"/>
        </w:tabs>
        <w:spacing w:after="0"/>
        <w:rPr>
          <w:rFonts w:ascii="Arial" w:eastAsia="Calibri" w:hAnsi="Arial" w:cs="Arial"/>
          <w:b/>
          <w:bCs/>
          <w:color w:val="000000" w:themeColor="text1"/>
          <w:sz w:val="22"/>
          <w:lang w:val="es-ES_tradnl"/>
        </w:rPr>
      </w:pPr>
    </w:p>
    <w:p w14:paraId="378FB352" w14:textId="28D0E9E0" w:rsidR="00043EF1" w:rsidRPr="00DA3080" w:rsidRDefault="00043EF1" w:rsidP="00F36F46">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color w:val="000000" w:themeColor="text1"/>
          <w:sz w:val="22"/>
          <w:lang w:val="es-ES_tradnl"/>
        </w:rPr>
        <w:t xml:space="preserve">Como se expuso brevemente en el numeral anterior, recientemente se expidió el Decreto 1860 </w:t>
      </w:r>
      <w:r w:rsidR="0068071A" w:rsidRPr="00DA3080">
        <w:rPr>
          <w:rFonts w:ascii="Arial" w:eastAsia="Calibri" w:hAnsi="Arial" w:cs="Arial"/>
          <w:color w:val="000000" w:themeColor="text1"/>
          <w:sz w:val="22"/>
          <w:lang w:val="es-ES_tradnl"/>
        </w:rPr>
        <w:t xml:space="preserve">del 24 de diciembre de 2021 </w:t>
      </w:r>
      <w:r w:rsidR="0068071A" w:rsidRPr="00DA3080">
        <w:rPr>
          <w:rFonts w:ascii="Arial" w:eastAsia="Calibri" w:hAnsi="Arial" w:cs="Arial"/>
          <w:bCs/>
          <w:color w:val="000000" w:themeColor="text1"/>
          <w:sz w:val="22"/>
          <w:lang w:val="es-ES_tradnl"/>
        </w:rPr>
        <w:t xml:space="preserve">«por el cual se modifica y adiciona el Decreto 1082 de 2015, Único Reglamentario del Sector Administrativo de Planeación Nacional, con el fin </w:t>
      </w:r>
      <w:r w:rsidR="00C4185F" w:rsidRPr="00DA3080">
        <w:rPr>
          <w:rFonts w:ascii="Arial" w:eastAsia="Calibri" w:hAnsi="Arial" w:cs="Arial"/>
          <w:bCs/>
          <w:color w:val="000000" w:themeColor="text1"/>
          <w:sz w:val="22"/>
          <w:lang w:val="es-ES_tradnl"/>
        </w:rPr>
        <w:t xml:space="preserve">de </w:t>
      </w:r>
      <w:r w:rsidR="0068071A" w:rsidRPr="00DA3080">
        <w:rPr>
          <w:rFonts w:ascii="Arial" w:eastAsia="Calibri" w:hAnsi="Arial" w:cs="Arial"/>
          <w:bCs/>
          <w:color w:val="000000" w:themeColor="text1"/>
          <w:sz w:val="22"/>
          <w:lang w:val="es-ES_tradnl"/>
        </w:rPr>
        <w:t>reglamentar los artículos 30, 31, 32, 34 Y 35 de la Ley 2069 de 2020, en lo relativo al sistema de compras públicas y se dictan otras disposiciones»</w:t>
      </w:r>
      <w:r w:rsidR="005C26A7" w:rsidRPr="00DA3080">
        <w:rPr>
          <w:rFonts w:ascii="Arial" w:eastAsia="Calibri" w:hAnsi="Arial" w:cs="Arial"/>
          <w:bCs/>
          <w:color w:val="000000" w:themeColor="text1"/>
          <w:sz w:val="22"/>
          <w:lang w:val="es-ES_tradnl"/>
        </w:rPr>
        <w:t>. Entre los aspectos reglamentados por el decreto indicado se encuentra el procedimiento de mínima cuantía. De esta manera, el artículo 2</w:t>
      </w:r>
      <w:r w:rsidR="00F36F46" w:rsidRPr="00DA3080">
        <w:rPr>
          <w:rFonts w:ascii="Arial" w:eastAsia="Calibri" w:hAnsi="Arial" w:cs="Arial"/>
          <w:bCs/>
          <w:color w:val="000000" w:themeColor="text1"/>
          <w:sz w:val="22"/>
          <w:lang w:val="es-ES_tradnl"/>
        </w:rPr>
        <w:t xml:space="preserve"> modifica la Subsección 5 de la Sección 1 del Capítulo 2 del Título</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1</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la</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Parte</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2</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del</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Libro</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2</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del</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Decreto</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1082</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de</w:t>
      </w:r>
      <w:r w:rsidR="0013758A" w:rsidRPr="00DA3080">
        <w:rPr>
          <w:rFonts w:ascii="Arial" w:eastAsia="Calibri" w:hAnsi="Arial" w:cs="Arial"/>
          <w:bCs/>
          <w:color w:val="000000" w:themeColor="text1"/>
          <w:sz w:val="22"/>
          <w:lang w:val="es-ES_tradnl"/>
        </w:rPr>
        <w:t xml:space="preserve"> </w:t>
      </w:r>
      <w:r w:rsidR="00F36F46" w:rsidRPr="00DA3080">
        <w:rPr>
          <w:rFonts w:ascii="Arial" w:eastAsia="Calibri" w:hAnsi="Arial" w:cs="Arial"/>
          <w:bCs/>
          <w:color w:val="000000" w:themeColor="text1"/>
          <w:sz w:val="22"/>
          <w:lang w:val="es-ES_tradnl"/>
        </w:rPr>
        <w:t xml:space="preserve">2015, que se titula mínima cuantía, </w:t>
      </w:r>
      <w:r w:rsidR="00E84D21" w:rsidRPr="00DA3080">
        <w:rPr>
          <w:rFonts w:ascii="Arial" w:eastAsia="Calibri" w:hAnsi="Arial" w:cs="Arial"/>
          <w:bCs/>
          <w:color w:val="000000" w:themeColor="text1"/>
          <w:sz w:val="22"/>
          <w:lang w:val="es-ES_tradnl"/>
        </w:rPr>
        <w:t xml:space="preserve">por lo que </w:t>
      </w:r>
      <w:r w:rsidR="00F36F46" w:rsidRPr="00DA3080">
        <w:rPr>
          <w:rFonts w:ascii="Arial" w:eastAsia="Calibri" w:hAnsi="Arial" w:cs="Arial"/>
          <w:bCs/>
          <w:color w:val="000000" w:themeColor="text1"/>
          <w:sz w:val="22"/>
          <w:lang w:val="es-ES_tradnl"/>
        </w:rPr>
        <w:t>reglamenta esta modalidad de selección con fundamento en lo establecido en el artículo 30 de la Ley 2069 de 2020.</w:t>
      </w:r>
    </w:p>
    <w:p w14:paraId="67488ABE" w14:textId="08743BB6" w:rsidR="00F36F46" w:rsidRPr="00DA3080" w:rsidRDefault="00F36F46" w:rsidP="0013758A">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Teniendo en cuenta l</w:t>
      </w:r>
      <w:r w:rsidR="00D46A61" w:rsidRPr="00DA3080">
        <w:rPr>
          <w:rFonts w:ascii="Arial" w:eastAsia="Calibri" w:hAnsi="Arial" w:cs="Arial"/>
          <w:bCs/>
          <w:color w:val="000000" w:themeColor="text1"/>
          <w:sz w:val="22"/>
          <w:lang w:val="es-ES_tradnl"/>
        </w:rPr>
        <w:t>o</w:t>
      </w:r>
      <w:r w:rsidRPr="00DA3080">
        <w:rPr>
          <w:rFonts w:ascii="Arial" w:eastAsia="Calibri" w:hAnsi="Arial" w:cs="Arial"/>
          <w:bCs/>
          <w:color w:val="000000" w:themeColor="text1"/>
          <w:sz w:val="22"/>
          <w:lang w:val="es-ES_tradnl"/>
        </w:rPr>
        <w:t xml:space="preserve"> anterior, la </w:t>
      </w:r>
      <w:r w:rsidR="00E84D21" w:rsidRPr="00DA3080">
        <w:rPr>
          <w:rFonts w:ascii="Arial" w:eastAsia="Calibri" w:hAnsi="Arial" w:cs="Arial"/>
          <w:bCs/>
          <w:color w:val="000000" w:themeColor="text1"/>
          <w:sz w:val="22"/>
          <w:lang w:val="es-ES_tradnl"/>
        </w:rPr>
        <w:t xml:space="preserve">nueva </w:t>
      </w:r>
      <w:r w:rsidRPr="00DA3080">
        <w:rPr>
          <w:rFonts w:ascii="Arial" w:eastAsia="Calibri" w:hAnsi="Arial" w:cs="Arial"/>
          <w:bCs/>
          <w:color w:val="000000" w:themeColor="text1"/>
          <w:sz w:val="22"/>
          <w:lang w:val="es-ES_tradnl"/>
        </w:rPr>
        <w:t xml:space="preserve">Subsección 5 a que se hizo referencia contiene los siguientes artículos: i) 2.2.1.2.1.5.1. que se ocupa de desarrollar el contenido </w:t>
      </w:r>
      <w:r w:rsidRPr="00DA3080">
        <w:rPr>
          <w:rFonts w:ascii="Arial" w:eastAsia="Calibri" w:hAnsi="Arial" w:cs="Arial"/>
          <w:bCs/>
          <w:color w:val="000000" w:themeColor="text1"/>
          <w:sz w:val="22"/>
          <w:lang w:val="es-ES_tradnl"/>
        </w:rPr>
        <w:lastRenderedPageBreak/>
        <w:t>de los estudios previos para la contratación de mínima cuantía</w:t>
      </w:r>
      <w:r w:rsidR="0013758A"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w:t>
      </w:r>
      <w:proofErr w:type="spellStart"/>
      <w:r w:rsidRPr="00DA3080">
        <w:rPr>
          <w:rFonts w:ascii="Arial" w:eastAsia="Calibri" w:hAnsi="Arial" w:cs="Arial"/>
          <w:bCs/>
          <w:color w:val="000000" w:themeColor="text1"/>
          <w:sz w:val="22"/>
          <w:lang w:val="es-ES_tradnl"/>
        </w:rPr>
        <w:t>ii</w:t>
      </w:r>
      <w:proofErr w:type="spellEnd"/>
      <w:r w:rsidRPr="00DA3080">
        <w:rPr>
          <w:rFonts w:ascii="Arial" w:eastAsia="Calibri" w:hAnsi="Arial" w:cs="Arial"/>
          <w:bCs/>
          <w:color w:val="000000" w:themeColor="text1"/>
          <w:sz w:val="22"/>
          <w:lang w:val="es-ES_tradnl"/>
        </w:rPr>
        <w:t>) 2.2.1.2.1.5.2. que contiene e</w:t>
      </w:r>
      <w:r w:rsidR="00E84D21" w:rsidRPr="00DA3080">
        <w:rPr>
          <w:rFonts w:ascii="Arial" w:eastAsia="Calibri" w:hAnsi="Arial" w:cs="Arial"/>
          <w:bCs/>
          <w:color w:val="000000" w:themeColor="text1"/>
          <w:sz w:val="22"/>
          <w:lang w:val="es-ES_tradnl"/>
        </w:rPr>
        <w:t>l</w:t>
      </w:r>
      <w:r w:rsidRPr="00DA3080">
        <w:rPr>
          <w:rFonts w:ascii="Arial" w:eastAsia="Calibri" w:hAnsi="Arial" w:cs="Arial"/>
          <w:bCs/>
          <w:color w:val="000000" w:themeColor="text1"/>
          <w:sz w:val="22"/>
          <w:lang w:val="es-ES_tradnl"/>
        </w:rPr>
        <w:t xml:space="preserve"> procedimiento general de la mínima cuantía</w:t>
      </w:r>
      <w:r w:rsidR="00E84D21" w:rsidRPr="00DA3080">
        <w:rPr>
          <w:rFonts w:ascii="Arial" w:eastAsia="Calibri" w:hAnsi="Arial" w:cs="Arial"/>
          <w:bCs/>
          <w:color w:val="000000" w:themeColor="text1"/>
          <w:sz w:val="22"/>
          <w:lang w:val="es-ES_tradnl"/>
        </w:rPr>
        <w:t>,</w:t>
      </w:r>
      <w:r w:rsidRPr="00DA3080">
        <w:rPr>
          <w:rFonts w:ascii="Arial" w:eastAsia="Calibri" w:hAnsi="Arial" w:cs="Arial"/>
          <w:bCs/>
          <w:color w:val="000000" w:themeColor="text1"/>
          <w:sz w:val="22"/>
          <w:lang w:val="es-ES_tradnl"/>
        </w:rPr>
        <w:t xml:space="preserve"> señalando el contenido mínimo de la «invitación» y</w:t>
      </w:r>
      <w:r w:rsidR="004034F8" w:rsidRPr="00DA3080">
        <w:rPr>
          <w:rFonts w:ascii="Arial" w:eastAsia="Calibri" w:hAnsi="Arial" w:cs="Arial"/>
          <w:bCs/>
          <w:color w:val="000000" w:themeColor="text1"/>
          <w:sz w:val="22"/>
          <w:lang w:val="es-ES_tradnl"/>
        </w:rPr>
        <w:t xml:space="preserve"> las</w:t>
      </w:r>
      <w:r w:rsidRPr="00DA3080">
        <w:rPr>
          <w:rFonts w:ascii="Arial" w:eastAsia="Calibri" w:hAnsi="Arial" w:cs="Arial"/>
          <w:bCs/>
          <w:color w:val="000000" w:themeColor="text1"/>
          <w:sz w:val="22"/>
          <w:lang w:val="es-ES_tradnl"/>
        </w:rPr>
        <w:t xml:space="preserve"> distintas etapas y reglas que estructuran esta modalidad de selección</w:t>
      </w:r>
      <w:r w:rsidR="004034F8" w:rsidRPr="00DA3080">
        <w:rPr>
          <w:rFonts w:ascii="Arial" w:eastAsia="Calibri" w:hAnsi="Arial" w:cs="Arial"/>
          <w:bCs/>
          <w:color w:val="000000" w:themeColor="text1"/>
          <w:sz w:val="22"/>
          <w:lang w:val="es-ES_tradnl"/>
        </w:rPr>
        <w:t xml:space="preserve">, incluyendo la forma en que procederán las convocatorias limitadas a </w:t>
      </w:r>
      <w:proofErr w:type="spellStart"/>
      <w:r w:rsidR="004034F8" w:rsidRPr="00DA3080">
        <w:rPr>
          <w:rFonts w:ascii="Arial" w:eastAsia="Calibri" w:hAnsi="Arial" w:cs="Arial"/>
          <w:bCs/>
          <w:color w:val="000000" w:themeColor="text1"/>
          <w:sz w:val="22"/>
          <w:lang w:val="es-ES_tradnl"/>
        </w:rPr>
        <w:t>mipymes</w:t>
      </w:r>
      <w:proofErr w:type="spellEnd"/>
      <w:r w:rsidR="004034F8" w:rsidRPr="00DA3080">
        <w:rPr>
          <w:rFonts w:ascii="Arial" w:eastAsia="Calibri" w:hAnsi="Arial" w:cs="Arial"/>
          <w:bCs/>
          <w:color w:val="000000" w:themeColor="text1"/>
          <w:sz w:val="22"/>
          <w:lang w:val="es-ES_tradnl"/>
        </w:rPr>
        <w:t>, de acuerdo con el mandato del parágrafo 1 del artículo 30 de la Ley 2069 de 2020</w:t>
      </w:r>
      <w:r w:rsidR="004034F8" w:rsidRPr="00DA3080">
        <w:rPr>
          <w:rStyle w:val="Refdenotaalpie"/>
          <w:rFonts w:ascii="Arial" w:eastAsia="Calibri" w:hAnsi="Arial" w:cs="Arial"/>
          <w:bCs/>
          <w:color w:val="000000" w:themeColor="text1"/>
          <w:sz w:val="22"/>
          <w:lang w:val="es-ES_tradnl"/>
        </w:rPr>
        <w:footnoteReference w:id="28"/>
      </w:r>
      <w:r w:rsidR="0013758A" w:rsidRPr="00DA3080">
        <w:rPr>
          <w:rFonts w:ascii="Arial" w:eastAsia="Calibri" w:hAnsi="Arial" w:cs="Arial"/>
          <w:bCs/>
          <w:color w:val="000000" w:themeColor="text1"/>
          <w:sz w:val="22"/>
          <w:lang w:val="es-ES_tradnl"/>
        </w:rPr>
        <w:t>.</w:t>
      </w:r>
      <w:r w:rsidR="004034F8" w:rsidRPr="00DA3080">
        <w:rPr>
          <w:rFonts w:ascii="Arial" w:eastAsia="Calibri" w:hAnsi="Arial" w:cs="Arial"/>
          <w:bCs/>
          <w:color w:val="000000" w:themeColor="text1"/>
          <w:sz w:val="22"/>
          <w:lang w:val="es-ES_tradnl"/>
        </w:rPr>
        <w:t xml:space="preserve"> </w:t>
      </w:r>
      <w:proofErr w:type="spellStart"/>
      <w:r w:rsidR="004034F8" w:rsidRPr="00DA3080">
        <w:rPr>
          <w:rFonts w:ascii="Arial" w:eastAsia="Calibri" w:hAnsi="Arial" w:cs="Arial"/>
          <w:bCs/>
          <w:color w:val="000000" w:themeColor="text1"/>
          <w:sz w:val="22"/>
          <w:lang w:val="es-ES_tradnl"/>
        </w:rPr>
        <w:t>iii</w:t>
      </w:r>
      <w:proofErr w:type="spellEnd"/>
      <w:r w:rsidR="004034F8" w:rsidRPr="00DA3080">
        <w:rPr>
          <w:rFonts w:ascii="Arial" w:eastAsia="Calibri" w:hAnsi="Arial" w:cs="Arial"/>
          <w:bCs/>
          <w:color w:val="000000" w:themeColor="text1"/>
          <w:sz w:val="22"/>
          <w:lang w:val="es-ES_tradnl"/>
        </w:rPr>
        <w:t>) 2.2.1.2.1.5.3. que regula un procedimiento especial para las adquisiciones</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en</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grandes</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almacenes</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cuando</w:t>
      </w:r>
      <w:r w:rsidR="0013758A" w:rsidRPr="00DA3080">
        <w:rPr>
          <w:rFonts w:ascii="Arial" w:eastAsia="Calibri" w:hAnsi="Arial" w:cs="Arial"/>
          <w:bCs/>
          <w:color w:val="000000" w:themeColor="text1"/>
          <w:sz w:val="22"/>
          <w:lang w:val="es-ES_tradnl"/>
        </w:rPr>
        <w:t xml:space="preserve"> </w:t>
      </w:r>
      <w:r w:rsidR="004034F8" w:rsidRPr="00DA3080">
        <w:rPr>
          <w:rFonts w:ascii="Arial" w:eastAsia="Calibri" w:hAnsi="Arial" w:cs="Arial"/>
          <w:bCs/>
          <w:color w:val="000000" w:themeColor="text1"/>
          <w:sz w:val="22"/>
          <w:lang w:val="es-ES_tradnl"/>
        </w:rPr>
        <w:t>se trate de mínima cuantía</w:t>
      </w:r>
      <w:r w:rsidR="0013758A" w:rsidRPr="00DA3080">
        <w:rPr>
          <w:rFonts w:ascii="Arial" w:eastAsia="Calibri" w:hAnsi="Arial" w:cs="Arial"/>
          <w:bCs/>
          <w:color w:val="000000" w:themeColor="text1"/>
          <w:sz w:val="22"/>
          <w:lang w:val="es-ES_tradnl"/>
        </w:rPr>
        <w:t>.</w:t>
      </w:r>
      <w:r w:rsidR="004034F8" w:rsidRPr="00DA3080">
        <w:rPr>
          <w:rFonts w:ascii="Arial" w:eastAsia="Calibri" w:hAnsi="Arial" w:cs="Arial"/>
          <w:bCs/>
          <w:color w:val="000000" w:themeColor="text1"/>
          <w:sz w:val="22"/>
          <w:lang w:val="es-ES_tradnl"/>
        </w:rPr>
        <w:t xml:space="preserve"> </w:t>
      </w:r>
      <w:proofErr w:type="spellStart"/>
      <w:r w:rsidR="004034F8" w:rsidRPr="00DA3080">
        <w:rPr>
          <w:rFonts w:ascii="Arial" w:eastAsia="Calibri" w:hAnsi="Arial" w:cs="Arial"/>
          <w:bCs/>
          <w:color w:val="000000" w:themeColor="text1"/>
          <w:sz w:val="22"/>
          <w:lang w:val="es-ES_tradnl"/>
        </w:rPr>
        <w:t>iv</w:t>
      </w:r>
      <w:proofErr w:type="spellEnd"/>
      <w:r w:rsidR="004034F8" w:rsidRPr="00DA3080">
        <w:rPr>
          <w:rFonts w:ascii="Arial" w:eastAsia="Calibri" w:hAnsi="Arial" w:cs="Arial"/>
          <w:bCs/>
          <w:color w:val="000000" w:themeColor="text1"/>
          <w:sz w:val="22"/>
          <w:lang w:val="es-ES_tradnl"/>
        </w:rPr>
        <w:t xml:space="preserve">) 2.2.1.2.1.5.4. el cual establece la posibilidad de la Agencia Nacional de Contratación Pública – Colombia Compra Eficiente </w:t>
      </w:r>
      <w:r w:rsidR="0013758A" w:rsidRPr="00DA3080">
        <w:rPr>
          <w:rFonts w:ascii="Arial" w:eastAsia="Calibri" w:hAnsi="Arial" w:cs="Arial"/>
          <w:bCs/>
          <w:color w:val="000000" w:themeColor="text1"/>
          <w:sz w:val="22"/>
          <w:lang w:val="es-ES_tradnl"/>
        </w:rPr>
        <w:t xml:space="preserve">cree y establezca las reglas para la utilización de Instrumentos de agregación de demanda en la Tienda Virtual del Estado Colombiano para adquisiciones hasta el monto de la mínima cuantía con </w:t>
      </w:r>
      <w:proofErr w:type="spellStart"/>
      <w:r w:rsidR="0013758A" w:rsidRPr="00DA3080">
        <w:rPr>
          <w:rFonts w:ascii="Arial" w:eastAsia="Calibri" w:hAnsi="Arial" w:cs="Arial"/>
          <w:bCs/>
          <w:color w:val="000000" w:themeColor="text1"/>
          <w:sz w:val="22"/>
          <w:lang w:val="es-ES_tradnl"/>
        </w:rPr>
        <w:t>Mipyme</w:t>
      </w:r>
      <w:proofErr w:type="spellEnd"/>
      <w:r w:rsidR="0013758A" w:rsidRPr="00DA3080">
        <w:rPr>
          <w:rFonts w:ascii="Arial" w:eastAsia="Calibri" w:hAnsi="Arial" w:cs="Arial"/>
          <w:bCs/>
          <w:color w:val="000000" w:themeColor="text1"/>
          <w:sz w:val="22"/>
          <w:lang w:val="es-ES_tradnl"/>
        </w:rPr>
        <w:t xml:space="preserve"> y con grandes almacenes. Y v) 2.2.1.2.1.5.5. el cual establece que la entidad estatal es libre de exigir o no garantías en el proceso de selección de mínima cuantía y en la adquisición de «grandes almacenes».</w:t>
      </w:r>
    </w:p>
    <w:p w14:paraId="6ACC2F38" w14:textId="01B358BA" w:rsidR="0013758A" w:rsidRPr="00DA3080" w:rsidRDefault="0013758A" w:rsidP="0013758A">
      <w:pPr>
        <w:tabs>
          <w:tab w:val="left" w:pos="709"/>
        </w:tabs>
        <w:spacing w:after="120"/>
        <w:rPr>
          <w:rFonts w:ascii="Arial" w:eastAsia="Calibri" w:hAnsi="Arial" w:cs="Arial"/>
          <w:bCs/>
          <w:color w:val="000000" w:themeColor="text1"/>
          <w:sz w:val="22"/>
          <w:lang w:val="es-ES_tradnl"/>
        </w:rPr>
      </w:pPr>
      <w:r w:rsidRPr="00DA3080">
        <w:rPr>
          <w:rFonts w:ascii="Arial" w:eastAsia="Calibri" w:hAnsi="Arial" w:cs="Arial"/>
          <w:bCs/>
          <w:color w:val="000000" w:themeColor="text1"/>
          <w:sz w:val="22"/>
          <w:lang w:val="es-ES_tradnl"/>
        </w:rPr>
        <w:tab/>
        <w:t xml:space="preserve">De esta manera, el artículo 2 del Decreto 1860 de 2021, que modifica los artículos </w:t>
      </w:r>
      <w:r w:rsidR="00D96EC3" w:rsidRPr="00DA3080">
        <w:rPr>
          <w:rFonts w:ascii="Arial" w:eastAsia="Calibri" w:hAnsi="Arial" w:cs="Arial"/>
          <w:bCs/>
          <w:color w:val="000000" w:themeColor="text1"/>
          <w:sz w:val="22"/>
          <w:lang w:val="es-ES_tradnl"/>
        </w:rPr>
        <w:t xml:space="preserve">del Decreto 1082 de 2015 </w:t>
      </w:r>
      <w:r w:rsidRPr="00DA3080">
        <w:rPr>
          <w:rFonts w:ascii="Arial" w:eastAsia="Calibri" w:hAnsi="Arial" w:cs="Arial"/>
          <w:bCs/>
          <w:color w:val="000000" w:themeColor="text1"/>
          <w:sz w:val="22"/>
          <w:lang w:val="es-ES_tradnl"/>
        </w:rPr>
        <w:t>expuestos en el párrafo anterior, constituye la reglamentación del artículo 30 de la Ley 2069 de 2020, al desarrollar las reglas aplicables a esta modalidad de selección. En este sentido,</w:t>
      </w:r>
      <w:r w:rsidR="00455B90" w:rsidRPr="00DA3080">
        <w:rPr>
          <w:rFonts w:ascii="Arial" w:eastAsia="Calibri" w:hAnsi="Arial" w:cs="Arial"/>
          <w:bCs/>
          <w:color w:val="000000" w:themeColor="text1"/>
          <w:sz w:val="22"/>
          <w:lang w:val="es-ES_tradnl"/>
        </w:rPr>
        <w:t xml:space="preserve"> el reglamento citado, que modifica el Decreto 1082 de 2015</w:t>
      </w:r>
      <w:r w:rsidR="00D96EC3" w:rsidRPr="00DA3080">
        <w:rPr>
          <w:rFonts w:ascii="Arial" w:eastAsia="Calibri" w:hAnsi="Arial" w:cs="Arial"/>
          <w:bCs/>
          <w:color w:val="000000" w:themeColor="text1"/>
          <w:sz w:val="22"/>
          <w:lang w:val="es-ES_tradnl"/>
        </w:rPr>
        <w:t>,</w:t>
      </w:r>
      <w:r w:rsidR="00455B90" w:rsidRPr="00DA3080">
        <w:rPr>
          <w:rFonts w:ascii="Arial" w:eastAsia="Calibri" w:hAnsi="Arial" w:cs="Arial"/>
          <w:bCs/>
          <w:color w:val="000000" w:themeColor="text1"/>
          <w:sz w:val="22"/>
          <w:lang w:val="es-ES_tradnl"/>
        </w:rPr>
        <w:t xml:space="preserve"> constituye la nueva regulación de la modalidad de mínima cuantía.</w:t>
      </w:r>
    </w:p>
    <w:p w14:paraId="2F94B415" w14:textId="3CED9735" w:rsidR="006D5ABB" w:rsidRPr="00DA3080" w:rsidRDefault="00455B90" w:rsidP="006D5ABB">
      <w:pPr>
        <w:tabs>
          <w:tab w:val="left" w:pos="709"/>
        </w:tabs>
        <w:spacing w:after="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Sin embargo, el artículo 8 del Decreto 1860 del 24 de diciembre de 2021 estableció un </w:t>
      </w:r>
      <w:r w:rsidR="0039323C" w:rsidRPr="00DA3080">
        <w:rPr>
          <w:rFonts w:ascii="Arial" w:eastAsia="Calibri" w:hAnsi="Arial" w:cs="Arial"/>
          <w:color w:val="000000" w:themeColor="text1"/>
          <w:sz w:val="22"/>
          <w:lang w:val="es-ES_tradnl"/>
        </w:rPr>
        <w:t>término</w:t>
      </w:r>
      <w:r w:rsidRPr="00DA3080">
        <w:rPr>
          <w:rFonts w:ascii="Arial" w:eastAsia="Calibri" w:hAnsi="Arial" w:cs="Arial"/>
          <w:color w:val="000000" w:themeColor="text1"/>
          <w:sz w:val="22"/>
          <w:lang w:val="es-ES_tradnl"/>
        </w:rPr>
        <w:t xml:space="preserve"> para la </w:t>
      </w:r>
      <w:proofErr w:type="gramStart"/>
      <w:r w:rsidRPr="00DA3080">
        <w:rPr>
          <w:rFonts w:ascii="Arial" w:eastAsia="Calibri" w:hAnsi="Arial" w:cs="Arial"/>
          <w:color w:val="000000" w:themeColor="text1"/>
          <w:sz w:val="22"/>
          <w:lang w:val="es-ES_tradnl"/>
        </w:rPr>
        <w:t>entrada en vigencia</w:t>
      </w:r>
      <w:proofErr w:type="gramEnd"/>
      <w:r w:rsidRPr="00DA3080">
        <w:rPr>
          <w:rFonts w:ascii="Arial" w:eastAsia="Calibri" w:hAnsi="Arial" w:cs="Arial"/>
          <w:color w:val="000000" w:themeColor="text1"/>
          <w:sz w:val="22"/>
          <w:lang w:val="es-ES_tradnl"/>
        </w:rPr>
        <w:t xml:space="preserve"> de sus disposiciones, al señalar que «aplicarán</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a</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los</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procedimientos</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de</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selección</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cuya</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invitación,</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aviso</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de convocatoria o documento equivalente se publique a los tres (3)</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meses contados a partir de su</w:t>
      </w:r>
      <w:r w:rsidR="0086542F" w:rsidRPr="00DA3080">
        <w:rPr>
          <w:rFonts w:ascii="Arial" w:eastAsia="Calibri" w:hAnsi="Arial" w:cs="Arial"/>
          <w:color w:val="000000" w:themeColor="text1"/>
          <w:sz w:val="22"/>
          <w:lang w:val="es-ES_tradnl"/>
        </w:rPr>
        <w:t xml:space="preserve"> </w:t>
      </w:r>
      <w:r w:rsidRPr="00DA3080">
        <w:rPr>
          <w:rFonts w:ascii="Arial" w:eastAsia="Calibri" w:hAnsi="Arial" w:cs="Arial"/>
          <w:color w:val="000000" w:themeColor="text1"/>
          <w:sz w:val="22"/>
          <w:lang w:val="es-ES_tradnl"/>
        </w:rPr>
        <w:t>expedición»</w:t>
      </w:r>
      <w:r w:rsidRPr="00DA3080">
        <w:rPr>
          <w:rStyle w:val="Refdenotaalpie"/>
          <w:rFonts w:ascii="Arial" w:eastAsia="Calibri" w:hAnsi="Arial" w:cs="Arial"/>
          <w:color w:val="000000" w:themeColor="text1"/>
          <w:sz w:val="22"/>
          <w:lang w:val="es-ES_tradnl"/>
        </w:rPr>
        <w:footnoteReference w:id="29"/>
      </w:r>
      <w:r w:rsidRPr="00DA3080">
        <w:rPr>
          <w:rFonts w:ascii="Arial" w:eastAsia="Calibri" w:hAnsi="Arial" w:cs="Arial"/>
          <w:color w:val="000000" w:themeColor="text1"/>
          <w:sz w:val="22"/>
          <w:lang w:val="es-ES_tradnl"/>
        </w:rPr>
        <w:t xml:space="preserve">. </w:t>
      </w:r>
      <w:r w:rsidR="00EF7B7F" w:rsidRPr="00DA3080">
        <w:rPr>
          <w:rFonts w:ascii="Arial" w:eastAsia="Calibri" w:hAnsi="Arial" w:cs="Arial"/>
          <w:color w:val="000000" w:themeColor="text1"/>
          <w:sz w:val="22"/>
          <w:lang w:val="es-ES_tradnl"/>
        </w:rPr>
        <w:t>Debido a lo anterior</w:t>
      </w:r>
      <w:r w:rsidRPr="00DA3080">
        <w:rPr>
          <w:rFonts w:ascii="Arial" w:eastAsia="Calibri" w:hAnsi="Arial" w:cs="Arial"/>
          <w:color w:val="000000" w:themeColor="text1"/>
          <w:sz w:val="22"/>
          <w:lang w:val="es-ES_tradnl"/>
        </w:rPr>
        <w:t xml:space="preserve">, la regulación vigente de la modalidad de mínima cuantía es la expuesta en el numeral anterior de este concepto, donde se concluyó que </w:t>
      </w:r>
      <w:r w:rsidR="0086542F" w:rsidRPr="00DA3080">
        <w:rPr>
          <w:rFonts w:ascii="Arial" w:hAnsi="Arial" w:cs="Arial"/>
          <w:color w:val="000000" w:themeColor="text1"/>
          <w:sz w:val="22"/>
          <w:lang w:val="es-ES_tradnl"/>
        </w:rPr>
        <w:t>a excepción de</w:t>
      </w:r>
      <w:r w:rsidR="0086542F" w:rsidRPr="00DA3080">
        <w:rPr>
          <w:rFonts w:ascii="Arial" w:eastAsia="Calibri" w:hAnsi="Arial" w:cs="Arial"/>
          <w:color w:val="000000" w:themeColor="text1"/>
          <w:sz w:val="22"/>
          <w:lang w:val="es-ES_tradnl"/>
        </w:rPr>
        <w:t xml:space="preserve">l numeral 7 del artículo 2.2.1.2.1.5.2 y el numeral 3 del artículo 2.2.1.2.1.5.3 del Decreto Único Reglamentario del Sector Administrativo de Planeación Nacional, </w:t>
      </w:r>
      <w:r w:rsidR="0086542F" w:rsidRPr="00DA3080">
        <w:rPr>
          <w:rFonts w:ascii="Arial" w:eastAsia="Calibri" w:hAnsi="Arial" w:cs="Arial"/>
          <w:bCs/>
          <w:color w:val="000000" w:themeColor="text1"/>
          <w:sz w:val="22"/>
          <w:lang w:val="es-ES_tradnl"/>
        </w:rPr>
        <w:t>los</w:t>
      </w:r>
      <w:r w:rsidR="0086542F" w:rsidRPr="00DA3080">
        <w:rPr>
          <w:rFonts w:ascii="Arial" w:eastAsia="Calibri" w:hAnsi="Arial" w:cs="Arial"/>
          <w:color w:val="000000" w:themeColor="text1"/>
          <w:sz w:val="22"/>
          <w:lang w:val="es-ES_tradnl"/>
        </w:rPr>
        <w:t xml:space="preserve"> artículos </w:t>
      </w:r>
      <w:r w:rsidR="005A72EB" w:rsidRPr="00DA3080">
        <w:rPr>
          <w:rFonts w:ascii="Arial" w:eastAsia="Calibri" w:hAnsi="Arial" w:cs="Arial"/>
          <w:color w:val="000000" w:themeColor="text1"/>
          <w:sz w:val="22"/>
          <w:lang w:val="es-ES_tradnl"/>
        </w:rPr>
        <w:t xml:space="preserve">originales </w:t>
      </w:r>
      <w:r w:rsidR="0086542F" w:rsidRPr="00DA3080">
        <w:rPr>
          <w:rFonts w:ascii="Arial" w:eastAsia="Calibri" w:hAnsi="Arial" w:cs="Arial"/>
          <w:color w:val="000000" w:themeColor="text1"/>
          <w:sz w:val="22"/>
          <w:lang w:val="es-ES_tradnl"/>
        </w:rPr>
        <w:t xml:space="preserve">2.2.1.2.1.5.1 al 2.2.1.2.1.5.4 de este reglamento </w:t>
      </w:r>
      <w:r w:rsidR="00EF7B7F" w:rsidRPr="00DA3080">
        <w:rPr>
          <w:rFonts w:ascii="Arial" w:eastAsia="Calibri" w:hAnsi="Arial" w:cs="Arial"/>
          <w:color w:val="000000" w:themeColor="text1"/>
          <w:sz w:val="22"/>
          <w:lang w:val="es-ES_tradnl"/>
        </w:rPr>
        <w:t>–</w:t>
      </w:r>
      <w:r w:rsidR="0086542F" w:rsidRPr="00DA3080">
        <w:rPr>
          <w:rFonts w:ascii="Arial" w:eastAsia="Calibri" w:hAnsi="Arial" w:cs="Arial"/>
          <w:color w:val="000000" w:themeColor="text1"/>
          <w:sz w:val="22"/>
          <w:lang w:val="es-ES_tradnl"/>
        </w:rPr>
        <w:t>antes de la modificación del Decreto 1860 de 2021</w:t>
      </w:r>
      <w:r w:rsidR="00EF7B7F" w:rsidRPr="00DA3080">
        <w:rPr>
          <w:rFonts w:ascii="Arial" w:eastAsia="Calibri" w:hAnsi="Arial" w:cs="Arial"/>
          <w:color w:val="000000" w:themeColor="text1"/>
          <w:sz w:val="22"/>
          <w:lang w:val="es-ES_tradnl"/>
        </w:rPr>
        <w:t>–</w:t>
      </w:r>
      <w:r w:rsidR="0086542F" w:rsidRPr="00DA3080">
        <w:rPr>
          <w:rFonts w:ascii="Arial" w:eastAsia="Calibri" w:hAnsi="Arial" w:cs="Arial"/>
          <w:color w:val="000000" w:themeColor="text1"/>
          <w:sz w:val="22"/>
          <w:lang w:val="es-ES_tradnl"/>
        </w:rPr>
        <w:t xml:space="preserve"> continúan rigiendo bajo la vigencia del numeral 5 del artículo 2 de la Ley 1150 de 2007, modificado por el artículo 30 de la Ley de Emprendimiento. No obstante, para las </w:t>
      </w:r>
      <w:r w:rsidR="0086542F" w:rsidRPr="00DA3080">
        <w:rPr>
          <w:rFonts w:ascii="Arial" w:eastAsia="Calibri" w:hAnsi="Arial" w:cs="Arial"/>
          <w:i/>
          <w:iCs/>
          <w:color w:val="000000" w:themeColor="text1"/>
          <w:sz w:val="22"/>
          <w:lang w:val="es-ES_tradnl"/>
        </w:rPr>
        <w:lastRenderedPageBreak/>
        <w:t>invitaciones</w:t>
      </w:r>
      <w:r w:rsidR="0086542F" w:rsidRPr="00DA3080">
        <w:rPr>
          <w:rFonts w:ascii="Arial" w:eastAsia="Calibri" w:hAnsi="Arial" w:cs="Arial"/>
          <w:color w:val="000000" w:themeColor="text1"/>
          <w:sz w:val="22"/>
          <w:lang w:val="es-ES_tradnl"/>
        </w:rPr>
        <w:t xml:space="preserve"> que se publiquen a partir del 24 de marzo de 2022, la regulación aplicable a la modalidad de mínima cuantía será la establecida en el artículo 30 de la Ley 2069 de 2020 y el artículo 2 del Decreto 1860 de 2021</w:t>
      </w:r>
      <w:r w:rsidR="00DE2931" w:rsidRPr="00DA3080">
        <w:rPr>
          <w:rFonts w:ascii="Arial" w:eastAsia="Calibri" w:hAnsi="Arial" w:cs="Arial"/>
          <w:color w:val="000000" w:themeColor="text1"/>
          <w:sz w:val="22"/>
          <w:lang w:val="es-ES_tradnl"/>
        </w:rPr>
        <w:t>,</w:t>
      </w:r>
      <w:r w:rsidR="0086542F" w:rsidRPr="00DA3080">
        <w:rPr>
          <w:rFonts w:ascii="Arial" w:eastAsia="Calibri" w:hAnsi="Arial" w:cs="Arial"/>
          <w:color w:val="000000" w:themeColor="text1"/>
          <w:sz w:val="22"/>
          <w:lang w:val="es-ES_tradnl"/>
        </w:rPr>
        <w:t xml:space="preserve"> que modificó los artículos 2.2.1.2.1.5.1. a 2.2.1.2.1.5.5. del Decreto 1082 de 2015.</w:t>
      </w:r>
      <w:r w:rsidR="00EF7B7F" w:rsidRPr="00DA3080">
        <w:rPr>
          <w:rFonts w:ascii="Arial" w:eastAsia="Calibri" w:hAnsi="Arial" w:cs="Arial"/>
          <w:color w:val="000000" w:themeColor="text1"/>
          <w:sz w:val="22"/>
          <w:lang w:val="es-ES_tradnl"/>
        </w:rPr>
        <w:t xml:space="preserve"> </w:t>
      </w:r>
    </w:p>
    <w:p w14:paraId="01E8DE1A" w14:textId="5D9D41D7" w:rsidR="006D5ABB" w:rsidRPr="00DA3080" w:rsidRDefault="006D5ABB" w:rsidP="006D5ABB">
      <w:pPr>
        <w:tabs>
          <w:tab w:val="left" w:pos="709"/>
        </w:tabs>
        <w:spacing w:after="0"/>
        <w:rPr>
          <w:rFonts w:ascii="Arial" w:eastAsia="Calibri" w:hAnsi="Arial" w:cs="Arial"/>
          <w:color w:val="000000" w:themeColor="text1"/>
          <w:sz w:val="22"/>
          <w:lang w:val="es-ES_tradnl"/>
        </w:rPr>
      </w:pPr>
    </w:p>
    <w:p w14:paraId="74F3D05D" w14:textId="4926D599" w:rsidR="006D5ABB" w:rsidRPr="00DA3080" w:rsidRDefault="006D5ABB" w:rsidP="006D5ABB">
      <w:pPr>
        <w:tabs>
          <w:tab w:val="left" w:pos="709"/>
        </w:tabs>
        <w:spacing w:after="0"/>
        <w:rPr>
          <w:rFonts w:ascii="Arial" w:eastAsia="Calibri" w:hAnsi="Arial" w:cs="Arial"/>
          <w:b/>
          <w:bCs/>
          <w:color w:val="000000" w:themeColor="text1"/>
          <w:sz w:val="22"/>
          <w:lang w:val="es-ES_tradnl"/>
        </w:rPr>
      </w:pPr>
      <w:r w:rsidRPr="00DA3080">
        <w:rPr>
          <w:rFonts w:ascii="Arial" w:eastAsia="Calibri" w:hAnsi="Arial" w:cs="Arial"/>
          <w:b/>
          <w:bCs/>
          <w:color w:val="000000" w:themeColor="text1"/>
          <w:sz w:val="22"/>
          <w:lang w:val="es-ES_tradnl"/>
        </w:rPr>
        <w:t xml:space="preserve">2.5. </w:t>
      </w:r>
      <w:r w:rsidR="00427C16" w:rsidRPr="00DA3080">
        <w:rPr>
          <w:rFonts w:ascii="Arial" w:eastAsia="Calibri" w:hAnsi="Arial" w:cs="Arial"/>
          <w:b/>
          <w:bCs/>
          <w:color w:val="000000" w:themeColor="text1"/>
          <w:sz w:val="22"/>
          <w:lang w:val="es-ES_tradnl"/>
        </w:rPr>
        <w:t>Declaratoria de desierta en los procesos de mínima cuantía</w:t>
      </w:r>
    </w:p>
    <w:p w14:paraId="1880176A" w14:textId="050F0837" w:rsidR="000069C4" w:rsidRPr="00DA3080" w:rsidRDefault="000069C4" w:rsidP="006D5ABB">
      <w:pPr>
        <w:tabs>
          <w:tab w:val="left" w:pos="709"/>
        </w:tabs>
        <w:spacing w:after="0"/>
        <w:rPr>
          <w:rFonts w:ascii="Arial" w:eastAsia="Calibri" w:hAnsi="Arial" w:cs="Arial"/>
          <w:color w:val="000000" w:themeColor="text1"/>
          <w:sz w:val="22"/>
          <w:lang w:val="es-ES_tradnl"/>
        </w:rPr>
      </w:pPr>
    </w:p>
    <w:p w14:paraId="6174244E" w14:textId="7F083886" w:rsidR="00882F40" w:rsidRPr="00DA3080" w:rsidRDefault="00A1255A" w:rsidP="00882F40">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De acuerdo con lo explicado en los apartados precedentes</w:t>
      </w:r>
      <w:r w:rsidR="0081513F" w:rsidRPr="00DA3080">
        <w:rPr>
          <w:rFonts w:ascii="Arial" w:eastAsia="Calibri" w:hAnsi="Arial" w:cs="Arial"/>
          <w:color w:val="000000" w:themeColor="text1"/>
          <w:sz w:val="22"/>
          <w:lang w:val="es-ES_tradnl"/>
        </w:rPr>
        <w:t xml:space="preserve">, en la actualidad la mínima cuantía se encuentra </w:t>
      </w:r>
      <w:r w:rsidR="005F5709" w:rsidRPr="00DA3080">
        <w:rPr>
          <w:rFonts w:ascii="Arial" w:eastAsia="Calibri" w:hAnsi="Arial" w:cs="Arial"/>
          <w:color w:val="000000" w:themeColor="text1"/>
          <w:sz w:val="22"/>
          <w:lang w:val="es-ES_tradnl"/>
        </w:rPr>
        <w:t>regulad</w:t>
      </w:r>
      <w:r w:rsidR="002B088C" w:rsidRPr="00DA3080">
        <w:rPr>
          <w:rFonts w:ascii="Arial" w:eastAsia="Calibri" w:hAnsi="Arial" w:cs="Arial"/>
          <w:color w:val="000000" w:themeColor="text1"/>
          <w:sz w:val="22"/>
          <w:lang w:val="es-ES_tradnl"/>
        </w:rPr>
        <w:t>a</w:t>
      </w:r>
      <w:r w:rsidR="005F5709" w:rsidRPr="00DA3080">
        <w:rPr>
          <w:rFonts w:ascii="Arial" w:eastAsia="Calibri" w:hAnsi="Arial" w:cs="Arial"/>
          <w:color w:val="000000" w:themeColor="text1"/>
          <w:sz w:val="22"/>
          <w:lang w:val="es-ES_tradnl"/>
        </w:rPr>
        <w:t xml:space="preserve"> en el artículo 30 de la Ley de Emprendimiento. Est</w:t>
      </w:r>
      <w:r w:rsidR="00D16A79" w:rsidRPr="00DA3080">
        <w:rPr>
          <w:rFonts w:ascii="Arial" w:eastAsia="Calibri" w:hAnsi="Arial" w:cs="Arial"/>
          <w:color w:val="000000" w:themeColor="text1"/>
          <w:sz w:val="22"/>
          <w:lang w:val="es-ES_tradnl"/>
        </w:rPr>
        <w:t>a disposición</w:t>
      </w:r>
      <w:r w:rsidR="005F5709" w:rsidRPr="00DA3080">
        <w:rPr>
          <w:rFonts w:ascii="Arial" w:eastAsia="Calibri" w:hAnsi="Arial" w:cs="Arial"/>
          <w:color w:val="000000" w:themeColor="text1"/>
          <w:sz w:val="22"/>
          <w:lang w:val="es-ES_tradnl"/>
        </w:rPr>
        <w:t xml:space="preserve"> no solo</w:t>
      </w:r>
      <w:r w:rsidR="005D455A" w:rsidRPr="00DA3080">
        <w:rPr>
          <w:rFonts w:ascii="Arial" w:eastAsia="Calibri" w:hAnsi="Arial" w:cs="Arial"/>
          <w:color w:val="000000" w:themeColor="text1"/>
          <w:sz w:val="22"/>
          <w:lang w:val="es-ES_tradnl"/>
        </w:rPr>
        <w:t xml:space="preserve"> subrogó el artículo 74 de la Ley 1474 de 2011 sino que modificó el </w:t>
      </w:r>
      <w:r w:rsidR="00D1744A" w:rsidRPr="00DA3080">
        <w:rPr>
          <w:rFonts w:ascii="Arial" w:eastAsia="Calibri" w:hAnsi="Arial" w:cs="Arial"/>
          <w:color w:val="000000" w:themeColor="text1"/>
          <w:sz w:val="22"/>
          <w:lang w:val="es-ES_tradnl"/>
        </w:rPr>
        <w:t xml:space="preserve">alcance del artículo </w:t>
      </w:r>
      <w:r w:rsidR="00D16A79" w:rsidRPr="00DA3080">
        <w:rPr>
          <w:rFonts w:ascii="Arial" w:eastAsia="Calibri" w:hAnsi="Arial" w:cs="Arial"/>
          <w:color w:val="000000" w:themeColor="text1"/>
          <w:sz w:val="22"/>
          <w:lang w:val="es-ES_tradnl"/>
        </w:rPr>
        <w:t>2.5 de la Ley 1150 de 2007</w:t>
      </w:r>
      <w:r w:rsidR="00686CDE" w:rsidRPr="00DA3080">
        <w:rPr>
          <w:rFonts w:ascii="Arial" w:eastAsia="Calibri" w:hAnsi="Arial" w:cs="Arial"/>
          <w:color w:val="000000" w:themeColor="text1"/>
          <w:sz w:val="22"/>
          <w:lang w:val="es-ES_tradnl"/>
        </w:rPr>
        <w:t xml:space="preserve">. </w:t>
      </w:r>
      <w:r w:rsidR="00241E8E" w:rsidRPr="00DA3080">
        <w:rPr>
          <w:rFonts w:ascii="Arial" w:eastAsia="Calibri" w:hAnsi="Arial" w:cs="Arial"/>
          <w:color w:val="000000" w:themeColor="text1"/>
          <w:sz w:val="22"/>
          <w:lang w:val="es-ES_tradnl"/>
        </w:rPr>
        <w:t xml:space="preserve">Por lo demás, </w:t>
      </w:r>
      <w:r w:rsidR="00551886" w:rsidRPr="00DA3080">
        <w:rPr>
          <w:rFonts w:ascii="Arial" w:eastAsia="Calibri" w:hAnsi="Arial" w:cs="Arial"/>
          <w:color w:val="000000" w:themeColor="text1"/>
          <w:sz w:val="22"/>
          <w:lang w:val="es-ES_tradnl"/>
        </w:rPr>
        <w:t xml:space="preserve">salvo los factores de desempate, </w:t>
      </w:r>
      <w:r w:rsidR="000A3267" w:rsidRPr="00DA3080">
        <w:rPr>
          <w:rFonts w:ascii="Arial" w:eastAsia="Calibri" w:hAnsi="Arial" w:cs="Arial"/>
          <w:color w:val="000000" w:themeColor="text1"/>
          <w:sz w:val="22"/>
          <w:lang w:val="es-ES_tradnl"/>
        </w:rPr>
        <w:t xml:space="preserve">en vigencia del artículo 30 de la Ley 2069 de 2020 </w:t>
      </w:r>
      <w:r w:rsidR="0005159E" w:rsidRPr="00DA3080">
        <w:rPr>
          <w:rFonts w:ascii="Arial" w:eastAsia="Calibri" w:hAnsi="Arial" w:cs="Arial"/>
          <w:color w:val="000000" w:themeColor="text1"/>
          <w:sz w:val="22"/>
          <w:lang w:val="es-ES_tradnl"/>
        </w:rPr>
        <w:t>sigue</w:t>
      </w:r>
      <w:r w:rsidR="00BC6406" w:rsidRPr="00DA3080">
        <w:rPr>
          <w:rFonts w:ascii="Arial" w:eastAsia="Calibri" w:hAnsi="Arial" w:cs="Arial"/>
          <w:color w:val="000000" w:themeColor="text1"/>
          <w:sz w:val="22"/>
          <w:lang w:val="es-ES_tradnl"/>
        </w:rPr>
        <w:t>n</w:t>
      </w:r>
      <w:r w:rsidR="0005159E" w:rsidRPr="00DA3080">
        <w:rPr>
          <w:rFonts w:ascii="Arial" w:eastAsia="Calibri" w:hAnsi="Arial" w:cs="Arial"/>
          <w:color w:val="000000" w:themeColor="text1"/>
          <w:sz w:val="22"/>
          <w:lang w:val="es-ES_tradnl"/>
        </w:rPr>
        <w:t xml:space="preserve"> </w:t>
      </w:r>
      <w:r w:rsidR="00427C16" w:rsidRPr="00DA3080">
        <w:rPr>
          <w:rFonts w:ascii="Arial" w:eastAsia="Calibri" w:hAnsi="Arial" w:cs="Arial"/>
          <w:color w:val="000000" w:themeColor="text1"/>
          <w:sz w:val="22"/>
          <w:lang w:val="es-ES_tradnl"/>
        </w:rPr>
        <w:t>produciendo efectos</w:t>
      </w:r>
      <w:r w:rsidR="0005159E" w:rsidRPr="00DA3080">
        <w:rPr>
          <w:rFonts w:ascii="Arial" w:eastAsia="Calibri" w:hAnsi="Arial" w:cs="Arial"/>
          <w:color w:val="000000" w:themeColor="text1"/>
          <w:sz w:val="22"/>
          <w:lang w:val="es-ES_tradnl"/>
        </w:rPr>
        <w:t xml:space="preserve"> gran parte de la reglamentación</w:t>
      </w:r>
      <w:r w:rsidR="00EA2BD3" w:rsidRPr="00DA3080">
        <w:rPr>
          <w:rFonts w:ascii="Arial" w:eastAsia="Calibri" w:hAnsi="Arial" w:cs="Arial"/>
          <w:color w:val="000000" w:themeColor="text1"/>
          <w:sz w:val="22"/>
          <w:lang w:val="es-ES_tradnl"/>
        </w:rPr>
        <w:t xml:space="preserve"> de este procedimiento contractual </w:t>
      </w:r>
      <w:r w:rsidR="00BF6B40" w:rsidRPr="00DA3080">
        <w:rPr>
          <w:rFonts w:ascii="Arial" w:eastAsia="Calibri" w:hAnsi="Arial" w:cs="Arial"/>
          <w:color w:val="000000" w:themeColor="text1"/>
          <w:sz w:val="22"/>
          <w:lang w:val="es-ES_tradnl"/>
        </w:rPr>
        <w:t>en el Decreto 1082 de 2015</w:t>
      </w:r>
      <w:r w:rsidR="005E69F5" w:rsidRPr="00DA3080">
        <w:rPr>
          <w:rFonts w:ascii="Arial" w:eastAsia="Calibri" w:hAnsi="Arial" w:cs="Arial"/>
          <w:color w:val="000000" w:themeColor="text1"/>
          <w:sz w:val="22"/>
          <w:lang w:val="es-ES_tradnl"/>
        </w:rPr>
        <w:t xml:space="preserve">. Lo anterior hasta la </w:t>
      </w:r>
      <w:proofErr w:type="gramStart"/>
      <w:r w:rsidR="005E69F5" w:rsidRPr="00DA3080">
        <w:rPr>
          <w:rFonts w:ascii="Arial" w:eastAsia="Calibri" w:hAnsi="Arial" w:cs="Arial"/>
          <w:color w:val="000000" w:themeColor="text1"/>
          <w:sz w:val="22"/>
          <w:lang w:val="es-ES_tradnl"/>
        </w:rPr>
        <w:t>entrada en vigencia</w:t>
      </w:r>
      <w:proofErr w:type="gramEnd"/>
      <w:r w:rsidR="005E69F5" w:rsidRPr="00DA3080">
        <w:rPr>
          <w:rFonts w:ascii="Arial" w:eastAsia="Calibri" w:hAnsi="Arial" w:cs="Arial"/>
          <w:color w:val="000000" w:themeColor="text1"/>
          <w:sz w:val="22"/>
          <w:lang w:val="es-ES_tradnl"/>
        </w:rPr>
        <w:t xml:space="preserve"> del Decreto 1860 de 2021</w:t>
      </w:r>
      <w:r w:rsidR="0066300B" w:rsidRPr="00DA3080">
        <w:rPr>
          <w:rFonts w:ascii="Arial" w:eastAsia="Calibri" w:hAnsi="Arial" w:cs="Arial"/>
          <w:color w:val="000000" w:themeColor="text1"/>
          <w:sz w:val="22"/>
          <w:lang w:val="es-ES_tradnl"/>
        </w:rPr>
        <w:t xml:space="preserve">, el cual reglamenta el procedimiento de mínima cuantía </w:t>
      </w:r>
      <w:r w:rsidR="00691346" w:rsidRPr="00DA3080">
        <w:rPr>
          <w:rFonts w:ascii="Arial" w:eastAsia="Calibri" w:hAnsi="Arial" w:cs="Arial"/>
          <w:color w:val="000000" w:themeColor="text1"/>
          <w:sz w:val="22"/>
          <w:lang w:val="es-ES_tradnl"/>
        </w:rPr>
        <w:t>con sujeción a las modificaciones previstas en la ley.</w:t>
      </w:r>
    </w:p>
    <w:p w14:paraId="628BD2D7" w14:textId="251ECAF3" w:rsidR="00427C16" w:rsidRPr="00DA3080" w:rsidRDefault="00882F40" w:rsidP="00427C16">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r>
      <w:r w:rsidR="00427C16" w:rsidRPr="00DA3080">
        <w:rPr>
          <w:rFonts w:ascii="Arial" w:eastAsia="Calibri" w:hAnsi="Arial" w:cs="Arial"/>
          <w:color w:val="000000" w:themeColor="text1"/>
          <w:sz w:val="22"/>
          <w:lang w:val="es-ES_tradnl"/>
        </w:rPr>
        <w:t xml:space="preserve">Analizado el régimen jurídico aplicable a la modalidad de selección de mínima cuantía, corresponde estudiar la declaratoria de desierta de estos procesos, con la finalidad de abordar la pregunta formulada por el peticionario. En este sentido, conforme a lo expuesto hasta este lugar es posible concluir que las </w:t>
      </w:r>
      <w:r w:rsidR="00022F3F" w:rsidRPr="00DA3080">
        <w:rPr>
          <w:rFonts w:ascii="Arial" w:eastAsia="Calibri" w:hAnsi="Arial" w:cs="Arial"/>
          <w:color w:val="000000" w:themeColor="text1"/>
          <w:sz w:val="22"/>
          <w:lang w:val="es-ES_tradnl"/>
        </w:rPr>
        <w:t>disposiciones</w:t>
      </w:r>
      <w:r w:rsidR="00427C16" w:rsidRPr="00DA3080">
        <w:rPr>
          <w:rFonts w:ascii="Arial" w:eastAsia="Calibri" w:hAnsi="Arial" w:cs="Arial"/>
          <w:color w:val="000000" w:themeColor="text1"/>
          <w:sz w:val="22"/>
          <w:lang w:val="es-ES_tradnl"/>
        </w:rPr>
        <w:t xml:space="preserve"> que regulan la mínima cuantía no establecen una regulación especial frente a la declaratoria de desierta.</w:t>
      </w:r>
    </w:p>
    <w:p w14:paraId="295C83CD" w14:textId="0DCDC440" w:rsidR="00022F3F" w:rsidRPr="00DA3080" w:rsidRDefault="00022F3F" w:rsidP="00427C16">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r>
      <w:r w:rsidR="005521C9" w:rsidRPr="00DA3080">
        <w:rPr>
          <w:rFonts w:ascii="Arial" w:eastAsia="Calibri" w:hAnsi="Arial" w:cs="Arial"/>
          <w:color w:val="000000" w:themeColor="text1"/>
          <w:sz w:val="22"/>
          <w:lang w:val="es-ES_tradnl"/>
        </w:rPr>
        <w:t xml:space="preserve">La declaratoria de desierta de un procedimiento de selección consiste en la decisión de la entidad contratante </w:t>
      </w:r>
      <w:r w:rsidR="00314E58" w:rsidRPr="00DA3080">
        <w:rPr>
          <w:rFonts w:ascii="Arial" w:eastAsia="Calibri" w:hAnsi="Arial" w:cs="Arial"/>
          <w:color w:val="000000" w:themeColor="text1"/>
          <w:sz w:val="22"/>
          <w:lang w:val="es-ES_tradnl"/>
        </w:rPr>
        <w:t xml:space="preserve">de no adjudicar el contrato, esto es, de no seleccionar al futuro contratista originado en un procedimiento de selección, por presentarse los supuestos establecidos por el legislador para dicha declaratoria. </w:t>
      </w:r>
      <w:r w:rsidR="00981FB1" w:rsidRPr="00DA3080">
        <w:rPr>
          <w:rFonts w:ascii="Arial" w:eastAsia="Calibri" w:hAnsi="Arial" w:cs="Arial"/>
          <w:color w:val="000000" w:themeColor="text1"/>
          <w:sz w:val="22"/>
          <w:lang w:val="es-ES_tradnl"/>
        </w:rPr>
        <w:t>Ahora bien, como se señaló en líneas anteriores, las normas especiales que regulan el procedimiento de mínima cuantía no establecen una regulación especial respecto a esta actuación; aunque sí existen reglas especiales respecto a la forma como se selecciona la mejor oferta y, por ende, al proponente seleccionado. En este sentido, los literales c) y d) del numeral 5 del artículo </w:t>
      </w:r>
      <w:hyperlink r:id="rId12" w:anchor="2" w:history="1">
        <w:r w:rsidR="00981FB1" w:rsidRPr="00DA3080">
          <w:rPr>
            <w:rFonts w:ascii="Arial" w:eastAsia="Calibri" w:hAnsi="Arial" w:cs="Arial"/>
            <w:color w:val="000000" w:themeColor="text1"/>
            <w:sz w:val="22"/>
            <w:lang w:val="es-ES_tradnl"/>
          </w:rPr>
          <w:t>2</w:t>
        </w:r>
      </w:hyperlink>
      <w:r w:rsidR="00981FB1" w:rsidRPr="00DA3080">
        <w:rPr>
          <w:rFonts w:ascii="Arial" w:eastAsia="Calibri" w:hAnsi="Arial" w:cs="Arial"/>
          <w:color w:val="000000" w:themeColor="text1"/>
          <w:sz w:val="22"/>
          <w:lang w:val="es-ES_tradnl"/>
        </w:rPr>
        <w:t> de la Ley 1150 de 2007, modificado por el artículo 30 de la Ley 2069 de 2020 señalan:</w:t>
      </w:r>
    </w:p>
    <w:p w14:paraId="3213215C" w14:textId="25A40DB8" w:rsidR="00981FB1" w:rsidRPr="00DA3080" w:rsidRDefault="00981FB1" w:rsidP="00981FB1">
      <w:pPr>
        <w:spacing w:after="0" w:line="240" w:lineRule="auto"/>
        <w:ind w:left="709" w:right="758"/>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5) Contratación mínima cuantía. La contratación cuyo valor no excede del 10 por ciento de la menor cuantía de la entidad independientemente de su objeto, se efectuará de conformidad con las siguientes reglas:</w:t>
      </w:r>
    </w:p>
    <w:p w14:paraId="21AF0025" w14:textId="22C1DB4A" w:rsidR="00981FB1" w:rsidRPr="00DA3080" w:rsidRDefault="00981FB1" w:rsidP="00981FB1">
      <w:pPr>
        <w:spacing w:after="0" w:line="240" w:lineRule="auto"/>
        <w:ind w:left="709" w:right="758"/>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w:t>
      </w:r>
    </w:p>
    <w:p w14:paraId="5C05CB0B" w14:textId="77777777" w:rsidR="00981FB1" w:rsidRPr="00DA3080" w:rsidRDefault="00981FB1" w:rsidP="00981FB1">
      <w:pPr>
        <w:spacing w:after="120" w:line="240" w:lineRule="auto"/>
        <w:ind w:left="709" w:right="760"/>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c) La entidad seleccionará, mediante comunicación de aceptación de la oferta, la propuesta con el menor precio, siempre y cuando cumpla con las condiciones exigidas;</w:t>
      </w:r>
    </w:p>
    <w:p w14:paraId="654B5B75" w14:textId="7B812D85" w:rsidR="00981FB1" w:rsidRPr="00DA3080" w:rsidRDefault="00981FB1" w:rsidP="00981FB1">
      <w:pPr>
        <w:spacing w:after="0" w:line="240" w:lineRule="auto"/>
        <w:ind w:left="709" w:right="758"/>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d) La comunicación de aceptación junto con la oferta constituye para todos los efectos el contrato celebrado, con base en lo cual se efectuará el respectivo registro presupuestal.</w:t>
      </w:r>
    </w:p>
    <w:p w14:paraId="7F3DC756" w14:textId="1F7575BF" w:rsidR="00C45787" w:rsidRPr="00DA3080" w:rsidRDefault="00981FB1" w:rsidP="00981FB1">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lastRenderedPageBreak/>
        <w:tab/>
        <w:t xml:space="preserve">En armonía con lo anterior, el legislador estableció que en los procesos de mínima cuantía no habría un «acto de adjudicación», sino que en aras de la celeridad y economía que se busca con </w:t>
      </w:r>
      <w:r w:rsidR="00300487" w:rsidRPr="00DA3080">
        <w:rPr>
          <w:rFonts w:ascii="Arial" w:eastAsia="Calibri" w:hAnsi="Arial" w:cs="Arial"/>
          <w:color w:val="000000" w:themeColor="text1"/>
          <w:sz w:val="22"/>
          <w:lang w:val="es-ES_tradnl"/>
        </w:rPr>
        <w:t>esta modalidad</w:t>
      </w:r>
      <w:r w:rsidRPr="00DA3080">
        <w:rPr>
          <w:rFonts w:ascii="Arial" w:eastAsia="Calibri" w:hAnsi="Arial" w:cs="Arial"/>
          <w:color w:val="000000" w:themeColor="text1"/>
          <w:sz w:val="22"/>
          <w:lang w:val="es-ES_tradnl"/>
        </w:rPr>
        <w:t>, la selección de la mejor oferta se realiza mediante una «comunicación de aceptación de la oferta»</w:t>
      </w:r>
      <w:r w:rsidR="00300487" w:rsidRPr="00DA3080">
        <w:rPr>
          <w:rFonts w:ascii="Arial" w:eastAsia="Calibri" w:hAnsi="Arial" w:cs="Arial"/>
          <w:color w:val="000000" w:themeColor="text1"/>
          <w:sz w:val="22"/>
          <w:lang w:val="es-ES_tradnl"/>
        </w:rPr>
        <w:t>,</w:t>
      </w:r>
      <w:r w:rsidRPr="00DA3080">
        <w:rPr>
          <w:rFonts w:ascii="Arial" w:eastAsia="Calibri" w:hAnsi="Arial" w:cs="Arial"/>
          <w:color w:val="000000" w:themeColor="text1"/>
          <w:sz w:val="22"/>
          <w:lang w:val="es-ES_tradnl"/>
        </w:rPr>
        <w:t xml:space="preserve"> y dicha comunicación, junto con la oferta presentada por el oferente seleccionado</w:t>
      </w:r>
      <w:r w:rsidR="00300487" w:rsidRPr="00DA3080">
        <w:rPr>
          <w:rFonts w:ascii="Arial" w:eastAsia="Calibri" w:hAnsi="Arial" w:cs="Arial"/>
          <w:color w:val="000000" w:themeColor="text1"/>
          <w:sz w:val="22"/>
          <w:lang w:val="es-ES_tradnl"/>
        </w:rPr>
        <w:t xml:space="preserve"> constituyen </w:t>
      </w:r>
      <w:r w:rsidRPr="00DA3080">
        <w:rPr>
          <w:rFonts w:ascii="Arial" w:eastAsia="Calibri" w:hAnsi="Arial" w:cs="Arial"/>
          <w:color w:val="000000" w:themeColor="text1"/>
          <w:sz w:val="22"/>
          <w:lang w:val="es-ES_tradnl"/>
        </w:rPr>
        <w:t>el contrato. Por las razones anteriores, en los procesos de mínima cuantía la comunicación de aceptación de la oferta hace las veces del acto de adjudicación, en el entendido de que bajo dicha actuación la entidad selecciona a su contratista; solo que en estos casos mediante dicho acto además se perfecciona el contrato</w:t>
      </w:r>
      <w:r w:rsidR="00C45787" w:rsidRPr="00DA3080">
        <w:rPr>
          <w:rFonts w:ascii="Arial" w:eastAsia="Calibri" w:hAnsi="Arial" w:cs="Arial"/>
          <w:color w:val="000000" w:themeColor="text1"/>
          <w:sz w:val="22"/>
          <w:lang w:val="es-ES_tradnl"/>
        </w:rPr>
        <w:t>.</w:t>
      </w:r>
    </w:p>
    <w:p w14:paraId="6D5C4C32" w14:textId="40B9A1C0" w:rsidR="00427C16" w:rsidRPr="00DA3080" w:rsidRDefault="00C45787" w:rsidP="00C45787">
      <w:pPr>
        <w:tabs>
          <w:tab w:val="left" w:pos="709"/>
        </w:tabs>
        <w:spacing w:after="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Ahora bien, como se señaló en los acápites precedentes, los principios de la contratación estatal resultan aplicables, en lo pertinente, a los procesos de mínima cuantía, lo que es especialmente relevante para el asunto estudiado, en el entendido de aplicar </w:t>
      </w:r>
      <w:r w:rsidR="00300487" w:rsidRPr="00DA3080">
        <w:rPr>
          <w:rFonts w:ascii="Arial" w:eastAsia="Calibri" w:hAnsi="Arial" w:cs="Arial"/>
          <w:color w:val="000000" w:themeColor="text1"/>
          <w:sz w:val="22"/>
          <w:lang w:val="es-ES_tradnl"/>
        </w:rPr>
        <w:t xml:space="preserve">el principio de economía en </w:t>
      </w:r>
      <w:r w:rsidRPr="00DA3080">
        <w:rPr>
          <w:rFonts w:ascii="Arial" w:eastAsia="Calibri" w:hAnsi="Arial" w:cs="Arial"/>
          <w:color w:val="000000" w:themeColor="text1"/>
          <w:sz w:val="22"/>
          <w:lang w:val="es-ES_tradnl"/>
        </w:rPr>
        <w:t xml:space="preserve">la forma en que la Ley 80 de 1993 regula este principio en el artículo 25. Esto es relevante, </w:t>
      </w:r>
      <w:r w:rsidR="00300487" w:rsidRPr="00DA3080">
        <w:rPr>
          <w:rFonts w:ascii="Arial" w:eastAsia="Calibri" w:hAnsi="Arial" w:cs="Arial"/>
          <w:color w:val="000000" w:themeColor="text1"/>
          <w:sz w:val="22"/>
          <w:lang w:val="es-ES_tradnl"/>
        </w:rPr>
        <w:t xml:space="preserve">porque </w:t>
      </w:r>
      <w:r w:rsidRPr="00DA3080">
        <w:rPr>
          <w:rFonts w:ascii="Arial" w:eastAsia="Calibri" w:hAnsi="Arial" w:cs="Arial"/>
          <w:color w:val="000000" w:themeColor="text1"/>
          <w:sz w:val="22"/>
          <w:lang w:val="es-ES_tradnl"/>
        </w:rPr>
        <w:t xml:space="preserve">esta Agencia considera </w:t>
      </w:r>
      <w:proofErr w:type="gramStart"/>
      <w:r w:rsidRPr="00DA3080">
        <w:rPr>
          <w:rFonts w:ascii="Arial" w:eastAsia="Calibri" w:hAnsi="Arial" w:cs="Arial"/>
          <w:color w:val="000000" w:themeColor="text1"/>
          <w:sz w:val="22"/>
          <w:lang w:val="es-ES_tradnl"/>
        </w:rPr>
        <w:t>que</w:t>
      </w:r>
      <w:proofErr w:type="gramEnd"/>
      <w:r w:rsidRPr="00DA3080">
        <w:rPr>
          <w:rFonts w:ascii="Arial" w:eastAsia="Calibri" w:hAnsi="Arial" w:cs="Arial"/>
          <w:color w:val="000000" w:themeColor="text1"/>
          <w:sz w:val="22"/>
          <w:lang w:val="es-ES_tradnl"/>
        </w:rPr>
        <w:t xml:space="preserve"> al no existir regulación especial de la declaratoria de desierta en los procesos de mínima cuantía, el fundamento para esta actuación se encuentra consagrado en el artículo 25, numeral 18</w:t>
      </w:r>
      <w:r w:rsidR="00300487" w:rsidRPr="00DA3080">
        <w:rPr>
          <w:rFonts w:ascii="Arial" w:eastAsia="Calibri" w:hAnsi="Arial" w:cs="Arial"/>
          <w:color w:val="000000" w:themeColor="text1"/>
          <w:sz w:val="22"/>
          <w:lang w:val="es-ES_tradnl"/>
        </w:rPr>
        <w:t>,</w:t>
      </w:r>
      <w:r w:rsidRPr="00DA3080">
        <w:rPr>
          <w:rFonts w:ascii="Arial" w:eastAsia="Calibri" w:hAnsi="Arial" w:cs="Arial"/>
          <w:color w:val="000000" w:themeColor="text1"/>
          <w:sz w:val="22"/>
          <w:lang w:val="es-ES_tradnl"/>
        </w:rPr>
        <w:t xml:space="preserve"> de la Ley 80 de 1993, el cual establece:</w:t>
      </w:r>
      <w:r w:rsidR="002D1C3A" w:rsidRPr="00DA3080">
        <w:rPr>
          <w:rFonts w:ascii="Arial" w:eastAsia="Calibri" w:hAnsi="Arial" w:cs="Arial"/>
          <w:color w:val="000000" w:themeColor="text1"/>
          <w:sz w:val="22"/>
          <w:lang w:val="es-ES_tradnl"/>
        </w:rPr>
        <w:tab/>
      </w:r>
    </w:p>
    <w:p w14:paraId="677607AB" w14:textId="0D6A4986" w:rsidR="00427C16" w:rsidRPr="00DA3080" w:rsidRDefault="00427C16" w:rsidP="00C45787">
      <w:pPr>
        <w:tabs>
          <w:tab w:val="left" w:pos="709"/>
        </w:tabs>
        <w:spacing w:after="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r>
      <w:r w:rsidR="00022F3F" w:rsidRPr="00DA3080">
        <w:rPr>
          <w:rFonts w:ascii="Arial" w:eastAsia="Calibri" w:hAnsi="Arial" w:cs="Arial"/>
          <w:color w:val="000000" w:themeColor="text1"/>
          <w:sz w:val="22"/>
          <w:lang w:val="es-ES_tradnl"/>
        </w:rPr>
        <w:t xml:space="preserve"> </w:t>
      </w:r>
    </w:p>
    <w:p w14:paraId="421A4879" w14:textId="6F59C7CD" w:rsidR="00314E58" w:rsidRPr="00DA3080" w:rsidRDefault="00C45787" w:rsidP="00372D85">
      <w:pPr>
        <w:spacing w:after="0" w:line="240" w:lineRule="auto"/>
        <w:ind w:left="709" w:right="709"/>
        <w:rPr>
          <w:rFonts w:ascii="Arial" w:hAnsi="Arial" w:cs="Arial"/>
          <w:color w:val="000000" w:themeColor="text1"/>
          <w:sz w:val="21"/>
          <w:szCs w:val="21"/>
          <w:lang w:val="es-ES_tradnl"/>
        </w:rPr>
      </w:pPr>
      <w:bookmarkStart w:id="21" w:name="25"/>
      <w:r w:rsidRPr="00DA3080">
        <w:rPr>
          <w:rFonts w:ascii="Arial" w:hAnsi="Arial" w:cs="Arial"/>
          <w:color w:val="000000" w:themeColor="text1"/>
          <w:sz w:val="21"/>
          <w:szCs w:val="21"/>
          <w:lang w:val="es-ES_tradnl"/>
        </w:rPr>
        <w:t>Artículo</w:t>
      </w:r>
      <w:r w:rsidR="00314E58" w:rsidRPr="00DA3080">
        <w:rPr>
          <w:rFonts w:ascii="Arial" w:hAnsi="Arial" w:cs="Arial"/>
          <w:color w:val="000000" w:themeColor="text1"/>
          <w:sz w:val="21"/>
          <w:szCs w:val="21"/>
          <w:lang w:val="es-ES_tradnl"/>
        </w:rPr>
        <w:t xml:space="preserve"> 25. </w:t>
      </w:r>
      <w:r w:rsidRPr="00DA3080">
        <w:rPr>
          <w:rFonts w:ascii="Arial" w:hAnsi="Arial" w:cs="Arial"/>
          <w:color w:val="000000" w:themeColor="text1"/>
          <w:sz w:val="21"/>
          <w:szCs w:val="21"/>
          <w:lang w:val="es-ES_tradnl"/>
        </w:rPr>
        <w:t>Del principio de economía</w:t>
      </w:r>
      <w:r w:rsidR="00314E58" w:rsidRPr="00DA3080">
        <w:rPr>
          <w:rFonts w:ascii="Arial" w:hAnsi="Arial" w:cs="Arial"/>
          <w:color w:val="000000" w:themeColor="text1"/>
          <w:sz w:val="21"/>
          <w:szCs w:val="21"/>
          <w:lang w:val="es-ES_tradnl"/>
        </w:rPr>
        <w:t>.</w:t>
      </w:r>
      <w:bookmarkEnd w:id="21"/>
      <w:r w:rsidR="00314E58" w:rsidRPr="00DA3080">
        <w:rPr>
          <w:rFonts w:ascii="Arial" w:hAnsi="Arial" w:cs="Arial"/>
          <w:color w:val="000000" w:themeColor="text1"/>
          <w:sz w:val="21"/>
          <w:szCs w:val="21"/>
          <w:lang w:val="es-ES_tradnl"/>
        </w:rPr>
        <w:t> En virtud de este principio:</w:t>
      </w:r>
    </w:p>
    <w:p w14:paraId="6252F403" w14:textId="42C210D9" w:rsidR="00C45787" w:rsidRPr="00DA3080" w:rsidRDefault="00C45787" w:rsidP="00372D85">
      <w:pPr>
        <w:spacing w:after="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w:t>
      </w:r>
    </w:p>
    <w:p w14:paraId="6DDDCDCF" w14:textId="55B29A77" w:rsidR="00314E58" w:rsidRPr="00DA3080" w:rsidRDefault="00314E58" w:rsidP="00372D85">
      <w:pPr>
        <w:spacing w:after="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18. La declaratoria de desierta de la licitación únicamente procederá por motivos o causas que impidan la escogencia objetiva y se declarará en acto administrativo en el que se señalarán en forma expresa y detallada las razones que han conducido a esa decisión.</w:t>
      </w:r>
    </w:p>
    <w:p w14:paraId="5B7FB195" w14:textId="77777777" w:rsidR="00C45787" w:rsidRPr="00DA3080" w:rsidRDefault="00427C16" w:rsidP="00C45787">
      <w:pPr>
        <w:tabs>
          <w:tab w:val="left" w:pos="709"/>
        </w:tabs>
        <w:spacing w:after="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r>
    </w:p>
    <w:p w14:paraId="57990496" w14:textId="0E117A08" w:rsidR="00C45787" w:rsidRPr="00DA3080" w:rsidRDefault="00C45787" w:rsidP="00427C16">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Si bien resulta problemático que la disposición solo alud</w:t>
      </w:r>
      <w:r w:rsidR="00300487" w:rsidRPr="00DA3080">
        <w:rPr>
          <w:rFonts w:ascii="Arial" w:eastAsia="Calibri" w:hAnsi="Arial" w:cs="Arial"/>
          <w:color w:val="000000" w:themeColor="text1"/>
          <w:sz w:val="22"/>
          <w:lang w:val="es-ES_tradnl"/>
        </w:rPr>
        <w:t>a</w:t>
      </w:r>
      <w:r w:rsidRPr="00DA3080">
        <w:rPr>
          <w:rFonts w:ascii="Arial" w:eastAsia="Calibri" w:hAnsi="Arial" w:cs="Arial"/>
          <w:color w:val="000000" w:themeColor="text1"/>
          <w:sz w:val="22"/>
          <w:lang w:val="es-ES_tradnl"/>
        </w:rPr>
        <w:t xml:space="preserve"> a la «licitación», esta Agencia considera que su entendimiento debe ser amplio, para acoger a los demás procedimientos de selección adoptados en nuestro ordenamiento de forma posterior, por parte de la Ley 1150 de 2007, que en su artículo 2 creó nuevas modalidades de selección que no existían bajo la Ley 80 original, esto es, además de la licitación pública, la selección abreviada, el concurso de méritos y la mínima cuantía.</w:t>
      </w:r>
      <w:r w:rsidR="00E36BAC" w:rsidRPr="00DA3080">
        <w:rPr>
          <w:rFonts w:ascii="Arial" w:eastAsia="Calibri" w:hAnsi="Arial" w:cs="Arial"/>
          <w:color w:val="000000" w:themeColor="text1"/>
          <w:sz w:val="22"/>
          <w:lang w:val="es-ES_tradnl"/>
        </w:rPr>
        <w:t xml:space="preserve"> Esta interpretación además encuentra fundamento en lo establecido en el artículo 23 de la Ley 80 de 1993, cuya redacción es más amplia, al prescribir que «Las actuaciones de quienes intervengan en la contratación estatal se desarrollarán con arreglo a los principios de transparencia, economía y responsabilidad y de conformidad con los postulados que rigen la función administrativa». En este sentido, las actuaciones de las entidades estatales deben observar el principio de </w:t>
      </w:r>
      <w:r w:rsidR="00300487" w:rsidRPr="00DA3080">
        <w:rPr>
          <w:rFonts w:ascii="Arial" w:eastAsia="Calibri" w:hAnsi="Arial" w:cs="Arial"/>
          <w:color w:val="000000" w:themeColor="text1"/>
          <w:sz w:val="22"/>
          <w:lang w:val="es-ES_tradnl"/>
        </w:rPr>
        <w:t>economía</w:t>
      </w:r>
      <w:r w:rsidR="00E36BAC" w:rsidRPr="00DA3080">
        <w:rPr>
          <w:rFonts w:ascii="Arial" w:eastAsia="Calibri" w:hAnsi="Arial" w:cs="Arial"/>
          <w:color w:val="000000" w:themeColor="text1"/>
          <w:sz w:val="22"/>
          <w:lang w:val="es-ES_tradnl"/>
        </w:rPr>
        <w:t xml:space="preserve">, en los términos establecidos por el legislador en el artículo 25, resultando compatible lo establecido en el numeral 18 </w:t>
      </w:r>
      <w:r w:rsidR="00170D28" w:rsidRPr="00DA3080">
        <w:rPr>
          <w:rFonts w:ascii="Arial" w:eastAsia="Calibri" w:hAnsi="Arial" w:cs="Arial"/>
          <w:color w:val="000000" w:themeColor="text1"/>
          <w:sz w:val="22"/>
          <w:lang w:val="es-ES_tradnl"/>
        </w:rPr>
        <w:t>en relación con</w:t>
      </w:r>
      <w:r w:rsidR="00E36BAC" w:rsidRPr="00DA3080">
        <w:rPr>
          <w:rFonts w:ascii="Arial" w:eastAsia="Calibri" w:hAnsi="Arial" w:cs="Arial"/>
          <w:color w:val="000000" w:themeColor="text1"/>
          <w:sz w:val="22"/>
          <w:lang w:val="es-ES_tradnl"/>
        </w:rPr>
        <w:t xml:space="preserve"> la modalidad de mínima cuantía, al igual que frente a las demás modalidades de selección competitivas establecidas en el artículo 2 de la Ley 1150 de 2007.</w:t>
      </w:r>
    </w:p>
    <w:p w14:paraId="686B2BE3" w14:textId="48A2CA60" w:rsidR="00E36BAC" w:rsidRPr="00DA3080" w:rsidRDefault="00E36BAC" w:rsidP="00470509">
      <w:pPr>
        <w:tabs>
          <w:tab w:val="left" w:pos="709"/>
        </w:tabs>
        <w:spacing w:after="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lastRenderedPageBreak/>
        <w:tab/>
        <w:t>Ahora bien, bajo la norma actual que regula la declaratoria de desierta, esta «únicamente procederá por motivos o causas que impidan la escogencia objetiva», lo que responde a la orientación regulativa mediante principios adoptada por la Ley 80 de 1993, toda vez que bajo el régimen del Decreto-Ley 222 de 1983 se establecía una mayor cantidad de supuestos</w:t>
      </w:r>
      <w:r w:rsidRPr="00DA3080">
        <w:rPr>
          <w:rStyle w:val="Refdenotaalpie"/>
          <w:rFonts w:ascii="Arial" w:eastAsia="Calibri" w:hAnsi="Arial" w:cs="Arial"/>
          <w:color w:val="000000" w:themeColor="text1"/>
          <w:sz w:val="22"/>
          <w:lang w:val="es-ES_tradnl"/>
        </w:rPr>
        <w:footnoteReference w:id="30"/>
      </w:r>
      <w:r w:rsidRPr="00DA3080">
        <w:rPr>
          <w:rFonts w:ascii="Arial" w:eastAsia="Calibri" w:hAnsi="Arial" w:cs="Arial"/>
          <w:color w:val="000000" w:themeColor="text1"/>
          <w:sz w:val="22"/>
          <w:lang w:val="es-ES_tradnl"/>
        </w:rPr>
        <w:t xml:space="preserve">. </w:t>
      </w:r>
      <w:r w:rsidR="00470509" w:rsidRPr="00DA3080">
        <w:rPr>
          <w:rFonts w:ascii="Arial" w:eastAsia="Calibri" w:hAnsi="Arial" w:cs="Arial"/>
          <w:color w:val="000000" w:themeColor="text1"/>
          <w:sz w:val="22"/>
          <w:lang w:val="es-ES_tradnl"/>
        </w:rPr>
        <w:t>De esta manera, actualmente cualquier declaratoria de desierta de un proceso contractual</w:t>
      </w:r>
      <w:r w:rsidR="00300487" w:rsidRPr="00DA3080">
        <w:rPr>
          <w:rFonts w:ascii="Arial" w:eastAsia="Calibri" w:hAnsi="Arial" w:cs="Arial"/>
          <w:color w:val="000000" w:themeColor="text1"/>
          <w:sz w:val="22"/>
          <w:lang w:val="es-ES_tradnl"/>
        </w:rPr>
        <w:t>,</w:t>
      </w:r>
      <w:r w:rsidR="00470509" w:rsidRPr="00DA3080">
        <w:rPr>
          <w:rFonts w:ascii="Arial" w:eastAsia="Calibri" w:hAnsi="Arial" w:cs="Arial"/>
          <w:color w:val="000000" w:themeColor="text1"/>
          <w:sz w:val="22"/>
          <w:lang w:val="es-ES_tradnl"/>
        </w:rPr>
        <w:t xml:space="preserve"> implica que la entidad en el acto mediante </w:t>
      </w:r>
      <w:r w:rsidR="00170D28" w:rsidRPr="00DA3080">
        <w:rPr>
          <w:rFonts w:ascii="Arial" w:eastAsia="Calibri" w:hAnsi="Arial" w:cs="Arial"/>
          <w:color w:val="000000" w:themeColor="text1"/>
          <w:sz w:val="22"/>
          <w:lang w:val="es-ES_tradnl"/>
        </w:rPr>
        <w:t>e</w:t>
      </w:r>
      <w:r w:rsidR="00470509" w:rsidRPr="00DA3080">
        <w:rPr>
          <w:rFonts w:ascii="Arial" w:eastAsia="Calibri" w:hAnsi="Arial" w:cs="Arial"/>
          <w:color w:val="000000" w:themeColor="text1"/>
          <w:sz w:val="22"/>
          <w:lang w:val="es-ES_tradnl"/>
        </w:rPr>
        <w:t xml:space="preserve">l cual </w:t>
      </w:r>
      <w:r w:rsidR="001C3986" w:rsidRPr="00DA3080">
        <w:rPr>
          <w:rFonts w:ascii="Arial" w:eastAsia="Calibri" w:hAnsi="Arial" w:cs="Arial"/>
          <w:color w:val="000000" w:themeColor="text1"/>
          <w:sz w:val="22"/>
          <w:lang w:val="es-ES_tradnl"/>
        </w:rPr>
        <w:t xml:space="preserve">se </w:t>
      </w:r>
      <w:r w:rsidR="00470509" w:rsidRPr="00DA3080">
        <w:rPr>
          <w:rFonts w:ascii="Arial" w:eastAsia="Calibri" w:hAnsi="Arial" w:cs="Arial"/>
          <w:color w:val="000000" w:themeColor="text1"/>
          <w:sz w:val="22"/>
          <w:lang w:val="es-ES_tradnl"/>
        </w:rPr>
        <w:t>declara exprese las razones por las cuales considera que no es posible realizar una selección objetiva de la mejor oferta</w:t>
      </w:r>
      <w:r w:rsidR="00CD3B54" w:rsidRPr="00DA3080">
        <w:rPr>
          <w:rFonts w:ascii="Arial" w:eastAsia="Calibri" w:hAnsi="Arial" w:cs="Arial"/>
          <w:color w:val="000000" w:themeColor="text1"/>
          <w:sz w:val="22"/>
          <w:lang w:val="es-ES_tradnl"/>
        </w:rPr>
        <w:t>,</w:t>
      </w:r>
      <w:r w:rsidR="00470509" w:rsidRPr="00DA3080">
        <w:rPr>
          <w:rFonts w:ascii="Arial" w:eastAsia="Calibri" w:hAnsi="Arial" w:cs="Arial"/>
          <w:color w:val="000000" w:themeColor="text1"/>
          <w:sz w:val="22"/>
          <w:lang w:val="es-ES_tradnl"/>
        </w:rPr>
        <w:t xml:space="preserve"> y cómo esta circunstancia se presenta efectivamente en el procedimiento de selección</w:t>
      </w:r>
      <w:r w:rsidR="001C3986" w:rsidRPr="00DA3080">
        <w:rPr>
          <w:rFonts w:ascii="Arial" w:eastAsia="Calibri" w:hAnsi="Arial" w:cs="Arial"/>
          <w:color w:val="000000" w:themeColor="text1"/>
          <w:sz w:val="22"/>
          <w:lang w:val="es-ES_tradnl"/>
        </w:rPr>
        <w:t>,</w:t>
      </w:r>
      <w:r w:rsidR="00470509" w:rsidRPr="00DA3080">
        <w:rPr>
          <w:rFonts w:ascii="Arial" w:eastAsia="Calibri" w:hAnsi="Arial" w:cs="Arial"/>
          <w:color w:val="000000" w:themeColor="text1"/>
          <w:sz w:val="22"/>
          <w:lang w:val="es-ES_tradnl"/>
        </w:rPr>
        <w:t xml:space="preserve"> por ejemplo, por no haberse presentado ofertas o porque ninguna cumple con los requisitos mínimos establecidos por la entidad en los pliegos de condiciones o en la invitación. En efecto, en relación con la motivación de la declaratoria de desierta</w:t>
      </w:r>
      <w:r w:rsidR="00CD3B54" w:rsidRPr="00DA3080">
        <w:rPr>
          <w:rFonts w:ascii="Arial" w:eastAsia="Calibri" w:hAnsi="Arial" w:cs="Arial"/>
          <w:color w:val="000000" w:themeColor="text1"/>
          <w:sz w:val="22"/>
          <w:lang w:val="es-ES_tradnl"/>
        </w:rPr>
        <w:t>,</w:t>
      </w:r>
      <w:r w:rsidR="00470509" w:rsidRPr="00DA3080">
        <w:rPr>
          <w:rFonts w:ascii="Arial" w:eastAsia="Calibri" w:hAnsi="Arial" w:cs="Arial"/>
          <w:color w:val="000000" w:themeColor="text1"/>
          <w:sz w:val="22"/>
          <w:lang w:val="es-ES_tradnl"/>
        </w:rPr>
        <w:t xml:space="preserve"> la doctrina expresa: </w:t>
      </w:r>
    </w:p>
    <w:p w14:paraId="748980D1" w14:textId="77777777" w:rsidR="00470509" w:rsidRPr="00DA3080" w:rsidRDefault="00470509" w:rsidP="00470509">
      <w:pPr>
        <w:tabs>
          <w:tab w:val="left" w:pos="709"/>
        </w:tabs>
        <w:spacing w:after="0"/>
        <w:rPr>
          <w:rFonts w:ascii="Arial" w:eastAsia="Calibri" w:hAnsi="Arial" w:cs="Arial"/>
          <w:color w:val="000000" w:themeColor="text1"/>
          <w:sz w:val="22"/>
          <w:lang w:val="es-ES_tradnl"/>
        </w:rPr>
      </w:pPr>
    </w:p>
    <w:p w14:paraId="26C620FA" w14:textId="714C554C" w:rsidR="00470509" w:rsidRPr="00DA3080" w:rsidRDefault="00470509" w:rsidP="00372D85">
      <w:pPr>
        <w:spacing w:after="12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Esto significa que el acto administrativo debe contener de manera detallada y completa lo siguiente:</w:t>
      </w:r>
    </w:p>
    <w:p w14:paraId="19EBCCFF" w14:textId="23B0A16C" w:rsidR="00470509" w:rsidRPr="00DA3080" w:rsidRDefault="00470509" w:rsidP="00372D85">
      <w:pPr>
        <w:tabs>
          <w:tab w:val="num" w:pos="1068"/>
        </w:tabs>
        <w:spacing w:after="12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Señalar lo</w:t>
      </w:r>
      <w:r w:rsidR="00CD3B54" w:rsidRPr="00DA3080">
        <w:rPr>
          <w:rFonts w:ascii="Arial" w:hAnsi="Arial" w:cs="Arial"/>
          <w:color w:val="000000" w:themeColor="text1"/>
          <w:sz w:val="21"/>
          <w:szCs w:val="21"/>
          <w:lang w:val="es-ES_tradnl"/>
        </w:rPr>
        <w:t>s</w:t>
      </w:r>
      <w:r w:rsidRPr="00DA3080">
        <w:rPr>
          <w:rFonts w:ascii="Arial" w:hAnsi="Arial" w:cs="Arial"/>
          <w:color w:val="000000" w:themeColor="text1"/>
          <w:sz w:val="21"/>
          <w:szCs w:val="21"/>
          <w:lang w:val="es-ES_tradnl"/>
        </w:rPr>
        <w:t xml:space="preserve"> hechos que según la entidad dan lugar a la declaratoria.</w:t>
      </w:r>
    </w:p>
    <w:p w14:paraId="062412A1" w14:textId="4F385BAD" w:rsidR="00470509" w:rsidRPr="00DA3080" w:rsidRDefault="00470509" w:rsidP="00372D85">
      <w:pPr>
        <w:tabs>
          <w:tab w:val="num" w:pos="1068"/>
        </w:tabs>
        <w:spacing w:after="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 xml:space="preserve">Debe mostrar de qué modo dichos hechos son constitutivos de la causal señalada en la ley. Es </w:t>
      </w:r>
      <w:proofErr w:type="gramStart"/>
      <w:r w:rsidRPr="00DA3080">
        <w:rPr>
          <w:rFonts w:ascii="Arial" w:hAnsi="Arial" w:cs="Arial"/>
          <w:color w:val="000000" w:themeColor="text1"/>
          <w:sz w:val="21"/>
          <w:szCs w:val="21"/>
          <w:lang w:val="es-ES_tradnl"/>
        </w:rPr>
        <w:t>decir</w:t>
      </w:r>
      <w:proofErr w:type="gramEnd"/>
      <w:r w:rsidRPr="00DA3080">
        <w:rPr>
          <w:rFonts w:ascii="Arial" w:hAnsi="Arial" w:cs="Arial"/>
          <w:color w:val="000000" w:themeColor="text1"/>
          <w:sz w:val="21"/>
          <w:szCs w:val="21"/>
          <w:lang w:val="es-ES_tradnl"/>
        </w:rPr>
        <w:t xml:space="preserve"> debe mostrar de qu</w:t>
      </w:r>
      <w:r w:rsidR="00CD3B54" w:rsidRPr="00DA3080">
        <w:rPr>
          <w:rFonts w:ascii="Arial" w:hAnsi="Arial" w:cs="Arial"/>
          <w:color w:val="000000" w:themeColor="text1"/>
          <w:sz w:val="21"/>
          <w:szCs w:val="21"/>
          <w:lang w:val="es-ES_tradnl"/>
        </w:rPr>
        <w:t>é</w:t>
      </w:r>
      <w:r w:rsidRPr="00DA3080">
        <w:rPr>
          <w:rFonts w:ascii="Arial" w:hAnsi="Arial" w:cs="Arial"/>
          <w:color w:val="000000" w:themeColor="text1"/>
          <w:sz w:val="21"/>
          <w:szCs w:val="21"/>
          <w:lang w:val="es-ES_tradnl"/>
        </w:rPr>
        <w:t xml:space="preserve"> modo el hecho señalado impide realmente la selección objetiva del contratista</w:t>
      </w:r>
      <w:r w:rsidRPr="00DA3080">
        <w:rPr>
          <w:rFonts w:ascii="Arial" w:hAnsi="Arial" w:cs="Arial"/>
          <w:color w:val="000000" w:themeColor="text1"/>
          <w:sz w:val="21"/>
          <w:szCs w:val="21"/>
          <w:vertAlign w:val="superscript"/>
          <w:lang w:val="es-ES_tradnl"/>
        </w:rPr>
        <w:footnoteReference w:id="31"/>
      </w:r>
      <w:r w:rsidRPr="00DA3080">
        <w:rPr>
          <w:rFonts w:ascii="Arial" w:hAnsi="Arial" w:cs="Arial"/>
          <w:color w:val="000000" w:themeColor="text1"/>
          <w:sz w:val="21"/>
          <w:szCs w:val="21"/>
          <w:lang w:val="es-ES_tradnl"/>
        </w:rPr>
        <w:t>.</w:t>
      </w:r>
    </w:p>
    <w:p w14:paraId="27CF323D" w14:textId="41B45DA3" w:rsidR="00470509" w:rsidRPr="00DA3080" w:rsidRDefault="00470509" w:rsidP="00470509">
      <w:pPr>
        <w:tabs>
          <w:tab w:val="left" w:pos="709"/>
        </w:tabs>
        <w:spacing w:after="0"/>
        <w:rPr>
          <w:rFonts w:ascii="Arial" w:eastAsia="Calibri" w:hAnsi="Arial" w:cs="Arial"/>
          <w:color w:val="000000" w:themeColor="text1"/>
          <w:sz w:val="22"/>
        </w:rPr>
      </w:pPr>
    </w:p>
    <w:p w14:paraId="623F1D1A" w14:textId="28551492" w:rsidR="00314E58" w:rsidRPr="00DA3080" w:rsidRDefault="00470509" w:rsidP="00427C16">
      <w:pPr>
        <w:tabs>
          <w:tab w:val="left" w:pos="709"/>
        </w:tabs>
        <w:spacing w:after="120"/>
        <w:rPr>
          <w:rFonts w:ascii="Arial" w:eastAsia="Calibri" w:hAnsi="Arial" w:cs="Arial"/>
          <w:color w:val="000000" w:themeColor="text1"/>
          <w:sz w:val="22"/>
        </w:rPr>
      </w:pPr>
      <w:r w:rsidRPr="00DA3080">
        <w:rPr>
          <w:rFonts w:ascii="Arial" w:eastAsia="Calibri" w:hAnsi="Arial" w:cs="Arial"/>
          <w:color w:val="000000" w:themeColor="text1"/>
          <w:sz w:val="22"/>
        </w:rPr>
        <w:tab/>
        <w:t>Ahora bien, el acto mediante el cual se declara desierto un procedimiento de selección constituye un acto administrativo</w:t>
      </w:r>
      <w:r w:rsidR="00345276" w:rsidRPr="00DA3080">
        <w:rPr>
          <w:rFonts w:ascii="Arial" w:eastAsia="Calibri" w:hAnsi="Arial" w:cs="Arial"/>
          <w:color w:val="000000" w:themeColor="text1"/>
          <w:sz w:val="22"/>
        </w:rPr>
        <w:t xml:space="preserve">. Incluso, es posible sostener que se trata de un acto definitivo –no de trámite–, en tanto constituye un acto mediante el cual finaliza el procedimiento administrativo de selección del contratista, que impide continuar con el </w:t>
      </w:r>
      <w:r w:rsidR="00345276" w:rsidRPr="00DA3080">
        <w:rPr>
          <w:rFonts w:ascii="Arial" w:eastAsia="Calibri" w:hAnsi="Arial" w:cs="Arial"/>
          <w:color w:val="000000" w:themeColor="text1"/>
          <w:sz w:val="22"/>
        </w:rPr>
        <w:lastRenderedPageBreak/>
        <w:t>trámite. En efecto, mediante dicho acto la entidad manifiesta su decisión de no adjudicar el contrato, esto es, de no seleccionar a su futuro contratista</w:t>
      </w:r>
      <w:r w:rsidR="00345276" w:rsidRPr="00DA3080">
        <w:rPr>
          <w:rStyle w:val="Refdenotaalpie"/>
          <w:rFonts w:ascii="Arial" w:eastAsia="Calibri" w:hAnsi="Arial" w:cs="Arial"/>
          <w:color w:val="000000" w:themeColor="text1"/>
          <w:sz w:val="22"/>
        </w:rPr>
        <w:footnoteReference w:id="32"/>
      </w:r>
      <w:r w:rsidR="00345276" w:rsidRPr="00DA3080">
        <w:rPr>
          <w:rFonts w:ascii="Arial" w:eastAsia="Calibri" w:hAnsi="Arial" w:cs="Arial"/>
          <w:color w:val="000000" w:themeColor="text1"/>
          <w:sz w:val="22"/>
        </w:rPr>
        <w:t>.</w:t>
      </w:r>
    </w:p>
    <w:p w14:paraId="7D45F5A7" w14:textId="4021EB6B" w:rsidR="00345276" w:rsidRPr="00DA3080" w:rsidRDefault="00345276" w:rsidP="00427C16">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Teniendo en cuenta lo anterior, corresponde analizar si proceden recursos contra esta decisión de la entidad contratante</w:t>
      </w:r>
      <w:r w:rsidR="00CD3B54" w:rsidRPr="00DA3080">
        <w:rPr>
          <w:rFonts w:ascii="Arial" w:eastAsia="Calibri" w:hAnsi="Arial" w:cs="Arial"/>
          <w:color w:val="000000" w:themeColor="text1"/>
          <w:sz w:val="22"/>
          <w:lang w:val="es-ES_tradnl"/>
        </w:rPr>
        <w:t>,</w:t>
      </w:r>
      <w:r w:rsidRPr="00DA3080">
        <w:rPr>
          <w:rFonts w:ascii="Arial" w:eastAsia="Calibri" w:hAnsi="Arial" w:cs="Arial"/>
          <w:color w:val="000000" w:themeColor="text1"/>
          <w:sz w:val="22"/>
          <w:lang w:val="es-ES_tradnl"/>
        </w:rPr>
        <w:t xml:space="preserve"> y de ser así cuáles serían procedentes. Para ello, es indispensable acudir al artículo 77 de la Ley 80 de 1993</w:t>
      </w:r>
      <w:r w:rsidR="00372D85" w:rsidRPr="00DA3080">
        <w:rPr>
          <w:rFonts w:ascii="Arial" w:eastAsia="Calibri" w:hAnsi="Arial" w:cs="Arial"/>
          <w:color w:val="000000" w:themeColor="text1"/>
          <w:sz w:val="22"/>
          <w:lang w:val="es-ES_tradnl"/>
        </w:rPr>
        <w:t>:</w:t>
      </w:r>
    </w:p>
    <w:p w14:paraId="3089C4BF" w14:textId="4F92A976" w:rsidR="00372D85" w:rsidRPr="00DA3080" w:rsidRDefault="00372D85" w:rsidP="00372D85">
      <w:pPr>
        <w:tabs>
          <w:tab w:val="num" w:pos="1068"/>
        </w:tabs>
        <w:spacing w:after="12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2D8B6C4C" w14:textId="487BE610" w:rsidR="00372D85" w:rsidRPr="00DA3080" w:rsidRDefault="00372D85" w:rsidP="00372D85">
      <w:pPr>
        <w:tabs>
          <w:tab w:val="num" w:pos="1068"/>
        </w:tabs>
        <w:spacing w:after="12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055C8A7A" w14:textId="0918BEDB" w:rsidR="00372D85" w:rsidRPr="00DA3080" w:rsidRDefault="00372D85" w:rsidP="00372D85">
      <w:pPr>
        <w:tabs>
          <w:tab w:val="num" w:pos="1068"/>
        </w:tabs>
        <w:spacing w:after="0" w:line="240" w:lineRule="auto"/>
        <w:ind w:left="709" w:right="709"/>
        <w:rPr>
          <w:rFonts w:ascii="Arial" w:hAnsi="Arial" w:cs="Arial"/>
          <w:color w:val="000000" w:themeColor="text1"/>
          <w:sz w:val="21"/>
          <w:szCs w:val="21"/>
          <w:lang w:val="es-ES_tradnl"/>
        </w:rPr>
      </w:pPr>
      <w:r w:rsidRPr="00DA3080">
        <w:rPr>
          <w:rFonts w:ascii="Arial" w:hAnsi="Arial" w:cs="Arial"/>
          <w:color w:val="000000" w:themeColor="text1"/>
          <w:sz w:val="21"/>
          <w:szCs w:val="21"/>
          <w:lang w:val="es-ES_tradnl"/>
        </w:rPr>
        <w:t>Parágrafo 1o. El acto de adjudicación no tendrá recursos por la vía gubernativa. Este podrá impugnarse mediante el ejercicio de la acción de nulidad y restablecimiento del derecho, según las reglas del Código Contencioso administrativo.</w:t>
      </w:r>
    </w:p>
    <w:p w14:paraId="68B992E1" w14:textId="5321E554" w:rsidR="00345276" w:rsidRPr="00DA3080" w:rsidRDefault="00345276" w:rsidP="00372D85">
      <w:pPr>
        <w:tabs>
          <w:tab w:val="left" w:pos="709"/>
        </w:tabs>
        <w:spacing w:after="0"/>
        <w:rPr>
          <w:rFonts w:ascii="Arial" w:eastAsia="Calibri" w:hAnsi="Arial" w:cs="Arial"/>
          <w:color w:val="000000" w:themeColor="text1"/>
          <w:sz w:val="22"/>
          <w:lang w:val="es-ES_tradnl"/>
        </w:rPr>
      </w:pPr>
    </w:p>
    <w:p w14:paraId="5667A39A" w14:textId="58B511EA" w:rsidR="00372D85" w:rsidRPr="00DA3080" w:rsidRDefault="00372D85" w:rsidP="00427C16">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De la disposición transcrita se destacan varios aspectos relevantes para el asunto que se analiza</w:t>
      </w:r>
      <w:r w:rsidR="00CD3B54" w:rsidRPr="00DA3080">
        <w:rPr>
          <w:rFonts w:ascii="Arial" w:eastAsia="Calibri" w:hAnsi="Arial" w:cs="Arial"/>
          <w:color w:val="000000" w:themeColor="text1"/>
          <w:sz w:val="22"/>
          <w:lang w:val="es-ES_tradnl"/>
        </w:rPr>
        <w:t>:</w:t>
      </w:r>
      <w:r w:rsidRPr="00DA3080">
        <w:rPr>
          <w:rFonts w:ascii="Arial" w:eastAsia="Calibri" w:hAnsi="Arial" w:cs="Arial"/>
          <w:color w:val="000000" w:themeColor="text1"/>
          <w:sz w:val="22"/>
          <w:lang w:val="es-ES_tradnl"/>
        </w:rPr>
        <w:t xml:space="preserve"> i) se establece que los actos administrativos que se expidan en desarrollo de la actividad </w:t>
      </w:r>
      <w:proofErr w:type="gramStart"/>
      <w:r w:rsidRPr="00DA3080">
        <w:rPr>
          <w:rFonts w:ascii="Arial" w:eastAsia="Calibri" w:hAnsi="Arial" w:cs="Arial"/>
          <w:color w:val="000000" w:themeColor="text1"/>
          <w:sz w:val="22"/>
          <w:lang w:val="es-ES_tradnl"/>
        </w:rPr>
        <w:t>contractual,</w:t>
      </w:r>
      <w:proofErr w:type="gramEnd"/>
      <w:r w:rsidRPr="00DA3080">
        <w:rPr>
          <w:rFonts w:ascii="Arial" w:eastAsia="Calibri" w:hAnsi="Arial" w:cs="Arial"/>
          <w:color w:val="000000" w:themeColor="text1"/>
          <w:sz w:val="22"/>
          <w:lang w:val="es-ES_tradnl"/>
        </w:rPr>
        <w:t xml:space="preserve"> solo son susceptibles del recurso de reposición. </w:t>
      </w:r>
      <w:proofErr w:type="spellStart"/>
      <w:r w:rsidRPr="00DA3080">
        <w:rPr>
          <w:rFonts w:ascii="Arial" w:eastAsia="Calibri" w:hAnsi="Arial" w:cs="Arial"/>
          <w:color w:val="000000" w:themeColor="text1"/>
          <w:sz w:val="22"/>
          <w:lang w:val="es-ES_tradnl"/>
        </w:rPr>
        <w:t>ii</w:t>
      </w:r>
      <w:proofErr w:type="spellEnd"/>
      <w:r w:rsidRPr="00DA3080">
        <w:rPr>
          <w:rFonts w:ascii="Arial" w:eastAsia="Calibri" w:hAnsi="Arial" w:cs="Arial"/>
          <w:color w:val="000000" w:themeColor="text1"/>
          <w:sz w:val="22"/>
          <w:lang w:val="es-ES_tradnl"/>
        </w:rPr>
        <w:t xml:space="preserve">) Se establece que frente al «acto de adjudicación» no proceden recursos. </w:t>
      </w:r>
      <w:proofErr w:type="spellStart"/>
      <w:r w:rsidRPr="00DA3080">
        <w:rPr>
          <w:rFonts w:ascii="Arial" w:eastAsia="Calibri" w:hAnsi="Arial" w:cs="Arial"/>
          <w:color w:val="000000" w:themeColor="text1"/>
          <w:sz w:val="22"/>
          <w:lang w:val="es-ES_tradnl"/>
        </w:rPr>
        <w:t>iii</w:t>
      </w:r>
      <w:proofErr w:type="spellEnd"/>
      <w:r w:rsidRPr="00DA3080">
        <w:rPr>
          <w:rFonts w:ascii="Arial" w:eastAsia="Calibri" w:hAnsi="Arial" w:cs="Arial"/>
          <w:color w:val="000000" w:themeColor="text1"/>
          <w:sz w:val="22"/>
          <w:lang w:val="es-ES_tradnl"/>
        </w:rPr>
        <w:t xml:space="preserve">) El inciso primero </w:t>
      </w:r>
      <w:r w:rsidR="00CD3B54" w:rsidRPr="00DA3080">
        <w:rPr>
          <w:rFonts w:ascii="Arial" w:eastAsia="Calibri" w:hAnsi="Arial" w:cs="Arial"/>
          <w:color w:val="000000" w:themeColor="text1"/>
          <w:sz w:val="22"/>
          <w:lang w:val="es-ES_tradnl"/>
        </w:rPr>
        <w:t>pre</w:t>
      </w:r>
      <w:r w:rsidR="009C319C" w:rsidRPr="00DA3080">
        <w:rPr>
          <w:rFonts w:ascii="Arial" w:eastAsia="Calibri" w:hAnsi="Arial" w:cs="Arial"/>
          <w:color w:val="000000" w:themeColor="text1"/>
          <w:sz w:val="22"/>
          <w:lang w:val="es-ES_tradnl"/>
        </w:rPr>
        <w:t>s</w:t>
      </w:r>
      <w:r w:rsidR="00CD3B54" w:rsidRPr="00DA3080">
        <w:rPr>
          <w:rFonts w:ascii="Arial" w:eastAsia="Calibri" w:hAnsi="Arial" w:cs="Arial"/>
          <w:color w:val="000000" w:themeColor="text1"/>
          <w:sz w:val="22"/>
          <w:lang w:val="es-ES_tradnl"/>
        </w:rPr>
        <w:t>cribe</w:t>
      </w:r>
      <w:r w:rsidRPr="00DA3080">
        <w:rPr>
          <w:rFonts w:ascii="Arial" w:eastAsia="Calibri" w:hAnsi="Arial" w:cs="Arial"/>
          <w:color w:val="000000" w:themeColor="text1"/>
          <w:sz w:val="22"/>
          <w:lang w:val="es-ES_tradnl"/>
        </w:rPr>
        <w:t xml:space="preserve"> que los vacíos en el procedimiento administrativo contractual serán </w:t>
      </w:r>
      <w:proofErr w:type="gramStart"/>
      <w:r w:rsidRPr="00DA3080">
        <w:rPr>
          <w:rFonts w:ascii="Arial" w:eastAsia="Calibri" w:hAnsi="Arial" w:cs="Arial"/>
          <w:color w:val="000000" w:themeColor="text1"/>
          <w:sz w:val="22"/>
          <w:lang w:val="es-ES_tradnl"/>
        </w:rPr>
        <w:t>llenado</w:t>
      </w:r>
      <w:proofErr w:type="gramEnd"/>
      <w:r w:rsidRPr="00DA3080">
        <w:rPr>
          <w:rFonts w:ascii="Arial" w:eastAsia="Calibri" w:hAnsi="Arial" w:cs="Arial"/>
          <w:color w:val="000000" w:themeColor="text1"/>
          <w:sz w:val="22"/>
          <w:lang w:val="es-ES_tradnl"/>
        </w:rPr>
        <w:t xml:space="preserve"> con las normas que «rigen los procedimientos y actuaciones en la función administrativa», esto es, mediante el Código de Procedimiento Administrativo y de lo Contencioso Administrativo –CPACA–.</w:t>
      </w:r>
    </w:p>
    <w:p w14:paraId="2BE5ECC9" w14:textId="75EE8B62" w:rsidR="00372D85" w:rsidRPr="00DA3080" w:rsidRDefault="00372D85" w:rsidP="00427C16">
      <w:pPr>
        <w:tabs>
          <w:tab w:val="left" w:pos="709"/>
        </w:tabs>
        <w:spacing w:after="120"/>
        <w:rPr>
          <w:rFonts w:ascii="Arial" w:eastAsia="Calibri" w:hAnsi="Arial" w:cs="Arial"/>
          <w:color w:val="000000" w:themeColor="text1"/>
          <w:sz w:val="22"/>
          <w:lang w:val="es-CO"/>
        </w:rPr>
      </w:pPr>
      <w:r w:rsidRPr="00DA3080">
        <w:rPr>
          <w:rFonts w:ascii="Arial" w:eastAsia="Calibri" w:hAnsi="Arial" w:cs="Arial"/>
          <w:color w:val="000000" w:themeColor="text1"/>
          <w:sz w:val="22"/>
          <w:lang w:val="es-ES_tradnl"/>
        </w:rPr>
        <w:tab/>
        <w:t>En relación con lo anterior, cabe destacar que la regla especial respecto a que frente al «acto de adjudicación» no proceden recursos, no es posible extenderl</w:t>
      </w:r>
      <w:r w:rsidR="00F0401A" w:rsidRPr="00DA3080">
        <w:rPr>
          <w:rFonts w:ascii="Arial" w:eastAsia="Calibri" w:hAnsi="Arial" w:cs="Arial"/>
          <w:color w:val="000000" w:themeColor="text1"/>
          <w:sz w:val="22"/>
          <w:lang w:val="es-ES_tradnl"/>
        </w:rPr>
        <w:t>a</w:t>
      </w:r>
      <w:r w:rsidRPr="00DA3080">
        <w:rPr>
          <w:rFonts w:ascii="Arial" w:eastAsia="Calibri" w:hAnsi="Arial" w:cs="Arial"/>
          <w:color w:val="000000" w:themeColor="text1"/>
          <w:sz w:val="22"/>
          <w:lang w:val="es-ES_tradnl"/>
        </w:rPr>
        <w:t xml:space="preserve"> a la declaratoria de desierta, por tratarse de un acto </w:t>
      </w:r>
      <w:r w:rsidR="00F0401A" w:rsidRPr="00DA3080">
        <w:rPr>
          <w:rFonts w:ascii="Arial" w:eastAsia="Calibri" w:hAnsi="Arial" w:cs="Arial"/>
          <w:color w:val="000000" w:themeColor="text1"/>
          <w:sz w:val="22"/>
          <w:lang w:val="es-ES_tradnl"/>
        </w:rPr>
        <w:t>con una naturaleza y contenido diferente, tal como se viene expresando</w:t>
      </w:r>
      <w:r w:rsidRPr="00DA3080">
        <w:rPr>
          <w:rFonts w:ascii="Arial" w:eastAsia="Calibri" w:hAnsi="Arial" w:cs="Arial"/>
          <w:color w:val="000000" w:themeColor="text1"/>
          <w:sz w:val="22"/>
          <w:lang w:val="es-ES_tradnl"/>
        </w:rPr>
        <w:t xml:space="preserve"> y</w:t>
      </w:r>
      <w:r w:rsidR="00F0401A" w:rsidRPr="00DA3080">
        <w:rPr>
          <w:rFonts w:ascii="Arial" w:eastAsia="Calibri" w:hAnsi="Arial" w:cs="Arial"/>
          <w:color w:val="000000" w:themeColor="text1"/>
          <w:sz w:val="22"/>
          <w:lang w:val="es-ES_tradnl"/>
        </w:rPr>
        <w:t>, además,</w:t>
      </w:r>
      <w:r w:rsidRPr="00DA3080">
        <w:rPr>
          <w:rFonts w:ascii="Arial" w:eastAsia="Calibri" w:hAnsi="Arial" w:cs="Arial"/>
          <w:color w:val="000000" w:themeColor="text1"/>
          <w:sz w:val="22"/>
          <w:lang w:val="es-ES_tradnl"/>
        </w:rPr>
        <w:t xml:space="preserve"> bajo el entendido de que dicha disposición limita el ejercicio de un derecho, como sería la interposición de un recurso, </w:t>
      </w:r>
      <w:r w:rsidR="00F0401A" w:rsidRPr="00DA3080">
        <w:rPr>
          <w:rFonts w:ascii="Arial" w:eastAsia="Calibri" w:hAnsi="Arial" w:cs="Arial"/>
          <w:color w:val="000000" w:themeColor="text1"/>
          <w:sz w:val="22"/>
          <w:lang w:val="es-ES_tradnl"/>
        </w:rPr>
        <w:t xml:space="preserve">por lo que </w:t>
      </w:r>
      <w:r w:rsidRPr="00DA3080">
        <w:rPr>
          <w:rFonts w:ascii="Arial" w:eastAsia="Calibri" w:hAnsi="Arial" w:cs="Arial"/>
          <w:color w:val="000000" w:themeColor="text1"/>
          <w:sz w:val="22"/>
          <w:lang w:val="es-ES_tradnl"/>
        </w:rPr>
        <w:t>su interpretación debe ser estricta</w:t>
      </w:r>
      <w:r w:rsidR="00F0401A" w:rsidRPr="00DA3080">
        <w:rPr>
          <w:rFonts w:ascii="Arial" w:eastAsia="Calibri" w:hAnsi="Arial" w:cs="Arial"/>
          <w:color w:val="000000" w:themeColor="text1"/>
          <w:sz w:val="22"/>
          <w:lang w:val="es-ES_tradnl"/>
        </w:rPr>
        <w:t xml:space="preserve">. Por ello, esta Agencia considera que la declaratoria de desierta hace parte de </w:t>
      </w:r>
      <w:r w:rsidR="00F0401A" w:rsidRPr="00DA3080">
        <w:rPr>
          <w:rFonts w:ascii="Arial" w:eastAsia="Calibri" w:hAnsi="Arial" w:cs="Arial"/>
          <w:color w:val="000000" w:themeColor="text1"/>
          <w:sz w:val="22"/>
          <w:lang w:val="es-ES_tradnl"/>
        </w:rPr>
        <w:lastRenderedPageBreak/>
        <w:t>aquellos actos regulados en el inciso segundo del artículo 77, es decir, que frente a ella procede el recurso de reposición</w:t>
      </w:r>
      <w:r w:rsidR="00F0401A" w:rsidRPr="00DA3080">
        <w:rPr>
          <w:rStyle w:val="Refdenotaalpie"/>
          <w:rFonts w:ascii="Arial" w:eastAsia="Calibri" w:hAnsi="Arial" w:cs="Arial"/>
          <w:color w:val="000000" w:themeColor="text1"/>
          <w:sz w:val="22"/>
          <w:lang w:val="es-ES_tradnl"/>
        </w:rPr>
        <w:footnoteReference w:id="33"/>
      </w:r>
      <w:r w:rsidR="00F0401A" w:rsidRPr="00DA3080">
        <w:rPr>
          <w:rFonts w:ascii="Arial" w:eastAsia="Calibri" w:hAnsi="Arial" w:cs="Arial"/>
          <w:color w:val="000000" w:themeColor="text1"/>
          <w:sz w:val="22"/>
          <w:lang w:val="es-ES_tradnl"/>
        </w:rPr>
        <w:t>.</w:t>
      </w:r>
    </w:p>
    <w:p w14:paraId="1A1799BA" w14:textId="14FB282F" w:rsidR="00427C16" w:rsidRPr="00DA3080" w:rsidRDefault="00F0401A" w:rsidP="00B171C5">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r>
      <w:r w:rsidRPr="00DA3080">
        <w:rPr>
          <w:rFonts w:ascii="Arial" w:eastAsia="Times New Roman" w:hAnsi="Arial" w:cs="Arial"/>
          <w:bCs/>
          <w:color w:val="000000" w:themeColor="text1"/>
          <w:sz w:val="22"/>
          <w:lang w:val="es-CO" w:eastAsia="es-ES_tradnl"/>
        </w:rPr>
        <w:t xml:space="preserve">En armonía con lo anterior, </w:t>
      </w:r>
      <w:r w:rsidR="00BB0CD4" w:rsidRPr="00DA3080">
        <w:rPr>
          <w:rFonts w:ascii="Arial" w:eastAsia="Times New Roman" w:hAnsi="Arial" w:cs="Arial"/>
          <w:bCs/>
          <w:color w:val="000000" w:themeColor="text1"/>
          <w:sz w:val="22"/>
          <w:lang w:val="es-CO" w:eastAsia="es-ES_tradnl"/>
        </w:rPr>
        <w:t>frente al acto administrativo que declara desierto un procedimiento de selección, incluido uno de mínima cuantía, procede el recurso de reposición, independientemente de los hechos y fundamentos que aduzca la entidad en el respectivo acto. Ahora bien, el EGCAP, si bien establece los recursos que proceden frente a los actos proferidos en desarrollo de la actividad contractual, no regula aspectos como: frente a quién se interponen, la oportunidad o término con que se cuenta para presentarlos, el efecto en que se conceden, los requisitos para interponerlos, etc.</w:t>
      </w:r>
      <w:r w:rsidR="00CD3B54" w:rsidRPr="00DA3080">
        <w:rPr>
          <w:rFonts w:ascii="Arial" w:eastAsia="Times New Roman" w:hAnsi="Arial" w:cs="Arial"/>
          <w:bCs/>
          <w:color w:val="000000" w:themeColor="text1"/>
          <w:sz w:val="22"/>
          <w:lang w:val="es-CO" w:eastAsia="es-ES_tradnl"/>
        </w:rPr>
        <w:t xml:space="preserve"> Por tanto, estos</w:t>
      </w:r>
      <w:r w:rsidR="00BB0CD4" w:rsidRPr="00DA3080">
        <w:rPr>
          <w:rFonts w:ascii="Arial" w:eastAsia="Times New Roman" w:hAnsi="Arial" w:cs="Arial"/>
          <w:bCs/>
          <w:color w:val="000000" w:themeColor="text1"/>
          <w:sz w:val="22"/>
          <w:lang w:val="es-CO" w:eastAsia="es-ES_tradnl"/>
        </w:rPr>
        <w:t xml:space="preserve"> aspectos deben regularse conforme a las disposiciones establecidas en el Código de Procedimiento Administrativo y de lo Contencioso Administrativo –CPACA–, </w:t>
      </w:r>
      <w:r w:rsidR="00B171C5" w:rsidRPr="00DA3080">
        <w:rPr>
          <w:rFonts w:ascii="Arial" w:eastAsia="Times New Roman" w:hAnsi="Arial" w:cs="Arial"/>
          <w:bCs/>
          <w:color w:val="000000" w:themeColor="text1"/>
          <w:sz w:val="22"/>
          <w:lang w:val="es-CO" w:eastAsia="es-ES_tradnl"/>
        </w:rPr>
        <w:t>esto es, con los artículo</w:t>
      </w:r>
      <w:r w:rsidR="00CD3B54" w:rsidRPr="00DA3080">
        <w:rPr>
          <w:rFonts w:ascii="Arial" w:eastAsia="Times New Roman" w:hAnsi="Arial" w:cs="Arial"/>
          <w:bCs/>
          <w:color w:val="000000" w:themeColor="text1"/>
          <w:sz w:val="22"/>
          <w:lang w:val="es-CO" w:eastAsia="es-ES_tradnl"/>
        </w:rPr>
        <w:t>s</w:t>
      </w:r>
      <w:r w:rsidR="00B171C5" w:rsidRPr="00DA3080">
        <w:rPr>
          <w:rFonts w:ascii="Arial" w:eastAsia="Times New Roman" w:hAnsi="Arial" w:cs="Arial"/>
          <w:bCs/>
          <w:color w:val="000000" w:themeColor="text1"/>
          <w:sz w:val="22"/>
          <w:lang w:val="es-CO" w:eastAsia="es-ES_tradnl"/>
        </w:rPr>
        <w:t xml:space="preserve"> 74 y ss. Lo anterior con fundamento en la remisión que realiza el inciso primero del artículo 77 </w:t>
      </w:r>
      <w:r w:rsidR="00CD3B54" w:rsidRPr="00DA3080">
        <w:rPr>
          <w:rFonts w:ascii="Arial" w:eastAsia="Times New Roman" w:hAnsi="Arial" w:cs="Arial"/>
          <w:bCs/>
          <w:color w:val="000000" w:themeColor="text1"/>
          <w:sz w:val="22"/>
          <w:lang w:val="es-CO" w:eastAsia="es-ES_tradnl"/>
        </w:rPr>
        <w:t>de la Ley 80 de 1993 –</w:t>
      </w:r>
      <w:r w:rsidR="00B171C5" w:rsidRPr="00DA3080">
        <w:rPr>
          <w:rFonts w:ascii="Arial" w:eastAsia="Times New Roman" w:hAnsi="Arial" w:cs="Arial"/>
          <w:bCs/>
          <w:color w:val="000000" w:themeColor="text1"/>
          <w:sz w:val="22"/>
          <w:lang w:val="es-CO" w:eastAsia="es-ES_tradnl"/>
        </w:rPr>
        <w:t>lo que se explicó anteriormente</w:t>
      </w:r>
      <w:r w:rsidR="00CD3B54" w:rsidRPr="00DA3080">
        <w:rPr>
          <w:rFonts w:ascii="Arial" w:eastAsia="Times New Roman" w:hAnsi="Arial" w:cs="Arial"/>
          <w:bCs/>
          <w:color w:val="000000" w:themeColor="text1"/>
          <w:sz w:val="22"/>
          <w:lang w:val="es-CO" w:eastAsia="es-ES_tradnl"/>
        </w:rPr>
        <w:t>–,</w:t>
      </w:r>
      <w:r w:rsidR="00B171C5" w:rsidRPr="00DA3080">
        <w:rPr>
          <w:rFonts w:ascii="Arial" w:eastAsia="Times New Roman" w:hAnsi="Arial" w:cs="Arial"/>
          <w:bCs/>
          <w:color w:val="000000" w:themeColor="text1"/>
          <w:sz w:val="22"/>
          <w:lang w:val="es-CO" w:eastAsia="es-ES_tradnl"/>
        </w:rPr>
        <w:t xml:space="preserve"> que resulta armónico con los artículos </w:t>
      </w:r>
      <w:r w:rsidRPr="00DA3080">
        <w:rPr>
          <w:rFonts w:ascii="Arial" w:eastAsia="Times New Roman" w:hAnsi="Arial" w:cs="Arial"/>
          <w:bCs/>
          <w:color w:val="000000" w:themeColor="text1"/>
          <w:sz w:val="22"/>
          <w:lang w:val="es-CO" w:eastAsia="es-ES_tradnl"/>
        </w:rPr>
        <w:t>2 y 34 del CPACA</w:t>
      </w:r>
      <w:r w:rsidRPr="00DA3080">
        <w:rPr>
          <w:rStyle w:val="Refdenotaalpie"/>
          <w:rFonts w:ascii="Arial" w:eastAsia="Times New Roman" w:hAnsi="Arial" w:cs="Arial"/>
          <w:bCs/>
          <w:color w:val="000000" w:themeColor="text1"/>
          <w:sz w:val="22"/>
          <w:lang w:val="es-CO" w:eastAsia="es-ES_tradnl"/>
        </w:rPr>
        <w:footnoteReference w:id="34"/>
      </w:r>
      <w:r w:rsidR="00B171C5" w:rsidRPr="00DA3080">
        <w:rPr>
          <w:rFonts w:ascii="Arial" w:eastAsia="Times New Roman" w:hAnsi="Arial" w:cs="Arial"/>
          <w:bCs/>
          <w:color w:val="000000" w:themeColor="text1"/>
          <w:sz w:val="22"/>
          <w:lang w:val="es-CO" w:eastAsia="es-ES_tradnl"/>
        </w:rPr>
        <w:t xml:space="preserve">, </w:t>
      </w:r>
      <w:r w:rsidR="004339C1" w:rsidRPr="00DA3080">
        <w:rPr>
          <w:rFonts w:ascii="Arial" w:eastAsia="Times New Roman" w:hAnsi="Arial" w:cs="Arial"/>
          <w:bCs/>
          <w:color w:val="000000" w:themeColor="text1"/>
          <w:sz w:val="22"/>
          <w:lang w:val="es-CO" w:eastAsia="es-ES_tradnl"/>
        </w:rPr>
        <w:t xml:space="preserve">sin perjuicio que, como se ha indicado, se observen prevalentemente las disposiciones establecidas en el </w:t>
      </w:r>
      <w:r w:rsidR="004339C1" w:rsidRPr="00DA3080">
        <w:rPr>
          <w:rFonts w:ascii="Arial" w:eastAsia="Calibri" w:hAnsi="Arial" w:cs="Arial"/>
          <w:bCs/>
          <w:color w:val="000000" w:themeColor="text1"/>
          <w:sz w:val="22"/>
          <w:lang w:val="es-ES_tradnl"/>
        </w:rPr>
        <w:t>Estatuto General de Contratación de la Administración Pública</w:t>
      </w:r>
      <w:r w:rsidR="00B171C5" w:rsidRPr="00DA3080">
        <w:rPr>
          <w:rFonts w:ascii="Arial" w:eastAsia="Times New Roman" w:hAnsi="Arial" w:cs="Arial"/>
          <w:bCs/>
          <w:color w:val="000000" w:themeColor="text1"/>
          <w:sz w:val="22"/>
          <w:lang w:val="es-CO" w:eastAsia="es-ES_tradnl"/>
        </w:rPr>
        <w:t>.</w:t>
      </w:r>
      <w:r w:rsidR="00427C16" w:rsidRPr="00DA3080">
        <w:rPr>
          <w:rFonts w:ascii="Arial" w:eastAsia="Calibri" w:hAnsi="Arial" w:cs="Arial"/>
          <w:color w:val="000000" w:themeColor="text1"/>
          <w:sz w:val="22"/>
          <w:lang w:val="es-ES_tradnl"/>
        </w:rPr>
        <w:tab/>
      </w:r>
    </w:p>
    <w:p w14:paraId="19C1F793" w14:textId="3C728C16" w:rsidR="000D33B9" w:rsidRPr="00DA3080" w:rsidRDefault="00427C16" w:rsidP="00427C16">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ab/>
        <w:t xml:space="preserve">Teniendo en cuenta lo anterior, </w:t>
      </w:r>
      <w:r w:rsidR="000D33B9" w:rsidRPr="00DA3080">
        <w:rPr>
          <w:rFonts w:ascii="Arial" w:eastAsia="Calibri" w:hAnsi="Arial" w:cs="Arial"/>
          <w:color w:val="000000" w:themeColor="text1"/>
          <w:sz w:val="22"/>
          <w:lang w:val="es-ES_tradnl"/>
        </w:rPr>
        <w:t xml:space="preserve">esta </w:t>
      </w:r>
      <w:r w:rsidR="004339C1" w:rsidRPr="00DA3080">
        <w:rPr>
          <w:rFonts w:ascii="Arial" w:eastAsia="Calibri" w:hAnsi="Arial" w:cs="Arial"/>
          <w:color w:val="000000" w:themeColor="text1"/>
          <w:sz w:val="22"/>
          <w:lang w:val="es-ES_tradnl"/>
        </w:rPr>
        <w:t>Agencia</w:t>
      </w:r>
      <w:r w:rsidR="000D33B9" w:rsidRPr="00DA3080">
        <w:rPr>
          <w:rFonts w:ascii="Arial" w:eastAsia="Calibri" w:hAnsi="Arial" w:cs="Arial"/>
          <w:color w:val="000000" w:themeColor="text1"/>
          <w:sz w:val="22"/>
          <w:lang w:val="es-ES_tradnl"/>
        </w:rPr>
        <w:t xml:space="preserve"> considera que </w:t>
      </w:r>
      <w:r w:rsidR="004339C1" w:rsidRPr="00DA3080">
        <w:rPr>
          <w:rFonts w:ascii="Arial" w:eastAsia="Calibri" w:hAnsi="Arial" w:cs="Arial"/>
          <w:color w:val="000000" w:themeColor="text1"/>
          <w:sz w:val="22"/>
          <w:lang w:val="es-ES_tradnl"/>
        </w:rPr>
        <w:t>frente al acto que declara desierto un procedimiento de selección</w:t>
      </w:r>
      <w:r w:rsidR="000D33B9" w:rsidRPr="00DA3080">
        <w:rPr>
          <w:rFonts w:ascii="Arial" w:eastAsia="Calibri" w:hAnsi="Arial" w:cs="Arial"/>
          <w:color w:val="000000" w:themeColor="text1"/>
          <w:sz w:val="22"/>
          <w:lang w:val="es-ES_tradnl"/>
        </w:rPr>
        <w:t>, entre ellos el de mínima cuantía</w:t>
      </w:r>
      <w:r w:rsidR="004339C1" w:rsidRPr="00DA3080">
        <w:rPr>
          <w:rFonts w:ascii="Arial" w:eastAsia="Calibri" w:hAnsi="Arial" w:cs="Arial"/>
          <w:color w:val="000000" w:themeColor="text1"/>
          <w:sz w:val="22"/>
          <w:lang w:val="es-ES_tradnl"/>
        </w:rPr>
        <w:t>,</w:t>
      </w:r>
      <w:r w:rsidR="000D33B9" w:rsidRPr="00DA3080">
        <w:rPr>
          <w:rFonts w:ascii="Arial" w:eastAsia="Calibri" w:hAnsi="Arial" w:cs="Arial"/>
          <w:color w:val="000000" w:themeColor="text1"/>
          <w:sz w:val="22"/>
          <w:lang w:val="es-ES_tradnl"/>
        </w:rPr>
        <w:t xml:space="preserve"> procede el recurso de </w:t>
      </w:r>
      <w:r w:rsidR="004339C1" w:rsidRPr="00DA3080">
        <w:rPr>
          <w:rFonts w:ascii="Arial" w:eastAsia="Calibri" w:hAnsi="Arial" w:cs="Arial"/>
          <w:color w:val="000000" w:themeColor="text1"/>
          <w:sz w:val="22"/>
          <w:lang w:val="es-ES_tradnl"/>
        </w:rPr>
        <w:t>reposición</w:t>
      </w:r>
      <w:r w:rsidR="00CD3B54" w:rsidRPr="00DA3080">
        <w:rPr>
          <w:rFonts w:ascii="Arial" w:eastAsia="Calibri" w:hAnsi="Arial" w:cs="Arial"/>
          <w:color w:val="000000" w:themeColor="text1"/>
          <w:sz w:val="22"/>
          <w:lang w:val="es-ES_tradnl"/>
        </w:rPr>
        <w:t>,</w:t>
      </w:r>
      <w:r w:rsidR="000D33B9" w:rsidRPr="00DA3080">
        <w:rPr>
          <w:rFonts w:ascii="Arial" w:eastAsia="Calibri" w:hAnsi="Arial" w:cs="Arial"/>
          <w:color w:val="000000" w:themeColor="text1"/>
          <w:sz w:val="22"/>
          <w:lang w:val="es-ES_tradnl"/>
        </w:rPr>
        <w:t xml:space="preserve"> que podrá interponerse </w:t>
      </w:r>
      <w:r w:rsidR="004339C1" w:rsidRPr="00DA3080">
        <w:rPr>
          <w:rFonts w:ascii="Arial" w:eastAsia="Calibri" w:hAnsi="Arial" w:cs="Arial"/>
          <w:color w:val="000000" w:themeColor="text1"/>
          <w:sz w:val="22"/>
          <w:lang w:val="es-ES_tradnl"/>
        </w:rPr>
        <w:t>en los términos establecidos en el artículo 76 del CPACA</w:t>
      </w:r>
      <w:r w:rsidR="004339C1" w:rsidRPr="00DA3080">
        <w:rPr>
          <w:rStyle w:val="Refdenotaalpie"/>
          <w:rFonts w:ascii="Arial" w:eastAsia="Calibri" w:hAnsi="Arial" w:cs="Arial"/>
          <w:color w:val="000000" w:themeColor="text1"/>
          <w:sz w:val="22"/>
          <w:lang w:val="es-ES_tradnl"/>
        </w:rPr>
        <w:footnoteReference w:id="35"/>
      </w:r>
      <w:r w:rsidR="004339C1" w:rsidRPr="00DA3080">
        <w:rPr>
          <w:rFonts w:ascii="Arial" w:eastAsia="Calibri" w:hAnsi="Arial" w:cs="Arial"/>
          <w:color w:val="000000" w:themeColor="text1"/>
          <w:sz w:val="22"/>
          <w:lang w:val="es-ES_tradnl"/>
        </w:rPr>
        <w:t xml:space="preserve">. Incluso, debido a que las disposiciones no sujetan la procedencia de los </w:t>
      </w:r>
      <w:r w:rsidR="004339C1" w:rsidRPr="00DA3080">
        <w:rPr>
          <w:rFonts w:ascii="Arial" w:eastAsia="Calibri" w:hAnsi="Arial" w:cs="Arial"/>
          <w:color w:val="000000" w:themeColor="text1"/>
          <w:sz w:val="22"/>
          <w:lang w:val="es-ES_tradnl"/>
        </w:rPr>
        <w:lastRenderedPageBreak/>
        <w:t xml:space="preserve">recursos a los hechos o argumentos a que acuda la entidad estatal para declarar desierto el procedimiento de selección, estos procederán, incluso en los eventos en que la entidad argumente no haber recibido ofertas o que estas fueron presentadas de </w:t>
      </w:r>
      <w:r w:rsidR="000D33B9" w:rsidRPr="00DA3080">
        <w:rPr>
          <w:rFonts w:ascii="Arial" w:eastAsia="Calibri" w:hAnsi="Arial" w:cs="Arial"/>
          <w:color w:val="000000" w:themeColor="text1"/>
          <w:sz w:val="22"/>
          <w:lang w:val="es-ES_tradnl"/>
        </w:rPr>
        <w:t xml:space="preserve">forma extemporánea, pues incluso este sería un contenido del acto sujeto a discusión, bajo el entendido de que algún interesado podría considerar que </w:t>
      </w:r>
      <w:r w:rsidR="004339C1" w:rsidRPr="00DA3080">
        <w:rPr>
          <w:rFonts w:ascii="Arial" w:eastAsia="Calibri" w:hAnsi="Arial" w:cs="Arial"/>
          <w:color w:val="000000" w:themeColor="text1"/>
          <w:sz w:val="22"/>
          <w:lang w:val="es-ES_tradnl"/>
        </w:rPr>
        <w:t>sí</w:t>
      </w:r>
      <w:r w:rsidR="000D33B9" w:rsidRPr="00DA3080">
        <w:rPr>
          <w:rFonts w:ascii="Arial" w:eastAsia="Calibri" w:hAnsi="Arial" w:cs="Arial"/>
          <w:color w:val="000000" w:themeColor="text1"/>
          <w:sz w:val="22"/>
          <w:lang w:val="es-ES_tradnl"/>
        </w:rPr>
        <w:t xml:space="preserve"> presentó oferta o que lo hizo dentro del término</w:t>
      </w:r>
      <w:r w:rsidR="000C7182" w:rsidRPr="00DA3080">
        <w:rPr>
          <w:rFonts w:ascii="Arial" w:eastAsia="Calibri" w:hAnsi="Arial" w:cs="Arial"/>
          <w:color w:val="000000" w:themeColor="text1"/>
          <w:sz w:val="22"/>
          <w:lang w:val="es-ES_tradnl"/>
        </w:rPr>
        <w:t xml:space="preserve">. </w:t>
      </w:r>
    </w:p>
    <w:p w14:paraId="12B553CF" w14:textId="0EDE0161" w:rsidR="000C7182" w:rsidRPr="00DA3080" w:rsidRDefault="000D33B9" w:rsidP="000D33B9">
      <w:pPr>
        <w:tabs>
          <w:tab w:val="left" w:pos="709"/>
        </w:tabs>
        <w:spacing w:after="0"/>
        <w:rPr>
          <w:rFonts w:ascii="Arial" w:hAnsi="Arial" w:cs="Arial"/>
          <w:color w:val="000000" w:themeColor="text1"/>
          <w:sz w:val="21"/>
          <w:szCs w:val="21"/>
          <w:lang w:val="es-ES_tradnl"/>
        </w:rPr>
      </w:pPr>
      <w:r w:rsidRPr="00DA3080">
        <w:rPr>
          <w:rFonts w:ascii="Arial" w:eastAsia="Calibri" w:hAnsi="Arial" w:cs="Arial"/>
          <w:color w:val="000000" w:themeColor="text1"/>
          <w:sz w:val="22"/>
          <w:lang w:val="es-ES_tradnl"/>
        </w:rPr>
        <w:tab/>
      </w:r>
      <w:r w:rsidR="000C7182" w:rsidRPr="00DA3080">
        <w:rPr>
          <w:rFonts w:ascii="Arial" w:eastAsia="Calibri" w:hAnsi="Arial" w:cs="Arial"/>
          <w:color w:val="000000" w:themeColor="text1"/>
          <w:sz w:val="22"/>
          <w:lang w:val="es-ES_tradnl"/>
        </w:rPr>
        <w:t xml:space="preserve">En conclusión, </w:t>
      </w:r>
      <w:r w:rsidRPr="00DA3080">
        <w:rPr>
          <w:rFonts w:ascii="Arial" w:eastAsia="Calibri" w:hAnsi="Arial" w:cs="Arial"/>
          <w:color w:val="000000" w:themeColor="text1"/>
          <w:sz w:val="22"/>
          <w:lang w:val="es-ES_tradnl"/>
        </w:rPr>
        <w:t xml:space="preserve">esta Agencia considera que </w:t>
      </w:r>
      <w:r w:rsidR="000C7182" w:rsidRPr="00DA3080">
        <w:rPr>
          <w:rFonts w:ascii="Arial" w:eastAsia="Calibri" w:hAnsi="Arial" w:cs="Arial"/>
          <w:color w:val="000000" w:themeColor="text1"/>
          <w:sz w:val="22"/>
          <w:lang w:val="es-ES_tradnl"/>
        </w:rPr>
        <w:t xml:space="preserve">frente al acto que declara desierto un procedimiento de selección procede el recurso de reposición, independientemente de la causa o argumento en que se apoye la entidad para dicha decisión, </w:t>
      </w:r>
      <w:r w:rsidR="00894305" w:rsidRPr="00DA3080">
        <w:rPr>
          <w:rFonts w:ascii="Arial" w:eastAsia="Calibri" w:hAnsi="Arial" w:cs="Arial"/>
          <w:color w:val="000000" w:themeColor="text1"/>
          <w:sz w:val="22"/>
          <w:lang w:val="es-ES_tradnl"/>
        </w:rPr>
        <w:t xml:space="preserve">sin perjuicio de tener en cuenta que tal declaración solo procede </w:t>
      </w:r>
      <w:r w:rsidR="00894305" w:rsidRPr="00DA3080">
        <w:rPr>
          <w:rFonts w:ascii="Arial" w:hAnsi="Arial" w:cs="Arial"/>
          <w:color w:val="000000" w:themeColor="text1"/>
          <w:sz w:val="22"/>
          <w:lang w:val="es-ES_tradnl"/>
        </w:rPr>
        <w:t>por motivos o causas que impidan la escogencia objetiva, circunstancia que deberá motivar la entidad en el respectivo acto administrativo.</w:t>
      </w:r>
    </w:p>
    <w:p w14:paraId="41520090" w14:textId="19CD500D" w:rsidR="00535880" w:rsidRPr="00DA3080" w:rsidRDefault="00427C16" w:rsidP="000D33B9">
      <w:pPr>
        <w:tabs>
          <w:tab w:val="left" w:pos="709"/>
        </w:tabs>
        <w:spacing w:after="0"/>
        <w:rPr>
          <w:rFonts w:ascii="Arial" w:eastAsia="Calibri" w:hAnsi="Arial" w:cs="Arial"/>
          <w:color w:val="000000" w:themeColor="text1"/>
          <w:sz w:val="22"/>
        </w:rPr>
      </w:pPr>
      <w:r w:rsidRPr="00DA3080">
        <w:rPr>
          <w:rFonts w:ascii="Arial" w:eastAsia="Calibri" w:hAnsi="Arial" w:cs="Arial"/>
          <w:color w:val="000000" w:themeColor="text1"/>
          <w:sz w:val="22"/>
          <w:lang w:val="es-ES_tradnl"/>
        </w:rPr>
        <w:tab/>
      </w:r>
    </w:p>
    <w:p w14:paraId="2AE0A9F9" w14:textId="5F6664C1" w:rsidR="007C3749" w:rsidRPr="00DA3080" w:rsidRDefault="004421F5" w:rsidP="00FE4F4B">
      <w:pPr>
        <w:tabs>
          <w:tab w:val="left" w:pos="284"/>
          <w:tab w:val="left" w:pos="7938"/>
        </w:tabs>
        <w:spacing w:after="0"/>
        <w:rPr>
          <w:rFonts w:ascii="Arial" w:eastAsia="Calibri" w:hAnsi="Arial" w:cs="Arial"/>
          <w:b/>
          <w:sz w:val="22"/>
          <w:lang w:val="es-CO"/>
        </w:rPr>
      </w:pPr>
      <w:bookmarkStart w:id="22" w:name="_Hlk57650395"/>
      <w:bookmarkEnd w:id="4"/>
      <w:r w:rsidRPr="00DA3080">
        <w:rPr>
          <w:rFonts w:ascii="Arial" w:eastAsia="Calibri" w:hAnsi="Arial" w:cs="Arial"/>
          <w:b/>
          <w:sz w:val="22"/>
          <w:lang w:val="es-CO"/>
        </w:rPr>
        <w:t>3. Respuestas</w:t>
      </w:r>
    </w:p>
    <w:p w14:paraId="58D27431" w14:textId="1CC070EB" w:rsidR="00B672E6" w:rsidRPr="00DA3080" w:rsidRDefault="00B672E6" w:rsidP="00B672E6">
      <w:pPr>
        <w:spacing w:after="0"/>
        <w:rPr>
          <w:rFonts w:ascii="ArialMT" w:eastAsia="Times New Roman" w:hAnsi="ArialMT" w:cs="Times New Roman"/>
          <w:sz w:val="21"/>
          <w:szCs w:val="21"/>
          <w:lang w:val="es-CO" w:eastAsia="es-ES_tradnl"/>
        </w:rPr>
      </w:pPr>
    </w:p>
    <w:p w14:paraId="6743877E" w14:textId="614D17CC" w:rsidR="00BE1C53" w:rsidRPr="00DA3080" w:rsidRDefault="002D1C3A" w:rsidP="00672665">
      <w:pPr>
        <w:spacing w:after="0" w:line="240" w:lineRule="auto"/>
        <w:ind w:left="709" w:right="709"/>
        <w:rPr>
          <w:rFonts w:ascii="Arial" w:eastAsia="Times New Roman" w:hAnsi="Arial" w:cs="Arial"/>
          <w:sz w:val="21"/>
          <w:szCs w:val="21"/>
          <w:lang w:val="es-CO" w:eastAsia="es-CO"/>
        </w:rPr>
      </w:pPr>
      <w:r w:rsidRPr="00DA3080">
        <w:rPr>
          <w:rFonts w:ascii="Arial" w:hAnsi="Arial" w:cs="Arial"/>
          <w:sz w:val="21"/>
          <w:szCs w:val="21"/>
          <w:lang w:eastAsia="es-ES_tradnl"/>
        </w:rPr>
        <w:t>«</w:t>
      </w:r>
      <w:proofErr w:type="gramStart"/>
      <w:r w:rsidRPr="00DA3080">
        <w:rPr>
          <w:rFonts w:ascii="Arial" w:hAnsi="Arial" w:cs="Arial"/>
          <w:sz w:val="21"/>
          <w:szCs w:val="21"/>
          <w:lang w:eastAsia="es-ES_tradnl"/>
        </w:rPr>
        <w:t>¿Aplican los recursos establecidos en el artículo 74 de la Ley 1437 de 2011, contra el acto administrativo que declara desierto un proceso de selección de mínima cuantía, regulado por el numeral 5 del artículo 2º de la Ley 1150 de 2007 y los artículos 2.</w:t>
      </w:r>
      <w:proofErr w:type="gramEnd"/>
      <w:r w:rsidRPr="00DA3080">
        <w:rPr>
          <w:rFonts w:ascii="Arial" w:hAnsi="Arial" w:cs="Arial"/>
          <w:sz w:val="21"/>
          <w:szCs w:val="21"/>
          <w:lang w:eastAsia="es-ES_tradnl"/>
        </w:rPr>
        <w:t xml:space="preserve">2.1.2.1.5.1. y siguientes del Decreto 1082 de 2015 cuando la causal es la </w:t>
      </w:r>
      <w:proofErr w:type="gramStart"/>
      <w:r w:rsidRPr="00DA3080">
        <w:rPr>
          <w:rFonts w:ascii="Arial" w:hAnsi="Arial" w:cs="Arial"/>
          <w:sz w:val="21"/>
          <w:szCs w:val="21"/>
          <w:lang w:eastAsia="es-ES_tradnl"/>
        </w:rPr>
        <w:t>ausencia oferentes</w:t>
      </w:r>
      <w:proofErr w:type="gramEnd"/>
      <w:r w:rsidRPr="00DA3080">
        <w:rPr>
          <w:rFonts w:ascii="Arial" w:hAnsi="Arial" w:cs="Arial"/>
          <w:sz w:val="21"/>
          <w:szCs w:val="21"/>
          <w:lang w:eastAsia="es-ES_tradnl"/>
        </w:rPr>
        <w:t xml:space="preserve"> en el proceso?»</w:t>
      </w:r>
      <w:r w:rsidR="00672665" w:rsidRPr="00DA3080">
        <w:rPr>
          <w:rFonts w:ascii="Arial" w:eastAsia="Times New Roman" w:hAnsi="Arial" w:cs="Arial"/>
          <w:sz w:val="21"/>
          <w:szCs w:val="21"/>
          <w:lang w:val="es-CO" w:eastAsia="es-ES_tradnl"/>
        </w:rPr>
        <w:t>.</w:t>
      </w:r>
    </w:p>
    <w:p w14:paraId="159DF411" w14:textId="67A8FEA0" w:rsidR="000B19F3" w:rsidRPr="00DA3080" w:rsidRDefault="000B19F3" w:rsidP="00B672E6">
      <w:pPr>
        <w:spacing w:after="0"/>
        <w:rPr>
          <w:rFonts w:ascii="Arial" w:eastAsia="Times New Roman" w:hAnsi="Arial" w:cs="Arial"/>
          <w:sz w:val="22"/>
          <w:lang w:val="es-CO" w:eastAsia="es-ES_tradnl"/>
        </w:rPr>
      </w:pPr>
    </w:p>
    <w:p w14:paraId="6D3A8C72" w14:textId="78D83CEE" w:rsidR="00BE1C53" w:rsidRPr="00DA3080" w:rsidRDefault="002B088C" w:rsidP="00672665">
      <w:pPr>
        <w:tabs>
          <w:tab w:val="left" w:pos="709"/>
        </w:tabs>
        <w:spacing w:after="120"/>
        <w:rPr>
          <w:rFonts w:ascii="Arial" w:eastAsia="Calibri" w:hAnsi="Arial" w:cs="Arial"/>
          <w:color w:val="000000" w:themeColor="text1"/>
          <w:sz w:val="22"/>
          <w:lang w:val="es-ES_tradnl"/>
        </w:rPr>
      </w:pPr>
      <w:r w:rsidRPr="00DA3080">
        <w:rPr>
          <w:rFonts w:ascii="Arial" w:eastAsia="Calibri" w:hAnsi="Arial" w:cs="Arial"/>
          <w:color w:val="000000" w:themeColor="text1"/>
          <w:sz w:val="22"/>
          <w:lang w:val="es-ES_tradnl"/>
        </w:rPr>
        <w:t>E</w:t>
      </w:r>
      <w:r w:rsidR="00672665" w:rsidRPr="00DA3080">
        <w:rPr>
          <w:rFonts w:ascii="Arial" w:eastAsia="Calibri" w:hAnsi="Arial" w:cs="Arial"/>
          <w:color w:val="000000" w:themeColor="text1"/>
          <w:sz w:val="22"/>
          <w:lang w:val="es-ES_tradnl"/>
        </w:rPr>
        <w:t>n la actualidad la mínima cuantía se encuentra regulad</w:t>
      </w:r>
      <w:r w:rsidRPr="00DA3080">
        <w:rPr>
          <w:rFonts w:ascii="Arial" w:eastAsia="Calibri" w:hAnsi="Arial" w:cs="Arial"/>
          <w:color w:val="000000" w:themeColor="text1"/>
          <w:sz w:val="22"/>
          <w:lang w:val="es-ES_tradnl"/>
        </w:rPr>
        <w:t>a</w:t>
      </w:r>
      <w:r w:rsidR="00672665" w:rsidRPr="00DA3080">
        <w:rPr>
          <w:rFonts w:ascii="Arial" w:eastAsia="Calibri" w:hAnsi="Arial" w:cs="Arial"/>
          <w:color w:val="000000" w:themeColor="text1"/>
          <w:sz w:val="22"/>
          <w:lang w:val="es-ES_tradnl"/>
        </w:rPr>
        <w:t xml:space="preserve"> en el artículo 30 de la </w:t>
      </w:r>
      <w:r w:rsidR="00894305" w:rsidRPr="00DA3080">
        <w:rPr>
          <w:rFonts w:ascii="Arial" w:eastAsia="Calibri" w:hAnsi="Arial" w:cs="Arial"/>
          <w:color w:val="000000" w:themeColor="text1"/>
          <w:sz w:val="22"/>
          <w:lang w:val="es-ES_tradnl"/>
        </w:rPr>
        <w:t>Ley 2069 de 2020</w:t>
      </w:r>
      <w:r w:rsidR="00672665" w:rsidRPr="00DA3080">
        <w:rPr>
          <w:rFonts w:ascii="Arial" w:eastAsia="Calibri" w:hAnsi="Arial" w:cs="Arial"/>
          <w:color w:val="000000" w:themeColor="text1"/>
          <w:sz w:val="22"/>
          <w:lang w:val="es-ES_tradnl"/>
        </w:rPr>
        <w:t>. Esta disposición no solo subrogó el artículo 74 de la Ley 1474 de 2011</w:t>
      </w:r>
      <w:r w:rsidR="00894305" w:rsidRPr="00DA3080">
        <w:rPr>
          <w:rFonts w:ascii="Arial" w:eastAsia="Calibri" w:hAnsi="Arial" w:cs="Arial"/>
          <w:color w:val="000000" w:themeColor="text1"/>
          <w:sz w:val="22"/>
          <w:lang w:val="es-ES_tradnl"/>
        </w:rPr>
        <w:t>,</w:t>
      </w:r>
      <w:r w:rsidR="00672665" w:rsidRPr="00DA3080">
        <w:rPr>
          <w:rFonts w:ascii="Arial" w:eastAsia="Calibri" w:hAnsi="Arial" w:cs="Arial"/>
          <w:color w:val="000000" w:themeColor="text1"/>
          <w:sz w:val="22"/>
          <w:lang w:val="es-ES_tradnl"/>
        </w:rPr>
        <w:t xml:space="preserve"> sino que modificó el alcance del artículo 2.5 de la Ley 1150 de 2007. </w:t>
      </w:r>
      <w:r w:rsidR="00CD3B54" w:rsidRPr="00DA3080">
        <w:rPr>
          <w:rFonts w:ascii="Arial" w:eastAsia="Calibri" w:hAnsi="Arial" w:cs="Arial"/>
          <w:color w:val="000000" w:themeColor="text1"/>
          <w:sz w:val="22"/>
          <w:lang w:val="es-ES_tradnl"/>
        </w:rPr>
        <w:t>No obstante</w:t>
      </w:r>
      <w:r w:rsidR="00672665" w:rsidRPr="00DA3080">
        <w:rPr>
          <w:rFonts w:ascii="Arial" w:eastAsia="Calibri" w:hAnsi="Arial" w:cs="Arial"/>
          <w:color w:val="000000" w:themeColor="text1"/>
          <w:sz w:val="22"/>
          <w:lang w:val="es-ES_tradnl"/>
        </w:rPr>
        <w:t xml:space="preserve">, salvo los factores de desempate, en vigencia del artículo 30 de la Ley 2069 de 2020 sigue vigente gran parte de la reglamentación de este procedimiento contractual en el Decreto 1082 de 2015. Lo anterior hasta la </w:t>
      </w:r>
      <w:proofErr w:type="gramStart"/>
      <w:r w:rsidR="00672665" w:rsidRPr="00DA3080">
        <w:rPr>
          <w:rFonts w:ascii="Arial" w:eastAsia="Calibri" w:hAnsi="Arial" w:cs="Arial"/>
          <w:color w:val="000000" w:themeColor="text1"/>
          <w:sz w:val="22"/>
          <w:lang w:val="es-ES_tradnl"/>
        </w:rPr>
        <w:t>entrada en vigencia</w:t>
      </w:r>
      <w:proofErr w:type="gramEnd"/>
      <w:r w:rsidR="00672665" w:rsidRPr="00DA3080">
        <w:rPr>
          <w:rFonts w:ascii="Arial" w:eastAsia="Calibri" w:hAnsi="Arial" w:cs="Arial"/>
          <w:color w:val="000000" w:themeColor="text1"/>
          <w:sz w:val="22"/>
          <w:lang w:val="es-ES_tradnl"/>
        </w:rPr>
        <w:t xml:space="preserve"> del Decreto 1860 de 2021, el cual reglamenta el procedimiento de mínima cuantía</w:t>
      </w:r>
      <w:r w:rsidR="00CD3B54" w:rsidRPr="00DA3080">
        <w:rPr>
          <w:rFonts w:ascii="Arial" w:eastAsia="Calibri" w:hAnsi="Arial" w:cs="Arial"/>
          <w:color w:val="000000" w:themeColor="text1"/>
          <w:sz w:val="22"/>
          <w:lang w:val="es-ES_tradnl"/>
        </w:rPr>
        <w:t>,</w:t>
      </w:r>
      <w:r w:rsidR="00672665" w:rsidRPr="00DA3080">
        <w:rPr>
          <w:rFonts w:ascii="Arial" w:eastAsia="Calibri" w:hAnsi="Arial" w:cs="Arial"/>
          <w:color w:val="000000" w:themeColor="text1"/>
          <w:sz w:val="22"/>
          <w:lang w:val="es-ES_tradnl"/>
        </w:rPr>
        <w:t xml:space="preserve"> con sujeción a las modificaciones previstas en la ley</w:t>
      </w:r>
      <w:r w:rsidR="000C7182" w:rsidRPr="00DA3080">
        <w:rPr>
          <w:rFonts w:ascii="Arial" w:eastAsia="Calibri" w:hAnsi="Arial" w:cs="Arial"/>
          <w:color w:val="000000" w:themeColor="text1"/>
          <w:sz w:val="22"/>
          <w:lang w:val="es-ES_tradnl"/>
        </w:rPr>
        <w:t xml:space="preserve"> y tendrá efectos en los procesos de mínima cuantía cuya invitación se publique a partir del 24 de marzo de 2022.</w:t>
      </w:r>
    </w:p>
    <w:p w14:paraId="42E6821E" w14:textId="4BB8D03A" w:rsidR="00894305" w:rsidRPr="00DA3080" w:rsidRDefault="002B088C" w:rsidP="00894305">
      <w:pPr>
        <w:tabs>
          <w:tab w:val="left" w:pos="709"/>
        </w:tabs>
        <w:spacing w:after="0"/>
        <w:rPr>
          <w:rFonts w:ascii="Arial" w:hAnsi="Arial" w:cs="Arial"/>
          <w:color w:val="000000" w:themeColor="text1"/>
          <w:sz w:val="22"/>
          <w:lang w:val="es-ES_tradnl"/>
        </w:rPr>
      </w:pPr>
      <w:r w:rsidRPr="00DA3080">
        <w:rPr>
          <w:rFonts w:ascii="Arial" w:eastAsia="Calibri" w:hAnsi="Arial" w:cs="Arial"/>
          <w:color w:val="000000" w:themeColor="text1"/>
          <w:sz w:val="22"/>
          <w:lang w:val="es-ES_tradnl"/>
        </w:rPr>
        <w:tab/>
      </w:r>
      <w:r w:rsidRPr="00DA3080">
        <w:rPr>
          <w:rFonts w:ascii="Arial" w:eastAsia="Calibri" w:hAnsi="Arial" w:cs="Arial"/>
          <w:color w:val="000000" w:themeColor="text1"/>
          <w:sz w:val="22"/>
          <w:lang w:val="es-CO"/>
        </w:rPr>
        <w:t xml:space="preserve"> </w:t>
      </w:r>
      <w:r w:rsidR="00894305" w:rsidRPr="00DA3080">
        <w:rPr>
          <w:rFonts w:ascii="Arial" w:eastAsia="Calibri" w:hAnsi="Arial" w:cs="Arial"/>
          <w:color w:val="000000" w:themeColor="text1"/>
          <w:sz w:val="22"/>
          <w:lang w:val="es-CO"/>
        </w:rPr>
        <w:t xml:space="preserve">Luego de realizada esta precisión, de acuerdo con lo expresado en las consideraciones, </w:t>
      </w:r>
      <w:r w:rsidR="00894305" w:rsidRPr="00DA3080">
        <w:rPr>
          <w:rFonts w:ascii="Arial" w:eastAsia="Calibri" w:hAnsi="Arial" w:cs="Arial"/>
          <w:color w:val="000000" w:themeColor="text1"/>
          <w:sz w:val="22"/>
          <w:lang w:val="es-ES_tradnl"/>
        </w:rPr>
        <w:t xml:space="preserve">frente al acto que declara desierto un procedimiento de selección, inclusive uno de mínima cuantía, procede el recurso de reposición, independientemente de la causa o argumento en que se apoye la entidad para dicha decisión, sin perjuicio de tener en cuenta que tal declaración solo procede </w:t>
      </w:r>
      <w:r w:rsidR="00894305" w:rsidRPr="00DA3080">
        <w:rPr>
          <w:rFonts w:ascii="Arial" w:hAnsi="Arial" w:cs="Arial"/>
          <w:color w:val="000000" w:themeColor="text1"/>
          <w:sz w:val="22"/>
          <w:lang w:val="es-ES_tradnl"/>
        </w:rPr>
        <w:t>por motivos o causas que impidan la escogencia objetiva, circunstancia que deberá motivar la entidad en el respectivo acto administrativo.</w:t>
      </w:r>
    </w:p>
    <w:p w14:paraId="5410AF75" w14:textId="201A9B82" w:rsidR="002B088C" w:rsidRPr="00DA3080" w:rsidRDefault="002B088C" w:rsidP="00894305">
      <w:pPr>
        <w:tabs>
          <w:tab w:val="left" w:pos="709"/>
        </w:tabs>
        <w:spacing w:after="120"/>
        <w:rPr>
          <w:rFonts w:ascii="Arial" w:eastAsia="Calibri" w:hAnsi="Arial" w:cs="Arial"/>
          <w:color w:val="000000" w:themeColor="text1"/>
          <w:sz w:val="22"/>
          <w:lang w:val="es-ES_tradnl"/>
        </w:rPr>
      </w:pPr>
    </w:p>
    <w:p w14:paraId="302C14BC" w14:textId="77777777" w:rsidR="00B672E6" w:rsidRPr="00DA3080" w:rsidRDefault="00B672E6" w:rsidP="00BF0F70">
      <w:pPr>
        <w:pStyle w:val="NormalWeb"/>
        <w:spacing w:before="0" w:beforeAutospacing="0" w:after="120" w:afterAutospacing="0"/>
        <w:ind w:right="567"/>
        <w:rPr>
          <w:rFonts w:ascii="ArialMT" w:hAnsi="ArialMT"/>
          <w:sz w:val="21"/>
          <w:szCs w:val="21"/>
          <w:lang w:eastAsia="es-ES_tradnl"/>
        </w:rPr>
      </w:pPr>
    </w:p>
    <w:p w14:paraId="2222029F" w14:textId="4EDED5CD" w:rsidR="00D45D43" w:rsidRPr="00DA3080" w:rsidRDefault="00D45D43" w:rsidP="00001D47">
      <w:pPr>
        <w:spacing w:after="0"/>
        <w:rPr>
          <w:rFonts w:ascii="Arial" w:eastAsia="Calibri" w:hAnsi="Arial" w:cs="Arial"/>
          <w:sz w:val="22"/>
          <w:lang w:val="es-CO"/>
        </w:rPr>
      </w:pPr>
      <w:r w:rsidRPr="00DA3080">
        <w:rPr>
          <w:rFonts w:ascii="Arial" w:eastAsia="Calibri" w:hAnsi="Arial" w:cs="Arial"/>
          <w:sz w:val="22"/>
          <w:lang w:val="es-CO"/>
        </w:rPr>
        <w:t>Este concepto tiene el alcance previsto en el artículo 28 del Código de Procedimiento Administrativo y de lo Contencioso Administrativo.</w:t>
      </w:r>
    </w:p>
    <w:p w14:paraId="0DCB5B04" w14:textId="77777777" w:rsidR="00D45D43" w:rsidRPr="00DA3080" w:rsidRDefault="00D45D43" w:rsidP="00001D47">
      <w:pPr>
        <w:spacing w:after="0"/>
        <w:jc w:val="left"/>
        <w:rPr>
          <w:rFonts w:ascii="Arial" w:eastAsia="Times New Roman" w:hAnsi="Arial" w:cs="Arial"/>
          <w:sz w:val="22"/>
          <w:lang w:val="es-CO" w:eastAsia="es-CO"/>
        </w:rPr>
      </w:pPr>
    </w:p>
    <w:p w14:paraId="4D6F6658" w14:textId="77777777" w:rsidR="00D45D43" w:rsidRPr="00DA3080" w:rsidRDefault="00D45D43" w:rsidP="00001D47">
      <w:pPr>
        <w:spacing w:after="0"/>
        <w:jc w:val="left"/>
        <w:rPr>
          <w:rFonts w:ascii="Arial" w:eastAsia="Times New Roman" w:hAnsi="Arial" w:cs="Arial"/>
          <w:sz w:val="22"/>
          <w:lang w:val="es-CO" w:eastAsia="es-CO"/>
        </w:rPr>
      </w:pPr>
      <w:r w:rsidRPr="00DA3080">
        <w:rPr>
          <w:rFonts w:ascii="Arial" w:eastAsia="Times New Roman" w:hAnsi="Arial" w:cs="Arial"/>
          <w:sz w:val="22"/>
          <w:lang w:val="es-CO" w:eastAsia="es-CO"/>
        </w:rPr>
        <w:t>Atentamente,</w:t>
      </w:r>
    </w:p>
    <w:p w14:paraId="45B61928" w14:textId="77777777" w:rsidR="00D45D43" w:rsidRPr="00DA3080" w:rsidRDefault="00D45D43" w:rsidP="00001D47">
      <w:pPr>
        <w:spacing w:after="0"/>
        <w:jc w:val="left"/>
        <w:rPr>
          <w:rFonts w:ascii="Arial" w:eastAsia="Times New Roman" w:hAnsi="Arial" w:cs="Arial"/>
          <w:sz w:val="22"/>
          <w:lang w:val="es-CO" w:eastAsia="es-CO"/>
        </w:rPr>
      </w:pPr>
    </w:p>
    <w:p w14:paraId="10C58370" w14:textId="59605C56" w:rsidR="00D45D43" w:rsidRPr="00DA3080" w:rsidRDefault="00666D15" w:rsidP="00001D47">
      <w:pPr>
        <w:spacing w:after="0"/>
        <w:jc w:val="center"/>
        <w:rPr>
          <w:rFonts w:ascii="Arial" w:eastAsia="Times New Roman" w:hAnsi="Arial" w:cs="Arial"/>
          <w:sz w:val="18"/>
          <w:szCs w:val="20"/>
          <w:lang w:val="es-CO" w:eastAsia="es-CO"/>
        </w:rPr>
      </w:pPr>
      <w:r>
        <w:rPr>
          <w:noProof/>
          <w:color w:val="000000" w:themeColor="text1"/>
          <w:lang w:val="es-ES_tradnl"/>
        </w:rPr>
        <w:drawing>
          <wp:inline distT="0" distB="0" distL="0" distR="0" wp14:anchorId="60C338E4" wp14:editId="3C6A6103">
            <wp:extent cx="2514600" cy="111252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5D43" w:rsidRPr="00DA3080" w14:paraId="1F740260" w14:textId="77777777" w:rsidTr="00296985">
        <w:trPr>
          <w:trHeight w:val="315"/>
        </w:trPr>
        <w:tc>
          <w:tcPr>
            <w:tcW w:w="488" w:type="dxa"/>
            <w:vAlign w:val="center"/>
            <w:hideMark/>
          </w:tcPr>
          <w:p w14:paraId="04500E5F" w14:textId="77777777" w:rsidR="00D45D43" w:rsidRPr="00DA3080" w:rsidRDefault="00D45D43" w:rsidP="00BF0F70">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E440C36" w14:textId="77777777" w:rsidR="00D45D43" w:rsidRPr="00DA3080" w:rsidRDefault="00D45D43" w:rsidP="00BF0F70">
            <w:pPr>
              <w:spacing w:after="0" w:line="240" w:lineRule="auto"/>
              <w:rPr>
                <w:rFonts w:ascii="Arial" w:hAnsi="Arial" w:cs="Arial"/>
                <w:sz w:val="16"/>
                <w:szCs w:val="16"/>
                <w:lang w:val="es-CO" w:eastAsia="es-ES"/>
              </w:rPr>
            </w:pPr>
          </w:p>
          <w:p w14:paraId="6F78D63C" w14:textId="77777777" w:rsidR="00894305" w:rsidRPr="00DA3080" w:rsidRDefault="00894305" w:rsidP="00894305">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Sebastián Ramírez Grisales</w:t>
            </w:r>
          </w:p>
          <w:p w14:paraId="6B405E71" w14:textId="09BFA227" w:rsidR="00D45D43" w:rsidRPr="00DA3080" w:rsidRDefault="00894305" w:rsidP="00894305">
            <w:pPr>
              <w:spacing w:after="0" w:line="240" w:lineRule="auto"/>
              <w:rPr>
                <w:rFonts w:ascii="Arial" w:hAnsi="Arial" w:cs="Arial"/>
                <w:sz w:val="16"/>
                <w:szCs w:val="16"/>
                <w:lang w:val="es-CO" w:eastAsia="es-ES"/>
              </w:rPr>
            </w:pPr>
            <w:r w:rsidRPr="00CB24B4">
              <w:rPr>
                <w:rFonts w:ascii="Arial" w:hAnsi="Arial" w:cs="Arial"/>
                <w:sz w:val="16"/>
                <w:szCs w:val="16"/>
                <w:lang w:val="es-CO" w:eastAsia="es-ES"/>
              </w:rPr>
              <w:t xml:space="preserve">Contratista </w:t>
            </w:r>
            <w:r w:rsidRPr="00DA3080">
              <w:rPr>
                <w:rFonts w:ascii="Arial" w:hAnsi="Arial" w:cs="Arial"/>
                <w:sz w:val="16"/>
                <w:szCs w:val="16"/>
                <w:lang w:val="es-CO" w:eastAsia="es-ES"/>
              </w:rPr>
              <w:t>de la Subdirección de Gestión Contractual</w:t>
            </w:r>
          </w:p>
        </w:tc>
      </w:tr>
      <w:tr w:rsidR="00D45D43" w:rsidRPr="00DA3080" w14:paraId="603F1EFA" w14:textId="77777777" w:rsidTr="00296985">
        <w:trPr>
          <w:trHeight w:val="330"/>
        </w:trPr>
        <w:tc>
          <w:tcPr>
            <w:tcW w:w="488" w:type="dxa"/>
            <w:vAlign w:val="center"/>
            <w:hideMark/>
          </w:tcPr>
          <w:p w14:paraId="408BD0F3" w14:textId="77777777" w:rsidR="00D45D43" w:rsidRPr="00DA3080" w:rsidRDefault="00D45D43" w:rsidP="00BF0F70">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DE651B" w14:textId="77777777" w:rsidR="00894305" w:rsidRPr="00DA3080" w:rsidRDefault="00894305" w:rsidP="00894305">
            <w:pPr>
              <w:spacing w:after="0"/>
              <w:rPr>
                <w:rFonts w:ascii="Arial" w:hAnsi="Arial" w:cs="Arial"/>
                <w:sz w:val="16"/>
                <w:szCs w:val="16"/>
                <w:lang w:val="es-CO" w:eastAsia="es-ES"/>
              </w:rPr>
            </w:pPr>
            <w:r w:rsidRPr="00DA3080">
              <w:rPr>
                <w:rFonts w:ascii="Arial" w:hAnsi="Arial" w:cs="Arial"/>
                <w:sz w:val="16"/>
                <w:szCs w:val="16"/>
                <w:lang w:val="es-CO" w:eastAsia="es-ES"/>
              </w:rPr>
              <w:t>Jorge Augusto Tirado Navarro</w:t>
            </w:r>
          </w:p>
          <w:p w14:paraId="63C6E4A9" w14:textId="42D9AE8D" w:rsidR="009D19F6" w:rsidRPr="00DA3080" w:rsidRDefault="00894305" w:rsidP="00894305">
            <w:pPr>
              <w:spacing w:after="0" w:line="240" w:lineRule="auto"/>
              <w:rPr>
                <w:rFonts w:ascii="Arial" w:hAnsi="Arial" w:cs="Arial"/>
                <w:sz w:val="14"/>
                <w:szCs w:val="14"/>
                <w:lang w:eastAsia="es-ES"/>
              </w:rPr>
            </w:pPr>
            <w:r w:rsidRPr="00DA3080">
              <w:rPr>
                <w:rFonts w:ascii="Arial" w:hAnsi="Arial" w:cs="Arial"/>
                <w:sz w:val="16"/>
                <w:szCs w:val="16"/>
                <w:lang w:val="es-CO" w:eastAsia="es-ES"/>
              </w:rPr>
              <w:t>Subdirector de Gestión Contractual ANCP – CCE</w:t>
            </w:r>
          </w:p>
        </w:tc>
      </w:tr>
      <w:tr w:rsidR="00D45D43" w:rsidRPr="00776DC6" w14:paraId="3A3731EA" w14:textId="77777777" w:rsidTr="00296985">
        <w:trPr>
          <w:trHeight w:val="300"/>
        </w:trPr>
        <w:tc>
          <w:tcPr>
            <w:tcW w:w="488" w:type="dxa"/>
            <w:vAlign w:val="center"/>
            <w:hideMark/>
          </w:tcPr>
          <w:p w14:paraId="70945920" w14:textId="77777777" w:rsidR="00D45D43" w:rsidRPr="00DA3080" w:rsidRDefault="00D45D43" w:rsidP="00BF0F70">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C5F1EA" w14:textId="77777777" w:rsidR="003F267E" w:rsidRPr="00DA3080" w:rsidRDefault="003F267E" w:rsidP="003F267E">
            <w:pPr>
              <w:spacing w:after="0"/>
              <w:rPr>
                <w:rFonts w:ascii="Arial" w:hAnsi="Arial" w:cs="Arial"/>
                <w:sz w:val="16"/>
                <w:szCs w:val="16"/>
                <w:lang w:val="es-CO" w:eastAsia="es-ES"/>
              </w:rPr>
            </w:pPr>
            <w:r w:rsidRPr="00DA3080">
              <w:rPr>
                <w:rFonts w:ascii="Arial" w:hAnsi="Arial" w:cs="Arial"/>
                <w:sz w:val="16"/>
                <w:szCs w:val="16"/>
                <w:lang w:val="es-CO" w:eastAsia="es-ES"/>
              </w:rPr>
              <w:t>Jorge Augusto Tirado Navarro</w:t>
            </w:r>
          </w:p>
          <w:p w14:paraId="622B826B" w14:textId="6EDE79A5" w:rsidR="00D45D43" w:rsidRPr="00776DC6" w:rsidRDefault="003F267E" w:rsidP="003F267E">
            <w:pPr>
              <w:spacing w:after="0" w:line="240" w:lineRule="auto"/>
              <w:rPr>
                <w:rFonts w:ascii="Arial" w:hAnsi="Arial" w:cs="Arial"/>
                <w:sz w:val="16"/>
                <w:szCs w:val="16"/>
                <w:lang w:val="es-CO" w:eastAsia="es-ES"/>
              </w:rPr>
            </w:pPr>
            <w:r w:rsidRPr="00DA3080">
              <w:rPr>
                <w:rFonts w:ascii="Arial" w:hAnsi="Arial" w:cs="Arial"/>
                <w:sz w:val="16"/>
                <w:szCs w:val="16"/>
                <w:lang w:val="es-CO" w:eastAsia="es-ES"/>
              </w:rPr>
              <w:t>Subdirector de Gestión Contractual ANCP – CCE</w:t>
            </w:r>
          </w:p>
        </w:tc>
      </w:tr>
      <w:bookmarkEnd w:id="22"/>
    </w:tbl>
    <w:p w14:paraId="5F0DA489" w14:textId="6B213F57" w:rsidR="00C14ADB" w:rsidRPr="003121C9" w:rsidRDefault="00C14ADB" w:rsidP="002C4226">
      <w:pPr>
        <w:spacing w:after="0"/>
        <w:rPr>
          <w:rFonts w:ascii="Arial" w:eastAsia="Times New Roman" w:hAnsi="Arial" w:cs="Arial"/>
          <w:sz w:val="22"/>
          <w:lang w:val="es-CO" w:eastAsia="es-CO"/>
        </w:rPr>
      </w:pPr>
    </w:p>
    <w:sectPr w:rsidR="00C14ADB" w:rsidRPr="003121C9" w:rsidSect="00FE0395">
      <w:headerReference w:type="default" r:id="rId14"/>
      <w:footerReference w:type="default" r:id="rId15"/>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CE16" w14:textId="77777777" w:rsidR="00E33A70" w:rsidRDefault="00E33A70" w:rsidP="00D45D43">
      <w:pPr>
        <w:spacing w:after="0" w:line="240" w:lineRule="auto"/>
      </w:pPr>
      <w:r>
        <w:separator/>
      </w:r>
    </w:p>
  </w:endnote>
  <w:endnote w:type="continuationSeparator" w:id="0">
    <w:p w14:paraId="39CB1BB3" w14:textId="77777777" w:rsidR="00E33A70" w:rsidRDefault="00E33A70"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MT">
    <w:altName w:val="Arial"/>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42AB" w14:textId="77777777"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s-CO" w:eastAsia="es-CO"/>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1061BCE" w14:textId="77777777" w:rsidR="00412132" w:rsidRDefault="00B6432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1F1A" w14:textId="77777777" w:rsidR="00E33A70" w:rsidRDefault="00E33A70" w:rsidP="00D45D43">
      <w:pPr>
        <w:spacing w:after="0" w:line="240" w:lineRule="auto"/>
      </w:pPr>
      <w:r>
        <w:separator/>
      </w:r>
    </w:p>
  </w:footnote>
  <w:footnote w:type="continuationSeparator" w:id="0">
    <w:p w14:paraId="4EF4643A" w14:textId="77777777" w:rsidR="00E33A70" w:rsidRDefault="00E33A70" w:rsidP="00D45D43">
      <w:pPr>
        <w:spacing w:after="0" w:line="240" w:lineRule="auto"/>
      </w:pPr>
      <w:r>
        <w:continuationSeparator/>
      </w:r>
    </w:p>
  </w:footnote>
  <w:footnote w:id="1">
    <w:p w14:paraId="73A6EEDB" w14:textId="31573F16"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color w:val="000000" w:themeColor="text1"/>
          <w:sz w:val="19"/>
          <w:szCs w:val="19"/>
          <w:lang w:val="es-ES"/>
        </w:rPr>
        <w:t>Artículos 2 al 29.</w:t>
      </w:r>
    </w:p>
  </w:footnote>
  <w:footnote w:id="2">
    <w:p w14:paraId="626E65A6" w14:textId="56690A01"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color w:val="000000" w:themeColor="text1"/>
          <w:sz w:val="19"/>
          <w:szCs w:val="19"/>
          <w:lang w:val="es-ES"/>
        </w:rPr>
        <w:t>Artículos 30 al 36.</w:t>
      </w:r>
    </w:p>
  </w:footnote>
  <w:footnote w:id="3">
    <w:p w14:paraId="37B50430" w14:textId="2B733914"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color w:val="000000" w:themeColor="text1"/>
          <w:sz w:val="19"/>
          <w:szCs w:val="19"/>
          <w:lang w:val="es-ES"/>
        </w:rPr>
        <w:t>Artículos 37 al 45.</w:t>
      </w:r>
    </w:p>
  </w:footnote>
  <w:footnote w:id="4">
    <w:p w14:paraId="48BF30D6" w14:textId="0FDB94FA"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color w:val="000000" w:themeColor="text1"/>
          <w:sz w:val="19"/>
          <w:szCs w:val="19"/>
          <w:lang w:val="es-ES"/>
        </w:rPr>
        <w:t>Artículos 46 al 73.</w:t>
      </w:r>
    </w:p>
  </w:footnote>
  <w:footnote w:id="5">
    <w:p w14:paraId="37E0ABF3" w14:textId="7EF9EC84"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color w:val="000000" w:themeColor="text1"/>
          <w:sz w:val="19"/>
          <w:szCs w:val="19"/>
          <w:lang w:val="es-ES"/>
        </w:rPr>
        <w:t>Artículos 74 al 83.</w:t>
      </w:r>
    </w:p>
  </w:footnote>
  <w:footnote w:id="6">
    <w:p w14:paraId="4986ADF7" w14:textId="49586DB5" w:rsidR="00825B5C"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DA3080">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DA3080">
          <w:rPr>
            <w:rStyle w:val="Hipervnculo"/>
            <w:rFonts w:ascii="Arial" w:hAnsi="Arial" w:cs="Arial"/>
            <w:color w:val="000000" w:themeColor="text1"/>
            <w:sz w:val="19"/>
            <w:szCs w:val="19"/>
          </w:rPr>
          <w:t>https://colaboracion.dnp.gov.co/CDT/Conpes/Econ%C3%B3micos/3956.pdf</w:t>
        </w:r>
      </w:hyperlink>
      <w:r w:rsidRPr="00DA3080">
        <w:rPr>
          <w:rFonts w:ascii="Arial" w:hAnsi="Arial" w:cs="Arial"/>
          <w:color w:val="000000" w:themeColor="text1"/>
          <w:sz w:val="19"/>
          <w:szCs w:val="19"/>
        </w:rPr>
        <w:t>).</w:t>
      </w:r>
      <w:r w:rsidR="006D7173" w:rsidRPr="00DA3080">
        <w:rPr>
          <w:rFonts w:ascii="Arial" w:hAnsi="Arial" w:cs="Arial"/>
          <w:color w:val="000000" w:themeColor="text1"/>
          <w:sz w:val="19"/>
          <w:szCs w:val="19"/>
        </w:rPr>
        <w:t xml:space="preserve"> </w:t>
      </w:r>
    </w:p>
  </w:footnote>
  <w:footnote w:id="7">
    <w:p w14:paraId="1FF35938"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CONGRESO DE LA REPÚBLICA. Gaceta No. 670 del 11 de agosto de 2020. Exposición de motivos del Proyecto de Ley No. 122 de 2020 Cámara. p. 13. </w:t>
      </w:r>
    </w:p>
  </w:footnote>
  <w:footnote w:id="8">
    <w:p w14:paraId="55B26F4B" w14:textId="3C390266"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w:t>
      </w:r>
      <w:r w:rsidR="006D7173" w:rsidRPr="00DA3080">
        <w:rPr>
          <w:rFonts w:ascii="Arial" w:hAnsi="Arial" w:cs="Arial"/>
          <w:color w:val="000000" w:themeColor="text1"/>
          <w:sz w:val="19"/>
          <w:szCs w:val="19"/>
        </w:rPr>
        <w:t xml:space="preserve"> </w:t>
      </w:r>
    </w:p>
  </w:footnote>
  <w:footnote w:id="9">
    <w:p w14:paraId="5B04AE26" w14:textId="48231D02"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DA3080">
        <w:rPr>
          <w:rFonts w:ascii="Arial" w:hAnsi="Arial" w:cs="Arial"/>
          <w:i/>
          <w:iCs/>
          <w:color w:val="000000" w:themeColor="text1"/>
          <w:sz w:val="19"/>
          <w:szCs w:val="19"/>
        </w:rPr>
        <w:t>La única consecuencia normativa del término establecido por el legislador es la de imponerle al Presidente de la República el deber de reglamentar la ley dentro de dicho plazo</w:t>
      </w:r>
      <w:r w:rsidRPr="00DA3080">
        <w:rPr>
          <w:rFonts w:ascii="Arial" w:hAnsi="Arial" w:cs="Arial"/>
          <w:color w:val="000000" w:themeColor="text1"/>
          <w:sz w:val="19"/>
          <w:szCs w:val="19"/>
        </w:rPr>
        <w:t>» (CORTE CONSTITUCIONAL. Sentencia C-805 de 2001. M.P. Rodrigo Escobar Gil. Corchetes y énfasis fuera de texto).</w:t>
      </w:r>
      <w:r w:rsidR="006D7173" w:rsidRPr="00DA3080">
        <w:rPr>
          <w:rFonts w:ascii="Arial" w:hAnsi="Arial" w:cs="Arial"/>
          <w:color w:val="000000" w:themeColor="text1"/>
          <w:sz w:val="19"/>
          <w:szCs w:val="19"/>
        </w:rPr>
        <w:t xml:space="preserve"> </w:t>
      </w:r>
    </w:p>
  </w:footnote>
  <w:footnote w:id="10">
    <w:p w14:paraId="6EC36751" w14:textId="1AAAFF93"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GUASTINI, Riccardo. Interpretar y argumentar. Madrid: Centro de Estudios Políticos y Constitucionales, 2014. p. 145. El autor también propone los siguientes ejemplos de </w:t>
      </w:r>
      <w:r w:rsidRPr="00DA3080">
        <w:rPr>
          <w:rFonts w:ascii="Arial" w:hAnsi="Arial" w:cs="Arial"/>
          <w:i/>
          <w:iCs/>
          <w:color w:val="000000" w:themeColor="text1"/>
          <w:sz w:val="19"/>
          <w:szCs w:val="19"/>
        </w:rPr>
        <w:t>lagunas técnicas</w:t>
      </w:r>
      <w:r w:rsidRPr="00DA3080">
        <w:rPr>
          <w:rFonts w:ascii="Arial" w:hAnsi="Arial" w:cs="Arial"/>
          <w:color w:val="000000" w:themeColor="text1"/>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DA3080">
        <w:rPr>
          <w:rFonts w:ascii="Arial" w:hAnsi="Arial" w:cs="Arial"/>
          <w:i/>
          <w:iCs/>
          <w:color w:val="000000" w:themeColor="text1"/>
          <w:sz w:val="19"/>
          <w:szCs w:val="19"/>
        </w:rPr>
        <w:t>Ibidem</w:t>
      </w:r>
      <w:r w:rsidRPr="00DA3080">
        <w:rPr>
          <w:rFonts w:ascii="Arial" w:hAnsi="Arial" w:cs="Arial"/>
          <w:color w:val="000000" w:themeColor="text1"/>
          <w:sz w:val="19"/>
          <w:szCs w:val="19"/>
        </w:rPr>
        <w:t>).</w:t>
      </w:r>
      <w:r w:rsidR="006D7173" w:rsidRPr="00DA3080">
        <w:rPr>
          <w:rFonts w:ascii="Arial" w:hAnsi="Arial" w:cs="Arial"/>
          <w:color w:val="000000" w:themeColor="text1"/>
          <w:sz w:val="19"/>
          <w:szCs w:val="19"/>
        </w:rPr>
        <w:t xml:space="preserve"> </w:t>
      </w:r>
    </w:p>
  </w:footnote>
  <w:footnote w:id="11">
    <w:p w14:paraId="41710DED" w14:textId="20EA5ACD" w:rsidR="00D14890" w:rsidRPr="00DA3080" w:rsidRDefault="00D14890" w:rsidP="00B171C5">
      <w:pPr>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DA3080">
          <w:rPr>
            <w:rStyle w:val="Hipervnculo"/>
            <w:rFonts w:ascii="Arial" w:hAnsi="Arial" w:cs="Arial"/>
            <w:color w:val="000000" w:themeColor="text1"/>
            <w:sz w:val="19"/>
            <w:szCs w:val="19"/>
          </w:rPr>
          <w:t>https://www.beltranpardo.com/wp-content/uploads/2021/02/CorteConstitucional_Inexequibilidadpar%C3%A1grafo2Art6L2014.pdf</w:t>
        </w:r>
      </w:hyperlink>
      <w:r w:rsidRPr="00DA3080">
        <w:rPr>
          <w:rFonts w:ascii="Arial" w:hAnsi="Arial" w:cs="Arial"/>
          <w:color w:val="000000" w:themeColor="text1"/>
          <w:sz w:val="19"/>
          <w:szCs w:val="19"/>
        </w:rPr>
        <w:t>).</w:t>
      </w:r>
      <w:r w:rsidR="006D7173" w:rsidRPr="00DA3080">
        <w:rPr>
          <w:rFonts w:ascii="Arial" w:hAnsi="Arial" w:cs="Arial"/>
          <w:color w:val="000000" w:themeColor="text1"/>
          <w:sz w:val="19"/>
          <w:szCs w:val="19"/>
        </w:rPr>
        <w:t xml:space="preserve"> </w:t>
      </w:r>
    </w:p>
  </w:footnote>
  <w:footnote w:id="12">
    <w:p w14:paraId="5D25E223" w14:textId="161468F5"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Cfr. CORTE CONSTITUCIONAL. Sentencia C-619 del 14 de junio de 2001. M.P. Marco Gerardo Monroy Cabra. </w:t>
      </w:r>
    </w:p>
  </w:footnote>
  <w:footnote w:id="13">
    <w:p w14:paraId="2601D31C" w14:textId="2EC8EADF"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CONSEJO DE ESTADO. Sección Tercera. Auto de 1 de abril de 2009. Exp. 36476. M.P. Ruth Stella Correa Palacio.</w:t>
      </w:r>
      <w:r w:rsidR="006D7173" w:rsidRPr="00DA3080">
        <w:rPr>
          <w:rFonts w:ascii="Arial" w:hAnsi="Arial" w:cs="Arial"/>
          <w:color w:val="000000" w:themeColor="text1"/>
          <w:sz w:val="19"/>
          <w:szCs w:val="19"/>
        </w:rPr>
        <w:t xml:space="preserve"> </w:t>
      </w:r>
    </w:p>
  </w:footnote>
  <w:footnote w:id="14">
    <w:p w14:paraId="50672549" w14:textId="1C2A16EF" w:rsidR="00A854F3"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CONGRESO DE LA REPÚBLICA. Gaceta No. 670 del 11 de agosto de 2020. Exposición de motivos del Proyecto de Ley No. 122 de 2020 Cámara. pp. 3-4.</w:t>
      </w:r>
    </w:p>
  </w:footnote>
  <w:footnote w:id="15">
    <w:p w14:paraId="59AD9726" w14:textId="2B755295"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MARÍN CORTÉS, Fabián Gonzalo. El reglamento, como fuente del derecho administrativo. En: las fuentes del derecho administrativo. Texto inédito. p. 203.</w:t>
      </w:r>
    </w:p>
  </w:footnote>
  <w:footnote w:id="16">
    <w:p w14:paraId="738C7D7E"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i/>
          <w:iCs/>
          <w:color w:val="000000" w:themeColor="text1"/>
          <w:sz w:val="19"/>
          <w:szCs w:val="19"/>
        </w:rPr>
        <w:t>Ibidem</w:t>
      </w:r>
      <w:r w:rsidRPr="00DA3080">
        <w:rPr>
          <w:rFonts w:ascii="Arial" w:hAnsi="Arial" w:cs="Arial"/>
          <w:color w:val="000000" w:themeColor="text1"/>
          <w:sz w:val="19"/>
          <w:szCs w:val="19"/>
        </w:rPr>
        <w:t>.</w:t>
      </w:r>
    </w:p>
  </w:footnote>
  <w:footnote w:id="17">
    <w:p w14:paraId="51D121FA" w14:textId="6C4B57BF" w:rsidR="000D7279" w:rsidRPr="00DA3080" w:rsidRDefault="000D7279" w:rsidP="00B171C5">
      <w:pPr>
        <w:pStyle w:val="Textonotapie"/>
        <w:spacing w:after="0" w:line="240" w:lineRule="auto"/>
        <w:ind w:firstLine="708"/>
        <w:rPr>
          <w:rFonts w:ascii="Arial" w:hAnsi="Arial" w:cs="Arial"/>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En concreto, se hace referencia a los Conceptos </w:t>
      </w:r>
      <w:r w:rsidR="00043EF1" w:rsidRPr="00DA3080">
        <w:rPr>
          <w:rFonts w:ascii="Arial" w:eastAsia="Calibri" w:hAnsi="Arial" w:cs="Arial"/>
          <w:bCs/>
          <w:color w:val="000000" w:themeColor="text1"/>
          <w:sz w:val="19"/>
          <w:szCs w:val="19"/>
          <w:lang w:val="es-ES_tradnl"/>
        </w:rPr>
        <w:t>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w:t>
      </w:r>
      <w:r w:rsidR="001261F5" w:rsidRPr="00DA3080">
        <w:rPr>
          <w:rFonts w:ascii="Arial" w:eastAsia="Calibri" w:hAnsi="Arial" w:cs="Arial"/>
          <w:bCs/>
          <w:color w:val="000000" w:themeColor="text1"/>
          <w:sz w:val="19"/>
          <w:szCs w:val="19"/>
          <w:lang w:val="es-ES_tradnl"/>
        </w:rPr>
        <w:t>,</w:t>
      </w:r>
      <w:r w:rsidR="00043EF1" w:rsidRPr="00DA3080">
        <w:rPr>
          <w:rFonts w:ascii="Arial" w:eastAsia="Calibri" w:hAnsi="Arial" w:cs="Arial"/>
          <w:bCs/>
          <w:color w:val="000000" w:themeColor="text1"/>
          <w:sz w:val="19"/>
          <w:szCs w:val="19"/>
          <w:lang w:val="es-ES_tradnl"/>
        </w:rPr>
        <w:t xml:space="preserve"> C-573 de 13 de octubre de 2021</w:t>
      </w:r>
      <w:r w:rsidR="00912FF8" w:rsidRPr="00DA3080">
        <w:rPr>
          <w:rFonts w:ascii="Arial" w:eastAsia="Calibri" w:hAnsi="Arial" w:cs="Arial"/>
          <w:bCs/>
          <w:color w:val="000000" w:themeColor="text1"/>
          <w:sz w:val="19"/>
          <w:szCs w:val="19"/>
          <w:lang w:val="es-ES_tradnl"/>
        </w:rPr>
        <w:t xml:space="preserve"> y</w:t>
      </w:r>
      <w:r w:rsidR="001261F5" w:rsidRPr="00DA3080">
        <w:rPr>
          <w:rFonts w:ascii="Arial" w:eastAsia="Calibri" w:hAnsi="Arial" w:cs="Arial"/>
          <w:bCs/>
          <w:color w:val="000000" w:themeColor="text1"/>
          <w:sz w:val="19"/>
          <w:szCs w:val="19"/>
          <w:lang w:val="es-ES_tradnl"/>
        </w:rPr>
        <w:t xml:space="preserve"> C-673 del 4 de enero de 2022</w:t>
      </w:r>
      <w:r w:rsidR="00043EF1" w:rsidRPr="00DA3080">
        <w:rPr>
          <w:rFonts w:ascii="Arial" w:eastAsia="Calibri" w:hAnsi="Arial" w:cs="Arial"/>
          <w:bCs/>
          <w:color w:val="000000" w:themeColor="text1"/>
          <w:sz w:val="19"/>
          <w:szCs w:val="19"/>
          <w:lang w:val="es-ES_tradnl"/>
        </w:rPr>
        <w:t>.</w:t>
      </w:r>
    </w:p>
  </w:footnote>
  <w:footnote w:id="18">
    <w:p w14:paraId="66D81E26" w14:textId="0A2550CC"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footnote>
  <w:footnote w:id="19">
    <w:p w14:paraId="0C09929E"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664A5FB5"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4E469851"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»b) El término previsto en la invitación para presentar la oferta no podrá ser inferior a un día hábil;</w:t>
      </w:r>
    </w:p>
    <w:p w14:paraId="054E350B"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2455A3C4"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p>
  </w:footnote>
  <w:footnote w:id="20">
    <w:p w14:paraId="04785599"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lang w:val="es-ES"/>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BENAVIDES, José Luis. La potestad reglamentaria en la contratación pública. En: Contratos públicos: Estudios. Bogotá: Universidad Externado de Colombia, 2014. p. 174.</w:t>
      </w:r>
    </w:p>
  </w:footnote>
  <w:footnote w:id="21">
    <w:p w14:paraId="17787553"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Esta norma dispone que los actos administrativos no pueden ejecutarse «Cuando desaparezcan sus fundamentos de hecho o de derecho».</w:t>
      </w:r>
    </w:p>
  </w:footnote>
  <w:footnote w:id="22">
    <w:p w14:paraId="0339A11C"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En los demás incisos, ambas normas tienen una redacción similar cuando prescriben que: «De igual forma, en los pliegos de condiciones </w:t>
      </w:r>
      <w:bookmarkStart w:id="14" w:name="_Hlk63844516"/>
      <w:r w:rsidRPr="00DA3080">
        <w:rPr>
          <w:rFonts w:ascii="Arial" w:hAnsi="Arial" w:cs="Arial"/>
          <w:color w:val="000000" w:themeColor="text1"/>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4"/>
      <w:r w:rsidRPr="00DA3080">
        <w:rPr>
          <w:rFonts w:ascii="Arial" w:hAnsi="Arial" w:cs="Arial"/>
          <w:color w:val="000000" w:themeColor="text1"/>
          <w:sz w:val="19"/>
          <w:szCs w:val="19"/>
        </w:rPr>
        <w:t>; siempre que se garanticen las condiciones de calidad y cumplimiento del objeto contractual.</w:t>
      </w:r>
    </w:p>
    <w:p w14:paraId="54E66C3D"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6D33B6D"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C2B6B18" w14:textId="7E5F0B9D"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footnote>
  <w:footnote w:id="23">
    <w:p w14:paraId="68B84DE2" w14:textId="77777777"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24">
    <w:p w14:paraId="0190D2F6" w14:textId="77777777" w:rsidR="00D14890" w:rsidRPr="00DA3080" w:rsidRDefault="00D14890" w:rsidP="00B171C5">
      <w:pPr>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El artículo 5 de la Ley 57 de 1887 dispone que «Cuando haya incompatibilidad entre una disposición constitucional y una legal, preferirá aquélla. </w:t>
      </w:r>
    </w:p>
    <w:p w14:paraId="2BF9E483" w14:textId="77777777" w:rsidR="00D14890" w:rsidRPr="00DA3080" w:rsidRDefault="00D14890" w:rsidP="00B171C5">
      <w:pPr>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 xml:space="preserve">»Si en los Códigos que se adoptan se hallaren algunas disposiciones incompatibles entre sí, se observarán en su aplicación las reglas siguientes: </w:t>
      </w:r>
    </w:p>
    <w:p w14:paraId="2CC03176" w14:textId="77777777" w:rsidR="00D14890" w:rsidRPr="00DA3080" w:rsidRDefault="00D14890" w:rsidP="00B171C5">
      <w:pPr>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 xml:space="preserve">»1ª La disposición relativa a un asunto especial prefiere a la que tenga carácter general; </w:t>
      </w:r>
    </w:p>
    <w:p w14:paraId="103CE821" w14:textId="74F3644B" w:rsidR="00D14890" w:rsidRPr="00DA3080" w:rsidRDefault="00D14890" w:rsidP="00B171C5">
      <w:pPr>
        <w:spacing w:after="0" w:line="240" w:lineRule="auto"/>
        <w:ind w:firstLine="709"/>
        <w:rPr>
          <w:rFonts w:ascii="Arial" w:hAnsi="Arial" w:cs="Arial"/>
          <w:color w:val="000000" w:themeColor="text1"/>
          <w:sz w:val="19"/>
          <w:szCs w:val="19"/>
        </w:rPr>
      </w:pPr>
      <w:r w:rsidRPr="00DA3080">
        <w:rPr>
          <w:rFonts w:ascii="Arial" w:hAnsi="Arial" w:cs="Arial"/>
          <w:color w:val="000000" w:themeColor="text1"/>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footnote>
  <w:footnote w:id="25">
    <w:p w14:paraId="5CFD6CF6" w14:textId="211F61CB"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Cfr. GUASTINI, Riccardo. Interpretar y argumentar. Madrid: Centro de Estudios Constitucionales, 2014. p. 134.</w:t>
      </w:r>
    </w:p>
  </w:footnote>
  <w:footnote w:id="26">
    <w:p w14:paraId="11D53273" w14:textId="71E97358"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DÍEZ-PICAZO, Luis María. La derogación de las leyes. Madrid: Editorial Civitas, 1990. p. 363. En el mismo sentido, la doctrina explica que «En los casos en que las reglas se superponen parcialmente, </w:t>
      </w:r>
      <w:r w:rsidRPr="00DA3080">
        <w:rPr>
          <w:rFonts w:ascii="Arial" w:hAnsi="Arial" w:cs="Arial"/>
          <w:i/>
          <w:iCs/>
          <w:color w:val="000000" w:themeColor="text1"/>
          <w:sz w:val="19"/>
          <w:szCs w:val="19"/>
        </w:rPr>
        <w:t>lex posterior</w:t>
      </w:r>
      <w:r w:rsidRPr="00DA3080">
        <w:rPr>
          <w:rFonts w:ascii="Arial" w:hAnsi="Arial" w:cs="Arial"/>
          <w:color w:val="000000" w:themeColor="text1"/>
          <w:sz w:val="19"/>
          <w:szCs w:val="19"/>
        </w:rPr>
        <w:t xml:space="preserve"> da apoyo, por cierto, la presunción de que la regla mas reciente se encontrará en una situación de preferencia respecto de la anterior, pero ello no es incondicionalmente así. </w:t>
      </w:r>
      <w:r w:rsidRPr="00DA3080">
        <w:rPr>
          <w:rFonts w:ascii="Arial" w:hAnsi="Arial" w:cs="Arial"/>
          <w:i/>
          <w:iCs/>
          <w:color w:val="000000" w:themeColor="text1"/>
          <w:sz w:val="19"/>
          <w:szCs w:val="19"/>
        </w:rPr>
        <w:t>Lex posterior</w:t>
      </w:r>
      <w:r w:rsidRPr="00DA3080">
        <w:rPr>
          <w:rFonts w:ascii="Arial" w:hAnsi="Arial" w:cs="Arial"/>
          <w:color w:val="000000" w:themeColor="text1"/>
          <w:sz w:val="19"/>
          <w:szCs w:val="19"/>
        </w:rPr>
        <w:t xml:space="preserve"> solo se aplica en la medida en que, en términos subjetivos, el legislador “tuvo la intención” de reemplazar la ley anterior […]» (Cfr. ROSS, Alf. Sobre el derecho y la justicia. Quinta edición. Buenos Aires: EUDEBA, 1994, p. 127).</w:t>
      </w:r>
      <w:r w:rsidR="006D7173" w:rsidRPr="00DA3080">
        <w:rPr>
          <w:rFonts w:ascii="Arial" w:hAnsi="Arial" w:cs="Arial"/>
          <w:color w:val="000000" w:themeColor="text1"/>
          <w:sz w:val="19"/>
          <w:szCs w:val="19"/>
        </w:rPr>
        <w:t xml:space="preserve"> </w:t>
      </w:r>
    </w:p>
  </w:footnote>
  <w:footnote w:id="27">
    <w:p w14:paraId="1A31D620" w14:textId="07BB0FAB" w:rsidR="00D14890" w:rsidRPr="00DA3080" w:rsidRDefault="00D14890" w:rsidP="00B171C5">
      <w:pPr>
        <w:pStyle w:val="Textonotapie"/>
        <w:spacing w:after="0" w:line="240" w:lineRule="auto"/>
        <w:ind w:firstLine="709"/>
        <w:rPr>
          <w:rFonts w:ascii="Arial" w:hAnsi="Arial" w:cs="Arial"/>
          <w:color w:val="000000" w:themeColor="text1"/>
          <w:sz w:val="19"/>
          <w:szCs w:val="19"/>
        </w:rPr>
      </w:pPr>
      <w:r w:rsidRPr="00DA3080">
        <w:rPr>
          <w:rStyle w:val="Refdenotaalpie"/>
          <w:rFonts w:ascii="Arial" w:hAnsi="Arial" w:cs="Arial"/>
          <w:color w:val="000000" w:themeColor="text1"/>
          <w:sz w:val="19"/>
          <w:szCs w:val="19"/>
        </w:rPr>
        <w:footnoteRef/>
      </w:r>
      <w:r w:rsidRPr="00DA3080">
        <w:rPr>
          <w:rFonts w:ascii="Arial" w:hAnsi="Arial" w:cs="Arial"/>
          <w:color w:val="000000" w:themeColor="text1"/>
          <w:sz w:val="19"/>
          <w:szCs w:val="19"/>
        </w:rPr>
        <w:t xml:space="preserve"> </w:t>
      </w:r>
      <w:r w:rsidRPr="00DA3080">
        <w:rPr>
          <w:rFonts w:ascii="Arial" w:hAnsi="Arial" w:cs="Arial"/>
          <w:i/>
          <w:iCs/>
          <w:color w:val="000000" w:themeColor="text1"/>
          <w:sz w:val="19"/>
          <w:szCs w:val="19"/>
        </w:rPr>
        <w:t>Ibidem</w:t>
      </w:r>
      <w:r w:rsidRPr="00DA3080">
        <w:rPr>
          <w:rFonts w:ascii="Arial" w:hAnsi="Arial" w:cs="Arial"/>
          <w:color w:val="000000" w:themeColor="text1"/>
          <w:sz w:val="19"/>
          <w:szCs w:val="19"/>
        </w:rPr>
        <w:t>. p. 18.</w:t>
      </w:r>
    </w:p>
  </w:footnote>
  <w:footnote w:id="28">
    <w:p w14:paraId="6B17C904" w14:textId="315E2AAD" w:rsidR="004034F8" w:rsidRPr="00DA3080" w:rsidRDefault="004034F8" w:rsidP="00B171C5">
      <w:pPr>
        <w:pStyle w:val="Textonotapie"/>
        <w:spacing w:after="0" w:line="240" w:lineRule="auto"/>
        <w:ind w:firstLine="708"/>
        <w:rPr>
          <w:rFonts w:ascii="Arial" w:hAnsi="Arial" w:cs="Arial"/>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footnote>
  <w:footnote w:id="29">
    <w:p w14:paraId="5E6A4592" w14:textId="1935ADF9" w:rsidR="00455B90" w:rsidRPr="00DA3080" w:rsidRDefault="00455B90" w:rsidP="00B171C5">
      <w:pPr>
        <w:pStyle w:val="Textonotapie"/>
        <w:spacing w:after="0" w:line="240" w:lineRule="auto"/>
        <w:ind w:firstLine="708"/>
        <w:rPr>
          <w:rFonts w:ascii="Arial" w:hAnsi="Arial" w:cs="Arial"/>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30">
    <w:p w14:paraId="38EA5A6B" w14:textId="43154129" w:rsidR="00E36BAC" w:rsidRPr="00DA3080" w:rsidRDefault="00E36BAC" w:rsidP="00B171C5">
      <w:pPr>
        <w:autoSpaceDE w:val="0"/>
        <w:autoSpaceDN w:val="0"/>
        <w:adjustRightInd w:val="0"/>
        <w:spacing w:after="0" w:line="240" w:lineRule="auto"/>
        <w:ind w:firstLine="708"/>
        <w:rPr>
          <w:rFonts w:ascii="Arial" w:hAnsi="Arial" w:cs="Arial"/>
          <w:iCs/>
          <w:color w:val="000000"/>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w:t>
      </w:r>
      <w:r w:rsidR="00CA06EB" w:rsidRPr="00DA3080">
        <w:rPr>
          <w:rFonts w:ascii="Arial" w:hAnsi="Arial" w:cs="Arial"/>
          <w:sz w:val="19"/>
          <w:szCs w:val="19"/>
        </w:rPr>
        <w:t>«</w:t>
      </w:r>
      <w:r w:rsidR="00CA06EB" w:rsidRPr="00DA3080">
        <w:rPr>
          <w:rFonts w:ascii="Arial" w:hAnsi="Arial" w:cs="Arial"/>
          <w:iCs/>
          <w:color w:val="000000"/>
          <w:sz w:val="19"/>
          <w:szCs w:val="19"/>
        </w:rPr>
        <w:t>Artículo 42. De cuando se declara desierta la licitación o concurso de méritos</w:t>
      </w:r>
      <w:r w:rsidRPr="00DA3080">
        <w:rPr>
          <w:rFonts w:ascii="Arial" w:hAnsi="Arial" w:cs="Arial"/>
          <w:iCs/>
          <w:color w:val="000000"/>
          <w:sz w:val="19"/>
          <w:szCs w:val="19"/>
        </w:rPr>
        <w:t xml:space="preserve">. El jefe del organismo respectivo declarará desierta la licitación o el concurso de méritos: </w:t>
      </w:r>
    </w:p>
    <w:p w14:paraId="119B825B" w14:textId="217192E5" w:rsidR="00E36BAC" w:rsidRPr="00DA3080" w:rsidRDefault="00CA06EB" w:rsidP="00B171C5">
      <w:pPr>
        <w:autoSpaceDE w:val="0"/>
        <w:autoSpaceDN w:val="0"/>
        <w:adjustRightInd w:val="0"/>
        <w:spacing w:after="0" w:line="240" w:lineRule="auto"/>
        <w:ind w:firstLine="708"/>
        <w:rPr>
          <w:rFonts w:ascii="Arial" w:hAnsi="Arial" w:cs="Arial"/>
          <w:iCs/>
          <w:color w:val="000000"/>
          <w:sz w:val="19"/>
          <w:szCs w:val="19"/>
        </w:rPr>
      </w:pPr>
      <w:r w:rsidRPr="00DA3080">
        <w:rPr>
          <w:rFonts w:ascii="Arial" w:hAnsi="Arial" w:cs="Arial"/>
          <w:iCs/>
          <w:color w:val="000000"/>
          <w:sz w:val="19"/>
          <w:szCs w:val="19"/>
        </w:rPr>
        <w:t>»</w:t>
      </w:r>
      <w:r w:rsidR="00E36BAC" w:rsidRPr="00DA3080">
        <w:rPr>
          <w:rFonts w:ascii="Arial" w:hAnsi="Arial" w:cs="Arial"/>
          <w:iCs/>
          <w:color w:val="000000"/>
          <w:sz w:val="19"/>
          <w:szCs w:val="19"/>
        </w:rPr>
        <w:t xml:space="preserve">1. Cuando no se presente el número de mínimo de participantes que se haya determinado en el pliego o invitación. </w:t>
      </w:r>
    </w:p>
    <w:p w14:paraId="15E49B7A" w14:textId="1D1D1C3B" w:rsidR="00E36BAC" w:rsidRPr="00DA3080" w:rsidRDefault="00CA06EB" w:rsidP="00B171C5">
      <w:pPr>
        <w:autoSpaceDE w:val="0"/>
        <w:autoSpaceDN w:val="0"/>
        <w:adjustRightInd w:val="0"/>
        <w:spacing w:after="0" w:line="240" w:lineRule="auto"/>
        <w:ind w:firstLine="708"/>
        <w:rPr>
          <w:rFonts w:ascii="Arial" w:hAnsi="Arial" w:cs="Arial"/>
          <w:iCs/>
          <w:color w:val="000000"/>
          <w:sz w:val="19"/>
          <w:szCs w:val="19"/>
        </w:rPr>
      </w:pPr>
      <w:r w:rsidRPr="00DA3080">
        <w:rPr>
          <w:rFonts w:ascii="Arial" w:hAnsi="Arial" w:cs="Arial"/>
          <w:iCs/>
          <w:color w:val="000000"/>
          <w:sz w:val="19"/>
          <w:szCs w:val="19"/>
        </w:rPr>
        <w:t>»</w:t>
      </w:r>
      <w:r w:rsidR="00E36BAC" w:rsidRPr="00DA3080">
        <w:rPr>
          <w:rFonts w:ascii="Arial" w:hAnsi="Arial" w:cs="Arial"/>
          <w:iCs/>
          <w:color w:val="000000"/>
          <w:sz w:val="19"/>
          <w:szCs w:val="19"/>
        </w:rPr>
        <w:t xml:space="preserve">2. Cuando el procedimiento se hubiere adelantado con pretermisión de alguno de los requisitos previstos en este estatuto o en sus normas reglamentarias. </w:t>
      </w:r>
    </w:p>
    <w:p w14:paraId="7E2D568E" w14:textId="00D0D064" w:rsidR="00E36BAC" w:rsidRPr="00DA3080" w:rsidRDefault="00CA06EB" w:rsidP="00B171C5">
      <w:pPr>
        <w:autoSpaceDE w:val="0"/>
        <w:autoSpaceDN w:val="0"/>
        <w:adjustRightInd w:val="0"/>
        <w:spacing w:after="0" w:line="240" w:lineRule="auto"/>
        <w:ind w:firstLine="708"/>
        <w:rPr>
          <w:rFonts w:ascii="Arial" w:hAnsi="Arial" w:cs="Arial"/>
          <w:iCs/>
          <w:color w:val="000000"/>
          <w:sz w:val="19"/>
          <w:szCs w:val="19"/>
        </w:rPr>
      </w:pPr>
      <w:r w:rsidRPr="00DA3080">
        <w:rPr>
          <w:rFonts w:ascii="Arial" w:hAnsi="Arial" w:cs="Arial"/>
          <w:iCs/>
          <w:color w:val="000000"/>
          <w:sz w:val="19"/>
          <w:szCs w:val="19"/>
        </w:rPr>
        <w:t>»</w:t>
      </w:r>
      <w:r w:rsidR="00E36BAC" w:rsidRPr="00DA3080">
        <w:rPr>
          <w:rFonts w:ascii="Arial" w:hAnsi="Arial" w:cs="Arial"/>
          <w:iCs/>
          <w:color w:val="000000"/>
          <w:sz w:val="19"/>
          <w:szCs w:val="19"/>
        </w:rPr>
        <w:t xml:space="preserve">3. Cuando ninguna de las propuestas se ajustare al pliego de condiciones o a la invitación. </w:t>
      </w:r>
    </w:p>
    <w:p w14:paraId="2C5E917B" w14:textId="4B3DD0EA" w:rsidR="00E36BAC" w:rsidRPr="00DA3080" w:rsidRDefault="00CA06EB" w:rsidP="00B171C5">
      <w:pPr>
        <w:autoSpaceDE w:val="0"/>
        <w:autoSpaceDN w:val="0"/>
        <w:adjustRightInd w:val="0"/>
        <w:spacing w:after="0" w:line="240" w:lineRule="auto"/>
        <w:ind w:firstLine="708"/>
        <w:rPr>
          <w:rFonts w:ascii="Arial" w:hAnsi="Arial" w:cs="Arial"/>
          <w:iCs/>
          <w:color w:val="000000"/>
          <w:sz w:val="19"/>
          <w:szCs w:val="19"/>
        </w:rPr>
      </w:pPr>
      <w:r w:rsidRPr="00DA3080">
        <w:rPr>
          <w:rFonts w:ascii="Arial" w:hAnsi="Arial" w:cs="Arial"/>
          <w:iCs/>
          <w:color w:val="000000"/>
          <w:sz w:val="19"/>
          <w:szCs w:val="19"/>
        </w:rPr>
        <w:t>»</w:t>
      </w:r>
      <w:r w:rsidR="00E36BAC" w:rsidRPr="00DA3080">
        <w:rPr>
          <w:rFonts w:ascii="Arial" w:hAnsi="Arial" w:cs="Arial"/>
          <w:iCs/>
          <w:color w:val="000000"/>
          <w:sz w:val="19"/>
          <w:szCs w:val="19"/>
        </w:rPr>
        <w:t>4. Cuando se hubiere violado la reserva de las mismas de manera ostensible y antes del cierre de la licitación o concurso.</w:t>
      </w:r>
      <w:r w:rsidR="00470509" w:rsidRPr="00DA3080">
        <w:rPr>
          <w:rFonts w:ascii="Arial" w:hAnsi="Arial" w:cs="Arial"/>
          <w:iCs/>
          <w:color w:val="000000"/>
          <w:sz w:val="19"/>
          <w:szCs w:val="19"/>
        </w:rPr>
        <w:t xml:space="preserve"> </w:t>
      </w:r>
    </w:p>
    <w:p w14:paraId="42FFD3F4" w14:textId="0B19D1A5" w:rsidR="00E36BAC" w:rsidRPr="00DA3080" w:rsidRDefault="00CA06EB" w:rsidP="00B171C5">
      <w:pPr>
        <w:autoSpaceDE w:val="0"/>
        <w:autoSpaceDN w:val="0"/>
        <w:adjustRightInd w:val="0"/>
        <w:spacing w:after="0" w:line="240" w:lineRule="auto"/>
        <w:ind w:firstLine="708"/>
        <w:rPr>
          <w:rFonts w:ascii="Arial" w:hAnsi="Arial" w:cs="Arial"/>
          <w:iCs/>
          <w:color w:val="000000"/>
          <w:sz w:val="19"/>
          <w:szCs w:val="19"/>
        </w:rPr>
      </w:pPr>
      <w:r w:rsidRPr="00DA3080">
        <w:rPr>
          <w:rFonts w:ascii="Arial" w:hAnsi="Arial" w:cs="Arial"/>
          <w:iCs/>
          <w:color w:val="000000"/>
          <w:sz w:val="19"/>
          <w:szCs w:val="19"/>
        </w:rPr>
        <w:t>»</w:t>
      </w:r>
      <w:r w:rsidR="00E36BAC" w:rsidRPr="00DA3080">
        <w:rPr>
          <w:rFonts w:ascii="Arial" w:hAnsi="Arial" w:cs="Arial"/>
          <w:iCs/>
          <w:color w:val="000000"/>
          <w:sz w:val="19"/>
          <w:szCs w:val="19"/>
        </w:rPr>
        <w:t>5. Cuando a su juicio, las diferentes propuestas se consideren inconvenientes para la entidad contratante.</w:t>
      </w:r>
    </w:p>
    <w:p w14:paraId="302516E0" w14:textId="258D06E6" w:rsidR="00CA06EB" w:rsidRPr="00DA3080" w:rsidRDefault="00CA06EB" w:rsidP="00B171C5">
      <w:pPr>
        <w:pStyle w:val="Textonotapie"/>
        <w:spacing w:after="0" w:line="240" w:lineRule="auto"/>
        <w:ind w:firstLine="708"/>
        <w:rPr>
          <w:rFonts w:ascii="Arial" w:hAnsi="Arial" w:cs="Arial"/>
          <w:sz w:val="19"/>
          <w:szCs w:val="19"/>
        </w:rPr>
      </w:pPr>
      <w:r w:rsidRPr="00DA3080">
        <w:rPr>
          <w:rFonts w:ascii="Arial" w:hAnsi="Arial" w:cs="Arial"/>
          <w:iCs/>
          <w:color w:val="000000"/>
          <w:sz w:val="19"/>
          <w:szCs w:val="19"/>
        </w:rPr>
        <w:t>»</w:t>
      </w:r>
      <w:r w:rsidR="00E36BAC" w:rsidRPr="00DA3080">
        <w:rPr>
          <w:rFonts w:ascii="Arial" w:hAnsi="Arial" w:cs="Arial"/>
          <w:iCs/>
          <w:color w:val="000000"/>
          <w:sz w:val="19"/>
          <w:szCs w:val="19"/>
        </w:rPr>
        <w:t>En los casos previstos en los numerales 1, 2, 3 y 4 de este artículo, la declaratoria deberá hacerse mediante resolución motivada</w:t>
      </w:r>
      <w:r w:rsidRPr="00DA3080">
        <w:rPr>
          <w:rFonts w:ascii="Arial" w:hAnsi="Arial" w:cs="Arial"/>
          <w:iCs/>
          <w:color w:val="000000"/>
          <w:sz w:val="19"/>
          <w:szCs w:val="19"/>
        </w:rPr>
        <w:t>.</w:t>
      </w:r>
    </w:p>
  </w:footnote>
  <w:footnote w:id="31">
    <w:p w14:paraId="30EB629C" w14:textId="6A0A16C5" w:rsidR="00470509" w:rsidRPr="00DA3080" w:rsidRDefault="00470509" w:rsidP="00B171C5">
      <w:pPr>
        <w:pStyle w:val="Textonotapie"/>
        <w:spacing w:after="0" w:line="240" w:lineRule="auto"/>
        <w:ind w:firstLine="708"/>
        <w:rPr>
          <w:rFonts w:ascii="Arial" w:hAnsi="Arial" w:cs="Arial"/>
          <w:color w:val="000000"/>
          <w:sz w:val="19"/>
          <w:szCs w:val="19"/>
        </w:rPr>
      </w:pPr>
      <w:r w:rsidRPr="00DA3080">
        <w:rPr>
          <w:rStyle w:val="Refdenotaalpie"/>
          <w:rFonts w:ascii="Arial" w:hAnsi="Arial" w:cs="Arial"/>
          <w:sz w:val="19"/>
          <w:szCs w:val="19"/>
        </w:rPr>
        <w:footnoteRef/>
      </w:r>
      <w:r w:rsidRPr="00DA3080">
        <w:rPr>
          <w:rFonts w:ascii="Arial" w:hAnsi="Arial" w:cs="Arial"/>
          <w:sz w:val="19"/>
          <w:szCs w:val="19"/>
          <w:lang w:val="es-ES_tradnl"/>
        </w:rPr>
        <w:t xml:space="preserve"> </w:t>
      </w:r>
      <w:r w:rsidRPr="00DA3080">
        <w:rPr>
          <w:rFonts w:ascii="Arial" w:hAnsi="Arial" w:cs="Arial"/>
          <w:color w:val="000000"/>
          <w:sz w:val="19"/>
          <w:szCs w:val="19"/>
        </w:rPr>
        <w:t>Es de anotar que este autor solo da cabida a la declaratoria de desierta cuando son varios los proponentes y no contempla en su escrito para este acto la posibilidad de que el oferente sea uno y no cumpla con los requisitos.</w:t>
      </w:r>
    </w:p>
  </w:footnote>
  <w:footnote w:id="32">
    <w:p w14:paraId="3BCE751C" w14:textId="613EE9A9" w:rsidR="00345276" w:rsidRPr="00DA3080" w:rsidRDefault="00345276" w:rsidP="00B171C5">
      <w:pPr>
        <w:pStyle w:val="Textonotapie"/>
        <w:spacing w:after="0" w:line="240" w:lineRule="auto"/>
        <w:ind w:firstLine="708"/>
        <w:rPr>
          <w:rFonts w:ascii="Arial" w:hAnsi="Arial" w:cs="Arial"/>
          <w:color w:val="000000"/>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w:t>
      </w:r>
      <w:r w:rsidR="00F0401A" w:rsidRPr="00DA3080">
        <w:rPr>
          <w:rFonts w:ascii="Arial" w:hAnsi="Arial" w:cs="Arial"/>
          <w:sz w:val="19"/>
          <w:szCs w:val="19"/>
        </w:rPr>
        <w:t>En relación con este aspecto, el Consejo de Estado ha expresado: «</w:t>
      </w:r>
      <w:r w:rsidRPr="00DA3080">
        <w:rPr>
          <w:rFonts w:ascii="Arial" w:hAnsi="Arial" w:cs="Arial"/>
          <w:color w:val="000000"/>
          <w:sz w:val="19"/>
          <w:szCs w:val="19"/>
        </w:rPr>
        <w:t xml:space="preserve">La etapa de licitación contractual culmina ordinariamente o bien con el acto de adjudicación o bien con el que la declara desierta y a ella sigue en el primer evento la contractual propiamente dicha. </w:t>
      </w:r>
    </w:p>
    <w:p w14:paraId="6302DA9C" w14:textId="62BEFCCE" w:rsidR="00345276" w:rsidRPr="00DA3080" w:rsidRDefault="00F0401A" w:rsidP="00B171C5">
      <w:pPr>
        <w:pStyle w:val="Textonotapie"/>
        <w:spacing w:after="0" w:line="240" w:lineRule="auto"/>
        <w:ind w:firstLine="708"/>
        <w:rPr>
          <w:rFonts w:ascii="Arial" w:hAnsi="Arial" w:cs="Arial"/>
          <w:color w:val="000000"/>
          <w:sz w:val="19"/>
          <w:szCs w:val="19"/>
        </w:rPr>
      </w:pPr>
      <w:r w:rsidRPr="00DA3080">
        <w:rPr>
          <w:rFonts w:ascii="Arial" w:hAnsi="Arial" w:cs="Arial"/>
          <w:color w:val="000000"/>
          <w:sz w:val="19"/>
          <w:szCs w:val="19"/>
        </w:rPr>
        <w:t>»</w:t>
      </w:r>
      <w:r w:rsidR="00345276" w:rsidRPr="00DA3080">
        <w:rPr>
          <w:rFonts w:ascii="Arial" w:hAnsi="Arial" w:cs="Arial"/>
          <w:color w:val="000000"/>
          <w:sz w:val="19"/>
          <w:szCs w:val="19"/>
        </w:rPr>
        <w:t>Pero, en ninguna de las dos posibilidades puede hablarse de un acto de trámite, ya que en la una o en la otra se define una actuación administrativa o se cierra una etapa precontractual</w:t>
      </w:r>
      <w:r w:rsidRPr="00DA3080">
        <w:rPr>
          <w:rFonts w:ascii="Arial" w:hAnsi="Arial" w:cs="Arial"/>
          <w:color w:val="000000"/>
          <w:sz w:val="19"/>
          <w:szCs w:val="19"/>
        </w:rPr>
        <w:t>».</w:t>
      </w:r>
      <w:r w:rsidR="00345276" w:rsidRPr="00DA3080">
        <w:rPr>
          <w:rFonts w:ascii="Arial" w:hAnsi="Arial" w:cs="Arial"/>
          <w:color w:val="000000"/>
          <w:sz w:val="19"/>
          <w:szCs w:val="19"/>
        </w:rPr>
        <w:t xml:space="preserve"> (CONSEJO DE ESTADO. Sección tercera. Sentencia del 4 de febrero de 1982, Rad. 2656, C.P. Carlos Betancur Jaramillo).</w:t>
      </w:r>
    </w:p>
  </w:footnote>
  <w:footnote w:id="33">
    <w:p w14:paraId="5B663219" w14:textId="0AAD9EF5" w:rsidR="00F0401A" w:rsidRPr="00DA3080" w:rsidRDefault="00F0401A" w:rsidP="00B171C5">
      <w:pPr>
        <w:pStyle w:val="Textonotapie"/>
        <w:spacing w:after="0" w:line="240" w:lineRule="auto"/>
        <w:ind w:firstLine="708"/>
        <w:rPr>
          <w:rFonts w:ascii="Arial" w:hAnsi="Arial" w:cs="Arial"/>
          <w:sz w:val="19"/>
          <w:szCs w:val="19"/>
          <w:lang w:val="es-CO"/>
        </w:rPr>
      </w:pPr>
      <w:r w:rsidRPr="00DA3080">
        <w:rPr>
          <w:rStyle w:val="Refdenotaalpie"/>
          <w:rFonts w:ascii="Arial" w:hAnsi="Arial" w:cs="Arial"/>
          <w:sz w:val="19"/>
          <w:szCs w:val="19"/>
        </w:rPr>
        <w:footnoteRef/>
      </w:r>
      <w:r w:rsidRPr="00DA3080">
        <w:rPr>
          <w:rFonts w:ascii="Arial" w:hAnsi="Arial" w:cs="Arial"/>
          <w:sz w:val="19"/>
          <w:szCs w:val="19"/>
        </w:rPr>
        <w:t xml:space="preserve"> La postura anterior, también es compartida por la doctrina en los siguientes términos: «La declaratoria de desierta se adopta en un acto administrativo motivado sujeto al recurso de reposición. Sobre este punto no compartimos la posición de un sector de la doctrina para quien la declaratoria de desierta constituye la otra cara de la moneda de la adjudicación y a la que, por ende, le aplica la excepción sobre la procedencia de los recursos dispuesta en la ley para esta última</w:t>
      </w:r>
      <w:r w:rsidR="00CD3B54" w:rsidRPr="00DA3080">
        <w:rPr>
          <w:rFonts w:ascii="Arial" w:hAnsi="Arial" w:cs="Arial"/>
          <w:sz w:val="19"/>
          <w:szCs w:val="19"/>
        </w:rPr>
        <w:t>»</w:t>
      </w:r>
      <w:r w:rsidRPr="00DA3080">
        <w:rPr>
          <w:rFonts w:ascii="Arial" w:hAnsi="Arial" w:cs="Arial"/>
          <w:sz w:val="19"/>
          <w:szCs w:val="19"/>
        </w:rPr>
        <w:t>. (DÁVILA VINUEZA, Luis Guillermo. Régimen jurídico de la contratación estatal. Tercera edición. Bogotá: Legis, 2016. p. 453).</w:t>
      </w:r>
    </w:p>
  </w:footnote>
  <w:footnote w:id="34">
    <w:p w14:paraId="61BCF8E7" w14:textId="77777777" w:rsidR="00F0401A" w:rsidRPr="00DA3080" w:rsidRDefault="00F0401A" w:rsidP="00B171C5">
      <w:pPr>
        <w:pStyle w:val="Textonotapie"/>
        <w:spacing w:after="0" w:line="240" w:lineRule="auto"/>
        <w:ind w:firstLine="708"/>
        <w:rPr>
          <w:rFonts w:ascii="Arial" w:hAnsi="Arial" w:cs="Arial"/>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Estos artículos de la Ley 1437 de 2011 establecen: «Artículo 2o.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29A5AF14" w14:textId="77777777" w:rsidR="00F0401A" w:rsidRPr="00DA3080" w:rsidRDefault="00F0401A" w:rsidP="00B171C5">
      <w:pPr>
        <w:pStyle w:val="Textonotapie"/>
        <w:spacing w:after="0" w:line="240" w:lineRule="auto"/>
        <w:ind w:firstLine="708"/>
        <w:rPr>
          <w:rFonts w:ascii="Arial" w:hAnsi="Arial" w:cs="Arial"/>
          <w:sz w:val="19"/>
          <w:szCs w:val="19"/>
        </w:rPr>
      </w:pPr>
      <w:r w:rsidRPr="00DA3080">
        <w:rPr>
          <w:rFonts w:ascii="Arial" w:hAnsi="Arial" w:cs="Arial"/>
          <w:sz w:val="19"/>
          <w:szCs w:val="19"/>
        </w:rPr>
        <w:t>[…]</w:t>
      </w:r>
    </w:p>
    <w:p w14:paraId="543A6117" w14:textId="77777777" w:rsidR="00F0401A" w:rsidRPr="00DA3080" w:rsidRDefault="00F0401A" w:rsidP="00B171C5">
      <w:pPr>
        <w:pStyle w:val="Textonotapie"/>
        <w:spacing w:after="0" w:line="240" w:lineRule="auto"/>
        <w:ind w:firstLine="708"/>
        <w:rPr>
          <w:rFonts w:ascii="Arial" w:hAnsi="Arial" w:cs="Arial"/>
          <w:sz w:val="19"/>
          <w:szCs w:val="19"/>
        </w:rPr>
      </w:pPr>
      <w:r w:rsidRPr="00DA3080">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76398F25" w14:textId="608A8CD5" w:rsidR="00F0401A" w:rsidRPr="00DA3080" w:rsidRDefault="00F0401A" w:rsidP="00B171C5">
      <w:pPr>
        <w:pStyle w:val="Textonotapie"/>
        <w:spacing w:after="0" w:line="240" w:lineRule="auto"/>
        <w:ind w:firstLine="708"/>
        <w:rPr>
          <w:rFonts w:ascii="Arial" w:hAnsi="Arial" w:cs="Arial"/>
          <w:sz w:val="19"/>
          <w:szCs w:val="19"/>
        </w:rPr>
      </w:pPr>
      <w:r w:rsidRPr="00DA3080">
        <w:rPr>
          <w:rFonts w:ascii="Arial" w:hAnsi="Arial" w:cs="Arial"/>
          <w:sz w:val="19"/>
          <w:szCs w:val="19"/>
        </w:rPr>
        <w:t>«Artículo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footnote>
  <w:footnote w:id="35">
    <w:p w14:paraId="3E05D11E" w14:textId="3C1EBEC5" w:rsidR="004339C1" w:rsidRPr="00DA3080" w:rsidRDefault="004339C1" w:rsidP="004339C1">
      <w:pPr>
        <w:pStyle w:val="Textonotapie"/>
        <w:spacing w:after="0" w:line="240" w:lineRule="auto"/>
        <w:ind w:firstLine="708"/>
        <w:rPr>
          <w:rFonts w:ascii="Arial" w:hAnsi="Arial" w:cs="Arial"/>
          <w:sz w:val="19"/>
          <w:szCs w:val="19"/>
        </w:rPr>
      </w:pPr>
      <w:r w:rsidRPr="00DA3080">
        <w:rPr>
          <w:rFonts w:ascii="Arial" w:hAnsi="Arial" w:cs="Arial"/>
          <w:sz w:val="19"/>
          <w:szCs w:val="19"/>
          <w:vertAlign w:val="superscript"/>
        </w:rPr>
        <w:footnoteRef/>
      </w:r>
      <w:r w:rsidRPr="00DA3080">
        <w:rPr>
          <w:rFonts w:ascii="Arial" w:hAnsi="Arial" w:cs="Arial"/>
          <w:sz w:val="19"/>
          <w:szCs w:val="19"/>
        </w:rPr>
        <w:t xml:space="preserve"> «Artículo 76. 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63B8DDDB" w14:textId="6D7F8761" w:rsidR="004339C1" w:rsidRPr="004339C1" w:rsidRDefault="004339C1" w:rsidP="004339C1">
      <w:pPr>
        <w:pStyle w:val="Textonotapie"/>
        <w:spacing w:after="0" w:line="240" w:lineRule="auto"/>
        <w:ind w:firstLine="708"/>
        <w:rPr>
          <w:rFonts w:ascii="Arial" w:hAnsi="Arial" w:cs="Arial"/>
          <w:sz w:val="19"/>
          <w:szCs w:val="19"/>
        </w:rPr>
      </w:pPr>
      <w:r w:rsidRPr="00DA3080">
        <w:rPr>
          <w:rFonts w:ascii="Arial" w:hAnsi="Arial" w:cs="Arial"/>
          <w:sz w:val="19"/>
          <w:szCs w:val="19"/>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s-CO" w:eastAsia="es-CO"/>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B64323" w:rsidP="00FE0395">
    <w:pPr>
      <w:pStyle w:val="Encabezado"/>
      <w:spacing w:after="0"/>
    </w:pPr>
  </w:p>
  <w:p w14:paraId="6A39F5AE" w14:textId="77777777" w:rsidR="00412132" w:rsidRDefault="00B643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 w15:restartNumberingAfterBreak="0">
    <w:nsid w:val="56BC2763"/>
    <w:multiLevelType w:val="hybridMultilevel"/>
    <w:tmpl w:val="17B03972"/>
    <w:lvl w:ilvl="0" w:tplc="AAB0AF5C">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2565852">
    <w:abstractNumId w:val="0"/>
  </w:num>
  <w:num w:numId="2" w16cid:durableId="1995638824">
    <w:abstractNumId w:val="2"/>
  </w:num>
  <w:num w:numId="3" w16cid:durableId="206571472">
    <w:abstractNumId w:val="3"/>
  </w:num>
  <w:num w:numId="4" w16cid:durableId="196045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3"/>
    <w:rsid w:val="00000106"/>
    <w:rsid w:val="00001152"/>
    <w:rsid w:val="00001D47"/>
    <w:rsid w:val="000069C4"/>
    <w:rsid w:val="0000769C"/>
    <w:rsid w:val="00022F3F"/>
    <w:rsid w:val="00043818"/>
    <w:rsid w:val="00043A83"/>
    <w:rsid w:val="00043EF1"/>
    <w:rsid w:val="00044DA2"/>
    <w:rsid w:val="00046079"/>
    <w:rsid w:val="00050F5E"/>
    <w:rsid w:val="0005159E"/>
    <w:rsid w:val="0005235E"/>
    <w:rsid w:val="00053C54"/>
    <w:rsid w:val="00056E3C"/>
    <w:rsid w:val="000605B1"/>
    <w:rsid w:val="00061F84"/>
    <w:rsid w:val="0006334E"/>
    <w:rsid w:val="0006713C"/>
    <w:rsid w:val="0007079B"/>
    <w:rsid w:val="00072101"/>
    <w:rsid w:val="000740E8"/>
    <w:rsid w:val="000752BE"/>
    <w:rsid w:val="0008190F"/>
    <w:rsid w:val="00082FD6"/>
    <w:rsid w:val="00084A80"/>
    <w:rsid w:val="000942FE"/>
    <w:rsid w:val="0009437D"/>
    <w:rsid w:val="000955F5"/>
    <w:rsid w:val="000A0A23"/>
    <w:rsid w:val="000A3267"/>
    <w:rsid w:val="000B19F3"/>
    <w:rsid w:val="000B529D"/>
    <w:rsid w:val="000B5DFC"/>
    <w:rsid w:val="000B66C7"/>
    <w:rsid w:val="000C6406"/>
    <w:rsid w:val="000C7182"/>
    <w:rsid w:val="000D03EB"/>
    <w:rsid w:val="000D33B9"/>
    <w:rsid w:val="000D3D99"/>
    <w:rsid w:val="000D7279"/>
    <w:rsid w:val="000E556B"/>
    <w:rsid w:val="000E5820"/>
    <w:rsid w:val="000F0F68"/>
    <w:rsid w:val="000F34E7"/>
    <w:rsid w:val="000F43EB"/>
    <w:rsid w:val="000F6579"/>
    <w:rsid w:val="00100927"/>
    <w:rsid w:val="00106D02"/>
    <w:rsid w:val="00111523"/>
    <w:rsid w:val="00112375"/>
    <w:rsid w:val="00112866"/>
    <w:rsid w:val="00115A90"/>
    <w:rsid w:val="00117662"/>
    <w:rsid w:val="00120434"/>
    <w:rsid w:val="00125910"/>
    <w:rsid w:val="001261F5"/>
    <w:rsid w:val="00126EAB"/>
    <w:rsid w:val="001320B2"/>
    <w:rsid w:val="00136512"/>
    <w:rsid w:val="0013758A"/>
    <w:rsid w:val="00137FD5"/>
    <w:rsid w:val="0014071B"/>
    <w:rsid w:val="001415A7"/>
    <w:rsid w:val="00144243"/>
    <w:rsid w:val="00144CFB"/>
    <w:rsid w:val="0014516B"/>
    <w:rsid w:val="001547C6"/>
    <w:rsid w:val="001563E7"/>
    <w:rsid w:val="0016327F"/>
    <w:rsid w:val="00164CF3"/>
    <w:rsid w:val="001652E2"/>
    <w:rsid w:val="001661F8"/>
    <w:rsid w:val="00170D28"/>
    <w:rsid w:val="0017144B"/>
    <w:rsid w:val="00172A79"/>
    <w:rsid w:val="0018051D"/>
    <w:rsid w:val="00182640"/>
    <w:rsid w:val="0018455A"/>
    <w:rsid w:val="00184783"/>
    <w:rsid w:val="0018539D"/>
    <w:rsid w:val="00190FE6"/>
    <w:rsid w:val="001947D5"/>
    <w:rsid w:val="001A1340"/>
    <w:rsid w:val="001B01F3"/>
    <w:rsid w:val="001B51C3"/>
    <w:rsid w:val="001C20AE"/>
    <w:rsid w:val="001C3078"/>
    <w:rsid w:val="001C3288"/>
    <w:rsid w:val="001C3986"/>
    <w:rsid w:val="001C6BFC"/>
    <w:rsid w:val="001C74D8"/>
    <w:rsid w:val="001D07C5"/>
    <w:rsid w:val="001D2072"/>
    <w:rsid w:val="001D5E31"/>
    <w:rsid w:val="001D73D2"/>
    <w:rsid w:val="001E47F9"/>
    <w:rsid w:val="001E6F30"/>
    <w:rsid w:val="001E75C2"/>
    <w:rsid w:val="001F1C90"/>
    <w:rsid w:val="001F27C8"/>
    <w:rsid w:val="00211ADE"/>
    <w:rsid w:val="00214628"/>
    <w:rsid w:val="002210B9"/>
    <w:rsid w:val="002228D3"/>
    <w:rsid w:val="00223B9C"/>
    <w:rsid w:val="00234466"/>
    <w:rsid w:val="00237BD3"/>
    <w:rsid w:val="00241E8E"/>
    <w:rsid w:val="00252671"/>
    <w:rsid w:val="00252ED9"/>
    <w:rsid w:val="00253927"/>
    <w:rsid w:val="002579DA"/>
    <w:rsid w:val="00264455"/>
    <w:rsid w:val="00265070"/>
    <w:rsid w:val="00276B99"/>
    <w:rsid w:val="00277DCE"/>
    <w:rsid w:val="002848B2"/>
    <w:rsid w:val="0028591C"/>
    <w:rsid w:val="00285F6C"/>
    <w:rsid w:val="00286968"/>
    <w:rsid w:val="002902CF"/>
    <w:rsid w:val="00292ACB"/>
    <w:rsid w:val="0029475E"/>
    <w:rsid w:val="00297D7E"/>
    <w:rsid w:val="002A389C"/>
    <w:rsid w:val="002B088C"/>
    <w:rsid w:val="002B0E17"/>
    <w:rsid w:val="002B163B"/>
    <w:rsid w:val="002B50EE"/>
    <w:rsid w:val="002B53CC"/>
    <w:rsid w:val="002C3ABC"/>
    <w:rsid w:val="002C4226"/>
    <w:rsid w:val="002C4841"/>
    <w:rsid w:val="002C4CB7"/>
    <w:rsid w:val="002C653B"/>
    <w:rsid w:val="002D00B0"/>
    <w:rsid w:val="002D1482"/>
    <w:rsid w:val="002D1C3A"/>
    <w:rsid w:val="002E049A"/>
    <w:rsid w:val="002E1739"/>
    <w:rsid w:val="002E2F17"/>
    <w:rsid w:val="002E2FE2"/>
    <w:rsid w:val="002E40D4"/>
    <w:rsid w:val="002E4608"/>
    <w:rsid w:val="002E5730"/>
    <w:rsid w:val="002F02C5"/>
    <w:rsid w:val="002F1531"/>
    <w:rsid w:val="00300487"/>
    <w:rsid w:val="003057FF"/>
    <w:rsid w:val="003121C9"/>
    <w:rsid w:val="0031265E"/>
    <w:rsid w:val="00314E58"/>
    <w:rsid w:val="00316A0E"/>
    <w:rsid w:val="00324A93"/>
    <w:rsid w:val="00330E29"/>
    <w:rsid w:val="00332296"/>
    <w:rsid w:val="00333356"/>
    <w:rsid w:val="00333616"/>
    <w:rsid w:val="003350BE"/>
    <w:rsid w:val="00335655"/>
    <w:rsid w:val="00335989"/>
    <w:rsid w:val="003417F9"/>
    <w:rsid w:val="00342095"/>
    <w:rsid w:val="00342484"/>
    <w:rsid w:val="00345276"/>
    <w:rsid w:val="00347E32"/>
    <w:rsid w:val="00350D9B"/>
    <w:rsid w:val="003517EC"/>
    <w:rsid w:val="0035216D"/>
    <w:rsid w:val="003567A2"/>
    <w:rsid w:val="0035727E"/>
    <w:rsid w:val="0035778A"/>
    <w:rsid w:val="0036076B"/>
    <w:rsid w:val="003615B5"/>
    <w:rsid w:val="00365B44"/>
    <w:rsid w:val="00367C52"/>
    <w:rsid w:val="00372D85"/>
    <w:rsid w:val="00373355"/>
    <w:rsid w:val="0037705A"/>
    <w:rsid w:val="0038098C"/>
    <w:rsid w:val="00381066"/>
    <w:rsid w:val="00381823"/>
    <w:rsid w:val="00381B55"/>
    <w:rsid w:val="00383D7D"/>
    <w:rsid w:val="00387A85"/>
    <w:rsid w:val="0039323C"/>
    <w:rsid w:val="003965B7"/>
    <w:rsid w:val="0039684E"/>
    <w:rsid w:val="00396E90"/>
    <w:rsid w:val="003A5FCB"/>
    <w:rsid w:val="003A78ED"/>
    <w:rsid w:val="003A7E75"/>
    <w:rsid w:val="003B3CE7"/>
    <w:rsid w:val="003B67A4"/>
    <w:rsid w:val="003C665A"/>
    <w:rsid w:val="003C7C98"/>
    <w:rsid w:val="003D2622"/>
    <w:rsid w:val="003D502C"/>
    <w:rsid w:val="003D6A9A"/>
    <w:rsid w:val="003E3F6C"/>
    <w:rsid w:val="003E46BF"/>
    <w:rsid w:val="003F0360"/>
    <w:rsid w:val="003F1F9B"/>
    <w:rsid w:val="003F267E"/>
    <w:rsid w:val="003F3764"/>
    <w:rsid w:val="003F5075"/>
    <w:rsid w:val="003F7B85"/>
    <w:rsid w:val="003F7D27"/>
    <w:rsid w:val="004002A8"/>
    <w:rsid w:val="004034F8"/>
    <w:rsid w:val="00404092"/>
    <w:rsid w:val="00407706"/>
    <w:rsid w:val="00411C70"/>
    <w:rsid w:val="0041299F"/>
    <w:rsid w:val="0041408F"/>
    <w:rsid w:val="004155BC"/>
    <w:rsid w:val="0041577E"/>
    <w:rsid w:val="00415C3C"/>
    <w:rsid w:val="004179D7"/>
    <w:rsid w:val="00422C66"/>
    <w:rsid w:val="004233D9"/>
    <w:rsid w:val="00425AF4"/>
    <w:rsid w:val="00427C16"/>
    <w:rsid w:val="00430256"/>
    <w:rsid w:val="00431C6F"/>
    <w:rsid w:val="004322B6"/>
    <w:rsid w:val="00432867"/>
    <w:rsid w:val="004339C1"/>
    <w:rsid w:val="00434BB4"/>
    <w:rsid w:val="00434DB0"/>
    <w:rsid w:val="00436FDD"/>
    <w:rsid w:val="004421F5"/>
    <w:rsid w:val="00446B7A"/>
    <w:rsid w:val="00447B3C"/>
    <w:rsid w:val="0045086D"/>
    <w:rsid w:val="00450D17"/>
    <w:rsid w:val="00455B90"/>
    <w:rsid w:val="00456909"/>
    <w:rsid w:val="004579B5"/>
    <w:rsid w:val="00463BCC"/>
    <w:rsid w:val="00466C99"/>
    <w:rsid w:val="00470509"/>
    <w:rsid w:val="00474EF4"/>
    <w:rsid w:val="0048222A"/>
    <w:rsid w:val="00482715"/>
    <w:rsid w:val="00483B7E"/>
    <w:rsid w:val="00485D5A"/>
    <w:rsid w:val="00490E33"/>
    <w:rsid w:val="0049749B"/>
    <w:rsid w:val="004A00C6"/>
    <w:rsid w:val="004A1545"/>
    <w:rsid w:val="004A474B"/>
    <w:rsid w:val="004A7C05"/>
    <w:rsid w:val="004B0934"/>
    <w:rsid w:val="004C1FDC"/>
    <w:rsid w:val="004C43D5"/>
    <w:rsid w:val="004C68E6"/>
    <w:rsid w:val="004D137D"/>
    <w:rsid w:val="004D27F7"/>
    <w:rsid w:val="004D402A"/>
    <w:rsid w:val="004D5343"/>
    <w:rsid w:val="004D7EB6"/>
    <w:rsid w:val="004E0658"/>
    <w:rsid w:val="004E11A1"/>
    <w:rsid w:val="004F1527"/>
    <w:rsid w:val="004F202C"/>
    <w:rsid w:val="0050115F"/>
    <w:rsid w:val="00511C12"/>
    <w:rsid w:val="00520F82"/>
    <w:rsid w:val="005232B1"/>
    <w:rsid w:val="005242A5"/>
    <w:rsid w:val="005259AF"/>
    <w:rsid w:val="00527407"/>
    <w:rsid w:val="00527AAE"/>
    <w:rsid w:val="0053097C"/>
    <w:rsid w:val="005334FB"/>
    <w:rsid w:val="00535880"/>
    <w:rsid w:val="005455DA"/>
    <w:rsid w:val="005462D4"/>
    <w:rsid w:val="00547346"/>
    <w:rsid w:val="00550E53"/>
    <w:rsid w:val="00551886"/>
    <w:rsid w:val="00551FF8"/>
    <w:rsid w:val="005521C9"/>
    <w:rsid w:val="00552FD3"/>
    <w:rsid w:val="0055513E"/>
    <w:rsid w:val="00562B1E"/>
    <w:rsid w:val="00563946"/>
    <w:rsid w:val="00564722"/>
    <w:rsid w:val="0056751F"/>
    <w:rsid w:val="00567D5C"/>
    <w:rsid w:val="00567DB6"/>
    <w:rsid w:val="0057406A"/>
    <w:rsid w:val="00576925"/>
    <w:rsid w:val="00582F26"/>
    <w:rsid w:val="005839B5"/>
    <w:rsid w:val="005856C5"/>
    <w:rsid w:val="00592F86"/>
    <w:rsid w:val="00594602"/>
    <w:rsid w:val="005A72EB"/>
    <w:rsid w:val="005B286C"/>
    <w:rsid w:val="005B61A8"/>
    <w:rsid w:val="005C1A83"/>
    <w:rsid w:val="005C26A7"/>
    <w:rsid w:val="005C48BE"/>
    <w:rsid w:val="005C6A21"/>
    <w:rsid w:val="005C73DC"/>
    <w:rsid w:val="005D0331"/>
    <w:rsid w:val="005D455A"/>
    <w:rsid w:val="005D7794"/>
    <w:rsid w:val="005E2DF4"/>
    <w:rsid w:val="005E3465"/>
    <w:rsid w:val="005E35AB"/>
    <w:rsid w:val="005E69F5"/>
    <w:rsid w:val="005E7A82"/>
    <w:rsid w:val="005F5709"/>
    <w:rsid w:val="005F5BE7"/>
    <w:rsid w:val="005F7C5D"/>
    <w:rsid w:val="005F7DDC"/>
    <w:rsid w:val="00600647"/>
    <w:rsid w:val="006014CD"/>
    <w:rsid w:val="006054DA"/>
    <w:rsid w:val="00617B6F"/>
    <w:rsid w:val="006200E0"/>
    <w:rsid w:val="00621AFC"/>
    <w:rsid w:val="00622D3B"/>
    <w:rsid w:val="006308D1"/>
    <w:rsid w:val="00630A18"/>
    <w:rsid w:val="00633E24"/>
    <w:rsid w:val="00635118"/>
    <w:rsid w:val="0064598D"/>
    <w:rsid w:val="00647607"/>
    <w:rsid w:val="00647B08"/>
    <w:rsid w:val="00662FCA"/>
    <w:rsid w:val="0066300B"/>
    <w:rsid w:val="0066467C"/>
    <w:rsid w:val="006651C3"/>
    <w:rsid w:val="00666D15"/>
    <w:rsid w:val="00672665"/>
    <w:rsid w:val="006745A0"/>
    <w:rsid w:val="00675729"/>
    <w:rsid w:val="006802F9"/>
    <w:rsid w:val="0068071A"/>
    <w:rsid w:val="00682170"/>
    <w:rsid w:val="00683714"/>
    <w:rsid w:val="0068608B"/>
    <w:rsid w:val="00686B16"/>
    <w:rsid w:val="00686CDE"/>
    <w:rsid w:val="006874C7"/>
    <w:rsid w:val="00691346"/>
    <w:rsid w:val="0069144A"/>
    <w:rsid w:val="00691659"/>
    <w:rsid w:val="0069491A"/>
    <w:rsid w:val="006973FF"/>
    <w:rsid w:val="00697707"/>
    <w:rsid w:val="006A4249"/>
    <w:rsid w:val="006A42F1"/>
    <w:rsid w:val="006A4522"/>
    <w:rsid w:val="006A5049"/>
    <w:rsid w:val="006A5F68"/>
    <w:rsid w:val="006B1871"/>
    <w:rsid w:val="006B42C6"/>
    <w:rsid w:val="006C054F"/>
    <w:rsid w:val="006D19D9"/>
    <w:rsid w:val="006D204C"/>
    <w:rsid w:val="006D2F0B"/>
    <w:rsid w:val="006D5ABB"/>
    <w:rsid w:val="006D7173"/>
    <w:rsid w:val="006E1DD2"/>
    <w:rsid w:val="006E705D"/>
    <w:rsid w:val="006F39CA"/>
    <w:rsid w:val="00704D80"/>
    <w:rsid w:val="00707BDC"/>
    <w:rsid w:val="00711306"/>
    <w:rsid w:val="00712A56"/>
    <w:rsid w:val="00713F06"/>
    <w:rsid w:val="00720418"/>
    <w:rsid w:val="00720697"/>
    <w:rsid w:val="00722501"/>
    <w:rsid w:val="00730134"/>
    <w:rsid w:val="007321BB"/>
    <w:rsid w:val="007335D8"/>
    <w:rsid w:val="00741A41"/>
    <w:rsid w:val="0074681A"/>
    <w:rsid w:val="00747A24"/>
    <w:rsid w:val="007506DE"/>
    <w:rsid w:val="00751407"/>
    <w:rsid w:val="00752DAC"/>
    <w:rsid w:val="00753F56"/>
    <w:rsid w:val="007553C8"/>
    <w:rsid w:val="00757332"/>
    <w:rsid w:val="00757BFE"/>
    <w:rsid w:val="00757F7C"/>
    <w:rsid w:val="007619DA"/>
    <w:rsid w:val="00762E86"/>
    <w:rsid w:val="00765C29"/>
    <w:rsid w:val="0077354A"/>
    <w:rsid w:val="00774291"/>
    <w:rsid w:val="007745D8"/>
    <w:rsid w:val="00776DC6"/>
    <w:rsid w:val="007821B1"/>
    <w:rsid w:val="007849CA"/>
    <w:rsid w:val="00786573"/>
    <w:rsid w:val="007907E3"/>
    <w:rsid w:val="00794A71"/>
    <w:rsid w:val="007A1425"/>
    <w:rsid w:val="007A1B65"/>
    <w:rsid w:val="007A21DF"/>
    <w:rsid w:val="007B23EC"/>
    <w:rsid w:val="007C05D3"/>
    <w:rsid w:val="007C3749"/>
    <w:rsid w:val="007C43AE"/>
    <w:rsid w:val="007D2EDD"/>
    <w:rsid w:val="007D335D"/>
    <w:rsid w:val="007D39EE"/>
    <w:rsid w:val="007E7B2E"/>
    <w:rsid w:val="007F4915"/>
    <w:rsid w:val="007F7E36"/>
    <w:rsid w:val="0080474D"/>
    <w:rsid w:val="008058FC"/>
    <w:rsid w:val="0080633C"/>
    <w:rsid w:val="0081513F"/>
    <w:rsid w:val="008162EB"/>
    <w:rsid w:val="00824CF1"/>
    <w:rsid w:val="0082500C"/>
    <w:rsid w:val="00825437"/>
    <w:rsid w:val="00825B5C"/>
    <w:rsid w:val="00826682"/>
    <w:rsid w:val="0082718E"/>
    <w:rsid w:val="00831238"/>
    <w:rsid w:val="00837415"/>
    <w:rsid w:val="0084203B"/>
    <w:rsid w:val="008440E5"/>
    <w:rsid w:val="0084589F"/>
    <w:rsid w:val="008514D9"/>
    <w:rsid w:val="008522FB"/>
    <w:rsid w:val="00854406"/>
    <w:rsid w:val="0086542F"/>
    <w:rsid w:val="00867CD4"/>
    <w:rsid w:val="00870248"/>
    <w:rsid w:val="008714CE"/>
    <w:rsid w:val="00871843"/>
    <w:rsid w:val="008725E6"/>
    <w:rsid w:val="00872F3C"/>
    <w:rsid w:val="008749B5"/>
    <w:rsid w:val="00876A9A"/>
    <w:rsid w:val="00882F40"/>
    <w:rsid w:val="008850F7"/>
    <w:rsid w:val="00885679"/>
    <w:rsid w:val="0089012F"/>
    <w:rsid w:val="00894305"/>
    <w:rsid w:val="00896BB1"/>
    <w:rsid w:val="00896F3D"/>
    <w:rsid w:val="008A170A"/>
    <w:rsid w:val="008A17E7"/>
    <w:rsid w:val="008A63F9"/>
    <w:rsid w:val="008B2A8B"/>
    <w:rsid w:val="008D0729"/>
    <w:rsid w:val="008D2010"/>
    <w:rsid w:val="008D3A8D"/>
    <w:rsid w:val="008D6D21"/>
    <w:rsid w:val="008E12E6"/>
    <w:rsid w:val="008E1C63"/>
    <w:rsid w:val="008F102D"/>
    <w:rsid w:val="008F3ED2"/>
    <w:rsid w:val="008F5FD3"/>
    <w:rsid w:val="008F749D"/>
    <w:rsid w:val="009005C1"/>
    <w:rsid w:val="00902026"/>
    <w:rsid w:val="00903EB8"/>
    <w:rsid w:val="009047DF"/>
    <w:rsid w:val="00905D16"/>
    <w:rsid w:val="0090736B"/>
    <w:rsid w:val="00911064"/>
    <w:rsid w:val="00912E12"/>
    <w:rsid w:val="00912FF8"/>
    <w:rsid w:val="00923D1E"/>
    <w:rsid w:val="00931128"/>
    <w:rsid w:val="00933E9F"/>
    <w:rsid w:val="009346F3"/>
    <w:rsid w:val="00947768"/>
    <w:rsid w:val="00947B81"/>
    <w:rsid w:val="0095217A"/>
    <w:rsid w:val="00957994"/>
    <w:rsid w:val="009614B7"/>
    <w:rsid w:val="00961AF7"/>
    <w:rsid w:val="009643F1"/>
    <w:rsid w:val="009663BF"/>
    <w:rsid w:val="00972F82"/>
    <w:rsid w:val="009756A2"/>
    <w:rsid w:val="00976F6C"/>
    <w:rsid w:val="009802EE"/>
    <w:rsid w:val="00981FB1"/>
    <w:rsid w:val="0098345F"/>
    <w:rsid w:val="00986D22"/>
    <w:rsid w:val="009879A3"/>
    <w:rsid w:val="0099041F"/>
    <w:rsid w:val="0099060E"/>
    <w:rsid w:val="009942E8"/>
    <w:rsid w:val="009A00B3"/>
    <w:rsid w:val="009A228D"/>
    <w:rsid w:val="009A565A"/>
    <w:rsid w:val="009B4249"/>
    <w:rsid w:val="009B5F36"/>
    <w:rsid w:val="009B6F4F"/>
    <w:rsid w:val="009C02F1"/>
    <w:rsid w:val="009C1A87"/>
    <w:rsid w:val="009C319C"/>
    <w:rsid w:val="009C4A25"/>
    <w:rsid w:val="009D19F6"/>
    <w:rsid w:val="009D1C99"/>
    <w:rsid w:val="009D2748"/>
    <w:rsid w:val="009D416F"/>
    <w:rsid w:val="009D5F81"/>
    <w:rsid w:val="009E2A24"/>
    <w:rsid w:val="009E5F14"/>
    <w:rsid w:val="00A06AD8"/>
    <w:rsid w:val="00A07454"/>
    <w:rsid w:val="00A1255A"/>
    <w:rsid w:val="00A1283E"/>
    <w:rsid w:val="00A15C19"/>
    <w:rsid w:val="00A17023"/>
    <w:rsid w:val="00A17AF3"/>
    <w:rsid w:val="00A2394C"/>
    <w:rsid w:val="00A27B09"/>
    <w:rsid w:val="00A3664B"/>
    <w:rsid w:val="00A41D39"/>
    <w:rsid w:val="00A433E1"/>
    <w:rsid w:val="00A439FD"/>
    <w:rsid w:val="00A44F9B"/>
    <w:rsid w:val="00A47A72"/>
    <w:rsid w:val="00A544F0"/>
    <w:rsid w:val="00A549F6"/>
    <w:rsid w:val="00A55B08"/>
    <w:rsid w:val="00A67603"/>
    <w:rsid w:val="00A7357C"/>
    <w:rsid w:val="00A747EA"/>
    <w:rsid w:val="00A854F3"/>
    <w:rsid w:val="00A85B55"/>
    <w:rsid w:val="00AA3585"/>
    <w:rsid w:val="00AA779C"/>
    <w:rsid w:val="00AB03C4"/>
    <w:rsid w:val="00AB22C5"/>
    <w:rsid w:val="00AB254F"/>
    <w:rsid w:val="00AB28FC"/>
    <w:rsid w:val="00AB5A7A"/>
    <w:rsid w:val="00AB7AA8"/>
    <w:rsid w:val="00AC4068"/>
    <w:rsid w:val="00AC438C"/>
    <w:rsid w:val="00AC5A6B"/>
    <w:rsid w:val="00AC61AB"/>
    <w:rsid w:val="00AD1600"/>
    <w:rsid w:val="00AD4D54"/>
    <w:rsid w:val="00AD4FCE"/>
    <w:rsid w:val="00AD7AE6"/>
    <w:rsid w:val="00AE51FD"/>
    <w:rsid w:val="00AE61A5"/>
    <w:rsid w:val="00B00532"/>
    <w:rsid w:val="00B02214"/>
    <w:rsid w:val="00B11830"/>
    <w:rsid w:val="00B12598"/>
    <w:rsid w:val="00B12980"/>
    <w:rsid w:val="00B1389F"/>
    <w:rsid w:val="00B14A09"/>
    <w:rsid w:val="00B15845"/>
    <w:rsid w:val="00B171C5"/>
    <w:rsid w:val="00B21491"/>
    <w:rsid w:val="00B21E43"/>
    <w:rsid w:val="00B22291"/>
    <w:rsid w:val="00B27BB9"/>
    <w:rsid w:val="00B32100"/>
    <w:rsid w:val="00B408BE"/>
    <w:rsid w:val="00B429FC"/>
    <w:rsid w:val="00B430D3"/>
    <w:rsid w:val="00B46111"/>
    <w:rsid w:val="00B478DC"/>
    <w:rsid w:val="00B63FD3"/>
    <w:rsid w:val="00B64323"/>
    <w:rsid w:val="00B64F61"/>
    <w:rsid w:val="00B672E6"/>
    <w:rsid w:val="00B67549"/>
    <w:rsid w:val="00B85AB1"/>
    <w:rsid w:val="00B86149"/>
    <w:rsid w:val="00B928AD"/>
    <w:rsid w:val="00B92C66"/>
    <w:rsid w:val="00B940D8"/>
    <w:rsid w:val="00BA12AF"/>
    <w:rsid w:val="00BA39A8"/>
    <w:rsid w:val="00BA413D"/>
    <w:rsid w:val="00BA6364"/>
    <w:rsid w:val="00BA6E69"/>
    <w:rsid w:val="00BB0CD4"/>
    <w:rsid w:val="00BB31D5"/>
    <w:rsid w:val="00BB5B21"/>
    <w:rsid w:val="00BB5D1A"/>
    <w:rsid w:val="00BB7F60"/>
    <w:rsid w:val="00BC4F98"/>
    <w:rsid w:val="00BC58B3"/>
    <w:rsid w:val="00BC6406"/>
    <w:rsid w:val="00BD0D6B"/>
    <w:rsid w:val="00BD3971"/>
    <w:rsid w:val="00BD3DEC"/>
    <w:rsid w:val="00BD4A17"/>
    <w:rsid w:val="00BD622A"/>
    <w:rsid w:val="00BE1C53"/>
    <w:rsid w:val="00BE2F5F"/>
    <w:rsid w:val="00BE319B"/>
    <w:rsid w:val="00BE34E9"/>
    <w:rsid w:val="00BE5307"/>
    <w:rsid w:val="00BE5B41"/>
    <w:rsid w:val="00BF0F70"/>
    <w:rsid w:val="00BF2A86"/>
    <w:rsid w:val="00BF3FDA"/>
    <w:rsid w:val="00BF5AD2"/>
    <w:rsid w:val="00BF6B40"/>
    <w:rsid w:val="00BF6E40"/>
    <w:rsid w:val="00C019FC"/>
    <w:rsid w:val="00C029E4"/>
    <w:rsid w:val="00C02E4D"/>
    <w:rsid w:val="00C03089"/>
    <w:rsid w:val="00C06E62"/>
    <w:rsid w:val="00C07BD1"/>
    <w:rsid w:val="00C13E6B"/>
    <w:rsid w:val="00C14ADB"/>
    <w:rsid w:val="00C225AB"/>
    <w:rsid w:val="00C2278A"/>
    <w:rsid w:val="00C23EF3"/>
    <w:rsid w:val="00C2467B"/>
    <w:rsid w:val="00C25104"/>
    <w:rsid w:val="00C3484F"/>
    <w:rsid w:val="00C353A0"/>
    <w:rsid w:val="00C4185F"/>
    <w:rsid w:val="00C44A0D"/>
    <w:rsid w:val="00C45787"/>
    <w:rsid w:val="00C46366"/>
    <w:rsid w:val="00C4787A"/>
    <w:rsid w:val="00C52881"/>
    <w:rsid w:val="00C6043F"/>
    <w:rsid w:val="00C74666"/>
    <w:rsid w:val="00C76837"/>
    <w:rsid w:val="00C83647"/>
    <w:rsid w:val="00C83823"/>
    <w:rsid w:val="00C92590"/>
    <w:rsid w:val="00C93472"/>
    <w:rsid w:val="00C94CEB"/>
    <w:rsid w:val="00C94FA0"/>
    <w:rsid w:val="00CA06EB"/>
    <w:rsid w:val="00CA441D"/>
    <w:rsid w:val="00CB05FA"/>
    <w:rsid w:val="00CB24B4"/>
    <w:rsid w:val="00CB6E6A"/>
    <w:rsid w:val="00CC146F"/>
    <w:rsid w:val="00CC1630"/>
    <w:rsid w:val="00CC3E2D"/>
    <w:rsid w:val="00CC46DB"/>
    <w:rsid w:val="00CC7311"/>
    <w:rsid w:val="00CC7C7D"/>
    <w:rsid w:val="00CC7F27"/>
    <w:rsid w:val="00CD20F2"/>
    <w:rsid w:val="00CD3B54"/>
    <w:rsid w:val="00CE1E80"/>
    <w:rsid w:val="00CE1F7A"/>
    <w:rsid w:val="00CE32E1"/>
    <w:rsid w:val="00CE3C7F"/>
    <w:rsid w:val="00CE4AF8"/>
    <w:rsid w:val="00CE63A1"/>
    <w:rsid w:val="00CF2F5B"/>
    <w:rsid w:val="00CF70C8"/>
    <w:rsid w:val="00D029D8"/>
    <w:rsid w:val="00D03D28"/>
    <w:rsid w:val="00D04BB1"/>
    <w:rsid w:val="00D05B78"/>
    <w:rsid w:val="00D0611C"/>
    <w:rsid w:val="00D07974"/>
    <w:rsid w:val="00D12633"/>
    <w:rsid w:val="00D14890"/>
    <w:rsid w:val="00D14B2B"/>
    <w:rsid w:val="00D15E32"/>
    <w:rsid w:val="00D16A79"/>
    <w:rsid w:val="00D1744A"/>
    <w:rsid w:val="00D213E0"/>
    <w:rsid w:val="00D24D69"/>
    <w:rsid w:val="00D3007C"/>
    <w:rsid w:val="00D32DAB"/>
    <w:rsid w:val="00D40579"/>
    <w:rsid w:val="00D456A2"/>
    <w:rsid w:val="00D45D43"/>
    <w:rsid w:val="00D46A61"/>
    <w:rsid w:val="00D57425"/>
    <w:rsid w:val="00D6024D"/>
    <w:rsid w:val="00D66E08"/>
    <w:rsid w:val="00D70F38"/>
    <w:rsid w:val="00D741AE"/>
    <w:rsid w:val="00D8401B"/>
    <w:rsid w:val="00D847FE"/>
    <w:rsid w:val="00D909A0"/>
    <w:rsid w:val="00D9345F"/>
    <w:rsid w:val="00D93B8D"/>
    <w:rsid w:val="00D96EC3"/>
    <w:rsid w:val="00D9783B"/>
    <w:rsid w:val="00DA3080"/>
    <w:rsid w:val="00DA492D"/>
    <w:rsid w:val="00DB035D"/>
    <w:rsid w:val="00DB04F8"/>
    <w:rsid w:val="00DB7DB1"/>
    <w:rsid w:val="00DC7418"/>
    <w:rsid w:val="00DD13CF"/>
    <w:rsid w:val="00DD13D9"/>
    <w:rsid w:val="00DD34C7"/>
    <w:rsid w:val="00DD3D37"/>
    <w:rsid w:val="00DD541E"/>
    <w:rsid w:val="00DD7EBE"/>
    <w:rsid w:val="00DE2931"/>
    <w:rsid w:val="00DE3E1D"/>
    <w:rsid w:val="00DE4D02"/>
    <w:rsid w:val="00DE4E91"/>
    <w:rsid w:val="00DE58F7"/>
    <w:rsid w:val="00DF1D02"/>
    <w:rsid w:val="00DF29C1"/>
    <w:rsid w:val="00DF55AA"/>
    <w:rsid w:val="00DF5C33"/>
    <w:rsid w:val="00DF74DF"/>
    <w:rsid w:val="00E0159C"/>
    <w:rsid w:val="00E023FC"/>
    <w:rsid w:val="00E047BF"/>
    <w:rsid w:val="00E04B8F"/>
    <w:rsid w:val="00E22843"/>
    <w:rsid w:val="00E23478"/>
    <w:rsid w:val="00E26B85"/>
    <w:rsid w:val="00E33A70"/>
    <w:rsid w:val="00E35C0F"/>
    <w:rsid w:val="00E3650F"/>
    <w:rsid w:val="00E368A5"/>
    <w:rsid w:val="00E36BAC"/>
    <w:rsid w:val="00E40B67"/>
    <w:rsid w:val="00E45086"/>
    <w:rsid w:val="00E45D92"/>
    <w:rsid w:val="00E5130A"/>
    <w:rsid w:val="00E521D4"/>
    <w:rsid w:val="00E53482"/>
    <w:rsid w:val="00E60A27"/>
    <w:rsid w:val="00E622A6"/>
    <w:rsid w:val="00E62FA2"/>
    <w:rsid w:val="00E64A80"/>
    <w:rsid w:val="00E66C4D"/>
    <w:rsid w:val="00E70782"/>
    <w:rsid w:val="00E7531A"/>
    <w:rsid w:val="00E80E25"/>
    <w:rsid w:val="00E83218"/>
    <w:rsid w:val="00E83E82"/>
    <w:rsid w:val="00E840EC"/>
    <w:rsid w:val="00E84D21"/>
    <w:rsid w:val="00E878FA"/>
    <w:rsid w:val="00E96E99"/>
    <w:rsid w:val="00EA263E"/>
    <w:rsid w:val="00EA2BD3"/>
    <w:rsid w:val="00EB07E8"/>
    <w:rsid w:val="00EB0A3B"/>
    <w:rsid w:val="00EB1312"/>
    <w:rsid w:val="00EB20C9"/>
    <w:rsid w:val="00EB373C"/>
    <w:rsid w:val="00EB451D"/>
    <w:rsid w:val="00EB54BB"/>
    <w:rsid w:val="00EB58B9"/>
    <w:rsid w:val="00EB7E35"/>
    <w:rsid w:val="00EC38CD"/>
    <w:rsid w:val="00EC4788"/>
    <w:rsid w:val="00EC47F8"/>
    <w:rsid w:val="00EC604F"/>
    <w:rsid w:val="00EC7CBE"/>
    <w:rsid w:val="00ED08E5"/>
    <w:rsid w:val="00ED20FF"/>
    <w:rsid w:val="00ED5A1B"/>
    <w:rsid w:val="00EE1E5C"/>
    <w:rsid w:val="00EE583F"/>
    <w:rsid w:val="00EE6006"/>
    <w:rsid w:val="00EF0EC3"/>
    <w:rsid w:val="00EF7B7F"/>
    <w:rsid w:val="00F002AE"/>
    <w:rsid w:val="00F013FE"/>
    <w:rsid w:val="00F0401A"/>
    <w:rsid w:val="00F06874"/>
    <w:rsid w:val="00F110C3"/>
    <w:rsid w:val="00F13F9E"/>
    <w:rsid w:val="00F20E14"/>
    <w:rsid w:val="00F234AD"/>
    <w:rsid w:val="00F24BFC"/>
    <w:rsid w:val="00F31D08"/>
    <w:rsid w:val="00F36F46"/>
    <w:rsid w:val="00F36F7D"/>
    <w:rsid w:val="00F40183"/>
    <w:rsid w:val="00F46DC3"/>
    <w:rsid w:val="00F54D63"/>
    <w:rsid w:val="00F611D3"/>
    <w:rsid w:val="00F61BBF"/>
    <w:rsid w:val="00F708C0"/>
    <w:rsid w:val="00F75BD9"/>
    <w:rsid w:val="00F75FFC"/>
    <w:rsid w:val="00F80890"/>
    <w:rsid w:val="00F81877"/>
    <w:rsid w:val="00F824DD"/>
    <w:rsid w:val="00F949C3"/>
    <w:rsid w:val="00FA1604"/>
    <w:rsid w:val="00FA2713"/>
    <w:rsid w:val="00FA4239"/>
    <w:rsid w:val="00FA5EB5"/>
    <w:rsid w:val="00FB12C8"/>
    <w:rsid w:val="00FB5BB4"/>
    <w:rsid w:val="00FC36A1"/>
    <w:rsid w:val="00FC5E0C"/>
    <w:rsid w:val="00FC652D"/>
    <w:rsid w:val="00FD1DFE"/>
    <w:rsid w:val="00FD3921"/>
    <w:rsid w:val="00FD440D"/>
    <w:rsid w:val="00FD5530"/>
    <w:rsid w:val="00FD5C58"/>
    <w:rsid w:val="00FD6BFD"/>
    <w:rsid w:val="00FD6E50"/>
    <w:rsid w:val="00FE03F5"/>
    <w:rsid w:val="00FE26E0"/>
    <w:rsid w:val="00FE4F4B"/>
    <w:rsid w:val="00FE5670"/>
    <w:rsid w:val="00FF4F53"/>
    <w:rsid w:val="00FF584B"/>
    <w:rsid w:val="00FF718C"/>
    <w:rsid w:val="00FF7501"/>
    <w:rsid w:val="2652533D"/>
    <w:rsid w:val="68B5C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3"/>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semiHidden/>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 w:type="character" w:styleId="nfasis">
    <w:name w:val="Emphasis"/>
    <w:basedOn w:val="Fuentedeprrafopredeter"/>
    <w:uiPriority w:val="20"/>
    <w:qFormat/>
    <w:rsid w:val="007849CA"/>
    <w:rPr>
      <w:i/>
      <w:iCs/>
    </w:rPr>
  </w:style>
  <w:style w:type="character" w:styleId="Hipervnculo">
    <w:name w:val="Hyperlink"/>
    <w:basedOn w:val="Fuentedeprrafopredeter"/>
    <w:uiPriority w:val="99"/>
    <w:unhideWhenUsed/>
    <w:rsid w:val="00332296"/>
    <w:rPr>
      <w:color w:val="0563C1" w:themeColor="hyperlink"/>
      <w:u w:val="single"/>
    </w:rPr>
  </w:style>
  <w:style w:type="character" w:styleId="Textoennegrita">
    <w:name w:val="Strong"/>
    <w:basedOn w:val="Fuentedeprrafopredeter"/>
    <w:uiPriority w:val="22"/>
    <w:qFormat/>
    <w:rsid w:val="00332296"/>
    <w:rPr>
      <w:b/>
      <w:bCs/>
    </w:rPr>
  </w:style>
  <w:style w:type="paragraph" w:customStyle="1" w:styleId="paragraph">
    <w:name w:val="paragraph"/>
    <w:basedOn w:val="Normal"/>
    <w:rsid w:val="00BE1C53"/>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BE1C53"/>
  </w:style>
  <w:style w:type="character" w:customStyle="1" w:styleId="eop">
    <w:name w:val="eop"/>
    <w:basedOn w:val="Fuentedeprrafopredeter"/>
    <w:rsid w:val="00BE1C53"/>
  </w:style>
  <w:style w:type="character" w:styleId="Mencinsinresolver">
    <w:name w:val="Unresolved Mention"/>
    <w:basedOn w:val="Fuentedeprrafopredeter"/>
    <w:uiPriority w:val="99"/>
    <w:semiHidden/>
    <w:unhideWhenUsed/>
    <w:rsid w:val="0008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72">
      <w:bodyDiv w:val="1"/>
      <w:marLeft w:val="0"/>
      <w:marRight w:val="0"/>
      <w:marTop w:val="0"/>
      <w:marBottom w:val="0"/>
      <w:divBdr>
        <w:top w:val="none" w:sz="0" w:space="0" w:color="auto"/>
        <w:left w:val="none" w:sz="0" w:space="0" w:color="auto"/>
        <w:bottom w:val="none" w:sz="0" w:space="0" w:color="auto"/>
        <w:right w:val="none" w:sz="0" w:space="0" w:color="auto"/>
      </w:divBdr>
    </w:div>
    <w:div w:id="104349137">
      <w:bodyDiv w:val="1"/>
      <w:marLeft w:val="0"/>
      <w:marRight w:val="0"/>
      <w:marTop w:val="0"/>
      <w:marBottom w:val="0"/>
      <w:divBdr>
        <w:top w:val="none" w:sz="0" w:space="0" w:color="auto"/>
        <w:left w:val="none" w:sz="0" w:space="0" w:color="auto"/>
        <w:bottom w:val="none" w:sz="0" w:space="0" w:color="auto"/>
        <w:right w:val="none" w:sz="0" w:space="0" w:color="auto"/>
      </w:divBdr>
      <w:divsChild>
        <w:div w:id="591670662">
          <w:marLeft w:val="0"/>
          <w:marRight w:val="0"/>
          <w:marTop w:val="0"/>
          <w:marBottom w:val="0"/>
          <w:divBdr>
            <w:top w:val="none" w:sz="0" w:space="0" w:color="auto"/>
            <w:left w:val="none" w:sz="0" w:space="0" w:color="auto"/>
            <w:bottom w:val="none" w:sz="0" w:space="0" w:color="auto"/>
            <w:right w:val="none" w:sz="0" w:space="0" w:color="auto"/>
          </w:divBdr>
          <w:divsChild>
            <w:div w:id="2109809407">
              <w:marLeft w:val="0"/>
              <w:marRight w:val="0"/>
              <w:marTop w:val="0"/>
              <w:marBottom w:val="0"/>
              <w:divBdr>
                <w:top w:val="none" w:sz="0" w:space="0" w:color="auto"/>
                <w:left w:val="none" w:sz="0" w:space="0" w:color="auto"/>
                <w:bottom w:val="none" w:sz="0" w:space="0" w:color="auto"/>
                <w:right w:val="none" w:sz="0" w:space="0" w:color="auto"/>
              </w:divBdr>
              <w:divsChild>
                <w:div w:id="1389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1788">
      <w:bodyDiv w:val="1"/>
      <w:marLeft w:val="0"/>
      <w:marRight w:val="0"/>
      <w:marTop w:val="0"/>
      <w:marBottom w:val="0"/>
      <w:divBdr>
        <w:top w:val="none" w:sz="0" w:space="0" w:color="auto"/>
        <w:left w:val="none" w:sz="0" w:space="0" w:color="auto"/>
        <w:bottom w:val="none" w:sz="0" w:space="0" w:color="auto"/>
        <w:right w:val="none" w:sz="0" w:space="0" w:color="auto"/>
      </w:divBdr>
      <w:divsChild>
        <w:div w:id="1785688368">
          <w:marLeft w:val="0"/>
          <w:marRight w:val="0"/>
          <w:marTop w:val="0"/>
          <w:marBottom w:val="0"/>
          <w:divBdr>
            <w:top w:val="none" w:sz="0" w:space="0" w:color="auto"/>
            <w:left w:val="none" w:sz="0" w:space="0" w:color="auto"/>
            <w:bottom w:val="none" w:sz="0" w:space="0" w:color="auto"/>
            <w:right w:val="none" w:sz="0" w:space="0" w:color="auto"/>
          </w:divBdr>
        </w:div>
        <w:div w:id="1584951616">
          <w:marLeft w:val="0"/>
          <w:marRight w:val="0"/>
          <w:marTop w:val="0"/>
          <w:marBottom w:val="0"/>
          <w:divBdr>
            <w:top w:val="none" w:sz="0" w:space="0" w:color="auto"/>
            <w:left w:val="none" w:sz="0" w:space="0" w:color="auto"/>
            <w:bottom w:val="none" w:sz="0" w:space="0" w:color="auto"/>
            <w:right w:val="none" w:sz="0" w:space="0" w:color="auto"/>
          </w:divBdr>
        </w:div>
        <w:div w:id="1449620084">
          <w:marLeft w:val="0"/>
          <w:marRight w:val="0"/>
          <w:marTop w:val="0"/>
          <w:marBottom w:val="0"/>
          <w:divBdr>
            <w:top w:val="none" w:sz="0" w:space="0" w:color="auto"/>
            <w:left w:val="none" w:sz="0" w:space="0" w:color="auto"/>
            <w:bottom w:val="none" w:sz="0" w:space="0" w:color="auto"/>
            <w:right w:val="none" w:sz="0" w:space="0" w:color="auto"/>
          </w:divBdr>
        </w:div>
        <w:div w:id="1932809771">
          <w:marLeft w:val="0"/>
          <w:marRight w:val="0"/>
          <w:marTop w:val="0"/>
          <w:marBottom w:val="0"/>
          <w:divBdr>
            <w:top w:val="none" w:sz="0" w:space="0" w:color="auto"/>
            <w:left w:val="none" w:sz="0" w:space="0" w:color="auto"/>
            <w:bottom w:val="none" w:sz="0" w:space="0" w:color="auto"/>
            <w:right w:val="none" w:sz="0" w:space="0" w:color="auto"/>
          </w:divBdr>
        </w:div>
        <w:div w:id="1219319837">
          <w:marLeft w:val="0"/>
          <w:marRight w:val="0"/>
          <w:marTop w:val="0"/>
          <w:marBottom w:val="0"/>
          <w:divBdr>
            <w:top w:val="none" w:sz="0" w:space="0" w:color="auto"/>
            <w:left w:val="none" w:sz="0" w:space="0" w:color="auto"/>
            <w:bottom w:val="none" w:sz="0" w:space="0" w:color="auto"/>
            <w:right w:val="none" w:sz="0" w:space="0" w:color="auto"/>
          </w:divBdr>
        </w:div>
        <w:div w:id="1667978196">
          <w:marLeft w:val="0"/>
          <w:marRight w:val="0"/>
          <w:marTop w:val="0"/>
          <w:marBottom w:val="0"/>
          <w:divBdr>
            <w:top w:val="none" w:sz="0" w:space="0" w:color="auto"/>
            <w:left w:val="none" w:sz="0" w:space="0" w:color="auto"/>
            <w:bottom w:val="none" w:sz="0" w:space="0" w:color="auto"/>
            <w:right w:val="none" w:sz="0" w:space="0" w:color="auto"/>
          </w:divBdr>
        </w:div>
        <w:div w:id="27687961">
          <w:marLeft w:val="0"/>
          <w:marRight w:val="0"/>
          <w:marTop w:val="0"/>
          <w:marBottom w:val="0"/>
          <w:divBdr>
            <w:top w:val="none" w:sz="0" w:space="0" w:color="auto"/>
            <w:left w:val="none" w:sz="0" w:space="0" w:color="auto"/>
            <w:bottom w:val="none" w:sz="0" w:space="0" w:color="auto"/>
            <w:right w:val="none" w:sz="0" w:space="0" w:color="auto"/>
          </w:divBdr>
        </w:div>
        <w:div w:id="2009669312">
          <w:marLeft w:val="0"/>
          <w:marRight w:val="0"/>
          <w:marTop w:val="0"/>
          <w:marBottom w:val="0"/>
          <w:divBdr>
            <w:top w:val="none" w:sz="0" w:space="0" w:color="auto"/>
            <w:left w:val="none" w:sz="0" w:space="0" w:color="auto"/>
            <w:bottom w:val="none" w:sz="0" w:space="0" w:color="auto"/>
            <w:right w:val="none" w:sz="0" w:space="0" w:color="auto"/>
          </w:divBdr>
        </w:div>
        <w:div w:id="711734120">
          <w:marLeft w:val="0"/>
          <w:marRight w:val="0"/>
          <w:marTop w:val="0"/>
          <w:marBottom w:val="0"/>
          <w:divBdr>
            <w:top w:val="none" w:sz="0" w:space="0" w:color="auto"/>
            <w:left w:val="none" w:sz="0" w:space="0" w:color="auto"/>
            <w:bottom w:val="none" w:sz="0" w:space="0" w:color="auto"/>
            <w:right w:val="none" w:sz="0" w:space="0" w:color="auto"/>
          </w:divBdr>
        </w:div>
        <w:div w:id="1071003515">
          <w:marLeft w:val="0"/>
          <w:marRight w:val="0"/>
          <w:marTop w:val="0"/>
          <w:marBottom w:val="0"/>
          <w:divBdr>
            <w:top w:val="none" w:sz="0" w:space="0" w:color="auto"/>
            <w:left w:val="none" w:sz="0" w:space="0" w:color="auto"/>
            <w:bottom w:val="none" w:sz="0" w:space="0" w:color="auto"/>
            <w:right w:val="none" w:sz="0" w:space="0" w:color="auto"/>
          </w:divBdr>
        </w:div>
        <w:div w:id="87703002">
          <w:marLeft w:val="0"/>
          <w:marRight w:val="0"/>
          <w:marTop w:val="0"/>
          <w:marBottom w:val="0"/>
          <w:divBdr>
            <w:top w:val="none" w:sz="0" w:space="0" w:color="auto"/>
            <w:left w:val="none" w:sz="0" w:space="0" w:color="auto"/>
            <w:bottom w:val="none" w:sz="0" w:space="0" w:color="auto"/>
            <w:right w:val="none" w:sz="0" w:space="0" w:color="auto"/>
          </w:divBdr>
        </w:div>
        <w:div w:id="1972439572">
          <w:marLeft w:val="0"/>
          <w:marRight w:val="0"/>
          <w:marTop w:val="0"/>
          <w:marBottom w:val="0"/>
          <w:divBdr>
            <w:top w:val="none" w:sz="0" w:space="0" w:color="auto"/>
            <w:left w:val="none" w:sz="0" w:space="0" w:color="auto"/>
            <w:bottom w:val="none" w:sz="0" w:space="0" w:color="auto"/>
            <w:right w:val="none" w:sz="0" w:space="0" w:color="auto"/>
          </w:divBdr>
        </w:div>
        <w:div w:id="942493126">
          <w:marLeft w:val="0"/>
          <w:marRight w:val="0"/>
          <w:marTop w:val="0"/>
          <w:marBottom w:val="0"/>
          <w:divBdr>
            <w:top w:val="none" w:sz="0" w:space="0" w:color="auto"/>
            <w:left w:val="none" w:sz="0" w:space="0" w:color="auto"/>
            <w:bottom w:val="none" w:sz="0" w:space="0" w:color="auto"/>
            <w:right w:val="none" w:sz="0" w:space="0" w:color="auto"/>
          </w:divBdr>
        </w:div>
        <w:div w:id="1003433412">
          <w:marLeft w:val="0"/>
          <w:marRight w:val="0"/>
          <w:marTop w:val="0"/>
          <w:marBottom w:val="0"/>
          <w:divBdr>
            <w:top w:val="none" w:sz="0" w:space="0" w:color="auto"/>
            <w:left w:val="none" w:sz="0" w:space="0" w:color="auto"/>
            <w:bottom w:val="none" w:sz="0" w:space="0" w:color="auto"/>
            <w:right w:val="none" w:sz="0" w:space="0" w:color="auto"/>
          </w:divBdr>
        </w:div>
        <w:div w:id="1623876375">
          <w:marLeft w:val="0"/>
          <w:marRight w:val="0"/>
          <w:marTop w:val="0"/>
          <w:marBottom w:val="0"/>
          <w:divBdr>
            <w:top w:val="none" w:sz="0" w:space="0" w:color="auto"/>
            <w:left w:val="none" w:sz="0" w:space="0" w:color="auto"/>
            <w:bottom w:val="none" w:sz="0" w:space="0" w:color="auto"/>
            <w:right w:val="none" w:sz="0" w:space="0" w:color="auto"/>
          </w:divBdr>
        </w:div>
        <w:div w:id="60953952">
          <w:marLeft w:val="0"/>
          <w:marRight w:val="0"/>
          <w:marTop w:val="0"/>
          <w:marBottom w:val="0"/>
          <w:divBdr>
            <w:top w:val="none" w:sz="0" w:space="0" w:color="auto"/>
            <w:left w:val="none" w:sz="0" w:space="0" w:color="auto"/>
            <w:bottom w:val="none" w:sz="0" w:space="0" w:color="auto"/>
            <w:right w:val="none" w:sz="0" w:space="0" w:color="auto"/>
          </w:divBdr>
        </w:div>
        <w:div w:id="86972506">
          <w:marLeft w:val="0"/>
          <w:marRight w:val="0"/>
          <w:marTop w:val="0"/>
          <w:marBottom w:val="0"/>
          <w:divBdr>
            <w:top w:val="none" w:sz="0" w:space="0" w:color="auto"/>
            <w:left w:val="none" w:sz="0" w:space="0" w:color="auto"/>
            <w:bottom w:val="none" w:sz="0" w:space="0" w:color="auto"/>
            <w:right w:val="none" w:sz="0" w:space="0" w:color="auto"/>
          </w:divBdr>
        </w:div>
        <w:div w:id="969242762">
          <w:marLeft w:val="0"/>
          <w:marRight w:val="0"/>
          <w:marTop w:val="0"/>
          <w:marBottom w:val="0"/>
          <w:divBdr>
            <w:top w:val="none" w:sz="0" w:space="0" w:color="auto"/>
            <w:left w:val="none" w:sz="0" w:space="0" w:color="auto"/>
            <w:bottom w:val="none" w:sz="0" w:space="0" w:color="auto"/>
            <w:right w:val="none" w:sz="0" w:space="0" w:color="auto"/>
          </w:divBdr>
        </w:div>
        <w:div w:id="1785729728">
          <w:marLeft w:val="0"/>
          <w:marRight w:val="0"/>
          <w:marTop w:val="0"/>
          <w:marBottom w:val="0"/>
          <w:divBdr>
            <w:top w:val="none" w:sz="0" w:space="0" w:color="auto"/>
            <w:left w:val="none" w:sz="0" w:space="0" w:color="auto"/>
            <w:bottom w:val="none" w:sz="0" w:space="0" w:color="auto"/>
            <w:right w:val="none" w:sz="0" w:space="0" w:color="auto"/>
          </w:divBdr>
        </w:div>
        <w:div w:id="1280262445">
          <w:marLeft w:val="0"/>
          <w:marRight w:val="0"/>
          <w:marTop w:val="0"/>
          <w:marBottom w:val="0"/>
          <w:divBdr>
            <w:top w:val="none" w:sz="0" w:space="0" w:color="auto"/>
            <w:left w:val="none" w:sz="0" w:space="0" w:color="auto"/>
            <w:bottom w:val="none" w:sz="0" w:space="0" w:color="auto"/>
            <w:right w:val="none" w:sz="0" w:space="0" w:color="auto"/>
          </w:divBdr>
        </w:div>
        <w:div w:id="2014411531">
          <w:marLeft w:val="0"/>
          <w:marRight w:val="0"/>
          <w:marTop w:val="0"/>
          <w:marBottom w:val="0"/>
          <w:divBdr>
            <w:top w:val="none" w:sz="0" w:space="0" w:color="auto"/>
            <w:left w:val="none" w:sz="0" w:space="0" w:color="auto"/>
            <w:bottom w:val="none" w:sz="0" w:space="0" w:color="auto"/>
            <w:right w:val="none" w:sz="0" w:space="0" w:color="auto"/>
          </w:divBdr>
        </w:div>
        <w:div w:id="2070687829">
          <w:marLeft w:val="0"/>
          <w:marRight w:val="0"/>
          <w:marTop w:val="0"/>
          <w:marBottom w:val="0"/>
          <w:divBdr>
            <w:top w:val="none" w:sz="0" w:space="0" w:color="auto"/>
            <w:left w:val="none" w:sz="0" w:space="0" w:color="auto"/>
            <w:bottom w:val="none" w:sz="0" w:space="0" w:color="auto"/>
            <w:right w:val="none" w:sz="0" w:space="0" w:color="auto"/>
          </w:divBdr>
        </w:div>
        <w:div w:id="1231310609">
          <w:marLeft w:val="0"/>
          <w:marRight w:val="0"/>
          <w:marTop w:val="0"/>
          <w:marBottom w:val="0"/>
          <w:divBdr>
            <w:top w:val="none" w:sz="0" w:space="0" w:color="auto"/>
            <w:left w:val="none" w:sz="0" w:space="0" w:color="auto"/>
            <w:bottom w:val="none" w:sz="0" w:space="0" w:color="auto"/>
            <w:right w:val="none" w:sz="0" w:space="0" w:color="auto"/>
          </w:divBdr>
        </w:div>
        <w:div w:id="1391536869">
          <w:marLeft w:val="0"/>
          <w:marRight w:val="0"/>
          <w:marTop w:val="0"/>
          <w:marBottom w:val="0"/>
          <w:divBdr>
            <w:top w:val="none" w:sz="0" w:space="0" w:color="auto"/>
            <w:left w:val="none" w:sz="0" w:space="0" w:color="auto"/>
            <w:bottom w:val="none" w:sz="0" w:space="0" w:color="auto"/>
            <w:right w:val="none" w:sz="0" w:space="0" w:color="auto"/>
          </w:divBdr>
        </w:div>
        <w:div w:id="474185138">
          <w:marLeft w:val="0"/>
          <w:marRight w:val="0"/>
          <w:marTop w:val="0"/>
          <w:marBottom w:val="0"/>
          <w:divBdr>
            <w:top w:val="none" w:sz="0" w:space="0" w:color="auto"/>
            <w:left w:val="none" w:sz="0" w:space="0" w:color="auto"/>
            <w:bottom w:val="none" w:sz="0" w:space="0" w:color="auto"/>
            <w:right w:val="none" w:sz="0" w:space="0" w:color="auto"/>
          </w:divBdr>
        </w:div>
        <w:div w:id="1380976637">
          <w:marLeft w:val="0"/>
          <w:marRight w:val="0"/>
          <w:marTop w:val="0"/>
          <w:marBottom w:val="0"/>
          <w:divBdr>
            <w:top w:val="none" w:sz="0" w:space="0" w:color="auto"/>
            <w:left w:val="none" w:sz="0" w:space="0" w:color="auto"/>
            <w:bottom w:val="none" w:sz="0" w:space="0" w:color="auto"/>
            <w:right w:val="none" w:sz="0" w:space="0" w:color="auto"/>
          </w:divBdr>
        </w:div>
      </w:divsChild>
    </w:div>
    <w:div w:id="191185074">
      <w:bodyDiv w:val="1"/>
      <w:marLeft w:val="0"/>
      <w:marRight w:val="0"/>
      <w:marTop w:val="0"/>
      <w:marBottom w:val="0"/>
      <w:divBdr>
        <w:top w:val="none" w:sz="0" w:space="0" w:color="auto"/>
        <w:left w:val="none" w:sz="0" w:space="0" w:color="auto"/>
        <w:bottom w:val="none" w:sz="0" w:space="0" w:color="auto"/>
        <w:right w:val="none" w:sz="0" w:space="0" w:color="auto"/>
      </w:divBdr>
      <w:divsChild>
        <w:div w:id="599142097">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sChild>
                <w:div w:id="1041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77">
      <w:bodyDiv w:val="1"/>
      <w:marLeft w:val="0"/>
      <w:marRight w:val="0"/>
      <w:marTop w:val="0"/>
      <w:marBottom w:val="0"/>
      <w:divBdr>
        <w:top w:val="none" w:sz="0" w:space="0" w:color="auto"/>
        <w:left w:val="none" w:sz="0" w:space="0" w:color="auto"/>
        <w:bottom w:val="none" w:sz="0" w:space="0" w:color="auto"/>
        <w:right w:val="none" w:sz="0" w:space="0" w:color="auto"/>
      </w:divBdr>
      <w:divsChild>
        <w:div w:id="491986679">
          <w:marLeft w:val="0"/>
          <w:marRight w:val="0"/>
          <w:marTop w:val="0"/>
          <w:marBottom w:val="0"/>
          <w:divBdr>
            <w:top w:val="none" w:sz="0" w:space="0" w:color="auto"/>
            <w:left w:val="none" w:sz="0" w:space="0" w:color="auto"/>
            <w:bottom w:val="none" w:sz="0" w:space="0" w:color="auto"/>
            <w:right w:val="none" w:sz="0" w:space="0" w:color="auto"/>
          </w:divBdr>
          <w:divsChild>
            <w:div w:id="410664515">
              <w:marLeft w:val="0"/>
              <w:marRight w:val="0"/>
              <w:marTop w:val="0"/>
              <w:marBottom w:val="0"/>
              <w:divBdr>
                <w:top w:val="none" w:sz="0" w:space="0" w:color="auto"/>
                <w:left w:val="none" w:sz="0" w:space="0" w:color="auto"/>
                <w:bottom w:val="none" w:sz="0" w:space="0" w:color="auto"/>
                <w:right w:val="none" w:sz="0" w:space="0" w:color="auto"/>
              </w:divBdr>
              <w:divsChild>
                <w:div w:id="1205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6031">
      <w:bodyDiv w:val="1"/>
      <w:marLeft w:val="0"/>
      <w:marRight w:val="0"/>
      <w:marTop w:val="0"/>
      <w:marBottom w:val="0"/>
      <w:divBdr>
        <w:top w:val="none" w:sz="0" w:space="0" w:color="auto"/>
        <w:left w:val="none" w:sz="0" w:space="0" w:color="auto"/>
        <w:bottom w:val="none" w:sz="0" w:space="0" w:color="auto"/>
        <w:right w:val="none" w:sz="0" w:space="0" w:color="auto"/>
      </w:divBdr>
      <w:divsChild>
        <w:div w:id="1073426639">
          <w:marLeft w:val="0"/>
          <w:marRight w:val="0"/>
          <w:marTop w:val="0"/>
          <w:marBottom w:val="0"/>
          <w:divBdr>
            <w:top w:val="none" w:sz="0" w:space="0" w:color="auto"/>
            <w:left w:val="none" w:sz="0" w:space="0" w:color="auto"/>
            <w:bottom w:val="none" w:sz="0" w:space="0" w:color="auto"/>
            <w:right w:val="none" w:sz="0" w:space="0" w:color="auto"/>
          </w:divBdr>
          <w:divsChild>
            <w:div w:id="2028217608">
              <w:marLeft w:val="0"/>
              <w:marRight w:val="0"/>
              <w:marTop w:val="0"/>
              <w:marBottom w:val="0"/>
              <w:divBdr>
                <w:top w:val="none" w:sz="0" w:space="0" w:color="auto"/>
                <w:left w:val="none" w:sz="0" w:space="0" w:color="auto"/>
                <w:bottom w:val="none" w:sz="0" w:space="0" w:color="auto"/>
                <w:right w:val="none" w:sz="0" w:space="0" w:color="auto"/>
              </w:divBdr>
              <w:divsChild>
                <w:div w:id="1491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2237">
      <w:bodyDiv w:val="1"/>
      <w:marLeft w:val="0"/>
      <w:marRight w:val="0"/>
      <w:marTop w:val="0"/>
      <w:marBottom w:val="0"/>
      <w:divBdr>
        <w:top w:val="none" w:sz="0" w:space="0" w:color="auto"/>
        <w:left w:val="none" w:sz="0" w:space="0" w:color="auto"/>
        <w:bottom w:val="none" w:sz="0" w:space="0" w:color="auto"/>
        <w:right w:val="none" w:sz="0" w:space="0" w:color="auto"/>
      </w:divBdr>
    </w:div>
    <w:div w:id="298926016">
      <w:bodyDiv w:val="1"/>
      <w:marLeft w:val="0"/>
      <w:marRight w:val="0"/>
      <w:marTop w:val="0"/>
      <w:marBottom w:val="0"/>
      <w:divBdr>
        <w:top w:val="none" w:sz="0" w:space="0" w:color="auto"/>
        <w:left w:val="none" w:sz="0" w:space="0" w:color="auto"/>
        <w:bottom w:val="none" w:sz="0" w:space="0" w:color="auto"/>
        <w:right w:val="none" w:sz="0" w:space="0" w:color="auto"/>
      </w:divBdr>
    </w:div>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418404841">
      <w:bodyDiv w:val="1"/>
      <w:marLeft w:val="0"/>
      <w:marRight w:val="0"/>
      <w:marTop w:val="0"/>
      <w:marBottom w:val="0"/>
      <w:divBdr>
        <w:top w:val="none" w:sz="0" w:space="0" w:color="auto"/>
        <w:left w:val="none" w:sz="0" w:space="0" w:color="auto"/>
        <w:bottom w:val="none" w:sz="0" w:space="0" w:color="auto"/>
        <w:right w:val="none" w:sz="0" w:space="0" w:color="auto"/>
      </w:divBdr>
    </w:div>
    <w:div w:id="452793827">
      <w:bodyDiv w:val="1"/>
      <w:marLeft w:val="0"/>
      <w:marRight w:val="0"/>
      <w:marTop w:val="0"/>
      <w:marBottom w:val="0"/>
      <w:divBdr>
        <w:top w:val="none" w:sz="0" w:space="0" w:color="auto"/>
        <w:left w:val="none" w:sz="0" w:space="0" w:color="auto"/>
        <w:bottom w:val="none" w:sz="0" w:space="0" w:color="auto"/>
        <w:right w:val="none" w:sz="0" w:space="0" w:color="auto"/>
      </w:divBdr>
    </w:div>
    <w:div w:id="551769502">
      <w:bodyDiv w:val="1"/>
      <w:marLeft w:val="0"/>
      <w:marRight w:val="0"/>
      <w:marTop w:val="0"/>
      <w:marBottom w:val="0"/>
      <w:divBdr>
        <w:top w:val="none" w:sz="0" w:space="0" w:color="auto"/>
        <w:left w:val="none" w:sz="0" w:space="0" w:color="auto"/>
        <w:bottom w:val="none" w:sz="0" w:space="0" w:color="auto"/>
        <w:right w:val="none" w:sz="0" w:space="0" w:color="auto"/>
      </w:divBdr>
    </w:div>
    <w:div w:id="770050356">
      <w:bodyDiv w:val="1"/>
      <w:marLeft w:val="0"/>
      <w:marRight w:val="0"/>
      <w:marTop w:val="0"/>
      <w:marBottom w:val="0"/>
      <w:divBdr>
        <w:top w:val="none" w:sz="0" w:space="0" w:color="auto"/>
        <w:left w:val="none" w:sz="0" w:space="0" w:color="auto"/>
        <w:bottom w:val="none" w:sz="0" w:space="0" w:color="auto"/>
        <w:right w:val="none" w:sz="0" w:space="0" w:color="auto"/>
      </w:divBdr>
      <w:divsChild>
        <w:div w:id="29302283">
          <w:marLeft w:val="0"/>
          <w:marRight w:val="0"/>
          <w:marTop w:val="0"/>
          <w:marBottom w:val="0"/>
          <w:divBdr>
            <w:top w:val="none" w:sz="0" w:space="0" w:color="auto"/>
            <w:left w:val="none" w:sz="0" w:space="0" w:color="auto"/>
            <w:bottom w:val="none" w:sz="0" w:space="0" w:color="auto"/>
            <w:right w:val="none" w:sz="0" w:space="0" w:color="auto"/>
          </w:divBdr>
          <w:divsChild>
            <w:div w:id="2031566832">
              <w:marLeft w:val="0"/>
              <w:marRight w:val="0"/>
              <w:marTop w:val="0"/>
              <w:marBottom w:val="0"/>
              <w:divBdr>
                <w:top w:val="none" w:sz="0" w:space="0" w:color="auto"/>
                <w:left w:val="none" w:sz="0" w:space="0" w:color="auto"/>
                <w:bottom w:val="none" w:sz="0" w:space="0" w:color="auto"/>
                <w:right w:val="none" w:sz="0" w:space="0" w:color="auto"/>
              </w:divBdr>
              <w:divsChild>
                <w:div w:id="10638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624">
      <w:bodyDiv w:val="1"/>
      <w:marLeft w:val="0"/>
      <w:marRight w:val="0"/>
      <w:marTop w:val="0"/>
      <w:marBottom w:val="0"/>
      <w:divBdr>
        <w:top w:val="none" w:sz="0" w:space="0" w:color="auto"/>
        <w:left w:val="none" w:sz="0" w:space="0" w:color="auto"/>
        <w:bottom w:val="none" w:sz="0" w:space="0" w:color="auto"/>
        <w:right w:val="none" w:sz="0" w:space="0" w:color="auto"/>
      </w:divBdr>
    </w:div>
    <w:div w:id="855074851">
      <w:bodyDiv w:val="1"/>
      <w:marLeft w:val="0"/>
      <w:marRight w:val="0"/>
      <w:marTop w:val="0"/>
      <w:marBottom w:val="0"/>
      <w:divBdr>
        <w:top w:val="none" w:sz="0" w:space="0" w:color="auto"/>
        <w:left w:val="none" w:sz="0" w:space="0" w:color="auto"/>
        <w:bottom w:val="none" w:sz="0" w:space="0" w:color="auto"/>
        <w:right w:val="none" w:sz="0" w:space="0" w:color="auto"/>
      </w:divBdr>
    </w:div>
    <w:div w:id="1297643982">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566602613">
      <w:bodyDiv w:val="1"/>
      <w:marLeft w:val="0"/>
      <w:marRight w:val="0"/>
      <w:marTop w:val="0"/>
      <w:marBottom w:val="0"/>
      <w:divBdr>
        <w:top w:val="none" w:sz="0" w:space="0" w:color="auto"/>
        <w:left w:val="none" w:sz="0" w:space="0" w:color="auto"/>
        <w:bottom w:val="none" w:sz="0" w:space="0" w:color="auto"/>
        <w:right w:val="none" w:sz="0" w:space="0" w:color="auto"/>
      </w:divBdr>
      <w:divsChild>
        <w:div w:id="798307354">
          <w:marLeft w:val="0"/>
          <w:marRight w:val="0"/>
          <w:marTop w:val="0"/>
          <w:marBottom w:val="0"/>
          <w:divBdr>
            <w:top w:val="none" w:sz="0" w:space="0" w:color="auto"/>
            <w:left w:val="none" w:sz="0" w:space="0" w:color="auto"/>
            <w:bottom w:val="none" w:sz="0" w:space="0" w:color="auto"/>
            <w:right w:val="none" w:sz="0" w:space="0" w:color="auto"/>
          </w:divBdr>
          <w:divsChild>
            <w:div w:id="945424519">
              <w:marLeft w:val="0"/>
              <w:marRight w:val="0"/>
              <w:marTop w:val="0"/>
              <w:marBottom w:val="0"/>
              <w:divBdr>
                <w:top w:val="none" w:sz="0" w:space="0" w:color="auto"/>
                <w:left w:val="none" w:sz="0" w:space="0" w:color="auto"/>
                <w:bottom w:val="none" w:sz="0" w:space="0" w:color="auto"/>
                <w:right w:val="none" w:sz="0" w:space="0" w:color="auto"/>
              </w:divBdr>
              <w:divsChild>
                <w:div w:id="10333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12473">
      <w:bodyDiv w:val="1"/>
      <w:marLeft w:val="0"/>
      <w:marRight w:val="0"/>
      <w:marTop w:val="0"/>
      <w:marBottom w:val="0"/>
      <w:divBdr>
        <w:top w:val="none" w:sz="0" w:space="0" w:color="auto"/>
        <w:left w:val="none" w:sz="0" w:space="0" w:color="auto"/>
        <w:bottom w:val="none" w:sz="0" w:space="0" w:color="auto"/>
        <w:right w:val="none" w:sz="0" w:space="0" w:color="auto"/>
      </w:divBdr>
    </w:div>
    <w:div w:id="1615281901">
      <w:bodyDiv w:val="1"/>
      <w:marLeft w:val="0"/>
      <w:marRight w:val="0"/>
      <w:marTop w:val="0"/>
      <w:marBottom w:val="0"/>
      <w:divBdr>
        <w:top w:val="none" w:sz="0" w:space="0" w:color="auto"/>
        <w:left w:val="none" w:sz="0" w:space="0" w:color="auto"/>
        <w:bottom w:val="none" w:sz="0" w:space="0" w:color="auto"/>
        <w:right w:val="none" w:sz="0" w:space="0" w:color="auto"/>
      </w:divBdr>
      <w:divsChild>
        <w:div w:id="3243830">
          <w:marLeft w:val="0"/>
          <w:marRight w:val="0"/>
          <w:marTop w:val="0"/>
          <w:marBottom w:val="0"/>
          <w:divBdr>
            <w:top w:val="none" w:sz="0" w:space="0" w:color="auto"/>
            <w:left w:val="none" w:sz="0" w:space="0" w:color="auto"/>
            <w:bottom w:val="none" w:sz="0" w:space="0" w:color="auto"/>
            <w:right w:val="none" w:sz="0" w:space="0" w:color="auto"/>
          </w:divBdr>
          <w:divsChild>
            <w:div w:id="1584878951">
              <w:marLeft w:val="0"/>
              <w:marRight w:val="0"/>
              <w:marTop w:val="0"/>
              <w:marBottom w:val="0"/>
              <w:divBdr>
                <w:top w:val="none" w:sz="0" w:space="0" w:color="auto"/>
                <w:left w:val="none" w:sz="0" w:space="0" w:color="auto"/>
                <w:bottom w:val="none" w:sz="0" w:space="0" w:color="auto"/>
                <w:right w:val="none" w:sz="0" w:space="0" w:color="auto"/>
              </w:divBdr>
              <w:divsChild>
                <w:div w:id="151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 w:id="1674645434">
      <w:bodyDiv w:val="1"/>
      <w:marLeft w:val="0"/>
      <w:marRight w:val="0"/>
      <w:marTop w:val="0"/>
      <w:marBottom w:val="0"/>
      <w:divBdr>
        <w:top w:val="none" w:sz="0" w:space="0" w:color="auto"/>
        <w:left w:val="none" w:sz="0" w:space="0" w:color="auto"/>
        <w:bottom w:val="none" w:sz="0" w:space="0" w:color="auto"/>
        <w:right w:val="none" w:sz="0" w:space="0" w:color="auto"/>
      </w:divBdr>
      <w:divsChild>
        <w:div w:id="670333152">
          <w:marLeft w:val="0"/>
          <w:marRight w:val="0"/>
          <w:marTop w:val="0"/>
          <w:marBottom w:val="0"/>
          <w:divBdr>
            <w:top w:val="none" w:sz="0" w:space="0" w:color="auto"/>
            <w:left w:val="none" w:sz="0" w:space="0" w:color="auto"/>
            <w:bottom w:val="none" w:sz="0" w:space="0" w:color="auto"/>
            <w:right w:val="none" w:sz="0" w:space="0" w:color="auto"/>
          </w:divBdr>
          <w:divsChild>
            <w:div w:id="1936473720">
              <w:marLeft w:val="0"/>
              <w:marRight w:val="0"/>
              <w:marTop w:val="0"/>
              <w:marBottom w:val="0"/>
              <w:divBdr>
                <w:top w:val="none" w:sz="0" w:space="0" w:color="auto"/>
                <w:left w:val="none" w:sz="0" w:space="0" w:color="auto"/>
                <w:bottom w:val="none" w:sz="0" w:space="0" w:color="auto"/>
                <w:right w:val="none" w:sz="0" w:space="0" w:color="auto"/>
              </w:divBdr>
              <w:divsChild>
                <w:div w:id="155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045">
      <w:bodyDiv w:val="1"/>
      <w:marLeft w:val="0"/>
      <w:marRight w:val="0"/>
      <w:marTop w:val="0"/>
      <w:marBottom w:val="0"/>
      <w:divBdr>
        <w:top w:val="none" w:sz="0" w:space="0" w:color="auto"/>
        <w:left w:val="none" w:sz="0" w:space="0" w:color="auto"/>
        <w:bottom w:val="none" w:sz="0" w:space="0" w:color="auto"/>
        <w:right w:val="none" w:sz="0" w:space="0" w:color="auto"/>
      </w:divBdr>
    </w:div>
    <w:div w:id="1756245801">
      <w:bodyDiv w:val="1"/>
      <w:marLeft w:val="0"/>
      <w:marRight w:val="0"/>
      <w:marTop w:val="0"/>
      <w:marBottom w:val="0"/>
      <w:divBdr>
        <w:top w:val="none" w:sz="0" w:space="0" w:color="auto"/>
        <w:left w:val="none" w:sz="0" w:space="0" w:color="auto"/>
        <w:bottom w:val="none" w:sz="0" w:space="0" w:color="auto"/>
        <w:right w:val="none" w:sz="0" w:space="0" w:color="auto"/>
      </w:divBdr>
      <w:divsChild>
        <w:div w:id="518588516">
          <w:marLeft w:val="0"/>
          <w:marRight w:val="0"/>
          <w:marTop w:val="0"/>
          <w:marBottom w:val="0"/>
          <w:divBdr>
            <w:top w:val="none" w:sz="0" w:space="0" w:color="auto"/>
            <w:left w:val="none" w:sz="0" w:space="0" w:color="auto"/>
            <w:bottom w:val="none" w:sz="0" w:space="0" w:color="auto"/>
            <w:right w:val="none" w:sz="0" w:space="0" w:color="auto"/>
          </w:divBdr>
        </w:div>
        <w:div w:id="1687757044">
          <w:marLeft w:val="0"/>
          <w:marRight w:val="0"/>
          <w:marTop w:val="0"/>
          <w:marBottom w:val="0"/>
          <w:divBdr>
            <w:top w:val="none" w:sz="0" w:space="0" w:color="auto"/>
            <w:left w:val="none" w:sz="0" w:space="0" w:color="auto"/>
            <w:bottom w:val="none" w:sz="0" w:space="0" w:color="auto"/>
            <w:right w:val="none" w:sz="0" w:space="0" w:color="auto"/>
          </w:divBdr>
        </w:div>
        <w:div w:id="1406880693">
          <w:marLeft w:val="0"/>
          <w:marRight w:val="0"/>
          <w:marTop w:val="0"/>
          <w:marBottom w:val="0"/>
          <w:divBdr>
            <w:top w:val="none" w:sz="0" w:space="0" w:color="auto"/>
            <w:left w:val="none" w:sz="0" w:space="0" w:color="auto"/>
            <w:bottom w:val="none" w:sz="0" w:space="0" w:color="auto"/>
            <w:right w:val="none" w:sz="0" w:space="0" w:color="auto"/>
          </w:divBdr>
        </w:div>
        <w:div w:id="1888224423">
          <w:marLeft w:val="0"/>
          <w:marRight w:val="0"/>
          <w:marTop w:val="0"/>
          <w:marBottom w:val="0"/>
          <w:divBdr>
            <w:top w:val="none" w:sz="0" w:space="0" w:color="auto"/>
            <w:left w:val="none" w:sz="0" w:space="0" w:color="auto"/>
            <w:bottom w:val="none" w:sz="0" w:space="0" w:color="auto"/>
            <w:right w:val="none" w:sz="0" w:space="0" w:color="auto"/>
          </w:divBdr>
        </w:div>
        <w:div w:id="1964116197">
          <w:marLeft w:val="0"/>
          <w:marRight w:val="0"/>
          <w:marTop w:val="0"/>
          <w:marBottom w:val="0"/>
          <w:divBdr>
            <w:top w:val="none" w:sz="0" w:space="0" w:color="auto"/>
            <w:left w:val="none" w:sz="0" w:space="0" w:color="auto"/>
            <w:bottom w:val="none" w:sz="0" w:space="0" w:color="auto"/>
            <w:right w:val="none" w:sz="0" w:space="0" w:color="auto"/>
          </w:divBdr>
        </w:div>
        <w:div w:id="1000542155">
          <w:marLeft w:val="0"/>
          <w:marRight w:val="0"/>
          <w:marTop w:val="0"/>
          <w:marBottom w:val="0"/>
          <w:divBdr>
            <w:top w:val="none" w:sz="0" w:space="0" w:color="auto"/>
            <w:left w:val="none" w:sz="0" w:space="0" w:color="auto"/>
            <w:bottom w:val="none" w:sz="0" w:space="0" w:color="auto"/>
            <w:right w:val="none" w:sz="0" w:space="0" w:color="auto"/>
          </w:divBdr>
        </w:div>
      </w:divsChild>
    </w:div>
    <w:div w:id="1763188218">
      <w:bodyDiv w:val="1"/>
      <w:marLeft w:val="0"/>
      <w:marRight w:val="0"/>
      <w:marTop w:val="0"/>
      <w:marBottom w:val="0"/>
      <w:divBdr>
        <w:top w:val="none" w:sz="0" w:space="0" w:color="auto"/>
        <w:left w:val="none" w:sz="0" w:space="0" w:color="auto"/>
        <w:bottom w:val="none" w:sz="0" w:space="0" w:color="auto"/>
        <w:right w:val="none" w:sz="0" w:space="0" w:color="auto"/>
      </w:divBdr>
    </w:div>
    <w:div w:id="197428846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77">
          <w:marLeft w:val="0"/>
          <w:marRight w:val="0"/>
          <w:marTop w:val="0"/>
          <w:marBottom w:val="0"/>
          <w:divBdr>
            <w:top w:val="none" w:sz="0" w:space="0" w:color="auto"/>
            <w:left w:val="none" w:sz="0" w:space="0" w:color="auto"/>
            <w:bottom w:val="none" w:sz="0" w:space="0" w:color="auto"/>
            <w:right w:val="none" w:sz="0" w:space="0" w:color="auto"/>
          </w:divBdr>
          <w:divsChild>
            <w:div w:id="1117526183">
              <w:marLeft w:val="0"/>
              <w:marRight w:val="0"/>
              <w:marTop w:val="0"/>
              <w:marBottom w:val="0"/>
              <w:divBdr>
                <w:top w:val="none" w:sz="0" w:space="0" w:color="auto"/>
                <w:left w:val="none" w:sz="0" w:space="0" w:color="auto"/>
                <w:bottom w:val="none" w:sz="0" w:space="0" w:color="auto"/>
                <w:right w:val="none" w:sz="0" w:space="0" w:color="auto"/>
              </w:divBdr>
              <w:divsChild>
                <w:div w:id="2043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3428">
      <w:bodyDiv w:val="1"/>
      <w:marLeft w:val="0"/>
      <w:marRight w:val="0"/>
      <w:marTop w:val="0"/>
      <w:marBottom w:val="0"/>
      <w:divBdr>
        <w:top w:val="none" w:sz="0" w:space="0" w:color="auto"/>
        <w:left w:val="none" w:sz="0" w:space="0" w:color="auto"/>
        <w:bottom w:val="none" w:sz="0" w:space="0" w:color="auto"/>
        <w:right w:val="none" w:sz="0" w:space="0" w:color="auto"/>
      </w:divBdr>
      <w:divsChild>
        <w:div w:id="149056216">
          <w:marLeft w:val="0"/>
          <w:marRight w:val="0"/>
          <w:marTop w:val="0"/>
          <w:marBottom w:val="0"/>
          <w:divBdr>
            <w:top w:val="none" w:sz="0" w:space="0" w:color="auto"/>
            <w:left w:val="none" w:sz="0" w:space="0" w:color="auto"/>
            <w:bottom w:val="none" w:sz="0" w:space="0" w:color="auto"/>
            <w:right w:val="none" w:sz="0" w:space="0" w:color="auto"/>
          </w:divBdr>
          <w:divsChild>
            <w:div w:id="2009482322">
              <w:marLeft w:val="0"/>
              <w:marRight w:val="0"/>
              <w:marTop w:val="0"/>
              <w:marBottom w:val="0"/>
              <w:divBdr>
                <w:top w:val="none" w:sz="0" w:space="0" w:color="auto"/>
                <w:left w:val="none" w:sz="0" w:space="0" w:color="auto"/>
                <w:bottom w:val="none" w:sz="0" w:space="0" w:color="auto"/>
                <w:right w:val="none" w:sz="0" w:space="0" w:color="auto"/>
              </w:divBdr>
              <w:divsChild>
                <w:div w:id="21022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057">
      <w:bodyDiv w:val="1"/>
      <w:marLeft w:val="0"/>
      <w:marRight w:val="0"/>
      <w:marTop w:val="0"/>
      <w:marBottom w:val="0"/>
      <w:divBdr>
        <w:top w:val="none" w:sz="0" w:space="0" w:color="auto"/>
        <w:left w:val="none" w:sz="0" w:space="0" w:color="auto"/>
        <w:bottom w:val="none" w:sz="0" w:space="0" w:color="auto"/>
        <w:right w:val="none" w:sz="0" w:space="0" w:color="auto"/>
      </w:divBdr>
    </w:div>
    <w:div w:id="2127309701">
      <w:bodyDiv w:val="1"/>
      <w:marLeft w:val="0"/>
      <w:marRight w:val="0"/>
      <w:marTop w:val="0"/>
      <w:marBottom w:val="0"/>
      <w:divBdr>
        <w:top w:val="none" w:sz="0" w:space="0" w:color="auto"/>
        <w:left w:val="none" w:sz="0" w:space="0" w:color="auto"/>
        <w:bottom w:val="none" w:sz="0" w:space="0" w:color="auto"/>
        <w:right w:val="none" w:sz="0" w:space="0" w:color="auto"/>
      </w:divBdr>
    </w:div>
    <w:div w:id="2142265913">
      <w:bodyDiv w:val="1"/>
      <w:marLeft w:val="0"/>
      <w:marRight w:val="0"/>
      <w:marTop w:val="0"/>
      <w:marBottom w:val="0"/>
      <w:divBdr>
        <w:top w:val="none" w:sz="0" w:space="0" w:color="auto"/>
        <w:left w:val="none" w:sz="0" w:space="0" w:color="auto"/>
        <w:bottom w:val="none" w:sz="0" w:space="0" w:color="auto"/>
        <w:right w:val="none" w:sz="0" w:space="0" w:color="auto"/>
      </w:divBdr>
      <w:divsChild>
        <w:div w:id="1202282846">
          <w:marLeft w:val="0"/>
          <w:marRight w:val="0"/>
          <w:marTop w:val="0"/>
          <w:marBottom w:val="0"/>
          <w:divBdr>
            <w:top w:val="none" w:sz="0" w:space="0" w:color="auto"/>
            <w:left w:val="none" w:sz="0" w:space="0" w:color="auto"/>
            <w:bottom w:val="none" w:sz="0" w:space="0" w:color="auto"/>
            <w:right w:val="none" w:sz="0" w:space="0" w:color="auto"/>
          </w:divBdr>
          <w:divsChild>
            <w:div w:id="1681082985">
              <w:marLeft w:val="0"/>
              <w:marRight w:val="0"/>
              <w:marTop w:val="0"/>
              <w:marBottom w:val="0"/>
              <w:divBdr>
                <w:top w:val="none" w:sz="0" w:space="0" w:color="auto"/>
                <w:left w:val="none" w:sz="0" w:space="0" w:color="auto"/>
                <w:bottom w:val="none" w:sz="0" w:space="0" w:color="auto"/>
                <w:right w:val="none" w:sz="0" w:space="0" w:color="auto"/>
              </w:divBdr>
              <w:divsChild>
                <w:div w:id="88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ley_1150_2007.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41DA-88E7-43E4-AFD3-C1DD695844DF}">
  <ds:schemaRefs>
    <ds:schemaRef ds:uri="http://schemas.microsoft.com/sharepoint/v3/contenttype/forms"/>
  </ds:schemaRefs>
</ds:datastoreItem>
</file>

<file path=customXml/itemProps2.xml><?xml version="1.0" encoding="utf-8"?>
<ds:datastoreItem xmlns:ds="http://schemas.openxmlformats.org/officeDocument/2006/customXml" ds:itemID="{8CE8B890-C35D-405D-B4A2-E97E315A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D384E-B399-4884-B6EC-E67404D3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11815</Words>
  <Characters>64984</Characters>
  <Application>Microsoft Office Word</Application>
  <DocSecurity>0</DocSecurity>
  <Lines>541</Lines>
  <Paragraphs>153</Paragraphs>
  <ScaleCrop>false</ScaleCrop>
  <Company/>
  <LinksUpToDate>false</LinksUpToDate>
  <CharactersWithSpaces>76646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Edwin Johan Chocontá Quintero</cp:lastModifiedBy>
  <cp:revision>2</cp:revision>
  <dcterms:created xsi:type="dcterms:W3CDTF">2022-05-24T19:53:00Z</dcterms:created>
  <dcterms:modified xsi:type="dcterms:W3CDTF">2022-05-24T19:53:00Z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