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48A5" w14:textId="77777777" w:rsidR="001554CA" w:rsidRDefault="001554CA" w:rsidP="001554CA">
      <w:pPr>
        <w:jc w:val="right"/>
        <w:rPr>
          <w:rFonts w:ascii="Arial" w:hAnsi="Arial" w:cs="Arial"/>
          <w:b/>
          <w:color w:val="000000" w:themeColor="text1"/>
          <w:sz w:val="16"/>
          <w:szCs w:val="16"/>
          <w:lang w:val="es-ES" w:eastAsia="es-ES"/>
        </w:rPr>
      </w:pPr>
      <w:r>
        <w:rPr>
          <w:rFonts w:ascii="Arial" w:hAnsi="Arial" w:cs="Arial"/>
          <w:b/>
          <w:color w:val="000000" w:themeColor="text1"/>
          <w:sz w:val="16"/>
          <w:szCs w:val="16"/>
          <w:lang w:val="es-ES" w:eastAsia="es-ES"/>
        </w:rPr>
        <w:t>CCE-DES-FM-17</w:t>
      </w:r>
    </w:p>
    <w:p w14:paraId="2982C8A5" w14:textId="77777777" w:rsidR="00233F2B" w:rsidRPr="00CA3863" w:rsidRDefault="00233F2B" w:rsidP="00233F2B">
      <w:pPr>
        <w:widowControl w:val="0"/>
        <w:autoSpaceDE w:val="0"/>
        <w:autoSpaceDN w:val="0"/>
        <w:jc w:val="both"/>
        <w:rPr>
          <w:rFonts w:ascii="Arial" w:eastAsia="Calibri" w:hAnsi="Arial" w:cs="Arial"/>
          <w:sz w:val="22"/>
          <w:lang w:val="es-CO"/>
        </w:rPr>
      </w:pPr>
    </w:p>
    <w:p w14:paraId="18D2973C" w14:textId="5F1C8C07" w:rsidR="00CA3863" w:rsidRPr="00CA3863" w:rsidRDefault="00CA3863" w:rsidP="00CA3863">
      <w:pPr>
        <w:widowControl w:val="0"/>
        <w:autoSpaceDE w:val="0"/>
        <w:autoSpaceDN w:val="0"/>
        <w:spacing w:line="276" w:lineRule="auto"/>
        <w:jc w:val="both"/>
        <w:rPr>
          <w:rFonts w:ascii="Arial" w:eastAsia="Calibri" w:hAnsi="Arial" w:cs="Arial"/>
          <w:b/>
          <w:bCs/>
          <w:sz w:val="22"/>
          <w:lang w:val="es-CO"/>
        </w:rPr>
      </w:pPr>
      <w:r w:rsidRPr="00CA3863">
        <w:rPr>
          <w:rFonts w:ascii="Arial" w:eastAsia="Calibri" w:hAnsi="Arial" w:cs="Arial"/>
          <w:b/>
          <w:bCs/>
          <w:sz w:val="22"/>
          <w:lang w:val="es-CO"/>
        </w:rPr>
        <w:t>LEY DE GARANTÍAS ELECTORALES –</w:t>
      </w:r>
      <w:r w:rsidR="0060576A">
        <w:rPr>
          <w:rFonts w:ascii="Arial" w:eastAsia="Calibri" w:hAnsi="Arial" w:cs="Arial"/>
          <w:b/>
          <w:bCs/>
          <w:sz w:val="22"/>
          <w:lang w:val="es-CO"/>
        </w:rPr>
        <w:t xml:space="preserve"> </w:t>
      </w:r>
      <w:r w:rsidR="00330179">
        <w:rPr>
          <w:rFonts w:ascii="Arial" w:eastAsia="Arial" w:hAnsi="Arial" w:cs="Arial"/>
          <w:b/>
          <w:bCs/>
          <w:sz w:val="22"/>
          <w:lang w:val="es-ES"/>
        </w:rPr>
        <w:t>Artículo 33</w:t>
      </w:r>
      <w:r w:rsidR="00E35276">
        <w:rPr>
          <w:rFonts w:ascii="Arial" w:eastAsia="Arial" w:hAnsi="Arial" w:cs="Arial"/>
          <w:b/>
          <w:bCs/>
          <w:sz w:val="22"/>
          <w:lang w:val="es-ES"/>
        </w:rPr>
        <w:t xml:space="preserve"> Y 38</w:t>
      </w:r>
      <w:r w:rsidR="00330179">
        <w:rPr>
          <w:rFonts w:ascii="Arial" w:eastAsia="Arial" w:hAnsi="Arial" w:cs="Arial"/>
          <w:b/>
          <w:bCs/>
          <w:sz w:val="22"/>
          <w:lang w:val="es-ES"/>
        </w:rPr>
        <w:t xml:space="preserve"> </w:t>
      </w:r>
      <w:r w:rsidR="00E35276">
        <w:rPr>
          <w:rFonts w:ascii="Arial" w:eastAsia="Arial" w:hAnsi="Arial" w:cs="Arial"/>
          <w:b/>
          <w:bCs/>
          <w:sz w:val="22"/>
          <w:lang w:val="es-ES"/>
        </w:rPr>
        <w:t xml:space="preserve">– </w:t>
      </w:r>
      <w:r w:rsidR="00E6666F">
        <w:rPr>
          <w:rFonts w:ascii="Arial" w:eastAsia="Calibri" w:hAnsi="Arial" w:cs="Arial"/>
          <w:b/>
          <w:bCs/>
          <w:sz w:val="22"/>
          <w:lang w:val="es-CO"/>
        </w:rPr>
        <w:t>Elecciones presidenciales</w:t>
      </w:r>
    </w:p>
    <w:p w14:paraId="62009869" w14:textId="77777777" w:rsidR="00CA3863" w:rsidRPr="00CA3863" w:rsidRDefault="00CA3863" w:rsidP="00CA3863">
      <w:pPr>
        <w:widowControl w:val="0"/>
        <w:autoSpaceDE w:val="0"/>
        <w:autoSpaceDN w:val="0"/>
        <w:spacing w:line="276" w:lineRule="auto"/>
        <w:jc w:val="both"/>
        <w:rPr>
          <w:rFonts w:ascii="Arial" w:eastAsia="Calibri" w:hAnsi="Arial" w:cs="Arial"/>
          <w:b/>
          <w:bCs/>
          <w:sz w:val="22"/>
          <w:lang w:val="es-CO"/>
        </w:rPr>
      </w:pPr>
    </w:p>
    <w:p w14:paraId="7EC2C8B0" w14:textId="346CF59B" w:rsidR="003D418B" w:rsidRDefault="003D418B" w:rsidP="003D418B">
      <w:pPr>
        <w:widowControl w:val="0"/>
        <w:autoSpaceDE w:val="0"/>
        <w:autoSpaceDN w:val="0"/>
        <w:jc w:val="both"/>
        <w:rPr>
          <w:rFonts w:ascii="Arial" w:eastAsia="Arial" w:hAnsi="Arial" w:cs="Arial"/>
          <w:sz w:val="20"/>
          <w:szCs w:val="20"/>
          <w:lang w:val="es-ES" w:eastAsia="es-ES" w:bidi="es-ES"/>
        </w:rPr>
      </w:pPr>
      <w:r>
        <w:rPr>
          <w:rFonts w:ascii="Arial" w:eastAsia="Arial" w:hAnsi="Arial" w:cs="Arial"/>
          <w:sz w:val="20"/>
          <w:szCs w:val="20"/>
          <w:lang w:val="es-ES" w:eastAsia="es-ES" w:bidi="es-ES"/>
        </w:rPr>
        <w:t xml:space="preserve">[…] </w:t>
      </w:r>
      <w:r w:rsidRPr="003D418B">
        <w:rPr>
          <w:rFonts w:ascii="Arial" w:eastAsia="Arial" w:hAnsi="Arial" w:cs="Arial"/>
          <w:sz w:val="20"/>
          <w:szCs w:val="20"/>
          <w:lang w:val="es-ES" w:eastAsia="es-ES" w:bidi="es-ES"/>
        </w:rPr>
        <w:t>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 .</w:t>
      </w:r>
    </w:p>
    <w:p w14:paraId="37EF2057" w14:textId="77777777" w:rsidR="003D418B" w:rsidRPr="003D418B" w:rsidRDefault="003D418B" w:rsidP="003D418B">
      <w:pPr>
        <w:widowControl w:val="0"/>
        <w:autoSpaceDE w:val="0"/>
        <w:autoSpaceDN w:val="0"/>
        <w:jc w:val="both"/>
        <w:rPr>
          <w:rFonts w:ascii="Arial" w:eastAsia="Arial" w:hAnsi="Arial" w:cs="Arial"/>
          <w:sz w:val="20"/>
          <w:szCs w:val="20"/>
          <w:lang w:val="es-ES" w:eastAsia="es-ES" w:bidi="es-ES"/>
        </w:rPr>
      </w:pPr>
    </w:p>
    <w:p w14:paraId="2D5429B7" w14:textId="1199F9AF" w:rsidR="00D90E63" w:rsidRDefault="003D418B" w:rsidP="003D418B">
      <w:pPr>
        <w:widowControl w:val="0"/>
        <w:autoSpaceDE w:val="0"/>
        <w:autoSpaceDN w:val="0"/>
        <w:jc w:val="both"/>
        <w:rPr>
          <w:rFonts w:ascii="Arial" w:eastAsia="Arial" w:hAnsi="Arial" w:cs="Arial"/>
          <w:sz w:val="20"/>
          <w:szCs w:val="20"/>
          <w:lang w:val="es-ES" w:eastAsia="es-ES" w:bidi="es-ES"/>
        </w:rPr>
      </w:pPr>
      <w:r w:rsidRPr="003D418B">
        <w:rPr>
          <w:rFonts w:ascii="Arial" w:eastAsia="Arial" w:hAnsi="Arial" w:cs="Arial"/>
          <w:sz w:val="20"/>
          <w:szCs w:val="20"/>
          <w:lang w:val="es-ES" w:eastAsia="es-ES" w:bidi="es-ES"/>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00905A61" w:rsidRPr="00905A61">
        <w:rPr>
          <w:rFonts w:ascii="Arial" w:eastAsia="Arial" w:hAnsi="Arial" w:cs="Arial"/>
          <w:sz w:val="20"/>
          <w:szCs w:val="20"/>
          <w:lang w:val="es-ES" w:eastAsia="es-ES" w:bidi="es-ES"/>
        </w:rPr>
        <w:t>.</w:t>
      </w:r>
    </w:p>
    <w:p w14:paraId="38598530" w14:textId="77777777" w:rsidR="007C334F" w:rsidRDefault="007C334F" w:rsidP="00905A61">
      <w:pPr>
        <w:widowControl w:val="0"/>
        <w:autoSpaceDE w:val="0"/>
        <w:autoSpaceDN w:val="0"/>
        <w:jc w:val="both"/>
        <w:rPr>
          <w:rFonts w:ascii="Arial" w:eastAsia="Arial" w:hAnsi="Arial" w:cs="Arial"/>
          <w:sz w:val="20"/>
          <w:szCs w:val="20"/>
          <w:lang w:val="es-ES" w:eastAsia="es-ES" w:bidi="es-ES"/>
        </w:rPr>
      </w:pPr>
    </w:p>
    <w:p w14:paraId="68FDE6CF" w14:textId="235EC60F" w:rsidR="007C334F" w:rsidRDefault="007C334F" w:rsidP="00905A61">
      <w:pPr>
        <w:widowControl w:val="0"/>
        <w:autoSpaceDE w:val="0"/>
        <w:autoSpaceDN w:val="0"/>
        <w:jc w:val="both"/>
        <w:rPr>
          <w:rFonts w:ascii="Arial" w:eastAsia="Arial" w:hAnsi="Arial" w:cs="Arial"/>
          <w:sz w:val="20"/>
          <w:szCs w:val="20"/>
          <w:lang w:val="es-ES" w:eastAsia="es-ES" w:bidi="es-ES"/>
        </w:rPr>
      </w:pPr>
      <w:r w:rsidRPr="007C334F">
        <w:rPr>
          <w:rFonts w:ascii="Arial" w:eastAsia="Arial" w:hAnsi="Arial" w:cs="Arial"/>
          <w:sz w:val="20"/>
          <w:szCs w:val="20"/>
          <w:lang w:val="es-ES" w:eastAsia="es-ES" w:bidi="es-ES"/>
        </w:rPr>
        <w:t xml:space="preserve">Ahora bien, la restricción del artículo 33 es aplicable a «todos los Entes del Estado», independientemente de su régimen, por lo que, en virtud de la misma, entidades descentralizadas por servicios, como, ejemplo, las sociedades de economía mixta, tienen restringida la contratación directa durante los cuatro meses anteriores a las elecciones </w:t>
      </w:r>
      <w:r w:rsidR="00031288" w:rsidRPr="007C334F">
        <w:rPr>
          <w:rFonts w:ascii="Arial" w:eastAsia="Arial" w:hAnsi="Arial" w:cs="Arial"/>
          <w:sz w:val="20"/>
          <w:szCs w:val="20"/>
          <w:lang w:val="es-ES" w:eastAsia="es-ES" w:bidi="es-ES"/>
        </w:rPr>
        <w:t>presidenciales.</w:t>
      </w:r>
      <w:r w:rsidRPr="007C334F">
        <w:rPr>
          <w:rFonts w:ascii="Arial" w:eastAsia="Arial" w:hAnsi="Arial" w:cs="Arial"/>
          <w:sz w:val="20"/>
          <w:szCs w:val="20"/>
          <w:lang w:val="es-ES" w:eastAsia="es-ES" w:bidi="es-ES"/>
        </w:rPr>
        <w:t xml:space="preserve"> Por su parte, la restricción que deriva del primer inciso del parágrafo del artículo 38, aplica entes territoriales y sus entidades descentralizadas, pero no solo durante las elecciones presidenciales, sino también en los periodos preelectorales de los cuatro meses anteriores a elecciones locales, Congreso de la República y en general de cargos de elección popular</w:t>
      </w:r>
      <w:r w:rsidR="00031288">
        <w:rPr>
          <w:rFonts w:ascii="Arial" w:eastAsia="Arial" w:hAnsi="Arial" w:cs="Arial"/>
          <w:sz w:val="20"/>
          <w:szCs w:val="20"/>
          <w:lang w:val="es-ES" w:eastAsia="es-ES" w:bidi="es-ES"/>
        </w:rPr>
        <w:t>.</w:t>
      </w:r>
    </w:p>
    <w:p w14:paraId="64B62E0A" w14:textId="77777777" w:rsidR="00031288" w:rsidRDefault="00031288" w:rsidP="00905A61">
      <w:pPr>
        <w:widowControl w:val="0"/>
        <w:autoSpaceDE w:val="0"/>
        <w:autoSpaceDN w:val="0"/>
        <w:jc w:val="both"/>
        <w:rPr>
          <w:rFonts w:ascii="Arial" w:eastAsia="Arial" w:hAnsi="Arial" w:cs="Arial"/>
          <w:sz w:val="20"/>
          <w:szCs w:val="20"/>
          <w:lang w:val="es-ES" w:eastAsia="es-ES" w:bidi="es-ES"/>
        </w:rPr>
      </w:pPr>
    </w:p>
    <w:p w14:paraId="5673C68C" w14:textId="4FDECE31" w:rsidR="00031288" w:rsidRPr="00905A61" w:rsidRDefault="00031288" w:rsidP="00905A61">
      <w:pPr>
        <w:widowControl w:val="0"/>
        <w:autoSpaceDE w:val="0"/>
        <w:autoSpaceDN w:val="0"/>
        <w:jc w:val="both"/>
        <w:rPr>
          <w:rFonts w:ascii="Arial" w:eastAsia="Arial" w:hAnsi="Arial" w:cs="Arial"/>
          <w:sz w:val="20"/>
          <w:szCs w:val="20"/>
          <w:lang w:val="es-ES" w:eastAsia="es-ES" w:bidi="es-ES"/>
        </w:rPr>
      </w:pPr>
      <w:r w:rsidRPr="00031288">
        <w:rPr>
          <w:rFonts w:ascii="Arial" w:eastAsia="Arial" w:hAnsi="Arial" w:cs="Arial"/>
          <w:sz w:val="20"/>
          <w:szCs w:val="20"/>
          <w:lang w:val="es-ES" w:eastAsia="es-ES" w:bidi="es-ES"/>
        </w:rPr>
        <w:t xml:space="preserve">Al respecto, la Agencia advierte que para el año 2022 están programadas las elecciones para elegir miembros del Congreso de la República, así como las jornadas para la elección del Presidente y Vicepresidente de la República. Las primeras tuvieron lugar el domingo 13 de marzo de 2022 y las segundas se realizarán el 29 de mayo del mismo </w:t>
      </w:r>
      <w:r w:rsidR="003D418B" w:rsidRPr="00031288">
        <w:rPr>
          <w:rFonts w:ascii="Arial" w:eastAsia="Arial" w:hAnsi="Arial" w:cs="Arial"/>
          <w:sz w:val="20"/>
          <w:szCs w:val="20"/>
          <w:lang w:val="es-ES" w:eastAsia="es-ES" w:bidi="es-ES"/>
        </w:rPr>
        <w:t>año.</w:t>
      </w:r>
      <w:r w:rsidRPr="00031288">
        <w:rPr>
          <w:rFonts w:ascii="Arial" w:eastAsia="Arial" w:hAnsi="Arial" w:cs="Arial"/>
          <w:sz w:val="20"/>
          <w:szCs w:val="20"/>
          <w:lang w:val="es-ES" w:eastAsia="es-ES" w:bidi="es-ES"/>
        </w:rPr>
        <w:t xml:space="preserve"> De esta manera, en cuanto a la restricción del artículo 38, es preciso afirmar que la misma, en principio, empezó a regir desde el 13 de noviembre de 2021, no obstante, en la medida en que dicha restricción también rige durante las elecciones presidenciales, esta se habría extendido hasta el 29 de mayo de 2022. Por su parte, la restricción del artículo 33, comenzó a regir para todos los entes del Estado a partir del 29 de enero </w:t>
      </w:r>
      <w:r w:rsidR="003D418B" w:rsidRPr="00031288">
        <w:rPr>
          <w:rFonts w:ascii="Arial" w:eastAsia="Arial" w:hAnsi="Arial" w:cs="Arial"/>
          <w:sz w:val="20"/>
          <w:szCs w:val="20"/>
          <w:lang w:val="es-ES" w:eastAsia="es-ES" w:bidi="es-ES"/>
        </w:rPr>
        <w:t>de 2022</w:t>
      </w:r>
      <w:r w:rsidRPr="00031288">
        <w:rPr>
          <w:rFonts w:ascii="Arial" w:eastAsia="Arial" w:hAnsi="Arial" w:cs="Arial"/>
          <w:sz w:val="20"/>
          <w:szCs w:val="20"/>
          <w:lang w:val="es-ES" w:eastAsia="es-ES" w:bidi="es-ES"/>
        </w:rPr>
        <w:t>, y se extendería hasta la fecha en la que se encuentra programada la votación de la primera vuelta de las elecciones presidenciales, y en caso, de requerirse hasta la fecha de realización de la segunda vuelta</w:t>
      </w:r>
      <w:r>
        <w:rPr>
          <w:rFonts w:ascii="Arial" w:eastAsia="Arial" w:hAnsi="Arial" w:cs="Arial"/>
          <w:sz w:val="20"/>
          <w:szCs w:val="20"/>
          <w:lang w:val="es-ES" w:eastAsia="es-ES" w:bidi="es-ES"/>
        </w:rPr>
        <w:t>.</w:t>
      </w:r>
    </w:p>
    <w:p w14:paraId="2E791A43" w14:textId="77777777" w:rsidR="00905A61" w:rsidRDefault="00905A61" w:rsidP="00CA3863">
      <w:pPr>
        <w:widowControl w:val="0"/>
        <w:autoSpaceDE w:val="0"/>
        <w:autoSpaceDN w:val="0"/>
        <w:jc w:val="both"/>
        <w:rPr>
          <w:rFonts w:ascii="Arial" w:eastAsia="Arial" w:hAnsi="Arial" w:cs="Arial"/>
          <w:b/>
          <w:bCs/>
          <w:sz w:val="22"/>
          <w:lang w:val="es-ES"/>
        </w:rPr>
      </w:pPr>
    </w:p>
    <w:p w14:paraId="7811D9AA" w14:textId="77777777" w:rsidR="004F60FB" w:rsidRDefault="004F60FB" w:rsidP="009E05ED">
      <w:pPr>
        <w:jc w:val="both"/>
        <w:rPr>
          <w:rFonts w:ascii="Arial" w:hAnsi="Arial" w:cs="Arial"/>
          <w:sz w:val="22"/>
        </w:rPr>
      </w:pPr>
    </w:p>
    <w:p w14:paraId="064BFCB6" w14:textId="77777777" w:rsidR="004F60FB" w:rsidRDefault="004F60FB" w:rsidP="009E05ED">
      <w:pPr>
        <w:jc w:val="both"/>
        <w:rPr>
          <w:rFonts w:ascii="Arial" w:hAnsi="Arial" w:cs="Arial"/>
          <w:sz w:val="22"/>
        </w:rPr>
      </w:pPr>
    </w:p>
    <w:p w14:paraId="744BA14C" w14:textId="77777777" w:rsidR="004F60FB" w:rsidRDefault="004F60FB" w:rsidP="009E05ED">
      <w:pPr>
        <w:jc w:val="both"/>
        <w:rPr>
          <w:rFonts w:ascii="Arial" w:hAnsi="Arial" w:cs="Arial"/>
          <w:sz w:val="22"/>
        </w:rPr>
      </w:pPr>
    </w:p>
    <w:p w14:paraId="13FD73D9" w14:textId="77777777" w:rsidR="004132EF" w:rsidRDefault="004132EF">
      <w:pPr>
        <w:spacing w:after="160" w:line="259" w:lineRule="auto"/>
        <w:rPr>
          <w:rFonts w:ascii="Arial" w:hAnsi="Arial" w:cs="Arial"/>
          <w:sz w:val="22"/>
        </w:rPr>
      </w:pPr>
      <w:r>
        <w:rPr>
          <w:rFonts w:ascii="Arial" w:hAnsi="Arial" w:cs="Arial"/>
          <w:sz w:val="22"/>
        </w:rPr>
        <w:br w:type="page"/>
      </w:r>
    </w:p>
    <w:p w14:paraId="0C89CF81" w14:textId="6D7E62C6" w:rsidR="004F60FB" w:rsidRDefault="00721168" w:rsidP="009E05ED">
      <w:pPr>
        <w:jc w:val="both"/>
        <w:rPr>
          <w:rFonts w:ascii="Arial" w:hAnsi="Arial" w:cs="Arial"/>
          <w:sz w:val="22"/>
        </w:rPr>
      </w:pPr>
      <w:r w:rsidRPr="00721168">
        <w:rPr>
          <w:rFonts w:ascii="Arial" w:hAnsi="Arial" w:cs="Arial"/>
          <w:noProof/>
          <w:sz w:val="22"/>
        </w:rPr>
        <w:lastRenderedPageBreak/>
        <w:drawing>
          <wp:anchor distT="0" distB="0" distL="114300" distR="114300" simplePos="0" relativeHeight="251660288" behindDoc="1" locked="0" layoutInCell="1" allowOverlap="1" wp14:anchorId="73FCD365" wp14:editId="11EF3CB3">
            <wp:simplePos x="0" y="0"/>
            <wp:positionH relativeFrom="margin">
              <wp:align>right</wp:align>
            </wp:positionH>
            <wp:positionV relativeFrom="paragraph">
              <wp:posOffset>-572991</wp:posOffset>
            </wp:positionV>
            <wp:extent cx="2721935" cy="676326"/>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1935" cy="6763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BE021" w14:textId="6AAF989B" w:rsidR="0003701D" w:rsidRDefault="0003701D" w:rsidP="009E05ED">
      <w:pPr>
        <w:jc w:val="both"/>
        <w:rPr>
          <w:rFonts w:ascii="Arial" w:hAnsi="Arial" w:cs="Arial"/>
          <w:sz w:val="22"/>
        </w:rPr>
      </w:pPr>
    </w:p>
    <w:p w14:paraId="684E1CAF" w14:textId="77777777" w:rsidR="0003701D" w:rsidRDefault="0003701D" w:rsidP="009E05ED">
      <w:pPr>
        <w:jc w:val="both"/>
        <w:rPr>
          <w:rFonts w:ascii="Arial" w:hAnsi="Arial" w:cs="Arial"/>
          <w:sz w:val="22"/>
        </w:rPr>
      </w:pPr>
    </w:p>
    <w:p w14:paraId="40886C88" w14:textId="77777777" w:rsidR="004F60FB" w:rsidRDefault="004F60FB" w:rsidP="009E05ED">
      <w:pPr>
        <w:jc w:val="both"/>
        <w:rPr>
          <w:rFonts w:ascii="Arial" w:hAnsi="Arial" w:cs="Arial"/>
          <w:sz w:val="22"/>
        </w:rPr>
      </w:pPr>
    </w:p>
    <w:p w14:paraId="4233CCF6" w14:textId="490DE2F8" w:rsidR="00CF0398" w:rsidRDefault="00CF0398" w:rsidP="009E05ED">
      <w:pPr>
        <w:jc w:val="both"/>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6AA0B8D" w14:textId="4C417C53" w:rsidR="00CF0398" w:rsidRPr="005400DF" w:rsidRDefault="005B49A0" w:rsidP="005400DF">
      <w:pPr>
        <w:widowControl w:val="0"/>
        <w:autoSpaceDE w:val="0"/>
        <w:autoSpaceDN w:val="0"/>
        <w:adjustRightInd w:val="0"/>
        <w:spacing w:line="300" w:lineRule="atLeast"/>
        <w:jc w:val="both"/>
        <w:rPr>
          <w:rFonts w:ascii="Arial" w:hAnsi="Arial" w:cs="Arial"/>
          <w:color w:val="000000" w:themeColor="text1"/>
          <w:sz w:val="22"/>
          <w:lang w:val="es-ES_tradnl"/>
        </w:rPr>
      </w:pPr>
      <w:r w:rsidRPr="005400DF">
        <w:rPr>
          <w:rFonts w:ascii="Arial" w:hAnsi="Arial" w:cs="Arial"/>
          <w:color w:val="000000" w:themeColor="text1"/>
          <w:sz w:val="22"/>
          <w:lang w:val="es-ES_tradnl"/>
        </w:rPr>
        <w:t>Bogotá, 18 Abril 2022</w:t>
      </w:r>
    </w:p>
    <w:p w14:paraId="36D74899" w14:textId="77777777" w:rsidR="005B49A0" w:rsidRDefault="005B49A0" w:rsidP="009E05ED">
      <w:pPr>
        <w:jc w:val="both"/>
        <w:rPr>
          <w:rFonts w:ascii="Arial" w:hAnsi="Arial" w:cs="Arial"/>
          <w:sz w:val="22"/>
        </w:rPr>
      </w:pPr>
    </w:p>
    <w:p w14:paraId="376163D3" w14:textId="76BC26C5" w:rsidR="001554CA" w:rsidRDefault="001554CA" w:rsidP="009E05ED">
      <w:pPr>
        <w:jc w:val="both"/>
        <w:rPr>
          <w:rFonts w:ascii="Arial" w:hAnsi="Arial" w:cs="Arial"/>
          <w:sz w:val="22"/>
        </w:rPr>
      </w:pPr>
      <w:r w:rsidRPr="00E34C49">
        <w:rPr>
          <w:rFonts w:ascii="Arial" w:hAnsi="Arial" w:cs="Arial"/>
          <w:sz w:val="22"/>
        </w:rPr>
        <w:t>Señor</w:t>
      </w:r>
    </w:p>
    <w:p w14:paraId="2B285904" w14:textId="37FD6550" w:rsidR="001F10ED" w:rsidRDefault="001F10ED" w:rsidP="009E05ED">
      <w:pPr>
        <w:jc w:val="both"/>
        <w:rPr>
          <w:rFonts w:ascii="Arial" w:hAnsi="Arial" w:cs="Arial"/>
          <w:b/>
          <w:sz w:val="22"/>
        </w:rPr>
      </w:pPr>
      <w:r w:rsidRPr="001F10ED">
        <w:rPr>
          <w:rFonts w:ascii="Arial" w:hAnsi="Arial" w:cs="Arial"/>
          <w:b/>
          <w:sz w:val="22"/>
        </w:rPr>
        <w:t>Adolfo Antonio Tejada Díaz</w:t>
      </w:r>
    </w:p>
    <w:p w14:paraId="0F248C40" w14:textId="18E65C07" w:rsidR="001F10ED" w:rsidRPr="001F10ED" w:rsidRDefault="001F10ED" w:rsidP="009E05ED">
      <w:pPr>
        <w:jc w:val="both"/>
        <w:rPr>
          <w:rFonts w:ascii="Arial" w:eastAsia="Calibri" w:hAnsi="Arial" w:cs="Arial"/>
          <w:bCs/>
          <w:color w:val="000000" w:themeColor="text1"/>
          <w:sz w:val="22"/>
        </w:rPr>
      </w:pPr>
      <w:r w:rsidRPr="001F10ED">
        <w:rPr>
          <w:rFonts w:ascii="Arial" w:hAnsi="Arial" w:cs="Arial"/>
          <w:sz w:val="22"/>
        </w:rPr>
        <w:t>Representante legal</w:t>
      </w:r>
    </w:p>
    <w:p w14:paraId="4E9A3501" w14:textId="31DFD231" w:rsidR="001554CA" w:rsidRPr="001F10ED" w:rsidRDefault="001F10ED" w:rsidP="009E05ED">
      <w:pPr>
        <w:rPr>
          <w:rFonts w:ascii="Arial" w:eastAsia="Calibri" w:hAnsi="Arial" w:cs="Arial"/>
          <w:sz w:val="22"/>
        </w:rPr>
      </w:pPr>
      <w:r w:rsidRPr="001F10ED">
        <w:rPr>
          <w:rFonts w:ascii="Arial" w:hAnsi="Arial" w:cs="Arial"/>
          <w:bCs/>
          <w:sz w:val="22"/>
        </w:rPr>
        <w:t>INFOTIC S.A.</w:t>
      </w:r>
    </w:p>
    <w:p w14:paraId="4D1DBC97" w14:textId="3DBB4EEB" w:rsidR="00587CE7" w:rsidRDefault="00587CE7" w:rsidP="001554CA">
      <w:pPr>
        <w:rPr>
          <w:rFonts w:ascii="Arial" w:eastAsia="Calibri" w:hAnsi="Arial" w:cs="Arial"/>
          <w:sz w:val="22"/>
          <w:highlight w:val="yellow"/>
        </w:rPr>
      </w:pPr>
    </w:p>
    <w:p w14:paraId="55CF748C" w14:textId="111F14D0" w:rsidR="00441AA1" w:rsidRDefault="00441AA1" w:rsidP="001554CA">
      <w:pPr>
        <w:rPr>
          <w:rFonts w:ascii="Arial" w:eastAsia="Calibri" w:hAnsi="Arial" w:cs="Arial"/>
          <w:sz w:val="22"/>
          <w:highlight w:val="yellow"/>
        </w:rPr>
      </w:pPr>
    </w:p>
    <w:p w14:paraId="7E7A6246" w14:textId="34EC66B4" w:rsidR="0074700E" w:rsidRPr="00417444" w:rsidRDefault="0074700E" w:rsidP="001554CA">
      <w:pPr>
        <w:rPr>
          <w:rFonts w:ascii="Arial" w:eastAsia="Calibri" w:hAnsi="Arial" w:cs="Arial"/>
          <w:sz w:val="22"/>
          <w:highlight w:val="yellow"/>
        </w:rPr>
      </w:pPr>
    </w:p>
    <w:p w14:paraId="3C46F7A8" w14:textId="77777777" w:rsidR="00016992" w:rsidRPr="00417444" w:rsidRDefault="00016992" w:rsidP="001554CA">
      <w:pPr>
        <w:rPr>
          <w:rFonts w:ascii="Arial" w:eastAsia="Calibri" w:hAnsi="Arial" w:cs="Arial"/>
          <w:b/>
          <w:sz w:val="22"/>
          <w:highlight w:val="yellow"/>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9"/>
        <w:gridCol w:w="5920"/>
      </w:tblGrid>
      <w:tr w:rsidR="001554CA" w:rsidRPr="00AC2EB0" w14:paraId="7DC0C14A" w14:textId="77777777" w:rsidTr="00F80B2E">
        <w:trPr>
          <w:trHeight w:val="1040"/>
        </w:trPr>
        <w:tc>
          <w:tcPr>
            <w:tcW w:w="2869" w:type="dxa"/>
          </w:tcPr>
          <w:p w14:paraId="79E5F3D0" w14:textId="1EBB54B2" w:rsidR="001554CA" w:rsidRPr="00064407" w:rsidRDefault="001554CA" w:rsidP="00E34C49">
            <w:pPr>
              <w:rPr>
                <w:rFonts w:ascii="Arial" w:eastAsia="Calibri" w:hAnsi="Arial" w:cs="Arial"/>
                <w:sz w:val="22"/>
              </w:rPr>
            </w:pPr>
            <w:r w:rsidRPr="00064407">
              <w:rPr>
                <w:rFonts w:ascii="Arial" w:eastAsia="Calibri" w:hAnsi="Arial" w:cs="Arial"/>
                <w:b/>
                <w:sz w:val="22"/>
              </w:rPr>
              <w:t>Temas:</w:t>
            </w:r>
            <w:r w:rsidR="007D69D3" w:rsidRPr="00064407">
              <w:rPr>
                <w:rFonts w:ascii="Arial" w:eastAsia="Calibri" w:hAnsi="Arial" w:cs="Arial"/>
                <w:sz w:val="22"/>
              </w:rPr>
              <w:t xml:space="preserve">     </w:t>
            </w:r>
          </w:p>
          <w:p w14:paraId="05C77252" w14:textId="31F52633" w:rsidR="001554CA" w:rsidRPr="00417444" w:rsidRDefault="00C06227" w:rsidP="00E34C49">
            <w:pPr>
              <w:rPr>
                <w:rFonts w:ascii="Arial" w:eastAsia="Calibri" w:hAnsi="Arial" w:cs="Arial"/>
                <w:sz w:val="22"/>
                <w:highlight w:val="yellow"/>
              </w:rPr>
            </w:pPr>
            <w:r>
              <w:rPr>
                <w:rFonts w:ascii="Arial" w:eastAsia="Calibri" w:hAnsi="Arial" w:cs="Arial"/>
                <w:sz w:val="22"/>
              </w:rPr>
              <w:t xml:space="preserve">           </w:t>
            </w:r>
          </w:p>
        </w:tc>
        <w:tc>
          <w:tcPr>
            <w:tcW w:w="5920" w:type="dxa"/>
          </w:tcPr>
          <w:p w14:paraId="0F4DF72E" w14:textId="77777777" w:rsidR="001554CA" w:rsidRDefault="00CA3863" w:rsidP="008778BB">
            <w:pPr>
              <w:widowControl w:val="0"/>
              <w:autoSpaceDE w:val="0"/>
              <w:autoSpaceDN w:val="0"/>
              <w:adjustRightInd w:val="0"/>
              <w:spacing w:line="300" w:lineRule="atLeast"/>
              <w:jc w:val="both"/>
              <w:rPr>
                <w:rFonts w:ascii="Arial" w:hAnsi="Arial" w:cs="Arial"/>
                <w:color w:val="000000" w:themeColor="text1"/>
                <w:sz w:val="22"/>
                <w:lang w:val="es-ES_tradnl"/>
              </w:rPr>
            </w:pPr>
            <w:r w:rsidRPr="008778BB">
              <w:rPr>
                <w:rFonts w:ascii="Arial" w:hAnsi="Arial" w:cs="Arial"/>
                <w:color w:val="000000" w:themeColor="text1"/>
                <w:sz w:val="22"/>
                <w:lang w:val="es-ES_tradnl"/>
              </w:rPr>
              <w:t xml:space="preserve">LEY DE GARANTÍAS ELECTORALES – </w:t>
            </w:r>
            <w:r w:rsidR="00C06227" w:rsidRPr="008778BB">
              <w:rPr>
                <w:rFonts w:ascii="Arial" w:hAnsi="Arial" w:cs="Arial"/>
                <w:color w:val="000000" w:themeColor="text1"/>
                <w:sz w:val="22"/>
                <w:lang w:val="es-ES_tradnl"/>
              </w:rPr>
              <w:t>Artículo</w:t>
            </w:r>
            <w:r w:rsidR="00587CE7">
              <w:rPr>
                <w:rFonts w:ascii="Arial" w:hAnsi="Arial" w:cs="Arial"/>
                <w:color w:val="000000" w:themeColor="text1"/>
                <w:sz w:val="22"/>
                <w:lang w:val="es-ES_tradnl"/>
              </w:rPr>
              <w:t>s</w:t>
            </w:r>
            <w:r w:rsidR="00C06227" w:rsidRPr="008778BB">
              <w:rPr>
                <w:rFonts w:ascii="Arial" w:hAnsi="Arial" w:cs="Arial"/>
                <w:color w:val="000000" w:themeColor="text1"/>
                <w:sz w:val="22"/>
                <w:lang w:val="es-ES_tradnl"/>
              </w:rPr>
              <w:t xml:space="preserve"> 33</w:t>
            </w:r>
            <w:r w:rsidR="00587CE7">
              <w:rPr>
                <w:rFonts w:ascii="Arial" w:hAnsi="Arial" w:cs="Arial"/>
                <w:color w:val="000000" w:themeColor="text1"/>
                <w:sz w:val="22"/>
                <w:lang w:val="es-ES_tradnl"/>
              </w:rPr>
              <w:t xml:space="preserve"> y 38</w:t>
            </w:r>
            <w:r w:rsidR="00C06227" w:rsidRPr="008778BB">
              <w:rPr>
                <w:rFonts w:ascii="Arial" w:hAnsi="Arial" w:cs="Arial"/>
                <w:color w:val="000000" w:themeColor="text1"/>
                <w:sz w:val="22"/>
                <w:lang w:val="es-ES_tradnl"/>
              </w:rPr>
              <w:t xml:space="preserve"> –Elecciones presidenciales</w:t>
            </w:r>
          </w:p>
          <w:p w14:paraId="4F795BBA" w14:textId="61E44958" w:rsidR="00441AA1" w:rsidRPr="008778BB" w:rsidRDefault="00441AA1" w:rsidP="008778BB">
            <w:pPr>
              <w:widowControl w:val="0"/>
              <w:autoSpaceDE w:val="0"/>
              <w:autoSpaceDN w:val="0"/>
              <w:adjustRightInd w:val="0"/>
              <w:spacing w:line="300" w:lineRule="atLeast"/>
              <w:jc w:val="both"/>
              <w:rPr>
                <w:rFonts w:ascii="Arial" w:hAnsi="Arial" w:cs="Arial"/>
                <w:color w:val="000000" w:themeColor="text1"/>
                <w:sz w:val="22"/>
                <w:lang w:val="es-ES_tradnl"/>
              </w:rPr>
            </w:pPr>
            <w:r>
              <w:rPr>
                <w:rFonts w:ascii="Arial" w:hAnsi="Arial" w:cs="Arial"/>
                <w:color w:val="000000" w:themeColor="text1"/>
                <w:sz w:val="22"/>
                <w:lang w:val="es-ES_tradnl"/>
              </w:rPr>
              <w:t>C-192 de 2022</w:t>
            </w:r>
          </w:p>
        </w:tc>
      </w:tr>
      <w:tr w:rsidR="001554CA" w:rsidRPr="00AC2EB0" w14:paraId="61BA164D" w14:textId="77777777" w:rsidTr="00F80B2E">
        <w:trPr>
          <w:trHeight w:val="370"/>
        </w:trPr>
        <w:tc>
          <w:tcPr>
            <w:tcW w:w="2869" w:type="dxa"/>
          </w:tcPr>
          <w:p w14:paraId="66C4221A" w14:textId="08D8D323" w:rsidR="001554CA" w:rsidRPr="003D6F18" w:rsidRDefault="00587CE7" w:rsidP="00A47FA3">
            <w:pPr>
              <w:rPr>
                <w:rFonts w:ascii="Arial" w:eastAsia="Calibri" w:hAnsi="Arial" w:cs="Arial"/>
                <w:b/>
                <w:sz w:val="22"/>
              </w:rPr>
            </w:pPr>
            <w:r>
              <w:rPr>
                <w:rFonts w:ascii="Arial" w:eastAsia="Calibri" w:hAnsi="Arial" w:cs="Arial"/>
                <w:b/>
                <w:sz w:val="22"/>
              </w:rPr>
              <w:t>R</w:t>
            </w:r>
            <w:r w:rsidR="001554CA" w:rsidRPr="003D6F18">
              <w:rPr>
                <w:rFonts w:ascii="Arial" w:eastAsia="Calibri" w:hAnsi="Arial" w:cs="Arial"/>
                <w:b/>
                <w:sz w:val="22"/>
              </w:rPr>
              <w:t>adicación:</w:t>
            </w:r>
            <w:r w:rsidR="007D69D3">
              <w:rPr>
                <w:rFonts w:ascii="Arial" w:eastAsia="Calibri" w:hAnsi="Arial" w:cs="Arial"/>
                <w:sz w:val="22"/>
              </w:rPr>
              <w:t xml:space="preserve">               </w:t>
            </w:r>
          </w:p>
        </w:tc>
        <w:tc>
          <w:tcPr>
            <w:tcW w:w="5920" w:type="dxa"/>
          </w:tcPr>
          <w:p w14:paraId="522B1661" w14:textId="480E6B74" w:rsidR="00C34479" w:rsidRPr="008778BB" w:rsidRDefault="001554CA" w:rsidP="008778BB">
            <w:pPr>
              <w:widowControl w:val="0"/>
              <w:autoSpaceDE w:val="0"/>
              <w:autoSpaceDN w:val="0"/>
              <w:adjustRightInd w:val="0"/>
              <w:spacing w:line="300" w:lineRule="atLeast"/>
              <w:jc w:val="both"/>
              <w:rPr>
                <w:rFonts w:ascii="Arial" w:hAnsi="Arial" w:cs="Arial"/>
                <w:color w:val="000000" w:themeColor="text1"/>
                <w:sz w:val="22"/>
                <w:lang w:val="es-ES_tradnl"/>
              </w:rPr>
            </w:pPr>
            <w:r w:rsidRPr="008778BB">
              <w:rPr>
                <w:rFonts w:ascii="Arial" w:hAnsi="Arial" w:cs="Arial"/>
                <w:color w:val="000000" w:themeColor="text1"/>
                <w:sz w:val="22"/>
                <w:lang w:val="es-ES_tradnl"/>
              </w:rPr>
              <w:t xml:space="preserve">Respuesta a consulta # </w:t>
            </w:r>
            <w:r w:rsidR="001F10ED" w:rsidRPr="008778BB">
              <w:rPr>
                <w:rFonts w:ascii="Arial" w:hAnsi="Arial" w:cs="Arial"/>
                <w:color w:val="000000" w:themeColor="text1"/>
                <w:sz w:val="22"/>
                <w:lang w:val="es-ES_tradnl"/>
              </w:rPr>
              <w:t>P20220228001944</w:t>
            </w:r>
            <w:r w:rsidR="008778BB">
              <w:rPr>
                <w:rFonts w:ascii="Arial" w:hAnsi="Arial" w:cs="Arial"/>
                <w:color w:val="000000" w:themeColor="text1"/>
                <w:sz w:val="22"/>
                <w:lang w:val="es-ES_tradnl"/>
              </w:rPr>
              <w:t>.</w:t>
            </w:r>
          </w:p>
          <w:p w14:paraId="6D90A941" w14:textId="63A1EA7B" w:rsidR="001554CA" w:rsidRPr="008778BB" w:rsidRDefault="001554CA" w:rsidP="008778BB">
            <w:pPr>
              <w:widowControl w:val="0"/>
              <w:autoSpaceDE w:val="0"/>
              <w:autoSpaceDN w:val="0"/>
              <w:adjustRightInd w:val="0"/>
              <w:spacing w:line="300" w:lineRule="atLeast"/>
              <w:jc w:val="both"/>
              <w:rPr>
                <w:rFonts w:ascii="Arial" w:hAnsi="Arial" w:cs="Arial"/>
                <w:color w:val="000000" w:themeColor="text1"/>
                <w:sz w:val="22"/>
                <w:lang w:val="es-ES_tradnl"/>
              </w:rPr>
            </w:pPr>
          </w:p>
        </w:tc>
      </w:tr>
    </w:tbl>
    <w:p w14:paraId="601B8E3B" w14:textId="77777777" w:rsidR="00F41D27" w:rsidRDefault="00F41D27" w:rsidP="00A47FA3">
      <w:pPr>
        <w:rPr>
          <w:rFonts w:ascii="Arial" w:eastAsia="Calibri" w:hAnsi="Arial" w:cs="Arial"/>
          <w:sz w:val="22"/>
        </w:rPr>
      </w:pPr>
    </w:p>
    <w:p w14:paraId="3AF67332" w14:textId="368659EB" w:rsidR="001554CA" w:rsidRPr="00AC2EB0" w:rsidRDefault="001554CA" w:rsidP="00A47FA3">
      <w:pPr>
        <w:rPr>
          <w:rFonts w:ascii="Arial" w:eastAsia="Calibri" w:hAnsi="Arial" w:cs="Arial"/>
          <w:sz w:val="22"/>
        </w:rPr>
      </w:pPr>
      <w:r w:rsidRPr="001F10ED">
        <w:rPr>
          <w:rFonts w:ascii="Arial" w:eastAsia="Calibri" w:hAnsi="Arial" w:cs="Arial"/>
          <w:sz w:val="22"/>
        </w:rPr>
        <w:t xml:space="preserve">Estimado señor </w:t>
      </w:r>
      <w:r w:rsidR="001F10ED" w:rsidRPr="001F10ED">
        <w:rPr>
          <w:rFonts w:ascii="Arial" w:hAnsi="Arial" w:cs="Arial"/>
          <w:sz w:val="22"/>
        </w:rPr>
        <w:t>Tejada</w:t>
      </w:r>
      <w:r w:rsidR="00C41627" w:rsidRPr="001F10ED">
        <w:rPr>
          <w:rFonts w:ascii="Arial" w:eastAsia="Calibri" w:hAnsi="Arial" w:cs="Arial"/>
          <w:sz w:val="22"/>
        </w:rPr>
        <w:t>,</w:t>
      </w:r>
    </w:p>
    <w:p w14:paraId="1BAE1C3C" w14:textId="77777777" w:rsidR="001554CA" w:rsidRPr="00AC2EB0" w:rsidRDefault="001554CA" w:rsidP="001554CA">
      <w:pPr>
        <w:spacing w:line="276" w:lineRule="auto"/>
        <w:rPr>
          <w:rFonts w:ascii="Arial" w:eastAsia="Calibri" w:hAnsi="Arial" w:cs="Arial"/>
          <w:sz w:val="22"/>
        </w:rPr>
      </w:pPr>
    </w:p>
    <w:p w14:paraId="530C2E16" w14:textId="1C3AEADD" w:rsidR="00F43F66" w:rsidRPr="00536070" w:rsidRDefault="001554CA" w:rsidP="00536070">
      <w:pPr>
        <w:spacing w:after="120" w:line="276" w:lineRule="auto"/>
        <w:jc w:val="both"/>
        <w:rPr>
          <w:rFonts w:ascii="Arial" w:hAnsi="Arial" w:cs="Arial"/>
          <w:sz w:val="22"/>
        </w:rPr>
      </w:pPr>
      <w:bookmarkStart w:id="0" w:name="_Hlk44427398"/>
      <w:r w:rsidRPr="00587CE7">
        <w:rPr>
          <w:rFonts w:ascii="Arial" w:eastAsia="Calibri" w:hAnsi="Arial" w:cs="Arial"/>
          <w:sz w:val="22"/>
        </w:rPr>
        <w:t>La Agencia Nacional de Contratación Pública – Colombia Compra Eficiente</w:t>
      </w:r>
      <w:r w:rsidR="009E05ED" w:rsidRPr="00587CE7">
        <w:rPr>
          <w:rFonts w:ascii="Arial" w:eastAsia="Calibri" w:hAnsi="Arial" w:cs="Arial"/>
          <w:sz w:val="22"/>
        </w:rPr>
        <w:t>, en ejercicio de la competencia otorgada por el numeral 8 del artículo 11 y el numeral 5 del artículo 3 del Decreto Ley 4170 de 2011,</w:t>
      </w:r>
      <w:r w:rsidRPr="00587CE7">
        <w:rPr>
          <w:rFonts w:ascii="Arial" w:eastAsia="Calibri" w:hAnsi="Arial" w:cs="Arial"/>
          <w:sz w:val="22"/>
        </w:rPr>
        <w:t xml:space="preserve"> responde su consulta </w:t>
      </w:r>
      <w:r w:rsidR="001F10ED" w:rsidRPr="00587CE7">
        <w:rPr>
          <w:rFonts w:ascii="Arial" w:eastAsia="Calibri" w:hAnsi="Arial" w:cs="Arial"/>
          <w:sz w:val="22"/>
        </w:rPr>
        <w:t>presentada e</w:t>
      </w:r>
      <w:r w:rsidRPr="00587CE7">
        <w:rPr>
          <w:rFonts w:ascii="Arial" w:eastAsia="Calibri" w:hAnsi="Arial" w:cs="Arial"/>
          <w:sz w:val="22"/>
        </w:rPr>
        <w:t xml:space="preserve">l </w:t>
      </w:r>
      <w:r w:rsidR="001F10ED" w:rsidRPr="00587CE7">
        <w:rPr>
          <w:rFonts w:ascii="Arial" w:eastAsia="Calibri" w:hAnsi="Arial" w:cs="Arial"/>
          <w:sz w:val="22"/>
        </w:rPr>
        <w:t>28</w:t>
      </w:r>
      <w:r w:rsidRPr="00587CE7">
        <w:rPr>
          <w:rFonts w:ascii="Arial" w:eastAsia="Calibri" w:hAnsi="Arial" w:cs="Arial"/>
          <w:sz w:val="22"/>
        </w:rPr>
        <w:t xml:space="preserve"> de </w:t>
      </w:r>
      <w:r w:rsidR="001F10ED" w:rsidRPr="00587CE7">
        <w:rPr>
          <w:rFonts w:ascii="Arial" w:eastAsia="Calibri" w:hAnsi="Arial" w:cs="Arial"/>
          <w:sz w:val="22"/>
        </w:rPr>
        <w:t>febrero</w:t>
      </w:r>
      <w:r w:rsidR="00064407" w:rsidRPr="00587CE7">
        <w:rPr>
          <w:rFonts w:ascii="Arial" w:eastAsia="Calibri" w:hAnsi="Arial" w:cs="Arial"/>
          <w:sz w:val="22"/>
        </w:rPr>
        <w:t xml:space="preserve"> de 2022</w:t>
      </w:r>
      <w:r w:rsidR="001F10ED" w:rsidRPr="00587CE7">
        <w:rPr>
          <w:rFonts w:ascii="Arial" w:eastAsia="Calibri" w:hAnsi="Arial" w:cs="Arial"/>
          <w:sz w:val="22"/>
        </w:rPr>
        <w:t xml:space="preserve"> en representación legal de INFOTIC S.A.</w:t>
      </w:r>
      <w:r w:rsidR="007D4595" w:rsidRPr="00587CE7">
        <w:rPr>
          <w:rFonts w:ascii="Arial" w:eastAsia="Calibri" w:hAnsi="Arial" w:cs="Arial"/>
          <w:sz w:val="22"/>
        </w:rPr>
        <w:t xml:space="preserve"> </w:t>
      </w:r>
      <w:bookmarkEnd w:id="0"/>
      <w:r w:rsidR="009E05ED" w:rsidRPr="00587CE7">
        <w:rPr>
          <w:rFonts w:ascii="Arial" w:hAnsi="Arial" w:cs="Arial"/>
          <w:bCs/>
          <w:sz w:val="22"/>
          <w:shd w:val="clear" w:color="auto" w:fill="FFFFFF"/>
        </w:rPr>
        <w:t xml:space="preserve">Frente </w:t>
      </w:r>
      <w:r w:rsidR="00C06227" w:rsidRPr="00587CE7">
        <w:rPr>
          <w:rFonts w:ascii="Arial" w:hAnsi="Arial" w:cs="Arial"/>
          <w:bCs/>
          <w:sz w:val="22"/>
          <w:shd w:val="clear" w:color="auto" w:fill="FFFFFF"/>
        </w:rPr>
        <w:t xml:space="preserve">a las sociedades de economía mixta y la aplicación </w:t>
      </w:r>
      <w:r w:rsidR="009E05ED" w:rsidRPr="00587CE7">
        <w:rPr>
          <w:rFonts w:ascii="Arial" w:hAnsi="Arial" w:cs="Arial"/>
          <w:bCs/>
          <w:sz w:val="22"/>
          <w:shd w:val="clear" w:color="auto" w:fill="FFFFFF"/>
        </w:rPr>
        <w:t xml:space="preserve">de </w:t>
      </w:r>
      <w:r w:rsidR="00C06227" w:rsidRPr="00587CE7">
        <w:rPr>
          <w:rFonts w:ascii="Arial" w:hAnsi="Arial" w:cs="Arial"/>
          <w:bCs/>
          <w:sz w:val="22"/>
          <w:shd w:val="clear" w:color="auto" w:fill="FFFFFF"/>
        </w:rPr>
        <w:t>la Ley de Garantías Electorales</w:t>
      </w:r>
      <w:r w:rsidR="00B728F6" w:rsidRPr="00587CE7">
        <w:rPr>
          <w:rFonts w:ascii="Arial" w:hAnsi="Arial" w:cs="Arial"/>
          <w:bCs/>
          <w:sz w:val="22"/>
          <w:shd w:val="clear" w:color="auto" w:fill="FFFFFF"/>
        </w:rPr>
        <w:t>,</w:t>
      </w:r>
      <w:r w:rsidR="009E05ED" w:rsidRPr="00587CE7">
        <w:rPr>
          <w:rFonts w:ascii="Arial" w:hAnsi="Arial" w:cs="Arial"/>
          <w:bCs/>
          <w:sz w:val="22"/>
          <w:shd w:val="clear" w:color="auto" w:fill="FFFFFF"/>
        </w:rPr>
        <w:t xml:space="preserve"> </w:t>
      </w:r>
      <w:r w:rsidR="00A82A42">
        <w:rPr>
          <w:rFonts w:ascii="Arial" w:hAnsi="Arial" w:cs="Arial"/>
          <w:bCs/>
          <w:sz w:val="22"/>
          <w:shd w:val="clear" w:color="auto" w:fill="FFFFFF"/>
        </w:rPr>
        <w:t>indaga en torno a las fechas a partir de las cuales</w:t>
      </w:r>
      <w:r w:rsidR="00116D08" w:rsidRPr="00587CE7">
        <w:rPr>
          <w:rFonts w:ascii="Arial" w:hAnsi="Arial" w:cs="Arial"/>
          <w:bCs/>
          <w:sz w:val="22"/>
          <w:shd w:val="clear" w:color="auto" w:fill="FFFFFF"/>
        </w:rPr>
        <w:t xml:space="preserve"> </w:t>
      </w:r>
      <w:r w:rsidR="00F43F66" w:rsidRPr="00536070">
        <w:rPr>
          <w:rFonts w:ascii="Arial" w:hAnsi="Arial" w:cs="Arial"/>
          <w:sz w:val="22"/>
        </w:rPr>
        <w:t>inicia la aplicación de la Ley de Garantías para</w:t>
      </w:r>
      <w:r w:rsidR="00A82A42">
        <w:rPr>
          <w:rFonts w:ascii="Arial" w:hAnsi="Arial" w:cs="Arial"/>
          <w:sz w:val="22"/>
        </w:rPr>
        <w:t xml:space="preserve"> este tipo de entidades</w:t>
      </w:r>
      <w:r w:rsidR="00137860">
        <w:rPr>
          <w:rFonts w:ascii="Arial" w:hAnsi="Arial" w:cs="Arial"/>
          <w:sz w:val="22"/>
        </w:rPr>
        <w:t xml:space="preserve">, así como por las restricciones aplicables en elecciones presidenciales y de Congreso de la República. </w:t>
      </w:r>
    </w:p>
    <w:p w14:paraId="0BA31017" w14:textId="1A5ACD98" w:rsidR="005B476A" w:rsidRDefault="005B476A" w:rsidP="00536070">
      <w:pPr>
        <w:pStyle w:val="Textoindependiente"/>
        <w:spacing w:after="120" w:line="276" w:lineRule="auto"/>
        <w:jc w:val="both"/>
        <w:rPr>
          <w:rFonts w:eastAsia="Calibri"/>
          <w:color w:val="1A1A1A" w:themeColor="background1" w:themeShade="1A"/>
          <w:lang w:val="es-ES_tradnl"/>
        </w:rPr>
      </w:pPr>
      <w:r>
        <w:rPr>
          <w:bCs/>
          <w:shd w:val="clear" w:color="auto" w:fill="FFFFFF"/>
        </w:rPr>
        <w:tab/>
      </w:r>
      <w:r w:rsidR="00156A1A" w:rsidRPr="005B476A">
        <w:rPr>
          <w:shd w:val="clear" w:color="auto" w:fill="FFFFFF"/>
        </w:rPr>
        <w:t>La Agencia Nacional de Contratación Pública – Colombia Compra Eficiente</w:t>
      </w:r>
      <w:r w:rsidR="00B94562" w:rsidRPr="005B476A">
        <w:rPr>
          <w:shd w:val="clear" w:color="auto" w:fill="FFFFFF"/>
        </w:rPr>
        <w:t xml:space="preserve"> ha impartido lineamientos sobre la aplicación de la Ley 996 de 2005 y también se ha pronunciado al respecto, entre otros, en los Conceptos 4201912000004632 del 6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 C-381 del 2 de agosto de 2021, C-499 del 15 de septiembre de 2021,</w:t>
      </w:r>
      <w:r w:rsidR="00B20BDD" w:rsidRPr="005B476A">
        <w:rPr>
          <w:shd w:val="clear" w:color="auto" w:fill="FFFFFF"/>
        </w:rPr>
        <w:t xml:space="preserve"> C-481 del 09 de septiembre de 2021,</w:t>
      </w:r>
      <w:r w:rsidR="00B94562" w:rsidRPr="005B476A">
        <w:rPr>
          <w:shd w:val="clear" w:color="auto" w:fill="FFFFFF"/>
        </w:rPr>
        <w:t xml:space="preserve"> </w:t>
      </w:r>
      <w:r w:rsidR="00064407" w:rsidRPr="005B476A">
        <w:rPr>
          <w:shd w:val="clear" w:color="auto" w:fill="FFFFFF"/>
        </w:rPr>
        <w:t>C-550 de 05 de octubre de 2021,</w:t>
      </w:r>
      <w:r w:rsidR="00B94562" w:rsidRPr="005B476A">
        <w:rPr>
          <w:shd w:val="clear" w:color="auto" w:fill="FFFFFF"/>
        </w:rPr>
        <w:t xml:space="preserve"> </w:t>
      </w:r>
      <w:r w:rsidR="00064407" w:rsidRPr="005B476A">
        <w:rPr>
          <w:shd w:val="clear" w:color="auto" w:fill="FFFFFF"/>
        </w:rPr>
        <w:t>C-543 de 9 de noviembre de 2021 y C-715 del 21 de enero de 2022.</w:t>
      </w:r>
      <w:r w:rsidR="00B862EF" w:rsidRPr="005B476A">
        <w:rPr>
          <w:shd w:val="clear" w:color="auto" w:fill="FFFFFF"/>
        </w:rPr>
        <w:t xml:space="preserve"> </w:t>
      </w:r>
      <w:r w:rsidR="00B94562" w:rsidRPr="005B476A">
        <w:rPr>
          <w:shd w:val="clear" w:color="auto" w:fill="FFFFFF"/>
        </w:rPr>
        <w:t xml:space="preserve">Igualmente, esta Agencia </w:t>
      </w:r>
      <w:r w:rsidR="00156A1A" w:rsidRPr="005B476A">
        <w:rPr>
          <w:shd w:val="clear" w:color="auto" w:fill="FFFFFF"/>
        </w:rPr>
        <w:t xml:space="preserve">se ha pronunciado </w:t>
      </w:r>
      <w:r w:rsidR="0062704F" w:rsidRPr="005B476A">
        <w:rPr>
          <w:shd w:val="clear" w:color="auto" w:fill="FFFFFF"/>
        </w:rPr>
        <w:t xml:space="preserve">sobre </w:t>
      </w:r>
      <w:r w:rsidR="00B728F6" w:rsidRPr="005B476A">
        <w:rPr>
          <w:shd w:val="clear" w:color="auto" w:fill="FFFFFF"/>
        </w:rPr>
        <w:t xml:space="preserve">la naturaleza de las </w:t>
      </w:r>
      <w:r w:rsidR="0062704F" w:rsidRPr="005B476A">
        <w:rPr>
          <w:shd w:val="clear" w:color="auto" w:fill="FFFFFF"/>
        </w:rPr>
        <w:t>sociedades de economía mixta</w:t>
      </w:r>
      <w:r w:rsidR="00B728F6" w:rsidRPr="005B476A">
        <w:rPr>
          <w:shd w:val="clear" w:color="auto" w:fill="FFFFFF"/>
        </w:rPr>
        <w:t xml:space="preserve"> y la Ley de Garantías</w:t>
      </w:r>
      <w:r w:rsidR="00156A1A" w:rsidRPr="005B476A">
        <w:rPr>
          <w:shd w:val="clear" w:color="auto" w:fill="FFFFFF"/>
        </w:rPr>
        <w:t xml:space="preserve">, en particular en los Conceptos </w:t>
      </w:r>
      <w:r w:rsidR="0062704F" w:rsidRPr="005B476A">
        <w:rPr>
          <w:shd w:val="clear" w:color="auto" w:fill="FFFFFF"/>
        </w:rPr>
        <w:t>2201913000005655 del 08 de agosto</w:t>
      </w:r>
      <w:r w:rsidR="00156A1A" w:rsidRPr="005B476A">
        <w:rPr>
          <w:shd w:val="clear" w:color="auto" w:fill="FFFFFF"/>
        </w:rPr>
        <w:t xml:space="preserve"> d</w:t>
      </w:r>
      <w:r w:rsidR="0062704F" w:rsidRPr="005B476A">
        <w:rPr>
          <w:shd w:val="clear" w:color="auto" w:fill="FFFFFF"/>
        </w:rPr>
        <w:t>e 2019 y</w:t>
      </w:r>
      <w:r w:rsidR="00156A1A" w:rsidRPr="005B476A">
        <w:rPr>
          <w:shd w:val="clear" w:color="auto" w:fill="FFFFFF"/>
        </w:rPr>
        <w:t xml:space="preserve"> </w:t>
      </w:r>
      <w:r w:rsidR="0062704F" w:rsidRPr="005B476A">
        <w:rPr>
          <w:shd w:val="clear" w:color="auto" w:fill="FFFFFF"/>
        </w:rPr>
        <w:t xml:space="preserve">C-762 </w:t>
      </w:r>
      <w:r w:rsidR="00D74020" w:rsidRPr="005B476A">
        <w:rPr>
          <w:shd w:val="clear" w:color="auto" w:fill="FFFFFF"/>
        </w:rPr>
        <w:t xml:space="preserve">del </w:t>
      </w:r>
      <w:r w:rsidR="0062704F" w:rsidRPr="005B476A">
        <w:rPr>
          <w:shd w:val="clear" w:color="auto" w:fill="FFFFFF"/>
        </w:rPr>
        <w:t>06 de enero</w:t>
      </w:r>
      <w:r w:rsidR="00156A1A" w:rsidRPr="005B476A">
        <w:rPr>
          <w:shd w:val="clear" w:color="auto" w:fill="FFFFFF"/>
        </w:rPr>
        <w:t xml:space="preserve"> de 202</w:t>
      </w:r>
      <w:r w:rsidR="0062704F" w:rsidRPr="005B476A">
        <w:rPr>
          <w:shd w:val="clear" w:color="auto" w:fill="FFFFFF"/>
        </w:rPr>
        <w:t>1.</w:t>
      </w:r>
      <w:r w:rsidR="00156A1A" w:rsidRPr="005B476A">
        <w:rPr>
          <w:shd w:val="clear" w:color="auto" w:fill="FFFFFF"/>
        </w:rPr>
        <w:t xml:space="preserve"> </w:t>
      </w:r>
      <w:r w:rsidRPr="005B476A">
        <w:rPr>
          <w:rFonts w:eastAsia="Calibri"/>
          <w:color w:val="1A1A1A" w:themeColor="background1" w:themeShade="1A"/>
          <w:lang w:val="es-ES_tradnl"/>
        </w:rPr>
        <w:t xml:space="preserve"> </w:t>
      </w:r>
    </w:p>
    <w:p w14:paraId="025580DB" w14:textId="358FC903" w:rsidR="0058100B" w:rsidRPr="00536070" w:rsidRDefault="00587CE7" w:rsidP="00536070">
      <w:pPr>
        <w:pStyle w:val="Textoindependiente"/>
        <w:spacing w:line="276" w:lineRule="auto"/>
        <w:ind w:firstLine="708"/>
        <w:jc w:val="both"/>
        <w:rPr>
          <w:rFonts w:eastAsia="Calibri"/>
          <w:color w:val="1A1A1A" w:themeColor="background1" w:themeShade="1A"/>
          <w:lang w:val="es-ES_tradnl"/>
        </w:rPr>
      </w:pPr>
      <w:r w:rsidRPr="00536070">
        <w:rPr>
          <w:rFonts w:eastAsia="Calibri"/>
          <w:color w:val="1A1A1A" w:themeColor="background1" w:themeShade="1A"/>
          <w:lang w:val="es-ES_tradnl"/>
        </w:rPr>
        <w:lastRenderedPageBreak/>
        <w:t xml:space="preserve">Tal como se ha explicado en los conceptos mencionados, </w:t>
      </w:r>
      <w:r w:rsidR="0058100B" w:rsidRPr="00536070">
        <w:rPr>
          <w:rFonts w:eastAsia="Calibri"/>
          <w:color w:val="1A1A1A" w:themeColor="background1" w:themeShade="1A"/>
          <w:lang w:val="es-ES_tradnl"/>
        </w:rPr>
        <w:t>El ordenamiento jurídico colombiano contempla previsiones claras para evitar la obtención de beneficios personales en asuntos propios de la administración pública. Por ejemplo, el artículo 127 de la Constitución</w:t>
      </w:r>
      <w:r w:rsidR="0058100B" w:rsidRPr="00536070">
        <w:rPr>
          <w:color w:val="1A1A1A" w:themeColor="background1" w:themeShade="1A"/>
          <w:lang w:val="es-ES_tradnl"/>
        </w:rPr>
        <w:t xml:space="preserve"> Política establece una prohibición contractual a los servidores públicos y, en cuanto a aspectos políticos, prevé restricciones a ciertos empleados del Estado, incluso en época no electoral</w:t>
      </w:r>
      <w:r w:rsidR="0058100B" w:rsidRPr="00536070">
        <w:rPr>
          <w:rStyle w:val="Refdenotaalpie"/>
        </w:rPr>
        <w:footnoteReference w:id="1"/>
      </w:r>
    </w:p>
    <w:p w14:paraId="253D0230" w14:textId="77777777" w:rsidR="0058100B" w:rsidRPr="00691AAC" w:rsidRDefault="0058100B" w:rsidP="0058100B">
      <w:pPr>
        <w:spacing w:before="120" w:after="120" w:line="276" w:lineRule="auto"/>
        <w:ind w:firstLine="709"/>
        <w:jc w:val="both"/>
        <w:rPr>
          <w:rFonts w:ascii="Arial" w:eastAsia="Calibri" w:hAnsi="Arial" w:cs="Arial"/>
          <w:bCs/>
          <w:color w:val="1A1A1A" w:themeColor="background1" w:themeShade="1A"/>
          <w:sz w:val="22"/>
          <w:lang w:val="es-ES_tradnl"/>
        </w:rPr>
      </w:pPr>
      <w:r w:rsidRPr="00691AAC">
        <w:rPr>
          <w:rFonts w:ascii="Arial" w:eastAsia="Arial" w:hAnsi="Arial" w:cs="Arial"/>
          <w:color w:val="1A1A1A" w:themeColor="background1" w:themeShade="1A"/>
          <w:sz w:val="22"/>
          <w:lang w:val="es-ES_tradnl"/>
        </w:rPr>
        <w:t xml:space="preserve">En el mismo sentido, la Ley 996 de 2005, conocida como «Ley de Garantías </w:t>
      </w:r>
      <w:r w:rsidRPr="00691AAC">
        <w:rPr>
          <w:rFonts w:ascii="Arial" w:eastAsia="Calibri" w:hAnsi="Arial" w:cs="Arial"/>
          <w:bCs/>
          <w:color w:val="1A1A1A" w:themeColor="background1" w:themeShade="1A"/>
          <w:sz w:val="22"/>
          <w:lang w:val="es-ES_tradnl"/>
        </w:rPr>
        <w:t>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91AAC">
        <w:rPr>
          <w:rStyle w:val="Refdenotaalpie"/>
          <w:rFonts w:ascii="Arial" w:eastAsia="Calibri" w:hAnsi="Arial" w:cs="Arial"/>
          <w:bCs/>
          <w:color w:val="1A1A1A" w:themeColor="background1" w:themeShade="1A"/>
          <w:sz w:val="22"/>
          <w:lang w:val="es-ES_tradnl"/>
        </w:rPr>
        <w:footnoteReference w:id="2"/>
      </w:r>
      <w:r w:rsidRPr="00691AAC">
        <w:rPr>
          <w:rFonts w:ascii="Arial" w:eastAsia="Calibri" w:hAnsi="Arial" w:cs="Arial"/>
          <w:bCs/>
          <w:color w:val="1A1A1A" w:themeColor="background1" w:themeShade="1A"/>
          <w:sz w:val="22"/>
          <w:lang w:val="es-ES_tradnl"/>
        </w:rPr>
        <w:t xml:space="preserve">. En esta medida, introduce limitaciones para realizar nombramientos, postulaciones, contrataciones o cualquier otro tipo de actividad que implique destinación de recursos públicos bajo el devenir propio de las entidades estatales. </w:t>
      </w:r>
    </w:p>
    <w:p w14:paraId="545D0E75" w14:textId="3164C6C9" w:rsidR="0058100B" w:rsidRPr="00536070" w:rsidRDefault="0058100B" w:rsidP="00536070">
      <w:pPr>
        <w:spacing w:before="120" w:after="120" w:line="276" w:lineRule="auto"/>
        <w:ind w:firstLine="709"/>
        <w:jc w:val="both"/>
        <w:rPr>
          <w:rFonts w:ascii="Arial" w:eastAsia="Calibri" w:hAnsi="Arial" w:cs="Arial"/>
          <w:bCs/>
          <w:color w:val="1A1A1A" w:themeColor="background1" w:themeShade="1A"/>
          <w:sz w:val="22"/>
          <w:lang w:val="es-ES_tradnl"/>
        </w:rPr>
      </w:pPr>
      <w:r w:rsidRPr="00587CE7">
        <w:rPr>
          <w:rFonts w:ascii="Arial" w:eastAsia="Calibri" w:hAnsi="Arial" w:cs="Arial"/>
          <w:bCs/>
          <w:color w:val="1A1A1A" w:themeColor="background1" w:themeShade="1A"/>
          <w:sz w:val="22"/>
          <w:lang w:val="es-ES_tradnl"/>
        </w:rPr>
        <w:t>En armonía con lo anterior, la Corte Constitucional ha abordado la definición de la Ley de Garantías Electorales. De esta manera, explica que tiene como propósito:</w:t>
      </w:r>
      <w:r w:rsidR="00587CE7" w:rsidRPr="00536070">
        <w:rPr>
          <w:rFonts w:ascii="Arial" w:eastAsia="Arial" w:hAnsi="Arial" w:cs="Arial"/>
          <w:color w:val="1A1A1A" w:themeColor="background1" w:themeShade="1A"/>
          <w:sz w:val="22"/>
          <w:lang w:val="es-ES_tradnl"/>
        </w:rPr>
        <w:t xml:space="preserve"> </w:t>
      </w:r>
      <w:r w:rsidR="0064128A">
        <w:rPr>
          <w:rFonts w:ascii="Arial" w:eastAsia="Arial" w:hAnsi="Arial" w:cs="Arial"/>
          <w:color w:val="1A1A1A" w:themeColor="background1" w:themeShade="1A"/>
          <w:sz w:val="22"/>
          <w:lang w:val="es-ES_tradnl"/>
        </w:rPr>
        <w:t>«</w:t>
      </w:r>
      <w:r w:rsidRPr="00536070">
        <w:rPr>
          <w:rFonts w:ascii="Arial" w:eastAsia="Arial" w:hAnsi="Arial" w:cs="Arial"/>
          <w:color w:val="1A1A1A" w:themeColor="background1" w:themeShade="1A"/>
          <w:sz w:val="22"/>
          <w:lang w:val="es-ES_tradnl"/>
        </w:rPr>
        <w:t>La definición de reglas claras que permitan acceder a los canales de expresión democrática de manera efectiva e igualitaria. El objetivo de una ley de garantías es definir esas reglas.</w:t>
      </w:r>
      <w:r w:rsidR="00587CE7" w:rsidRPr="00536070">
        <w:rPr>
          <w:rFonts w:ascii="Arial" w:eastAsia="Arial" w:hAnsi="Arial" w:cs="Arial"/>
          <w:color w:val="1A1A1A" w:themeColor="background1" w:themeShade="1A"/>
          <w:sz w:val="22"/>
          <w:lang w:val="es-ES_tradnl"/>
        </w:rPr>
        <w:t xml:space="preserve"> </w:t>
      </w:r>
      <w:r w:rsidRPr="00536070">
        <w:rPr>
          <w:rFonts w:ascii="Arial" w:eastAsia="Arial" w:hAnsi="Arial" w:cs="Arial"/>
          <w:color w:val="1A1A1A" w:themeColor="background1" w:themeShade="1A"/>
          <w:sz w:val="22"/>
          <w:lang w:val="es-ES_tradnl"/>
        </w:rPr>
        <w:t>[…]</w:t>
      </w:r>
      <w:r w:rsidR="00587CE7" w:rsidRPr="00536070">
        <w:rPr>
          <w:rFonts w:ascii="Arial" w:eastAsia="Arial" w:hAnsi="Arial" w:cs="Arial"/>
          <w:color w:val="1A1A1A" w:themeColor="background1" w:themeShade="1A"/>
          <w:sz w:val="22"/>
          <w:lang w:val="es-ES_tradnl"/>
        </w:rPr>
        <w:t xml:space="preserve"> </w:t>
      </w:r>
      <w:r w:rsidRPr="00536070">
        <w:rPr>
          <w:rFonts w:ascii="Arial" w:eastAsia="Arial" w:hAnsi="Arial" w:cs="Arial"/>
          <w:color w:val="1A1A1A" w:themeColor="background1" w:themeShade="1A"/>
          <w:sz w:val="22"/>
          <w:lang w:val="es-ES_tradnl"/>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00587CE7" w:rsidRPr="00536070">
        <w:rPr>
          <w:rFonts w:ascii="Arial" w:eastAsia="Arial" w:hAnsi="Arial" w:cs="Arial"/>
          <w:color w:val="1A1A1A" w:themeColor="background1" w:themeShade="1A"/>
          <w:sz w:val="22"/>
          <w:lang w:val="es-ES_tradnl"/>
        </w:rPr>
        <w:t>»</w:t>
      </w:r>
      <w:r w:rsidRPr="00536070">
        <w:rPr>
          <w:rStyle w:val="Refdenotaalpie"/>
          <w:rFonts w:ascii="Arial" w:eastAsia="Arial" w:hAnsi="Arial" w:cs="Arial"/>
          <w:sz w:val="22"/>
        </w:rPr>
        <w:footnoteReference w:id="3"/>
      </w:r>
      <w:r w:rsidR="00587CE7" w:rsidRPr="00536070">
        <w:rPr>
          <w:rFonts w:ascii="Arial" w:eastAsia="Arial" w:hAnsi="Arial" w:cs="Arial"/>
          <w:color w:val="1A1A1A" w:themeColor="background1" w:themeShade="1A"/>
          <w:sz w:val="22"/>
          <w:lang w:val="es-ES_tradnl"/>
        </w:rPr>
        <w:t>.</w:t>
      </w:r>
      <w:bookmarkStart w:id="2" w:name="_17dp8vu" w:colFirst="0" w:colLast="0"/>
      <w:bookmarkEnd w:id="2"/>
    </w:p>
    <w:p w14:paraId="11007A25" w14:textId="519A9B83" w:rsidR="0058100B" w:rsidRDefault="0058100B" w:rsidP="007D4595">
      <w:pPr>
        <w:spacing w:before="120" w:line="276" w:lineRule="auto"/>
        <w:ind w:right="77" w:firstLine="709"/>
        <w:jc w:val="both"/>
        <w:rPr>
          <w:rFonts w:ascii="Arial" w:eastAsia="Arial" w:hAnsi="Arial" w:cs="Arial"/>
          <w:color w:val="1A1A1A" w:themeColor="background1" w:themeShade="1A"/>
          <w:sz w:val="22"/>
          <w:lang w:val="es-ES_tradnl"/>
        </w:rPr>
      </w:pPr>
      <w:r w:rsidRPr="00691AAC">
        <w:rPr>
          <w:rFonts w:ascii="Arial" w:eastAsia="Arial" w:hAnsi="Arial" w:cs="Arial"/>
          <w:color w:val="1A1A1A" w:themeColor="background1" w:themeShade="1A"/>
          <w:sz w:val="22"/>
          <w:lang w:val="es-ES_tradnl"/>
        </w:rPr>
        <w:t xml:space="preserve">En este contexto, la Ley de Garantías Electorales establece el marco jurídico para el desarrollo de las elecciones, procurando condiciones de igualdad y transparencia para los aspirantes, y paralelamente incluye restricciones en el actuar de los servidores públicos, evitando interferencias en la contienda electoral, así como la posible desviación </w:t>
      </w:r>
      <w:r w:rsidRPr="00691AAC">
        <w:rPr>
          <w:rFonts w:ascii="Arial" w:eastAsia="Arial" w:hAnsi="Arial" w:cs="Arial"/>
          <w:color w:val="1A1A1A" w:themeColor="background1" w:themeShade="1A"/>
          <w:sz w:val="22"/>
          <w:lang w:val="es-ES_tradnl"/>
        </w:rPr>
        <w:lastRenderedPageBreak/>
        <w:t>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334CD79E" w14:textId="77777777" w:rsidR="007D4595" w:rsidRPr="00691AAC" w:rsidRDefault="007D4595" w:rsidP="00536070">
      <w:pPr>
        <w:spacing w:line="276" w:lineRule="auto"/>
        <w:ind w:right="77" w:firstLine="709"/>
        <w:jc w:val="both"/>
        <w:rPr>
          <w:rFonts w:ascii="Arial" w:eastAsia="Arial" w:hAnsi="Arial" w:cs="Arial"/>
          <w:color w:val="1A1A1A" w:themeColor="background1" w:themeShade="1A"/>
          <w:sz w:val="22"/>
          <w:lang w:val="es-ES_tradnl"/>
        </w:rPr>
      </w:pPr>
    </w:p>
    <w:p w14:paraId="5A5A9689" w14:textId="77777777" w:rsidR="0058100B" w:rsidRPr="00691AAC" w:rsidRDefault="0058100B" w:rsidP="00536070">
      <w:pPr>
        <w:spacing w:after="120"/>
        <w:ind w:left="567" w:right="709"/>
        <w:jc w:val="both"/>
        <w:rPr>
          <w:rFonts w:ascii="Arial" w:eastAsia="Arial" w:hAnsi="Arial" w:cs="Arial"/>
          <w:color w:val="1A1A1A" w:themeColor="background1" w:themeShade="1A"/>
          <w:sz w:val="21"/>
          <w:szCs w:val="21"/>
          <w:lang w:val="es-ES_tradnl"/>
        </w:rPr>
      </w:pPr>
      <w:r w:rsidRPr="00691AAC">
        <w:rPr>
          <w:rFonts w:ascii="Arial" w:eastAsia="Arial" w:hAnsi="Arial" w:cs="Arial"/>
          <w:color w:val="1A1A1A" w:themeColor="background1" w:themeShade="1A"/>
          <w:sz w:val="21"/>
          <w:szCs w:val="21"/>
          <w:lang w:val="es-ES_tradnl"/>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604DEF58" w14:textId="77777777" w:rsidR="0058100B" w:rsidRPr="00691AAC" w:rsidRDefault="0058100B" w:rsidP="00536070">
      <w:pPr>
        <w:spacing w:before="120"/>
        <w:ind w:left="567" w:right="709"/>
        <w:jc w:val="both"/>
        <w:rPr>
          <w:rFonts w:ascii="Arial" w:eastAsia="Arial" w:hAnsi="Arial" w:cs="Arial"/>
          <w:color w:val="1A1A1A" w:themeColor="background1" w:themeShade="1A"/>
          <w:sz w:val="21"/>
          <w:szCs w:val="21"/>
          <w:lang w:val="es-ES_tradnl"/>
        </w:rPr>
      </w:pPr>
      <w:r w:rsidRPr="00691AAC">
        <w:rPr>
          <w:rFonts w:ascii="Arial" w:eastAsia="Arial" w:hAnsi="Arial" w:cs="Arial"/>
          <w:color w:val="1A1A1A" w:themeColor="background1" w:themeShade="1A"/>
          <w:sz w:val="21"/>
          <w:szCs w:val="21"/>
          <w:lang w:val="es-ES_tradnl"/>
        </w:rPr>
        <w:t>La jurisprudencia de la Corte Constitucional</w:t>
      </w:r>
      <w:r w:rsidRPr="008A5DF2">
        <w:rPr>
          <w:rStyle w:val="Refdenotaalpie"/>
          <w:rFonts w:ascii="Arial" w:eastAsia="Arial" w:hAnsi="Arial" w:cs="Arial"/>
        </w:rPr>
        <w:footnoteReference w:id="4"/>
      </w:r>
      <w:r w:rsidRPr="00691AAC">
        <w:rPr>
          <w:rFonts w:ascii="Arial" w:eastAsia="Arial" w:hAnsi="Arial" w:cs="Arial"/>
          <w:color w:val="1A1A1A" w:themeColor="background1" w:themeShade="1A"/>
          <w:sz w:val="21"/>
          <w:szCs w:val="21"/>
          <w:lang w:val="es-ES_tradnl"/>
        </w:rPr>
        <w:t> y del Consejo de Estado</w:t>
      </w:r>
      <w:r w:rsidRPr="008A5DF2">
        <w:rPr>
          <w:rStyle w:val="Refdenotaalpie"/>
          <w:rFonts w:ascii="Arial" w:eastAsia="Arial" w:hAnsi="Arial" w:cs="Arial"/>
        </w:rPr>
        <w:footnoteReference w:id="5"/>
      </w:r>
      <w:r w:rsidRPr="00691AAC">
        <w:rPr>
          <w:rFonts w:ascii="Arial" w:eastAsia="Arial" w:hAnsi="Arial" w:cs="Arial"/>
          <w:color w:val="1A1A1A" w:themeColor="background1" w:themeShade="1A"/>
          <w:sz w:val="21"/>
          <w:szCs w:val="21"/>
          <w:lang w:val="es-ES_tradnl"/>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8A5DF2">
        <w:rPr>
          <w:rStyle w:val="Refdenotaalpie"/>
          <w:rFonts w:ascii="Arial" w:eastAsia="Arial" w:hAnsi="Arial" w:cs="Arial"/>
        </w:rPr>
        <w:footnoteReference w:id="6"/>
      </w:r>
      <w:r w:rsidRPr="00691AAC">
        <w:rPr>
          <w:rFonts w:ascii="Arial" w:eastAsia="Arial" w:hAnsi="Arial" w:cs="Arial"/>
          <w:color w:val="1A1A1A" w:themeColor="background1" w:themeShade="1A"/>
          <w:sz w:val="21"/>
          <w:szCs w:val="21"/>
          <w:lang w:val="es-ES_tradnl"/>
        </w:rPr>
        <w:t>.</w:t>
      </w:r>
    </w:p>
    <w:p w14:paraId="28E3DA30" w14:textId="77777777" w:rsidR="0058100B" w:rsidRPr="00691AAC" w:rsidRDefault="0058100B" w:rsidP="0058100B">
      <w:pPr>
        <w:spacing w:line="276" w:lineRule="auto"/>
        <w:ind w:left="567" w:right="709"/>
        <w:jc w:val="both"/>
        <w:rPr>
          <w:rFonts w:ascii="Arial" w:hAnsi="Arial" w:cs="Arial"/>
          <w:color w:val="1A1A1A" w:themeColor="background1" w:themeShade="1A"/>
          <w:sz w:val="21"/>
          <w:szCs w:val="21"/>
          <w:lang w:val="es-ES_tradnl"/>
        </w:rPr>
      </w:pPr>
    </w:p>
    <w:p w14:paraId="48362766" w14:textId="77777777" w:rsidR="0058100B" w:rsidRPr="00691AAC" w:rsidRDefault="0058100B" w:rsidP="0058100B">
      <w:pPr>
        <w:spacing w:after="120" w:line="276" w:lineRule="auto"/>
        <w:ind w:firstLine="709"/>
        <w:jc w:val="both"/>
        <w:rPr>
          <w:rFonts w:ascii="Arial" w:eastAsia="Arial" w:hAnsi="Arial" w:cs="Arial"/>
          <w:color w:val="1A1A1A" w:themeColor="background1" w:themeShade="1A"/>
          <w:sz w:val="22"/>
          <w:lang w:val="es-ES_tradnl"/>
        </w:rPr>
      </w:pPr>
      <w:bookmarkStart w:id="3" w:name="_3rdcrjn" w:colFirst="0" w:colLast="0"/>
      <w:bookmarkEnd w:id="3"/>
      <w:r w:rsidRPr="00691AAC">
        <w:rPr>
          <w:rFonts w:ascii="Arial" w:eastAsia="Arial" w:hAnsi="Arial" w:cs="Arial"/>
          <w:color w:val="1A1A1A" w:themeColor="background1" w:themeShade="1A"/>
          <w:sz w:val="22"/>
          <w:lang w:val="es-ES_tradnl"/>
        </w:rPr>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alteren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6092443A" w14:textId="77777777" w:rsidR="0058100B" w:rsidRPr="00691AAC" w:rsidRDefault="0058100B" w:rsidP="0058100B">
      <w:pPr>
        <w:spacing w:before="120" w:after="120" w:line="276" w:lineRule="auto"/>
        <w:ind w:firstLine="709"/>
        <w:jc w:val="both"/>
        <w:rPr>
          <w:rFonts w:ascii="Arial" w:eastAsia="Arial" w:hAnsi="Arial" w:cs="Arial"/>
          <w:color w:val="1A1A1A" w:themeColor="background1" w:themeShade="1A"/>
          <w:sz w:val="22"/>
          <w:lang w:val="es-ES_tradnl"/>
        </w:rPr>
      </w:pPr>
      <w:r w:rsidRPr="00691AAC">
        <w:rPr>
          <w:rFonts w:ascii="Arial" w:eastAsia="Arial" w:hAnsi="Arial" w:cs="Arial"/>
          <w:color w:val="1A1A1A" w:themeColor="background1" w:themeShade="1A"/>
          <w:sz w:val="22"/>
          <w:lang w:val="es-ES_tradnl"/>
        </w:rPr>
        <w:lastRenderedPageBreak/>
        <w:t xml:space="preserve">Por un lado, el artículo 33 de la Ley 996 de 2005 prohíbe «[…] la contratación directa por parte de todos los entes del Estado» durante los cuatro (4) meses anteriores a las elecciones presidenciales, salvo </w:t>
      </w:r>
      <w:r w:rsidRPr="00691AAC">
        <w:rPr>
          <w:rFonts w:ascii="Arial" w:eastAsia="Arial" w:hAnsi="Arial" w:cs="Arial"/>
          <w:color w:val="1A1A1A" w:themeColor="background1" w:themeShade="1A"/>
          <w:sz w:val="21"/>
          <w:szCs w:val="21"/>
          <w:lang w:val="es-ES_tradnl"/>
        </w:rPr>
        <w:t>«[…]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91AAC">
        <w:rPr>
          <w:rFonts w:ascii="Arial" w:eastAsia="Arial" w:hAnsi="Arial" w:cs="Arial"/>
          <w:color w:val="1A1A1A" w:themeColor="background1" w:themeShade="1A"/>
          <w:sz w:val="22"/>
          <w:lang w:val="es-ES_tradnl"/>
        </w:rPr>
        <w:t>»</w:t>
      </w:r>
      <w:r w:rsidRPr="008A5DF2">
        <w:rPr>
          <w:rStyle w:val="Refdenotaalpie"/>
          <w:rFonts w:ascii="Arial" w:eastAsia="Arial" w:hAnsi="Arial" w:cs="Arial"/>
        </w:rPr>
        <w:footnoteReference w:id="7"/>
      </w:r>
      <w:r w:rsidRPr="00691AAC">
        <w:rPr>
          <w:rFonts w:ascii="Arial" w:eastAsia="Arial" w:hAnsi="Arial" w:cs="Arial"/>
          <w:color w:val="1A1A1A" w:themeColor="background1" w:themeShade="1A"/>
          <w:sz w:val="22"/>
          <w:lang w:val="es-ES_tradnl"/>
        </w:rPr>
        <w:t>.</w:t>
      </w:r>
    </w:p>
    <w:p w14:paraId="66504C8B" w14:textId="0F2964F2" w:rsidR="0058100B" w:rsidRDefault="0058100B" w:rsidP="0064128A">
      <w:pPr>
        <w:spacing w:before="120" w:line="276" w:lineRule="auto"/>
        <w:ind w:firstLine="709"/>
        <w:jc w:val="both"/>
        <w:rPr>
          <w:rFonts w:ascii="Arial" w:eastAsia="Arial" w:hAnsi="Arial" w:cs="Arial"/>
          <w:color w:val="1A1A1A" w:themeColor="background1" w:themeShade="1A"/>
          <w:sz w:val="22"/>
          <w:lang w:val="es-ES_tradnl"/>
        </w:rPr>
      </w:pPr>
      <w:r w:rsidRPr="00691AAC">
        <w:rPr>
          <w:rFonts w:ascii="Arial" w:eastAsia="Arial" w:hAnsi="Arial" w:cs="Arial"/>
          <w:color w:val="1A1A1A" w:themeColor="background1" w:themeShade="1A"/>
          <w:sz w:val="22"/>
          <w:lang w:val="es-ES_tradnl"/>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691AAC">
        <w:rPr>
          <w:rFonts w:ascii="Arial" w:eastAsia="Arial" w:hAnsi="Arial" w:cs="Arial"/>
          <w:color w:val="1A1A1A" w:themeColor="background1" w:themeShade="1A"/>
          <w:sz w:val="21"/>
          <w:szCs w:val="21"/>
          <w:lang w:val="es-ES_tradnl"/>
        </w:rPr>
        <w:t>«[…]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A5DF2">
        <w:rPr>
          <w:rStyle w:val="Refdenotaalpie"/>
          <w:rFonts w:ascii="Arial" w:eastAsia="Arial" w:hAnsi="Arial" w:cs="Arial"/>
        </w:rPr>
        <w:footnoteReference w:id="8"/>
      </w:r>
      <w:r w:rsidRPr="00691AAC">
        <w:rPr>
          <w:rFonts w:ascii="Arial" w:eastAsia="Arial" w:hAnsi="Arial" w:cs="Arial"/>
          <w:color w:val="1A1A1A" w:themeColor="background1" w:themeShade="1A"/>
          <w:sz w:val="22"/>
          <w:lang w:val="es-ES_tradnl"/>
        </w:rPr>
        <w:t>. La Sala de Consulta y Servicio Civil del Consejo de Estado ha aclarado la distinción en la aplicación de las prohibiciones de la Ley 996 de 2005, dependiendo del tipo de elección que se trate. Al respecto, considera que:</w:t>
      </w:r>
    </w:p>
    <w:p w14:paraId="7B59B6C5" w14:textId="77777777" w:rsidR="0064128A" w:rsidRPr="00691AAC" w:rsidRDefault="0064128A" w:rsidP="00536070">
      <w:pPr>
        <w:spacing w:line="276" w:lineRule="auto"/>
        <w:ind w:firstLine="709"/>
        <w:jc w:val="both"/>
        <w:rPr>
          <w:rFonts w:ascii="Arial" w:eastAsia="Arial" w:hAnsi="Arial" w:cs="Arial"/>
          <w:color w:val="1A1A1A" w:themeColor="background1" w:themeShade="1A"/>
          <w:sz w:val="22"/>
          <w:lang w:val="es-ES_tradnl"/>
        </w:rPr>
      </w:pPr>
    </w:p>
    <w:p w14:paraId="31956AC8" w14:textId="6AA7E63D" w:rsidR="0058100B" w:rsidRDefault="0058100B" w:rsidP="0064128A">
      <w:pPr>
        <w:widowControl w:val="0"/>
        <w:ind w:left="567" w:right="786"/>
        <w:jc w:val="both"/>
        <w:rPr>
          <w:rFonts w:ascii="Arial" w:eastAsia="Arial" w:hAnsi="Arial" w:cs="Arial"/>
          <w:color w:val="1A1A1A" w:themeColor="background1" w:themeShade="1A"/>
          <w:sz w:val="21"/>
          <w:szCs w:val="21"/>
          <w:lang w:val="es-ES_tradnl"/>
        </w:rPr>
      </w:pPr>
      <w:bookmarkStart w:id="6" w:name="_26in1rg" w:colFirst="0" w:colLast="0"/>
      <w:bookmarkEnd w:id="6"/>
      <w:r w:rsidRPr="0064128A">
        <w:rPr>
          <w:rFonts w:ascii="Arial" w:eastAsia="Arial" w:hAnsi="Arial" w:cs="Arial"/>
          <w:color w:val="1A1A1A" w:themeColor="background1" w:themeShade="1A"/>
          <w:sz w:val="21"/>
          <w:szCs w:val="21"/>
          <w:lang w:val="es-ES_tradnl"/>
        </w:rPr>
        <w:t xml:space="preserve">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w:t>
      </w:r>
      <w:r w:rsidRPr="0064128A">
        <w:rPr>
          <w:rFonts w:ascii="Arial" w:eastAsia="Arial" w:hAnsi="Arial" w:cs="Arial"/>
          <w:color w:val="1A1A1A" w:themeColor="background1" w:themeShade="1A"/>
          <w:sz w:val="21"/>
          <w:szCs w:val="21"/>
          <w:lang w:val="es-ES_tradnl"/>
        </w:rPr>
        <w:lastRenderedPageBreak/>
        <w:t>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536070">
        <w:rPr>
          <w:rStyle w:val="Refdenotaalpie"/>
          <w:rFonts w:ascii="Arial" w:eastAsia="Arial" w:hAnsi="Arial" w:cs="Arial"/>
          <w:sz w:val="21"/>
          <w:szCs w:val="21"/>
        </w:rPr>
        <w:footnoteReference w:id="9"/>
      </w:r>
      <w:r w:rsidRPr="00536070">
        <w:rPr>
          <w:rFonts w:ascii="Arial" w:eastAsia="Arial" w:hAnsi="Arial" w:cs="Arial"/>
          <w:color w:val="1A1A1A" w:themeColor="background1" w:themeShade="1A"/>
          <w:sz w:val="21"/>
          <w:szCs w:val="21"/>
          <w:lang w:val="es-ES_tradnl"/>
        </w:rPr>
        <w:t>.</w:t>
      </w:r>
    </w:p>
    <w:p w14:paraId="4638A9D2" w14:textId="77777777" w:rsidR="0064128A" w:rsidRPr="00536070" w:rsidRDefault="0064128A" w:rsidP="00536070">
      <w:pPr>
        <w:widowControl w:val="0"/>
        <w:ind w:left="567" w:right="786"/>
        <w:jc w:val="both"/>
        <w:rPr>
          <w:rFonts w:ascii="Arial" w:hAnsi="Arial" w:cs="Arial"/>
          <w:color w:val="1A1A1A" w:themeColor="background1" w:themeShade="1A"/>
          <w:sz w:val="21"/>
          <w:szCs w:val="21"/>
          <w:lang w:val="es-ES_tradnl"/>
        </w:rPr>
      </w:pPr>
    </w:p>
    <w:p w14:paraId="4C2E3EEA" w14:textId="77777777" w:rsidR="0058100B" w:rsidRPr="00691AAC" w:rsidRDefault="0058100B" w:rsidP="00536070">
      <w:pPr>
        <w:spacing w:after="120" w:line="276" w:lineRule="auto"/>
        <w:ind w:firstLine="709"/>
        <w:jc w:val="both"/>
        <w:rPr>
          <w:rFonts w:ascii="Arial" w:eastAsia="Arial" w:hAnsi="Arial" w:cs="Arial"/>
          <w:color w:val="1A1A1A" w:themeColor="background1" w:themeShade="1A"/>
          <w:sz w:val="22"/>
          <w:lang w:val="es-ES_tradnl"/>
        </w:rPr>
      </w:pPr>
      <w:bookmarkStart w:id="7" w:name="_lnxbz9" w:colFirst="0" w:colLast="0"/>
      <w:bookmarkEnd w:id="7"/>
      <w:r w:rsidRPr="00691AAC">
        <w:rPr>
          <w:rFonts w:ascii="Arial" w:eastAsia="Arial" w:hAnsi="Arial" w:cs="Arial"/>
          <w:color w:val="1A1A1A" w:themeColor="background1" w:themeShade="1A"/>
          <w:sz w:val="22"/>
          <w:lang w:val="es-ES_tradnl"/>
        </w:rPr>
        <w:t xml:space="preserve">De conformidad con lo anterior, la Ley 996 de 2005 establece dos (2) tipos de restricciones en materia de contratación, las cuales coinciden parcialmente. </w:t>
      </w:r>
      <w:r w:rsidRPr="00691AAC">
        <w:rPr>
          <w:rFonts w:ascii="Arial" w:eastAsia="Arial" w:hAnsi="Arial" w:cs="Arial"/>
          <w:i/>
          <w:color w:val="1A1A1A" w:themeColor="background1" w:themeShade="1A"/>
          <w:sz w:val="22"/>
          <w:lang w:val="es-ES_tradnl"/>
        </w:rPr>
        <w:t>En primer lugar</w:t>
      </w:r>
      <w:r w:rsidRPr="00691AAC">
        <w:rPr>
          <w:rFonts w:ascii="Arial" w:eastAsia="Arial" w:hAnsi="Arial" w:cs="Arial"/>
          <w:color w:val="1A1A1A" w:themeColor="background1" w:themeShade="1A"/>
          <w:sz w:val="22"/>
          <w:lang w:val="es-ES_tradnl"/>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solo participarán los dos candidatos que hubieren obtenido las votaciones más altas, de conformidad con el artículo 190 de la Constitución Política. Para estos efectos, la restricción se extenderá hasta la fecha en la que se realice la segunda vuelta. </w:t>
      </w:r>
      <w:r w:rsidRPr="00691AAC">
        <w:rPr>
          <w:rFonts w:ascii="Arial" w:eastAsia="Arial" w:hAnsi="Arial" w:cs="Arial"/>
          <w:i/>
          <w:color w:val="1A1A1A" w:themeColor="background1" w:themeShade="1A"/>
          <w:sz w:val="22"/>
          <w:lang w:val="es-ES_tradnl"/>
        </w:rPr>
        <w:t>En segundo lugar</w:t>
      </w:r>
      <w:r w:rsidRPr="00691AAC">
        <w:rPr>
          <w:rFonts w:ascii="Arial" w:eastAsia="Arial" w:hAnsi="Arial" w:cs="Arial"/>
          <w:color w:val="1A1A1A" w:themeColor="background1" w:themeShade="1A"/>
          <w:sz w:val="22"/>
          <w:lang w:val="es-ES_tradnl"/>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2530830E" w14:textId="77777777" w:rsidR="0058100B" w:rsidRPr="00691AAC" w:rsidRDefault="0058100B" w:rsidP="00536070">
      <w:pPr>
        <w:spacing w:after="120" w:line="276" w:lineRule="auto"/>
        <w:ind w:firstLine="709"/>
        <w:jc w:val="both"/>
        <w:rPr>
          <w:rFonts w:ascii="Arial" w:eastAsia="Arial" w:hAnsi="Arial" w:cs="Arial"/>
          <w:color w:val="1A1A1A" w:themeColor="background1" w:themeShade="1A"/>
          <w:sz w:val="22"/>
          <w:lang w:val="es-ES_tradnl"/>
        </w:rPr>
      </w:pPr>
      <w:r w:rsidRPr="00691AAC">
        <w:rPr>
          <w:rFonts w:ascii="Arial" w:eastAsia="Arial" w:hAnsi="Arial" w:cs="Arial"/>
          <w:color w:val="1A1A1A" w:themeColor="background1" w:themeShade="1A"/>
          <w:sz w:val="22"/>
          <w:lang w:val="es-ES_tradnl"/>
        </w:rPr>
        <w:t>Ambas restricciones no son excluyentes, lo que permite concluir que en el período preelectoral para la elección del Presidente de la República, a todos los entes del Estado, incluidos los territoriales, les aplican las restricciones del artículo 33 con sus excepciones, así como las del parágrafo del artículo 38. En cambio, tratándose de elecciones en general, excluyendo las correspondientes al Presidente de la República, las autoridades allí mencionadas solo deben aplicar las restricciones contenidas en el parágrafo del artículo 38.</w:t>
      </w:r>
    </w:p>
    <w:p w14:paraId="51208714" w14:textId="77777777" w:rsidR="0058100B" w:rsidRPr="00691AAC" w:rsidRDefault="0058100B" w:rsidP="0058100B">
      <w:pPr>
        <w:spacing w:after="120" w:line="276" w:lineRule="auto"/>
        <w:ind w:firstLine="709"/>
        <w:contextualSpacing/>
        <w:jc w:val="both"/>
        <w:rPr>
          <w:rFonts w:ascii="Arial" w:eastAsia="Arial" w:hAnsi="Arial" w:cs="Arial"/>
          <w:color w:val="1A1A1A" w:themeColor="background1" w:themeShade="1A"/>
          <w:sz w:val="22"/>
          <w:lang w:val="es-ES"/>
        </w:rPr>
      </w:pPr>
      <w:r w:rsidRPr="00691AAC">
        <w:rPr>
          <w:rFonts w:ascii="Arial" w:eastAsia="Arial" w:hAnsi="Arial" w:cs="Arial"/>
          <w:color w:val="1A1A1A" w:themeColor="background1" w:themeShade="1A"/>
          <w:sz w:val="22"/>
          <w:lang w:val="es-ES_tradnl"/>
        </w:rPr>
        <w:t>La Corte Constitucional, en la Sentencia C-1153 del 11 de noviembre de 2005, señaló que, para que la garantía sea plena, era necesario que la prohibición se aplicara para el Presidente o el Vicepresidente desde que éstos –estando en ejercicio de su cargo– manifiesten el interés de ser candidato presidencial, lo cual debe ocurrir seis meses antes de la elección en primera vuelta, de acuerdo con el artículo 9 de la Ley 996 de 2005. Sin</w:t>
      </w:r>
      <w:r w:rsidRPr="00691AAC">
        <w:rPr>
          <w:rFonts w:ascii="Arial" w:eastAsia="Arial" w:hAnsi="Arial" w:cs="Arial"/>
          <w:color w:val="1A1A1A" w:themeColor="background1" w:themeShade="1A"/>
          <w:sz w:val="22"/>
          <w:lang w:val="es-ES"/>
        </w:rPr>
        <w:t xml:space="preserve">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7F45895C" w14:textId="29F2782A" w:rsidR="00A05A9D" w:rsidRPr="0062704F" w:rsidRDefault="00033B65" w:rsidP="00536070">
      <w:pPr>
        <w:pStyle w:val="Textoindependiente"/>
        <w:spacing w:after="120" w:line="276" w:lineRule="auto"/>
        <w:ind w:firstLine="709"/>
        <w:jc w:val="both"/>
        <w:rPr>
          <w:shd w:val="clear" w:color="auto" w:fill="FFFFFF"/>
        </w:rPr>
      </w:pPr>
      <w:r>
        <w:rPr>
          <w:shd w:val="clear" w:color="auto" w:fill="FFFFFF"/>
        </w:rPr>
        <w:t xml:space="preserve">Ahora bien, </w:t>
      </w:r>
      <w:r w:rsidR="00306465">
        <w:rPr>
          <w:shd w:val="clear" w:color="auto" w:fill="FFFFFF"/>
        </w:rPr>
        <w:t>l</w:t>
      </w:r>
      <w:r w:rsidR="0056373A">
        <w:rPr>
          <w:shd w:val="clear" w:color="auto" w:fill="FFFFFF"/>
        </w:rPr>
        <w:t xml:space="preserve">a restricción del artículo 33 </w:t>
      </w:r>
      <w:r w:rsidR="00010317">
        <w:rPr>
          <w:shd w:val="clear" w:color="auto" w:fill="FFFFFF"/>
        </w:rPr>
        <w:t>e</w:t>
      </w:r>
      <w:r>
        <w:rPr>
          <w:shd w:val="clear" w:color="auto" w:fill="FFFFFF"/>
        </w:rPr>
        <w:t xml:space="preserve">s aplicable a «todos los Entes del Estado», </w:t>
      </w:r>
      <w:r>
        <w:rPr>
          <w:shd w:val="clear" w:color="auto" w:fill="FFFFFF"/>
        </w:rPr>
        <w:lastRenderedPageBreak/>
        <w:t xml:space="preserve">independientemente de su régimen, por lo </w:t>
      </w:r>
      <w:r w:rsidR="009F782D">
        <w:rPr>
          <w:shd w:val="clear" w:color="auto" w:fill="FFFFFF"/>
        </w:rPr>
        <w:t>que,</w:t>
      </w:r>
      <w:r>
        <w:rPr>
          <w:shd w:val="clear" w:color="auto" w:fill="FFFFFF"/>
        </w:rPr>
        <w:t xml:space="preserve"> en </w:t>
      </w:r>
      <w:r w:rsidR="00040525">
        <w:rPr>
          <w:shd w:val="clear" w:color="auto" w:fill="FFFFFF"/>
        </w:rPr>
        <w:t xml:space="preserve">virtud de la misma, </w:t>
      </w:r>
      <w:r w:rsidR="0064128A">
        <w:rPr>
          <w:shd w:val="clear" w:color="auto" w:fill="FFFFFF"/>
        </w:rPr>
        <w:t>entidades</w:t>
      </w:r>
      <w:r w:rsidR="00040525">
        <w:rPr>
          <w:shd w:val="clear" w:color="auto" w:fill="FFFFFF"/>
        </w:rPr>
        <w:t xml:space="preserve"> descentralizadas por servicios, como, ejemplo,</w:t>
      </w:r>
      <w:r w:rsidR="00010317">
        <w:rPr>
          <w:shd w:val="clear" w:color="auto" w:fill="FFFFFF"/>
        </w:rPr>
        <w:t xml:space="preserve"> </w:t>
      </w:r>
      <w:r w:rsidR="00040525">
        <w:rPr>
          <w:shd w:val="clear" w:color="auto" w:fill="FFFFFF"/>
        </w:rPr>
        <w:t>las sociedades de economía mixta, tienen restringida la contratación directa durante los cuatro meses anteriores a las elecciones presidenciales</w:t>
      </w:r>
      <w:r w:rsidR="00C1278E" w:rsidRPr="00CA3863">
        <w:rPr>
          <w:rFonts w:eastAsia="Times New Roman"/>
          <w:vertAlign w:val="superscript"/>
          <w:lang w:val="es-CO" w:eastAsia="es-CO"/>
        </w:rPr>
        <w:footnoteReference w:id="10"/>
      </w:r>
      <w:r w:rsidR="00040525">
        <w:rPr>
          <w:shd w:val="clear" w:color="auto" w:fill="FFFFFF"/>
        </w:rPr>
        <w:t xml:space="preserve">. </w:t>
      </w:r>
      <w:r w:rsidR="00625FBF">
        <w:rPr>
          <w:shd w:val="clear" w:color="auto" w:fill="FFFFFF"/>
        </w:rPr>
        <w:t xml:space="preserve">Por su parte, la restricción que deriva del primer inciso del parágrafo del artículo 38, aplica entes territoriales y sus entidades descentralizadas, </w:t>
      </w:r>
      <w:r w:rsidR="009E6FF7">
        <w:rPr>
          <w:shd w:val="clear" w:color="auto" w:fill="FFFFFF"/>
        </w:rPr>
        <w:t xml:space="preserve">pero no solo durante las elecciones presidenciales, sino </w:t>
      </w:r>
      <w:r w:rsidR="009F782D">
        <w:rPr>
          <w:shd w:val="clear" w:color="auto" w:fill="FFFFFF"/>
        </w:rPr>
        <w:t>también en los periodos preelectorales de los cuatro meses anteriores a elecciones locales</w:t>
      </w:r>
      <w:r w:rsidR="0064128A">
        <w:rPr>
          <w:shd w:val="clear" w:color="auto" w:fill="FFFFFF"/>
        </w:rPr>
        <w:t>,</w:t>
      </w:r>
      <w:r w:rsidR="009F782D">
        <w:rPr>
          <w:shd w:val="clear" w:color="auto" w:fill="FFFFFF"/>
        </w:rPr>
        <w:t xml:space="preserve"> Congreso de la República</w:t>
      </w:r>
      <w:r w:rsidR="005B476A">
        <w:rPr>
          <w:shd w:val="clear" w:color="auto" w:fill="FFFFFF"/>
        </w:rPr>
        <w:t xml:space="preserve"> y en general de cargos de elección popular.</w:t>
      </w:r>
    </w:p>
    <w:p w14:paraId="27F7EF37" w14:textId="468F949B" w:rsidR="008815E7" w:rsidRDefault="00CA3863" w:rsidP="00536070">
      <w:pPr>
        <w:shd w:val="clear" w:color="auto" w:fill="FFFFFF"/>
        <w:spacing w:line="276" w:lineRule="auto"/>
        <w:ind w:firstLine="709"/>
        <w:jc w:val="both"/>
        <w:rPr>
          <w:rFonts w:ascii="Arial" w:eastAsia="Times New Roman" w:hAnsi="Arial" w:cs="Arial"/>
          <w:bCs/>
          <w:sz w:val="22"/>
          <w:lang w:eastAsia="es-CO"/>
        </w:rPr>
      </w:pPr>
      <w:r w:rsidRPr="00CA3863">
        <w:rPr>
          <w:rFonts w:ascii="Arial" w:hAnsi="Arial" w:cs="Arial"/>
          <w:sz w:val="21"/>
          <w:szCs w:val="21"/>
        </w:rPr>
        <w:t xml:space="preserve"> </w:t>
      </w:r>
      <w:r w:rsidR="008815E7">
        <w:rPr>
          <w:rFonts w:ascii="Arial" w:eastAsia="Times New Roman" w:hAnsi="Arial" w:cs="Arial"/>
          <w:bCs/>
          <w:sz w:val="22"/>
          <w:lang w:eastAsia="es-CO"/>
        </w:rPr>
        <w:t>Al respecto</w:t>
      </w:r>
      <w:r w:rsidR="00A7560A" w:rsidRPr="00EA4BA0">
        <w:rPr>
          <w:rFonts w:ascii="Arial" w:eastAsia="Times New Roman" w:hAnsi="Arial" w:cs="Arial"/>
          <w:bCs/>
          <w:sz w:val="22"/>
          <w:lang w:eastAsia="es-CO"/>
        </w:rPr>
        <w:t>, la Agencia advierte que para el año 2022 están programadas las elecciones para elegir miembros del Congreso de la República, así como las jornadas para la elección del Presidente y Vicepresidente de la República. Las primeras</w:t>
      </w:r>
      <w:r w:rsidR="008815E7">
        <w:rPr>
          <w:rFonts w:ascii="Arial" w:eastAsia="Times New Roman" w:hAnsi="Arial" w:cs="Arial"/>
          <w:bCs/>
          <w:sz w:val="22"/>
          <w:lang w:eastAsia="es-CO"/>
        </w:rPr>
        <w:t xml:space="preserve"> tuvieron</w:t>
      </w:r>
      <w:r w:rsidR="00A7560A" w:rsidRPr="00EA4BA0">
        <w:rPr>
          <w:rFonts w:ascii="Arial" w:eastAsia="Times New Roman" w:hAnsi="Arial" w:cs="Arial"/>
          <w:bCs/>
          <w:sz w:val="22"/>
          <w:lang w:eastAsia="es-CO"/>
        </w:rPr>
        <w:t xml:space="preserve"> </w:t>
      </w:r>
      <w:r w:rsidR="008815E7">
        <w:rPr>
          <w:rFonts w:ascii="Arial" w:eastAsia="Times New Roman" w:hAnsi="Arial" w:cs="Arial"/>
          <w:bCs/>
          <w:sz w:val="22"/>
          <w:lang w:eastAsia="es-CO"/>
        </w:rPr>
        <w:t>lugar</w:t>
      </w:r>
      <w:r w:rsidR="00A7560A" w:rsidRPr="00EA4BA0">
        <w:rPr>
          <w:rFonts w:ascii="Arial" w:eastAsia="Times New Roman" w:hAnsi="Arial" w:cs="Arial"/>
          <w:bCs/>
          <w:sz w:val="22"/>
          <w:lang w:eastAsia="es-CO"/>
        </w:rPr>
        <w:t xml:space="preserve"> el domingo 13 de marzo de 2022</w:t>
      </w:r>
      <w:r w:rsidR="00A7560A" w:rsidRPr="00EA4BA0">
        <w:rPr>
          <w:rStyle w:val="Refdenotaalpie"/>
          <w:rFonts w:ascii="Arial" w:eastAsia="Times New Roman" w:hAnsi="Arial" w:cs="Arial"/>
          <w:bCs/>
          <w:sz w:val="22"/>
          <w:lang w:eastAsia="es-CO"/>
        </w:rPr>
        <w:footnoteReference w:id="11"/>
      </w:r>
      <w:r w:rsidR="00A7560A" w:rsidRPr="00EA4BA0">
        <w:rPr>
          <w:rFonts w:ascii="Arial" w:eastAsia="Times New Roman" w:hAnsi="Arial" w:cs="Arial"/>
          <w:bCs/>
          <w:sz w:val="22"/>
          <w:lang w:eastAsia="es-CO"/>
        </w:rPr>
        <w:t xml:space="preserve"> y las segundas </w:t>
      </w:r>
      <w:r w:rsidR="008815E7">
        <w:rPr>
          <w:rFonts w:ascii="Arial" w:eastAsia="Times New Roman" w:hAnsi="Arial" w:cs="Arial"/>
          <w:bCs/>
          <w:sz w:val="22"/>
          <w:lang w:eastAsia="es-CO"/>
        </w:rPr>
        <w:t xml:space="preserve">se realizarán </w:t>
      </w:r>
      <w:r w:rsidR="00A7560A" w:rsidRPr="00EA4BA0">
        <w:rPr>
          <w:rFonts w:ascii="Arial" w:eastAsia="Times New Roman" w:hAnsi="Arial" w:cs="Arial"/>
          <w:bCs/>
          <w:sz w:val="22"/>
          <w:lang w:eastAsia="es-CO"/>
        </w:rPr>
        <w:t>el 29 de mayo del mismo año</w:t>
      </w:r>
      <w:r w:rsidR="00A7560A" w:rsidRPr="00EA4BA0">
        <w:rPr>
          <w:rStyle w:val="Refdenotaalpie"/>
          <w:rFonts w:ascii="Arial" w:eastAsia="Times New Roman" w:hAnsi="Arial" w:cs="Arial"/>
          <w:bCs/>
          <w:sz w:val="22"/>
          <w:lang w:eastAsia="es-CO"/>
        </w:rPr>
        <w:footnoteReference w:id="12"/>
      </w:r>
      <w:r w:rsidR="00A7560A">
        <w:rPr>
          <w:rFonts w:ascii="Arial" w:eastAsia="Times New Roman" w:hAnsi="Arial" w:cs="Arial"/>
          <w:bCs/>
          <w:sz w:val="22"/>
          <w:lang w:eastAsia="es-CO"/>
        </w:rPr>
        <w:t xml:space="preserve">. </w:t>
      </w:r>
      <w:r w:rsidR="008815E7">
        <w:rPr>
          <w:rFonts w:ascii="Arial" w:eastAsia="Times New Roman" w:hAnsi="Arial" w:cs="Arial"/>
          <w:bCs/>
          <w:sz w:val="22"/>
          <w:lang w:eastAsia="es-CO"/>
        </w:rPr>
        <w:t xml:space="preserve">De esta manera, </w:t>
      </w:r>
      <w:r w:rsidR="008513D4">
        <w:rPr>
          <w:rFonts w:ascii="Arial" w:eastAsia="Times New Roman" w:hAnsi="Arial" w:cs="Arial"/>
          <w:bCs/>
          <w:sz w:val="22"/>
          <w:lang w:eastAsia="es-CO"/>
        </w:rPr>
        <w:t>en cuanto a la restricción del artículo 38, es preciso afirmar que la misma</w:t>
      </w:r>
      <w:r w:rsidR="00F90075">
        <w:rPr>
          <w:rFonts w:ascii="Arial" w:eastAsia="Times New Roman" w:hAnsi="Arial" w:cs="Arial"/>
          <w:bCs/>
          <w:sz w:val="22"/>
          <w:lang w:eastAsia="es-CO"/>
        </w:rPr>
        <w:t xml:space="preserve">, en principio, </w:t>
      </w:r>
      <w:r w:rsidR="005B476A">
        <w:rPr>
          <w:rFonts w:ascii="Arial" w:eastAsia="Times New Roman" w:hAnsi="Arial" w:cs="Arial"/>
          <w:bCs/>
          <w:sz w:val="22"/>
          <w:lang w:eastAsia="es-CO"/>
        </w:rPr>
        <w:t>empezó a</w:t>
      </w:r>
      <w:r w:rsidR="008513D4">
        <w:rPr>
          <w:rFonts w:ascii="Arial" w:eastAsia="Times New Roman" w:hAnsi="Arial" w:cs="Arial"/>
          <w:bCs/>
          <w:sz w:val="22"/>
          <w:lang w:eastAsia="es-CO"/>
        </w:rPr>
        <w:t xml:space="preserve"> regir desde el </w:t>
      </w:r>
      <w:r w:rsidR="00F90075">
        <w:rPr>
          <w:rFonts w:ascii="Arial" w:eastAsia="Times New Roman" w:hAnsi="Arial" w:cs="Arial"/>
          <w:bCs/>
          <w:sz w:val="22"/>
          <w:lang w:eastAsia="es-CO"/>
        </w:rPr>
        <w:t xml:space="preserve">13 de noviembre de 2021, </w:t>
      </w:r>
      <w:r w:rsidR="007079B4">
        <w:rPr>
          <w:rFonts w:ascii="Arial" w:eastAsia="Times New Roman" w:hAnsi="Arial" w:cs="Arial"/>
          <w:bCs/>
          <w:sz w:val="22"/>
          <w:lang w:eastAsia="es-CO"/>
        </w:rPr>
        <w:t xml:space="preserve">no obstante, en la medida en que </w:t>
      </w:r>
      <w:r w:rsidR="009E3094">
        <w:rPr>
          <w:rFonts w:ascii="Arial" w:eastAsia="Times New Roman" w:hAnsi="Arial" w:cs="Arial"/>
          <w:bCs/>
          <w:sz w:val="22"/>
          <w:lang w:eastAsia="es-CO"/>
        </w:rPr>
        <w:t>dicha restricción también rige durante las elecciones presidenciales, esta se habría extendido hasta el 29 de mayo de 2022</w:t>
      </w:r>
      <w:r w:rsidR="00744D9F">
        <w:rPr>
          <w:rFonts w:ascii="Arial" w:eastAsia="Times New Roman" w:hAnsi="Arial" w:cs="Arial"/>
          <w:bCs/>
          <w:sz w:val="22"/>
          <w:lang w:eastAsia="es-CO"/>
        </w:rPr>
        <w:t xml:space="preserve">. Por su parte, la restricción del artículo 33, comenzó a regir para todos los entes del </w:t>
      </w:r>
      <w:r w:rsidR="005B476A">
        <w:rPr>
          <w:rFonts w:ascii="Arial" w:eastAsia="Times New Roman" w:hAnsi="Arial" w:cs="Arial"/>
          <w:bCs/>
          <w:sz w:val="22"/>
          <w:lang w:eastAsia="es-CO"/>
        </w:rPr>
        <w:t>Estado a</w:t>
      </w:r>
      <w:r w:rsidR="00744D9F">
        <w:rPr>
          <w:rFonts w:ascii="Arial" w:eastAsia="Times New Roman" w:hAnsi="Arial" w:cs="Arial"/>
          <w:bCs/>
          <w:sz w:val="22"/>
          <w:lang w:eastAsia="es-CO"/>
        </w:rPr>
        <w:t xml:space="preserve"> partir del 29 de enero de </w:t>
      </w:r>
      <w:r w:rsidR="00124010">
        <w:rPr>
          <w:rFonts w:ascii="Arial" w:eastAsia="Times New Roman" w:hAnsi="Arial" w:cs="Arial"/>
          <w:bCs/>
          <w:sz w:val="22"/>
          <w:lang w:eastAsia="es-CO"/>
        </w:rPr>
        <w:t xml:space="preserve"> </w:t>
      </w:r>
      <w:r w:rsidR="00364FCC">
        <w:rPr>
          <w:rFonts w:ascii="Arial" w:eastAsia="Times New Roman" w:hAnsi="Arial" w:cs="Arial"/>
          <w:bCs/>
          <w:sz w:val="22"/>
          <w:lang w:eastAsia="es-CO"/>
        </w:rPr>
        <w:t xml:space="preserve">2022, y se extendería hasta </w:t>
      </w:r>
      <w:r w:rsidR="001900F6">
        <w:rPr>
          <w:rFonts w:ascii="Arial" w:eastAsia="Times New Roman" w:hAnsi="Arial" w:cs="Arial"/>
          <w:bCs/>
          <w:sz w:val="22"/>
          <w:lang w:eastAsia="es-CO"/>
        </w:rPr>
        <w:t xml:space="preserve">la fecha en la que se encuentra programada la votación de la primera vuelta de las elecciones presidenciales, </w:t>
      </w:r>
      <w:r w:rsidR="00391896">
        <w:rPr>
          <w:rFonts w:ascii="Arial" w:eastAsia="Times New Roman" w:hAnsi="Arial" w:cs="Arial"/>
          <w:bCs/>
          <w:sz w:val="22"/>
          <w:lang w:eastAsia="es-CO"/>
        </w:rPr>
        <w:t xml:space="preserve">y en caso, de requerirse </w:t>
      </w:r>
      <w:r w:rsidR="00C411D4">
        <w:rPr>
          <w:rFonts w:ascii="Arial" w:eastAsia="Times New Roman" w:hAnsi="Arial" w:cs="Arial"/>
          <w:bCs/>
          <w:sz w:val="22"/>
          <w:lang w:eastAsia="es-CO"/>
        </w:rPr>
        <w:t>hasta la fecha de realización de la segunda vuelta.</w:t>
      </w:r>
    </w:p>
    <w:p w14:paraId="24D24D28" w14:textId="77777777" w:rsidR="007D4595" w:rsidRDefault="007D4595" w:rsidP="00A47FA3">
      <w:pPr>
        <w:spacing w:line="276" w:lineRule="auto"/>
        <w:jc w:val="both"/>
        <w:rPr>
          <w:rFonts w:ascii="Arial" w:hAnsi="Arial" w:cs="Arial"/>
          <w:sz w:val="22"/>
        </w:rPr>
      </w:pPr>
      <w:bookmarkStart w:id="8" w:name="_35nkun2" w:colFirst="0" w:colLast="0"/>
      <w:bookmarkStart w:id="9" w:name="_1ksv4uv" w:colFirst="0" w:colLast="0"/>
      <w:bookmarkStart w:id="10" w:name="_44sinio" w:colFirst="0" w:colLast="0"/>
      <w:bookmarkStart w:id="11" w:name="_2jxsxqh" w:colFirst="0" w:colLast="0"/>
      <w:bookmarkStart w:id="12" w:name="_z337ya" w:colFirst="0" w:colLast="0"/>
      <w:bookmarkEnd w:id="8"/>
      <w:bookmarkEnd w:id="9"/>
      <w:bookmarkEnd w:id="10"/>
      <w:bookmarkEnd w:id="11"/>
      <w:bookmarkEnd w:id="12"/>
    </w:p>
    <w:p w14:paraId="16171B31" w14:textId="535F30BE" w:rsidR="001554CA" w:rsidRPr="00AC2EB0" w:rsidRDefault="001554CA" w:rsidP="00A47FA3">
      <w:pPr>
        <w:spacing w:line="276" w:lineRule="auto"/>
        <w:jc w:val="both"/>
        <w:rPr>
          <w:rFonts w:ascii="Arial" w:eastAsia="Calibri" w:hAnsi="Arial" w:cs="Arial"/>
          <w:sz w:val="22"/>
        </w:rPr>
      </w:pPr>
      <w:r w:rsidRPr="00AC2EB0">
        <w:rPr>
          <w:rFonts w:ascii="Arial" w:hAnsi="Arial" w:cs="Arial"/>
          <w:sz w:val="22"/>
        </w:rPr>
        <w:lastRenderedPageBreak/>
        <w:t>Este concepto tiene el alcance previsto en el artículo 28 del Código de Procedimiento Administrativo y de lo Contencioso Administrativo.</w:t>
      </w:r>
    </w:p>
    <w:p w14:paraId="0F7AF0C2" w14:textId="77777777" w:rsidR="001554CA" w:rsidRPr="00AC2EB0" w:rsidRDefault="001554CA" w:rsidP="00A47FA3">
      <w:pPr>
        <w:spacing w:line="276" w:lineRule="auto"/>
        <w:jc w:val="both"/>
        <w:rPr>
          <w:rFonts w:ascii="Arial" w:eastAsia="Calibri" w:hAnsi="Arial" w:cs="Arial"/>
          <w:sz w:val="22"/>
        </w:rPr>
      </w:pPr>
      <w:r w:rsidRPr="00AC2EB0">
        <w:rPr>
          <w:rFonts w:ascii="Arial" w:hAnsi="Arial" w:cs="Arial"/>
          <w:noProof/>
          <w:sz w:val="22"/>
          <w:lang w:val="en-US"/>
        </w:rPr>
        <mc:AlternateContent>
          <mc:Choice Requires="wps">
            <w:drawing>
              <wp:anchor distT="0" distB="0" distL="114300" distR="114300" simplePos="0" relativeHeight="251659264" behindDoc="0" locked="0" layoutInCell="1" allowOverlap="1" wp14:anchorId="6A062897" wp14:editId="0950093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CA916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7A7300AA" w14:textId="77777777" w:rsidR="001554CA" w:rsidRPr="00AC2EB0" w:rsidRDefault="001554CA" w:rsidP="00A47FA3">
      <w:pPr>
        <w:spacing w:line="276" w:lineRule="auto"/>
        <w:rPr>
          <w:rFonts w:ascii="Arial" w:eastAsia="Times New Roman" w:hAnsi="Arial" w:cs="Arial"/>
          <w:sz w:val="22"/>
          <w:lang w:eastAsia="es-CO"/>
        </w:rPr>
      </w:pPr>
      <w:r w:rsidRPr="00AC2EB0">
        <w:rPr>
          <w:rFonts w:ascii="Arial" w:eastAsia="Times New Roman" w:hAnsi="Arial" w:cs="Arial"/>
          <w:sz w:val="22"/>
          <w:lang w:eastAsia="es-CO"/>
        </w:rPr>
        <w:t>Atentamente,</w:t>
      </w:r>
    </w:p>
    <w:p w14:paraId="1C226F67" w14:textId="77777777" w:rsidR="005E77BF" w:rsidRPr="005E77BF" w:rsidRDefault="005E77BF" w:rsidP="005E77BF">
      <w:pPr>
        <w:spacing w:before="100" w:beforeAutospacing="1" w:after="100" w:afterAutospacing="1" w:line="276" w:lineRule="auto"/>
        <w:jc w:val="center"/>
        <w:rPr>
          <w:rFonts w:ascii="Times New Roman" w:eastAsia="Times New Roman" w:hAnsi="Times New Roman" w:cs="Times New Roman"/>
          <w:color w:val="000000"/>
          <w:szCs w:val="24"/>
          <w:lang w:val="es-ES_tradnl" w:eastAsia="es-CO"/>
        </w:rPr>
      </w:pPr>
      <w:r w:rsidRPr="005E77BF">
        <w:rPr>
          <w:rFonts w:ascii="Times New Roman" w:eastAsia="Times New Roman" w:hAnsi="Times New Roman" w:cs="Times New Roman"/>
          <w:noProof/>
          <w:szCs w:val="24"/>
          <w:lang w:val="es-CO" w:eastAsia="es-CO"/>
        </w:rPr>
        <w:drawing>
          <wp:inline distT="0" distB="0" distL="0" distR="0" wp14:anchorId="23513453" wp14:editId="4630DD31">
            <wp:extent cx="3298190" cy="1403177"/>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298190" cy="1403177"/>
                    </a:xfrm>
                    <a:prstGeom prst="rect">
                      <a:avLst/>
                    </a:prstGeom>
                    <a:noFill/>
                    <a:ln>
                      <a:noFill/>
                    </a:ln>
                  </pic:spPr>
                </pic:pic>
              </a:graphicData>
            </a:graphic>
          </wp:inline>
        </w:drawing>
      </w:r>
    </w:p>
    <w:tbl>
      <w:tblPr>
        <w:tblStyle w:val="Tablaconcuadrcula1"/>
        <w:tblW w:w="0" w:type="auto"/>
        <w:tblLook w:val="04A0" w:firstRow="1" w:lastRow="0" w:firstColumn="1" w:lastColumn="0" w:noHBand="0" w:noVBand="1"/>
      </w:tblPr>
      <w:tblGrid>
        <w:gridCol w:w="812"/>
        <w:gridCol w:w="4858"/>
      </w:tblGrid>
      <w:tr w:rsidR="005E77BF" w:rsidRPr="005E77BF" w14:paraId="234D11A1" w14:textId="77777777" w:rsidTr="00536070">
        <w:trPr>
          <w:trHeight w:val="315"/>
        </w:trPr>
        <w:tc>
          <w:tcPr>
            <w:tcW w:w="812" w:type="dxa"/>
            <w:tcBorders>
              <w:top w:val="nil"/>
              <w:left w:val="nil"/>
              <w:bottom w:val="nil"/>
              <w:right w:val="nil"/>
            </w:tcBorders>
            <w:vAlign w:val="center"/>
            <w:hideMark/>
          </w:tcPr>
          <w:p w14:paraId="70188DB8" w14:textId="77777777" w:rsidR="005E77BF" w:rsidRPr="005E77BF" w:rsidRDefault="005E77BF" w:rsidP="005E77BF">
            <w:pPr>
              <w:jc w:val="both"/>
              <w:rPr>
                <w:rFonts w:ascii="Arial" w:eastAsia="Times New Roman" w:hAnsi="Arial" w:cs="Arial"/>
                <w:color w:val="000000"/>
                <w:sz w:val="16"/>
                <w:szCs w:val="16"/>
                <w:lang w:val="es-ES_tradnl" w:eastAsia="es-ES"/>
              </w:rPr>
            </w:pPr>
            <w:r w:rsidRPr="005E77BF">
              <w:rPr>
                <w:rFonts w:ascii="Arial" w:eastAsia="Times New Roman" w:hAnsi="Arial" w:cs="Arial"/>
                <w:color w:val="000000"/>
                <w:sz w:val="16"/>
                <w:szCs w:val="16"/>
                <w:lang w:val="es-ES_tradnl" w:eastAsia="es-ES"/>
              </w:rPr>
              <w:t>Elaboró:</w:t>
            </w:r>
          </w:p>
        </w:tc>
        <w:tc>
          <w:tcPr>
            <w:tcW w:w="4858" w:type="dxa"/>
            <w:tcBorders>
              <w:top w:val="nil"/>
              <w:left w:val="nil"/>
              <w:bottom w:val="dotted" w:sz="4" w:space="0" w:color="7F7F7F"/>
              <w:right w:val="nil"/>
            </w:tcBorders>
            <w:vAlign w:val="center"/>
            <w:hideMark/>
          </w:tcPr>
          <w:p w14:paraId="7901BABC" w14:textId="77777777" w:rsidR="005E77BF" w:rsidRPr="005E77BF" w:rsidRDefault="005E77BF" w:rsidP="005E77BF">
            <w:pPr>
              <w:jc w:val="both"/>
              <w:rPr>
                <w:rFonts w:ascii="Arial" w:eastAsia="Times New Roman" w:hAnsi="Arial" w:cs="Arial"/>
                <w:color w:val="000000"/>
                <w:sz w:val="16"/>
                <w:szCs w:val="16"/>
                <w:lang w:val="es-ES_tradnl" w:eastAsia="es-ES"/>
              </w:rPr>
            </w:pPr>
            <w:r w:rsidRPr="005E77BF">
              <w:rPr>
                <w:rFonts w:ascii="Arial" w:eastAsia="Times New Roman" w:hAnsi="Arial" w:cs="Arial"/>
                <w:color w:val="000000"/>
                <w:sz w:val="16"/>
                <w:szCs w:val="16"/>
                <w:lang w:val="es-ES_tradnl" w:eastAsia="es-ES"/>
              </w:rPr>
              <w:t xml:space="preserve">Guillermo Escolar Flórez </w:t>
            </w:r>
          </w:p>
          <w:p w14:paraId="5265B7E8" w14:textId="77777777" w:rsidR="005E77BF" w:rsidRPr="005E77BF" w:rsidRDefault="005E77BF" w:rsidP="005E77BF">
            <w:pPr>
              <w:jc w:val="both"/>
              <w:rPr>
                <w:rFonts w:ascii="Arial" w:eastAsia="Times New Roman" w:hAnsi="Arial" w:cs="Arial"/>
                <w:color w:val="000000"/>
                <w:sz w:val="16"/>
                <w:szCs w:val="16"/>
                <w:lang w:val="es-ES_tradnl" w:eastAsia="es-ES"/>
              </w:rPr>
            </w:pPr>
            <w:r w:rsidRPr="005E77BF">
              <w:rPr>
                <w:rFonts w:ascii="Arial" w:eastAsia="Times New Roman" w:hAnsi="Arial" w:cs="Arial"/>
                <w:color w:val="000000"/>
                <w:sz w:val="16"/>
                <w:szCs w:val="16"/>
                <w:lang w:val="es-ES_tradnl" w:eastAsia="es-ES"/>
              </w:rPr>
              <w:t>Contratista de la Subdirección de Gestión Contractual</w:t>
            </w:r>
          </w:p>
        </w:tc>
      </w:tr>
      <w:tr w:rsidR="005E77BF" w:rsidRPr="005E77BF" w14:paraId="7BED291A" w14:textId="77777777" w:rsidTr="00536070">
        <w:trPr>
          <w:trHeight w:val="330"/>
        </w:trPr>
        <w:tc>
          <w:tcPr>
            <w:tcW w:w="812" w:type="dxa"/>
            <w:tcBorders>
              <w:top w:val="nil"/>
              <w:left w:val="nil"/>
              <w:bottom w:val="nil"/>
              <w:right w:val="nil"/>
            </w:tcBorders>
            <w:vAlign w:val="center"/>
            <w:hideMark/>
          </w:tcPr>
          <w:p w14:paraId="5EAA18DD" w14:textId="77777777" w:rsidR="005E77BF" w:rsidRPr="005E77BF" w:rsidRDefault="005E77BF" w:rsidP="005E77BF">
            <w:pPr>
              <w:jc w:val="both"/>
              <w:rPr>
                <w:rFonts w:ascii="Arial" w:eastAsia="Times New Roman" w:hAnsi="Arial" w:cs="Arial"/>
                <w:color w:val="000000"/>
                <w:sz w:val="16"/>
                <w:szCs w:val="16"/>
                <w:lang w:val="es-ES_tradnl" w:eastAsia="es-ES"/>
              </w:rPr>
            </w:pPr>
            <w:r w:rsidRPr="005E77BF">
              <w:rPr>
                <w:rFonts w:ascii="Arial" w:eastAsia="Times New Roman" w:hAnsi="Arial" w:cs="Arial"/>
                <w:color w:val="000000"/>
                <w:sz w:val="16"/>
                <w:szCs w:val="16"/>
                <w:lang w:val="es-ES_tradnl" w:eastAsia="es-ES"/>
              </w:rPr>
              <w:t>Revisó:</w:t>
            </w:r>
          </w:p>
        </w:tc>
        <w:tc>
          <w:tcPr>
            <w:tcW w:w="4858" w:type="dxa"/>
            <w:tcBorders>
              <w:top w:val="dotted" w:sz="4" w:space="0" w:color="7F7F7F"/>
              <w:left w:val="nil"/>
              <w:bottom w:val="dotted" w:sz="4" w:space="0" w:color="7F7F7F"/>
              <w:right w:val="nil"/>
            </w:tcBorders>
            <w:vAlign w:val="center"/>
            <w:hideMark/>
          </w:tcPr>
          <w:p w14:paraId="3E88CC26" w14:textId="77777777" w:rsidR="005E77BF" w:rsidRPr="005E77BF" w:rsidRDefault="005E77BF" w:rsidP="005E77BF">
            <w:pPr>
              <w:jc w:val="both"/>
              <w:rPr>
                <w:rFonts w:ascii="Arial" w:eastAsia="Times New Roman" w:hAnsi="Arial" w:cs="Arial"/>
                <w:color w:val="000000"/>
                <w:sz w:val="16"/>
                <w:szCs w:val="16"/>
                <w:lang w:val="es-ES_tradnl" w:eastAsia="es-ES"/>
              </w:rPr>
            </w:pPr>
            <w:r w:rsidRPr="005E77BF">
              <w:rPr>
                <w:rFonts w:ascii="Arial" w:eastAsia="Times New Roman" w:hAnsi="Arial" w:cs="Arial"/>
                <w:color w:val="000000"/>
                <w:sz w:val="16"/>
                <w:szCs w:val="16"/>
                <w:lang w:val="es-ES_tradnl" w:eastAsia="es-ES"/>
              </w:rPr>
              <w:t>Alejandro Sarmiento Cantillo</w:t>
            </w:r>
          </w:p>
          <w:p w14:paraId="210C9CEE" w14:textId="77777777" w:rsidR="005E77BF" w:rsidRPr="005E77BF" w:rsidRDefault="005E77BF" w:rsidP="005E77BF">
            <w:pPr>
              <w:jc w:val="both"/>
              <w:rPr>
                <w:rFonts w:ascii="Arial" w:eastAsia="Times New Roman" w:hAnsi="Arial" w:cs="Arial"/>
                <w:color w:val="000000"/>
                <w:sz w:val="16"/>
                <w:szCs w:val="16"/>
                <w:highlight w:val="yellow"/>
                <w:lang w:val="es-ES_tradnl" w:eastAsia="es-ES"/>
              </w:rPr>
            </w:pPr>
            <w:r w:rsidRPr="005E77BF">
              <w:rPr>
                <w:rFonts w:ascii="Arial" w:eastAsia="Times New Roman" w:hAnsi="Arial" w:cs="Arial"/>
                <w:color w:val="000000"/>
                <w:sz w:val="16"/>
                <w:szCs w:val="16"/>
                <w:lang w:val="es-ES_tradnl" w:eastAsia="es-ES"/>
              </w:rPr>
              <w:t xml:space="preserve">Gestor T1-15 de la de la Subdirección de Gestión Contractual  </w:t>
            </w:r>
          </w:p>
        </w:tc>
      </w:tr>
      <w:tr w:rsidR="005E77BF" w:rsidRPr="005E77BF" w14:paraId="03C3C913" w14:textId="77777777" w:rsidTr="00536070">
        <w:trPr>
          <w:trHeight w:val="300"/>
        </w:trPr>
        <w:tc>
          <w:tcPr>
            <w:tcW w:w="812" w:type="dxa"/>
            <w:tcBorders>
              <w:top w:val="nil"/>
              <w:left w:val="nil"/>
              <w:bottom w:val="nil"/>
              <w:right w:val="nil"/>
            </w:tcBorders>
            <w:vAlign w:val="center"/>
            <w:hideMark/>
          </w:tcPr>
          <w:p w14:paraId="544ED80F" w14:textId="77777777" w:rsidR="005E77BF" w:rsidRPr="005E77BF" w:rsidRDefault="005E77BF" w:rsidP="005E77BF">
            <w:pPr>
              <w:jc w:val="both"/>
              <w:rPr>
                <w:rFonts w:ascii="Arial" w:eastAsia="Times New Roman" w:hAnsi="Arial" w:cs="Arial"/>
                <w:color w:val="000000"/>
                <w:sz w:val="16"/>
                <w:szCs w:val="16"/>
                <w:lang w:val="es-ES_tradnl" w:eastAsia="es-ES"/>
              </w:rPr>
            </w:pPr>
            <w:r w:rsidRPr="005E77BF">
              <w:rPr>
                <w:rFonts w:ascii="Arial" w:eastAsia="Times New Roman" w:hAnsi="Arial" w:cs="Arial"/>
                <w:color w:val="000000"/>
                <w:sz w:val="16"/>
                <w:szCs w:val="16"/>
                <w:lang w:val="es-ES_tradnl" w:eastAsia="es-ES"/>
              </w:rPr>
              <w:t>Aprobó:</w:t>
            </w:r>
          </w:p>
        </w:tc>
        <w:tc>
          <w:tcPr>
            <w:tcW w:w="4858" w:type="dxa"/>
            <w:tcBorders>
              <w:top w:val="dotted" w:sz="4" w:space="0" w:color="7F7F7F"/>
              <w:left w:val="nil"/>
              <w:bottom w:val="dotted" w:sz="4" w:space="0" w:color="7F7F7F"/>
              <w:right w:val="nil"/>
            </w:tcBorders>
            <w:vAlign w:val="center"/>
            <w:hideMark/>
          </w:tcPr>
          <w:p w14:paraId="6FC39CF9" w14:textId="77777777" w:rsidR="005E77BF" w:rsidRPr="005E77BF" w:rsidRDefault="005E77BF" w:rsidP="005E77BF">
            <w:pPr>
              <w:jc w:val="both"/>
              <w:rPr>
                <w:rFonts w:ascii="Arial" w:eastAsia="Times New Roman" w:hAnsi="Arial" w:cs="Arial"/>
                <w:color w:val="000000"/>
                <w:sz w:val="16"/>
                <w:szCs w:val="16"/>
                <w:lang w:val="es-ES_tradnl" w:eastAsia="es-ES"/>
              </w:rPr>
            </w:pPr>
            <w:r w:rsidRPr="005E77BF">
              <w:rPr>
                <w:rFonts w:ascii="Arial" w:eastAsia="Times New Roman" w:hAnsi="Arial" w:cs="Arial"/>
                <w:color w:val="000000"/>
                <w:sz w:val="16"/>
                <w:szCs w:val="16"/>
                <w:lang w:val="es-ES_tradnl" w:eastAsia="es-ES"/>
              </w:rPr>
              <w:t>Andrés Ricardo Mancipe González</w:t>
            </w:r>
          </w:p>
          <w:p w14:paraId="3E6A0161" w14:textId="77777777" w:rsidR="005E77BF" w:rsidRPr="005E77BF" w:rsidRDefault="005E77BF" w:rsidP="005E77BF">
            <w:pPr>
              <w:jc w:val="both"/>
              <w:rPr>
                <w:rFonts w:ascii="Arial" w:eastAsia="Times New Roman" w:hAnsi="Arial" w:cs="Arial"/>
                <w:color w:val="000000"/>
                <w:sz w:val="16"/>
                <w:szCs w:val="16"/>
                <w:lang w:val="es-ES_tradnl" w:eastAsia="es-ES"/>
              </w:rPr>
            </w:pPr>
            <w:r w:rsidRPr="005E77BF">
              <w:rPr>
                <w:rFonts w:ascii="Arial" w:eastAsia="Times New Roman" w:hAnsi="Arial" w:cs="Arial"/>
                <w:color w:val="000000"/>
                <w:sz w:val="16"/>
                <w:szCs w:val="16"/>
                <w:lang w:val="es-ES_tradnl" w:eastAsia="es-ES"/>
              </w:rPr>
              <w:t>Subdirector de Gestión Contractual ANCP – CCE (E)</w:t>
            </w:r>
          </w:p>
        </w:tc>
      </w:tr>
    </w:tbl>
    <w:p w14:paraId="0905816C" w14:textId="77777777" w:rsidR="005E77BF" w:rsidRPr="005E77BF" w:rsidRDefault="005E77BF" w:rsidP="005E77BF">
      <w:pPr>
        <w:rPr>
          <w:rFonts w:ascii="Arial" w:eastAsia="Times New Roman" w:hAnsi="Arial" w:cs="Arial"/>
          <w:color w:val="000000"/>
          <w:szCs w:val="24"/>
          <w:lang w:val="es-ES_tradnl" w:eastAsia="es-ES_tradnl"/>
        </w:rPr>
      </w:pPr>
    </w:p>
    <w:p w14:paraId="3342C375" w14:textId="77777777" w:rsidR="005E77BF" w:rsidRPr="005E77BF" w:rsidRDefault="005E77BF" w:rsidP="005E77BF">
      <w:pPr>
        <w:tabs>
          <w:tab w:val="left" w:pos="3795"/>
        </w:tabs>
        <w:rPr>
          <w:rFonts w:ascii="Arial" w:eastAsia="Times New Roman" w:hAnsi="Arial" w:cs="Arial"/>
          <w:color w:val="000000"/>
          <w:szCs w:val="24"/>
          <w:lang w:val="es-ES_tradnl" w:eastAsia="es-ES_tradnl"/>
        </w:rPr>
      </w:pPr>
      <w:r w:rsidRPr="005E77BF">
        <w:rPr>
          <w:rFonts w:ascii="Arial" w:eastAsia="Times New Roman" w:hAnsi="Arial" w:cs="Arial"/>
          <w:color w:val="000000"/>
          <w:szCs w:val="24"/>
          <w:lang w:val="es-ES_tradnl" w:eastAsia="es-ES_tradnl"/>
        </w:rPr>
        <w:tab/>
      </w:r>
    </w:p>
    <w:p w14:paraId="66B10743" w14:textId="77777777" w:rsidR="001554CA" w:rsidRPr="00DE311F" w:rsidRDefault="001554CA" w:rsidP="001554CA">
      <w:pPr>
        <w:rPr>
          <w:rFonts w:ascii="Arial" w:hAnsi="Arial" w:cs="Arial"/>
        </w:rPr>
      </w:pPr>
    </w:p>
    <w:sectPr w:rsidR="001554CA" w:rsidRPr="00DE311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8445" w14:textId="77777777" w:rsidR="006D2C20" w:rsidRDefault="006D2C20" w:rsidP="001554CA">
      <w:r>
        <w:separator/>
      </w:r>
    </w:p>
  </w:endnote>
  <w:endnote w:type="continuationSeparator" w:id="0">
    <w:p w14:paraId="0CCDAE4D" w14:textId="77777777" w:rsidR="006D2C20" w:rsidRDefault="006D2C20" w:rsidP="0015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4FBF" w14:textId="77777777" w:rsidR="00E34C49" w:rsidRDefault="00E34C49" w:rsidP="00E34C49">
    <w:pPr>
      <w:pStyle w:val="Piedepgina"/>
      <w:jc w:val="right"/>
      <w:rPr>
        <w:rFonts w:ascii="Arial" w:hAnsi="Arial" w:cs="Arial"/>
        <w:bCs/>
        <w:color w:val="7F7F7F" w:themeColor="text1" w:themeTint="80"/>
        <w:sz w:val="16"/>
        <w:szCs w:val="16"/>
      </w:rPr>
    </w:pPr>
  </w:p>
  <w:p w14:paraId="6F15E978" w14:textId="0FE83395" w:rsidR="00E34C49" w:rsidRPr="008217B7" w:rsidRDefault="00E34C49" w:rsidP="00E34C4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508B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508B2">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36AA993B" w14:textId="77777777" w:rsidR="00E34C49" w:rsidRDefault="00E34C49" w:rsidP="00E34C49">
    <w:pPr>
      <w:pStyle w:val="Piedepgina"/>
      <w:jc w:val="center"/>
      <w:rPr>
        <w:lang w:val="es-ES"/>
      </w:rPr>
    </w:pPr>
    <w:r>
      <w:rPr>
        <w:noProof/>
        <w:lang w:val="en-US"/>
      </w:rPr>
      <w:drawing>
        <wp:inline distT="0" distB="0" distL="0" distR="0" wp14:anchorId="70F75161" wp14:editId="5AF9EB0D">
          <wp:extent cx="3700130" cy="519139"/>
          <wp:effectExtent l="0" t="0" r="0" b="0"/>
          <wp:docPr id="87953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6597" w14:textId="77777777" w:rsidR="006D2C20" w:rsidRDefault="006D2C20" w:rsidP="001554CA">
      <w:r>
        <w:separator/>
      </w:r>
    </w:p>
  </w:footnote>
  <w:footnote w:type="continuationSeparator" w:id="0">
    <w:p w14:paraId="55097FA0" w14:textId="77777777" w:rsidR="006D2C20" w:rsidRDefault="006D2C20" w:rsidP="001554CA">
      <w:r>
        <w:continuationSeparator/>
      </w:r>
    </w:p>
  </w:footnote>
  <w:footnote w:id="1">
    <w:p w14:paraId="67EADFAF" w14:textId="77777777" w:rsidR="0058100B" w:rsidRPr="00090746" w:rsidRDefault="0058100B" w:rsidP="00090746">
      <w:pPr>
        <w:pBdr>
          <w:top w:val="nil"/>
          <w:left w:val="nil"/>
          <w:bottom w:val="nil"/>
          <w:right w:val="nil"/>
          <w:between w:val="nil"/>
        </w:pBdr>
        <w:spacing w:after="120"/>
        <w:ind w:firstLine="709"/>
        <w:jc w:val="both"/>
        <w:rPr>
          <w:rFonts w:ascii="Arial" w:eastAsia="Arial" w:hAnsi="Arial" w:cs="Arial"/>
          <w:color w:val="000000" w:themeColor="text1"/>
          <w:sz w:val="19"/>
          <w:szCs w:val="19"/>
        </w:rPr>
      </w:pPr>
      <w:r w:rsidRPr="00090746">
        <w:rPr>
          <w:rStyle w:val="Refdenotaalpie"/>
          <w:rFonts w:ascii="Arial" w:hAnsi="Arial" w:cs="Arial"/>
          <w:color w:val="000000" w:themeColor="text1"/>
          <w:sz w:val="19"/>
          <w:szCs w:val="19"/>
        </w:rPr>
        <w:footnoteRef/>
      </w:r>
      <w:r w:rsidRPr="00090746">
        <w:rPr>
          <w:rFonts w:ascii="Arial" w:eastAsia="Arial" w:hAnsi="Arial" w:cs="Arial"/>
          <w:color w:val="000000" w:themeColor="text1"/>
          <w:sz w:val="19"/>
          <w:szCs w:val="19"/>
        </w:rPr>
        <w:t xml:space="preserve"> El artículo 127 de la Constitución Política señala</w:t>
      </w:r>
      <w:bookmarkStart w:id="1" w:name="_Hlk98878101"/>
      <w:r w:rsidRPr="00090746">
        <w:rPr>
          <w:rFonts w:ascii="Arial" w:eastAsia="Arial" w:hAnsi="Arial" w:cs="Arial"/>
          <w:color w:val="000000" w:themeColor="text1"/>
          <w:sz w:val="19"/>
          <w:szCs w:val="19"/>
        </w:rPr>
        <w:t xml:space="preserve">: «Los servidores públicos no podrán celebrar, por si o por interpuesta persona, o en representación de otro, contrato alguno con entidades públicas o con personas privadas que manejen o administren recursos públicos, salvo las excepciones legales. </w:t>
      </w:r>
    </w:p>
    <w:p w14:paraId="3894191D" w14:textId="77777777" w:rsidR="0058100B" w:rsidRPr="00090746" w:rsidRDefault="0058100B" w:rsidP="00090746">
      <w:pPr>
        <w:pBdr>
          <w:top w:val="nil"/>
          <w:left w:val="nil"/>
          <w:bottom w:val="nil"/>
          <w:right w:val="nil"/>
          <w:between w:val="nil"/>
        </w:pBdr>
        <w:ind w:firstLine="709"/>
        <w:jc w:val="both"/>
        <w:rPr>
          <w:rFonts w:ascii="Arial" w:eastAsia="Arial" w:hAnsi="Arial" w:cs="Arial"/>
          <w:color w:val="000000" w:themeColor="text1"/>
          <w:sz w:val="19"/>
          <w:szCs w:val="19"/>
        </w:rPr>
      </w:pPr>
      <w:r w:rsidRPr="00090746">
        <w:rPr>
          <w:rFonts w:ascii="Arial" w:eastAsia="Arial" w:hAnsi="Arial" w:cs="Arial"/>
          <w:color w:val="000000" w:themeColor="text1"/>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bookmarkEnd w:id="1"/>
    </w:p>
    <w:p w14:paraId="24942D87" w14:textId="77777777" w:rsidR="0058100B" w:rsidRPr="00090746" w:rsidRDefault="0058100B" w:rsidP="00090746">
      <w:pPr>
        <w:pBdr>
          <w:top w:val="nil"/>
          <w:left w:val="nil"/>
          <w:bottom w:val="nil"/>
          <w:right w:val="nil"/>
          <w:between w:val="nil"/>
        </w:pBdr>
        <w:ind w:firstLine="709"/>
        <w:jc w:val="both"/>
        <w:rPr>
          <w:rFonts w:ascii="Arial" w:eastAsia="Arial" w:hAnsi="Arial" w:cs="Arial"/>
          <w:color w:val="000000" w:themeColor="text1"/>
          <w:sz w:val="19"/>
          <w:szCs w:val="19"/>
        </w:rPr>
      </w:pPr>
    </w:p>
  </w:footnote>
  <w:footnote w:id="2">
    <w:p w14:paraId="64EFB87A" w14:textId="1CDF2218" w:rsidR="00763D9E" w:rsidRPr="00090746" w:rsidRDefault="0058100B" w:rsidP="00090746">
      <w:pPr>
        <w:pBdr>
          <w:top w:val="nil"/>
          <w:left w:val="nil"/>
          <w:bottom w:val="nil"/>
          <w:right w:val="nil"/>
          <w:between w:val="nil"/>
        </w:pBdr>
        <w:ind w:firstLine="709"/>
        <w:jc w:val="both"/>
        <w:rPr>
          <w:rFonts w:ascii="Arial" w:eastAsia="Arial" w:hAnsi="Arial" w:cs="Arial"/>
          <w:color w:val="000000" w:themeColor="text1"/>
          <w:sz w:val="19"/>
          <w:szCs w:val="19"/>
        </w:rPr>
      </w:pPr>
      <w:r w:rsidRPr="00090746">
        <w:rPr>
          <w:rStyle w:val="Refdenotaalpie"/>
          <w:rFonts w:ascii="Arial" w:hAnsi="Arial" w:cs="Arial"/>
          <w:sz w:val="19"/>
          <w:szCs w:val="19"/>
        </w:rPr>
        <w:footnoteRef/>
      </w:r>
      <w:r w:rsidRPr="00090746">
        <w:rPr>
          <w:rFonts w:ascii="Arial" w:hAnsi="Arial" w:cs="Arial"/>
          <w:sz w:val="19"/>
          <w:szCs w:val="19"/>
        </w:rPr>
        <w:t xml:space="preserve"> </w:t>
      </w:r>
      <w:r w:rsidRPr="00090746">
        <w:rPr>
          <w:rFonts w:ascii="Arial" w:eastAsia="Arial" w:hAnsi="Arial" w:cs="Arial"/>
          <w:color w:val="000000" w:themeColor="text1"/>
          <w:sz w:val="19"/>
          <w:szCs w:val="19"/>
        </w:rPr>
        <w:t>Gaceta del Congreso de la República No. 71 del 2005.</w:t>
      </w:r>
    </w:p>
  </w:footnote>
  <w:footnote w:id="3">
    <w:p w14:paraId="471D8A85" w14:textId="77777777" w:rsidR="0058100B" w:rsidRPr="00763D9E" w:rsidRDefault="0058100B" w:rsidP="00090746">
      <w:pPr>
        <w:pBdr>
          <w:top w:val="nil"/>
          <w:left w:val="nil"/>
          <w:bottom w:val="nil"/>
          <w:right w:val="nil"/>
          <w:between w:val="nil"/>
        </w:pBdr>
        <w:ind w:firstLine="709"/>
        <w:jc w:val="both"/>
        <w:rPr>
          <w:rFonts w:ascii="Arial" w:eastAsia="Arial" w:hAnsi="Arial" w:cs="Arial"/>
          <w:color w:val="000000" w:themeColor="text1"/>
          <w:sz w:val="19"/>
          <w:szCs w:val="19"/>
        </w:rPr>
      </w:pPr>
      <w:r w:rsidRPr="00763D9E">
        <w:rPr>
          <w:rStyle w:val="Refdenotaalpie"/>
          <w:rFonts w:ascii="Arial" w:hAnsi="Arial" w:cs="Arial"/>
          <w:color w:val="000000" w:themeColor="text1"/>
          <w:sz w:val="19"/>
          <w:szCs w:val="19"/>
        </w:rPr>
        <w:footnoteRef/>
      </w:r>
      <w:r w:rsidRPr="00763D9E">
        <w:rPr>
          <w:rFonts w:ascii="Arial" w:eastAsia="Arial" w:hAnsi="Arial" w:cs="Arial"/>
          <w:color w:val="000000" w:themeColor="text1"/>
          <w:sz w:val="19"/>
          <w:szCs w:val="19"/>
        </w:rPr>
        <w:t xml:space="preserve"> Corte Constitucional, Sentencia C- 1153 de 2005, M.P. Marco Gerardo Monroy Cabra.</w:t>
      </w:r>
    </w:p>
  </w:footnote>
  <w:footnote w:id="4">
    <w:p w14:paraId="5357F5C5" w14:textId="2B924041"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r w:rsidRPr="00763D9E">
        <w:rPr>
          <w:rStyle w:val="Refdenotaalpie"/>
          <w:rFonts w:ascii="Arial" w:hAnsi="Arial" w:cs="Arial"/>
          <w:color w:val="000000" w:themeColor="text1"/>
          <w:sz w:val="19"/>
          <w:szCs w:val="19"/>
        </w:rPr>
        <w:footnoteRef/>
      </w:r>
      <w:r w:rsidRPr="00763D9E">
        <w:rPr>
          <w:rFonts w:ascii="Arial" w:eastAsia="Arial" w:hAnsi="Arial" w:cs="Arial"/>
          <w:color w:val="000000" w:themeColor="text1"/>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707C5E28"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p>
  </w:footnote>
  <w:footnote w:id="5">
    <w:p w14:paraId="6E350B55"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r w:rsidRPr="00763D9E">
        <w:rPr>
          <w:rStyle w:val="Refdenotaalpie"/>
          <w:rFonts w:ascii="Arial" w:hAnsi="Arial" w:cs="Arial"/>
          <w:color w:val="000000" w:themeColor="text1"/>
          <w:sz w:val="19"/>
          <w:szCs w:val="19"/>
        </w:rPr>
        <w:footnoteRef/>
      </w:r>
      <w:r w:rsidRPr="00763D9E">
        <w:rPr>
          <w:rFonts w:ascii="Arial" w:eastAsia="Arial" w:hAnsi="Arial" w:cs="Arial"/>
          <w:color w:val="000000" w:themeColor="text1"/>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04009DD0"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p>
  </w:footnote>
  <w:footnote w:id="6">
    <w:p w14:paraId="26B2F7A0"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r w:rsidRPr="00763D9E">
        <w:rPr>
          <w:rStyle w:val="Refdenotaalpie"/>
          <w:rFonts w:ascii="Arial" w:hAnsi="Arial" w:cs="Arial"/>
          <w:color w:val="000000" w:themeColor="text1"/>
          <w:sz w:val="19"/>
          <w:szCs w:val="19"/>
        </w:rPr>
        <w:footnoteRef/>
      </w:r>
      <w:r w:rsidRPr="00763D9E">
        <w:rPr>
          <w:rFonts w:ascii="Arial" w:eastAsia="Arial" w:hAnsi="Arial" w:cs="Arial"/>
          <w:color w:val="000000" w:themeColor="text1"/>
          <w:sz w:val="19"/>
          <w:szCs w:val="19"/>
        </w:rPr>
        <w:t xml:space="preserve"> Consejo de Estado, Sala de Consulta y Servicio Civil de fecha 24 de julio de 2013, radicado 2166, Consejero Ponente: Álvaro Namén Vargas.  </w:t>
      </w:r>
    </w:p>
  </w:footnote>
  <w:footnote w:id="7">
    <w:p w14:paraId="3AD27E68" w14:textId="77777777" w:rsidR="0058100B" w:rsidRPr="00763D9E" w:rsidRDefault="0058100B">
      <w:pPr>
        <w:ind w:firstLine="709"/>
        <w:jc w:val="both"/>
        <w:rPr>
          <w:rFonts w:ascii="Arial" w:eastAsia="Arial" w:hAnsi="Arial" w:cs="Arial"/>
          <w:color w:val="000000" w:themeColor="text1"/>
          <w:sz w:val="19"/>
          <w:szCs w:val="19"/>
        </w:rPr>
      </w:pPr>
      <w:r w:rsidRPr="00763D9E">
        <w:rPr>
          <w:rStyle w:val="Refdenotaalpie"/>
          <w:rFonts w:ascii="Arial" w:hAnsi="Arial" w:cs="Arial"/>
          <w:color w:val="000000" w:themeColor="text1"/>
          <w:sz w:val="19"/>
          <w:szCs w:val="19"/>
        </w:rPr>
        <w:footnoteRef/>
      </w:r>
      <w:r w:rsidRPr="00763D9E">
        <w:rPr>
          <w:rFonts w:ascii="Arial" w:eastAsia="Arial" w:hAnsi="Arial" w:cs="Arial"/>
          <w:color w:val="000000" w:themeColor="text1"/>
          <w:sz w:val="19"/>
          <w:szCs w:val="19"/>
        </w:rPr>
        <w:t xml:space="preserve"> </w:t>
      </w:r>
      <w:bookmarkStart w:id="4" w:name="qsh70q" w:colFirst="0" w:colLast="0"/>
      <w:bookmarkEnd w:id="4"/>
      <w:r w:rsidRPr="00763D9E">
        <w:rPr>
          <w:rFonts w:ascii="Arial" w:eastAsia="Arial" w:hAnsi="Arial" w:cs="Arial"/>
          <w:color w:val="000000" w:themeColor="text1"/>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384827FC" w14:textId="77777777" w:rsidR="0058100B" w:rsidRPr="00763D9E" w:rsidRDefault="0058100B">
      <w:pPr>
        <w:ind w:firstLine="709"/>
        <w:jc w:val="both"/>
        <w:rPr>
          <w:rFonts w:ascii="Arial" w:eastAsia="Arial" w:hAnsi="Arial" w:cs="Arial"/>
          <w:color w:val="000000" w:themeColor="text1"/>
          <w:sz w:val="19"/>
          <w:szCs w:val="19"/>
        </w:rPr>
      </w:pPr>
      <w:r w:rsidRPr="00763D9E">
        <w:rPr>
          <w:rFonts w:ascii="Arial" w:eastAsia="Arial" w:hAnsi="Arial" w:cs="Arial"/>
          <w:color w:val="000000" w:themeColor="text1"/>
          <w:sz w:val="19"/>
          <w:szCs w:val="19"/>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8">
    <w:p w14:paraId="4332BDF9"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r w:rsidRPr="00763D9E">
        <w:rPr>
          <w:rStyle w:val="Refdenotaalpie"/>
          <w:rFonts w:ascii="Arial" w:hAnsi="Arial" w:cs="Arial"/>
          <w:color w:val="000000" w:themeColor="text1"/>
          <w:sz w:val="19"/>
          <w:szCs w:val="19"/>
        </w:rPr>
        <w:footnoteRef/>
      </w:r>
      <w:r w:rsidRPr="00763D9E">
        <w:rPr>
          <w:rFonts w:ascii="Arial" w:eastAsia="Arial" w:hAnsi="Arial" w:cs="Arial"/>
          <w:color w:val="000000" w:themeColor="text1"/>
          <w:sz w:val="19"/>
          <w:szCs w:val="19"/>
        </w:rPr>
        <w:t xml:space="preserve"> </w:t>
      </w:r>
      <w:bookmarkStart w:id="5" w:name="3as4poj" w:colFirst="0" w:colLast="0"/>
      <w:bookmarkEnd w:id="5"/>
      <w:r w:rsidRPr="00763D9E">
        <w:rPr>
          <w:rFonts w:ascii="Arial" w:eastAsia="Arial" w:hAnsi="Arial" w:cs="Arial"/>
          <w:color w:val="000000" w:themeColor="text1"/>
          <w:sz w:val="19"/>
          <w:szCs w:val="19"/>
        </w:rPr>
        <w:t>«Artículo 38. Prohibiciones para los servidores públicos. A los empleados del Estado les está prohibido:</w:t>
      </w:r>
    </w:p>
    <w:p w14:paraId="0CAEC19E"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r w:rsidRPr="00763D9E">
        <w:rPr>
          <w:rFonts w:ascii="Arial" w:eastAsia="Arial" w:hAnsi="Arial" w:cs="Arial"/>
          <w:color w:val="000000" w:themeColor="text1"/>
          <w:sz w:val="19"/>
          <w:szCs w:val="19"/>
        </w:rPr>
        <w:t>» […]</w:t>
      </w:r>
    </w:p>
    <w:p w14:paraId="27467ACE"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r w:rsidRPr="00763D9E">
        <w:rPr>
          <w:rFonts w:ascii="Arial" w:eastAsia="Arial" w:hAnsi="Arial" w:cs="Arial"/>
          <w:color w:val="000000" w:themeColor="text1"/>
          <w:sz w:val="19"/>
          <w:szCs w:val="19"/>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55E1F159"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p>
  </w:footnote>
  <w:footnote w:id="9">
    <w:p w14:paraId="654BD8A9" w14:textId="77777777" w:rsidR="0058100B" w:rsidRPr="00763D9E" w:rsidRDefault="0058100B">
      <w:pPr>
        <w:ind w:firstLine="709"/>
        <w:jc w:val="both"/>
        <w:rPr>
          <w:rFonts w:ascii="Arial" w:eastAsia="Arial" w:hAnsi="Arial" w:cs="Arial"/>
          <w:color w:val="000000" w:themeColor="text1"/>
          <w:sz w:val="19"/>
          <w:szCs w:val="19"/>
        </w:rPr>
      </w:pPr>
      <w:r w:rsidRPr="00763D9E">
        <w:rPr>
          <w:rStyle w:val="Refdenotaalpie"/>
          <w:rFonts w:ascii="Arial" w:hAnsi="Arial" w:cs="Arial"/>
          <w:color w:val="1A1A1A" w:themeColor="background1" w:themeShade="1A"/>
          <w:sz w:val="19"/>
          <w:szCs w:val="19"/>
        </w:rPr>
        <w:footnoteRef/>
      </w:r>
      <w:r w:rsidRPr="00763D9E">
        <w:rPr>
          <w:rFonts w:ascii="Arial" w:eastAsia="Arial" w:hAnsi="Arial" w:cs="Arial"/>
          <w:color w:val="1A1A1A" w:themeColor="background1" w:themeShade="1A"/>
          <w:sz w:val="19"/>
          <w:szCs w:val="19"/>
        </w:rPr>
        <w:t xml:space="preserve"> Consejo de Estado. Sala de Consulta y Servicio Civil. Concepto del 17 de febrero de 2015. </w:t>
      </w:r>
      <w:r w:rsidRPr="00763D9E">
        <w:rPr>
          <w:rFonts w:ascii="Arial" w:eastAsia="Arial" w:hAnsi="Arial" w:cs="Arial"/>
          <w:color w:val="000000" w:themeColor="text1"/>
          <w:sz w:val="19"/>
          <w:szCs w:val="19"/>
        </w:rPr>
        <w:t>C.P. William Zambrano Cetina. Radicación No. 11001-03-06-000-2015-00164-00(2269).</w:t>
      </w:r>
    </w:p>
    <w:p w14:paraId="29C3B472" w14:textId="77777777" w:rsidR="0058100B" w:rsidRPr="00763D9E" w:rsidRDefault="0058100B">
      <w:pPr>
        <w:pBdr>
          <w:top w:val="nil"/>
          <w:left w:val="nil"/>
          <w:bottom w:val="nil"/>
          <w:right w:val="nil"/>
          <w:between w:val="nil"/>
        </w:pBdr>
        <w:ind w:firstLine="709"/>
        <w:jc w:val="both"/>
        <w:rPr>
          <w:rFonts w:ascii="Arial" w:eastAsia="Arial" w:hAnsi="Arial" w:cs="Arial"/>
          <w:color w:val="000000" w:themeColor="text1"/>
          <w:sz w:val="19"/>
          <w:szCs w:val="19"/>
        </w:rPr>
      </w:pPr>
    </w:p>
  </w:footnote>
  <w:footnote w:id="10">
    <w:p w14:paraId="07978553" w14:textId="77777777" w:rsidR="00C1278E" w:rsidRPr="00763D9E" w:rsidRDefault="00C1278E">
      <w:pPr>
        <w:ind w:firstLine="709"/>
        <w:jc w:val="both"/>
        <w:rPr>
          <w:rFonts w:ascii="Arial" w:hAnsi="Arial" w:cs="Arial"/>
          <w:sz w:val="19"/>
          <w:szCs w:val="19"/>
        </w:rPr>
      </w:pPr>
      <w:r w:rsidRPr="00763D9E">
        <w:rPr>
          <w:rStyle w:val="Refdenotaalpie"/>
          <w:rFonts w:ascii="Arial" w:hAnsi="Arial" w:cs="Arial"/>
          <w:sz w:val="19"/>
          <w:szCs w:val="19"/>
        </w:rPr>
        <w:footnoteRef/>
      </w:r>
      <w:r w:rsidRPr="00763D9E">
        <w:rPr>
          <w:rFonts w:ascii="Arial" w:hAnsi="Arial" w:cs="Arial"/>
          <w:sz w:val="19"/>
          <w:szCs w:val="19"/>
        </w:rPr>
        <w:t xml:space="preserve"> </w:t>
      </w:r>
      <w:r w:rsidRPr="00763D9E">
        <w:rPr>
          <w:rFonts w:ascii="Arial" w:eastAsia="Times New Roman" w:hAnsi="Arial" w:cs="Arial"/>
          <w:bCs/>
          <w:sz w:val="19"/>
          <w:szCs w:val="19"/>
          <w:lang w:eastAsia="x-none"/>
        </w:rPr>
        <w:t xml:space="preserve">El ámbito material de la prohibición contenida en el artículo 33 de la Ley 996 de 2005, la cual, aplica únicamente para las elecciones presidenciales, está delimitado por una de las modalidades de contratación, en tal sentido, este artículo contiene la expresión </w:t>
      </w:r>
      <w:r w:rsidRPr="00763D9E">
        <w:rPr>
          <w:rFonts w:ascii="Arial" w:eastAsia="Calibri" w:hAnsi="Arial" w:cs="Arial"/>
          <w:bCs/>
          <w:sz w:val="19"/>
          <w:szCs w:val="19"/>
        </w:rPr>
        <w:t>«</w:t>
      </w:r>
      <w:r w:rsidRPr="00763D9E">
        <w:rPr>
          <w:rFonts w:ascii="Arial" w:eastAsia="Times New Roman" w:hAnsi="Arial" w:cs="Arial"/>
          <w:bCs/>
          <w:sz w:val="19"/>
          <w:szCs w:val="19"/>
          <w:lang w:eastAsia="x-none"/>
        </w:rPr>
        <w:t>queda prohibida la contratación directa</w:t>
      </w:r>
      <w:r w:rsidRPr="00763D9E">
        <w:rPr>
          <w:rFonts w:ascii="Arial" w:hAnsi="Arial" w:cs="Arial"/>
          <w:sz w:val="19"/>
          <w:szCs w:val="19"/>
        </w:rPr>
        <w:t>»</w:t>
      </w:r>
      <w:r w:rsidRPr="00763D9E">
        <w:rPr>
          <w:rFonts w:ascii="Arial" w:eastAsia="Times New Roman" w:hAnsi="Arial" w:cs="Arial"/>
          <w:bCs/>
          <w:sz w:val="19"/>
          <w:szCs w:val="19"/>
          <w:lang w:eastAsia="x-none"/>
        </w:rPr>
        <w:t xml:space="preserve">. </w:t>
      </w:r>
      <w:r w:rsidRPr="00763D9E">
        <w:rPr>
          <w:rFonts w:ascii="Arial" w:eastAsia="Times New Roman" w:hAnsi="Arial" w:cs="Arial"/>
          <w:sz w:val="19"/>
          <w:szCs w:val="19"/>
          <w:lang w:eastAsia="es-CO"/>
        </w:rPr>
        <w:t xml:space="preserve"> A propósito de </w:t>
      </w:r>
      <w:r w:rsidRPr="00763D9E">
        <w:rPr>
          <w:rFonts w:ascii="Arial" w:eastAsia="Times New Roman" w:hAnsi="Arial" w:cs="Arial"/>
          <w:sz w:val="19"/>
          <w:szCs w:val="19"/>
          <w:lang w:val="es-CO" w:eastAsia="es-CO"/>
        </w:rPr>
        <w:t>esta restricción de la Ley de Garantías Electorales, la Sala de Consulta y Servicio Civil del Consejo de Estado ha considerado que:«</w:t>
      </w:r>
      <w:r w:rsidRPr="00763D9E">
        <w:rPr>
          <w:rFonts w:ascii="Arial" w:hAnsi="Arial" w:cs="Arial"/>
          <w:sz w:val="19"/>
          <w:szCs w:val="19"/>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 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763D9E">
        <w:rPr>
          <w:rFonts w:ascii="Arial" w:eastAsia="Times New Roman" w:hAnsi="Arial" w:cs="Arial"/>
          <w:sz w:val="19"/>
          <w:szCs w:val="19"/>
          <w:vertAlign w:val="superscript"/>
        </w:rPr>
        <w:footnoteRef/>
      </w:r>
      <w:r w:rsidRPr="00763D9E">
        <w:rPr>
          <w:rFonts w:ascii="Arial" w:eastAsia="Times New Roman" w:hAnsi="Arial" w:cs="Arial"/>
          <w:sz w:val="19"/>
          <w:szCs w:val="19"/>
          <w:vertAlign w:val="superscript"/>
        </w:rPr>
        <w:t>.</w:t>
      </w:r>
      <w:r w:rsidRPr="00763D9E">
        <w:rPr>
          <w:rFonts w:ascii="Arial" w:hAnsi="Arial" w:cs="Arial"/>
          <w:sz w:val="19"/>
          <w:szCs w:val="19"/>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 Consejo de Estado. Sala de Consulta y Servicio Civil. Concepto del 2 de septiembre de 2013. Radicación número: 11001-03-06-000-2013-00412-00 (2168). Consejero Ponente: Álvaro Namén Vargas.</w:t>
      </w:r>
    </w:p>
    <w:p w14:paraId="5AE27B25" w14:textId="77777777" w:rsidR="00C1278E" w:rsidRPr="00763D9E" w:rsidRDefault="00C1278E">
      <w:pPr>
        <w:pStyle w:val="Textonotapie"/>
        <w:ind w:firstLine="709"/>
        <w:jc w:val="both"/>
        <w:rPr>
          <w:rFonts w:ascii="Arial" w:hAnsi="Arial" w:cs="Arial"/>
          <w:sz w:val="19"/>
          <w:szCs w:val="19"/>
        </w:rPr>
      </w:pPr>
    </w:p>
  </w:footnote>
  <w:footnote w:id="11">
    <w:p w14:paraId="41C3995E" w14:textId="2454A27A" w:rsidR="00A7560A" w:rsidRDefault="00A7560A" w:rsidP="00763D9E">
      <w:pPr>
        <w:pStyle w:val="Textonotapie"/>
        <w:ind w:firstLine="709"/>
        <w:rPr>
          <w:rFonts w:ascii="Arial" w:hAnsi="Arial" w:cs="Arial"/>
          <w:sz w:val="19"/>
          <w:szCs w:val="19"/>
          <w:lang w:val="es-ES"/>
        </w:rPr>
      </w:pPr>
      <w:r w:rsidRPr="00763D9E">
        <w:rPr>
          <w:rStyle w:val="Refdenotaalpie"/>
          <w:rFonts w:ascii="Arial" w:hAnsi="Arial" w:cs="Arial"/>
          <w:sz w:val="19"/>
          <w:szCs w:val="19"/>
        </w:rPr>
        <w:footnoteRef/>
      </w:r>
      <w:r w:rsidRPr="00763D9E">
        <w:rPr>
          <w:rFonts w:ascii="Arial" w:hAnsi="Arial" w:cs="Arial"/>
          <w:sz w:val="19"/>
          <w:szCs w:val="19"/>
        </w:rPr>
        <w:t xml:space="preserve"> Registraduría Nacional del Estado Civil, </w:t>
      </w:r>
      <w:r w:rsidRPr="00763D9E">
        <w:rPr>
          <w:rFonts w:ascii="Arial" w:hAnsi="Arial" w:cs="Arial"/>
          <w:sz w:val="19"/>
          <w:szCs w:val="19"/>
          <w:lang w:val="es-ES"/>
        </w:rPr>
        <w:t xml:space="preserve">Resolución 2098 del 12 de marzo de 2021, mediante la cual «se fija el calendario electoral del Congreso de la República que se realizarán el 13 de marzo». </w:t>
      </w:r>
    </w:p>
    <w:p w14:paraId="5DE9DC20" w14:textId="77777777" w:rsidR="005E77BF" w:rsidRPr="00763D9E" w:rsidRDefault="005E77BF">
      <w:pPr>
        <w:pStyle w:val="Textonotapie"/>
        <w:ind w:firstLine="709"/>
        <w:rPr>
          <w:rFonts w:ascii="Arial" w:hAnsi="Arial" w:cs="Arial"/>
          <w:sz w:val="19"/>
          <w:szCs w:val="19"/>
          <w:lang w:val="es-ES"/>
        </w:rPr>
      </w:pPr>
    </w:p>
  </w:footnote>
  <w:footnote w:id="12">
    <w:p w14:paraId="07DF7FAC" w14:textId="77777777" w:rsidR="00A7560A" w:rsidRPr="00763D9E" w:rsidRDefault="00A7560A" w:rsidP="00536070">
      <w:pPr>
        <w:pStyle w:val="Textonotapie"/>
        <w:ind w:firstLine="709"/>
        <w:jc w:val="both"/>
        <w:rPr>
          <w:rFonts w:ascii="Arial" w:hAnsi="Arial" w:cs="Arial"/>
          <w:sz w:val="19"/>
          <w:szCs w:val="19"/>
          <w:lang w:val="es-ES"/>
        </w:rPr>
      </w:pPr>
      <w:r w:rsidRPr="00763D9E">
        <w:rPr>
          <w:rStyle w:val="Refdenotaalpie"/>
          <w:rFonts w:ascii="Arial" w:hAnsi="Arial" w:cs="Arial"/>
          <w:sz w:val="19"/>
          <w:szCs w:val="19"/>
        </w:rPr>
        <w:footnoteRef/>
      </w:r>
      <w:r w:rsidRPr="00763D9E">
        <w:rPr>
          <w:rFonts w:ascii="Arial" w:hAnsi="Arial" w:cs="Arial"/>
          <w:sz w:val="19"/>
          <w:szCs w:val="19"/>
        </w:rPr>
        <w:t xml:space="preserve"> Registraduría Nacional del Estado Civil, Resolución 4371 del 18 de mayo de 2021, «por la cual se fija el calendario electoral para las elecciones de Presidente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D139" w14:textId="77777777" w:rsidR="00E34C49" w:rsidRPr="00E139BC" w:rsidRDefault="00E34C49" w:rsidP="00E34C49">
    <w:pPr>
      <w:pStyle w:val="Encabezado"/>
      <w:rPr>
        <w:sz w:val="20"/>
        <w:szCs w:val="20"/>
      </w:rPr>
    </w:pPr>
  </w:p>
  <w:p w14:paraId="2CFE2484" w14:textId="77777777" w:rsidR="00E34C49" w:rsidRDefault="00E34C49" w:rsidP="00E34C49">
    <w:pPr>
      <w:pStyle w:val="Encabezado"/>
    </w:pPr>
    <w:r>
      <w:rPr>
        <w:noProof/>
        <w:lang w:val="en-US"/>
      </w:rPr>
      <w:drawing>
        <wp:anchor distT="0" distB="0" distL="114300" distR="114300" simplePos="0" relativeHeight="251659264" behindDoc="1" locked="0" layoutInCell="1" allowOverlap="1" wp14:anchorId="2CF561D5" wp14:editId="5CB6EEE3">
          <wp:simplePos x="0" y="0"/>
          <wp:positionH relativeFrom="margin">
            <wp:align>right</wp:align>
          </wp:positionH>
          <wp:positionV relativeFrom="paragraph">
            <wp:posOffset>-155575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CBA742" w14:textId="77777777" w:rsidR="00E34C49" w:rsidRDefault="00E34C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884D610"/>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4D06"/>
    <w:multiLevelType w:val="multilevel"/>
    <w:tmpl w:val="477832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7E664B6"/>
    <w:multiLevelType w:val="hybridMultilevel"/>
    <w:tmpl w:val="B638328C"/>
    <w:lvl w:ilvl="0" w:tplc="A97A614A">
      <w:start w:val="1"/>
      <w:numFmt w:val="decimal"/>
      <w:lvlText w:val="%1."/>
      <w:lvlJc w:val="left"/>
      <w:pPr>
        <w:ind w:left="101" w:hanging="240"/>
      </w:pPr>
      <w:rPr>
        <w:rFonts w:ascii="Arial" w:eastAsia="Arial" w:hAnsi="Arial" w:cs="Arial" w:hint="default"/>
        <w:b/>
        <w:bCs/>
        <w:spacing w:val="-1"/>
        <w:w w:val="100"/>
        <w:sz w:val="22"/>
        <w:szCs w:val="22"/>
        <w:lang w:val="es-ES" w:eastAsia="en-US" w:bidi="ar-SA"/>
      </w:rPr>
    </w:lvl>
    <w:lvl w:ilvl="1" w:tplc="D8E0AEE8">
      <w:start w:val="1"/>
      <w:numFmt w:val="decimal"/>
      <w:lvlText w:val="%2."/>
      <w:lvlJc w:val="left"/>
      <w:pPr>
        <w:ind w:left="804" w:hanging="265"/>
      </w:pPr>
      <w:rPr>
        <w:rFonts w:ascii="Arial" w:eastAsia="Arial" w:hAnsi="Arial" w:cs="Arial" w:hint="default"/>
        <w:spacing w:val="-28"/>
        <w:w w:val="100"/>
        <w:sz w:val="21"/>
        <w:szCs w:val="21"/>
        <w:lang w:val="es-ES" w:eastAsia="en-US" w:bidi="ar-SA"/>
      </w:rPr>
    </w:lvl>
    <w:lvl w:ilvl="2" w:tplc="90B0554A">
      <w:numFmt w:val="bullet"/>
      <w:lvlText w:val="•"/>
      <w:lvlJc w:val="left"/>
      <w:pPr>
        <w:ind w:left="1702" w:hanging="265"/>
      </w:pPr>
      <w:rPr>
        <w:rFonts w:hint="default"/>
        <w:lang w:val="es-ES" w:eastAsia="en-US" w:bidi="ar-SA"/>
      </w:rPr>
    </w:lvl>
    <w:lvl w:ilvl="3" w:tplc="68BEB01A">
      <w:numFmt w:val="bullet"/>
      <w:lvlText w:val="•"/>
      <w:lvlJc w:val="left"/>
      <w:pPr>
        <w:ind w:left="2604" w:hanging="265"/>
      </w:pPr>
      <w:rPr>
        <w:rFonts w:hint="default"/>
        <w:lang w:val="es-ES" w:eastAsia="en-US" w:bidi="ar-SA"/>
      </w:rPr>
    </w:lvl>
    <w:lvl w:ilvl="4" w:tplc="4E50C6B0">
      <w:numFmt w:val="bullet"/>
      <w:lvlText w:val="•"/>
      <w:lvlJc w:val="left"/>
      <w:pPr>
        <w:ind w:left="3506" w:hanging="265"/>
      </w:pPr>
      <w:rPr>
        <w:rFonts w:hint="default"/>
        <w:lang w:val="es-ES" w:eastAsia="en-US" w:bidi="ar-SA"/>
      </w:rPr>
    </w:lvl>
    <w:lvl w:ilvl="5" w:tplc="ED5A2474">
      <w:numFmt w:val="bullet"/>
      <w:lvlText w:val="•"/>
      <w:lvlJc w:val="left"/>
      <w:pPr>
        <w:ind w:left="4408" w:hanging="265"/>
      </w:pPr>
      <w:rPr>
        <w:rFonts w:hint="default"/>
        <w:lang w:val="es-ES" w:eastAsia="en-US" w:bidi="ar-SA"/>
      </w:rPr>
    </w:lvl>
    <w:lvl w:ilvl="6" w:tplc="CEE23FA4">
      <w:numFmt w:val="bullet"/>
      <w:lvlText w:val="•"/>
      <w:lvlJc w:val="left"/>
      <w:pPr>
        <w:ind w:left="5311" w:hanging="265"/>
      </w:pPr>
      <w:rPr>
        <w:rFonts w:hint="default"/>
        <w:lang w:val="es-ES" w:eastAsia="en-US" w:bidi="ar-SA"/>
      </w:rPr>
    </w:lvl>
    <w:lvl w:ilvl="7" w:tplc="DCD21A82">
      <w:numFmt w:val="bullet"/>
      <w:lvlText w:val="•"/>
      <w:lvlJc w:val="left"/>
      <w:pPr>
        <w:ind w:left="6213" w:hanging="265"/>
      </w:pPr>
      <w:rPr>
        <w:rFonts w:hint="default"/>
        <w:lang w:val="es-ES" w:eastAsia="en-US" w:bidi="ar-SA"/>
      </w:rPr>
    </w:lvl>
    <w:lvl w:ilvl="8" w:tplc="6830701A">
      <w:numFmt w:val="bullet"/>
      <w:lvlText w:val="•"/>
      <w:lvlJc w:val="left"/>
      <w:pPr>
        <w:ind w:left="7115" w:hanging="265"/>
      </w:pPr>
      <w:rPr>
        <w:rFonts w:hint="default"/>
        <w:lang w:val="es-ES" w:eastAsia="en-US" w:bidi="ar-SA"/>
      </w:rPr>
    </w:lvl>
  </w:abstractNum>
  <w:abstractNum w:abstractNumId="4" w15:restartNumberingAfterBreak="0">
    <w:nsid w:val="4738750B"/>
    <w:multiLevelType w:val="multilevel"/>
    <w:tmpl w:val="CF94F1DC"/>
    <w:lvl w:ilvl="0">
      <w:start w:val="1"/>
      <w:numFmt w:val="decimal"/>
      <w:lvlText w:val="%1."/>
      <w:lvlJc w:val="left"/>
      <w:pPr>
        <w:ind w:left="585" w:hanging="285"/>
      </w:pPr>
      <w:rPr>
        <w:rFonts w:ascii="Arial" w:eastAsia="Arial" w:hAnsi="Arial" w:cs="Arial" w:hint="default"/>
        <w:b/>
        <w:bCs/>
        <w:color w:val="4E4D4D"/>
        <w:spacing w:val="-21"/>
        <w:w w:val="100"/>
        <w:sz w:val="22"/>
        <w:szCs w:val="22"/>
        <w:lang w:val="es-ES" w:eastAsia="es-ES" w:bidi="es-ES"/>
      </w:rPr>
    </w:lvl>
    <w:lvl w:ilvl="1">
      <w:start w:val="1"/>
      <w:numFmt w:val="decimal"/>
      <w:lvlText w:val="%1.%2."/>
      <w:lvlJc w:val="left"/>
      <w:pPr>
        <w:ind w:left="300" w:hanging="583"/>
      </w:pPr>
      <w:rPr>
        <w:rFonts w:ascii="Arial" w:eastAsia="Arial" w:hAnsi="Arial" w:cs="Arial" w:hint="default"/>
        <w:b/>
        <w:bCs/>
        <w:spacing w:val="-7"/>
        <w:w w:val="100"/>
        <w:sz w:val="22"/>
        <w:szCs w:val="22"/>
        <w:lang w:val="es-ES" w:eastAsia="es-ES" w:bidi="es-ES"/>
      </w:rPr>
    </w:lvl>
    <w:lvl w:ilvl="2">
      <w:start w:val="1"/>
      <w:numFmt w:val="lowerRoman"/>
      <w:lvlText w:val="(%3)"/>
      <w:lvlJc w:val="left"/>
      <w:pPr>
        <w:ind w:left="1010" w:hanging="270"/>
      </w:pPr>
      <w:rPr>
        <w:rFonts w:ascii="Arial" w:eastAsia="Arial" w:hAnsi="Arial" w:cs="Arial" w:hint="default"/>
        <w:w w:val="100"/>
        <w:sz w:val="21"/>
        <w:szCs w:val="21"/>
        <w:lang w:val="es-ES" w:eastAsia="es-ES" w:bidi="es-ES"/>
      </w:rPr>
    </w:lvl>
    <w:lvl w:ilvl="3">
      <w:numFmt w:val="bullet"/>
      <w:lvlText w:val="•"/>
      <w:lvlJc w:val="left"/>
      <w:pPr>
        <w:ind w:left="2085" w:hanging="270"/>
      </w:pPr>
      <w:rPr>
        <w:rFonts w:hint="default"/>
        <w:lang w:val="es-ES" w:eastAsia="es-ES" w:bidi="es-ES"/>
      </w:rPr>
    </w:lvl>
    <w:lvl w:ilvl="4">
      <w:numFmt w:val="bullet"/>
      <w:lvlText w:val="•"/>
      <w:lvlJc w:val="left"/>
      <w:pPr>
        <w:ind w:left="3150" w:hanging="270"/>
      </w:pPr>
      <w:rPr>
        <w:rFonts w:hint="default"/>
        <w:lang w:val="es-ES" w:eastAsia="es-ES" w:bidi="es-ES"/>
      </w:rPr>
    </w:lvl>
    <w:lvl w:ilvl="5">
      <w:numFmt w:val="bullet"/>
      <w:lvlText w:val="•"/>
      <w:lvlJc w:val="left"/>
      <w:pPr>
        <w:ind w:left="4215" w:hanging="270"/>
      </w:pPr>
      <w:rPr>
        <w:rFonts w:hint="default"/>
        <w:lang w:val="es-ES" w:eastAsia="es-ES" w:bidi="es-ES"/>
      </w:rPr>
    </w:lvl>
    <w:lvl w:ilvl="6">
      <w:numFmt w:val="bullet"/>
      <w:lvlText w:val="•"/>
      <w:lvlJc w:val="left"/>
      <w:pPr>
        <w:ind w:left="5280" w:hanging="270"/>
      </w:pPr>
      <w:rPr>
        <w:rFonts w:hint="default"/>
        <w:lang w:val="es-ES" w:eastAsia="es-ES" w:bidi="es-ES"/>
      </w:rPr>
    </w:lvl>
    <w:lvl w:ilvl="7">
      <w:numFmt w:val="bullet"/>
      <w:lvlText w:val="•"/>
      <w:lvlJc w:val="left"/>
      <w:pPr>
        <w:ind w:left="6345" w:hanging="270"/>
      </w:pPr>
      <w:rPr>
        <w:rFonts w:hint="default"/>
        <w:lang w:val="es-ES" w:eastAsia="es-ES" w:bidi="es-ES"/>
      </w:rPr>
    </w:lvl>
    <w:lvl w:ilvl="8">
      <w:numFmt w:val="bullet"/>
      <w:lvlText w:val="•"/>
      <w:lvlJc w:val="left"/>
      <w:pPr>
        <w:ind w:left="7410" w:hanging="270"/>
      </w:pPr>
      <w:rPr>
        <w:rFonts w:hint="default"/>
        <w:lang w:val="es-ES" w:eastAsia="es-ES" w:bidi="es-ES"/>
      </w:rPr>
    </w:lvl>
  </w:abstractNum>
  <w:abstractNum w:abstractNumId="5" w15:restartNumberingAfterBreak="0">
    <w:nsid w:val="61820CC3"/>
    <w:multiLevelType w:val="hybridMultilevel"/>
    <w:tmpl w:val="721AA858"/>
    <w:lvl w:ilvl="0" w:tplc="BA7A61CE">
      <w:start w:val="3"/>
      <w:numFmt w:val="decimal"/>
      <w:lvlText w:val="%1."/>
      <w:lvlJc w:val="left"/>
      <w:pPr>
        <w:ind w:left="101" w:hanging="267"/>
      </w:pPr>
      <w:rPr>
        <w:rFonts w:ascii="Arial" w:eastAsia="Arial" w:hAnsi="Arial" w:cs="Arial" w:hint="default"/>
        <w:b/>
        <w:bCs/>
        <w:spacing w:val="-1"/>
        <w:w w:val="100"/>
        <w:sz w:val="22"/>
        <w:szCs w:val="22"/>
        <w:lang w:val="es-ES" w:eastAsia="en-US" w:bidi="ar-SA"/>
      </w:rPr>
    </w:lvl>
    <w:lvl w:ilvl="1" w:tplc="98BCD9D6">
      <w:numFmt w:val="bullet"/>
      <w:lvlText w:val="•"/>
      <w:lvlJc w:val="left"/>
      <w:pPr>
        <w:ind w:left="982" w:hanging="267"/>
      </w:pPr>
      <w:rPr>
        <w:rFonts w:hint="default"/>
        <w:lang w:val="es-ES" w:eastAsia="en-US" w:bidi="ar-SA"/>
      </w:rPr>
    </w:lvl>
    <w:lvl w:ilvl="2" w:tplc="83BA1D2C">
      <w:numFmt w:val="bullet"/>
      <w:lvlText w:val="•"/>
      <w:lvlJc w:val="left"/>
      <w:pPr>
        <w:ind w:left="1864" w:hanging="267"/>
      </w:pPr>
      <w:rPr>
        <w:rFonts w:hint="default"/>
        <w:lang w:val="es-ES" w:eastAsia="en-US" w:bidi="ar-SA"/>
      </w:rPr>
    </w:lvl>
    <w:lvl w:ilvl="3" w:tplc="70001D52">
      <w:numFmt w:val="bullet"/>
      <w:lvlText w:val="•"/>
      <w:lvlJc w:val="left"/>
      <w:pPr>
        <w:ind w:left="2746" w:hanging="267"/>
      </w:pPr>
      <w:rPr>
        <w:rFonts w:hint="default"/>
        <w:lang w:val="es-ES" w:eastAsia="en-US" w:bidi="ar-SA"/>
      </w:rPr>
    </w:lvl>
    <w:lvl w:ilvl="4" w:tplc="4600D636">
      <w:numFmt w:val="bullet"/>
      <w:lvlText w:val="•"/>
      <w:lvlJc w:val="left"/>
      <w:pPr>
        <w:ind w:left="3628" w:hanging="267"/>
      </w:pPr>
      <w:rPr>
        <w:rFonts w:hint="default"/>
        <w:lang w:val="es-ES" w:eastAsia="en-US" w:bidi="ar-SA"/>
      </w:rPr>
    </w:lvl>
    <w:lvl w:ilvl="5" w:tplc="620A809A">
      <w:numFmt w:val="bullet"/>
      <w:lvlText w:val="•"/>
      <w:lvlJc w:val="left"/>
      <w:pPr>
        <w:ind w:left="4510" w:hanging="267"/>
      </w:pPr>
      <w:rPr>
        <w:rFonts w:hint="default"/>
        <w:lang w:val="es-ES" w:eastAsia="en-US" w:bidi="ar-SA"/>
      </w:rPr>
    </w:lvl>
    <w:lvl w:ilvl="6" w:tplc="1FBA8586">
      <w:numFmt w:val="bullet"/>
      <w:lvlText w:val="•"/>
      <w:lvlJc w:val="left"/>
      <w:pPr>
        <w:ind w:left="5392" w:hanging="267"/>
      </w:pPr>
      <w:rPr>
        <w:rFonts w:hint="default"/>
        <w:lang w:val="es-ES" w:eastAsia="en-US" w:bidi="ar-SA"/>
      </w:rPr>
    </w:lvl>
    <w:lvl w:ilvl="7" w:tplc="FAC4CA08">
      <w:numFmt w:val="bullet"/>
      <w:lvlText w:val="•"/>
      <w:lvlJc w:val="left"/>
      <w:pPr>
        <w:ind w:left="6274" w:hanging="267"/>
      </w:pPr>
      <w:rPr>
        <w:rFonts w:hint="default"/>
        <w:lang w:val="es-ES" w:eastAsia="en-US" w:bidi="ar-SA"/>
      </w:rPr>
    </w:lvl>
    <w:lvl w:ilvl="8" w:tplc="209C72F8">
      <w:numFmt w:val="bullet"/>
      <w:lvlText w:val="•"/>
      <w:lvlJc w:val="left"/>
      <w:pPr>
        <w:ind w:left="7156" w:hanging="267"/>
      </w:pPr>
      <w:rPr>
        <w:rFonts w:hint="default"/>
        <w:lang w:val="es-ES" w:eastAsia="en-US" w:bidi="ar-SA"/>
      </w:rPr>
    </w:lvl>
  </w:abstractNum>
  <w:abstractNum w:abstractNumId="6" w15:restartNumberingAfterBreak="0">
    <w:nsid w:val="7959212D"/>
    <w:multiLevelType w:val="hybridMultilevel"/>
    <w:tmpl w:val="05A2508E"/>
    <w:lvl w:ilvl="0" w:tplc="C81A4374">
      <w:start w:val="2"/>
      <w:numFmt w:val="decimal"/>
      <w:lvlText w:val="%1."/>
      <w:lvlJc w:val="left"/>
      <w:pPr>
        <w:ind w:left="101" w:hanging="239"/>
      </w:pPr>
      <w:rPr>
        <w:rFonts w:ascii="Arial" w:eastAsia="Arial" w:hAnsi="Arial" w:cs="Arial" w:hint="default"/>
        <w:spacing w:val="-26"/>
        <w:w w:val="100"/>
        <w:sz w:val="19"/>
        <w:szCs w:val="19"/>
        <w:lang w:val="es-ES" w:eastAsia="en-US" w:bidi="ar-SA"/>
      </w:rPr>
    </w:lvl>
    <w:lvl w:ilvl="1" w:tplc="2D42AA7E">
      <w:numFmt w:val="bullet"/>
      <w:lvlText w:val="•"/>
      <w:lvlJc w:val="left"/>
      <w:pPr>
        <w:ind w:left="982" w:hanging="239"/>
      </w:pPr>
      <w:rPr>
        <w:rFonts w:hint="default"/>
        <w:lang w:val="es-ES" w:eastAsia="en-US" w:bidi="ar-SA"/>
      </w:rPr>
    </w:lvl>
    <w:lvl w:ilvl="2" w:tplc="500C49AC">
      <w:numFmt w:val="bullet"/>
      <w:lvlText w:val="•"/>
      <w:lvlJc w:val="left"/>
      <w:pPr>
        <w:ind w:left="1864" w:hanging="239"/>
      </w:pPr>
      <w:rPr>
        <w:rFonts w:hint="default"/>
        <w:lang w:val="es-ES" w:eastAsia="en-US" w:bidi="ar-SA"/>
      </w:rPr>
    </w:lvl>
    <w:lvl w:ilvl="3" w:tplc="C212D9CC">
      <w:numFmt w:val="bullet"/>
      <w:lvlText w:val="•"/>
      <w:lvlJc w:val="left"/>
      <w:pPr>
        <w:ind w:left="2746" w:hanging="239"/>
      </w:pPr>
      <w:rPr>
        <w:rFonts w:hint="default"/>
        <w:lang w:val="es-ES" w:eastAsia="en-US" w:bidi="ar-SA"/>
      </w:rPr>
    </w:lvl>
    <w:lvl w:ilvl="4" w:tplc="F8A69BBE">
      <w:numFmt w:val="bullet"/>
      <w:lvlText w:val="•"/>
      <w:lvlJc w:val="left"/>
      <w:pPr>
        <w:ind w:left="3628" w:hanging="239"/>
      </w:pPr>
      <w:rPr>
        <w:rFonts w:hint="default"/>
        <w:lang w:val="es-ES" w:eastAsia="en-US" w:bidi="ar-SA"/>
      </w:rPr>
    </w:lvl>
    <w:lvl w:ilvl="5" w:tplc="6F9663F8">
      <w:numFmt w:val="bullet"/>
      <w:lvlText w:val="•"/>
      <w:lvlJc w:val="left"/>
      <w:pPr>
        <w:ind w:left="4510" w:hanging="239"/>
      </w:pPr>
      <w:rPr>
        <w:rFonts w:hint="default"/>
        <w:lang w:val="es-ES" w:eastAsia="en-US" w:bidi="ar-SA"/>
      </w:rPr>
    </w:lvl>
    <w:lvl w:ilvl="6" w:tplc="95B499A2">
      <w:numFmt w:val="bullet"/>
      <w:lvlText w:val="•"/>
      <w:lvlJc w:val="left"/>
      <w:pPr>
        <w:ind w:left="5392" w:hanging="239"/>
      </w:pPr>
      <w:rPr>
        <w:rFonts w:hint="default"/>
        <w:lang w:val="es-ES" w:eastAsia="en-US" w:bidi="ar-SA"/>
      </w:rPr>
    </w:lvl>
    <w:lvl w:ilvl="7" w:tplc="60E462FC">
      <w:numFmt w:val="bullet"/>
      <w:lvlText w:val="•"/>
      <w:lvlJc w:val="left"/>
      <w:pPr>
        <w:ind w:left="6274" w:hanging="239"/>
      </w:pPr>
      <w:rPr>
        <w:rFonts w:hint="default"/>
        <w:lang w:val="es-ES" w:eastAsia="en-US" w:bidi="ar-SA"/>
      </w:rPr>
    </w:lvl>
    <w:lvl w:ilvl="8" w:tplc="D7EC28B0">
      <w:numFmt w:val="bullet"/>
      <w:lvlText w:val="•"/>
      <w:lvlJc w:val="left"/>
      <w:pPr>
        <w:ind w:left="7156" w:hanging="239"/>
      </w:pPr>
      <w:rPr>
        <w:rFonts w:hint="default"/>
        <w:lang w:val="es-ES" w:eastAsia="en-US" w:bidi="ar-SA"/>
      </w:rPr>
    </w:lvl>
  </w:abstractNum>
  <w:abstractNum w:abstractNumId="7" w15:restartNumberingAfterBreak="0">
    <w:nsid w:val="7F941837"/>
    <w:multiLevelType w:val="multilevel"/>
    <w:tmpl w:val="7110E62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86679647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044673">
    <w:abstractNumId w:val="4"/>
  </w:num>
  <w:num w:numId="3" w16cid:durableId="319968936">
    <w:abstractNumId w:val="7"/>
  </w:num>
  <w:num w:numId="4" w16cid:durableId="873883781">
    <w:abstractNumId w:val="1"/>
  </w:num>
  <w:num w:numId="5" w16cid:durableId="1200362192">
    <w:abstractNumId w:val="5"/>
  </w:num>
  <w:num w:numId="6" w16cid:durableId="803934378">
    <w:abstractNumId w:val="6"/>
  </w:num>
  <w:num w:numId="7" w16cid:durableId="70589655">
    <w:abstractNumId w:val="3"/>
  </w:num>
  <w:num w:numId="8" w16cid:durableId="27540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A"/>
    <w:rsid w:val="00005EB5"/>
    <w:rsid w:val="00010317"/>
    <w:rsid w:val="00016992"/>
    <w:rsid w:val="000215CC"/>
    <w:rsid w:val="00031288"/>
    <w:rsid w:val="00033B65"/>
    <w:rsid w:val="0003701D"/>
    <w:rsid w:val="00040525"/>
    <w:rsid w:val="00042BDB"/>
    <w:rsid w:val="000524DD"/>
    <w:rsid w:val="00054F0E"/>
    <w:rsid w:val="00064407"/>
    <w:rsid w:val="00070ED2"/>
    <w:rsid w:val="000713AA"/>
    <w:rsid w:val="00086A48"/>
    <w:rsid w:val="00090746"/>
    <w:rsid w:val="000B3E32"/>
    <w:rsid w:val="000B5274"/>
    <w:rsid w:val="000C0F19"/>
    <w:rsid w:val="000D5A65"/>
    <w:rsid w:val="000E337B"/>
    <w:rsid w:val="000F750F"/>
    <w:rsid w:val="00102006"/>
    <w:rsid w:val="00103285"/>
    <w:rsid w:val="00104863"/>
    <w:rsid w:val="001126D5"/>
    <w:rsid w:val="00116D08"/>
    <w:rsid w:val="00124010"/>
    <w:rsid w:val="0013298E"/>
    <w:rsid w:val="00132A7D"/>
    <w:rsid w:val="00137860"/>
    <w:rsid w:val="00144344"/>
    <w:rsid w:val="001554CA"/>
    <w:rsid w:val="00156A1A"/>
    <w:rsid w:val="001900F6"/>
    <w:rsid w:val="00196183"/>
    <w:rsid w:val="001A05A8"/>
    <w:rsid w:val="001B3139"/>
    <w:rsid w:val="001B4FA2"/>
    <w:rsid w:val="001E37A7"/>
    <w:rsid w:val="001E3B61"/>
    <w:rsid w:val="001E4293"/>
    <w:rsid w:val="001F10ED"/>
    <w:rsid w:val="001F304F"/>
    <w:rsid w:val="00204F19"/>
    <w:rsid w:val="002052A7"/>
    <w:rsid w:val="002227FA"/>
    <w:rsid w:val="00233F2B"/>
    <w:rsid w:val="00255077"/>
    <w:rsid w:val="00256726"/>
    <w:rsid w:val="00267031"/>
    <w:rsid w:val="002947DB"/>
    <w:rsid w:val="00295280"/>
    <w:rsid w:val="002A0DBC"/>
    <w:rsid w:val="002B1AF1"/>
    <w:rsid w:val="002B5EB9"/>
    <w:rsid w:val="002C41F1"/>
    <w:rsid w:val="002E2040"/>
    <w:rsid w:val="002E6314"/>
    <w:rsid w:val="002F2006"/>
    <w:rsid w:val="00306465"/>
    <w:rsid w:val="003255AD"/>
    <w:rsid w:val="00330179"/>
    <w:rsid w:val="003341C5"/>
    <w:rsid w:val="00343F88"/>
    <w:rsid w:val="00350942"/>
    <w:rsid w:val="003534FB"/>
    <w:rsid w:val="00364FCC"/>
    <w:rsid w:val="003750B2"/>
    <w:rsid w:val="00380199"/>
    <w:rsid w:val="003859E6"/>
    <w:rsid w:val="00391896"/>
    <w:rsid w:val="003918CF"/>
    <w:rsid w:val="003A4C40"/>
    <w:rsid w:val="003A552B"/>
    <w:rsid w:val="003B41D2"/>
    <w:rsid w:val="003C3B31"/>
    <w:rsid w:val="003D418B"/>
    <w:rsid w:val="003D727F"/>
    <w:rsid w:val="003E3FD7"/>
    <w:rsid w:val="003F2ADB"/>
    <w:rsid w:val="003F2F2C"/>
    <w:rsid w:val="003F34AC"/>
    <w:rsid w:val="00400A61"/>
    <w:rsid w:val="00412382"/>
    <w:rsid w:val="004132EF"/>
    <w:rsid w:val="00417444"/>
    <w:rsid w:val="00425FF2"/>
    <w:rsid w:val="004273A5"/>
    <w:rsid w:val="0043000A"/>
    <w:rsid w:val="00436BDA"/>
    <w:rsid w:val="00441AA1"/>
    <w:rsid w:val="00445C13"/>
    <w:rsid w:val="004508B2"/>
    <w:rsid w:val="004902D4"/>
    <w:rsid w:val="004929BE"/>
    <w:rsid w:val="004E027E"/>
    <w:rsid w:val="004E7FEF"/>
    <w:rsid w:val="004F2F75"/>
    <w:rsid w:val="004F60FB"/>
    <w:rsid w:val="00502B4B"/>
    <w:rsid w:val="00511204"/>
    <w:rsid w:val="00513541"/>
    <w:rsid w:val="00515578"/>
    <w:rsid w:val="00523F81"/>
    <w:rsid w:val="00524AB0"/>
    <w:rsid w:val="00536070"/>
    <w:rsid w:val="00536E21"/>
    <w:rsid w:val="005400DF"/>
    <w:rsid w:val="005431F3"/>
    <w:rsid w:val="00547F2E"/>
    <w:rsid w:val="00552E5F"/>
    <w:rsid w:val="00554846"/>
    <w:rsid w:val="00556C19"/>
    <w:rsid w:val="0056373A"/>
    <w:rsid w:val="005702EB"/>
    <w:rsid w:val="0058100B"/>
    <w:rsid w:val="00585F75"/>
    <w:rsid w:val="00587CE7"/>
    <w:rsid w:val="005913BE"/>
    <w:rsid w:val="005B476A"/>
    <w:rsid w:val="005B49A0"/>
    <w:rsid w:val="005B4D8A"/>
    <w:rsid w:val="005B7E90"/>
    <w:rsid w:val="005C42B6"/>
    <w:rsid w:val="005D32FB"/>
    <w:rsid w:val="005D6A93"/>
    <w:rsid w:val="005E77BF"/>
    <w:rsid w:val="00600970"/>
    <w:rsid w:val="0060576A"/>
    <w:rsid w:val="0060741E"/>
    <w:rsid w:val="0061269C"/>
    <w:rsid w:val="00625FBF"/>
    <w:rsid w:val="0062704F"/>
    <w:rsid w:val="00637029"/>
    <w:rsid w:val="0064128A"/>
    <w:rsid w:val="00657D4D"/>
    <w:rsid w:val="0066416F"/>
    <w:rsid w:val="00674EEC"/>
    <w:rsid w:val="006A17E3"/>
    <w:rsid w:val="006A1E37"/>
    <w:rsid w:val="006A59E2"/>
    <w:rsid w:val="006B2696"/>
    <w:rsid w:val="006B5E2A"/>
    <w:rsid w:val="006C46ED"/>
    <w:rsid w:val="006D2C20"/>
    <w:rsid w:val="006D2E91"/>
    <w:rsid w:val="006D4D2D"/>
    <w:rsid w:val="006E38CC"/>
    <w:rsid w:val="006F3C9F"/>
    <w:rsid w:val="00703053"/>
    <w:rsid w:val="007079B4"/>
    <w:rsid w:val="00715079"/>
    <w:rsid w:val="007206E6"/>
    <w:rsid w:val="00721168"/>
    <w:rsid w:val="00730FEC"/>
    <w:rsid w:val="0073259C"/>
    <w:rsid w:val="00734C72"/>
    <w:rsid w:val="00744D9F"/>
    <w:rsid w:val="0074700E"/>
    <w:rsid w:val="00763D9E"/>
    <w:rsid w:val="007838AA"/>
    <w:rsid w:val="0079577B"/>
    <w:rsid w:val="007A5F22"/>
    <w:rsid w:val="007C334F"/>
    <w:rsid w:val="007D4595"/>
    <w:rsid w:val="007D69D3"/>
    <w:rsid w:val="007F2C6D"/>
    <w:rsid w:val="008374F8"/>
    <w:rsid w:val="008424AF"/>
    <w:rsid w:val="008513D4"/>
    <w:rsid w:val="00855D3D"/>
    <w:rsid w:val="00861232"/>
    <w:rsid w:val="00871F8F"/>
    <w:rsid w:val="008778BB"/>
    <w:rsid w:val="00880C90"/>
    <w:rsid w:val="008815E7"/>
    <w:rsid w:val="008E3DB6"/>
    <w:rsid w:val="008E512C"/>
    <w:rsid w:val="008F0A78"/>
    <w:rsid w:val="008F5AB6"/>
    <w:rsid w:val="008F5F21"/>
    <w:rsid w:val="009024A0"/>
    <w:rsid w:val="00902529"/>
    <w:rsid w:val="00905A61"/>
    <w:rsid w:val="0093048A"/>
    <w:rsid w:val="009437E7"/>
    <w:rsid w:val="009809F2"/>
    <w:rsid w:val="009A3869"/>
    <w:rsid w:val="009B09A9"/>
    <w:rsid w:val="009B4FEC"/>
    <w:rsid w:val="009E04B6"/>
    <w:rsid w:val="009E05ED"/>
    <w:rsid w:val="009E0904"/>
    <w:rsid w:val="009E3094"/>
    <w:rsid w:val="009E3D94"/>
    <w:rsid w:val="009E6FF7"/>
    <w:rsid w:val="009F21DC"/>
    <w:rsid w:val="009F41EB"/>
    <w:rsid w:val="009F782D"/>
    <w:rsid w:val="00A0452D"/>
    <w:rsid w:val="00A04888"/>
    <w:rsid w:val="00A05A9D"/>
    <w:rsid w:val="00A14D04"/>
    <w:rsid w:val="00A23691"/>
    <w:rsid w:val="00A26BAC"/>
    <w:rsid w:val="00A47FA3"/>
    <w:rsid w:val="00A5417D"/>
    <w:rsid w:val="00A5546F"/>
    <w:rsid w:val="00A6108A"/>
    <w:rsid w:val="00A7560A"/>
    <w:rsid w:val="00A821F3"/>
    <w:rsid w:val="00A82A42"/>
    <w:rsid w:val="00A90BC9"/>
    <w:rsid w:val="00AA06D3"/>
    <w:rsid w:val="00AA3938"/>
    <w:rsid w:val="00AA4B72"/>
    <w:rsid w:val="00AA4C47"/>
    <w:rsid w:val="00AA5A0A"/>
    <w:rsid w:val="00AA6C32"/>
    <w:rsid w:val="00AB295C"/>
    <w:rsid w:val="00AC0974"/>
    <w:rsid w:val="00AC1BF3"/>
    <w:rsid w:val="00AC3B7C"/>
    <w:rsid w:val="00AD1DA3"/>
    <w:rsid w:val="00AD1FE6"/>
    <w:rsid w:val="00AE2B30"/>
    <w:rsid w:val="00AE7466"/>
    <w:rsid w:val="00AF4643"/>
    <w:rsid w:val="00AF7082"/>
    <w:rsid w:val="00B01879"/>
    <w:rsid w:val="00B052EA"/>
    <w:rsid w:val="00B05B43"/>
    <w:rsid w:val="00B100A4"/>
    <w:rsid w:val="00B1231C"/>
    <w:rsid w:val="00B20BDD"/>
    <w:rsid w:val="00B217CA"/>
    <w:rsid w:val="00B259F6"/>
    <w:rsid w:val="00B728F6"/>
    <w:rsid w:val="00B862EF"/>
    <w:rsid w:val="00B94562"/>
    <w:rsid w:val="00B947AC"/>
    <w:rsid w:val="00BA3A56"/>
    <w:rsid w:val="00BD2BCB"/>
    <w:rsid w:val="00BF20C8"/>
    <w:rsid w:val="00C06227"/>
    <w:rsid w:val="00C1278E"/>
    <w:rsid w:val="00C14D6A"/>
    <w:rsid w:val="00C16A35"/>
    <w:rsid w:val="00C16A8D"/>
    <w:rsid w:val="00C23176"/>
    <w:rsid w:val="00C23FF5"/>
    <w:rsid w:val="00C31BD7"/>
    <w:rsid w:val="00C34479"/>
    <w:rsid w:val="00C411D4"/>
    <w:rsid w:val="00C41627"/>
    <w:rsid w:val="00C44F0C"/>
    <w:rsid w:val="00C52FDD"/>
    <w:rsid w:val="00C54012"/>
    <w:rsid w:val="00C56318"/>
    <w:rsid w:val="00C70776"/>
    <w:rsid w:val="00C83CD7"/>
    <w:rsid w:val="00C87664"/>
    <w:rsid w:val="00CA22A6"/>
    <w:rsid w:val="00CA3863"/>
    <w:rsid w:val="00CB3011"/>
    <w:rsid w:val="00CB59AC"/>
    <w:rsid w:val="00CB5EFC"/>
    <w:rsid w:val="00CB6932"/>
    <w:rsid w:val="00CC355E"/>
    <w:rsid w:val="00CC79D7"/>
    <w:rsid w:val="00CE04BD"/>
    <w:rsid w:val="00CE60A2"/>
    <w:rsid w:val="00CF0398"/>
    <w:rsid w:val="00CF440F"/>
    <w:rsid w:val="00CF72EE"/>
    <w:rsid w:val="00D0419A"/>
    <w:rsid w:val="00D17BE7"/>
    <w:rsid w:val="00D224E9"/>
    <w:rsid w:val="00D2504B"/>
    <w:rsid w:val="00D302A2"/>
    <w:rsid w:val="00D551C7"/>
    <w:rsid w:val="00D556EC"/>
    <w:rsid w:val="00D562F0"/>
    <w:rsid w:val="00D56F2D"/>
    <w:rsid w:val="00D61F83"/>
    <w:rsid w:val="00D6246E"/>
    <w:rsid w:val="00D64502"/>
    <w:rsid w:val="00D64C33"/>
    <w:rsid w:val="00D718CA"/>
    <w:rsid w:val="00D74020"/>
    <w:rsid w:val="00D77C28"/>
    <w:rsid w:val="00D80606"/>
    <w:rsid w:val="00D90662"/>
    <w:rsid w:val="00D90E63"/>
    <w:rsid w:val="00D92B98"/>
    <w:rsid w:val="00DA4D77"/>
    <w:rsid w:val="00DA4DD9"/>
    <w:rsid w:val="00DB0FC1"/>
    <w:rsid w:val="00DC0121"/>
    <w:rsid w:val="00DC24D0"/>
    <w:rsid w:val="00DC3066"/>
    <w:rsid w:val="00DC3F34"/>
    <w:rsid w:val="00DC5F07"/>
    <w:rsid w:val="00DD0082"/>
    <w:rsid w:val="00DD06D8"/>
    <w:rsid w:val="00DD0B6C"/>
    <w:rsid w:val="00DD29CA"/>
    <w:rsid w:val="00DF10F9"/>
    <w:rsid w:val="00E12D1B"/>
    <w:rsid w:val="00E23E78"/>
    <w:rsid w:val="00E264C2"/>
    <w:rsid w:val="00E27CF3"/>
    <w:rsid w:val="00E30EA4"/>
    <w:rsid w:val="00E30FBE"/>
    <w:rsid w:val="00E34C49"/>
    <w:rsid w:val="00E35276"/>
    <w:rsid w:val="00E35E47"/>
    <w:rsid w:val="00E468B8"/>
    <w:rsid w:val="00E479E0"/>
    <w:rsid w:val="00E55D34"/>
    <w:rsid w:val="00E624D3"/>
    <w:rsid w:val="00E6666F"/>
    <w:rsid w:val="00E94503"/>
    <w:rsid w:val="00EB161E"/>
    <w:rsid w:val="00EB2346"/>
    <w:rsid w:val="00EE7E8F"/>
    <w:rsid w:val="00F049FB"/>
    <w:rsid w:val="00F10FE2"/>
    <w:rsid w:val="00F12AFA"/>
    <w:rsid w:val="00F41D27"/>
    <w:rsid w:val="00F43F66"/>
    <w:rsid w:val="00F43FD3"/>
    <w:rsid w:val="00F66E15"/>
    <w:rsid w:val="00F80A6F"/>
    <w:rsid w:val="00F80B2E"/>
    <w:rsid w:val="00F90075"/>
    <w:rsid w:val="00FA6CFA"/>
    <w:rsid w:val="00FD7933"/>
    <w:rsid w:val="00FE20D7"/>
    <w:rsid w:val="00FE3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6707B"/>
  <w15:chartTrackingRefBased/>
  <w15:docId w15:val="{BA73A943-51A6-408F-849C-62BE7D2E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27"/>
    <w:pPr>
      <w:spacing w:after="0" w:line="240" w:lineRule="auto"/>
    </w:pPr>
    <w:rPr>
      <w:sz w:val="24"/>
      <w:lang w:val="es-MX"/>
    </w:rPr>
  </w:style>
  <w:style w:type="paragraph" w:styleId="Ttulo1">
    <w:name w:val="heading 1"/>
    <w:basedOn w:val="Normal"/>
    <w:next w:val="Normal"/>
    <w:link w:val="Ttulo1Car"/>
    <w:uiPriority w:val="9"/>
    <w:qFormat/>
    <w:rsid w:val="001554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15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1554CA"/>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554CA"/>
    <w:rPr>
      <w:sz w:val="24"/>
      <w:lang w:val="es-MX"/>
    </w:rPr>
  </w:style>
  <w:style w:type="paragraph" w:styleId="Textocomentario">
    <w:name w:val="annotation text"/>
    <w:basedOn w:val="Normal"/>
    <w:link w:val="TextocomentarioCar"/>
    <w:uiPriority w:val="99"/>
    <w:unhideWhenUsed/>
    <w:rsid w:val="001554CA"/>
    <w:rPr>
      <w:sz w:val="20"/>
      <w:szCs w:val="20"/>
    </w:rPr>
  </w:style>
  <w:style w:type="character" w:customStyle="1" w:styleId="TextocomentarioCar">
    <w:name w:val="Texto comentario Car"/>
    <w:basedOn w:val="Fuentedeprrafopredeter"/>
    <w:link w:val="Textocomentario"/>
    <w:uiPriority w:val="99"/>
    <w:rsid w:val="001554CA"/>
    <w:rPr>
      <w:sz w:val="20"/>
      <w:szCs w:val="20"/>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554C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554CA"/>
    <w:rPr>
      <w:sz w:val="20"/>
      <w:szCs w:val="20"/>
    </w:rPr>
  </w:style>
  <w:style w:type="character" w:customStyle="1" w:styleId="TextonotapieCar1">
    <w:name w:val="Texto nota pie Car1"/>
    <w:aliases w:val="MI NOTA PIE DE PÁGINA (TEXTO) Car,Footnote Text Char Char Char Char Car,Footnote Text Char Char Char Car,Footnote Text Char Car,texto de nota al pie Car"/>
    <w:basedOn w:val="Fuentedeprrafopredeter"/>
    <w:uiPriority w:val="99"/>
    <w:rsid w:val="001554CA"/>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1554CA"/>
    <w:rPr>
      <w:vertAlign w:val="superscript"/>
    </w:rPr>
  </w:style>
  <w:style w:type="paragraph" w:styleId="Encabezado">
    <w:name w:val="header"/>
    <w:basedOn w:val="Normal"/>
    <w:link w:val="EncabezadoCar"/>
    <w:uiPriority w:val="99"/>
    <w:unhideWhenUsed/>
    <w:rsid w:val="001554CA"/>
    <w:pPr>
      <w:tabs>
        <w:tab w:val="center" w:pos="4419"/>
        <w:tab w:val="right" w:pos="8838"/>
      </w:tabs>
    </w:pPr>
  </w:style>
  <w:style w:type="character" w:customStyle="1" w:styleId="EncabezadoCar">
    <w:name w:val="Encabezado Car"/>
    <w:basedOn w:val="Fuentedeprrafopredeter"/>
    <w:link w:val="Encabezado"/>
    <w:uiPriority w:val="99"/>
    <w:rsid w:val="001554CA"/>
    <w:rPr>
      <w:sz w:val="24"/>
      <w:lang w:val="es-MX"/>
    </w:rPr>
  </w:style>
  <w:style w:type="paragraph" w:styleId="Piedepgina">
    <w:name w:val="footer"/>
    <w:basedOn w:val="Normal"/>
    <w:link w:val="PiedepginaCar"/>
    <w:uiPriority w:val="99"/>
    <w:unhideWhenUsed/>
    <w:rsid w:val="001554CA"/>
    <w:pPr>
      <w:tabs>
        <w:tab w:val="center" w:pos="4419"/>
        <w:tab w:val="right" w:pos="8838"/>
      </w:tabs>
    </w:pPr>
  </w:style>
  <w:style w:type="character" w:customStyle="1" w:styleId="PiedepginaCar">
    <w:name w:val="Pie de página Car"/>
    <w:basedOn w:val="Fuentedeprrafopredeter"/>
    <w:link w:val="Piedepgina"/>
    <w:uiPriority w:val="99"/>
    <w:rsid w:val="001554CA"/>
    <w:rPr>
      <w:sz w:val="24"/>
      <w:lang w:val="es-MX"/>
    </w:rPr>
  </w:style>
  <w:style w:type="paragraph" w:styleId="Sinespaciado">
    <w:name w:val="No Spacing"/>
    <w:aliases w:val="No Indent"/>
    <w:uiPriority w:val="3"/>
    <w:qFormat/>
    <w:rsid w:val="001554CA"/>
    <w:pPr>
      <w:spacing w:after="0" w:line="240" w:lineRule="auto"/>
    </w:pPr>
    <w:rPr>
      <w:sz w:val="24"/>
      <w:lang w:val="es-MX"/>
    </w:rPr>
  </w:style>
  <w:style w:type="character" w:customStyle="1" w:styleId="Ttulo1Car">
    <w:name w:val="Título 1 Car"/>
    <w:basedOn w:val="Fuentedeprrafopredeter"/>
    <w:link w:val="Ttulo1"/>
    <w:uiPriority w:val="9"/>
    <w:rsid w:val="001554CA"/>
    <w:rPr>
      <w:rFonts w:asciiTheme="majorHAnsi" w:eastAsiaTheme="majorEastAsia" w:hAnsiTheme="majorHAnsi" w:cstheme="majorBidi"/>
      <w:color w:val="2F5496" w:themeColor="accent1" w:themeShade="BF"/>
      <w:sz w:val="32"/>
      <w:szCs w:val="32"/>
      <w:lang w:val="es-MX"/>
    </w:rPr>
  </w:style>
  <w:style w:type="character" w:styleId="Hipervnculo">
    <w:name w:val="Hyperlink"/>
    <w:basedOn w:val="Fuentedeprrafopredeter"/>
    <w:uiPriority w:val="99"/>
    <w:semiHidden/>
    <w:unhideWhenUsed/>
    <w:rsid w:val="001554CA"/>
    <w:rPr>
      <w:color w:val="0000FF"/>
      <w:u w:val="single"/>
    </w:rPr>
  </w:style>
  <w:style w:type="character" w:styleId="Textoennegrita">
    <w:name w:val="Strong"/>
    <w:basedOn w:val="Fuentedeprrafopredeter"/>
    <w:uiPriority w:val="22"/>
    <w:qFormat/>
    <w:rsid w:val="001554CA"/>
    <w:rPr>
      <w:b/>
      <w:bCs/>
    </w:rPr>
  </w:style>
  <w:style w:type="character" w:styleId="nfasis">
    <w:name w:val="Emphasis"/>
    <w:basedOn w:val="Fuentedeprrafopredeter"/>
    <w:uiPriority w:val="20"/>
    <w:qFormat/>
    <w:rsid w:val="001554CA"/>
    <w:rPr>
      <w:i/>
      <w:iCs/>
    </w:rPr>
  </w:style>
  <w:style w:type="paragraph" w:styleId="Textoindependiente">
    <w:name w:val="Body Text"/>
    <w:basedOn w:val="Normal"/>
    <w:link w:val="TextoindependienteCar"/>
    <w:uiPriority w:val="1"/>
    <w:qFormat/>
    <w:rsid w:val="001554CA"/>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1554CA"/>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1E4293"/>
    <w:rPr>
      <w:sz w:val="16"/>
      <w:szCs w:val="16"/>
    </w:rPr>
  </w:style>
  <w:style w:type="paragraph" w:styleId="Asuntodelcomentario">
    <w:name w:val="annotation subject"/>
    <w:basedOn w:val="Textocomentario"/>
    <w:next w:val="Textocomentario"/>
    <w:link w:val="AsuntodelcomentarioCar"/>
    <w:uiPriority w:val="99"/>
    <w:semiHidden/>
    <w:unhideWhenUsed/>
    <w:rsid w:val="001E4293"/>
    <w:rPr>
      <w:b/>
      <w:bCs/>
    </w:rPr>
  </w:style>
  <w:style w:type="character" w:customStyle="1" w:styleId="AsuntodelcomentarioCar">
    <w:name w:val="Asunto del comentario Car"/>
    <w:basedOn w:val="TextocomentarioCar"/>
    <w:link w:val="Asuntodelcomentario"/>
    <w:uiPriority w:val="99"/>
    <w:semiHidden/>
    <w:rsid w:val="001E4293"/>
    <w:rPr>
      <w:b/>
      <w:bCs/>
      <w:sz w:val="20"/>
      <w:szCs w:val="20"/>
      <w:lang w:val="es-MX"/>
    </w:rPr>
  </w:style>
  <w:style w:type="paragraph" w:styleId="NormalWeb">
    <w:name w:val="Normal (Web)"/>
    <w:basedOn w:val="Normal"/>
    <w:uiPriority w:val="99"/>
    <w:semiHidden/>
    <w:unhideWhenUsed/>
    <w:rsid w:val="00CA3863"/>
    <w:rPr>
      <w:rFonts w:ascii="Times New Roman" w:hAnsi="Times New Roman" w:cs="Times New Roman"/>
      <w:szCs w:val="24"/>
    </w:rPr>
  </w:style>
  <w:style w:type="paragraph" w:customStyle="1" w:styleId="Appelnotedebasde">
    <w:name w:val="Appel note de bas de..."/>
    <w:basedOn w:val="Normal"/>
    <w:link w:val="Refdenotaalpie"/>
    <w:uiPriority w:val="99"/>
    <w:rsid w:val="00CA3863"/>
    <w:pPr>
      <w:spacing w:after="160" w:line="240" w:lineRule="exact"/>
    </w:pPr>
    <w:rPr>
      <w:sz w:val="22"/>
      <w:vertAlign w:val="superscript"/>
      <w:lang w:val="es-CO"/>
    </w:rPr>
  </w:style>
  <w:style w:type="character" w:customStyle="1" w:styleId="baj">
    <w:name w:val="b_aj"/>
    <w:basedOn w:val="Fuentedeprrafopredeter"/>
    <w:rsid w:val="00CA3863"/>
  </w:style>
  <w:style w:type="paragraph" w:styleId="Revisin">
    <w:name w:val="Revision"/>
    <w:hidden/>
    <w:uiPriority w:val="99"/>
    <w:semiHidden/>
    <w:rsid w:val="004929BE"/>
    <w:pPr>
      <w:spacing w:after="0" w:line="240" w:lineRule="auto"/>
    </w:pPr>
    <w:rPr>
      <w:sz w:val="24"/>
      <w:lang w:val="es-MX"/>
    </w:rPr>
  </w:style>
  <w:style w:type="paragraph" w:customStyle="1" w:styleId="paragraph">
    <w:name w:val="paragraph"/>
    <w:basedOn w:val="Normal"/>
    <w:rsid w:val="00F43F66"/>
    <w:pPr>
      <w:spacing w:before="100" w:beforeAutospacing="1" w:after="100" w:afterAutospacing="1"/>
    </w:pPr>
    <w:rPr>
      <w:rFonts w:ascii="Times New Roman" w:eastAsia="Times New Roman" w:hAnsi="Times New Roman" w:cs="Times New Roman"/>
      <w:szCs w:val="24"/>
      <w:lang w:val="es-CO" w:eastAsia="es-MX"/>
    </w:rPr>
  </w:style>
  <w:style w:type="character" w:customStyle="1" w:styleId="normaltextrun">
    <w:name w:val="normaltextrun"/>
    <w:basedOn w:val="Fuentedeprrafopredeter"/>
    <w:rsid w:val="00F43F66"/>
  </w:style>
  <w:style w:type="character" w:customStyle="1" w:styleId="apple-converted-space">
    <w:name w:val="apple-converted-space"/>
    <w:basedOn w:val="Fuentedeprrafopredeter"/>
    <w:rsid w:val="00F43F66"/>
  </w:style>
  <w:style w:type="character" w:customStyle="1" w:styleId="eop">
    <w:name w:val="eop"/>
    <w:basedOn w:val="Fuentedeprrafopredeter"/>
    <w:rsid w:val="00F43F66"/>
  </w:style>
  <w:style w:type="table" w:customStyle="1" w:styleId="Tablaconcuadrcula1">
    <w:name w:val="Tabla con cuadrícula1"/>
    <w:basedOn w:val="Tablanormal"/>
    <w:next w:val="Tablaconcuadrcula"/>
    <w:uiPriority w:val="59"/>
    <w:rsid w:val="005E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8899">
      <w:bodyDiv w:val="1"/>
      <w:marLeft w:val="0"/>
      <w:marRight w:val="0"/>
      <w:marTop w:val="0"/>
      <w:marBottom w:val="0"/>
      <w:divBdr>
        <w:top w:val="none" w:sz="0" w:space="0" w:color="auto"/>
        <w:left w:val="none" w:sz="0" w:space="0" w:color="auto"/>
        <w:bottom w:val="none" w:sz="0" w:space="0" w:color="auto"/>
        <w:right w:val="none" w:sz="0" w:space="0" w:color="auto"/>
      </w:divBdr>
    </w:div>
    <w:div w:id="18846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380AC-6623-413B-AE5F-01603C65D01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097C9FE-3971-4683-A5AC-BD2A83F92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FE4B1-2227-4610-A8F1-85B4DAEEA4E9}">
  <ds:schemaRefs>
    <ds:schemaRef ds:uri="http://schemas.openxmlformats.org/officeDocument/2006/bibliography"/>
  </ds:schemaRefs>
</ds:datastoreItem>
</file>

<file path=customXml/itemProps4.xml><?xml version="1.0" encoding="utf-8"?>
<ds:datastoreItem xmlns:ds="http://schemas.openxmlformats.org/officeDocument/2006/customXml" ds:itemID="{1F90E555-670C-4CA6-BEA4-19EE916FE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2738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Martin Rojas Mejia</cp:lastModifiedBy>
  <cp:revision>65</cp:revision>
  <dcterms:created xsi:type="dcterms:W3CDTF">2022-03-09T16:39:00Z</dcterms:created>
  <dcterms:modified xsi:type="dcterms:W3CDTF">2022-05-24T20:08:00Z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