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Pr="00A51520" w:rsidRDefault="002411DE" w:rsidP="008B6649">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A51520">
        <w:rPr>
          <w:rFonts w:ascii="Arial" w:hAnsi="Arial" w:cs="Arial"/>
          <w:b/>
          <w:color w:val="000000" w:themeColor="text1"/>
          <w:sz w:val="16"/>
          <w:szCs w:val="16"/>
          <w:lang w:val="es-ES_tradnl" w:eastAsia="es-ES"/>
        </w:rPr>
        <w:t>CCE-DES-FM-17</w:t>
      </w:r>
      <w:bookmarkStart w:id="2" w:name="_Hlk50481752"/>
      <w:bookmarkEnd w:id="0"/>
      <w:bookmarkEnd w:id="1"/>
    </w:p>
    <w:p w14:paraId="488BE577" w14:textId="77777777" w:rsidR="000C0444" w:rsidRPr="00A51520" w:rsidRDefault="000C0444" w:rsidP="008B6649">
      <w:pPr>
        <w:jc w:val="both"/>
        <w:rPr>
          <w:rFonts w:ascii="Arial" w:eastAsia="Calibri" w:hAnsi="Arial" w:cs="Arial"/>
          <w:bCs/>
          <w:sz w:val="20"/>
          <w:szCs w:val="20"/>
        </w:rPr>
      </w:pPr>
    </w:p>
    <w:p w14:paraId="2C24482F" w14:textId="1678FEEB" w:rsidR="00696CBC" w:rsidRPr="00D64641" w:rsidRDefault="00696CBC" w:rsidP="00696CBC">
      <w:pPr>
        <w:jc w:val="both"/>
        <w:rPr>
          <w:rFonts w:ascii="Arial" w:eastAsia="Calibri" w:hAnsi="Arial" w:cs="Arial"/>
          <w:b/>
          <w:sz w:val="22"/>
          <w:lang w:val="es-ES_tradnl"/>
        </w:rPr>
      </w:pPr>
      <w:r w:rsidRPr="00D64641">
        <w:rPr>
          <w:rFonts w:ascii="Arial" w:eastAsia="Calibri" w:hAnsi="Arial" w:cs="Arial"/>
          <w:b/>
          <w:sz w:val="22"/>
          <w:lang w:val="es-ES_tradnl"/>
        </w:rPr>
        <w:t>REDUCCIÓN DE PUNTAJE – Multa – Cláusula Penal – Ley 2195 de 2022 – Artículo 58</w:t>
      </w:r>
    </w:p>
    <w:p w14:paraId="06F20CFE" w14:textId="77777777" w:rsidR="00696CBC" w:rsidRPr="00D64641" w:rsidRDefault="00696CBC" w:rsidP="00696CBC">
      <w:pPr>
        <w:jc w:val="both"/>
        <w:rPr>
          <w:rFonts w:ascii="Arial" w:hAnsi="Arial" w:cs="Arial"/>
          <w:sz w:val="21"/>
          <w:szCs w:val="21"/>
          <w:lang w:val="es-ES_tradnl"/>
        </w:rPr>
      </w:pPr>
    </w:p>
    <w:p w14:paraId="0A261A47" w14:textId="57458502" w:rsidR="00575A05" w:rsidRDefault="00575A05" w:rsidP="00696CBC">
      <w:pPr>
        <w:jc w:val="both"/>
        <w:rPr>
          <w:rFonts w:ascii="Arial" w:eastAsia="Calibri" w:hAnsi="Arial" w:cs="Arial"/>
          <w:color w:val="000000" w:themeColor="text1"/>
          <w:sz w:val="20"/>
          <w:szCs w:val="20"/>
          <w:lang w:val="es-ES_tradnl"/>
        </w:rPr>
      </w:pPr>
      <w:r w:rsidRPr="00575A05">
        <w:rPr>
          <w:rFonts w:ascii="Arial" w:eastAsia="Calibri" w:hAnsi="Arial" w:cs="Arial"/>
          <w:color w:val="000000" w:themeColor="text1"/>
          <w:sz w:val="20"/>
          <w:szCs w:val="20"/>
          <w:lang w:val="es-ES_tradnl"/>
        </w:rPr>
        <w:t>Los sujetos pasivos –es decir, los afectados por lo dispuesto en el artículo– son los proponentes –incluidos los consorcios y uniones temporales, por la situación de alguno de sus integrantes– a quienes «</w:t>
      </w:r>
      <w:r w:rsidRPr="00575A05">
        <w:rPr>
          <w:rFonts w:ascii="Arial" w:eastAsia="Calibri" w:hAnsi="Arial" w:cs="Arial"/>
          <w:color w:val="000000" w:themeColor="text1"/>
          <w:sz w:val="20"/>
          <w:szCs w:val="20"/>
        </w:rPr>
        <w:t xml:space="preserve">[…] </w:t>
      </w:r>
      <w:r w:rsidRPr="00575A05">
        <w:rPr>
          <w:rFonts w:ascii="Arial" w:eastAsia="Calibri" w:hAnsi="Arial" w:cs="Arial"/>
          <w:color w:val="000000" w:themeColor="text1"/>
          <w:sz w:val="20"/>
          <w:szCs w:val="20"/>
          <w:lang w:val="es-ES_tradnl"/>
        </w:rPr>
        <w:t>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imponer multas o hacer efectivas cláusulas penales pecuniarias.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w:t>
      </w:r>
      <w:r>
        <w:rPr>
          <w:rFonts w:ascii="Arial" w:eastAsia="Calibri" w:hAnsi="Arial" w:cs="Arial"/>
          <w:color w:val="000000" w:themeColor="text1"/>
          <w:sz w:val="20"/>
          <w:szCs w:val="20"/>
          <w:lang w:val="es-ES_tradnl"/>
        </w:rPr>
        <w:t>.</w:t>
      </w:r>
    </w:p>
    <w:p w14:paraId="69A66194" w14:textId="77777777" w:rsidR="00575A05" w:rsidRDefault="00575A05" w:rsidP="008B6649">
      <w:pPr>
        <w:jc w:val="both"/>
        <w:rPr>
          <w:rFonts w:ascii="Arial" w:eastAsia="Calibri" w:hAnsi="Arial" w:cs="Arial"/>
          <w:color w:val="000000" w:themeColor="text1"/>
          <w:sz w:val="20"/>
          <w:szCs w:val="20"/>
          <w:lang w:val="es-ES_tradnl"/>
        </w:rPr>
      </w:pPr>
    </w:p>
    <w:p w14:paraId="50F6B78C" w14:textId="72CAD04F" w:rsidR="006A63EB" w:rsidRPr="00A51520" w:rsidRDefault="00696CBC" w:rsidP="008B6649">
      <w:pPr>
        <w:jc w:val="both"/>
        <w:rPr>
          <w:rFonts w:ascii="Arial" w:eastAsia="Calibri" w:hAnsi="Arial" w:cs="Arial"/>
          <w:sz w:val="20"/>
          <w:szCs w:val="20"/>
          <w:lang w:val="es-ES_tradnl"/>
        </w:rPr>
      </w:pPr>
      <w:r>
        <w:rPr>
          <w:rFonts w:ascii="Arial" w:eastAsia="Calibri" w:hAnsi="Arial" w:cs="Arial"/>
          <w:b/>
          <w:sz w:val="22"/>
          <w:lang w:val="es-ES_tradnl"/>
        </w:rPr>
        <w:t xml:space="preserve">EXCEPCIÓN </w:t>
      </w:r>
      <w:r w:rsidR="006A63EB" w:rsidRPr="00A51520">
        <w:rPr>
          <w:rFonts w:ascii="Arial" w:eastAsia="Calibri" w:hAnsi="Arial" w:cs="Arial"/>
          <w:b/>
          <w:sz w:val="22"/>
          <w:lang w:val="es-ES_tradnl"/>
        </w:rPr>
        <w:t xml:space="preserve">– </w:t>
      </w:r>
      <w:r>
        <w:rPr>
          <w:rFonts w:ascii="Arial" w:eastAsia="Calibri" w:hAnsi="Arial" w:cs="Arial"/>
          <w:b/>
          <w:sz w:val="22"/>
          <w:lang w:val="es-ES_tradnl"/>
        </w:rPr>
        <w:t xml:space="preserve">Reducción de puntaje </w:t>
      </w:r>
      <w:r w:rsidRPr="00A51520">
        <w:rPr>
          <w:rFonts w:ascii="Arial" w:eastAsia="Calibri" w:hAnsi="Arial" w:cs="Arial"/>
          <w:b/>
          <w:sz w:val="22"/>
          <w:lang w:val="es-ES_tradnl"/>
        </w:rPr>
        <w:t>–</w:t>
      </w:r>
      <w:r>
        <w:rPr>
          <w:rFonts w:ascii="Arial" w:eastAsia="Calibri" w:hAnsi="Arial" w:cs="Arial"/>
          <w:b/>
          <w:sz w:val="22"/>
          <w:lang w:val="es-ES_tradnl"/>
        </w:rPr>
        <w:t xml:space="preserve"> </w:t>
      </w:r>
      <w:r w:rsidR="00A578F5">
        <w:rPr>
          <w:rFonts w:ascii="Arial" w:eastAsia="Calibri" w:hAnsi="Arial" w:cs="Arial"/>
          <w:b/>
          <w:sz w:val="22"/>
          <w:lang w:val="es-ES_tradnl"/>
        </w:rPr>
        <w:t xml:space="preserve">Parágrafo primero </w:t>
      </w:r>
    </w:p>
    <w:p w14:paraId="23EC4EBA" w14:textId="77777777" w:rsidR="006A63EB" w:rsidRPr="00A51520" w:rsidRDefault="006A63EB" w:rsidP="008B6649">
      <w:pPr>
        <w:jc w:val="both"/>
        <w:rPr>
          <w:rFonts w:ascii="Arial" w:eastAsia="Calibri" w:hAnsi="Arial" w:cs="Arial"/>
          <w:sz w:val="20"/>
          <w:szCs w:val="20"/>
          <w:lang w:val="es-ES_tradnl"/>
        </w:rPr>
      </w:pPr>
    </w:p>
    <w:p w14:paraId="4B87BC43" w14:textId="5A4FE384" w:rsidR="00575A05" w:rsidRPr="00575A05" w:rsidRDefault="00575A05" w:rsidP="00575A05">
      <w:pPr>
        <w:jc w:val="both"/>
        <w:rPr>
          <w:rFonts w:ascii="Arial" w:eastAsia="Calibri" w:hAnsi="Arial" w:cs="Arial"/>
          <w:bCs/>
          <w:sz w:val="20"/>
          <w:szCs w:val="20"/>
          <w:lang w:val="es-ES_tradnl"/>
        </w:rPr>
      </w:pPr>
      <w:r>
        <w:rPr>
          <w:rFonts w:ascii="Arial" w:eastAsia="Calibri" w:hAnsi="Arial" w:cs="Arial"/>
          <w:bCs/>
          <w:sz w:val="20"/>
          <w:szCs w:val="20"/>
          <w:lang w:val="es-ES_tradnl"/>
        </w:rPr>
        <w:t>E</w:t>
      </w:r>
      <w:r w:rsidRPr="00575A05">
        <w:rPr>
          <w:rFonts w:ascii="Arial" w:eastAsia="Calibri" w:hAnsi="Arial" w:cs="Arial"/>
          <w:bCs/>
          <w:sz w:val="20"/>
          <w:szCs w:val="20"/>
          <w:lang w:val="es-ES_tradnl"/>
        </w:rPr>
        <w:t xml:space="preserve">l parágrafo primero del artículo 58 de la Ley 2195 de 2022 establece una excepción a la reducción del puntaje por incumplimiento indicando que «no se aplicará en caso de que los actos administrativos que hayan impuesto las multas sean objeto de medios de control jurisdiccional a través de las acciones previstas en la Ley 1437 de 2011 o las normas que la modifiquen, adicionen o sustituyan». Para entender el alcance de esta norma es importante realizar algunas precisiones. </w:t>
      </w:r>
    </w:p>
    <w:p w14:paraId="0C271E20" w14:textId="3F88555E" w:rsidR="00575A05" w:rsidRDefault="00575A05" w:rsidP="00575A05">
      <w:pPr>
        <w:jc w:val="both"/>
        <w:rPr>
          <w:rFonts w:ascii="Arial" w:eastAsia="Calibri" w:hAnsi="Arial" w:cs="Arial"/>
          <w:bCs/>
          <w:sz w:val="20"/>
          <w:szCs w:val="20"/>
          <w:lang w:val="es-ES_tradnl"/>
        </w:rPr>
      </w:pPr>
      <w:r w:rsidRPr="00575A05">
        <w:rPr>
          <w:rFonts w:ascii="Arial" w:eastAsia="Calibri" w:hAnsi="Arial" w:cs="Arial"/>
          <w:bCs/>
          <w:i/>
          <w:iCs/>
          <w:sz w:val="20"/>
          <w:szCs w:val="20"/>
          <w:lang w:val="es-ES_tradnl"/>
        </w:rPr>
        <w:t>En primer lugar</w:t>
      </w:r>
      <w:r w:rsidRPr="00575A05">
        <w:rPr>
          <w:rFonts w:ascii="Arial" w:eastAsia="Calibri" w:hAnsi="Arial" w:cs="Arial"/>
          <w:bCs/>
          <w:sz w:val="20"/>
          <w:szCs w:val="20"/>
          <w:lang w:val="es-ES_tradnl"/>
        </w:rPr>
        <w:t xml:space="preserve">, se reitera que esta excepción solo aplica para los actos administrativos que hayan impuesto multas, lo que excluye a los actos administrativos que hayan impuesto una cláusula penal pecuniaria. Por tanto, para que opere la excepción planteada, la entidad estatal deberá verificar, en primer término, que el acto administrativo corresponda a la imposición de una multa. </w:t>
      </w:r>
      <w:r w:rsidRPr="00575A05">
        <w:rPr>
          <w:rFonts w:ascii="Arial" w:eastAsia="Calibri" w:hAnsi="Arial" w:cs="Arial"/>
          <w:bCs/>
          <w:i/>
          <w:iCs/>
          <w:sz w:val="20"/>
          <w:szCs w:val="20"/>
          <w:lang w:val="es-ES_tradnl"/>
        </w:rPr>
        <w:t>En segundo lugar,</w:t>
      </w:r>
      <w:r w:rsidRPr="00575A05">
        <w:rPr>
          <w:rFonts w:ascii="Arial" w:eastAsia="Calibri" w:hAnsi="Arial" w:cs="Arial"/>
          <w:bCs/>
          <w:sz w:val="20"/>
          <w:szCs w:val="20"/>
          <w:lang w:val="es-ES_tradnl"/>
        </w:rPr>
        <w:t xml:space="preserve"> los actos administrativos que hayan impuesto multas deben ser objeto de medios de control jurisdiccional a través de las acciones previstas en la Ley 1437 de 2011. Esto significa que, para efectos de la aplicación de la excepción, únicamente se tendrán en cuenta los medios de control jurisdiccionales establecidos en la Ley 1437 de 2011, verbigracia nulidad, nulidad y restablecimiento del derecho, controversias contractuales, etc., lo que descartaría otra acción judicial diferente a estas, </w:t>
      </w:r>
      <w:proofErr w:type="gramStart"/>
      <w:r w:rsidRPr="00575A05">
        <w:rPr>
          <w:rFonts w:ascii="Arial" w:eastAsia="Calibri" w:hAnsi="Arial" w:cs="Arial"/>
          <w:bCs/>
          <w:sz w:val="20"/>
          <w:szCs w:val="20"/>
          <w:lang w:val="es-ES_tradnl"/>
        </w:rPr>
        <w:t>como</w:t>
      </w:r>
      <w:proofErr w:type="gramEnd"/>
      <w:r w:rsidRPr="00575A05">
        <w:rPr>
          <w:rFonts w:ascii="Arial" w:eastAsia="Calibri" w:hAnsi="Arial" w:cs="Arial"/>
          <w:bCs/>
          <w:sz w:val="20"/>
          <w:szCs w:val="20"/>
          <w:lang w:val="es-ES_tradnl"/>
        </w:rPr>
        <w:t xml:space="preserve">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En todo caso, se reitera que la regla especial del parágrafo solo aplica cuando «los actos administrativos que hayan impuesto las multas sean objeto de medios de control jurisdiccional </w:t>
      </w:r>
      <w:r w:rsidRPr="00575A05">
        <w:rPr>
          <w:rFonts w:ascii="Arial" w:eastAsia="Calibri" w:hAnsi="Arial" w:cs="Arial"/>
          <w:bCs/>
          <w:i/>
          <w:iCs/>
          <w:sz w:val="20"/>
          <w:szCs w:val="20"/>
          <w:lang w:val="es-ES_tradnl"/>
        </w:rPr>
        <w:t>a través de las acciones previstas en la Ley 1437 de 2011</w:t>
      </w:r>
      <w:r w:rsidRPr="00575A05">
        <w:rPr>
          <w:rFonts w:ascii="Arial" w:eastAsia="Calibri" w:hAnsi="Arial" w:cs="Arial"/>
          <w:bCs/>
          <w:sz w:val="20"/>
          <w:szCs w:val="20"/>
          <w:lang w:val="es-ES_tradnl"/>
        </w:rPr>
        <w:t xml:space="preserve"> o las normas que la modifiquen, adicionen o sustituyan</w:t>
      </w:r>
    </w:p>
    <w:p w14:paraId="084103C0" w14:textId="77777777" w:rsidR="00A578F5" w:rsidRDefault="00A578F5" w:rsidP="008B6649">
      <w:pPr>
        <w:jc w:val="both"/>
        <w:rPr>
          <w:rFonts w:ascii="Arial" w:eastAsia="Calibri" w:hAnsi="Arial" w:cs="Arial"/>
          <w:b/>
          <w:sz w:val="22"/>
          <w:lang w:val="es-ES_tradnl"/>
        </w:rPr>
      </w:pPr>
    </w:p>
    <w:p w14:paraId="0E6B40B4" w14:textId="7FE98EBB" w:rsidR="006A63EB" w:rsidRPr="00A51520" w:rsidRDefault="00A578F5" w:rsidP="008B6649">
      <w:pPr>
        <w:jc w:val="both"/>
        <w:rPr>
          <w:rFonts w:ascii="Arial" w:eastAsia="Calibri" w:hAnsi="Arial" w:cs="Arial"/>
          <w:sz w:val="20"/>
          <w:szCs w:val="20"/>
          <w:lang w:val="es-ES_tradnl"/>
        </w:rPr>
      </w:pPr>
      <w:r>
        <w:rPr>
          <w:rFonts w:ascii="Arial" w:eastAsia="Calibri" w:hAnsi="Arial" w:cs="Arial"/>
          <w:b/>
          <w:sz w:val="22"/>
          <w:lang w:val="es-ES_tradnl"/>
        </w:rPr>
        <w:t xml:space="preserve">PRESENTACIÓN DE LA DEMANDA </w:t>
      </w:r>
      <w:r w:rsidR="006A63EB" w:rsidRPr="00A51520">
        <w:rPr>
          <w:rFonts w:ascii="Arial" w:eastAsia="Calibri" w:hAnsi="Arial" w:cs="Arial"/>
          <w:b/>
          <w:sz w:val="22"/>
          <w:lang w:val="es-ES_tradnl"/>
        </w:rPr>
        <w:t>–</w:t>
      </w:r>
      <w:r w:rsidR="00AC4A42" w:rsidRPr="00A51520">
        <w:rPr>
          <w:rFonts w:ascii="Arial" w:eastAsia="Calibri" w:hAnsi="Arial" w:cs="Arial"/>
          <w:b/>
          <w:sz w:val="22"/>
          <w:lang w:val="es-ES_tradnl"/>
        </w:rPr>
        <w:t xml:space="preserve"> Aplicación </w:t>
      </w:r>
      <w:r>
        <w:rPr>
          <w:rFonts w:ascii="Arial" w:eastAsia="Calibri" w:hAnsi="Arial" w:cs="Arial"/>
          <w:b/>
          <w:sz w:val="22"/>
          <w:lang w:val="es-ES_tradnl"/>
        </w:rPr>
        <w:t xml:space="preserve">excepción </w:t>
      </w:r>
    </w:p>
    <w:p w14:paraId="5032515D" w14:textId="5D2FE6D6" w:rsidR="006A63EB" w:rsidRPr="00A51520" w:rsidRDefault="006A63EB" w:rsidP="008B6649">
      <w:pPr>
        <w:jc w:val="both"/>
        <w:rPr>
          <w:rFonts w:ascii="Arial" w:eastAsia="Calibri" w:hAnsi="Arial" w:cs="Arial"/>
          <w:sz w:val="20"/>
          <w:szCs w:val="20"/>
          <w:lang w:val="es-ES_tradnl" w:eastAsia="en-US"/>
        </w:rPr>
      </w:pPr>
    </w:p>
    <w:p w14:paraId="613D6048" w14:textId="2BD7F075" w:rsidR="00575A05" w:rsidRDefault="00575A05" w:rsidP="00575A05">
      <w:pPr>
        <w:jc w:val="both"/>
        <w:rPr>
          <w:rFonts w:ascii="Arial" w:eastAsia="Calibri" w:hAnsi="Arial" w:cs="Arial"/>
          <w:sz w:val="20"/>
          <w:szCs w:val="20"/>
          <w:lang w:val="es-ES_tradnl" w:eastAsia="en-US"/>
        </w:rPr>
      </w:pPr>
      <w:r>
        <w:rPr>
          <w:rFonts w:ascii="Arial" w:eastAsia="Calibri" w:hAnsi="Arial" w:cs="Arial"/>
          <w:sz w:val="20"/>
          <w:szCs w:val="20"/>
          <w:lang w:val="es-ES_tradnl" w:eastAsia="en-US"/>
        </w:rPr>
        <w:t>D</w:t>
      </w:r>
      <w:r w:rsidRPr="00575A05">
        <w:rPr>
          <w:rFonts w:ascii="Arial" w:eastAsia="Calibri" w:hAnsi="Arial" w:cs="Arial"/>
          <w:sz w:val="20"/>
          <w:szCs w:val="20"/>
          <w:lang w:val="es-ES_tradnl" w:eastAsia="en-US"/>
        </w:rPr>
        <w:t xml:space="preserve">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CPACA y se ha puesto en marcha el aparato jurisdiccional. En tal sentido, para efectos del parágrafo del artículo 58 de la Ley 2195 de 2022, es viable colegir que desde la presentación de la demanda el acto administrativo es objeto del medio de control jurisdiccional respectivo. </w:t>
      </w:r>
    </w:p>
    <w:p w14:paraId="16307101" w14:textId="77777777" w:rsidR="00575A05" w:rsidRPr="00575A05" w:rsidRDefault="00575A05" w:rsidP="00575A05">
      <w:pPr>
        <w:jc w:val="both"/>
        <w:rPr>
          <w:rFonts w:ascii="Arial" w:eastAsia="Calibri" w:hAnsi="Arial" w:cs="Arial"/>
          <w:sz w:val="20"/>
          <w:szCs w:val="20"/>
          <w:lang w:val="es-ES_tradnl" w:eastAsia="en-US"/>
        </w:rPr>
      </w:pPr>
    </w:p>
    <w:p w14:paraId="5F7D4E9D" w14:textId="77777777" w:rsidR="00575A05" w:rsidRDefault="00575A05" w:rsidP="00575A05">
      <w:pPr>
        <w:jc w:val="both"/>
        <w:rPr>
          <w:rFonts w:ascii="Arial" w:eastAsia="Calibri" w:hAnsi="Arial" w:cs="Arial"/>
          <w:sz w:val="20"/>
          <w:szCs w:val="20"/>
          <w:lang w:val="es-ES_tradnl" w:eastAsia="en-US"/>
        </w:rPr>
      </w:pPr>
      <w:r w:rsidRPr="00575A05">
        <w:rPr>
          <w:rFonts w:ascii="Arial" w:eastAsia="Calibri" w:hAnsi="Arial" w:cs="Arial"/>
          <w:sz w:val="20"/>
          <w:szCs w:val="20"/>
          <w:lang w:val="es-ES_tradnl" w:eastAsia="en-US"/>
        </w:rPr>
        <w:lastRenderedPageBreak/>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una circunstancia particular, por lo que ante varias interpretaciones </w:t>
      </w:r>
      <w:r w:rsidRPr="00575A05">
        <w:rPr>
          <w:rFonts w:ascii="Arial" w:eastAsia="Calibri" w:hAnsi="Arial" w:cs="Arial"/>
          <w:sz w:val="20"/>
          <w:szCs w:val="20"/>
          <w:lang w:eastAsia="en-US"/>
        </w:rPr>
        <w:t xml:space="preserve">debe privilegiarse aquella que represente menor restricción para </w:t>
      </w:r>
      <w:r w:rsidRPr="00575A05">
        <w:rPr>
          <w:rFonts w:ascii="Arial" w:eastAsia="Calibri" w:hAnsi="Arial" w:cs="Arial"/>
          <w:sz w:val="20"/>
          <w:szCs w:val="20"/>
          <w:lang w:val="es-ES_tradnl" w:eastAsia="en-US"/>
        </w:rPr>
        <w:t>el derecho de las personas</w:t>
      </w:r>
      <w:r>
        <w:rPr>
          <w:rFonts w:ascii="Arial" w:eastAsia="Calibri" w:hAnsi="Arial" w:cs="Arial"/>
          <w:sz w:val="20"/>
          <w:szCs w:val="20"/>
          <w:lang w:val="es-ES_tradnl" w:eastAsia="en-US"/>
        </w:rPr>
        <w:t>.</w:t>
      </w:r>
    </w:p>
    <w:p w14:paraId="0C60F842" w14:textId="77777777" w:rsidR="00575A05" w:rsidRDefault="00575A05" w:rsidP="00575A05">
      <w:pPr>
        <w:jc w:val="both"/>
        <w:rPr>
          <w:rFonts w:ascii="Arial" w:eastAsia="Calibri" w:hAnsi="Arial" w:cs="Arial"/>
          <w:sz w:val="20"/>
          <w:szCs w:val="20"/>
          <w:lang w:val="es-ES_tradnl" w:eastAsia="en-US"/>
        </w:rPr>
      </w:pPr>
    </w:p>
    <w:bookmarkEnd w:id="2"/>
    <w:p w14:paraId="4CCA478B" w14:textId="77777777" w:rsidR="00FA2147" w:rsidRPr="00E23980" w:rsidRDefault="00FA2147" w:rsidP="00FA2147">
      <w:pPr>
        <w:jc w:val="both"/>
        <w:rPr>
          <w:rFonts w:ascii="Arial" w:eastAsia="Calibri" w:hAnsi="Arial" w:cs="Arial"/>
          <w:b/>
          <w:sz w:val="22"/>
          <w:lang w:val="es-ES_tradnl"/>
        </w:rPr>
      </w:pPr>
      <w:r>
        <w:rPr>
          <w:rFonts w:ascii="Arial" w:eastAsia="Calibri" w:hAnsi="Arial" w:cs="Arial"/>
          <w:b/>
          <w:sz w:val="22"/>
          <w:lang w:val="es-ES_tradnl"/>
        </w:rPr>
        <w:t>OBRAS CIVILES INCONCLUSAS</w:t>
      </w:r>
      <w:r w:rsidRPr="00E23980">
        <w:rPr>
          <w:rFonts w:ascii="Arial" w:eastAsia="Calibri" w:hAnsi="Arial" w:cs="Arial"/>
          <w:b/>
          <w:sz w:val="22"/>
          <w:lang w:val="es-ES_tradnl"/>
        </w:rPr>
        <w:t xml:space="preserve"> </w:t>
      </w:r>
      <w:bookmarkStart w:id="3" w:name="_Hlk39666823"/>
      <w:r w:rsidRPr="00E23980">
        <w:rPr>
          <w:rFonts w:ascii="Arial" w:eastAsia="Calibri" w:hAnsi="Arial" w:cs="Arial"/>
          <w:b/>
          <w:color w:val="000000" w:themeColor="text1"/>
          <w:sz w:val="22"/>
          <w:lang w:val="es-ES_tradnl"/>
        </w:rPr>
        <w:t>–</w:t>
      </w:r>
      <w:bookmarkEnd w:id="3"/>
      <w:r w:rsidRPr="00E23980">
        <w:rPr>
          <w:rFonts w:ascii="Arial" w:eastAsia="Calibri" w:hAnsi="Arial" w:cs="Arial"/>
          <w:b/>
          <w:sz w:val="22"/>
          <w:lang w:val="es-ES_tradnl"/>
        </w:rPr>
        <w:t xml:space="preserve"> </w:t>
      </w:r>
      <w:r>
        <w:rPr>
          <w:rFonts w:ascii="Arial" w:eastAsia="Calibri" w:hAnsi="Arial" w:cs="Arial"/>
          <w:b/>
          <w:sz w:val="22"/>
          <w:lang w:val="es-ES_tradnl"/>
        </w:rPr>
        <w:t>Concepto</w:t>
      </w:r>
      <w:r w:rsidRPr="00E23980">
        <w:rPr>
          <w:rFonts w:ascii="Arial" w:eastAsia="Calibri" w:hAnsi="Arial" w:cs="Arial"/>
          <w:b/>
          <w:sz w:val="22"/>
          <w:lang w:val="es-ES_tradnl"/>
        </w:rPr>
        <w:t xml:space="preserve"> </w:t>
      </w:r>
      <w:r w:rsidRPr="00E23980">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Ley 2020 de 2020</w:t>
      </w:r>
    </w:p>
    <w:p w14:paraId="07276F13" w14:textId="77777777" w:rsidR="00FA2147" w:rsidRPr="00E23980" w:rsidRDefault="00FA2147" w:rsidP="00FA2147">
      <w:pPr>
        <w:jc w:val="both"/>
        <w:rPr>
          <w:rFonts w:ascii="Arial" w:eastAsia="Calibri" w:hAnsi="Arial" w:cs="Arial"/>
          <w:sz w:val="20"/>
          <w:szCs w:val="20"/>
          <w:lang w:val="es-ES_tradnl"/>
        </w:rPr>
      </w:pPr>
    </w:p>
    <w:p w14:paraId="0EDCDBA3" w14:textId="77777777" w:rsidR="00FA2147" w:rsidRPr="00D618F6" w:rsidRDefault="00FA2147" w:rsidP="00FA2147">
      <w:pPr>
        <w:jc w:val="both"/>
        <w:rPr>
          <w:rFonts w:ascii="Arial" w:eastAsia="Calibri" w:hAnsi="Arial" w:cs="Arial"/>
          <w:bCs/>
          <w:sz w:val="20"/>
          <w:szCs w:val="20"/>
          <w:lang w:val="es-ES_tradnl"/>
        </w:rPr>
      </w:pPr>
      <w:r w:rsidRPr="00D618F6">
        <w:rPr>
          <w:rFonts w:ascii="Arial" w:eastAsia="Calibri" w:hAnsi="Arial" w:cs="Arial"/>
          <w:bCs/>
          <w:sz w:val="20"/>
          <w:szCs w:val="20"/>
          <w:lang w:val="es-ES_tradnl"/>
        </w:rPr>
        <w:t xml:space="preserve">La Ley 2020 de 2020 creó el Registro Nacional de Obras Civiles Inconclusas. Se trata de un sistema que permite identificar el estado de ejecución o terminación de las obras financiadas total o parcialmente con recursos públicos, para concretar su destinación definitiva. Según el inciso primero del literal a) del artículo 2 de esta ley, se entiende por </w:t>
      </w:r>
      <w:r w:rsidRPr="00D618F6">
        <w:rPr>
          <w:rFonts w:ascii="Arial" w:eastAsia="Calibri" w:hAnsi="Arial" w:cs="Arial"/>
          <w:bCs/>
          <w:i/>
          <w:iCs/>
          <w:sz w:val="20"/>
          <w:szCs w:val="20"/>
          <w:lang w:val="es-ES_tradnl"/>
        </w:rPr>
        <w:t>obra civil inconclusa</w:t>
      </w:r>
      <w:r w:rsidRPr="00D618F6">
        <w:rPr>
          <w:rFonts w:ascii="Arial" w:eastAsia="Calibri" w:hAnsi="Arial" w:cs="Arial"/>
          <w:bCs/>
          <w:sz w:val="20"/>
          <w:szCs w:val="20"/>
          <w:lang w:val="es-ES_tradnl"/>
        </w:rPr>
        <w:t xml:space="preserve">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6AA8840C" w14:textId="16019BA8" w:rsidR="00E25359" w:rsidRDefault="00E25359" w:rsidP="008B6649">
      <w:pPr>
        <w:jc w:val="both"/>
        <w:rPr>
          <w:rFonts w:ascii="Arial" w:eastAsia="Calibri" w:hAnsi="Arial" w:cs="Arial"/>
          <w:sz w:val="20"/>
          <w:szCs w:val="20"/>
          <w:lang w:val="es-ES_tradnl" w:eastAsia="en-US"/>
        </w:rPr>
      </w:pPr>
    </w:p>
    <w:p w14:paraId="2F707443" w14:textId="77777777" w:rsidR="00FA2147" w:rsidRPr="00E23980" w:rsidRDefault="00FA2147" w:rsidP="00FA2147">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Pr>
          <w:rFonts w:ascii="Arial" w:eastAsia="Calibri" w:hAnsi="Arial" w:cs="Arial"/>
          <w:b/>
          <w:sz w:val="22"/>
          <w:lang w:val="es-ES_tradnl"/>
        </w:rPr>
        <w:t xml:space="preserve">deber de verificación </w:t>
      </w:r>
      <w:r w:rsidRPr="00E23980">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Discrecionalidad </w:t>
      </w:r>
    </w:p>
    <w:p w14:paraId="0828F8BF" w14:textId="77777777" w:rsidR="00FA2147" w:rsidRPr="00F63107" w:rsidRDefault="00FA2147" w:rsidP="00FA2147">
      <w:pPr>
        <w:jc w:val="both"/>
        <w:rPr>
          <w:rFonts w:ascii="Arial" w:eastAsia="Calibri" w:hAnsi="Arial" w:cs="Arial"/>
          <w:sz w:val="20"/>
          <w:szCs w:val="20"/>
          <w:lang w:val="es-ES_tradnl"/>
        </w:rPr>
      </w:pPr>
    </w:p>
    <w:p w14:paraId="26DB7907" w14:textId="77777777" w:rsidR="00FA2147" w:rsidRDefault="00FA2147" w:rsidP="00FA2147">
      <w:pPr>
        <w:jc w:val="both"/>
        <w:rPr>
          <w:rFonts w:ascii="Arial" w:eastAsia="Calibri" w:hAnsi="Arial" w:cs="Arial"/>
          <w:sz w:val="20"/>
          <w:szCs w:val="20"/>
          <w:lang w:val="es-ES_tradnl"/>
        </w:rPr>
      </w:pPr>
      <w:r w:rsidRPr="00D618F6">
        <w:rPr>
          <w:rFonts w:ascii="Arial" w:eastAsia="Calibri" w:hAnsi="Arial" w:cs="Arial"/>
          <w:sz w:val="20"/>
          <w:szCs w:val="20"/>
          <w:lang w:val="es-ES_tradnl"/>
        </w:rPr>
        <w:t xml:space="preserve">El artículo 6 de la Ley 2020 de 2020 establece un deber a cargo de las entidades estatales dentro de los procedimientos que adelanten para la contratación de obras públicas. Consiste en la obligación de </w:t>
      </w:r>
      <w:r w:rsidRPr="00D618F6">
        <w:rPr>
          <w:rFonts w:ascii="Arial" w:eastAsia="Calibri" w:hAnsi="Arial" w:cs="Arial"/>
          <w:i/>
          <w:iCs/>
          <w:sz w:val="20"/>
          <w:szCs w:val="20"/>
          <w:lang w:val="es-ES_tradnl"/>
        </w:rPr>
        <w:t>consultar</w:t>
      </w:r>
      <w:r w:rsidRPr="00D618F6">
        <w:rPr>
          <w:rFonts w:ascii="Arial" w:eastAsia="Calibri" w:hAnsi="Arial" w:cs="Arial"/>
          <w:sz w:val="20"/>
          <w:szCs w:val="20"/>
          <w:lang w:val="es-ES_tradnl"/>
        </w:rPr>
        <w:t xml:space="preserve"> y </w:t>
      </w:r>
      <w:r w:rsidRPr="00D618F6">
        <w:rPr>
          <w:rFonts w:ascii="Arial" w:eastAsia="Calibri" w:hAnsi="Arial" w:cs="Arial"/>
          <w:i/>
          <w:iCs/>
          <w:sz w:val="20"/>
          <w:szCs w:val="20"/>
          <w:lang w:val="es-ES_tradnl"/>
        </w:rPr>
        <w:t>analizar</w:t>
      </w:r>
      <w:r w:rsidRPr="00D618F6">
        <w:rPr>
          <w:rFonts w:ascii="Arial" w:eastAsia="Calibri" w:hAnsi="Arial" w:cs="Arial"/>
          <w:sz w:val="20"/>
          <w:szCs w:val="20"/>
          <w:lang w:val="es-ES_tradnl"/>
        </w:rPr>
        <w:t xml:space="preserve"> la información contenida en el Registro Nacional de Obras Civiles Inconclusas. Además, dispone que en los procesos de selección de contratistas de obra e interventores han de considerarse las anotaciones del registro en la evaluación de las ofertas</w:t>
      </w:r>
      <w:r>
        <w:rPr>
          <w:rFonts w:ascii="Arial" w:eastAsia="Calibri" w:hAnsi="Arial" w:cs="Arial"/>
          <w:sz w:val="20"/>
          <w:szCs w:val="20"/>
          <w:lang w:val="es-ES_tradnl"/>
        </w:rPr>
        <w:t xml:space="preserve">. </w:t>
      </w:r>
    </w:p>
    <w:p w14:paraId="4CBEB984" w14:textId="77777777" w:rsidR="00FA2147" w:rsidRDefault="00FA2147" w:rsidP="00FA2147">
      <w:pPr>
        <w:jc w:val="both"/>
        <w:rPr>
          <w:rFonts w:ascii="Arial" w:eastAsia="Calibri" w:hAnsi="Arial" w:cs="Arial"/>
          <w:sz w:val="20"/>
          <w:szCs w:val="20"/>
          <w:lang w:val="es-ES_tradnl"/>
        </w:rPr>
      </w:pPr>
    </w:p>
    <w:p w14:paraId="4BDFCABA" w14:textId="77777777" w:rsidR="00FA2147" w:rsidRPr="00D618F6" w:rsidRDefault="00FA2147" w:rsidP="00FA2147">
      <w:pPr>
        <w:jc w:val="both"/>
        <w:rPr>
          <w:rFonts w:ascii="Arial" w:eastAsia="Calibri" w:hAnsi="Arial" w:cs="Arial"/>
          <w:sz w:val="20"/>
          <w:szCs w:val="20"/>
          <w:lang w:val="es-MX"/>
        </w:rPr>
      </w:pPr>
      <w:r>
        <w:rPr>
          <w:rFonts w:ascii="Arial" w:eastAsia="Calibri" w:hAnsi="Arial" w:cs="Arial"/>
          <w:sz w:val="20"/>
          <w:szCs w:val="20"/>
        </w:rPr>
        <w:t xml:space="preserve">[…] </w:t>
      </w:r>
      <w:r w:rsidRPr="00D618F6">
        <w:rPr>
          <w:rFonts w:ascii="Arial" w:eastAsia="Calibri" w:hAnsi="Arial" w:cs="Arial"/>
          <w:sz w:val="20"/>
          <w:szCs w:val="20"/>
        </w:rPr>
        <w:t>como las entidades estatales cuentan con discrecionalidad para determinar los criterios de calificación, corresponde a estas definir, en los pliegos de condiciones, los factores de asignación de puntaje y</w:t>
      </w:r>
      <w:r w:rsidRPr="00D618F6">
        <w:rPr>
          <w:rFonts w:ascii="Arial" w:eastAsia="Calibri" w:hAnsi="Arial" w:cs="Arial"/>
          <w:sz w:val="20"/>
          <w:szCs w:val="20"/>
          <w:lang w:val="es-ES_tradnl"/>
        </w:rPr>
        <w:t xml:space="preserve"> la forma en que se realizará la valoración de las anotaciones vigentes en el Registro Nacional de Obras Civiles Inconclusas al momento de evaluar las ofertas, conforme a los parámetros del artículo 6 de la Ley 2020 de 2020</w:t>
      </w:r>
      <w:r w:rsidRPr="00D618F6">
        <w:rPr>
          <w:rFonts w:ascii="Arial" w:eastAsia="Calibri" w:hAnsi="Arial" w:cs="Arial"/>
          <w:sz w:val="20"/>
          <w:szCs w:val="20"/>
        </w:rPr>
        <w:t xml:space="preserve">. Lo anterior, teniendo en cuenta que </w:t>
      </w:r>
      <w:r w:rsidRPr="00D618F6">
        <w:rPr>
          <w:rFonts w:ascii="Arial" w:eastAsia="Calibri" w:hAnsi="Arial" w:cs="Arial"/>
          <w:sz w:val="20"/>
          <w:szCs w:val="20"/>
          <w:lang w:val="es-MX"/>
        </w:rPr>
        <w:t xml:space="preserve">la norma no restringió a una metodología específica el análisis y la valoración de estas anotaciones. </w:t>
      </w:r>
    </w:p>
    <w:p w14:paraId="6371303D" w14:textId="77777777" w:rsidR="00FA2147" w:rsidRDefault="00FA2147" w:rsidP="00FA2147">
      <w:pPr>
        <w:tabs>
          <w:tab w:val="left" w:pos="1073"/>
        </w:tabs>
        <w:spacing w:line="276" w:lineRule="auto"/>
        <w:jc w:val="both"/>
        <w:rPr>
          <w:rFonts w:ascii="Arial" w:eastAsia="Calibri" w:hAnsi="Arial" w:cs="Arial"/>
          <w:b/>
          <w:sz w:val="22"/>
          <w:lang w:val="es-ES_tradnl"/>
        </w:rPr>
      </w:pPr>
    </w:p>
    <w:p w14:paraId="085478DE" w14:textId="77777777" w:rsidR="00FA2147" w:rsidRPr="006B744B" w:rsidRDefault="00FA2147" w:rsidP="00FA2147">
      <w:pPr>
        <w:tabs>
          <w:tab w:val="left" w:pos="1073"/>
        </w:tabs>
        <w:spacing w:line="276" w:lineRule="auto"/>
        <w:jc w:val="both"/>
        <w:rPr>
          <w:rFonts w:ascii="Arial" w:eastAsia="Calibri" w:hAnsi="Arial" w:cs="Arial"/>
          <w:sz w:val="20"/>
          <w:szCs w:val="20"/>
          <w:lang w:val="es-ES_tradnl"/>
        </w:rPr>
      </w:pPr>
      <w:r>
        <w:rPr>
          <w:rFonts w:ascii="Arial" w:eastAsia="Calibri" w:hAnsi="Arial" w:cs="Arial"/>
          <w:b/>
          <w:sz w:val="22"/>
          <w:lang w:val="es-ES_tradnl"/>
        </w:rPr>
        <w:t xml:space="preserve">DOCUMENTOS TIPO </w:t>
      </w:r>
      <w:bookmarkStart w:id="4" w:name="_Hlk82767465"/>
      <w:r>
        <w:rPr>
          <w:rFonts w:ascii="Arial" w:eastAsia="Calibri" w:hAnsi="Arial" w:cs="Arial"/>
          <w:b/>
          <w:sz w:val="22"/>
          <w:lang w:val="es-ES_tradnl"/>
        </w:rPr>
        <w:t>–</w:t>
      </w:r>
      <w:r w:rsidRPr="00E23980">
        <w:rPr>
          <w:rFonts w:ascii="Arial" w:eastAsia="Calibri" w:hAnsi="Arial" w:cs="Arial"/>
          <w:b/>
          <w:sz w:val="22"/>
          <w:lang w:val="es-ES_tradnl"/>
        </w:rPr>
        <w:t xml:space="preserve"> </w:t>
      </w:r>
      <w:bookmarkEnd w:id="4"/>
      <w:r>
        <w:rPr>
          <w:rFonts w:ascii="Arial" w:eastAsia="Calibri" w:hAnsi="Arial" w:cs="Arial"/>
          <w:b/>
          <w:sz w:val="22"/>
          <w:lang w:val="es-ES_tradnl"/>
        </w:rPr>
        <w:t>Descuento puntaje – Consultar y analizar – Incumplimiento del contratista</w:t>
      </w:r>
    </w:p>
    <w:p w14:paraId="2BAD94EC" w14:textId="77777777" w:rsidR="00FA2147" w:rsidRPr="006B744B" w:rsidRDefault="00FA2147" w:rsidP="00FA2147">
      <w:pPr>
        <w:tabs>
          <w:tab w:val="left" w:pos="1073"/>
        </w:tabs>
        <w:jc w:val="both"/>
        <w:rPr>
          <w:rFonts w:ascii="Arial" w:eastAsia="Calibri" w:hAnsi="Arial" w:cs="Arial"/>
          <w:bCs/>
          <w:sz w:val="20"/>
          <w:szCs w:val="20"/>
          <w:lang w:val="es-ES_tradnl"/>
        </w:rPr>
      </w:pPr>
    </w:p>
    <w:p w14:paraId="3D36E505" w14:textId="77777777" w:rsidR="00FA2147" w:rsidRPr="006B744B" w:rsidRDefault="00FA2147" w:rsidP="00FA2147">
      <w:pPr>
        <w:tabs>
          <w:tab w:val="left" w:pos="1073"/>
        </w:tabs>
        <w:jc w:val="both"/>
        <w:rPr>
          <w:rFonts w:ascii="Arial" w:eastAsia="Calibri" w:hAnsi="Arial" w:cs="Arial"/>
          <w:bCs/>
          <w:sz w:val="20"/>
          <w:szCs w:val="20"/>
        </w:rPr>
      </w:pPr>
      <w:r w:rsidRPr="00D618F6">
        <w:rPr>
          <w:rFonts w:ascii="Arial" w:eastAsia="Calibri" w:hAnsi="Arial" w:cs="Arial"/>
          <w:bCs/>
          <w:sz w:val="20"/>
          <w:szCs w:val="20"/>
          <w:lang w:val="es-MX"/>
        </w:rPr>
        <w:t>de conformidad con las competencias asignadas,</w:t>
      </w:r>
      <w:r w:rsidRPr="00D618F6">
        <w:rPr>
          <w:rFonts w:ascii="Arial" w:eastAsia="Calibri" w:hAnsi="Arial" w:cs="Arial"/>
          <w:bCs/>
          <w:sz w:val="20"/>
          <w:szCs w:val="20"/>
        </w:rPr>
        <w:t xml:space="preserve"> la Agencia Nacional de Contratación Pública – Colombia Compra Eficiente ha expedido las Resoluciones respectivas, mediante las cuales implementa y desarrolla, entre otros, los Documentos Tipo aplicables a los procesos de obra pública de infraestructura de transporte, en las modalidades de licitación pública, selección abreviada de menor cuantía, mínima cuantía e interventoría, así como los Documentos Tipo para los procesos de licitación de obra pública de infraestructura de agua potable y saneamiento básico y los de obra pública de infraestructura socia</w:t>
      </w:r>
      <w:r>
        <w:rPr>
          <w:rFonts w:ascii="Arial" w:eastAsia="Calibri" w:hAnsi="Arial" w:cs="Arial"/>
          <w:bCs/>
          <w:sz w:val="20"/>
          <w:szCs w:val="20"/>
        </w:rPr>
        <w:t>l</w:t>
      </w:r>
      <w:r w:rsidRPr="006B744B">
        <w:rPr>
          <w:rFonts w:ascii="Arial" w:eastAsia="Calibri" w:hAnsi="Arial" w:cs="Arial"/>
          <w:bCs/>
          <w:sz w:val="20"/>
          <w:szCs w:val="20"/>
        </w:rPr>
        <w:t xml:space="preserve">. De acuerdo con el «Documento Base» de dichos procesos, con excepción de la mínima cuantía, en el numeral 4.2 «Factor de Calidad» se contempló que: </w:t>
      </w:r>
      <w:r w:rsidRPr="006B744B">
        <w:rPr>
          <w:rFonts w:ascii="Arial" w:eastAsia="Calibri" w:hAnsi="Arial" w:cs="Arial"/>
          <w:bCs/>
          <w:sz w:val="20"/>
          <w:szCs w:val="20"/>
          <w:lang w:val="es-ES_tradnl"/>
        </w:rPr>
        <w:t xml:space="preserve">Las entidades estatales deben </w:t>
      </w:r>
      <w:r w:rsidRPr="006B744B">
        <w:rPr>
          <w:rFonts w:ascii="Arial" w:eastAsia="Calibri" w:hAnsi="Arial" w:cs="Arial"/>
          <w:bCs/>
          <w:i/>
          <w:iCs/>
          <w:sz w:val="20"/>
          <w:szCs w:val="20"/>
          <w:lang w:val="es-ES_tradnl"/>
        </w:rPr>
        <w:t>consultar</w:t>
      </w:r>
      <w:r w:rsidRPr="006B744B">
        <w:rPr>
          <w:rFonts w:ascii="Arial" w:eastAsia="Calibri" w:hAnsi="Arial" w:cs="Arial"/>
          <w:bCs/>
          <w:sz w:val="20"/>
          <w:szCs w:val="20"/>
          <w:lang w:val="es-ES_tradnl"/>
        </w:rPr>
        <w:t xml:space="preserve"> y </w:t>
      </w:r>
      <w:r w:rsidRPr="006B744B">
        <w:rPr>
          <w:rFonts w:ascii="Arial" w:eastAsia="Calibri" w:hAnsi="Arial" w:cs="Arial"/>
          <w:bCs/>
          <w:i/>
          <w:iCs/>
          <w:sz w:val="20"/>
          <w:szCs w:val="20"/>
          <w:lang w:val="es-ES_tradnl"/>
        </w:rPr>
        <w:t>analizar</w:t>
      </w:r>
      <w:r w:rsidRPr="006B744B">
        <w:rPr>
          <w:rFonts w:ascii="Arial" w:eastAsia="Calibri" w:hAnsi="Arial" w:cs="Arial"/>
          <w:bCs/>
          <w:sz w:val="20"/>
          <w:szCs w:val="20"/>
          <w:lang w:val="es-ES_tradnl"/>
        </w:rPr>
        <w:t xml:space="preserve"> las anotaciones vigentes que reposen en el Registro Nacional de Obras Civiles Inconclusas, de que trata la Ley 2020 de 2020. En el evento que las personas naturales o jurídicas, nacionales o extranjeras domiciliadas o con sucursal en Colombia, </w:t>
      </w:r>
      <w:r w:rsidRPr="006B744B">
        <w:rPr>
          <w:rFonts w:ascii="Arial" w:eastAsia="Calibri" w:hAnsi="Arial" w:cs="Arial"/>
          <w:bCs/>
          <w:sz w:val="20"/>
          <w:szCs w:val="20"/>
          <w:lang w:val="es-ES_tradnl"/>
        </w:rPr>
        <w:lastRenderedPageBreak/>
        <w:t>o integrantes de proponentes plurales, cuenten con alguna anotación vigente de obra civil inconclusa, en el mencionado registro, se descontará un (1) punto de la sumatoria obtenida en relación con el factor de calidad. (Énfasis fuera de texto)</w:t>
      </w:r>
    </w:p>
    <w:p w14:paraId="7DFCCEFF" w14:textId="77777777" w:rsidR="00FA2147" w:rsidRDefault="00FA2147" w:rsidP="00FA2147">
      <w:pPr>
        <w:tabs>
          <w:tab w:val="left" w:pos="0"/>
        </w:tabs>
        <w:jc w:val="both"/>
        <w:rPr>
          <w:rFonts w:ascii="Arial" w:eastAsia="Calibri" w:hAnsi="Arial" w:cs="Arial"/>
          <w:color w:val="000000"/>
          <w:sz w:val="20"/>
          <w:szCs w:val="20"/>
          <w:lang w:eastAsia="en-GB"/>
        </w:rPr>
      </w:pPr>
    </w:p>
    <w:p w14:paraId="669E1933" w14:textId="77777777" w:rsidR="00FA2147" w:rsidRPr="00D618F6" w:rsidRDefault="00FA2147" w:rsidP="00FA2147">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eastAsia="en-GB"/>
        </w:rPr>
        <w:t xml:space="preserve">[…] </w:t>
      </w:r>
      <w:r w:rsidRPr="00D618F6">
        <w:rPr>
          <w:rFonts w:ascii="Arial" w:eastAsia="Calibri" w:hAnsi="Arial" w:cs="Arial"/>
          <w:color w:val="000000"/>
          <w:sz w:val="20"/>
          <w:szCs w:val="20"/>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D618F6">
        <w:rPr>
          <w:rFonts w:ascii="Arial" w:eastAsia="Calibri" w:hAnsi="Arial" w:cs="Arial"/>
          <w:color w:val="000000"/>
          <w:sz w:val="20"/>
          <w:szCs w:val="20"/>
          <w:lang w:val="es-MX" w:eastAsia="en-GB"/>
        </w:rPr>
        <w:t>si esa anotación se dio por un incumplimiento del contratista, por lo que, dependiendo del supuesto, la entidad descontará el punto.</w:t>
      </w:r>
    </w:p>
    <w:p w14:paraId="56BD3F3E" w14:textId="77777777" w:rsidR="00FA2147" w:rsidRPr="00FA2147" w:rsidRDefault="00FA2147" w:rsidP="008B6649">
      <w:pPr>
        <w:jc w:val="both"/>
        <w:rPr>
          <w:rFonts w:ascii="Arial" w:eastAsia="Calibri" w:hAnsi="Arial" w:cs="Arial"/>
          <w:sz w:val="20"/>
          <w:szCs w:val="20"/>
          <w:lang w:val="es-MX" w:eastAsia="en-US"/>
        </w:rPr>
      </w:pPr>
    </w:p>
    <w:p w14:paraId="2B03F0AB" w14:textId="51348804" w:rsidR="00575A05" w:rsidRDefault="00575A05" w:rsidP="008B6649">
      <w:pPr>
        <w:jc w:val="both"/>
        <w:rPr>
          <w:rFonts w:ascii="Arial" w:eastAsia="Calibri" w:hAnsi="Arial" w:cs="Arial"/>
          <w:sz w:val="20"/>
          <w:szCs w:val="20"/>
          <w:lang w:val="es-ES_tradnl" w:eastAsia="en-US"/>
        </w:rPr>
      </w:pPr>
    </w:p>
    <w:p w14:paraId="6752EE9F" w14:textId="73993C8D" w:rsidR="00575A05" w:rsidRDefault="00575A05" w:rsidP="008B6649">
      <w:pPr>
        <w:jc w:val="both"/>
        <w:rPr>
          <w:rFonts w:ascii="Arial" w:eastAsia="Calibri" w:hAnsi="Arial" w:cs="Arial"/>
          <w:sz w:val="20"/>
          <w:szCs w:val="20"/>
          <w:lang w:val="es-ES_tradnl" w:eastAsia="en-US"/>
        </w:rPr>
      </w:pPr>
    </w:p>
    <w:p w14:paraId="58B4D18D" w14:textId="77777777" w:rsidR="00575A05" w:rsidRDefault="00575A05" w:rsidP="008B6649">
      <w:pPr>
        <w:jc w:val="both"/>
        <w:rPr>
          <w:rFonts w:ascii="Arial" w:eastAsia="Calibri" w:hAnsi="Arial" w:cs="Arial"/>
          <w:sz w:val="20"/>
          <w:szCs w:val="20"/>
          <w:lang w:val="es-ES_tradnl" w:eastAsia="en-US"/>
        </w:rPr>
      </w:pPr>
    </w:p>
    <w:p w14:paraId="42524B3B" w14:textId="6A1CED6C" w:rsidR="00E25359" w:rsidRDefault="00E25359" w:rsidP="008B6649">
      <w:pPr>
        <w:jc w:val="both"/>
        <w:rPr>
          <w:rFonts w:ascii="Arial" w:eastAsia="Calibri" w:hAnsi="Arial" w:cs="Arial"/>
          <w:sz w:val="20"/>
          <w:szCs w:val="20"/>
          <w:lang w:val="es-ES_tradnl" w:eastAsia="en-US"/>
        </w:rPr>
      </w:pPr>
    </w:p>
    <w:p w14:paraId="72CD4403" w14:textId="6F976F0D" w:rsidR="00E25359" w:rsidRDefault="00E25359" w:rsidP="008B6649">
      <w:pPr>
        <w:jc w:val="both"/>
        <w:rPr>
          <w:rFonts w:ascii="Arial" w:eastAsia="Calibri" w:hAnsi="Arial" w:cs="Arial"/>
          <w:sz w:val="20"/>
          <w:szCs w:val="20"/>
          <w:lang w:val="es-ES_tradnl" w:eastAsia="en-US"/>
        </w:rPr>
      </w:pPr>
    </w:p>
    <w:p w14:paraId="1F464942" w14:textId="77777777" w:rsidR="00E25359" w:rsidRDefault="00E25359" w:rsidP="008B6649">
      <w:pPr>
        <w:jc w:val="both"/>
        <w:rPr>
          <w:rFonts w:ascii="Arial" w:eastAsia="Calibri" w:hAnsi="Arial" w:cs="Arial"/>
          <w:bCs/>
          <w:sz w:val="20"/>
          <w:szCs w:val="20"/>
          <w:lang w:val="es-ES_tradnl" w:eastAsia="en-US"/>
        </w:rPr>
      </w:pPr>
    </w:p>
    <w:p w14:paraId="36AE699A" w14:textId="77777777" w:rsidR="00631A31" w:rsidRPr="00A51520" w:rsidRDefault="00631A31" w:rsidP="001E442F">
      <w:pPr>
        <w:jc w:val="both"/>
        <w:rPr>
          <w:rFonts w:ascii="Arial" w:hAnsi="Arial" w:cs="Arial"/>
          <w:b/>
          <w:color w:val="000000" w:themeColor="text1"/>
          <w:sz w:val="22"/>
        </w:rPr>
      </w:pPr>
    </w:p>
    <w:p w14:paraId="5C1617A7" w14:textId="77777777" w:rsidR="00631A31" w:rsidRPr="00A51520" w:rsidRDefault="00631A31" w:rsidP="001E442F">
      <w:pPr>
        <w:jc w:val="both"/>
        <w:rPr>
          <w:rFonts w:ascii="Arial" w:eastAsia="Calibri" w:hAnsi="Arial" w:cs="Arial"/>
          <w:noProof/>
          <w:color w:val="000000" w:themeColor="text1"/>
          <w:sz w:val="20"/>
        </w:rPr>
      </w:pPr>
    </w:p>
    <w:p w14:paraId="47816AB8" w14:textId="77777777" w:rsidR="00E6787D" w:rsidRDefault="00E6787D" w:rsidP="00D93DA7">
      <w:pPr>
        <w:spacing w:line="276" w:lineRule="auto"/>
        <w:jc w:val="both"/>
        <w:rPr>
          <w:rFonts w:ascii="Arial" w:hAnsi="Arial" w:cs="Arial"/>
          <w:noProof/>
          <w:color w:val="000000" w:themeColor="text1"/>
          <w:sz w:val="22"/>
        </w:rPr>
      </w:pPr>
    </w:p>
    <w:p w14:paraId="3E24281A" w14:textId="77777777" w:rsidR="00E6787D" w:rsidRDefault="00E6787D" w:rsidP="00D93DA7">
      <w:pPr>
        <w:spacing w:line="276" w:lineRule="auto"/>
        <w:jc w:val="both"/>
        <w:rPr>
          <w:rFonts w:ascii="Arial" w:hAnsi="Arial" w:cs="Arial"/>
          <w:noProof/>
          <w:color w:val="000000" w:themeColor="text1"/>
          <w:sz w:val="22"/>
        </w:rPr>
      </w:pPr>
    </w:p>
    <w:p w14:paraId="3E9E0246" w14:textId="77777777" w:rsidR="00E6787D" w:rsidRDefault="00E6787D" w:rsidP="00D93DA7">
      <w:pPr>
        <w:spacing w:line="276" w:lineRule="auto"/>
        <w:jc w:val="both"/>
        <w:rPr>
          <w:rFonts w:ascii="Arial" w:hAnsi="Arial" w:cs="Arial"/>
          <w:noProof/>
          <w:color w:val="000000" w:themeColor="text1"/>
          <w:sz w:val="22"/>
        </w:rPr>
      </w:pPr>
    </w:p>
    <w:p w14:paraId="362296FA" w14:textId="77777777" w:rsidR="00E6787D" w:rsidRDefault="00E6787D" w:rsidP="00D93DA7">
      <w:pPr>
        <w:spacing w:line="276" w:lineRule="auto"/>
        <w:jc w:val="both"/>
        <w:rPr>
          <w:rFonts w:ascii="Arial" w:hAnsi="Arial" w:cs="Arial"/>
          <w:noProof/>
          <w:color w:val="000000" w:themeColor="text1"/>
          <w:sz w:val="22"/>
        </w:rPr>
      </w:pPr>
    </w:p>
    <w:p w14:paraId="65DFF5D6" w14:textId="77777777" w:rsidR="00E6787D" w:rsidRDefault="00E6787D" w:rsidP="00D93DA7">
      <w:pPr>
        <w:spacing w:line="276" w:lineRule="auto"/>
        <w:jc w:val="both"/>
        <w:rPr>
          <w:rFonts w:ascii="Arial" w:hAnsi="Arial" w:cs="Arial"/>
          <w:noProof/>
          <w:color w:val="000000" w:themeColor="text1"/>
          <w:sz w:val="22"/>
        </w:rPr>
      </w:pPr>
    </w:p>
    <w:p w14:paraId="465972EE" w14:textId="77777777" w:rsidR="00E6787D" w:rsidRDefault="00E6787D" w:rsidP="00D93DA7">
      <w:pPr>
        <w:spacing w:line="276" w:lineRule="auto"/>
        <w:jc w:val="both"/>
        <w:rPr>
          <w:rFonts w:ascii="Arial" w:hAnsi="Arial" w:cs="Arial"/>
          <w:noProof/>
          <w:color w:val="000000" w:themeColor="text1"/>
          <w:sz w:val="22"/>
        </w:rPr>
      </w:pPr>
    </w:p>
    <w:p w14:paraId="009B49D5" w14:textId="77777777" w:rsidR="00E6787D" w:rsidRDefault="00E6787D" w:rsidP="00D93DA7">
      <w:pPr>
        <w:spacing w:line="276" w:lineRule="auto"/>
        <w:jc w:val="both"/>
        <w:rPr>
          <w:rFonts w:ascii="Arial" w:hAnsi="Arial" w:cs="Arial"/>
          <w:noProof/>
          <w:color w:val="000000" w:themeColor="text1"/>
          <w:sz w:val="22"/>
        </w:rPr>
      </w:pPr>
    </w:p>
    <w:p w14:paraId="301B550F" w14:textId="77777777" w:rsidR="00E6787D" w:rsidRDefault="00E6787D" w:rsidP="00D93DA7">
      <w:pPr>
        <w:spacing w:line="276" w:lineRule="auto"/>
        <w:jc w:val="both"/>
        <w:rPr>
          <w:rFonts w:ascii="Arial" w:hAnsi="Arial" w:cs="Arial"/>
          <w:noProof/>
          <w:color w:val="000000" w:themeColor="text1"/>
          <w:sz w:val="22"/>
        </w:rPr>
      </w:pPr>
    </w:p>
    <w:p w14:paraId="0B725B34" w14:textId="77777777" w:rsidR="00E6787D" w:rsidRDefault="00E6787D" w:rsidP="00D93DA7">
      <w:pPr>
        <w:spacing w:line="276" w:lineRule="auto"/>
        <w:jc w:val="both"/>
        <w:rPr>
          <w:rFonts w:ascii="Arial" w:hAnsi="Arial" w:cs="Arial"/>
          <w:noProof/>
          <w:color w:val="000000" w:themeColor="text1"/>
          <w:sz w:val="22"/>
        </w:rPr>
      </w:pPr>
    </w:p>
    <w:p w14:paraId="4E3E5E08" w14:textId="77777777" w:rsidR="00E6787D" w:rsidRDefault="00E6787D" w:rsidP="00D93DA7">
      <w:pPr>
        <w:spacing w:line="276" w:lineRule="auto"/>
        <w:jc w:val="both"/>
        <w:rPr>
          <w:rFonts w:ascii="Arial" w:hAnsi="Arial" w:cs="Arial"/>
          <w:noProof/>
          <w:color w:val="000000" w:themeColor="text1"/>
          <w:sz w:val="22"/>
        </w:rPr>
      </w:pPr>
    </w:p>
    <w:p w14:paraId="21F0B4FB" w14:textId="77777777" w:rsidR="00E6787D" w:rsidRDefault="00E6787D" w:rsidP="00D93DA7">
      <w:pPr>
        <w:spacing w:line="276" w:lineRule="auto"/>
        <w:jc w:val="both"/>
        <w:rPr>
          <w:rFonts w:ascii="Arial" w:hAnsi="Arial" w:cs="Arial"/>
          <w:noProof/>
          <w:color w:val="000000" w:themeColor="text1"/>
          <w:sz w:val="22"/>
        </w:rPr>
      </w:pPr>
    </w:p>
    <w:p w14:paraId="20952ADD" w14:textId="77777777" w:rsidR="00E6787D" w:rsidRDefault="00E6787D" w:rsidP="00D93DA7">
      <w:pPr>
        <w:spacing w:line="276" w:lineRule="auto"/>
        <w:jc w:val="both"/>
        <w:rPr>
          <w:rFonts w:ascii="Arial" w:hAnsi="Arial" w:cs="Arial"/>
          <w:noProof/>
          <w:color w:val="000000" w:themeColor="text1"/>
          <w:sz w:val="22"/>
        </w:rPr>
      </w:pPr>
    </w:p>
    <w:p w14:paraId="54C97C6E" w14:textId="77777777" w:rsidR="00E6787D" w:rsidRDefault="00E6787D" w:rsidP="00D93DA7">
      <w:pPr>
        <w:spacing w:line="276" w:lineRule="auto"/>
        <w:jc w:val="both"/>
        <w:rPr>
          <w:rFonts w:ascii="Arial" w:hAnsi="Arial" w:cs="Arial"/>
          <w:noProof/>
          <w:color w:val="000000" w:themeColor="text1"/>
          <w:sz w:val="22"/>
        </w:rPr>
      </w:pPr>
    </w:p>
    <w:p w14:paraId="28F00776" w14:textId="77777777" w:rsidR="00E6787D" w:rsidRDefault="00E6787D" w:rsidP="00D93DA7">
      <w:pPr>
        <w:spacing w:line="276" w:lineRule="auto"/>
        <w:jc w:val="both"/>
        <w:rPr>
          <w:rFonts w:ascii="Arial" w:hAnsi="Arial" w:cs="Arial"/>
          <w:noProof/>
          <w:color w:val="000000" w:themeColor="text1"/>
          <w:sz w:val="22"/>
        </w:rPr>
      </w:pPr>
    </w:p>
    <w:p w14:paraId="0E2A0E49" w14:textId="77777777" w:rsidR="00E6787D" w:rsidRDefault="00E6787D" w:rsidP="00D93DA7">
      <w:pPr>
        <w:spacing w:line="276" w:lineRule="auto"/>
        <w:jc w:val="both"/>
        <w:rPr>
          <w:rFonts w:ascii="Arial" w:hAnsi="Arial" w:cs="Arial"/>
          <w:noProof/>
          <w:color w:val="000000" w:themeColor="text1"/>
          <w:sz w:val="22"/>
        </w:rPr>
      </w:pPr>
    </w:p>
    <w:p w14:paraId="132813DF" w14:textId="77777777" w:rsidR="00E6787D" w:rsidRDefault="00E6787D" w:rsidP="00D93DA7">
      <w:pPr>
        <w:spacing w:line="276" w:lineRule="auto"/>
        <w:jc w:val="both"/>
        <w:rPr>
          <w:rFonts w:ascii="Arial" w:hAnsi="Arial" w:cs="Arial"/>
          <w:noProof/>
          <w:color w:val="000000" w:themeColor="text1"/>
          <w:sz w:val="22"/>
        </w:rPr>
      </w:pPr>
    </w:p>
    <w:p w14:paraId="21ACD441" w14:textId="77777777" w:rsidR="00E6787D" w:rsidRDefault="00E6787D" w:rsidP="00D93DA7">
      <w:pPr>
        <w:spacing w:line="276" w:lineRule="auto"/>
        <w:jc w:val="both"/>
        <w:rPr>
          <w:rFonts w:ascii="Arial" w:hAnsi="Arial" w:cs="Arial"/>
          <w:noProof/>
          <w:color w:val="000000" w:themeColor="text1"/>
          <w:sz w:val="22"/>
        </w:rPr>
      </w:pPr>
    </w:p>
    <w:p w14:paraId="00F0CE75" w14:textId="77777777" w:rsidR="00E6787D" w:rsidRDefault="00E6787D" w:rsidP="00D93DA7">
      <w:pPr>
        <w:spacing w:line="276" w:lineRule="auto"/>
        <w:jc w:val="both"/>
        <w:rPr>
          <w:rFonts w:ascii="Arial" w:hAnsi="Arial" w:cs="Arial"/>
          <w:noProof/>
          <w:color w:val="000000" w:themeColor="text1"/>
          <w:sz w:val="22"/>
        </w:rPr>
      </w:pPr>
    </w:p>
    <w:p w14:paraId="271DB29F" w14:textId="77777777" w:rsidR="00E6787D" w:rsidRDefault="00E6787D" w:rsidP="00D93DA7">
      <w:pPr>
        <w:spacing w:line="276" w:lineRule="auto"/>
        <w:jc w:val="both"/>
        <w:rPr>
          <w:rFonts w:ascii="Arial" w:hAnsi="Arial" w:cs="Arial"/>
          <w:noProof/>
          <w:color w:val="000000" w:themeColor="text1"/>
          <w:sz w:val="22"/>
        </w:rPr>
      </w:pPr>
    </w:p>
    <w:p w14:paraId="553DC5F7" w14:textId="77777777" w:rsidR="00E6787D" w:rsidRDefault="00E6787D" w:rsidP="00D93DA7">
      <w:pPr>
        <w:spacing w:line="276" w:lineRule="auto"/>
        <w:jc w:val="both"/>
        <w:rPr>
          <w:rFonts w:ascii="Arial" w:hAnsi="Arial" w:cs="Arial"/>
          <w:noProof/>
          <w:color w:val="000000" w:themeColor="text1"/>
          <w:sz w:val="22"/>
        </w:rPr>
      </w:pPr>
    </w:p>
    <w:p w14:paraId="64D69608" w14:textId="77777777" w:rsidR="00E6787D" w:rsidRDefault="00E6787D" w:rsidP="00D93DA7">
      <w:pPr>
        <w:spacing w:line="276" w:lineRule="auto"/>
        <w:jc w:val="both"/>
        <w:rPr>
          <w:rFonts w:ascii="Arial" w:hAnsi="Arial" w:cs="Arial"/>
          <w:noProof/>
          <w:color w:val="000000" w:themeColor="text1"/>
          <w:sz w:val="22"/>
        </w:rPr>
      </w:pPr>
    </w:p>
    <w:p w14:paraId="08932F92" w14:textId="77777777" w:rsidR="00E6787D" w:rsidRDefault="00E6787D" w:rsidP="00D93DA7">
      <w:pPr>
        <w:spacing w:line="276" w:lineRule="auto"/>
        <w:jc w:val="both"/>
        <w:rPr>
          <w:rFonts w:ascii="Arial" w:hAnsi="Arial" w:cs="Arial"/>
          <w:noProof/>
          <w:color w:val="000000" w:themeColor="text1"/>
          <w:sz w:val="22"/>
        </w:rPr>
      </w:pPr>
    </w:p>
    <w:p w14:paraId="0F6C9ECF" w14:textId="77777777" w:rsidR="00E6787D" w:rsidRDefault="00E6787D" w:rsidP="00D93DA7">
      <w:pPr>
        <w:spacing w:line="276" w:lineRule="auto"/>
        <w:jc w:val="both"/>
        <w:rPr>
          <w:rFonts w:ascii="Arial" w:hAnsi="Arial" w:cs="Arial"/>
          <w:noProof/>
          <w:color w:val="000000" w:themeColor="text1"/>
          <w:sz w:val="22"/>
        </w:rPr>
      </w:pPr>
    </w:p>
    <w:p w14:paraId="2729BA4E" w14:textId="6C3FC6B9" w:rsidR="00E6787D" w:rsidRDefault="00E6787D" w:rsidP="00D93DA7">
      <w:pPr>
        <w:spacing w:line="276" w:lineRule="auto"/>
        <w:jc w:val="both"/>
        <w:rPr>
          <w:rFonts w:ascii="Arial" w:hAnsi="Arial" w:cs="Arial"/>
          <w:noProof/>
          <w:color w:val="000000" w:themeColor="text1"/>
          <w:sz w:val="22"/>
        </w:rPr>
      </w:pPr>
    </w:p>
    <w:p w14:paraId="65B7944D" w14:textId="77777777" w:rsidR="009901E1" w:rsidRDefault="009901E1" w:rsidP="00D93DA7">
      <w:pPr>
        <w:spacing w:line="276" w:lineRule="auto"/>
        <w:jc w:val="both"/>
        <w:rPr>
          <w:rFonts w:ascii="Arial" w:hAnsi="Arial" w:cs="Arial"/>
          <w:noProof/>
          <w:color w:val="000000" w:themeColor="text1"/>
          <w:sz w:val="22"/>
        </w:rPr>
      </w:pPr>
    </w:p>
    <w:p w14:paraId="75E1FA97" w14:textId="77777777" w:rsidR="00632E89" w:rsidRDefault="00632E89" w:rsidP="00D93DA7">
      <w:pPr>
        <w:spacing w:line="276" w:lineRule="auto"/>
        <w:jc w:val="both"/>
        <w:rPr>
          <w:rFonts w:ascii="Arial" w:hAnsi="Arial" w:cs="Arial"/>
          <w:noProof/>
          <w:color w:val="000000" w:themeColor="text1"/>
          <w:sz w:val="22"/>
        </w:rPr>
      </w:pPr>
    </w:p>
    <w:p w14:paraId="26FAA568" w14:textId="77777777" w:rsidR="00632E89" w:rsidRDefault="00632E89" w:rsidP="00D93DA7">
      <w:pPr>
        <w:spacing w:line="276" w:lineRule="auto"/>
        <w:jc w:val="both"/>
        <w:rPr>
          <w:rFonts w:ascii="Arial" w:hAnsi="Arial" w:cs="Arial"/>
          <w:noProof/>
          <w:color w:val="000000" w:themeColor="text1"/>
          <w:sz w:val="22"/>
        </w:rPr>
      </w:pPr>
    </w:p>
    <w:p w14:paraId="5FDF9495" w14:textId="2FADAFF7" w:rsidR="00631A31" w:rsidRDefault="00632E89" w:rsidP="00B95C30">
      <w:pPr>
        <w:jc w:val="both"/>
        <w:rPr>
          <w:rFonts w:ascii="_M¸∫ò" w:eastAsiaTheme="minorHAnsi" w:hAnsi="_M¸∫ò" w:cs="_M¸∫ò"/>
          <w:color w:val="4E4D4D"/>
          <w:sz w:val="22"/>
          <w:szCs w:val="22"/>
          <w:lang w:val="es-ES_tradnl" w:eastAsia="en-US"/>
        </w:rPr>
      </w:pPr>
      <w:bookmarkStart w:id="5" w:name="_Hlk97645552"/>
      <w:r>
        <w:rPr>
          <w:rFonts w:ascii="_M¸∫ò" w:eastAsiaTheme="minorHAnsi" w:hAnsi="_M¸∫ò" w:cs="_M¸∫ò"/>
          <w:color w:val="4E4D4D"/>
          <w:sz w:val="22"/>
          <w:szCs w:val="22"/>
          <w:lang w:val="es-ES_tradnl" w:eastAsia="en-US"/>
        </w:rPr>
        <w:t xml:space="preserve">Bogotá, 12 </w:t>
      </w:r>
      <w:proofErr w:type="gramStart"/>
      <w:r>
        <w:rPr>
          <w:rFonts w:ascii="_M¸∫ò" w:eastAsiaTheme="minorHAnsi" w:hAnsi="_M¸∫ò" w:cs="_M¸∫ò"/>
          <w:color w:val="4E4D4D"/>
          <w:sz w:val="22"/>
          <w:szCs w:val="22"/>
          <w:lang w:val="es-ES_tradnl" w:eastAsia="en-US"/>
        </w:rPr>
        <w:t>Abril</w:t>
      </w:r>
      <w:proofErr w:type="gramEnd"/>
      <w:r>
        <w:rPr>
          <w:rFonts w:ascii="_M¸∫ò" w:eastAsiaTheme="minorHAnsi" w:hAnsi="_M¸∫ò" w:cs="_M¸∫ò"/>
          <w:color w:val="4E4D4D"/>
          <w:sz w:val="22"/>
          <w:szCs w:val="22"/>
          <w:lang w:val="es-ES_tradnl" w:eastAsia="en-US"/>
        </w:rPr>
        <w:t xml:space="preserve"> 2022                                                   </w:t>
      </w:r>
      <w:r w:rsidRPr="00632E89">
        <w:rPr>
          <w:rFonts w:ascii="_M¸∫ò" w:eastAsiaTheme="minorHAnsi" w:hAnsi="_M¸∫ò" w:cs="_M¸∫ò"/>
          <w:noProof/>
          <w:color w:val="4E4D4D"/>
          <w:sz w:val="22"/>
          <w:szCs w:val="22"/>
          <w:lang w:val="es-ES_tradnl" w:eastAsia="en-US"/>
        </w:rPr>
        <w:drawing>
          <wp:inline distT="0" distB="0" distL="0" distR="0" wp14:anchorId="3544742B" wp14:editId="34757CCB">
            <wp:extent cx="2939143" cy="587375"/>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980398" cy="595620"/>
                    </a:xfrm>
                    <a:prstGeom prst="rect">
                      <a:avLst/>
                    </a:prstGeom>
                  </pic:spPr>
                </pic:pic>
              </a:graphicData>
            </a:graphic>
          </wp:inline>
        </w:drawing>
      </w:r>
    </w:p>
    <w:p w14:paraId="22A54915" w14:textId="6F3F93AF" w:rsidR="00632E89" w:rsidRDefault="00632E89" w:rsidP="00B95C30">
      <w:pPr>
        <w:jc w:val="both"/>
        <w:rPr>
          <w:rFonts w:ascii="_M¸∫ò" w:eastAsiaTheme="minorHAnsi" w:hAnsi="_M¸∫ò" w:cs="_M¸∫ò"/>
          <w:color w:val="4E4D4D"/>
          <w:sz w:val="22"/>
          <w:szCs w:val="22"/>
          <w:lang w:val="es-ES_tradnl" w:eastAsia="en-US"/>
        </w:rPr>
      </w:pPr>
    </w:p>
    <w:p w14:paraId="39377F3C" w14:textId="77777777" w:rsidR="00632E89" w:rsidRPr="003D74E7" w:rsidRDefault="00632E89" w:rsidP="00B95C30">
      <w:pPr>
        <w:jc w:val="both"/>
        <w:rPr>
          <w:rFonts w:ascii="Arial" w:hAnsi="Arial" w:cs="Arial"/>
          <w:b/>
          <w:color w:val="000000" w:themeColor="text1"/>
          <w:sz w:val="22"/>
          <w:lang w:val="es-US"/>
        </w:rPr>
      </w:pPr>
    </w:p>
    <w:p w14:paraId="5F5AE9EF" w14:textId="1506BA31" w:rsidR="00B95C30" w:rsidRPr="00A51520" w:rsidRDefault="00B95C30" w:rsidP="00B95C30">
      <w:pPr>
        <w:jc w:val="both"/>
        <w:rPr>
          <w:rFonts w:ascii="Arial" w:eastAsia="Calibri" w:hAnsi="Arial" w:cs="Arial"/>
          <w:color w:val="000000" w:themeColor="text1"/>
          <w:sz w:val="22"/>
        </w:rPr>
      </w:pPr>
      <w:r w:rsidRPr="00A51520">
        <w:rPr>
          <w:rFonts w:ascii="Arial" w:eastAsia="Calibri" w:hAnsi="Arial" w:cs="Arial"/>
          <w:color w:val="000000" w:themeColor="text1"/>
          <w:sz w:val="22"/>
        </w:rPr>
        <w:t>Señor</w:t>
      </w:r>
    </w:p>
    <w:p w14:paraId="798A20AC" w14:textId="0E23C9A0" w:rsidR="005F5F37" w:rsidRPr="00A51520" w:rsidRDefault="00B45445" w:rsidP="00BF4EC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Andrés Felipe Duque </w:t>
      </w:r>
    </w:p>
    <w:p w14:paraId="411CBCE1" w14:textId="5337ADFF" w:rsidR="00BF4EC5" w:rsidRPr="00A51520" w:rsidRDefault="00BF4EC5" w:rsidP="00BF4EC5">
      <w:pPr>
        <w:jc w:val="both"/>
        <w:rPr>
          <w:rFonts w:ascii="Arial" w:eastAsia="Calibri" w:hAnsi="Arial" w:cs="Arial"/>
          <w:bCs/>
          <w:color w:val="000000" w:themeColor="text1"/>
          <w:sz w:val="22"/>
        </w:rPr>
      </w:pPr>
      <w:r w:rsidRPr="00A51520">
        <w:rPr>
          <w:rFonts w:ascii="Arial" w:eastAsia="Calibri" w:hAnsi="Arial" w:cs="Arial"/>
          <w:bCs/>
          <w:color w:val="000000" w:themeColor="text1"/>
          <w:sz w:val="22"/>
        </w:rPr>
        <w:t>B</w:t>
      </w:r>
      <w:r w:rsidR="00136FEA">
        <w:rPr>
          <w:rFonts w:ascii="Arial" w:eastAsia="Calibri" w:hAnsi="Arial" w:cs="Arial"/>
          <w:bCs/>
          <w:color w:val="000000" w:themeColor="text1"/>
          <w:sz w:val="22"/>
        </w:rPr>
        <w:t>ogotá D.C</w:t>
      </w:r>
      <w:r w:rsidRPr="00A51520">
        <w:rPr>
          <w:rFonts w:ascii="Arial" w:eastAsia="Calibri" w:hAnsi="Arial" w:cs="Arial"/>
          <w:bCs/>
          <w:color w:val="000000" w:themeColor="text1"/>
          <w:sz w:val="22"/>
        </w:rPr>
        <w:t xml:space="preserve"> </w:t>
      </w:r>
    </w:p>
    <w:p w14:paraId="4A1C8FFE" w14:textId="77777777" w:rsidR="008120C4" w:rsidRPr="00A51520" w:rsidRDefault="008120C4" w:rsidP="003C0791">
      <w:pPr>
        <w:rPr>
          <w:rFonts w:ascii="Arial" w:eastAsia="Calibri" w:hAnsi="Arial" w:cs="Arial"/>
          <w:b/>
          <w:bCs/>
          <w:color w:val="000000" w:themeColor="text1"/>
          <w:sz w:val="22"/>
        </w:rPr>
      </w:pPr>
    </w:p>
    <w:p w14:paraId="1BD594F9" w14:textId="27EA7449" w:rsidR="00B95C30" w:rsidRPr="00A51520" w:rsidRDefault="005B1504" w:rsidP="003C0791">
      <w:pPr>
        <w:rPr>
          <w:rFonts w:ascii="Arial" w:eastAsia="Calibri" w:hAnsi="Arial" w:cs="Arial"/>
          <w:b/>
          <w:bCs/>
          <w:color w:val="000000" w:themeColor="text1"/>
          <w:sz w:val="22"/>
          <w:lang w:val="pt-BR"/>
        </w:rPr>
      </w:pPr>
      <w:r w:rsidRPr="00A51520">
        <w:rPr>
          <w:rFonts w:ascii="Arial" w:eastAsia="Calibri" w:hAnsi="Arial" w:cs="Arial"/>
          <w:b/>
          <w:bCs/>
          <w:color w:val="000000" w:themeColor="text1"/>
          <w:sz w:val="22"/>
        </w:rPr>
        <w:t xml:space="preserve">                     </w:t>
      </w:r>
      <w:r w:rsidR="00923FA6">
        <w:rPr>
          <w:rFonts w:ascii="Arial" w:eastAsia="Calibri" w:hAnsi="Arial" w:cs="Arial"/>
          <w:b/>
          <w:bCs/>
          <w:color w:val="000000" w:themeColor="text1"/>
          <w:sz w:val="22"/>
        </w:rPr>
        <w:t xml:space="preserve">                      </w:t>
      </w:r>
      <w:r w:rsidRPr="00A51520">
        <w:rPr>
          <w:rFonts w:ascii="Arial" w:eastAsia="Calibri" w:hAnsi="Arial" w:cs="Arial"/>
          <w:b/>
          <w:bCs/>
          <w:color w:val="000000" w:themeColor="text1"/>
          <w:sz w:val="22"/>
        </w:rPr>
        <w:t xml:space="preserve"> </w:t>
      </w:r>
      <w:r w:rsidR="00023FA5" w:rsidRPr="00A51520">
        <w:rPr>
          <w:rFonts w:ascii="Arial" w:eastAsia="Calibri" w:hAnsi="Arial" w:cs="Arial"/>
          <w:b/>
          <w:bCs/>
          <w:color w:val="000000" w:themeColor="text1"/>
          <w:sz w:val="22"/>
          <w:lang w:val="pt-BR"/>
        </w:rPr>
        <w:t xml:space="preserve">Concepto C ‒ </w:t>
      </w:r>
      <w:r w:rsidR="00B45445">
        <w:rPr>
          <w:rFonts w:ascii="Arial" w:eastAsia="Calibri" w:hAnsi="Arial" w:cs="Arial"/>
          <w:b/>
          <w:bCs/>
          <w:color w:val="000000" w:themeColor="text1"/>
          <w:sz w:val="22"/>
          <w:lang w:val="pt-BR"/>
        </w:rPr>
        <w:t>194</w:t>
      </w:r>
      <w:r w:rsidR="00275FBF" w:rsidRPr="00A51520">
        <w:rPr>
          <w:rFonts w:ascii="Arial" w:eastAsia="Calibri" w:hAnsi="Arial" w:cs="Arial"/>
          <w:b/>
          <w:bCs/>
          <w:color w:val="000000" w:themeColor="text1"/>
          <w:sz w:val="22"/>
          <w:lang w:val="pt-BR"/>
        </w:rPr>
        <w:t xml:space="preserve"> de 202</w:t>
      </w:r>
      <w:r w:rsidR="00BF4EC5" w:rsidRPr="00A51520">
        <w:rPr>
          <w:rFonts w:ascii="Arial" w:eastAsia="Calibri" w:hAnsi="Arial" w:cs="Arial"/>
          <w:b/>
          <w:bCs/>
          <w:color w:val="000000" w:themeColor="text1"/>
          <w:sz w:val="22"/>
          <w:lang w:val="pt-BR"/>
        </w:rPr>
        <w:t>2</w:t>
      </w:r>
    </w:p>
    <w:p w14:paraId="7063750E" w14:textId="77777777" w:rsidR="005F5F37" w:rsidRPr="00A51520" w:rsidRDefault="005F5F37" w:rsidP="003C0791">
      <w:pPr>
        <w:rPr>
          <w:rFonts w:ascii="Arial" w:eastAsia="Calibri" w:hAnsi="Arial" w:cs="Arial"/>
          <w:b/>
          <w:bCs/>
          <w:color w:val="000000" w:themeColor="text1"/>
          <w:sz w:val="22"/>
          <w:lang w:val="pt-BR"/>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51520" w14:paraId="19DFC051" w14:textId="77777777" w:rsidTr="00D15356">
        <w:tc>
          <w:tcPr>
            <w:tcW w:w="2689" w:type="dxa"/>
          </w:tcPr>
          <w:p w14:paraId="6BC0D1AC" w14:textId="569BAEB9" w:rsidR="00B95C30" w:rsidRPr="00A51520" w:rsidRDefault="00B95C30" w:rsidP="00D15356">
            <w:pPr>
              <w:jc w:val="both"/>
              <w:rPr>
                <w:rFonts w:ascii="Arial" w:eastAsia="Calibri" w:hAnsi="Arial" w:cs="Arial"/>
                <w:color w:val="000000" w:themeColor="text1"/>
                <w:sz w:val="22"/>
                <w:lang w:val="es-ES_tradnl"/>
              </w:rPr>
            </w:pPr>
            <w:r w:rsidRPr="00A51520">
              <w:rPr>
                <w:rFonts w:ascii="Arial" w:eastAsia="Calibri" w:hAnsi="Arial" w:cs="Arial"/>
                <w:b/>
                <w:color w:val="000000" w:themeColor="text1"/>
                <w:sz w:val="22"/>
                <w:lang w:val="es-ES_tradnl"/>
              </w:rPr>
              <w:t>Temas:</w:t>
            </w:r>
            <w:r w:rsidR="005B1504" w:rsidRPr="00A51520">
              <w:rPr>
                <w:rFonts w:ascii="Arial" w:eastAsia="Calibri" w:hAnsi="Arial" w:cs="Arial"/>
                <w:color w:val="000000" w:themeColor="text1"/>
                <w:sz w:val="22"/>
                <w:lang w:val="es-ES_tradnl"/>
              </w:rPr>
              <w:t xml:space="preserve">                   </w:t>
            </w:r>
          </w:p>
        </w:tc>
        <w:tc>
          <w:tcPr>
            <w:tcW w:w="6237" w:type="dxa"/>
          </w:tcPr>
          <w:p w14:paraId="49C4588F" w14:textId="345D5321" w:rsidR="00FA2147" w:rsidRPr="00FA2147" w:rsidRDefault="00E25359" w:rsidP="00FA2147">
            <w:pPr>
              <w:tabs>
                <w:tab w:val="left" w:pos="1073"/>
              </w:tabs>
              <w:spacing w:line="276" w:lineRule="auto"/>
              <w:jc w:val="both"/>
              <w:rPr>
                <w:rFonts w:ascii="Arial" w:eastAsia="Calibri" w:hAnsi="Arial" w:cs="Arial"/>
                <w:sz w:val="22"/>
                <w:lang w:val="es-ES_tradnl"/>
              </w:rPr>
            </w:pPr>
            <w:r w:rsidRPr="00D64641">
              <w:rPr>
                <w:rFonts w:ascii="Arial" w:eastAsia="Calibri" w:hAnsi="Arial" w:cs="Arial"/>
                <w:sz w:val="22"/>
                <w:lang w:val="es-ES_tradnl"/>
              </w:rPr>
              <w:t xml:space="preserve">REDUCCIÓN DE PUNTAJE – Multa – Cláusula Penal – Ley 2195 de 2022 – Artículo 58 / </w:t>
            </w:r>
            <w:r w:rsidRPr="00E25359">
              <w:rPr>
                <w:rFonts w:ascii="Arial" w:eastAsia="Calibri" w:hAnsi="Arial" w:cs="Arial"/>
                <w:sz w:val="22"/>
                <w:lang w:val="es-ES_tradnl"/>
              </w:rPr>
              <w:t xml:space="preserve">EXCEPCIÓN – Reducción de puntaje – Parágrafo primero </w:t>
            </w:r>
            <w:r w:rsidR="006174FA" w:rsidRPr="00FA2147">
              <w:rPr>
                <w:rFonts w:ascii="Arial" w:eastAsia="Calibri" w:hAnsi="Arial" w:cs="Arial"/>
                <w:sz w:val="22"/>
                <w:lang w:val="es-ES_tradnl"/>
              </w:rPr>
              <w:t xml:space="preserve">/ </w:t>
            </w:r>
            <w:r w:rsidRPr="00FA2147">
              <w:rPr>
                <w:rFonts w:ascii="Arial" w:eastAsia="Calibri" w:hAnsi="Arial" w:cs="Arial"/>
                <w:sz w:val="22"/>
                <w:lang w:val="es-ES_tradnl"/>
              </w:rPr>
              <w:t>PRESENTACIÓN DE LA DEMANDA – Aplicación excepción</w:t>
            </w:r>
            <w:r w:rsidR="00FA2147" w:rsidRPr="00FA2147">
              <w:rPr>
                <w:rFonts w:ascii="Arial" w:eastAsia="Calibri" w:hAnsi="Arial" w:cs="Arial"/>
                <w:sz w:val="22"/>
                <w:lang w:val="es-ES_tradnl"/>
              </w:rPr>
              <w:t xml:space="preserve"> / OBRAS CIVILES INCONCLUSAS – Concepto – Ley 2020 de 2020 / REGISTRO NACIONAL DE OBRAS CIVILES INCONCLUSAS – deber de verificación – Discrecionalidad / DOCUMENTOS TIPO – Descuento puntaje – Consultar y analizar – Incumplimiento del contratista</w:t>
            </w:r>
          </w:p>
          <w:p w14:paraId="5F389CAF" w14:textId="0C8633A7" w:rsidR="00B95C30" w:rsidRPr="008B6649" w:rsidRDefault="00E25359" w:rsidP="00567C02">
            <w:pPr>
              <w:jc w:val="both"/>
              <w:rPr>
                <w:rFonts w:ascii="Arial" w:eastAsia="Calibri" w:hAnsi="Arial" w:cs="Arial"/>
                <w:b/>
                <w:sz w:val="22"/>
                <w:lang w:val="es-ES_tradnl"/>
              </w:rPr>
            </w:pPr>
            <w:r w:rsidRPr="00E25359">
              <w:rPr>
                <w:rFonts w:ascii="Arial" w:eastAsia="Calibri" w:hAnsi="Arial" w:cs="Arial"/>
                <w:bCs/>
                <w:sz w:val="22"/>
                <w:lang w:val="es-ES_tradnl"/>
              </w:rPr>
              <w:t xml:space="preserve"> </w:t>
            </w:r>
          </w:p>
        </w:tc>
      </w:tr>
      <w:tr w:rsidR="00B95C30" w:rsidRPr="00A51520" w14:paraId="27CD52AB" w14:textId="77777777" w:rsidTr="00D15356">
        <w:tc>
          <w:tcPr>
            <w:tcW w:w="2689" w:type="dxa"/>
          </w:tcPr>
          <w:p w14:paraId="37E195A1" w14:textId="017D9507" w:rsidR="00B95C30" w:rsidRPr="00A51520" w:rsidRDefault="00B95C30" w:rsidP="00D15356">
            <w:pPr>
              <w:spacing w:before="12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Radicación:</w:t>
            </w:r>
            <w:r w:rsidR="005B1504" w:rsidRPr="00A51520">
              <w:rPr>
                <w:rFonts w:ascii="Arial" w:eastAsia="Calibri" w:hAnsi="Arial" w:cs="Arial"/>
                <w:color w:val="000000" w:themeColor="text1"/>
                <w:sz w:val="22"/>
                <w:lang w:val="es-ES_tradnl"/>
              </w:rPr>
              <w:t xml:space="preserve">               </w:t>
            </w:r>
          </w:p>
        </w:tc>
        <w:tc>
          <w:tcPr>
            <w:tcW w:w="6237" w:type="dxa"/>
          </w:tcPr>
          <w:p w14:paraId="09088B1B" w14:textId="16657697" w:rsidR="00B95C30" w:rsidRPr="00A51520" w:rsidRDefault="00B95C30" w:rsidP="00FF7134">
            <w:pPr>
              <w:spacing w:before="120"/>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Respuesta a consulta</w:t>
            </w:r>
            <w:r w:rsidR="00F21D6D" w:rsidRPr="00A51520">
              <w:rPr>
                <w:rFonts w:ascii="Arial" w:eastAsia="Calibri" w:hAnsi="Arial" w:cs="Arial"/>
                <w:color w:val="000000" w:themeColor="text1"/>
                <w:sz w:val="22"/>
                <w:lang w:val="es-ES_tradnl"/>
              </w:rPr>
              <w:t xml:space="preserve"> </w:t>
            </w:r>
            <w:r w:rsidR="00314265" w:rsidRPr="00314265">
              <w:rPr>
                <w:rFonts w:ascii="Arial" w:eastAsia="Calibri" w:hAnsi="Arial" w:cs="Arial"/>
                <w:color w:val="000000" w:themeColor="text1"/>
                <w:sz w:val="22"/>
              </w:rPr>
              <w:t>P20220228001957</w:t>
            </w:r>
          </w:p>
        </w:tc>
      </w:tr>
    </w:tbl>
    <w:p w14:paraId="635FAA34" w14:textId="77777777" w:rsidR="006D69FA" w:rsidRPr="00A51520" w:rsidRDefault="006D69FA" w:rsidP="003C3339">
      <w:pPr>
        <w:jc w:val="both"/>
        <w:rPr>
          <w:rFonts w:ascii="Arial" w:eastAsia="Calibri" w:hAnsi="Arial" w:cs="Arial"/>
          <w:color w:val="000000" w:themeColor="text1"/>
          <w:sz w:val="22"/>
        </w:rPr>
      </w:pPr>
    </w:p>
    <w:p w14:paraId="234C0002" w14:textId="77777777" w:rsidR="005F5F37" w:rsidRPr="00A51520" w:rsidRDefault="005F5F37" w:rsidP="003C3339">
      <w:pPr>
        <w:jc w:val="both"/>
        <w:rPr>
          <w:rFonts w:ascii="Arial" w:eastAsia="Calibri" w:hAnsi="Arial" w:cs="Arial"/>
          <w:color w:val="000000" w:themeColor="text1"/>
          <w:sz w:val="22"/>
          <w:lang w:val="es-ES_tradnl"/>
        </w:rPr>
      </w:pPr>
    </w:p>
    <w:p w14:paraId="1CF4AEA0" w14:textId="7B4ADE85" w:rsidR="003C3339" w:rsidRPr="00A51520" w:rsidRDefault="003C3339" w:rsidP="003C3339">
      <w:pPr>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Estimad</w:t>
      </w:r>
      <w:r w:rsidR="00BF4EC5" w:rsidRPr="00A51520">
        <w:rPr>
          <w:rFonts w:ascii="Arial" w:eastAsia="Calibri" w:hAnsi="Arial" w:cs="Arial"/>
          <w:color w:val="000000" w:themeColor="text1"/>
          <w:sz w:val="22"/>
          <w:lang w:val="es-ES_tradnl"/>
        </w:rPr>
        <w:t>o</w:t>
      </w:r>
      <w:r w:rsidRPr="00A51520">
        <w:rPr>
          <w:rFonts w:ascii="Arial" w:eastAsia="Calibri" w:hAnsi="Arial" w:cs="Arial"/>
          <w:color w:val="000000" w:themeColor="text1"/>
          <w:sz w:val="22"/>
          <w:lang w:val="es-ES_tradnl"/>
        </w:rPr>
        <w:t xml:space="preserve"> señor</w:t>
      </w:r>
      <w:r w:rsidR="00314265">
        <w:rPr>
          <w:rFonts w:ascii="Arial" w:eastAsia="Calibri" w:hAnsi="Arial" w:cs="Arial"/>
          <w:color w:val="000000" w:themeColor="text1"/>
          <w:sz w:val="22"/>
          <w:lang w:val="es-ES_tradnl"/>
        </w:rPr>
        <w:t xml:space="preserve"> Duque</w:t>
      </w:r>
      <w:r w:rsidR="00FA2147">
        <w:rPr>
          <w:rFonts w:ascii="Arial" w:eastAsia="Calibri" w:hAnsi="Arial" w:cs="Arial"/>
          <w:color w:val="000000" w:themeColor="text1"/>
          <w:sz w:val="22"/>
          <w:lang w:val="es-ES_tradnl"/>
        </w:rPr>
        <w:t>.</w:t>
      </w:r>
    </w:p>
    <w:p w14:paraId="1EAE5543" w14:textId="37990AD8" w:rsidR="00DD5B04" w:rsidRPr="00A51520" w:rsidRDefault="00DD5B04" w:rsidP="00DF76A2">
      <w:pPr>
        <w:jc w:val="both"/>
        <w:rPr>
          <w:rFonts w:ascii="Arial" w:eastAsia="Calibri" w:hAnsi="Arial" w:cs="Arial"/>
          <w:color w:val="000000" w:themeColor="text1"/>
          <w:sz w:val="22"/>
          <w:lang w:val="es-ES_tradnl"/>
        </w:rPr>
      </w:pPr>
    </w:p>
    <w:p w14:paraId="2109B2D3" w14:textId="05E88490" w:rsidR="00DD5B04" w:rsidRPr="00A51520" w:rsidRDefault="00DD5B04" w:rsidP="00DF76A2">
      <w:pPr>
        <w:spacing w:line="276" w:lineRule="auto"/>
        <w:jc w:val="both"/>
        <w:rPr>
          <w:rFonts w:ascii="Arial" w:eastAsia="Calibri" w:hAnsi="Arial" w:cs="Arial"/>
          <w:color w:val="000000" w:themeColor="text1"/>
          <w:sz w:val="22"/>
          <w:lang w:val="es-ES_tradnl"/>
        </w:rPr>
      </w:pPr>
      <w:r w:rsidRPr="00A5152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responde su consulta</w:t>
      </w:r>
      <w:r w:rsidR="00E8414B" w:rsidRPr="00A51520">
        <w:rPr>
          <w:rFonts w:ascii="Arial" w:eastAsia="Calibri" w:hAnsi="Arial" w:cs="Arial"/>
          <w:color w:val="000000" w:themeColor="text1"/>
          <w:sz w:val="22"/>
          <w:lang w:val="es-ES_tradnl"/>
        </w:rPr>
        <w:t xml:space="preserve"> </w:t>
      </w:r>
      <w:r w:rsidRPr="00A51520">
        <w:rPr>
          <w:rFonts w:ascii="Arial" w:eastAsia="Calibri" w:hAnsi="Arial" w:cs="Arial"/>
          <w:color w:val="000000" w:themeColor="text1"/>
          <w:sz w:val="22"/>
          <w:lang w:val="es-ES_tradnl"/>
        </w:rPr>
        <w:t xml:space="preserve">del </w:t>
      </w:r>
      <w:r w:rsidR="00136FEA">
        <w:rPr>
          <w:rFonts w:ascii="Arial" w:eastAsia="Calibri" w:hAnsi="Arial" w:cs="Arial"/>
          <w:color w:val="000000" w:themeColor="text1"/>
          <w:sz w:val="22"/>
          <w:lang w:val="es-ES_tradnl"/>
        </w:rPr>
        <w:t>25</w:t>
      </w:r>
      <w:r w:rsidR="00F21D6D" w:rsidRPr="00A51520">
        <w:rPr>
          <w:rFonts w:ascii="Arial" w:eastAsia="Calibri" w:hAnsi="Arial" w:cs="Arial"/>
          <w:color w:val="000000" w:themeColor="text1"/>
          <w:sz w:val="22"/>
          <w:lang w:val="es-ES_tradnl"/>
        </w:rPr>
        <w:t xml:space="preserve"> de </w:t>
      </w:r>
      <w:r w:rsidR="00314265">
        <w:rPr>
          <w:rFonts w:ascii="Arial" w:eastAsia="Calibri" w:hAnsi="Arial" w:cs="Arial"/>
          <w:color w:val="000000" w:themeColor="text1"/>
          <w:sz w:val="22"/>
          <w:lang w:val="es-ES_tradnl"/>
        </w:rPr>
        <w:t>febrero</w:t>
      </w:r>
      <w:r w:rsidR="00F21D6D" w:rsidRPr="00A51520">
        <w:rPr>
          <w:rFonts w:ascii="Arial" w:eastAsia="Calibri" w:hAnsi="Arial" w:cs="Arial"/>
          <w:color w:val="000000" w:themeColor="text1"/>
          <w:sz w:val="22"/>
          <w:lang w:val="es-ES_tradnl"/>
        </w:rPr>
        <w:t xml:space="preserve"> </w:t>
      </w:r>
      <w:r w:rsidR="00990BC7" w:rsidRPr="00A51520">
        <w:rPr>
          <w:rFonts w:ascii="Arial" w:eastAsia="Calibri" w:hAnsi="Arial" w:cs="Arial"/>
          <w:color w:val="000000" w:themeColor="text1"/>
          <w:sz w:val="22"/>
          <w:lang w:val="es-ES_tradnl"/>
        </w:rPr>
        <w:t xml:space="preserve">de </w:t>
      </w:r>
      <w:r w:rsidR="00F21D6D" w:rsidRPr="00A51520">
        <w:rPr>
          <w:rFonts w:ascii="Arial" w:eastAsia="Calibri" w:hAnsi="Arial" w:cs="Arial"/>
          <w:color w:val="000000" w:themeColor="text1"/>
          <w:sz w:val="22"/>
          <w:lang w:val="es-ES_tradnl"/>
        </w:rPr>
        <w:t>202</w:t>
      </w:r>
      <w:r w:rsidR="00BF4EC5" w:rsidRPr="00A51520">
        <w:rPr>
          <w:rFonts w:ascii="Arial" w:eastAsia="Calibri" w:hAnsi="Arial" w:cs="Arial"/>
          <w:color w:val="000000" w:themeColor="text1"/>
          <w:sz w:val="22"/>
          <w:lang w:val="es-ES_tradnl"/>
        </w:rPr>
        <w:t>2</w:t>
      </w:r>
      <w:r w:rsidR="00F21D6D" w:rsidRPr="00A51520">
        <w:rPr>
          <w:rFonts w:ascii="Arial" w:eastAsia="Calibri" w:hAnsi="Arial" w:cs="Arial"/>
          <w:color w:val="000000" w:themeColor="text1"/>
          <w:sz w:val="22"/>
          <w:lang w:val="es-ES_tradnl"/>
        </w:rPr>
        <w:t>.</w:t>
      </w:r>
    </w:p>
    <w:p w14:paraId="0C1E0712" w14:textId="77777777" w:rsidR="00DD5B04" w:rsidRPr="00A5152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5152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 xml:space="preserve">Problema planteado </w:t>
      </w:r>
    </w:p>
    <w:p w14:paraId="224B43D3" w14:textId="77777777" w:rsidR="00DD5B04" w:rsidRPr="00A5152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0102F2D" w14:textId="29AD9E00" w:rsidR="00BF4EC5" w:rsidRPr="00A51520" w:rsidRDefault="00827203" w:rsidP="00BF4EC5">
      <w:pPr>
        <w:spacing w:line="276" w:lineRule="auto"/>
        <w:jc w:val="both"/>
        <w:rPr>
          <w:rFonts w:ascii="Arial" w:hAnsi="Arial" w:cs="Arial"/>
          <w:color w:val="000000" w:themeColor="text1"/>
          <w:sz w:val="22"/>
          <w:szCs w:val="22"/>
          <w:lang w:val="es-ES"/>
        </w:rPr>
      </w:pPr>
      <w:r w:rsidRPr="00A51520">
        <w:rPr>
          <w:rFonts w:ascii="Arial" w:hAnsi="Arial" w:cs="Arial"/>
          <w:color w:val="000000" w:themeColor="text1"/>
          <w:sz w:val="22"/>
          <w:szCs w:val="22"/>
          <w:lang w:val="es-ES_tradnl"/>
        </w:rPr>
        <w:t xml:space="preserve">Usted formula </w:t>
      </w:r>
      <w:r w:rsidR="00026092" w:rsidRPr="00A51520">
        <w:rPr>
          <w:rFonts w:ascii="Arial" w:hAnsi="Arial" w:cs="Arial"/>
          <w:color w:val="000000" w:themeColor="text1"/>
          <w:sz w:val="22"/>
          <w:szCs w:val="22"/>
          <w:lang w:val="es-ES_tradnl"/>
        </w:rPr>
        <w:t>la siguiente</w:t>
      </w:r>
      <w:r w:rsidR="00AC4D8F" w:rsidRPr="00A51520">
        <w:rPr>
          <w:rFonts w:ascii="Arial" w:hAnsi="Arial" w:cs="Arial"/>
          <w:color w:val="000000" w:themeColor="text1"/>
          <w:sz w:val="22"/>
          <w:szCs w:val="22"/>
          <w:lang w:val="es-ES_tradnl"/>
        </w:rPr>
        <w:t xml:space="preserve"> consulta</w:t>
      </w:r>
      <w:r w:rsidR="00853973" w:rsidRPr="00A51520">
        <w:rPr>
          <w:rFonts w:ascii="Arial" w:hAnsi="Arial" w:cs="Arial"/>
          <w:sz w:val="22"/>
          <w:lang w:val="es-ES_tradnl"/>
        </w:rPr>
        <w:t xml:space="preserve"> relacionada con el </w:t>
      </w:r>
      <w:r w:rsidR="00136FEA">
        <w:rPr>
          <w:rFonts w:ascii="Arial" w:hAnsi="Arial" w:cs="Arial"/>
          <w:sz w:val="22"/>
          <w:lang w:val="es-ES_tradnl"/>
        </w:rPr>
        <w:t xml:space="preserve">parágrafo primero del </w:t>
      </w:r>
      <w:r w:rsidR="00853973" w:rsidRPr="00A51520">
        <w:rPr>
          <w:rFonts w:ascii="Arial" w:hAnsi="Arial" w:cs="Arial"/>
          <w:sz w:val="22"/>
          <w:lang w:val="es-ES_tradnl"/>
        </w:rPr>
        <w:t>artículo 58 de la Ley 2195 de 2022</w:t>
      </w:r>
      <w:r w:rsidR="007577DA" w:rsidRPr="00A51520">
        <w:rPr>
          <w:rFonts w:ascii="Arial" w:hAnsi="Arial" w:cs="Arial"/>
          <w:color w:val="000000" w:themeColor="text1"/>
          <w:sz w:val="22"/>
          <w:szCs w:val="22"/>
          <w:lang w:val="es-ES_tradnl"/>
        </w:rPr>
        <w:t>:</w:t>
      </w:r>
      <w:r w:rsidR="007676A9" w:rsidRPr="00A51520">
        <w:t xml:space="preserve"> </w:t>
      </w:r>
    </w:p>
    <w:p w14:paraId="0B7FAA28" w14:textId="77777777" w:rsidR="00BF4EC5" w:rsidRPr="00A51520" w:rsidRDefault="00BF4EC5" w:rsidP="00BF4EC5">
      <w:pPr>
        <w:spacing w:line="276" w:lineRule="auto"/>
        <w:jc w:val="both"/>
        <w:rPr>
          <w:rFonts w:ascii="Arial" w:hAnsi="Arial" w:cs="Arial"/>
          <w:color w:val="000000" w:themeColor="text1"/>
          <w:sz w:val="22"/>
          <w:szCs w:val="22"/>
        </w:rPr>
      </w:pPr>
    </w:p>
    <w:p w14:paraId="77237A4F" w14:textId="3388232A" w:rsidR="00314265" w:rsidRPr="00314265" w:rsidRDefault="00BF4EC5" w:rsidP="00314265">
      <w:pPr>
        <w:ind w:left="709" w:right="618"/>
        <w:jc w:val="both"/>
        <w:rPr>
          <w:rFonts w:ascii="Arial" w:eastAsia="Calibri" w:hAnsi="Arial" w:cs="Arial"/>
          <w:sz w:val="21"/>
          <w:szCs w:val="21"/>
          <w:lang w:val="es-ES"/>
        </w:rPr>
      </w:pPr>
      <w:r w:rsidRPr="00A51520">
        <w:rPr>
          <w:rFonts w:ascii="Arial" w:eastAsia="Calibri" w:hAnsi="Arial" w:cs="Arial"/>
          <w:sz w:val="21"/>
          <w:szCs w:val="21"/>
          <w:lang w:val="es-ES"/>
        </w:rPr>
        <w:t>«</w:t>
      </w:r>
      <w:r w:rsidR="00E06ECF">
        <w:rPr>
          <w:rFonts w:ascii="Arial" w:eastAsia="Calibri" w:hAnsi="Arial" w:cs="Arial"/>
          <w:sz w:val="21"/>
          <w:szCs w:val="21"/>
          <w:lang w:val="es-ES"/>
        </w:rPr>
        <w:t>[…</w:t>
      </w:r>
      <w:proofErr w:type="gramStart"/>
      <w:r w:rsidR="00E06ECF">
        <w:rPr>
          <w:rFonts w:ascii="Arial" w:eastAsia="Calibri" w:hAnsi="Arial" w:cs="Arial"/>
          <w:sz w:val="21"/>
          <w:szCs w:val="21"/>
          <w:lang w:val="es-ES"/>
        </w:rPr>
        <w:t>]</w:t>
      </w:r>
      <w:r w:rsidR="00314265" w:rsidRPr="00314265">
        <w:rPr>
          <w:rFonts w:ascii="Arial" w:eastAsia="Calibri" w:hAnsi="Arial" w:cs="Arial"/>
          <w:sz w:val="21"/>
          <w:szCs w:val="21"/>
          <w:lang w:val="es-ES"/>
        </w:rPr>
        <w:t>¿</w:t>
      </w:r>
      <w:proofErr w:type="gramEnd"/>
      <w:r w:rsidR="00314265" w:rsidRPr="00314265">
        <w:rPr>
          <w:rFonts w:ascii="Arial" w:eastAsia="Calibri" w:hAnsi="Arial" w:cs="Arial"/>
          <w:sz w:val="21"/>
          <w:szCs w:val="21"/>
          <w:lang w:val="es-ES"/>
        </w:rPr>
        <w:t>cómo debe acreditar el proponente que el acto administrativo ha sido objeto de medio de control, (i) con la radicación de la demanda, (ii) con el auto admisorio, (iii) con una medida cautelar, o (iv) con sentencia en firme favorable o (v) con la solicitud de conciliación ante la PGN?</w:t>
      </w:r>
    </w:p>
    <w:p w14:paraId="271831BF" w14:textId="61DCA79F" w:rsidR="00314265" w:rsidRPr="00314265" w:rsidRDefault="00314265" w:rsidP="00314265">
      <w:pPr>
        <w:ind w:left="709" w:right="618"/>
        <w:jc w:val="both"/>
        <w:rPr>
          <w:rFonts w:ascii="Arial" w:eastAsia="Calibri" w:hAnsi="Arial" w:cs="Arial"/>
          <w:sz w:val="21"/>
          <w:szCs w:val="21"/>
          <w:lang w:val="es-ES"/>
        </w:rPr>
      </w:pPr>
      <w:r>
        <w:rPr>
          <w:rFonts w:ascii="Arial" w:eastAsia="Calibri" w:hAnsi="Arial" w:cs="Arial"/>
          <w:sz w:val="21"/>
          <w:szCs w:val="21"/>
          <w:lang w:val="es-ES"/>
        </w:rPr>
        <w:t>[…]</w:t>
      </w:r>
    </w:p>
    <w:p w14:paraId="4A7E3C68" w14:textId="1F963D76" w:rsidR="00BF4EC5" w:rsidRDefault="00314265" w:rsidP="00314265">
      <w:pPr>
        <w:ind w:left="709" w:right="618"/>
        <w:jc w:val="both"/>
        <w:rPr>
          <w:rFonts w:ascii="Arial" w:eastAsia="Calibri" w:hAnsi="Arial" w:cs="Arial"/>
          <w:sz w:val="21"/>
          <w:szCs w:val="21"/>
          <w:lang w:val="es-ES"/>
        </w:rPr>
      </w:pPr>
      <w:r w:rsidRPr="00314265">
        <w:rPr>
          <w:rFonts w:ascii="Arial" w:eastAsia="Calibri" w:hAnsi="Arial" w:cs="Arial"/>
          <w:sz w:val="21"/>
          <w:szCs w:val="21"/>
          <w:lang w:val="es-ES"/>
        </w:rPr>
        <w:lastRenderedPageBreak/>
        <w:t>el parágrafo solo señala que cuando el acto administrativo que impuso LA MULTA fue objeto de medio de control no se aplicará el descuento. ¿Quiere decir lo anterior que cuando se hizo efectiva la cláusula penal y se acredita que el acto administrativo fue objeto de medio de control, por no ser una multa, se debe descontar de igual forma el puntaje? o ¿se debe dar una interpretación extensiva?</w:t>
      </w:r>
      <w:r w:rsidR="00BF4EC5" w:rsidRPr="00A51520">
        <w:rPr>
          <w:rFonts w:ascii="Arial" w:eastAsia="Calibri" w:hAnsi="Arial" w:cs="Arial"/>
          <w:sz w:val="21"/>
          <w:szCs w:val="21"/>
          <w:lang w:val="es-ES"/>
        </w:rPr>
        <w:t>»</w:t>
      </w:r>
      <w:r>
        <w:rPr>
          <w:rFonts w:ascii="Arial" w:eastAsia="Calibri" w:hAnsi="Arial" w:cs="Arial"/>
          <w:sz w:val="21"/>
          <w:szCs w:val="21"/>
          <w:lang w:val="es-ES"/>
        </w:rPr>
        <w:t>.</w:t>
      </w:r>
    </w:p>
    <w:p w14:paraId="61C095C2" w14:textId="343E0EAA" w:rsidR="00314265" w:rsidRDefault="00314265" w:rsidP="00314265">
      <w:pPr>
        <w:ind w:left="709" w:right="618"/>
        <w:jc w:val="both"/>
        <w:rPr>
          <w:rFonts w:ascii="Arial" w:eastAsia="Calibri" w:hAnsi="Arial" w:cs="Arial"/>
          <w:sz w:val="21"/>
          <w:szCs w:val="21"/>
          <w:lang w:val="es-ES"/>
        </w:rPr>
      </w:pPr>
    </w:p>
    <w:p w14:paraId="56EB69D5" w14:textId="5B3761CA" w:rsidR="00314265" w:rsidRDefault="00314265" w:rsidP="00314265">
      <w:pPr>
        <w:spacing w:line="276" w:lineRule="auto"/>
        <w:jc w:val="both"/>
      </w:pPr>
      <w:r>
        <w:rPr>
          <w:rFonts w:ascii="Arial" w:hAnsi="Arial" w:cs="Arial"/>
          <w:color w:val="000000" w:themeColor="text1"/>
          <w:sz w:val="22"/>
          <w:szCs w:val="22"/>
          <w:lang w:val="es-ES_tradnl"/>
        </w:rPr>
        <w:t>Igualmente, u</w:t>
      </w:r>
      <w:r w:rsidRPr="00A51520">
        <w:rPr>
          <w:rFonts w:ascii="Arial" w:hAnsi="Arial" w:cs="Arial"/>
          <w:color w:val="000000" w:themeColor="text1"/>
          <w:sz w:val="22"/>
          <w:szCs w:val="22"/>
          <w:lang w:val="es-ES_tradnl"/>
        </w:rPr>
        <w:t>sted formula la</w:t>
      </w:r>
      <w:r>
        <w:rPr>
          <w:rFonts w:ascii="Arial" w:hAnsi="Arial" w:cs="Arial"/>
          <w:color w:val="000000" w:themeColor="text1"/>
          <w:sz w:val="22"/>
          <w:szCs w:val="22"/>
          <w:lang w:val="es-ES_tradnl"/>
        </w:rPr>
        <w:t>s</w:t>
      </w:r>
      <w:r w:rsidRPr="00A51520">
        <w:rPr>
          <w:rFonts w:ascii="Arial" w:hAnsi="Arial" w:cs="Arial"/>
          <w:color w:val="000000" w:themeColor="text1"/>
          <w:sz w:val="22"/>
          <w:szCs w:val="22"/>
          <w:lang w:val="es-ES_tradnl"/>
        </w:rPr>
        <w:t xml:space="preserve"> siguiente</w:t>
      </w:r>
      <w:r>
        <w:rPr>
          <w:rFonts w:ascii="Arial" w:hAnsi="Arial" w:cs="Arial"/>
          <w:color w:val="000000" w:themeColor="text1"/>
          <w:sz w:val="22"/>
          <w:szCs w:val="22"/>
          <w:lang w:val="es-ES_tradnl"/>
        </w:rPr>
        <w:t>s</w:t>
      </w:r>
      <w:r w:rsidRPr="00A51520">
        <w:rPr>
          <w:rFonts w:ascii="Arial" w:hAnsi="Arial" w:cs="Arial"/>
          <w:color w:val="000000" w:themeColor="text1"/>
          <w:sz w:val="22"/>
          <w:szCs w:val="22"/>
          <w:lang w:val="es-ES_tradnl"/>
        </w:rPr>
        <w:t xml:space="preserve"> </w:t>
      </w:r>
      <w:r>
        <w:rPr>
          <w:rFonts w:ascii="Arial" w:hAnsi="Arial" w:cs="Arial"/>
          <w:color w:val="000000" w:themeColor="text1"/>
          <w:sz w:val="22"/>
          <w:szCs w:val="22"/>
          <w:lang w:val="es-ES_tradnl"/>
        </w:rPr>
        <w:t xml:space="preserve">preguntas </w:t>
      </w:r>
      <w:r w:rsidRPr="00A51520">
        <w:rPr>
          <w:rFonts w:ascii="Arial" w:hAnsi="Arial" w:cs="Arial"/>
          <w:sz w:val="22"/>
          <w:lang w:val="es-ES_tradnl"/>
        </w:rPr>
        <w:t>relacionada</w:t>
      </w:r>
      <w:r w:rsidR="00E06ECF">
        <w:rPr>
          <w:rFonts w:ascii="Arial" w:hAnsi="Arial" w:cs="Arial"/>
          <w:sz w:val="22"/>
          <w:lang w:val="es-ES_tradnl"/>
        </w:rPr>
        <w:t>s</w:t>
      </w:r>
      <w:r w:rsidRPr="00A51520">
        <w:rPr>
          <w:rFonts w:ascii="Arial" w:hAnsi="Arial" w:cs="Arial"/>
          <w:sz w:val="22"/>
          <w:lang w:val="es-ES_tradnl"/>
        </w:rPr>
        <w:t xml:space="preserve"> con el </w:t>
      </w:r>
      <w:r w:rsidR="00E06ECF">
        <w:rPr>
          <w:rFonts w:ascii="Arial" w:hAnsi="Arial" w:cs="Arial"/>
          <w:sz w:val="22"/>
          <w:lang w:val="es-ES_tradnl"/>
        </w:rPr>
        <w:t xml:space="preserve">artículo 6 de la Ley 2020 de </w:t>
      </w:r>
      <w:r w:rsidRPr="00A51520">
        <w:rPr>
          <w:rFonts w:ascii="Arial" w:hAnsi="Arial" w:cs="Arial"/>
          <w:sz w:val="22"/>
          <w:lang w:val="es-ES_tradnl"/>
        </w:rPr>
        <w:t>202</w:t>
      </w:r>
      <w:r w:rsidR="000250C3">
        <w:rPr>
          <w:rFonts w:ascii="Arial" w:hAnsi="Arial" w:cs="Arial"/>
          <w:sz w:val="22"/>
          <w:lang w:val="es-ES_tradnl"/>
        </w:rPr>
        <w:t>0</w:t>
      </w:r>
      <w:r w:rsidRPr="00A51520">
        <w:rPr>
          <w:rFonts w:ascii="Arial" w:hAnsi="Arial" w:cs="Arial"/>
          <w:color w:val="000000" w:themeColor="text1"/>
          <w:sz w:val="22"/>
          <w:szCs w:val="22"/>
          <w:lang w:val="es-ES_tradnl"/>
        </w:rPr>
        <w:t>:</w:t>
      </w:r>
      <w:r w:rsidRPr="00A51520">
        <w:t xml:space="preserve"> </w:t>
      </w:r>
    </w:p>
    <w:p w14:paraId="60EAB1FD" w14:textId="26BB128D" w:rsidR="00E06ECF" w:rsidRDefault="00E06ECF" w:rsidP="00314265">
      <w:pPr>
        <w:spacing w:line="276" w:lineRule="auto"/>
        <w:jc w:val="both"/>
      </w:pPr>
    </w:p>
    <w:p w14:paraId="6117070E" w14:textId="78C2E2B9" w:rsidR="00E06ECF" w:rsidRDefault="00E06ECF" w:rsidP="00E06ECF">
      <w:pPr>
        <w:ind w:left="709" w:right="618"/>
        <w:jc w:val="both"/>
        <w:rPr>
          <w:rFonts w:ascii="Arial" w:eastAsia="Calibri" w:hAnsi="Arial" w:cs="Arial"/>
          <w:sz w:val="21"/>
          <w:szCs w:val="21"/>
          <w:lang w:val="es-ES"/>
        </w:rPr>
      </w:pPr>
      <w:r w:rsidRPr="00A51520">
        <w:rPr>
          <w:rFonts w:ascii="Arial" w:eastAsia="Calibri" w:hAnsi="Arial" w:cs="Arial"/>
          <w:sz w:val="21"/>
          <w:szCs w:val="21"/>
          <w:lang w:val="es-ES"/>
        </w:rPr>
        <w:t>«</w:t>
      </w:r>
      <w:r>
        <w:rPr>
          <w:rFonts w:ascii="Arial" w:eastAsia="Calibri" w:hAnsi="Arial" w:cs="Arial"/>
          <w:sz w:val="21"/>
          <w:szCs w:val="21"/>
          <w:lang w:val="es-ES"/>
        </w:rPr>
        <w:t>[…]</w:t>
      </w:r>
      <w:r w:rsidRPr="00E06ECF">
        <w:rPr>
          <w:rFonts w:ascii="Arial" w:eastAsia="Calibri" w:hAnsi="Arial" w:cs="Arial"/>
          <w:sz w:val="21"/>
          <w:szCs w:val="21"/>
          <w:lang w:val="es-ES"/>
        </w:rPr>
        <w:t>en el inciso primero señala que las Entidades contratantes deben consultar y hacer un análisis, por lo que se pregunta: ¿bajo que criterios se debe realizar dicho análisis de la Entidad Estatal? ¿cuáles son los elementos que debe analizar? ¿cuales son los criterios de interpretación o análisis que debe usar?</w:t>
      </w:r>
    </w:p>
    <w:p w14:paraId="26195CEC" w14:textId="3EA0C6D4" w:rsidR="00E06ECF" w:rsidRPr="00E06ECF" w:rsidRDefault="00E06ECF" w:rsidP="00E06ECF">
      <w:pPr>
        <w:ind w:left="709" w:right="618"/>
        <w:jc w:val="both"/>
        <w:rPr>
          <w:rFonts w:ascii="Arial" w:eastAsia="Calibri" w:hAnsi="Arial" w:cs="Arial"/>
          <w:sz w:val="21"/>
          <w:szCs w:val="21"/>
          <w:lang w:val="es-ES"/>
        </w:rPr>
      </w:pPr>
      <w:r w:rsidRPr="00E06ECF">
        <w:rPr>
          <w:rFonts w:ascii="Arial" w:eastAsia="Calibri" w:hAnsi="Arial" w:cs="Arial"/>
          <w:sz w:val="21"/>
          <w:szCs w:val="21"/>
          <w:lang w:val="es-ES"/>
        </w:rPr>
        <w:t xml:space="preserve"> </w:t>
      </w:r>
      <w:r>
        <w:rPr>
          <w:rFonts w:ascii="Arial" w:eastAsia="Calibri" w:hAnsi="Arial" w:cs="Arial"/>
          <w:sz w:val="21"/>
          <w:szCs w:val="21"/>
          <w:lang w:val="es-ES"/>
        </w:rPr>
        <w:t>[…]</w:t>
      </w:r>
    </w:p>
    <w:p w14:paraId="19E14C41" w14:textId="19DD97DE" w:rsidR="00E06ECF" w:rsidRDefault="00E06ECF" w:rsidP="00E06ECF">
      <w:pPr>
        <w:ind w:left="709" w:right="618"/>
        <w:jc w:val="both"/>
        <w:rPr>
          <w:rFonts w:ascii="Arial" w:eastAsia="Calibri" w:hAnsi="Arial" w:cs="Arial"/>
          <w:sz w:val="21"/>
          <w:szCs w:val="21"/>
          <w:lang w:val="es-ES"/>
        </w:rPr>
      </w:pPr>
      <w:r w:rsidRPr="00E06ECF">
        <w:rPr>
          <w:rFonts w:ascii="Arial" w:eastAsia="Calibri" w:hAnsi="Arial" w:cs="Arial"/>
          <w:sz w:val="21"/>
          <w:szCs w:val="21"/>
          <w:lang w:val="es-ES"/>
        </w:rPr>
        <w:t xml:space="preserve">¿cómo se deben tener en cuenta las anotaciones en el Registro al momento de "evaluar" los factores de </w:t>
      </w:r>
      <w:r w:rsidR="000250C3" w:rsidRPr="00E06ECF">
        <w:rPr>
          <w:rFonts w:ascii="Arial" w:eastAsia="Calibri" w:hAnsi="Arial" w:cs="Arial"/>
          <w:sz w:val="21"/>
          <w:szCs w:val="21"/>
          <w:lang w:val="es-ES"/>
        </w:rPr>
        <w:t>calidad y</w:t>
      </w:r>
      <w:r w:rsidRPr="00E06ECF">
        <w:rPr>
          <w:rFonts w:ascii="Arial" w:eastAsia="Calibri" w:hAnsi="Arial" w:cs="Arial"/>
          <w:sz w:val="21"/>
          <w:szCs w:val="21"/>
          <w:lang w:val="es-ES"/>
        </w:rPr>
        <w:t xml:space="preserve"> no en el momento de "establecer" los factores de ponderación de calidad?</w:t>
      </w:r>
      <w:r w:rsidRPr="00A51520">
        <w:rPr>
          <w:rFonts w:ascii="Arial" w:eastAsia="Calibri" w:hAnsi="Arial" w:cs="Arial"/>
          <w:sz w:val="21"/>
          <w:szCs w:val="21"/>
          <w:lang w:val="es-ES"/>
        </w:rPr>
        <w:t>»</w:t>
      </w:r>
      <w:r>
        <w:rPr>
          <w:rFonts w:ascii="Arial" w:eastAsia="Calibri" w:hAnsi="Arial" w:cs="Arial"/>
          <w:sz w:val="21"/>
          <w:szCs w:val="21"/>
          <w:lang w:val="es-ES"/>
        </w:rPr>
        <w:t>.</w:t>
      </w:r>
    </w:p>
    <w:p w14:paraId="32463EF9" w14:textId="77777777" w:rsidR="00E06ECF" w:rsidRPr="00A51520" w:rsidRDefault="00E06ECF" w:rsidP="007D7503">
      <w:pPr>
        <w:spacing w:line="276" w:lineRule="auto"/>
        <w:ind w:right="709"/>
        <w:jc w:val="both"/>
        <w:rPr>
          <w:rFonts w:ascii="Arial" w:hAnsi="Arial" w:cs="Arial"/>
          <w:color w:val="000000" w:themeColor="text1"/>
          <w:sz w:val="21"/>
          <w:szCs w:val="21"/>
        </w:rPr>
      </w:pPr>
    </w:p>
    <w:p w14:paraId="124D2DCA" w14:textId="77777777" w:rsidR="00DD5B04" w:rsidRPr="00A5152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51520">
        <w:rPr>
          <w:rFonts w:ascii="Arial" w:eastAsia="Calibri" w:hAnsi="Arial" w:cs="Arial"/>
          <w:b/>
          <w:color w:val="000000" w:themeColor="text1"/>
          <w:sz w:val="22"/>
          <w:lang w:val="es-ES_tradnl"/>
        </w:rPr>
        <w:t>Consideraciones</w:t>
      </w:r>
    </w:p>
    <w:p w14:paraId="7FB25649" w14:textId="77777777" w:rsidR="00E07AAA" w:rsidRPr="00A51520" w:rsidRDefault="00E07AAA" w:rsidP="00D40F8B">
      <w:pPr>
        <w:spacing w:line="276" w:lineRule="auto"/>
        <w:jc w:val="both"/>
        <w:rPr>
          <w:rFonts w:ascii="Arial" w:hAnsi="Arial" w:cs="Arial"/>
          <w:color w:val="000000" w:themeColor="text1"/>
          <w:sz w:val="22"/>
          <w:lang w:val="es-ES_tradnl"/>
        </w:rPr>
      </w:pPr>
    </w:p>
    <w:p w14:paraId="7D2F88B4" w14:textId="6BABD59E" w:rsidR="00E055B1" w:rsidRPr="00A61736" w:rsidRDefault="007577DA" w:rsidP="00E055B1">
      <w:pPr>
        <w:tabs>
          <w:tab w:val="left" w:pos="0"/>
        </w:tabs>
        <w:spacing w:line="276" w:lineRule="auto"/>
        <w:jc w:val="both"/>
        <w:rPr>
          <w:rFonts w:ascii="Arial" w:eastAsia="Calibri" w:hAnsi="Arial" w:cs="Arial"/>
          <w:bCs/>
          <w:color w:val="000000" w:themeColor="text1"/>
          <w:sz w:val="22"/>
        </w:rPr>
      </w:pPr>
      <w:r w:rsidRPr="00A51520">
        <w:rPr>
          <w:rFonts w:ascii="Arial" w:eastAsia="Calibri" w:hAnsi="Arial" w:cs="Arial"/>
          <w:color w:val="000000" w:themeColor="text1"/>
          <w:sz w:val="22"/>
          <w:szCs w:val="22"/>
        </w:rPr>
        <w:t>Para responder sus interrogantes,</w:t>
      </w:r>
      <w:r w:rsidR="00634C03" w:rsidRPr="00A51520">
        <w:rPr>
          <w:rFonts w:ascii="Arial" w:eastAsia="Calibri" w:hAnsi="Arial" w:cs="Arial"/>
          <w:color w:val="000000" w:themeColor="text1"/>
          <w:sz w:val="22"/>
          <w:szCs w:val="22"/>
        </w:rPr>
        <w:t xml:space="preserve"> </w:t>
      </w:r>
      <w:r w:rsidRPr="00A51520">
        <w:rPr>
          <w:rFonts w:ascii="Arial" w:eastAsia="Calibri" w:hAnsi="Arial" w:cs="Arial"/>
          <w:color w:val="000000" w:themeColor="text1"/>
          <w:sz w:val="22"/>
          <w:lang w:val="es-ES"/>
        </w:rPr>
        <w:t>se analizarán los siguientes temas</w:t>
      </w:r>
      <w:r w:rsidRPr="00A51520">
        <w:rPr>
          <w:rFonts w:ascii="Arial" w:eastAsia="Calibri" w:hAnsi="Arial" w:cs="Arial"/>
          <w:bCs/>
          <w:color w:val="000000" w:themeColor="text1"/>
          <w:sz w:val="22"/>
        </w:rPr>
        <w:t>:</w:t>
      </w:r>
      <w:r w:rsidR="00D8166D" w:rsidRPr="00A51520">
        <w:rPr>
          <w:rFonts w:ascii="Arial" w:eastAsia="Calibri" w:hAnsi="Arial" w:cs="Arial"/>
          <w:bCs/>
          <w:color w:val="000000" w:themeColor="text1"/>
          <w:sz w:val="22"/>
        </w:rPr>
        <w:t xml:space="preserve"> </w:t>
      </w:r>
      <w:r w:rsidR="00A61736" w:rsidRPr="00243D88">
        <w:rPr>
          <w:rFonts w:ascii="Arial" w:hAnsi="Arial" w:cs="Arial"/>
          <w:sz w:val="22"/>
          <w:lang w:val="es-ES_tradnl"/>
        </w:rPr>
        <w:t xml:space="preserve">i) </w:t>
      </w:r>
      <w:r w:rsidR="008F59B4" w:rsidRPr="00243D88">
        <w:rPr>
          <w:rFonts w:ascii="Arial" w:hAnsi="Arial" w:cs="Arial"/>
          <w:bCs/>
          <w:iCs/>
          <w:color w:val="000000" w:themeColor="text1"/>
          <w:sz w:val="22"/>
          <w:lang w:val="es-ES_tradnl"/>
        </w:rPr>
        <w:t>alcance del artículo 58 de la Ley 2195 de 2022: reducción de puntaje por incumplimiento de contratos estatales</w:t>
      </w:r>
      <w:r w:rsidR="00550420">
        <w:rPr>
          <w:rFonts w:ascii="Arial" w:eastAsia="Calibri" w:hAnsi="Arial" w:cs="Arial"/>
          <w:bCs/>
          <w:color w:val="000000"/>
          <w:sz w:val="22"/>
          <w:lang w:val="es-ES_tradnl" w:eastAsia="en-GB"/>
        </w:rPr>
        <w:t>; ii)</w:t>
      </w:r>
      <w:r w:rsidR="008F59B4" w:rsidRPr="00243D88">
        <w:rPr>
          <w:rFonts w:ascii="Arial" w:eastAsia="Calibri" w:hAnsi="Arial" w:cs="Arial"/>
          <w:bCs/>
          <w:color w:val="000000"/>
          <w:sz w:val="22"/>
          <w:lang w:val="es-ES_tradnl" w:eastAsia="en-GB"/>
        </w:rPr>
        <w:t xml:space="preserve"> </w:t>
      </w:r>
      <w:r w:rsidR="00E055B1" w:rsidRPr="00E055B1">
        <w:rPr>
          <w:rFonts w:ascii="Arial" w:eastAsia="Calibri" w:hAnsi="Arial" w:cs="Arial"/>
          <w:bCs/>
          <w:color w:val="000000"/>
          <w:sz w:val="22"/>
          <w:lang w:val="es-ES_tradnl" w:eastAsia="en-GB"/>
        </w:rPr>
        <w:t xml:space="preserve">excepción a la reducción del puntaje conforme con el </w:t>
      </w:r>
      <w:r w:rsidR="00E055B1" w:rsidRPr="00E055B1">
        <w:rPr>
          <w:rFonts w:ascii="Arial" w:hAnsi="Arial" w:cs="Arial"/>
          <w:bCs/>
          <w:iCs/>
          <w:color w:val="000000" w:themeColor="text1"/>
          <w:sz w:val="22"/>
          <w:lang w:val="es-ES_tradnl"/>
        </w:rPr>
        <w:t>parágrafo primero del artículo 58 de la Ley 2195 de 2022</w:t>
      </w:r>
      <w:r w:rsidR="00550420">
        <w:rPr>
          <w:rFonts w:ascii="Arial" w:hAnsi="Arial" w:cs="Arial"/>
          <w:bCs/>
          <w:iCs/>
          <w:color w:val="000000" w:themeColor="text1"/>
          <w:sz w:val="22"/>
          <w:lang w:val="es-ES_tradnl"/>
        </w:rPr>
        <w:t>; i</w:t>
      </w:r>
      <w:r w:rsidR="00550420">
        <w:rPr>
          <w:rFonts w:ascii="Arial" w:hAnsi="Arial" w:cs="Arial"/>
          <w:color w:val="000000" w:themeColor="text1"/>
          <w:sz w:val="22"/>
          <w:lang w:val="es-ES_tradnl"/>
        </w:rPr>
        <w:t>ii</w:t>
      </w:r>
      <w:r w:rsidR="00550420" w:rsidRPr="00904C33">
        <w:rPr>
          <w:rFonts w:ascii="Arial" w:hAnsi="Arial" w:cs="Arial"/>
          <w:color w:val="000000" w:themeColor="text1"/>
          <w:sz w:val="22"/>
          <w:lang w:val="es-ES_tradnl"/>
        </w:rPr>
        <w:t>) el Registro Nacional de Obras Civiles Inconclusas</w:t>
      </w:r>
      <w:r w:rsidR="00550420">
        <w:rPr>
          <w:rFonts w:ascii="Arial" w:hAnsi="Arial" w:cs="Arial"/>
          <w:color w:val="000000" w:themeColor="text1"/>
          <w:sz w:val="22"/>
          <w:lang w:val="es-ES_tradnl"/>
        </w:rPr>
        <w:t xml:space="preserve"> y</w:t>
      </w:r>
      <w:r w:rsidR="00550420" w:rsidRPr="00904C33">
        <w:rPr>
          <w:rFonts w:ascii="Arial" w:hAnsi="Arial" w:cs="Arial"/>
          <w:color w:val="000000" w:themeColor="text1"/>
          <w:sz w:val="22"/>
          <w:lang w:val="es-ES_tradnl"/>
        </w:rPr>
        <w:t xml:space="preserve"> i</w:t>
      </w:r>
      <w:r w:rsidR="00550420">
        <w:rPr>
          <w:rFonts w:ascii="Arial" w:hAnsi="Arial" w:cs="Arial"/>
          <w:color w:val="000000" w:themeColor="text1"/>
          <w:sz w:val="22"/>
          <w:lang w:val="es-ES_tradnl"/>
        </w:rPr>
        <w:t>v</w:t>
      </w:r>
      <w:r w:rsidR="00550420" w:rsidRPr="00904C33">
        <w:rPr>
          <w:rFonts w:ascii="Arial" w:hAnsi="Arial" w:cs="Arial"/>
          <w:color w:val="000000" w:themeColor="text1"/>
          <w:sz w:val="22"/>
          <w:lang w:val="es-ES_tradnl"/>
        </w:rPr>
        <w:t xml:space="preserve">) </w:t>
      </w:r>
      <w:r w:rsidR="00550420">
        <w:rPr>
          <w:rFonts w:ascii="Arial" w:hAnsi="Arial" w:cs="Arial"/>
          <w:color w:val="000000" w:themeColor="text1"/>
          <w:sz w:val="22"/>
          <w:lang w:val="es-ES_tradnl"/>
        </w:rPr>
        <w:t xml:space="preserve">el </w:t>
      </w:r>
      <w:r w:rsidR="00550420">
        <w:rPr>
          <w:rFonts w:ascii="Arial" w:eastAsia="Calibri" w:hAnsi="Arial" w:cs="Arial"/>
          <w:color w:val="000000"/>
          <w:sz w:val="22"/>
          <w:lang w:val="es-ES_tradnl" w:eastAsia="en-GB"/>
        </w:rPr>
        <w:t>d</w:t>
      </w:r>
      <w:r w:rsidR="00550420" w:rsidRPr="00D24EBE">
        <w:rPr>
          <w:rFonts w:ascii="Arial" w:eastAsia="Calibri" w:hAnsi="Arial" w:cs="Arial"/>
          <w:color w:val="000000"/>
          <w:sz w:val="22"/>
          <w:lang w:val="es-ES_tradnl" w:eastAsia="en-GB"/>
        </w:rPr>
        <w:t>eber de verificación del Registro Nacional de Obras Civiles Inconclusas en la evaluación de factores de calidad para la selección de contratistas de obra o interventores</w:t>
      </w:r>
      <w:r w:rsidR="00E055B1" w:rsidRPr="00E055B1">
        <w:rPr>
          <w:rFonts w:ascii="Arial" w:hAnsi="Arial" w:cs="Arial"/>
          <w:bCs/>
          <w:iCs/>
          <w:color w:val="000000" w:themeColor="text1"/>
          <w:sz w:val="22"/>
          <w:lang w:val="es-ES_tradnl"/>
        </w:rPr>
        <w:t>.</w:t>
      </w:r>
      <w:r w:rsidR="00E055B1">
        <w:rPr>
          <w:rFonts w:ascii="Arial" w:hAnsi="Arial" w:cs="Arial"/>
          <w:bCs/>
          <w:iCs/>
          <w:color w:val="000000" w:themeColor="text1"/>
          <w:sz w:val="22"/>
          <w:lang w:val="es-ES_tradnl"/>
        </w:rPr>
        <w:t xml:space="preserve"> </w:t>
      </w:r>
    </w:p>
    <w:p w14:paraId="59566900" w14:textId="489AC3B8" w:rsidR="00E25359" w:rsidRPr="00D64641" w:rsidRDefault="00E25359" w:rsidP="00E25359">
      <w:pPr>
        <w:spacing w:before="120" w:line="276" w:lineRule="auto"/>
        <w:ind w:firstLine="709"/>
        <w:jc w:val="both"/>
        <w:rPr>
          <w:rFonts w:ascii="Arial" w:hAnsi="Arial" w:cs="Arial"/>
          <w:sz w:val="22"/>
          <w:lang w:val="es-ES_tradnl"/>
        </w:rPr>
      </w:pPr>
      <w:r w:rsidRPr="00D64641">
        <w:rPr>
          <w:rFonts w:ascii="Arial" w:hAnsi="Arial" w:cs="Arial"/>
          <w:sz w:val="22"/>
          <w:lang w:val="es-ES_tradnl"/>
        </w:rPr>
        <w:t>La Agencia Nacional de Contratación Pública – Colombia Compra Eficiente</w:t>
      </w:r>
      <w:r w:rsidR="00DE5C25">
        <w:rPr>
          <w:rFonts w:ascii="Arial" w:hAnsi="Arial" w:cs="Arial"/>
          <w:sz w:val="22"/>
          <w:lang w:val="es-ES_tradnl"/>
        </w:rPr>
        <w:t>, en los conceptos C-035</w:t>
      </w:r>
      <w:r w:rsidR="00AB4C34">
        <w:rPr>
          <w:rFonts w:ascii="Arial" w:hAnsi="Arial" w:cs="Arial"/>
          <w:sz w:val="22"/>
          <w:lang w:val="es-ES_tradnl"/>
        </w:rPr>
        <w:t xml:space="preserve"> y</w:t>
      </w:r>
      <w:r w:rsidR="00DE5C25">
        <w:rPr>
          <w:rFonts w:ascii="Arial" w:hAnsi="Arial" w:cs="Arial"/>
          <w:sz w:val="22"/>
          <w:lang w:val="es-ES_tradnl"/>
        </w:rPr>
        <w:t xml:space="preserve"> C-040 del 2 de marzo de 2022</w:t>
      </w:r>
      <w:r w:rsidR="00AB4C34">
        <w:rPr>
          <w:rFonts w:ascii="Arial" w:hAnsi="Arial" w:cs="Arial"/>
          <w:sz w:val="22"/>
          <w:lang w:val="es-ES_tradnl"/>
        </w:rPr>
        <w:t xml:space="preserve"> y C-061 de 8 de marzo de 2022,</w:t>
      </w:r>
      <w:r w:rsidR="00DE5C25">
        <w:rPr>
          <w:rFonts w:ascii="Arial" w:hAnsi="Arial" w:cs="Arial"/>
          <w:sz w:val="22"/>
          <w:lang w:val="es-ES_tradnl"/>
        </w:rPr>
        <w:t xml:space="preserve"> se pronunció frente </w:t>
      </w:r>
      <w:r w:rsidR="00AB4C34">
        <w:rPr>
          <w:rFonts w:ascii="Arial" w:hAnsi="Arial" w:cs="Arial"/>
          <w:sz w:val="22"/>
          <w:lang w:val="es-ES_tradnl"/>
        </w:rPr>
        <w:t>a la aplicación del</w:t>
      </w:r>
      <w:r w:rsidR="00DE5C25">
        <w:rPr>
          <w:rFonts w:ascii="Arial" w:hAnsi="Arial" w:cs="Arial"/>
          <w:sz w:val="22"/>
          <w:lang w:val="es-ES_tradnl"/>
        </w:rPr>
        <w:t xml:space="preserve"> artículo 58 de la Ley 2195 de 2022.</w:t>
      </w:r>
      <w:r w:rsidR="00AB4C34">
        <w:rPr>
          <w:rFonts w:ascii="Arial" w:hAnsi="Arial" w:cs="Arial"/>
          <w:sz w:val="22"/>
          <w:lang w:val="es-ES_tradnl"/>
        </w:rPr>
        <w:t xml:space="preserve"> Igualmente, en los conceptos </w:t>
      </w:r>
      <w:r w:rsidR="00AB4C34">
        <w:rPr>
          <w:rFonts w:ascii="Arial" w:hAnsi="Arial" w:cs="Arial"/>
          <w:color w:val="000000" w:themeColor="text1"/>
          <w:sz w:val="22"/>
          <w:lang w:val="es-ES_tradnl"/>
        </w:rPr>
        <w:t>C-712 del 28 de diciembre de 2020, C-088 del 17 de marzo de 2021, C-110 del 29 de marzo de 2021, C-203 del 3 de mayo de 2021, C-333 del 9 de julio de 2021, C-551 del 30 de septiembre de 2021,</w:t>
      </w:r>
      <w:r w:rsidR="00AB4C34" w:rsidRPr="005930ED">
        <w:rPr>
          <w:rFonts w:ascii="Arial" w:hAnsi="Arial" w:cs="Arial"/>
          <w:color w:val="000000" w:themeColor="text1"/>
          <w:sz w:val="22"/>
          <w:lang w:val="es-ES_tradnl"/>
        </w:rPr>
        <w:t xml:space="preserve"> </w:t>
      </w:r>
      <w:r w:rsidR="00AB4C34">
        <w:rPr>
          <w:rFonts w:ascii="Arial" w:hAnsi="Arial" w:cs="Arial"/>
          <w:color w:val="000000" w:themeColor="text1"/>
          <w:sz w:val="22"/>
          <w:lang w:val="es-ES_tradnl"/>
        </w:rPr>
        <w:t>C-571 del 13 de octubre de 2021, C-591 del 21 de octubre de 2021, C-600 del 26 de octubre de 2021, C-626 del 9 de noviembre de 2021 y C-747 de 4 de febrero de 2022, se pronunció sobre el Registro Nacional de Obras Civiles Inconclusas.</w:t>
      </w:r>
      <w:r w:rsidR="00DE5C25">
        <w:rPr>
          <w:rFonts w:ascii="Arial" w:hAnsi="Arial" w:cs="Arial"/>
          <w:sz w:val="22"/>
          <w:lang w:val="es-ES_tradnl"/>
        </w:rPr>
        <w:t xml:space="preserve"> </w:t>
      </w:r>
      <w:r w:rsidRPr="00D64641">
        <w:rPr>
          <w:rFonts w:ascii="Arial" w:hAnsi="Arial" w:cs="Arial"/>
          <w:sz w:val="22"/>
          <w:lang w:val="es-ES_tradnl"/>
        </w:rPr>
        <w:t xml:space="preserve">Las ideas expuestas en dichas oportunidades se reiteran a </w:t>
      </w:r>
      <w:r w:rsidR="000250C3" w:rsidRPr="00D64641">
        <w:rPr>
          <w:rFonts w:ascii="Arial" w:hAnsi="Arial" w:cs="Arial"/>
          <w:sz w:val="22"/>
          <w:lang w:val="es-ES_tradnl"/>
        </w:rPr>
        <w:t xml:space="preserve">continuación, </w:t>
      </w:r>
      <w:r w:rsidR="000250C3">
        <w:rPr>
          <w:rFonts w:ascii="Arial" w:hAnsi="Arial" w:cs="Arial"/>
          <w:sz w:val="22"/>
          <w:lang w:val="es-ES_tradnl"/>
        </w:rPr>
        <w:t>y</w:t>
      </w:r>
      <w:r w:rsidR="00B40F6C">
        <w:rPr>
          <w:rFonts w:ascii="Arial" w:hAnsi="Arial" w:cs="Arial"/>
          <w:sz w:val="22"/>
          <w:lang w:val="es-ES_tradnl"/>
        </w:rPr>
        <w:t xml:space="preserve"> se complementan en lo resulte pertinente para resolver las inquietudes de la consulta. </w:t>
      </w:r>
    </w:p>
    <w:p w14:paraId="473314AD" w14:textId="77777777" w:rsidR="00E25359" w:rsidRDefault="00E25359" w:rsidP="009A5ADC">
      <w:pPr>
        <w:spacing w:line="276" w:lineRule="auto"/>
        <w:jc w:val="both"/>
        <w:rPr>
          <w:rFonts w:ascii="Arial" w:hAnsi="Arial" w:cs="Arial"/>
          <w:noProof/>
          <w:sz w:val="22"/>
          <w:lang w:val="es-ES_tradnl"/>
        </w:rPr>
      </w:pPr>
    </w:p>
    <w:p w14:paraId="3D0D3530" w14:textId="3F9A495D" w:rsidR="00815A07" w:rsidRPr="00B40F6C" w:rsidRDefault="009A5ADC" w:rsidP="008A2527">
      <w:pPr>
        <w:spacing w:line="276" w:lineRule="auto"/>
        <w:jc w:val="both"/>
        <w:rPr>
          <w:rFonts w:ascii="Arial" w:eastAsia="Calibri" w:hAnsi="Arial" w:cs="Arial"/>
          <w:color w:val="000000" w:themeColor="text1"/>
          <w:sz w:val="22"/>
          <w:lang w:val="es-ES_tradnl"/>
        </w:rPr>
      </w:pPr>
      <w:r w:rsidRPr="00D64641">
        <w:rPr>
          <w:rFonts w:ascii="Arial" w:eastAsia="Calibri" w:hAnsi="Arial" w:cs="Arial"/>
          <w:b/>
          <w:bCs/>
          <w:color w:val="000000" w:themeColor="text1"/>
          <w:sz w:val="22"/>
          <w:lang w:val="es-ES_tradnl"/>
        </w:rPr>
        <w:t xml:space="preserve">2.1. </w:t>
      </w:r>
      <w:r w:rsidR="00707903" w:rsidRPr="00243D88">
        <w:rPr>
          <w:rFonts w:ascii="Arial" w:hAnsi="Arial" w:cs="Arial"/>
          <w:b/>
          <w:bCs/>
          <w:iCs/>
          <w:color w:val="000000" w:themeColor="text1"/>
          <w:sz w:val="22"/>
          <w:lang w:val="es-ES_tradnl"/>
        </w:rPr>
        <w:t>Alcance del artículo 58 de la Ley 2195 de 2022: reducción de puntaje por incumplimiento</w:t>
      </w:r>
      <w:r w:rsidR="00707903" w:rsidRPr="008F59B4">
        <w:rPr>
          <w:rFonts w:ascii="Arial" w:hAnsi="Arial" w:cs="Arial"/>
          <w:b/>
          <w:bCs/>
          <w:iCs/>
          <w:color w:val="000000" w:themeColor="text1"/>
          <w:sz w:val="22"/>
          <w:lang w:val="es-ES_tradnl"/>
        </w:rPr>
        <w:t xml:space="preserve"> de contratos estatales</w:t>
      </w:r>
      <w:r w:rsidR="00707903" w:rsidRPr="008F59B4" w:rsidDel="00707903">
        <w:rPr>
          <w:rFonts w:ascii="Arial" w:eastAsia="Calibri" w:hAnsi="Arial" w:cs="Arial"/>
          <w:b/>
          <w:bCs/>
          <w:color w:val="000000"/>
          <w:sz w:val="22"/>
          <w:lang w:val="es-ES_tradnl" w:eastAsia="en-GB"/>
        </w:rPr>
        <w:t xml:space="preserve"> </w:t>
      </w:r>
    </w:p>
    <w:p w14:paraId="3567142D" w14:textId="08785C35" w:rsidR="00815A07" w:rsidRDefault="00815A07" w:rsidP="008A2527">
      <w:pPr>
        <w:spacing w:line="276" w:lineRule="auto"/>
        <w:jc w:val="both"/>
        <w:rPr>
          <w:rFonts w:ascii="Arial" w:eastAsia="Calibri" w:hAnsi="Arial" w:cs="Arial"/>
          <w:b/>
          <w:bCs/>
          <w:color w:val="000000"/>
          <w:sz w:val="22"/>
          <w:szCs w:val="22"/>
          <w:lang w:eastAsia="en-GB"/>
        </w:rPr>
      </w:pPr>
    </w:p>
    <w:p w14:paraId="65A4B417" w14:textId="77777777" w:rsidR="00E14267" w:rsidRPr="008F59B4" w:rsidRDefault="00E14267" w:rsidP="00E14267">
      <w:pPr>
        <w:tabs>
          <w:tab w:val="left" w:pos="0"/>
        </w:tabs>
        <w:spacing w:after="120" w:line="276" w:lineRule="auto"/>
        <w:jc w:val="both"/>
        <w:rPr>
          <w:rFonts w:ascii="Arial" w:eastAsia="Calibri" w:hAnsi="Arial" w:cs="Arial"/>
          <w:color w:val="000000" w:themeColor="text1"/>
          <w:sz w:val="22"/>
          <w:szCs w:val="22"/>
          <w:lang w:val="es-ES_tradnl"/>
        </w:rPr>
      </w:pPr>
      <w:bookmarkStart w:id="6" w:name="_Hlk97122970"/>
      <w:r w:rsidRPr="008F59B4">
        <w:rPr>
          <w:rFonts w:ascii="Arial" w:eastAsia="Calibri" w:hAnsi="Arial" w:cs="Arial"/>
          <w:bCs/>
          <w:sz w:val="22"/>
          <w:lang w:val="es-ES_tradnl"/>
        </w:rPr>
        <w:t xml:space="preserve">Con la reciente expedición de la Ley 2195 de 2022 del 18 de enero de 2022, se adoptan medidas en materia de transparencia, prevención y lucha contra la corrupción y se dictan </w:t>
      </w:r>
      <w:r w:rsidRPr="008F59B4">
        <w:rPr>
          <w:rFonts w:ascii="Arial" w:eastAsia="Calibri" w:hAnsi="Arial" w:cs="Arial"/>
          <w:bCs/>
          <w:sz w:val="22"/>
          <w:lang w:val="es-ES_tradnl"/>
        </w:rPr>
        <w:lastRenderedPageBreak/>
        <w:t xml:space="preserve">otras disposiciones. </w:t>
      </w:r>
      <w:r w:rsidRPr="008F59B4">
        <w:rPr>
          <w:rFonts w:ascii="Arial" w:eastAsia="Calibri" w:hAnsi="Arial" w:cs="Arial"/>
          <w:color w:val="000000" w:themeColor="text1"/>
          <w:sz w:val="22"/>
          <w:szCs w:val="22"/>
          <w:lang w:val="es-ES_tradnl"/>
        </w:rPr>
        <w:t>De acuerdo con el artículo 69 de dicho cuerpo normativo, «La presente Ley rige a partir del momento de su promulgación […]», lo que significa que es obligatoria para sus destinatarios desde esa fecha.</w:t>
      </w:r>
    </w:p>
    <w:p w14:paraId="7A9DB4B0" w14:textId="77777777" w:rsidR="00E14267" w:rsidRPr="008F59B4" w:rsidRDefault="00E14267" w:rsidP="00E14267">
      <w:pPr>
        <w:spacing w:before="120" w:line="276" w:lineRule="auto"/>
        <w:ind w:firstLine="709"/>
        <w:jc w:val="both"/>
        <w:rPr>
          <w:rFonts w:ascii="Arial" w:eastAsia="Calibri" w:hAnsi="Arial" w:cs="Arial"/>
          <w:color w:val="000000" w:themeColor="text1"/>
          <w:sz w:val="22"/>
          <w:szCs w:val="22"/>
        </w:rPr>
      </w:pPr>
      <w:r w:rsidRPr="008F59B4">
        <w:rPr>
          <w:rFonts w:ascii="Arial" w:eastAsia="Calibri" w:hAnsi="Arial" w:cs="Arial"/>
          <w:bCs/>
          <w:sz w:val="22"/>
          <w:lang w:val="es-ES_tradnl"/>
        </w:rPr>
        <w:t>De conformidad con su artículo 1, esta norma tiene por objeto adoptar diferentes medidas tendientes a prevenir los actos de corrupción, reforzar la articulación de las entidades del Estado y a recuperar los daños ocasionados por la corrupción, promoviendo la cultura de la legalidad e integridad. En desarrollo de lo anterior, s</w:t>
      </w:r>
      <w:r w:rsidRPr="008F59B4">
        <w:rPr>
          <w:rFonts w:ascii="Arial" w:eastAsia="Calibri" w:hAnsi="Arial" w:cs="Arial"/>
          <w:bCs/>
          <w:sz w:val="22"/>
        </w:rPr>
        <w:t xml:space="preserve">e incorpora, entre otras, disposiciones en la contratación pública para fomentar la transparencia. </w:t>
      </w:r>
      <w:r w:rsidRPr="008F59B4">
        <w:rPr>
          <w:rFonts w:ascii="Arial" w:eastAsia="Calibri" w:hAnsi="Arial" w:cs="Arial"/>
          <w:color w:val="000000" w:themeColor="text1"/>
          <w:sz w:val="22"/>
          <w:szCs w:val="22"/>
          <w:lang w:val="es-ES_tradnl"/>
        </w:rPr>
        <w:t>Concretamente, aquellas se encuentran en el</w:t>
      </w:r>
      <w:r w:rsidRPr="008F59B4">
        <w:rPr>
          <w:rFonts w:ascii="Arial" w:eastAsia="Calibri" w:hAnsi="Arial" w:cs="Arial"/>
          <w:color w:val="000000" w:themeColor="text1"/>
          <w:sz w:val="22"/>
          <w:szCs w:val="22"/>
        </w:rPr>
        <w:t xml:space="preserve"> </w:t>
      </w:r>
      <w:r w:rsidRPr="008F59B4">
        <w:rPr>
          <w:rFonts w:ascii="Arial" w:eastAsia="Calibri" w:hAnsi="Arial" w:cs="Arial"/>
          <w:color w:val="000000" w:themeColor="text1"/>
          <w:sz w:val="22"/>
          <w:szCs w:val="22"/>
          <w:lang w:val="es-ES_tradnl"/>
        </w:rPr>
        <w:t>«</w:t>
      </w:r>
      <w:r w:rsidRPr="008F59B4">
        <w:rPr>
          <w:rFonts w:ascii="Arial" w:eastAsia="Calibri" w:hAnsi="Arial" w:cs="Arial"/>
          <w:color w:val="000000" w:themeColor="text1"/>
          <w:sz w:val="22"/>
          <w:szCs w:val="22"/>
        </w:rPr>
        <w:t>Capitulo VIII Disposiciones en materia contractual para la moralización y la transparencia</w:t>
      </w:r>
      <w:r w:rsidRPr="008F59B4">
        <w:rPr>
          <w:rFonts w:ascii="Arial" w:eastAsia="Calibri" w:hAnsi="Arial" w:cs="Arial"/>
          <w:color w:val="000000" w:themeColor="text1"/>
          <w:sz w:val="22"/>
          <w:szCs w:val="22"/>
          <w:lang w:val="es-ES_tradnl"/>
        </w:rPr>
        <w:t>» –artículos 50 al 58–</w:t>
      </w:r>
      <w:bookmarkEnd w:id="6"/>
      <w:r w:rsidRPr="008F59B4">
        <w:rPr>
          <w:rFonts w:ascii="Arial" w:eastAsia="Calibri" w:hAnsi="Arial" w:cs="Arial"/>
          <w:color w:val="000000" w:themeColor="text1"/>
          <w:sz w:val="22"/>
          <w:szCs w:val="22"/>
          <w:lang w:val="es-ES_tradnl"/>
        </w:rPr>
        <w:t xml:space="preserve">, en el cual se consagran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Pr="008F59B4">
        <w:rPr>
          <w:rFonts w:ascii="Arial" w:eastAsia="Calibri" w:hAnsi="Arial" w:cs="Arial"/>
          <w:i/>
          <w:iCs/>
          <w:color w:val="000000" w:themeColor="text1"/>
          <w:sz w:val="22"/>
          <w:szCs w:val="22"/>
          <w:lang w:val="es-ES_tradnl"/>
        </w:rPr>
        <w:t>no</w:t>
      </w:r>
      <w:r w:rsidRPr="008F59B4">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bookmarkStart w:id="7" w:name="_Hlk96447392"/>
      <w:r w:rsidRPr="008F59B4">
        <w:rPr>
          <w:rFonts w:ascii="Arial" w:eastAsia="Calibri" w:hAnsi="Arial" w:cs="Arial"/>
          <w:color w:val="000000" w:themeColor="text1"/>
          <w:sz w:val="22"/>
          <w:szCs w:val="22"/>
        </w:rPr>
        <w:t>.</w:t>
      </w:r>
    </w:p>
    <w:bookmarkEnd w:id="7"/>
    <w:p w14:paraId="0F29B814" w14:textId="77777777" w:rsidR="00E14267" w:rsidRPr="008F59B4" w:rsidRDefault="00E14267" w:rsidP="00E14267">
      <w:pPr>
        <w:spacing w:before="120" w:line="276" w:lineRule="auto"/>
        <w:ind w:firstLine="709"/>
        <w:jc w:val="both"/>
        <w:rPr>
          <w:rFonts w:ascii="Arial" w:eastAsia="Calibri" w:hAnsi="Arial" w:cs="Arial"/>
          <w:bCs/>
          <w:sz w:val="22"/>
          <w:lang w:val="es-ES_tradnl"/>
        </w:rPr>
      </w:pPr>
      <w:r w:rsidRPr="008F59B4">
        <w:rPr>
          <w:rFonts w:ascii="Arial" w:eastAsia="Calibri" w:hAnsi="Arial" w:cs="Arial"/>
          <w:bCs/>
          <w:sz w:val="22"/>
          <w:lang w:val="es-ES_tradnl"/>
        </w:rPr>
        <w:t xml:space="preserve">Entre las medidas adoptadas por la referida ley destaca el artículo 58, norma sobre la que versa la presente consulta. Conforme con el trámite legislativo </w:t>
      </w:r>
      <w:r w:rsidRPr="008F59B4">
        <w:rPr>
          <w:rFonts w:ascii="Arial" w:eastAsiaTheme="minorHAnsi" w:hAnsi="Arial" w:cs="Arial"/>
          <w:sz w:val="22"/>
          <w:szCs w:val="22"/>
          <w:lang w:val="es-MX" w:eastAsia="en-US"/>
        </w:rPr>
        <w:t>en el Congreso de la República</w:t>
      </w:r>
      <w:r w:rsidRPr="008F59B4">
        <w:rPr>
          <w:rFonts w:ascii="Arial" w:eastAsia="Calibri" w:hAnsi="Arial" w:cs="Arial"/>
          <w:bCs/>
          <w:sz w:val="22"/>
          <w:lang w:val="es-ES_tradnl"/>
        </w:rPr>
        <w:t xml:space="preserve"> de la Ley 2195 del 2022 este artículo «busca que la competencia por el mercado de los contratos públicos tenga como variable los antecedentes contractuales de los proponentes, generándose incentivos para la calidad en los servicios y bienes provistos»</w:t>
      </w:r>
      <w:r w:rsidRPr="008F59B4">
        <w:rPr>
          <w:rStyle w:val="Refdenotaalpie"/>
          <w:rFonts w:ascii="Arial" w:eastAsia="Calibri" w:hAnsi="Arial" w:cs="Arial"/>
          <w:bCs/>
          <w:sz w:val="22"/>
          <w:lang w:val="es-ES_tradnl"/>
        </w:rPr>
        <w:footnoteReference w:id="2"/>
      </w:r>
      <w:r w:rsidRPr="008F59B4">
        <w:rPr>
          <w:rFonts w:ascii="Arial" w:eastAsia="Calibri" w:hAnsi="Arial" w:cs="Arial"/>
          <w:bCs/>
          <w:sz w:val="22"/>
          <w:lang w:val="es-ES_tradnl"/>
        </w:rPr>
        <w:t xml:space="preserve">. Por ello, esta disposición se refiere a la </w:t>
      </w:r>
      <w:r w:rsidRPr="008F59B4">
        <w:rPr>
          <w:rFonts w:ascii="Arial" w:eastAsia="Calibri" w:hAnsi="Arial" w:cs="Arial"/>
          <w:color w:val="000000" w:themeColor="text1"/>
          <w:sz w:val="22"/>
          <w:szCs w:val="22"/>
        </w:rPr>
        <w:t>reducción de puntaje durante la evaluación de las ofertas al proponente que se le haya impuesto una o más multas o cláusulas penales, prescribiendo lo siguiente:</w:t>
      </w:r>
    </w:p>
    <w:p w14:paraId="4E879FB9" w14:textId="77777777" w:rsidR="00E14267" w:rsidRPr="008F59B4" w:rsidRDefault="00E14267" w:rsidP="00E14267">
      <w:pPr>
        <w:tabs>
          <w:tab w:val="left" w:pos="0"/>
        </w:tabs>
        <w:spacing w:line="276" w:lineRule="auto"/>
        <w:jc w:val="both"/>
        <w:rPr>
          <w:rFonts w:ascii="Arial" w:eastAsia="Calibri" w:hAnsi="Arial" w:cs="Arial"/>
          <w:bCs/>
          <w:sz w:val="22"/>
          <w:lang w:val="es-ES_tradnl"/>
        </w:rPr>
      </w:pPr>
    </w:p>
    <w:p w14:paraId="4407487C" w14:textId="77777777" w:rsidR="00E14267" w:rsidRPr="008F59B4" w:rsidRDefault="00E14267" w:rsidP="00E14267">
      <w:pPr>
        <w:tabs>
          <w:tab w:val="left" w:pos="0"/>
        </w:tabs>
        <w:ind w:left="709" w:right="709"/>
        <w:jc w:val="both"/>
        <w:rPr>
          <w:rFonts w:ascii="Arial" w:hAnsi="Arial" w:cs="Arial"/>
          <w:bCs/>
          <w:sz w:val="21"/>
          <w:szCs w:val="21"/>
          <w:lang w:val="es-ES_tradnl"/>
        </w:rPr>
      </w:pPr>
      <w:r w:rsidRPr="008F59B4">
        <w:rPr>
          <w:rFonts w:ascii="Arial" w:hAnsi="Arial" w:cs="Arial"/>
          <w:sz w:val="21"/>
          <w:szCs w:val="21"/>
        </w:rPr>
        <w:t xml:space="preserve">Artículo 58. </w:t>
      </w:r>
      <w:r w:rsidRPr="008F59B4">
        <w:rPr>
          <w:rFonts w:ascii="Arial" w:eastAsia="Calibri" w:hAnsi="Arial" w:cs="Arial"/>
          <w:color w:val="000000" w:themeColor="text1"/>
          <w:sz w:val="22"/>
          <w:szCs w:val="22"/>
        </w:rPr>
        <w:t>Reducción de puntaje por incumplimientos de contratos.</w:t>
      </w:r>
      <w:r w:rsidRPr="008F59B4">
        <w:rPr>
          <w:rFonts w:ascii="Arial" w:hAnsi="Arial" w:cs="Arial"/>
          <w:bCs/>
          <w:sz w:val="21"/>
          <w:szCs w:val="21"/>
          <w:lang w:val="es-ES_tradnl"/>
        </w:rPr>
        <w:t xml:space="preserve"> Las entidades estatales sometidas al Estatuto General de Contratación de la Administración Pública que adelanten cualquier Proceso de Contratación, exceptuando</w:t>
      </w:r>
      <w:r w:rsidRPr="008F59B4">
        <w:rPr>
          <w:rFonts w:ascii="Arial" w:hAnsi="Arial" w:cs="Arial"/>
          <w:bCs/>
          <w:sz w:val="21"/>
          <w:szCs w:val="21"/>
        </w:rPr>
        <w:t xml:space="preserve"> los supuestos establecidos en el literal a) del numeral 2 del artículo 2 de la Ley 1150 de 2007, en los de mínima cuantía y en aquellos donde únicamente se pondere el menor precio ofrecido</w:t>
      </w:r>
      <w:r w:rsidRPr="008F59B4">
        <w:rPr>
          <w:rFonts w:ascii="Arial" w:hAnsi="Arial" w:cs="Arial"/>
          <w:bCs/>
          <w:sz w:val="21"/>
          <w:szCs w:val="21"/>
          <w:lang w:val="es-ES_tradnl"/>
        </w:rPr>
        <w:t xml:space="preserve">, deberán reducir durante la </w:t>
      </w:r>
      <w:r w:rsidRPr="008F59B4">
        <w:rPr>
          <w:rFonts w:ascii="Arial" w:hAnsi="Arial" w:cs="Arial"/>
          <w:bCs/>
          <w:sz w:val="21"/>
          <w:szCs w:val="21"/>
          <w:lang w:val="es-ES_tradnl"/>
        </w:rPr>
        <w:lastRenderedPageBreak/>
        <w:t>evaluación de las ofertas en la etapa precontractual el dos por ciento (2%) del total de los puntos establecidos en el proceso a los proponentes que se les haya impuesto una o más multas o cláusulas penales durante el último año, contado a partir de la fecha prevista para la presentación de las ofertas, sin importar la cuantía y sin perjuicio de las demás consecuencias derivadas del incumplimiento.</w:t>
      </w:r>
    </w:p>
    <w:p w14:paraId="66749370" w14:textId="77777777" w:rsidR="00E14267" w:rsidRPr="008F59B4" w:rsidRDefault="00E14267" w:rsidP="00E14267">
      <w:pPr>
        <w:tabs>
          <w:tab w:val="left" w:pos="0"/>
        </w:tabs>
        <w:ind w:left="709" w:right="709"/>
        <w:jc w:val="both"/>
        <w:rPr>
          <w:rFonts w:ascii="Arial" w:hAnsi="Arial" w:cs="Arial"/>
          <w:bCs/>
          <w:sz w:val="21"/>
          <w:szCs w:val="21"/>
          <w:lang w:val="es-ES_tradnl"/>
        </w:rPr>
      </w:pPr>
    </w:p>
    <w:p w14:paraId="21491A16" w14:textId="77777777" w:rsidR="00E14267" w:rsidRPr="008F59B4" w:rsidRDefault="00E14267" w:rsidP="00E14267">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Esta reducción también afecta a los consorcios y uniones temporales si alguno de sus integrantes se encuentra en la situación anterior. </w:t>
      </w:r>
    </w:p>
    <w:p w14:paraId="0C7A9523" w14:textId="77777777" w:rsidR="00E14267" w:rsidRPr="008F59B4" w:rsidRDefault="00E14267" w:rsidP="00E14267">
      <w:pPr>
        <w:tabs>
          <w:tab w:val="left" w:pos="0"/>
        </w:tabs>
        <w:ind w:left="709" w:right="709"/>
        <w:jc w:val="both"/>
        <w:rPr>
          <w:rFonts w:ascii="Arial" w:eastAsia="Calibri" w:hAnsi="Arial" w:cs="Arial"/>
          <w:bCs/>
          <w:sz w:val="21"/>
          <w:szCs w:val="21"/>
        </w:rPr>
      </w:pPr>
    </w:p>
    <w:p w14:paraId="55B81CB5" w14:textId="77777777" w:rsidR="00E14267" w:rsidRPr="008F59B4" w:rsidRDefault="00E14267" w:rsidP="00E14267">
      <w:pPr>
        <w:tabs>
          <w:tab w:val="left" w:pos="0"/>
        </w:tabs>
        <w:ind w:left="709" w:right="709"/>
        <w:jc w:val="both"/>
        <w:rPr>
          <w:rFonts w:ascii="Arial" w:eastAsia="Calibri" w:hAnsi="Arial" w:cs="Arial"/>
          <w:bCs/>
          <w:sz w:val="21"/>
          <w:szCs w:val="21"/>
        </w:rPr>
      </w:pPr>
      <w:r w:rsidRPr="008F59B4">
        <w:rPr>
          <w:rFonts w:ascii="Arial" w:eastAsia="Calibri" w:hAnsi="Arial" w:cs="Arial"/>
          <w:bCs/>
          <w:sz w:val="21"/>
          <w:szCs w:val="21"/>
        </w:rPr>
        <w:t xml:space="preserve">Parágrafo primero. La reducción del puntaje no se aplicará en caso de que los actos administrativos que hayan impuesto las multas sean objeto de medios de control jurisdiccional a través de las acciones previstas en la Ley 1437 de 2011 o las normas que la modifiquen, adicionen o sustituyan. </w:t>
      </w:r>
    </w:p>
    <w:p w14:paraId="1332200D" w14:textId="77777777" w:rsidR="00E14267" w:rsidRPr="008F59B4" w:rsidRDefault="00E14267" w:rsidP="00E14267">
      <w:pPr>
        <w:tabs>
          <w:tab w:val="left" w:pos="0"/>
        </w:tabs>
        <w:ind w:left="709" w:right="709"/>
        <w:jc w:val="both"/>
        <w:rPr>
          <w:rFonts w:ascii="Arial" w:eastAsia="Calibri" w:hAnsi="Arial" w:cs="Arial"/>
          <w:bCs/>
          <w:sz w:val="21"/>
          <w:szCs w:val="21"/>
        </w:rPr>
      </w:pPr>
    </w:p>
    <w:p w14:paraId="05045377" w14:textId="77777777" w:rsidR="00E14267" w:rsidRPr="008F59B4" w:rsidRDefault="00E14267" w:rsidP="00E14267">
      <w:pPr>
        <w:tabs>
          <w:tab w:val="left" w:pos="0"/>
        </w:tabs>
        <w:ind w:left="709" w:right="709"/>
        <w:jc w:val="both"/>
        <w:rPr>
          <w:rFonts w:ascii="Arial" w:eastAsia="Calibri" w:hAnsi="Arial" w:cs="Arial"/>
          <w:bCs/>
          <w:sz w:val="21"/>
          <w:szCs w:val="21"/>
          <w:lang w:val="es-ES_tradnl"/>
        </w:rPr>
      </w:pPr>
      <w:r w:rsidRPr="008F59B4">
        <w:rPr>
          <w:rFonts w:ascii="Arial" w:eastAsia="Calibri" w:hAnsi="Arial" w:cs="Arial"/>
          <w:bCs/>
          <w:sz w:val="21"/>
          <w:szCs w:val="21"/>
        </w:rPr>
        <w:t>Parágrafo segundo. La reducción de puntaje por incumplimiento de contratos se aplicará sin perjuicio de lo contenido en el artículo 6 de la Ley 2020 de 2020.</w:t>
      </w:r>
    </w:p>
    <w:p w14:paraId="1202AD50" w14:textId="77777777" w:rsidR="00E14267" w:rsidRPr="008F59B4" w:rsidRDefault="00E14267" w:rsidP="00E14267">
      <w:pPr>
        <w:tabs>
          <w:tab w:val="left" w:pos="0"/>
        </w:tabs>
        <w:spacing w:line="276" w:lineRule="auto"/>
        <w:jc w:val="both"/>
        <w:rPr>
          <w:rFonts w:ascii="Arial" w:eastAsia="Calibri" w:hAnsi="Arial" w:cs="Arial"/>
          <w:b/>
          <w:sz w:val="22"/>
          <w:lang w:val="es-ES_tradnl"/>
        </w:rPr>
      </w:pPr>
    </w:p>
    <w:p w14:paraId="0BBF8891" w14:textId="77777777" w:rsidR="00E14267" w:rsidRPr="008F59B4" w:rsidRDefault="00E14267" w:rsidP="00E14267">
      <w:pPr>
        <w:spacing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Como puede advertirse, esta disposición contiene </w:t>
      </w:r>
      <w:r>
        <w:rPr>
          <w:rFonts w:ascii="Arial" w:eastAsia="Calibri" w:hAnsi="Arial" w:cs="Arial"/>
          <w:color w:val="000000" w:themeColor="text1"/>
          <w:sz w:val="22"/>
          <w:lang w:val="es-ES_tradnl"/>
        </w:rPr>
        <w:t>las reglas</w:t>
      </w:r>
      <w:r w:rsidRPr="008F59B4">
        <w:rPr>
          <w:rFonts w:ascii="Arial" w:eastAsia="Calibri" w:hAnsi="Arial" w:cs="Arial"/>
          <w:color w:val="000000" w:themeColor="text1"/>
          <w:sz w:val="22"/>
          <w:lang w:val="es-ES_tradnl"/>
        </w:rPr>
        <w:t xml:space="preserve"> que, a continuación, se explican:</w:t>
      </w:r>
    </w:p>
    <w:p w14:paraId="4DE6E67C" w14:textId="77777777" w:rsidR="00E14267" w:rsidRPr="008F59B4" w:rsidRDefault="00E14267" w:rsidP="00E14267">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 Las entidades estatales sometidas al Estatuto General de Contratación de la Administración Pública –no las entidades exceptuadas de este o que tienen un régimen especial de contratación– deberán, por regla general, aplicar la reducción del puntaje indicado en el citado artículo 58, en los procedimientos de selección que adelanten.</w:t>
      </w:r>
    </w:p>
    <w:p w14:paraId="2E250BA6" w14:textId="77777777" w:rsidR="00E14267" w:rsidRPr="008F59B4" w:rsidRDefault="00E14267" w:rsidP="00E14267">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ii) Sin embargo, el deber de reducción del puntaje, para las entidades sometidas al Estatuto General de Contratación de la Administración Pública, previsto en el artículo que se viene comentando, tiene algunas excepciones. Los supuestos en los que no opera dicha disminución son los consagrados en el primer inciso del artículo 58 –en comento–, a saber: los «establecidos en el literal a) del numeral 2 del artículo 2 de la Ley 1150 de 2007</w:t>
      </w:r>
      <w:r w:rsidRPr="008F59B4">
        <w:rPr>
          <w:rStyle w:val="Refdenotaalpie"/>
          <w:rFonts w:ascii="Arial" w:eastAsia="Calibri" w:hAnsi="Arial" w:cs="Arial"/>
          <w:color w:val="000000" w:themeColor="text1"/>
          <w:sz w:val="22"/>
          <w:lang w:val="es-ES_tradnl"/>
        </w:rPr>
        <w:footnoteReference w:id="3"/>
      </w:r>
      <w:r w:rsidRPr="008F59B4">
        <w:rPr>
          <w:rFonts w:ascii="Arial" w:eastAsia="Calibri" w:hAnsi="Arial" w:cs="Arial"/>
          <w:color w:val="000000" w:themeColor="text1"/>
          <w:sz w:val="22"/>
          <w:lang w:val="es-ES_tradnl"/>
        </w:rPr>
        <w:t>, en los de mínima cuantía y en aquellos donde únicamente se pondere el menor precio ofrecido».</w:t>
      </w:r>
    </w:p>
    <w:p w14:paraId="5E3CA8A8" w14:textId="77777777" w:rsidR="00E14267" w:rsidRPr="008F59B4" w:rsidRDefault="00E14267" w:rsidP="00E14267">
      <w:pPr>
        <w:spacing w:before="120" w:line="276" w:lineRule="auto"/>
        <w:ind w:firstLine="709"/>
        <w:jc w:val="both"/>
        <w:rPr>
          <w:rFonts w:ascii="Arial" w:eastAsia="Calibri" w:hAnsi="Arial" w:cs="Arial"/>
          <w:color w:val="000000" w:themeColor="text1"/>
          <w:sz w:val="22"/>
          <w:lang w:val="es-ES_tradnl"/>
        </w:rPr>
      </w:pPr>
      <w:r w:rsidRPr="008F59B4">
        <w:rPr>
          <w:rFonts w:ascii="Arial" w:eastAsia="Calibri" w:hAnsi="Arial" w:cs="Arial"/>
          <w:color w:val="000000" w:themeColor="text1"/>
          <w:sz w:val="22"/>
          <w:lang w:val="es-ES_tradnl"/>
        </w:rPr>
        <w:t xml:space="preserve">iii) La reducción del puntaje, ordenada por la norma, debe practicarse durante la evaluación de las ofertas en la etapa precontractual y debe ser equivalente al dos por ciento (2%) del total de los puntos establecidos en el proceso. Es importante precisar que el artículo no utiliza la preposición </w:t>
      </w:r>
      <w:r w:rsidRPr="008F59B4">
        <w:rPr>
          <w:rFonts w:ascii="Arial" w:eastAsia="Calibri" w:hAnsi="Arial" w:cs="Arial"/>
          <w:i/>
          <w:iCs/>
          <w:color w:val="000000" w:themeColor="text1"/>
          <w:sz w:val="22"/>
          <w:lang w:val="es-ES_tradnl"/>
        </w:rPr>
        <w:t>hasta</w:t>
      </w:r>
      <w:r w:rsidRPr="008F59B4">
        <w:rPr>
          <w:rFonts w:ascii="Arial" w:eastAsia="Calibri" w:hAnsi="Arial" w:cs="Arial"/>
          <w:color w:val="000000" w:themeColor="text1"/>
          <w:sz w:val="22"/>
          <w:lang w:val="es-ES_tradnl"/>
        </w:rPr>
        <w:t xml:space="preserve">, ni dice que debe ser, </w:t>
      </w:r>
      <w:r w:rsidRPr="008F59B4">
        <w:rPr>
          <w:rFonts w:ascii="Arial" w:eastAsia="Calibri" w:hAnsi="Arial" w:cs="Arial"/>
          <w:i/>
          <w:iCs/>
          <w:color w:val="000000" w:themeColor="text1"/>
          <w:sz w:val="22"/>
          <w:lang w:val="es-ES_tradnl"/>
        </w:rPr>
        <w:t>como mínimo</w:t>
      </w:r>
      <w:r w:rsidRPr="008F59B4">
        <w:rPr>
          <w:rFonts w:ascii="Arial" w:eastAsia="Calibri" w:hAnsi="Arial" w:cs="Arial"/>
          <w:color w:val="000000" w:themeColor="text1"/>
          <w:sz w:val="22"/>
          <w:lang w:val="es-ES_tradnl"/>
        </w:rPr>
        <w:t xml:space="preserve">, una reducción del dos por ciento (2%) de los puntos, sino que establece que ha de ser, exactamente, por este porcentaje. </w:t>
      </w:r>
    </w:p>
    <w:p w14:paraId="581F2E90" w14:textId="77777777" w:rsidR="00E14267" w:rsidRPr="001C037A"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8F59B4">
        <w:rPr>
          <w:rFonts w:ascii="Arial" w:eastAsia="Calibri" w:hAnsi="Arial" w:cs="Arial"/>
          <w:color w:val="000000" w:themeColor="text1"/>
          <w:sz w:val="22"/>
          <w:szCs w:val="22"/>
          <w:lang w:val="es-ES_tradnl"/>
        </w:rPr>
        <w:lastRenderedPageBreak/>
        <w:t>iv) Los sujetos pasivos –es decir, los afectados por lo dispuesto en el artículo– son los proponentes –incluidos los consorcios y uniones temporales, por la situación de alguno de sus integrantes– a quienes «</w:t>
      </w:r>
      <w:r w:rsidRPr="008F59B4">
        <w:rPr>
          <w:rFonts w:ascii="Arial" w:hAnsi="Arial" w:cs="Arial"/>
          <w:sz w:val="22"/>
          <w:szCs w:val="22"/>
        </w:rPr>
        <w:t xml:space="preserve">[…] </w:t>
      </w:r>
      <w:r w:rsidRPr="008F59B4">
        <w:rPr>
          <w:rFonts w:ascii="Arial" w:eastAsia="Calibri" w:hAnsi="Arial" w:cs="Arial"/>
          <w:color w:val="000000" w:themeColor="text1"/>
          <w:sz w:val="22"/>
          <w:szCs w:val="22"/>
          <w:lang w:val="es-ES_tradnl"/>
        </w:rPr>
        <w:t xml:space="preserve">se les haya impuesto una o más multas o cláusulas penales durante el último año, contado a partir de la fecha prevista para la presentación de las ofertas, sin importar la cuantía y sin perjuicio de las demás consecuencias derivadas del incumplimiento». Por ende, para desentrañar el sentido de este enunciado normativo debe acudirse al artículo 17 de la Ley 1150 de 2007, que regula la potestad de las entidades estatales sometidas al Estatuto General de Contratación de la Administración Pública de </w:t>
      </w:r>
      <w:r>
        <w:rPr>
          <w:rFonts w:ascii="Arial" w:eastAsia="Calibri" w:hAnsi="Arial" w:cs="Arial"/>
          <w:color w:val="000000" w:themeColor="text1"/>
          <w:sz w:val="22"/>
          <w:szCs w:val="22"/>
          <w:lang w:val="es-ES_tradnl"/>
        </w:rPr>
        <w:t>imponer</w:t>
      </w:r>
      <w:r w:rsidRPr="008F59B4">
        <w:rPr>
          <w:rFonts w:ascii="Arial" w:eastAsia="Calibri" w:hAnsi="Arial" w:cs="Arial"/>
          <w:color w:val="000000" w:themeColor="text1"/>
          <w:sz w:val="22"/>
          <w:szCs w:val="22"/>
          <w:lang w:val="es-ES_tradnl"/>
        </w:rPr>
        <w:t xml:space="preserve"> multas o hacer efectivas cláusulas penales pecuniarias.</w:t>
      </w:r>
      <w:r w:rsidRPr="001C037A">
        <w:rPr>
          <w:rFonts w:ascii="Arial" w:eastAsia="Calibri" w:hAnsi="Arial" w:cs="Arial"/>
          <w:color w:val="000000" w:themeColor="text1"/>
          <w:sz w:val="22"/>
          <w:szCs w:val="22"/>
          <w:lang w:val="es-ES_tradnl"/>
        </w:rPr>
        <w:t xml:space="preserve"> Así, la reducción del puntaje exigido por el artículo 58 de la Ley 2195 de 2022 no se aplica en aquellos eventos en los cuales una entidad realiza un requerimiento a un contratista, sin imponer una multa o cláusula penal pecuniaria, como podría suceder en algunos supuestos de declaratoria de siniestros, pues la efectividad de las garantías no siempre está condicionada por el incumplimiento. </w:t>
      </w:r>
    </w:p>
    <w:p w14:paraId="3F4A3BFB" w14:textId="77777777" w:rsidR="00E14267" w:rsidRPr="001C037A"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v) En cuanto al período durante el cual debe examinarse la imposición de las multas o cláusulas penales, el artículo 58 dice que es «</w:t>
      </w:r>
      <w:r w:rsidRPr="001C037A">
        <w:rPr>
          <w:rFonts w:ascii="Arial" w:hAnsi="Arial" w:cs="Arial"/>
          <w:sz w:val="22"/>
          <w:szCs w:val="22"/>
        </w:rPr>
        <w:t xml:space="preserve">[…] </w:t>
      </w:r>
      <w:r w:rsidRPr="001C037A">
        <w:rPr>
          <w:rFonts w:ascii="Arial" w:eastAsia="Calibri" w:hAnsi="Arial" w:cs="Arial"/>
          <w:color w:val="000000" w:themeColor="text1"/>
          <w:sz w:val="22"/>
          <w:szCs w:val="22"/>
          <w:lang w:val="es-ES_tradnl"/>
        </w:rPr>
        <w:t>durante el último año, contado a partir de la fecha prevista para la presentación de las ofertas». O sea que la entidad estatal contratante –que está adelantando el procedimiento de selección–, debe verificar si en el último año anterior al cierre del proceso –fecha prevista para la presentación de las ofertas</w:t>
      </w:r>
      <w:r>
        <w:rPr>
          <w:rFonts w:ascii="Arial" w:eastAsia="Calibri" w:hAnsi="Arial" w:cs="Arial"/>
          <w:color w:val="000000" w:themeColor="text1"/>
          <w:sz w:val="22"/>
          <w:szCs w:val="22"/>
          <w:lang w:val="es-ES_tradnl"/>
        </w:rPr>
        <w:t>-</w:t>
      </w:r>
      <w:r w:rsidRPr="001C037A">
        <w:rPr>
          <w:rFonts w:ascii="Arial" w:eastAsia="Calibri" w:hAnsi="Arial" w:cs="Arial"/>
          <w:color w:val="000000" w:themeColor="text1"/>
          <w:sz w:val="22"/>
          <w:szCs w:val="22"/>
          <w:lang w:val="es-ES_tradnl"/>
        </w:rPr>
        <w:t xml:space="preserve"> el proponente fue sancionado con multa o cláusula penal pecuniaria. Esto se debe verificar en el Registro Único de Proponentes –RUP–, de conformidad con lo establecido en el numeral 6.2 del artículo 6 de la Ley 1150 de 2007, según el cual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 </w:t>
      </w:r>
    </w:p>
    <w:p w14:paraId="1DEBD4B7" w14:textId="77777777" w:rsidR="00E14267" w:rsidRPr="001C037A" w:rsidRDefault="00E14267" w:rsidP="00E14267">
      <w:pPr>
        <w:spacing w:before="120" w:after="120" w:line="276" w:lineRule="auto"/>
        <w:ind w:firstLine="709"/>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 xml:space="preserve">vi) Si el afectado por la imposición de una o más multas demanda la decisión correspondiente, no podrá aplicarse la reducción del puntaje consagrada en el artículo 58 bajo análisis. Esto es lo que establece el parágrafo 1, al indicar que «La reducción del puntaje no se aplicará en caso de que los actos administrativos que hayan impuesto las multas sean objeto de medios de control jurisdiccional a través de las acciones previstas en la Ley 1437 de 2011 o las normas que la modifiquen, adicionen o sustituyan»; por ejemplo, si la persona acude al medio de control de controversias contractuales, una de cuyas pretensiones puede ser </w:t>
      </w:r>
      <w:bookmarkStart w:id="8" w:name="_Hlk97277493"/>
      <w:r w:rsidRPr="001C037A">
        <w:rPr>
          <w:rFonts w:ascii="Arial" w:eastAsia="Calibri" w:hAnsi="Arial" w:cs="Arial"/>
          <w:color w:val="000000" w:themeColor="text1"/>
          <w:sz w:val="22"/>
          <w:szCs w:val="22"/>
          <w:lang w:val="es-ES_tradnl"/>
        </w:rPr>
        <w:t>«</w:t>
      </w:r>
      <w:bookmarkEnd w:id="8"/>
      <w:r w:rsidRPr="001C037A">
        <w:rPr>
          <w:rFonts w:ascii="Arial" w:hAnsi="Arial" w:cs="Arial"/>
          <w:sz w:val="22"/>
          <w:szCs w:val="22"/>
          <w:lang w:val="es-ES_tradnl"/>
        </w:rPr>
        <w:t xml:space="preserve">[…] </w:t>
      </w:r>
      <w:r w:rsidRPr="001C037A">
        <w:rPr>
          <w:rFonts w:ascii="Arial" w:eastAsia="Calibri" w:hAnsi="Arial" w:cs="Arial"/>
          <w:color w:val="000000" w:themeColor="text1"/>
          <w:sz w:val="22"/>
          <w:szCs w:val="22"/>
          <w:lang w:val="es-ES_tradnl"/>
        </w:rPr>
        <w:t xml:space="preserve">que se declare la nulidad de los actos administrativos contractuales», según lo dispone el artículo 141 de la Ley 1437 de 2011. Valga decir que el artículo 58 no exige que el demandante haya solicitado la medida cautelar de suspensión provisional del acto administrativo. Aunque no exista dicha medida, pero se constata que el acto se demandó, la entidad estatal no puede aplicar la reducción del puntaje prevista en el referido artículo. Es importante destacar que la excepción prevista en el parágrafo frente a la reducción de puntaje solo se estableció en relación con las multas, mas no frente </w:t>
      </w:r>
      <w:r w:rsidRPr="001C037A">
        <w:rPr>
          <w:rFonts w:ascii="Arial" w:eastAsia="Calibri" w:hAnsi="Arial" w:cs="Arial"/>
          <w:color w:val="000000" w:themeColor="text1"/>
          <w:sz w:val="22"/>
          <w:szCs w:val="22"/>
          <w:lang w:val="es-ES_tradnl"/>
        </w:rPr>
        <w:lastRenderedPageBreak/>
        <w:t xml:space="preserve">a las cláusulas penales impuestas al contratista, </w:t>
      </w:r>
      <w:bookmarkStart w:id="9" w:name="_Hlk97102186"/>
      <w:r w:rsidRPr="001C037A">
        <w:rPr>
          <w:rFonts w:ascii="Arial" w:eastAsia="Calibri" w:hAnsi="Arial" w:cs="Arial"/>
          <w:color w:val="000000" w:themeColor="text1"/>
          <w:sz w:val="22"/>
          <w:szCs w:val="22"/>
          <w:lang w:val="es-ES_tradnl"/>
        </w:rPr>
        <w:t>por lo que el legislador optó por realizar una distinción en su tratamiento.</w:t>
      </w:r>
      <w:bookmarkEnd w:id="9"/>
    </w:p>
    <w:p w14:paraId="7B4C43B9" w14:textId="77777777" w:rsidR="00E14267" w:rsidRPr="0045355B" w:rsidRDefault="00E14267" w:rsidP="00E14267">
      <w:pPr>
        <w:tabs>
          <w:tab w:val="left" w:pos="0"/>
        </w:tabs>
        <w:spacing w:after="120" w:line="276" w:lineRule="auto"/>
        <w:jc w:val="both"/>
        <w:rPr>
          <w:rFonts w:ascii="Arial" w:eastAsia="Calibri" w:hAnsi="Arial" w:cs="Arial"/>
          <w:color w:val="000000" w:themeColor="text1"/>
          <w:sz w:val="22"/>
          <w:szCs w:val="22"/>
          <w:lang w:val="es-ES_tradnl"/>
        </w:rPr>
      </w:pPr>
      <w:r w:rsidRPr="001C037A">
        <w:rPr>
          <w:rFonts w:ascii="Arial" w:eastAsia="Calibri" w:hAnsi="Arial" w:cs="Arial"/>
          <w:color w:val="000000" w:themeColor="text1"/>
          <w:sz w:val="22"/>
          <w:szCs w:val="22"/>
          <w:lang w:val="es-ES_tradnl"/>
        </w:rPr>
        <w:tab/>
        <w:t xml:space="preserve">vii) La reducción del </w:t>
      </w:r>
      <w:r w:rsidRPr="0045355B">
        <w:rPr>
          <w:rFonts w:ascii="Arial" w:eastAsia="Calibri" w:hAnsi="Arial" w:cs="Arial"/>
          <w:color w:val="000000" w:themeColor="text1"/>
          <w:sz w:val="22"/>
          <w:szCs w:val="22"/>
          <w:lang w:val="es-ES_tradnl"/>
        </w:rPr>
        <w:t>puntaje que exige efectuar el artículo 58 de la Ley 2195 de 2022, como lo expresa su parágrafo 2, debe aplicarse «sin perjuicio de lo contenido en el artículo 6 de la Ley 2020 de 2020»</w:t>
      </w:r>
      <w:r w:rsidRPr="0045355B">
        <w:rPr>
          <w:rStyle w:val="Refdenotaalpie"/>
          <w:rFonts w:ascii="Arial" w:eastAsia="Calibri" w:hAnsi="Arial" w:cs="Arial"/>
          <w:color w:val="000000" w:themeColor="text1"/>
          <w:sz w:val="22"/>
          <w:szCs w:val="22"/>
          <w:lang w:val="es-ES_tradnl"/>
        </w:rPr>
        <w:footnoteReference w:id="4"/>
      </w:r>
      <w:r w:rsidRPr="0045355B">
        <w:rPr>
          <w:rFonts w:ascii="Arial" w:eastAsia="Calibri" w:hAnsi="Arial" w:cs="Arial"/>
          <w:color w:val="000000" w:themeColor="text1"/>
          <w:sz w:val="22"/>
          <w:szCs w:val="22"/>
          <w:lang w:val="es-ES_tradnl"/>
        </w:rPr>
        <w:t>. Esto significa que no riñe la disminución del puntaje con la verificación de las anotaciones contenidas en el Registro Nacional de Obras Civiles Inconclusas.</w:t>
      </w:r>
    </w:p>
    <w:p w14:paraId="37CF08D8" w14:textId="77777777" w:rsidR="00E14267" w:rsidRPr="0045355B"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Ahora bien, en la consulta se indaga sobre el alcance del parágrafo primero del artículo 58 de la Ley 2195 de 2022, particularmente respecto del momento en cual debería aplicarse la excepción establecida en dicha norma en relación con la reducción del puntaje por incumplimiento. Para estos efectos, expone diferentes alternativas interpretativas que se desprenden de la redacción de la norma dentro de las cuales señala: i)</w:t>
      </w:r>
      <w:r w:rsidRPr="0045355B">
        <w:rPr>
          <w:rFonts w:ascii="Arial" w:eastAsia="Calibri" w:hAnsi="Arial" w:cs="Arial"/>
          <w:color w:val="000000" w:themeColor="text1"/>
          <w:sz w:val="22"/>
          <w:szCs w:val="22"/>
        </w:rPr>
        <w:t xml:space="preserve"> que se refiere a la existencia de fallo de segunda instancia que decida la demanda que se haya presentado contra la resolución que haya impuesto las multas; o ii) que haga alusión al acto de radicación de la demanda que se haya presentado contra la resolución que haya impuesto las multas;</w:t>
      </w:r>
      <w:r w:rsidRPr="0045355B">
        <w:rPr>
          <w:rFonts w:ascii="Arial" w:eastAsia="Calibri" w:hAnsi="Arial" w:cs="Arial"/>
          <w:color w:val="000000" w:themeColor="text1"/>
          <w:sz w:val="22"/>
          <w:szCs w:val="22"/>
          <w:lang w:val="es-ES_tradnl"/>
        </w:rPr>
        <w:t xml:space="preserve"> o iii) </w:t>
      </w:r>
      <w:r w:rsidRPr="0045355B">
        <w:rPr>
          <w:rFonts w:ascii="Arial" w:eastAsia="Calibri" w:hAnsi="Arial" w:cs="Arial"/>
          <w:color w:val="000000" w:themeColor="text1"/>
          <w:sz w:val="22"/>
          <w:szCs w:val="22"/>
        </w:rPr>
        <w:t>que se deba entender desde el acto de admisión de esta demanda; o iv) que se cuente desde la notificación de fallo o ejecutoria de la demanda tramitada contra la resolución que haya impuesto multas. A juicio de esta Agencia, como se anticipó en el literal vi), s</w:t>
      </w:r>
      <w:r w:rsidRPr="0045355B">
        <w:rPr>
          <w:rFonts w:ascii="Arial" w:eastAsia="Calibri" w:hAnsi="Arial" w:cs="Arial"/>
          <w:color w:val="000000" w:themeColor="text1"/>
          <w:sz w:val="22"/>
          <w:szCs w:val="22"/>
          <w:lang w:val="es-ES_tradnl"/>
        </w:rPr>
        <w:t xml:space="preserve">i el afectado por la imposición de una o más multas demanda la decisión correspondiente, no podrá aplicarse la reducción del puntaje consagrada en el artículo 58 bajo análisis, por lo que la interpretación de este parágrafo se sujeta a la presentación de la demanda ante la jurisdicción contenciosa administrativa. Los argumentos de esta tesis pasarán a explicarse a continuación. </w:t>
      </w:r>
    </w:p>
    <w:p w14:paraId="1C930B08" w14:textId="77777777" w:rsidR="00E14267" w:rsidRPr="0045355B" w:rsidRDefault="00E14267" w:rsidP="00E14267">
      <w:pPr>
        <w:tabs>
          <w:tab w:val="left" w:pos="0"/>
        </w:tabs>
        <w:spacing w:line="276" w:lineRule="auto"/>
        <w:jc w:val="both"/>
        <w:rPr>
          <w:rFonts w:ascii="Arial" w:eastAsia="Calibri" w:hAnsi="Arial" w:cs="Arial"/>
          <w:bCs/>
          <w:sz w:val="22"/>
        </w:rPr>
      </w:pPr>
    </w:p>
    <w:p w14:paraId="501AED19" w14:textId="1A209BA5" w:rsidR="00E14267" w:rsidRPr="0045355B" w:rsidRDefault="00E14267" w:rsidP="00E14267">
      <w:pPr>
        <w:tabs>
          <w:tab w:val="left" w:pos="0"/>
        </w:tabs>
        <w:spacing w:line="276" w:lineRule="auto"/>
        <w:jc w:val="both"/>
        <w:rPr>
          <w:rFonts w:ascii="Arial" w:eastAsia="Calibri" w:hAnsi="Arial" w:cs="Arial"/>
          <w:bCs/>
          <w:color w:val="000000" w:themeColor="text1"/>
          <w:sz w:val="22"/>
        </w:rPr>
      </w:pPr>
      <w:r w:rsidRPr="0045355B">
        <w:rPr>
          <w:rFonts w:ascii="Arial" w:hAnsi="Arial" w:cs="Arial"/>
          <w:b/>
          <w:bCs/>
          <w:iCs/>
          <w:color w:val="000000" w:themeColor="text1"/>
          <w:sz w:val="22"/>
          <w:lang w:val="es-ES_tradnl"/>
        </w:rPr>
        <w:t>2.</w:t>
      </w:r>
      <w:r>
        <w:rPr>
          <w:rFonts w:ascii="Arial" w:hAnsi="Arial" w:cs="Arial"/>
          <w:b/>
          <w:bCs/>
          <w:iCs/>
          <w:color w:val="000000" w:themeColor="text1"/>
          <w:sz w:val="22"/>
          <w:lang w:val="es-ES_tradnl"/>
        </w:rPr>
        <w:t>2</w:t>
      </w:r>
      <w:r w:rsidRPr="0045355B">
        <w:rPr>
          <w:rFonts w:ascii="Arial" w:hAnsi="Arial" w:cs="Arial"/>
          <w:b/>
          <w:bCs/>
          <w:iCs/>
          <w:color w:val="000000" w:themeColor="text1"/>
          <w:sz w:val="22"/>
          <w:lang w:val="es-ES_tradnl"/>
        </w:rPr>
        <w:t xml:space="preserve">. </w:t>
      </w:r>
      <w:r w:rsidRPr="0045355B">
        <w:rPr>
          <w:rFonts w:ascii="Arial" w:eastAsia="Calibri" w:hAnsi="Arial" w:cs="Arial"/>
          <w:b/>
          <w:color w:val="000000"/>
          <w:sz w:val="22"/>
          <w:lang w:val="es-ES_tradnl" w:eastAsia="en-GB"/>
        </w:rPr>
        <w:t xml:space="preserve">Excepción a la reducción del puntaje conforme con el </w:t>
      </w:r>
      <w:r w:rsidRPr="0045355B">
        <w:rPr>
          <w:rFonts w:ascii="Arial" w:hAnsi="Arial" w:cs="Arial"/>
          <w:b/>
          <w:iCs/>
          <w:color w:val="000000" w:themeColor="text1"/>
          <w:sz w:val="22"/>
          <w:lang w:val="es-ES_tradnl"/>
        </w:rPr>
        <w:t>parágrafo primero del artículo 58 de la Ley 2195 de 2022</w:t>
      </w:r>
    </w:p>
    <w:p w14:paraId="3406C4F4" w14:textId="77777777" w:rsidR="00E14267" w:rsidRPr="0045355B" w:rsidRDefault="00E14267" w:rsidP="00E14267">
      <w:pPr>
        <w:tabs>
          <w:tab w:val="left" w:pos="0"/>
        </w:tabs>
        <w:spacing w:line="276" w:lineRule="auto"/>
        <w:jc w:val="both"/>
        <w:rPr>
          <w:rFonts w:ascii="Arial" w:hAnsi="Arial" w:cs="Arial"/>
          <w:b/>
          <w:bCs/>
          <w:iCs/>
          <w:color w:val="000000" w:themeColor="text1"/>
          <w:sz w:val="22"/>
          <w:lang w:val="es-ES_tradnl"/>
        </w:rPr>
      </w:pPr>
    </w:p>
    <w:p w14:paraId="02BE9B90" w14:textId="77777777" w:rsidR="00E14267" w:rsidRPr="0045355B" w:rsidRDefault="00E14267" w:rsidP="00E14267">
      <w:pPr>
        <w:spacing w:line="276" w:lineRule="auto"/>
        <w:jc w:val="both"/>
        <w:rPr>
          <w:rFonts w:ascii="Arial" w:eastAsia="Calibri" w:hAnsi="Arial" w:cs="Arial"/>
          <w:color w:val="000000" w:themeColor="text1"/>
          <w:sz w:val="22"/>
          <w:szCs w:val="22"/>
          <w:lang w:val="es-ES_tradnl"/>
        </w:rPr>
      </w:pPr>
      <w:bookmarkStart w:id="10" w:name="_Hlk97102875"/>
      <w:r w:rsidRPr="0045355B">
        <w:rPr>
          <w:rFonts w:ascii="Arial" w:eastAsia="Calibri" w:hAnsi="Arial" w:cs="Arial"/>
          <w:bCs/>
          <w:color w:val="000000" w:themeColor="text1"/>
          <w:sz w:val="22"/>
          <w:szCs w:val="22"/>
          <w:lang w:val="es-ES_tradnl"/>
        </w:rPr>
        <w:t xml:space="preserve">Como se señaló en el numeral anterior el parágrafo primero del artículo 58 de la Ley 2195 de 2022 establece una excepción a la reducción del puntaje por incumplimiento indicando que </w:t>
      </w:r>
      <w:r w:rsidRPr="0045355B">
        <w:rPr>
          <w:rFonts w:ascii="Arial" w:eastAsia="Calibri" w:hAnsi="Arial" w:cs="Arial"/>
          <w:color w:val="000000" w:themeColor="text1"/>
          <w:sz w:val="22"/>
          <w:szCs w:val="22"/>
          <w:lang w:val="es-ES_tradnl"/>
        </w:rPr>
        <w:t>«</w:t>
      </w:r>
      <w:r w:rsidRPr="0045355B">
        <w:rPr>
          <w:rFonts w:ascii="Arial" w:eastAsia="Calibri" w:hAnsi="Arial" w:cs="Arial"/>
          <w:bCs/>
          <w:color w:val="000000" w:themeColor="text1"/>
          <w:sz w:val="22"/>
          <w:szCs w:val="22"/>
          <w:lang w:val="es-ES_tradnl"/>
        </w:rPr>
        <w:t xml:space="preserve">no se aplicará en caso de que los actos administrativos que hayan impuesto las </w:t>
      </w:r>
      <w:r w:rsidRPr="0045355B">
        <w:rPr>
          <w:rFonts w:ascii="Arial" w:eastAsia="Calibri" w:hAnsi="Arial" w:cs="Arial"/>
          <w:bCs/>
          <w:color w:val="000000" w:themeColor="text1"/>
          <w:sz w:val="22"/>
          <w:szCs w:val="22"/>
          <w:lang w:val="es-ES_tradnl"/>
        </w:rPr>
        <w:lastRenderedPageBreak/>
        <w:t>multas sean objeto de medios de control jurisdiccional a través de las acciones previstas en la Ley 1437 de 2011 o las normas que la modifiquen, adicionen o sustituyan</w:t>
      </w:r>
      <w:r w:rsidRPr="0045355B">
        <w:rPr>
          <w:rFonts w:ascii="Arial" w:eastAsia="Calibri" w:hAnsi="Arial" w:cs="Arial"/>
          <w:color w:val="000000" w:themeColor="text1"/>
          <w:sz w:val="22"/>
          <w:szCs w:val="22"/>
          <w:lang w:val="es-ES_tradnl"/>
        </w:rPr>
        <w:t xml:space="preserve">». Para entender el alcance de esta norma es importante realizar algunas precisiones. </w:t>
      </w:r>
    </w:p>
    <w:p w14:paraId="65628B66" w14:textId="77777777" w:rsidR="00E14267" w:rsidRPr="0045355B" w:rsidRDefault="00E14267" w:rsidP="00E14267">
      <w:pPr>
        <w:spacing w:before="120" w:line="276" w:lineRule="auto"/>
        <w:ind w:firstLine="709"/>
        <w:jc w:val="both"/>
        <w:rPr>
          <w:rFonts w:ascii="Arial" w:eastAsia="Calibri" w:hAnsi="Arial" w:cs="Arial"/>
          <w:bCs/>
          <w:color w:val="000000" w:themeColor="text1"/>
          <w:sz w:val="22"/>
          <w:szCs w:val="22"/>
          <w:lang w:val="es-ES_tradnl"/>
        </w:rPr>
      </w:pPr>
      <w:r w:rsidRPr="0045355B">
        <w:rPr>
          <w:rFonts w:ascii="Arial" w:eastAsia="Calibri" w:hAnsi="Arial" w:cs="Arial"/>
          <w:i/>
          <w:iCs/>
          <w:color w:val="000000" w:themeColor="text1"/>
          <w:sz w:val="22"/>
          <w:szCs w:val="22"/>
          <w:lang w:val="es-ES_tradnl"/>
        </w:rPr>
        <w:t>En primer lugar</w:t>
      </w:r>
      <w:r w:rsidRPr="0045355B">
        <w:rPr>
          <w:rFonts w:ascii="Arial" w:eastAsia="Calibri" w:hAnsi="Arial" w:cs="Arial"/>
          <w:color w:val="000000" w:themeColor="text1"/>
          <w:sz w:val="22"/>
          <w:szCs w:val="22"/>
          <w:lang w:val="es-ES_tradnl"/>
        </w:rPr>
        <w:t xml:space="preserve">, se reitera que esta excepción solo aplica para los actos administrativos que hayan impuesto multas, lo que excluye a los actos administrativos que hayan impuesto una cláusula penal pecuniaria. Por tanto, para que opere la excepción planteada, la entidad estatal deberá verificar, en primer término, que el acto administrativo corresponda a la imposición de una multa. </w:t>
      </w:r>
      <w:r w:rsidRPr="0045355B">
        <w:rPr>
          <w:rFonts w:ascii="Arial" w:eastAsia="Calibri" w:hAnsi="Arial" w:cs="Arial"/>
          <w:i/>
          <w:iCs/>
          <w:color w:val="000000" w:themeColor="text1"/>
          <w:sz w:val="22"/>
          <w:szCs w:val="22"/>
          <w:lang w:val="es-ES_tradnl"/>
        </w:rPr>
        <w:t>En segundo lugar,</w:t>
      </w:r>
      <w:r w:rsidRPr="0045355B">
        <w:rPr>
          <w:rFonts w:ascii="Arial" w:eastAsia="Calibri" w:hAnsi="Arial" w:cs="Arial"/>
          <w:color w:val="000000" w:themeColor="text1"/>
          <w:sz w:val="22"/>
          <w:szCs w:val="22"/>
          <w:lang w:val="es-ES_tradnl"/>
        </w:rPr>
        <w:t xml:space="preserve"> los actos administrativos que hayan impuesto multas deben ser objeto de </w:t>
      </w:r>
      <w:r w:rsidRPr="0045355B">
        <w:rPr>
          <w:rFonts w:ascii="Arial" w:eastAsia="Calibri" w:hAnsi="Arial" w:cs="Arial"/>
          <w:bCs/>
          <w:color w:val="000000" w:themeColor="text1"/>
          <w:sz w:val="22"/>
          <w:szCs w:val="22"/>
          <w:lang w:val="es-ES_tradnl"/>
        </w:rPr>
        <w:t xml:space="preserve">medios de control jurisdiccional a través de las acciones previstas en la Ley 1437 de 2011. Esto significa que, para efectos de la aplicación de la excepción, únicamente se tendrán en cuenta los medios de control jurisdiccionales establecidos en la Ley 1437 de 2011, verbigracia nulidad, nulidad y restablecimiento del derecho, controversias contractuales, etc., lo que descartaría otra acción judicial diferente a estas, </w:t>
      </w:r>
      <w:proofErr w:type="gramStart"/>
      <w:r w:rsidRPr="0045355B">
        <w:rPr>
          <w:rFonts w:ascii="Arial" w:eastAsia="Calibri" w:hAnsi="Arial" w:cs="Arial"/>
          <w:bCs/>
          <w:color w:val="000000" w:themeColor="text1"/>
          <w:sz w:val="22"/>
          <w:szCs w:val="22"/>
          <w:lang w:val="es-ES_tradnl"/>
        </w:rPr>
        <w:t>como</w:t>
      </w:r>
      <w:proofErr w:type="gramEnd"/>
      <w:r w:rsidRPr="0045355B">
        <w:rPr>
          <w:rFonts w:ascii="Arial" w:eastAsia="Calibri" w:hAnsi="Arial" w:cs="Arial"/>
          <w:bCs/>
          <w:color w:val="000000" w:themeColor="text1"/>
          <w:sz w:val="22"/>
          <w:szCs w:val="22"/>
          <w:lang w:val="es-ES_tradnl"/>
        </w:rPr>
        <w:t xml:space="preserve"> por ejemplo, la acción de tutela. Lo anterior, sin perjuicio de las decisiones particulares que adopte un juez en procesos diferentes a los regulados por la Ley 1437 de 2011 y que pudieran tener incidencia frente a los actos administrativos que impusieron multas, en el desarrollo de tales procesos judiciales. En todo caso, se reitera que la regla especial del parágrafo solo aplica cuando «los actos administrativos que hayan impuesto las multas sean objeto de medios de control jurisdiccional </w:t>
      </w:r>
      <w:r w:rsidRPr="0045355B">
        <w:rPr>
          <w:rFonts w:ascii="Arial" w:eastAsia="Calibri" w:hAnsi="Arial" w:cs="Arial"/>
          <w:bCs/>
          <w:i/>
          <w:iCs/>
          <w:color w:val="000000" w:themeColor="text1"/>
          <w:sz w:val="22"/>
          <w:szCs w:val="22"/>
          <w:lang w:val="es-ES_tradnl"/>
        </w:rPr>
        <w:t>a través de las acciones previstas en la Ley 1437 de 2011</w:t>
      </w:r>
      <w:r w:rsidRPr="0045355B">
        <w:rPr>
          <w:rFonts w:ascii="Arial" w:eastAsia="Calibri" w:hAnsi="Arial" w:cs="Arial"/>
          <w:bCs/>
          <w:color w:val="000000" w:themeColor="text1"/>
          <w:sz w:val="22"/>
          <w:szCs w:val="22"/>
          <w:lang w:val="es-ES_tradnl"/>
        </w:rPr>
        <w:t xml:space="preserve"> o las normas que la modifiquen, adicionen o sustituyan».</w:t>
      </w:r>
    </w:p>
    <w:p w14:paraId="108AA8B8" w14:textId="77777777" w:rsidR="00E14267" w:rsidRPr="0045355B"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En este contexto, surge la siguiente pregunta: ¿cómo debe entenderse la expresión que «sean objeto de medios de control jurisdiccional» incluida en el parágrafo del artículo 58 de la Ley 2195 de 2022? Esta Agencia considera que esta expresión alude a que el acto administrativo que impuso la multa sea materia de discusión mediante cualquiera de los medios de control jurisdiccional determinados en la Ley 1437 de 2011, es decir,</w:t>
      </w:r>
      <w:r w:rsidRPr="0045355B">
        <w:rPr>
          <w:rFonts w:ascii="Arial" w:eastAsia="Calibri" w:hAnsi="Arial" w:cs="Arial"/>
          <w:bCs/>
          <w:color w:val="000000" w:themeColor="text1"/>
          <w:sz w:val="22"/>
          <w:szCs w:val="22"/>
          <w:lang w:val="es-ES_tradnl"/>
        </w:rPr>
        <w:t xml:space="preserve"> que contra este se haya presentado una demanda y se encuentre en trámite el proceso judicial respectivo. </w:t>
      </w:r>
      <w:r w:rsidRPr="0045355B">
        <w:rPr>
          <w:rFonts w:ascii="Arial" w:eastAsia="Calibri" w:hAnsi="Arial" w:cs="Arial"/>
          <w:color w:val="000000" w:themeColor="text1"/>
          <w:sz w:val="22"/>
          <w:szCs w:val="22"/>
          <w:lang w:val="es-ES_tradnl"/>
        </w:rPr>
        <w:t xml:space="preserve">Esto debe interpretarse en consonancia con lo dispuesto en el artículo 179 del CPACA, referente a las etapas del proceso contencioso administrativo, el cual prescribe lo siguiente: </w:t>
      </w:r>
    </w:p>
    <w:p w14:paraId="32774B19" w14:textId="77777777" w:rsidR="00E14267" w:rsidRPr="0045355B" w:rsidRDefault="00E14267" w:rsidP="00E14267">
      <w:pPr>
        <w:spacing w:line="276" w:lineRule="auto"/>
        <w:ind w:firstLine="709"/>
        <w:jc w:val="both"/>
        <w:rPr>
          <w:rFonts w:ascii="Arial" w:eastAsia="Calibri" w:hAnsi="Arial" w:cs="Arial"/>
          <w:color w:val="000000" w:themeColor="text1"/>
          <w:sz w:val="22"/>
          <w:szCs w:val="22"/>
          <w:lang w:val="es-ES_tradnl"/>
        </w:rPr>
      </w:pPr>
    </w:p>
    <w:p w14:paraId="2588D706" w14:textId="77777777" w:rsidR="00E14267" w:rsidRPr="0045355B" w:rsidRDefault="00E14267" w:rsidP="00E14267">
      <w:pPr>
        <w:tabs>
          <w:tab w:val="left" w:pos="0"/>
        </w:tabs>
        <w:ind w:left="709" w:right="709"/>
        <w:jc w:val="both"/>
        <w:rPr>
          <w:rFonts w:ascii="Arial" w:hAnsi="Arial" w:cs="Arial"/>
          <w:sz w:val="21"/>
          <w:szCs w:val="21"/>
        </w:rPr>
      </w:pPr>
      <w:bookmarkStart w:id="11" w:name="179"/>
      <w:r w:rsidRPr="0045355B">
        <w:rPr>
          <w:rFonts w:ascii="Arial" w:hAnsi="Arial" w:cs="Arial"/>
          <w:sz w:val="21"/>
          <w:szCs w:val="21"/>
        </w:rPr>
        <w:t>Artículo 179. ETAPAS.</w:t>
      </w:r>
      <w:bookmarkEnd w:id="11"/>
      <w:r w:rsidRPr="0045355B">
        <w:rPr>
          <w:rFonts w:ascii="Arial" w:hAnsi="Arial" w:cs="Arial"/>
          <w:sz w:val="21"/>
          <w:szCs w:val="21"/>
        </w:rPr>
        <w:t xml:space="preserve"> El proceso para adelantar y decidir todos los litigios respecto de los cuales este código u otras leyes no señalen un trámite o procedimiento especial, en primera y en única instancia, se desarrollará en las siguientes etapas:</w:t>
      </w:r>
    </w:p>
    <w:p w14:paraId="0DADCBF6" w14:textId="77777777" w:rsidR="00E14267" w:rsidRPr="0045355B" w:rsidRDefault="00E14267" w:rsidP="00E14267">
      <w:pPr>
        <w:tabs>
          <w:tab w:val="left" w:pos="0"/>
        </w:tabs>
        <w:ind w:left="709" w:right="709"/>
        <w:jc w:val="both"/>
        <w:rPr>
          <w:rFonts w:ascii="Arial" w:hAnsi="Arial" w:cs="Arial"/>
          <w:sz w:val="21"/>
          <w:szCs w:val="21"/>
        </w:rPr>
      </w:pPr>
    </w:p>
    <w:p w14:paraId="5F765A7B" w14:textId="77777777" w:rsidR="00E14267" w:rsidRPr="0045355B" w:rsidRDefault="00E14267" w:rsidP="00E14267">
      <w:pPr>
        <w:tabs>
          <w:tab w:val="left" w:pos="0"/>
        </w:tabs>
        <w:ind w:left="709" w:right="709"/>
        <w:jc w:val="both"/>
        <w:rPr>
          <w:rFonts w:ascii="Arial" w:hAnsi="Arial" w:cs="Arial"/>
          <w:sz w:val="21"/>
          <w:szCs w:val="21"/>
        </w:rPr>
      </w:pPr>
      <w:r w:rsidRPr="0045355B">
        <w:rPr>
          <w:rFonts w:ascii="Arial" w:hAnsi="Arial" w:cs="Arial"/>
          <w:sz w:val="21"/>
          <w:szCs w:val="21"/>
        </w:rPr>
        <w:t>1. La primera, desde la presentación de la demanda hasta la audiencia inicial.</w:t>
      </w:r>
    </w:p>
    <w:p w14:paraId="5A7A10C6" w14:textId="77777777" w:rsidR="00E14267" w:rsidRPr="0045355B" w:rsidRDefault="00E14267" w:rsidP="00E14267">
      <w:pPr>
        <w:tabs>
          <w:tab w:val="left" w:pos="0"/>
        </w:tabs>
        <w:ind w:left="709" w:right="709"/>
        <w:jc w:val="both"/>
        <w:rPr>
          <w:rFonts w:ascii="Arial" w:hAnsi="Arial" w:cs="Arial"/>
          <w:sz w:val="21"/>
          <w:szCs w:val="21"/>
        </w:rPr>
      </w:pPr>
    </w:p>
    <w:p w14:paraId="17E271F2" w14:textId="77777777" w:rsidR="00E14267" w:rsidRPr="0045355B" w:rsidRDefault="00E14267" w:rsidP="00E14267">
      <w:pPr>
        <w:tabs>
          <w:tab w:val="left" w:pos="0"/>
        </w:tabs>
        <w:ind w:left="709" w:right="709"/>
        <w:jc w:val="both"/>
        <w:rPr>
          <w:rFonts w:ascii="Arial" w:hAnsi="Arial" w:cs="Arial"/>
          <w:sz w:val="21"/>
          <w:szCs w:val="21"/>
        </w:rPr>
      </w:pPr>
      <w:r w:rsidRPr="0045355B">
        <w:rPr>
          <w:rFonts w:ascii="Arial" w:hAnsi="Arial" w:cs="Arial"/>
          <w:sz w:val="21"/>
          <w:szCs w:val="21"/>
        </w:rPr>
        <w:t>2. La segunda, desde la finalización de la anterior hasta la culminación de la audiencia de pruebas, y</w:t>
      </w:r>
    </w:p>
    <w:p w14:paraId="653A079C" w14:textId="77777777" w:rsidR="00E14267" w:rsidRPr="0045355B" w:rsidRDefault="00E14267" w:rsidP="00E14267">
      <w:pPr>
        <w:tabs>
          <w:tab w:val="left" w:pos="0"/>
        </w:tabs>
        <w:ind w:left="709" w:right="709"/>
        <w:jc w:val="both"/>
        <w:rPr>
          <w:rFonts w:ascii="Arial" w:hAnsi="Arial" w:cs="Arial"/>
          <w:sz w:val="21"/>
          <w:szCs w:val="21"/>
        </w:rPr>
      </w:pPr>
    </w:p>
    <w:p w14:paraId="7E42DC6F" w14:textId="77777777" w:rsidR="00E14267" w:rsidRPr="0045355B" w:rsidRDefault="00E14267" w:rsidP="00E14267">
      <w:pPr>
        <w:tabs>
          <w:tab w:val="left" w:pos="0"/>
        </w:tabs>
        <w:ind w:left="709" w:right="709"/>
        <w:jc w:val="both"/>
        <w:rPr>
          <w:rFonts w:ascii="Arial" w:hAnsi="Arial" w:cs="Arial"/>
          <w:sz w:val="21"/>
          <w:szCs w:val="21"/>
        </w:rPr>
      </w:pPr>
      <w:r w:rsidRPr="0045355B">
        <w:rPr>
          <w:rFonts w:ascii="Arial" w:hAnsi="Arial" w:cs="Arial"/>
          <w:sz w:val="21"/>
          <w:szCs w:val="21"/>
        </w:rPr>
        <w:t>3. La tercera, desde la terminación de la anterior, hasta la notificación de la sentencia. Esta etapa comprende la audiencia de alegaciones y juzgamiento.</w:t>
      </w:r>
    </w:p>
    <w:p w14:paraId="660F9CB0" w14:textId="77777777" w:rsidR="00E14267" w:rsidRPr="0045355B" w:rsidRDefault="00E14267" w:rsidP="00E14267">
      <w:pPr>
        <w:tabs>
          <w:tab w:val="left" w:pos="0"/>
        </w:tabs>
        <w:ind w:left="709" w:right="709"/>
        <w:jc w:val="both"/>
        <w:rPr>
          <w:rFonts w:ascii="Arial" w:hAnsi="Arial" w:cs="Arial"/>
          <w:sz w:val="21"/>
          <w:szCs w:val="21"/>
        </w:rPr>
      </w:pPr>
      <w:r w:rsidRPr="0045355B">
        <w:rPr>
          <w:rFonts w:ascii="Arial" w:hAnsi="Arial" w:cs="Arial"/>
          <w:sz w:val="21"/>
          <w:szCs w:val="21"/>
        </w:rPr>
        <w:lastRenderedPageBreak/>
        <w:t>Cuando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7FFAEA45" w14:textId="77777777" w:rsidR="00E14267" w:rsidRPr="0045355B" w:rsidRDefault="00E14267" w:rsidP="00E14267">
      <w:pPr>
        <w:tabs>
          <w:tab w:val="left" w:pos="0"/>
        </w:tabs>
        <w:ind w:left="709" w:right="709"/>
        <w:jc w:val="both"/>
        <w:rPr>
          <w:rFonts w:ascii="Arial" w:hAnsi="Arial" w:cs="Arial"/>
          <w:sz w:val="21"/>
          <w:szCs w:val="21"/>
        </w:rPr>
      </w:pPr>
    </w:p>
    <w:p w14:paraId="57FA4D34" w14:textId="77777777" w:rsidR="00E14267" w:rsidRPr="0045355B" w:rsidRDefault="00E14267" w:rsidP="00E14267">
      <w:pPr>
        <w:tabs>
          <w:tab w:val="left" w:pos="0"/>
        </w:tabs>
        <w:ind w:left="709" w:right="709"/>
        <w:jc w:val="both"/>
        <w:rPr>
          <w:rFonts w:ascii="Arial" w:hAnsi="Arial" w:cs="Arial"/>
          <w:sz w:val="21"/>
          <w:szCs w:val="21"/>
        </w:rPr>
      </w:pPr>
      <w:r w:rsidRPr="0045355B">
        <w:rPr>
          <w:rFonts w:ascii="Arial" w:hAnsi="Arial" w:cs="Arial"/>
          <w:sz w:val="21"/>
          <w:szCs w:val="21"/>
        </w:rPr>
        <w:t>También podrá dictar sentencia oral, en los casos señalados, en las demás audiencias, previa alegación de las partes.</w:t>
      </w:r>
    </w:p>
    <w:p w14:paraId="3870B2B6" w14:textId="77777777" w:rsidR="00E14267" w:rsidRPr="0045355B" w:rsidRDefault="00E14267" w:rsidP="00E14267">
      <w:pPr>
        <w:tabs>
          <w:tab w:val="left" w:pos="0"/>
        </w:tabs>
        <w:ind w:left="709" w:right="709"/>
        <w:jc w:val="both"/>
        <w:rPr>
          <w:rFonts w:ascii="Arial" w:hAnsi="Arial" w:cs="Arial"/>
          <w:sz w:val="21"/>
          <w:szCs w:val="21"/>
        </w:rPr>
      </w:pPr>
    </w:p>
    <w:p w14:paraId="5684BC65" w14:textId="77777777" w:rsidR="00E14267" w:rsidRPr="0045355B" w:rsidRDefault="00E14267" w:rsidP="00E14267">
      <w:pPr>
        <w:tabs>
          <w:tab w:val="left" w:pos="0"/>
        </w:tabs>
        <w:ind w:left="709" w:right="709"/>
        <w:jc w:val="both"/>
        <w:rPr>
          <w:rFonts w:ascii="Arial" w:hAnsi="Arial" w:cs="Arial"/>
          <w:sz w:val="21"/>
          <w:szCs w:val="21"/>
        </w:rPr>
      </w:pPr>
      <w:r w:rsidRPr="0045355B">
        <w:rPr>
          <w:rFonts w:ascii="Arial" w:hAnsi="Arial" w:cs="Arial"/>
          <w:sz w:val="21"/>
          <w:szCs w:val="21"/>
        </w:rPr>
        <w:t>Lo anterior, sin perjuicio de lo indicado en el artículo </w:t>
      </w:r>
      <w:hyperlink r:id="rId12" w:anchor="182A" w:history="1">
        <w:r w:rsidRPr="0045355B">
          <w:rPr>
            <w:rFonts w:ascii="Arial" w:hAnsi="Arial" w:cs="Arial"/>
            <w:sz w:val="21"/>
            <w:szCs w:val="21"/>
          </w:rPr>
          <w:t>182A</w:t>
        </w:r>
      </w:hyperlink>
      <w:r w:rsidRPr="0045355B">
        <w:rPr>
          <w:rFonts w:ascii="Arial" w:hAnsi="Arial" w:cs="Arial"/>
          <w:sz w:val="21"/>
          <w:szCs w:val="21"/>
        </w:rPr>
        <w:t> sobre sentencia anticipada. Cuando se profiera sentencia oral, en la respectiva acta se consignará su parte resolutiva.</w:t>
      </w:r>
    </w:p>
    <w:p w14:paraId="3D3C4516" w14:textId="77777777" w:rsidR="00E14267" w:rsidRPr="0045355B" w:rsidRDefault="00E14267" w:rsidP="00E14267">
      <w:pPr>
        <w:tabs>
          <w:tab w:val="left" w:pos="0"/>
        </w:tabs>
        <w:ind w:left="709" w:right="709"/>
        <w:jc w:val="both"/>
        <w:rPr>
          <w:rFonts w:ascii="Arial" w:hAnsi="Arial" w:cs="Arial"/>
          <w:sz w:val="21"/>
          <w:szCs w:val="21"/>
        </w:rPr>
      </w:pPr>
    </w:p>
    <w:p w14:paraId="4C332107" w14:textId="77777777" w:rsidR="00E14267" w:rsidRPr="0045355B" w:rsidRDefault="00E14267" w:rsidP="00E14267">
      <w:pPr>
        <w:spacing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De la lectura de este artículo es claro que la primera etapa de los procesos que se adelantan para decidir todos los litigios determinados en la Ley 1437 de 2011 que no cuentan con un trámite especial, inicia con la presentación de la demanda. En este sentido, la Ley 1437 de 2011 reconoce como punto de partida del proceso contencioso administrativo la presentación de la demanda, la cual pone en marcha el aparato jurisdiccional. Como lo expresa la doctrina, la demanda «es el acto procesal mediante el cual se formula la pretensión; en otras palabras: la demanda es el vehículo que utiliza el demandante para introducir sus pretensiones y poner en marcha el aparato jurisdiccional en ejercicio del derecho de acción</w:t>
      </w:r>
      <w:bookmarkStart w:id="12" w:name="_Hlk97299193"/>
      <w:r w:rsidRPr="0045355B">
        <w:rPr>
          <w:rFonts w:ascii="Arial" w:eastAsia="Calibri" w:hAnsi="Arial" w:cs="Arial"/>
          <w:color w:val="000000" w:themeColor="text1"/>
          <w:sz w:val="22"/>
          <w:szCs w:val="22"/>
          <w:lang w:val="es-ES_tradnl"/>
        </w:rPr>
        <w:t>»</w:t>
      </w:r>
      <w:bookmarkEnd w:id="12"/>
      <w:r w:rsidRPr="0045355B">
        <w:rPr>
          <w:rStyle w:val="Refdenotaalpie"/>
          <w:rFonts w:ascii="Arial" w:eastAsia="Calibri" w:hAnsi="Arial" w:cs="Arial"/>
          <w:color w:val="000000" w:themeColor="text1"/>
          <w:sz w:val="22"/>
          <w:szCs w:val="22"/>
          <w:lang w:val="es-ES_tradnl"/>
        </w:rPr>
        <w:footnoteReference w:id="5"/>
      </w:r>
      <w:r w:rsidRPr="0045355B">
        <w:rPr>
          <w:rFonts w:ascii="Arial" w:eastAsia="Calibri" w:hAnsi="Arial" w:cs="Arial"/>
          <w:color w:val="000000" w:themeColor="text1"/>
          <w:sz w:val="22"/>
          <w:szCs w:val="22"/>
          <w:lang w:val="es-ES_tradnl"/>
        </w:rPr>
        <w:t xml:space="preserve">. </w:t>
      </w:r>
    </w:p>
    <w:p w14:paraId="6086E0AF" w14:textId="77777777" w:rsidR="00E14267" w:rsidRPr="0045355B"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Por consiguiente, debe entenderse que para que aplique la excepción del artículo 58 de la Ley 2195 de 2022 el acto administrativo que impuso la multa debe haber sido objeto de demanda ante la jurisdicción contenciosa administrativa, pues desde este momento se da inicio al proceso contencioso administrativo, en los términos del artículo 179 del CPACA y se ha puesto en marcha el aparato jurisdiccional. En tal sentido, para efectos del parágrafo del artículo 58 de la Ley 2195 de 2022, es viable colegir que desde la presentación de la demanda el acto administrativo es objeto del medio de control jurisdiccional respectivo. </w:t>
      </w:r>
    </w:p>
    <w:p w14:paraId="31667CEE" w14:textId="77777777" w:rsidR="00E14267" w:rsidRPr="0045355B"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Además de lo expuesto, esta postura resulta menos restrictiva para el proponente, en la medida en que la excepción del parágrafo primero del artículo 58 de la Ley 2195 de 2022 aplicaría desde la instancia inicial del proceso contencioso administrativo y no en etapas posteriores como la admisión de la demanda, el fallo de primera instancia o el de segunda instancia, que suponen estar sujetos a la reducción del puntaje por un plazo mayor. A este respecto, es importante destacar que la medida del artículo 58 es una limitación en relación con la evaluación de la oferta del proponente como consecuencia de </w:t>
      </w:r>
      <w:r w:rsidRPr="0045355B">
        <w:rPr>
          <w:rFonts w:ascii="Arial" w:eastAsia="Calibri" w:hAnsi="Arial" w:cs="Arial"/>
          <w:color w:val="000000" w:themeColor="text1"/>
          <w:sz w:val="22"/>
          <w:szCs w:val="22"/>
          <w:lang w:val="es-ES_tradnl"/>
        </w:rPr>
        <w:lastRenderedPageBreak/>
        <w:t xml:space="preserve">una circunstancia particular, por lo que ante varias interpretaciones </w:t>
      </w:r>
      <w:r w:rsidRPr="0045355B">
        <w:rPr>
          <w:rFonts w:ascii="Arial" w:hAnsi="Arial" w:cs="Arial"/>
          <w:sz w:val="22"/>
        </w:rPr>
        <w:t xml:space="preserve">debe privilegiarse aquella que represente menor restricción para </w:t>
      </w:r>
      <w:r w:rsidRPr="0045355B">
        <w:rPr>
          <w:rFonts w:ascii="Arial" w:eastAsia="Calibri" w:hAnsi="Arial" w:cs="Arial"/>
          <w:color w:val="000000" w:themeColor="text1"/>
          <w:sz w:val="22"/>
          <w:szCs w:val="22"/>
          <w:lang w:val="es-ES_tradnl"/>
        </w:rPr>
        <w:t>el derecho de las personas</w:t>
      </w:r>
      <w:r w:rsidRPr="0045355B">
        <w:rPr>
          <w:rStyle w:val="Refdenotaalpie"/>
          <w:rFonts w:ascii="Arial" w:eastAsia="Calibri" w:hAnsi="Arial" w:cs="Arial"/>
          <w:color w:val="000000" w:themeColor="text1"/>
          <w:sz w:val="22"/>
          <w:szCs w:val="22"/>
          <w:lang w:val="es-ES_tradnl"/>
        </w:rPr>
        <w:footnoteReference w:id="6"/>
      </w:r>
      <w:r w:rsidRPr="0045355B">
        <w:rPr>
          <w:rFonts w:ascii="Arial" w:eastAsia="Calibri" w:hAnsi="Arial" w:cs="Arial"/>
          <w:color w:val="000000" w:themeColor="text1"/>
          <w:sz w:val="22"/>
          <w:szCs w:val="22"/>
          <w:lang w:val="es-ES_tradnl"/>
        </w:rPr>
        <w:t xml:space="preserve">. </w:t>
      </w:r>
    </w:p>
    <w:p w14:paraId="43D38AC1" w14:textId="77777777" w:rsidR="00E14267" w:rsidRPr="0045355B"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Aunado a lo anterior, debe mencionarse que la intención del legislador es excluir del ámbito de aplicación de la reducción del puntaje por incumplimiento a aquellos actos administrativos que hayan impuesto una o más multas que sean objeto de los medios de control jurisdiccional, pues precisamente lo que se debate en la instancia judicial es el contenido de dichos actos administrativos. De esta forma, debe tenerse en cuenta la existencia de una demanda que controvierte estos actos administrativos para efectos de la aplicación de la excepción que trata el parágrafo del artículo 58 de la Ley 2195 de 2022, toda vez que con ella se someten estos actos ante la jurisdicción contenciosa para que esta, previo agotamiento del </w:t>
      </w:r>
      <w:proofErr w:type="gramStart"/>
      <w:r w:rsidRPr="0045355B">
        <w:rPr>
          <w:rFonts w:ascii="Arial" w:eastAsia="Calibri" w:hAnsi="Arial" w:cs="Arial"/>
          <w:color w:val="000000" w:themeColor="text1"/>
          <w:sz w:val="22"/>
          <w:szCs w:val="22"/>
          <w:lang w:val="es-ES_tradnl"/>
        </w:rPr>
        <w:t>proceso,</w:t>
      </w:r>
      <w:proofErr w:type="gramEnd"/>
      <w:r w:rsidRPr="0045355B">
        <w:rPr>
          <w:rFonts w:ascii="Arial" w:eastAsia="Calibri" w:hAnsi="Arial" w:cs="Arial"/>
          <w:color w:val="000000" w:themeColor="text1"/>
          <w:sz w:val="22"/>
          <w:szCs w:val="22"/>
          <w:lang w:val="es-ES_tradnl"/>
        </w:rPr>
        <w:t xml:space="preserve"> emita un juicio en relación con las pretensiones del demandante. Desde este momento, entonces, se debate el contenido de estos actos administrativos. </w:t>
      </w:r>
      <w:bookmarkEnd w:id="10"/>
    </w:p>
    <w:p w14:paraId="257EF537" w14:textId="77777777" w:rsidR="00E14267" w:rsidRPr="0045355B" w:rsidRDefault="00E14267" w:rsidP="00E14267">
      <w:pPr>
        <w:spacing w:before="120" w:line="276" w:lineRule="auto"/>
        <w:ind w:firstLine="709"/>
        <w:jc w:val="both"/>
        <w:rPr>
          <w:rFonts w:ascii="Arial" w:eastAsia="Calibri" w:hAnsi="Arial" w:cs="Arial"/>
          <w:bCs/>
          <w:color w:val="000000" w:themeColor="text1"/>
          <w:sz w:val="22"/>
          <w:szCs w:val="22"/>
        </w:rPr>
      </w:pPr>
      <w:r w:rsidRPr="0045355B">
        <w:rPr>
          <w:rFonts w:ascii="Arial" w:eastAsia="Calibri" w:hAnsi="Arial" w:cs="Arial"/>
          <w:color w:val="000000" w:themeColor="text1"/>
          <w:sz w:val="22"/>
          <w:lang w:val="es-ES_tradnl"/>
        </w:rPr>
        <w:t xml:space="preserve">En conclusión, esta Agencia considera que </w:t>
      </w:r>
      <w:r w:rsidRPr="0045355B">
        <w:rPr>
          <w:rFonts w:ascii="Arial" w:eastAsia="Calibri" w:hAnsi="Arial" w:cs="Arial"/>
          <w:color w:val="000000" w:themeColor="text1"/>
          <w:sz w:val="22"/>
          <w:szCs w:val="22"/>
          <w:lang w:val="es-ES_tradnl"/>
        </w:rPr>
        <w:t xml:space="preserve">la presentación de la demanda </w:t>
      </w:r>
      <w:r w:rsidRPr="0045355B">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Pr="0045355B">
        <w:rPr>
          <w:rFonts w:ascii="Arial" w:eastAsia="Calibri" w:hAnsi="Arial" w:cs="Arial"/>
          <w:color w:val="000000" w:themeColor="text1"/>
          <w:sz w:val="22"/>
          <w:szCs w:val="22"/>
          <w:lang w:val="es-ES_tradnl"/>
        </w:rPr>
        <w:t xml:space="preserve">mediante cualquiera de los medios de control establecidos en el </w:t>
      </w:r>
      <w:r w:rsidRPr="0045355B">
        <w:rPr>
          <w:rFonts w:ascii="Arial" w:eastAsia="Calibri" w:hAnsi="Arial" w:cs="Arial"/>
          <w:bCs/>
          <w:color w:val="000000" w:themeColor="text1"/>
          <w:sz w:val="22"/>
          <w:szCs w:val="22"/>
        </w:rPr>
        <w:t xml:space="preserve">Título III de la parte segunda de la Ley 1437 de 2011. Para estos efectos, al proponente que se le haya impuesto una o más multas mediante acto administrativo y pretenda que se aplique la excepción del parágrafo primero del artículo en comento, deberá presentar el documento respectivo que acredite la radicación de la demanda ante la jurisdicción contenciosa administrativa de conformidad con las normas que rigen la materia. Vale reiterar que únicamente procederá la excepción planteada si la demanda versa sobre el acto administrativo que impuso la multa y se presentó mediante los medios de control establecidos en la Ley 1437 de 2011. </w:t>
      </w:r>
    </w:p>
    <w:p w14:paraId="1292166D" w14:textId="77777777" w:rsidR="00E14267" w:rsidRPr="0045355B" w:rsidRDefault="00E14267" w:rsidP="00E14267">
      <w:pPr>
        <w:spacing w:before="120" w:line="276" w:lineRule="auto"/>
        <w:ind w:firstLine="709"/>
        <w:jc w:val="both"/>
        <w:rPr>
          <w:rFonts w:ascii="Arial" w:eastAsia="Calibri" w:hAnsi="Arial" w:cs="Arial"/>
          <w:color w:val="000000" w:themeColor="text1"/>
          <w:sz w:val="22"/>
          <w:szCs w:val="22"/>
          <w:lang w:val="es-ES_tradnl"/>
        </w:rPr>
      </w:pPr>
      <w:r w:rsidRPr="0045355B">
        <w:rPr>
          <w:rFonts w:ascii="Arial" w:eastAsia="Calibri" w:hAnsi="Arial" w:cs="Arial"/>
          <w:bCs/>
          <w:color w:val="000000" w:themeColor="text1"/>
          <w:sz w:val="22"/>
          <w:szCs w:val="22"/>
        </w:rPr>
        <w:t>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decida reglamentar la materia.</w:t>
      </w:r>
    </w:p>
    <w:p w14:paraId="4023D509" w14:textId="77777777" w:rsidR="00550420" w:rsidRDefault="00550420" w:rsidP="00E14267">
      <w:pPr>
        <w:spacing w:line="276" w:lineRule="auto"/>
        <w:ind w:firstLine="709"/>
        <w:jc w:val="both"/>
        <w:rPr>
          <w:rFonts w:ascii="Arial" w:eastAsia="Calibri" w:hAnsi="Arial" w:cs="Arial"/>
          <w:bCs/>
          <w:color w:val="000000" w:themeColor="text1"/>
          <w:sz w:val="22"/>
          <w:szCs w:val="22"/>
        </w:rPr>
      </w:pPr>
    </w:p>
    <w:p w14:paraId="2A29E094" w14:textId="0C1A2130" w:rsidR="00550420" w:rsidRPr="00993140" w:rsidRDefault="00550420" w:rsidP="00550420">
      <w:pPr>
        <w:tabs>
          <w:tab w:val="left" w:pos="0"/>
        </w:tabs>
        <w:jc w:val="both"/>
        <w:rPr>
          <w:rFonts w:ascii="Arial" w:eastAsia="Calibri" w:hAnsi="Arial" w:cs="Arial"/>
          <w:b/>
          <w:bCs/>
          <w:color w:val="000000" w:themeColor="text1"/>
          <w:sz w:val="22"/>
          <w:lang w:val="pt-BR"/>
        </w:rPr>
      </w:pPr>
      <w:r w:rsidRPr="007A3967">
        <w:rPr>
          <w:rFonts w:ascii="Arial" w:eastAsia="Calibri" w:hAnsi="Arial" w:cs="Arial"/>
          <w:b/>
          <w:bCs/>
          <w:color w:val="000000"/>
          <w:sz w:val="22"/>
          <w:lang w:val="pt-BR" w:eastAsia="en-GB"/>
        </w:rPr>
        <w:t>2.</w:t>
      </w:r>
      <w:r>
        <w:rPr>
          <w:rFonts w:ascii="Arial" w:eastAsia="Calibri" w:hAnsi="Arial" w:cs="Arial"/>
          <w:b/>
          <w:bCs/>
          <w:color w:val="000000"/>
          <w:sz w:val="22"/>
          <w:lang w:val="pt-BR" w:eastAsia="en-GB"/>
        </w:rPr>
        <w:t>3</w:t>
      </w:r>
      <w:r w:rsidRPr="007A3967">
        <w:rPr>
          <w:rFonts w:ascii="Arial" w:eastAsia="Calibri" w:hAnsi="Arial" w:cs="Arial"/>
          <w:b/>
          <w:bCs/>
          <w:color w:val="000000"/>
          <w:sz w:val="22"/>
          <w:lang w:val="pt-BR" w:eastAsia="en-GB"/>
        </w:rPr>
        <w:t>. Registro Nacional de Obras Civiles Inconclusas</w:t>
      </w:r>
    </w:p>
    <w:p w14:paraId="239944FD" w14:textId="77777777" w:rsidR="00550420" w:rsidRPr="00993140" w:rsidRDefault="00550420" w:rsidP="00550420">
      <w:pPr>
        <w:tabs>
          <w:tab w:val="left" w:pos="0"/>
        </w:tabs>
        <w:spacing w:line="276" w:lineRule="auto"/>
        <w:jc w:val="both"/>
        <w:rPr>
          <w:rFonts w:ascii="Arial" w:eastAsia="Calibri" w:hAnsi="Arial" w:cs="Arial"/>
          <w:b/>
          <w:color w:val="000000" w:themeColor="text1"/>
          <w:sz w:val="22"/>
          <w:lang w:val="pt-BR"/>
        </w:rPr>
      </w:pPr>
    </w:p>
    <w:p w14:paraId="49F872BB" w14:textId="77777777" w:rsidR="00550420" w:rsidRDefault="00550420" w:rsidP="00550420">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bCs/>
          <w:color w:val="000000" w:themeColor="text1"/>
          <w:sz w:val="22"/>
          <w:lang w:val="es-ES_tradnl"/>
        </w:rPr>
        <w:t xml:space="preserve">La Ley 2020 de 2020 creó el </w:t>
      </w:r>
      <w:r w:rsidRPr="00E23980">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w:t>
      </w:r>
      <w:r>
        <w:rPr>
          <w:rFonts w:ascii="Arial" w:eastAsia="Calibri" w:hAnsi="Arial" w:cs="Arial"/>
          <w:color w:val="000000"/>
          <w:sz w:val="22"/>
          <w:lang w:val="es-ES_tradnl" w:eastAsia="en-GB"/>
        </w:rPr>
        <w:t xml:space="preserve">financiadas total o parcialmente con recursos públicos, para concretar su destinación </w:t>
      </w:r>
      <w:r>
        <w:rPr>
          <w:rFonts w:ascii="Arial" w:eastAsia="Calibri" w:hAnsi="Arial" w:cs="Arial"/>
          <w:color w:val="000000"/>
          <w:sz w:val="22"/>
          <w:lang w:val="es-ES_tradnl" w:eastAsia="en-GB"/>
        </w:rPr>
        <w:lastRenderedPageBreak/>
        <w:t xml:space="preserve">definitiva. </w:t>
      </w:r>
      <w:bookmarkStart w:id="13" w:name="_Hlk71184857"/>
      <w:r>
        <w:rPr>
          <w:rFonts w:ascii="Arial" w:eastAsia="Calibri" w:hAnsi="Arial" w:cs="Arial"/>
          <w:color w:val="000000"/>
          <w:sz w:val="22"/>
          <w:lang w:val="es-ES_tradnl" w:eastAsia="en-GB"/>
        </w:rPr>
        <w:t>S</w:t>
      </w:r>
      <w:r w:rsidRPr="00E23980">
        <w:rPr>
          <w:rFonts w:ascii="Arial" w:eastAsia="Calibri" w:hAnsi="Arial" w:cs="Arial"/>
          <w:color w:val="000000"/>
          <w:sz w:val="22"/>
          <w:lang w:val="es-ES_tradnl" w:eastAsia="en-GB"/>
        </w:rPr>
        <w:t xml:space="preserve">egún el </w:t>
      </w:r>
      <w:r>
        <w:rPr>
          <w:rFonts w:ascii="Arial" w:eastAsia="Calibri" w:hAnsi="Arial" w:cs="Arial"/>
          <w:color w:val="000000"/>
          <w:sz w:val="22"/>
          <w:lang w:val="es-ES_tradnl" w:eastAsia="en-GB"/>
        </w:rPr>
        <w:t xml:space="preserve">inciso primero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2 </w:t>
      </w:r>
      <w:r w:rsidRPr="00E23980">
        <w:rPr>
          <w:rFonts w:ascii="Arial" w:eastAsia="Calibri" w:hAnsi="Arial" w:cs="Arial"/>
          <w:color w:val="000000"/>
          <w:sz w:val="22"/>
          <w:lang w:val="es-ES_tradnl" w:eastAsia="en-GB"/>
        </w:rPr>
        <w:t xml:space="preserve">de </w:t>
      </w:r>
      <w:r>
        <w:rPr>
          <w:rFonts w:ascii="Arial" w:eastAsia="Calibri" w:hAnsi="Arial" w:cs="Arial"/>
          <w:color w:val="000000"/>
          <w:sz w:val="22"/>
          <w:lang w:val="es-ES_tradnl" w:eastAsia="en-GB"/>
        </w:rPr>
        <w:t>esta l</w:t>
      </w:r>
      <w:r w:rsidRPr="00E23980">
        <w:rPr>
          <w:rFonts w:ascii="Arial" w:eastAsia="Calibri" w:hAnsi="Arial" w:cs="Arial"/>
          <w:color w:val="000000"/>
          <w:sz w:val="22"/>
          <w:lang w:val="es-ES_tradnl" w:eastAsia="en-GB"/>
        </w:rPr>
        <w:t xml:space="preserve">ey, se entiende </w:t>
      </w:r>
      <w:r>
        <w:rPr>
          <w:rFonts w:ascii="Arial" w:eastAsia="Calibri" w:hAnsi="Arial" w:cs="Arial"/>
          <w:color w:val="000000"/>
          <w:sz w:val="22"/>
          <w:lang w:val="es-ES_tradnl" w:eastAsia="en-GB"/>
        </w:rPr>
        <w:t>p</w:t>
      </w:r>
      <w:r w:rsidRPr="00E23980">
        <w:rPr>
          <w:rFonts w:ascii="Arial" w:eastAsia="Calibri" w:hAnsi="Arial" w:cs="Arial"/>
          <w:color w:val="000000"/>
          <w:sz w:val="22"/>
          <w:lang w:val="es-ES_tradnl" w:eastAsia="en-GB"/>
        </w:rPr>
        <w:t xml:space="preserve">or </w:t>
      </w:r>
      <w:r w:rsidRPr="00E23980">
        <w:rPr>
          <w:rFonts w:ascii="Arial" w:eastAsia="Calibri" w:hAnsi="Arial" w:cs="Arial"/>
          <w:i/>
          <w:iCs/>
          <w:color w:val="000000"/>
          <w:sz w:val="22"/>
          <w:lang w:val="es-ES_tradnl" w:eastAsia="en-GB"/>
        </w:rPr>
        <w:t>obra</w:t>
      </w:r>
      <w:r>
        <w:rPr>
          <w:rFonts w:ascii="Arial" w:eastAsia="Calibri" w:hAnsi="Arial" w:cs="Arial"/>
          <w:i/>
          <w:iCs/>
          <w:color w:val="000000"/>
          <w:sz w:val="22"/>
          <w:lang w:val="es-ES_tradnl" w:eastAsia="en-GB"/>
        </w:rPr>
        <w:t xml:space="preserve"> civil</w:t>
      </w:r>
      <w:r w:rsidRPr="00E23980">
        <w:rPr>
          <w:rFonts w:ascii="Arial" w:eastAsia="Calibri" w:hAnsi="Arial" w:cs="Arial"/>
          <w:i/>
          <w:iCs/>
          <w:color w:val="000000"/>
          <w:sz w:val="22"/>
          <w:lang w:val="es-ES_tradnl" w:eastAsia="en-GB"/>
        </w:rPr>
        <w:t xml:space="preserve"> inconclusa</w:t>
      </w:r>
      <w:r>
        <w:rPr>
          <w:rFonts w:ascii="Arial" w:eastAsia="Calibri" w:hAnsi="Arial" w:cs="Arial"/>
          <w:color w:val="000000"/>
          <w:sz w:val="22"/>
          <w:lang w:val="es-ES_tradnl" w:eastAsia="en-GB"/>
        </w:rPr>
        <w:t xml:space="preserve"> la </w:t>
      </w:r>
      <w:r w:rsidRPr="00E23980">
        <w:rPr>
          <w:rFonts w:ascii="Arial" w:eastAsia="Calibri" w:hAnsi="Arial" w:cs="Arial"/>
          <w:color w:val="000000"/>
          <w:sz w:val="22"/>
          <w:lang w:val="es-ES_tradnl" w:eastAsia="en-GB"/>
        </w:rPr>
        <w:t>«Construcción,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Pr>
          <w:rFonts w:ascii="Arial" w:eastAsia="Calibri" w:hAnsi="Arial" w:cs="Arial"/>
          <w:color w:val="000000"/>
          <w:sz w:val="22"/>
          <w:lang w:val="es-ES_tradnl" w:eastAsia="en-GB"/>
        </w:rPr>
        <w:t xml:space="preserve"> </w:t>
      </w:r>
      <w:bookmarkEnd w:id="13"/>
    </w:p>
    <w:p w14:paraId="5B563B16"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En otras palabras, el concepto de obra</w:t>
      </w:r>
      <w:r>
        <w:rPr>
          <w:rFonts w:ascii="Arial" w:eastAsia="Calibri" w:hAnsi="Arial" w:cs="Arial"/>
          <w:color w:val="000000"/>
          <w:sz w:val="22"/>
          <w:lang w:val="es-ES_tradnl" w:eastAsia="en-GB"/>
        </w:rPr>
        <w:t xml:space="preserve"> civil</w:t>
      </w:r>
      <w:r w:rsidRPr="00E23980">
        <w:rPr>
          <w:rFonts w:ascii="Arial" w:eastAsia="Calibri" w:hAnsi="Arial" w:cs="Arial"/>
          <w:color w:val="000000"/>
          <w:sz w:val="22"/>
          <w:lang w:val="es-ES_tradnl" w:eastAsia="en-GB"/>
        </w:rPr>
        <w:t xml:space="preserve"> inconclusa </w:t>
      </w:r>
      <w:r>
        <w:rPr>
          <w:rFonts w:ascii="Arial" w:eastAsia="Calibri" w:hAnsi="Arial" w:cs="Arial"/>
          <w:color w:val="000000"/>
          <w:sz w:val="22"/>
          <w:lang w:val="es-ES_tradnl" w:eastAsia="en-GB"/>
        </w:rPr>
        <w:t>es</w:t>
      </w:r>
      <w:r w:rsidRPr="00E23980">
        <w:rPr>
          <w:rFonts w:ascii="Arial" w:eastAsia="Calibri" w:hAnsi="Arial" w:cs="Arial"/>
          <w:color w:val="000000"/>
          <w:sz w:val="22"/>
          <w:lang w:val="es-ES_tradnl" w:eastAsia="en-GB"/>
        </w:rPr>
        <w:t xml:space="preserve"> armón</w:t>
      </w:r>
      <w:r>
        <w:rPr>
          <w:rFonts w:ascii="Arial" w:eastAsia="Calibri" w:hAnsi="Arial" w:cs="Arial"/>
          <w:color w:val="000000"/>
          <w:sz w:val="22"/>
          <w:lang w:val="es-ES_tradnl" w:eastAsia="en-GB"/>
        </w:rPr>
        <w:t>ico</w:t>
      </w:r>
      <w:r w:rsidRPr="00E23980">
        <w:rPr>
          <w:rFonts w:ascii="Arial" w:eastAsia="Calibri" w:hAnsi="Arial" w:cs="Arial"/>
          <w:color w:val="000000"/>
          <w:sz w:val="22"/>
          <w:lang w:val="es-ES_tradnl" w:eastAsia="en-GB"/>
        </w:rPr>
        <w:t xml:space="preserve"> con la definición del contrato de obra</w:t>
      </w:r>
      <w:r>
        <w:rPr>
          <w:rFonts w:ascii="Arial" w:eastAsia="Calibri" w:hAnsi="Arial" w:cs="Arial"/>
          <w:color w:val="000000"/>
          <w:sz w:val="22"/>
          <w:lang w:val="es-ES_tradnl" w:eastAsia="en-GB"/>
        </w:rPr>
        <w:t>,</w:t>
      </w:r>
      <w:r w:rsidRPr="00E23980">
        <w:rPr>
          <w:rFonts w:ascii="Arial" w:eastAsia="Calibri" w:hAnsi="Arial" w:cs="Arial"/>
          <w:color w:val="000000"/>
          <w:sz w:val="22"/>
          <w:lang w:val="es-ES_tradnl" w:eastAsia="en-GB"/>
        </w:rPr>
        <w:t xml:space="preserve"> prevista en el artículo 32</w:t>
      </w:r>
      <w:r>
        <w:rPr>
          <w:rFonts w:ascii="Arial" w:eastAsia="Calibri" w:hAnsi="Arial" w:cs="Arial"/>
          <w:color w:val="000000"/>
          <w:sz w:val="22"/>
          <w:lang w:val="es-ES_tradnl" w:eastAsia="en-GB"/>
        </w:rPr>
        <w:t xml:space="preserve"> de la Ley 80 de 1993</w:t>
      </w:r>
      <w:r w:rsidRPr="00E23980">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según el cual «Son contratos de obra los que </w:t>
      </w:r>
      <w:r w:rsidRPr="00E23980">
        <w:rPr>
          <w:rFonts w:ascii="Arial" w:eastAsia="Calibri" w:hAnsi="Arial" w:cs="Arial"/>
          <w:color w:val="000000"/>
          <w:sz w:val="22"/>
          <w:lang w:val="es-ES_tradnl" w:eastAsia="en-GB"/>
        </w:rPr>
        <w:t>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r>
        <w:rPr>
          <w:rFonts w:ascii="Arial" w:eastAsia="Calibri" w:hAnsi="Arial" w:cs="Arial"/>
          <w:color w:val="000000"/>
          <w:sz w:val="22"/>
          <w:lang w:val="es-ES_tradnl" w:eastAsia="en-GB"/>
        </w:rPr>
        <w:t>.</w:t>
      </w:r>
    </w:p>
    <w:p w14:paraId="16259BF4"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Por su parte, el inciso segundo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w:t>
      </w:r>
      <w:r w:rsidRPr="00E23980">
        <w:rPr>
          <w:rFonts w:ascii="Arial" w:eastAsia="Calibri" w:hAnsi="Arial" w:cs="Arial"/>
          <w:color w:val="000000"/>
          <w:sz w:val="22"/>
          <w:lang w:val="es-ES_tradnl" w:eastAsia="en-GB"/>
        </w:rPr>
        <w:t xml:space="preserve"> art</w:t>
      </w:r>
      <w:r>
        <w:rPr>
          <w:rFonts w:ascii="Arial" w:eastAsia="Calibri" w:hAnsi="Arial" w:cs="Arial"/>
          <w:color w:val="000000"/>
          <w:sz w:val="22"/>
          <w:lang w:val="es-ES_tradnl" w:eastAsia="en-GB"/>
        </w:rPr>
        <w:t xml:space="preserve">ículo 2 </w:t>
      </w:r>
      <w:r w:rsidRPr="00E23980">
        <w:rPr>
          <w:rFonts w:ascii="Arial" w:eastAsia="Calibri" w:hAnsi="Arial" w:cs="Arial"/>
          <w:color w:val="000000"/>
          <w:sz w:val="22"/>
          <w:lang w:val="es-ES_tradnl" w:eastAsia="en-GB"/>
        </w:rPr>
        <w:t>de dicha Ley,</w:t>
      </w:r>
      <w:r>
        <w:rPr>
          <w:rFonts w:ascii="Arial" w:eastAsia="Calibri" w:hAnsi="Arial" w:cs="Arial"/>
          <w:color w:val="000000"/>
          <w:sz w:val="22"/>
          <w:lang w:val="es-ES_tradnl" w:eastAsia="en-GB"/>
        </w:rPr>
        <w:t xml:space="preserve"> establece la hipótesis en la que no se haya concluido satisfactoriamente la obra civil por causas no imputables al contratista. A este respecto, señala que «Cuando</w:t>
      </w:r>
      <w:r w:rsidRPr="00A12384">
        <w:rPr>
          <w:rFonts w:ascii="Arial" w:eastAsia="Calibri" w:hAnsi="Arial" w:cs="Arial"/>
          <w:color w:val="000000"/>
          <w:sz w:val="22"/>
          <w:lang w:val="es-ES_tradnl" w:eastAsia="en-GB"/>
        </w:rPr>
        <w:t xml:space="preserve"> la obra civil no haya concluido de manera satisfactoria por causas que no sean imputables al contratista, un comité técnico, designado por el representante legal de la entidad contratante, definirá si efectivamente corresponde a una obra civil inconclusa</w:t>
      </w:r>
      <w:r>
        <w:rPr>
          <w:rFonts w:ascii="Arial" w:eastAsia="Calibri" w:hAnsi="Arial" w:cs="Arial"/>
          <w:color w:val="000000"/>
          <w:sz w:val="22"/>
          <w:lang w:val="es-ES_tradnl" w:eastAsia="en-GB"/>
        </w:rPr>
        <w:t>»</w:t>
      </w:r>
      <w:r w:rsidRPr="00A12384">
        <w:rPr>
          <w:rFonts w:ascii="Arial" w:eastAsia="Calibri" w:hAnsi="Arial" w:cs="Arial"/>
          <w:color w:val="000000"/>
          <w:sz w:val="22"/>
          <w:lang w:val="es-ES_tradnl" w:eastAsia="en-GB"/>
        </w:rPr>
        <w:t>.</w:t>
      </w:r>
    </w:p>
    <w:p w14:paraId="3BDC94C4"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sidRPr="00EA2726">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 xml:space="preserve"> la definición del artículo 2 de la Ley 2020 de 2020 </w:t>
      </w:r>
      <w:r w:rsidRPr="00EA2726">
        <w:rPr>
          <w:rFonts w:ascii="Arial" w:eastAsia="Calibri" w:hAnsi="Arial" w:cs="Arial"/>
          <w:color w:val="000000"/>
          <w:sz w:val="22"/>
          <w:lang w:val="es-ES_tradnl" w:eastAsia="en-GB"/>
        </w:rPr>
        <w:t xml:space="preserve">se </w:t>
      </w:r>
      <w:r>
        <w:rPr>
          <w:rFonts w:ascii="Arial" w:eastAsia="Calibri" w:hAnsi="Arial" w:cs="Arial"/>
          <w:color w:val="000000"/>
          <w:sz w:val="22"/>
          <w:lang w:val="es-ES_tradnl" w:eastAsia="en-GB"/>
        </w:rPr>
        <w:t xml:space="preserve">resalta </w:t>
      </w:r>
      <w:r w:rsidRPr="00EA2726">
        <w:rPr>
          <w:rFonts w:ascii="Arial" w:eastAsia="Calibri" w:hAnsi="Arial" w:cs="Arial"/>
          <w:color w:val="000000"/>
          <w:sz w:val="22"/>
          <w:lang w:val="es-ES_tradnl" w:eastAsia="en-GB"/>
        </w:rPr>
        <w:t>lo siguiente</w:t>
      </w:r>
      <w:r>
        <w:rPr>
          <w:rFonts w:ascii="Arial" w:eastAsia="Calibri" w:hAnsi="Arial" w:cs="Arial"/>
          <w:color w:val="000000"/>
          <w:sz w:val="22"/>
          <w:lang w:val="es-ES_tradnl" w:eastAsia="en-GB"/>
        </w:rPr>
        <w:t>. Por un lado,</w:t>
      </w:r>
      <w:r w:rsidRPr="00EA2726">
        <w:rPr>
          <w:rFonts w:ascii="Arial" w:eastAsia="Calibri" w:hAnsi="Arial" w:cs="Arial"/>
          <w:color w:val="000000"/>
          <w:sz w:val="22"/>
          <w:lang w:val="es-ES_tradnl" w:eastAsia="en-GB"/>
        </w:rPr>
        <w:t xml:space="preserve"> cuando la obra civil cumpla con lo</w:t>
      </w:r>
      <w:r>
        <w:rPr>
          <w:rFonts w:ascii="Arial" w:eastAsia="Calibri" w:hAnsi="Arial" w:cs="Arial"/>
          <w:color w:val="000000"/>
          <w:sz w:val="22"/>
          <w:lang w:val="es-ES_tradnl" w:eastAsia="en-GB"/>
        </w:rPr>
        <w:t xml:space="preserve">s elementos establecidos </w:t>
      </w:r>
      <w:r w:rsidRPr="00EA2726">
        <w:rPr>
          <w:rFonts w:ascii="Arial" w:eastAsia="Calibri" w:hAnsi="Arial" w:cs="Arial"/>
          <w:color w:val="000000"/>
          <w:sz w:val="22"/>
          <w:lang w:val="es-ES_tradnl" w:eastAsia="en-GB"/>
        </w:rPr>
        <w:t>en el inciso primero literal a</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del artículo 2, deberá cataloga</w:t>
      </w:r>
      <w:r>
        <w:rPr>
          <w:rFonts w:ascii="Arial" w:eastAsia="Calibri" w:hAnsi="Arial" w:cs="Arial"/>
          <w:color w:val="000000"/>
          <w:sz w:val="22"/>
          <w:lang w:val="es-ES_tradnl" w:eastAsia="en-GB"/>
        </w:rPr>
        <w:t>rse</w:t>
      </w:r>
      <w:r w:rsidRPr="00EA2726">
        <w:rPr>
          <w:rFonts w:ascii="Arial" w:eastAsia="Calibri" w:hAnsi="Arial" w:cs="Arial"/>
          <w:color w:val="000000"/>
          <w:sz w:val="22"/>
          <w:lang w:val="es-ES_tradnl" w:eastAsia="en-GB"/>
        </w:rPr>
        <w:t xml:space="preserve"> como obra</w:t>
      </w:r>
      <w:r>
        <w:rPr>
          <w:rFonts w:ascii="Arial" w:eastAsia="Calibri" w:hAnsi="Arial" w:cs="Arial"/>
          <w:color w:val="000000"/>
          <w:sz w:val="22"/>
          <w:lang w:val="es-ES_tradnl" w:eastAsia="en-GB"/>
        </w:rPr>
        <w:t xml:space="preserve"> civil</w:t>
      </w:r>
      <w:r w:rsidRPr="00EA2726">
        <w:rPr>
          <w:rFonts w:ascii="Arial" w:eastAsia="Calibri" w:hAnsi="Arial" w:cs="Arial"/>
          <w:color w:val="000000"/>
          <w:sz w:val="22"/>
          <w:lang w:val="es-ES_tradnl" w:eastAsia="en-GB"/>
        </w:rPr>
        <w:t xml:space="preserve"> inconclusa</w:t>
      </w:r>
      <w:r>
        <w:rPr>
          <w:rFonts w:ascii="Arial" w:eastAsia="Calibri" w:hAnsi="Arial" w:cs="Arial"/>
          <w:color w:val="000000"/>
          <w:sz w:val="22"/>
          <w:lang w:val="es-ES_tradnl" w:eastAsia="en-GB"/>
        </w:rPr>
        <w:t>. Es decir, si el trabajo material sobre el bien inmueble no ha concluido de manera satisfactoria o no está prestando el servicio para el que se contrató y ha transcurrido un año o más desde que se venció el término de liquidación contractual, se considera obra civil inconclusa. Por otra parte,</w:t>
      </w:r>
      <w:r w:rsidRPr="00EA2726">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c</w:t>
      </w:r>
      <w:r w:rsidRPr="00EA2726">
        <w:rPr>
          <w:rFonts w:ascii="Arial" w:eastAsia="Calibri" w:hAnsi="Arial" w:cs="Arial"/>
          <w:color w:val="000000"/>
          <w:sz w:val="22"/>
          <w:lang w:val="es-ES_tradnl" w:eastAsia="en-GB"/>
        </w:rPr>
        <w:t>uando la obra civil cumple los presupuestos anteriores</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pero no</w:t>
      </w:r>
      <w:r>
        <w:rPr>
          <w:rFonts w:ascii="Arial" w:eastAsia="Calibri" w:hAnsi="Arial" w:cs="Arial"/>
          <w:color w:val="000000"/>
          <w:sz w:val="22"/>
          <w:lang w:val="es-ES_tradnl" w:eastAsia="en-GB"/>
        </w:rPr>
        <w:t xml:space="preserve"> concluyó</w:t>
      </w:r>
      <w:r w:rsidRPr="00EA2726">
        <w:rPr>
          <w:rFonts w:ascii="Arial" w:eastAsia="Calibri" w:hAnsi="Arial" w:cs="Arial"/>
          <w:color w:val="000000"/>
          <w:sz w:val="22"/>
          <w:lang w:val="es-ES_tradnl" w:eastAsia="en-GB"/>
        </w:rPr>
        <w:t xml:space="preserve"> por causas no</w:t>
      </w:r>
      <w:r>
        <w:rPr>
          <w:rFonts w:ascii="Arial" w:eastAsia="Calibri" w:hAnsi="Arial" w:cs="Arial"/>
          <w:color w:val="000000"/>
          <w:sz w:val="22"/>
          <w:lang w:val="es-ES_tradnl" w:eastAsia="en-GB"/>
        </w:rPr>
        <w:t xml:space="preserve"> imputables al contratista, </w:t>
      </w:r>
      <w:r w:rsidRPr="00EA2726">
        <w:rPr>
          <w:rFonts w:ascii="Arial" w:eastAsia="Calibri" w:hAnsi="Arial" w:cs="Arial"/>
          <w:color w:val="000000"/>
          <w:sz w:val="22"/>
          <w:lang w:val="es-ES_tradnl" w:eastAsia="en-GB"/>
        </w:rPr>
        <w:t>la entidad contratante</w:t>
      </w:r>
      <w:r>
        <w:rPr>
          <w:rFonts w:ascii="Arial" w:eastAsia="Calibri" w:hAnsi="Arial" w:cs="Arial"/>
          <w:color w:val="000000"/>
          <w:sz w:val="22"/>
          <w:lang w:val="es-ES_tradnl" w:eastAsia="en-GB"/>
        </w:rPr>
        <w:t xml:space="preserve"> será</w:t>
      </w:r>
      <w:r w:rsidRPr="00EA2726">
        <w:rPr>
          <w:rFonts w:ascii="Arial" w:eastAsia="Calibri" w:hAnsi="Arial" w:cs="Arial"/>
          <w:color w:val="000000"/>
          <w:sz w:val="22"/>
          <w:lang w:val="es-ES_tradnl" w:eastAsia="en-GB"/>
        </w:rPr>
        <w:t xml:space="preserve"> la encargada de determinar si la misma se define como obra </w:t>
      </w:r>
      <w:r>
        <w:rPr>
          <w:rFonts w:ascii="Arial" w:eastAsia="Calibri" w:hAnsi="Arial" w:cs="Arial"/>
          <w:color w:val="000000"/>
          <w:sz w:val="22"/>
          <w:lang w:val="es-ES_tradnl" w:eastAsia="en-GB"/>
        </w:rPr>
        <w:t xml:space="preserve">civil </w:t>
      </w:r>
      <w:r w:rsidRPr="00EA2726">
        <w:rPr>
          <w:rFonts w:ascii="Arial" w:eastAsia="Calibri" w:hAnsi="Arial" w:cs="Arial"/>
          <w:color w:val="000000"/>
          <w:sz w:val="22"/>
          <w:lang w:val="es-ES_tradnl" w:eastAsia="en-GB"/>
        </w:rPr>
        <w:t xml:space="preserve">inconclusa, </w:t>
      </w:r>
      <w:r>
        <w:rPr>
          <w:rFonts w:ascii="Arial" w:eastAsia="Calibri" w:hAnsi="Arial" w:cs="Arial"/>
          <w:color w:val="000000"/>
          <w:sz w:val="22"/>
          <w:lang w:val="es-ES_tradnl" w:eastAsia="en-GB"/>
        </w:rPr>
        <w:t>previa valoración</w:t>
      </w:r>
      <w:r w:rsidRPr="00EA2726">
        <w:rPr>
          <w:rFonts w:ascii="Arial" w:eastAsia="Calibri" w:hAnsi="Arial" w:cs="Arial"/>
          <w:color w:val="000000"/>
          <w:sz w:val="22"/>
          <w:lang w:val="es-ES_tradnl" w:eastAsia="en-GB"/>
        </w:rPr>
        <w:t xml:space="preserve"> de un comité técnico</w:t>
      </w:r>
      <w:r>
        <w:rPr>
          <w:rFonts w:ascii="Arial" w:eastAsia="Calibri" w:hAnsi="Arial" w:cs="Arial"/>
          <w:color w:val="000000"/>
          <w:sz w:val="22"/>
          <w:lang w:val="es-ES_tradnl" w:eastAsia="en-GB"/>
        </w:rPr>
        <w:t xml:space="preserve"> designado por el representante legal de la entidad contratante. </w:t>
      </w:r>
    </w:p>
    <w:p w14:paraId="1843F4BA"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Esta última precisión es importante, debido a que el propósito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2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Pr>
          <w:rStyle w:val="Refdenotaalpie"/>
          <w:rFonts w:ascii="Arial" w:eastAsia="Calibri" w:hAnsi="Arial" w:cs="Arial"/>
          <w:color w:val="000000"/>
          <w:sz w:val="22"/>
          <w:lang w:val="es-ES_tradnl" w:eastAsia="en-GB"/>
        </w:rPr>
        <w:footnoteReference w:id="7"/>
      </w:r>
      <w:r>
        <w:rPr>
          <w:rFonts w:ascii="Arial" w:eastAsia="Calibri" w:hAnsi="Arial" w:cs="Arial"/>
          <w:color w:val="000000"/>
          <w:sz w:val="22"/>
          <w:lang w:val="es-ES_tradnl" w:eastAsia="en-GB"/>
        </w:rPr>
        <w:t xml:space="preserve">. De esta manera, en el evento en que se defina por parte de </w:t>
      </w:r>
      <w:r>
        <w:rPr>
          <w:rFonts w:ascii="Arial" w:eastAsia="Calibri" w:hAnsi="Arial" w:cs="Arial"/>
          <w:color w:val="000000"/>
          <w:sz w:val="22"/>
          <w:lang w:val="es-ES_tradnl" w:eastAsia="en-GB"/>
        </w:rPr>
        <w:lastRenderedPageBreak/>
        <w:t xml:space="preserve">este comité técnico que la obra civil es catalogada como inconclusa, pero por causas no imputables al contratista, deberá incluir en el Registro Nacional de Obras Civiles Inconclusas los datos correspondientes que den cuenta de esta situación.  </w:t>
      </w:r>
    </w:p>
    <w:p w14:paraId="02104F07"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Sobre el espíritu de la ley, la exposición de motivos explica que el proyecto «[…]</w:t>
      </w:r>
      <w:r w:rsidRPr="00651B9C">
        <w:rPr>
          <w:rFonts w:ascii="Arial" w:eastAsia="Calibri" w:hAnsi="Arial" w:cs="Arial"/>
          <w:color w:val="000000"/>
          <w:sz w:val="22"/>
          <w:lang w:val="es-ES_tradnl" w:eastAsia="en-GB"/>
        </w:rPr>
        <w:t xml:space="preserve"> pretende establecer medidas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la detección y valoración de las obras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públicas que no se hayan concluido de acuerdo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con lo planeado por la entidad estatal a su cargo,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someterlas a evaluación técnica y financiera,</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dirigida a establecer si se concluyen o se procede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a su demolición. Como fin esencial del proyecto se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señala el de “salvaguardar las vidas como derecho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fundamental”, que se entienden amenazadas por los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efectos desfavorables de las obras inconclusas</w:t>
      </w:r>
      <w:r>
        <w:rPr>
          <w:rFonts w:ascii="Arial" w:eastAsia="Calibri" w:hAnsi="Arial" w:cs="Arial"/>
          <w:color w:val="000000"/>
          <w:sz w:val="22"/>
          <w:lang w:val="es-ES_tradnl" w:eastAsia="en-GB"/>
        </w:rPr>
        <w:t>»</w:t>
      </w:r>
      <w:r>
        <w:rPr>
          <w:rStyle w:val="Refdenotaalpie"/>
          <w:rFonts w:ascii="Arial" w:eastAsia="Calibri" w:hAnsi="Arial" w:cs="Arial"/>
          <w:color w:val="000000"/>
          <w:sz w:val="22"/>
          <w:lang w:val="es-ES_tradnl" w:eastAsia="en-GB"/>
        </w:rPr>
        <w:footnoteReference w:id="8"/>
      </w:r>
      <w:r w:rsidRPr="00651B9C">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En esta medida, el propósito de la norma subyace no solo en </w:t>
      </w:r>
      <w:bookmarkStart w:id="14" w:name="_Hlk84667055"/>
      <w:r>
        <w:rPr>
          <w:rFonts w:ascii="Arial" w:eastAsia="Calibri" w:hAnsi="Arial" w:cs="Arial"/>
          <w:color w:val="000000"/>
          <w:sz w:val="22"/>
          <w:lang w:val="es-ES_tradnl" w:eastAsia="en-GB"/>
        </w:rPr>
        <w:t xml:space="preserve">estructurar un sistema de registro, sino también en identificar el estado real de la infraestructura de obra en cada institución pública, con miras a elaborar un diagnóstico sobre la viabilidad técnica, financiera y jurídica de </w:t>
      </w:r>
      <w:r w:rsidRPr="004F091D">
        <w:rPr>
          <w:rFonts w:ascii="Arial" w:eastAsia="Calibri" w:hAnsi="Arial" w:cs="Arial"/>
          <w:color w:val="000000"/>
          <w:sz w:val="22"/>
          <w:lang w:val="es-ES_tradnl" w:eastAsia="en-GB"/>
        </w:rPr>
        <w:t>terminar o demoler la obra</w:t>
      </w:r>
      <w:r>
        <w:rPr>
          <w:rFonts w:ascii="Arial" w:eastAsia="Calibri" w:hAnsi="Arial" w:cs="Arial"/>
          <w:color w:val="000000"/>
          <w:sz w:val="22"/>
          <w:lang w:val="es-ES_tradnl" w:eastAsia="en-GB"/>
        </w:rPr>
        <w:t>, asegurando que pueda realizar una inversión de sus recursos para la intervención de esta.</w:t>
      </w:r>
    </w:p>
    <w:bookmarkEnd w:id="14"/>
    <w:p w14:paraId="46B46FA6"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 Por ello los artículos 5 y 13 </w:t>
      </w:r>
      <w:r w:rsidRPr="000060D0">
        <w:rPr>
          <w:rFonts w:ascii="Arial" w:eastAsia="Calibri" w:hAnsi="Arial" w:cs="Arial"/>
          <w:i/>
          <w:color w:val="000000"/>
          <w:sz w:val="22"/>
          <w:lang w:val="es-ES_tradnl" w:eastAsia="en-GB"/>
        </w:rPr>
        <w:t>ibídem</w:t>
      </w:r>
      <w:r>
        <w:rPr>
          <w:rFonts w:ascii="Arial" w:eastAsia="Calibri" w:hAnsi="Arial" w:cs="Arial"/>
          <w:color w:val="000000"/>
          <w:sz w:val="22"/>
          <w:lang w:val="es-ES_tradnl" w:eastAsia="en-GB"/>
        </w:rPr>
        <w:t xml:space="preserve"> disponen que l</w:t>
      </w:r>
      <w:r w:rsidRPr="007B57A5">
        <w:rPr>
          <w:rFonts w:ascii="Arial" w:eastAsia="Calibri" w:hAnsi="Arial" w:cs="Arial"/>
          <w:color w:val="000000"/>
          <w:sz w:val="22"/>
          <w:lang w:val="es-ES_tradnl" w:eastAsia="en-GB"/>
        </w:rPr>
        <w:t>a enti</w:t>
      </w:r>
      <w:r>
        <w:rPr>
          <w:rFonts w:ascii="Arial" w:eastAsia="Calibri" w:hAnsi="Arial" w:cs="Arial"/>
          <w:color w:val="000000"/>
          <w:sz w:val="22"/>
          <w:lang w:val="es-ES_tradnl" w:eastAsia="en-GB"/>
        </w:rPr>
        <w:t>dad estatal contratante</w:t>
      </w:r>
      <w:r w:rsidRPr="001E56FF">
        <w:rPr>
          <w:rFonts w:ascii="Arial" w:eastAsia="Calibri" w:hAnsi="Arial" w:cs="Arial"/>
          <w:color w:val="000000"/>
          <w:sz w:val="22"/>
          <w:lang w:val="es-ES_tradnl" w:eastAsia="en-GB"/>
        </w:rPr>
        <w:t xml:space="preserve"> </w:t>
      </w:r>
      <w:r w:rsidRPr="007B57A5">
        <w:rPr>
          <w:rFonts w:ascii="Arial" w:eastAsia="Calibri" w:hAnsi="Arial" w:cs="Arial"/>
          <w:color w:val="000000"/>
          <w:sz w:val="22"/>
          <w:lang w:val="es-ES_tradnl" w:eastAsia="en-GB"/>
        </w:rPr>
        <w:t>decidirá sobre la intervención física de terminación o demolición de la obra civil inconclusa</w:t>
      </w:r>
      <w:r>
        <w:rPr>
          <w:rFonts w:ascii="Arial" w:eastAsia="Calibri" w:hAnsi="Arial" w:cs="Arial"/>
          <w:color w:val="000000"/>
          <w:sz w:val="22"/>
          <w:lang w:val="es-ES_tradnl" w:eastAsia="en-GB"/>
        </w:rPr>
        <w:t>,</w:t>
      </w:r>
      <w:r w:rsidRPr="001E56FF">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para lo cual podrá disponer de las partidas necesarias, según </w:t>
      </w:r>
      <w:r w:rsidRPr="007B57A5">
        <w:rPr>
          <w:rFonts w:ascii="Arial" w:eastAsia="Calibri" w:hAnsi="Arial" w:cs="Arial"/>
          <w:color w:val="000000"/>
          <w:sz w:val="22"/>
          <w:lang w:val="es-ES_tradnl" w:eastAsia="en-GB"/>
        </w:rPr>
        <w:t>la disponibilidad de recursos compatibles con el marco fiscal de mediano plazo y l</w:t>
      </w:r>
      <w:r>
        <w:rPr>
          <w:rFonts w:ascii="Arial" w:eastAsia="Calibri" w:hAnsi="Arial" w:cs="Arial"/>
          <w:color w:val="000000"/>
          <w:sz w:val="22"/>
          <w:lang w:val="es-ES_tradnl" w:eastAsia="en-GB"/>
        </w:rPr>
        <w:t>a regla fiscal de cada entidad. Además, se podrá presentar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Pr>
          <w:rStyle w:val="Refdenotaalpie"/>
          <w:rFonts w:ascii="Arial" w:eastAsia="Calibri" w:hAnsi="Arial" w:cs="Arial"/>
          <w:color w:val="000000"/>
          <w:sz w:val="22"/>
          <w:lang w:val="es-ES_tradnl" w:eastAsia="en-GB"/>
        </w:rPr>
        <w:footnoteReference w:id="9"/>
      </w:r>
      <w:r>
        <w:rPr>
          <w:rFonts w:ascii="Arial" w:eastAsia="Calibri" w:hAnsi="Arial" w:cs="Arial"/>
          <w:color w:val="000000"/>
          <w:sz w:val="22"/>
          <w:lang w:val="es-ES_tradnl" w:eastAsia="en-GB"/>
        </w:rPr>
        <w:t xml:space="preserve">. </w:t>
      </w:r>
    </w:p>
    <w:p w14:paraId="132BFE50"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En tal sentido, esta l</w:t>
      </w:r>
      <w:r w:rsidRPr="003B4B1C">
        <w:rPr>
          <w:rFonts w:ascii="Arial" w:eastAsia="Calibri" w:hAnsi="Arial" w:cs="Arial"/>
          <w:color w:val="000000"/>
          <w:sz w:val="22"/>
          <w:lang w:val="es-ES_tradnl" w:eastAsia="en-GB"/>
        </w:rPr>
        <w:t>ey busca que</w:t>
      </w:r>
      <w:r>
        <w:rPr>
          <w:rFonts w:ascii="Arial" w:eastAsia="Calibri" w:hAnsi="Arial" w:cs="Arial"/>
          <w:color w:val="000000"/>
          <w:sz w:val="22"/>
          <w:lang w:val="es-ES_tradnl" w:eastAsia="en-GB"/>
        </w:rPr>
        <w:t xml:space="preserve"> la entidad estatal determine el destino definitivo de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decisión deberá adoptarse mediante acto administrativo expedido </w:t>
      </w:r>
      <w:r w:rsidRPr="00EC5ACE">
        <w:rPr>
          <w:rFonts w:ascii="Arial" w:eastAsia="Calibri" w:hAnsi="Arial" w:cs="Arial"/>
          <w:color w:val="000000"/>
          <w:sz w:val="22"/>
          <w:lang w:val="es-ES_tradnl" w:eastAsia="en-GB"/>
        </w:rPr>
        <w:t xml:space="preserve">por el representante legal de la entidad </w:t>
      </w:r>
      <w:r w:rsidRPr="00EC5ACE">
        <w:rPr>
          <w:rFonts w:ascii="Arial" w:eastAsia="Calibri" w:hAnsi="Arial" w:cs="Arial"/>
          <w:color w:val="000000"/>
          <w:sz w:val="22"/>
          <w:lang w:val="es-ES_tradnl" w:eastAsia="en-GB"/>
        </w:rPr>
        <w:lastRenderedPageBreak/>
        <w:t>a cargo de la obra</w:t>
      </w:r>
      <w:r>
        <w:rPr>
          <w:rFonts w:ascii="Arial" w:eastAsia="Calibri" w:hAnsi="Arial" w:cs="Arial"/>
          <w:color w:val="000000"/>
          <w:sz w:val="22"/>
          <w:lang w:val="es-ES_tradnl" w:eastAsia="en-GB"/>
        </w:rPr>
        <w:t xml:space="preserve">, y solo </w:t>
      </w:r>
      <w:r w:rsidRPr="00EC5ACE">
        <w:rPr>
          <w:rFonts w:ascii="Arial" w:eastAsia="Calibri" w:hAnsi="Arial" w:cs="Arial"/>
          <w:color w:val="000000"/>
          <w:sz w:val="22"/>
          <w:lang w:val="es-ES_tradnl" w:eastAsia="en-GB"/>
        </w:rPr>
        <w:t>podrá ordena</w:t>
      </w:r>
      <w:r>
        <w:rPr>
          <w:rFonts w:ascii="Arial" w:eastAsia="Calibri" w:hAnsi="Arial" w:cs="Arial"/>
          <w:color w:val="000000"/>
          <w:sz w:val="22"/>
          <w:lang w:val="es-ES_tradnl" w:eastAsia="en-GB"/>
        </w:rPr>
        <w:t>rse</w:t>
      </w:r>
      <w:r w:rsidRPr="00EC5ACE">
        <w:rPr>
          <w:rFonts w:ascii="Arial" w:eastAsia="Calibri" w:hAnsi="Arial" w:cs="Arial"/>
          <w:color w:val="000000"/>
          <w:sz w:val="22"/>
          <w:lang w:val="es-ES_tradnl" w:eastAsia="en-GB"/>
        </w:rPr>
        <w:t xml:space="preserve"> en casos de ruina o grave amenaza a los derechos fundamentales o colectivos, debidamente evaluada. </w:t>
      </w:r>
    </w:p>
    <w:p w14:paraId="19C806BA"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De conformidad con el artículo 3 de la Ley 2020 de 2020</w:t>
      </w:r>
      <w:r>
        <w:rPr>
          <w:rStyle w:val="Refdenotaalpie"/>
          <w:rFonts w:ascii="Arial" w:eastAsia="Calibri" w:hAnsi="Arial" w:cs="Arial"/>
          <w:color w:val="000000"/>
          <w:sz w:val="22"/>
          <w:lang w:val="es-ES_tradnl" w:eastAsia="en-GB"/>
        </w:rPr>
        <w:footnoteReference w:id="10"/>
      </w:r>
      <w:r w:rsidRPr="00E23980">
        <w:rPr>
          <w:rFonts w:ascii="Arial" w:eastAsia="Calibri" w:hAnsi="Arial" w:cs="Arial"/>
          <w:color w:val="000000"/>
          <w:sz w:val="22"/>
          <w:lang w:val="es-ES_tradnl" w:eastAsia="en-GB"/>
        </w:rPr>
        <w:t xml:space="preserve">, el Registro Nacional de Obras Civiles Inconclusas es un </w:t>
      </w:r>
      <w:r>
        <w:rPr>
          <w:rFonts w:ascii="Arial" w:eastAsia="Calibri" w:hAnsi="Arial" w:cs="Arial"/>
          <w:color w:val="000000"/>
          <w:sz w:val="22"/>
          <w:lang w:val="es-ES_tradnl" w:eastAsia="en-GB"/>
        </w:rPr>
        <w:t>sistema</w:t>
      </w:r>
      <w:r w:rsidRPr="00E23980">
        <w:rPr>
          <w:rFonts w:ascii="Arial" w:eastAsia="Calibri" w:hAnsi="Arial" w:cs="Arial"/>
          <w:color w:val="000000"/>
          <w:sz w:val="22"/>
          <w:lang w:val="es-ES_tradnl" w:eastAsia="en-GB"/>
        </w:rPr>
        <w:t xml:space="preserve"> administrado por la Contraloría General de la República</w:t>
      </w:r>
      <w:r>
        <w:rPr>
          <w:rStyle w:val="Refdenotaalpie"/>
          <w:rFonts w:ascii="Arial" w:eastAsia="Calibri" w:hAnsi="Arial" w:cs="Arial"/>
          <w:color w:val="000000"/>
          <w:sz w:val="22"/>
          <w:lang w:val="es-ES_tradnl" w:eastAsia="en-GB"/>
        </w:rPr>
        <w:footnoteReference w:id="11"/>
      </w:r>
      <w:r w:rsidRPr="00E23980">
        <w:rPr>
          <w:rFonts w:ascii="Arial" w:eastAsia="Calibri" w:hAnsi="Arial" w:cs="Arial"/>
          <w:color w:val="000000"/>
          <w:sz w:val="22"/>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w:t>
      </w:r>
      <w:r>
        <w:rPr>
          <w:rFonts w:ascii="Arial" w:eastAsia="Calibri" w:hAnsi="Arial" w:cs="Arial"/>
          <w:color w:val="000000"/>
          <w:sz w:val="22"/>
          <w:lang w:val="es-ES_tradnl" w:eastAsia="en-GB"/>
        </w:rPr>
        <w:t xml:space="preserve">Nacional </w:t>
      </w:r>
      <w:r w:rsidRPr="00E23980">
        <w:rPr>
          <w:rFonts w:ascii="Arial" w:eastAsia="Calibri" w:hAnsi="Arial" w:cs="Arial"/>
          <w:color w:val="000000"/>
          <w:sz w:val="22"/>
          <w:lang w:val="es-ES_tradnl" w:eastAsia="en-GB"/>
        </w:rPr>
        <w:t xml:space="preserve">de Obras Civiles Inconclusas </w:t>
      </w:r>
      <w:bookmarkStart w:id="15" w:name="_Hlk86842018"/>
      <w:r w:rsidRPr="00E23980">
        <w:rPr>
          <w:rFonts w:ascii="Arial" w:eastAsia="Calibri" w:hAnsi="Arial" w:cs="Arial"/>
          <w:color w:val="000000"/>
          <w:sz w:val="22"/>
          <w:lang w:val="es-ES_tradnl" w:eastAsia="en-GB"/>
        </w:rPr>
        <w:t>«</w:t>
      </w:r>
      <w:bookmarkEnd w:id="15"/>
      <w:r w:rsidRPr="00E23980">
        <w:rPr>
          <w:rFonts w:ascii="Arial" w:eastAsia="Calibri" w:hAnsi="Arial" w:cs="Arial"/>
          <w:color w:val="000000"/>
          <w:sz w:val="22"/>
          <w:lang w:val="es-ES_tradnl" w:eastAsia="en-GB"/>
        </w:rPr>
        <w:t>Es un sistema que contiene los datos sobre obras inconclusas en todo el territorio nacional. El inventario de obras civiles inconclusas reportado por las entidades estatales hará parte integral del banco de proyectos de la respectiva entidad».</w:t>
      </w:r>
      <w:r>
        <w:rPr>
          <w:rFonts w:ascii="Arial" w:eastAsia="Calibri" w:hAnsi="Arial" w:cs="Arial"/>
          <w:color w:val="000000"/>
          <w:sz w:val="22"/>
          <w:lang w:val="es-ES_tradnl" w:eastAsia="en-GB"/>
        </w:rPr>
        <w:t xml:space="preserve"> </w:t>
      </w:r>
    </w:p>
    <w:p w14:paraId="29B6C1DF" w14:textId="77777777" w:rsidR="00550420" w:rsidRDefault="00550420" w:rsidP="00550420">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Asimismo, la información de este</w:t>
      </w:r>
      <w:r>
        <w:rPr>
          <w:rFonts w:ascii="Arial" w:hAnsi="Arial" w:cs="Arial"/>
          <w:color w:val="000000" w:themeColor="text1"/>
          <w:sz w:val="22"/>
        </w:rPr>
        <w:t xml:space="preserve"> registro debe actualizarse permanentemente. L</w:t>
      </w:r>
      <w:r w:rsidRPr="00F80DAD">
        <w:rPr>
          <w:rFonts w:ascii="Arial" w:hAnsi="Arial" w:cs="Arial"/>
          <w:color w:val="000000" w:themeColor="text1"/>
          <w:sz w:val="22"/>
        </w:rPr>
        <w:t xml:space="preserve">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w:t>
      </w:r>
      <w:r>
        <w:rPr>
          <w:rFonts w:ascii="Arial" w:hAnsi="Arial" w:cs="Arial"/>
          <w:color w:val="000000" w:themeColor="text1"/>
          <w:sz w:val="22"/>
        </w:rPr>
        <w:t>disponga</w:t>
      </w:r>
      <w:r w:rsidRPr="00F80DAD">
        <w:rPr>
          <w:rFonts w:ascii="Arial" w:hAnsi="Arial" w:cs="Arial"/>
          <w:color w:val="000000" w:themeColor="text1"/>
          <w:sz w:val="22"/>
        </w:rPr>
        <w:t xml:space="preserve"> la Contraloría General de la República</w:t>
      </w:r>
      <w:r>
        <w:rPr>
          <w:rStyle w:val="Refdenotaalpie"/>
          <w:rFonts w:ascii="Arial" w:eastAsia="Calibri" w:hAnsi="Arial" w:cs="Arial"/>
          <w:color w:val="000000"/>
          <w:sz w:val="22"/>
          <w:lang w:val="es-ES_tradnl" w:eastAsia="en-GB"/>
        </w:rPr>
        <w:footnoteReference w:id="12"/>
      </w:r>
      <w:r>
        <w:rPr>
          <w:rFonts w:ascii="Arial" w:hAnsi="Arial" w:cs="Arial"/>
          <w:color w:val="000000" w:themeColor="text1"/>
          <w:sz w:val="22"/>
        </w:rPr>
        <w:t>.</w:t>
      </w:r>
    </w:p>
    <w:p w14:paraId="6338599B" w14:textId="77777777" w:rsidR="00550420" w:rsidRPr="00E34616" w:rsidRDefault="00550420" w:rsidP="00550420">
      <w:pPr>
        <w:tabs>
          <w:tab w:val="left" w:pos="0"/>
        </w:tabs>
        <w:spacing w:before="120" w:line="276" w:lineRule="auto"/>
        <w:ind w:firstLine="709"/>
        <w:jc w:val="both"/>
        <w:rPr>
          <w:rFonts w:ascii="Arial" w:eastAsia="Calibri" w:hAnsi="Arial" w:cs="Arial"/>
          <w:color w:val="000000"/>
          <w:sz w:val="22"/>
          <w:lang w:eastAsia="en-GB"/>
        </w:rPr>
      </w:pPr>
      <w:r>
        <w:rPr>
          <w:rFonts w:ascii="Arial" w:eastAsia="Calibri" w:hAnsi="Arial" w:cs="Arial"/>
          <w:color w:val="000000"/>
          <w:sz w:val="22"/>
          <w:lang w:val="es-ES_tradnl" w:eastAsia="en-GB"/>
        </w:rPr>
        <w:t xml:space="preserve">De esta manera, la </w:t>
      </w:r>
      <w:r w:rsidRPr="00F80DAD">
        <w:rPr>
          <w:rFonts w:ascii="Arial" w:hAnsi="Arial" w:cs="Arial"/>
          <w:color w:val="000000" w:themeColor="text1"/>
          <w:sz w:val="22"/>
        </w:rPr>
        <w:t>Contraloría General de la República</w:t>
      </w:r>
      <w:r>
        <w:rPr>
          <w:rFonts w:ascii="Arial" w:hAnsi="Arial" w:cs="Arial"/>
          <w:color w:val="000000" w:themeColor="text1"/>
          <w:sz w:val="22"/>
        </w:rPr>
        <w:t>, a través de</w:t>
      </w:r>
      <w:r w:rsidRPr="002319A7">
        <w:rPr>
          <w:rFonts w:ascii="Arial" w:hAnsi="Arial" w:cs="Arial"/>
          <w:color w:val="000000" w:themeColor="text1"/>
          <w:sz w:val="22"/>
        </w:rPr>
        <w:t xml:space="preserve"> la Dirección de Información, Análisis y Reacción Inmediata</w:t>
      </w:r>
      <w:r>
        <w:rPr>
          <w:rFonts w:ascii="Arial" w:hAnsi="Arial" w:cs="Arial"/>
          <w:color w:val="000000" w:themeColor="text1"/>
          <w:sz w:val="22"/>
        </w:rPr>
        <w:t xml:space="preserve">, es la encargada de dirigir y coordinar </w:t>
      </w:r>
      <w:r w:rsidRPr="00E23980">
        <w:rPr>
          <w:rFonts w:ascii="Arial" w:eastAsia="Calibri" w:hAnsi="Arial" w:cs="Arial"/>
          <w:color w:val="000000"/>
          <w:sz w:val="22"/>
          <w:lang w:val="es-ES_tradnl" w:eastAsia="en-GB"/>
        </w:rPr>
        <w:t xml:space="preserve">el </w:t>
      </w:r>
      <w:r w:rsidRPr="00E23980">
        <w:rPr>
          <w:rFonts w:ascii="Arial" w:eastAsia="Calibri" w:hAnsi="Arial" w:cs="Arial"/>
          <w:color w:val="000000"/>
          <w:sz w:val="22"/>
          <w:lang w:val="es-ES_tradnl" w:eastAsia="en-GB"/>
        </w:rPr>
        <w:lastRenderedPageBreak/>
        <w:t>Registro Nacional de Obras Civiles Inconclusas</w:t>
      </w:r>
      <w:r>
        <w:rPr>
          <w:rFonts w:ascii="Arial" w:eastAsia="Calibri" w:hAnsi="Arial" w:cs="Arial"/>
          <w:color w:val="000000"/>
          <w:sz w:val="22"/>
          <w:lang w:val="es-ES_tradnl" w:eastAsia="en-GB"/>
        </w:rPr>
        <w:t xml:space="preserve"> y realizar el seguimiento y actualización de este. Por ello, </w:t>
      </w:r>
      <w:r>
        <w:rPr>
          <w:rFonts w:ascii="Arial" w:eastAsia="Calibri" w:hAnsi="Arial" w:cs="Arial"/>
          <w:color w:val="000000"/>
          <w:sz w:val="22"/>
          <w:lang w:eastAsia="en-GB"/>
        </w:rPr>
        <w:t>m</w:t>
      </w:r>
      <w:r w:rsidRPr="009316C0">
        <w:rPr>
          <w:rFonts w:ascii="Arial" w:eastAsia="Calibri" w:hAnsi="Arial" w:cs="Arial"/>
          <w:color w:val="000000"/>
          <w:sz w:val="22"/>
          <w:lang w:eastAsia="en-GB"/>
        </w:rPr>
        <w:t>ediante la Resolución No. REG-ORD-0</w:t>
      </w:r>
      <w:r>
        <w:rPr>
          <w:rFonts w:ascii="Arial" w:eastAsia="Calibri" w:hAnsi="Arial" w:cs="Arial"/>
          <w:color w:val="000000"/>
          <w:sz w:val="22"/>
          <w:lang w:eastAsia="en-GB"/>
        </w:rPr>
        <w:t>0</w:t>
      </w:r>
      <w:r w:rsidRPr="009316C0">
        <w:rPr>
          <w:rFonts w:ascii="Arial" w:eastAsia="Calibri" w:hAnsi="Arial" w:cs="Arial"/>
          <w:color w:val="000000"/>
          <w:sz w:val="22"/>
          <w:lang w:eastAsia="en-GB"/>
        </w:rPr>
        <w:t>42-2020 del 25 de agosto de 2020</w:t>
      </w:r>
      <w:r>
        <w:rPr>
          <w:rStyle w:val="Refdenotaalpie"/>
          <w:rFonts w:ascii="Arial" w:eastAsia="Calibri" w:hAnsi="Arial" w:cs="Arial"/>
          <w:color w:val="000000"/>
          <w:sz w:val="22"/>
          <w:lang w:eastAsia="en-GB"/>
        </w:rPr>
        <w:footnoteReference w:id="13"/>
      </w:r>
      <w:r>
        <w:rPr>
          <w:rFonts w:ascii="Arial" w:eastAsia="Calibri" w:hAnsi="Arial" w:cs="Arial"/>
          <w:color w:val="000000"/>
          <w:sz w:val="22"/>
          <w:lang w:eastAsia="en-GB"/>
        </w:rPr>
        <w:t xml:space="preserve">, expedida por </w:t>
      </w:r>
      <w:r>
        <w:rPr>
          <w:rFonts w:ascii="Arial" w:eastAsia="Calibri" w:hAnsi="Arial" w:cs="Arial"/>
          <w:color w:val="000000"/>
          <w:sz w:val="22"/>
          <w:lang w:val="es-ES_tradnl" w:eastAsia="en-GB"/>
        </w:rPr>
        <w:t xml:space="preserve">la </w:t>
      </w:r>
      <w:r w:rsidRPr="00F80DAD">
        <w:rPr>
          <w:rFonts w:ascii="Arial" w:hAnsi="Arial" w:cs="Arial"/>
          <w:color w:val="000000" w:themeColor="text1"/>
          <w:sz w:val="22"/>
        </w:rPr>
        <w:t>Contraloría General de la República</w:t>
      </w:r>
      <w:r>
        <w:rPr>
          <w:rFonts w:ascii="Arial" w:hAnsi="Arial" w:cs="Arial"/>
          <w:color w:val="000000" w:themeColor="text1"/>
          <w:sz w:val="22"/>
        </w:rPr>
        <w:t>,</w:t>
      </w:r>
      <w:r>
        <w:rPr>
          <w:rFonts w:ascii="Arial" w:eastAsia="Calibri" w:hAnsi="Arial" w:cs="Arial"/>
          <w:color w:val="000000"/>
          <w:sz w:val="22"/>
          <w:lang w:eastAsia="en-GB"/>
        </w:rPr>
        <w:t xml:space="preserve"> </w:t>
      </w:r>
      <w:r w:rsidRPr="009316C0">
        <w:rPr>
          <w:rFonts w:ascii="Arial" w:eastAsia="Calibri" w:hAnsi="Arial" w:cs="Arial"/>
          <w:color w:val="000000"/>
          <w:sz w:val="22"/>
          <w:lang w:eastAsia="en-GB"/>
        </w:rPr>
        <w:t xml:space="preserve">se estableció que la información concerniente al Registro Nacional de Obras Civiles Inconclusas se rendiría a través del SIRECI, conforme al Capítulo II </w:t>
      </w:r>
      <w:r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Información de Obras Inconclusas</w:t>
      </w:r>
      <w:r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 xml:space="preserve"> del Título III </w:t>
      </w:r>
      <w:r w:rsidRPr="00E23980">
        <w:rPr>
          <w:rFonts w:ascii="Arial" w:eastAsia="Calibri" w:hAnsi="Arial" w:cs="Arial"/>
          <w:color w:val="000000"/>
          <w:sz w:val="22"/>
          <w:lang w:val="es-ES_tradnl" w:eastAsia="en-GB"/>
        </w:rPr>
        <w:t>«</w:t>
      </w:r>
      <w:r w:rsidRPr="009316C0">
        <w:rPr>
          <w:rFonts w:ascii="Arial" w:eastAsia="Calibri" w:hAnsi="Arial" w:cs="Arial"/>
          <w:color w:val="000000"/>
          <w:sz w:val="22"/>
          <w:lang w:eastAsia="en-GB"/>
        </w:rPr>
        <w:t xml:space="preserve">Rendición de Otra </w:t>
      </w:r>
      <w:r w:rsidRPr="00E31881">
        <w:rPr>
          <w:rFonts w:ascii="Arial" w:eastAsia="Calibri" w:hAnsi="Arial" w:cs="Arial"/>
          <w:color w:val="000000"/>
          <w:sz w:val="22"/>
          <w:lang w:eastAsia="en-GB"/>
        </w:rPr>
        <w:t>Información</w:t>
      </w:r>
      <w:r w:rsidRPr="00E23980">
        <w:rPr>
          <w:rFonts w:ascii="Arial" w:eastAsia="Calibri" w:hAnsi="Arial" w:cs="Arial"/>
          <w:color w:val="000000"/>
          <w:sz w:val="22"/>
          <w:lang w:val="es-ES_tradnl" w:eastAsia="en-GB"/>
        </w:rPr>
        <w:t>»</w:t>
      </w:r>
      <w:r>
        <w:rPr>
          <w:rFonts w:ascii="Arial" w:eastAsia="Calibri" w:hAnsi="Arial" w:cs="Arial"/>
          <w:color w:val="000000"/>
          <w:sz w:val="22"/>
          <w:lang w:eastAsia="en-GB"/>
        </w:rPr>
        <w:t>.</w:t>
      </w:r>
      <w:r w:rsidRPr="00936472">
        <w:rPr>
          <w:rFonts w:ascii="Arial" w:eastAsia="Calibri" w:hAnsi="Arial" w:cs="Arial"/>
          <w:color w:val="000000"/>
          <w:sz w:val="22"/>
          <w:lang w:eastAsia="en-GB"/>
        </w:rPr>
        <w:t xml:space="preserve"> De acuerdo con el artículo 5</w:t>
      </w:r>
      <w:r>
        <w:rPr>
          <w:rFonts w:ascii="Arial" w:eastAsia="Calibri" w:hAnsi="Arial" w:cs="Arial"/>
          <w:color w:val="000000"/>
          <w:sz w:val="22"/>
          <w:lang w:eastAsia="en-GB"/>
        </w:rPr>
        <w:t>1 de dicha Resolución,</w:t>
      </w:r>
      <w:r w:rsidRPr="00936472">
        <w:rPr>
          <w:rFonts w:ascii="Arial" w:eastAsia="Calibri" w:hAnsi="Arial" w:cs="Arial"/>
          <w:color w:val="000000"/>
          <w:sz w:val="22"/>
          <w:lang w:eastAsia="en-GB"/>
        </w:rPr>
        <w:t xml:space="preserve"> </w:t>
      </w:r>
      <w:r w:rsidRPr="006E11F3">
        <w:rPr>
          <w:rFonts w:ascii="Arial" w:eastAsia="Calibri" w:hAnsi="Arial" w:cs="Arial"/>
          <w:color w:val="000000"/>
          <w:sz w:val="22"/>
          <w:lang w:eastAsia="en-GB"/>
        </w:rPr>
        <w:t xml:space="preserve">el contenido de la información es la requerida en el Sistema de Rendición Electrónico de la Cuenta e Informe y Otra Información </w:t>
      </w:r>
      <w:r>
        <w:rPr>
          <w:rFonts w:ascii="Arial" w:eastAsia="Calibri" w:hAnsi="Arial" w:cs="Arial"/>
          <w:color w:val="000000"/>
          <w:sz w:val="22"/>
          <w:lang w:eastAsia="en-GB"/>
        </w:rPr>
        <w:t>–</w:t>
      </w:r>
      <w:r w:rsidRPr="006E11F3">
        <w:rPr>
          <w:rFonts w:ascii="Arial" w:eastAsia="Calibri" w:hAnsi="Arial" w:cs="Arial"/>
          <w:color w:val="000000"/>
          <w:sz w:val="22"/>
          <w:lang w:eastAsia="en-GB"/>
        </w:rPr>
        <w:t>SIRECI</w:t>
      </w:r>
      <w:r>
        <w:rPr>
          <w:rFonts w:ascii="Arial" w:eastAsia="Calibri" w:hAnsi="Arial" w:cs="Arial"/>
          <w:color w:val="000000"/>
          <w:sz w:val="22"/>
          <w:lang w:eastAsia="en-GB"/>
        </w:rPr>
        <w:t>–</w:t>
      </w:r>
      <w:r w:rsidRPr="006E11F3">
        <w:rPr>
          <w:rFonts w:ascii="Arial" w:eastAsia="Calibri" w:hAnsi="Arial" w:cs="Arial"/>
          <w:color w:val="000000"/>
          <w:sz w:val="22"/>
          <w:lang w:eastAsia="en-GB"/>
        </w:rPr>
        <w:t>, sobre la información que debe incorporar</w:t>
      </w:r>
      <w:r>
        <w:rPr>
          <w:rFonts w:ascii="Arial" w:eastAsia="Calibri" w:hAnsi="Arial" w:cs="Arial"/>
          <w:color w:val="000000"/>
          <w:sz w:val="22"/>
          <w:lang w:eastAsia="en-GB"/>
        </w:rPr>
        <w:t>se</w:t>
      </w:r>
      <w:r w:rsidRPr="006E11F3">
        <w:rPr>
          <w:rFonts w:ascii="Arial" w:eastAsia="Calibri" w:hAnsi="Arial" w:cs="Arial"/>
          <w:color w:val="000000"/>
          <w:sz w:val="22"/>
          <w:lang w:eastAsia="en-GB"/>
        </w:rPr>
        <w:t xml:space="preserve"> en la relación de obras civiles inconclusas, de conformidad con la ley.</w:t>
      </w:r>
      <w:r>
        <w:rPr>
          <w:rFonts w:ascii="Arial" w:eastAsia="Calibri" w:hAnsi="Arial" w:cs="Arial"/>
          <w:color w:val="000000"/>
          <w:sz w:val="22"/>
          <w:lang w:eastAsia="en-GB"/>
        </w:rPr>
        <w:t xml:space="preserve"> </w:t>
      </w:r>
    </w:p>
    <w:p w14:paraId="03D28819"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Respecto al contenido del Registro Nacional de Obras Civiles Inconclusas, </w:t>
      </w:r>
      <w:bookmarkStart w:id="16" w:name="_Hlk71184896"/>
      <w:r>
        <w:rPr>
          <w:rFonts w:ascii="Arial" w:eastAsia="Calibri" w:hAnsi="Arial" w:cs="Arial"/>
          <w:color w:val="000000"/>
          <w:sz w:val="22"/>
          <w:lang w:val="es-ES_tradnl" w:eastAsia="en-GB"/>
        </w:rPr>
        <w:t xml:space="preserve">el artículo 4 de la Ley 2020 de 2020 determina la información mínima que debe reportarse por las entidades públicas. </w:t>
      </w:r>
      <w:r w:rsidRPr="00F51ED2">
        <w:rPr>
          <w:rFonts w:ascii="Arial" w:eastAsia="Calibri" w:hAnsi="Arial" w:cs="Arial"/>
          <w:color w:val="000000"/>
          <w:sz w:val="22"/>
          <w:lang w:val="es-ES_tradnl" w:eastAsia="en-GB"/>
        </w:rPr>
        <w:t>Entre otros, deberá contener datos sobre la identificación del contratista, consultores, interventores y demás personas naturales y/o jurídicas que intervinieron en la planeación y ejecución del proyecto</w:t>
      </w:r>
      <w:r>
        <w:rPr>
          <w:rFonts w:ascii="Arial" w:eastAsia="Calibri" w:hAnsi="Arial" w:cs="Arial"/>
          <w:color w:val="000000"/>
          <w:sz w:val="22"/>
          <w:lang w:val="es-ES_tradnl" w:eastAsia="en-GB"/>
        </w:rPr>
        <w:t>;</w:t>
      </w:r>
      <w:r w:rsidRPr="00F51ED2">
        <w:rPr>
          <w:rFonts w:ascii="Arial" w:eastAsia="Calibri" w:hAnsi="Arial" w:cs="Arial"/>
          <w:color w:val="000000"/>
          <w:sz w:val="22"/>
          <w:lang w:val="es-ES_tradnl" w:eastAsia="en-GB"/>
        </w:rPr>
        <w:t xml:space="preserve"> las razones técnicas y/o jurídicas por las cuales la obra civil quedó inconclusa; los pagos efectuados; los procesos en curso y/o fallos que hayan declarado responsabilidades penales, fiscales, civiles y disciplinarias derivadas de la obra inconclusa; los actos administrativos que declaren el incumplimiento de los contratistas o caducidad de los contratos, así como </w:t>
      </w:r>
      <w:r>
        <w:rPr>
          <w:rFonts w:ascii="Arial" w:eastAsia="Calibri" w:hAnsi="Arial" w:cs="Arial"/>
          <w:color w:val="000000"/>
          <w:sz w:val="22"/>
          <w:lang w:val="es-ES_tradnl" w:eastAsia="en-GB"/>
        </w:rPr>
        <w:t>el</w:t>
      </w:r>
      <w:r w:rsidRPr="00F51ED2">
        <w:rPr>
          <w:rFonts w:ascii="Arial" w:eastAsia="Calibri" w:hAnsi="Arial" w:cs="Arial"/>
          <w:color w:val="000000"/>
          <w:sz w:val="22"/>
          <w:lang w:val="es-ES_tradnl" w:eastAsia="en-GB"/>
        </w:rPr>
        <w:t xml:space="preserve"> </w:t>
      </w:r>
      <w:r w:rsidRPr="00F51ED2">
        <w:rPr>
          <w:rFonts w:ascii="Arial" w:eastAsiaTheme="minorHAnsi" w:hAnsi="Arial" w:cs="Arial"/>
          <w:sz w:val="22"/>
          <w:szCs w:val="22"/>
          <w:lang w:eastAsia="en-US"/>
        </w:rPr>
        <w:t>informe final presentado por el interventor del proyecto y l</w:t>
      </w:r>
      <w:r>
        <w:rPr>
          <w:rFonts w:ascii="Arial" w:eastAsiaTheme="minorHAnsi" w:hAnsi="Arial" w:cs="Arial"/>
          <w:sz w:val="22"/>
          <w:szCs w:val="22"/>
          <w:lang w:eastAsia="en-US"/>
        </w:rPr>
        <w:t xml:space="preserve">a </w:t>
      </w:r>
      <w:r w:rsidRPr="00F51ED2">
        <w:rPr>
          <w:rFonts w:ascii="Arial" w:eastAsiaTheme="minorHAnsi" w:hAnsi="Arial" w:cs="Arial"/>
          <w:sz w:val="22"/>
          <w:szCs w:val="22"/>
          <w:lang w:eastAsia="en-US"/>
        </w:rPr>
        <w:t xml:space="preserve">demás </w:t>
      </w:r>
      <w:r>
        <w:rPr>
          <w:rFonts w:ascii="Arial" w:eastAsiaTheme="minorHAnsi" w:hAnsi="Arial" w:cs="Arial"/>
          <w:sz w:val="22"/>
          <w:szCs w:val="22"/>
          <w:lang w:eastAsia="en-US"/>
        </w:rPr>
        <w:t xml:space="preserve">información </w:t>
      </w:r>
      <w:r w:rsidRPr="00F51ED2">
        <w:rPr>
          <w:rFonts w:ascii="Arial" w:eastAsiaTheme="minorHAnsi" w:hAnsi="Arial" w:cs="Arial"/>
          <w:sz w:val="22"/>
          <w:szCs w:val="22"/>
          <w:lang w:eastAsia="en-US"/>
        </w:rPr>
        <w:t>que establezca la Contraloría General de la República.</w:t>
      </w:r>
      <w:r w:rsidRPr="00F51ED2">
        <w:rPr>
          <w:rFonts w:ascii="Arial" w:eastAsia="Calibri" w:hAnsi="Arial" w:cs="Arial"/>
          <w:color w:val="000000"/>
          <w:sz w:val="22"/>
          <w:lang w:val="es-ES_tradnl" w:eastAsia="en-GB"/>
        </w:rPr>
        <w:t xml:space="preserve"> </w:t>
      </w:r>
    </w:p>
    <w:p w14:paraId="3EBBD311"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sidRPr="00F51ED2">
        <w:rPr>
          <w:rFonts w:ascii="Arial" w:eastAsia="Calibri" w:hAnsi="Arial" w:cs="Arial"/>
          <w:color w:val="000000"/>
          <w:sz w:val="22"/>
          <w:lang w:val="es-ES_tradnl" w:eastAsia="en-GB"/>
        </w:rPr>
        <w:t>Igualmente, conforme al artículo 15</w:t>
      </w:r>
      <w:r>
        <w:rPr>
          <w:rFonts w:ascii="Arial" w:eastAsia="Calibri" w:hAnsi="Arial" w:cs="Arial"/>
          <w:color w:val="000000"/>
          <w:sz w:val="22"/>
          <w:lang w:val="es-ES_tradnl" w:eastAsia="en-GB"/>
        </w:rPr>
        <w:t xml:space="preserve"> </w:t>
      </w:r>
      <w:r w:rsidRPr="006F44B7">
        <w:rPr>
          <w:rFonts w:ascii="Arial" w:eastAsia="Calibri" w:hAnsi="Arial" w:cs="Arial"/>
          <w:i/>
          <w:iCs/>
          <w:color w:val="000000"/>
          <w:sz w:val="22"/>
          <w:lang w:val="es-ES_tradnl" w:eastAsia="en-GB"/>
        </w:rPr>
        <w:t>ib</w:t>
      </w:r>
      <w:r>
        <w:rPr>
          <w:rFonts w:ascii="Arial" w:eastAsia="Calibri" w:hAnsi="Arial" w:cs="Arial"/>
          <w:i/>
          <w:iCs/>
          <w:color w:val="000000"/>
          <w:sz w:val="22"/>
          <w:lang w:val="es-ES_tradnl" w:eastAsia="en-GB"/>
        </w:rPr>
        <w:t>í</w:t>
      </w:r>
      <w:r w:rsidRPr="006F44B7">
        <w:rPr>
          <w:rFonts w:ascii="Arial" w:eastAsia="Calibri" w:hAnsi="Arial" w:cs="Arial"/>
          <w:i/>
          <w:iCs/>
          <w:color w:val="000000"/>
          <w:sz w:val="22"/>
          <w:lang w:val="es-ES_tradnl" w:eastAsia="en-GB"/>
        </w:rPr>
        <w:t>dem</w:t>
      </w:r>
      <w:r>
        <w:rPr>
          <w:rFonts w:ascii="Arial" w:eastAsia="Calibri" w:hAnsi="Arial" w:cs="Arial"/>
          <w:color w:val="000000"/>
          <w:sz w:val="22"/>
          <w:lang w:val="es-ES_tradnl" w:eastAsia="en-GB"/>
        </w:rPr>
        <w:t xml:space="preserve"> se incluirán en </w:t>
      </w:r>
      <w:r>
        <w:rPr>
          <w:rFonts w:ascii="Arial" w:eastAsia="Calibri" w:hAnsi="Arial" w:cs="Arial"/>
          <w:color w:val="000000"/>
          <w:sz w:val="22"/>
          <w:lang w:eastAsia="en-GB"/>
        </w:rPr>
        <w:t>e</w:t>
      </w:r>
      <w:r w:rsidRPr="006F44B7">
        <w:rPr>
          <w:rFonts w:ascii="Arial" w:eastAsia="Calibri" w:hAnsi="Arial" w:cs="Arial"/>
          <w:color w:val="000000"/>
          <w:sz w:val="22"/>
          <w:lang w:eastAsia="en-GB"/>
        </w:rPr>
        <w:t xml:space="preserve">l Registro Nacional de Obras Civiles Inconclusas, las obras civiles ya terminadas que no se encuentren en funcionamiento. </w:t>
      </w:r>
      <w:r>
        <w:rPr>
          <w:rFonts w:ascii="Arial" w:eastAsia="Calibri" w:hAnsi="Arial" w:cs="Arial"/>
          <w:color w:val="000000"/>
          <w:sz w:val="22"/>
          <w:lang w:eastAsia="en-GB"/>
        </w:rPr>
        <w:t>Para tales efectos, l</w:t>
      </w:r>
      <w:r w:rsidRPr="006F44B7">
        <w:rPr>
          <w:rFonts w:ascii="Arial" w:eastAsia="Calibri" w:hAnsi="Arial" w:cs="Arial"/>
          <w:color w:val="000000"/>
          <w:sz w:val="22"/>
          <w:lang w:eastAsia="en-GB"/>
        </w:rPr>
        <w:t xml:space="preserve">a Contraloría General de la República establecerá los criterios y el término para su incorporación. </w:t>
      </w:r>
    </w:p>
    <w:p w14:paraId="469CFE8E" w14:textId="32AEB9FD" w:rsidR="00550420" w:rsidRDefault="00550420" w:rsidP="00550420">
      <w:pPr>
        <w:spacing w:before="120" w:line="276" w:lineRule="auto"/>
        <w:ind w:firstLine="567"/>
        <w:jc w:val="both"/>
        <w:rPr>
          <w:rFonts w:ascii="Arial" w:hAnsi="Arial" w:cs="Arial"/>
          <w:bCs/>
          <w:color w:val="000000" w:themeColor="text1"/>
          <w:sz w:val="22"/>
          <w:szCs w:val="22"/>
        </w:rPr>
      </w:pPr>
      <w:r w:rsidRPr="00F567E4">
        <w:rPr>
          <w:rFonts w:ascii="Arial" w:eastAsiaTheme="minorHAnsi" w:hAnsi="Arial" w:cs="Arial"/>
          <w:sz w:val="22"/>
          <w:szCs w:val="22"/>
          <w:lang w:val="es-ES_tradnl" w:eastAsia="en-US"/>
        </w:rPr>
        <w:t>En este contexto</w:t>
      </w:r>
      <w:r>
        <w:rPr>
          <w:rFonts w:ascii="Arial" w:eastAsiaTheme="minorHAnsi" w:hAnsi="Arial" w:cs="Arial"/>
          <w:sz w:val="22"/>
          <w:szCs w:val="22"/>
          <w:lang w:val="es-ES_tradnl" w:eastAsia="en-US"/>
        </w:rPr>
        <w:t>,</w:t>
      </w:r>
      <w:r w:rsidRPr="00F567E4">
        <w:rPr>
          <w:rFonts w:ascii="Arial" w:eastAsiaTheme="minorHAnsi" w:hAnsi="Arial" w:cs="Arial"/>
          <w:sz w:val="22"/>
          <w:szCs w:val="22"/>
          <w:lang w:val="es-ES_tradnl" w:eastAsia="en-US"/>
        </w:rPr>
        <w:t xml:space="preserve"> </w:t>
      </w:r>
      <w:r>
        <w:rPr>
          <w:rFonts w:ascii="Arial" w:eastAsiaTheme="minorHAnsi" w:hAnsi="Arial" w:cs="Arial"/>
          <w:sz w:val="22"/>
          <w:szCs w:val="22"/>
          <w:lang w:val="es-ES_tradnl" w:eastAsia="en-US"/>
        </w:rPr>
        <w:t xml:space="preserve">las obras civiles inconclusas que deben incluirse </w:t>
      </w:r>
      <w:r w:rsidRPr="00F567E4">
        <w:rPr>
          <w:rFonts w:ascii="Arial" w:eastAsiaTheme="minorHAnsi" w:hAnsi="Arial" w:cs="Arial"/>
          <w:sz w:val="22"/>
          <w:szCs w:val="22"/>
          <w:lang w:val="es-ES_tradnl" w:eastAsia="en-US"/>
        </w:rPr>
        <w:t xml:space="preserve">en el Registro </w:t>
      </w:r>
      <w:r w:rsidRPr="00F567E4">
        <w:rPr>
          <w:rFonts w:ascii="Arial" w:eastAsia="Calibri" w:hAnsi="Arial" w:cs="Arial"/>
          <w:color w:val="000000"/>
          <w:sz w:val="22"/>
          <w:szCs w:val="22"/>
          <w:lang w:val="es-ES_tradnl" w:eastAsia="en-GB"/>
        </w:rPr>
        <w:t>Nacional de Obras Civiles Inconclusas está</w:t>
      </w:r>
      <w:r>
        <w:rPr>
          <w:rFonts w:ascii="Arial" w:eastAsia="Calibri" w:hAnsi="Arial" w:cs="Arial"/>
          <w:color w:val="000000"/>
          <w:sz w:val="22"/>
          <w:szCs w:val="22"/>
          <w:lang w:val="es-ES_tradnl" w:eastAsia="en-GB"/>
        </w:rPr>
        <w:t>n</w:t>
      </w:r>
      <w:r w:rsidRPr="00F567E4">
        <w:rPr>
          <w:rFonts w:ascii="Arial" w:eastAsia="Calibri" w:hAnsi="Arial" w:cs="Arial"/>
          <w:color w:val="000000"/>
          <w:sz w:val="22"/>
          <w:szCs w:val="22"/>
          <w:lang w:val="es-ES_tradnl" w:eastAsia="en-GB"/>
        </w:rPr>
        <w:t xml:space="preserve"> determinad</w:t>
      </w:r>
      <w:r>
        <w:rPr>
          <w:rFonts w:ascii="Arial" w:eastAsia="Calibri" w:hAnsi="Arial" w:cs="Arial"/>
          <w:color w:val="000000"/>
          <w:sz w:val="22"/>
          <w:szCs w:val="22"/>
          <w:lang w:val="es-ES_tradnl" w:eastAsia="en-GB"/>
        </w:rPr>
        <w:t>as</w:t>
      </w:r>
      <w:r w:rsidRPr="00F567E4">
        <w:rPr>
          <w:rFonts w:ascii="Arial" w:eastAsia="Calibri" w:hAnsi="Arial" w:cs="Arial"/>
          <w:color w:val="000000"/>
          <w:sz w:val="22"/>
          <w:szCs w:val="22"/>
          <w:lang w:val="es-ES_tradnl" w:eastAsia="en-GB"/>
        </w:rPr>
        <w:t xml:space="preserve"> por l</w:t>
      </w:r>
      <w:r>
        <w:rPr>
          <w:rFonts w:ascii="Arial" w:eastAsia="Calibri" w:hAnsi="Arial" w:cs="Arial"/>
          <w:color w:val="000000"/>
          <w:sz w:val="22"/>
          <w:szCs w:val="22"/>
          <w:lang w:val="es-ES_tradnl" w:eastAsia="en-GB"/>
        </w:rPr>
        <w:t xml:space="preserve">a </w:t>
      </w:r>
      <w:r w:rsidRPr="00F567E4">
        <w:rPr>
          <w:rFonts w:ascii="Arial" w:eastAsia="Calibri" w:hAnsi="Arial" w:cs="Arial"/>
          <w:color w:val="000000"/>
          <w:sz w:val="22"/>
          <w:szCs w:val="22"/>
          <w:lang w:val="es-ES_tradnl" w:eastAsia="en-GB"/>
        </w:rPr>
        <w:t>Ley 2020 de 2020</w:t>
      </w:r>
      <w:r>
        <w:rPr>
          <w:rFonts w:ascii="Arial" w:eastAsia="Calibri" w:hAnsi="Arial" w:cs="Arial"/>
          <w:color w:val="000000"/>
          <w:sz w:val="22"/>
          <w:szCs w:val="22"/>
          <w:lang w:val="es-ES_tradnl" w:eastAsia="en-GB"/>
        </w:rPr>
        <w:t xml:space="preserve">, cuya </w:t>
      </w:r>
      <w:r w:rsidRPr="00F567E4">
        <w:rPr>
          <w:rFonts w:ascii="Arial" w:eastAsia="Calibri" w:hAnsi="Arial" w:cs="Arial"/>
          <w:color w:val="000000"/>
          <w:sz w:val="22"/>
          <w:szCs w:val="22"/>
          <w:lang w:val="es-ES_tradnl" w:eastAsia="en-GB"/>
        </w:rPr>
        <w:t>administración es competencia de la Contraloría General de la República</w:t>
      </w:r>
      <w:r w:rsidRPr="00F567E4">
        <w:rPr>
          <w:rFonts w:ascii="Arial" w:eastAsiaTheme="minorHAnsi" w:hAnsi="Arial" w:cs="Arial"/>
          <w:sz w:val="22"/>
          <w:szCs w:val="22"/>
          <w:lang w:val="es-ES_tradnl" w:eastAsia="en-US"/>
        </w:rPr>
        <w:t>. Por tanto, la entidad estatal responsable tiene la obligación de reportar la información que exige</w:t>
      </w:r>
      <w:r>
        <w:rPr>
          <w:rFonts w:ascii="Arial" w:eastAsiaTheme="minorHAnsi" w:hAnsi="Arial" w:cs="Arial"/>
          <w:sz w:val="22"/>
          <w:szCs w:val="22"/>
          <w:lang w:val="es-ES_tradnl" w:eastAsia="en-US"/>
        </w:rPr>
        <w:t xml:space="preserve"> </w:t>
      </w:r>
      <w:r w:rsidRPr="00CB4688">
        <w:rPr>
          <w:rFonts w:ascii="Arial" w:hAnsi="Arial" w:cs="Arial"/>
          <w:bCs/>
          <w:color w:val="000000" w:themeColor="text1"/>
          <w:sz w:val="22"/>
          <w:szCs w:val="22"/>
        </w:rPr>
        <w:t>el artículo 2</w:t>
      </w:r>
      <w:r>
        <w:rPr>
          <w:rFonts w:ascii="Arial" w:hAnsi="Arial" w:cs="Arial"/>
          <w:bCs/>
          <w:color w:val="000000" w:themeColor="text1"/>
          <w:sz w:val="22"/>
          <w:szCs w:val="22"/>
        </w:rPr>
        <w:t xml:space="preserve"> de dicha Ley, de acuerdo con los presupuestos allí descritos, en concordancia con lo dispuesto en el artículo</w:t>
      </w:r>
      <w:r w:rsidRPr="00CB4688">
        <w:rPr>
          <w:rFonts w:ascii="Arial" w:hAnsi="Arial" w:cs="Arial"/>
          <w:bCs/>
          <w:color w:val="000000" w:themeColor="text1"/>
          <w:sz w:val="22"/>
          <w:szCs w:val="22"/>
        </w:rPr>
        <w:t xml:space="preserve"> 4</w:t>
      </w:r>
      <w:r>
        <w:rPr>
          <w:rFonts w:ascii="Arial" w:hAnsi="Arial" w:cs="Arial"/>
          <w:bCs/>
          <w:color w:val="000000" w:themeColor="text1"/>
          <w:sz w:val="22"/>
          <w:szCs w:val="22"/>
        </w:rPr>
        <w:t xml:space="preserve"> sobre la información mínima que debe incorporar en el Registro, </w:t>
      </w:r>
      <w:r w:rsidRPr="00F567E4">
        <w:rPr>
          <w:rFonts w:ascii="Arial" w:eastAsiaTheme="minorHAnsi" w:hAnsi="Arial" w:cs="Arial"/>
          <w:sz w:val="22"/>
          <w:szCs w:val="22"/>
          <w:lang w:val="es-ES_tradnl" w:eastAsia="en-US"/>
        </w:rPr>
        <w:t xml:space="preserve">así como toda aquella información que establezca </w:t>
      </w:r>
      <w:r w:rsidRPr="00F567E4">
        <w:rPr>
          <w:rFonts w:ascii="Arial" w:eastAsia="Calibri" w:hAnsi="Arial" w:cs="Arial"/>
          <w:color w:val="000000"/>
          <w:sz w:val="22"/>
          <w:lang w:val="es-ES_tradnl" w:eastAsia="en-GB"/>
        </w:rPr>
        <w:t xml:space="preserve">la Contraloría General de la </w:t>
      </w:r>
      <w:r w:rsidRPr="00F567E4">
        <w:rPr>
          <w:rFonts w:ascii="Arial" w:eastAsia="Calibri" w:hAnsi="Arial" w:cs="Arial"/>
          <w:color w:val="000000"/>
          <w:sz w:val="22"/>
          <w:szCs w:val="22"/>
          <w:lang w:val="es-ES_tradnl" w:eastAsia="en-GB"/>
        </w:rPr>
        <w:t>República en el marco de sus competencias</w:t>
      </w:r>
      <w:r>
        <w:rPr>
          <w:rFonts w:ascii="Arial" w:hAnsi="Arial" w:cs="Arial"/>
          <w:bCs/>
          <w:color w:val="000000" w:themeColor="text1"/>
          <w:sz w:val="22"/>
          <w:szCs w:val="22"/>
        </w:rPr>
        <w:t xml:space="preserve">. </w:t>
      </w:r>
    </w:p>
    <w:p w14:paraId="0FDE5D17" w14:textId="545E40AF" w:rsidR="00550420" w:rsidRPr="00840596" w:rsidRDefault="0044165B" w:rsidP="00550420">
      <w:pPr>
        <w:spacing w:before="120" w:line="276" w:lineRule="auto"/>
        <w:ind w:firstLine="567"/>
        <w:jc w:val="both"/>
        <w:rPr>
          <w:rFonts w:ascii="Arial" w:eastAsiaTheme="minorHAnsi" w:hAnsi="Arial" w:cs="Arial"/>
          <w:sz w:val="22"/>
          <w:szCs w:val="22"/>
          <w:lang w:val="es-ES_tradnl" w:eastAsia="en-US"/>
        </w:rPr>
      </w:pPr>
      <w:r>
        <w:rPr>
          <w:rFonts w:ascii="Arial" w:hAnsi="Arial" w:cs="Arial"/>
          <w:bCs/>
          <w:color w:val="000000" w:themeColor="text1"/>
          <w:sz w:val="22"/>
          <w:szCs w:val="22"/>
        </w:rPr>
        <w:t>E</w:t>
      </w:r>
      <w:r w:rsidR="00550420">
        <w:rPr>
          <w:rFonts w:ascii="Arial" w:hAnsi="Arial" w:cs="Arial"/>
          <w:bCs/>
          <w:color w:val="000000" w:themeColor="text1"/>
          <w:sz w:val="22"/>
          <w:szCs w:val="22"/>
        </w:rPr>
        <w:t xml:space="preserve">l </w:t>
      </w:r>
      <w:r w:rsidR="00550420" w:rsidRPr="00DC486D">
        <w:rPr>
          <w:rFonts w:ascii="Arial" w:hAnsi="Arial" w:cs="Arial"/>
          <w:bCs/>
          <w:color w:val="000000" w:themeColor="text1"/>
          <w:sz w:val="22"/>
          <w:szCs w:val="22"/>
        </w:rPr>
        <w:t>Registro Nacional de Obras Civiles Inconclusas contendrá el inventario actualizado de obras civiles inconclusas</w:t>
      </w:r>
      <w:r w:rsidR="00550420">
        <w:rPr>
          <w:rFonts w:ascii="Arial" w:hAnsi="Arial" w:cs="Arial"/>
          <w:bCs/>
          <w:color w:val="000000" w:themeColor="text1"/>
          <w:sz w:val="22"/>
          <w:szCs w:val="22"/>
        </w:rPr>
        <w:t xml:space="preserve">, </w:t>
      </w:r>
      <w:r w:rsidR="00550420" w:rsidRPr="00DC486D">
        <w:rPr>
          <w:rFonts w:ascii="Arial" w:hAnsi="Arial" w:cs="Arial"/>
          <w:bCs/>
          <w:color w:val="000000" w:themeColor="text1"/>
          <w:sz w:val="22"/>
          <w:szCs w:val="22"/>
        </w:rPr>
        <w:t>compuesto por la información reportada por las entidades estatales sobre las obras civiles inconclusas de su jurisdicción, o la información obtenida por la Contraloría General de la República sobre el particula</w:t>
      </w:r>
      <w:r w:rsidR="00550420">
        <w:rPr>
          <w:rFonts w:ascii="Arial" w:hAnsi="Arial" w:cs="Arial"/>
          <w:bCs/>
          <w:color w:val="000000" w:themeColor="text1"/>
          <w:sz w:val="22"/>
          <w:szCs w:val="22"/>
        </w:rPr>
        <w:t xml:space="preserve">r. Igualmente, deberá incluirse en el Registro </w:t>
      </w:r>
      <w:r w:rsidR="00550420" w:rsidRPr="006F44B7">
        <w:rPr>
          <w:rFonts w:ascii="Arial" w:eastAsia="Calibri" w:hAnsi="Arial" w:cs="Arial"/>
          <w:color w:val="000000"/>
          <w:sz w:val="22"/>
          <w:lang w:eastAsia="en-GB"/>
        </w:rPr>
        <w:t>las obras civiles ya terminadas que no se encuentren en funcionamiento</w:t>
      </w:r>
      <w:r w:rsidR="00550420" w:rsidRPr="00CB4688">
        <w:rPr>
          <w:rFonts w:ascii="Arial" w:hAnsi="Arial" w:cs="Arial"/>
          <w:bCs/>
          <w:color w:val="000000" w:themeColor="text1"/>
          <w:sz w:val="22"/>
          <w:szCs w:val="22"/>
        </w:rPr>
        <w:t xml:space="preserve"> </w:t>
      </w:r>
      <w:r w:rsidR="00550420">
        <w:rPr>
          <w:rFonts w:ascii="Arial" w:hAnsi="Arial" w:cs="Arial"/>
          <w:bCs/>
          <w:color w:val="000000" w:themeColor="text1"/>
          <w:sz w:val="22"/>
          <w:szCs w:val="22"/>
        </w:rPr>
        <w:t xml:space="preserve">de </w:t>
      </w:r>
      <w:r w:rsidR="00550420">
        <w:rPr>
          <w:rFonts w:ascii="Arial" w:hAnsi="Arial" w:cs="Arial"/>
          <w:bCs/>
          <w:color w:val="000000" w:themeColor="text1"/>
          <w:sz w:val="22"/>
          <w:szCs w:val="22"/>
        </w:rPr>
        <w:lastRenderedPageBreak/>
        <w:t>acuerdo con los criterios y el término para su incorporación que establezca la</w:t>
      </w:r>
      <w:r w:rsidR="00550420" w:rsidRPr="00CB4688">
        <w:rPr>
          <w:rFonts w:ascii="Arial" w:hAnsi="Arial" w:cs="Arial"/>
          <w:bCs/>
          <w:color w:val="000000" w:themeColor="text1"/>
          <w:sz w:val="22"/>
          <w:szCs w:val="22"/>
        </w:rPr>
        <w:t xml:space="preserve"> </w:t>
      </w:r>
      <w:r w:rsidR="00550420">
        <w:rPr>
          <w:rFonts w:ascii="Arial" w:hAnsi="Arial" w:cs="Arial"/>
          <w:bCs/>
          <w:color w:val="000000" w:themeColor="text1"/>
          <w:sz w:val="22"/>
          <w:szCs w:val="22"/>
        </w:rPr>
        <w:t>C</w:t>
      </w:r>
      <w:r w:rsidR="00550420" w:rsidRPr="00CB4688">
        <w:rPr>
          <w:rFonts w:ascii="Arial" w:hAnsi="Arial" w:cs="Arial"/>
          <w:bCs/>
          <w:color w:val="000000" w:themeColor="text1"/>
          <w:sz w:val="22"/>
          <w:szCs w:val="22"/>
        </w:rPr>
        <w:t xml:space="preserve">ontraloría </w:t>
      </w:r>
      <w:r w:rsidR="00550420">
        <w:rPr>
          <w:rFonts w:ascii="Arial" w:hAnsi="Arial" w:cs="Arial"/>
          <w:bCs/>
          <w:color w:val="000000" w:themeColor="text1"/>
          <w:sz w:val="22"/>
          <w:szCs w:val="22"/>
        </w:rPr>
        <w:t>G</w:t>
      </w:r>
      <w:r w:rsidR="00550420" w:rsidRPr="00CB4688">
        <w:rPr>
          <w:rFonts w:ascii="Arial" w:hAnsi="Arial" w:cs="Arial"/>
          <w:bCs/>
          <w:color w:val="000000" w:themeColor="text1"/>
          <w:sz w:val="22"/>
          <w:szCs w:val="22"/>
        </w:rPr>
        <w:t xml:space="preserve">eneral de la </w:t>
      </w:r>
      <w:r w:rsidR="00550420">
        <w:rPr>
          <w:rFonts w:ascii="Arial" w:hAnsi="Arial" w:cs="Arial"/>
          <w:bCs/>
          <w:color w:val="000000" w:themeColor="text1"/>
          <w:sz w:val="22"/>
          <w:szCs w:val="22"/>
        </w:rPr>
        <w:t>R</w:t>
      </w:r>
      <w:r w:rsidR="00550420" w:rsidRPr="00CB4688">
        <w:rPr>
          <w:rFonts w:ascii="Arial" w:hAnsi="Arial" w:cs="Arial"/>
          <w:bCs/>
          <w:color w:val="000000" w:themeColor="text1"/>
          <w:sz w:val="22"/>
          <w:szCs w:val="22"/>
        </w:rPr>
        <w:t>epública</w:t>
      </w:r>
      <w:r w:rsidR="00550420">
        <w:rPr>
          <w:rFonts w:ascii="Arial" w:hAnsi="Arial" w:cs="Arial"/>
          <w:bCs/>
          <w:color w:val="000000" w:themeColor="text1"/>
          <w:sz w:val="22"/>
          <w:szCs w:val="22"/>
        </w:rPr>
        <w:t xml:space="preserve">. </w:t>
      </w:r>
    </w:p>
    <w:bookmarkEnd w:id="16"/>
    <w:p w14:paraId="60A5E41D"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Según artículo 9 de la Ley 2020 de 2020, </w:t>
      </w:r>
      <w:r w:rsidRPr="00EC5ACE">
        <w:rPr>
          <w:rFonts w:ascii="Arial" w:eastAsia="Calibri" w:hAnsi="Arial" w:cs="Arial"/>
          <w:color w:val="000000"/>
          <w:sz w:val="22"/>
          <w:lang w:val="es-ES_tradnl" w:eastAsia="en-GB"/>
        </w:rPr>
        <w:t>la obligación</w:t>
      </w:r>
      <w:r>
        <w:rPr>
          <w:rFonts w:ascii="Arial" w:eastAsia="Calibri" w:hAnsi="Arial" w:cs="Arial"/>
          <w:color w:val="000000"/>
          <w:sz w:val="22"/>
          <w:lang w:val="es-ES_tradnl" w:eastAsia="en-GB"/>
        </w:rPr>
        <w:t xml:space="preserve"> de reportar esta información</w:t>
      </w:r>
      <w:r w:rsidRPr="00EC5ACE">
        <w:rPr>
          <w:rFonts w:ascii="Arial" w:eastAsia="Calibri" w:hAnsi="Arial" w:cs="Arial"/>
          <w:color w:val="000000"/>
          <w:sz w:val="22"/>
          <w:lang w:val="es-ES_tradnl" w:eastAsia="en-GB"/>
        </w:rPr>
        <w:t xml:space="preserve"> recae en</w:t>
      </w:r>
      <w:r>
        <w:rPr>
          <w:rFonts w:ascii="Arial" w:eastAsia="Calibri" w:hAnsi="Arial" w:cs="Arial"/>
          <w:color w:val="000000"/>
          <w:sz w:val="22"/>
          <w:lang w:val="es-ES_tradnl" w:eastAsia="en-GB"/>
        </w:rPr>
        <w:t xml:space="preserve"> </w:t>
      </w:r>
      <w:r w:rsidRPr="00F51ED2">
        <w:rPr>
          <w:rFonts w:ascii="Arial" w:eastAsia="Calibri" w:hAnsi="Arial" w:cs="Arial"/>
          <w:color w:val="000000"/>
          <w:sz w:val="22"/>
          <w:lang w:eastAsia="en-GB"/>
        </w:rPr>
        <w:t>los ministros, gerentes, presidentes, directores, superintendentes, gobernadores, alcaldes, y demás representantes legales de entidades estatales, en cualquiera de sus esferas nacionales o territoriales, y los demás ordenadores del gasto de quien dependa la toma de decisiones sobre la materia</w:t>
      </w:r>
      <w:r>
        <w:rPr>
          <w:rFonts w:ascii="Arial" w:eastAsia="Calibri" w:hAnsi="Arial" w:cs="Arial"/>
          <w:color w:val="000000"/>
          <w:sz w:val="22"/>
          <w:lang w:val="es-ES_tradnl" w:eastAsia="en-GB"/>
        </w:rPr>
        <w:t xml:space="preserve"> y su incumplimiento genera las sanciones respectivas conforme a la normativa vigente</w:t>
      </w:r>
      <w:r>
        <w:rPr>
          <w:rStyle w:val="Refdenotaalpie"/>
          <w:rFonts w:ascii="Arial" w:eastAsia="Calibri" w:hAnsi="Arial" w:cs="Arial"/>
          <w:color w:val="000000"/>
          <w:sz w:val="22"/>
          <w:lang w:val="es-ES_tradnl" w:eastAsia="en-GB"/>
        </w:rPr>
        <w:footnoteReference w:id="14"/>
      </w:r>
      <w:r>
        <w:rPr>
          <w:rFonts w:ascii="Arial" w:eastAsia="Calibri" w:hAnsi="Arial" w:cs="Arial"/>
          <w:color w:val="000000"/>
          <w:sz w:val="22"/>
          <w:lang w:val="es-ES_tradnl" w:eastAsia="en-GB"/>
        </w:rPr>
        <w:t>. En todo caso, la información que consta en el Registro podrá tenerse en cuenta por los entes de control o por las entidades públicas sometidas al Estatuto General de Contratación de la Administración Pública en</w:t>
      </w:r>
      <w:r w:rsidRPr="00B31710">
        <w:rPr>
          <w:rFonts w:ascii="Arial" w:eastAsia="Calibri" w:hAnsi="Arial" w:cs="Arial"/>
          <w:color w:val="000000"/>
          <w:sz w:val="22"/>
          <w:lang w:val="es-ES_tradnl" w:eastAsia="en-GB"/>
        </w:rPr>
        <w:t xml:space="preserve"> los procesos fiscales, </w:t>
      </w:r>
      <w:r>
        <w:rPr>
          <w:rFonts w:ascii="Arial" w:eastAsia="Calibri" w:hAnsi="Arial" w:cs="Arial"/>
          <w:color w:val="000000"/>
          <w:sz w:val="22"/>
          <w:lang w:val="es-ES_tradnl" w:eastAsia="en-GB"/>
        </w:rPr>
        <w:t xml:space="preserve">disciplinarios o sancionatorios que se adelanten </w:t>
      </w:r>
      <w:proofErr w:type="gramStart"/>
      <w:r>
        <w:rPr>
          <w:rFonts w:ascii="Arial" w:eastAsia="Calibri" w:hAnsi="Arial" w:cs="Arial"/>
          <w:color w:val="000000"/>
          <w:sz w:val="22"/>
          <w:lang w:val="es-ES_tradnl" w:eastAsia="en-GB"/>
        </w:rPr>
        <w:t>en razón de</w:t>
      </w:r>
      <w:proofErr w:type="gramEnd"/>
      <w:r>
        <w:rPr>
          <w:rFonts w:ascii="Arial" w:eastAsia="Calibri" w:hAnsi="Arial" w:cs="Arial"/>
          <w:color w:val="000000"/>
          <w:sz w:val="22"/>
          <w:lang w:val="es-ES_tradnl" w:eastAsia="en-GB"/>
        </w:rPr>
        <w:t xml:space="preserve"> la obra civil inconclusa. Igualmente, e</w:t>
      </w:r>
      <w:r w:rsidRPr="00103361">
        <w:rPr>
          <w:rFonts w:ascii="Arial" w:eastAsia="Calibri" w:hAnsi="Arial" w:cs="Arial"/>
          <w:color w:val="000000"/>
          <w:sz w:val="22"/>
          <w:lang w:val="es-ES_tradnl" w:eastAsia="en-GB"/>
        </w:rPr>
        <w:t xml:space="preserve">l acto administrativo que declare el incumplimiento, caducidad y/o terminación </w:t>
      </w:r>
      <w:r>
        <w:rPr>
          <w:rFonts w:ascii="Arial" w:eastAsia="Calibri" w:hAnsi="Arial" w:cs="Arial"/>
          <w:color w:val="000000"/>
          <w:sz w:val="22"/>
          <w:lang w:val="es-ES_tradnl" w:eastAsia="en-GB"/>
        </w:rPr>
        <w:t xml:space="preserve">unilateral del contrato de obra, tendrá en cuenta en la parte motiva, la documentación que repose en el registro. </w:t>
      </w:r>
    </w:p>
    <w:p w14:paraId="572D258B" w14:textId="77777777" w:rsidR="00550420" w:rsidRPr="00F567E4"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De esta manera, debido al carácter público de la información del registro, podrá </w:t>
      </w:r>
      <w:bookmarkStart w:id="17" w:name="_Hlk85120931"/>
      <w:r>
        <w:rPr>
          <w:rFonts w:ascii="Arial" w:eastAsia="Calibri" w:hAnsi="Arial" w:cs="Arial"/>
          <w:color w:val="000000"/>
          <w:sz w:val="22"/>
          <w:lang w:val="es-ES_tradnl" w:eastAsia="en-GB"/>
        </w:rPr>
        <w:t>verificarse en el sistema dispuesto por la Contraloría General de la Nación, el motivo por el cual la obra civil quedo inconclusa, así como las situaciones de incumplimiento del contratista y en general el estado jurídico, técnico y financiero de la obra</w:t>
      </w:r>
      <w:bookmarkEnd w:id="17"/>
      <w:r>
        <w:rPr>
          <w:rFonts w:ascii="Arial" w:eastAsia="Calibri" w:hAnsi="Arial" w:cs="Arial"/>
          <w:color w:val="000000"/>
          <w:sz w:val="22"/>
          <w:lang w:val="es-ES_tradnl" w:eastAsia="en-GB"/>
        </w:rPr>
        <w:t xml:space="preserve">. Si se presenta alguna controversia respecto de la información suministrada por la entidad estatal, esta será la encargada de resolverla </w:t>
      </w:r>
      <w:r w:rsidRPr="000F2739">
        <w:rPr>
          <w:rFonts w:ascii="Arial" w:eastAsia="Calibri" w:hAnsi="Arial" w:cs="Arial"/>
          <w:color w:val="000000"/>
          <w:sz w:val="22"/>
          <w:lang w:val="es-ES_tradnl" w:eastAsia="en-GB"/>
        </w:rPr>
        <w:t xml:space="preserve">atendiendo los principios y disposiciones establecidos en la </w:t>
      </w:r>
      <w:r w:rsidRPr="00F567E4">
        <w:rPr>
          <w:rFonts w:ascii="Arial" w:eastAsia="Calibri" w:hAnsi="Arial" w:cs="Arial"/>
          <w:color w:val="000000"/>
          <w:sz w:val="22"/>
          <w:lang w:val="es-ES_tradnl" w:eastAsia="en-GB"/>
        </w:rPr>
        <w:t>normativa vigente. Conforme al artículo 12, es preciso señalar que la cancelación de la anotación de la obra en el Registro Nacional de Obras Civiles Inconclusas solo operará a solicitud de la entidad estatal una vez haya sido demolida o finalizada exitosamente.</w:t>
      </w:r>
    </w:p>
    <w:p w14:paraId="7A062CBE" w14:textId="77777777" w:rsidR="00550420" w:rsidRPr="00466861" w:rsidRDefault="00550420" w:rsidP="00550420">
      <w:pPr>
        <w:tabs>
          <w:tab w:val="left" w:pos="0"/>
        </w:tabs>
        <w:spacing w:line="276" w:lineRule="auto"/>
        <w:ind w:firstLine="709"/>
        <w:jc w:val="both"/>
        <w:rPr>
          <w:rFonts w:ascii="Arial" w:eastAsia="Calibri" w:hAnsi="Arial" w:cs="Arial"/>
          <w:color w:val="000000"/>
          <w:sz w:val="22"/>
          <w:lang w:val="es-ES_tradnl" w:eastAsia="en-GB"/>
        </w:rPr>
      </w:pPr>
    </w:p>
    <w:p w14:paraId="59EF80C3" w14:textId="0C95A109" w:rsidR="00550420" w:rsidRPr="00E23980" w:rsidRDefault="00550420" w:rsidP="00550420">
      <w:pPr>
        <w:tabs>
          <w:tab w:val="left" w:pos="0"/>
        </w:tabs>
        <w:spacing w:line="276" w:lineRule="auto"/>
        <w:jc w:val="both"/>
        <w:rPr>
          <w:rFonts w:ascii="Arial" w:eastAsia="Calibri" w:hAnsi="Arial" w:cs="Arial"/>
          <w:b/>
          <w:bCs/>
          <w:color w:val="000000"/>
          <w:sz w:val="22"/>
          <w:lang w:val="es-ES_tradnl" w:eastAsia="en-GB"/>
        </w:rPr>
      </w:pPr>
      <w:r w:rsidRPr="00E23980">
        <w:rPr>
          <w:rFonts w:ascii="Arial" w:eastAsia="Calibri" w:hAnsi="Arial" w:cs="Arial"/>
          <w:b/>
          <w:bCs/>
          <w:color w:val="000000"/>
          <w:sz w:val="22"/>
          <w:lang w:val="es-ES_tradnl" w:eastAsia="en-GB"/>
        </w:rPr>
        <w:t>2.</w:t>
      </w:r>
      <w:r w:rsidR="00FA2147">
        <w:rPr>
          <w:rFonts w:ascii="Arial" w:eastAsia="Calibri" w:hAnsi="Arial" w:cs="Arial"/>
          <w:b/>
          <w:bCs/>
          <w:color w:val="000000"/>
          <w:sz w:val="22"/>
          <w:lang w:val="es-ES_tradnl" w:eastAsia="en-GB"/>
        </w:rPr>
        <w:t>4</w:t>
      </w:r>
      <w:r w:rsidRPr="00E23980">
        <w:rPr>
          <w:rFonts w:ascii="Arial" w:eastAsia="Calibri" w:hAnsi="Arial" w:cs="Arial"/>
          <w:b/>
          <w:bCs/>
          <w:color w:val="000000"/>
          <w:sz w:val="22"/>
          <w:lang w:val="es-ES_tradnl" w:eastAsia="en-GB"/>
        </w:rPr>
        <w:t xml:space="preserve">. Deber de verificación del Registro Nacional de Obras Civiles Inconclusas en </w:t>
      </w:r>
      <w:r>
        <w:rPr>
          <w:rFonts w:ascii="Arial" w:eastAsia="Calibri" w:hAnsi="Arial" w:cs="Arial"/>
          <w:b/>
          <w:bCs/>
          <w:color w:val="000000"/>
          <w:sz w:val="22"/>
          <w:lang w:val="es-ES_tradnl" w:eastAsia="en-GB"/>
        </w:rPr>
        <w:t>la evaluación de las ofertas para la selección de contratistas de obra o interventores</w:t>
      </w:r>
    </w:p>
    <w:p w14:paraId="542BAFE6" w14:textId="77777777" w:rsidR="00550420" w:rsidRPr="00E23980" w:rsidRDefault="00550420" w:rsidP="00550420">
      <w:pPr>
        <w:tabs>
          <w:tab w:val="left" w:pos="0"/>
        </w:tabs>
        <w:spacing w:line="276" w:lineRule="auto"/>
        <w:jc w:val="both"/>
        <w:rPr>
          <w:rFonts w:ascii="Arial" w:eastAsia="Calibri" w:hAnsi="Arial" w:cs="Arial"/>
          <w:color w:val="000000"/>
          <w:sz w:val="22"/>
          <w:lang w:val="es-ES_tradnl" w:eastAsia="en-GB"/>
        </w:rPr>
      </w:pPr>
    </w:p>
    <w:p w14:paraId="2B07FC73" w14:textId="77777777" w:rsidR="00550420" w:rsidRPr="00E23980" w:rsidRDefault="00550420" w:rsidP="00550420">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w:t>
      </w:r>
      <w:r>
        <w:rPr>
          <w:rFonts w:ascii="Arial" w:eastAsia="Calibri" w:hAnsi="Arial" w:cs="Arial"/>
          <w:color w:val="000000"/>
          <w:sz w:val="22"/>
          <w:lang w:val="es-ES_tradnl" w:eastAsia="en-GB"/>
        </w:rPr>
        <w:t>las ofertas</w:t>
      </w:r>
      <w:r w:rsidRPr="00E23980">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6C6C7ED9" w14:textId="77777777" w:rsidR="00550420" w:rsidRPr="00E23980" w:rsidRDefault="00550420" w:rsidP="00550420">
      <w:pPr>
        <w:tabs>
          <w:tab w:val="left" w:pos="0"/>
        </w:tabs>
        <w:ind w:left="709" w:right="709"/>
        <w:jc w:val="both"/>
        <w:rPr>
          <w:rFonts w:ascii="Arial" w:eastAsia="Calibri" w:hAnsi="Arial" w:cs="Arial"/>
          <w:color w:val="000000"/>
          <w:sz w:val="21"/>
          <w:szCs w:val="21"/>
          <w:lang w:val="es-ES_tradnl" w:eastAsia="en-GB"/>
        </w:rPr>
      </w:pPr>
    </w:p>
    <w:p w14:paraId="194B3815" w14:textId="77777777" w:rsidR="00550420" w:rsidRPr="00E23980" w:rsidRDefault="00550420" w:rsidP="00550420">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En los procesos de contratación de obras públicas que adelanten las entidades estatales contratantes, sin importar la cuantía, deberán consultar y analizar las </w:t>
      </w:r>
      <w:r w:rsidRPr="00E23980">
        <w:rPr>
          <w:rFonts w:ascii="Arial" w:eastAsia="Calibri" w:hAnsi="Arial" w:cs="Arial"/>
          <w:color w:val="000000"/>
          <w:sz w:val="21"/>
          <w:szCs w:val="21"/>
          <w:lang w:val="es-ES_tradnl" w:eastAsia="en-GB"/>
        </w:rPr>
        <w:lastRenderedPageBreak/>
        <w:t>anotaciones vigentes que presenten las personas naturales o jurídicas, nacionales o extranjeras domiciliadas o con sucursal en Colombia, en el Registro Nacional de Obras Civiles Inconclusas.</w:t>
      </w:r>
    </w:p>
    <w:p w14:paraId="75B32ACF" w14:textId="77777777" w:rsidR="00550420" w:rsidRPr="00E23980" w:rsidRDefault="00550420" w:rsidP="00550420">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757E3557" w14:textId="77777777" w:rsidR="00550420" w:rsidRPr="00E23980" w:rsidRDefault="00550420" w:rsidP="00550420">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Cualquier controversia o solicitud que surja en relación con los reportes </w:t>
      </w:r>
      <w:r>
        <w:rPr>
          <w:rFonts w:ascii="Arial" w:eastAsia="Calibri" w:hAnsi="Arial" w:cs="Arial"/>
          <w:color w:val="000000"/>
          <w:sz w:val="21"/>
          <w:szCs w:val="21"/>
          <w:lang w:val="es-ES_tradnl" w:eastAsia="en-GB"/>
        </w:rPr>
        <w:t>de</w:t>
      </w:r>
      <w:r w:rsidRPr="00E23980">
        <w:rPr>
          <w:rFonts w:ascii="Arial" w:eastAsia="Calibri" w:hAnsi="Arial" w:cs="Arial"/>
          <w:color w:val="000000"/>
          <w:sz w:val="21"/>
          <w:szCs w:val="21"/>
          <w:lang w:val="es-ES_tradnl" w:eastAsia="en-GB"/>
        </w:rPr>
        <w:t xml:space="preserve"> información que suministre la entidad contratante, serán resueltos por esta, atendiendo los principios y disposiciones establecidos en la normatividad vigente.</w:t>
      </w:r>
    </w:p>
    <w:p w14:paraId="05D14B69" w14:textId="77777777" w:rsidR="00550420" w:rsidRPr="00E23980" w:rsidRDefault="00550420" w:rsidP="00550420">
      <w:pPr>
        <w:tabs>
          <w:tab w:val="left" w:pos="0"/>
        </w:tabs>
        <w:spacing w:line="276" w:lineRule="auto"/>
        <w:jc w:val="both"/>
        <w:rPr>
          <w:rFonts w:ascii="Arial" w:eastAsia="Calibri" w:hAnsi="Arial" w:cs="Arial"/>
          <w:color w:val="000000"/>
          <w:sz w:val="22"/>
          <w:lang w:val="es-ES_tradnl" w:eastAsia="en-GB"/>
        </w:rPr>
      </w:pPr>
    </w:p>
    <w:p w14:paraId="4946B7E9" w14:textId="77777777" w:rsidR="00550420" w:rsidRDefault="00550420" w:rsidP="00550420">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390A4B66" w14:textId="77777777" w:rsidR="00550420" w:rsidRPr="00F42155" w:rsidRDefault="00550420" w:rsidP="00550420">
      <w:pPr>
        <w:tabs>
          <w:tab w:val="left" w:pos="0"/>
        </w:tabs>
        <w:spacing w:line="276" w:lineRule="auto"/>
        <w:ind w:right="709"/>
        <w:jc w:val="both"/>
        <w:rPr>
          <w:rFonts w:ascii="Arial" w:eastAsia="Calibri" w:hAnsi="Arial" w:cs="Arial"/>
          <w:color w:val="000000"/>
          <w:sz w:val="22"/>
          <w:szCs w:val="22"/>
          <w:lang w:val="es-ES_tradnl" w:eastAsia="en-GB"/>
        </w:rPr>
      </w:pPr>
    </w:p>
    <w:p w14:paraId="5AFB5528" w14:textId="77777777" w:rsidR="00550420" w:rsidRPr="00B92751" w:rsidRDefault="00550420" w:rsidP="00550420">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6FEB5D8" w14:textId="77777777" w:rsidR="00550420" w:rsidRPr="00B92751" w:rsidRDefault="00550420" w:rsidP="00550420">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24932944" w14:textId="77777777" w:rsidR="00550420" w:rsidRPr="00B92751" w:rsidRDefault="00550420" w:rsidP="00550420">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3CA2CAAE" w14:textId="77777777" w:rsidR="00550420" w:rsidRPr="00B92751" w:rsidRDefault="00550420" w:rsidP="00550420">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4C4638CC" w14:textId="77777777" w:rsidR="00550420" w:rsidRPr="00F42155" w:rsidRDefault="00550420" w:rsidP="00550420">
      <w:pPr>
        <w:tabs>
          <w:tab w:val="left" w:pos="0"/>
        </w:tabs>
        <w:spacing w:line="276" w:lineRule="auto"/>
        <w:ind w:left="709" w:right="709"/>
        <w:jc w:val="both"/>
        <w:rPr>
          <w:rFonts w:ascii="Arial" w:eastAsia="Calibri" w:hAnsi="Arial" w:cs="Arial"/>
          <w:color w:val="000000"/>
          <w:sz w:val="22"/>
          <w:szCs w:val="22"/>
          <w:lang w:val="es-ES_tradnl" w:eastAsia="en-GB"/>
        </w:rPr>
      </w:pPr>
    </w:p>
    <w:p w14:paraId="3CFDBDCE" w14:textId="77777777" w:rsidR="00550420" w:rsidRDefault="00550420" w:rsidP="00550420">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w:t>
      </w:r>
      <w:r>
        <w:rPr>
          <w:rFonts w:ascii="Arial" w:eastAsia="Calibri" w:hAnsi="Arial" w:cs="Arial"/>
          <w:color w:val="000000"/>
          <w:sz w:val="22"/>
          <w:lang w:val="es-ES_tradnl" w:eastAsia="en-GB"/>
        </w:rPr>
        <w:lastRenderedPageBreak/>
        <w:t xml:space="preserve">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En los procesos de selección en los que se tenga en cuenta los factores técnicos y económicos, la oferta más ventajosa será la que resulte de aplicar alguna de las siguientes alternativas</w:t>
      </w:r>
      <w:r>
        <w:rPr>
          <w:rFonts w:ascii="Arial" w:eastAsia="Calibri" w:hAnsi="Arial" w:cs="Arial"/>
          <w:color w:val="000000"/>
          <w:sz w:val="22"/>
          <w:lang w:val="es-ES_tradnl" w:eastAsia="en-GB"/>
        </w:rPr>
        <w:t>»; y, a renglón seguido, dentro de las «alternativas», el legislador incorpora la 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6D675D8D" w14:textId="77777777" w:rsidR="00550420" w:rsidRDefault="00550420" w:rsidP="00550420">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317CE2A2" w14:textId="77777777" w:rsidR="00550420" w:rsidRDefault="00550420" w:rsidP="00550420">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señaló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15"/>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16"/>
      </w:r>
      <w:r>
        <w:rPr>
          <w:rFonts w:ascii="Arial" w:hAnsi="Arial" w:cs="Arial"/>
          <w:color w:val="000000" w:themeColor="text1"/>
          <w:sz w:val="22"/>
        </w:rPr>
        <w:t>.</w:t>
      </w:r>
    </w:p>
    <w:p w14:paraId="1F0F36CC" w14:textId="77777777" w:rsidR="00550420" w:rsidRDefault="00550420" w:rsidP="00550420">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Esta discrecionalidad también se encuentra presente al momento de elaborar el pliego de condiciones y específicamente, al definir los criterios de calificación con puntos. Entre estos criterios se encuentran los elementos de calidad y precio indicados en el </w:t>
      </w:r>
      <w:r>
        <w:rPr>
          <w:rFonts w:ascii="Arial" w:hAnsi="Arial" w:cs="Arial"/>
          <w:color w:val="000000" w:themeColor="text1"/>
          <w:sz w:val="22"/>
        </w:rPr>
        <w:lastRenderedPageBreak/>
        <w:t xml:space="preserve">artículo 5, numeral 2, literal a), de la Ley 1150 de 2007. Por ello la Sección Tercera del Consejo de Estado considera que: </w:t>
      </w:r>
    </w:p>
    <w:p w14:paraId="25B5F0B3" w14:textId="77777777" w:rsidR="00550420" w:rsidRPr="0081325C" w:rsidRDefault="00550420" w:rsidP="00550420">
      <w:pPr>
        <w:tabs>
          <w:tab w:val="left" w:pos="0"/>
        </w:tabs>
        <w:spacing w:line="276" w:lineRule="auto"/>
        <w:ind w:left="709" w:right="709"/>
        <w:jc w:val="both"/>
        <w:rPr>
          <w:rFonts w:ascii="Arial" w:eastAsia="Calibri" w:hAnsi="Arial" w:cs="Arial"/>
          <w:color w:val="000000"/>
          <w:sz w:val="22"/>
          <w:szCs w:val="22"/>
          <w:lang w:val="es-ES_tradnl" w:eastAsia="en-GB"/>
        </w:rPr>
      </w:pPr>
    </w:p>
    <w:p w14:paraId="4FDFCC88" w14:textId="77777777" w:rsidR="00550420" w:rsidRPr="00DB02D7" w:rsidRDefault="00550420" w:rsidP="00550420">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t>Bajo esta premisa debe entenderse el deber de selección objetiva consagrado en el artículo 5 de la Ley 1150 de 2007, disposición que otorga discrecionalidad a las diversas entidades estatales para que establezcan en los pliegos de 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17"/>
      </w:r>
      <w:r w:rsidRPr="00A63DF7">
        <w:rPr>
          <w:rFonts w:ascii="Arial" w:eastAsia="Calibri" w:hAnsi="Arial" w:cs="Arial"/>
          <w:color w:val="000000"/>
          <w:sz w:val="21"/>
          <w:szCs w:val="21"/>
          <w:lang w:val="es-ES_tradnl" w:eastAsia="en-GB"/>
        </w:rPr>
        <w:t>.</w:t>
      </w:r>
    </w:p>
    <w:p w14:paraId="57B65E83" w14:textId="77777777" w:rsidR="00550420" w:rsidRDefault="00550420" w:rsidP="00550420">
      <w:pPr>
        <w:tabs>
          <w:tab w:val="left" w:pos="0"/>
        </w:tabs>
        <w:spacing w:line="276" w:lineRule="auto"/>
        <w:ind w:firstLine="709"/>
        <w:jc w:val="both"/>
        <w:rPr>
          <w:rFonts w:ascii="Arial" w:hAnsi="Arial" w:cs="Arial"/>
          <w:color w:val="000000" w:themeColor="text1"/>
          <w:sz w:val="22"/>
        </w:rPr>
      </w:pPr>
    </w:p>
    <w:p w14:paraId="0A54B104" w14:textId="77777777" w:rsidR="00550420" w:rsidRDefault="00550420" w:rsidP="00550420">
      <w:pPr>
        <w:spacing w:line="276" w:lineRule="auto"/>
        <w:ind w:firstLine="709"/>
        <w:jc w:val="both"/>
        <w:rPr>
          <w:rFonts w:ascii="Arial" w:hAnsi="Arial" w:cs="Arial"/>
          <w:color w:val="000000" w:themeColor="text1"/>
          <w:sz w:val="22"/>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w:t>
      </w:r>
      <w:r w:rsidRPr="00F42155">
        <w:rPr>
          <w:rFonts w:ascii="Arial" w:hAnsi="Arial" w:cs="Arial"/>
          <w:color w:val="000000" w:themeColor="text1"/>
          <w:sz w:val="22"/>
          <w:vertAlign w:val="superscript"/>
        </w:rPr>
        <w:t>o</w:t>
      </w:r>
      <w:r w:rsidRPr="00DB3165">
        <w:rPr>
          <w:rFonts w:ascii="Arial" w:hAnsi="Arial" w:cs="Arial"/>
          <w:color w:val="000000" w:themeColor="text1"/>
          <w:sz w:val="22"/>
        </w:rPr>
        <w:t xml:space="preserve"> de la Ley 1150 de 2007 o la norma que la modifique</w:t>
      </w:r>
      <w:r>
        <w:rPr>
          <w:rFonts w:ascii="Arial" w:hAnsi="Arial" w:cs="Arial"/>
          <w:color w:val="000000" w:themeColor="text1"/>
          <w:sz w:val="22"/>
        </w:rPr>
        <w:t xml:space="preserve">», significa que al aplicar dichos criterios de calificación con puntos dentro del procedimiento contractual, las entidades estatales deben servirse de la información contenida en el Registro y de las actualizaciones de dicha información que se reporten por parte de la Contraloría General de la República y de las entidades estatales, conforme lo establece el artículo 3 de la Ley 2020 de 2020. </w:t>
      </w:r>
      <w:r>
        <w:rPr>
          <w:rFonts w:ascii="Arial" w:eastAsiaTheme="minorHAnsi" w:hAnsi="Arial" w:cs="Arial"/>
          <w:sz w:val="22"/>
          <w:szCs w:val="22"/>
          <w:lang w:val="es-MX" w:eastAsia="en-US"/>
        </w:rPr>
        <w:t>En este contexto, las entidades deberán examinar la particularidad de la anotación y determinar si ésta afectará la ponderación al momento de realizar la respectiva evaluación.</w:t>
      </w:r>
    </w:p>
    <w:p w14:paraId="6E17AFBB" w14:textId="77777777" w:rsidR="00550420" w:rsidRDefault="00550420" w:rsidP="00550420">
      <w:pPr>
        <w:spacing w:before="120" w:line="276" w:lineRule="auto"/>
        <w:ind w:firstLine="709"/>
        <w:jc w:val="both"/>
        <w:rPr>
          <w:rFonts w:ascii="Arial" w:hAnsi="Arial" w:cs="Arial"/>
          <w:color w:val="000000" w:themeColor="text1"/>
          <w:sz w:val="22"/>
          <w:lang w:val="es-MX"/>
        </w:rPr>
      </w:pPr>
      <w:r>
        <w:rPr>
          <w:rFonts w:ascii="Arial" w:hAnsi="Arial" w:cs="Arial"/>
          <w:color w:val="000000" w:themeColor="text1"/>
          <w:sz w:val="22"/>
        </w:rPr>
        <w:t xml:space="preserve">De esta manera, como las entidades estatales cuentan con discrecionalidad para determinar los criterios de calificación, </w:t>
      </w:r>
      <w:r w:rsidRPr="003B28F8">
        <w:rPr>
          <w:rFonts w:ascii="Arial" w:hAnsi="Arial" w:cs="Arial"/>
          <w:color w:val="000000" w:themeColor="text1"/>
          <w:sz w:val="22"/>
        </w:rPr>
        <w:t>corresponde a estas definir</w:t>
      </w:r>
      <w:r>
        <w:rPr>
          <w:rFonts w:ascii="Arial" w:hAnsi="Arial" w:cs="Arial"/>
          <w:color w:val="000000" w:themeColor="text1"/>
          <w:sz w:val="22"/>
        </w:rPr>
        <w:t>, en los pliegos de condiciones, los factores de asignación de puntaje y</w:t>
      </w:r>
      <w:r w:rsidRPr="003B28F8">
        <w:rPr>
          <w:rFonts w:ascii="Arial" w:hAnsi="Arial" w:cs="Arial"/>
          <w:color w:val="000000" w:themeColor="text1"/>
          <w:sz w:val="22"/>
          <w:lang w:val="es-ES_tradnl"/>
        </w:rPr>
        <w:t xml:space="preserve"> la forma en que se realizará la valoración de las anotaciones vigentes en el Registro Nacional de Obras Civiles Inconclusas al momento de </w:t>
      </w:r>
      <w:r>
        <w:rPr>
          <w:rFonts w:ascii="Arial" w:hAnsi="Arial" w:cs="Arial"/>
          <w:color w:val="000000" w:themeColor="text1"/>
          <w:sz w:val="22"/>
          <w:lang w:val="es-ES_tradnl"/>
        </w:rPr>
        <w:t>evaluar las ofertas</w:t>
      </w:r>
      <w:r w:rsidRPr="003B28F8">
        <w:rPr>
          <w:rFonts w:ascii="Arial" w:hAnsi="Arial" w:cs="Arial"/>
          <w:color w:val="000000" w:themeColor="text1"/>
          <w:sz w:val="22"/>
          <w:lang w:val="es-ES_tradnl"/>
        </w:rPr>
        <w:t xml:space="preserve">, conforme a los parámetros del artículo 6 de la </w:t>
      </w:r>
      <w:r>
        <w:rPr>
          <w:rFonts w:ascii="Arial" w:hAnsi="Arial" w:cs="Arial"/>
          <w:color w:val="000000" w:themeColor="text1"/>
          <w:sz w:val="22"/>
          <w:lang w:val="es-ES_tradnl"/>
        </w:rPr>
        <w:t>L</w:t>
      </w:r>
      <w:r w:rsidRPr="003B28F8">
        <w:rPr>
          <w:rFonts w:ascii="Arial" w:hAnsi="Arial" w:cs="Arial"/>
          <w:color w:val="000000" w:themeColor="text1"/>
          <w:sz w:val="22"/>
          <w:lang w:val="es-ES_tradnl"/>
        </w:rPr>
        <w:t>ey 2020 de 2020</w:t>
      </w:r>
      <w:r w:rsidRPr="003B28F8">
        <w:rPr>
          <w:rFonts w:ascii="Arial" w:hAnsi="Arial" w:cs="Arial"/>
          <w:color w:val="000000" w:themeColor="text1"/>
          <w:sz w:val="22"/>
        </w:rPr>
        <w:t xml:space="preserve">. </w:t>
      </w:r>
      <w:r w:rsidRPr="000C76A6">
        <w:rPr>
          <w:rFonts w:ascii="Arial" w:hAnsi="Arial" w:cs="Arial"/>
          <w:color w:val="000000" w:themeColor="text1"/>
          <w:sz w:val="22"/>
        </w:rPr>
        <w:t>Lo anterior, teniendo en cuenta</w:t>
      </w:r>
      <w:r>
        <w:rPr>
          <w:rFonts w:ascii="Arial" w:hAnsi="Arial" w:cs="Arial"/>
          <w:color w:val="000000" w:themeColor="text1"/>
          <w:sz w:val="22"/>
        </w:rPr>
        <w:t xml:space="preserve">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sidRPr="00CE5AAD">
        <w:rPr>
          <w:rFonts w:ascii="Arial" w:hAnsi="Arial" w:cs="Arial"/>
          <w:color w:val="000000" w:themeColor="text1"/>
          <w:sz w:val="22"/>
          <w:lang w:val="es-MX"/>
        </w:rPr>
        <w:t xml:space="preserve">. </w:t>
      </w:r>
    </w:p>
    <w:p w14:paraId="1DBD8B80" w14:textId="77777777" w:rsidR="00550420" w:rsidRDefault="00550420" w:rsidP="00550420">
      <w:pPr>
        <w:spacing w:before="120" w:line="276" w:lineRule="auto"/>
        <w:ind w:firstLine="709"/>
        <w:jc w:val="both"/>
        <w:rPr>
          <w:rFonts w:ascii="Arial" w:eastAsia="Calibri" w:hAnsi="Arial" w:cs="Arial"/>
          <w:color w:val="000000"/>
          <w:sz w:val="22"/>
          <w:lang w:val="es-ES_tradnl" w:eastAsia="en-GB"/>
        </w:rPr>
      </w:pPr>
      <w:r w:rsidRPr="00655D4C">
        <w:rPr>
          <w:rFonts w:ascii="Arial" w:hAnsi="Arial" w:cs="Arial"/>
          <w:color w:val="000000" w:themeColor="text1"/>
          <w:sz w:val="22"/>
        </w:rPr>
        <w:t>Sin embargo,</w:t>
      </w:r>
      <w:r>
        <w:rPr>
          <w:rFonts w:ascii="Arial" w:hAnsi="Arial" w:cs="Arial"/>
          <w:color w:val="000000" w:themeColor="text1"/>
          <w:sz w:val="22"/>
        </w:rPr>
        <w:t xml:space="preserve"> debe precisarse que</w:t>
      </w:r>
      <w:r w:rsidRPr="00655D4C">
        <w:rPr>
          <w:rFonts w:ascii="Arial" w:hAnsi="Arial" w:cs="Arial"/>
          <w:color w:val="000000" w:themeColor="text1"/>
          <w:sz w:val="22"/>
        </w:rPr>
        <w:t xml:space="preserve"> </w:t>
      </w:r>
      <w:r>
        <w:rPr>
          <w:rFonts w:ascii="Arial" w:hAnsi="Arial" w:cs="Arial"/>
          <w:color w:val="000000" w:themeColor="text1"/>
          <w:sz w:val="22"/>
        </w:rPr>
        <w:t>l</w:t>
      </w:r>
      <w:r>
        <w:rPr>
          <w:rFonts w:ascii="Arial" w:eastAsia="Calibri" w:hAnsi="Arial" w:cs="Arial"/>
          <w:color w:val="000000"/>
          <w:sz w:val="22"/>
          <w:lang w:val="es-ES_tradnl" w:eastAsia="en-GB"/>
        </w:rPr>
        <w:t>a sola inclusión en el Registro Nacional de Obras Civiles Inconclusas no puede entenderse suficiente para</w:t>
      </w:r>
      <w:r w:rsidRPr="00655D4C">
        <w:rPr>
          <w:rFonts w:ascii="Arial" w:hAnsi="Arial" w:cs="Arial"/>
          <w:color w:val="000000" w:themeColor="text1"/>
          <w:sz w:val="22"/>
        </w:rPr>
        <w:t xml:space="preserve"> afectar la ponderación del factor de calidad del </w:t>
      </w:r>
      <w:r>
        <w:rPr>
          <w:rFonts w:ascii="Arial" w:hAnsi="Arial" w:cs="Arial"/>
          <w:color w:val="000000" w:themeColor="text1"/>
          <w:sz w:val="22"/>
        </w:rPr>
        <w:t>proponente,</w:t>
      </w:r>
      <w:r w:rsidRPr="00AA7878">
        <w:rPr>
          <w:rFonts w:ascii="Arial" w:hAnsi="Arial" w:cs="Arial"/>
          <w:color w:val="000000" w:themeColor="text1"/>
          <w:sz w:val="22"/>
        </w:rPr>
        <w:t xml:space="preserve"> </w:t>
      </w:r>
      <w:r w:rsidRPr="00655D4C">
        <w:rPr>
          <w:rFonts w:ascii="Arial" w:hAnsi="Arial" w:cs="Arial"/>
          <w:color w:val="000000" w:themeColor="text1"/>
          <w:sz w:val="22"/>
        </w:rPr>
        <w:t>puesto que la norma establece el deber de la entidad de realizar la consulta y el análisis de la anotación</w:t>
      </w:r>
      <w:r>
        <w:rPr>
          <w:rFonts w:ascii="Arial" w:hAnsi="Arial" w:cs="Arial"/>
          <w:color w:val="000000" w:themeColor="text1"/>
          <w:sz w:val="22"/>
        </w:rPr>
        <w:t xml:space="preserve">. </w:t>
      </w:r>
      <w:r>
        <w:rPr>
          <w:rFonts w:ascii="Arial" w:eastAsia="Calibri" w:hAnsi="Arial" w:cs="Arial"/>
          <w:color w:val="000000"/>
          <w:sz w:val="22"/>
          <w:lang w:val="es-ES_tradnl" w:eastAsia="en-GB"/>
        </w:rPr>
        <w:t xml:space="preserve">Además, como se expuso, el Registro Nacional de Nacional de Obras Civiles Inconclusas es un sistema </w:t>
      </w:r>
      <w:r w:rsidRPr="00C71AFB">
        <w:rPr>
          <w:rFonts w:ascii="Arial" w:eastAsia="Calibri" w:hAnsi="Arial" w:cs="Arial"/>
          <w:color w:val="000000"/>
          <w:sz w:val="22"/>
          <w:lang w:eastAsia="en-GB"/>
        </w:rPr>
        <w:t>que contiene los datos sobre obras inconclusas en todo el territorio nacional</w:t>
      </w:r>
      <w:r>
        <w:rPr>
          <w:rFonts w:ascii="Arial" w:eastAsia="Calibri" w:hAnsi="Arial" w:cs="Arial"/>
          <w:color w:val="000000"/>
          <w:sz w:val="22"/>
          <w:lang w:eastAsia="en-GB"/>
        </w:rPr>
        <w:t>, c</w:t>
      </w:r>
      <w:r w:rsidRPr="00C71AFB">
        <w:rPr>
          <w:rFonts w:ascii="Arial" w:eastAsia="Calibri" w:hAnsi="Arial" w:cs="Arial"/>
          <w:color w:val="000000"/>
          <w:sz w:val="22"/>
          <w:lang w:eastAsia="en-GB"/>
        </w:rPr>
        <w:t xml:space="preserve">ompuesto por la información reportada por las entidades estatales o la información obtenida por la Contraloría General </w:t>
      </w:r>
      <w:r w:rsidRPr="00C71AFB">
        <w:rPr>
          <w:rFonts w:ascii="Arial" w:eastAsia="Calibri" w:hAnsi="Arial" w:cs="Arial"/>
          <w:color w:val="000000"/>
          <w:sz w:val="22"/>
          <w:lang w:eastAsia="en-GB"/>
        </w:rPr>
        <w:lastRenderedPageBreak/>
        <w:t>de la República</w:t>
      </w:r>
      <w:r>
        <w:rPr>
          <w:rFonts w:ascii="Arial" w:eastAsia="Calibri" w:hAnsi="Arial" w:cs="Arial"/>
          <w:color w:val="000000"/>
          <w:sz w:val="22"/>
          <w:lang w:eastAsia="en-GB"/>
        </w:rPr>
        <w:t xml:space="preserve">. </w:t>
      </w:r>
      <w:r>
        <w:rPr>
          <w:rFonts w:ascii="Arial" w:eastAsia="Calibri" w:hAnsi="Arial" w:cs="Arial"/>
          <w:color w:val="000000"/>
          <w:sz w:val="22"/>
          <w:lang w:val="es-ES_tradnl" w:eastAsia="en-GB"/>
        </w:rPr>
        <w:t>Esto significa que el Registro contiene toda la información necesaria que permita verificar el estado real de dicha obra</w:t>
      </w:r>
      <w:r w:rsidRPr="00F60CFA">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entre ellos, </w:t>
      </w:r>
      <w:r w:rsidRPr="00F60CFA">
        <w:rPr>
          <w:rFonts w:ascii="Arial" w:eastAsia="Calibri" w:hAnsi="Arial" w:cs="Arial"/>
          <w:color w:val="000000"/>
          <w:sz w:val="22"/>
          <w:lang w:val="es-ES_tradnl" w:eastAsia="en-GB"/>
        </w:rPr>
        <w:t>datos sobre la identificación del contratista, consultores, interventores y demás personas naturales y/o jurídicas que intervinieron en la planeación y ejecución del proyecto</w:t>
      </w:r>
      <w:r>
        <w:rPr>
          <w:rFonts w:ascii="Arial" w:eastAsia="Calibri" w:hAnsi="Arial" w:cs="Arial"/>
          <w:color w:val="000000"/>
          <w:sz w:val="22"/>
          <w:lang w:val="es-ES_tradnl" w:eastAsia="en-GB"/>
        </w:rPr>
        <w:t xml:space="preserve">, entre otros. En este sentido, no puede entenderse que la sola inclusión de dicha información tenga incidencia automática </w:t>
      </w:r>
      <w:r w:rsidRPr="00D65451">
        <w:rPr>
          <w:rFonts w:ascii="Arial" w:eastAsia="Calibri" w:hAnsi="Arial" w:cs="Arial"/>
          <w:color w:val="000000"/>
          <w:sz w:val="22"/>
          <w:szCs w:val="22"/>
          <w:lang w:val="es-ES_tradnl" w:eastAsia="en-GB"/>
        </w:rPr>
        <w:t>al momento de evaluar los factores de ponderación</w:t>
      </w:r>
      <w:r>
        <w:rPr>
          <w:rFonts w:ascii="Arial" w:eastAsia="Calibri" w:hAnsi="Arial" w:cs="Arial"/>
          <w:color w:val="000000"/>
          <w:sz w:val="22"/>
          <w:szCs w:val="22"/>
          <w:lang w:val="es-ES_tradnl" w:eastAsia="en-GB"/>
        </w:rPr>
        <w:t>. Por ello, el artículo 6 dispuso expresamente que las entidades estatales contratantes</w:t>
      </w:r>
      <w:r w:rsidRPr="00A97430">
        <w:rPr>
          <w:rFonts w:ascii="Arial" w:eastAsia="Calibri" w:hAnsi="Arial" w:cs="Arial"/>
          <w:color w:val="000000"/>
          <w:sz w:val="22"/>
          <w:szCs w:val="22"/>
          <w:lang w:val="es-ES_tradnl" w:eastAsia="en-GB"/>
        </w:rPr>
        <w:t xml:space="preserve"> </w:t>
      </w:r>
      <w:r w:rsidRPr="00A97430">
        <w:rPr>
          <w:rFonts w:ascii="Arial" w:hAnsi="Arial" w:cs="Arial"/>
          <w:color w:val="000000" w:themeColor="text1"/>
          <w:sz w:val="22"/>
          <w:szCs w:val="22"/>
        </w:rPr>
        <w:t>«</w:t>
      </w:r>
      <w:r w:rsidRPr="00A97430">
        <w:rPr>
          <w:rFonts w:ascii="Arial" w:eastAsia="Calibri" w:hAnsi="Arial" w:cs="Arial"/>
          <w:color w:val="000000"/>
          <w:sz w:val="22"/>
          <w:szCs w:val="22"/>
          <w:lang w:val="es-ES_tradnl" w:eastAsia="en-GB"/>
        </w:rPr>
        <w:t>deberán consultar y analizar las anotaciones vigentes que presenten las personas naturales o jurídicas, nacionales o extranjeras domiciliadas o con sucursal en Colombia, en el Registro Nacional de Obras Civiles Inconclusas</w:t>
      </w:r>
      <w:r w:rsidRPr="00A97430">
        <w:rPr>
          <w:rFonts w:ascii="Arial" w:hAnsi="Arial" w:cs="Arial"/>
          <w:color w:val="000000" w:themeColor="text1"/>
          <w:sz w:val="22"/>
          <w:szCs w:val="22"/>
        </w:rPr>
        <w:t>»</w:t>
      </w:r>
      <w:r w:rsidRPr="00A97430">
        <w:rPr>
          <w:rFonts w:ascii="Arial" w:eastAsia="Calibri" w:hAnsi="Arial" w:cs="Arial"/>
          <w:color w:val="000000"/>
          <w:sz w:val="22"/>
          <w:szCs w:val="22"/>
          <w:lang w:val="es-ES_tradnl" w:eastAsia="en-GB"/>
        </w:rPr>
        <w:t>.</w:t>
      </w:r>
    </w:p>
    <w:p w14:paraId="5C13A25E" w14:textId="56F69DEB" w:rsidR="004852FC" w:rsidRDefault="00550420" w:rsidP="00550420">
      <w:pPr>
        <w:spacing w:before="120" w:line="276" w:lineRule="auto"/>
        <w:ind w:firstLine="709"/>
        <w:jc w:val="both"/>
        <w:rPr>
          <w:rFonts w:ascii="Arial" w:eastAsia="Calibri" w:hAnsi="Arial" w:cs="Arial"/>
          <w:color w:val="000000"/>
          <w:sz w:val="22"/>
          <w:szCs w:val="22"/>
          <w:lang w:val="es-ES_tradnl" w:eastAsia="en-GB"/>
        </w:rPr>
      </w:pPr>
      <w:r>
        <w:rPr>
          <w:rFonts w:ascii="Arial" w:hAnsi="Arial" w:cs="Arial"/>
          <w:color w:val="000000" w:themeColor="text1"/>
          <w:sz w:val="22"/>
        </w:rPr>
        <w:t xml:space="preserve">Así las cosas, </w:t>
      </w:r>
      <w:r w:rsidRPr="00655D4C">
        <w:rPr>
          <w:rFonts w:ascii="Arial" w:hAnsi="Arial" w:cs="Arial"/>
          <w:color w:val="000000" w:themeColor="text1"/>
          <w:sz w:val="22"/>
        </w:rPr>
        <w:t xml:space="preserve">no siempre que el </w:t>
      </w:r>
      <w:r>
        <w:rPr>
          <w:rFonts w:ascii="Arial" w:hAnsi="Arial" w:cs="Arial"/>
          <w:color w:val="000000" w:themeColor="text1"/>
          <w:sz w:val="22"/>
        </w:rPr>
        <w:t xml:space="preserve">contratista de obra o interventor </w:t>
      </w:r>
      <w:r w:rsidRPr="00655D4C">
        <w:rPr>
          <w:rFonts w:ascii="Arial" w:hAnsi="Arial" w:cs="Arial"/>
          <w:color w:val="000000" w:themeColor="text1"/>
          <w:sz w:val="22"/>
        </w:rPr>
        <w:t xml:space="preserve">se encuentre </w:t>
      </w:r>
      <w:r w:rsidRPr="00CF6AC0">
        <w:rPr>
          <w:rFonts w:ascii="Arial" w:hAnsi="Arial" w:cs="Arial"/>
          <w:color w:val="000000" w:themeColor="text1"/>
          <w:sz w:val="22"/>
        </w:rPr>
        <w:t xml:space="preserve">incluido en dicho Registro generará </w:t>
      </w:r>
      <w:r>
        <w:rPr>
          <w:rFonts w:ascii="Arial" w:hAnsi="Arial" w:cs="Arial"/>
          <w:color w:val="000000" w:themeColor="text1"/>
          <w:sz w:val="22"/>
        </w:rPr>
        <w:t xml:space="preserve">automáticamente una consecuencia </w:t>
      </w:r>
      <w:r w:rsidRPr="00CF6AC0">
        <w:rPr>
          <w:rFonts w:ascii="Arial" w:hAnsi="Arial" w:cs="Arial"/>
          <w:color w:val="000000" w:themeColor="text1"/>
          <w:sz w:val="22"/>
        </w:rPr>
        <w:t>en la ponderación de</w:t>
      </w:r>
      <w:r>
        <w:rPr>
          <w:rFonts w:ascii="Arial" w:hAnsi="Arial" w:cs="Arial"/>
          <w:color w:val="000000" w:themeColor="text1"/>
          <w:sz w:val="22"/>
        </w:rPr>
        <w:t xml:space="preserve"> los criterios de evaluación</w:t>
      </w:r>
      <w:r w:rsidRPr="00CF6AC0">
        <w:rPr>
          <w:rFonts w:ascii="Arial" w:hAnsi="Arial" w:cs="Arial"/>
          <w:color w:val="000000" w:themeColor="text1"/>
          <w:sz w:val="22"/>
        </w:rPr>
        <w:t xml:space="preserve">, pues la entidad tiene el deber de </w:t>
      </w:r>
      <w:r w:rsidRPr="00CF6AC0">
        <w:rPr>
          <w:rFonts w:ascii="Arial" w:eastAsia="Calibri" w:hAnsi="Arial" w:cs="Arial"/>
          <w:color w:val="000000"/>
          <w:sz w:val="22"/>
          <w:szCs w:val="22"/>
          <w:lang w:val="es-ES_tradnl" w:eastAsia="en-GB"/>
        </w:rPr>
        <w:t>consultar y analizar las anotaciones vigentes. En todo caso, si se present</w:t>
      </w:r>
      <w:r>
        <w:rPr>
          <w:rFonts w:ascii="Arial" w:eastAsia="Calibri" w:hAnsi="Arial" w:cs="Arial"/>
          <w:color w:val="000000"/>
          <w:sz w:val="22"/>
          <w:szCs w:val="22"/>
          <w:lang w:val="es-ES_tradnl" w:eastAsia="en-GB"/>
        </w:rPr>
        <w:t>a</w:t>
      </w:r>
      <w:r w:rsidRPr="00CF6AC0">
        <w:rPr>
          <w:rFonts w:ascii="Arial" w:eastAsia="Calibri" w:hAnsi="Arial" w:cs="Arial"/>
          <w:color w:val="000000"/>
          <w:sz w:val="22"/>
          <w:szCs w:val="22"/>
          <w:lang w:val="es-ES_tradnl" w:eastAsia="en-GB"/>
        </w:rPr>
        <w:t xml:space="preserve"> alguna discrepancia en relación con la información reportada en el Registro por la entidad contratante, el artículo 6 dispuso que tal controversia o solicitud será resuelta por la entidad contratante que suministró dicha información. En consecuencia, el contratista deberá manifestar su inconformidad directamente ante la entidad contratante que realizó la anotación, la cual deberá atenderla teniendo en cuenta los principios y disposiciones establecidas en la normatividad vigente.</w:t>
      </w:r>
    </w:p>
    <w:p w14:paraId="32B62848" w14:textId="052FC75F" w:rsidR="00FA2FC8" w:rsidRDefault="00FA2FC8" w:rsidP="00C94E12">
      <w:pPr>
        <w:spacing w:line="276" w:lineRule="auto"/>
        <w:jc w:val="both"/>
        <w:rPr>
          <w:rFonts w:ascii="Arial" w:eastAsia="Calibri" w:hAnsi="Arial" w:cs="Arial"/>
          <w:color w:val="000000"/>
          <w:sz w:val="22"/>
          <w:szCs w:val="22"/>
          <w:lang w:val="es-ES_tradnl" w:eastAsia="en-GB"/>
        </w:rPr>
      </w:pPr>
    </w:p>
    <w:p w14:paraId="3205696B" w14:textId="59F7E5F0" w:rsidR="00C94E12" w:rsidRDefault="00C94E12" w:rsidP="00C94E12">
      <w:pPr>
        <w:spacing w:line="276" w:lineRule="auto"/>
        <w:jc w:val="both"/>
        <w:rPr>
          <w:rFonts w:ascii="Arial" w:hAnsi="Arial" w:cs="Arial"/>
          <w:b/>
          <w:color w:val="000000" w:themeColor="text1"/>
          <w:sz w:val="22"/>
        </w:rPr>
      </w:pPr>
      <w:r>
        <w:rPr>
          <w:rFonts w:ascii="Arial" w:hAnsi="Arial" w:cs="Arial"/>
          <w:b/>
          <w:color w:val="000000" w:themeColor="text1"/>
          <w:sz w:val="22"/>
        </w:rPr>
        <w:t>2.5</w:t>
      </w:r>
      <w:r w:rsidRPr="00E11CF0">
        <w:rPr>
          <w:rFonts w:ascii="Arial" w:hAnsi="Arial" w:cs="Arial"/>
          <w:b/>
          <w:color w:val="000000" w:themeColor="text1"/>
          <w:sz w:val="22"/>
        </w:rPr>
        <w:t>.</w:t>
      </w:r>
      <w:r>
        <w:rPr>
          <w:rFonts w:ascii="Arial" w:hAnsi="Arial" w:cs="Arial"/>
          <w:b/>
          <w:color w:val="000000" w:themeColor="text1"/>
          <w:sz w:val="22"/>
        </w:rPr>
        <w:t xml:space="preserve"> Análisis de las anotaciones del Registro Nacional de Obras Civiles Inconclusas en los documentos tipo </w:t>
      </w:r>
    </w:p>
    <w:p w14:paraId="14AA0371" w14:textId="77777777" w:rsidR="00C94E12" w:rsidRDefault="00C94E12" w:rsidP="00C94E12">
      <w:pPr>
        <w:spacing w:line="276" w:lineRule="auto"/>
        <w:jc w:val="both"/>
        <w:rPr>
          <w:rFonts w:ascii="Arial" w:hAnsi="Arial" w:cs="Arial"/>
          <w:b/>
          <w:color w:val="000000" w:themeColor="text1"/>
          <w:sz w:val="22"/>
        </w:rPr>
      </w:pPr>
    </w:p>
    <w:p w14:paraId="5952CA29" w14:textId="77777777" w:rsidR="00C94E12" w:rsidRPr="006F4DAF" w:rsidRDefault="00C94E12" w:rsidP="00C94E12">
      <w:pPr>
        <w:spacing w:line="276" w:lineRule="auto"/>
        <w:jc w:val="both"/>
        <w:rPr>
          <w:rFonts w:ascii="Arial" w:hAnsi="Arial" w:cs="Arial"/>
          <w:bCs/>
          <w:color w:val="000000" w:themeColor="text1"/>
          <w:sz w:val="22"/>
        </w:rPr>
      </w:pPr>
      <w:r w:rsidRPr="00890B92">
        <w:rPr>
          <w:rFonts w:ascii="Arial" w:hAnsi="Arial" w:cs="Arial"/>
          <w:bCs/>
          <w:color w:val="000000" w:themeColor="text1"/>
          <w:sz w:val="22"/>
        </w:rPr>
        <w:t>Debido</w:t>
      </w:r>
      <w:r>
        <w:rPr>
          <w:rFonts w:ascii="Arial" w:hAnsi="Arial" w:cs="Arial"/>
          <w:b/>
          <w:color w:val="000000" w:themeColor="text1"/>
          <w:sz w:val="22"/>
        </w:rPr>
        <w:t xml:space="preserve"> </w:t>
      </w:r>
      <w:r>
        <w:rPr>
          <w:rFonts w:ascii="Arial" w:hAnsi="Arial" w:cs="Arial"/>
          <w:bCs/>
          <w:color w:val="000000" w:themeColor="text1"/>
          <w:sz w:val="22"/>
        </w:rPr>
        <w:t xml:space="preserve">a que la consulta hace referencia al descuento del punto en el factor de calidad por el reporte en el Registro Nacional de Obras Civiles Inconclusas, es preciso señalar </w:t>
      </w:r>
      <w:r>
        <w:rPr>
          <w:rFonts w:ascii="Arial" w:hAnsi="Arial" w:cs="Arial"/>
          <w:color w:val="000000" w:themeColor="text1"/>
          <w:sz w:val="22"/>
        </w:rPr>
        <w:t xml:space="preserve">la forma en la que esta Agencia determinó en los documentos tipo el cumplimiento del artículo 6 de la Ley 2020 de 2020, cuya aplicación únicamente se realizará respecto de estos documentos, puesto que, como se indicó, para los proceso de selección de contratación de obra y de interventoría que no resulten obligatorios la aplicación de los documentos tipo, cada entidad estatal tiene la discrecionalidad de determinar, en los pliegos de condiciones, la forma </w:t>
      </w:r>
      <w:r w:rsidRPr="009B6801">
        <w:rPr>
          <w:rFonts w:ascii="Arial" w:hAnsi="Arial" w:cs="Arial"/>
          <w:color w:val="000000" w:themeColor="text1"/>
          <w:sz w:val="22"/>
        </w:rPr>
        <w:t xml:space="preserve">en que se realizará </w:t>
      </w:r>
      <w:r>
        <w:rPr>
          <w:rFonts w:ascii="Arial" w:hAnsi="Arial" w:cs="Arial"/>
          <w:color w:val="000000" w:themeColor="text1"/>
          <w:sz w:val="22"/>
        </w:rPr>
        <w:t>el análisis</w:t>
      </w:r>
      <w:r w:rsidRPr="009B6801">
        <w:rPr>
          <w:rFonts w:ascii="Arial" w:hAnsi="Arial" w:cs="Arial"/>
          <w:color w:val="000000" w:themeColor="text1"/>
          <w:sz w:val="22"/>
        </w:rPr>
        <w:t xml:space="preserve"> de las anotaciones vigentes en el Registro Nacional de</w:t>
      </w:r>
      <w:r>
        <w:rPr>
          <w:rFonts w:ascii="Arial" w:hAnsi="Arial" w:cs="Arial"/>
          <w:color w:val="000000" w:themeColor="text1"/>
          <w:sz w:val="22"/>
        </w:rPr>
        <w:t xml:space="preserve"> Obras Civiles Inconclusas </w:t>
      </w:r>
      <w:r w:rsidRPr="00276373">
        <w:rPr>
          <w:rFonts w:ascii="Arial" w:hAnsi="Arial" w:cs="Arial"/>
          <w:color w:val="000000" w:themeColor="text1"/>
          <w:sz w:val="22"/>
        </w:rPr>
        <w:t xml:space="preserve">al momento de ponderar los </w:t>
      </w:r>
      <w:r>
        <w:rPr>
          <w:rFonts w:ascii="Arial" w:hAnsi="Arial" w:cs="Arial"/>
          <w:color w:val="000000" w:themeColor="text1"/>
          <w:sz w:val="22"/>
        </w:rPr>
        <w:t xml:space="preserve">criterios de evaluación. </w:t>
      </w:r>
    </w:p>
    <w:p w14:paraId="58226501" w14:textId="77777777" w:rsidR="00C94E12" w:rsidRDefault="00C94E12" w:rsidP="00C94E12">
      <w:pPr>
        <w:spacing w:before="120" w:line="276" w:lineRule="auto"/>
        <w:ind w:firstLine="709"/>
        <w:jc w:val="both"/>
        <w:rPr>
          <w:rFonts w:ascii="Arial" w:hAnsi="Arial" w:cs="Arial"/>
          <w:sz w:val="22"/>
        </w:rPr>
      </w:pPr>
      <w:r>
        <w:rPr>
          <w:rFonts w:ascii="Arial" w:eastAsiaTheme="minorHAnsi" w:hAnsi="Arial" w:cs="Arial"/>
          <w:sz w:val="22"/>
          <w:szCs w:val="22"/>
          <w:lang w:val="es-MX" w:eastAsia="en-US"/>
        </w:rPr>
        <w:t>Así, de conformidad con las competencias asignadas</w:t>
      </w:r>
      <w:r>
        <w:rPr>
          <w:rStyle w:val="Refdenotaalpie"/>
          <w:rFonts w:ascii="Arial" w:hAnsi="Arial" w:cs="Arial"/>
          <w:color w:val="000000" w:themeColor="text1"/>
          <w:sz w:val="22"/>
        </w:rPr>
        <w:footnoteReference w:id="18"/>
      </w:r>
      <w:r>
        <w:rPr>
          <w:rFonts w:ascii="Arial" w:eastAsiaTheme="minorHAnsi" w:hAnsi="Arial" w:cs="Arial"/>
          <w:sz w:val="22"/>
          <w:szCs w:val="22"/>
          <w:lang w:val="es-MX" w:eastAsia="en-US"/>
        </w:rPr>
        <w:t>,</w:t>
      </w:r>
      <w:r w:rsidRPr="004A4E65">
        <w:rPr>
          <w:rFonts w:ascii="Arial" w:hAnsi="Arial" w:cs="Arial"/>
          <w:sz w:val="22"/>
          <w:shd w:val="clear" w:color="auto" w:fill="FFFFFF"/>
        </w:rPr>
        <w:t xml:space="preserve"> </w:t>
      </w:r>
      <w:r w:rsidRPr="00066821">
        <w:rPr>
          <w:rFonts w:ascii="Arial" w:hAnsi="Arial" w:cs="Arial"/>
          <w:sz w:val="22"/>
          <w:shd w:val="clear" w:color="auto" w:fill="FFFFFF"/>
        </w:rPr>
        <w:t xml:space="preserve">la Agencia Nacional de Contratación Pública – Colombia Compra Eficiente </w:t>
      </w:r>
      <w:r>
        <w:rPr>
          <w:rFonts w:ascii="Arial" w:hAnsi="Arial" w:cs="Arial"/>
          <w:sz w:val="22"/>
          <w:shd w:val="clear" w:color="auto" w:fill="FFFFFF"/>
        </w:rPr>
        <w:t xml:space="preserve">ha expedido </w:t>
      </w:r>
      <w:r w:rsidRPr="00066821">
        <w:rPr>
          <w:rFonts w:ascii="Arial" w:hAnsi="Arial" w:cs="Arial"/>
          <w:sz w:val="22"/>
          <w:shd w:val="clear" w:color="auto" w:fill="FFFFFF"/>
        </w:rPr>
        <w:t>la</w:t>
      </w:r>
      <w:r>
        <w:rPr>
          <w:rFonts w:ascii="Arial" w:hAnsi="Arial" w:cs="Arial"/>
          <w:sz w:val="22"/>
          <w:shd w:val="clear" w:color="auto" w:fill="FFFFFF"/>
        </w:rPr>
        <w:t>s</w:t>
      </w:r>
      <w:r w:rsidRPr="00066821">
        <w:rPr>
          <w:rFonts w:ascii="Arial" w:hAnsi="Arial" w:cs="Arial"/>
          <w:sz w:val="22"/>
        </w:rPr>
        <w:t xml:space="preserve"> Resoluci</w:t>
      </w:r>
      <w:r>
        <w:rPr>
          <w:rFonts w:ascii="Arial" w:hAnsi="Arial" w:cs="Arial"/>
          <w:sz w:val="22"/>
        </w:rPr>
        <w:t>o</w:t>
      </w:r>
      <w:r w:rsidRPr="00066821">
        <w:rPr>
          <w:rFonts w:ascii="Arial" w:hAnsi="Arial" w:cs="Arial"/>
          <w:sz w:val="22"/>
        </w:rPr>
        <w:t>n</w:t>
      </w:r>
      <w:r>
        <w:rPr>
          <w:rFonts w:ascii="Arial" w:hAnsi="Arial" w:cs="Arial"/>
          <w:sz w:val="22"/>
        </w:rPr>
        <w:t xml:space="preserve">es </w:t>
      </w:r>
      <w:r>
        <w:rPr>
          <w:rFonts w:ascii="Arial" w:hAnsi="Arial" w:cs="Arial"/>
          <w:sz w:val="22"/>
        </w:rPr>
        <w:lastRenderedPageBreak/>
        <w:t xml:space="preserve">respectivas, </w:t>
      </w:r>
      <w:r w:rsidRPr="00066821">
        <w:rPr>
          <w:rFonts w:ascii="Arial" w:hAnsi="Arial" w:cs="Arial"/>
          <w:sz w:val="22"/>
        </w:rPr>
        <w:t>mediante la</w:t>
      </w:r>
      <w:r>
        <w:rPr>
          <w:rFonts w:ascii="Arial" w:hAnsi="Arial" w:cs="Arial"/>
          <w:sz w:val="22"/>
        </w:rPr>
        <w:t>s</w:t>
      </w:r>
      <w:r w:rsidRPr="00066821">
        <w:rPr>
          <w:rFonts w:ascii="Arial" w:hAnsi="Arial" w:cs="Arial"/>
          <w:sz w:val="22"/>
        </w:rPr>
        <w:t xml:space="preserve"> cual</w:t>
      </w:r>
      <w:r>
        <w:rPr>
          <w:rFonts w:ascii="Arial" w:hAnsi="Arial" w:cs="Arial"/>
          <w:sz w:val="22"/>
        </w:rPr>
        <w:t>es</w:t>
      </w:r>
      <w:r w:rsidRPr="00066821">
        <w:rPr>
          <w:rFonts w:ascii="Arial" w:hAnsi="Arial" w:cs="Arial"/>
          <w:sz w:val="22"/>
        </w:rPr>
        <w:t xml:space="preserve"> </w:t>
      </w:r>
      <w:r>
        <w:rPr>
          <w:rFonts w:ascii="Arial" w:hAnsi="Arial" w:cs="Arial"/>
          <w:sz w:val="22"/>
        </w:rPr>
        <w:t>implementa y desarrolla, entre otros,</w:t>
      </w:r>
      <w:r w:rsidRPr="00066821">
        <w:rPr>
          <w:rFonts w:ascii="Arial" w:hAnsi="Arial" w:cs="Arial"/>
          <w:sz w:val="22"/>
        </w:rPr>
        <w:t xml:space="preserve"> los Documentos Tipo aplicables a los procesos </w:t>
      </w:r>
      <w:r>
        <w:rPr>
          <w:rFonts w:ascii="Arial" w:hAnsi="Arial" w:cs="Arial"/>
          <w:sz w:val="22"/>
        </w:rPr>
        <w:t xml:space="preserve">de </w:t>
      </w:r>
      <w:r w:rsidRPr="00066821">
        <w:rPr>
          <w:rFonts w:ascii="Arial" w:hAnsi="Arial" w:cs="Arial"/>
          <w:sz w:val="22"/>
        </w:rPr>
        <w:t>obra pública de infraestructura de transporte,</w:t>
      </w:r>
      <w:r>
        <w:rPr>
          <w:rFonts w:ascii="Arial" w:hAnsi="Arial" w:cs="Arial"/>
          <w:sz w:val="22"/>
        </w:rPr>
        <w:t xml:space="preserve"> en las modalidades de licitación pública, selección abreviada de menor cuantía, mínima cuantía e interventoría, así como</w:t>
      </w:r>
      <w:r w:rsidRPr="004A4E65">
        <w:rPr>
          <w:rFonts w:ascii="Arial" w:hAnsi="Arial" w:cs="Arial"/>
          <w:sz w:val="22"/>
        </w:rPr>
        <w:t xml:space="preserve"> </w:t>
      </w:r>
      <w:r w:rsidRPr="00066821">
        <w:rPr>
          <w:rFonts w:ascii="Arial" w:hAnsi="Arial" w:cs="Arial"/>
          <w:sz w:val="22"/>
        </w:rPr>
        <w:t xml:space="preserve">los </w:t>
      </w:r>
      <w:r>
        <w:rPr>
          <w:rFonts w:ascii="Arial" w:hAnsi="Arial" w:cs="Arial"/>
          <w:sz w:val="22"/>
        </w:rPr>
        <w:t xml:space="preserve">Documentos Tipo para los procesos de licitación de </w:t>
      </w:r>
      <w:r w:rsidRPr="00066821">
        <w:rPr>
          <w:rFonts w:ascii="Arial" w:hAnsi="Arial" w:cs="Arial"/>
          <w:sz w:val="22"/>
        </w:rPr>
        <w:t>obra pública de</w:t>
      </w:r>
      <w:r>
        <w:rPr>
          <w:rFonts w:ascii="Arial" w:hAnsi="Arial" w:cs="Arial"/>
          <w:sz w:val="22"/>
        </w:rPr>
        <w:t xml:space="preserve"> infraestructura de agua potable y saneamiento básico y los de obra pública de infraestructura social</w:t>
      </w:r>
      <w:r>
        <w:rPr>
          <w:rStyle w:val="Refdenotaalpie"/>
          <w:rFonts w:ascii="Arial" w:hAnsi="Arial" w:cs="Arial"/>
          <w:sz w:val="22"/>
        </w:rPr>
        <w:footnoteReference w:id="19"/>
      </w:r>
      <w:r>
        <w:rPr>
          <w:rFonts w:ascii="Arial" w:hAnsi="Arial" w:cs="Arial"/>
          <w:sz w:val="22"/>
        </w:rPr>
        <w:t xml:space="preserve">. </w:t>
      </w:r>
      <w:r w:rsidRPr="00066821">
        <w:rPr>
          <w:rFonts w:ascii="Arial" w:hAnsi="Arial" w:cs="Arial"/>
          <w:sz w:val="22"/>
        </w:rPr>
        <w:t>De acuerdo</w:t>
      </w:r>
      <w:r>
        <w:rPr>
          <w:rFonts w:ascii="Arial" w:hAnsi="Arial" w:cs="Arial"/>
          <w:sz w:val="22"/>
        </w:rPr>
        <w:t xml:space="preserve"> con</w:t>
      </w:r>
      <w:r w:rsidRPr="00066821">
        <w:rPr>
          <w:rFonts w:ascii="Arial" w:hAnsi="Arial" w:cs="Arial"/>
          <w:sz w:val="22"/>
        </w:rPr>
        <w:t xml:space="preserve"> </w:t>
      </w:r>
      <w:r>
        <w:rPr>
          <w:rFonts w:ascii="Arial" w:hAnsi="Arial" w:cs="Arial"/>
          <w:sz w:val="22"/>
        </w:rPr>
        <w:t>el</w:t>
      </w:r>
      <w:r w:rsidRPr="00066821">
        <w:rPr>
          <w:rFonts w:ascii="Arial" w:hAnsi="Arial" w:cs="Arial"/>
          <w:sz w:val="22"/>
        </w:rPr>
        <w:t xml:space="preserve"> «Documento Base»</w:t>
      </w:r>
      <w:r>
        <w:rPr>
          <w:rFonts w:ascii="Arial" w:hAnsi="Arial" w:cs="Arial"/>
          <w:sz w:val="22"/>
        </w:rPr>
        <w:t xml:space="preserve"> de dichos procesos</w:t>
      </w:r>
      <w:r>
        <w:rPr>
          <w:rStyle w:val="Refdenotaalpie"/>
          <w:rFonts w:ascii="Arial" w:hAnsi="Arial" w:cs="Arial"/>
          <w:sz w:val="22"/>
        </w:rPr>
        <w:footnoteReference w:id="20"/>
      </w:r>
      <w:r>
        <w:rPr>
          <w:rFonts w:ascii="Arial" w:hAnsi="Arial" w:cs="Arial"/>
          <w:sz w:val="22"/>
        </w:rPr>
        <w:t xml:space="preserve">, con excepción de la mínima cuantía, en el numeral 4.2 </w:t>
      </w:r>
      <w:r w:rsidRPr="00066821">
        <w:rPr>
          <w:rFonts w:ascii="Arial" w:hAnsi="Arial" w:cs="Arial"/>
          <w:sz w:val="22"/>
        </w:rPr>
        <w:t>«</w:t>
      </w:r>
      <w:r>
        <w:rPr>
          <w:rFonts w:ascii="Arial" w:hAnsi="Arial" w:cs="Arial"/>
          <w:sz w:val="22"/>
        </w:rPr>
        <w:t>Factor de Calidad</w:t>
      </w:r>
      <w:r w:rsidRPr="00066821">
        <w:rPr>
          <w:rFonts w:ascii="Arial" w:hAnsi="Arial" w:cs="Arial"/>
          <w:sz w:val="22"/>
        </w:rPr>
        <w:t>»</w:t>
      </w:r>
      <w:r>
        <w:rPr>
          <w:rFonts w:ascii="Arial" w:hAnsi="Arial" w:cs="Arial"/>
          <w:sz w:val="22"/>
        </w:rPr>
        <w:t xml:space="preserve"> se contempló que: </w:t>
      </w:r>
    </w:p>
    <w:p w14:paraId="3A89B699" w14:textId="77777777" w:rsidR="00C94E12" w:rsidRDefault="00C94E12" w:rsidP="00C94E12">
      <w:pPr>
        <w:spacing w:line="276" w:lineRule="auto"/>
        <w:ind w:firstLine="709"/>
        <w:jc w:val="both"/>
        <w:rPr>
          <w:rFonts w:ascii="Arial" w:eastAsiaTheme="minorHAnsi" w:hAnsi="Arial" w:cs="Arial"/>
          <w:sz w:val="22"/>
          <w:szCs w:val="22"/>
          <w:lang w:val="es-MX" w:eastAsia="en-US"/>
        </w:rPr>
      </w:pPr>
    </w:p>
    <w:p w14:paraId="502EE040" w14:textId="77777777" w:rsidR="00C94E12" w:rsidRPr="0081325C" w:rsidRDefault="00C94E12" w:rsidP="00C94E12">
      <w:pPr>
        <w:tabs>
          <w:tab w:val="left" w:pos="0"/>
        </w:tabs>
        <w:ind w:left="709" w:right="709"/>
        <w:jc w:val="both"/>
        <w:rPr>
          <w:rFonts w:ascii="Arial" w:eastAsia="Calibri" w:hAnsi="Arial" w:cs="Arial"/>
          <w:i/>
          <w:iCs/>
          <w:color w:val="000000"/>
          <w:sz w:val="21"/>
          <w:szCs w:val="21"/>
          <w:lang w:val="es-ES_tradnl" w:eastAsia="en-GB"/>
        </w:rPr>
      </w:pPr>
      <w:r w:rsidRPr="00433ACB">
        <w:rPr>
          <w:rFonts w:ascii="Arial" w:eastAsia="Calibri" w:hAnsi="Arial" w:cs="Arial"/>
          <w:color w:val="000000"/>
          <w:sz w:val="21"/>
          <w:szCs w:val="21"/>
          <w:lang w:val="es-ES_tradnl" w:eastAsia="en-GB"/>
        </w:rPr>
        <w:t xml:space="preserve">Las entidades estatales deben </w:t>
      </w:r>
      <w:r w:rsidRPr="0081325C">
        <w:rPr>
          <w:rFonts w:ascii="Arial" w:eastAsia="Calibri" w:hAnsi="Arial" w:cs="Arial"/>
          <w:bCs/>
          <w:i/>
          <w:iCs/>
          <w:color w:val="000000"/>
          <w:sz w:val="21"/>
          <w:szCs w:val="21"/>
          <w:lang w:val="es-ES_tradnl" w:eastAsia="en-GB"/>
        </w:rPr>
        <w:t>consultar</w:t>
      </w:r>
      <w:r w:rsidRPr="0081325C">
        <w:rPr>
          <w:rFonts w:ascii="Arial" w:eastAsia="Calibri" w:hAnsi="Arial" w:cs="Arial"/>
          <w:bCs/>
          <w:color w:val="000000"/>
          <w:sz w:val="21"/>
          <w:szCs w:val="21"/>
          <w:lang w:val="es-ES_tradnl" w:eastAsia="en-GB"/>
        </w:rPr>
        <w:t xml:space="preserve"> y </w:t>
      </w:r>
      <w:r w:rsidRPr="0081325C">
        <w:rPr>
          <w:rFonts w:ascii="Arial" w:eastAsia="Calibri" w:hAnsi="Arial" w:cs="Arial"/>
          <w:bCs/>
          <w:i/>
          <w:iCs/>
          <w:color w:val="000000"/>
          <w:sz w:val="21"/>
          <w:szCs w:val="21"/>
          <w:lang w:val="es-ES_tradnl" w:eastAsia="en-GB"/>
        </w:rPr>
        <w:t>analizar</w:t>
      </w:r>
      <w:r w:rsidRPr="00CA2E65">
        <w:rPr>
          <w:rFonts w:ascii="Arial" w:eastAsia="Calibri" w:hAnsi="Arial" w:cs="Arial"/>
          <w:b/>
          <w:color w:val="000000"/>
          <w:sz w:val="21"/>
          <w:szCs w:val="21"/>
          <w:lang w:val="es-ES_tradnl" w:eastAsia="en-GB"/>
        </w:rPr>
        <w:t xml:space="preserve"> </w:t>
      </w:r>
      <w:r w:rsidRPr="00433ACB">
        <w:rPr>
          <w:rFonts w:ascii="Arial" w:eastAsia="Calibri" w:hAnsi="Arial" w:cs="Arial"/>
          <w:color w:val="000000"/>
          <w:sz w:val="21"/>
          <w:szCs w:val="21"/>
          <w:lang w:val="es-ES_tradnl" w:eastAsia="en-GB"/>
        </w:rPr>
        <w:t xml:space="preserve">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w:t>
      </w:r>
      <w:r w:rsidRPr="00433ACB">
        <w:rPr>
          <w:rFonts w:ascii="Arial" w:eastAsia="Calibri" w:hAnsi="Arial" w:cs="Arial"/>
          <w:color w:val="000000"/>
          <w:sz w:val="21"/>
          <w:szCs w:val="21"/>
          <w:lang w:val="es-ES_tradnl" w:eastAsia="en-GB"/>
        </w:rPr>
        <w:lastRenderedPageBreak/>
        <w:t xml:space="preserve">inconclusa, en el mencionado registro, se descontará un (1) punto de la sumatoria obtenida en relación con el factor de calidad. </w:t>
      </w:r>
      <w:r w:rsidRPr="000F622C">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Énfasis fuera de texto)</w:t>
      </w:r>
    </w:p>
    <w:p w14:paraId="315DDAD5" w14:textId="77777777" w:rsidR="00C94E12" w:rsidRPr="00F4518D" w:rsidRDefault="00C94E12" w:rsidP="00C94E12">
      <w:pPr>
        <w:spacing w:line="276" w:lineRule="auto"/>
        <w:jc w:val="both"/>
        <w:rPr>
          <w:rFonts w:ascii="Arial" w:eastAsiaTheme="minorHAnsi" w:hAnsi="Arial" w:cs="Arial"/>
          <w:sz w:val="22"/>
          <w:szCs w:val="22"/>
          <w:lang w:val="es-MX" w:eastAsia="en-US"/>
        </w:rPr>
      </w:pPr>
    </w:p>
    <w:p w14:paraId="78A0E036" w14:textId="77777777" w:rsidR="00C94E12" w:rsidRDefault="00C94E12" w:rsidP="00C94E12">
      <w:pPr>
        <w:spacing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t>Para comprender íntegramente la forma de aplicación de</w:t>
      </w:r>
      <w:r>
        <w:rPr>
          <w:rFonts w:ascii="Arial" w:eastAsiaTheme="minorHAnsi" w:hAnsi="Arial" w:cs="Arial"/>
          <w:sz w:val="22"/>
          <w:szCs w:val="22"/>
          <w:lang w:val="es-MX" w:eastAsia="en-US"/>
        </w:rPr>
        <w:t>l numeral citado</w:t>
      </w:r>
      <w:r w:rsidRPr="00F4518D">
        <w:rPr>
          <w:rFonts w:ascii="Arial" w:eastAsiaTheme="minorHAnsi" w:hAnsi="Arial" w:cs="Arial"/>
          <w:sz w:val="22"/>
          <w:szCs w:val="22"/>
          <w:lang w:val="es-MX" w:eastAsia="en-US"/>
        </w:rPr>
        <w:t>, se revisarán dos temas que a nuestro juicio son esenciales</w:t>
      </w:r>
      <w:r>
        <w:rPr>
          <w:rFonts w:ascii="Arial" w:eastAsiaTheme="minorHAnsi" w:hAnsi="Arial" w:cs="Arial"/>
          <w:sz w:val="22"/>
          <w:szCs w:val="22"/>
          <w:lang w:val="es-MX" w:eastAsia="en-US"/>
        </w:rPr>
        <w:t>:</w:t>
      </w:r>
      <w:r w:rsidRPr="00F4518D">
        <w:rPr>
          <w:rFonts w:ascii="Arial" w:eastAsiaTheme="minorHAnsi" w:hAnsi="Arial" w:cs="Arial"/>
          <w:sz w:val="22"/>
          <w:szCs w:val="22"/>
          <w:lang w:val="es-MX" w:eastAsia="en-US"/>
        </w:rPr>
        <w:t xml:space="preserve"> i) el alcance de los vocablos </w:t>
      </w:r>
      <w:r w:rsidRPr="00066821">
        <w:rPr>
          <w:rFonts w:ascii="Arial" w:hAnsi="Arial" w:cs="Arial"/>
          <w:sz w:val="22"/>
        </w:rPr>
        <w:t>«</w:t>
      </w:r>
      <w:r w:rsidRPr="00F4518D">
        <w:rPr>
          <w:rFonts w:ascii="Arial" w:eastAsia="Calibri" w:hAnsi="Arial" w:cs="Arial"/>
          <w:color w:val="000000"/>
          <w:sz w:val="22"/>
          <w:szCs w:val="22"/>
          <w:lang w:val="es-ES_tradnl" w:eastAsia="en-GB"/>
        </w:rPr>
        <w:t>consultar y analizar</w:t>
      </w:r>
      <w:r w:rsidRPr="00066821">
        <w:rPr>
          <w:rFonts w:ascii="Arial" w:hAnsi="Arial" w:cs="Arial"/>
          <w:sz w:val="22"/>
        </w:rPr>
        <w:t>»</w:t>
      </w:r>
      <w:r w:rsidRPr="00F4518D">
        <w:rPr>
          <w:rFonts w:ascii="Arial" w:eastAsia="Calibri" w:hAnsi="Arial" w:cs="Arial"/>
          <w:color w:val="000000"/>
          <w:sz w:val="22"/>
          <w:szCs w:val="22"/>
          <w:lang w:val="es-ES_tradnl" w:eastAsia="en-GB"/>
        </w:rPr>
        <w:t xml:space="preserve"> y ii) </w:t>
      </w:r>
      <w:r>
        <w:rPr>
          <w:rFonts w:ascii="Arial" w:eastAsia="Calibri" w:hAnsi="Arial" w:cs="Arial"/>
          <w:color w:val="000000"/>
          <w:sz w:val="22"/>
          <w:szCs w:val="22"/>
          <w:lang w:val="es-ES_tradnl" w:eastAsia="en-GB"/>
        </w:rPr>
        <w:t xml:space="preserve">las anotaciones en el Registro Nacional de Obras Civiles Inconclusas. </w:t>
      </w:r>
    </w:p>
    <w:p w14:paraId="4EC678B8"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Como punto de partida, es preciso señalar que el inicio del párrafo del documento</w:t>
      </w:r>
      <w:bookmarkStart w:id="18" w:name="ver_30223091"/>
      <w:r>
        <w:rPr>
          <w:rFonts w:ascii="Arial" w:eastAsiaTheme="minorHAnsi" w:hAnsi="Arial" w:cs="Arial"/>
          <w:sz w:val="22"/>
          <w:szCs w:val="22"/>
          <w:lang w:val="es-MX" w:eastAsia="en-US"/>
        </w:rPr>
        <w:t xml:space="preserve"> </w:t>
      </w:r>
      <w:r w:rsidRPr="00B06081">
        <w:rPr>
          <w:rFonts w:ascii="Arial" w:eastAsiaTheme="minorHAnsi" w:hAnsi="Arial" w:cs="Arial"/>
          <w:sz w:val="22"/>
          <w:szCs w:val="22"/>
          <w:lang w:val="es-MX" w:eastAsia="en-US"/>
        </w:rPr>
        <w:t xml:space="preserve">base, prescribe el deber de las entidades estatales de consultar y analizar las anotaciones vigentes que reposan en el Registro Nacional de Obras Civiles Inconclusas, lo cual guarda coherencia con el artículo 6 de la Ley 2020 de 2020. </w:t>
      </w:r>
      <w:r>
        <w:rPr>
          <w:rFonts w:ascii="Arial" w:eastAsiaTheme="minorHAnsi" w:hAnsi="Arial" w:cs="Arial"/>
          <w:sz w:val="22"/>
          <w:szCs w:val="22"/>
          <w:lang w:val="es-MX" w:eastAsia="en-US"/>
        </w:rPr>
        <w:t xml:space="preserve">En efecto, este primer aparte del párrafo de los </w:t>
      </w:r>
      <w:r w:rsidRPr="00066821">
        <w:rPr>
          <w:rFonts w:ascii="Arial" w:hAnsi="Arial" w:cs="Arial"/>
          <w:sz w:val="22"/>
        </w:rPr>
        <w:t>«</w:t>
      </w:r>
      <w:r>
        <w:rPr>
          <w:rFonts w:ascii="Arial" w:eastAsiaTheme="minorHAnsi" w:hAnsi="Arial" w:cs="Arial"/>
          <w:sz w:val="22"/>
          <w:szCs w:val="22"/>
          <w:lang w:val="es-MX" w:eastAsia="en-US"/>
        </w:rPr>
        <w:t>Documentos Base</w:t>
      </w:r>
      <w:r w:rsidRPr="00066821">
        <w:rPr>
          <w:rFonts w:ascii="Arial" w:hAnsi="Arial" w:cs="Arial"/>
          <w:sz w:val="22"/>
        </w:rPr>
        <w:t>»</w:t>
      </w:r>
      <w:r>
        <w:rPr>
          <w:rFonts w:ascii="Arial" w:eastAsiaTheme="minorHAnsi" w:hAnsi="Arial" w:cs="Arial"/>
          <w:sz w:val="22"/>
          <w:szCs w:val="22"/>
          <w:lang w:val="es-MX" w:eastAsia="en-US"/>
        </w:rPr>
        <w:t xml:space="preserve"> es esencialmente una transcripción del inciso primero del artículo 6, el cual dispone que </w:t>
      </w:r>
      <w:r w:rsidRPr="00066821">
        <w:rPr>
          <w:rFonts w:ascii="Arial" w:hAnsi="Arial" w:cs="Arial"/>
          <w:sz w:val="22"/>
        </w:rPr>
        <w:t>«</w:t>
      </w:r>
      <w:r w:rsidRPr="004F034D">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Pr="007F665F">
        <w:rPr>
          <w:rFonts w:ascii="Arial" w:eastAsiaTheme="minorHAnsi" w:hAnsi="Arial" w:cs="Arial"/>
          <w:b/>
          <w:sz w:val="22"/>
          <w:szCs w:val="22"/>
          <w:lang w:val="es-MX" w:eastAsia="en-US"/>
        </w:rPr>
        <w:t xml:space="preserve"> </w:t>
      </w:r>
      <w:r w:rsidRPr="00A413AD">
        <w:rPr>
          <w:rFonts w:ascii="Arial" w:eastAsiaTheme="minorHAnsi" w:hAnsi="Arial" w:cs="Arial"/>
          <w:sz w:val="22"/>
          <w:szCs w:val="22"/>
          <w:lang w:val="es-MX" w:eastAsia="en-US"/>
        </w:rPr>
        <w:t>consultar y analizar</w:t>
      </w:r>
      <w:r w:rsidRPr="004F034D">
        <w:rPr>
          <w:rFonts w:ascii="Arial" w:eastAsiaTheme="minorHAnsi" w:hAnsi="Arial" w:cs="Arial"/>
          <w:sz w:val="22"/>
          <w:szCs w:val="22"/>
          <w:lang w:val="es-MX" w:eastAsia="en-US"/>
        </w:rPr>
        <w:t xml:space="preserve"> las anotaciones vigentes que presenten las personas naturales o jurídicas, nacionales o extranjeras domiciliadas o con sucursal en Colombia, en el Registro Nacional de Obras Civiles Inconclusas</w:t>
      </w:r>
      <w:r w:rsidRPr="00066821">
        <w:rPr>
          <w:rFonts w:ascii="Arial" w:hAnsi="Arial" w:cs="Arial"/>
          <w:sz w:val="22"/>
        </w:rPr>
        <w:t>»</w:t>
      </w:r>
      <w:r>
        <w:rPr>
          <w:rFonts w:ascii="Arial" w:eastAsiaTheme="minorHAnsi" w:hAnsi="Arial" w:cs="Arial"/>
          <w:sz w:val="22"/>
          <w:szCs w:val="22"/>
          <w:lang w:val="es-MX" w:eastAsia="en-US"/>
        </w:rPr>
        <w:t xml:space="preserve">. Nótese que los términos de </w:t>
      </w:r>
      <w:r w:rsidRPr="00066821">
        <w:rPr>
          <w:rFonts w:ascii="Arial" w:hAnsi="Arial" w:cs="Arial"/>
          <w:sz w:val="22"/>
        </w:rPr>
        <w:t>«</w:t>
      </w:r>
      <w:r>
        <w:rPr>
          <w:rFonts w:ascii="Arial" w:eastAsiaTheme="minorHAnsi" w:hAnsi="Arial" w:cs="Arial"/>
          <w:sz w:val="22"/>
          <w:szCs w:val="22"/>
          <w:lang w:val="es-MX" w:eastAsia="en-US"/>
        </w:rPr>
        <w:t>consultar y analizar</w:t>
      </w:r>
      <w:r w:rsidRPr="00066821">
        <w:rPr>
          <w:rFonts w:ascii="Arial" w:hAnsi="Arial" w:cs="Arial"/>
          <w:sz w:val="22"/>
        </w:rPr>
        <w:t>»</w:t>
      </w:r>
      <w:r>
        <w:rPr>
          <w:rFonts w:ascii="Arial" w:eastAsiaTheme="minorHAnsi" w:hAnsi="Arial" w:cs="Arial"/>
          <w:sz w:val="22"/>
          <w:szCs w:val="22"/>
          <w:lang w:val="es-MX" w:eastAsia="en-US"/>
        </w:rPr>
        <w:t xml:space="preserve">, son empleados tanto en los Documento Base como en la disposición señalada. </w:t>
      </w:r>
    </w:p>
    <w:p w14:paraId="2F12037C"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Según su significado literal, consultar es </w:t>
      </w:r>
      <w:r w:rsidRPr="00066821">
        <w:rPr>
          <w:rFonts w:ascii="Arial" w:hAnsi="Arial" w:cs="Arial"/>
          <w:sz w:val="22"/>
        </w:rPr>
        <w:t>«</w:t>
      </w:r>
      <w:r>
        <w:rPr>
          <w:rFonts w:ascii="Arial" w:eastAsiaTheme="minorHAnsi" w:hAnsi="Arial" w:cs="Arial"/>
          <w:sz w:val="22"/>
          <w:szCs w:val="22"/>
          <w:lang w:val="es-MX" w:eastAsia="en-US"/>
        </w:rPr>
        <w:t>b</w:t>
      </w:r>
      <w:r w:rsidRPr="00D65DFE">
        <w:rPr>
          <w:rFonts w:ascii="Arial" w:eastAsiaTheme="minorHAnsi" w:hAnsi="Arial" w:cs="Arial"/>
          <w:sz w:val="22"/>
          <w:szCs w:val="22"/>
          <w:lang w:val="es-MX" w:eastAsia="en-US"/>
        </w:rPr>
        <w:t xml:space="preserve">uscar documentación o datos sobre algún asunto o </w:t>
      </w:r>
      <w:r>
        <w:rPr>
          <w:rFonts w:ascii="Arial" w:eastAsiaTheme="minorHAnsi" w:hAnsi="Arial" w:cs="Arial"/>
          <w:sz w:val="22"/>
          <w:szCs w:val="22"/>
          <w:lang w:val="es-MX" w:eastAsia="en-US"/>
        </w:rPr>
        <w:t>materia</w:t>
      </w:r>
      <w:r w:rsidRPr="00066821">
        <w:rPr>
          <w:rFonts w:ascii="Arial" w:hAnsi="Arial" w:cs="Arial"/>
          <w:sz w:val="22"/>
        </w:rPr>
        <w:t>»</w:t>
      </w:r>
      <w:r>
        <w:rPr>
          <w:rStyle w:val="Refdenotaalpie"/>
          <w:rFonts w:ascii="Arial" w:eastAsiaTheme="minorHAnsi" w:hAnsi="Arial" w:cs="Arial"/>
          <w:sz w:val="22"/>
          <w:szCs w:val="22"/>
          <w:lang w:val="es-MX" w:eastAsia="en-US"/>
        </w:rPr>
        <w:footnoteReference w:id="21"/>
      </w:r>
      <w:r>
        <w:rPr>
          <w:rFonts w:ascii="Arial" w:hAnsi="Arial" w:cs="Arial"/>
          <w:sz w:val="22"/>
        </w:rPr>
        <w:t xml:space="preserve"> y analizar </w:t>
      </w:r>
      <w:r>
        <w:rPr>
          <w:rFonts w:ascii="Arial" w:eastAsiaTheme="minorHAnsi" w:hAnsi="Arial" w:cs="Arial"/>
          <w:sz w:val="22"/>
          <w:szCs w:val="22"/>
          <w:lang w:val="es-MX" w:eastAsia="en-US"/>
        </w:rPr>
        <w:t xml:space="preserve">se refiere al </w:t>
      </w:r>
      <w:r w:rsidRPr="00066821">
        <w:rPr>
          <w:rFonts w:ascii="Arial" w:hAnsi="Arial" w:cs="Arial"/>
          <w:sz w:val="22"/>
        </w:rPr>
        <w:t>«</w:t>
      </w:r>
      <w:r>
        <w:rPr>
          <w:rFonts w:ascii="Arial" w:eastAsiaTheme="minorHAnsi" w:hAnsi="Arial" w:cs="Arial"/>
          <w:sz w:val="22"/>
          <w:szCs w:val="22"/>
          <w:lang w:val="es-MX" w:eastAsia="en-US"/>
        </w:rPr>
        <w:t>e</w:t>
      </w:r>
      <w:r w:rsidRPr="00D65DFE">
        <w:rPr>
          <w:rFonts w:ascii="Arial" w:eastAsiaTheme="minorHAnsi" w:hAnsi="Arial" w:cs="Arial"/>
          <w:sz w:val="22"/>
          <w:szCs w:val="22"/>
          <w:lang w:val="es-MX" w:eastAsia="en-US"/>
        </w:rPr>
        <w:t>xamen que se hace de una obra, de un escrito o de cualquier realidad susceptible de estudio intelectual</w:t>
      </w:r>
      <w:r w:rsidRPr="00066821">
        <w:rPr>
          <w:rFonts w:ascii="Arial" w:hAnsi="Arial" w:cs="Arial"/>
          <w:sz w:val="22"/>
        </w:rPr>
        <w:t>»</w:t>
      </w:r>
      <w:r>
        <w:rPr>
          <w:rStyle w:val="Refdenotaalpie"/>
          <w:rFonts w:ascii="Arial" w:eastAsiaTheme="minorHAnsi" w:hAnsi="Arial" w:cs="Arial"/>
          <w:sz w:val="22"/>
          <w:szCs w:val="22"/>
          <w:lang w:val="es-MX" w:eastAsia="en-US"/>
        </w:rPr>
        <w:footnoteReference w:id="22"/>
      </w:r>
      <w:r w:rsidRPr="00D65DF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propósito de estas expresiones, entonces, es el de realizar un examen minucioso de un asunto, para conocer sus características, factores, naturaleza y demás condiciones necesarias para entender el sentido del objeto de estudio. </w:t>
      </w:r>
    </w:p>
    <w:p w14:paraId="611C8150"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Estos vocablos revisten especial importancia, pues con base en ese análisis la entidad estatal descontará un punto de la sumatoria obtenida en relación con el factor calidad. En otras palabras, en el evento en que </w:t>
      </w:r>
      <w:r w:rsidRPr="009246C4">
        <w:rPr>
          <w:rFonts w:ascii="Arial" w:eastAsiaTheme="minorHAnsi" w:hAnsi="Arial" w:cs="Arial"/>
          <w:sz w:val="22"/>
          <w:szCs w:val="22"/>
          <w:lang w:val="es-MX" w:eastAsia="en-US"/>
        </w:rPr>
        <w:t>las personas naturales o jurídicas, nacionales o extranjeras domiciliadas o con sucursal en Colombia, o integrantes de proponentes plurales</w:t>
      </w:r>
      <w:r>
        <w:rPr>
          <w:rFonts w:ascii="Arial" w:eastAsiaTheme="minorHAnsi" w:hAnsi="Arial" w:cs="Arial"/>
          <w:sz w:val="22"/>
          <w:szCs w:val="22"/>
          <w:lang w:val="es-MX" w:eastAsia="en-US"/>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eastAsiaTheme="minorHAnsi" w:hAnsi="Arial" w:cs="Arial"/>
          <w:sz w:val="22"/>
          <w:szCs w:val="22"/>
          <w:lang w:val="es-MX" w:eastAsia="en-US"/>
        </w:rPr>
        <w:t>en relación con el factor de calidad.</w:t>
      </w:r>
      <w:r>
        <w:rPr>
          <w:rFonts w:ascii="Arial" w:eastAsiaTheme="minorHAnsi" w:hAnsi="Arial" w:cs="Arial"/>
          <w:sz w:val="22"/>
          <w:szCs w:val="22"/>
          <w:lang w:val="es-MX" w:eastAsia="en-US"/>
        </w:rPr>
        <w:t xml:space="preserve"> Ello encuentra sustento, a su vez, en el desarrollo del trámite legislativo que se surtió en el Congreso de la República, en el cual se incorporó en el artículo 6 de la Ley 2020 de 2020 </w:t>
      </w:r>
      <w:r>
        <w:rPr>
          <w:rFonts w:ascii="Arial" w:eastAsiaTheme="minorHAnsi" w:hAnsi="Arial" w:cs="Arial"/>
          <w:sz w:val="22"/>
          <w:szCs w:val="22"/>
          <w:lang w:val="es-MX" w:eastAsia="en-US"/>
        </w:rPr>
        <w:lastRenderedPageBreak/>
        <w:t xml:space="preserve">los vocablos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en el entendido que </w:t>
      </w:r>
      <w:r w:rsidRPr="00066821">
        <w:rPr>
          <w:rFonts w:ascii="Arial" w:hAnsi="Arial" w:cs="Arial"/>
          <w:sz w:val="22"/>
        </w:rPr>
        <w:t>«</w:t>
      </w:r>
      <w:r>
        <w:rPr>
          <w:rFonts w:ascii="Arial" w:hAnsi="Arial" w:cs="Arial"/>
          <w:sz w:val="22"/>
        </w:rPr>
        <w:t>no toda inclusión en el registro es imputable al contratista</w:t>
      </w:r>
      <w:r w:rsidRPr="00066821">
        <w:rPr>
          <w:rFonts w:ascii="Arial" w:hAnsi="Arial" w:cs="Arial"/>
          <w:sz w:val="22"/>
        </w:rPr>
        <w:t>»</w:t>
      </w:r>
      <w:r>
        <w:rPr>
          <w:rStyle w:val="Refdenotaalpie"/>
          <w:rFonts w:ascii="Arial" w:hAnsi="Arial" w:cs="Arial"/>
          <w:sz w:val="22"/>
        </w:rPr>
        <w:footnoteReference w:id="23"/>
      </w:r>
      <w:r>
        <w:rPr>
          <w:rFonts w:ascii="Arial" w:hAnsi="Arial" w:cs="Arial"/>
          <w:sz w:val="22"/>
        </w:rPr>
        <w:t xml:space="preserve">. </w:t>
      </w:r>
    </w:p>
    <w:p w14:paraId="1D99CF07"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esta manera, la connotación de las palabras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w:t>
      </w:r>
      <w:r>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documento base determina el alcance del texto, mientras que el segundo fragmento dispone la consecuencia jurídica, por lo que este último no puede desligarse del otro y su interpretación debe realizarse en contexto. </w:t>
      </w:r>
    </w:p>
    <w:p w14:paraId="30A807C6"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Bajo estas consideraciones, la interpretación adecuada para lo dispuesto en el Documento Base es que para descontar el punto de la sumatoria obtenida en relación con los criterios de evaluación, la entidad deberá consultar y analizar las anotaciones vigentes en el Registro Nacional de Obras Civiles Inconclusas. Con este panorama, la pregunta que surge a continuación es la siguiente: ¿cómo analizar las anotaciones para descontar el punto? Consideramos adecuado, por ejemplo, que en este análisis la entidad verifique si existen anotaciones relacionadas con el incumplimiento del contratista, que permita determinar que la obra no concluyó por razones atribuibles a este, en cuyo caso se descontará el punto. </w:t>
      </w:r>
    </w:p>
    <w:p w14:paraId="393F14AA"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Para clarificar el argumento anterior, es pertinente considerar los cambios que tuvo el artículo 6 de la Ley 2020 de 2020 durante el trámite legislativo en el Congreso de la República, desde la radicación del proyecto hasta su versión final. Esto con el objetivo de evidenciar que el alcance del análisis de las anotaciones en el registro también incluye la verificación de los incumplimientos del contratista respecto de las obras civiles inconclusas. </w:t>
      </w:r>
    </w:p>
    <w:p w14:paraId="4408A083"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1A02AADE" w14:textId="77777777" w:rsidR="00C94E12" w:rsidRDefault="00C94E12" w:rsidP="00C94E12">
      <w:pPr>
        <w:spacing w:line="276" w:lineRule="auto"/>
        <w:ind w:firstLine="709"/>
        <w:jc w:val="both"/>
        <w:rPr>
          <w:rFonts w:ascii="Arial" w:eastAsiaTheme="minorHAnsi" w:hAnsi="Arial" w:cs="Arial"/>
          <w:sz w:val="22"/>
          <w:szCs w:val="22"/>
          <w:lang w:val="es-MX" w:eastAsia="en-US"/>
        </w:rPr>
      </w:pPr>
    </w:p>
    <w:p w14:paraId="7361C1FD" w14:textId="77777777" w:rsidR="00C94E12" w:rsidRPr="00BE45DF" w:rsidRDefault="00C94E12" w:rsidP="00C94E12">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Artículo 6°. Actuaciones. En todas las entidades estatales, a instancia de la Secretaría, Departamento u Oficina de Planeación, según el caso, funcionará el Registro Departamental, Municipal, Distrital o institucional de Obras Civiles </w:t>
      </w:r>
      <w:r w:rsidRPr="00BE45DF">
        <w:rPr>
          <w:rFonts w:ascii="Arial" w:eastAsia="Calibri" w:hAnsi="Arial" w:cs="Arial"/>
          <w:color w:val="000000"/>
          <w:sz w:val="21"/>
          <w:szCs w:val="21"/>
          <w:lang w:val="es-ES_tradnl" w:eastAsia="en-GB"/>
        </w:rPr>
        <w:lastRenderedPageBreak/>
        <w:t>Inconclusas, que progresivamente se incorporarán al Registro Nacional de Obras Civiles Inconclusas.</w:t>
      </w:r>
    </w:p>
    <w:p w14:paraId="085C01B9" w14:textId="77777777" w:rsidR="00C94E12" w:rsidRPr="00BE45DF" w:rsidRDefault="00C94E12" w:rsidP="00C94E12">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relacionar con claridad el nombre de los contratistas y sociedades que presenten un mayor número de obras inconclusas. </w:t>
      </w:r>
    </w:p>
    <w:p w14:paraId="4CBABE98" w14:textId="77777777" w:rsidR="00C94E12" w:rsidRPr="00BE45DF" w:rsidRDefault="00C94E12" w:rsidP="00C94E12">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24"/>
      </w:r>
    </w:p>
    <w:p w14:paraId="332EA363" w14:textId="77777777" w:rsidR="00C94E12" w:rsidRPr="00472D8E" w:rsidRDefault="00C94E12" w:rsidP="00C94E12">
      <w:pPr>
        <w:spacing w:line="276" w:lineRule="auto"/>
        <w:ind w:firstLine="709"/>
        <w:jc w:val="both"/>
        <w:rPr>
          <w:rFonts w:ascii="Arial" w:eastAsiaTheme="minorHAnsi" w:hAnsi="Arial" w:cs="Arial"/>
          <w:sz w:val="22"/>
          <w:szCs w:val="22"/>
          <w:lang w:val="es-MX" w:eastAsia="en-US"/>
        </w:rPr>
      </w:pPr>
    </w:p>
    <w:p w14:paraId="1F3EE276" w14:textId="77777777" w:rsidR="00C94E12" w:rsidRPr="00472D8E" w:rsidRDefault="00C94E12" w:rsidP="00C94E12">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el enfoque de esta redacción se caracterizó por determinar un Registro a nivel territorial de obras civiles inconclusas que se incorporaran en al Registro Nacional de Obras Inconclusas. A</w:t>
      </w:r>
      <w:r>
        <w:rPr>
          <w:rFonts w:ascii="Arial" w:eastAsiaTheme="minorHAnsi" w:hAnsi="Arial" w:cs="Arial"/>
          <w:sz w:val="22"/>
          <w:szCs w:val="22"/>
          <w:lang w:val="es-MX" w:eastAsia="en-US"/>
        </w:rPr>
        <w:t>demás</w:t>
      </w:r>
      <w:r w:rsidRPr="00472D8E">
        <w:rPr>
          <w:rFonts w:ascii="Arial" w:eastAsiaTheme="minorHAnsi" w:hAnsi="Arial" w:cs="Arial"/>
          <w:sz w:val="22"/>
          <w:szCs w:val="22"/>
          <w:lang w:val="es-MX" w:eastAsia="en-US"/>
        </w:rPr>
        <w:t xml:space="preserve">,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4A828602" w14:textId="77777777" w:rsidR="00C94E12" w:rsidRDefault="00C94E12" w:rsidP="00C94E12">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Las entidades de las que trata la presente ley, tendrán la obligación de consultar el registro de obras inconclusas antes de contratar obras públicas, con el fin de observar si los contratistas 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5"/>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Así, antes de contratar obras públicas, 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debían consultar los incumplimientos de los contratistas en el registro, pero no se estableció ninguna consecuencia jurídica. En el trámite legislativo, el parágrafo segundo del artículo 6 cambió radicalmente. Este aparte dispuso</w:t>
      </w:r>
      <w:r>
        <w:rPr>
          <w:rStyle w:val="Refdenotaalpie"/>
          <w:rFonts w:ascii="Arial" w:eastAsia="Calibri" w:hAnsi="Arial" w:cs="Arial"/>
          <w:color w:val="000000"/>
          <w:sz w:val="22"/>
          <w:szCs w:val="22"/>
          <w:lang w:val="es-ES_tradnl" w:eastAsia="en-GB"/>
        </w:rPr>
        <w:footnoteReference w:id="26"/>
      </w:r>
      <w:r>
        <w:rPr>
          <w:rFonts w:ascii="Arial" w:eastAsia="Calibri" w:hAnsi="Arial" w:cs="Arial"/>
          <w:color w:val="000000"/>
          <w:sz w:val="22"/>
          <w:szCs w:val="22"/>
          <w:lang w:val="es-ES_tradnl" w:eastAsia="en-GB"/>
        </w:rPr>
        <w:t>:</w:t>
      </w:r>
    </w:p>
    <w:p w14:paraId="0C5BDCF6" w14:textId="77777777" w:rsidR="00C94E12" w:rsidRPr="00EE6A1A" w:rsidRDefault="00C94E12" w:rsidP="00C94E12">
      <w:pPr>
        <w:spacing w:line="276" w:lineRule="auto"/>
        <w:ind w:firstLine="709"/>
        <w:jc w:val="both"/>
        <w:rPr>
          <w:rFonts w:ascii="Arial" w:eastAsia="Calibri" w:hAnsi="Arial" w:cs="Arial"/>
          <w:color w:val="000000"/>
          <w:sz w:val="22"/>
          <w:szCs w:val="22"/>
          <w:lang w:val="es-ES_tradnl" w:eastAsia="en-GB"/>
        </w:rPr>
      </w:pPr>
    </w:p>
    <w:p w14:paraId="3B3881DD" w14:textId="77777777" w:rsidR="00C94E12" w:rsidRPr="00576233" w:rsidRDefault="00C94E12" w:rsidP="00C94E12">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w:t>
      </w:r>
      <w:r w:rsidRPr="00576233">
        <w:rPr>
          <w:rFonts w:ascii="Arial" w:eastAsia="Calibri" w:hAnsi="Arial" w:cs="Arial"/>
          <w:color w:val="000000"/>
          <w:sz w:val="21"/>
          <w:szCs w:val="21"/>
          <w:lang w:val="es-ES_tradnl" w:eastAsia="en-GB"/>
        </w:rPr>
        <w:lastRenderedPageBreak/>
        <w:t xml:space="preserve">deberán allegar la certificación virtual sobre las anotaciones que presenten en el Registro Nacional de Obras Civiles Inconclusas. </w:t>
      </w:r>
    </w:p>
    <w:p w14:paraId="01DAD37B" w14:textId="77777777" w:rsidR="00C94E12" w:rsidRPr="00576233" w:rsidRDefault="00C94E12" w:rsidP="00C94E12">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w:t>
      </w:r>
      <w:proofErr w:type="gramStart"/>
      <w:r w:rsidRPr="00576233">
        <w:rPr>
          <w:rFonts w:ascii="Arial" w:eastAsia="Calibri" w:hAnsi="Arial" w:cs="Arial"/>
          <w:color w:val="000000"/>
          <w:sz w:val="21"/>
          <w:szCs w:val="21"/>
          <w:lang w:val="es-ES_tradnl" w:eastAsia="en-GB"/>
        </w:rPr>
        <w:t>de acuerdo a</w:t>
      </w:r>
      <w:proofErr w:type="gramEnd"/>
      <w:r w:rsidRPr="00576233">
        <w:rPr>
          <w:rFonts w:ascii="Arial" w:eastAsia="Calibri" w:hAnsi="Arial"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42EFC124" w14:textId="77777777" w:rsidR="00C94E12" w:rsidRPr="00576233" w:rsidRDefault="00C94E12" w:rsidP="00C94E12">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El Ministerio de Hacienda y Crédito Público en un término de (6) meses contados a partir de la </w:t>
      </w:r>
      <w:proofErr w:type="gramStart"/>
      <w:r w:rsidRPr="00576233">
        <w:rPr>
          <w:rFonts w:ascii="Arial" w:eastAsia="Calibri" w:hAnsi="Arial" w:cs="Arial"/>
          <w:color w:val="000000"/>
          <w:sz w:val="21"/>
          <w:szCs w:val="21"/>
          <w:lang w:val="es-ES_tradnl" w:eastAsia="en-GB"/>
        </w:rPr>
        <w:t>entrada en vigencia</w:t>
      </w:r>
      <w:proofErr w:type="gramEnd"/>
      <w:r w:rsidRPr="00576233">
        <w:rPr>
          <w:rFonts w:ascii="Arial" w:eastAsia="Calibri" w:hAnsi="Arial" w:cs="Arial"/>
          <w:color w:val="000000"/>
          <w:sz w:val="21"/>
          <w:szCs w:val="21"/>
          <w:lang w:val="es-ES_tradnl" w:eastAsia="en-GB"/>
        </w:rPr>
        <w:t xml:space="preserve"> de la presente ley, reglamentará la tarifa a cobrar por el certificado.</w:t>
      </w:r>
      <w:r>
        <w:rPr>
          <w:rFonts w:ascii="Arial" w:eastAsia="Calibri" w:hAnsi="Arial" w:cs="Arial"/>
          <w:color w:val="000000"/>
          <w:sz w:val="21"/>
          <w:szCs w:val="21"/>
          <w:lang w:val="es-ES_tradnl" w:eastAsia="en-GB"/>
        </w:rPr>
        <w:t xml:space="preserve"> (Énfasis fuera de texto)</w:t>
      </w:r>
    </w:p>
    <w:p w14:paraId="02D16969" w14:textId="77777777" w:rsidR="00C94E12" w:rsidRDefault="00C94E12" w:rsidP="00C94E12">
      <w:pPr>
        <w:spacing w:line="276" w:lineRule="auto"/>
        <w:ind w:firstLine="709"/>
        <w:jc w:val="both"/>
        <w:rPr>
          <w:rFonts w:ascii="Arial" w:eastAsia="Calibri" w:hAnsi="Arial" w:cs="Arial"/>
          <w:color w:val="000000"/>
          <w:sz w:val="22"/>
          <w:szCs w:val="22"/>
          <w:lang w:val="es-ES_tradnl" w:eastAsia="en-GB"/>
        </w:rPr>
      </w:pPr>
    </w:p>
    <w:p w14:paraId="36C597C5" w14:textId="77777777" w:rsidR="00C94E12" w:rsidRDefault="00C94E12" w:rsidP="00C94E12">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De la cita se desprenden tres (3) aspectos que merecen atención. Primero, establece un certificado virtual sobre anotaciones que los contratistas presenten en el registro; segundo, de dicho certificado deberá tenerse en cuenta el cumplimiento de los contratistas; y, por último, se evaluarán los antecedentes del contratista, de acuerdo con la puntuación que se determine. Según se evidencia, nuevamente el cumplimiento del contratista resulta relevante, pues se tendrá en cuenta para la puntuación en la evaluación de la oferta. </w:t>
      </w:r>
    </w:p>
    <w:p w14:paraId="555C2401" w14:textId="77777777" w:rsidR="00C94E12" w:rsidRDefault="00C94E12" w:rsidP="00C94E12">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Así, el artículo 6 continúo teniendo modificaciones en el trámite legislativo, en particular, el parágrafo segundo. De esta manera, el texto siguiente eliminó la certificación virtual y, en cambio,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7"/>
      </w:r>
      <w:r w:rsidRPr="001D4141">
        <w:rPr>
          <w:rFonts w:ascii="Arial" w:eastAsia="Calibri" w:hAnsi="Arial" w:cs="Arial"/>
          <w:color w:val="000000"/>
          <w:sz w:val="22"/>
          <w:szCs w:val="22"/>
          <w:lang w:val="es-ES_tradnl" w:eastAsia="en-GB"/>
        </w:rPr>
        <w:t>.</w:t>
      </w:r>
    </w:p>
    <w:p w14:paraId="4ADE1720" w14:textId="77777777" w:rsidR="00C94E12" w:rsidRDefault="00C94E12" w:rsidP="00C94E12">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lo que en momentos posteriores del trámite legislativo el artículo </w:t>
      </w:r>
      <w:r>
        <w:rPr>
          <w:rFonts w:ascii="Arial" w:eastAsia="Calibri" w:hAnsi="Arial" w:cs="Arial"/>
          <w:color w:val="000000"/>
          <w:sz w:val="22"/>
          <w:szCs w:val="22"/>
          <w:lang w:val="es-ES_tradnl" w:eastAsia="en-GB"/>
        </w:rPr>
        <w:lastRenderedPageBreak/>
        <w:t xml:space="preserve">fue modificado completamente. De esta manera, se eliminaron los parágrafos y el artículo quedó compuesto por dos párrafos, de la siguiente manera: </w:t>
      </w:r>
    </w:p>
    <w:p w14:paraId="4529FB85" w14:textId="77777777" w:rsidR="00C94E12" w:rsidRDefault="00C94E12" w:rsidP="00C94E12">
      <w:pPr>
        <w:spacing w:line="276" w:lineRule="auto"/>
        <w:ind w:firstLine="709"/>
        <w:jc w:val="both"/>
        <w:rPr>
          <w:rFonts w:ascii="Arial" w:eastAsia="Calibri" w:hAnsi="Arial" w:cs="Arial"/>
          <w:color w:val="000000"/>
          <w:sz w:val="22"/>
          <w:szCs w:val="22"/>
          <w:lang w:val="es-ES_tradnl" w:eastAsia="en-GB"/>
        </w:rPr>
      </w:pPr>
    </w:p>
    <w:p w14:paraId="76A2EF6F" w14:textId="77777777" w:rsidR="00C94E12" w:rsidRPr="00380576" w:rsidRDefault="00C94E12" w:rsidP="00C94E12">
      <w:pPr>
        <w:tabs>
          <w:tab w:val="left" w:pos="0"/>
        </w:tabs>
        <w:spacing w:after="120"/>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63C87886" w14:textId="77777777" w:rsidR="00C94E12" w:rsidRDefault="00C94E12" w:rsidP="00C94E12">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Durante los procesos de selección objetiva para contratistas de obra o interventores, se descontará hasta tres (3) por ciento de los puntos por cada anotación en el Registro Nacional de Obras Civiles Inconclusas, por causas imputables a ellos, en los factores de ponderación de calidad, establecido en el literal a) del artículo 5° de la Ley 1150 de 2007 o la norma que la modifique</w:t>
      </w:r>
      <w:r>
        <w:rPr>
          <w:rStyle w:val="Refdenotaalpie"/>
          <w:rFonts w:ascii="Arial" w:eastAsia="Calibri" w:hAnsi="Arial" w:cs="Arial"/>
          <w:color w:val="000000"/>
          <w:sz w:val="22"/>
          <w:szCs w:val="22"/>
          <w:lang w:val="es-ES_tradnl" w:eastAsia="en-GB"/>
        </w:rPr>
        <w:footnoteReference w:id="28"/>
      </w:r>
      <w:r w:rsidRPr="00380576">
        <w:rPr>
          <w:rFonts w:ascii="Arial" w:eastAsia="Calibri" w:hAnsi="Arial" w:cs="Arial"/>
          <w:color w:val="000000"/>
          <w:sz w:val="21"/>
          <w:szCs w:val="21"/>
          <w:lang w:val="es-ES_tradnl" w:eastAsia="en-GB"/>
        </w:rPr>
        <w:t>.</w:t>
      </w:r>
    </w:p>
    <w:p w14:paraId="1CC4889F" w14:textId="77777777" w:rsidR="00C94E12" w:rsidRDefault="00C94E12" w:rsidP="00C94E12">
      <w:pPr>
        <w:tabs>
          <w:tab w:val="left" w:pos="0"/>
        </w:tabs>
        <w:spacing w:line="276" w:lineRule="auto"/>
        <w:ind w:left="709" w:right="709"/>
        <w:jc w:val="both"/>
        <w:rPr>
          <w:rFonts w:ascii="Arial" w:eastAsia="Calibri" w:hAnsi="Arial" w:cs="Arial"/>
          <w:color w:val="000000"/>
          <w:sz w:val="21"/>
          <w:szCs w:val="21"/>
          <w:lang w:val="es-ES_tradnl" w:eastAsia="en-GB"/>
        </w:rPr>
      </w:pPr>
    </w:p>
    <w:p w14:paraId="3AB9EA5E" w14:textId="77777777" w:rsidR="00C94E12" w:rsidRDefault="00C94E12" w:rsidP="00C94E12">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0960F13E" w14:textId="77777777" w:rsidR="00C94E12" w:rsidRDefault="00C94E12" w:rsidP="00C94E12">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671389E0" w14:textId="77777777" w:rsidR="00C94E12" w:rsidRPr="00AD46A2" w:rsidRDefault="00C94E12" w:rsidP="00C94E12">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De lo expuesto se puede concluir lo siguiente: i) para el legislador es claro que  no toda anotación en el Registro Nacional de Obras Civiles Inconclusa corresponde a una causa atribuible al contratista; ii) e</w:t>
      </w:r>
      <w:r w:rsidRPr="00AD46A2">
        <w:rPr>
          <w:rFonts w:ascii="Arial" w:eastAsia="Calibri" w:hAnsi="Arial" w:cs="Arial"/>
          <w:color w:val="000000"/>
          <w:sz w:val="22"/>
          <w:szCs w:val="22"/>
          <w:lang w:eastAsia="en-GB"/>
        </w:rPr>
        <w:t>n los procesos de contratación de obras públicas</w:t>
      </w:r>
      <w:r>
        <w:rPr>
          <w:rFonts w:ascii="Arial" w:eastAsia="Calibri" w:hAnsi="Arial" w:cs="Arial"/>
          <w:color w:val="000000"/>
          <w:sz w:val="22"/>
          <w:szCs w:val="22"/>
          <w:lang w:eastAsia="en-GB"/>
        </w:rPr>
        <w:t>, concretamente, para la selección de contratistas de obra o interventores,</w:t>
      </w:r>
      <w:r w:rsidRPr="00AD46A2">
        <w:rPr>
          <w:rFonts w:ascii="Arial" w:eastAsia="Calibri" w:hAnsi="Arial" w:cs="Arial"/>
          <w:color w:val="000000"/>
          <w:sz w:val="22"/>
          <w:szCs w:val="22"/>
          <w:lang w:eastAsia="en-GB"/>
        </w:rPr>
        <w:t xml:space="preserve"> que adelanten las entidades estatales contratantes</w:t>
      </w:r>
      <w:r>
        <w:rPr>
          <w:rFonts w:ascii="Arial" w:eastAsia="Calibri" w:hAnsi="Arial" w:cs="Arial"/>
          <w:color w:val="000000"/>
          <w:sz w:val="22"/>
          <w:szCs w:val="22"/>
          <w:lang w:eastAsia="en-GB"/>
        </w:rPr>
        <w:t xml:space="preserve">, las anotaciones en el registro deberán consultarse y analizarse; y iii) cuando en la anotación se evidencie una causa atribuible al contratista se descontará un porcentaje de los puntos en los factores de ponderación de calidad. Este aspecto guarda coherencia con las diferentes redacciones del artículo 6 en el trámite legislativo, de donde se desprende un especial énfasis en el incumplimiento del contratista. </w:t>
      </w:r>
    </w:p>
    <w:p w14:paraId="739D329C" w14:textId="77777777" w:rsidR="00C94E12" w:rsidRDefault="00C94E12" w:rsidP="00C94E12">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Finalmente, la versión actual del artículo 6 de la Ley 2020 de 2020 conserva el párrafo primero de manera idéntica a la redacción anterior, al tiempo que modificó el párrafo segundo, dejando abierta el método o la forma en la cual se tendrá en cuenta las anotaciones en el registro al momento de evaluar. Además, adicionó un párrafo relacionado </w:t>
      </w:r>
      <w:r>
        <w:rPr>
          <w:rFonts w:ascii="Arial" w:eastAsia="Calibri" w:hAnsi="Arial" w:cs="Arial"/>
          <w:color w:val="000000"/>
          <w:sz w:val="22"/>
          <w:szCs w:val="22"/>
          <w:lang w:val="es-ES_tradnl" w:eastAsia="en-GB"/>
        </w:rPr>
        <w:lastRenderedPageBreak/>
        <w:t xml:space="preserve">con las controversias que surjan respecto de los reportes de la información que suministre la entidad contratante. </w:t>
      </w:r>
    </w:p>
    <w:p w14:paraId="70AB7B83" w14:textId="77777777" w:rsidR="00C94E12" w:rsidRPr="00561F54" w:rsidRDefault="00C94E12" w:rsidP="00C94E12">
      <w:pPr>
        <w:spacing w:before="120" w:line="276" w:lineRule="auto"/>
        <w:ind w:firstLine="709"/>
        <w:jc w:val="both"/>
        <w:rPr>
          <w:rFonts w:ascii="Arial" w:eastAsiaTheme="minorHAnsi" w:hAnsi="Arial" w:cs="Arial"/>
          <w:sz w:val="22"/>
          <w:szCs w:val="22"/>
          <w:lang w:val="es-MX" w:eastAsia="en-US"/>
        </w:rPr>
      </w:pPr>
      <w:r w:rsidRPr="00561F54">
        <w:rPr>
          <w:rFonts w:ascii="Arial" w:eastAsia="Calibri" w:hAnsi="Arial" w:cs="Arial"/>
          <w:color w:val="000000"/>
          <w:sz w:val="22"/>
          <w:szCs w:val="22"/>
          <w:lang w:val="es-ES_tradnl" w:eastAsia="en-GB"/>
        </w:rPr>
        <w:t xml:space="preserve">Por ello, </w:t>
      </w:r>
      <w:bookmarkStart w:id="19" w:name="_Hlk87533626"/>
      <w:r w:rsidRPr="00561F54">
        <w:rPr>
          <w:rFonts w:ascii="Arial" w:eastAsia="Calibri" w:hAnsi="Arial" w:cs="Arial"/>
          <w:color w:val="000000"/>
          <w:sz w:val="22"/>
          <w:szCs w:val="22"/>
          <w:lang w:val="es-ES_tradnl" w:eastAsia="en-GB"/>
        </w:rPr>
        <w:t xml:space="preserve">atendiendo los antecedentes legislativos del artículo 6 de la Ley 2020 de 2020 anteriormente expuestos, se precisa que 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w:t>
      </w:r>
      <w:r w:rsidRPr="00561F54">
        <w:rPr>
          <w:rFonts w:ascii="Arial" w:eastAsiaTheme="minorHAnsi" w:hAnsi="Arial" w:cs="Arial"/>
          <w:sz w:val="22"/>
          <w:szCs w:val="22"/>
          <w:lang w:val="es-MX" w:eastAsia="en-US"/>
        </w:rPr>
        <w:t>si esa anotación se dio por un incumplimiento del contratista</w:t>
      </w:r>
      <w:r>
        <w:rPr>
          <w:rFonts w:ascii="Arial" w:eastAsiaTheme="minorHAnsi" w:hAnsi="Arial" w:cs="Arial"/>
          <w:sz w:val="22"/>
          <w:szCs w:val="22"/>
          <w:lang w:val="es-MX" w:eastAsia="en-US"/>
        </w:rPr>
        <w:t>, por lo que</w:t>
      </w:r>
      <w:r w:rsidRPr="00561F54">
        <w:rPr>
          <w:rFonts w:ascii="Arial" w:eastAsiaTheme="minorHAnsi" w:hAnsi="Arial" w:cs="Arial"/>
          <w:sz w:val="22"/>
          <w:szCs w:val="22"/>
          <w:lang w:val="es-MX" w:eastAsia="en-US"/>
        </w:rPr>
        <w:t xml:space="preserve">, dependiendo del supuesto, la entidad descontará el punto. </w:t>
      </w:r>
      <w:bookmarkEnd w:id="19"/>
    </w:p>
    <w:p w14:paraId="7DAE3FB4" w14:textId="77777777" w:rsidR="00C94E12" w:rsidRDefault="00C94E12" w:rsidP="00C94E12">
      <w:pPr>
        <w:spacing w:before="120" w:line="276" w:lineRule="auto"/>
        <w:ind w:firstLine="709"/>
        <w:jc w:val="both"/>
        <w:rPr>
          <w:rFonts w:ascii="Arial" w:eastAsiaTheme="minorHAnsi" w:hAnsi="Arial" w:cs="Arial"/>
          <w:sz w:val="22"/>
          <w:szCs w:val="22"/>
          <w:lang w:val="es-MX" w:eastAsia="en-US"/>
        </w:rPr>
      </w:pPr>
      <w:bookmarkStart w:id="20" w:name="_Hlk68164749"/>
      <w:r>
        <w:rPr>
          <w:rFonts w:ascii="Arial" w:hAnsi="Arial" w:cs="Arial"/>
          <w:color w:val="000000" w:themeColor="text1"/>
          <w:sz w:val="22"/>
        </w:rPr>
        <w:t xml:space="preserve">Debe precisarse que </w:t>
      </w:r>
      <w:r w:rsidRPr="00F80DAD">
        <w:rPr>
          <w:rFonts w:ascii="Arial" w:hAnsi="Arial" w:cs="Arial"/>
          <w:color w:val="000000" w:themeColor="text1"/>
          <w:sz w:val="22"/>
        </w:rPr>
        <w:t>las anotaciones vigentes en el Registro Nacional de Obras Civiles Inconclusas</w:t>
      </w:r>
      <w:r>
        <w:rPr>
          <w:rFonts w:ascii="Arial" w:hAnsi="Arial" w:cs="Arial"/>
          <w:color w:val="000000" w:themeColor="text1"/>
          <w:sz w:val="22"/>
        </w:rPr>
        <w:t xml:space="preserve"> </w:t>
      </w:r>
      <w:r w:rsidRPr="00F80DAD">
        <w:rPr>
          <w:rFonts w:ascii="Arial" w:hAnsi="Arial" w:cs="Arial"/>
          <w:color w:val="000000" w:themeColor="text1"/>
          <w:sz w:val="22"/>
        </w:rPr>
        <w:t xml:space="preserve">corresponden a </w:t>
      </w:r>
      <w:r>
        <w:rPr>
          <w:rFonts w:ascii="Arial" w:hAnsi="Arial" w:cs="Arial"/>
          <w:color w:val="000000" w:themeColor="text1"/>
          <w:sz w:val="22"/>
        </w:rPr>
        <w:t>las</w:t>
      </w:r>
      <w:r w:rsidRPr="00F80DAD">
        <w:rPr>
          <w:rFonts w:ascii="Arial" w:hAnsi="Arial" w:cs="Arial"/>
          <w:color w:val="000000" w:themeColor="text1"/>
          <w:sz w:val="22"/>
        </w:rPr>
        <w:t xml:space="preserve"> que reposan en </w:t>
      </w:r>
      <w:r>
        <w:rPr>
          <w:rFonts w:ascii="Arial" w:hAnsi="Arial" w:cs="Arial"/>
          <w:color w:val="000000" w:themeColor="text1"/>
          <w:sz w:val="22"/>
        </w:rPr>
        <w:t>este</w:t>
      </w:r>
      <w:r w:rsidRPr="00F80DAD">
        <w:rPr>
          <w:rFonts w:ascii="Arial" w:hAnsi="Arial" w:cs="Arial"/>
          <w:color w:val="000000" w:themeColor="text1"/>
          <w:sz w:val="22"/>
        </w:rPr>
        <w:t>, teniendo en cuenta las actualizaciones que realice la Contraloría General de la República y las entidades estatales</w:t>
      </w:r>
      <w:r>
        <w:rPr>
          <w:rFonts w:ascii="Arial" w:hAnsi="Arial" w:cs="Arial"/>
          <w:color w:val="000000" w:themeColor="text1"/>
          <w:sz w:val="22"/>
        </w:rPr>
        <w:t>, conforme al artículo 3 de la Ley 2020 de 2020.</w:t>
      </w:r>
      <w:r w:rsidRPr="00523363">
        <w:rPr>
          <w:rFonts w:ascii="Arial" w:hAnsi="Arial" w:cs="Arial"/>
          <w:color w:val="000000" w:themeColor="text1"/>
          <w:sz w:val="22"/>
        </w:rPr>
        <w:t xml:space="preserve"> </w:t>
      </w:r>
      <w:bookmarkStart w:id="21" w:name="_Hlk70876793"/>
      <w:r w:rsidRPr="00523363">
        <w:rPr>
          <w:rFonts w:ascii="Arial" w:hAnsi="Arial" w:cs="Arial"/>
          <w:color w:val="000000" w:themeColor="text1"/>
          <w:sz w:val="22"/>
        </w:rPr>
        <w:t>En tal sentido, para efectos del descuento del puntaje establecido</w:t>
      </w:r>
      <w:r>
        <w:rPr>
          <w:rFonts w:ascii="Arial" w:hAnsi="Arial" w:cs="Arial"/>
          <w:color w:val="000000" w:themeColor="text1"/>
          <w:sz w:val="22"/>
        </w:rPr>
        <w:t xml:space="preserve"> en el documento base</w:t>
      </w:r>
      <w:r w:rsidRPr="00523363">
        <w:rPr>
          <w:rFonts w:ascii="Arial" w:hAnsi="Arial" w:cs="Arial"/>
          <w:color w:val="000000" w:themeColor="text1"/>
          <w:sz w:val="22"/>
        </w:rPr>
        <w:t xml:space="preserve">, la entidad estatal </w:t>
      </w:r>
      <w:r>
        <w:rPr>
          <w:rFonts w:ascii="Arial" w:hAnsi="Arial" w:cs="Arial"/>
          <w:color w:val="000000" w:themeColor="text1"/>
          <w:sz w:val="22"/>
        </w:rPr>
        <w:t>–</w:t>
      </w:r>
      <w:r w:rsidRPr="00523363">
        <w:rPr>
          <w:rFonts w:ascii="Arial" w:hAnsi="Arial" w:cs="Arial"/>
          <w:color w:val="000000" w:themeColor="text1"/>
          <w:sz w:val="22"/>
        </w:rPr>
        <w:t>al momento de evaluar</w:t>
      </w:r>
      <w:r>
        <w:rPr>
          <w:rFonts w:ascii="Arial" w:hAnsi="Arial" w:cs="Arial"/>
          <w:color w:val="000000" w:themeColor="text1"/>
          <w:sz w:val="22"/>
        </w:rPr>
        <w:t xml:space="preserve">– </w:t>
      </w:r>
      <w:r w:rsidRPr="00523363">
        <w:rPr>
          <w:rFonts w:ascii="Arial" w:hAnsi="Arial" w:cs="Arial"/>
          <w:color w:val="000000" w:themeColor="text1"/>
          <w:sz w:val="22"/>
        </w:rPr>
        <w:t>deberá consulta</w:t>
      </w:r>
      <w:r>
        <w:rPr>
          <w:rFonts w:ascii="Arial" w:hAnsi="Arial" w:cs="Arial"/>
          <w:color w:val="000000" w:themeColor="text1"/>
          <w:sz w:val="22"/>
        </w:rPr>
        <w:t>r</w:t>
      </w:r>
      <w:r w:rsidRPr="00523363">
        <w:rPr>
          <w:rFonts w:ascii="Arial" w:hAnsi="Arial" w:cs="Arial"/>
          <w:color w:val="000000" w:themeColor="text1"/>
          <w:sz w:val="22"/>
        </w:rPr>
        <w:t xml:space="preserve"> y analizar las anotaciones en el </w:t>
      </w:r>
      <w:r>
        <w:rPr>
          <w:rFonts w:ascii="Arial" w:hAnsi="Arial" w:cs="Arial"/>
          <w:color w:val="000000" w:themeColor="text1"/>
          <w:sz w:val="22"/>
        </w:rPr>
        <w:t>r</w:t>
      </w:r>
      <w:r w:rsidRPr="00523363">
        <w:rPr>
          <w:rFonts w:ascii="Arial" w:hAnsi="Arial" w:cs="Arial"/>
          <w:color w:val="000000" w:themeColor="text1"/>
          <w:sz w:val="22"/>
        </w:rPr>
        <w:t>egistro con sus respectivas actualizaciones</w:t>
      </w:r>
      <w:r>
        <w:rPr>
          <w:rFonts w:ascii="Arial" w:hAnsi="Arial" w:cs="Arial"/>
          <w:color w:val="000000" w:themeColor="text1"/>
          <w:sz w:val="22"/>
        </w:rPr>
        <w:t>, sin perjuicio de que en procesos que no se rijan por documentos tipo exista una regulación distinta respecto a la consecuencia de encontrarse reportado en el registro.</w:t>
      </w:r>
      <w:bookmarkEnd w:id="20"/>
      <w:bookmarkEnd w:id="21"/>
    </w:p>
    <w:p w14:paraId="20CEEAFB" w14:textId="77777777" w:rsidR="00C94E12" w:rsidRDefault="00C94E12" w:rsidP="00C94E12">
      <w:pPr>
        <w:spacing w:before="120" w:line="276" w:lineRule="auto"/>
        <w:ind w:firstLine="709"/>
        <w:jc w:val="both"/>
        <w:rPr>
          <w:rFonts w:ascii="Arial" w:eastAsia="Calibri" w:hAnsi="Arial" w:cs="Arial"/>
          <w:color w:val="000000"/>
          <w:sz w:val="22"/>
          <w:lang w:val="es-ES_tradnl" w:eastAsia="en-GB"/>
        </w:rPr>
      </w:pPr>
      <w:r>
        <w:rPr>
          <w:rFonts w:ascii="Arial" w:eastAsiaTheme="minorHAnsi" w:hAnsi="Arial" w:cs="Arial"/>
          <w:sz w:val="22"/>
          <w:szCs w:val="22"/>
          <w:lang w:val="es-MX" w:eastAsia="en-US"/>
        </w:rPr>
        <w:t xml:space="preserve">Teniendo en cuenta lo anterior, es pertinente aclarar que el simple hecho de encontrarse incluido en el Registro Nacional de Obras Civiles Inconclusas no da lugar a descontar el punto señalado. En otras palabras, la anotación en el registro no genera automáticamente el descuento del punto, pues los efectos de encontrarse en dicho registro no siempre obedecen a responsabilidad o causas imputables al contratista, por lo que las anotaciones incluidas en el Registro Nacional de Obras Civiles inconclusas deben ser </w:t>
      </w:r>
      <w:r w:rsidRPr="00AD6123">
        <w:rPr>
          <w:rFonts w:ascii="Arial" w:eastAsiaTheme="minorHAnsi" w:hAnsi="Arial" w:cs="Arial"/>
          <w:i/>
          <w:iCs/>
          <w:sz w:val="22"/>
          <w:szCs w:val="22"/>
          <w:lang w:val="es-MX" w:eastAsia="en-US"/>
        </w:rPr>
        <w:t>consultadas y analizadas</w:t>
      </w:r>
      <w:r>
        <w:rPr>
          <w:rFonts w:ascii="Arial" w:eastAsiaTheme="minorHAnsi" w:hAnsi="Arial" w:cs="Arial"/>
          <w:sz w:val="22"/>
          <w:szCs w:val="22"/>
          <w:lang w:val="es-MX" w:eastAsia="en-US"/>
        </w:rPr>
        <w:t xml:space="preserve">. En efecto, como se explicó, la información que reposa en dicho Registro contiene las obras que </w:t>
      </w:r>
      <w:r>
        <w:rPr>
          <w:rFonts w:ascii="Arial" w:eastAsia="Calibri" w:hAnsi="Arial" w:cs="Arial"/>
          <w:color w:val="000000"/>
          <w:sz w:val="22"/>
          <w:lang w:val="es-ES_tradnl" w:eastAsia="en-GB"/>
        </w:rPr>
        <w:t xml:space="preserve">no hayan </w:t>
      </w:r>
      <w:r w:rsidRPr="00E23980">
        <w:rPr>
          <w:rFonts w:ascii="Arial" w:eastAsia="Calibri" w:hAnsi="Arial" w:cs="Arial"/>
          <w:color w:val="000000"/>
          <w:sz w:val="22"/>
          <w:lang w:val="es-ES_tradnl" w:eastAsia="en-GB"/>
        </w:rPr>
        <w:t xml:space="preserve">concluido de manera satisfactoria para el interés general o el definido por la entidad estatal contratante, </w:t>
      </w:r>
      <w:r>
        <w:rPr>
          <w:rFonts w:ascii="Arial" w:eastAsia="Calibri" w:hAnsi="Arial" w:cs="Arial"/>
          <w:color w:val="000000"/>
          <w:sz w:val="22"/>
          <w:lang w:val="es-ES_tradnl" w:eastAsia="en-GB"/>
        </w:rPr>
        <w:t>así como aquellas que</w:t>
      </w:r>
      <w:r w:rsidRPr="00E23980">
        <w:rPr>
          <w:rFonts w:ascii="Arial" w:eastAsia="Calibri" w:hAnsi="Arial" w:cs="Arial"/>
          <w:color w:val="000000"/>
          <w:sz w:val="22"/>
          <w:lang w:val="es-ES_tradnl" w:eastAsia="en-GB"/>
        </w:rPr>
        <w:t xml:space="preserve"> no est</w:t>
      </w:r>
      <w:r>
        <w:rPr>
          <w:rFonts w:ascii="Arial" w:eastAsia="Calibri" w:hAnsi="Arial" w:cs="Arial"/>
          <w:color w:val="000000"/>
          <w:sz w:val="22"/>
          <w:lang w:val="es-ES_tradnl" w:eastAsia="en-GB"/>
        </w:rPr>
        <w:t xml:space="preserve">én prestando el servicio para la </w:t>
      </w:r>
      <w:r w:rsidRPr="00E23980">
        <w:rPr>
          <w:rFonts w:ascii="Arial" w:eastAsia="Calibri" w:hAnsi="Arial" w:cs="Arial"/>
          <w:color w:val="000000"/>
          <w:sz w:val="22"/>
          <w:lang w:val="es-ES_tradnl" w:eastAsia="en-GB"/>
        </w:rPr>
        <w:t>cual fue contratada</w:t>
      </w:r>
      <w:r>
        <w:rPr>
          <w:rFonts w:ascii="Arial" w:eastAsia="Calibri" w:hAnsi="Arial" w:cs="Arial"/>
          <w:color w:val="000000"/>
          <w:sz w:val="22"/>
          <w:lang w:val="es-ES_tradnl" w:eastAsia="en-GB"/>
        </w:rPr>
        <w:t xml:space="preserve">. Este evento, en principio, no implica </w:t>
      </w:r>
      <w:r w:rsidRPr="008234E0">
        <w:rPr>
          <w:rFonts w:ascii="Arial" w:eastAsia="Calibri" w:hAnsi="Arial" w:cs="Arial"/>
          <w:i/>
          <w:color w:val="000000"/>
          <w:sz w:val="22"/>
          <w:lang w:val="es-ES_tradnl" w:eastAsia="en-GB"/>
        </w:rPr>
        <w:t>per se</w:t>
      </w:r>
      <w:r>
        <w:rPr>
          <w:rFonts w:ascii="Arial" w:eastAsia="Calibri" w:hAnsi="Arial" w:cs="Arial"/>
          <w:i/>
          <w:color w:val="000000"/>
          <w:sz w:val="22"/>
          <w:lang w:val="es-ES_tradnl" w:eastAsia="en-GB"/>
        </w:rPr>
        <w:t xml:space="preserve"> </w:t>
      </w:r>
      <w:r>
        <w:rPr>
          <w:rFonts w:ascii="Arial" w:eastAsia="Calibri" w:hAnsi="Arial" w:cs="Arial"/>
          <w:color w:val="000000"/>
          <w:sz w:val="22"/>
          <w:lang w:val="es-ES_tradnl" w:eastAsia="en-GB"/>
        </w:rPr>
        <w:t xml:space="preserve">un incumplimiento del contratista, pues las razones por las cuales la obra no esté prestando el servicio pueden ir desde defectos en el diseño, calidad de la obra, hasta falta de presupuesto para funcionamiento, razón por la que es importante analizar los datos consignados en el registro. </w:t>
      </w:r>
    </w:p>
    <w:p w14:paraId="3D196C23" w14:textId="77777777" w:rsidR="00C94E12" w:rsidRDefault="00C94E12" w:rsidP="00C94E12">
      <w:pPr>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Así las cosas, aunque el artículo 4 de la Ley 2020 de 2020 dispone el contenido mínimo de información que se debe incorporar en el Registro Nacional de Obras Civiles Inconclusas, puede suceder que la entidad no cuente con toda la información requerida y, por ende, no podría efectuar el registro de la información señalada en dicho artículo. Para esta situación, la Dirección de Información, Análisis y Reacción Inmediata de la Contraloría General de la República, en las </w:t>
      </w:r>
      <w:r>
        <w:rPr>
          <w:rFonts w:ascii="Arial" w:eastAsia="Calibri" w:hAnsi="Arial" w:cs="Arial"/>
          <w:color w:val="000000"/>
          <w:sz w:val="22"/>
          <w:lang w:val="es-ES_tradnl" w:eastAsia="en-GB"/>
        </w:rPr>
        <w:lastRenderedPageBreak/>
        <w:t xml:space="preserve">capacitaciones impartidas, ha indicado que </w:t>
      </w:r>
      <w:r w:rsidRPr="00066821">
        <w:rPr>
          <w:rFonts w:ascii="Arial" w:hAnsi="Arial" w:cs="Arial"/>
          <w:sz w:val="22"/>
        </w:rPr>
        <w:t>«</w:t>
      </w:r>
      <w:r>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066821">
        <w:rPr>
          <w:rFonts w:ascii="Arial" w:hAnsi="Arial" w:cs="Arial"/>
          <w:sz w:val="22"/>
        </w:rPr>
        <w:t>»</w:t>
      </w:r>
      <w:r>
        <w:rPr>
          <w:rStyle w:val="Refdenotaalpie"/>
          <w:rFonts w:ascii="Arial" w:eastAsia="Calibri" w:hAnsi="Arial" w:cs="Arial"/>
          <w:color w:val="000000"/>
          <w:sz w:val="22"/>
          <w:lang w:val="es-ES_tradnl" w:eastAsia="en-GB"/>
        </w:rPr>
        <w:footnoteReference w:id="29"/>
      </w:r>
      <w:r>
        <w:rPr>
          <w:rFonts w:ascii="Arial" w:eastAsia="Calibri" w:hAnsi="Arial" w:cs="Arial"/>
          <w:color w:val="000000"/>
          <w:sz w:val="22"/>
          <w:lang w:val="es-ES_tradnl" w:eastAsia="en-GB"/>
        </w:rPr>
        <w:t xml:space="preserve">. </w:t>
      </w:r>
    </w:p>
    <w:p w14:paraId="13564319" w14:textId="77777777" w:rsidR="00C94E12" w:rsidRPr="00842919"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En este punto, cabe destacar que para descontar e</w:t>
      </w:r>
      <w:r>
        <w:rPr>
          <w:rFonts w:ascii="Arial" w:eastAsiaTheme="minorHAnsi" w:hAnsi="Arial" w:cs="Arial"/>
          <w:sz w:val="22"/>
          <w:szCs w:val="22"/>
          <w:lang w:val="es-MX" w:eastAsia="en-US"/>
        </w:rPr>
        <w:t xml:space="preserve">l puntaje conforme al </w:t>
      </w:r>
      <w:r>
        <w:rPr>
          <w:rFonts w:ascii="Arial" w:hAnsi="Arial" w:cs="Arial"/>
          <w:color w:val="000000" w:themeColor="text1"/>
          <w:sz w:val="22"/>
        </w:rPr>
        <w:t>documento base</w:t>
      </w:r>
      <w:r>
        <w:rPr>
          <w:rFonts w:ascii="Arial" w:eastAsiaTheme="minorHAnsi" w:hAnsi="Arial" w:cs="Arial"/>
          <w:sz w:val="22"/>
          <w:szCs w:val="22"/>
          <w:lang w:val="es-MX" w:eastAsia="en-US"/>
        </w:rPr>
        <w:t>, deberá tenerse en cuenta únicamente la información contemplada en dicho Registro</w:t>
      </w:r>
      <w:r>
        <w:rPr>
          <w:rFonts w:ascii="Arial" w:eastAsia="Calibri" w:hAnsi="Arial" w:cs="Arial"/>
          <w:color w:val="000000"/>
          <w:sz w:val="22"/>
          <w:lang w:val="es-ES_tradnl" w:eastAsia="en-GB"/>
        </w:rPr>
        <w:t xml:space="preserve">. </w:t>
      </w:r>
      <w:bookmarkStart w:id="22" w:name="_Hlk84358273"/>
      <w:r>
        <w:rPr>
          <w:rFonts w:ascii="Arial" w:eastAsia="Calibri" w:hAnsi="Arial" w:cs="Arial"/>
          <w:color w:val="000000"/>
          <w:sz w:val="22"/>
          <w:lang w:val="es-ES_tradnl" w:eastAsia="en-GB"/>
        </w:rPr>
        <w:t xml:space="preserve">Esto por cuanto el mismo artículo 6 de la Ley 2020 de 2020 establece que durante los procesos de selección objetiva para contratistas de obra o interventores se tendrán en cuenta las anotaciones vigentes en el Registro Nacional de Obras Inconclusas. Por tanto, solo podrá acudirse a la información allí reportada para efectos de lo dispuesto en el documento base. </w:t>
      </w:r>
      <w:bookmarkStart w:id="23" w:name="_Hlk84438253"/>
      <w:r>
        <w:rPr>
          <w:rFonts w:ascii="Arial" w:hAnsi="Arial" w:cs="Arial"/>
          <w:color w:val="000000" w:themeColor="text1"/>
          <w:sz w:val="22"/>
        </w:rPr>
        <w:t>De este modo, la entidad no podrá descontar el puntaje respectivo con información que no se encuentre allí registrada</w:t>
      </w:r>
      <w:r>
        <w:rPr>
          <w:rFonts w:ascii="Arial" w:hAnsi="Arial" w:cs="Arial"/>
          <w:bCs/>
          <w:color w:val="000000" w:themeColor="text1"/>
          <w:sz w:val="22"/>
          <w:lang w:val="es-ES_tradnl"/>
        </w:rPr>
        <w:t>.</w:t>
      </w:r>
    </w:p>
    <w:bookmarkEnd w:id="23"/>
    <w:p w14:paraId="6F58DB63" w14:textId="77777777" w:rsidR="00C94E12" w:rsidRPr="00F567E4" w:rsidRDefault="00C94E12" w:rsidP="00C94E12">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 xml:space="preserve">Así las cosas, a juicio de esta Agencia, la sola inclusión en el Registro Nacional de Obras Civiles Inconclusas no puede entenderse suficiente para descontar el puntaje en los factores de asignación de puntos establecidos en el pliego de condiciones. </w:t>
      </w:r>
      <w:r>
        <w:rPr>
          <w:rFonts w:ascii="Arial" w:eastAsiaTheme="minorHAnsi" w:hAnsi="Arial" w:cs="Arial"/>
          <w:sz w:val="22"/>
          <w:szCs w:val="22"/>
          <w:lang w:val="es-MX" w:eastAsia="en-US"/>
        </w:rPr>
        <w:t xml:space="preserve">De todas formas, si en el informe de evaluación que realiza la entidad se produce la reducción del puntaje bajo el único argumento de encontrarse en dicho Registro, sin efectuar un análisis previo de las anotaciones, el proponente, con fundamento en la interpretación de las normas analizadas, podrá formular la observación respectiva. De otro lado, en caso de que se presente alguna inconformidad en relación con la información reportada en el Registro por la entidad contratante que realizó la anotación, el artículo 6 de la Ley 2020 de 2020 </w:t>
      </w:r>
      <w:r w:rsidRPr="00F567E4">
        <w:rPr>
          <w:rFonts w:ascii="Arial" w:eastAsiaTheme="minorHAnsi" w:hAnsi="Arial" w:cs="Arial"/>
          <w:sz w:val="22"/>
          <w:szCs w:val="22"/>
          <w:lang w:val="es-MX" w:eastAsia="en-US"/>
        </w:rPr>
        <w:t>dispuso que tal controversia o solicitud será resuelta por la entidad contratante que suministró dicha información.</w:t>
      </w:r>
    </w:p>
    <w:bookmarkEnd w:id="18"/>
    <w:bookmarkEnd w:id="22"/>
    <w:p w14:paraId="025E924A" w14:textId="77777777" w:rsidR="00FA2147" w:rsidRPr="00FA2147" w:rsidRDefault="00FA2147" w:rsidP="00C94E12">
      <w:pPr>
        <w:spacing w:before="120" w:line="276" w:lineRule="auto"/>
        <w:jc w:val="both"/>
        <w:rPr>
          <w:rFonts w:ascii="Arial" w:eastAsiaTheme="minorHAnsi" w:hAnsi="Arial" w:cs="Arial"/>
          <w:sz w:val="22"/>
          <w:szCs w:val="22"/>
          <w:lang w:val="es-MX" w:eastAsia="en-US"/>
        </w:rPr>
      </w:pPr>
    </w:p>
    <w:p w14:paraId="37CA9805" w14:textId="7D32B119" w:rsidR="00DD5B04" w:rsidRPr="0045355B" w:rsidRDefault="004177A6" w:rsidP="00510DE9">
      <w:pPr>
        <w:tabs>
          <w:tab w:val="left" w:pos="0"/>
        </w:tabs>
        <w:jc w:val="both"/>
        <w:rPr>
          <w:rFonts w:ascii="Arial" w:eastAsia="Calibri" w:hAnsi="Arial" w:cs="Arial"/>
          <w:b/>
          <w:color w:val="000000" w:themeColor="text1"/>
          <w:sz w:val="22"/>
          <w:lang w:val="es-ES_tradnl"/>
        </w:rPr>
      </w:pPr>
      <w:r w:rsidRPr="0045355B">
        <w:rPr>
          <w:rFonts w:ascii="Arial" w:eastAsia="Calibri" w:hAnsi="Arial" w:cs="Arial"/>
          <w:b/>
          <w:color w:val="000000" w:themeColor="text1"/>
          <w:sz w:val="22"/>
          <w:lang w:val="es-ES_tradnl"/>
        </w:rPr>
        <w:t>3</w:t>
      </w:r>
      <w:r w:rsidR="00B011A9" w:rsidRPr="0045355B">
        <w:rPr>
          <w:rFonts w:ascii="Arial" w:eastAsia="Calibri" w:hAnsi="Arial" w:cs="Arial"/>
          <w:b/>
          <w:color w:val="000000" w:themeColor="text1"/>
          <w:sz w:val="22"/>
          <w:lang w:val="es-ES_tradnl"/>
        </w:rPr>
        <w:t xml:space="preserve">. </w:t>
      </w:r>
      <w:r w:rsidR="00DD5B04" w:rsidRPr="0045355B">
        <w:rPr>
          <w:rFonts w:ascii="Arial" w:eastAsia="Calibri" w:hAnsi="Arial" w:cs="Arial"/>
          <w:b/>
          <w:color w:val="000000" w:themeColor="text1"/>
          <w:sz w:val="22"/>
          <w:lang w:val="es-ES_tradnl"/>
        </w:rPr>
        <w:t>Respuesta</w:t>
      </w:r>
    </w:p>
    <w:p w14:paraId="46C0A1A6" w14:textId="14A0E1D9" w:rsidR="00243D88" w:rsidRPr="0045355B" w:rsidRDefault="00243D88" w:rsidP="00243D88">
      <w:pPr>
        <w:spacing w:line="276" w:lineRule="auto"/>
        <w:jc w:val="both"/>
        <w:rPr>
          <w:rFonts w:ascii="Arial" w:hAnsi="Arial" w:cs="Arial"/>
          <w:color w:val="000000" w:themeColor="text1"/>
          <w:sz w:val="22"/>
          <w:szCs w:val="22"/>
        </w:rPr>
      </w:pPr>
    </w:p>
    <w:p w14:paraId="105D0080" w14:textId="7D4B31AE" w:rsidR="002B43B8" w:rsidRPr="002B43B8" w:rsidRDefault="00243D88" w:rsidP="002B43B8">
      <w:pPr>
        <w:ind w:left="709" w:right="618"/>
        <w:jc w:val="both"/>
        <w:rPr>
          <w:rFonts w:ascii="Arial" w:eastAsia="Calibri" w:hAnsi="Arial" w:cs="Arial"/>
          <w:sz w:val="21"/>
          <w:szCs w:val="21"/>
          <w:lang w:val="es-ES_tradnl"/>
        </w:rPr>
      </w:pPr>
      <w:r w:rsidRPr="0045355B">
        <w:rPr>
          <w:rFonts w:ascii="Arial" w:eastAsia="Calibri" w:hAnsi="Arial" w:cs="Arial"/>
          <w:sz w:val="21"/>
          <w:szCs w:val="21"/>
          <w:lang w:val="es-ES"/>
        </w:rPr>
        <w:t>«</w:t>
      </w:r>
      <w:r w:rsidR="002B43B8" w:rsidRPr="002B43B8">
        <w:rPr>
          <w:rFonts w:ascii="Arial" w:eastAsia="Calibri" w:hAnsi="Arial" w:cs="Arial"/>
          <w:sz w:val="21"/>
          <w:szCs w:val="21"/>
          <w:lang w:val="es-ES_tradnl"/>
        </w:rPr>
        <w:t>[…</w:t>
      </w:r>
      <w:proofErr w:type="gramStart"/>
      <w:r w:rsidR="002B43B8" w:rsidRPr="002B43B8">
        <w:rPr>
          <w:rFonts w:ascii="Arial" w:eastAsia="Calibri" w:hAnsi="Arial" w:cs="Arial"/>
          <w:sz w:val="21"/>
          <w:szCs w:val="21"/>
          <w:lang w:val="es-ES_tradnl"/>
        </w:rPr>
        <w:t>]¿</w:t>
      </w:r>
      <w:proofErr w:type="gramEnd"/>
      <w:r w:rsidR="002B43B8" w:rsidRPr="002B43B8">
        <w:rPr>
          <w:rFonts w:ascii="Arial" w:eastAsia="Calibri" w:hAnsi="Arial" w:cs="Arial"/>
          <w:sz w:val="21"/>
          <w:szCs w:val="21"/>
          <w:lang w:val="es-ES_tradnl"/>
        </w:rPr>
        <w:t>cómo debe acreditar el proponente que el acto administrativo ha sido objeto de medio de control, (i) con la radicación de la demanda, (ii) con el auto admisorio, (iii) con una medida cautelar, o (iv) con sentencia en firme favorable o (v) con la solicitud de conciliación ante la PGN?</w:t>
      </w:r>
    </w:p>
    <w:p w14:paraId="5AE8EE56" w14:textId="77777777" w:rsidR="002B43B8" w:rsidRPr="002B43B8" w:rsidRDefault="002B43B8" w:rsidP="002B43B8">
      <w:pPr>
        <w:ind w:left="709" w:right="618"/>
        <w:jc w:val="both"/>
        <w:rPr>
          <w:rFonts w:ascii="Arial" w:eastAsia="Calibri" w:hAnsi="Arial" w:cs="Arial"/>
          <w:sz w:val="21"/>
          <w:szCs w:val="21"/>
          <w:lang w:val="es-ES_tradnl"/>
        </w:rPr>
      </w:pPr>
      <w:r w:rsidRPr="002B43B8">
        <w:rPr>
          <w:rFonts w:ascii="Arial" w:eastAsia="Calibri" w:hAnsi="Arial" w:cs="Arial"/>
          <w:sz w:val="21"/>
          <w:szCs w:val="21"/>
          <w:lang w:val="es-ES_tradnl"/>
        </w:rPr>
        <w:t>[…]</w:t>
      </w:r>
    </w:p>
    <w:p w14:paraId="5265BB6C" w14:textId="2682A6F1" w:rsidR="004166CB" w:rsidRPr="0045355B" w:rsidRDefault="002B43B8" w:rsidP="002B43B8">
      <w:pPr>
        <w:ind w:left="709" w:right="618"/>
        <w:jc w:val="both"/>
        <w:rPr>
          <w:rFonts w:ascii="Arial" w:eastAsia="Calibri" w:hAnsi="Arial" w:cs="Arial"/>
          <w:sz w:val="21"/>
          <w:szCs w:val="21"/>
          <w:lang w:val="es-ES"/>
        </w:rPr>
      </w:pPr>
      <w:r w:rsidRPr="002B43B8">
        <w:rPr>
          <w:rFonts w:ascii="Arial" w:eastAsia="Calibri" w:hAnsi="Arial" w:cs="Arial"/>
          <w:sz w:val="21"/>
          <w:szCs w:val="21"/>
          <w:lang w:val="es-ES_tradnl"/>
        </w:rPr>
        <w:t>el parágrafo solo señala que cuando el acto administrativo que impuso LA MULTA fue objeto de medio de control no se aplicará el descuento. ¿Quiere decir lo anterior que cuando se hizo efectiva la cláusula penal y se acredita que el acto administrativo fue objeto de medio de control, por no ser una multa, se debe descontar de igual forma el puntaje? o ¿se debe dar una interpretación extensiva?».</w:t>
      </w:r>
    </w:p>
    <w:p w14:paraId="4909A99D" w14:textId="77777777" w:rsidR="004166CB" w:rsidRPr="0045355B" w:rsidRDefault="004166CB" w:rsidP="000F636A">
      <w:pPr>
        <w:widowControl w:val="0"/>
        <w:autoSpaceDE w:val="0"/>
        <w:autoSpaceDN w:val="0"/>
        <w:spacing w:line="276" w:lineRule="auto"/>
        <w:jc w:val="both"/>
        <w:rPr>
          <w:rFonts w:ascii="Arial" w:hAnsi="Arial" w:cs="Arial"/>
          <w:color w:val="000000" w:themeColor="text1"/>
          <w:sz w:val="21"/>
          <w:szCs w:val="21"/>
          <w:lang w:val="es-ES_tradnl"/>
        </w:rPr>
      </w:pPr>
    </w:p>
    <w:p w14:paraId="1A8D9F20" w14:textId="78DA719E" w:rsidR="004C79FC" w:rsidRPr="0045355B" w:rsidRDefault="00E20C24" w:rsidP="004C79FC">
      <w:pPr>
        <w:tabs>
          <w:tab w:val="left" w:pos="0"/>
        </w:tabs>
        <w:spacing w:after="120" w:line="276" w:lineRule="auto"/>
        <w:jc w:val="both"/>
        <w:rPr>
          <w:rFonts w:ascii="Arial" w:eastAsia="Calibri" w:hAnsi="Arial" w:cs="Arial"/>
          <w:color w:val="000000" w:themeColor="text1"/>
          <w:sz w:val="22"/>
          <w:szCs w:val="22"/>
        </w:rPr>
      </w:pPr>
      <w:r w:rsidRPr="0045355B">
        <w:rPr>
          <w:rFonts w:ascii="Arial" w:eastAsia="Arial" w:hAnsi="Arial" w:cs="Arial"/>
          <w:bCs/>
          <w:sz w:val="22"/>
          <w:szCs w:val="22"/>
          <w:lang w:val="es-ES_tradnl" w:eastAsia="es-ES" w:bidi="es-ES"/>
        </w:rPr>
        <w:t>De acuerdo con las consideraciones</w:t>
      </w:r>
      <w:r w:rsidR="006C3746" w:rsidRPr="0045355B">
        <w:rPr>
          <w:rFonts w:ascii="Arial" w:eastAsia="Arial" w:hAnsi="Arial" w:cs="Arial"/>
          <w:bCs/>
          <w:sz w:val="22"/>
          <w:szCs w:val="22"/>
          <w:lang w:val="es-ES_tradnl" w:eastAsia="es-ES" w:bidi="es-ES"/>
        </w:rPr>
        <w:t xml:space="preserve"> expuestas, </w:t>
      </w:r>
      <w:r w:rsidR="004C79FC" w:rsidRPr="0045355B">
        <w:rPr>
          <w:rFonts w:ascii="Arial" w:eastAsia="Calibri" w:hAnsi="Arial" w:cs="Arial"/>
          <w:color w:val="000000" w:themeColor="text1"/>
          <w:sz w:val="22"/>
          <w:lang w:val="es-ES_tradnl"/>
        </w:rPr>
        <w:t xml:space="preserve">esta Agencia considera que </w:t>
      </w:r>
      <w:r w:rsidR="004C79FC" w:rsidRPr="0045355B">
        <w:rPr>
          <w:rFonts w:ascii="Arial" w:eastAsia="Calibri" w:hAnsi="Arial" w:cs="Arial"/>
          <w:color w:val="000000" w:themeColor="text1"/>
          <w:sz w:val="22"/>
          <w:szCs w:val="22"/>
          <w:lang w:val="es-ES_tradnl"/>
        </w:rPr>
        <w:t xml:space="preserve">la expresión que «sean objeto de medios de control jurisdiccional» incluida en el parágrafo del artículo 58 de la Ley 2195 de 2022 alude a que el acto administrativo que impuso la multa sea </w:t>
      </w:r>
      <w:r w:rsidR="004C79FC" w:rsidRPr="0045355B">
        <w:rPr>
          <w:rFonts w:ascii="Arial" w:eastAsia="Calibri" w:hAnsi="Arial" w:cs="Arial"/>
          <w:color w:val="000000" w:themeColor="text1"/>
          <w:sz w:val="22"/>
          <w:szCs w:val="22"/>
          <w:lang w:val="es-ES_tradnl"/>
        </w:rPr>
        <w:lastRenderedPageBreak/>
        <w:t xml:space="preserve">materia de discusión mediante </w:t>
      </w:r>
      <w:r w:rsidR="002B43B8">
        <w:rPr>
          <w:rFonts w:ascii="Arial" w:eastAsia="Calibri" w:hAnsi="Arial" w:cs="Arial"/>
          <w:color w:val="000000" w:themeColor="text1"/>
          <w:sz w:val="22"/>
          <w:szCs w:val="22"/>
          <w:lang w:val="es-ES_tradnl"/>
        </w:rPr>
        <w:t xml:space="preserve">el ejercicio de </w:t>
      </w:r>
      <w:r w:rsidR="004C79FC" w:rsidRPr="0045355B">
        <w:rPr>
          <w:rFonts w:ascii="Arial" w:eastAsia="Calibri" w:hAnsi="Arial" w:cs="Arial"/>
          <w:color w:val="000000" w:themeColor="text1"/>
          <w:sz w:val="22"/>
          <w:szCs w:val="22"/>
          <w:lang w:val="es-ES_tradnl"/>
        </w:rPr>
        <w:t xml:space="preserve">cualquiera de los medios de control jurisdiccional </w:t>
      </w:r>
      <w:r w:rsidR="002B43B8">
        <w:rPr>
          <w:rFonts w:ascii="Arial" w:eastAsia="Calibri" w:hAnsi="Arial" w:cs="Arial"/>
          <w:color w:val="000000" w:themeColor="text1"/>
          <w:sz w:val="22"/>
          <w:szCs w:val="22"/>
          <w:lang w:val="es-ES_tradnl"/>
        </w:rPr>
        <w:t>previstos en</w:t>
      </w:r>
      <w:r w:rsidR="004C79FC" w:rsidRPr="0045355B">
        <w:rPr>
          <w:rFonts w:ascii="Arial" w:eastAsia="Calibri" w:hAnsi="Arial" w:cs="Arial"/>
          <w:color w:val="000000" w:themeColor="text1"/>
          <w:sz w:val="22"/>
          <w:szCs w:val="22"/>
          <w:lang w:val="es-ES_tradnl"/>
        </w:rPr>
        <w:t xml:space="preserve"> la Ley 1437 de 2011</w:t>
      </w:r>
      <w:r w:rsidR="002B43B8">
        <w:rPr>
          <w:rFonts w:ascii="Arial" w:eastAsia="Calibri" w:hAnsi="Arial" w:cs="Arial"/>
          <w:color w:val="000000" w:themeColor="text1"/>
          <w:sz w:val="22"/>
          <w:szCs w:val="22"/>
          <w:lang w:val="es-ES_tradnl"/>
        </w:rPr>
        <w:t xml:space="preserve"> - CPACA</w:t>
      </w:r>
      <w:r w:rsidR="004C79FC" w:rsidRPr="0045355B">
        <w:rPr>
          <w:rFonts w:ascii="Arial" w:eastAsia="Calibri" w:hAnsi="Arial" w:cs="Arial"/>
          <w:color w:val="000000" w:themeColor="text1"/>
          <w:sz w:val="22"/>
          <w:szCs w:val="22"/>
          <w:lang w:val="es-ES_tradnl"/>
        </w:rPr>
        <w:t>, es decir,</w:t>
      </w:r>
      <w:r w:rsidR="004C79FC" w:rsidRPr="0045355B">
        <w:rPr>
          <w:rFonts w:ascii="Arial" w:eastAsia="Calibri" w:hAnsi="Arial" w:cs="Arial"/>
          <w:bCs/>
          <w:color w:val="000000" w:themeColor="text1"/>
          <w:sz w:val="22"/>
          <w:szCs w:val="22"/>
          <w:lang w:val="es-ES_tradnl"/>
        </w:rPr>
        <w:t xml:space="preserve"> que contra este se haya presentado una demanda y se encuentre en trámite </w:t>
      </w:r>
      <w:r w:rsidR="002B43B8">
        <w:rPr>
          <w:rFonts w:ascii="Arial" w:eastAsia="Calibri" w:hAnsi="Arial" w:cs="Arial"/>
          <w:bCs/>
          <w:color w:val="000000" w:themeColor="text1"/>
          <w:sz w:val="22"/>
          <w:szCs w:val="22"/>
          <w:lang w:val="es-ES_tradnl"/>
        </w:rPr>
        <w:t xml:space="preserve">ante el juez respectivo. Lo anterior </w:t>
      </w:r>
      <w:r w:rsidR="002B43B8">
        <w:rPr>
          <w:rFonts w:ascii="Arial" w:eastAsia="Calibri" w:hAnsi="Arial" w:cs="Arial"/>
          <w:color w:val="000000" w:themeColor="text1"/>
          <w:sz w:val="22"/>
          <w:szCs w:val="22"/>
          <w:lang w:val="es-ES_tradnl"/>
        </w:rPr>
        <w:t>conforme</w:t>
      </w:r>
      <w:r w:rsidR="004C79FC" w:rsidRPr="0045355B">
        <w:rPr>
          <w:rFonts w:ascii="Arial" w:eastAsia="Calibri" w:hAnsi="Arial" w:cs="Arial"/>
          <w:color w:val="000000" w:themeColor="text1"/>
          <w:sz w:val="22"/>
          <w:szCs w:val="22"/>
          <w:lang w:val="es-ES_tradnl"/>
        </w:rPr>
        <w:t xml:space="preserve"> con lo dispuesto en el artículo 179 del CPACA</w:t>
      </w:r>
      <w:r w:rsidR="002B43B8">
        <w:rPr>
          <w:rFonts w:ascii="Arial" w:eastAsia="Calibri" w:hAnsi="Arial" w:cs="Arial"/>
          <w:color w:val="000000" w:themeColor="text1"/>
          <w:sz w:val="22"/>
          <w:szCs w:val="22"/>
          <w:lang w:val="es-ES_tradnl"/>
        </w:rPr>
        <w:t xml:space="preserve"> que dice que </w:t>
      </w:r>
      <w:r w:rsidR="004C79FC" w:rsidRPr="0045355B">
        <w:rPr>
          <w:rFonts w:ascii="Arial" w:eastAsia="Calibri" w:hAnsi="Arial" w:cs="Arial"/>
          <w:color w:val="000000" w:themeColor="text1"/>
          <w:sz w:val="22"/>
          <w:szCs w:val="22"/>
          <w:lang w:val="es-ES_tradnl"/>
        </w:rPr>
        <w:t xml:space="preserve">la primera etapa </w:t>
      </w:r>
      <w:r w:rsidR="002B43B8">
        <w:rPr>
          <w:rFonts w:ascii="Arial" w:eastAsia="Calibri" w:hAnsi="Arial" w:cs="Arial"/>
          <w:color w:val="000000" w:themeColor="text1"/>
          <w:sz w:val="22"/>
          <w:szCs w:val="22"/>
          <w:lang w:val="es-ES_tradnl"/>
        </w:rPr>
        <w:t xml:space="preserve">de los procesos </w:t>
      </w:r>
      <w:proofErr w:type="gramStart"/>
      <w:r w:rsidR="00E6787D">
        <w:rPr>
          <w:rFonts w:ascii="Arial" w:eastAsia="Calibri" w:hAnsi="Arial" w:cs="Arial"/>
          <w:color w:val="000000" w:themeColor="text1"/>
          <w:sz w:val="22"/>
          <w:szCs w:val="22"/>
          <w:lang w:val="es-ES_tradnl"/>
        </w:rPr>
        <w:t>contencioso administrativos</w:t>
      </w:r>
      <w:proofErr w:type="gramEnd"/>
      <w:r w:rsidR="002B43B8">
        <w:rPr>
          <w:rFonts w:ascii="Arial" w:eastAsia="Calibri" w:hAnsi="Arial" w:cs="Arial"/>
          <w:color w:val="000000" w:themeColor="text1"/>
          <w:sz w:val="22"/>
          <w:szCs w:val="22"/>
          <w:lang w:val="es-ES_tradnl"/>
        </w:rPr>
        <w:t xml:space="preserve">, </w:t>
      </w:r>
      <w:r w:rsidR="004C79FC" w:rsidRPr="0045355B">
        <w:rPr>
          <w:rFonts w:ascii="Arial" w:eastAsia="Calibri" w:hAnsi="Arial" w:cs="Arial"/>
          <w:color w:val="000000" w:themeColor="text1"/>
          <w:sz w:val="22"/>
          <w:szCs w:val="22"/>
          <w:lang w:val="es-ES_tradnl"/>
        </w:rPr>
        <w:t>que no cuenta</w:t>
      </w:r>
      <w:r w:rsidR="002B43B8">
        <w:rPr>
          <w:rFonts w:ascii="Arial" w:eastAsia="Calibri" w:hAnsi="Arial" w:cs="Arial"/>
          <w:color w:val="000000" w:themeColor="text1"/>
          <w:sz w:val="22"/>
          <w:szCs w:val="22"/>
          <w:lang w:val="es-ES_tradnl"/>
        </w:rPr>
        <w:t>n</w:t>
      </w:r>
      <w:r w:rsidR="004C79FC" w:rsidRPr="0045355B">
        <w:rPr>
          <w:rFonts w:ascii="Arial" w:eastAsia="Calibri" w:hAnsi="Arial" w:cs="Arial"/>
          <w:color w:val="000000" w:themeColor="text1"/>
          <w:sz w:val="22"/>
          <w:szCs w:val="22"/>
          <w:lang w:val="es-ES_tradnl"/>
        </w:rPr>
        <w:t xml:space="preserve"> con un trámite especial, inicia con la presentación de la demanda. En este sentido, la Ley 1437 de 2011 reconoce como punto de partida del proceso contencioso administrativo la presentación de la demanda, la cual pone en marcha el aparato jurisdiccional</w:t>
      </w:r>
      <w:r w:rsidR="004C79FC" w:rsidRPr="0045355B">
        <w:rPr>
          <w:rFonts w:ascii="Arial" w:eastAsia="Calibri" w:hAnsi="Arial" w:cs="Arial"/>
          <w:color w:val="000000" w:themeColor="text1"/>
          <w:sz w:val="22"/>
          <w:szCs w:val="22"/>
        </w:rPr>
        <w:t>.</w:t>
      </w:r>
    </w:p>
    <w:p w14:paraId="33ED7E99" w14:textId="7E9865ED" w:rsidR="00167D66" w:rsidRPr="0045355B" w:rsidRDefault="004C79FC" w:rsidP="00A92369">
      <w:pPr>
        <w:spacing w:before="120" w:line="276" w:lineRule="auto"/>
        <w:ind w:firstLine="709"/>
        <w:jc w:val="both"/>
        <w:rPr>
          <w:rFonts w:ascii="Arial" w:eastAsia="Calibri" w:hAnsi="Arial" w:cs="Arial"/>
          <w:bCs/>
          <w:color w:val="000000" w:themeColor="text1"/>
          <w:sz w:val="22"/>
          <w:szCs w:val="22"/>
          <w:lang w:val="es-ES_tradnl"/>
        </w:rPr>
      </w:pPr>
      <w:r w:rsidRPr="0045355B">
        <w:rPr>
          <w:rFonts w:ascii="Arial" w:eastAsia="Calibri" w:hAnsi="Arial" w:cs="Arial"/>
          <w:color w:val="000000" w:themeColor="text1"/>
          <w:sz w:val="22"/>
          <w:szCs w:val="22"/>
          <w:lang w:val="es-ES_tradnl"/>
        </w:rPr>
        <w:t xml:space="preserve">De esta manera, </w:t>
      </w:r>
      <w:r w:rsidR="00A92369" w:rsidRPr="0045355B">
        <w:rPr>
          <w:rFonts w:ascii="Arial" w:eastAsia="Calibri" w:hAnsi="Arial" w:cs="Arial"/>
          <w:color w:val="000000" w:themeColor="text1"/>
          <w:sz w:val="22"/>
          <w:szCs w:val="22"/>
          <w:lang w:val="es-ES_tradnl"/>
        </w:rPr>
        <w:t xml:space="preserve">la </w:t>
      </w:r>
      <w:r w:rsidRPr="0045355B">
        <w:rPr>
          <w:rFonts w:ascii="Arial" w:eastAsia="Calibri" w:hAnsi="Arial" w:cs="Arial"/>
          <w:color w:val="000000" w:themeColor="text1"/>
          <w:sz w:val="22"/>
          <w:szCs w:val="22"/>
          <w:lang w:val="es-ES_tradnl"/>
        </w:rPr>
        <w:t xml:space="preserve">presentación de la demanda </w:t>
      </w:r>
      <w:r w:rsidRPr="0045355B">
        <w:rPr>
          <w:rFonts w:ascii="Arial" w:eastAsia="Calibri" w:hAnsi="Arial" w:cs="Arial"/>
          <w:bCs/>
          <w:color w:val="000000" w:themeColor="text1"/>
          <w:sz w:val="22"/>
          <w:szCs w:val="22"/>
        </w:rPr>
        <w:t xml:space="preserve">se constituye en el criterio interpretativo del parágrafo del artículo 58 de la Ley 2195 de 2022, de manera que la reducción del puntaje no se aplicará cuando el acto administrativo que impuso la multa haya sido demandado </w:t>
      </w:r>
      <w:r w:rsidRPr="0045355B">
        <w:rPr>
          <w:rFonts w:ascii="Arial" w:eastAsia="Calibri" w:hAnsi="Arial" w:cs="Arial"/>
          <w:color w:val="000000" w:themeColor="text1"/>
          <w:sz w:val="22"/>
          <w:szCs w:val="22"/>
          <w:lang w:val="es-ES_tradnl"/>
        </w:rPr>
        <w:t xml:space="preserve">mediante cualquiera de los medios de control establecidos en el </w:t>
      </w:r>
      <w:r w:rsidRPr="0045355B">
        <w:rPr>
          <w:rFonts w:ascii="Arial" w:eastAsia="Calibri" w:hAnsi="Arial" w:cs="Arial"/>
          <w:bCs/>
          <w:color w:val="000000" w:themeColor="text1"/>
          <w:sz w:val="22"/>
          <w:szCs w:val="22"/>
        </w:rPr>
        <w:t xml:space="preserve">Título III </w:t>
      </w:r>
      <w:r w:rsidR="00CB222D" w:rsidRPr="0045355B">
        <w:rPr>
          <w:rFonts w:ascii="Arial" w:eastAsia="Calibri" w:hAnsi="Arial" w:cs="Arial"/>
          <w:bCs/>
          <w:color w:val="000000" w:themeColor="text1"/>
          <w:sz w:val="22"/>
          <w:szCs w:val="22"/>
        </w:rPr>
        <w:t xml:space="preserve">de la parte segunda </w:t>
      </w:r>
      <w:r w:rsidRPr="0045355B">
        <w:rPr>
          <w:rFonts w:ascii="Arial" w:eastAsia="Calibri" w:hAnsi="Arial" w:cs="Arial"/>
          <w:bCs/>
          <w:color w:val="000000" w:themeColor="text1"/>
          <w:sz w:val="22"/>
          <w:szCs w:val="22"/>
        </w:rPr>
        <w:t>de</w:t>
      </w:r>
      <w:r w:rsidR="000119E4">
        <w:rPr>
          <w:rFonts w:ascii="Arial" w:eastAsia="Calibri" w:hAnsi="Arial" w:cs="Arial"/>
          <w:bCs/>
          <w:color w:val="000000" w:themeColor="text1"/>
          <w:sz w:val="22"/>
          <w:szCs w:val="22"/>
        </w:rPr>
        <w:t xml:space="preserve">l CPACA. </w:t>
      </w:r>
      <w:r w:rsidRPr="0045355B">
        <w:rPr>
          <w:rFonts w:ascii="Arial" w:eastAsia="Calibri" w:hAnsi="Arial" w:cs="Arial"/>
          <w:bCs/>
          <w:color w:val="000000" w:themeColor="text1"/>
          <w:sz w:val="22"/>
          <w:szCs w:val="22"/>
        </w:rPr>
        <w:t xml:space="preserve">Para estos efectos, </w:t>
      </w:r>
      <w:r w:rsidR="000119E4">
        <w:rPr>
          <w:rFonts w:ascii="Arial" w:eastAsia="Calibri" w:hAnsi="Arial" w:cs="Arial"/>
          <w:bCs/>
          <w:color w:val="000000" w:themeColor="text1"/>
          <w:sz w:val="22"/>
          <w:szCs w:val="22"/>
        </w:rPr>
        <w:t>el</w:t>
      </w:r>
      <w:r w:rsidRPr="0045355B">
        <w:rPr>
          <w:rFonts w:ascii="Arial" w:eastAsia="Calibri" w:hAnsi="Arial" w:cs="Arial"/>
          <w:bCs/>
          <w:color w:val="000000" w:themeColor="text1"/>
          <w:sz w:val="22"/>
          <w:szCs w:val="22"/>
        </w:rPr>
        <w:t xml:space="preserve"> proponente </w:t>
      </w:r>
      <w:r w:rsidR="000119E4">
        <w:rPr>
          <w:rFonts w:ascii="Arial" w:eastAsia="Calibri" w:hAnsi="Arial" w:cs="Arial"/>
          <w:bCs/>
          <w:color w:val="000000" w:themeColor="text1"/>
          <w:sz w:val="22"/>
          <w:szCs w:val="22"/>
        </w:rPr>
        <w:t xml:space="preserve">al </w:t>
      </w:r>
      <w:r w:rsidRPr="0045355B">
        <w:rPr>
          <w:rFonts w:ascii="Arial" w:eastAsia="Calibri" w:hAnsi="Arial" w:cs="Arial"/>
          <w:bCs/>
          <w:color w:val="000000" w:themeColor="text1"/>
          <w:sz w:val="22"/>
          <w:szCs w:val="22"/>
        </w:rPr>
        <w:t xml:space="preserve">que se le haya impuesto una </w:t>
      </w:r>
      <w:r w:rsidR="000119E4">
        <w:rPr>
          <w:rFonts w:ascii="Arial" w:eastAsia="Calibri" w:hAnsi="Arial" w:cs="Arial"/>
          <w:bCs/>
          <w:color w:val="000000" w:themeColor="text1"/>
          <w:sz w:val="22"/>
          <w:szCs w:val="22"/>
        </w:rPr>
        <w:t xml:space="preserve">multa </w:t>
      </w:r>
      <w:r w:rsidRPr="0045355B">
        <w:rPr>
          <w:rFonts w:ascii="Arial" w:eastAsia="Calibri" w:hAnsi="Arial" w:cs="Arial"/>
          <w:bCs/>
          <w:color w:val="000000" w:themeColor="text1"/>
          <w:sz w:val="22"/>
          <w:szCs w:val="22"/>
        </w:rPr>
        <w:t xml:space="preserve">mediante acto administrativo y pretenda que se aplique la excepción del parágrafo primero del artículo </w:t>
      </w:r>
      <w:r w:rsidR="000119E4">
        <w:rPr>
          <w:rFonts w:ascii="Arial" w:eastAsia="Calibri" w:hAnsi="Arial" w:cs="Arial"/>
          <w:bCs/>
          <w:color w:val="000000" w:themeColor="text1"/>
          <w:sz w:val="22"/>
          <w:szCs w:val="22"/>
        </w:rPr>
        <w:t>58 referido</w:t>
      </w:r>
      <w:r w:rsidRPr="0045355B">
        <w:rPr>
          <w:rFonts w:ascii="Arial" w:eastAsia="Calibri" w:hAnsi="Arial" w:cs="Arial"/>
          <w:bCs/>
          <w:color w:val="000000" w:themeColor="text1"/>
          <w:sz w:val="22"/>
          <w:szCs w:val="22"/>
        </w:rPr>
        <w:t xml:space="preserve">, deberá presentar el documento respectivo que acredite la </w:t>
      </w:r>
      <w:r w:rsidR="000119E4">
        <w:rPr>
          <w:rFonts w:ascii="Arial" w:eastAsia="Calibri" w:hAnsi="Arial" w:cs="Arial"/>
          <w:bCs/>
          <w:color w:val="000000" w:themeColor="text1"/>
          <w:sz w:val="22"/>
          <w:szCs w:val="22"/>
        </w:rPr>
        <w:t>presentación</w:t>
      </w:r>
      <w:r w:rsidRPr="0045355B">
        <w:rPr>
          <w:rFonts w:ascii="Arial" w:eastAsia="Calibri" w:hAnsi="Arial" w:cs="Arial"/>
          <w:bCs/>
          <w:color w:val="000000" w:themeColor="text1"/>
          <w:sz w:val="22"/>
          <w:szCs w:val="22"/>
        </w:rPr>
        <w:t xml:space="preserve"> de la demanda ante la jurisdicción contenciosa administrativa. </w:t>
      </w:r>
      <w:r w:rsidR="000E20C4" w:rsidRPr="0045355B">
        <w:rPr>
          <w:rFonts w:ascii="Arial" w:eastAsia="Calibri" w:hAnsi="Arial" w:cs="Arial"/>
          <w:bCs/>
          <w:color w:val="000000" w:themeColor="text1"/>
          <w:sz w:val="22"/>
          <w:szCs w:val="22"/>
        </w:rPr>
        <w:t>Debe</w:t>
      </w:r>
      <w:r w:rsidRPr="0045355B">
        <w:rPr>
          <w:rFonts w:ascii="Arial" w:eastAsia="Calibri" w:hAnsi="Arial" w:cs="Arial"/>
          <w:bCs/>
          <w:color w:val="000000" w:themeColor="text1"/>
          <w:sz w:val="22"/>
          <w:szCs w:val="22"/>
        </w:rPr>
        <w:t xml:space="preserve"> reiterar</w:t>
      </w:r>
      <w:r w:rsidR="000E20C4" w:rsidRPr="0045355B">
        <w:rPr>
          <w:rFonts w:ascii="Arial" w:eastAsia="Calibri" w:hAnsi="Arial" w:cs="Arial"/>
          <w:bCs/>
          <w:color w:val="000000" w:themeColor="text1"/>
          <w:sz w:val="22"/>
          <w:szCs w:val="22"/>
        </w:rPr>
        <w:t>se</w:t>
      </w:r>
      <w:r w:rsidRPr="0045355B">
        <w:rPr>
          <w:rFonts w:ascii="Arial" w:eastAsia="Calibri" w:hAnsi="Arial" w:cs="Arial"/>
          <w:bCs/>
          <w:color w:val="000000" w:themeColor="text1"/>
          <w:sz w:val="22"/>
          <w:szCs w:val="22"/>
        </w:rPr>
        <w:t xml:space="preserve"> que únicamente procederá la excepción </w:t>
      </w:r>
      <w:r w:rsidR="00781D5C" w:rsidRPr="0045355B">
        <w:rPr>
          <w:rFonts w:ascii="Arial" w:eastAsia="Calibri" w:hAnsi="Arial" w:cs="Arial"/>
          <w:bCs/>
          <w:color w:val="000000" w:themeColor="text1"/>
          <w:sz w:val="22"/>
          <w:szCs w:val="22"/>
        </w:rPr>
        <w:t xml:space="preserve">analizada </w:t>
      </w:r>
      <w:r w:rsidRPr="0045355B">
        <w:rPr>
          <w:rFonts w:ascii="Arial" w:eastAsia="Calibri" w:hAnsi="Arial" w:cs="Arial"/>
          <w:bCs/>
          <w:color w:val="000000" w:themeColor="text1"/>
          <w:sz w:val="22"/>
          <w:szCs w:val="22"/>
        </w:rPr>
        <w:t xml:space="preserve">si la demanda versa sobre el acto administrativo que impuso la multa </w:t>
      </w:r>
      <w:r w:rsidR="00781D5C" w:rsidRPr="0045355B">
        <w:rPr>
          <w:rFonts w:ascii="Arial" w:eastAsia="Calibri" w:hAnsi="Arial" w:cs="Arial"/>
          <w:bCs/>
          <w:color w:val="000000" w:themeColor="text1"/>
          <w:sz w:val="22"/>
          <w:szCs w:val="22"/>
        </w:rPr>
        <w:t xml:space="preserve">y se presentó </w:t>
      </w:r>
      <w:r w:rsidRPr="0045355B">
        <w:rPr>
          <w:rFonts w:ascii="Arial" w:eastAsia="Calibri" w:hAnsi="Arial" w:cs="Arial"/>
          <w:bCs/>
          <w:color w:val="000000" w:themeColor="text1"/>
          <w:sz w:val="22"/>
          <w:szCs w:val="22"/>
        </w:rPr>
        <w:t>mediante los medios de control establecidos en la Ley 1437 de 2011</w:t>
      </w:r>
      <w:r w:rsidR="00CB222D" w:rsidRPr="0045355B">
        <w:rPr>
          <w:rFonts w:ascii="Arial" w:eastAsia="Calibri" w:hAnsi="Arial" w:cs="Arial"/>
          <w:bCs/>
          <w:color w:val="000000" w:themeColor="text1"/>
          <w:sz w:val="22"/>
          <w:szCs w:val="22"/>
        </w:rPr>
        <w:t>.</w:t>
      </w:r>
    </w:p>
    <w:p w14:paraId="706F14D3" w14:textId="77777777" w:rsidR="000119E4" w:rsidRDefault="000119E4" w:rsidP="000119E4">
      <w:pPr>
        <w:spacing w:before="120" w:line="276" w:lineRule="auto"/>
        <w:ind w:firstLine="709"/>
        <w:jc w:val="both"/>
        <w:rPr>
          <w:rFonts w:ascii="Arial" w:eastAsia="Calibri" w:hAnsi="Arial" w:cs="Arial"/>
          <w:bCs/>
          <w:color w:val="000000" w:themeColor="text1"/>
          <w:sz w:val="22"/>
          <w:szCs w:val="22"/>
        </w:rPr>
      </w:pPr>
      <w:r w:rsidRPr="0045355B">
        <w:rPr>
          <w:rFonts w:ascii="Arial" w:eastAsia="Calibri" w:hAnsi="Arial" w:cs="Arial"/>
          <w:bCs/>
          <w:color w:val="000000" w:themeColor="text1"/>
          <w:sz w:val="22"/>
          <w:szCs w:val="22"/>
        </w:rPr>
        <w:t xml:space="preserve">Finalmente, es importante precisar que la interpretación realizada por la Agencia se deriva de lo establecido en el artículo 58 de la Ley 2195 de 2022, sin perjuicio de que el Gobierno Nacional en desarrollo de la potestad reglamentaria establecida en el artículo 189, numeral 11, de la Constitución </w:t>
      </w:r>
      <w:r>
        <w:rPr>
          <w:rFonts w:ascii="Arial" w:eastAsia="Calibri" w:hAnsi="Arial" w:cs="Arial"/>
          <w:bCs/>
          <w:color w:val="000000" w:themeColor="text1"/>
          <w:sz w:val="22"/>
          <w:szCs w:val="22"/>
        </w:rPr>
        <w:t xml:space="preserve">emita alguna regla distinta sobre </w:t>
      </w:r>
      <w:r w:rsidRPr="0045355B">
        <w:rPr>
          <w:rFonts w:ascii="Arial" w:eastAsia="Calibri" w:hAnsi="Arial" w:cs="Arial"/>
          <w:bCs/>
          <w:color w:val="000000" w:themeColor="text1"/>
          <w:sz w:val="22"/>
          <w:szCs w:val="22"/>
        </w:rPr>
        <w:t>la materia.</w:t>
      </w:r>
    </w:p>
    <w:p w14:paraId="355D2209" w14:textId="77777777" w:rsidR="002B43B8" w:rsidRDefault="002B43B8" w:rsidP="005E7925">
      <w:pPr>
        <w:spacing w:before="120" w:line="276" w:lineRule="auto"/>
        <w:ind w:firstLine="709"/>
        <w:jc w:val="both"/>
        <w:rPr>
          <w:rFonts w:ascii="Arial" w:eastAsia="Calibri" w:hAnsi="Arial" w:cs="Arial"/>
          <w:bCs/>
          <w:color w:val="000000" w:themeColor="text1"/>
          <w:sz w:val="22"/>
          <w:szCs w:val="22"/>
        </w:rPr>
      </w:pPr>
    </w:p>
    <w:p w14:paraId="61D17DC2" w14:textId="77777777" w:rsidR="002B43B8" w:rsidRDefault="002B43B8" w:rsidP="002B43B8">
      <w:pPr>
        <w:ind w:left="709" w:right="618"/>
        <w:jc w:val="both"/>
        <w:rPr>
          <w:rFonts w:ascii="Arial" w:eastAsia="Calibri" w:hAnsi="Arial" w:cs="Arial"/>
          <w:sz w:val="21"/>
          <w:szCs w:val="21"/>
          <w:lang w:val="es-ES"/>
        </w:rPr>
      </w:pPr>
      <w:r w:rsidRPr="00A51520">
        <w:rPr>
          <w:rFonts w:ascii="Arial" w:eastAsia="Calibri" w:hAnsi="Arial" w:cs="Arial"/>
          <w:sz w:val="21"/>
          <w:szCs w:val="21"/>
          <w:lang w:val="es-ES"/>
        </w:rPr>
        <w:t>«</w:t>
      </w:r>
      <w:r>
        <w:rPr>
          <w:rFonts w:ascii="Arial" w:eastAsia="Calibri" w:hAnsi="Arial" w:cs="Arial"/>
          <w:sz w:val="21"/>
          <w:szCs w:val="21"/>
          <w:lang w:val="es-ES"/>
        </w:rPr>
        <w:t>[…]</w:t>
      </w:r>
      <w:r w:rsidRPr="00E06ECF">
        <w:rPr>
          <w:rFonts w:ascii="Arial" w:eastAsia="Calibri" w:hAnsi="Arial" w:cs="Arial"/>
          <w:sz w:val="21"/>
          <w:szCs w:val="21"/>
          <w:lang w:val="es-ES"/>
        </w:rPr>
        <w:t>en el inciso primero señala que las Entidades contratantes deben consultar y hacer un análisis, por lo que se pregunta: ¿bajo que criterios se debe realizar dicho análisis de la Entidad Estatal? ¿cuáles son los elementos que debe analizar? ¿cuales son los criterios de interpretación o análisis que debe usar?</w:t>
      </w:r>
    </w:p>
    <w:p w14:paraId="3CD256BD" w14:textId="77777777" w:rsidR="002B43B8" w:rsidRPr="00E06ECF" w:rsidRDefault="002B43B8" w:rsidP="002B43B8">
      <w:pPr>
        <w:ind w:left="709" w:right="618"/>
        <w:jc w:val="both"/>
        <w:rPr>
          <w:rFonts w:ascii="Arial" w:eastAsia="Calibri" w:hAnsi="Arial" w:cs="Arial"/>
          <w:sz w:val="21"/>
          <w:szCs w:val="21"/>
          <w:lang w:val="es-ES"/>
        </w:rPr>
      </w:pPr>
      <w:r w:rsidRPr="00E06ECF">
        <w:rPr>
          <w:rFonts w:ascii="Arial" w:eastAsia="Calibri" w:hAnsi="Arial" w:cs="Arial"/>
          <w:sz w:val="21"/>
          <w:szCs w:val="21"/>
          <w:lang w:val="es-ES"/>
        </w:rPr>
        <w:t xml:space="preserve"> </w:t>
      </w:r>
      <w:r>
        <w:rPr>
          <w:rFonts w:ascii="Arial" w:eastAsia="Calibri" w:hAnsi="Arial" w:cs="Arial"/>
          <w:sz w:val="21"/>
          <w:szCs w:val="21"/>
          <w:lang w:val="es-ES"/>
        </w:rPr>
        <w:t>[…]</w:t>
      </w:r>
    </w:p>
    <w:p w14:paraId="6C5673A3" w14:textId="39F8D3F4" w:rsidR="002B43B8" w:rsidRDefault="002B43B8" w:rsidP="00F87357">
      <w:pPr>
        <w:ind w:left="709" w:right="618"/>
        <w:jc w:val="both"/>
        <w:rPr>
          <w:rFonts w:ascii="Arial" w:eastAsia="Calibri" w:hAnsi="Arial" w:cs="Arial"/>
          <w:sz w:val="21"/>
          <w:szCs w:val="21"/>
          <w:lang w:val="es-ES"/>
        </w:rPr>
      </w:pPr>
      <w:r w:rsidRPr="00E06ECF">
        <w:rPr>
          <w:rFonts w:ascii="Arial" w:eastAsia="Calibri" w:hAnsi="Arial" w:cs="Arial"/>
          <w:sz w:val="21"/>
          <w:szCs w:val="21"/>
          <w:lang w:val="es-ES"/>
        </w:rPr>
        <w:t>¿cómo se deben tener en cuenta las anotaciones en el Registro al momento de "evaluar" los factores de calidad y no en el momento de "establecer" los factores de ponderación de calidad?</w:t>
      </w:r>
      <w:r w:rsidRPr="00A51520">
        <w:rPr>
          <w:rFonts w:ascii="Arial" w:eastAsia="Calibri" w:hAnsi="Arial" w:cs="Arial"/>
          <w:sz w:val="21"/>
          <w:szCs w:val="21"/>
          <w:lang w:val="es-ES"/>
        </w:rPr>
        <w:t>»</w:t>
      </w:r>
      <w:r>
        <w:rPr>
          <w:rFonts w:ascii="Arial" w:eastAsia="Calibri" w:hAnsi="Arial" w:cs="Arial"/>
          <w:sz w:val="21"/>
          <w:szCs w:val="21"/>
          <w:lang w:val="es-ES"/>
        </w:rPr>
        <w:t>.</w:t>
      </w:r>
    </w:p>
    <w:p w14:paraId="63DA1E4C" w14:textId="41C925FF" w:rsidR="00850EC6" w:rsidRDefault="00850EC6" w:rsidP="00F87357">
      <w:pPr>
        <w:spacing w:line="276" w:lineRule="auto"/>
        <w:jc w:val="both"/>
        <w:rPr>
          <w:rFonts w:ascii="Arial" w:eastAsia="Calibri" w:hAnsi="Arial" w:cs="Arial"/>
          <w:color w:val="000000" w:themeColor="text1"/>
          <w:sz w:val="22"/>
          <w:szCs w:val="22"/>
          <w:lang w:val="es-ES"/>
        </w:rPr>
      </w:pPr>
    </w:p>
    <w:p w14:paraId="5CC3800D" w14:textId="725AD499" w:rsidR="00850EC6" w:rsidRDefault="00850EC6" w:rsidP="00F87357">
      <w:pPr>
        <w:spacing w:line="276" w:lineRule="auto"/>
        <w:jc w:val="both"/>
        <w:rPr>
          <w:rFonts w:ascii="Arial" w:eastAsiaTheme="minorHAnsi" w:hAnsi="Arial" w:cs="Arial"/>
          <w:bCs/>
          <w:sz w:val="22"/>
          <w:szCs w:val="22"/>
          <w:lang w:val="es-ES_tradnl" w:eastAsia="en-US"/>
        </w:rPr>
      </w:pPr>
      <w:r w:rsidRPr="00F567E4">
        <w:rPr>
          <w:rFonts w:ascii="Arial" w:eastAsiaTheme="minorHAnsi" w:hAnsi="Arial" w:cs="Arial"/>
          <w:sz w:val="22"/>
          <w:szCs w:val="22"/>
          <w:lang w:val="es-ES_tradnl" w:eastAsia="en-US"/>
        </w:rPr>
        <w:t xml:space="preserve">De conformidad con el artículo 2, literal </w:t>
      </w:r>
      <w:r>
        <w:rPr>
          <w:rFonts w:ascii="Arial" w:eastAsiaTheme="minorHAnsi" w:hAnsi="Arial" w:cs="Arial"/>
          <w:sz w:val="22"/>
          <w:szCs w:val="22"/>
          <w:lang w:val="es-ES_tradnl" w:eastAsia="en-US"/>
        </w:rPr>
        <w:t>a</w:t>
      </w:r>
      <w:r w:rsidRPr="00F567E4">
        <w:rPr>
          <w:rFonts w:ascii="Arial" w:eastAsiaTheme="minorHAnsi" w:hAnsi="Arial" w:cs="Arial"/>
          <w:sz w:val="22"/>
          <w:szCs w:val="22"/>
          <w:lang w:val="es-ES_tradnl" w:eastAsia="en-US"/>
        </w:rPr>
        <w:t xml:space="preserve">) de la Ley 2020 de 2020 </w:t>
      </w:r>
      <w:r w:rsidRPr="00955FF8">
        <w:rPr>
          <w:rFonts w:ascii="Arial" w:eastAsiaTheme="minorHAnsi" w:hAnsi="Arial" w:cs="Arial"/>
          <w:bCs/>
          <w:sz w:val="22"/>
          <w:szCs w:val="22"/>
          <w:lang w:val="es-ES_tradnl" w:eastAsia="en-US"/>
        </w:rPr>
        <w:t>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sidR="004852FC">
        <w:rPr>
          <w:rFonts w:ascii="Arial" w:eastAsiaTheme="minorHAnsi" w:hAnsi="Arial" w:cs="Arial"/>
          <w:bCs/>
          <w:sz w:val="22"/>
          <w:szCs w:val="22"/>
          <w:lang w:val="es-ES_tradnl" w:eastAsia="en-US"/>
        </w:rPr>
        <w:t xml:space="preserve"> </w:t>
      </w:r>
      <w:r w:rsidR="004852FC" w:rsidRPr="00955FF8">
        <w:rPr>
          <w:rFonts w:ascii="Arial" w:eastAsiaTheme="minorHAnsi" w:hAnsi="Arial" w:cs="Arial"/>
          <w:bCs/>
          <w:sz w:val="22"/>
          <w:szCs w:val="22"/>
          <w:lang w:val="es-ES_tradnl" w:eastAsia="en-US"/>
        </w:rPr>
        <w:t>El literal b,</w:t>
      </w:r>
      <w:r w:rsidR="004852FC">
        <w:rPr>
          <w:rFonts w:ascii="Arial" w:eastAsiaTheme="minorHAnsi" w:hAnsi="Arial" w:cs="Arial"/>
          <w:bCs/>
          <w:sz w:val="22"/>
          <w:szCs w:val="22"/>
          <w:lang w:val="es-ES_tradnl" w:eastAsia="en-US"/>
        </w:rPr>
        <w:t xml:space="preserve"> del artículo 2 de dicha Ley,</w:t>
      </w:r>
      <w:r w:rsidR="004852FC" w:rsidRPr="00955FF8">
        <w:rPr>
          <w:rFonts w:ascii="Arial" w:eastAsiaTheme="minorHAnsi" w:hAnsi="Arial" w:cs="Arial"/>
          <w:bCs/>
          <w:sz w:val="22"/>
          <w:szCs w:val="22"/>
          <w:lang w:val="es-ES_tradnl" w:eastAsia="en-US"/>
        </w:rPr>
        <w:t xml:space="preserve"> por su parte, define al Registro Nacional de Obras Civiles Inconclusas como «un sistema que contiene los datos sobre obras inconclusas en todo el </w:t>
      </w:r>
      <w:r w:rsidR="004852FC" w:rsidRPr="00955FF8">
        <w:rPr>
          <w:rFonts w:ascii="Arial" w:eastAsiaTheme="minorHAnsi" w:hAnsi="Arial" w:cs="Arial"/>
          <w:bCs/>
          <w:sz w:val="22"/>
          <w:szCs w:val="22"/>
          <w:lang w:val="es-ES_tradnl" w:eastAsia="en-US"/>
        </w:rPr>
        <w:lastRenderedPageBreak/>
        <w:t xml:space="preserve">territorio nacional. El inventario de obras civiles inconclusas reportado por las entidades estatales hará parte integral del banco de proyectos de la respectiva entidad». </w:t>
      </w:r>
      <w:r w:rsidR="004852FC">
        <w:rPr>
          <w:rFonts w:ascii="Arial" w:eastAsiaTheme="minorHAnsi" w:hAnsi="Arial" w:cs="Arial"/>
          <w:bCs/>
          <w:sz w:val="22"/>
          <w:szCs w:val="22"/>
          <w:lang w:val="es-ES_tradnl" w:eastAsia="en-US"/>
        </w:rPr>
        <w:t xml:space="preserve"> </w:t>
      </w:r>
    </w:p>
    <w:p w14:paraId="4BA2D2BC" w14:textId="77777777" w:rsidR="004852FC" w:rsidRPr="00F567E4" w:rsidRDefault="004852FC" w:rsidP="004852FC">
      <w:pPr>
        <w:spacing w:before="120" w:line="276" w:lineRule="auto"/>
        <w:ind w:firstLine="708"/>
        <w:jc w:val="both"/>
        <w:rPr>
          <w:rFonts w:ascii="Arial" w:eastAsiaTheme="minorHAnsi" w:hAnsi="Arial" w:cs="Arial"/>
          <w:sz w:val="22"/>
          <w:szCs w:val="22"/>
          <w:lang w:val="es-ES_tradnl" w:eastAsia="en-US"/>
        </w:rPr>
      </w:pPr>
      <w:r w:rsidRPr="00F567E4">
        <w:rPr>
          <w:rFonts w:ascii="Arial" w:eastAsiaTheme="minorHAnsi" w:hAnsi="Arial" w:cs="Arial"/>
          <w:sz w:val="22"/>
          <w:szCs w:val="22"/>
          <w:lang w:val="es-ES_tradnl" w:eastAsia="en-US"/>
        </w:rPr>
        <w:t xml:space="preserve">Por </w:t>
      </w:r>
      <w:r>
        <w:rPr>
          <w:rFonts w:ascii="Arial" w:eastAsiaTheme="minorHAnsi" w:hAnsi="Arial" w:cs="Arial"/>
          <w:sz w:val="22"/>
          <w:szCs w:val="22"/>
          <w:lang w:val="es-ES_tradnl" w:eastAsia="en-US"/>
        </w:rPr>
        <w:t xml:space="preserve">otro lado, </w:t>
      </w:r>
      <w:r w:rsidRPr="00F567E4">
        <w:rPr>
          <w:rFonts w:ascii="Arial" w:eastAsiaTheme="minorHAnsi" w:hAnsi="Arial" w:cs="Arial"/>
          <w:sz w:val="22"/>
          <w:szCs w:val="22"/>
          <w:lang w:val="es-ES_tradnl" w:eastAsia="en-US"/>
        </w:rPr>
        <w:t>e</w:t>
      </w:r>
      <w:r w:rsidRPr="00F567E4">
        <w:rPr>
          <w:rFonts w:ascii="Arial" w:hAnsi="Arial" w:cs="Arial"/>
          <w:color w:val="000000" w:themeColor="text1"/>
          <w:sz w:val="22"/>
        </w:rPr>
        <w:t xml:space="preserve">l artículo 6 de la Ley 2020 de 2020 establece un deber a cargo de las entidades estatales dentro de los procedimientos que adelanten para la contratación de obras públicas, que consiste en la obligación de consultar y analizar la información contenida en el Registro Nacional de Obras Civiles Inconclusas. A su vez indica que, 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 de acuerdo con lo que se establezca en los pliegos de condiciones. Esto significa que, para efectos de evaluar al proponente en el procedimiento de selección, las entidades estatales deben servirse de la información contenida en el registro, realizando el respectivo análisis de la información. </w:t>
      </w:r>
    </w:p>
    <w:p w14:paraId="407B5B27" w14:textId="77777777" w:rsidR="004852FC" w:rsidRPr="00DB3EB8" w:rsidRDefault="004852FC" w:rsidP="004852FC">
      <w:pPr>
        <w:spacing w:before="120" w:line="276" w:lineRule="auto"/>
        <w:ind w:firstLine="709"/>
        <w:jc w:val="both"/>
        <w:rPr>
          <w:rFonts w:ascii="Arial" w:eastAsia="Calibri" w:hAnsi="Arial" w:cs="Arial"/>
          <w:color w:val="000000"/>
          <w:sz w:val="22"/>
          <w:lang w:val="es-ES_tradnl" w:eastAsia="en-GB"/>
        </w:rPr>
      </w:pPr>
      <w:r>
        <w:rPr>
          <w:rFonts w:ascii="Arial" w:hAnsi="Arial" w:cs="Arial"/>
          <w:color w:val="000000" w:themeColor="text1"/>
          <w:sz w:val="22"/>
        </w:rPr>
        <w:t xml:space="preserve">En consecuencia, en los procesos de selección de contratación de obra y de interventoría que no resulten obligatorios la aplicación de los documentos tipo, cada entidad estatal tiene la discrecionalidad de determinar, en los pliegos de condiciones, la forma </w:t>
      </w:r>
      <w:r w:rsidRPr="009B6801">
        <w:rPr>
          <w:rFonts w:ascii="Arial" w:hAnsi="Arial" w:cs="Arial"/>
          <w:color w:val="000000" w:themeColor="text1"/>
          <w:sz w:val="22"/>
        </w:rPr>
        <w:t xml:space="preserve">en que se realizará </w:t>
      </w:r>
      <w:r>
        <w:rPr>
          <w:rFonts w:ascii="Arial" w:hAnsi="Arial" w:cs="Arial"/>
          <w:color w:val="000000" w:themeColor="text1"/>
          <w:sz w:val="22"/>
        </w:rPr>
        <w:t>el análisis</w:t>
      </w:r>
      <w:r w:rsidRPr="009B6801">
        <w:rPr>
          <w:rFonts w:ascii="Arial" w:hAnsi="Arial" w:cs="Arial"/>
          <w:color w:val="000000" w:themeColor="text1"/>
          <w:sz w:val="22"/>
        </w:rPr>
        <w:t xml:space="preserve"> de las anotaciones vigentes en el Registro Nacional de</w:t>
      </w:r>
      <w:r>
        <w:rPr>
          <w:rFonts w:ascii="Arial" w:hAnsi="Arial" w:cs="Arial"/>
          <w:color w:val="000000" w:themeColor="text1"/>
          <w:sz w:val="22"/>
        </w:rPr>
        <w:t xml:space="preserve"> Obras Civiles Inconclusas </w:t>
      </w:r>
      <w:r w:rsidRPr="00276373">
        <w:rPr>
          <w:rFonts w:ascii="Arial" w:hAnsi="Arial" w:cs="Arial"/>
          <w:color w:val="000000" w:themeColor="text1"/>
          <w:sz w:val="22"/>
        </w:rPr>
        <w:t>al momento de ponderar los factores de calidad</w:t>
      </w:r>
      <w:r>
        <w:rPr>
          <w:rFonts w:ascii="Arial" w:hAnsi="Arial" w:cs="Arial"/>
          <w:color w:val="000000" w:themeColor="text1"/>
          <w:sz w:val="22"/>
        </w:rPr>
        <w:t>, conforme a los parámetros del artículo 6 de la ley 2020 de 2020</w:t>
      </w:r>
      <w:r>
        <w:rPr>
          <w:rFonts w:ascii="Arial" w:eastAsia="Calibri" w:hAnsi="Arial" w:cs="Arial"/>
          <w:color w:val="000000"/>
          <w:sz w:val="22"/>
          <w:lang w:val="es-ES_tradnl" w:eastAsia="en-GB"/>
        </w:rPr>
        <w:t xml:space="preserve">. </w:t>
      </w:r>
      <w:r w:rsidRPr="000C76A6">
        <w:rPr>
          <w:rFonts w:ascii="Arial" w:hAnsi="Arial" w:cs="Arial"/>
          <w:color w:val="000000" w:themeColor="text1"/>
          <w:sz w:val="22"/>
        </w:rPr>
        <w:t>Lo anterior, teniendo en cuenta</w:t>
      </w:r>
      <w:r>
        <w:rPr>
          <w:rFonts w:ascii="Arial" w:hAnsi="Arial" w:cs="Arial"/>
          <w:color w:val="000000" w:themeColor="text1"/>
          <w:sz w:val="22"/>
        </w:rPr>
        <w:t xml:space="preserve"> </w:t>
      </w:r>
      <w:r w:rsidRPr="000C76A6">
        <w:rPr>
          <w:rFonts w:ascii="Arial" w:hAnsi="Arial" w:cs="Arial"/>
          <w:color w:val="000000" w:themeColor="text1"/>
          <w:sz w:val="22"/>
        </w:rPr>
        <w:t xml:space="preserve">que </w:t>
      </w:r>
      <w:r w:rsidRPr="000C76A6">
        <w:rPr>
          <w:rFonts w:ascii="Arial" w:hAnsi="Arial" w:cs="Arial"/>
          <w:color w:val="000000" w:themeColor="text1"/>
          <w:sz w:val="22"/>
          <w:lang w:val="es-MX"/>
        </w:rPr>
        <w:t>la norma no restringió a una metodología específica el análisis y la valoración de estas anotaciones</w:t>
      </w:r>
      <w:r>
        <w:rPr>
          <w:rFonts w:ascii="Arial" w:hAnsi="Arial" w:cs="Arial"/>
          <w:color w:val="000000" w:themeColor="text1"/>
          <w:sz w:val="22"/>
          <w:lang w:val="es-MX"/>
        </w:rPr>
        <w:t xml:space="preserve">. </w:t>
      </w:r>
    </w:p>
    <w:p w14:paraId="5764AD60" w14:textId="77777777" w:rsidR="004852FC" w:rsidRPr="00DB3EB8" w:rsidRDefault="004852FC" w:rsidP="004852FC">
      <w:pPr>
        <w:spacing w:before="120" w:line="276" w:lineRule="auto"/>
        <w:ind w:firstLine="709"/>
        <w:jc w:val="both"/>
        <w:rPr>
          <w:rFonts w:ascii="Arial" w:eastAsiaTheme="minorHAnsi" w:hAnsi="Arial" w:cs="Arial"/>
          <w:color w:val="000000" w:themeColor="text1"/>
          <w:sz w:val="22"/>
          <w:szCs w:val="22"/>
          <w:lang w:val="es-MX" w:eastAsia="en-US"/>
        </w:rPr>
      </w:pPr>
      <w:r w:rsidRPr="00DB3EB8">
        <w:rPr>
          <w:rFonts w:ascii="Arial" w:eastAsiaTheme="minorHAnsi" w:hAnsi="Arial" w:cs="Arial"/>
          <w:color w:val="000000" w:themeColor="text1"/>
          <w:sz w:val="22"/>
          <w:szCs w:val="22"/>
          <w:lang w:val="es-MX" w:eastAsia="en-US"/>
        </w:rPr>
        <w:t>En lo que atañe a</w:t>
      </w:r>
      <w:r>
        <w:rPr>
          <w:rFonts w:ascii="Arial" w:eastAsiaTheme="minorHAnsi" w:hAnsi="Arial" w:cs="Arial"/>
          <w:color w:val="000000" w:themeColor="text1"/>
          <w:sz w:val="22"/>
          <w:szCs w:val="22"/>
          <w:lang w:val="es-MX" w:eastAsia="en-US"/>
        </w:rPr>
        <w:t xml:space="preserve"> los documentos tipo de obra e interventoría</w:t>
      </w:r>
      <w:r w:rsidRPr="00DB3EB8">
        <w:rPr>
          <w:rFonts w:ascii="Arial" w:eastAsiaTheme="minorHAnsi" w:hAnsi="Arial" w:cs="Arial"/>
          <w:color w:val="000000" w:themeColor="text1"/>
          <w:sz w:val="22"/>
          <w:szCs w:val="22"/>
          <w:lang w:val="es-MX" w:eastAsia="en-US"/>
        </w:rPr>
        <w:t>,</w:t>
      </w:r>
      <w:r>
        <w:rPr>
          <w:rFonts w:ascii="Arial" w:hAnsi="Arial" w:cs="Arial"/>
          <w:sz w:val="22"/>
        </w:rPr>
        <w:t xml:space="preserve"> el </w:t>
      </w:r>
      <w:r w:rsidRPr="00DB3EB8">
        <w:rPr>
          <w:rFonts w:ascii="Arial" w:hAnsi="Arial" w:cs="Arial"/>
          <w:sz w:val="22"/>
        </w:rPr>
        <w:t xml:space="preserve">numeral 4.2 «Factor de </w:t>
      </w:r>
      <w:r w:rsidRPr="00DB3EB8">
        <w:rPr>
          <w:rFonts w:ascii="Arial" w:hAnsi="Arial" w:cs="Arial"/>
          <w:sz w:val="22"/>
          <w:szCs w:val="22"/>
        </w:rPr>
        <w:t xml:space="preserve">Calidad» contempló que </w:t>
      </w:r>
      <w:r w:rsidRPr="00066821">
        <w:rPr>
          <w:rFonts w:ascii="Arial" w:hAnsi="Arial" w:cs="Arial"/>
          <w:sz w:val="22"/>
        </w:rPr>
        <w:t>«</w:t>
      </w:r>
      <w:r w:rsidRPr="00DB3EB8">
        <w:rPr>
          <w:rFonts w:ascii="Arial" w:eastAsia="Calibri" w:hAnsi="Arial" w:cs="Arial"/>
          <w:color w:val="000000"/>
          <w:sz w:val="22"/>
          <w:szCs w:val="22"/>
          <w:lang w:val="es-ES_tradnl" w:eastAsia="en-GB"/>
        </w:rPr>
        <w:t xml:space="preserve">Las entidades estatales deben </w:t>
      </w:r>
      <w:r w:rsidRPr="00DB3EB8">
        <w:rPr>
          <w:rFonts w:ascii="Arial" w:eastAsia="Calibri" w:hAnsi="Arial" w:cs="Arial"/>
          <w:bCs/>
          <w:color w:val="000000"/>
          <w:sz w:val="22"/>
          <w:szCs w:val="22"/>
          <w:lang w:val="es-ES_tradnl" w:eastAsia="en-GB"/>
        </w:rPr>
        <w:t>consultar y analizar</w:t>
      </w:r>
      <w:r w:rsidRPr="00DB3EB8">
        <w:rPr>
          <w:rFonts w:ascii="Arial" w:eastAsia="Calibri" w:hAnsi="Arial" w:cs="Arial"/>
          <w:b/>
          <w:color w:val="000000"/>
          <w:sz w:val="22"/>
          <w:szCs w:val="22"/>
          <w:lang w:val="es-ES_tradnl" w:eastAsia="en-GB"/>
        </w:rPr>
        <w:t xml:space="preserve"> </w:t>
      </w:r>
      <w:r w:rsidRPr="00DB3EB8">
        <w:rPr>
          <w:rFonts w:ascii="Arial" w:eastAsia="Calibri" w:hAnsi="Arial" w:cs="Arial"/>
          <w:color w:val="000000"/>
          <w:sz w:val="22"/>
          <w:szCs w:val="22"/>
          <w:lang w:val="es-ES_tradnl" w:eastAsia="en-GB"/>
        </w:rPr>
        <w:t>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w:t>
      </w:r>
      <w:r w:rsidRPr="00066821">
        <w:rPr>
          <w:rFonts w:ascii="Arial" w:hAnsi="Arial" w:cs="Arial"/>
          <w:sz w:val="22"/>
        </w:rPr>
        <w:t>»</w:t>
      </w:r>
      <w:r>
        <w:rPr>
          <w:rFonts w:ascii="Arial" w:hAnsi="Arial" w:cs="Arial"/>
          <w:sz w:val="22"/>
        </w:rPr>
        <w:t>.</w:t>
      </w:r>
    </w:p>
    <w:p w14:paraId="219AD324" w14:textId="0A374B95" w:rsidR="004852FC" w:rsidRPr="00FA2147" w:rsidRDefault="004852FC" w:rsidP="00FA2147">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szCs w:val="22"/>
          <w:lang w:val="es-ES_tradnl" w:eastAsia="en-GB"/>
        </w:rPr>
        <w:t>Conforme a lo anterior</w:t>
      </w:r>
      <w:r w:rsidRPr="00DB3EB8">
        <w:rPr>
          <w:rFonts w:ascii="Arial" w:eastAsia="Calibri" w:hAnsi="Arial" w:cs="Arial"/>
          <w:color w:val="000000"/>
          <w:sz w:val="22"/>
          <w:szCs w:val="22"/>
          <w:lang w:val="es-ES_tradnl" w:eastAsia="en-GB"/>
        </w:rPr>
        <w:t>, se precisa que el descuento del punto de la sumatoria obtenida en relación con el factor de calidad</w:t>
      </w:r>
      <w:r>
        <w:rPr>
          <w:rFonts w:ascii="Arial" w:eastAsia="Calibri" w:hAnsi="Arial" w:cs="Arial"/>
          <w:color w:val="000000"/>
          <w:sz w:val="22"/>
          <w:szCs w:val="22"/>
          <w:lang w:val="es-ES_tradnl" w:eastAsia="en-GB"/>
        </w:rPr>
        <w:t>,</w:t>
      </w:r>
      <w:r w:rsidRPr="00DB3EB8">
        <w:rPr>
          <w:rFonts w:ascii="Arial" w:eastAsia="Calibri" w:hAnsi="Arial" w:cs="Arial"/>
          <w:color w:val="000000"/>
          <w:sz w:val="22"/>
          <w:szCs w:val="22"/>
          <w:lang w:val="es-ES_tradnl" w:eastAsia="en-GB"/>
        </w:rPr>
        <w:t xml:space="preserve"> del que trata el texto de los documentos base adoptados por la Agencia Nacional de Contratación Pública – Colombia Compra Eficiente, deberá efectuarse una vez la entidad realice la consulta y el análisis de las anotaciones en el Registro Nacional de Obras Civiles Inconclusas y determine </w:t>
      </w:r>
      <w:r w:rsidRPr="00DB3EB8">
        <w:rPr>
          <w:rFonts w:ascii="Arial" w:eastAsiaTheme="minorHAnsi" w:hAnsi="Arial" w:cs="Arial"/>
          <w:sz w:val="22"/>
          <w:szCs w:val="22"/>
          <w:lang w:val="es-MX" w:eastAsia="en-US"/>
        </w:rPr>
        <w:t>si esa anotación se dio por un incumplimiento del contratista</w:t>
      </w:r>
      <w:r>
        <w:rPr>
          <w:rFonts w:ascii="Arial" w:eastAsiaTheme="minorHAnsi" w:hAnsi="Arial" w:cs="Arial"/>
          <w:sz w:val="22"/>
          <w:szCs w:val="22"/>
          <w:lang w:val="es-MX" w:eastAsia="en-US"/>
        </w:rPr>
        <w:t>,</w:t>
      </w:r>
      <w:r w:rsidRPr="00DB3EB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por lo que</w:t>
      </w:r>
      <w:r w:rsidRPr="00DB3EB8">
        <w:rPr>
          <w:rFonts w:ascii="Arial" w:eastAsiaTheme="minorHAnsi" w:hAnsi="Arial" w:cs="Arial"/>
          <w:sz w:val="22"/>
          <w:szCs w:val="22"/>
          <w:lang w:val="es-MX" w:eastAsia="en-US"/>
        </w:rPr>
        <w:t xml:space="preserve">, dependiendo del supuesto, la entidad descontará el punto. </w:t>
      </w:r>
    </w:p>
    <w:p w14:paraId="5C8B9ACD" w14:textId="77777777" w:rsidR="004C79FC" w:rsidRPr="004C79FC" w:rsidRDefault="004C79FC" w:rsidP="004C79FC">
      <w:pPr>
        <w:tabs>
          <w:tab w:val="left" w:pos="0"/>
        </w:tabs>
        <w:spacing w:line="276" w:lineRule="auto"/>
        <w:jc w:val="both"/>
        <w:rPr>
          <w:rFonts w:ascii="Arial" w:eastAsia="Arial" w:hAnsi="Arial" w:cs="Arial"/>
          <w:bCs/>
          <w:sz w:val="22"/>
          <w:szCs w:val="22"/>
          <w:lang w:val="es-ES_tradnl" w:eastAsia="es-ES" w:bidi="es-ES"/>
        </w:rPr>
      </w:pPr>
    </w:p>
    <w:p w14:paraId="056816F7" w14:textId="464082FA" w:rsidR="00D40F8B" w:rsidRPr="00A51520" w:rsidRDefault="00DD5B04" w:rsidP="004C79FC">
      <w:pPr>
        <w:widowControl w:val="0"/>
        <w:autoSpaceDE w:val="0"/>
        <w:autoSpaceDN w:val="0"/>
        <w:spacing w:line="276" w:lineRule="auto"/>
        <w:jc w:val="both"/>
        <w:rPr>
          <w:rFonts w:ascii="Arial" w:hAnsi="Arial" w:cs="Arial"/>
          <w:sz w:val="22"/>
          <w:szCs w:val="22"/>
          <w:lang w:val="es-ES_tradnl" w:bidi="es-ES"/>
        </w:rPr>
      </w:pPr>
      <w:r w:rsidRPr="00A51520">
        <w:rPr>
          <w:rFonts w:ascii="Arial" w:hAnsi="Arial" w:cs="Arial"/>
          <w:color w:val="000000" w:themeColor="text1"/>
          <w:sz w:val="22"/>
          <w:szCs w:val="22"/>
          <w:lang w:val="es-ES_tradnl"/>
        </w:rPr>
        <w:t>Este concepto tiene el alcance previsto en el artículo 28 del</w:t>
      </w:r>
      <w:r w:rsidRPr="00A51520">
        <w:rPr>
          <w:rFonts w:ascii="Arial" w:hAnsi="Arial" w:cs="Arial"/>
          <w:color w:val="000000" w:themeColor="text1"/>
          <w:sz w:val="22"/>
          <w:lang w:val="es-ES_tradnl"/>
        </w:rPr>
        <w:t xml:space="preserve"> Código de Procedimiento </w:t>
      </w:r>
      <w:r w:rsidRPr="00A51520">
        <w:rPr>
          <w:rFonts w:ascii="Arial" w:hAnsi="Arial" w:cs="Arial"/>
          <w:color w:val="000000" w:themeColor="text1"/>
          <w:sz w:val="22"/>
          <w:lang w:val="es-ES_tradnl"/>
        </w:rPr>
        <w:lastRenderedPageBreak/>
        <w:t>Administrativo y de</w:t>
      </w:r>
      <w:r w:rsidR="00D40F8B" w:rsidRPr="00A51520">
        <w:rPr>
          <w:rFonts w:ascii="Arial" w:hAnsi="Arial" w:cs="Arial"/>
          <w:color w:val="000000" w:themeColor="text1"/>
          <w:sz w:val="22"/>
          <w:lang w:val="es-ES_tradnl"/>
        </w:rPr>
        <w:t xml:space="preserve"> lo Contencioso Administrativo.</w:t>
      </w:r>
    </w:p>
    <w:p w14:paraId="6F54E9C9" w14:textId="77777777" w:rsidR="00003233" w:rsidRPr="00A51520"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A5152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51520">
        <w:rPr>
          <w:rFonts w:ascii="Arial" w:hAnsi="Arial" w:cs="Arial"/>
          <w:color w:val="000000" w:themeColor="text1"/>
          <w:sz w:val="22"/>
          <w:szCs w:val="22"/>
          <w:lang w:val="es-ES_tradnl"/>
        </w:rPr>
        <w:t>Atentamente,</w:t>
      </w:r>
    </w:p>
    <w:bookmarkEnd w:id="5"/>
    <w:p w14:paraId="0AD1A4DD" w14:textId="67BD79B0" w:rsidR="002B43B8" w:rsidRPr="009C0CE5" w:rsidRDefault="003D74E7" w:rsidP="002B43B8">
      <w:pPr>
        <w:jc w:val="center"/>
        <w:rPr>
          <w:rFonts w:ascii="Arial" w:hAnsi="Arial" w:cs="Arial"/>
          <w:sz w:val="18"/>
          <w:szCs w:val="20"/>
          <w:lang w:val="es-MX" w:eastAsia="es-CO"/>
        </w:rPr>
      </w:pPr>
      <w:r>
        <w:rPr>
          <w:rFonts w:ascii="Arial" w:hAnsi="Arial" w:cs="Arial"/>
          <w:noProof/>
          <w:color w:val="000000" w:themeColor="text1"/>
          <w:sz w:val="22"/>
          <w:lang w:val="es-ES"/>
        </w:rPr>
        <w:drawing>
          <wp:inline distT="0" distB="0" distL="0" distR="0" wp14:anchorId="5172C4B8" wp14:editId="3AF196CB">
            <wp:extent cx="2174875" cy="9258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4875" cy="925830"/>
                    </a:xfrm>
                    <a:prstGeom prst="rect">
                      <a:avLst/>
                    </a:prstGeom>
                    <a:noFill/>
                    <a:ln>
                      <a:noFill/>
                    </a:ln>
                  </pic:spPr>
                </pic:pic>
              </a:graphicData>
            </a:graphic>
          </wp:inline>
        </w:drawing>
      </w:r>
    </w:p>
    <w:p w14:paraId="27AE6C95" w14:textId="77777777" w:rsidR="002B43B8" w:rsidRPr="009C0CE5" w:rsidRDefault="002B43B8" w:rsidP="002B43B8">
      <w:pPr>
        <w:spacing w:line="276" w:lineRule="auto"/>
        <w:jc w:val="center"/>
        <w:rPr>
          <w:rFonts w:ascii="Calibri" w:eastAsia="Calibri" w:hAnsi="Calibri"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B43B8" w:rsidRPr="009C0CE5" w14:paraId="6DB36679" w14:textId="77777777" w:rsidTr="004F7A2C">
        <w:trPr>
          <w:trHeight w:val="315"/>
        </w:trPr>
        <w:tc>
          <w:tcPr>
            <w:tcW w:w="812" w:type="dxa"/>
            <w:vAlign w:val="center"/>
            <w:hideMark/>
          </w:tcPr>
          <w:p w14:paraId="69884FBE" w14:textId="77777777" w:rsidR="002B43B8" w:rsidRPr="009C0CE5" w:rsidRDefault="002B43B8" w:rsidP="004F7A2C">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2D680E08" w14:textId="77777777" w:rsidR="002B43B8" w:rsidRPr="009C0CE5" w:rsidRDefault="002B43B8" w:rsidP="004F7A2C">
            <w:pPr>
              <w:rPr>
                <w:rFonts w:ascii="Arial" w:eastAsia="Calibri" w:hAnsi="Arial" w:cs="Arial"/>
                <w:sz w:val="16"/>
                <w:szCs w:val="16"/>
                <w:lang w:val="es-ES_tradnl" w:eastAsia="es-ES"/>
              </w:rPr>
            </w:pPr>
            <w:r>
              <w:rPr>
                <w:rFonts w:ascii="Arial" w:eastAsia="Calibri" w:hAnsi="Arial" w:cs="Arial"/>
                <w:sz w:val="16"/>
                <w:szCs w:val="16"/>
                <w:lang w:val="es-ES_tradnl" w:eastAsia="es-ES"/>
              </w:rPr>
              <w:t>Felipe Bastidas Paredes</w:t>
            </w:r>
          </w:p>
          <w:p w14:paraId="0BEF12DD" w14:textId="77777777" w:rsidR="002B43B8" w:rsidRPr="009C0CE5" w:rsidRDefault="002B43B8" w:rsidP="004F7A2C">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Contratista de la Subdirección de Gestión Contractual</w:t>
            </w:r>
          </w:p>
        </w:tc>
      </w:tr>
      <w:tr w:rsidR="002B43B8" w:rsidRPr="009C0CE5" w14:paraId="746C9BBE" w14:textId="77777777" w:rsidTr="004F7A2C">
        <w:trPr>
          <w:trHeight w:val="330"/>
        </w:trPr>
        <w:tc>
          <w:tcPr>
            <w:tcW w:w="812" w:type="dxa"/>
            <w:vAlign w:val="center"/>
            <w:hideMark/>
          </w:tcPr>
          <w:p w14:paraId="166F2705" w14:textId="77777777" w:rsidR="002B43B8" w:rsidRPr="009C0CE5" w:rsidRDefault="002B43B8" w:rsidP="004F7A2C">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138B66B" w14:textId="581AAACC" w:rsidR="002B43B8" w:rsidRPr="009C0CE5" w:rsidRDefault="002B43B8" w:rsidP="004F7A2C">
            <w:pPr>
              <w:rPr>
                <w:rFonts w:ascii="Arial" w:eastAsia="Calibri" w:hAnsi="Arial" w:cs="Arial"/>
                <w:sz w:val="16"/>
                <w:szCs w:val="16"/>
                <w:lang w:val="es-ES_tradnl" w:eastAsia="es-ES"/>
              </w:rPr>
            </w:pPr>
            <w:r>
              <w:rPr>
                <w:rFonts w:ascii="Arial" w:eastAsia="Calibri" w:hAnsi="Arial" w:cs="Arial"/>
                <w:sz w:val="16"/>
                <w:szCs w:val="16"/>
                <w:lang w:val="es-ES_tradnl" w:eastAsia="es-ES"/>
              </w:rPr>
              <w:t>Juan David Montoya</w:t>
            </w:r>
          </w:p>
          <w:p w14:paraId="79C0CC5A" w14:textId="1E8F35D6" w:rsidR="002B43B8" w:rsidRPr="009C0CE5" w:rsidRDefault="002B43B8" w:rsidP="004F7A2C">
            <w:pPr>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Gestor T1-15 de la Subdirección de Gestión Contractual</w:t>
            </w:r>
          </w:p>
        </w:tc>
      </w:tr>
      <w:tr w:rsidR="002B43B8" w:rsidRPr="00414696" w14:paraId="6BB45E96" w14:textId="77777777" w:rsidTr="004F7A2C">
        <w:trPr>
          <w:trHeight w:val="300"/>
        </w:trPr>
        <w:tc>
          <w:tcPr>
            <w:tcW w:w="812" w:type="dxa"/>
            <w:vAlign w:val="center"/>
            <w:hideMark/>
          </w:tcPr>
          <w:p w14:paraId="059FBC64" w14:textId="77777777" w:rsidR="002B43B8" w:rsidRPr="009C0CE5" w:rsidRDefault="002B43B8" w:rsidP="004F7A2C">
            <w:pPr>
              <w:spacing w:line="276" w:lineRule="auto"/>
              <w:rPr>
                <w:rFonts w:ascii="Arial" w:eastAsia="Calibri" w:hAnsi="Arial" w:cs="Arial"/>
                <w:sz w:val="16"/>
                <w:szCs w:val="16"/>
                <w:lang w:val="es-ES_tradnl" w:eastAsia="es-ES"/>
              </w:rPr>
            </w:pPr>
            <w:r w:rsidRPr="009C0CE5">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1DF4B20D" w14:textId="77777777" w:rsidR="00D77CA7" w:rsidRPr="00E01B70" w:rsidRDefault="00D77CA7" w:rsidP="00D77CA7">
            <w:pPr>
              <w:rPr>
                <w:rFonts w:ascii="Arial" w:hAnsi="Arial" w:cs="Arial"/>
                <w:sz w:val="16"/>
                <w:szCs w:val="16"/>
                <w:lang w:eastAsia="es-ES"/>
              </w:rPr>
            </w:pPr>
            <w:r w:rsidRPr="00E01B70">
              <w:rPr>
                <w:rFonts w:ascii="Arial" w:hAnsi="Arial" w:cs="Arial"/>
                <w:sz w:val="16"/>
                <w:szCs w:val="16"/>
                <w:lang w:eastAsia="es-ES"/>
              </w:rPr>
              <w:t xml:space="preserve">Andrés Ricardo Mancipe González </w:t>
            </w:r>
          </w:p>
          <w:p w14:paraId="2CEF198F" w14:textId="6BB2AF73" w:rsidR="002B43B8" w:rsidRPr="00414696" w:rsidRDefault="00D77CA7" w:rsidP="004F7A2C">
            <w:pPr>
              <w:rPr>
                <w:rFonts w:ascii="Arial" w:eastAsia="Calibri" w:hAnsi="Arial" w:cs="Arial"/>
                <w:sz w:val="16"/>
                <w:szCs w:val="16"/>
                <w:lang w:val="pt-BR" w:eastAsia="es-ES"/>
              </w:rPr>
            </w:pPr>
            <w:r w:rsidRPr="00E01B70">
              <w:rPr>
                <w:rFonts w:ascii="Arial" w:hAnsi="Arial" w:cs="Arial"/>
                <w:sz w:val="16"/>
                <w:szCs w:val="16"/>
                <w:lang w:eastAsia="es-ES"/>
              </w:rPr>
              <w:t>Subdirector de Gestión Contractual (E)</w:t>
            </w:r>
          </w:p>
        </w:tc>
      </w:tr>
    </w:tbl>
    <w:p w14:paraId="3F7284BE" w14:textId="3AD023D9" w:rsidR="008351F8" w:rsidRPr="002B43B8" w:rsidRDefault="008351F8" w:rsidP="005E7925">
      <w:pPr>
        <w:jc w:val="both"/>
        <w:rPr>
          <w:rFonts w:ascii="Arial" w:hAnsi="Arial" w:cs="Arial"/>
        </w:rPr>
      </w:pPr>
    </w:p>
    <w:sectPr w:rsidR="008351F8" w:rsidRPr="002B43B8" w:rsidSect="00026B36">
      <w:headerReference w:type="default" r:id="rId14"/>
      <w:footerReference w:type="default" r:id="rId15"/>
      <w:pgSz w:w="12240" w:h="15840"/>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86CF" w14:textId="77777777" w:rsidR="00241CA8" w:rsidRDefault="00241CA8">
      <w:r>
        <w:separator/>
      </w:r>
    </w:p>
  </w:endnote>
  <w:endnote w:type="continuationSeparator" w:id="0">
    <w:p w14:paraId="720EC87E" w14:textId="77777777" w:rsidR="00241CA8" w:rsidRDefault="00241CA8">
      <w:r>
        <w:continuationSeparator/>
      </w:r>
    </w:p>
  </w:endnote>
  <w:endnote w:type="continuationNotice" w:id="1">
    <w:p w14:paraId="5D792FB5" w14:textId="77777777" w:rsidR="00241CA8" w:rsidRDefault="00241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_M¸∫ò">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A8DF" w14:textId="77777777" w:rsidR="00241CA8" w:rsidRDefault="00241CA8">
      <w:r>
        <w:separator/>
      </w:r>
    </w:p>
  </w:footnote>
  <w:footnote w:type="continuationSeparator" w:id="0">
    <w:p w14:paraId="3FFF636A" w14:textId="77777777" w:rsidR="00241CA8" w:rsidRDefault="00241CA8">
      <w:r>
        <w:continuationSeparator/>
      </w:r>
    </w:p>
  </w:footnote>
  <w:footnote w:type="continuationNotice" w:id="1">
    <w:p w14:paraId="62F6D904" w14:textId="77777777" w:rsidR="00241CA8" w:rsidRDefault="00241CA8"/>
  </w:footnote>
  <w:footnote w:id="2">
    <w:p w14:paraId="0973061A" w14:textId="77777777" w:rsidR="00E14267" w:rsidRPr="009D3964" w:rsidRDefault="00E14267" w:rsidP="00E14267">
      <w:pPr>
        <w:pStyle w:val="Textonotapie"/>
        <w:ind w:firstLine="709"/>
        <w:jc w:val="both"/>
        <w:rPr>
          <w:rFonts w:ascii="Arial" w:hAnsi="Arial" w:cs="Arial"/>
          <w:sz w:val="19"/>
          <w:szCs w:val="19"/>
          <w:lang w:val="es-CO"/>
        </w:rPr>
      </w:pPr>
      <w:r w:rsidRPr="009D3964">
        <w:rPr>
          <w:rStyle w:val="Refdenotaalpie"/>
          <w:rFonts w:ascii="Arial" w:hAnsi="Arial" w:cs="Arial"/>
          <w:sz w:val="19"/>
          <w:szCs w:val="19"/>
        </w:rPr>
        <w:footnoteRef/>
      </w:r>
      <w:r w:rsidRPr="009D3964">
        <w:rPr>
          <w:rFonts w:ascii="Arial" w:hAnsi="Arial" w:cs="Arial"/>
          <w:sz w:val="19"/>
          <w:szCs w:val="19"/>
        </w:rPr>
        <w:t xml:space="preserve"> </w:t>
      </w:r>
      <w:r w:rsidRPr="005B1504">
        <w:rPr>
          <w:rFonts w:ascii="Arial" w:hAnsi="Arial" w:cs="Arial"/>
          <w:sz w:val="19"/>
          <w:szCs w:val="19"/>
          <w:lang w:val="es-CO"/>
        </w:rPr>
        <w:t xml:space="preserve">Informe de Ponencia para primer debate del proyecto de Ley Número 369 de 2021 Cámara – 341 de 2020 Senado. </w:t>
      </w:r>
      <w:r w:rsidRPr="005B1504">
        <w:rPr>
          <w:rFonts w:ascii="Arial" w:hAnsi="Arial" w:cs="Arial"/>
          <w:sz w:val="19"/>
          <w:szCs w:val="19"/>
        </w:rPr>
        <w:t xml:space="preserve">Gaceta del Congreso de la República No. </w:t>
      </w:r>
      <w:r w:rsidRPr="005B1504">
        <w:rPr>
          <w:rFonts w:ascii="Arial" w:hAnsi="Arial" w:cs="Arial"/>
          <w:sz w:val="19"/>
          <w:szCs w:val="19"/>
          <w:lang w:val="es-CO"/>
        </w:rPr>
        <w:t xml:space="preserve">1677 del 23 de noviembre de 2021. Disponible en: </w:t>
      </w:r>
      <w:hyperlink r:id="rId1" w:history="1">
        <w:r w:rsidRPr="005B1504">
          <w:rPr>
            <w:rStyle w:val="Hipervnculo"/>
            <w:rFonts w:ascii="Arial" w:hAnsi="Arial" w:cs="Arial"/>
            <w:color w:val="000000" w:themeColor="text1"/>
            <w:sz w:val="19"/>
            <w:szCs w:val="19"/>
            <w:u w:val="none"/>
            <w:lang w:val="es-CO"/>
          </w:rPr>
          <w:t>http://www.secretariasenado.gov.co/legibus/legibus/gacetas/2021/GC_1677_2021.pdf</w:t>
        </w:r>
      </w:hyperlink>
      <w:r w:rsidRPr="005B1504">
        <w:rPr>
          <w:rFonts w:ascii="Arial" w:hAnsi="Arial" w:cs="Arial"/>
          <w:color w:val="000000" w:themeColor="text1"/>
          <w:sz w:val="19"/>
          <w:szCs w:val="19"/>
          <w:lang w:val="es-CO"/>
        </w:rPr>
        <w:t xml:space="preserve"> </w:t>
      </w:r>
    </w:p>
  </w:footnote>
  <w:footnote w:id="3">
    <w:p w14:paraId="1CBDD742" w14:textId="77777777" w:rsidR="00E14267" w:rsidRPr="005B1504" w:rsidRDefault="00E14267" w:rsidP="00E14267">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 decir,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39F7C137" w14:textId="77777777" w:rsidR="00E14267" w:rsidRPr="005B1504" w:rsidRDefault="00E14267" w:rsidP="00E14267">
      <w:pPr>
        <w:pStyle w:val="Textonotapie"/>
        <w:ind w:firstLine="709"/>
        <w:jc w:val="both"/>
        <w:rPr>
          <w:rFonts w:ascii="Arial" w:hAnsi="Arial" w:cs="Arial"/>
          <w:sz w:val="19"/>
          <w:szCs w:val="19"/>
          <w:lang w:val="es-CO"/>
        </w:rPr>
      </w:pPr>
    </w:p>
  </w:footnote>
  <w:footnote w:id="4">
    <w:p w14:paraId="70BC2455" w14:textId="77777777" w:rsidR="00E14267" w:rsidRPr="005B1504" w:rsidRDefault="00E14267" w:rsidP="00E14267">
      <w:pPr>
        <w:pStyle w:val="Textonotapie"/>
        <w:ind w:firstLine="709"/>
        <w:jc w:val="both"/>
        <w:rPr>
          <w:rFonts w:ascii="Arial" w:hAnsi="Arial" w:cs="Arial"/>
          <w:sz w:val="19"/>
          <w:szCs w:val="19"/>
        </w:rPr>
      </w:pPr>
      <w:r w:rsidRPr="005B1504">
        <w:rPr>
          <w:rStyle w:val="Refdenotaalpie"/>
          <w:rFonts w:ascii="Arial" w:hAnsi="Arial" w:cs="Arial"/>
          <w:sz w:val="19"/>
          <w:szCs w:val="19"/>
        </w:rPr>
        <w:footnoteRef/>
      </w:r>
      <w:r w:rsidRPr="005B1504">
        <w:rPr>
          <w:rFonts w:ascii="Arial" w:hAnsi="Arial" w:cs="Arial"/>
          <w:sz w:val="19"/>
          <w:szCs w:val="19"/>
        </w:rPr>
        <w:t xml:space="preserve"> Esta norma dispone: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7CCACA69" w14:textId="77777777" w:rsidR="00E14267" w:rsidRPr="005B1504" w:rsidRDefault="00E14267" w:rsidP="00E14267">
      <w:pPr>
        <w:pStyle w:val="Textonotapie"/>
        <w:ind w:firstLine="709"/>
        <w:jc w:val="both"/>
        <w:rPr>
          <w:rFonts w:ascii="Arial" w:hAnsi="Arial" w:cs="Arial"/>
          <w:sz w:val="19"/>
          <w:szCs w:val="19"/>
        </w:rPr>
      </w:pPr>
      <w:r w:rsidRPr="005B1504">
        <w:rPr>
          <w:rFonts w:ascii="Arial" w:hAnsi="Arial" w:cs="Arial"/>
          <w:sz w:val="19"/>
          <w:szCs w:val="19"/>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p>
    <w:p w14:paraId="0AC40FF7" w14:textId="77777777" w:rsidR="00E14267" w:rsidRPr="005B1504" w:rsidRDefault="00E14267" w:rsidP="00E14267">
      <w:pPr>
        <w:pStyle w:val="Textonotapie"/>
        <w:ind w:firstLine="709"/>
        <w:jc w:val="both"/>
        <w:rPr>
          <w:rFonts w:ascii="Arial" w:hAnsi="Arial" w:cs="Arial"/>
          <w:sz w:val="19"/>
          <w:szCs w:val="19"/>
        </w:rPr>
      </w:pPr>
      <w:r w:rsidRPr="005B1504">
        <w:rPr>
          <w:rFonts w:ascii="Arial" w:hAnsi="Arial" w:cs="Arial"/>
          <w:sz w:val="19"/>
          <w:szCs w:val="19"/>
        </w:rPr>
        <w:t>»Cualquier controversia o solicitud que surja en relación con los reportes eje información que suministre la entidad contratante, serán resueltos por esta, atendiendo los principios y disposiciones establecidos en la normatividad vigente».</w:t>
      </w:r>
    </w:p>
    <w:p w14:paraId="1EA526E9" w14:textId="77777777" w:rsidR="00E14267" w:rsidRPr="005B1504" w:rsidRDefault="00E14267" w:rsidP="00E14267">
      <w:pPr>
        <w:pStyle w:val="Textonotapie"/>
        <w:ind w:firstLine="709"/>
        <w:jc w:val="both"/>
        <w:rPr>
          <w:rFonts w:ascii="Arial" w:hAnsi="Arial" w:cs="Arial"/>
          <w:sz w:val="19"/>
          <w:szCs w:val="19"/>
          <w:lang w:val="es-CO"/>
        </w:rPr>
      </w:pPr>
    </w:p>
  </w:footnote>
  <w:footnote w:id="5">
    <w:p w14:paraId="40D28A9E" w14:textId="77777777" w:rsidR="00E14267" w:rsidRDefault="00E14267" w:rsidP="00E14267">
      <w:pPr>
        <w:pStyle w:val="Textonotapie"/>
        <w:ind w:firstLine="709"/>
        <w:jc w:val="both"/>
        <w:rPr>
          <w:rFonts w:ascii="Arial" w:hAnsi="Arial" w:cs="Arial"/>
        </w:rPr>
      </w:pPr>
      <w:r>
        <w:rPr>
          <w:rStyle w:val="Refdenotaalpie"/>
        </w:rPr>
        <w:footnoteRef/>
      </w:r>
      <w:r>
        <w:t xml:space="preserve"> </w:t>
      </w:r>
      <w:r w:rsidRPr="00B43488">
        <w:rPr>
          <w:rFonts w:ascii="Arial" w:hAnsi="Arial" w:cs="Arial"/>
        </w:rPr>
        <w:t>SANABRÍA SANTOS, Henry. Derecho Procesal Civil General. Universidad Externado de Colombia. Primera edición. Junio de 2021. Pág. 439</w:t>
      </w:r>
    </w:p>
    <w:p w14:paraId="681C9E4C" w14:textId="77777777" w:rsidR="00E14267" w:rsidRPr="00731232" w:rsidRDefault="00E14267" w:rsidP="00E14267">
      <w:pPr>
        <w:pStyle w:val="Textonotapie"/>
        <w:ind w:firstLine="709"/>
        <w:jc w:val="both"/>
        <w:rPr>
          <w:lang w:val="es-CO"/>
        </w:rPr>
      </w:pPr>
    </w:p>
  </w:footnote>
  <w:footnote w:id="6">
    <w:p w14:paraId="2CF1ADB7" w14:textId="77777777" w:rsidR="00E14267" w:rsidRPr="00133974" w:rsidRDefault="00E14267" w:rsidP="00E14267">
      <w:pPr>
        <w:pStyle w:val="Textonotapie"/>
        <w:ind w:firstLine="709"/>
        <w:jc w:val="both"/>
        <w:rPr>
          <w:lang w:val="es-CO"/>
        </w:rPr>
      </w:pPr>
      <w:r>
        <w:rPr>
          <w:rStyle w:val="Refdenotaalpie"/>
        </w:rPr>
        <w:footnoteRef/>
      </w:r>
      <w:r>
        <w:t xml:space="preserve"> </w:t>
      </w:r>
      <w:r w:rsidRPr="00133974">
        <w:rPr>
          <w:rFonts w:ascii="Arial" w:hAnsi="Arial" w:cs="Arial"/>
          <w:sz w:val="19"/>
          <w:szCs w:val="19"/>
          <w:lang w:val="es-CO"/>
        </w:rPr>
        <w:t xml:space="preserve">En efecto, de conformidad con el principio </w:t>
      </w:r>
      <w:r w:rsidRPr="00985BE7">
        <w:rPr>
          <w:rFonts w:ascii="Arial" w:hAnsi="Arial" w:cs="Arial"/>
          <w:i/>
          <w:iCs/>
          <w:sz w:val="19"/>
          <w:szCs w:val="19"/>
          <w:lang w:val="es-CO"/>
        </w:rPr>
        <w:t>pro libertate</w:t>
      </w:r>
      <w:r w:rsidRPr="00133974">
        <w:rPr>
          <w:rFonts w:ascii="Arial" w:hAnsi="Arial" w:cs="Arial"/>
          <w:sz w:val="19"/>
          <w:szCs w:val="19"/>
          <w:lang w:val="es-CO"/>
        </w:rPr>
        <w:t xml:space="preserve"> </w:t>
      </w:r>
      <w:r w:rsidRPr="00C17DAC">
        <w:rPr>
          <w:rFonts w:ascii="Arial" w:eastAsia="Calibri" w:hAnsi="Arial" w:cs="Arial"/>
          <w:color w:val="000000" w:themeColor="text1"/>
          <w:sz w:val="22"/>
          <w:szCs w:val="22"/>
          <w:lang w:val="es-ES_tradnl"/>
        </w:rPr>
        <w:t>«</w:t>
      </w:r>
      <w:r w:rsidRPr="00133974">
        <w:rPr>
          <w:rFonts w:ascii="Arial" w:hAnsi="Arial" w:cs="Arial"/>
          <w:sz w:val="19"/>
          <w:szCs w:val="19"/>
          <w:lang w:val="es-CO"/>
        </w:rPr>
        <w:t>entre dos interpretaciones, una de las cuales reduce las posibilidades del derecho mientras que la otra contribuye a potenciarlo, ha de preferirse la que permite el goce y el ejercicio cabal del derecho sobre aquella que lo anula o lo restringe</w:t>
      </w:r>
      <w:r w:rsidRPr="001C037A">
        <w:rPr>
          <w:rFonts w:ascii="Arial" w:eastAsia="Calibri" w:hAnsi="Arial" w:cs="Arial"/>
          <w:color w:val="000000" w:themeColor="text1"/>
          <w:sz w:val="22"/>
          <w:szCs w:val="22"/>
          <w:lang w:val="es-ES_tradnl"/>
        </w:rPr>
        <w:t>»</w:t>
      </w:r>
      <w:r w:rsidRPr="00133974">
        <w:rPr>
          <w:rFonts w:ascii="Arial" w:hAnsi="Arial" w:cs="Arial"/>
          <w:sz w:val="19"/>
          <w:szCs w:val="19"/>
          <w:lang w:val="es-CO"/>
        </w:rPr>
        <w:t>.</w:t>
      </w:r>
      <w:r>
        <w:rPr>
          <w:rFonts w:ascii="Arial" w:hAnsi="Arial" w:cs="Arial"/>
          <w:sz w:val="19"/>
          <w:szCs w:val="19"/>
          <w:lang w:val="es-CO"/>
        </w:rPr>
        <w:t xml:space="preserve"> Corte Constitucional. C-445 de 1998. MP. Fabio Morón Díaz.</w:t>
      </w:r>
    </w:p>
  </w:footnote>
  <w:footnote w:id="7">
    <w:p w14:paraId="7C62F644" w14:textId="77777777" w:rsidR="00550420" w:rsidRPr="003E645D" w:rsidRDefault="00550420" w:rsidP="00550420">
      <w:pPr>
        <w:pStyle w:val="Textonotapie"/>
        <w:ind w:firstLine="709"/>
        <w:jc w:val="both"/>
      </w:pPr>
      <w:r>
        <w:rPr>
          <w:rStyle w:val="Refdenotaalpie"/>
        </w:rPr>
        <w:footnoteRef/>
      </w:r>
      <w:r>
        <w:t xml:space="preserve"> </w:t>
      </w:r>
      <w:r>
        <w:rPr>
          <w:rFonts w:ascii="Arial" w:hAnsi="Arial" w:cs="Arial"/>
          <w:sz w:val="19"/>
          <w:szCs w:val="19"/>
          <w:lang w:val="es-ES"/>
        </w:rPr>
        <w:t>Sobre el particular</w:t>
      </w:r>
      <w:r w:rsidRPr="00C44E61">
        <w:rPr>
          <w:rFonts w:ascii="Arial" w:hAnsi="Arial" w:cs="Arial"/>
          <w:sz w:val="19"/>
          <w:szCs w:val="19"/>
          <w:lang w:val="es-ES"/>
        </w:rPr>
        <w:t>, se puede consultar la Gaceta 158 del cuarto deba</w:t>
      </w:r>
      <w:r>
        <w:rPr>
          <w:rFonts w:ascii="Arial" w:hAnsi="Arial" w:cs="Arial"/>
          <w:sz w:val="19"/>
          <w:szCs w:val="19"/>
          <w:lang w:val="es-ES"/>
        </w:rPr>
        <w:t xml:space="preserve">te en el Senado. Disponible en: </w:t>
      </w:r>
      <w:hyperlink r:id="rId2" w:history="1">
        <w:r w:rsidRPr="00C44E61">
          <w:rPr>
            <w:rFonts w:ascii="Arial" w:hAnsi="Arial" w:cs="Arial"/>
            <w:sz w:val="19"/>
            <w:szCs w:val="19"/>
            <w:lang w:val="es-ES"/>
          </w:rPr>
          <w:t>http://svrpubindc.imprenta.gov.co/senado/index.xhtml;jsessionid=b3ba7213a248bacd37376ffcedca</w:t>
        </w:r>
      </w:hyperlink>
      <w:r>
        <w:rPr>
          <w:rFonts w:ascii="Arial" w:hAnsi="Arial" w:cs="Arial"/>
          <w:sz w:val="19"/>
          <w:szCs w:val="19"/>
          <w:lang w:val="es-ES"/>
        </w:rPr>
        <w:t xml:space="preserve">  </w:t>
      </w:r>
      <w:r w:rsidRPr="00C44E61">
        <w:t xml:space="preserve"> </w:t>
      </w:r>
    </w:p>
  </w:footnote>
  <w:footnote w:id="8">
    <w:p w14:paraId="7B8E9C50" w14:textId="77777777" w:rsidR="00550420" w:rsidRDefault="00550420" w:rsidP="00550420">
      <w:pPr>
        <w:pStyle w:val="Textonotapie"/>
        <w:jc w:val="both"/>
        <w:rPr>
          <w:rFonts w:ascii="Arial" w:hAnsi="Arial" w:cs="Arial"/>
          <w:sz w:val="19"/>
          <w:szCs w:val="19"/>
        </w:rPr>
      </w:pPr>
    </w:p>
    <w:p w14:paraId="290FB4F5" w14:textId="77777777" w:rsidR="00550420" w:rsidRDefault="00550420" w:rsidP="00550420">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5A9DD346" w14:textId="77777777" w:rsidR="00550420" w:rsidRPr="00AB3BAD" w:rsidRDefault="00550420" w:rsidP="00550420">
      <w:pPr>
        <w:pStyle w:val="Textonotapie"/>
        <w:ind w:firstLine="709"/>
        <w:jc w:val="both"/>
        <w:rPr>
          <w:rFonts w:ascii="Arial" w:hAnsi="Arial" w:cs="Arial"/>
          <w:sz w:val="19"/>
          <w:szCs w:val="19"/>
          <w:lang w:val="es-ES"/>
        </w:rPr>
      </w:pPr>
    </w:p>
  </w:footnote>
  <w:footnote w:id="9">
    <w:p w14:paraId="73BF0E13" w14:textId="77777777" w:rsidR="00550420" w:rsidRDefault="00550420" w:rsidP="00550420">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w:t>
      </w:r>
      <w:r w:rsidRPr="00F8415D">
        <w:rPr>
          <w:rFonts w:ascii="Arial" w:hAnsi="Arial" w:cs="Arial"/>
          <w:sz w:val="19"/>
          <w:szCs w:val="19"/>
          <w:lang w:val="es-ES"/>
        </w:rPr>
        <w:t xml:space="preserve">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w:t>
      </w:r>
      <w:r>
        <w:rPr>
          <w:rFonts w:ascii="Arial" w:hAnsi="Arial" w:cs="Arial"/>
          <w:sz w:val="19"/>
          <w:szCs w:val="19"/>
          <w:lang w:val="es-ES"/>
        </w:rPr>
        <w:t>con que cuente en cada vigencia</w:t>
      </w:r>
      <w:r w:rsidRPr="00AB3BAD">
        <w:rPr>
          <w:rFonts w:ascii="Arial" w:hAnsi="Arial" w:cs="Arial"/>
          <w:sz w:val="19"/>
          <w:szCs w:val="19"/>
          <w:lang w:val="es-ES"/>
        </w:rPr>
        <w:t>»</w:t>
      </w:r>
      <w:r>
        <w:rPr>
          <w:rFonts w:ascii="Arial" w:hAnsi="Arial" w:cs="Arial"/>
          <w:sz w:val="19"/>
          <w:szCs w:val="19"/>
          <w:lang w:val="es-ES"/>
        </w:rPr>
        <w:t>.</w:t>
      </w:r>
    </w:p>
    <w:p w14:paraId="038BF374" w14:textId="77777777" w:rsidR="00550420" w:rsidRPr="00F8415D" w:rsidRDefault="00550420" w:rsidP="00550420">
      <w:pPr>
        <w:pStyle w:val="Textonotapie"/>
        <w:ind w:firstLine="709"/>
        <w:jc w:val="both"/>
        <w:rPr>
          <w:lang w:val="es-CO"/>
        </w:rPr>
      </w:pPr>
    </w:p>
  </w:footnote>
  <w:footnote w:id="10">
    <w:p w14:paraId="2B07690E" w14:textId="77777777" w:rsidR="00550420" w:rsidRPr="00AB3BAD" w:rsidRDefault="00550420" w:rsidP="00550420">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5656159A" w14:textId="77777777" w:rsidR="00550420" w:rsidRDefault="00550420" w:rsidP="00550420">
      <w:pPr>
        <w:pStyle w:val="Textonotapie"/>
        <w:ind w:firstLine="709"/>
        <w:jc w:val="both"/>
        <w:rPr>
          <w:rFonts w:ascii="Arial" w:hAnsi="Arial" w:cs="Arial"/>
          <w:sz w:val="19"/>
          <w:szCs w:val="19"/>
          <w:lang w:val="es-ES"/>
        </w:rPr>
      </w:pPr>
      <w:r w:rsidRPr="00AB3BAD">
        <w:rPr>
          <w:rFonts w:ascii="Arial" w:hAnsi="Arial" w:cs="Arial"/>
          <w:sz w:val="19"/>
          <w:szCs w:val="19"/>
          <w:lang w:val="es-ES"/>
        </w:rPr>
        <w:t xml:space="preserve">»La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Pr>
          <w:rFonts w:ascii="Arial" w:hAnsi="Arial" w:cs="Arial"/>
          <w:sz w:val="19"/>
          <w:szCs w:val="19"/>
          <w:lang w:val="es-ES"/>
        </w:rPr>
        <w:t>[…]</w:t>
      </w:r>
      <w:r w:rsidRPr="00AB3BAD">
        <w:rPr>
          <w:rFonts w:ascii="Arial" w:hAnsi="Arial" w:cs="Arial"/>
          <w:sz w:val="19"/>
          <w:szCs w:val="19"/>
          <w:lang w:val="es-ES"/>
        </w:rPr>
        <w:t>».</w:t>
      </w:r>
    </w:p>
    <w:p w14:paraId="3F8794C7" w14:textId="77777777" w:rsidR="00550420" w:rsidRPr="0031232F" w:rsidRDefault="00550420" w:rsidP="00550420">
      <w:pPr>
        <w:pStyle w:val="Textonotapie"/>
        <w:ind w:firstLine="709"/>
        <w:jc w:val="both"/>
        <w:rPr>
          <w:rFonts w:ascii="Arial" w:hAnsi="Arial" w:cs="Arial"/>
          <w:sz w:val="19"/>
          <w:szCs w:val="19"/>
          <w:lang w:val="es-ES"/>
        </w:rPr>
      </w:pPr>
    </w:p>
  </w:footnote>
  <w:footnote w:id="11">
    <w:p w14:paraId="4F637C58" w14:textId="77777777" w:rsidR="00550420" w:rsidRPr="00044498" w:rsidRDefault="00550420" w:rsidP="00550420">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3" w:history="1">
        <w:r w:rsidRPr="00044498">
          <w:rPr>
            <w:rStyle w:val="Hipervnculo"/>
            <w:rFonts w:ascii="Arial" w:hAnsi="Arial" w:cs="Arial"/>
            <w:color w:val="auto"/>
            <w:sz w:val="19"/>
            <w:szCs w:val="19"/>
            <w:lang w:val="es-ES"/>
          </w:rPr>
          <w:t>https://www.contraloria.gov.co/documents/20181/1776254/CIRCULAR_2020EE0096013_REGISTRO_NACIONAL_OBRAS_INCONCLUSAS.PDF/785952d4-4b41-48cb-916b-4881c3b4a095</w:t>
        </w:r>
      </w:hyperlink>
    </w:p>
    <w:p w14:paraId="36A624F2" w14:textId="77777777" w:rsidR="00550420" w:rsidRPr="00AB3BAD" w:rsidRDefault="00550420" w:rsidP="00550420">
      <w:pPr>
        <w:pStyle w:val="Textonotapie"/>
        <w:ind w:firstLine="709"/>
        <w:jc w:val="both"/>
        <w:rPr>
          <w:rFonts w:ascii="Arial" w:hAnsi="Arial" w:cs="Arial"/>
          <w:sz w:val="19"/>
          <w:szCs w:val="19"/>
          <w:lang w:val="es-ES"/>
        </w:rPr>
      </w:pPr>
    </w:p>
  </w:footnote>
  <w:footnote w:id="12">
    <w:p w14:paraId="1EE41DC0" w14:textId="77777777" w:rsidR="00550420" w:rsidRPr="00EE46A2" w:rsidRDefault="00550420" w:rsidP="00550420">
      <w:pPr>
        <w:pStyle w:val="Textonotapie"/>
        <w:ind w:firstLine="709"/>
        <w:jc w:val="both"/>
        <w:rPr>
          <w:rFonts w:ascii="Arial" w:eastAsia="Calibri" w:hAnsi="Arial" w:cs="Arial"/>
          <w:color w:val="000000"/>
          <w:sz w:val="19"/>
          <w:szCs w:val="19"/>
          <w:lang w:val="es-ES_tradnl" w:eastAsia="en-GB"/>
        </w:rPr>
      </w:pPr>
      <w:r>
        <w:rPr>
          <w:rStyle w:val="Refdenotaalpie"/>
        </w:rPr>
        <w:footnoteRef/>
      </w:r>
      <w:r>
        <w:t xml:space="preserve"> </w:t>
      </w:r>
      <w:r w:rsidRPr="00EE46A2">
        <w:rPr>
          <w:rFonts w:ascii="Arial" w:hAnsi="Arial" w:cs="Arial"/>
          <w:sz w:val="19"/>
          <w:szCs w:val="19"/>
          <w:lang w:val="es-CO"/>
        </w:rPr>
        <w:t xml:space="preserve">Al respecto, el parágrafo 3 </w:t>
      </w:r>
      <w:r w:rsidRPr="00EE46A2">
        <w:rPr>
          <w:rFonts w:ascii="Arial" w:eastAsia="Calibri" w:hAnsi="Arial" w:cs="Arial"/>
          <w:color w:val="000000"/>
          <w:sz w:val="19"/>
          <w:szCs w:val="19"/>
          <w:lang w:val="es-ES_tradnl" w:eastAsia="en-GB"/>
        </w:rPr>
        <w:t>del artículo 3 de la Ley 2020 de 2020 establece lo siguiente:</w:t>
      </w:r>
      <w:r>
        <w:rPr>
          <w:rFonts w:ascii="Arial" w:eastAsia="Calibri" w:hAnsi="Arial" w:cs="Arial"/>
          <w:color w:val="000000"/>
          <w:sz w:val="22"/>
          <w:lang w:val="es-ES_tradnl" w:eastAsia="en-GB"/>
        </w:rPr>
        <w:t xml:space="preserve"> </w:t>
      </w: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30560D51" w14:textId="77777777" w:rsidR="00550420" w:rsidRPr="00EE46A2" w:rsidRDefault="00550420" w:rsidP="00550420">
      <w:pPr>
        <w:pStyle w:val="Textonotapie"/>
        <w:ind w:firstLine="709"/>
        <w:jc w:val="both"/>
        <w:rPr>
          <w:lang w:val="es-CO"/>
        </w:rPr>
      </w:pP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AB3BAD">
        <w:rPr>
          <w:rFonts w:ascii="Arial" w:hAnsi="Arial" w:cs="Arial"/>
          <w:sz w:val="19"/>
          <w:szCs w:val="19"/>
          <w:lang w:val="es-ES"/>
        </w:rPr>
        <w:t>»</w:t>
      </w:r>
      <w:r>
        <w:rPr>
          <w:rFonts w:ascii="Arial" w:hAnsi="Arial" w:cs="Arial"/>
          <w:sz w:val="19"/>
          <w:szCs w:val="19"/>
          <w:lang w:val="es-ES"/>
        </w:rPr>
        <w:t>.</w:t>
      </w:r>
    </w:p>
  </w:footnote>
  <w:footnote w:id="13">
    <w:p w14:paraId="7049A999" w14:textId="77777777" w:rsidR="00550420" w:rsidRPr="003E645D" w:rsidRDefault="00550420" w:rsidP="00550420">
      <w:pPr>
        <w:pStyle w:val="Textonotapie"/>
        <w:ind w:firstLine="709"/>
        <w:rPr>
          <w:lang w:val="es-CO"/>
        </w:rPr>
      </w:pPr>
      <w:r>
        <w:rPr>
          <w:rStyle w:val="Refdenotaalpie"/>
        </w:rPr>
        <w:footnoteRef/>
      </w:r>
      <w:r>
        <w:t xml:space="preserve"> </w:t>
      </w:r>
      <w:r w:rsidRPr="003E645D">
        <w:rPr>
          <w:rFonts w:ascii="Arial" w:hAnsi="Arial" w:cs="Arial"/>
          <w:sz w:val="19"/>
          <w:szCs w:val="19"/>
        </w:rPr>
        <w:t>Puede ser consultada en:</w:t>
      </w:r>
      <w:r>
        <w:t xml:space="preserve"> </w:t>
      </w:r>
      <w:hyperlink r:id="rId4" w:history="1">
        <w:r w:rsidRPr="00D50CE8">
          <w:rPr>
            <w:rStyle w:val="Hipervnculo"/>
            <w:rFonts w:ascii="Arial" w:hAnsi="Arial" w:cs="Arial"/>
            <w:color w:val="auto"/>
            <w:sz w:val="19"/>
            <w:szCs w:val="19"/>
          </w:rPr>
          <w:t>https://www.contraloria.gov.co/web/relatoria/normatividad-y-relatoria</w:t>
        </w:r>
      </w:hyperlink>
      <w:r w:rsidRPr="00D50CE8">
        <w:rPr>
          <w:rStyle w:val="Hipervnculo"/>
          <w:rFonts w:ascii="Arial" w:hAnsi="Arial" w:cs="Arial"/>
          <w:color w:val="auto"/>
          <w:sz w:val="19"/>
          <w:szCs w:val="19"/>
        </w:rPr>
        <w:t xml:space="preserve"> </w:t>
      </w:r>
      <w:r w:rsidRPr="00D50CE8">
        <w:t xml:space="preserve"> </w:t>
      </w:r>
      <w:r>
        <w:tab/>
      </w:r>
    </w:p>
  </w:footnote>
  <w:footnote w:id="14">
    <w:p w14:paraId="54FC563B" w14:textId="77777777" w:rsidR="00550420" w:rsidRPr="004347DA" w:rsidRDefault="00550420" w:rsidP="00550420">
      <w:pPr>
        <w:pStyle w:val="Textonotapie"/>
        <w:ind w:firstLine="709"/>
        <w:jc w:val="both"/>
        <w:rPr>
          <w:lang w:val="es-CO"/>
        </w:rPr>
      </w:pPr>
      <w:r>
        <w:rPr>
          <w:rStyle w:val="Refdenotaalpie"/>
        </w:rPr>
        <w:footnoteRef/>
      </w:r>
      <w:r>
        <w:t xml:space="preserve"> </w:t>
      </w:r>
      <w:r w:rsidRPr="00AB3BAD">
        <w:rPr>
          <w:rFonts w:ascii="Arial" w:hAnsi="Arial" w:cs="Arial"/>
          <w:sz w:val="19"/>
          <w:szCs w:val="19"/>
          <w:lang w:val="es-ES"/>
        </w:rPr>
        <w:t>«</w:t>
      </w:r>
      <w:r>
        <w:rPr>
          <w:rFonts w:ascii="Arial" w:hAnsi="Arial" w:cs="Arial"/>
          <w:sz w:val="19"/>
          <w:szCs w:val="19"/>
          <w:lang w:val="es-ES"/>
        </w:rPr>
        <w:t>Artículo 9. Responsables.</w:t>
      </w:r>
      <w:r w:rsidRPr="000F2739">
        <w:rPr>
          <w:rFonts w:ascii="Arial" w:hAnsi="Arial" w:cs="Arial"/>
          <w:sz w:val="19"/>
          <w:szCs w:val="19"/>
          <w:lang w:val="es-ES"/>
        </w:rPr>
        <w:t xml:space="preserve"> Los responsables de hacer el inventario de obras inconclusas, serán los ministros, gerentes, presidentes, directores, superintendentes, gobernadores, alcaldes, y demás representantes legales de entidades estatales, en cualquiera de sus esferas nacionales o territoriales, y los demás ordenadores del gasto de quien dependa la toma</w:t>
      </w:r>
      <w:r>
        <w:rPr>
          <w:rFonts w:ascii="Arial" w:hAnsi="Arial" w:cs="Arial"/>
          <w:sz w:val="19"/>
          <w:szCs w:val="19"/>
          <w:lang w:val="es-ES"/>
        </w:rPr>
        <w:t xml:space="preserve"> de decisiones sobre la materia</w:t>
      </w:r>
      <w:r w:rsidRPr="00AB3BAD">
        <w:rPr>
          <w:rFonts w:ascii="Arial" w:hAnsi="Arial" w:cs="Arial"/>
          <w:sz w:val="19"/>
          <w:szCs w:val="19"/>
          <w:lang w:val="es-ES"/>
        </w:rPr>
        <w:t>»</w:t>
      </w:r>
      <w:r>
        <w:rPr>
          <w:rFonts w:ascii="Arial" w:hAnsi="Arial" w:cs="Arial"/>
          <w:sz w:val="19"/>
          <w:szCs w:val="19"/>
          <w:lang w:val="es-ES"/>
        </w:rPr>
        <w:t>.</w:t>
      </w:r>
    </w:p>
  </w:footnote>
  <w:footnote w:id="15">
    <w:p w14:paraId="6F84F4D1" w14:textId="77777777" w:rsidR="00550420" w:rsidRDefault="00550420" w:rsidP="00550420">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5AB0D888" w14:textId="77777777" w:rsidR="00550420" w:rsidRPr="00AB3BAD" w:rsidRDefault="00550420" w:rsidP="00550420">
      <w:pPr>
        <w:pStyle w:val="Textonotapie"/>
        <w:ind w:firstLine="709"/>
        <w:jc w:val="both"/>
        <w:rPr>
          <w:rFonts w:ascii="Arial" w:hAnsi="Arial" w:cs="Arial"/>
          <w:sz w:val="19"/>
          <w:szCs w:val="19"/>
          <w:lang w:val="es-ES"/>
        </w:rPr>
      </w:pPr>
    </w:p>
  </w:footnote>
  <w:footnote w:id="16">
    <w:p w14:paraId="4D6FB4BE" w14:textId="77777777" w:rsidR="00550420" w:rsidRPr="00AB3BAD" w:rsidRDefault="00550420" w:rsidP="00550420">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175C6F9" w14:textId="77777777" w:rsidR="00550420" w:rsidRPr="00AB3BAD" w:rsidRDefault="00550420" w:rsidP="00550420">
      <w:pPr>
        <w:pStyle w:val="Textonotapie"/>
        <w:ind w:firstLine="709"/>
        <w:jc w:val="both"/>
        <w:rPr>
          <w:rFonts w:ascii="Arial" w:hAnsi="Arial" w:cs="Arial"/>
          <w:color w:val="000000" w:themeColor="text1"/>
          <w:sz w:val="19"/>
          <w:szCs w:val="19"/>
          <w:lang w:val="es-ES"/>
        </w:rPr>
      </w:pPr>
    </w:p>
  </w:footnote>
  <w:footnote w:id="17">
    <w:p w14:paraId="2E5F1227" w14:textId="77777777" w:rsidR="00550420" w:rsidRPr="00AB3BAD" w:rsidRDefault="00550420" w:rsidP="00550420">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Pr>
          <w:rFonts w:ascii="Arial" w:eastAsiaTheme="minorHAnsi" w:hAnsi="Arial" w:cs="Arial"/>
          <w:sz w:val="19"/>
          <w:szCs w:val="19"/>
          <w:lang w:val="es-ES" w:eastAsia="en-US"/>
        </w:rPr>
        <w:t>.</w:t>
      </w:r>
    </w:p>
    <w:p w14:paraId="104837E4" w14:textId="77777777" w:rsidR="00550420" w:rsidRPr="00AB3BAD" w:rsidRDefault="00550420" w:rsidP="00550420">
      <w:pPr>
        <w:pStyle w:val="Textonotapie"/>
        <w:ind w:firstLine="709"/>
        <w:jc w:val="both"/>
        <w:rPr>
          <w:rFonts w:ascii="Arial" w:hAnsi="Arial" w:cs="Arial"/>
          <w:sz w:val="19"/>
          <w:szCs w:val="19"/>
          <w:lang w:val="es-ES"/>
        </w:rPr>
      </w:pPr>
    </w:p>
  </w:footnote>
  <w:footnote w:id="18">
    <w:p w14:paraId="3EE565D8" w14:textId="77777777" w:rsidR="00C94E12" w:rsidRPr="00AB3BAD" w:rsidRDefault="00C94E12" w:rsidP="00C94E12">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0180D322" w14:textId="77777777" w:rsidR="00C94E12" w:rsidRPr="00AB3BAD" w:rsidRDefault="00C94E12" w:rsidP="00C94E12">
      <w:pPr>
        <w:pStyle w:val="Textonotapie"/>
        <w:ind w:firstLine="709"/>
        <w:jc w:val="both"/>
        <w:rPr>
          <w:rFonts w:ascii="Arial" w:hAnsi="Arial" w:cs="Arial"/>
          <w:sz w:val="19"/>
          <w:szCs w:val="19"/>
        </w:rPr>
      </w:pPr>
      <w:r w:rsidRPr="00AB3BAD">
        <w:rPr>
          <w:rFonts w:ascii="Arial" w:hAnsi="Arial" w:cs="Arial"/>
          <w:sz w:val="19"/>
          <w:szCs w:val="19"/>
        </w:rPr>
        <w:t>»Artículo 4o. Adiciónese el siguiente parágrafo al artículo 2o de la Ley 1150 de 2007.</w:t>
      </w:r>
    </w:p>
    <w:p w14:paraId="463073A7" w14:textId="77777777" w:rsidR="00C94E12" w:rsidRPr="00AB3BAD" w:rsidRDefault="00C94E12" w:rsidP="00C94E12">
      <w:pPr>
        <w:pStyle w:val="Textonotapie"/>
        <w:ind w:firstLine="709"/>
        <w:jc w:val="both"/>
        <w:rPr>
          <w:rFonts w:ascii="Arial" w:hAnsi="Arial" w:cs="Arial"/>
          <w:sz w:val="19"/>
          <w:szCs w:val="19"/>
        </w:rPr>
      </w:pPr>
      <w:r w:rsidRPr="00AB3BAD">
        <w:rPr>
          <w:rFonts w:ascii="Arial" w:hAnsi="Arial" w:cs="Arial"/>
          <w:sz w:val="19"/>
          <w:szCs w:val="19"/>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BD19F44" w14:textId="77777777" w:rsidR="00C94E12" w:rsidRPr="00AB3BAD" w:rsidRDefault="00C94E12" w:rsidP="00C94E12">
      <w:pPr>
        <w:pStyle w:val="Textonotapie"/>
        <w:ind w:firstLine="709"/>
        <w:jc w:val="both"/>
        <w:rPr>
          <w:rFonts w:ascii="Arial" w:hAnsi="Arial" w:cs="Arial"/>
          <w:sz w:val="19"/>
          <w:szCs w:val="19"/>
        </w:rPr>
      </w:pPr>
      <w:r w:rsidRPr="00AB3BAD">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3D7D197" w14:textId="77777777" w:rsidR="00C94E12" w:rsidRPr="00AB3BAD" w:rsidRDefault="00C94E12" w:rsidP="00C94E12">
      <w:pPr>
        <w:pStyle w:val="Textonotapie"/>
        <w:ind w:firstLine="709"/>
        <w:jc w:val="both"/>
        <w:rPr>
          <w:rFonts w:ascii="Arial" w:hAnsi="Arial" w:cs="Arial"/>
          <w:sz w:val="19"/>
          <w:szCs w:val="19"/>
        </w:rPr>
      </w:pPr>
      <w:r w:rsidRPr="00AB3BAD">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990582F" w14:textId="77777777" w:rsidR="00C94E12" w:rsidRPr="00AB3BAD" w:rsidRDefault="00C94E12" w:rsidP="00C94E12">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193E41B" w14:textId="77777777" w:rsidR="00C94E12" w:rsidRPr="00AB3BAD" w:rsidRDefault="00C94E12" w:rsidP="00C94E12">
      <w:pPr>
        <w:pStyle w:val="Textonotapie"/>
        <w:ind w:firstLine="709"/>
        <w:jc w:val="both"/>
        <w:rPr>
          <w:rFonts w:ascii="Arial" w:hAnsi="Arial" w:cs="Arial"/>
          <w:sz w:val="19"/>
          <w:szCs w:val="19"/>
          <w:lang w:val="es-CO"/>
        </w:rPr>
      </w:pPr>
      <w:r w:rsidRPr="00AB3BA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9">
    <w:p w14:paraId="61A2C243" w14:textId="77777777" w:rsidR="00C94E12" w:rsidRDefault="00C94E12" w:rsidP="00C94E12">
      <w:pPr>
        <w:pStyle w:val="Textonotapie"/>
        <w:ind w:firstLine="709"/>
        <w:jc w:val="both"/>
        <w:rPr>
          <w:color w:val="000000" w:themeColor="text1"/>
          <w:lang w:val="es-CO"/>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r:id="rId5" w:history="1">
        <w:r w:rsidRPr="00B40B47">
          <w:rPr>
            <w:rFonts w:ascii="Arial" w:hAnsi="Arial" w:cs="Arial"/>
            <w:sz w:val="19"/>
            <w:szCs w:val="19"/>
          </w:rPr>
          <w:t>https://www.colombiacompra.gov.co/documentos-tipo/documentos-tipo</w:t>
        </w:r>
      </w:hyperlink>
      <w:r>
        <w:rPr>
          <w:rFonts w:ascii="Arial" w:hAnsi="Arial" w:cs="Arial"/>
          <w:sz w:val="19"/>
          <w:szCs w:val="19"/>
        </w:rPr>
        <w:t xml:space="preserve"> </w:t>
      </w:r>
      <w:r>
        <w:rPr>
          <w:color w:val="000000" w:themeColor="text1"/>
          <w:lang w:val="es-CO"/>
        </w:rPr>
        <w:t xml:space="preserve"> </w:t>
      </w:r>
      <w:r w:rsidRPr="00B40B47">
        <w:rPr>
          <w:color w:val="000000" w:themeColor="text1"/>
          <w:lang w:val="es-CO"/>
        </w:rPr>
        <w:t xml:space="preserve"> </w:t>
      </w:r>
    </w:p>
    <w:p w14:paraId="3C03781B" w14:textId="77777777" w:rsidR="00C94E12" w:rsidRPr="00DE3F63" w:rsidRDefault="00C94E12" w:rsidP="00C94E12">
      <w:pPr>
        <w:pStyle w:val="Textonotapie"/>
        <w:ind w:firstLine="709"/>
        <w:jc w:val="both"/>
        <w:rPr>
          <w:rFonts w:ascii="Arial" w:hAnsi="Arial" w:cs="Arial"/>
          <w:color w:val="000000" w:themeColor="text1"/>
          <w:sz w:val="19"/>
          <w:szCs w:val="19"/>
          <w:lang w:val="es-CO"/>
        </w:rPr>
      </w:pPr>
      <w:r w:rsidRPr="006F7607">
        <w:rPr>
          <w:rFonts w:ascii="Arial" w:hAnsi="Arial" w:cs="Arial"/>
          <w:color w:val="000000" w:themeColor="text1"/>
          <w:sz w:val="19"/>
          <w:szCs w:val="19"/>
          <w:lang w:val="es-CO"/>
        </w:rPr>
        <w:t xml:space="preserve">Los documentos tipo de obra pública de infraestructura social y de obra pública de infraestructura social </w:t>
      </w:r>
      <w:r>
        <w:rPr>
          <w:rFonts w:ascii="Arial" w:hAnsi="Arial" w:cs="Arial"/>
          <w:color w:val="000000" w:themeColor="text1"/>
          <w:sz w:val="19"/>
          <w:szCs w:val="19"/>
          <w:lang w:val="es-CO"/>
        </w:rPr>
        <w:t xml:space="preserve">relacionados con el sector educativo </w:t>
      </w:r>
      <w:r w:rsidRPr="006F7607">
        <w:rPr>
          <w:rFonts w:ascii="Arial" w:hAnsi="Arial" w:cs="Arial"/>
          <w:color w:val="000000" w:themeColor="text1"/>
          <w:sz w:val="19"/>
          <w:szCs w:val="19"/>
          <w:lang w:val="es-CO"/>
        </w:rPr>
        <w:t>adoptados mediante Resoluciones 219 y 220 de 2021,</w:t>
      </w:r>
      <w:r>
        <w:rPr>
          <w:rFonts w:ascii="Arial" w:hAnsi="Arial" w:cs="Arial"/>
          <w:color w:val="000000" w:themeColor="text1"/>
          <w:sz w:val="19"/>
          <w:szCs w:val="19"/>
          <w:lang w:val="es-CO"/>
        </w:rPr>
        <w:t xml:space="preserve"> respectivamente,</w:t>
      </w:r>
      <w:r w:rsidRPr="006F7607">
        <w:rPr>
          <w:rFonts w:ascii="Arial" w:hAnsi="Arial" w:cs="Arial"/>
          <w:color w:val="000000" w:themeColor="text1"/>
          <w:sz w:val="19"/>
          <w:szCs w:val="19"/>
          <w:lang w:val="es-CO"/>
        </w:rPr>
        <w:t xml:space="preserve"> entran en vigencia a partir del 2 de noviembre de 2021 conforme lo dispone la Resolución </w:t>
      </w:r>
      <w:r>
        <w:rPr>
          <w:rFonts w:ascii="Arial" w:hAnsi="Arial" w:cs="Arial"/>
          <w:color w:val="000000" w:themeColor="text1"/>
          <w:sz w:val="19"/>
          <w:szCs w:val="19"/>
          <w:lang w:val="es-CO"/>
        </w:rPr>
        <w:t>336</w:t>
      </w:r>
      <w:r w:rsidRPr="006F7607">
        <w:rPr>
          <w:rFonts w:ascii="Arial" w:hAnsi="Arial" w:cs="Arial"/>
          <w:color w:val="000000" w:themeColor="text1"/>
          <w:sz w:val="19"/>
          <w:szCs w:val="19"/>
          <w:lang w:val="es-CO"/>
        </w:rPr>
        <w:t xml:space="preserve"> del 2021. </w:t>
      </w:r>
      <w:r>
        <w:rPr>
          <w:rFonts w:ascii="Arial" w:hAnsi="Arial" w:cs="Arial"/>
          <w:color w:val="000000" w:themeColor="text1"/>
          <w:sz w:val="19"/>
          <w:szCs w:val="19"/>
          <w:lang w:val="es-CO"/>
        </w:rPr>
        <w:t xml:space="preserve">Por su parte, los </w:t>
      </w:r>
      <w:r w:rsidRPr="00B30302">
        <w:rPr>
          <w:rFonts w:ascii="Arial" w:hAnsi="Arial" w:cs="Arial"/>
          <w:color w:val="000000" w:themeColor="text1"/>
          <w:sz w:val="19"/>
          <w:szCs w:val="19"/>
          <w:lang w:val="es-CO"/>
        </w:rPr>
        <w:t>documentos tipo complementarios para los procesos de licitación de obra pública de infraestructura social relacionados con el sector cultura, recreación y deporte</w:t>
      </w:r>
      <w:r>
        <w:rPr>
          <w:rFonts w:ascii="Arial" w:hAnsi="Arial" w:cs="Arial"/>
          <w:color w:val="000000" w:themeColor="text1"/>
          <w:sz w:val="19"/>
          <w:szCs w:val="19"/>
          <w:lang w:val="es-CO"/>
        </w:rPr>
        <w:t>,</w:t>
      </w:r>
      <w:r w:rsidRPr="006F7607">
        <w:rPr>
          <w:rFonts w:ascii="Arial" w:hAnsi="Arial" w:cs="Arial"/>
          <w:color w:val="000000" w:themeColor="text1"/>
          <w:sz w:val="19"/>
          <w:szCs w:val="19"/>
          <w:lang w:val="es-CO"/>
        </w:rPr>
        <w:t xml:space="preserve"> entran en vigencia </w:t>
      </w:r>
      <w:r>
        <w:rPr>
          <w:rFonts w:ascii="Arial" w:hAnsi="Arial" w:cs="Arial"/>
          <w:color w:val="000000" w:themeColor="text1"/>
          <w:sz w:val="19"/>
          <w:szCs w:val="19"/>
          <w:lang w:val="es-CO"/>
        </w:rPr>
        <w:t xml:space="preserve">de forma gradual y progresiva </w:t>
      </w:r>
      <w:r w:rsidRPr="006F7607">
        <w:rPr>
          <w:rFonts w:ascii="Arial" w:hAnsi="Arial" w:cs="Arial"/>
          <w:color w:val="000000" w:themeColor="text1"/>
          <w:sz w:val="19"/>
          <w:szCs w:val="19"/>
          <w:lang w:val="es-CO"/>
        </w:rPr>
        <w:t xml:space="preserve">partir del </w:t>
      </w:r>
      <w:r>
        <w:rPr>
          <w:rFonts w:ascii="Arial" w:hAnsi="Arial" w:cs="Arial"/>
          <w:color w:val="000000" w:themeColor="text1"/>
          <w:sz w:val="19"/>
          <w:szCs w:val="19"/>
          <w:lang w:val="es-CO"/>
        </w:rPr>
        <w:t>1</w:t>
      </w:r>
      <w:r w:rsidRPr="006F7607">
        <w:rPr>
          <w:rFonts w:ascii="Arial" w:hAnsi="Arial" w:cs="Arial"/>
          <w:color w:val="000000" w:themeColor="text1"/>
          <w:sz w:val="19"/>
          <w:szCs w:val="19"/>
          <w:lang w:val="es-CO"/>
        </w:rPr>
        <w:t xml:space="preserve"> de </w:t>
      </w:r>
      <w:r>
        <w:rPr>
          <w:rFonts w:ascii="Arial" w:hAnsi="Arial" w:cs="Arial"/>
          <w:color w:val="000000" w:themeColor="text1"/>
          <w:sz w:val="19"/>
          <w:szCs w:val="19"/>
          <w:lang w:val="es-CO"/>
        </w:rPr>
        <w:t>febrero</w:t>
      </w:r>
      <w:r w:rsidRPr="006F7607">
        <w:rPr>
          <w:rFonts w:ascii="Arial" w:hAnsi="Arial" w:cs="Arial"/>
          <w:color w:val="000000" w:themeColor="text1"/>
          <w:sz w:val="19"/>
          <w:szCs w:val="19"/>
          <w:lang w:val="es-CO"/>
        </w:rPr>
        <w:t xml:space="preserve"> de 202</w:t>
      </w:r>
      <w:r>
        <w:rPr>
          <w:rFonts w:ascii="Arial" w:hAnsi="Arial" w:cs="Arial"/>
          <w:color w:val="000000" w:themeColor="text1"/>
          <w:sz w:val="19"/>
          <w:szCs w:val="19"/>
          <w:lang w:val="es-CO"/>
        </w:rPr>
        <w:t>2</w:t>
      </w:r>
      <w:r w:rsidRPr="006F7607">
        <w:rPr>
          <w:rFonts w:ascii="Arial" w:hAnsi="Arial" w:cs="Arial"/>
          <w:color w:val="000000" w:themeColor="text1"/>
          <w:sz w:val="19"/>
          <w:szCs w:val="19"/>
          <w:lang w:val="es-CO"/>
        </w:rPr>
        <w:t xml:space="preserve"> conforme lo dispone la Resolución </w:t>
      </w:r>
      <w:r>
        <w:rPr>
          <w:rFonts w:ascii="Arial" w:hAnsi="Arial" w:cs="Arial"/>
          <w:color w:val="000000" w:themeColor="text1"/>
          <w:sz w:val="19"/>
          <w:szCs w:val="19"/>
          <w:lang w:val="es-CO"/>
        </w:rPr>
        <w:t>454</w:t>
      </w:r>
      <w:r w:rsidRPr="006F7607">
        <w:rPr>
          <w:rFonts w:ascii="Arial" w:hAnsi="Arial" w:cs="Arial"/>
          <w:color w:val="000000" w:themeColor="text1"/>
          <w:sz w:val="19"/>
          <w:szCs w:val="19"/>
          <w:lang w:val="es-CO"/>
        </w:rPr>
        <w:t xml:space="preserve"> del 2021</w:t>
      </w:r>
      <w:r>
        <w:rPr>
          <w:rFonts w:ascii="Arial" w:hAnsi="Arial" w:cs="Arial"/>
          <w:color w:val="000000" w:themeColor="text1"/>
          <w:sz w:val="19"/>
          <w:szCs w:val="19"/>
          <w:lang w:val="es-CO"/>
        </w:rPr>
        <w:t xml:space="preserve">. Así mismo, los </w:t>
      </w:r>
      <w:r w:rsidRPr="00B30302">
        <w:rPr>
          <w:rFonts w:ascii="Arial" w:hAnsi="Arial" w:cs="Arial"/>
          <w:color w:val="000000" w:themeColor="text1"/>
          <w:sz w:val="19"/>
          <w:szCs w:val="19"/>
          <w:lang w:val="es-CO"/>
        </w:rPr>
        <w:t>documentos tipo complementarios para los procesos de licitación de obra pública de infraestructura social relacionados con el sector</w:t>
      </w:r>
      <w:r>
        <w:rPr>
          <w:rFonts w:ascii="Arial" w:hAnsi="Arial" w:cs="Arial"/>
          <w:color w:val="000000" w:themeColor="text1"/>
          <w:sz w:val="19"/>
          <w:szCs w:val="19"/>
          <w:lang w:val="es-CO"/>
        </w:rPr>
        <w:t xml:space="preserve"> salud</w:t>
      </w:r>
      <w:r w:rsidRPr="00875DC8">
        <w:rPr>
          <w:rFonts w:ascii="Arial" w:hAnsi="Arial" w:cs="Arial"/>
          <w:color w:val="000000" w:themeColor="text1"/>
          <w:sz w:val="19"/>
          <w:szCs w:val="19"/>
          <w:lang w:val="es-CO"/>
        </w:rPr>
        <w:t xml:space="preserve"> </w:t>
      </w:r>
      <w:r w:rsidRPr="006F7607">
        <w:rPr>
          <w:rFonts w:ascii="Arial" w:hAnsi="Arial" w:cs="Arial"/>
          <w:color w:val="000000" w:themeColor="text1"/>
          <w:sz w:val="19"/>
          <w:szCs w:val="19"/>
          <w:lang w:val="es-CO"/>
        </w:rPr>
        <w:t xml:space="preserve">entran en vigencia </w:t>
      </w:r>
      <w:r>
        <w:rPr>
          <w:rFonts w:ascii="Arial" w:hAnsi="Arial" w:cs="Arial"/>
          <w:color w:val="000000" w:themeColor="text1"/>
          <w:sz w:val="19"/>
          <w:szCs w:val="19"/>
          <w:lang w:val="es-CO"/>
        </w:rPr>
        <w:t xml:space="preserve">de forma gradual y progresiva </w:t>
      </w:r>
      <w:r w:rsidRPr="006F7607">
        <w:rPr>
          <w:rFonts w:ascii="Arial" w:hAnsi="Arial" w:cs="Arial"/>
          <w:color w:val="000000" w:themeColor="text1"/>
          <w:sz w:val="19"/>
          <w:szCs w:val="19"/>
          <w:lang w:val="es-CO"/>
        </w:rPr>
        <w:t>partir</w:t>
      </w:r>
      <w:r>
        <w:rPr>
          <w:rFonts w:ascii="Arial" w:hAnsi="Arial" w:cs="Arial"/>
          <w:color w:val="000000" w:themeColor="text1"/>
          <w:sz w:val="19"/>
          <w:szCs w:val="19"/>
          <w:lang w:val="es-CO"/>
        </w:rPr>
        <w:t xml:space="preserve"> del 3 de enero de 2022 conforme lo dispone la Resolución 392 del 2021. </w:t>
      </w:r>
    </w:p>
  </w:footnote>
  <w:footnote w:id="20">
    <w:p w14:paraId="6C236FA2" w14:textId="77777777" w:rsidR="00C94E12" w:rsidRPr="0011177B" w:rsidRDefault="00C94E12" w:rsidP="00C94E12">
      <w:pPr>
        <w:pStyle w:val="Textonotapie"/>
        <w:ind w:firstLine="709"/>
        <w:jc w:val="both"/>
        <w:rPr>
          <w:bCs/>
        </w:rPr>
      </w:pPr>
      <w:r>
        <w:rPr>
          <w:rStyle w:val="Refdenotaalpie"/>
        </w:rPr>
        <w:footnoteRef/>
      </w:r>
      <w:r w:rsidRPr="0011177B">
        <w:rPr>
          <w:rFonts w:ascii="Arial" w:hAnsi="Arial" w:cs="Arial"/>
          <w:sz w:val="19"/>
          <w:szCs w:val="19"/>
        </w:rPr>
        <w:t xml:space="preserve"> </w:t>
      </w:r>
      <w:r>
        <w:rPr>
          <w:rFonts w:ascii="Arial" w:hAnsi="Arial" w:cs="Arial"/>
          <w:sz w:val="19"/>
          <w:szCs w:val="19"/>
          <w:lang w:val="es-CO"/>
        </w:rPr>
        <w:t>E</w:t>
      </w:r>
      <w:r w:rsidRPr="0011177B">
        <w:rPr>
          <w:rFonts w:ascii="Arial" w:hAnsi="Arial" w:cs="Arial"/>
          <w:sz w:val="19"/>
          <w:szCs w:val="19"/>
          <w:lang w:val="es-CO"/>
        </w:rPr>
        <w:t xml:space="preserve">n los documentos tipo para selección de interventoría de obra pública de infraestructura de transporte se encuentra incluido en el inciso segundo del capítulo </w:t>
      </w:r>
      <w:r w:rsidRPr="0011177B">
        <w:rPr>
          <w:rFonts w:ascii="Arial" w:hAnsi="Arial" w:cs="Arial"/>
          <w:bCs/>
          <w:sz w:val="19"/>
          <w:szCs w:val="19"/>
          <w:lang w:val="es-CO"/>
        </w:rPr>
        <w:t>IV.</w:t>
      </w:r>
      <w:r w:rsidRPr="0011177B">
        <w:rPr>
          <w:rFonts w:ascii="Arial" w:hAnsi="Arial" w:cs="Arial"/>
          <w:bCs/>
          <w:sz w:val="19"/>
          <w:szCs w:val="19"/>
        </w:rPr>
        <w:t xml:space="preserve"> Criterios de Evaluación, Asignación de Puntaje y Criterios de Desempate</w:t>
      </w:r>
      <w:r>
        <w:rPr>
          <w:rFonts w:ascii="Arial" w:hAnsi="Arial" w:cs="Arial"/>
          <w:bCs/>
          <w:sz w:val="19"/>
          <w:szCs w:val="19"/>
        </w:rPr>
        <w:t xml:space="preserve">. </w:t>
      </w:r>
    </w:p>
    <w:p w14:paraId="267E932A" w14:textId="77777777" w:rsidR="00C94E12" w:rsidRPr="0011177B" w:rsidRDefault="00C94E12" w:rsidP="00C94E12">
      <w:pPr>
        <w:pStyle w:val="Textonotapie"/>
        <w:rPr>
          <w:lang w:val="es-CO"/>
        </w:rPr>
      </w:pPr>
    </w:p>
  </w:footnote>
  <w:footnote w:id="21">
    <w:p w14:paraId="60E068BB" w14:textId="77777777" w:rsidR="00C94E12" w:rsidRDefault="00C94E12" w:rsidP="00C94E12">
      <w:pPr>
        <w:pStyle w:val="Textonotapie"/>
        <w:ind w:firstLine="709"/>
        <w:rPr>
          <w:rFonts w:ascii="Arial" w:hAnsi="Arial" w:cs="Arial"/>
          <w:sz w:val="19"/>
          <w:szCs w:val="19"/>
          <w:lang w:val="es-CO"/>
        </w:rPr>
      </w:pPr>
      <w:r w:rsidRPr="00D65DFE">
        <w:rPr>
          <w:rStyle w:val="Refdenotaalpie"/>
          <w:rFonts w:ascii="Arial" w:hAnsi="Arial" w:cs="Arial"/>
          <w:sz w:val="19"/>
          <w:szCs w:val="19"/>
        </w:rPr>
        <w:footnoteRef/>
      </w:r>
      <w:r w:rsidRPr="00D65DFE">
        <w:rPr>
          <w:rFonts w:ascii="Arial" w:hAnsi="Arial" w:cs="Arial"/>
          <w:sz w:val="19"/>
          <w:szCs w:val="19"/>
        </w:rPr>
        <w:t xml:space="preserve"> </w:t>
      </w:r>
      <w:r w:rsidRPr="00D65DFE">
        <w:rPr>
          <w:rFonts w:ascii="Arial" w:hAnsi="Arial" w:cs="Arial"/>
          <w:sz w:val="19"/>
          <w:szCs w:val="19"/>
          <w:lang w:val="es-CO"/>
        </w:rPr>
        <w:t>Definición Rae</w:t>
      </w:r>
      <w:r>
        <w:rPr>
          <w:rFonts w:ascii="Arial" w:hAnsi="Arial" w:cs="Arial"/>
          <w:sz w:val="19"/>
          <w:szCs w:val="19"/>
          <w:lang w:val="es-CO"/>
        </w:rPr>
        <w:t>. Disponible en</w:t>
      </w:r>
      <w:r w:rsidRPr="00873863">
        <w:rPr>
          <w:rFonts w:ascii="Arial" w:hAnsi="Arial" w:cs="Arial"/>
          <w:color w:val="000000" w:themeColor="text1"/>
          <w:sz w:val="19"/>
          <w:szCs w:val="19"/>
          <w:lang w:val="es-CO"/>
        </w:rPr>
        <w:t xml:space="preserve"> </w:t>
      </w:r>
      <w:hyperlink r:id="rId6" w:history="1">
        <w:r w:rsidRPr="00873863">
          <w:rPr>
            <w:rStyle w:val="Hipervnculo"/>
            <w:rFonts w:ascii="Arial" w:hAnsi="Arial" w:cs="Arial"/>
            <w:color w:val="000000" w:themeColor="text1"/>
            <w:sz w:val="19"/>
            <w:szCs w:val="19"/>
            <w:u w:val="none"/>
            <w:lang w:val="es-CO"/>
          </w:rPr>
          <w:t>https://dle.rae.es/consultar</w:t>
        </w:r>
      </w:hyperlink>
      <w:r>
        <w:rPr>
          <w:rStyle w:val="Hipervnculo"/>
          <w:rFonts w:ascii="Arial" w:hAnsi="Arial" w:cs="Arial"/>
          <w:color w:val="000000" w:themeColor="text1"/>
          <w:sz w:val="19"/>
          <w:szCs w:val="19"/>
          <w:u w:val="none"/>
          <w:lang w:val="es-CO"/>
        </w:rPr>
        <w:t xml:space="preserve"> </w:t>
      </w:r>
    </w:p>
    <w:p w14:paraId="1C1EA9CC" w14:textId="77777777" w:rsidR="00C94E12" w:rsidRPr="00D65DFE" w:rsidRDefault="00C94E12" w:rsidP="00C94E12">
      <w:pPr>
        <w:pStyle w:val="Textonotapie"/>
        <w:ind w:firstLine="709"/>
        <w:rPr>
          <w:rFonts w:ascii="Arial" w:hAnsi="Arial" w:cs="Arial"/>
          <w:sz w:val="19"/>
          <w:szCs w:val="19"/>
          <w:lang w:val="es-CO"/>
        </w:rPr>
      </w:pPr>
    </w:p>
  </w:footnote>
  <w:footnote w:id="22">
    <w:p w14:paraId="5F64C51C" w14:textId="77777777" w:rsidR="00C94E12" w:rsidRPr="000E7118" w:rsidRDefault="00C94E12" w:rsidP="00C94E12">
      <w:pPr>
        <w:pStyle w:val="Textonotapie"/>
        <w:ind w:firstLine="709"/>
        <w:rPr>
          <w:rFonts w:ascii="Arial" w:hAnsi="Arial" w:cs="Arial"/>
          <w:sz w:val="19"/>
          <w:szCs w:val="19"/>
          <w:lang w:val="es-CO"/>
        </w:rPr>
      </w:pPr>
      <w:r>
        <w:rPr>
          <w:rStyle w:val="Refdenotaalpie"/>
        </w:rPr>
        <w:footnoteRef/>
      </w:r>
      <w:r>
        <w:t xml:space="preserve"> </w:t>
      </w:r>
      <w:r w:rsidRPr="00D65DFE">
        <w:rPr>
          <w:rFonts w:ascii="Arial" w:hAnsi="Arial" w:cs="Arial"/>
          <w:sz w:val="19"/>
          <w:szCs w:val="19"/>
          <w:lang w:val="es-CO"/>
        </w:rPr>
        <w:t>Ibídem. Disponible en</w:t>
      </w:r>
      <w:r>
        <w:rPr>
          <w:rFonts w:ascii="Arial" w:hAnsi="Arial" w:cs="Arial"/>
          <w:sz w:val="19"/>
          <w:szCs w:val="19"/>
          <w:lang w:val="es-CO"/>
        </w:rPr>
        <w:t>:</w:t>
      </w:r>
      <w:r w:rsidRPr="00D65DFE">
        <w:rPr>
          <w:rFonts w:ascii="Arial" w:hAnsi="Arial" w:cs="Arial"/>
          <w:sz w:val="19"/>
          <w:szCs w:val="19"/>
          <w:lang w:val="es-CO"/>
        </w:rPr>
        <w:t xml:space="preserve"> </w:t>
      </w:r>
      <w:hyperlink r:id="rId7" w:history="1">
        <w:r w:rsidRPr="000E7118">
          <w:rPr>
            <w:rStyle w:val="Hipervnculo"/>
            <w:rFonts w:ascii="Arial" w:hAnsi="Arial" w:cs="Arial"/>
            <w:color w:val="auto"/>
            <w:sz w:val="19"/>
            <w:szCs w:val="19"/>
            <w:u w:val="none"/>
            <w:lang w:val="es-CO"/>
          </w:rPr>
          <w:t>https://www.rae.es/drae2001/an%C3%A1lisis</w:t>
        </w:r>
      </w:hyperlink>
    </w:p>
    <w:p w14:paraId="37EAA062" w14:textId="77777777" w:rsidR="00C94E12" w:rsidRPr="00D65DFE" w:rsidRDefault="00C94E12" w:rsidP="00C94E12">
      <w:pPr>
        <w:pStyle w:val="Textonotapie"/>
        <w:ind w:firstLine="709"/>
        <w:rPr>
          <w:lang w:val="es-CO"/>
        </w:rPr>
      </w:pPr>
    </w:p>
  </w:footnote>
  <w:footnote w:id="23">
    <w:p w14:paraId="3F17A7F1" w14:textId="77777777" w:rsidR="00C94E12" w:rsidRPr="00360E6D" w:rsidRDefault="00C94E12" w:rsidP="00C94E12">
      <w:pPr>
        <w:pStyle w:val="Textonotapie"/>
        <w:ind w:firstLine="709"/>
        <w:jc w:val="both"/>
        <w:rPr>
          <w:rFonts w:ascii="Arial" w:hAnsi="Arial" w:cs="Arial"/>
          <w:sz w:val="19"/>
          <w:szCs w:val="19"/>
        </w:rPr>
      </w:pPr>
      <w:r>
        <w:rPr>
          <w:rStyle w:val="Refdenotaalpie"/>
        </w:rPr>
        <w:footnoteRef/>
      </w:r>
      <w:r>
        <w:t xml:space="preserve"> </w:t>
      </w:r>
      <w:r w:rsidRPr="007128E3">
        <w:rPr>
          <w:rFonts w:ascii="Arial" w:hAnsi="Arial" w:cs="Arial"/>
          <w:sz w:val="19"/>
          <w:szCs w:val="19"/>
        </w:rPr>
        <w:t>Gaceta del Congreso de la República No.</w:t>
      </w:r>
      <w:r>
        <w:rPr>
          <w:rFonts w:ascii="Arial" w:hAnsi="Arial" w:cs="Arial"/>
          <w:sz w:val="19"/>
          <w:szCs w:val="19"/>
        </w:rPr>
        <w:t xml:space="preserve">1187/19. </w:t>
      </w:r>
      <w:r w:rsidRPr="007128E3">
        <w:rPr>
          <w:rFonts w:ascii="Arial" w:hAnsi="Arial" w:cs="Arial"/>
          <w:sz w:val="19"/>
          <w:szCs w:val="19"/>
        </w:rPr>
        <w:t>Disponible en:</w:t>
      </w:r>
      <w:r>
        <w:t xml:space="preserve"> </w:t>
      </w:r>
      <w:hyperlink r:id="rId8" w:history="1">
        <w:r w:rsidRPr="00360E6D">
          <w:rPr>
            <w:rStyle w:val="Hipervnculo"/>
            <w:rFonts w:ascii="Arial" w:hAnsi="Arial" w:cs="Arial"/>
            <w:color w:val="auto"/>
            <w:sz w:val="19"/>
            <w:szCs w:val="19"/>
            <w:u w:val="none"/>
          </w:rPr>
          <w:t>http://leyes.senado.gov.co/proyectos/images/documentos/Textos%20Radicados/Ponencias/2019/gaceta_1187.pdf</w:t>
        </w:r>
      </w:hyperlink>
      <w:r w:rsidRPr="00360E6D">
        <w:rPr>
          <w:rFonts w:ascii="Arial" w:hAnsi="Arial" w:cs="Arial"/>
          <w:sz w:val="19"/>
          <w:szCs w:val="19"/>
        </w:rPr>
        <w:t xml:space="preserve"> </w:t>
      </w:r>
    </w:p>
    <w:p w14:paraId="0992A850" w14:textId="77777777" w:rsidR="00C94E12" w:rsidRPr="0026608D" w:rsidRDefault="00C94E12" w:rsidP="00C94E12">
      <w:pPr>
        <w:pStyle w:val="Textonotapie"/>
        <w:ind w:firstLine="709"/>
        <w:rPr>
          <w:lang w:val="es-CO"/>
        </w:rPr>
      </w:pPr>
    </w:p>
  </w:footnote>
  <w:footnote w:id="24">
    <w:p w14:paraId="5A4FBDC8" w14:textId="77777777" w:rsidR="00C94E12" w:rsidRDefault="00C94E12" w:rsidP="00C94E12">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9" w:history="1">
        <w:r w:rsidRPr="00360E6D">
          <w:rPr>
            <w:rStyle w:val="Hipervnculo"/>
            <w:rFonts w:ascii="Arial" w:hAnsi="Arial" w:cs="Arial"/>
            <w:color w:val="auto"/>
            <w:sz w:val="19"/>
            <w:szCs w:val="19"/>
            <w:u w:val="none"/>
            <w:lang w:val="es-ES"/>
          </w:rPr>
          <w:t>http://leyes.senado.gov.co/proyectos/images/documentos/Textos%20Radicados/Ponencias/2018/gaceta_563.pdf</w:t>
        </w:r>
      </w:hyperlink>
      <w:r w:rsidRPr="00472D8E">
        <w:rPr>
          <w:rFonts w:ascii="Arial" w:hAnsi="Arial" w:cs="Arial"/>
          <w:sz w:val="19"/>
          <w:szCs w:val="19"/>
          <w:lang w:val="es-ES"/>
        </w:rPr>
        <w:t xml:space="preserve"> </w:t>
      </w:r>
    </w:p>
    <w:p w14:paraId="40308EC1" w14:textId="77777777" w:rsidR="00C94E12" w:rsidRPr="007128E3" w:rsidRDefault="00C94E12" w:rsidP="00C94E12">
      <w:pPr>
        <w:pStyle w:val="Textonotapie"/>
        <w:ind w:firstLine="709"/>
        <w:jc w:val="both"/>
        <w:rPr>
          <w:rFonts w:ascii="Arial" w:hAnsi="Arial" w:cs="Arial"/>
          <w:sz w:val="19"/>
          <w:szCs w:val="19"/>
          <w:lang w:val="es-CO"/>
        </w:rPr>
      </w:pPr>
    </w:p>
  </w:footnote>
  <w:footnote w:id="25">
    <w:p w14:paraId="21E14793" w14:textId="77777777" w:rsidR="00C94E12" w:rsidRDefault="00C94E12" w:rsidP="00C94E12">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10" w:history="1">
        <w:r w:rsidRPr="00360E6D">
          <w:rPr>
            <w:rStyle w:val="Hipervnculo"/>
            <w:rFonts w:ascii="Arial" w:hAnsi="Arial" w:cs="Arial"/>
            <w:color w:val="auto"/>
            <w:sz w:val="19"/>
            <w:szCs w:val="19"/>
            <w:u w:val="none"/>
          </w:rPr>
          <w:t>http://leyes.senado.gov.co/proyectos/images/documentos/Textos%20Radicados/Ponencias/2018/gaceta_1154.pdf</w:t>
        </w:r>
      </w:hyperlink>
      <w:r w:rsidRPr="009609F0">
        <w:rPr>
          <w:rFonts w:ascii="Arial" w:hAnsi="Arial" w:cs="Arial"/>
          <w:sz w:val="19"/>
          <w:szCs w:val="19"/>
        </w:rPr>
        <w:t xml:space="preserve"> </w:t>
      </w:r>
    </w:p>
    <w:p w14:paraId="5A83947D" w14:textId="77777777" w:rsidR="00C94E12" w:rsidRPr="009609F0" w:rsidRDefault="00C94E12" w:rsidP="00C94E12">
      <w:pPr>
        <w:pStyle w:val="Textonotapie"/>
        <w:ind w:firstLine="709"/>
        <w:jc w:val="both"/>
        <w:rPr>
          <w:lang w:val="es-CO"/>
        </w:rPr>
      </w:pPr>
    </w:p>
  </w:footnote>
  <w:footnote w:id="26">
    <w:p w14:paraId="04E46132" w14:textId="77777777" w:rsidR="00C94E12" w:rsidRDefault="00C94E12" w:rsidP="00C94E12">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11" w:history="1">
        <w:r w:rsidRPr="00360E6D">
          <w:rPr>
            <w:rStyle w:val="Hipervnculo"/>
            <w:rFonts w:ascii="Arial" w:hAnsi="Arial" w:cs="Arial"/>
            <w:color w:val="auto"/>
            <w:sz w:val="19"/>
            <w:szCs w:val="19"/>
            <w:u w:val="none"/>
          </w:rPr>
          <w:t>http://leyes.senado.gov.co/proyectos/images/documentos/Textos%20Radicados/Ponencias/2019/gaceta_423.pdf</w:t>
        </w:r>
      </w:hyperlink>
      <w:r w:rsidRPr="006F458D">
        <w:rPr>
          <w:rFonts w:ascii="Arial" w:hAnsi="Arial" w:cs="Arial"/>
          <w:sz w:val="19"/>
          <w:szCs w:val="19"/>
        </w:rPr>
        <w:t xml:space="preserve"> </w:t>
      </w:r>
    </w:p>
    <w:p w14:paraId="48717037" w14:textId="77777777" w:rsidR="00C94E12" w:rsidRPr="006F458D" w:rsidRDefault="00C94E12" w:rsidP="00C94E12">
      <w:pPr>
        <w:pStyle w:val="Textonotapie"/>
        <w:ind w:firstLine="709"/>
        <w:jc w:val="both"/>
        <w:rPr>
          <w:lang w:val="es-CO"/>
        </w:rPr>
      </w:pPr>
    </w:p>
  </w:footnote>
  <w:footnote w:id="27">
    <w:p w14:paraId="42EAB889" w14:textId="77777777" w:rsidR="00C94E12" w:rsidRPr="00466861" w:rsidRDefault="00C94E12" w:rsidP="00C94E12">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12" w:history="1">
        <w:r w:rsidRPr="00466861">
          <w:rPr>
            <w:rStyle w:val="Hipervnculo"/>
            <w:rFonts w:ascii="Arial" w:hAnsi="Arial" w:cs="Arial"/>
            <w:color w:val="auto"/>
            <w:sz w:val="19"/>
            <w:szCs w:val="19"/>
            <w:u w:val="none"/>
          </w:rPr>
          <w:t>http://leyes.senado.gov.co/proyectos/images/documentos/Textos%20Radicados/Ponencias/2019/gaceta_963.pdf</w:t>
        </w:r>
      </w:hyperlink>
    </w:p>
    <w:p w14:paraId="41B62F58" w14:textId="77777777" w:rsidR="00C94E12" w:rsidRPr="009153F6" w:rsidRDefault="00C94E12" w:rsidP="00C94E12">
      <w:pPr>
        <w:pStyle w:val="Textonotapie"/>
        <w:ind w:firstLine="709"/>
        <w:jc w:val="both"/>
        <w:rPr>
          <w:lang w:val="es-CO"/>
        </w:rPr>
      </w:pPr>
    </w:p>
  </w:footnote>
  <w:footnote w:id="28">
    <w:p w14:paraId="05431911" w14:textId="77777777" w:rsidR="00C94E12" w:rsidRPr="00266CB5" w:rsidRDefault="00C94E12" w:rsidP="00C94E12">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13" w:history="1">
        <w:r w:rsidRPr="00466861">
          <w:rPr>
            <w:rStyle w:val="Hipervnculo"/>
            <w:rFonts w:ascii="Arial" w:hAnsi="Arial" w:cs="Arial"/>
            <w:color w:val="auto"/>
            <w:sz w:val="19"/>
            <w:szCs w:val="19"/>
            <w:u w:val="none"/>
          </w:rPr>
          <w:t>http://leyes.senado.gov.co/proyectos/images/documentos/Textos%20Radicados/Ponencias/2019/gaceta_1187.pdf</w:t>
        </w:r>
      </w:hyperlink>
      <w:r w:rsidRPr="00266CB5">
        <w:rPr>
          <w:rFonts w:ascii="Arial" w:hAnsi="Arial" w:cs="Arial"/>
          <w:sz w:val="19"/>
          <w:szCs w:val="19"/>
        </w:rPr>
        <w:t xml:space="preserve"> </w:t>
      </w:r>
    </w:p>
  </w:footnote>
  <w:footnote w:id="29">
    <w:p w14:paraId="7A254956" w14:textId="77777777" w:rsidR="00C94E12" w:rsidRPr="00AC6886" w:rsidRDefault="00C94E12" w:rsidP="00C94E12">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7847B1C0" w:rsidR="00E2520A" w:rsidRDefault="00E2520A">
    <w:pPr>
      <w:pStyle w:val="Encabezado"/>
    </w:pPr>
  </w:p>
  <w:p w14:paraId="2A80E31D" w14:textId="3F4DC003" w:rsidR="00E2520A" w:rsidRDefault="0089572F">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14:paraId="5DBE9C96" w14:textId="3CBD2553"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730837768">
    <w:abstractNumId w:val="15"/>
  </w:num>
  <w:num w:numId="2" w16cid:durableId="67240544">
    <w:abstractNumId w:val="13"/>
  </w:num>
  <w:num w:numId="3" w16cid:durableId="1211960456">
    <w:abstractNumId w:val="22"/>
  </w:num>
  <w:num w:numId="4" w16cid:durableId="271599061">
    <w:abstractNumId w:val="27"/>
  </w:num>
  <w:num w:numId="5" w16cid:durableId="921378702">
    <w:abstractNumId w:val="31"/>
  </w:num>
  <w:num w:numId="6" w16cid:durableId="161324653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467005">
    <w:abstractNumId w:val="28"/>
  </w:num>
  <w:num w:numId="8" w16cid:durableId="1338653490">
    <w:abstractNumId w:val="3"/>
  </w:num>
  <w:num w:numId="9" w16cid:durableId="330186390">
    <w:abstractNumId w:val="8"/>
  </w:num>
  <w:num w:numId="10" w16cid:durableId="3419724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802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5836813">
    <w:abstractNumId w:val="14"/>
  </w:num>
  <w:num w:numId="13" w16cid:durableId="293606927">
    <w:abstractNumId w:val="20"/>
  </w:num>
  <w:num w:numId="14" w16cid:durableId="437994409">
    <w:abstractNumId w:val="11"/>
  </w:num>
  <w:num w:numId="15" w16cid:durableId="189997297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64294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457007">
    <w:abstractNumId w:val="33"/>
  </w:num>
  <w:num w:numId="18" w16cid:durableId="347102923">
    <w:abstractNumId w:val="23"/>
  </w:num>
  <w:num w:numId="19" w16cid:durableId="1262031148">
    <w:abstractNumId w:val="7"/>
  </w:num>
  <w:num w:numId="20" w16cid:durableId="1747335783">
    <w:abstractNumId w:val="34"/>
  </w:num>
  <w:num w:numId="21" w16cid:durableId="321202347">
    <w:abstractNumId w:val="25"/>
  </w:num>
  <w:num w:numId="22" w16cid:durableId="575823306">
    <w:abstractNumId w:val="10"/>
  </w:num>
  <w:num w:numId="23" w16cid:durableId="1383675787">
    <w:abstractNumId w:val="9"/>
  </w:num>
  <w:num w:numId="24" w16cid:durableId="578750718">
    <w:abstractNumId w:val="29"/>
  </w:num>
  <w:num w:numId="25" w16cid:durableId="590940991">
    <w:abstractNumId w:val="17"/>
  </w:num>
  <w:num w:numId="26" w16cid:durableId="832994633">
    <w:abstractNumId w:val="32"/>
  </w:num>
  <w:num w:numId="27" w16cid:durableId="1371613436">
    <w:abstractNumId w:val="36"/>
  </w:num>
  <w:num w:numId="28" w16cid:durableId="1343702445">
    <w:abstractNumId w:val="21"/>
  </w:num>
  <w:num w:numId="29" w16cid:durableId="2033528138">
    <w:abstractNumId w:val="2"/>
  </w:num>
  <w:num w:numId="30" w16cid:durableId="1779106571">
    <w:abstractNumId w:val="24"/>
  </w:num>
  <w:num w:numId="31" w16cid:durableId="1074015166">
    <w:abstractNumId w:val="18"/>
  </w:num>
  <w:num w:numId="32" w16cid:durableId="422266784">
    <w:abstractNumId w:val="26"/>
  </w:num>
  <w:num w:numId="33" w16cid:durableId="520515043">
    <w:abstractNumId w:val="35"/>
  </w:num>
  <w:num w:numId="34" w16cid:durableId="917592406">
    <w:abstractNumId w:val="16"/>
  </w:num>
  <w:num w:numId="35" w16cid:durableId="16464975">
    <w:abstractNumId w:val="1"/>
  </w:num>
  <w:num w:numId="36" w16cid:durableId="2144349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3771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2042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82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876"/>
    <w:rsid w:val="00010C40"/>
    <w:rsid w:val="000112B4"/>
    <w:rsid w:val="000119E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256F"/>
    <w:rsid w:val="0002296A"/>
    <w:rsid w:val="00023DAE"/>
    <w:rsid w:val="00023FA5"/>
    <w:rsid w:val="00024592"/>
    <w:rsid w:val="00024896"/>
    <w:rsid w:val="000250C3"/>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427"/>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7AC"/>
    <w:rsid w:val="000504DE"/>
    <w:rsid w:val="00051074"/>
    <w:rsid w:val="0005211A"/>
    <w:rsid w:val="00052B79"/>
    <w:rsid w:val="00052EA0"/>
    <w:rsid w:val="000536E3"/>
    <w:rsid w:val="00054252"/>
    <w:rsid w:val="0005474D"/>
    <w:rsid w:val="00055CB9"/>
    <w:rsid w:val="00056F66"/>
    <w:rsid w:val="0005702F"/>
    <w:rsid w:val="00057661"/>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4CCB"/>
    <w:rsid w:val="00075108"/>
    <w:rsid w:val="00075B3E"/>
    <w:rsid w:val="00076456"/>
    <w:rsid w:val="00076604"/>
    <w:rsid w:val="0007779B"/>
    <w:rsid w:val="000777E7"/>
    <w:rsid w:val="0007790A"/>
    <w:rsid w:val="0008017B"/>
    <w:rsid w:val="00080287"/>
    <w:rsid w:val="00080ACD"/>
    <w:rsid w:val="000811ED"/>
    <w:rsid w:val="00081284"/>
    <w:rsid w:val="00081D62"/>
    <w:rsid w:val="00081E36"/>
    <w:rsid w:val="000820A1"/>
    <w:rsid w:val="000820CE"/>
    <w:rsid w:val="00082435"/>
    <w:rsid w:val="00082B74"/>
    <w:rsid w:val="00083099"/>
    <w:rsid w:val="00083EDC"/>
    <w:rsid w:val="00083EE6"/>
    <w:rsid w:val="000847C0"/>
    <w:rsid w:val="00084873"/>
    <w:rsid w:val="00084B97"/>
    <w:rsid w:val="0008510E"/>
    <w:rsid w:val="000856DE"/>
    <w:rsid w:val="00085F17"/>
    <w:rsid w:val="00085FB3"/>
    <w:rsid w:val="0008686B"/>
    <w:rsid w:val="00086B2A"/>
    <w:rsid w:val="00086ED2"/>
    <w:rsid w:val="000870FB"/>
    <w:rsid w:val="000914D6"/>
    <w:rsid w:val="00091569"/>
    <w:rsid w:val="00092DCA"/>
    <w:rsid w:val="000935F8"/>
    <w:rsid w:val="00093C51"/>
    <w:rsid w:val="000942EB"/>
    <w:rsid w:val="00095B70"/>
    <w:rsid w:val="00095C0D"/>
    <w:rsid w:val="0009617E"/>
    <w:rsid w:val="00096489"/>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4657"/>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F81"/>
    <w:rsid w:val="000C128D"/>
    <w:rsid w:val="000C17A3"/>
    <w:rsid w:val="000C1D4B"/>
    <w:rsid w:val="000C3260"/>
    <w:rsid w:val="000C3616"/>
    <w:rsid w:val="000C3803"/>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0C4"/>
    <w:rsid w:val="000E22CF"/>
    <w:rsid w:val="000E2977"/>
    <w:rsid w:val="000E2B36"/>
    <w:rsid w:val="000E30AC"/>
    <w:rsid w:val="000E3B46"/>
    <w:rsid w:val="000E3E11"/>
    <w:rsid w:val="000E4596"/>
    <w:rsid w:val="000E5768"/>
    <w:rsid w:val="000E5843"/>
    <w:rsid w:val="000E6139"/>
    <w:rsid w:val="000E6A0E"/>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05BE"/>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268"/>
    <w:rsid w:val="00130355"/>
    <w:rsid w:val="00131B5A"/>
    <w:rsid w:val="00132C30"/>
    <w:rsid w:val="00132EFD"/>
    <w:rsid w:val="00133974"/>
    <w:rsid w:val="00133AED"/>
    <w:rsid w:val="00134FF9"/>
    <w:rsid w:val="00135E88"/>
    <w:rsid w:val="0013695C"/>
    <w:rsid w:val="00136BF7"/>
    <w:rsid w:val="00136FEA"/>
    <w:rsid w:val="001378B9"/>
    <w:rsid w:val="00137FD1"/>
    <w:rsid w:val="00137FFA"/>
    <w:rsid w:val="00140109"/>
    <w:rsid w:val="0014029B"/>
    <w:rsid w:val="00140A4F"/>
    <w:rsid w:val="001413AB"/>
    <w:rsid w:val="001429CE"/>
    <w:rsid w:val="001432AF"/>
    <w:rsid w:val="00144335"/>
    <w:rsid w:val="0014502F"/>
    <w:rsid w:val="00145282"/>
    <w:rsid w:val="001453B0"/>
    <w:rsid w:val="001454D9"/>
    <w:rsid w:val="00145D8E"/>
    <w:rsid w:val="00146083"/>
    <w:rsid w:val="001461BE"/>
    <w:rsid w:val="001462F7"/>
    <w:rsid w:val="001466F0"/>
    <w:rsid w:val="00146B60"/>
    <w:rsid w:val="00147798"/>
    <w:rsid w:val="00150005"/>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E5"/>
    <w:rsid w:val="00156FDB"/>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9CD"/>
    <w:rsid w:val="00182F01"/>
    <w:rsid w:val="00184F27"/>
    <w:rsid w:val="001850E6"/>
    <w:rsid w:val="0018519B"/>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A7E42"/>
    <w:rsid w:val="001B0366"/>
    <w:rsid w:val="001B0444"/>
    <w:rsid w:val="001B06FB"/>
    <w:rsid w:val="001B096B"/>
    <w:rsid w:val="001B0F9F"/>
    <w:rsid w:val="001B123C"/>
    <w:rsid w:val="001B1A0D"/>
    <w:rsid w:val="001B1BF1"/>
    <w:rsid w:val="001B2456"/>
    <w:rsid w:val="001B40C7"/>
    <w:rsid w:val="001B449C"/>
    <w:rsid w:val="001B4AA2"/>
    <w:rsid w:val="001B4ADE"/>
    <w:rsid w:val="001B5C86"/>
    <w:rsid w:val="001B5EF8"/>
    <w:rsid w:val="001B7CDA"/>
    <w:rsid w:val="001C037A"/>
    <w:rsid w:val="001C07C6"/>
    <w:rsid w:val="001C08B2"/>
    <w:rsid w:val="001C19CD"/>
    <w:rsid w:val="001C22D5"/>
    <w:rsid w:val="001C2515"/>
    <w:rsid w:val="001C2550"/>
    <w:rsid w:val="001C26FB"/>
    <w:rsid w:val="001C33C1"/>
    <w:rsid w:val="001C3E30"/>
    <w:rsid w:val="001C3E5C"/>
    <w:rsid w:val="001C5072"/>
    <w:rsid w:val="001C5B2A"/>
    <w:rsid w:val="001C5D06"/>
    <w:rsid w:val="001C600B"/>
    <w:rsid w:val="001C6407"/>
    <w:rsid w:val="001C6898"/>
    <w:rsid w:val="001C6DD8"/>
    <w:rsid w:val="001C7C7B"/>
    <w:rsid w:val="001D068D"/>
    <w:rsid w:val="001D0A71"/>
    <w:rsid w:val="001D12D1"/>
    <w:rsid w:val="001D15DF"/>
    <w:rsid w:val="001D2970"/>
    <w:rsid w:val="001D30F3"/>
    <w:rsid w:val="001D31A0"/>
    <w:rsid w:val="001D338E"/>
    <w:rsid w:val="001D3D3F"/>
    <w:rsid w:val="001D408D"/>
    <w:rsid w:val="001D4141"/>
    <w:rsid w:val="001D56E9"/>
    <w:rsid w:val="001D66A4"/>
    <w:rsid w:val="001D7923"/>
    <w:rsid w:val="001D796A"/>
    <w:rsid w:val="001D7A84"/>
    <w:rsid w:val="001D7C79"/>
    <w:rsid w:val="001E0E15"/>
    <w:rsid w:val="001E15F0"/>
    <w:rsid w:val="001E1CC4"/>
    <w:rsid w:val="001E1D38"/>
    <w:rsid w:val="001E1DEE"/>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3F7E"/>
    <w:rsid w:val="001F41DE"/>
    <w:rsid w:val="001F4773"/>
    <w:rsid w:val="001F47F4"/>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178"/>
    <w:rsid w:val="0020632A"/>
    <w:rsid w:val="0020697F"/>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1A3"/>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2A6C"/>
    <w:rsid w:val="00232E15"/>
    <w:rsid w:val="00233079"/>
    <w:rsid w:val="0023382C"/>
    <w:rsid w:val="00233977"/>
    <w:rsid w:val="00233C58"/>
    <w:rsid w:val="00233C71"/>
    <w:rsid w:val="00234299"/>
    <w:rsid w:val="002345B6"/>
    <w:rsid w:val="00234B84"/>
    <w:rsid w:val="00236016"/>
    <w:rsid w:val="00237065"/>
    <w:rsid w:val="00237589"/>
    <w:rsid w:val="0023758D"/>
    <w:rsid w:val="002375A7"/>
    <w:rsid w:val="0024019A"/>
    <w:rsid w:val="002411DE"/>
    <w:rsid w:val="0024131D"/>
    <w:rsid w:val="002413B5"/>
    <w:rsid w:val="002415B8"/>
    <w:rsid w:val="00241618"/>
    <w:rsid w:val="00241CA8"/>
    <w:rsid w:val="00242D62"/>
    <w:rsid w:val="00243057"/>
    <w:rsid w:val="002431D7"/>
    <w:rsid w:val="00243257"/>
    <w:rsid w:val="00243434"/>
    <w:rsid w:val="002434B2"/>
    <w:rsid w:val="00243D88"/>
    <w:rsid w:val="00244058"/>
    <w:rsid w:val="00244F9A"/>
    <w:rsid w:val="00245718"/>
    <w:rsid w:val="00245E07"/>
    <w:rsid w:val="0024729C"/>
    <w:rsid w:val="00247712"/>
    <w:rsid w:val="00250E32"/>
    <w:rsid w:val="00250EC6"/>
    <w:rsid w:val="0025184E"/>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8DC"/>
    <w:rsid w:val="00257999"/>
    <w:rsid w:val="00257C83"/>
    <w:rsid w:val="002604AA"/>
    <w:rsid w:val="0026129B"/>
    <w:rsid w:val="00261560"/>
    <w:rsid w:val="00261715"/>
    <w:rsid w:val="00261CF9"/>
    <w:rsid w:val="00261EC0"/>
    <w:rsid w:val="0026231B"/>
    <w:rsid w:val="00262F20"/>
    <w:rsid w:val="00263101"/>
    <w:rsid w:val="00263201"/>
    <w:rsid w:val="00263A37"/>
    <w:rsid w:val="002653A6"/>
    <w:rsid w:val="0026608D"/>
    <w:rsid w:val="002661F1"/>
    <w:rsid w:val="002663BA"/>
    <w:rsid w:val="002664B7"/>
    <w:rsid w:val="00266CB5"/>
    <w:rsid w:val="002711A4"/>
    <w:rsid w:val="00271F13"/>
    <w:rsid w:val="002721E2"/>
    <w:rsid w:val="00272F57"/>
    <w:rsid w:val="002733EA"/>
    <w:rsid w:val="00274DB5"/>
    <w:rsid w:val="00275BB1"/>
    <w:rsid w:val="00275FBF"/>
    <w:rsid w:val="00276373"/>
    <w:rsid w:val="00277933"/>
    <w:rsid w:val="00277F13"/>
    <w:rsid w:val="00277F8D"/>
    <w:rsid w:val="00277FA7"/>
    <w:rsid w:val="00280F3D"/>
    <w:rsid w:val="0028106A"/>
    <w:rsid w:val="00281EB4"/>
    <w:rsid w:val="00282C21"/>
    <w:rsid w:val="0028308E"/>
    <w:rsid w:val="002834E9"/>
    <w:rsid w:val="0028396F"/>
    <w:rsid w:val="00283A52"/>
    <w:rsid w:val="00283C5E"/>
    <w:rsid w:val="00283E26"/>
    <w:rsid w:val="0028428F"/>
    <w:rsid w:val="00284CFC"/>
    <w:rsid w:val="0028565E"/>
    <w:rsid w:val="00285832"/>
    <w:rsid w:val="00285969"/>
    <w:rsid w:val="0028663B"/>
    <w:rsid w:val="00286CEC"/>
    <w:rsid w:val="002871A9"/>
    <w:rsid w:val="00287B7E"/>
    <w:rsid w:val="00290781"/>
    <w:rsid w:val="002912D3"/>
    <w:rsid w:val="00291784"/>
    <w:rsid w:val="002929BB"/>
    <w:rsid w:val="00292E64"/>
    <w:rsid w:val="002932BA"/>
    <w:rsid w:val="00293669"/>
    <w:rsid w:val="00294368"/>
    <w:rsid w:val="00294B78"/>
    <w:rsid w:val="00295646"/>
    <w:rsid w:val="00295949"/>
    <w:rsid w:val="0029624A"/>
    <w:rsid w:val="00296922"/>
    <w:rsid w:val="0029697C"/>
    <w:rsid w:val="00297098"/>
    <w:rsid w:val="002A05D4"/>
    <w:rsid w:val="002A09FF"/>
    <w:rsid w:val="002A0E60"/>
    <w:rsid w:val="002A1A58"/>
    <w:rsid w:val="002A1B02"/>
    <w:rsid w:val="002A1C53"/>
    <w:rsid w:val="002A282F"/>
    <w:rsid w:val="002A28FC"/>
    <w:rsid w:val="002A2B44"/>
    <w:rsid w:val="002A2C6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3B8"/>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F77"/>
    <w:rsid w:val="002C704D"/>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4265"/>
    <w:rsid w:val="00315457"/>
    <w:rsid w:val="003161A4"/>
    <w:rsid w:val="00316955"/>
    <w:rsid w:val="0031720A"/>
    <w:rsid w:val="0031749B"/>
    <w:rsid w:val="003174E5"/>
    <w:rsid w:val="00317C9D"/>
    <w:rsid w:val="00317CD2"/>
    <w:rsid w:val="00317D99"/>
    <w:rsid w:val="003200E3"/>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2E9"/>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3AA"/>
    <w:rsid w:val="00373827"/>
    <w:rsid w:val="00373BA3"/>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6456"/>
    <w:rsid w:val="003865A9"/>
    <w:rsid w:val="00386C6A"/>
    <w:rsid w:val="00387642"/>
    <w:rsid w:val="003903B6"/>
    <w:rsid w:val="00390F32"/>
    <w:rsid w:val="0039135E"/>
    <w:rsid w:val="0039200F"/>
    <w:rsid w:val="0039319C"/>
    <w:rsid w:val="00393CAE"/>
    <w:rsid w:val="003945DC"/>
    <w:rsid w:val="003945F4"/>
    <w:rsid w:val="00394EB5"/>
    <w:rsid w:val="003953B4"/>
    <w:rsid w:val="0039615F"/>
    <w:rsid w:val="00396A29"/>
    <w:rsid w:val="003973A3"/>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C0365"/>
    <w:rsid w:val="003C0791"/>
    <w:rsid w:val="003C0D1F"/>
    <w:rsid w:val="003C116A"/>
    <w:rsid w:val="003C1AF4"/>
    <w:rsid w:val="003C1B63"/>
    <w:rsid w:val="003C1CB8"/>
    <w:rsid w:val="003C2550"/>
    <w:rsid w:val="003C287F"/>
    <w:rsid w:val="003C3339"/>
    <w:rsid w:val="003C375A"/>
    <w:rsid w:val="003C43F6"/>
    <w:rsid w:val="003C4D9F"/>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412"/>
    <w:rsid w:val="003D6B8F"/>
    <w:rsid w:val="003D74E7"/>
    <w:rsid w:val="003D7566"/>
    <w:rsid w:val="003E08B3"/>
    <w:rsid w:val="003E09BB"/>
    <w:rsid w:val="003E159D"/>
    <w:rsid w:val="003E20EA"/>
    <w:rsid w:val="003E210C"/>
    <w:rsid w:val="003E2913"/>
    <w:rsid w:val="003E2F55"/>
    <w:rsid w:val="003E317C"/>
    <w:rsid w:val="003E34DB"/>
    <w:rsid w:val="003E3833"/>
    <w:rsid w:val="003E3902"/>
    <w:rsid w:val="003E3AF9"/>
    <w:rsid w:val="003E47EF"/>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4B0"/>
    <w:rsid w:val="003F0F7F"/>
    <w:rsid w:val="003F2300"/>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394"/>
    <w:rsid w:val="00422DCA"/>
    <w:rsid w:val="00423F9F"/>
    <w:rsid w:val="0042499B"/>
    <w:rsid w:val="00424FEC"/>
    <w:rsid w:val="00425C43"/>
    <w:rsid w:val="00425C80"/>
    <w:rsid w:val="00426802"/>
    <w:rsid w:val="00426C69"/>
    <w:rsid w:val="004273FA"/>
    <w:rsid w:val="00430186"/>
    <w:rsid w:val="00430730"/>
    <w:rsid w:val="0043269A"/>
    <w:rsid w:val="00432E14"/>
    <w:rsid w:val="004333C2"/>
    <w:rsid w:val="00433ACB"/>
    <w:rsid w:val="00434787"/>
    <w:rsid w:val="004347DA"/>
    <w:rsid w:val="004349DA"/>
    <w:rsid w:val="00434C13"/>
    <w:rsid w:val="00436323"/>
    <w:rsid w:val="0043683F"/>
    <w:rsid w:val="00436E45"/>
    <w:rsid w:val="00436F40"/>
    <w:rsid w:val="004370FA"/>
    <w:rsid w:val="00437266"/>
    <w:rsid w:val="00440096"/>
    <w:rsid w:val="004403DD"/>
    <w:rsid w:val="00440DB0"/>
    <w:rsid w:val="00440FAD"/>
    <w:rsid w:val="0044105D"/>
    <w:rsid w:val="00441291"/>
    <w:rsid w:val="0044165B"/>
    <w:rsid w:val="004420AB"/>
    <w:rsid w:val="004422D6"/>
    <w:rsid w:val="004427AC"/>
    <w:rsid w:val="00442D4D"/>
    <w:rsid w:val="00443613"/>
    <w:rsid w:val="0044374D"/>
    <w:rsid w:val="00443865"/>
    <w:rsid w:val="00443B55"/>
    <w:rsid w:val="00443D27"/>
    <w:rsid w:val="00445AC2"/>
    <w:rsid w:val="00446037"/>
    <w:rsid w:val="0044642F"/>
    <w:rsid w:val="0044772C"/>
    <w:rsid w:val="00447B4B"/>
    <w:rsid w:val="004502AA"/>
    <w:rsid w:val="004507BD"/>
    <w:rsid w:val="00450846"/>
    <w:rsid w:val="00450B01"/>
    <w:rsid w:val="004510BD"/>
    <w:rsid w:val="0045159C"/>
    <w:rsid w:val="00451A52"/>
    <w:rsid w:val="00451FC8"/>
    <w:rsid w:val="0045271D"/>
    <w:rsid w:val="00452755"/>
    <w:rsid w:val="00452803"/>
    <w:rsid w:val="004529C6"/>
    <w:rsid w:val="00452EAD"/>
    <w:rsid w:val="004531D5"/>
    <w:rsid w:val="004533D1"/>
    <w:rsid w:val="004534D1"/>
    <w:rsid w:val="0045355B"/>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18C"/>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67A32"/>
    <w:rsid w:val="00470A6A"/>
    <w:rsid w:val="00470D92"/>
    <w:rsid w:val="004712D1"/>
    <w:rsid w:val="004716B6"/>
    <w:rsid w:val="00471DF7"/>
    <w:rsid w:val="00471F6B"/>
    <w:rsid w:val="0047295C"/>
    <w:rsid w:val="00472D8E"/>
    <w:rsid w:val="004734CF"/>
    <w:rsid w:val="00474889"/>
    <w:rsid w:val="00475C3D"/>
    <w:rsid w:val="00475C5A"/>
    <w:rsid w:val="00475C9C"/>
    <w:rsid w:val="0047676B"/>
    <w:rsid w:val="0047773C"/>
    <w:rsid w:val="00477C5F"/>
    <w:rsid w:val="00480050"/>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2FC"/>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B1A"/>
    <w:rsid w:val="00492C1F"/>
    <w:rsid w:val="00492E4C"/>
    <w:rsid w:val="00493B2C"/>
    <w:rsid w:val="00493E04"/>
    <w:rsid w:val="004940E3"/>
    <w:rsid w:val="0049530F"/>
    <w:rsid w:val="004957B7"/>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3EDC"/>
    <w:rsid w:val="004A40A9"/>
    <w:rsid w:val="004A41BA"/>
    <w:rsid w:val="004A4301"/>
    <w:rsid w:val="004A4E65"/>
    <w:rsid w:val="004A58EE"/>
    <w:rsid w:val="004A59B7"/>
    <w:rsid w:val="004A623B"/>
    <w:rsid w:val="004A6A04"/>
    <w:rsid w:val="004A6A52"/>
    <w:rsid w:val="004A6C78"/>
    <w:rsid w:val="004B0F0B"/>
    <w:rsid w:val="004B163F"/>
    <w:rsid w:val="004B2197"/>
    <w:rsid w:val="004B298A"/>
    <w:rsid w:val="004B578D"/>
    <w:rsid w:val="004B5BE7"/>
    <w:rsid w:val="004B5E2D"/>
    <w:rsid w:val="004B5ED5"/>
    <w:rsid w:val="004B6793"/>
    <w:rsid w:val="004B6BCD"/>
    <w:rsid w:val="004B6C07"/>
    <w:rsid w:val="004B74D3"/>
    <w:rsid w:val="004B76D3"/>
    <w:rsid w:val="004B788E"/>
    <w:rsid w:val="004B79B3"/>
    <w:rsid w:val="004B7E5D"/>
    <w:rsid w:val="004C0DD8"/>
    <w:rsid w:val="004C22F7"/>
    <w:rsid w:val="004C2B27"/>
    <w:rsid w:val="004C3929"/>
    <w:rsid w:val="004C4DCB"/>
    <w:rsid w:val="004C5212"/>
    <w:rsid w:val="004C5B3B"/>
    <w:rsid w:val="004C5EF0"/>
    <w:rsid w:val="004C7226"/>
    <w:rsid w:val="004C74C9"/>
    <w:rsid w:val="004C79FC"/>
    <w:rsid w:val="004C7D70"/>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23F"/>
    <w:rsid w:val="004E0742"/>
    <w:rsid w:val="004E0C64"/>
    <w:rsid w:val="004E0F6B"/>
    <w:rsid w:val="004E1545"/>
    <w:rsid w:val="004E1F1C"/>
    <w:rsid w:val="004E2A35"/>
    <w:rsid w:val="004E40CE"/>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1FFC"/>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54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C6B"/>
    <w:rsid w:val="00527E57"/>
    <w:rsid w:val="00530405"/>
    <w:rsid w:val="00530522"/>
    <w:rsid w:val="005305E5"/>
    <w:rsid w:val="00530F38"/>
    <w:rsid w:val="00531CB1"/>
    <w:rsid w:val="00531F26"/>
    <w:rsid w:val="0053277C"/>
    <w:rsid w:val="005327C0"/>
    <w:rsid w:val="00533101"/>
    <w:rsid w:val="00533CA9"/>
    <w:rsid w:val="00533DA7"/>
    <w:rsid w:val="00533E45"/>
    <w:rsid w:val="005342A3"/>
    <w:rsid w:val="005346AD"/>
    <w:rsid w:val="00534C25"/>
    <w:rsid w:val="00534EFB"/>
    <w:rsid w:val="00534F60"/>
    <w:rsid w:val="005357F1"/>
    <w:rsid w:val="005358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0420"/>
    <w:rsid w:val="00551098"/>
    <w:rsid w:val="00551581"/>
    <w:rsid w:val="00551598"/>
    <w:rsid w:val="00551610"/>
    <w:rsid w:val="0055162B"/>
    <w:rsid w:val="00551BFF"/>
    <w:rsid w:val="00551D68"/>
    <w:rsid w:val="00552B3E"/>
    <w:rsid w:val="00554F3F"/>
    <w:rsid w:val="00555157"/>
    <w:rsid w:val="005551AA"/>
    <w:rsid w:val="00556294"/>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A05"/>
    <w:rsid w:val="00575FB1"/>
    <w:rsid w:val="00576233"/>
    <w:rsid w:val="0057696F"/>
    <w:rsid w:val="005771B1"/>
    <w:rsid w:val="005774FE"/>
    <w:rsid w:val="0058040C"/>
    <w:rsid w:val="00580918"/>
    <w:rsid w:val="00580D38"/>
    <w:rsid w:val="00580D6D"/>
    <w:rsid w:val="005813DE"/>
    <w:rsid w:val="00581796"/>
    <w:rsid w:val="00581B45"/>
    <w:rsid w:val="00582480"/>
    <w:rsid w:val="00582763"/>
    <w:rsid w:val="0058290E"/>
    <w:rsid w:val="00582CAB"/>
    <w:rsid w:val="00583121"/>
    <w:rsid w:val="0058375E"/>
    <w:rsid w:val="00583A96"/>
    <w:rsid w:val="00584233"/>
    <w:rsid w:val="005842D0"/>
    <w:rsid w:val="005845DA"/>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59B"/>
    <w:rsid w:val="00596AF7"/>
    <w:rsid w:val="00596CCE"/>
    <w:rsid w:val="00597E38"/>
    <w:rsid w:val="005A11B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B7F"/>
    <w:rsid w:val="005A6E00"/>
    <w:rsid w:val="005A718A"/>
    <w:rsid w:val="005B09BE"/>
    <w:rsid w:val="005B0A25"/>
    <w:rsid w:val="005B12B2"/>
    <w:rsid w:val="005B143B"/>
    <w:rsid w:val="005B1504"/>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5011"/>
    <w:rsid w:val="005C529E"/>
    <w:rsid w:val="005C57BA"/>
    <w:rsid w:val="005C5C52"/>
    <w:rsid w:val="005C5D3D"/>
    <w:rsid w:val="005C5F05"/>
    <w:rsid w:val="005C66C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195"/>
    <w:rsid w:val="005E1595"/>
    <w:rsid w:val="005E181F"/>
    <w:rsid w:val="005E1F1D"/>
    <w:rsid w:val="005E273D"/>
    <w:rsid w:val="005E3278"/>
    <w:rsid w:val="005E363B"/>
    <w:rsid w:val="005E3760"/>
    <w:rsid w:val="005E3B0D"/>
    <w:rsid w:val="005E6EA5"/>
    <w:rsid w:val="005E792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566"/>
    <w:rsid w:val="0062471F"/>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2E89"/>
    <w:rsid w:val="00633367"/>
    <w:rsid w:val="00633DBF"/>
    <w:rsid w:val="00634122"/>
    <w:rsid w:val="00634C03"/>
    <w:rsid w:val="006355B6"/>
    <w:rsid w:val="00635E32"/>
    <w:rsid w:val="006365DE"/>
    <w:rsid w:val="00636BE4"/>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6CBC"/>
    <w:rsid w:val="00697665"/>
    <w:rsid w:val="00697C9A"/>
    <w:rsid w:val="00697E68"/>
    <w:rsid w:val="006A0274"/>
    <w:rsid w:val="006A24B9"/>
    <w:rsid w:val="006A2A43"/>
    <w:rsid w:val="006A2B27"/>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8A2"/>
    <w:rsid w:val="006B16D3"/>
    <w:rsid w:val="006B2534"/>
    <w:rsid w:val="006B2CB2"/>
    <w:rsid w:val="006B347D"/>
    <w:rsid w:val="006B3E19"/>
    <w:rsid w:val="006B4365"/>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0982"/>
    <w:rsid w:val="006D10F6"/>
    <w:rsid w:val="006D11F0"/>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015"/>
    <w:rsid w:val="006D712D"/>
    <w:rsid w:val="006D7687"/>
    <w:rsid w:val="006D7D1F"/>
    <w:rsid w:val="006D7D8A"/>
    <w:rsid w:val="006E0572"/>
    <w:rsid w:val="006E05D8"/>
    <w:rsid w:val="006E08EE"/>
    <w:rsid w:val="006E1130"/>
    <w:rsid w:val="006E155A"/>
    <w:rsid w:val="006E18B4"/>
    <w:rsid w:val="006E3452"/>
    <w:rsid w:val="006E39D1"/>
    <w:rsid w:val="006E437F"/>
    <w:rsid w:val="006E4D5B"/>
    <w:rsid w:val="006E602F"/>
    <w:rsid w:val="006E6720"/>
    <w:rsid w:val="006E68FA"/>
    <w:rsid w:val="006E7275"/>
    <w:rsid w:val="006E77B8"/>
    <w:rsid w:val="006F15CC"/>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0D5F"/>
    <w:rsid w:val="00700F97"/>
    <w:rsid w:val="0070138A"/>
    <w:rsid w:val="0070157E"/>
    <w:rsid w:val="00703084"/>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1232"/>
    <w:rsid w:val="00734414"/>
    <w:rsid w:val="007344DD"/>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A84"/>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844"/>
    <w:rsid w:val="00760867"/>
    <w:rsid w:val="00760EB6"/>
    <w:rsid w:val="0076105F"/>
    <w:rsid w:val="007616DB"/>
    <w:rsid w:val="0076228A"/>
    <w:rsid w:val="00762440"/>
    <w:rsid w:val="007629B7"/>
    <w:rsid w:val="00762E60"/>
    <w:rsid w:val="007634AD"/>
    <w:rsid w:val="00766ECC"/>
    <w:rsid w:val="007672F3"/>
    <w:rsid w:val="007676A9"/>
    <w:rsid w:val="007677B5"/>
    <w:rsid w:val="007678B1"/>
    <w:rsid w:val="00770317"/>
    <w:rsid w:val="007708A8"/>
    <w:rsid w:val="00772275"/>
    <w:rsid w:val="007734E4"/>
    <w:rsid w:val="0077380D"/>
    <w:rsid w:val="0077393F"/>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1D5C"/>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A9"/>
    <w:rsid w:val="007A3BBE"/>
    <w:rsid w:val="007A4766"/>
    <w:rsid w:val="007A5816"/>
    <w:rsid w:val="007A5947"/>
    <w:rsid w:val="007B00D8"/>
    <w:rsid w:val="007B0313"/>
    <w:rsid w:val="007B05FB"/>
    <w:rsid w:val="007B0854"/>
    <w:rsid w:val="007B086A"/>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99E"/>
    <w:rsid w:val="007B6C64"/>
    <w:rsid w:val="007B6EC8"/>
    <w:rsid w:val="007B6F81"/>
    <w:rsid w:val="007B7992"/>
    <w:rsid w:val="007B7EA2"/>
    <w:rsid w:val="007C025A"/>
    <w:rsid w:val="007C081B"/>
    <w:rsid w:val="007C097D"/>
    <w:rsid w:val="007C13FA"/>
    <w:rsid w:val="007C1672"/>
    <w:rsid w:val="007C2C29"/>
    <w:rsid w:val="007C312A"/>
    <w:rsid w:val="007C33E9"/>
    <w:rsid w:val="007C3570"/>
    <w:rsid w:val="007C3F3B"/>
    <w:rsid w:val="007C4241"/>
    <w:rsid w:val="007C55FF"/>
    <w:rsid w:val="007C6339"/>
    <w:rsid w:val="007C6EC5"/>
    <w:rsid w:val="007C7C43"/>
    <w:rsid w:val="007C7F0D"/>
    <w:rsid w:val="007D1134"/>
    <w:rsid w:val="007D140B"/>
    <w:rsid w:val="007D20CF"/>
    <w:rsid w:val="007D23F7"/>
    <w:rsid w:val="007D2566"/>
    <w:rsid w:val="007D2C18"/>
    <w:rsid w:val="007D2D74"/>
    <w:rsid w:val="007D333D"/>
    <w:rsid w:val="007D3395"/>
    <w:rsid w:val="007D3693"/>
    <w:rsid w:val="007D3C6D"/>
    <w:rsid w:val="007D409B"/>
    <w:rsid w:val="007D481A"/>
    <w:rsid w:val="007D5402"/>
    <w:rsid w:val="007D5648"/>
    <w:rsid w:val="007D58C5"/>
    <w:rsid w:val="007D5DE8"/>
    <w:rsid w:val="007D7503"/>
    <w:rsid w:val="007D7CFC"/>
    <w:rsid w:val="007D7FFC"/>
    <w:rsid w:val="007E0812"/>
    <w:rsid w:val="007E16A4"/>
    <w:rsid w:val="007E18DF"/>
    <w:rsid w:val="007E2A04"/>
    <w:rsid w:val="007E2B30"/>
    <w:rsid w:val="007E2C36"/>
    <w:rsid w:val="007E342A"/>
    <w:rsid w:val="007E350D"/>
    <w:rsid w:val="007E5C4A"/>
    <w:rsid w:val="007E64D4"/>
    <w:rsid w:val="007E66E9"/>
    <w:rsid w:val="007E69F2"/>
    <w:rsid w:val="007E7432"/>
    <w:rsid w:val="007E74BF"/>
    <w:rsid w:val="007F1437"/>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0C4"/>
    <w:rsid w:val="008124D8"/>
    <w:rsid w:val="00812918"/>
    <w:rsid w:val="0081323E"/>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39B"/>
    <w:rsid w:val="00822461"/>
    <w:rsid w:val="0082282A"/>
    <w:rsid w:val="0082292E"/>
    <w:rsid w:val="00822D06"/>
    <w:rsid w:val="00822D87"/>
    <w:rsid w:val="0082348D"/>
    <w:rsid w:val="008234E0"/>
    <w:rsid w:val="008236BE"/>
    <w:rsid w:val="00823A46"/>
    <w:rsid w:val="008241CE"/>
    <w:rsid w:val="00825240"/>
    <w:rsid w:val="00825B43"/>
    <w:rsid w:val="0082629D"/>
    <w:rsid w:val="008267D8"/>
    <w:rsid w:val="00827203"/>
    <w:rsid w:val="0082767A"/>
    <w:rsid w:val="00827CC0"/>
    <w:rsid w:val="00827D9A"/>
    <w:rsid w:val="00831026"/>
    <w:rsid w:val="0083119B"/>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6F5"/>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6D1D"/>
    <w:rsid w:val="00847535"/>
    <w:rsid w:val="00847744"/>
    <w:rsid w:val="00847B6D"/>
    <w:rsid w:val="00847FFA"/>
    <w:rsid w:val="0085092D"/>
    <w:rsid w:val="00850D82"/>
    <w:rsid w:val="00850EC6"/>
    <w:rsid w:val="00850F79"/>
    <w:rsid w:val="0085100B"/>
    <w:rsid w:val="0085304C"/>
    <w:rsid w:val="00853973"/>
    <w:rsid w:val="00853B5D"/>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86"/>
    <w:rsid w:val="008715ED"/>
    <w:rsid w:val="008717D8"/>
    <w:rsid w:val="00871E3C"/>
    <w:rsid w:val="0087213A"/>
    <w:rsid w:val="00872671"/>
    <w:rsid w:val="008728E7"/>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AB"/>
    <w:rsid w:val="008913CC"/>
    <w:rsid w:val="00891411"/>
    <w:rsid w:val="008914AE"/>
    <w:rsid w:val="00891838"/>
    <w:rsid w:val="008919CF"/>
    <w:rsid w:val="00891F84"/>
    <w:rsid w:val="008928EC"/>
    <w:rsid w:val="00892E5D"/>
    <w:rsid w:val="008935CF"/>
    <w:rsid w:val="00894436"/>
    <w:rsid w:val="00894BB1"/>
    <w:rsid w:val="008950CB"/>
    <w:rsid w:val="008951D0"/>
    <w:rsid w:val="0089572F"/>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4217"/>
    <w:rsid w:val="008A5474"/>
    <w:rsid w:val="008A5C9A"/>
    <w:rsid w:val="008A6A55"/>
    <w:rsid w:val="008A6C5C"/>
    <w:rsid w:val="008A6DF0"/>
    <w:rsid w:val="008A6F6E"/>
    <w:rsid w:val="008A7888"/>
    <w:rsid w:val="008A796E"/>
    <w:rsid w:val="008B03D8"/>
    <w:rsid w:val="008B0862"/>
    <w:rsid w:val="008B088C"/>
    <w:rsid w:val="008B1BF5"/>
    <w:rsid w:val="008B2268"/>
    <w:rsid w:val="008B263F"/>
    <w:rsid w:val="008B47A6"/>
    <w:rsid w:val="008B5939"/>
    <w:rsid w:val="008B6649"/>
    <w:rsid w:val="008B672C"/>
    <w:rsid w:val="008B7611"/>
    <w:rsid w:val="008B77E2"/>
    <w:rsid w:val="008C036D"/>
    <w:rsid w:val="008C0741"/>
    <w:rsid w:val="008C0743"/>
    <w:rsid w:val="008C0B4C"/>
    <w:rsid w:val="008C11F0"/>
    <w:rsid w:val="008C1DBA"/>
    <w:rsid w:val="008C20B8"/>
    <w:rsid w:val="008C24E7"/>
    <w:rsid w:val="008C2500"/>
    <w:rsid w:val="008C2792"/>
    <w:rsid w:val="008C2CAC"/>
    <w:rsid w:val="008C3E2A"/>
    <w:rsid w:val="008C45BD"/>
    <w:rsid w:val="008C4B19"/>
    <w:rsid w:val="008C5295"/>
    <w:rsid w:val="008C568F"/>
    <w:rsid w:val="008C62D4"/>
    <w:rsid w:val="008C6B89"/>
    <w:rsid w:val="008D18AA"/>
    <w:rsid w:val="008D1A16"/>
    <w:rsid w:val="008D1A2A"/>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2B12"/>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DA6"/>
    <w:rsid w:val="008F538E"/>
    <w:rsid w:val="008F59B4"/>
    <w:rsid w:val="008F5A20"/>
    <w:rsid w:val="008F5ABA"/>
    <w:rsid w:val="008F6CF9"/>
    <w:rsid w:val="008F7905"/>
    <w:rsid w:val="008F7989"/>
    <w:rsid w:val="009026AF"/>
    <w:rsid w:val="009028E8"/>
    <w:rsid w:val="00902E5C"/>
    <w:rsid w:val="0090350D"/>
    <w:rsid w:val="009039EB"/>
    <w:rsid w:val="009046E5"/>
    <w:rsid w:val="009047C5"/>
    <w:rsid w:val="009050CD"/>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3FC"/>
    <w:rsid w:val="00934E69"/>
    <w:rsid w:val="009367D5"/>
    <w:rsid w:val="0093729F"/>
    <w:rsid w:val="00937401"/>
    <w:rsid w:val="00937561"/>
    <w:rsid w:val="009376FB"/>
    <w:rsid w:val="00937D6B"/>
    <w:rsid w:val="00940477"/>
    <w:rsid w:val="00940876"/>
    <w:rsid w:val="0094088F"/>
    <w:rsid w:val="00940A53"/>
    <w:rsid w:val="00940F3C"/>
    <w:rsid w:val="00940FC1"/>
    <w:rsid w:val="009410E0"/>
    <w:rsid w:val="009444B4"/>
    <w:rsid w:val="00944644"/>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76E70"/>
    <w:rsid w:val="009801E7"/>
    <w:rsid w:val="0098022F"/>
    <w:rsid w:val="009810CC"/>
    <w:rsid w:val="009810DE"/>
    <w:rsid w:val="009816A2"/>
    <w:rsid w:val="00981D3C"/>
    <w:rsid w:val="009822D7"/>
    <w:rsid w:val="009827E6"/>
    <w:rsid w:val="00982E70"/>
    <w:rsid w:val="00982F84"/>
    <w:rsid w:val="0098427D"/>
    <w:rsid w:val="00984567"/>
    <w:rsid w:val="00985102"/>
    <w:rsid w:val="00985BE7"/>
    <w:rsid w:val="009865D5"/>
    <w:rsid w:val="009876F2"/>
    <w:rsid w:val="00987C77"/>
    <w:rsid w:val="009901E1"/>
    <w:rsid w:val="00990345"/>
    <w:rsid w:val="00990701"/>
    <w:rsid w:val="0099090B"/>
    <w:rsid w:val="00990BC7"/>
    <w:rsid w:val="0099119C"/>
    <w:rsid w:val="0099137A"/>
    <w:rsid w:val="00991805"/>
    <w:rsid w:val="0099211C"/>
    <w:rsid w:val="00993B78"/>
    <w:rsid w:val="0099483A"/>
    <w:rsid w:val="00995119"/>
    <w:rsid w:val="009953AD"/>
    <w:rsid w:val="0099583D"/>
    <w:rsid w:val="00995B7C"/>
    <w:rsid w:val="00996992"/>
    <w:rsid w:val="00996E1E"/>
    <w:rsid w:val="00997392"/>
    <w:rsid w:val="0099747C"/>
    <w:rsid w:val="0099771C"/>
    <w:rsid w:val="009A01E4"/>
    <w:rsid w:val="009A0917"/>
    <w:rsid w:val="009A0A33"/>
    <w:rsid w:val="009A0A35"/>
    <w:rsid w:val="009A1351"/>
    <w:rsid w:val="009A1681"/>
    <w:rsid w:val="009A2435"/>
    <w:rsid w:val="009A3253"/>
    <w:rsid w:val="009A35DC"/>
    <w:rsid w:val="009A38AB"/>
    <w:rsid w:val="009A3CFB"/>
    <w:rsid w:val="009A3D47"/>
    <w:rsid w:val="009A4D63"/>
    <w:rsid w:val="009A5356"/>
    <w:rsid w:val="009A5468"/>
    <w:rsid w:val="009A5526"/>
    <w:rsid w:val="009A5ADC"/>
    <w:rsid w:val="009A5D99"/>
    <w:rsid w:val="009A608C"/>
    <w:rsid w:val="009A6CA7"/>
    <w:rsid w:val="009A6FDF"/>
    <w:rsid w:val="009A7596"/>
    <w:rsid w:val="009A76D6"/>
    <w:rsid w:val="009B199E"/>
    <w:rsid w:val="009B2E29"/>
    <w:rsid w:val="009B3163"/>
    <w:rsid w:val="009B422F"/>
    <w:rsid w:val="009B46BC"/>
    <w:rsid w:val="009B4D1A"/>
    <w:rsid w:val="009B558B"/>
    <w:rsid w:val="009B6801"/>
    <w:rsid w:val="009B68DD"/>
    <w:rsid w:val="009B6D21"/>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872"/>
    <w:rsid w:val="009D11F6"/>
    <w:rsid w:val="009D13B9"/>
    <w:rsid w:val="009D1A14"/>
    <w:rsid w:val="009D1E2A"/>
    <w:rsid w:val="009D1FA0"/>
    <w:rsid w:val="009D256D"/>
    <w:rsid w:val="009D2BDF"/>
    <w:rsid w:val="009D3736"/>
    <w:rsid w:val="009D3964"/>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0E95"/>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09C8"/>
    <w:rsid w:val="00A01852"/>
    <w:rsid w:val="00A0188B"/>
    <w:rsid w:val="00A01E73"/>
    <w:rsid w:val="00A023E7"/>
    <w:rsid w:val="00A02ADC"/>
    <w:rsid w:val="00A02B88"/>
    <w:rsid w:val="00A03160"/>
    <w:rsid w:val="00A034E1"/>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94A"/>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3FF"/>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6BBB"/>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696C"/>
    <w:rsid w:val="00A569EC"/>
    <w:rsid w:val="00A56DE7"/>
    <w:rsid w:val="00A578F5"/>
    <w:rsid w:val="00A57EB2"/>
    <w:rsid w:val="00A6009E"/>
    <w:rsid w:val="00A60762"/>
    <w:rsid w:val="00A60B1F"/>
    <w:rsid w:val="00A61736"/>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3D2"/>
    <w:rsid w:val="00A734E5"/>
    <w:rsid w:val="00A73855"/>
    <w:rsid w:val="00A73D64"/>
    <w:rsid w:val="00A73FEA"/>
    <w:rsid w:val="00A74216"/>
    <w:rsid w:val="00A744B4"/>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A1D"/>
    <w:rsid w:val="00A83BEF"/>
    <w:rsid w:val="00A841E1"/>
    <w:rsid w:val="00A84443"/>
    <w:rsid w:val="00A8487F"/>
    <w:rsid w:val="00A848FC"/>
    <w:rsid w:val="00A849A3"/>
    <w:rsid w:val="00A84A0E"/>
    <w:rsid w:val="00A84D7C"/>
    <w:rsid w:val="00A851FD"/>
    <w:rsid w:val="00A86E0B"/>
    <w:rsid w:val="00A9069B"/>
    <w:rsid w:val="00A90F12"/>
    <w:rsid w:val="00A9222F"/>
    <w:rsid w:val="00A92369"/>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BD0"/>
    <w:rsid w:val="00AA3D7B"/>
    <w:rsid w:val="00AA42A0"/>
    <w:rsid w:val="00AA442B"/>
    <w:rsid w:val="00AA46A4"/>
    <w:rsid w:val="00AA5687"/>
    <w:rsid w:val="00AA5779"/>
    <w:rsid w:val="00AA58A1"/>
    <w:rsid w:val="00AA61C7"/>
    <w:rsid w:val="00AA669D"/>
    <w:rsid w:val="00AA66ED"/>
    <w:rsid w:val="00AA6BE1"/>
    <w:rsid w:val="00AA7416"/>
    <w:rsid w:val="00AA7A60"/>
    <w:rsid w:val="00AA7B42"/>
    <w:rsid w:val="00AB03A9"/>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C34"/>
    <w:rsid w:val="00AB4DEE"/>
    <w:rsid w:val="00AB4E32"/>
    <w:rsid w:val="00AB579A"/>
    <w:rsid w:val="00AB724B"/>
    <w:rsid w:val="00AB726C"/>
    <w:rsid w:val="00AB72B4"/>
    <w:rsid w:val="00AC01FD"/>
    <w:rsid w:val="00AC02AA"/>
    <w:rsid w:val="00AC0537"/>
    <w:rsid w:val="00AC0A84"/>
    <w:rsid w:val="00AC2A0B"/>
    <w:rsid w:val="00AC2BEC"/>
    <w:rsid w:val="00AC2BEE"/>
    <w:rsid w:val="00AC2E53"/>
    <w:rsid w:val="00AC484F"/>
    <w:rsid w:val="00AC4929"/>
    <w:rsid w:val="00AC4A42"/>
    <w:rsid w:val="00AC4B20"/>
    <w:rsid w:val="00AC4D8F"/>
    <w:rsid w:val="00AC56F2"/>
    <w:rsid w:val="00AC5B8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686"/>
    <w:rsid w:val="00AE799A"/>
    <w:rsid w:val="00AF078E"/>
    <w:rsid w:val="00AF0E81"/>
    <w:rsid w:val="00AF117A"/>
    <w:rsid w:val="00AF186E"/>
    <w:rsid w:val="00AF19DF"/>
    <w:rsid w:val="00AF1F4F"/>
    <w:rsid w:val="00AF26CF"/>
    <w:rsid w:val="00AF4E92"/>
    <w:rsid w:val="00AF554B"/>
    <w:rsid w:val="00AF5C0A"/>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1DE4"/>
    <w:rsid w:val="00B12735"/>
    <w:rsid w:val="00B129C6"/>
    <w:rsid w:val="00B131C4"/>
    <w:rsid w:val="00B13386"/>
    <w:rsid w:val="00B13533"/>
    <w:rsid w:val="00B13C48"/>
    <w:rsid w:val="00B13E35"/>
    <w:rsid w:val="00B13EC0"/>
    <w:rsid w:val="00B14102"/>
    <w:rsid w:val="00B1499B"/>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0C1E"/>
    <w:rsid w:val="00B228D1"/>
    <w:rsid w:val="00B22C58"/>
    <w:rsid w:val="00B22E22"/>
    <w:rsid w:val="00B22F5F"/>
    <w:rsid w:val="00B23813"/>
    <w:rsid w:val="00B23FD9"/>
    <w:rsid w:val="00B24591"/>
    <w:rsid w:val="00B245D5"/>
    <w:rsid w:val="00B249FC"/>
    <w:rsid w:val="00B24C36"/>
    <w:rsid w:val="00B24F94"/>
    <w:rsid w:val="00B25126"/>
    <w:rsid w:val="00B25A52"/>
    <w:rsid w:val="00B25B0A"/>
    <w:rsid w:val="00B25FC3"/>
    <w:rsid w:val="00B26CC4"/>
    <w:rsid w:val="00B27026"/>
    <w:rsid w:val="00B27875"/>
    <w:rsid w:val="00B3008D"/>
    <w:rsid w:val="00B302CA"/>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7657"/>
    <w:rsid w:val="00B37AFD"/>
    <w:rsid w:val="00B37B07"/>
    <w:rsid w:val="00B402CF"/>
    <w:rsid w:val="00B4046F"/>
    <w:rsid w:val="00B40B47"/>
    <w:rsid w:val="00B40F6C"/>
    <w:rsid w:val="00B41D39"/>
    <w:rsid w:val="00B422C0"/>
    <w:rsid w:val="00B426CA"/>
    <w:rsid w:val="00B426E1"/>
    <w:rsid w:val="00B4298E"/>
    <w:rsid w:val="00B43488"/>
    <w:rsid w:val="00B437F8"/>
    <w:rsid w:val="00B4387A"/>
    <w:rsid w:val="00B44260"/>
    <w:rsid w:val="00B44746"/>
    <w:rsid w:val="00B44854"/>
    <w:rsid w:val="00B45445"/>
    <w:rsid w:val="00B458D0"/>
    <w:rsid w:val="00B46120"/>
    <w:rsid w:val="00B4792C"/>
    <w:rsid w:val="00B50CAE"/>
    <w:rsid w:val="00B50FE0"/>
    <w:rsid w:val="00B512AD"/>
    <w:rsid w:val="00B5196C"/>
    <w:rsid w:val="00B525CB"/>
    <w:rsid w:val="00B52697"/>
    <w:rsid w:val="00B53E7C"/>
    <w:rsid w:val="00B54D8F"/>
    <w:rsid w:val="00B5526F"/>
    <w:rsid w:val="00B55857"/>
    <w:rsid w:val="00B55C69"/>
    <w:rsid w:val="00B56851"/>
    <w:rsid w:val="00B56C1F"/>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66C"/>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C5F"/>
    <w:rsid w:val="00BA1EFD"/>
    <w:rsid w:val="00BA20D8"/>
    <w:rsid w:val="00BA22FC"/>
    <w:rsid w:val="00BA2F30"/>
    <w:rsid w:val="00BA4771"/>
    <w:rsid w:val="00BA4DA4"/>
    <w:rsid w:val="00BA5027"/>
    <w:rsid w:val="00BA665B"/>
    <w:rsid w:val="00BA7370"/>
    <w:rsid w:val="00BA778B"/>
    <w:rsid w:val="00BB0888"/>
    <w:rsid w:val="00BB0DF1"/>
    <w:rsid w:val="00BB0E9B"/>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9D4"/>
    <w:rsid w:val="00BC3FF9"/>
    <w:rsid w:val="00BC4834"/>
    <w:rsid w:val="00BC4A97"/>
    <w:rsid w:val="00BC5A25"/>
    <w:rsid w:val="00BC5FDD"/>
    <w:rsid w:val="00BC66F0"/>
    <w:rsid w:val="00BC68B4"/>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5775"/>
    <w:rsid w:val="00BD62CF"/>
    <w:rsid w:val="00BD67B2"/>
    <w:rsid w:val="00BD6A07"/>
    <w:rsid w:val="00BD78AB"/>
    <w:rsid w:val="00BD78FE"/>
    <w:rsid w:val="00BD7A91"/>
    <w:rsid w:val="00BE0149"/>
    <w:rsid w:val="00BE0767"/>
    <w:rsid w:val="00BE12D7"/>
    <w:rsid w:val="00BE1372"/>
    <w:rsid w:val="00BE1775"/>
    <w:rsid w:val="00BE17A2"/>
    <w:rsid w:val="00BE18DA"/>
    <w:rsid w:val="00BE26C0"/>
    <w:rsid w:val="00BE3442"/>
    <w:rsid w:val="00BE45DF"/>
    <w:rsid w:val="00BE47B2"/>
    <w:rsid w:val="00BE48C7"/>
    <w:rsid w:val="00BE4F66"/>
    <w:rsid w:val="00BE4F8C"/>
    <w:rsid w:val="00BE5238"/>
    <w:rsid w:val="00BE5D35"/>
    <w:rsid w:val="00BE6074"/>
    <w:rsid w:val="00BE67A2"/>
    <w:rsid w:val="00BE7257"/>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6D9"/>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6938"/>
    <w:rsid w:val="00C176D5"/>
    <w:rsid w:val="00C17DAC"/>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89"/>
    <w:rsid w:val="00C245EE"/>
    <w:rsid w:val="00C24AE1"/>
    <w:rsid w:val="00C24B8D"/>
    <w:rsid w:val="00C24BD7"/>
    <w:rsid w:val="00C2526E"/>
    <w:rsid w:val="00C252CC"/>
    <w:rsid w:val="00C25813"/>
    <w:rsid w:val="00C27143"/>
    <w:rsid w:val="00C27490"/>
    <w:rsid w:val="00C27A55"/>
    <w:rsid w:val="00C27D37"/>
    <w:rsid w:val="00C27FB2"/>
    <w:rsid w:val="00C302E5"/>
    <w:rsid w:val="00C309E8"/>
    <w:rsid w:val="00C32017"/>
    <w:rsid w:val="00C325CD"/>
    <w:rsid w:val="00C3322E"/>
    <w:rsid w:val="00C337F5"/>
    <w:rsid w:val="00C33B90"/>
    <w:rsid w:val="00C34350"/>
    <w:rsid w:val="00C34B5F"/>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2AB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285"/>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33BA"/>
    <w:rsid w:val="00C74F3F"/>
    <w:rsid w:val="00C760DC"/>
    <w:rsid w:val="00C8082B"/>
    <w:rsid w:val="00C80980"/>
    <w:rsid w:val="00C81A88"/>
    <w:rsid w:val="00C81AEC"/>
    <w:rsid w:val="00C81D46"/>
    <w:rsid w:val="00C820AD"/>
    <w:rsid w:val="00C82298"/>
    <w:rsid w:val="00C828D2"/>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7BF"/>
    <w:rsid w:val="00C93877"/>
    <w:rsid w:val="00C93D8C"/>
    <w:rsid w:val="00C946CC"/>
    <w:rsid w:val="00C94E12"/>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BD4"/>
    <w:rsid w:val="00CA5C14"/>
    <w:rsid w:val="00CA76FC"/>
    <w:rsid w:val="00CA7E7B"/>
    <w:rsid w:val="00CB0236"/>
    <w:rsid w:val="00CB19E3"/>
    <w:rsid w:val="00CB222D"/>
    <w:rsid w:val="00CB2C3A"/>
    <w:rsid w:val="00CB2D38"/>
    <w:rsid w:val="00CB353F"/>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1B08"/>
    <w:rsid w:val="00CC21AC"/>
    <w:rsid w:val="00CC2514"/>
    <w:rsid w:val="00CC2756"/>
    <w:rsid w:val="00CC2F69"/>
    <w:rsid w:val="00CC315F"/>
    <w:rsid w:val="00CC3D38"/>
    <w:rsid w:val="00CC404B"/>
    <w:rsid w:val="00CC40C3"/>
    <w:rsid w:val="00CC4E5D"/>
    <w:rsid w:val="00CC50AE"/>
    <w:rsid w:val="00CC5864"/>
    <w:rsid w:val="00CC5A3E"/>
    <w:rsid w:val="00CC61B7"/>
    <w:rsid w:val="00CC61CA"/>
    <w:rsid w:val="00CC6668"/>
    <w:rsid w:val="00CC69EC"/>
    <w:rsid w:val="00CC7133"/>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BAE"/>
    <w:rsid w:val="00CD7EFA"/>
    <w:rsid w:val="00CE020E"/>
    <w:rsid w:val="00CE0566"/>
    <w:rsid w:val="00CE16A9"/>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73F8"/>
    <w:rsid w:val="00CF7928"/>
    <w:rsid w:val="00CF7CA2"/>
    <w:rsid w:val="00D00A8E"/>
    <w:rsid w:val="00D00DE0"/>
    <w:rsid w:val="00D00F79"/>
    <w:rsid w:val="00D012BF"/>
    <w:rsid w:val="00D01760"/>
    <w:rsid w:val="00D0368E"/>
    <w:rsid w:val="00D03D2D"/>
    <w:rsid w:val="00D03E7B"/>
    <w:rsid w:val="00D0401A"/>
    <w:rsid w:val="00D04714"/>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218"/>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5EA8"/>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5C46"/>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734F"/>
    <w:rsid w:val="00D77CA7"/>
    <w:rsid w:val="00D8044C"/>
    <w:rsid w:val="00D805D6"/>
    <w:rsid w:val="00D8075E"/>
    <w:rsid w:val="00D80860"/>
    <w:rsid w:val="00D80D4C"/>
    <w:rsid w:val="00D8166D"/>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299"/>
    <w:rsid w:val="00D93726"/>
    <w:rsid w:val="00D93DA7"/>
    <w:rsid w:val="00D93DD3"/>
    <w:rsid w:val="00D93F3E"/>
    <w:rsid w:val="00D9405B"/>
    <w:rsid w:val="00D94942"/>
    <w:rsid w:val="00D95145"/>
    <w:rsid w:val="00D96125"/>
    <w:rsid w:val="00D967CB"/>
    <w:rsid w:val="00D96EE0"/>
    <w:rsid w:val="00D97BD1"/>
    <w:rsid w:val="00DA06B8"/>
    <w:rsid w:val="00DA1F6F"/>
    <w:rsid w:val="00DA286D"/>
    <w:rsid w:val="00DA2969"/>
    <w:rsid w:val="00DA29B7"/>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6D"/>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5C25"/>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5B1"/>
    <w:rsid w:val="00E057BA"/>
    <w:rsid w:val="00E05E70"/>
    <w:rsid w:val="00E064BC"/>
    <w:rsid w:val="00E06ECF"/>
    <w:rsid w:val="00E07225"/>
    <w:rsid w:val="00E07A64"/>
    <w:rsid w:val="00E07AAA"/>
    <w:rsid w:val="00E1079C"/>
    <w:rsid w:val="00E109DD"/>
    <w:rsid w:val="00E11229"/>
    <w:rsid w:val="00E114CA"/>
    <w:rsid w:val="00E11CF0"/>
    <w:rsid w:val="00E12E62"/>
    <w:rsid w:val="00E132D5"/>
    <w:rsid w:val="00E1397F"/>
    <w:rsid w:val="00E13AB8"/>
    <w:rsid w:val="00E13D8F"/>
    <w:rsid w:val="00E14267"/>
    <w:rsid w:val="00E1482E"/>
    <w:rsid w:val="00E155D3"/>
    <w:rsid w:val="00E16382"/>
    <w:rsid w:val="00E16572"/>
    <w:rsid w:val="00E1699C"/>
    <w:rsid w:val="00E16E75"/>
    <w:rsid w:val="00E1746D"/>
    <w:rsid w:val="00E2012A"/>
    <w:rsid w:val="00E205A2"/>
    <w:rsid w:val="00E20BA4"/>
    <w:rsid w:val="00E20C24"/>
    <w:rsid w:val="00E23137"/>
    <w:rsid w:val="00E231B0"/>
    <w:rsid w:val="00E23980"/>
    <w:rsid w:val="00E241E9"/>
    <w:rsid w:val="00E2510E"/>
    <w:rsid w:val="00E2520A"/>
    <w:rsid w:val="00E25359"/>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24C8"/>
    <w:rsid w:val="00E4251D"/>
    <w:rsid w:val="00E42F41"/>
    <w:rsid w:val="00E43D00"/>
    <w:rsid w:val="00E44128"/>
    <w:rsid w:val="00E445E4"/>
    <w:rsid w:val="00E457CB"/>
    <w:rsid w:val="00E45D47"/>
    <w:rsid w:val="00E45DE4"/>
    <w:rsid w:val="00E45E63"/>
    <w:rsid w:val="00E4622C"/>
    <w:rsid w:val="00E46D10"/>
    <w:rsid w:val="00E50A7B"/>
    <w:rsid w:val="00E50B0B"/>
    <w:rsid w:val="00E510FE"/>
    <w:rsid w:val="00E51E25"/>
    <w:rsid w:val="00E5205B"/>
    <w:rsid w:val="00E521AE"/>
    <w:rsid w:val="00E52C99"/>
    <w:rsid w:val="00E53BCA"/>
    <w:rsid w:val="00E53F02"/>
    <w:rsid w:val="00E54534"/>
    <w:rsid w:val="00E548C3"/>
    <w:rsid w:val="00E54DA0"/>
    <w:rsid w:val="00E54F27"/>
    <w:rsid w:val="00E556F5"/>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87D"/>
    <w:rsid w:val="00E679C8"/>
    <w:rsid w:val="00E70314"/>
    <w:rsid w:val="00E70FCD"/>
    <w:rsid w:val="00E724E7"/>
    <w:rsid w:val="00E72B41"/>
    <w:rsid w:val="00E7347B"/>
    <w:rsid w:val="00E73D03"/>
    <w:rsid w:val="00E7471C"/>
    <w:rsid w:val="00E7498A"/>
    <w:rsid w:val="00E7514E"/>
    <w:rsid w:val="00E75B34"/>
    <w:rsid w:val="00E77AF5"/>
    <w:rsid w:val="00E8029A"/>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874C2"/>
    <w:rsid w:val="00E9011F"/>
    <w:rsid w:val="00E906EB"/>
    <w:rsid w:val="00E913F9"/>
    <w:rsid w:val="00E9241E"/>
    <w:rsid w:val="00E92460"/>
    <w:rsid w:val="00E92E62"/>
    <w:rsid w:val="00E92E8B"/>
    <w:rsid w:val="00E93804"/>
    <w:rsid w:val="00E93A86"/>
    <w:rsid w:val="00E941AA"/>
    <w:rsid w:val="00E95434"/>
    <w:rsid w:val="00E96242"/>
    <w:rsid w:val="00E96467"/>
    <w:rsid w:val="00E966DA"/>
    <w:rsid w:val="00E96948"/>
    <w:rsid w:val="00E96BA5"/>
    <w:rsid w:val="00E9737B"/>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B0A89"/>
    <w:rsid w:val="00EB0B22"/>
    <w:rsid w:val="00EB1573"/>
    <w:rsid w:val="00EB1650"/>
    <w:rsid w:val="00EB1910"/>
    <w:rsid w:val="00EB1D24"/>
    <w:rsid w:val="00EB209B"/>
    <w:rsid w:val="00EB2A35"/>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46B"/>
    <w:rsid w:val="00EC36B1"/>
    <w:rsid w:val="00EC3C94"/>
    <w:rsid w:val="00EC44DF"/>
    <w:rsid w:val="00EC4AB1"/>
    <w:rsid w:val="00EC4EFB"/>
    <w:rsid w:val="00EC4FB9"/>
    <w:rsid w:val="00EC5310"/>
    <w:rsid w:val="00EC5393"/>
    <w:rsid w:val="00EC55D5"/>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4BFC"/>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BFD"/>
    <w:rsid w:val="00F02D25"/>
    <w:rsid w:val="00F03B70"/>
    <w:rsid w:val="00F0435D"/>
    <w:rsid w:val="00F04580"/>
    <w:rsid w:val="00F04ECA"/>
    <w:rsid w:val="00F05DC2"/>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52A"/>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5A86"/>
    <w:rsid w:val="00F76C11"/>
    <w:rsid w:val="00F76F1C"/>
    <w:rsid w:val="00F77021"/>
    <w:rsid w:val="00F775CB"/>
    <w:rsid w:val="00F77E61"/>
    <w:rsid w:val="00F814B2"/>
    <w:rsid w:val="00F815AC"/>
    <w:rsid w:val="00F82D8B"/>
    <w:rsid w:val="00F83200"/>
    <w:rsid w:val="00F83B33"/>
    <w:rsid w:val="00F83CAE"/>
    <w:rsid w:val="00F840BF"/>
    <w:rsid w:val="00F8415D"/>
    <w:rsid w:val="00F8427A"/>
    <w:rsid w:val="00F843DF"/>
    <w:rsid w:val="00F84899"/>
    <w:rsid w:val="00F848AB"/>
    <w:rsid w:val="00F84A0A"/>
    <w:rsid w:val="00F8523F"/>
    <w:rsid w:val="00F853A5"/>
    <w:rsid w:val="00F85585"/>
    <w:rsid w:val="00F859F0"/>
    <w:rsid w:val="00F85CC1"/>
    <w:rsid w:val="00F86A41"/>
    <w:rsid w:val="00F86B5D"/>
    <w:rsid w:val="00F87357"/>
    <w:rsid w:val="00F87464"/>
    <w:rsid w:val="00F87634"/>
    <w:rsid w:val="00F87C13"/>
    <w:rsid w:val="00F87C5A"/>
    <w:rsid w:val="00F87E29"/>
    <w:rsid w:val="00F87F18"/>
    <w:rsid w:val="00F87F68"/>
    <w:rsid w:val="00F90C4D"/>
    <w:rsid w:val="00F90F7A"/>
    <w:rsid w:val="00F9167D"/>
    <w:rsid w:val="00F91CB2"/>
    <w:rsid w:val="00F9289C"/>
    <w:rsid w:val="00F92920"/>
    <w:rsid w:val="00F93DBC"/>
    <w:rsid w:val="00F93E41"/>
    <w:rsid w:val="00F94644"/>
    <w:rsid w:val="00F95075"/>
    <w:rsid w:val="00F9537B"/>
    <w:rsid w:val="00F95567"/>
    <w:rsid w:val="00F963FC"/>
    <w:rsid w:val="00FA015F"/>
    <w:rsid w:val="00FA0FAC"/>
    <w:rsid w:val="00FA1DA2"/>
    <w:rsid w:val="00FA2147"/>
    <w:rsid w:val="00FA2FC8"/>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4D3F"/>
    <w:rsid w:val="00FB583C"/>
    <w:rsid w:val="00FB630E"/>
    <w:rsid w:val="00FB6738"/>
    <w:rsid w:val="00FB691B"/>
    <w:rsid w:val="00FB6A6B"/>
    <w:rsid w:val="00FB731C"/>
    <w:rsid w:val="00FB7DF8"/>
    <w:rsid w:val="00FC05A0"/>
    <w:rsid w:val="00FC0811"/>
    <w:rsid w:val="00FC0B30"/>
    <w:rsid w:val="00FC1196"/>
    <w:rsid w:val="00FC15EB"/>
    <w:rsid w:val="00FC18DC"/>
    <w:rsid w:val="00FC2AC4"/>
    <w:rsid w:val="00FC2D6D"/>
    <w:rsid w:val="00FC2F73"/>
    <w:rsid w:val="00FC2FE6"/>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5AE0"/>
    <w:rsid w:val="00FD6F3C"/>
    <w:rsid w:val="00FD798D"/>
    <w:rsid w:val="00FD7BD8"/>
    <w:rsid w:val="00FD7FB9"/>
    <w:rsid w:val="00FE100E"/>
    <w:rsid w:val="00FE141E"/>
    <w:rsid w:val="00FE144E"/>
    <w:rsid w:val="00FE1689"/>
    <w:rsid w:val="00FE1768"/>
    <w:rsid w:val="00FE24F4"/>
    <w:rsid w:val="00FE2560"/>
    <w:rsid w:val="00FE35D0"/>
    <w:rsid w:val="00FE41AC"/>
    <w:rsid w:val="00FE42ED"/>
    <w:rsid w:val="00FE4C6D"/>
    <w:rsid w:val="00FE55A7"/>
    <w:rsid w:val="00FE55E6"/>
    <w:rsid w:val="00FE56D5"/>
    <w:rsid w:val="00FE5C5A"/>
    <w:rsid w:val="00FE6432"/>
    <w:rsid w:val="00FE72A0"/>
    <w:rsid w:val="00FF0050"/>
    <w:rsid w:val="00FF045F"/>
    <w:rsid w:val="00FF0712"/>
    <w:rsid w:val="00FF0976"/>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4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qFormat/>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paragraph" w:customStyle="1" w:styleId="Normal11pt">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250747312">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185019911">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7571566">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32909867">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45114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0364266">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437_201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1187.pdf" TargetMode="External"/><Relationship Id="rId13" Type="http://schemas.openxmlformats.org/officeDocument/2006/relationships/hyperlink" Target="http://leyes.senado.gov.co/proyectos/images/documentos/Textos%20Radicados/Ponencias/2019/gaceta_1187.pdf" TargetMode="External"/><Relationship Id="rId3" Type="http://schemas.openxmlformats.org/officeDocument/2006/relationships/hyperlink" Target="https://www.contraloria.gov.co/documents/20181/1776254/CIRCULAR_2020EE0096013_REGISTRO_NACIONAL_OBRAS_INCONCLUSAS.PDF/785952d4-4b41-48cb-916b-4881c3b4a095" TargetMode="External"/><Relationship Id="rId7" Type="http://schemas.openxmlformats.org/officeDocument/2006/relationships/hyperlink" Target="https://www.rae.es/drae2001/an%C3%A1lisis" TargetMode="External"/><Relationship Id="rId12" Type="http://schemas.openxmlformats.org/officeDocument/2006/relationships/hyperlink" Target="http://leyes.senado.gov.co/proyectos/images/documentos/Textos%20Radicados/Ponencias/2019/gaceta_963.pdf" TargetMode="External"/><Relationship Id="rId2" Type="http://schemas.openxmlformats.org/officeDocument/2006/relationships/hyperlink" Target="http://svrpubindc.imprenta.gov.co/senado/index.xhtml;jsessionid=b3ba7213a248bacd37376ffcedca" TargetMode="External"/><Relationship Id="rId1" Type="http://schemas.openxmlformats.org/officeDocument/2006/relationships/hyperlink" Target="http://www.secretariasenado.gov.co/legibus/legibus/gacetas/2021/GC_1677_2021.pdf" TargetMode="External"/><Relationship Id="rId6" Type="http://schemas.openxmlformats.org/officeDocument/2006/relationships/hyperlink" Target="https://dle.rae.es/consultar" TargetMode="External"/><Relationship Id="rId11" Type="http://schemas.openxmlformats.org/officeDocument/2006/relationships/hyperlink" Target="http://leyes.senado.gov.co/proyectos/images/documentos/Textos%20Radicados/Ponencias/2019/gaceta_423.pdf" TargetMode="External"/><Relationship Id="rId5" Type="http://schemas.openxmlformats.org/officeDocument/2006/relationships/hyperlink" Target="https://www.colombiacompra.gov.co/documentos-tipo/documentos-tipo" TargetMode="External"/><Relationship Id="rId10" Type="http://schemas.openxmlformats.org/officeDocument/2006/relationships/hyperlink" Target="http://leyes.senado.gov.co/proyectos/images/documentos/Textos%20Radicados/Ponencias/2018/gaceta_1154.pdf" TargetMode="External"/><Relationship Id="rId4" Type="http://schemas.openxmlformats.org/officeDocument/2006/relationships/hyperlink" Target="https://www.contraloria.gov.co/web/relatoria/normatividad-y-relatoria" TargetMode="External"/><Relationship Id="rId9" Type="http://schemas.openxmlformats.org/officeDocument/2006/relationships/hyperlink" Target="http://leyes.senado.gov.co/proyectos/images/documentos/Textos%20Radicados/Ponencias/2018/gaceta_5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DE62324-EEC5-4EC3-BA28-5D6785C6E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32</Pages>
  <Words>12756</Words>
  <Characters>70160</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MARIA CLAUDIA DE LA OSSA BOBADILLA</cp:lastModifiedBy>
  <cp:revision>3</cp:revision>
  <cp:lastPrinted>2020-01-30T15:05:00Z</cp:lastPrinted>
  <dcterms:created xsi:type="dcterms:W3CDTF">2022-05-24T16:29:00Z</dcterms:created>
  <dcterms:modified xsi:type="dcterms:W3CDTF">2022-05-24T16:29:00Z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