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8CD2" w14:textId="77777777" w:rsidR="000A7622" w:rsidRPr="00ED0894" w:rsidRDefault="000A7622" w:rsidP="000A7622">
      <w:pPr>
        <w:spacing w:after="0" w:line="276" w:lineRule="auto"/>
        <w:jc w:val="right"/>
        <w:rPr>
          <w:rFonts w:ascii="Arial" w:eastAsia="Calibri" w:hAnsi="Arial" w:cs="Arial"/>
          <w:b/>
          <w:bCs/>
          <w:lang w:val="es-MX"/>
        </w:rPr>
      </w:pPr>
      <w:bookmarkStart w:id="0" w:name="_Hlk29890381"/>
      <w:bookmarkStart w:id="1" w:name="_Hlk84451806"/>
      <w:bookmarkStart w:id="2" w:name="_Hlk83323805"/>
      <w:bookmarkEnd w:id="0"/>
      <w:r w:rsidRPr="00ED0894">
        <w:rPr>
          <w:rFonts w:ascii="Arial" w:eastAsia="Times New Roman" w:hAnsi="Arial" w:cs="Arial"/>
          <w:b/>
          <w:bCs/>
          <w:sz w:val="16"/>
          <w:szCs w:val="16"/>
          <w:lang w:val="es-MX" w:eastAsia="es-ES"/>
        </w:rPr>
        <w:t>CCE-DES-FM-17</w:t>
      </w:r>
    </w:p>
    <w:p w14:paraId="25C31DCC" w14:textId="77777777" w:rsidR="000A7622" w:rsidRPr="00ED0894" w:rsidRDefault="000A7622" w:rsidP="000A7622">
      <w:pPr>
        <w:spacing w:after="0" w:line="240" w:lineRule="auto"/>
        <w:jc w:val="both"/>
        <w:rPr>
          <w:rFonts w:ascii="Arial" w:hAnsi="Arial" w:cs="Arial"/>
          <w:lang w:val="es-MX"/>
        </w:rPr>
      </w:pPr>
    </w:p>
    <w:p w14:paraId="1C0BB5F0" w14:textId="77777777" w:rsidR="00D525E3" w:rsidRPr="00ED0894" w:rsidRDefault="00D525E3" w:rsidP="00310D55">
      <w:pPr>
        <w:spacing w:line="240" w:lineRule="auto"/>
        <w:jc w:val="both"/>
        <w:rPr>
          <w:rFonts w:ascii="Arial" w:eastAsia="Calibri" w:hAnsi="Arial" w:cs="Arial"/>
          <w:b/>
          <w:color w:val="000000" w:themeColor="text1"/>
          <w:lang w:val="es-MX"/>
        </w:rPr>
      </w:pPr>
      <w:r w:rsidRPr="00ED0894">
        <w:rPr>
          <w:rFonts w:ascii="Arial" w:eastAsia="Calibri" w:hAnsi="Arial" w:cs="Arial"/>
          <w:b/>
          <w:color w:val="000000" w:themeColor="text1"/>
          <w:lang w:val="es-MX"/>
        </w:rPr>
        <w:t xml:space="preserve">CAPACIDAD RESIDUAL – </w:t>
      </w:r>
      <w:r w:rsidRPr="00ED0894">
        <w:rPr>
          <w:rFonts w:ascii="Arial" w:eastAsia="Calibri" w:hAnsi="Arial" w:cs="Arial"/>
          <w:b/>
          <w:bCs/>
        </w:rPr>
        <w:t xml:space="preserve">Cálculo – Factores </w:t>
      </w:r>
    </w:p>
    <w:p w14:paraId="084F7376" w14:textId="77777777" w:rsidR="00D525E3" w:rsidRPr="00ED0894" w:rsidRDefault="00D525E3" w:rsidP="00310D55">
      <w:pPr>
        <w:spacing w:line="240" w:lineRule="auto"/>
        <w:jc w:val="both"/>
        <w:rPr>
          <w:rFonts w:ascii="Arial" w:eastAsia="Calibri" w:hAnsi="Arial" w:cs="Arial"/>
          <w:sz w:val="20"/>
          <w:szCs w:val="20"/>
          <w:lang w:val="es-MX"/>
        </w:rPr>
      </w:pPr>
      <w:r w:rsidRPr="00ED0894">
        <w:rPr>
          <w:rFonts w:ascii="Arial" w:eastAsia="Calibri" w:hAnsi="Arial" w:cs="Arial"/>
          <w:sz w:val="20"/>
          <w:szCs w:val="20"/>
          <w:lang w:val="es-MX"/>
        </w:rPr>
        <w:t>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p>
    <w:p w14:paraId="6B0D1CFA" w14:textId="77777777" w:rsidR="00D525E3" w:rsidRPr="00ED0894" w:rsidRDefault="00D525E3" w:rsidP="00310D55">
      <w:pPr>
        <w:autoSpaceDE w:val="0"/>
        <w:autoSpaceDN w:val="0"/>
        <w:adjustRightInd w:val="0"/>
        <w:spacing w:line="240" w:lineRule="auto"/>
        <w:jc w:val="both"/>
        <w:rPr>
          <w:rFonts w:ascii="Arial" w:eastAsia="Calibri" w:hAnsi="Arial" w:cs="Arial"/>
          <w:b/>
        </w:rPr>
      </w:pPr>
      <w:r w:rsidRPr="00ED0894">
        <w:rPr>
          <w:rFonts w:ascii="Arial" w:eastAsia="Calibri" w:hAnsi="Arial" w:cs="Arial"/>
          <w:b/>
          <w:bCs/>
        </w:rPr>
        <w:t xml:space="preserve">CAPACIDAD RESIDUAL – Saldos de Contratos en Ejecución </w:t>
      </w:r>
      <w:r w:rsidRPr="00ED0894">
        <w:rPr>
          <w:rFonts w:ascii="Arial" w:eastAsia="Calibri" w:hAnsi="Arial" w:cs="Arial"/>
          <w:b/>
          <w:color w:val="000000" w:themeColor="text1"/>
        </w:rPr>
        <w:t xml:space="preserve">«SCE» </w:t>
      </w:r>
      <w:r w:rsidRPr="00ED0894">
        <w:rPr>
          <w:rFonts w:ascii="Arial" w:eastAsia="Calibri" w:hAnsi="Arial" w:cs="Arial"/>
          <w:b/>
          <w:bCs/>
        </w:rPr>
        <w:t>– Contratos de obra – Contratos suspendidos</w:t>
      </w:r>
    </w:p>
    <w:p w14:paraId="711D9BFA" w14:textId="77777777" w:rsidR="00D525E3" w:rsidRPr="00ED0894" w:rsidRDefault="00D525E3" w:rsidP="00310D55">
      <w:pPr>
        <w:spacing w:line="240" w:lineRule="auto"/>
        <w:jc w:val="both"/>
        <w:rPr>
          <w:rFonts w:ascii="Arial" w:eastAsia="Calibri" w:hAnsi="Arial" w:cs="Arial"/>
          <w:bCs/>
          <w:color w:val="000000" w:themeColor="text1"/>
          <w:sz w:val="20"/>
          <w:szCs w:val="20"/>
        </w:rPr>
      </w:pPr>
      <w:r w:rsidRPr="00ED0894">
        <w:rPr>
          <w:rFonts w:ascii="Arial" w:eastAsia="Calibri" w:hAnsi="Arial" w:cs="Arial"/>
          <w:bCs/>
          <w:color w:val="000000" w:themeColor="text1"/>
          <w:sz w:val="20"/>
          <w:szCs w:val="20"/>
        </w:rPr>
        <w:t>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debe mencionarse que, si bien la suspensión de los contratos estatales no es una institución regulada explícitamente en el Estatuto General de Contratación de la Administración Pública,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17F5BB16" w14:textId="77777777" w:rsidR="00D525E3" w:rsidRPr="00ED0894" w:rsidRDefault="00D525E3" w:rsidP="00310D55">
      <w:pPr>
        <w:spacing w:line="240" w:lineRule="auto"/>
        <w:ind w:right="49"/>
        <w:jc w:val="both"/>
        <w:rPr>
          <w:rFonts w:ascii="Arial" w:eastAsia="Calibri" w:hAnsi="Arial" w:cs="Arial"/>
          <w:b/>
          <w:bCs/>
        </w:rPr>
      </w:pPr>
      <w:r w:rsidRPr="00ED0894">
        <w:rPr>
          <w:rFonts w:ascii="Arial" w:eastAsia="Calibri" w:hAnsi="Arial" w:cs="Arial"/>
          <w:b/>
          <w:bCs/>
        </w:rPr>
        <w:t>CAPACIDAD RESIDUAL – Cálculo y aplicativo – Obligatoriedad</w:t>
      </w:r>
    </w:p>
    <w:p w14:paraId="4916F8CF" w14:textId="77777777" w:rsidR="00D525E3" w:rsidRPr="00ED0894" w:rsidRDefault="00D525E3" w:rsidP="00310D55">
      <w:pPr>
        <w:spacing w:line="240" w:lineRule="auto"/>
        <w:ind w:right="49"/>
        <w:jc w:val="both"/>
        <w:rPr>
          <w:rFonts w:ascii="Arial" w:hAnsi="Arial" w:cs="Arial"/>
          <w:sz w:val="20"/>
          <w:szCs w:val="20"/>
        </w:rPr>
      </w:pPr>
      <w:r w:rsidRPr="00ED0894">
        <w:rPr>
          <w:rFonts w:ascii="Arial" w:hAnsi="Arial" w:cs="Arial"/>
          <w:sz w:val="20"/>
          <w:szCs w:val="20"/>
        </w:rPr>
        <w:t>[…] si bien el aplicativo de Excel desarrollado por esta Agencia constituye una herramienta que facilita la implementación de la metodología establecida en la guía, su uso no exime del deber de aplicar lo dispuesto en la normativa pertinente.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 Así mismo, se reitera, la guía es el instrumento que detenta fuerza vinculante y, por tanto, son sus disposiciones las que deben observarse para la determinación de la capacidad residual.</w:t>
      </w:r>
    </w:p>
    <w:p w14:paraId="1153F16C" w14:textId="77777777" w:rsidR="00D525E3" w:rsidRPr="00ED0894" w:rsidRDefault="00D525E3" w:rsidP="00310D55">
      <w:pPr>
        <w:spacing w:line="240" w:lineRule="auto"/>
        <w:jc w:val="both"/>
        <w:rPr>
          <w:rFonts w:ascii="Arial" w:eastAsia="Calibri" w:hAnsi="Arial" w:cs="Arial"/>
          <w:bCs/>
          <w:color w:val="000000" w:themeColor="text1"/>
          <w:sz w:val="20"/>
          <w:szCs w:val="20"/>
        </w:rPr>
      </w:pPr>
      <w:r w:rsidRPr="00ED0894">
        <w:rPr>
          <w:rFonts w:ascii="Arial" w:eastAsia="Calibri" w:hAnsi="Arial" w:cs="Arial"/>
          <w:b/>
          <w:bCs/>
        </w:rPr>
        <w:t>CAPACIDAD RESIDUAL – Contrato reanudado – Contrato Suspendido</w:t>
      </w:r>
    </w:p>
    <w:p w14:paraId="2E5F941E" w14:textId="5C86B310" w:rsidR="00BB402C" w:rsidRPr="00ED0894" w:rsidRDefault="00D525E3" w:rsidP="008A6B02">
      <w:pPr>
        <w:spacing w:line="240" w:lineRule="auto"/>
        <w:jc w:val="both"/>
        <w:rPr>
          <w:rFonts w:ascii="Arial" w:eastAsia="Calibri" w:hAnsi="Arial" w:cs="Arial"/>
          <w:color w:val="000000" w:themeColor="text1"/>
          <w:sz w:val="20"/>
          <w:szCs w:val="20"/>
        </w:rPr>
      </w:pPr>
      <w:r w:rsidRPr="00ED0894">
        <w:rPr>
          <w:rFonts w:ascii="Arial" w:eastAsia="Calibri" w:hAnsi="Arial" w:cs="Arial"/>
          <w:bCs/>
          <w:color w:val="000000" w:themeColor="text1"/>
          <w:sz w:val="20"/>
          <w:szCs w:val="20"/>
          <w:lang w:val="es-ES"/>
        </w:rPr>
        <w:t xml:space="preserve">Respecto del factor de saldos de los contratos en ejecución «SCE», es necesario tener en cuenta que la Guía para Determinar y Verificar la Capacidad Residual del Proponente en los Procesos de Contratación de Obra Pública, define a este factor como «la suma de los montos por ejecutar de los contratos en ejecución durante los 12 meses siguientes».  </w:t>
      </w:r>
      <w:r w:rsidR="008A6B02" w:rsidRPr="008A6B02">
        <w:rPr>
          <w:rFonts w:ascii="Arial" w:eastAsia="Calibri" w:hAnsi="Arial" w:cs="Arial"/>
          <w:bCs/>
          <w:color w:val="000000" w:themeColor="text1"/>
          <w:sz w:val="20"/>
          <w:szCs w:val="20"/>
          <w:lang w:val="es-ES"/>
        </w:rPr>
        <w:t>En este sentido, los saldos pendientes se derivan de las obligaciones que se encuentran en ejecución al momento de la presentación de la oferta y se refieren a contratos cuyo objeto sea la ejecución de obras civiles.</w:t>
      </w:r>
    </w:p>
    <w:p w14:paraId="3758BE09" w14:textId="77777777" w:rsidR="000A7622" w:rsidRPr="00ED0894" w:rsidRDefault="000A7622" w:rsidP="006C07D7">
      <w:pPr>
        <w:spacing w:after="0" w:line="240" w:lineRule="auto"/>
        <w:jc w:val="both"/>
        <w:rPr>
          <w:rFonts w:ascii="Arial" w:eastAsia="Calibri" w:hAnsi="Arial" w:cs="Arial"/>
          <w:b/>
          <w:lang w:val="es-MX"/>
        </w:rPr>
      </w:pPr>
      <w:bookmarkStart w:id="3" w:name="_Hlk65849162"/>
      <w:r w:rsidRPr="00ED0894">
        <w:rPr>
          <w:rFonts w:ascii="Arial" w:eastAsia="Calibri" w:hAnsi="Arial" w:cs="Arial"/>
          <w:b/>
          <w:lang w:val="es-MX"/>
        </w:rPr>
        <w:lastRenderedPageBreak/>
        <w:t>DOCUMENTOS TIPO – Versión 3 – Licitación Pública - Capacidad residual – Rechazo de la oferta – Causales</w:t>
      </w:r>
    </w:p>
    <w:p w14:paraId="627F21F4" w14:textId="77777777" w:rsidR="000A7622" w:rsidRPr="00ED0894" w:rsidRDefault="000A7622" w:rsidP="007A61E4">
      <w:pPr>
        <w:spacing w:after="0" w:line="240" w:lineRule="auto"/>
        <w:jc w:val="both"/>
        <w:rPr>
          <w:rFonts w:ascii="Arial" w:eastAsia="Calibri" w:hAnsi="Arial" w:cs="Arial"/>
          <w:sz w:val="20"/>
          <w:szCs w:val="20"/>
          <w:lang w:val="es-MX"/>
        </w:rPr>
      </w:pPr>
    </w:p>
    <w:bookmarkEnd w:id="3"/>
    <w:p w14:paraId="3E03E55B" w14:textId="77777777" w:rsidR="00F31C2D" w:rsidRDefault="00F31C2D" w:rsidP="004A0BA5">
      <w:pPr>
        <w:spacing w:before="120" w:after="120" w:line="240" w:lineRule="auto"/>
        <w:jc w:val="both"/>
        <w:rPr>
          <w:rFonts w:ascii="Arial" w:hAnsi="Arial" w:cs="Arial"/>
          <w:sz w:val="20"/>
          <w:szCs w:val="20"/>
          <w:lang w:val="es-MX"/>
        </w:rPr>
      </w:pPr>
      <w:r w:rsidRPr="00F31C2D">
        <w:rPr>
          <w:rFonts w:ascii="Arial" w:hAnsi="Arial" w:cs="Arial"/>
          <w:sz w:val="20"/>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5A0C6C74" w14:textId="77777777" w:rsidR="00F31C2D" w:rsidRPr="00F31C2D" w:rsidRDefault="00F31C2D" w:rsidP="00F31C2D">
      <w:pPr>
        <w:spacing w:after="0" w:line="276" w:lineRule="auto"/>
        <w:jc w:val="both"/>
        <w:rPr>
          <w:rFonts w:ascii="Arial" w:hAnsi="Arial" w:cs="Arial"/>
          <w:sz w:val="20"/>
          <w:szCs w:val="18"/>
          <w:lang w:val="es-MX"/>
        </w:rPr>
      </w:pPr>
      <w:r w:rsidRPr="00F31C2D">
        <w:rPr>
          <w:rFonts w:ascii="Arial" w:hAnsi="Arial" w:cs="Arial"/>
          <w:sz w:val="20"/>
          <w:szCs w:val="18"/>
          <w:lang w:val="es-MX"/>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29A988EA" w14:textId="1D787955" w:rsidR="00F31C2D" w:rsidRPr="00F31C2D" w:rsidRDefault="00F31C2D" w:rsidP="00F31C2D">
      <w:pPr>
        <w:spacing w:after="0" w:line="276" w:lineRule="auto"/>
        <w:jc w:val="both"/>
        <w:rPr>
          <w:rFonts w:ascii="Arial" w:hAnsi="Arial" w:cs="Arial"/>
          <w:sz w:val="20"/>
          <w:szCs w:val="18"/>
          <w:lang w:val="es-MX"/>
        </w:rPr>
      </w:pPr>
      <w:r>
        <w:rPr>
          <w:rFonts w:ascii="Arial" w:hAnsi="Arial" w:cs="Arial"/>
          <w:sz w:val="20"/>
          <w:szCs w:val="18"/>
          <w:lang w:val="es-MX"/>
        </w:rPr>
        <w:t>i</w:t>
      </w:r>
      <w:r w:rsidRPr="00F31C2D">
        <w:rPr>
          <w:rFonts w:ascii="Arial" w:hAnsi="Arial" w:cs="Arial"/>
          <w:sz w:val="20"/>
          <w:szCs w:val="18"/>
          <w:lang w:val="es-MX"/>
        </w:rPr>
        <w:t xml:space="preserve">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5ACB30F3" w14:textId="31D36129" w:rsidR="004A0BA5" w:rsidRDefault="00F31C2D" w:rsidP="00F31C2D">
      <w:pPr>
        <w:spacing w:after="0" w:line="276" w:lineRule="auto"/>
        <w:jc w:val="both"/>
        <w:rPr>
          <w:rFonts w:ascii="Arial" w:hAnsi="Arial" w:cs="Arial"/>
          <w:sz w:val="20"/>
          <w:szCs w:val="18"/>
          <w:lang w:val="es-MX"/>
        </w:rPr>
      </w:pPr>
      <w:r w:rsidRPr="00F31C2D">
        <w:rPr>
          <w:rFonts w:ascii="Arial" w:hAnsi="Arial" w:cs="Arial"/>
          <w:sz w:val="20"/>
          <w:szCs w:val="18"/>
          <w:lang w:val="es-MX"/>
        </w:rPr>
        <w:t>iii) Lo dicho en los numerales precedentes tampoco descarta la posibilidad de que la entidad rechace la oferta si encuentra configurada la causal establecida en el literal H del numeral 1.15, que aplica cuando el proponente aporta información inexacta</w:t>
      </w:r>
    </w:p>
    <w:p w14:paraId="15432CFA" w14:textId="77777777" w:rsidR="00F31C2D" w:rsidRPr="00F31C2D" w:rsidRDefault="00F31C2D" w:rsidP="00F31C2D">
      <w:pPr>
        <w:spacing w:after="0" w:line="276" w:lineRule="auto"/>
        <w:jc w:val="both"/>
        <w:rPr>
          <w:rFonts w:ascii="Arial" w:hAnsi="Arial" w:cs="Arial"/>
          <w:sz w:val="20"/>
          <w:szCs w:val="18"/>
          <w:lang w:val="es-MX"/>
        </w:rPr>
      </w:pPr>
    </w:p>
    <w:p w14:paraId="04ADA1D7" w14:textId="77777777" w:rsidR="000A7622" w:rsidRPr="00ED0894" w:rsidRDefault="000A7622" w:rsidP="004A0BA5">
      <w:pPr>
        <w:spacing w:after="0" w:line="240" w:lineRule="auto"/>
        <w:jc w:val="both"/>
        <w:rPr>
          <w:rFonts w:ascii="Arial" w:eastAsia="Calibri" w:hAnsi="Arial" w:cs="Arial"/>
          <w:b/>
          <w:lang w:val="es-MX"/>
        </w:rPr>
      </w:pPr>
      <w:bookmarkStart w:id="4" w:name="_Hlk65849173"/>
      <w:r w:rsidRPr="00ED0894">
        <w:rPr>
          <w:rFonts w:ascii="Arial" w:eastAsia="Calibri" w:hAnsi="Arial" w:cs="Arial"/>
          <w:b/>
          <w:lang w:val="es-MX"/>
        </w:rPr>
        <w:t xml:space="preserve">CAPACIDAD RESIDUAL – Rechazo de la oferta – Afectación – Subsanabilidad </w:t>
      </w:r>
    </w:p>
    <w:bookmarkEnd w:id="4"/>
    <w:p w14:paraId="14266C41" w14:textId="77777777" w:rsidR="000A7622" w:rsidRPr="00ED0894" w:rsidRDefault="000A7622" w:rsidP="000A7622">
      <w:pPr>
        <w:spacing w:after="0" w:line="240" w:lineRule="auto"/>
        <w:jc w:val="both"/>
        <w:rPr>
          <w:rFonts w:ascii="Arial" w:eastAsia="Calibri" w:hAnsi="Arial" w:cs="Arial"/>
          <w:b/>
          <w:sz w:val="20"/>
          <w:szCs w:val="20"/>
          <w:lang w:val="es-MX"/>
        </w:rPr>
      </w:pPr>
    </w:p>
    <w:p w14:paraId="785B2E2A" w14:textId="472E83B5" w:rsidR="004A0BA5" w:rsidRPr="00ED0894" w:rsidRDefault="004A0BA5" w:rsidP="004A0BA5">
      <w:pPr>
        <w:spacing w:after="0" w:line="240" w:lineRule="auto"/>
        <w:jc w:val="both"/>
        <w:rPr>
          <w:rFonts w:ascii="Arial" w:hAnsi="Arial" w:cs="Arial"/>
          <w:sz w:val="20"/>
          <w:szCs w:val="20"/>
        </w:rPr>
      </w:pPr>
      <w:r w:rsidRPr="00ED0894">
        <w:rPr>
          <w:rFonts w:ascii="Arial" w:hAnsi="Arial" w:cs="Arial"/>
          <w:sz w:val="20"/>
          <w:szCs w:val="20"/>
        </w:rPr>
        <w:t xml:space="preserve">[…] aunque las causales de rechazo del literal E, H y Z del numeral 1.15 de los documentos tipo se relacionan con la capacidad residual como requisito habilitante, estas se aplican en supuestos diferentes, de acuerdo con lo explicado </w:t>
      </w:r>
      <w:r w:rsidRPr="00ED0894">
        <w:rPr>
          <w:rFonts w:ascii="Arial" w:hAnsi="Arial" w:cs="Arial"/>
          <w:i/>
          <w:sz w:val="20"/>
          <w:szCs w:val="20"/>
        </w:rPr>
        <w:t>ut supra</w:t>
      </w:r>
      <w:r w:rsidRPr="00ED0894">
        <w:rPr>
          <w:rFonts w:ascii="Arial" w:hAnsi="Arial" w:cs="Arial"/>
          <w:sz w:val="20"/>
          <w:szCs w:val="20"/>
        </w:rPr>
        <w:t>.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E7F9F47" w14:textId="77777777" w:rsidR="004A0BA5" w:rsidRPr="00ED0894" w:rsidRDefault="004A0BA5" w:rsidP="004A0BA5">
      <w:pPr>
        <w:spacing w:after="0" w:line="240" w:lineRule="auto"/>
        <w:jc w:val="both"/>
        <w:rPr>
          <w:rFonts w:ascii="Arial" w:hAnsi="Arial" w:cs="Arial"/>
          <w:sz w:val="20"/>
          <w:szCs w:val="20"/>
        </w:rPr>
      </w:pPr>
    </w:p>
    <w:p w14:paraId="0D0C0873" w14:textId="729038BA" w:rsidR="000A7622" w:rsidRPr="00ED0894" w:rsidRDefault="000A7622" w:rsidP="004A0BA5">
      <w:pPr>
        <w:spacing w:after="0" w:line="240" w:lineRule="auto"/>
        <w:jc w:val="both"/>
        <w:rPr>
          <w:rFonts w:ascii="Arial" w:eastAsia="Calibri" w:hAnsi="Arial" w:cs="Arial"/>
          <w:b/>
          <w:lang w:val="es-MX"/>
        </w:rPr>
      </w:pPr>
      <w:bookmarkStart w:id="5" w:name="_Hlk65849188"/>
      <w:r w:rsidRPr="00ED0894">
        <w:rPr>
          <w:rFonts w:ascii="Arial" w:eastAsia="Calibri" w:hAnsi="Arial" w:cs="Arial"/>
          <w:b/>
          <w:lang w:val="es-MX"/>
        </w:rPr>
        <w:t xml:space="preserve">RECHAZO DE LA OFERTA – Capacidad residual – Documento Base – Literal Z – Versión 3 – Licitación Pública – </w:t>
      </w:r>
      <w:r w:rsidRPr="00ED0894">
        <w:rPr>
          <w:rFonts w:ascii="Arial" w:hAnsi="Arial" w:cs="Arial"/>
          <w:b/>
          <w:lang w:val="es-MX"/>
        </w:rPr>
        <w:t>Alcance</w:t>
      </w:r>
      <w:bookmarkEnd w:id="5"/>
    </w:p>
    <w:p w14:paraId="21ACDC6D" w14:textId="77777777" w:rsidR="000A7622" w:rsidRPr="00ED0894" w:rsidRDefault="000A7622" w:rsidP="004A0BA5">
      <w:pPr>
        <w:spacing w:after="0" w:line="240" w:lineRule="auto"/>
        <w:jc w:val="both"/>
        <w:rPr>
          <w:rFonts w:ascii="Arial" w:eastAsia="Calibri" w:hAnsi="Arial" w:cs="Arial"/>
          <w:b/>
          <w:lang w:val="es-MX"/>
        </w:rPr>
      </w:pPr>
    </w:p>
    <w:p w14:paraId="5A1199FE" w14:textId="77777777" w:rsidR="004A0BA5" w:rsidRPr="00ED0894" w:rsidRDefault="004A0BA5" w:rsidP="004A0BA5">
      <w:pPr>
        <w:spacing w:after="120" w:line="240" w:lineRule="auto"/>
        <w:jc w:val="both"/>
        <w:rPr>
          <w:rFonts w:ascii="Arial" w:hAnsi="Arial" w:cs="Arial"/>
          <w:sz w:val="20"/>
          <w:szCs w:val="20"/>
        </w:rPr>
      </w:pPr>
      <w:r w:rsidRPr="00ED0894">
        <w:rPr>
          <w:rFonts w:ascii="Arial" w:hAnsi="Arial" w:cs="Arial"/>
          <w:sz w:val="20"/>
          <w:szCs w:val="20"/>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w:t>
      </w:r>
      <w:r w:rsidRPr="00ED0894">
        <w:rPr>
          <w:rFonts w:ascii="Arial" w:hAnsi="Arial" w:cs="Arial"/>
          <w:sz w:val="20"/>
          <w:szCs w:val="20"/>
        </w:rPr>
        <w:lastRenderedPageBreak/>
        <w:t xml:space="preserve">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bookmarkEnd w:id="1"/>
    <w:p w14:paraId="00614FBC" w14:textId="0CCF2E0C" w:rsidR="007E1B61" w:rsidRPr="00ED0894" w:rsidRDefault="00671FBB" w:rsidP="00671FBB">
      <w:pPr>
        <w:spacing w:after="0" w:line="240" w:lineRule="auto"/>
        <w:jc w:val="right"/>
        <w:rPr>
          <w:rFonts w:ascii="Arial" w:eastAsia="Calibri" w:hAnsi="Arial" w:cs="Arial"/>
          <w:color w:val="000000"/>
          <w:szCs w:val="24"/>
          <w:lang w:val="es-ES_tradnl" w:eastAsia="es-ES_tradnl"/>
        </w:rPr>
      </w:pPr>
      <w:r>
        <w:rPr>
          <w:noProof/>
        </w:rPr>
        <w:drawing>
          <wp:inline distT="0" distB="0" distL="0" distR="0" wp14:anchorId="03262CEC" wp14:editId="5BA0D6B0">
            <wp:extent cx="2533650" cy="781050"/>
            <wp:effectExtent l="0" t="0" r="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1"/>
                    <a:stretch>
                      <a:fillRect/>
                    </a:stretch>
                  </pic:blipFill>
                  <pic:spPr>
                    <a:xfrm>
                      <a:off x="0" y="0"/>
                      <a:ext cx="2533650" cy="781050"/>
                    </a:xfrm>
                    <a:prstGeom prst="rect">
                      <a:avLst/>
                    </a:prstGeom>
                  </pic:spPr>
                </pic:pic>
              </a:graphicData>
            </a:graphic>
          </wp:inline>
        </w:drawing>
      </w:r>
    </w:p>
    <w:p w14:paraId="1BC3EB0A" w14:textId="77777777" w:rsidR="007E1B61" w:rsidRPr="00ED0894" w:rsidRDefault="007E1B61" w:rsidP="007A61E4">
      <w:pPr>
        <w:spacing w:after="0" w:line="240" w:lineRule="auto"/>
        <w:jc w:val="both"/>
        <w:rPr>
          <w:rFonts w:ascii="Arial" w:eastAsia="Calibri" w:hAnsi="Arial" w:cs="Arial"/>
          <w:color w:val="000000"/>
          <w:szCs w:val="24"/>
          <w:lang w:val="es-ES_tradnl" w:eastAsia="es-ES_tradnl"/>
        </w:rPr>
      </w:pPr>
    </w:p>
    <w:p w14:paraId="55B2D914" w14:textId="2729342C" w:rsidR="007E1B61" w:rsidRPr="00ED0894" w:rsidRDefault="007E1B61" w:rsidP="007A61E4">
      <w:pPr>
        <w:spacing w:after="0" w:line="240"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Bogotá D.C.,</w:t>
      </w:r>
      <w:r w:rsidR="00105BCD">
        <w:rPr>
          <w:rFonts w:ascii="Arial" w:eastAsia="Calibri" w:hAnsi="Arial" w:cs="Arial"/>
          <w:color w:val="000000"/>
          <w:szCs w:val="24"/>
          <w:lang w:val="es-ES_tradnl" w:eastAsia="es-ES_tradnl"/>
        </w:rPr>
        <w:t xml:space="preserve"> 07 Abril de 2022</w:t>
      </w:r>
      <w:r w:rsidRPr="00ED0894">
        <w:rPr>
          <w:rFonts w:ascii="Arial" w:eastAsia="Calibri" w:hAnsi="Arial" w:cs="Arial"/>
          <w:color w:val="000000"/>
          <w:szCs w:val="24"/>
          <w:lang w:val="es-ES_tradnl" w:eastAsia="es-ES_tradnl"/>
        </w:rPr>
        <w:t xml:space="preserve"> </w:t>
      </w:r>
    </w:p>
    <w:p w14:paraId="0595C8E1" w14:textId="77777777" w:rsidR="007E1B61" w:rsidRPr="00ED0894" w:rsidRDefault="007E1B61" w:rsidP="007A61E4">
      <w:pPr>
        <w:spacing w:after="0" w:line="240" w:lineRule="auto"/>
        <w:jc w:val="both"/>
        <w:rPr>
          <w:rFonts w:ascii="Arial" w:eastAsia="Calibri" w:hAnsi="Arial" w:cs="Arial"/>
          <w:color w:val="000000"/>
          <w:szCs w:val="24"/>
          <w:lang w:val="es-ES_tradnl" w:eastAsia="es-ES_tradnl"/>
        </w:rPr>
      </w:pPr>
    </w:p>
    <w:p w14:paraId="0F1E6AC2" w14:textId="77777777" w:rsidR="007E1B61" w:rsidRPr="00ED0894" w:rsidRDefault="007E1B61" w:rsidP="007A61E4">
      <w:pPr>
        <w:spacing w:after="0" w:line="240" w:lineRule="auto"/>
        <w:jc w:val="both"/>
        <w:rPr>
          <w:rFonts w:ascii="Arial" w:eastAsia="Calibri" w:hAnsi="Arial" w:cs="Arial"/>
          <w:color w:val="000000"/>
          <w:szCs w:val="24"/>
          <w:lang w:val="es-ES_tradnl" w:eastAsia="es-ES_tradnl"/>
        </w:rPr>
      </w:pPr>
    </w:p>
    <w:p w14:paraId="2D229988" w14:textId="63EF4D83" w:rsidR="000A7622" w:rsidRPr="00ED0894" w:rsidRDefault="000A7622" w:rsidP="007A61E4">
      <w:pPr>
        <w:spacing w:after="0" w:line="240"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Señor</w:t>
      </w:r>
      <w:r w:rsidR="007E1B61" w:rsidRPr="00ED0894">
        <w:rPr>
          <w:rFonts w:ascii="Arial" w:eastAsia="Calibri" w:hAnsi="Arial" w:cs="Arial"/>
          <w:color w:val="000000"/>
          <w:szCs w:val="24"/>
          <w:lang w:val="es-ES_tradnl" w:eastAsia="es-ES_tradnl"/>
        </w:rPr>
        <w:t>a</w:t>
      </w:r>
    </w:p>
    <w:p w14:paraId="09576357" w14:textId="7C71F50B" w:rsidR="00D525E3" w:rsidRPr="00ED0894" w:rsidRDefault="007E1B61" w:rsidP="007A61E4">
      <w:pPr>
        <w:spacing w:after="0" w:line="240" w:lineRule="auto"/>
        <w:jc w:val="both"/>
        <w:rPr>
          <w:rFonts w:ascii="Arial" w:eastAsia="Times New Roman" w:hAnsi="Arial" w:cs="Arial"/>
          <w:b/>
          <w:bCs/>
          <w:color w:val="000000"/>
        </w:rPr>
      </w:pPr>
      <w:r w:rsidRPr="00ED0894">
        <w:rPr>
          <w:rFonts w:ascii="Arial" w:eastAsia="Times New Roman" w:hAnsi="Arial" w:cs="Arial"/>
          <w:b/>
          <w:bCs/>
          <w:color w:val="000000"/>
        </w:rPr>
        <w:t>Alba Lorena Velasco Gómez</w:t>
      </w:r>
    </w:p>
    <w:p w14:paraId="03F635FF" w14:textId="726E3796" w:rsidR="000A7622" w:rsidRPr="00ED0894" w:rsidRDefault="000A7622" w:rsidP="007A61E4">
      <w:pPr>
        <w:spacing w:after="0" w:line="240" w:lineRule="auto"/>
        <w:jc w:val="both"/>
        <w:rPr>
          <w:rFonts w:ascii="Arial" w:eastAsia="Times New Roman" w:hAnsi="Arial" w:cs="Arial"/>
          <w:color w:val="000000"/>
        </w:rPr>
      </w:pPr>
      <w:r w:rsidRPr="00ED0894">
        <w:rPr>
          <w:rFonts w:ascii="Arial" w:eastAsia="Times New Roman" w:hAnsi="Arial" w:cs="Arial"/>
          <w:color w:val="000000"/>
        </w:rPr>
        <w:t xml:space="preserve">Bucaramanga, Santander </w:t>
      </w:r>
    </w:p>
    <w:p w14:paraId="6C15BDB1" w14:textId="77777777" w:rsidR="00811AFA" w:rsidRPr="00ED0894" w:rsidRDefault="00811AFA" w:rsidP="007A61E4">
      <w:pPr>
        <w:spacing w:after="0" w:line="240" w:lineRule="auto"/>
        <w:jc w:val="both"/>
        <w:rPr>
          <w:rFonts w:ascii="Arial" w:eastAsia="Calibri" w:hAnsi="Arial" w:cs="Arial"/>
          <w:color w:val="000000"/>
          <w:szCs w:val="24"/>
          <w:lang w:eastAsia="es-ES_tradnl"/>
        </w:rPr>
      </w:pPr>
    </w:p>
    <w:p w14:paraId="17823B4D" w14:textId="77777777" w:rsidR="000A7622" w:rsidRPr="00ED0894" w:rsidRDefault="000A7622" w:rsidP="000A7622">
      <w:pPr>
        <w:spacing w:after="0" w:line="240" w:lineRule="auto"/>
        <w:jc w:val="both"/>
        <w:rPr>
          <w:rFonts w:ascii="Arial" w:eastAsia="Calibri" w:hAnsi="Arial" w:cs="Arial"/>
          <w:color w:val="000000"/>
          <w:szCs w:val="24"/>
          <w:lang w:eastAsia="es-ES_tradnl"/>
        </w:rPr>
      </w:pPr>
    </w:p>
    <w:p w14:paraId="7A29AD45" w14:textId="088B3E01" w:rsidR="000A7622" w:rsidRPr="00ED0894" w:rsidRDefault="000A7622" w:rsidP="000A7622">
      <w:pPr>
        <w:spacing w:after="0" w:line="240" w:lineRule="auto"/>
        <w:ind w:firstLine="2694"/>
        <w:rPr>
          <w:rFonts w:ascii="Arial" w:eastAsia="Calibri" w:hAnsi="Arial" w:cs="Arial"/>
          <w:b/>
          <w:bCs/>
          <w:color w:val="000000"/>
          <w:szCs w:val="24"/>
          <w:lang w:val="es-ES_tradnl" w:eastAsia="es-ES_tradnl"/>
        </w:rPr>
      </w:pPr>
      <w:r w:rsidRPr="00ED0894">
        <w:rPr>
          <w:rFonts w:ascii="Arial" w:eastAsia="Calibri" w:hAnsi="Arial" w:cs="Arial"/>
          <w:b/>
          <w:bCs/>
          <w:color w:val="000000"/>
          <w:szCs w:val="24"/>
          <w:lang w:val="es-ES_tradnl" w:eastAsia="es-ES_tradnl"/>
        </w:rPr>
        <w:t xml:space="preserve">Concepto C ‒ </w:t>
      </w:r>
      <w:r w:rsidR="00D525E3" w:rsidRPr="00ED0894">
        <w:rPr>
          <w:rFonts w:ascii="Arial" w:eastAsia="Calibri" w:hAnsi="Arial" w:cs="Arial"/>
          <w:b/>
          <w:bCs/>
          <w:color w:val="000000"/>
          <w:szCs w:val="24"/>
          <w:lang w:val="es-ES_tradnl" w:eastAsia="es-ES_tradnl"/>
        </w:rPr>
        <w:t>17</w:t>
      </w:r>
      <w:r w:rsidRPr="00ED0894">
        <w:rPr>
          <w:rFonts w:ascii="Arial" w:eastAsia="Calibri" w:hAnsi="Arial" w:cs="Arial"/>
          <w:b/>
          <w:bCs/>
          <w:color w:val="000000"/>
          <w:szCs w:val="24"/>
          <w:lang w:val="es-ES_tradnl" w:eastAsia="es-ES_tradnl"/>
        </w:rPr>
        <w:t>3 de 202</w:t>
      </w:r>
      <w:r w:rsidR="00D525E3" w:rsidRPr="00ED0894">
        <w:rPr>
          <w:rFonts w:ascii="Arial" w:eastAsia="Calibri" w:hAnsi="Arial" w:cs="Arial"/>
          <w:b/>
          <w:bCs/>
          <w:color w:val="000000"/>
          <w:szCs w:val="24"/>
          <w:lang w:val="es-ES_tradnl" w:eastAsia="es-ES_tradnl"/>
        </w:rPr>
        <w:t>2</w:t>
      </w:r>
    </w:p>
    <w:p w14:paraId="78AF5627" w14:textId="0249486B" w:rsidR="000A7622" w:rsidRPr="00ED0894" w:rsidRDefault="000A7622" w:rsidP="000A7622">
      <w:pPr>
        <w:spacing w:after="0" w:line="240" w:lineRule="auto"/>
        <w:rPr>
          <w:rFonts w:ascii="Arial" w:eastAsia="Calibri" w:hAnsi="Arial" w:cs="Arial"/>
          <w:lang w:val="es-MX"/>
        </w:rPr>
      </w:pPr>
      <w:r w:rsidRPr="00ED0894">
        <w:rPr>
          <w:rFonts w:ascii="Arial" w:eastAsia="Calibri" w:hAnsi="Arial" w:cs="Arial"/>
          <w:lang w:val="es-MX"/>
        </w:rPr>
        <w:t xml:space="preserve">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2547"/>
        <w:gridCol w:w="6237"/>
      </w:tblGrid>
      <w:tr w:rsidR="000A7622" w:rsidRPr="00ED0894" w14:paraId="3F5E649A" w14:textId="77777777" w:rsidTr="000A7622">
        <w:trPr>
          <w:gridBefore w:val="1"/>
          <w:wBefore w:w="142" w:type="dxa"/>
        </w:trPr>
        <w:tc>
          <w:tcPr>
            <w:tcW w:w="2547" w:type="dxa"/>
            <w:hideMark/>
          </w:tcPr>
          <w:p w14:paraId="79890EE0" w14:textId="77777777" w:rsidR="000A7622" w:rsidRPr="00ED0894" w:rsidRDefault="000A7622" w:rsidP="000A7622">
            <w:pPr>
              <w:rPr>
                <w:rFonts w:ascii="Arial" w:eastAsia="Calibri" w:hAnsi="Arial" w:cs="Arial"/>
                <w:lang w:val="es-MX"/>
              </w:rPr>
            </w:pPr>
            <w:r w:rsidRPr="00ED0894">
              <w:rPr>
                <w:rFonts w:ascii="Arial" w:eastAsia="Calibri" w:hAnsi="Arial" w:cs="Arial"/>
                <w:b/>
                <w:lang w:val="es-MX"/>
              </w:rPr>
              <w:t>Temas:</w:t>
            </w:r>
            <w:r w:rsidRPr="00ED0894">
              <w:rPr>
                <w:rFonts w:ascii="Arial" w:eastAsia="Calibri" w:hAnsi="Arial" w:cs="Arial"/>
                <w:lang w:val="es-MX"/>
              </w:rPr>
              <w:t xml:space="preserve">           </w:t>
            </w:r>
          </w:p>
          <w:p w14:paraId="1A0C9932" w14:textId="77777777" w:rsidR="000A7622" w:rsidRPr="00ED0894" w:rsidRDefault="000A7622" w:rsidP="000A7622">
            <w:pPr>
              <w:rPr>
                <w:rFonts w:ascii="Arial" w:eastAsia="Calibri" w:hAnsi="Arial" w:cs="Arial"/>
                <w:lang w:val="es-MX"/>
              </w:rPr>
            </w:pPr>
            <w:r w:rsidRPr="00ED0894">
              <w:rPr>
                <w:rFonts w:ascii="Arial" w:eastAsia="Calibri" w:hAnsi="Arial" w:cs="Arial"/>
                <w:lang w:val="es-MX"/>
              </w:rPr>
              <w:t xml:space="preserve">                           </w:t>
            </w:r>
          </w:p>
        </w:tc>
        <w:tc>
          <w:tcPr>
            <w:tcW w:w="6237" w:type="dxa"/>
            <w:hideMark/>
          </w:tcPr>
          <w:p w14:paraId="37BA25C9" w14:textId="2C971C33" w:rsidR="000A7622" w:rsidRPr="00ED0894" w:rsidRDefault="00D525E3" w:rsidP="00BB402C">
            <w:pPr>
              <w:spacing w:after="120"/>
              <w:jc w:val="both"/>
              <w:rPr>
                <w:rFonts w:ascii="Arial" w:eastAsia="Calibri" w:hAnsi="Arial" w:cs="Arial"/>
                <w:color w:val="000000" w:themeColor="text1"/>
              </w:rPr>
            </w:pPr>
            <w:r w:rsidRPr="00ED0894">
              <w:rPr>
                <w:rFonts w:ascii="Arial" w:hAnsi="Arial" w:cs="Arial"/>
                <w:bCs/>
              </w:rPr>
              <w:t>CAPACIDAD RESIDUAL – Cálculo – Factores / CAPACIDAD RESIDUAL – Saldos de Contratos en Ejecución «SCE» – Contratos de obra – Contratos suspendidos / CAPACIDAD RESIDUAL –Cálculo y aplicativo – Obligatoriedad / CAPACIDAD RESIDUAL – Contrato reanudado – Contrato Suspendido</w:t>
            </w:r>
            <w:r w:rsidR="000A7622" w:rsidRPr="00ED0894">
              <w:rPr>
                <w:rFonts w:ascii="Arial" w:eastAsia="Calibri" w:hAnsi="Arial" w:cs="Arial"/>
                <w:color w:val="000000" w:themeColor="text1"/>
              </w:rPr>
              <w:t xml:space="preserve">/ </w:t>
            </w:r>
            <w:r w:rsidR="000A7622" w:rsidRPr="00ED0894">
              <w:rPr>
                <w:rFonts w:ascii="Arial" w:eastAsia="Calibri" w:hAnsi="Arial" w:cs="Arial"/>
                <w:color w:val="000000" w:themeColor="text1"/>
                <w:sz w:val="20"/>
                <w:szCs w:val="20"/>
              </w:rPr>
              <w:t xml:space="preserve"> </w:t>
            </w:r>
            <w:r w:rsidR="000A7622" w:rsidRPr="00ED0894">
              <w:rPr>
                <w:rFonts w:ascii="Arial" w:eastAsia="Calibri" w:hAnsi="Arial" w:cs="Arial"/>
                <w:lang w:val="es-MX"/>
              </w:rPr>
              <w:t xml:space="preserve">DOCUMENTOS TIPO – Versión 3 – Licitación Pública - Capacidad residual – Rechazo de la oferta – Causales / CAPACIDAD </w:t>
            </w:r>
            <w:r w:rsidR="000A7622" w:rsidRPr="00ED0894">
              <w:rPr>
                <w:rFonts w:ascii="Arial" w:eastAsia="Calibri" w:hAnsi="Arial" w:cs="Arial"/>
                <w:bCs/>
                <w:color w:val="000000" w:themeColor="text1"/>
                <w:lang w:val="es-MX"/>
              </w:rPr>
              <w:t xml:space="preserve">RESIDUAL – </w:t>
            </w:r>
            <w:r w:rsidR="000A7622" w:rsidRPr="00ED0894">
              <w:rPr>
                <w:rFonts w:ascii="Arial" w:eastAsia="Calibri" w:hAnsi="Arial" w:cs="Arial"/>
                <w:bCs/>
              </w:rPr>
              <w:t xml:space="preserve">Cálculo – Factores </w:t>
            </w:r>
            <w:r w:rsidR="000A7622" w:rsidRPr="00ED0894">
              <w:rPr>
                <w:rFonts w:ascii="Arial" w:eastAsia="Calibri" w:hAnsi="Arial" w:cs="Arial"/>
                <w:bCs/>
                <w:lang w:val="es-ES_tradnl"/>
              </w:rPr>
              <w:t xml:space="preserve">/ </w:t>
            </w:r>
            <w:r w:rsidR="000A7622" w:rsidRPr="00ED0894">
              <w:rPr>
                <w:rFonts w:ascii="Arial" w:eastAsia="Calibri" w:hAnsi="Arial" w:cs="Arial"/>
                <w:bCs/>
              </w:rPr>
              <w:t xml:space="preserve">CAPACIDAD RESIDUAL – Saldos de Contratos en Ejecución </w:t>
            </w:r>
            <w:r w:rsidR="000A7622" w:rsidRPr="00ED0894">
              <w:rPr>
                <w:rFonts w:ascii="Arial" w:eastAsia="Calibri" w:hAnsi="Arial" w:cs="Arial"/>
                <w:bCs/>
                <w:color w:val="000000" w:themeColor="text1"/>
              </w:rPr>
              <w:t xml:space="preserve">«SCE» </w:t>
            </w:r>
            <w:r w:rsidR="000A7622" w:rsidRPr="00ED0894">
              <w:rPr>
                <w:rFonts w:ascii="Arial" w:eastAsia="Calibri" w:hAnsi="Arial" w:cs="Arial"/>
                <w:bCs/>
              </w:rPr>
              <w:t xml:space="preserve">– Contratos de obra </w:t>
            </w:r>
            <w:r w:rsidR="000A7622" w:rsidRPr="00ED0894">
              <w:rPr>
                <w:rFonts w:ascii="Arial" w:eastAsia="Calibri" w:hAnsi="Arial" w:cs="Arial"/>
                <w:bCs/>
                <w:lang w:val="es-ES_tradnl"/>
              </w:rPr>
              <w:t xml:space="preserve">/ </w:t>
            </w:r>
            <w:r w:rsidR="000A7622" w:rsidRPr="00ED0894">
              <w:rPr>
                <w:rFonts w:ascii="Arial" w:eastAsia="Calibri" w:hAnsi="Arial" w:cs="Arial"/>
                <w:bCs/>
                <w:color w:val="000000"/>
              </w:rPr>
              <w:t>DOCUMENTOS TIPO – Agua potable y saneamiento básico – Capacidad Residual – Rechazo de la oferta – Causales</w:t>
            </w:r>
            <w:r w:rsidR="000A7622" w:rsidRPr="00ED0894">
              <w:rPr>
                <w:rFonts w:ascii="Arial" w:eastAsia="Calibri" w:hAnsi="Arial" w:cs="Arial"/>
                <w:bCs/>
                <w:lang w:val="es-ES_tradnl"/>
              </w:rPr>
              <w:t xml:space="preserve"> / </w:t>
            </w:r>
            <w:r w:rsidR="000A7622" w:rsidRPr="00ED0894">
              <w:rPr>
                <w:rFonts w:ascii="Arial" w:eastAsia="Calibri" w:hAnsi="Arial" w:cs="Arial"/>
                <w:bCs/>
                <w:lang w:val="es-MX"/>
              </w:rPr>
              <w:t xml:space="preserve">RECHAZO DE LA OFERTA – Documento Base – Capacidad Residual – Literal AA – Alcance </w:t>
            </w:r>
            <w:r w:rsidR="000A7622" w:rsidRPr="00ED0894">
              <w:rPr>
                <w:rFonts w:ascii="Arial" w:eastAsia="Calibri" w:hAnsi="Arial" w:cs="Arial"/>
                <w:bCs/>
                <w:lang w:val="es-ES_tradnl"/>
              </w:rPr>
              <w:t xml:space="preserve">/ </w:t>
            </w:r>
            <w:r w:rsidR="000A7622" w:rsidRPr="00ED0894">
              <w:rPr>
                <w:rFonts w:ascii="Arial" w:eastAsia="Calibri" w:hAnsi="Arial" w:cs="Arial"/>
                <w:bCs/>
                <w:lang w:val="es-MX"/>
              </w:rPr>
              <w:t>RECHAZO DE LA OFERTA –Documento base – Capacidad residual – Rechazo de la oferta – Literal H – Alcance</w:t>
            </w:r>
          </w:p>
          <w:p w14:paraId="581BD8F0" w14:textId="77777777" w:rsidR="000A7622" w:rsidRPr="00ED0894" w:rsidRDefault="000A7622" w:rsidP="000A7622">
            <w:pPr>
              <w:jc w:val="both"/>
              <w:rPr>
                <w:rFonts w:ascii="Arial" w:hAnsi="Arial" w:cs="Arial"/>
                <w:lang w:val="es-ES"/>
              </w:rPr>
            </w:pPr>
          </w:p>
        </w:tc>
      </w:tr>
      <w:tr w:rsidR="000A7622" w:rsidRPr="00ED0894" w14:paraId="01F11836" w14:textId="77777777" w:rsidTr="000A7622">
        <w:tc>
          <w:tcPr>
            <w:tcW w:w="2689" w:type="dxa"/>
            <w:gridSpan w:val="2"/>
          </w:tcPr>
          <w:p w14:paraId="28834890" w14:textId="77777777" w:rsidR="000A7622" w:rsidRPr="00ED0894" w:rsidRDefault="000A7622" w:rsidP="000A7622">
            <w:pPr>
              <w:jc w:val="both"/>
              <w:rPr>
                <w:rFonts w:ascii="Arial" w:eastAsia="Calibri" w:hAnsi="Arial" w:cs="Arial"/>
                <w:b/>
                <w:color w:val="000000"/>
                <w:szCs w:val="24"/>
                <w:lang w:val="es-ES_tradnl" w:eastAsia="es-ES_tradnl"/>
              </w:rPr>
            </w:pPr>
            <w:r w:rsidRPr="00ED0894">
              <w:rPr>
                <w:rFonts w:ascii="Arial" w:eastAsia="Calibri" w:hAnsi="Arial" w:cs="Arial"/>
                <w:b/>
                <w:color w:val="000000"/>
                <w:szCs w:val="24"/>
                <w:lang w:val="es-ES_tradnl" w:eastAsia="es-ES_tradnl"/>
              </w:rPr>
              <w:t>Radicación:</w:t>
            </w:r>
            <w:r w:rsidRPr="00ED0894">
              <w:rPr>
                <w:rFonts w:ascii="Arial" w:eastAsia="Calibri" w:hAnsi="Arial" w:cs="Arial"/>
                <w:color w:val="000000"/>
                <w:szCs w:val="24"/>
                <w:lang w:val="es-ES_tradnl" w:eastAsia="es-ES_tradnl"/>
              </w:rPr>
              <w:t xml:space="preserve">                              </w:t>
            </w:r>
          </w:p>
        </w:tc>
        <w:tc>
          <w:tcPr>
            <w:tcW w:w="6237" w:type="dxa"/>
          </w:tcPr>
          <w:p w14:paraId="4F837A21" w14:textId="02E58FEA" w:rsidR="000A7622" w:rsidRPr="00ED0894" w:rsidRDefault="000A7622" w:rsidP="000A7622">
            <w:pPr>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 xml:space="preserve">Respuesta a consulta </w:t>
            </w:r>
            <w:r w:rsidR="00D525E3" w:rsidRPr="00ED0894">
              <w:rPr>
                <w:rFonts w:ascii="Arial" w:eastAsia="Calibri" w:hAnsi="Arial" w:cs="Arial"/>
                <w:color w:val="000000"/>
                <w:szCs w:val="24"/>
                <w:lang w:val="es-ES_tradnl" w:eastAsia="es-ES_tradnl"/>
              </w:rPr>
              <w:t>P20220222001768</w:t>
            </w:r>
          </w:p>
        </w:tc>
      </w:tr>
    </w:tbl>
    <w:p w14:paraId="75B57687" w14:textId="7D1CD0C0" w:rsidR="000A7622" w:rsidRPr="00ED0894" w:rsidRDefault="000A7622" w:rsidP="000A7622">
      <w:pPr>
        <w:spacing w:after="0" w:line="240" w:lineRule="auto"/>
        <w:jc w:val="both"/>
        <w:rPr>
          <w:rFonts w:ascii="Arial" w:eastAsia="Calibri" w:hAnsi="Arial" w:cs="Arial"/>
          <w:color w:val="000000"/>
          <w:szCs w:val="24"/>
          <w:lang w:val="es-ES_tradnl" w:eastAsia="es-ES_tradnl"/>
        </w:rPr>
      </w:pPr>
    </w:p>
    <w:p w14:paraId="55815CD8" w14:textId="77777777" w:rsidR="00D47433" w:rsidRPr="00ED0894" w:rsidRDefault="00D47433" w:rsidP="000A7622">
      <w:pPr>
        <w:spacing w:after="0" w:line="240" w:lineRule="auto"/>
        <w:jc w:val="both"/>
        <w:rPr>
          <w:rFonts w:ascii="Arial" w:eastAsia="Calibri" w:hAnsi="Arial" w:cs="Arial"/>
          <w:color w:val="000000"/>
          <w:szCs w:val="24"/>
          <w:lang w:val="es-ES_tradnl" w:eastAsia="es-ES_tradnl"/>
        </w:rPr>
      </w:pPr>
    </w:p>
    <w:p w14:paraId="4D910889" w14:textId="3E2F2B30" w:rsidR="000A7622" w:rsidRPr="00ED0894" w:rsidRDefault="000A7622" w:rsidP="000A7622">
      <w:pPr>
        <w:spacing w:after="0" w:line="240"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Estimad</w:t>
      </w:r>
      <w:r w:rsidR="00D525E3" w:rsidRPr="00ED0894">
        <w:rPr>
          <w:rFonts w:ascii="Arial" w:eastAsia="Calibri" w:hAnsi="Arial" w:cs="Arial"/>
          <w:color w:val="000000"/>
          <w:szCs w:val="24"/>
          <w:lang w:val="es-ES_tradnl" w:eastAsia="es-ES_tradnl"/>
        </w:rPr>
        <w:t>a</w:t>
      </w:r>
      <w:r w:rsidRPr="00ED0894">
        <w:rPr>
          <w:rFonts w:ascii="Arial" w:eastAsia="Calibri" w:hAnsi="Arial" w:cs="Arial"/>
          <w:color w:val="000000"/>
          <w:szCs w:val="24"/>
          <w:lang w:val="es-ES_tradnl" w:eastAsia="es-ES_tradnl"/>
        </w:rPr>
        <w:t xml:space="preserve"> señor</w:t>
      </w:r>
      <w:r w:rsidR="00D525E3" w:rsidRPr="00ED0894">
        <w:rPr>
          <w:rFonts w:ascii="Arial" w:eastAsia="Calibri" w:hAnsi="Arial" w:cs="Arial"/>
          <w:color w:val="000000"/>
          <w:szCs w:val="24"/>
          <w:lang w:val="es-ES_tradnl" w:eastAsia="es-ES_tradnl"/>
        </w:rPr>
        <w:t>a</w:t>
      </w:r>
      <w:r w:rsidRPr="00ED0894">
        <w:rPr>
          <w:rFonts w:ascii="Arial" w:eastAsia="Calibri" w:hAnsi="Arial" w:cs="Arial"/>
          <w:color w:val="000000"/>
          <w:szCs w:val="24"/>
          <w:lang w:val="es-ES_tradnl" w:eastAsia="es-ES_tradnl"/>
        </w:rPr>
        <w:t xml:space="preserve"> </w:t>
      </w:r>
      <w:r w:rsidR="00D525E3" w:rsidRPr="00ED0894">
        <w:rPr>
          <w:rFonts w:ascii="Arial" w:eastAsia="Times New Roman" w:hAnsi="Arial" w:cs="Arial"/>
          <w:color w:val="000000"/>
        </w:rPr>
        <w:t>Velasco</w:t>
      </w:r>
      <w:r w:rsidR="006C07D7" w:rsidRPr="00ED0894">
        <w:rPr>
          <w:rFonts w:ascii="Arial" w:eastAsia="Calibri" w:hAnsi="Arial" w:cs="Arial"/>
          <w:color w:val="000000"/>
          <w:szCs w:val="24"/>
          <w:lang w:val="es-ES_tradnl" w:eastAsia="es-ES_tradnl"/>
        </w:rPr>
        <w:t>:</w:t>
      </w:r>
    </w:p>
    <w:p w14:paraId="50015466" w14:textId="77777777" w:rsidR="000A7622" w:rsidRPr="00ED0894" w:rsidRDefault="000A7622" w:rsidP="000A7622">
      <w:pPr>
        <w:spacing w:after="0" w:line="240" w:lineRule="auto"/>
        <w:jc w:val="both"/>
        <w:rPr>
          <w:rFonts w:ascii="Arial" w:eastAsia="Calibri" w:hAnsi="Arial" w:cs="Arial"/>
          <w:color w:val="000000"/>
          <w:szCs w:val="24"/>
          <w:lang w:val="es-ES_tradnl" w:eastAsia="es-ES_tradnl"/>
        </w:rPr>
      </w:pPr>
    </w:p>
    <w:p w14:paraId="5E0FA4B8" w14:textId="5BF5A169" w:rsidR="000A7622" w:rsidRPr="00ED0894" w:rsidRDefault="000A7622" w:rsidP="000A7622">
      <w:pPr>
        <w:spacing w:after="0" w:line="276"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 a través de la Subdirección de Gestión Contractual, responde su</w:t>
      </w:r>
      <w:r w:rsidR="002075BE" w:rsidRPr="00ED0894">
        <w:rPr>
          <w:rFonts w:ascii="Arial" w:eastAsia="Calibri" w:hAnsi="Arial" w:cs="Arial"/>
          <w:color w:val="000000"/>
          <w:szCs w:val="24"/>
          <w:lang w:val="es-ES_tradnl" w:eastAsia="es-ES_tradnl"/>
        </w:rPr>
        <w:t>s</w:t>
      </w:r>
      <w:r w:rsidRPr="00ED0894">
        <w:rPr>
          <w:rFonts w:ascii="Arial" w:eastAsia="Calibri" w:hAnsi="Arial" w:cs="Arial"/>
          <w:color w:val="000000"/>
          <w:szCs w:val="24"/>
          <w:lang w:val="es-ES_tradnl" w:eastAsia="es-ES_tradnl"/>
        </w:rPr>
        <w:t xml:space="preserve"> consulta</w:t>
      </w:r>
      <w:r w:rsidR="002075BE" w:rsidRPr="00ED0894">
        <w:rPr>
          <w:rFonts w:ascii="Arial" w:eastAsia="Calibri" w:hAnsi="Arial" w:cs="Arial"/>
          <w:color w:val="000000"/>
          <w:szCs w:val="24"/>
          <w:lang w:val="es-ES_tradnl" w:eastAsia="es-ES_tradnl"/>
        </w:rPr>
        <w:t>s</w:t>
      </w:r>
      <w:r w:rsidRPr="00ED0894">
        <w:rPr>
          <w:rFonts w:ascii="Arial" w:eastAsia="Calibri" w:hAnsi="Arial" w:cs="Arial"/>
          <w:color w:val="000000"/>
          <w:szCs w:val="24"/>
          <w:lang w:val="es-ES_tradnl" w:eastAsia="es-ES_tradnl"/>
        </w:rPr>
        <w:t xml:space="preserve"> del </w:t>
      </w:r>
      <w:r w:rsidR="00D525E3" w:rsidRPr="00ED0894">
        <w:rPr>
          <w:rFonts w:ascii="Arial" w:eastAsia="Calibri" w:hAnsi="Arial" w:cs="Arial"/>
          <w:color w:val="000000"/>
          <w:szCs w:val="24"/>
          <w:lang w:val="es-ES_tradnl" w:eastAsia="es-ES_tradnl"/>
        </w:rPr>
        <w:t>21 de febrero de 2022</w:t>
      </w:r>
      <w:r w:rsidRPr="00ED0894">
        <w:rPr>
          <w:rFonts w:ascii="Arial" w:eastAsia="Calibri" w:hAnsi="Arial" w:cs="Arial"/>
          <w:color w:val="000000"/>
          <w:szCs w:val="24"/>
          <w:lang w:val="es-ES_tradnl" w:eastAsia="es-ES_tradnl"/>
        </w:rPr>
        <w:t xml:space="preserve">. </w:t>
      </w:r>
    </w:p>
    <w:p w14:paraId="192F149E" w14:textId="77777777" w:rsidR="000A7622" w:rsidRPr="00ED0894" w:rsidRDefault="000A7622" w:rsidP="000A7622">
      <w:pPr>
        <w:spacing w:after="0" w:line="276" w:lineRule="auto"/>
        <w:jc w:val="both"/>
        <w:rPr>
          <w:rFonts w:ascii="Arial" w:eastAsia="Calibri" w:hAnsi="Arial" w:cs="Arial"/>
          <w:b/>
          <w:color w:val="000000"/>
          <w:szCs w:val="24"/>
          <w:lang w:val="es-ES_tradnl" w:eastAsia="es-ES_tradnl"/>
        </w:rPr>
      </w:pPr>
    </w:p>
    <w:p w14:paraId="3E36A8D9" w14:textId="1E5B0D99" w:rsidR="000A7622" w:rsidRPr="00ED0894" w:rsidRDefault="000A7622" w:rsidP="000A7622">
      <w:pPr>
        <w:pStyle w:val="Sinespaciado"/>
        <w:rPr>
          <w:rFonts w:ascii="Arial" w:hAnsi="Arial" w:cs="Arial"/>
          <w:b/>
          <w:bCs/>
          <w:lang w:val="es-ES_tradnl"/>
        </w:rPr>
      </w:pPr>
      <w:r w:rsidRPr="00ED0894">
        <w:rPr>
          <w:rFonts w:ascii="Arial" w:hAnsi="Arial" w:cs="Arial"/>
          <w:b/>
          <w:bCs/>
          <w:lang w:val="es-ES_tradnl"/>
        </w:rPr>
        <w:t>1. Problema</w:t>
      </w:r>
      <w:r w:rsidR="00DC2E95" w:rsidRPr="00ED0894">
        <w:rPr>
          <w:rFonts w:ascii="Arial" w:hAnsi="Arial" w:cs="Arial"/>
          <w:b/>
          <w:bCs/>
          <w:lang w:val="es-ES_tradnl"/>
        </w:rPr>
        <w:t>s</w:t>
      </w:r>
      <w:r w:rsidRPr="00ED0894">
        <w:rPr>
          <w:rFonts w:ascii="Arial" w:hAnsi="Arial" w:cs="Arial"/>
          <w:b/>
          <w:bCs/>
          <w:lang w:val="es-ES_tradnl"/>
        </w:rPr>
        <w:t xml:space="preserve"> planteado</w:t>
      </w:r>
      <w:r w:rsidR="00DC2E95" w:rsidRPr="00ED0894">
        <w:rPr>
          <w:rFonts w:ascii="Arial" w:hAnsi="Arial" w:cs="Arial"/>
          <w:b/>
          <w:bCs/>
          <w:lang w:val="es-ES_tradnl"/>
        </w:rPr>
        <w:t>s</w:t>
      </w:r>
      <w:r w:rsidRPr="00ED0894">
        <w:rPr>
          <w:rFonts w:ascii="Arial" w:hAnsi="Arial" w:cs="Arial"/>
          <w:b/>
          <w:bCs/>
          <w:lang w:val="es-ES_tradnl"/>
        </w:rPr>
        <w:t xml:space="preserve"> </w:t>
      </w:r>
    </w:p>
    <w:p w14:paraId="51F85031" w14:textId="26257928" w:rsidR="000A7622" w:rsidRPr="00ED0894" w:rsidRDefault="000A7622" w:rsidP="00310D55">
      <w:pPr>
        <w:tabs>
          <w:tab w:val="left" w:pos="426"/>
        </w:tabs>
        <w:spacing w:after="0" w:line="240" w:lineRule="auto"/>
        <w:jc w:val="both"/>
        <w:rPr>
          <w:rFonts w:ascii="Arial" w:eastAsia="Calibri" w:hAnsi="Arial" w:cs="Arial"/>
          <w:b/>
          <w:color w:val="000000"/>
          <w:sz w:val="21"/>
          <w:szCs w:val="21"/>
          <w:lang w:val="es-ES_tradnl" w:eastAsia="es-ES_tradnl"/>
        </w:rPr>
      </w:pPr>
    </w:p>
    <w:p w14:paraId="06A5AD74" w14:textId="0A0AEDFF" w:rsidR="00DC2E95" w:rsidRPr="00ED0894" w:rsidRDefault="00DC2E95" w:rsidP="00310D55">
      <w:pPr>
        <w:tabs>
          <w:tab w:val="left" w:pos="426"/>
        </w:tabs>
        <w:spacing w:after="0" w:line="240" w:lineRule="auto"/>
        <w:jc w:val="both"/>
        <w:rPr>
          <w:rFonts w:ascii="Arial" w:eastAsia="Calibri" w:hAnsi="Arial" w:cs="Arial"/>
          <w:bCs/>
          <w:color w:val="000000"/>
          <w:lang w:val="es-ES_tradnl" w:eastAsia="es-ES_tradnl"/>
        </w:rPr>
      </w:pPr>
      <w:r w:rsidRPr="00ED0894">
        <w:rPr>
          <w:rFonts w:ascii="Arial" w:eastAsia="Calibri" w:hAnsi="Arial" w:cs="Arial"/>
          <w:bCs/>
          <w:color w:val="000000"/>
          <w:lang w:val="es-ES_tradnl" w:eastAsia="es-ES_tradnl"/>
        </w:rPr>
        <w:t>Usted realiza las siguientes preguntas:</w:t>
      </w:r>
    </w:p>
    <w:p w14:paraId="6059097B" w14:textId="77777777" w:rsidR="00DC2E95" w:rsidRPr="00ED0894" w:rsidRDefault="00DC2E95" w:rsidP="00310D55">
      <w:pPr>
        <w:tabs>
          <w:tab w:val="left" w:pos="426"/>
        </w:tabs>
        <w:spacing w:after="0" w:line="240" w:lineRule="auto"/>
        <w:jc w:val="both"/>
        <w:rPr>
          <w:rFonts w:ascii="Arial" w:eastAsia="Calibri" w:hAnsi="Arial" w:cs="Arial"/>
          <w:b/>
          <w:color w:val="000000"/>
          <w:sz w:val="21"/>
          <w:szCs w:val="21"/>
          <w:lang w:val="es-ES_tradnl" w:eastAsia="es-ES_tradnl"/>
        </w:rPr>
      </w:pPr>
    </w:p>
    <w:p w14:paraId="295682E3" w14:textId="6675B3C5" w:rsidR="00C8339E" w:rsidRPr="00ED0894" w:rsidRDefault="00DC2E95" w:rsidP="00ED0894">
      <w:pPr>
        <w:pStyle w:val="Prrafodelista"/>
        <w:spacing w:line="240" w:lineRule="auto"/>
        <w:ind w:left="709" w:right="709"/>
        <w:jc w:val="both"/>
        <w:rPr>
          <w:rFonts w:ascii="Arial" w:hAnsi="Arial" w:cs="Arial"/>
          <w:bCs/>
          <w:sz w:val="21"/>
          <w:szCs w:val="21"/>
          <w:lang w:val="es-ES" w:eastAsia="es-CO"/>
        </w:rPr>
      </w:pPr>
      <w:r w:rsidRPr="00ED0894">
        <w:rPr>
          <w:rFonts w:ascii="Arial" w:hAnsi="Arial" w:cs="Arial"/>
          <w:bCs/>
          <w:sz w:val="21"/>
          <w:szCs w:val="21"/>
          <w:lang w:val="es-ES" w:eastAsia="es-CO"/>
        </w:rPr>
        <w:t xml:space="preserve">i) </w:t>
      </w:r>
      <w:r w:rsidR="00294599" w:rsidRPr="00ED0894">
        <w:rPr>
          <w:rFonts w:ascii="Arial" w:hAnsi="Arial" w:cs="Arial"/>
          <w:bCs/>
          <w:sz w:val="21"/>
          <w:szCs w:val="21"/>
          <w:lang w:val="es-ES" w:eastAsia="es-CO"/>
        </w:rPr>
        <w:t>«</w:t>
      </w:r>
      <w:r w:rsidR="00C8339E" w:rsidRPr="00ED0894">
        <w:rPr>
          <w:rFonts w:ascii="Arial" w:hAnsi="Arial" w:cs="Arial"/>
          <w:bCs/>
          <w:sz w:val="21"/>
          <w:szCs w:val="21"/>
          <w:lang w:val="es-ES" w:eastAsia="es-CO"/>
        </w:rPr>
        <w:t>En el momento de diligenciar el formato 5. SALDO DE CONTRATOS EN EJECUCION, y a su vez el aplicativo para k residual de Colombia compra, refiere que los contratos que se encuentren suspendidos al momento del cierre del proceso, se tendrá que tener como fecha de inicio, la fecha del cierre del proceso de contratación y como valor a ejecutar el saldo pendiente de ejecución.</w:t>
      </w:r>
    </w:p>
    <w:p w14:paraId="76E7F4A3" w14:textId="13FFC5E0" w:rsidR="00C8339E" w:rsidRPr="00ED0894" w:rsidRDefault="00C8339E" w:rsidP="00ED0894">
      <w:pPr>
        <w:pStyle w:val="Prrafodelista"/>
        <w:spacing w:line="240" w:lineRule="auto"/>
        <w:ind w:left="709" w:right="709"/>
        <w:jc w:val="both"/>
        <w:rPr>
          <w:rFonts w:ascii="Arial" w:hAnsi="Arial" w:cs="Arial"/>
          <w:bCs/>
          <w:sz w:val="21"/>
          <w:szCs w:val="21"/>
          <w:lang w:val="es-ES" w:eastAsia="es-CO"/>
        </w:rPr>
      </w:pPr>
      <w:r w:rsidRPr="00ED0894">
        <w:rPr>
          <w:rFonts w:ascii="Arial" w:hAnsi="Arial" w:cs="Arial"/>
          <w:bCs/>
          <w:sz w:val="21"/>
          <w:szCs w:val="21"/>
          <w:lang w:val="es-ES" w:eastAsia="es-CO"/>
        </w:rPr>
        <w:t>Teniendo en cuenta lo anterior, se solicita se aclare cómo se debe diligenciar en el aplicativo la información de los contratos que han sido suspendidos y reiniciados y que a la fecha de cierre del proceso que se está licitando se encuentran en ejecución, toda vez, que respecto a este tema,  ni los proponentes, ni las Entidades saben cómo proceder para el diligenciamiento y su respectivo  cálculo,  y a la fecha algunas  Entidades  han errado, dando como resultado una CAPACIDAD RESIDUAL DE CONTRATACION  menor a la que realmente se ostenta, situación que ha llevado al rechazo de las propuesta</w:t>
      </w:r>
      <w:r w:rsidR="00294599" w:rsidRPr="00ED0894">
        <w:rPr>
          <w:rFonts w:ascii="Arial" w:hAnsi="Arial" w:cs="Arial"/>
          <w:bCs/>
          <w:sz w:val="21"/>
          <w:szCs w:val="21"/>
          <w:lang w:val="es-ES" w:eastAsia="es-CO"/>
        </w:rPr>
        <w:t>»</w:t>
      </w:r>
      <w:r w:rsidR="00DC2E95" w:rsidRPr="00ED0894">
        <w:rPr>
          <w:rFonts w:ascii="Arial" w:hAnsi="Arial" w:cs="Arial"/>
          <w:bCs/>
          <w:sz w:val="21"/>
          <w:szCs w:val="21"/>
          <w:lang w:val="es-ES" w:eastAsia="es-CO"/>
        </w:rPr>
        <w:t>.</w:t>
      </w:r>
    </w:p>
    <w:p w14:paraId="577047FD" w14:textId="77777777" w:rsidR="00DC2E95" w:rsidRPr="00ED0894" w:rsidRDefault="00DC2E95" w:rsidP="00ED0894">
      <w:pPr>
        <w:pStyle w:val="Prrafodelista"/>
        <w:spacing w:line="240" w:lineRule="auto"/>
        <w:ind w:left="709" w:right="709"/>
        <w:jc w:val="both"/>
        <w:rPr>
          <w:rFonts w:ascii="Arial" w:hAnsi="Arial" w:cs="Arial"/>
          <w:bCs/>
          <w:sz w:val="21"/>
          <w:szCs w:val="21"/>
          <w:lang w:val="es-ES" w:eastAsia="es-CO"/>
        </w:rPr>
      </w:pPr>
    </w:p>
    <w:p w14:paraId="2D71698E" w14:textId="5656D45A" w:rsidR="00BE42E8" w:rsidRPr="00ED0894" w:rsidRDefault="00DC2E95" w:rsidP="00ED0894">
      <w:pPr>
        <w:pStyle w:val="Prrafodelista"/>
        <w:spacing w:after="0" w:line="240" w:lineRule="auto"/>
        <w:ind w:left="709" w:right="709"/>
        <w:jc w:val="both"/>
        <w:rPr>
          <w:rFonts w:ascii="Arial" w:hAnsi="Arial" w:cs="Arial"/>
          <w:sz w:val="21"/>
          <w:szCs w:val="21"/>
          <w:lang w:val="es-ES"/>
        </w:rPr>
      </w:pPr>
      <w:r w:rsidRPr="00ED0894">
        <w:rPr>
          <w:rFonts w:ascii="Arial" w:hAnsi="Arial" w:cs="Arial"/>
          <w:sz w:val="21"/>
          <w:szCs w:val="21"/>
          <w:lang w:val="es-ES_tradnl" w:eastAsia="es-ES_tradnl"/>
        </w:rPr>
        <w:t xml:space="preserve">ii) </w:t>
      </w:r>
      <w:r w:rsidR="00294599" w:rsidRPr="00ED0894">
        <w:rPr>
          <w:rFonts w:ascii="Arial" w:hAnsi="Arial" w:cs="Arial"/>
          <w:sz w:val="21"/>
          <w:szCs w:val="21"/>
          <w:lang w:val="es-ES_tradnl" w:eastAsia="es-ES_tradnl"/>
        </w:rPr>
        <w:t>«Así mismo, se solicita se aclare, el tema en cuanto si por error involuntario el proponente ingresa en el formato 5. SALDO DE CONTRATOS EN EJCUCION, un valor y/o una fecha la cual no corresponde a lo reportado por la Entidad a la página de SECOP2,  la Entidad a percatarse del error en dichos datos debe rechazar la oferta de plano con base a la causal H del No. 1.15 del pliego de condiciones, la cual refiere: “Que el proponente aporte información inexacta sobre la cual puede existir una posible falsedad en los términos de la seccion1.11”;  o por si el contrario la Entidad debe solicitar al proponente aclaración y/o subsanación como ustedes lo han establecido en conceptos anteriores</w:t>
      </w:r>
      <w:r w:rsidR="000A7622" w:rsidRPr="00ED0894">
        <w:rPr>
          <w:rFonts w:ascii="Arial" w:hAnsi="Arial" w:cs="Arial"/>
          <w:sz w:val="21"/>
          <w:szCs w:val="21"/>
          <w:lang w:val="es-ES"/>
        </w:rPr>
        <w:t>»</w:t>
      </w:r>
      <w:r w:rsidR="00016705" w:rsidRPr="00ED0894">
        <w:rPr>
          <w:rFonts w:ascii="Arial" w:hAnsi="Arial" w:cs="Arial"/>
          <w:sz w:val="21"/>
          <w:szCs w:val="21"/>
          <w:lang w:val="es-ES"/>
        </w:rPr>
        <w:t>.</w:t>
      </w:r>
      <w:r w:rsidR="000A7622" w:rsidRPr="00ED0894">
        <w:rPr>
          <w:rFonts w:ascii="Arial" w:hAnsi="Arial" w:cs="Arial"/>
          <w:sz w:val="21"/>
          <w:szCs w:val="21"/>
          <w:lang w:val="es-ES"/>
        </w:rPr>
        <w:t xml:space="preserve"> </w:t>
      </w:r>
    </w:p>
    <w:p w14:paraId="017EAE43" w14:textId="77777777" w:rsidR="000A7622" w:rsidRPr="00ED0894" w:rsidRDefault="000A7622" w:rsidP="000A7622">
      <w:pPr>
        <w:tabs>
          <w:tab w:val="left" w:pos="426"/>
        </w:tabs>
        <w:spacing w:after="0" w:line="276" w:lineRule="auto"/>
        <w:jc w:val="both"/>
        <w:rPr>
          <w:rFonts w:ascii="Arial" w:eastAsia="Calibri" w:hAnsi="Arial" w:cs="Arial"/>
          <w:lang w:val="es-MX"/>
        </w:rPr>
      </w:pPr>
    </w:p>
    <w:p w14:paraId="73EFE25B" w14:textId="77777777" w:rsidR="000A7622" w:rsidRPr="00ED0894" w:rsidRDefault="000A7622" w:rsidP="000A7622">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ED0894">
        <w:rPr>
          <w:rFonts w:ascii="Arial" w:eastAsia="Calibri" w:hAnsi="Arial" w:cs="Arial"/>
          <w:b/>
          <w:lang w:val="es-MX"/>
        </w:rPr>
        <w:t>Consideraciones</w:t>
      </w:r>
    </w:p>
    <w:p w14:paraId="54CBA8BB" w14:textId="77777777" w:rsidR="000A7622" w:rsidRPr="00ED0894" w:rsidRDefault="000A7622" w:rsidP="000A7622">
      <w:pPr>
        <w:tabs>
          <w:tab w:val="left" w:pos="426"/>
        </w:tabs>
        <w:spacing w:after="0" w:line="276" w:lineRule="auto"/>
        <w:contextualSpacing/>
        <w:jc w:val="both"/>
        <w:rPr>
          <w:rFonts w:ascii="Arial" w:eastAsia="Calibri" w:hAnsi="Arial" w:cs="Arial"/>
          <w:b/>
          <w:lang w:val="es-MX"/>
        </w:rPr>
      </w:pPr>
    </w:p>
    <w:p w14:paraId="572D9DA5" w14:textId="5C1D6074" w:rsidR="00294599" w:rsidRPr="00ED0894" w:rsidRDefault="000A7622" w:rsidP="00ED0894">
      <w:pPr>
        <w:spacing w:after="120" w:line="276" w:lineRule="auto"/>
        <w:jc w:val="both"/>
        <w:rPr>
          <w:rFonts w:ascii="Arial" w:eastAsia="Calibri" w:hAnsi="Arial" w:cs="Arial"/>
          <w:color w:val="000000" w:themeColor="text1"/>
        </w:rPr>
      </w:pPr>
      <w:r w:rsidRPr="00ED0894">
        <w:rPr>
          <w:rFonts w:ascii="Arial" w:hAnsi="Arial" w:cs="Arial"/>
        </w:rPr>
        <w:t>Para resolver el objeto de la consulta, se analizarán los siguientes temas: i)</w:t>
      </w:r>
      <w:r w:rsidRPr="00ED0894">
        <w:rPr>
          <w:rFonts w:ascii="Arial" w:eastAsia="Calibri" w:hAnsi="Arial" w:cs="Arial"/>
          <w:color w:val="000000" w:themeColor="text1"/>
        </w:rPr>
        <w:t xml:space="preserve"> capacidad residual como requisito del proceso de selección; y ii) </w:t>
      </w:r>
      <w:r w:rsidRPr="00ED0894">
        <w:rPr>
          <w:rFonts w:ascii="Arial" w:hAnsi="Arial" w:cs="Arial"/>
          <w:color w:val="000000"/>
          <w:shd w:val="clear" w:color="auto" w:fill="FFFFFF"/>
        </w:rPr>
        <w:t>rechazo de propuestas por falta de acreditación del requisito de capacidad residual en</w:t>
      </w:r>
      <w:r w:rsidRPr="00ED0894">
        <w:rPr>
          <w:rFonts w:ascii="Arial" w:hAnsi="Arial" w:cs="Arial"/>
        </w:rPr>
        <w:t xml:space="preserve"> los documentos tipo de licitación de obra pública de infraestructura de transporte – versión 3.</w:t>
      </w:r>
    </w:p>
    <w:p w14:paraId="05D7D06C" w14:textId="77777777" w:rsidR="001B1730" w:rsidRPr="00ED0894" w:rsidRDefault="001B1730" w:rsidP="00ED0894">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ED0894">
        <w:rPr>
          <w:rStyle w:val="normaltextrun"/>
          <w:rFonts w:ascii="Arial" w:hAnsi="Arial" w:cs="Arial"/>
          <w:color w:val="000000"/>
          <w:sz w:val="22"/>
          <w:szCs w:val="22"/>
        </w:rPr>
        <w:t xml:space="preserve">Antes de abordar los problemas planteados, es importante señalar que la Agencia Nacional de Contratación Pública − Colombia Compra Eficiente se ha pronunciado sobre el rechazo de las propuestas en la contratación estatal, </w:t>
      </w:r>
      <w:r w:rsidRPr="00ED0894">
        <w:rPr>
          <w:rStyle w:val="normaltextrun"/>
          <w:rFonts w:ascii="Arial" w:hAnsi="Arial" w:cs="Arial"/>
          <w:sz w:val="22"/>
          <w:szCs w:val="22"/>
          <w:lang w:val="es-MX"/>
        </w:rPr>
        <w:t>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 De igual forma, en los conceptos C-019 del 14 de enero de 2020, C-037 del 28 de enero de 2020, C-033 del 13 de marzo de 2020, C-137 del 26 de marzo de 2020, C-153 del 1 de abril de 2020, C-184 del 2 de abril de 2020 y C-016 del 21 de abril de 2020. </w:t>
      </w:r>
      <w:r w:rsidRPr="00ED0894">
        <w:rPr>
          <w:rStyle w:val="eop"/>
          <w:rFonts w:ascii="Arial" w:hAnsi="Arial" w:cs="Arial"/>
          <w:sz w:val="22"/>
          <w:szCs w:val="22"/>
        </w:rPr>
        <w:t> </w:t>
      </w:r>
    </w:p>
    <w:p w14:paraId="43638059" w14:textId="50E8FD2A" w:rsidR="001B1730" w:rsidRPr="00ED0894" w:rsidRDefault="001B1730" w:rsidP="00ED0894">
      <w:pPr>
        <w:pStyle w:val="paragraph"/>
        <w:spacing w:before="0" w:beforeAutospacing="0" w:after="0" w:afterAutospacing="0" w:line="276" w:lineRule="auto"/>
        <w:ind w:firstLine="705"/>
        <w:jc w:val="both"/>
        <w:textAlignment w:val="baseline"/>
        <w:rPr>
          <w:rFonts w:ascii="Segoe UI" w:hAnsi="Segoe UI" w:cs="Segoe UI"/>
          <w:sz w:val="18"/>
          <w:szCs w:val="18"/>
        </w:rPr>
      </w:pPr>
      <w:r w:rsidRPr="00ED0894">
        <w:rPr>
          <w:rStyle w:val="normaltextrun"/>
          <w:rFonts w:ascii="Arial" w:hAnsi="Arial" w:cs="Arial"/>
          <w:sz w:val="22"/>
          <w:szCs w:val="22"/>
          <w:lang w:val="es-MX"/>
        </w:rPr>
        <w:lastRenderedPageBreak/>
        <w:t>Por otro lado, 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y C-</w:t>
      </w:r>
      <w:r w:rsidR="00A32359" w:rsidRPr="00ED0894">
        <w:rPr>
          <w:rStyle w:val="normaltextrun"/>
          <w:rFonts w:ascii="Arial" w:hAnsi="Arial" w:cs="Arial"/>
          <w:sz w:val="22"/>
          <w:szCs w:val="22"/>
          <w:lang w:val="es-MX"/>
        </w:rPr>
        <w:t xml:space="preserve">692 del 28 de diciembre de 2021 </w:t>
      </w:r>
      <w:r w:rsidRPr="00ED0894">
        <w:rPr>
          <w:rStyle w:val="normaltextrun"/>
          <w:rFonts w:ascii="Arial" w:hAnsi="Arial" w:cs="Arial"/>
          <w:sz w:val="22"/>
          <w:szCs w:val="22"/>
          <w:lang w:val="es-MX"/>
        </w:rPr>
        <w:t xml:space="preserve"> analizó el rechazo de propuestas por falta de acreditación del requisito de capacidad residual. Las tesis desarrolladas en estos conceptos se reiteran a continuación.</w:t>
      </w:r>
      <w:r w:rsidRPr="00ED0894">
        <w:rPr>
          <w:rStyle w:val="eop"/>
          <w:rFonts w:ascii="Arial" w:hAnsi="Arial" w:cs="Arial"/>
          <w:sz w:val="22"/>
          <w:szCs w:val="22"/>
        </w:rPr>
        <w:t> </w:t>
      </w:r>
    </w:p>
    <w:p w14:paraId="297029DD" w14:textId="77777777" w:rsidR="000A7622" w:rsidRPr="00ED0894" w:rsidRDefault="000A7622" w:rsidP="000A7622">
      <w:pPr>
        <w:tabs>
          <w:tab w:val="left" w:pos="426"/>
        </w:tabs>
        <w:spacing w:after="0" w:line="276" w:lineRule="auto"/>
        <w:contextualSpacing/>
        <w:jc w:val="both"/>
        <w:rPr>
          <w:rFonts w:ascii="Arial" w:eastAsia="Calibri" w:hAnsi="Arial" w:cs="Arial"/>
          <w:b/>
          <w:lang w:val="es-MX"/>
        </w:rPr>
      </w:pPr>
    </w:p>
    <w:p w14:paraId="531C894C" w14:textId="7932B98E" w:rsidR="0077505D" w:rsidRPr="00ED0894" w:rsidRDefault="000A7622" w:rsidP="0077505D">
      <w:pPr>
        <w:spacing w:after="0" w:line="276" w:lineRule="auto"/>
        <w:jc w:val="both"/>
        <w:rPr>
          <w:rFonts w:ascii="Arial" w:eastAsia="Calibri" w:hAnsi="Arial" w:cs="Arial"/>
          <w:b/>
          <w:bCs/>
          <w:color w:val="000000"/>
          <w:szCs w:val="24"/>
          <w:lang w:eastAsia="en-GB"/>
        </w:rPr>
      </w:pPr>
      <w:r w:rsidRPr="00ED0894">
        <w:rPr>
          <w:rFonts w:ascii="Arial" w:eastAsia="Calibri" w:hAnsi="Arial" w:cs="Arial"/>
          <w:b/>
          <w:bCs/>
          <w:color w:val="000000"/>
          <w:lang w:eastAsia="en-GB"/>
        </w:rPr>
        <w:t>2.</w:t>
      </w:r>
      <w:r w:rsidR="00BE2A4B" w:rsidRPr="00ED0894">
        <w:rPr>
          <w:rFonts w:ascii="Arial" w:eastAsia="Calibri" w:hAnsi="Arial" w:cs="Arial"/>
          <w:b/>
          <w:bCs/>
          <w:color w:val="000000"/>
          <w:lang w:eastAsia="en-GB"/>
        </w:rPr>
        <w:t>1</w:t>
      </w:r>
      <w:r w:rsidRPr="00ED0894">
        <w:rPr>
          <w:rFonts w:ascii="Arial" w:eastAsia="Calibri" w:hAnsi="Arial" w:cs="Arial"/>
          <w:b/>
          <w:bCs/>
          <w:color w:val="000000"/>
          <w:lang w:eastAsia="en-GB"/>
        </w:rPr>
        <w:t>. Capacidad residual como requisito habilitante</w:t>
      </w:r>
      <w:r w:rsidR="0077505D" w:rsidRPr="00ED0894">
        <w:rPr>
          <w:rFonts w:ascii="Arial" w:eastAsia="Calibri" w:hAnsi="Arial" w:cs="Arial"/>
          <w:b/>
          <w:bCs/>
          <w:color w:val="000000"/>
          <w:lang w:eastAsia="en-GB"/>
        </w:rPr>
        <w:t xml:space="preserve">: </w:t>
      </w:r>
      <w:r w:rsidR="0077505D" w:rsidRPr="00ED0894">
        <w:rPr>
          <w:rFonts w:ascii="Arial" w:eastAsia="Calibri" w:hAnsi="Arial" w:cs="Arial"/>
          <w:b/>
          <w:bCs/>
          <w:color w:val="000000"/>
          <w:szCs w:val="24"/>
          <w:lang w:eastAsia="en-GB"/>
        </w:rPr>
        <w:t>saldo de Contratos en Ejecución –SCE–</w:t>
      </w:r>
    </w:p>
    <w:p w14:paraId="783E4B9B" w14:textId="77777777" w:rsidR="00C2687E" w:rsidRPr="00ED0894" w:rsidRDefault="00C2687E" w:rsidP="00C2687E">
      <w:pPr>
        <w:spacing w:after="0" w:line="276" w:lineRule="auto"/>
        <w:jc w:val="both"/>
        <w:rPr>
          <w:rFonts w:ascii="Arial" w:hAnsi="Arial" w:cs="Arial"/>
          <w:color w:val="000000" w:themeColor="text1"/>
          <w:lang w:val="es-MX"/>
        </w:rPr>
      </w:pPr>
    </w:p>
    <w:p w14:paraId="2D4E720C" w14:textId="18405D0C" w:rsidR="00C2687E" w:rsidRPr="00ED0894" w:rsidRDefault="00C2687E" w:rsidP="00C2687E">
      <w:pPr>
        <w:spacing w:line="276" w:lineRule="auto"/>
        <w:jc w:val="both"/>
        <w:rPr>
          <w:rFonts w:ascii="Arial" w:hAnsi="Arial" w:cs="Arial"/>
          <w:color w:val="000000" w:themeColor="text1"/>
          <w:lang w:val="es-MX"/>
        </w:rPr>
      </w:pPr>
      <w:r w:rsidRPr="00ED0894">
        <w:rPr>
          <w:rFonts w:ascii="Arial" w:hAnsi="Arial" w:cs="Arial"/>
          <w:color w:val="000000" w:themeColor="text1"/>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ED0894">
        <w:rPr>
          <w:rFonts w:ascii="Arial" w:hAnsi="Arial" w:cs="Arial"/>
          <w:color w:val="000000" w:themeColor="text1"/>
          <w:szCs w:val="20"/>
          <w:vertAlign w:val="superscript"/>
          <w:lang w:val="es-MX"/>
        </w:rPr>
        <w:footnoteReference w:id="1"/>
      </w:r>
      <w:r w:rsidRPr="00ED0894">
        <w:rPr>
          <w:rFonts w:ascii="Arial" w:hAnsi="Arial" w:cs="Arial"/>
          <w:color w:val="000000" w:themeColor="text1"/>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ED0894">
        <w:rPr>
          <w:rFonts w:ascii="Arial" w:eastAsia="Calibri" w:hAnsi="Arial" w:cs="Arial"/>
          <w:color w:val="000000" w:themeColor="text1"/>
          <w:vertAlign w:val="superscript"/>
          <w:lang w:val="es-MX"/>
        </w:rPr>
        <w:footnoteReference w:id="2"/>
      </w:r>
      <w:r w:rsidRPr="00ED0894">
        <w:rPr>
          <w:rFonts w:ascii="Arial" w:hAnsi="Arial" w:cs="Arial"/>
          <w:color w:val="000000" w:themeColor="text1"/>
          <w:lang w:val="es-MX"/>
        </w:rPr>
        <w:t>.</w:t>
      </w:r>
    </w:p>
    <w:p w14:paraId="3579FB4B" w14:textId="77777777" w:rsidR="00C2687E" w:rsidRPr="00ED0894" w:rsidRDefault="00C2687E" w:rsidP="00C2687E">
      <w:pPr>
        <w:spacing w:before="120" w:after="0" w:line="276" w:lineRule="auto"/>
        <w:ind w:firstLine="708"/>
        <w:jc w:val="both"/>
        <w:rPr>
          <w:rFonts w:ascii="Arial" w:hAnsi="Arial" w:cs="Arial"/>
          <w:color w:val="000000" w:themeColor="text1"/>
          <w:lang w:val="es-MX"/>
        </w:rPr>
      </w:pPr>
      <w:r w:rsidRPr="00ED0894">
        <w:rPr>
          <w:rFonts w:ascii="Arial" w:hAnsi="Arial" w:cs="Arial"/>
          <w:color w:val="000000" w:themeColor="text1"/>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23AA4A48" w14:textId="77777777" w:rsidR="00C2687E" w:rsidRPr="00ED0894" w:rsidRDefault="00C2687E" w:rsidP="00C2687E">
      <w:pPr>
        <w:spacing w:after="0" w:line="276" w:lineRule="auto"/>
        <w:ind w:firstLine="708"/>
        <w:jc w:val="both"/>
        <w:rPr>
          <w:rFonts w:ascii="Arial" w:hAnsi="Arial" w:cs="Arial"/>
          <w:color w:val="000000" w:themeColor="text1"/>
          <w:lang w:val="es-MX"/>
        </w:rPr>
      </w:pPr>
    </w:p>
    <w:p w14:paraId="56F0846C" w14:textId="77777777" w:rsidR="00C2687E" w:rsidRPr="00ED0894" w:rsidRDefault="00C2687E" w:rsidP="00C2687E">
      <w:pPr>
        <w:spacing w:after="120" w:line="240" w:lineRule="auto"/>
        <w:ind w:left="709"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lastRenderedPageBreak/>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414FC06" w14:textId="77777777" w:rsidR="00C2687E" w:rsidRPr="00ED0894" w:rsidRDefault="00C2687E" w:rsidP="00C2687E">
      <w:pPr>
        <w:spacing w:after="0" w:line="240" w:lineRule="auto"/>
        <w:ind w:left="708"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14155563" w14:textId="77777777" w:rsidR="00C2687E" w:rsidRPr="00ED0894" w:rsidRDefault="00C2687E" w:rsidP="00C2687E">
      <w:pPr>
        <w:spacing w:after="0" w:line="276" w:lineRule="auto"/>
        <w:ind w:right="709"/>
        <w:jc w:val="both"/>
        <w:rPr>
          <w:rFonts w:ascii="Arial" w:eastAsia="Calibri" w:hAnsi="Arial" w:cs="Arial"/>
          <w:color w:val="000000" w:themeColor="text1"/>
          <w:lang w:val="es-MX"/>
        </w:rPr>
      </w:pPr>
    </w:p>
    <w:p w14:paraId="11797D53" w14:textId="77777777" w:rsidR="00C2687E" w:rsidRPr="00ED0894" w:rsidRDefault="00C2687E" w:rsidP="00C2687E">
      <w:pPr>
        <w:spacing w:line="276" w:lineRule="auto"/>
        <w:ind w:firstLine="709"/>
        <w:jc w:val="both"/>
        <w:rPr>
          <w:rFonts w:ascii="Arial" w:eastAsia="Calibri" w:hAnsi="Arial" w:cs="Arial"/>
          <w:color w:val="000000" w:themeColor="text1"/>
        </w:rPr>
      </w:pPr>
      <w:r w:rsidRPr="00ED0894">
        <w:rPr>
          <w:rFonts w:ascii="Arial" w:eastAsia="Calibri" w:hAnsi="Arial" w:cs="Arial"/>
          <w:color w:val="000000" w:themeColor="text1"/>
          <w:lang w:val="es-MX"/>
        </w:rPr>
        <w:t xml:space="preserve">De acuerdo con </w:t>
      </w:r>
      <w:r w:rsidRPr="00ED0894">
        <w:rPr>
          <w:rFonts w:ascii="Arial" w:eastAsia="Calibri" w:hAnsi="Arial" w:cs="Arial"/>
          <w:color w:val="000000" w:themeColor="text1"/>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7CC9A221" w14:textId="77777777" w:rsidR="00C2687E" w:rsidRPr="00ED0894" w:rsidRDefault="00C2687E" w:rsidP="00C2687E">
      <w:pPr>
        <w:spacing w:before="120" w:after="120" w:line="276" w:lineRule="auto"/>
        <w:ind w:firstLine="709"/>
        <w:jc w:val="both"/>
        <w:rPr>
          <w:rFonts w:ascii="Arial" w:eastAsia="Calibri" w:hAnsi="Arial" w:cs="Arial"/>
          <w:color w:val="000000" w:themeColor="text1"/>
          <w:lang w:val="es-MX"/>
        </w:rPr>
      </w:pPr>
      <w:r w:rsidRPr="00ED0894">
        <w:rPr>
          <w:rFonts w:ascii="Arial" w:eastAsia="Calibri" w:hAnsi="Arial" w:cs="Arial"/>
          <w:color w:val="000000" w:themeColor="text1"/>
          <w:lang w:val="es-MX"/>
        </w:rPr>
        <w:t>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w:t>
      </w:r>
    </w:p>
    <w:p w14:paraId="5E5DC90B" w14:textId="77777777" w:rsidR="00C2687E" w:rsidRPr="00ED0894" w:rsidRDefault="00C2687E" w:rsidP="00C2687E">
      <w:pPr>
        <w:spacing w:before="120" w:after="120" w:line="276" w:lineRule="auto"/>
        <w:ind w:firstLine="709"/>
        <w:jc w:val="both"/>
        <w:rPr>
          <w:rFonts w:ascii="Arial" w:hAnsi="Arial" w:cs="Arial"/>
          <w:szCs w:val="20"/>
          <w:lang w:val="es-MX"/>
        </w:rPr>
      </w:pPr>
      <w:r w:rsidRPr="00ED0894">
        <w:rPr>
          <w:rFonts w:ascii="Arial" w:eastAsia="Calibri" w:hAnsi="Arial" w:cs="Arial"/>
          <w:color w:val="000000" w:themeColor="text1"/>
          <w:lang w:val="es-MX"/>
        </w:rPr>
        <w:t xml:space="preserve">De igual manera, </w:t>
      </w:r>
      <w:r w:rsidRPr="00ED0894">
        <w:rPr>
          <w:rFonts w:ascii="Arial" w:hAnsi="Arial" w:cs="Arial"/>
          <w:szCs w:val="20"/>
          <w:lang w:val="es-MX"/>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r w:rsidRPr="00ED0894">
        <w:rPr>
          <w:rFonts w:ascii="Arial" w:hAnsi="Arial" w:cs="Arial"/>
          <w:szCs w:val="20"/>
          <w:vertAlign w:val="superscript"/>
          <w:lang w:val="es-MX"/>
        </w:rPr>
        <w:footnoteReference w:id="3"/>
      </w:r>
      <w:r w:rsidRPr="00ED0894">
        <w:rPr>
          <w:rFonts w:ascii="Arial" w:hAnsi="Arial" w:cs="Arial"/>
          <w:szCs w:val="20"/>
          <w:lang w:val="es-MX"/>
        </w:rPr>
        <w:t xml:space="preserve">. </w:t>
      </w:r>
    </w:p>
    <w:p w14:paraId="4EF68AFB" w14:textId="77777777" w:rsidR="00C2687E" w:rsidRPr="00ED0894" w:rsidRDefault="00C2687E" w:rsidP="00C2687E">
      <w:pPr>
        <w:spacing w:before="120" w:after="120" w:line="276" w:lineRule="auto"/>
        <w:ind w:firstLine="709"/>
        <w:jc w:val="both"/>
        <w:rPr>
          <w:rFonts w:ascii="Arial" w:eastAsia="Calibri" w:hAnsi="Arial" w:cs="Arial"/>
          <w:bCs/>
          <w:color w:val="000000" w:themeColor="text1"/>
        </w:rPr>
      </w:pPr>
      <w:r w:rsidRPr="00ED0894">
        <w:rPr>
          <w:rFonts w:ascii="Arial" w:hAnsi="Arial" w:cs="Arial"/>
          <w:color w:val="000000" w:themeColor="text1"/>
          <w:lang w:val="es-MX"/>
        </w:rPr>
        <w:lastRenderedPageBreak/>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633E8CCF" w14:textId="77777777" w:rsidR="00C2687E" w:rsidRPr="00ED0894" w:rsidRDefault="00C2687E" w:rsidP="00C2687E">
      <w:pPr>
        <w:spacing w:line="276" w:lineRule="auto"/>
        <w:ind w:firstLine="709"/>
        <w:jc w:val="both"/>
        <w:rPr>
          <w:rFonts w:ascii="Arial" w:eastAsia="Calibri" w:hAnsi="Arial" w:cs="Arial"/>
          <w:bCs/>
          <w:color w:val="000000" w:themeColor="text1"/>
        </w:rPr>
      </w:pPr>
      <w:r w:rsidRPr="00ED0894">
        <w:rPr>
          <w:rFonts w:ascii="Arial" w:eastAsia="Calibri" w:hAnsi="Arial" w:cs="Arial"/>
          <w:bCs/>
          <w:color w:val="000000" w:themeColor="text1"/>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71ACC1EE" w14:textId="77777777" w:rsidR="00C2687E" w:rsidRPr="00ED0894" w:rsidRDefault="00C2687E" w:rsidP="00C2687E">
      <w:pPr>
        <w:spacing w:before="120" w:line="276" w:lineRule="auto"/>
        <w:ind w:firstLine="709"/>
        <w:jc w:val="both"/>
        <w:rPr>
          <w:rFonts w:ascii="Arial" w:eastAsia="Calibri" w:hAnsi="Arial" w:cs="Arial"/>
          <w:bCs/>
          <w:color w:val="000000" w:themeColor="text1"/>
        </w:rPr>
      </w:pPr>
      <w:r w:rsidRPr="00ED0894">
        <w:rPr>
          <w:rFonts w:ascii="Arial" w:eastAsia="Calibri" w:hAnsi="Arial" w:cs="Arial"/>
          <w:bCs/>
          <w:color w:val="000000" w:themeColor="text1"/>
        </w:rPr>
        <w:t xml:space="preserve">En cuanto al segundo aspecto, sobre la validación de </w:t>
      </w:r>
      <w:bookmarkStart w:id="6" w:name="_Hlk68683272"/>
      <w:r w:rsidRPr="00ED0894">
        <w:rPr>
          <w:rFonts w:ascii="Arial" w:eastAsia="Calibri" w:hAnsi="Arial" w:cs="Arial"/>
          <w:bCs/>
          <w:color w:val="000000" w:themeColor="text1"/>
        </w:rPr>
        <w:t>que cada proponente cumpla con la CRPC</w:t>
      </w:r>
      <w:bookmarkEnd w:id="6"/>
      <w:r w:rsidRPr="00ED0894">
        <w:rPr>
          <w:rFonts w:ascii="Arial" w:eastAsia="Calibri" w:hAnsi="Arial" w:cs="Arial"/>
          <w:bCs/>
          <w:color w:val="000000" w:themeColor="text1"/>
        </w:rPr>
        <w:t>,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0B98B469" w14:textId="77777777" w:rsidR="00C2687E" w:rsidRPr="00ED0894" w:rsidRDefault="00C2687E" w:rsidP="00C2687E">
      <w:pPr>
        <w:spacing w:line="276" w:lineRule="auto"/>
        <w:ind w:firstLine="709"/>
        <w:jc w:val="both"/>
        <w:rPr>
          <w:rFonts w:ascii="Arial" w:eastAsia="Calibri" w:hAnsi="Arial" w:cs="Arial"/>
          <w:bCs/>
          <w:color w:val="000000" w:themeColor="text1"/>
        </w:rPr>
      </w:pPr>
      <w:r w:rsidRPr="00ED0894">
        <w:rPr>
          <w:rFonts w:ascii="Arial" w:eastAsia="Calibri" w:hAnsi="Arial" w:cs="Arial"/>
          <w:bCs/>
          <w:noProof/>
          <w:color w:val="000000" w:themeColor="text1"/>
        </w:rPr>
        <w:drawing>
          <wp:anchor distT="0" distB="0" distL="0" distR="0" simplePos="0" relativeHeight="251661312" behindDoc="0" locked="0" layoutInCell="1" allowOverlap="1" wp14:anchorId="671EFCF4" wp14:editId="2ADAFD60">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7C4DD7D0" w14:textId="77777777" w:rsidR="00C2687E" w:rsidRPr="00ED0894" w:rsidRDefault="00C2687E" w:rsidP="00C2687E">
      <w:pPr>
        <w:spacing w:line="276" w:lineRule="auto"/>
        <w:jc w:val="both"/>
        <w:rPr>
          <w:rFonts w:ascii="Arial" w:eastAsia="Calibri" w:hAnsi="Arial" w:cs="Arial"/>
          <w:bCs/>
          <w:color w:val="000000" w:themeColor="text1"/>
          <w:lang w:val="es-MX"/>
        </w:rPr>
      </w:pPr>
    </w:p>
    <w:p w14:paraId="515D4531" w14:textId="77777777" w:rsidR="00C2687E" w:rsidRPr="00ED0894" w:rsidRDefault="00C2687E" w:rsidP="00C2687E">
      <w:pPr>
        <w:spacing w:after="0" w:line="276" w:lineRule="auto"/>
        <w:ind w:firstLine="709"/>
        <w:jc w:val="both"/>
        <w:rPr>
          <w:rFonts w:ascii="Arial" w:hAnsi="Arial" w:cs="Arial"/>
          <w:i/>
          <w:iCs/>
        </w:rPr>
      </w:pPr>
      <w:r w:rsidRPr="00ED0894">
        <w:rPr>
          <w:rFonts w:ascii="Arial" w:eastAsia="Calibri" w:hAnsi="Arial" w:cs="Arial"/>
          <w:bCs/>
          <w:color w:val="000000" w:themeColor="text1"/>
          <w:lang w:val="es-MX"/>
        </w:rPr>
        <w:t xml:space="preserve">Particularmente, </w:t>
      </w:r>
      <w:bookmarkStart w:id="7" w:name="_Hlk100139879"/>
      <w:r w:rsidRPr="00ED0894">
        <w:rPr>
          <w:rFonts w:ascii="Arial" w:eastAsia="Calibri" w:hAnsi="Arial" w:cs="Arial"/>
          <w:bCs/>
          <w:color w:val="000000" w:themeColor="text1"/>
          <w:lang w:val="es-MX"/>
        </w:rPr>
        <w:t xml:space="preserve">respecto del factor de saldos de los contratos en ejecución </w:t>
      </w:r>
      <w:r w:rsidRPr="00ED0894">
        <w:rPr>
          <w:rFonts w:ascii="Arial" w:eastAsia="Calibri" w:hAnsi="Arial" w:cs="Arial"/>
          <w:bCs/>
          <w:color w:val="000000" w:themeColor="text1"/>
        </w:rPr>
        <w:t>«SCE»,</w:t>
      </w:r>
      <w:r w:rsidRPr="00ED0894">
        <w:rPr>
          <w:rFonts w:ascii="Arial" w:hAnsi="Arial" w:cs="Arial"/>
        </w:rPr>
        <w:t xml:space="preserve"> es necesario tener en cuenta que la Guía para Determinar y Verificar la Capacidad Residual del Proponente en los Procesos de Contratación de Obra Pública</w:t>
      </w:r>
      <w:r w:rsidRPr="00ED0894">
        <w:rPr>
          <w:rFonts w:ascii="Arial" w:hAnsi="Arial" w:cs="Arial"/>
          <w:i/>
          <w:iCs/>
        </w:rPr>
        <w:t xml:space="preserve">, </w:t>
      </w:r>
      <w:r w:rsidRPr="00ED0894">
        <w:rPr>
          <w:rFonts w:ascii="Arial" w:hAnsi="Arial" w:cs="Arial"/>
        </w:rPr>
        <w:t xml:space="preserve">define a este factor </w:t>
      </w:r>
      <w:r w:rsidRPr="00ED0894">
        <w:rPr>
          <w:rFonts w:ascii="Arial" w:eastAsia="Calibri" w:hAnsi="Arial" w:cs="Arial"/>
          <w:bCs/>
          <w:color w:val="000000" w:themeColor="text1"/>
        </w:rPr>
        <w:t>como «la suma de los montos por ejecutar de los contratos en ejecución durante los 12 meses siguientes»</w:t>
      </w:r>
      <w:bookmarkEnd w:id="7"/>
      <w:r w:rsidRPr="00ED0894">
        <w:rPr>
          <w:rFonts w:ascii="Arial" w:eastAsia="Calibri" w:hAnsi="Arial" w:cs="Arial"/>
          <w:bCs/>
          <w:color w:val="000000" w:themeColor="text1"/>
        </w:rPr>
        <w:t>. Así mismo, define los</w:t>
      </w:r>
      <w:r w:rsidRPr="00ED0894">
        <w:rPr>
          <w:rFonts w:ascii="Arial" w:hAnsi="Arial" w:cs="Arial"/>
        </w:rPr>
        <w:t xml:space="preserve"> </w:t>
      </w:r>
      <w:bookmarkStart w:id="8" w:name="_Hlk78819022"/>
      <w:r w:rsidRPr="00ED0894">
        <w:rPr>
          <w:rFonts w:ascii="Arial" w:hAnsi="Arial" w:cs="Arial"/>
          <w:i/>
          <w:iCs/>
        </w:rPr>
        <w:t>Contratos en Ejecución</w:t>
      </w:r>
      <w:r w:rsidRPr="00ED0894">
        <w:rPr>
          <w:rFonts w:ascii="Arial" w:hAnsi="Arial" w:cs="Arial"/>
        </w:rPr>
        <w:t xml:space="preserve"> </w:t>
      </w:r>
      <w:bookmarkEnd w:id="8"/>
      <w:r w:rsidRPr="00ED0894">
        <w:rPr>
          <w:rFonts w:ascii="Arial" w:hAnsi="Arial" w:cs="Arial"/>
        </w:rPr>
        <w:t xml:space="preserve">de la siguiente manera: </w:t>
      </w:r>
      <w:r w:rsidRPr="00ED0894">
        <w:rPr>
          <w:rFonts w:ascii="Arial" w:hAnsi="Arial" w:cs="Arial"/>
          <w:i/>
          <w:iCs/>
        </w:rPr>
        <w:t xml:space="preserve"> </w:t>
      </w:r>
    </w:p>
    <w:p w14:paraId="023441BF" w14:textId="77777777" w:rsidR="00C2687E" w:rsidRPr="00ED0894" w:rsidRDefault="00C2687E" w:rsidP="00C2687E">
      <w:pPr>
        <w:spacing w:after="0" w:line="276" w:lineRule="auto"/>
        <w:ind w:firstLine="709"/>
        <w:jc w:val="both"/>
        <w:rPr>
          <w:rFonts w:ascii="Arial" w:hAnsi="Arial" w:cs="Arial"/>
        </w:rPr>
      </w:pPr>
    </w:p>
    <w:p w14:paraId="29CAE0CE" w14:textId="30C68E08" w:rsidR="00C2687E" w:rsidRPr="00ED0894" w:rsidRDefault="00C2687E" w:rsidP="00C2687E">
      <w:pPr>
        <w:spacing w:after="0" w:line="240" w:lineRule="auto"/>
        <w:ind w:left="709" w:right="709"/>
        <w:jc w:val="both"/>
        <w:rPr>
          <w:rFonts w:ascii="Arial" w:hAnsi="Arial" w:cs="Arial"/>
          <w:sz w:val="21"/>
          <w:szCs w:val="21"/>
        </w:rPr>
      </w:pPr>
      <w:r w:rsidRPr="00ED0894">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4C439110" w14:textId="020A35EA" w:rsidR="00C2687E" w:rsidRPr="00ED0894" w:rsidRDefault="00C2687E" w:rsidP="00C2687E">
      <w:pPr>
        <w:spacing w:after="0" w:line="276" w:lineRule="auto"/>
        <w:ind w:right="709"/>
        <w:jc w:val="both"/>
        <w:rPr>
          <w:rFonts w:ascii="Arial" w:hAnsi="Arial" w:cs="Arial"/>
        </w:rPr>
      </w:pPr>
    </w:p>
    <w:p w14:paraId="28427964" w14:textId="77777777" w:rsidR="00B74220" w:rsidRPr="00ED0894" w:rsidRDefault="00C2687E" w:rsidP="00B74220">
      <w:pPr>
        <w:spacing w:after="0" w:line="276" w:lineRule="auto"/>
        <w:ind w:firstLine="709"/>
        <w:jc w:val="both"/>
        <w:rPr>
          <w:rFonts w:ascii="Arial" w:hAnsi="Arial" w:cs="Arial"/>
          <w:szCs w:val="20"/>
          <w:lang w:val="es-MX"/>
        </w:rPr>
      </w:pPr>
      <w:bookmarkStart w:id="9" w:name="_Hlk100139912"/>
      <w:r w:rsidRPr="00ED0894">
        <w:rPr>
          <w:rFonts w:ascii="Arial" w:hAnsi="Arial" w:cs="Arial"/>
        </w:rPr>
        <w:t>En este sentido, los saldos pendientes se derivan de las obligaciones que se encuentran en ejecución al momento de la presentación de la oferta y se refieren a contratos cuyo objeto sea la ejecución de obras civiles</w:t>
      </w:r>
      <w:bookmarkEnd w:id="9"/>
      <w:r w:rsidRPr="00ED0894">
        <w:rPr>
          <w:rFonts w:ascii="Arial" w:hAnsi="Arial" w:cs="Arial"/>
        </w:rPr>
        <w:t xml:space="preserve">. </w:t>
      </w:r>
      <w:bookmarkStart w:id="10" w:name="_Hlk100139986"/>
      <w:r w:rsidRPr="00ED0894">
        <w:rPr>
          <w:rFonts w:ascii="Arial" w:hAnsi="Arial" w:cs="Arial"/>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ED0894">
        <w:rPr>
          <w:rFonts w:ascii="Arial" w:eastAsia="Calibri" w:hAnsi="Arial" w:cs="Arial"/>
          <w:b/>
          <w:color w:val="000000" w:themeColor="text1"/>
        </w:rPr>
        <w:t>«</w:t>
      </w:r>
      <w:r w:rsidRPr="00ED0894">
        <w:rPr>
          <w:rFonts w:ascii="Arial" w:eastAsia="Calibri" w:hAnsi="Arial" w:cs="Arial"/>
          <w:bCs/>
          <w:color w:val="000000" w:themeColor="text1"/>
        </w:rPr>
        <w:t>CRP</w:t>
      </w:r>
      <w:r w:rsidRPr="00ED0894">
        <w:rPr>
          <w:rFonts w:ascii="Arial" w:eastAsia="Calibri" w:hAnsi="Arial" w:cs="Arial"/>
          <w:b/>
          <w:color w:val="000000" w:themeColor="text1"/>
        </w:rPr>
        <w:t>»</w:t>
      </w:r>
      <w:r w:rsidRPr="00ED0894">
        <w:rPr>
          <w:rFonts w:ascii="Arial" w:hAnsi="Arial" w:cs="Arial"/>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10"/>
      <w:r w:rsidRPr="00ED0894">
        <w:rPr>
          <w:rFonts w:ascii="Arial" w:hAnsi="Arial" w:cs="Arial"/>
        </w:rPr>
        <w:t>.</w:t>
      </w:r>
      <w:r w:rsidR="00B74220" w:rsidRPr="00ED0894">
        <w:rPr>
          <w:rFonts w:ascii="Arial" w:hAnsi="Arial" w:cs="Arial"/>
        </w:rPr>
        <w:t xml:space="preserve"> </w:t>
      </w:r>
      <w:r w:rsidR="00B74220" w:rsidRPr="00ED0894">
        <w:rPr>
          <w:rFonts w:ascii="Arial" w:hAnsi="Arial" w:cs="Arial"/>
          <w:szCs w:val="20"/>
          <w:lang w:val="es-MX"/>
        </w:rPr>
        <w:t>Por lo demás, en dicha guía también se precisa que:</w:t>
      </w:r>
    </w:p>
    <w:p w14:paraId="1937CC12" w14:textId="77777777" w:rsidR="00B74220" w:rsidRPr="00ED0894" w:rsidRDefault="00B74220" w:rsidP="00B74220">
      <w:pPr>
        <w:spacing w:after="0" w:line="276" w:lineRule="auto"/>
        <w:ind w:firstLine="709"/>
        <w:jc w:val="both"/>
        <w:rPr>
          <w:rFonts w:ascii="Arial" w:hAnsi="Arial" w:cs="Arial"/>
          <w:szCs w:val="20"/>
          <w:lang w:val="es-MX"/>
        </w:rPr>
      </w:pPr>
    </w:p>
    <w:p w14:paraId="0C9C80BF" w14:textId="77777777" w:rsidR="00B74220" w:rsidRPr="00ED0894" w:rsidRDefault="00B74220" w:rsidP="00B74220">
      <w:pPr>
        <w:spacing w:after="0" w:line="240" w:lineRule="auto"/>
        <w:ind w:left="709" w:right="709"/>
        <w:jc w:val="both"/>
        <w:rPr>
          <w:rFonts w:ascii="Arial" w:hAnsi="Arial" w:cs="Arial"/>
          <w:sz w:val="21"/>
          <w:szCs w:val="21"/>
        </w:rPr>
      </w:pPr>
      <w:bookmarkStart w:id="11" w:name="_Hlk100140013"/>
      <w:r w:rsidRPr="00ED0894">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1"/>
      <w:r w:rsidRPr="00ED0894">
        <w:rPr>
          <w:rFonts w:ascii="Arial" w:hAnsi="Arial" w:cs="Arial"/>
          <w:sz w:val="21"/>
          <w:szCs w:val="21"/>
        </w:rPr>
        <w:t>.</w:t>
      </w:r>
    </w:p>
    <w:p w14:paraId="6B03C752" w14:textId="77777777" w:rsidR="00B74220" w:rsidRPr="00ED0894" w:rsidRDefault="00B74220" w:rsidP="00B74220">
      <w:pPr>
        <w:spacing w:after="120"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0B028DE0" w14:textId="77777777" w:rsidR="00B74220" w:rsidRPr="00ED0894" w:rsidRDefault="00B74220" w:rsidP="00B74220">
      <w:pPr>
        <w:spacing w:after="0" w:line="240" w:lineRule="auto"/>
        <w:ind w:left="709" w:right="709"/>
        <w:jc w:val="both"/>
        <w:rPr>
          <w:rFonts w:ascii="Arial" w:hAnsi="Arial" w:cs="Arial"/>
          <w:sz w:val="21"/>
          <w:szCs w:val="21"/>
        </w:rPr>
      </w:pPr>
      <w:r w:rsidRPr="00ED0894">
        <w:rPr>
          <w:rFonts w:ascii="Arial" w:hAnsi="Arial"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ED0894">
        <w:rPr>
          <w:rFonts w:ascii="Arial" w:hAnsi="Arial" w:cs="Arial"/>
          <w:sz w:val="21"/>
          <w:szCs w:val="21"/>
        </w:rPr>
        <w:t>. (Énfasis fuera de texto)</w:t>
      </w:r>
    </w:p>
    <w:p w14:paraId="67CEF8D6" w14:textId="7C09923A" w:rsidR="00C2687E" w:rsidRPr="00ED0894" w:rsidRDefault="00C2687E" w:rsidP="00ED0894">
      <w:pPr>
        <w:spacing w:after="0" w:line="276" w:lineRule="auto"/>
        <w:ind w:firstLine="709"/>
        <w:jc w:val="both"/>
        <w:rPr>
          <w:rFonts w:ascii="Arial" w:hAnsi="Arial" w:cs="Arial"/>
        </w:rPr>
      </w:pPr>
    </w:p>
    <w:p w14:paraId="0A2D07C8" w14:textId="77777777" w:rsidR="00C2687E" w:rsidRPr="00ED0894" w:rsidRDefault="00C2687E" w:rsidP="00C2687E">
      <w:pPr>
        <w:spacing w:after="0" w:line="276" w:lineRule="auto"/>
        <w:ind w:firstLine="709"/>
        <w:jc w:val="both"/>
        <w:rPr>
          <w:rFonts w:ascii="Arial" w:hAnsi="Arial" w:cs="Arial"/>
        </w:rPr>
      </w:pPr>
      <w:r w:rsidRPr="00ED0894">
        <w:rPr>
          <w:rFonts w:ascii="Arial" w:hAnsi="Arial" w:cs="Arial"/>
        </w:rPr>
        <w:t xml:space="preserve">De este modo, para acreditar el factor </w:t>
      </w:r>
      <w:r w:rsidRPr="00ED0894">
        <w:rPr>
          <w:rFonts w:ascii="Arial" w:eastAsia="Calibri" w:hAnsi="Arial" w:cs="Arial"/>
          <w:bCs/>
          <w:color w:val="000000" w:themeColor="text1"/>
          <w:lang w:val="es-MX"/>
        </w:rPr>
        <w:t xml:space="preserve">saldos de los contratos en ejecución </w:t>
      </w:r>
      <w:r w:rsidRPr="00ED0894">
        <w:rPr>
          <w:rFonts w:ascii="Arial" w:eastAsia="Calibri" w:hAnsi="Arial" w:cs="Arial"/>
          <w:bCs/>
          <w:color w:val="000000" w:themeColor="text1"/>
        </w:rPr>
        <w:t>«SCE»</w:t>
      </w:r>
      <w:r w:rsidRPr="00ED0894">
        <w:rPr>
          <w:rFonts w:ascii="Arial" w:hAnsi="Arial" w:cs="Arial"/>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Pr="00ED0894">
        <w:rPr>
          <w:rFonts w:ascii="Arial" w:eastAsia="Calibri" w:hAnsi="Arial" w:cs="Arial"/>
          <w:bCs/>
          <w:color w:val="000000" w:themeColor="text1"/>
        </w:rPr>
        <w:t xml:space="preserve">«SCE» </w:t>
      </w:r>
      <w:r w:rsidRPr="00ED0894">
        <w:rPr>
          <w:rFonts w:ascii="Arial" w:hAnsi="Arial" w:cs="Arial"/>
        </w:rPr>
        <w:t xml:space="preserve">en los documentos tipo de licitación de obra pública para infraestructura de transporte, </w:t>
      </w:r>
      <w:bookmarkStart w:id="12" w:name="_Hlk100140108"/>
      <w:r w:rsidRPr="00ED0894">
        <w:rPr>
          <w:rFonts w:ascii="Arial" w:hAnsi="Arial" w:cs="Arial"/>
        </w:rPr>
        <w:t>el literal E del numeral 3.10.2 del documento base</w:t>
      </w:r>
      <w:bookmarkEnd w:id="12"/>
      <w:r w:rsidRPr="00ED0894">
        <w:rPr>
          <w:rFonts w:ascii="Arial" w:hAnsi="Arial" w:cs="Arial"/>
        </w:rPr>
        <w:t xml:space="preserve"> señala lo siguiente:</w:t>
      </w:r>
    </w:p>
    <w:p w14:paraId="7C90358E" w14:textId="77777777" w:rsidR="00C2687E" w:rsidRPr="00ED0894" w:rsidRDefault="00C2687E" w:rsidP="00C2687E">
      <w:pPr>
        <w:spacing w:after="0" w:line="276" w:lineRule="auto"/>
        <w:ind w:firstLine="709"/>
        <w:jc w:val="both"/>
        <w:rPr>
          <w:rFonts w:ascii="Arial" w:hAnsi="Arial" w:cs="Arial"/>
        </w:rPr>
      </w:pPr>
    </w:p>
    <w:p w14:paraId="436387BD" w14:textId="77777777" w:rsidR="00C2687E" w:rsidRPr="00ED0894" w:rsidRDefault="00C2687E" w:rsidP="00C2687E">
      <w:pPr>
        <w:spacing w:after="0"/>
        <w:ind w:left="709" w:right="709"/>
        <w:jc w:val="both"/>
        <w:rPr>
          <w:rFonts w:ascii="Arial" w:eastAsia="Arial," w:hAnsi="Arial" w:cs="Arial"/>
          <w:sz w:val="21"/>
          <w:szCs w:val="21"/>
        </w:rPr>
      </w:pP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acreditar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tendrá</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cuenta</w:t>
      </w:r>
      <w:r w:rsidRPr="00ED0894">
        <w:rPr>
          <w:rFonts w:ascii="Arial" w:eastAsia="Arial," w:hAnsi="Arial" w:cs="Arial"/>
          <w:sz w:val="21"/>
          <w:szCs w:val="21"/>
        </w:rPr>
        <w:t xml:space="preserve"> </w:t>
      </w:r>
      <w:r w:rsidRPr="00ED0894">
        <w:rPr>
          <w:rFonts w:ascii="Arial" w:hAnsi="Arial" w:cs="Arial"/>
          <w:sz w:val="21"/>
          <w:szCs w:val="21"/>
        </w:rPr>
        <w:t>lo</w:t>
      </w:r>
      <w:r w:rsidRPr="00ED0894">
        <w:rPr>
          <w:rFonts w:ascii="Arial" w:eastAsia="Arial," w:hAnsi="Arial" w:cs="Arial"/>
          <w:sz w:val="21"/>
          <w:szCs w:val="21"/>
        </w:rPr>
        <w:t xml:space="preserve"> </w:t>
      </w:r>
      <w:r w:rsidRPr="00ED0894">
        <w:rPr>
          <w:rFonts w:ascii="Arial" w:hAnsi="Arial" w:cs="Arial"/>
          <w:sz w:val="21"/>
          <w:szCs w:val="21"/>
        </w:rPr>
        <w:t>siguiente:</w:t>
      </w:r>
      <w:r w:rsidRPr="00ED0894">
        <w:rPr>
          <w:rFonts w:ascii="Arial" w:eastAsia="Arial," w:hAnsi="Arial" w:cs="Arial"/>
          <w:sz w:val="21"/>
          <w:szCs w:val="21"/>
        </w:rPr>
        <w:t xml:space="preserve"> </w:t>
      </w:r>
    </w:p>
    <w:p w14:paraId="5C5B40F0" w14:textId="77777777" w:rsidR="00C2687E" w:rsidRPr="00ED0894" w:rsidRDefault="00C2687E" w:rsidP="00C2687E">
      <w:pPr>
        <w:spacing w:after="0"/>
        <w:ind w:right="709" w:firstLine="709"/>
        <w:jc w:val="both"/>
        <w:rPr>
          <w:rFonts w:ascii="Arial" w:eastAsia="Arial," w:hAnsi="Arial" w:cs="Arial"/>
          <w:sz w:val="21"/>
          <w:szCs w:val="21"/>
        </w:rPr>
      </w:pPr>
      <w:r w:rsidRPr="00ED0894">
        <w:rPr>
          <w:rFonts w:ascii="Arial" w:eastAsia="Arial," w:hAnsi="Arial" w:cs="Arial"/>
          <w:sz w:val="21"/>
          <w:szCs w:val="21"/>
        </w:rPr>
        <w:lastRenderedPageBreak/>
        <w:t>[…]</w:t>
      </w:r>
    </w:p>
    <w:p w14:paraId="33D72AE1" w14:textId="77777777" w:rsidR="00C2687E" w:rsidRPr="00ED0894" w:rsidRDefault="00C2687E" w:rsidP="00C2687E">
      <w:pPr>
        <w:spacing w:after="0"/>
        <w:ind w:right="709" w:firstLine="709"/>
        <w:jc w:val="both"/>
        <w:rPr>
          <w:rFonts w:ascii="Arial" w:eastAsia="Arial," w:hAnsi="Arial" w:cs="Arial"/>
          <w:sz w:val="21"/>
          <w:szCs w:val="21"/>
        </w:rPr>
      </w:pPr>
    </w:p>
    <w:p w14:paraId="6094BE99" w14:textId="77777777" w:rsidR="00C2687E" w:rsidRPr="00ED0894" w:rsidRDefault="00C2687E" w:rsidP="00C2687E">
      <w:pPr>
        <w:spacing w:after="0" w:line="240" w:lineRule="auto"/>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560CAA6" w14:textId="77777777" w:rsidR="00C2687E" w:rsidRPr="00ED0894" w:rsidRDefault="00C2687E" w:rsidP="00C2687E">
      <w:pPr>
        <w:spacing w:after="0" w:line="240" w:lineRule="auto"/>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2D4B1EB1" w14:textId="77777777" w:rsidR="00C2687E" w:rsidRPr="00ED0894" w:rsidRDefault="00C2687E" w:rsidP="00C2687E">
      <w:pPr>
        <w:spacing w:after="0" w:line="240" w:lineRule="auto"/>
        <w:ind w:left="1134" w:right="709" w:hanging="425"/>
        <w:jc w:val="both"/>
        <w:rPr>
          <w:rFonts w:ascii="Arial" w:eastAsia="Arial" w:hAnsi="Arial" w:cs="Arial"/>
          <w:i/>
          <w:iCs/>
          <w:sz w:val="21"/>
          <w:szCs w:val="21"/>
          <w:lang w:val="es-MX"/>
        </w:rPr>
      </w:pPr>
      <w:r w:rsidRPr="00ED0894">
        <w:rPr>
          <w:rFonts w:ascii="Arial" w:eastAsia="Arial" w:hAnsi="Arial" w:cs="Arial"/>
          <w:sz w:val="21"/>
          <w:szCs w:val="21"/>
          <w:lang w:val="es-MX"/>
        </w:rPr>
        <w:t xml:space="preserve">IV.  </w:t>
      </w:r>
      <w:bookmarkStart w:id="13" w:name="_Hlk100140218"/>
      <w:r w:rsidRPr="00ED0894">
        <w:rPr>
          <w:rFonts w:ascii="Arial" w:eastAsia="Arial" w:hAnsi="Arial" w:cs="Arial"/>
          <w:i/>
          <w:iCs/>
          <w:sz w:val="21"/>
          <w:szCs w:val="21"/>
          <w:lang w:val="es-MX"/>
        </w:rPr>
        <w:t>Si</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un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contrato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encuentra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suspendido,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cálculo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(SCE)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dicho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contrato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debe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efectuarse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asumiendo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que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lo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que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falta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por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ejecutar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iniciara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la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fecha de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presentación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la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oferta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Proceso de Contratación.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Si</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contrato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está</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suspendido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Proponente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debe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informar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saldo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pendiente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por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ejecutar</w:t>
      </w:r>
      <w:bookmarkEnd w:id="13"/>
      <w:r w:rsidRPr="00ED0894">
        <w:rPr>
          <w:rFonts w:ascii="Arial" w:eastAsia="Arial" w:hAnsi="Arial" w:cs="Arial"/>
          <w:i/>
          <w:iCs/>
          <w:sz w:val="21"/>
          <w:szCs w:val="21"/>
          <w:lang w:val="es-MX"/>
        </w:rPr>
        <w:t xml:space="preserve">. </w:t>
      </w:r>
    </w:p>
    <w:p w14:paraId="35E544B8" w14:textId="64301D78" w:rsidR="00C2687E" w:rsidRPr="00ED0894" w:rsidRDefault="00C2687E" w:rsidP="00C2687E">
      <w:pPr>
        <w:spacing w:after="0" w:line="240" w:lineRule="auto"/>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 xml:space="preserve">V.  </w:t>
      </w:r>
      <w:bookmarkStart w:id="14" w:name="_Hlk100140164"/>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cálculo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debe</w:t>
      </w:r>
      <w:r w:rsidRPr="00ED0894">
        <w:rPr>
          <w:rFonts w:ascii="Arial" w:eastAsia="Arial" w:hAnsi="Arial" w:cs="Arial"/>
          <w:sz w:val="21"/>
          <w:szCs w:val="21"/>
        </w:rPr>
        <w:t xml:space="preserve"> </w:t>
      </w:r>
      <w:r w:rsidRPr="00ED0894">
        <w:rPr>
          <w:rFonts w:ascii="Arial" w:hAnsi="Arial" w:cs="Arial"/>
          <w:sz w:val="21"/>
          <w:szCs w:val="21"/>
        </w:rPr>
        <w:t>hacerse</w:t>
      </w:r>
      <w:r w:rsidRPr="00ED0894">
        <w:rPr>
          <w:rFonts w:ascii="Arial" w:eastAsia="Arial" w:hAnsi="Arial" w:cs="Arial"/>
          <w:sz w:val="21"/>
          <w:szCs w:val="21"/>
        </w:rPr>
        <w:t xml:space="preserve"> </w:t>
      </w:r>
      <w:r w:rsidRPr="00ED0894">
        <w:rPr>
          <w:rFonts w:ascii="Arial" w:hAnsi="Arial" w:cs="Arial"/>
          <w:sz w:val="21"/>
          <w:szCs w:val="21"/>
        </w:rPr>
        <w:t>linealmente</w:t>
      </w:r>
      <w:r w:rsidRPr="00ED0894">
        <w:rPr>
          <w:rFonts w:ascii="Arial" w:eastAsia="Arial" w:hAnsi="Arial" w:cs="Arial"/>
          <w:sz w:val="21"/>
          <w:szCs w:val="21"/>
        </w:rPr>
        <w:t xml:space="preserve"> </w:t>
      </w:r>
      <w:r w:rsidRPr="00ED0894">
        <w:rPr>
          <w:rFonts w:ascii="Arial" w:hAnsi="Arial" w:cs="Arial"/>
          <w:sz w:val="21"/>
          <w:szCs w:val="21"/>
        </w:rPr>
        <w:t>calculando</w:t>
      </w:r>
      <w:r w:rsidRPr="00ED0894">
        <w:rPr>
          <w:rFonts w:ascii="Arial" w:eastAsia="Arial" w:hAnsi="Arial" w:cs="Arial"/>
          <w:sz w:val="21"/>
          <w:szCs w:val="21"/>
        </w:rPr>
        <w:t xml:space="preserve"> </w:t>
      </w:r>
      <w:r w:rsidRPr="00ED0894">
        <w:rPr>
          <w:rFonts w:ascii="Arial" w:hAnsi="Arial" w:cs="Arial"/>
          <w:sz w:val="21"/>
          <w:szCs w:val="21"/>
        </w:rPr>
        <w:t>una</w:t>
      </w:r>
      <w:r w:rsidRPr="00ED0894">
        <w:rPr>
          <w:rFonts w:ascii="Arial" w:eastAsia="Arial" w:hAnsi="Arial" w:cs="Arial"/>
          <w:sz w:val="21"/>
          <w:szCs w:val="21"/>
        </w:rPr>
        <w:t xml:space="preserve"> </w:t>
      </w:r>
      <w:r w:rsidRPr="00ED0894">
        <w:rPr>
          <w:rFonts w:ascii="Arial" w:hAnsi="Arial" w:cs="Arial"/>
          <w:sz w:val="21"/>
          <w:szCs w:val="21"/>
        </w:rPr>
        <w:t>ejecución</w:t>
      </w:r>
      <w:r w:rsidRPr="00ED0894">
        <w:rPr>
          <w:rFonts w:ascii="Arial" w:eastAsia="Arial" w:hAnsi="Arial" w:cs="Arial"/>
          <w:sz w:val="21"/>
          <w:szCs w:val="21"/>
        </w:rPr>
        <w:t xml:space="preserve"> </w:t>
      </w:r>
      <w:r w:rsidRPr="00ED0894">
        <w:rPr>
          <w:rFonts w:ascii="Arial" w:hAnsi="Arial" w:cs="Arial"/>
          <w:sz w:val="21"/>
          <w:szCs w:val="21"/>
        </w:rPr>
        <w:t>diaria</w:t>
      </w:r>
      <w:r w:rsidRPr="00ED0894">
        <w:rPr>
          <w:rFonts w:ascii="Arial" w:eastAsia="Arial" w:hAnsi="Arial" w:cs="Arial"/>
          <w:sz w:val="21"/>
          <w:szCs w:val="21"/>
        </w:rPr>
        <w:t xml:space="preserve"> </w:t>
      </w:r>
      <w:r w:rsidRPr="00ED0894">
        <w:rPr>
          <w:rFonts w:ascii="Arial" w:hAnsi="Arial" w:cs="Arial"/>
          <w:sz w:val="21"/>
          <w:szCs w:val="21"/>
        </w:rPr>
        <w:t>equivalente</w:t>
      </w:r>
      <w:r w:rsidRPr="00ED0894">
        <w:rPr>
          <w:rFonts w:ascii="Arial" w:eastAsia="Arial" w:hAnsi="Arial" w:cs="Arial"/>
          <w:sz w:val="21"/>
          <w:szCs w:val="21"/>
        </w:rPr>
        <w:t xml:space="preserve"> </w:t>
      </w:r>
      <w:r w:rsidRPr="00ED0894">
        <w:rPr>
          <w:rFonts w:ascii="Arial" w:hAnsi="Arial" w:cs="Arial"/>
          <w:sz w:val="21"/>
          <w:szCs w:val="21"/>
        </w:rPr>
        <w:t>al</w:t>
      </w:r>
      <w:r w:rsidRPr="00ED0894">
        <w:rPr>
          <w:rFonts w:ascii="Arial" w:eastAsia="Arial" w:hAnsi="Arial" w:cs="Arial"/>
          <w:sz w:val="21"/>
          <w:szCs w:val="21"/>
        </w:rPr>
        <w:t xml:space="preserve"> </w:t>
      </w:r>
      <w:r w:rsidRPr="00ED0894">
        <w:rPr>
          <w:rFonts w:ascii="Arial" w:hAnsi="Arial" w:cs="Arial"/>
          <w:sz w:val="21"/>
          <w:szCs w:val="21"/>
        </w:rPr>
        <w:t>valor</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dividido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expresado</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Este</w:t>
      </w:r>
      <w:r w:rsidRPr="00ED0894">
        <w:rPr>
          <w:rFonts w:ascii="Arial" w:eastAsia="Arial" w:hAnsi="Arial" w:cs="Arial"/>
          <w:sz w:val="21"/>
          <w:szCs w:val="21"/>
        </w:rPr>
        <w:t xml:space="preserve"> </w:t>
      </w:r>
      <w:r w:rsidRPr="00ED0894">
        <w:rPr>
          <w:rFonts w:ascii="Arial" w:hAnsi="Arial" w:cs="Arial"/>
          <w:sz w:val="21"/>
          <w:szCs w:val="21"/>
        </w:rPr>
        <w:t>resultado</w:t>
      </w:r>
      <w:r w:rsidRPr="00ED0894">
        <w:rPr>
          <w:rFonts w:ascii="Arial" w:eastAsia="Arial" w:hAnsi="Arial" w:cs="Arial"/>
          <w:sz w:val="21"/>
          <w:szCs w:val="21"/>
        </w:rPr>
        <w:t xml:space="preserve"> </w:t>
      </w:r>
      <w:r w:rsidRPr="00ED0894">
        <w:rPr>
          <w:rFonts w:ascii="Arial" w:hAnsi="Arial" w:cs="Arial"/>
          <w:sz w:val="21"/>
          <w:szCs w:val="21"/>
        </w:rPr>
        <w:t>se</w:t>
      </w:r>
      <w:r w:rsidRPr="00ED0894">
        <w:rPr>
          <w:rFonts w:ascii="Arial" w:eastAsia="Arial" w:hAnsi="Arial" w:cs="Arial"/>
          <w:sz w:val="21"/>
          <w:szCs w:val="21"/>
        </w:rPr>
        <w:t xml:space="preserve"> </w:t>
      </w:r>
      <w:r w:rsidRPr="00ED0894">
        <w:rPr>
          <w:rFonts w:ascii="Arial" w:hAnsi="Arial" w:cs="Arial"/>
          <w:sz w:val="21"/>
          <w:szCs w:val="21"/>
        </w:rPr>
        <w:t>multiplica</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número</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pendientes</w:t>
      </w:r>
      <w:r w:rsidRPr="00ED0894">
        <w:rPr>
          <w:rFonts w:ascii="Arial" w:eastAsia="Arial" w:hAnsi="Arial" w:cs="Arial"/>
          <w:sz w:val="21"/>
          <w:szCs w:val="21"/>
        </w:rPr>
        <w:t xml:space="preserve"> </w:t>
      </w: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cumplir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y</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ejecutado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una estructura plural</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participación</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la respectiva estructura</w:t>
      </w:r>
      <w:bookmarkEnd w:id="14"/>
      <w:r w:rsidRPr="00ED0894">
        <w:rPr>
          <w:rFonts w:ascii="Arial" w:hAnsi="Arial" w:cs="Arial"/>
          <w:sz w:val="21"/>
          <w:szCs w:val="21"/>
        </w:rPr>
        <w:t xml:space="preserve">. </w:t>
      </w:r>
      <w:r w:rsidR="00B74220" w:rsidRPr="00ED0894">
        <w:rPr>
          <w:rFonts w:ascii="Arial" w:hAnsi="Arial" w:cs="Arial"/>
          <w:sz w:val="21"/>
          <w:szCs w:val="21"/>
        </w:rPr>
        <w:t>(Énfasis fuera de texto)</w:t>
      </w:r>
    </w:p>
    <w:p w14:paraId="378A0735" w14:textId="77777777" w:rsidR="00C2687E" w:rsidRPr="00ED0894" w:rsidRDefault="00C2687E" w:rsidP="00C2687E">
      <w:pPr>
        <w:spacing w:after="0" w:line="276" w:lineRule="auto"/>
        <w:contextualSpacing/>
        <w:jc w:val="both"/>
        <w:rPr>
          <w:rFonts w:ascii="Arial" w:eastAsia="Arial," w:hAnsi="Arial" w:cs="Arial"/>
          <w:lang w:val="es-MX"/>
        </w:rPr>
      </w:pPr>
    </w:p>
    <w:p w14:paraId="56C3415A" w14:textId="71F49AC4" w:rsidR="00CD33E7" w:rsidRPr="00ED0894" w:rsidRDefault="00C2687E" w:rsidP="00ED0894">
      <w:pPr>
        <w:spacing w:after="120" w:line="276" w:lineRule="auto"/>
        <w:ind w:firstLine="708"/>
        <w:jc w:val="both"/>
        <w:rPr>
          <w:rFonts w:ascii="Arial" w:hAnsi="Arial" w:cs="Arial"/>
        </w:rPr>
      </w:pPr>
      <w:r w:rsidRPr="00ED0894">
        <w:rPr>
          <w:rFonts w:ascii="Arial" w:eastAsia="Arial," w:hAnsi="Arial" w:cs="Arial"/>
        </w:rPr>
        <w:t xml:space="preserve">Como se aprecia, los apartados transcritos del documento base están en armonía con lo dispuesto en la </w:t>
      </w:r>
      <w:r w:rsidRPr="00ED0894">
        <w:rPr>
          <w:rFonts w:ascii="Arial" w:hAnsi="Arial"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ED0894">
        <w:rPr>
          <w:rFonts w:ascii="Arial" w:eastAsia="Calibri" w:hAnsi="Arial" w:cs="Arial"/>
          <w:color w:val="000000" w:themeColor="text1"/>
          <w:lang w:val="es-MX"/>
        </w:rPr>
        <w:t xml:space="preserve">el artículo 2.2.1.1.1.6.4 del Decreto 1082 de 2015, en virtud del cual, para efectos de </w:t>
      </w:r>
      <w:r w:rsidRPr="00ED0894">
        <w:rPr>
          <w:rFonts w:ascii="Arial" w:hAnsi="Arial" w:cs="Arial"/>
          <w:szCs w:val="20"/>
          <w:lang w:val="es-MX"/>
        </w:rPr>
        <w:t>acreditar la capacidad residual del proponente, se requiere el listado de contratos de obra civiles en ejecución suscritos con entidades estatales y con entidades privadas.</w:t>
      </w:r>
      <w:r w:rsidR="00CD33E7" w:rsidRPr="00ED0894">
        <w:rPr>
          <w:rFonts w:ascii="Arial" w:hAnsi="Arial" w:cs="Arial"/>
          <w:szCs w:val="20"/>
          <w:lang w:val="es-MX"/>
        </w:rPr>
        <w:t xml:space="preserve"> </w:t>
      </w:r>
    </w:p>
    <w:p w14:paraId="0B118A29" w14:textId="59F64D47" w:rsidR="0077505D" w:rsidRPr="00ED0894" w:rsidRDefault="0077505D" w:rsidP="00ED0894">
      <w:pPr>
        <w:pStyle w:val="Textoindependiente"/>
        <w:spacing w:after="120" w:line="276" w:lineRule="auto"/>
        <w:ind w:right="51" w:firstLine="709"/>
        <w:jc w:val="both"/>
        <w:rPr>
          <w:lang w:val="es-CO"/>
        </w:rPr>
      </w:pPr>
      <w:bookmarkStart w:id="15" w:name="_Hlk100140278"/>
      <w:r w:rsidRPr="00ED0894">
        <w:rPr>
          <w:lang w:val="es-CO"/>
        </w:rPr>
        <w:t>Sin perjuicio de lo anterior, sobre el uso del aplicativo y la acreditación de los factores necesarios para calcular la capacidad residual,</w:t>
      </w:r>
      <w:r w:rsidR="002C3D14" w:rsidRPr="00ED0894">
        <w:rPr>
          <w:lang w:val="es-CO"/>
        </w:rPr>
        <w:t xml:space="preserve"> el punto 7 de</w:t>
      </w:r>
      <w:r w:rsidRPr="00ED0894">
        <w:rPr>
          <w:lang w:val="es-CO"/>
        </w:rPr>
        <w:t xml:space="preserve"> la Circular Externa Única de Colombia Compra Eficiente</w:t>
      </w:r>
      <w:r w:rsidR="002C3D14" w:rsidRPr="00ED0894">
        <w:rPr>
          <w:lang w:val="es-CO"/>
        </w:rPr>
        <w:t xml:space="preserve"> dispone </w:t>
      </w:r>
      <w:r w:rsidR="002C3D14" w:rsidRPr="00ED0894">
        <w:t>que</w:t>
      </w:r>
      <w:r w:rsidR="008646C6" w:rsidRPr="00ED0894">
        <w:rPr>
          <w:rFonts w:eastAsia="Calibri"/>
          <w:color w:val="000000" w:themeColor="text1"/>
        </w:rPr>
        <w:t xml:space="preserve"> </w:t>
      </w:r>
      <w:r w:rsidRPr="00ED0894">
        <w:rPr>
          <w:rFonts w:eastAsia="Calibri"/>
          <w:color w:val="000000" w:themeColor="text1"/>
        </w:rPr>
        <w:t>«</w:t>
      </w:r>
      <w:r w:rsidRPr="00ED0894">
        <w:rPr>
          <w:lang w:val="es-CO"/>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r w:rsidRPr="00ED0894">
        <w:rPr>
          <w:rFonts w:eastAsia="Calibri"/>
          <w:color w:val="000000" w:themeColor="text1"/>
        </w:rPr>
        <w:t>»</w:t>
      </w:r>
      <w:r w:rsidR="008646C6" w:rsidRPr="00ED0894">
        <w:rPr>
          <w:rFonts w:eastAsia="Calibri"/>
          <w:color w:val="000000" w:themeColor="text1"/>
        </w:rPr>
        <w:t>.</w:t>
      </w:r>
    </w:p>
    <w:p w14:paraId="59BE7CBF" w14:textId="58FF7715" w:rsidR="0077505D" w:rsidRPr="00ED0894" w:rsidRDefault="008646C6" w:rsidP="0077505D">
      <w:pPr>
        <w:pStyle w:val="Textoindependiente"/>
        <w:spacing w:after="120" w:line="276" w:lineRule="auto"/>
        <w:ind w:firstLine="709"/>
        <w:jc w:val="both"/>
        <w:rPr>
          <w:rFonts w:eastAsia="Arial,"/>
          <w:lang w:val="es-CO"/>
        </w:rPr>
      </w:pPr>
      <w:r w:rsidRPr="00ED0894">
        <w:rPr>
          <w:rFonts w:eastAsia="Arial,"/>
          <w:lang w:val="es-CO"/>
        </w:rPr>
        <w:t>De esta manera</w:t>
      </w:r>
      <w:r w:rsidR="0077505D" w:rsidRPr="00ED0894">
        <w:rPr>
          <w:rFonts w:eastAsia="Arial,"/>
          <w:lang w:val="es-CO"/>
        </w:rPr>
        <w:t xml:space="preserve">, si bien el aplicativo de Excel desarrollado por esta Agencia constituye una herramienta que facilita la implementación de la metodología establecida en la guía, su uso no exime del deber de aplicar lo dispuesto en la normativa pertinente. En virtud de esto, el aplicativo más que una herramienta para determinar si se cumple o no </w:t>
      </w:r>
      <w:r w:rsidR="0077505D" w:rsidRPr="00ED0894">
        <w:rPr>
          <w:rFonts w:eastAsia="Arial,"/>
          <w:lang w:val="es-CO"/>
        </w:rPr>
        <w:lastRenderedPageBreak/>
        <w:t>con la capacidad residual, constituye una herramienta de validación de la aplicación de la metodología dispuesta en la guía, en la medida en que si bien no es de uso obligatorio facilita el cálculo de la capacidad residual</w:t>
      </w:r>
      <w:r w:rsidR="0077505D" w:rsidRPr="00ED0894">
        <w:rPr>
          <w:lang w:val="es-CO"/>
        </w:rPr>
        <w:t xml:space="preserve">. </w:t>
      </w:r>
      <w:r w:rsidR="0077505D" w:rsidRPr="00ED0894">
        <w:rPr>
          <w:rFonts w:eastAsia="Arial,"/>
          <w:lang w:val="es-CO"/>
        </w:rPr>
        <w:t>Así mismo, se reitera, la guía es el instrumento que detenta fuerza vinculante y, por tanto, son sus disposiciones las que deben observarse para la determinación de la capacidad residual.</w:t>
      </w:r>
    </w:p>
    <w:p w14:paraId="7BC49A81" w14:textId="09CFBEFF" w:rsidR="0077505D" w:rsidRPr="00ED0894" w:rsidRDefault="0077505D" w:rsidP="0077505D">
      <w:pPr>
        <w:pStyle w:val="Textoindependiente"/>
        <w:spacing w:line="276" w:lineRule="auto"/>
        <w:ind w:firstLine="709"/>
        <w:jc w:val="both"/>
        <w:rPr>
          <w:rStyle w:val="normaltextrun"/>
          <w:color w:val="000000"/>
          <w:shd w:val="clear" w:color="auto" w:fill="FFFFFF"/>
        </w:rPr>
      </w:pPr>
      <w:r w:rsidRPr="00ED0894">
        <w:rPr>
          <w:rFonts w:eastAsia="Arial,"/>
          <w:lang w:val="es-CO"/>
        </w:rPr>
        <w:t xml:space="preserve">De otro lado, en procesos </w:t>
      </w:r>
      <w:r w:rsidR="00FE15C1" w:rsidRPr="00ED0894">
        <w:rPr>
          <w:rFonts w:eastAsia="Arial,"/>
          <w:lang w:val="es-CO"/>
        </w:rPr>
        <w:t xml:space="preserve">como los </w:t>
      </w:r>
      <w:r w:rsidRPr="00ED0894">
        <w:rPr>
          <w:rFonts w:eastAsia="Arial,"/>
          <w:lang w:val="es-CO"/>
        </w:rPr>
        <w:t>regidos por los documentos tipo de licitación de obra pública de infraestructura de transporte – Versión 3</w:t>
      </w:r>
      <w:r w:rsidR="00C13C1E" w:rsidRPr="00ED0894">
        <w:rPr>
          <w:rFonts w:eastAsia="Arial,"/>
          <w:lang w:val="es-CO"/>
        </w:rPr>
        <w:t>, se</w:t>
      </w:r>
      <w:r w:rsidRPr="00ED0894">
        <w:rPr>
          <w:bCs/>
        </w:rPr>
        <w:t xml:space="preserve"> faculta a las entidades estatales para establecer los formatos aplicables al proceso contractual necesarios para calcular la capacidad residual. En efecto, el Formato 5 de los documentos tipo señala que: «[La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r w:rsidRPr="00ED0894">
        <w:rPr>
          <w:rStyle w:val="normaltextrun"/>
          <w:color w:val="000000"/>
          <w:shd w:val="clear" w:color="auto" w:fill="FFFFFF"/>
        </w:rPr>
        <w:t>. En virtud de lo anterior, de acuerdo con lo establecido en los documentos tipo, las entidades estatales establece</w:t>
      </w:r>
      <w:r w:rsidR="00000E2C" w:rsidRPr="00ED0894">
        <w:rPr>
          <w:rStyle w:val="normaltextrun"/>
          <w:color w:val="000000"/>
          <w:shd w:val="clear" w:color="auto" w:fill="FFFFFF"/>
        </w:rPr>
        <w:t>n</w:t>
      </w:r>
      <w:r w:rsidRPr="00ED0894">
        <w:rPr>
          <w:rStyle w:val="normaltextrun"/>
          <w:color w:val="000000"/>
          <w:shd w:val="clear" w:color="auto" w:fill="FFFFFF"/>
        </w:rPr>
        <w:t xml:space="preserve"> los formatos que presentarán los proponentes para el cálculo de la capacidad residual.</w:t>
      </w:r>
    </w:p>
    <w:bookmarkEnd w:id="15"/>
    <w:p w14:paraId="40682F04" w14:textId="77777777" w:rsidR="0077505D" w:rsidRPr="00ED0894" w:rsidRDefault="0077505D" w:rsidP="0077505D">
      <w:pPr>
        <w:spacing w:after="0" w:line="276" w:lineRule="auto"/>
        <w:jc w:val="both"/>
        <w:rPr>
          <w:rFonts w:ascii="Arial" w:eastAsia="Times New Roman" w:hAnsi="Arial" w:cs="Arial"/>
          <w:lang w:eastAsia="es-ES_tradnl"/>
        </w:rPr>
      </w:pPr>
    </w:p>
    <w:p w14:paraId="6E0C12BA" w14:textId="77777777" w:rsidR="000A7622" w:rsidRPr="00ED0894" w:rsidRDefault="000A7622" w:rsidP="000A7622">
      <w:pPr>
        <w:tabs>
          <w:tab w:val="left" w:pos="426"/>
        </w:tabs>
        <w:spacing w:after="0" w:line="276" w:lineRule="auto"/>
        <w:jc w:val="both"/>
        <w:rPr>
          <w:rFonts w:ascii="Arial" w:hAnsi="Arial" w:cs="Arial"/>
          <w:b/>
          <w:bCs/>
          <w:szCs w:val="20"/>
          <w:lang w:val="es-MX"/>
        </w:rPr>
      </w:pPr>
      <w:r w:rsidRPr="00ED0894">
        <w:rPr>
          <w:rFonts w:ascii="Arial" w:eastAsia="Calibri" w:hAnsi="Arial" w:cs="Arial"/>
          <w:b/>
          <w:bCs/>
          <w:color w:val="000000"/>
          <w:lang w:eastAsia="en-GB"/>
        </w:rPr>
        <w:t xml:space="preserve">2.2. Capacidad residual </w:t>
      </w:r>
      <w:r w:rsidRPr="00ED0894">
        <w:rPr>
          <w:rFonts w:ascii="Arial" w:hAnsi="Arial" w:cs="Arial"/>
          <w:b/>
          <w:bCs/>
          <w:szCs w:val="20"/>
          <w:lang w:val="es-MX"/>
        </w:rPr>
        <w:t>y rechazo de la oferta</w:t>
      </w:r>
      <w:r w:rsidRPr="00ED0894">
        <w:rPr>
          <w:rFonts w:ascii="Arial" w:eastAsia="Calibri" w:hAnsi="Arial" w:cs="Arial"/>
          <w:b/>
          <w:bCs/>
          <w:color w:val="000000"/>
          <w:lang w:eastAsia="en-GB"/>
        </w:rPr>
        <w:t xml:space="preserve"> en los «Documentos Tipo – Versión 3» </w:t>
      </w:r>
      <w:r w:rsidRPr="00ED0894">
        <w:rPr>
          <w:rFonts w:ascii="Arial" w:hAnsi="Arial" w:cs="Arial"/>
          <w:b/>
          <w:bCs/>
          <w:szCs w:val="20"/>
          <w:lang w:val="es-MX"/>
        </w:rPr>
        <w:t>de licitación para obra pública de infraestructura de transporte</w:t>
      </w:r>
    </w:p>
    <w:p w14:paraId="603750E5" w14:textId="77777777" w:rsidR="000A7622" w:rsidRPr="00ED0894" w:rsidRDefault="000A7622" w:rsidP="000A7622">
      <w:pPr>
        <w:tabs>
          <w:tab w:val="left" w:pos="426"/>
        </w:tabs>
        <w:spacing w:after="0" w:line="276" w:lineRule="auto"/>
        <w:jc w:val="both"/>
        <w:rPr>
          <w:rFonts w:ascii="Arial" w:hAnsi="Arial" w:cs="Arial"/>
          <w:b/>
          <w:bCs/>
          <w:szCs w:val="20"/>
          <w:lang w:val="es-MX"/>
        </w:rPr>
      </w:pPr>
    </w:p>
    <w:p w14:paraId="26951CF6" w14:textId="77777777" w:rsidR="00F7551C" w:rsidRPr="00ED0894" w:rsidRDefault="00F7551C" w:rsidP="00F7551C">
      <w:pPr>
        <w:tabs>
          <w:tab w:val="left" w:pos="426"/>
        </w:tabs>
        <w:spacing w:after="0" w:line="276" w:lineRule="auto"/>
        <w:jc w:val="both"/>
        <w:rPr>
          <w:rFonts w:ascii="Arial" w:eastAsia="Calibri" w:hAnsi="Arial" w:cs="Arial"/>
          <w:b/>
          <w:bCs/>
          <w:color w:val="000000"/>
          <w:lang w:eastAsia="en-GB"/>
        </w:rPr>
      </w:pPr>
      <w:r w:rsidRPr="00ED0894">
        <w:rPr>
          <w:rFonts w:ascii="Arial" w:hAnsi="Arial" w:cs="Arial"/>
          <w:szCs w:val="20"/>
          <w:lang w:val="es-MX"/>
        </w:rPr>
        <w:t xml:space="preserve">El numeral 3.10 del documento base de obra de licitación para obra pública de infraestructura de transporte –versión 3– establece </w:t>
      </w:r>
      <w:r w:rsidRPr="00ED0894">
        <w:rPr>
          <w:rFonts w:ascii="Arial" w:hAnsi="Arial" w:cs="Arial"/>
          <w:szCs w:val="20"/>
        </w:rPr>
        <w:t xml:space="preserve">como requisito habilitante la capacidad residual. En este documento tipo, </w:t>
      </w:r>
      <w:r w:rsidRPr="00ED0894">
        <w:rPr>
          <w:rFonts w:ascii="Arial" w:hAnsi="Arial" w:cs="Arial"/>
          <w:szCs w:val="20"/>
          <w:lang w:val="es-MX"/>
        </w:rPr>
        <w:t>al menos tres causales de rechazo del numeral 1.15 se relacionan con la capacidad residual como requisito habilitante, esto es, los literales E, H y Z. Estas causales disponen lo siguiente:</w:t>
      </w:r>
    </w:p>
    <w:p w14:paraId="4184DAF7" w14:textId="77777777" w:rsidR="00F7551C" w:rsidRPr="00ED0894" w:rsidRDefault="00F7551C" w:rsidP="00F7551C">
      <w:pPr>
        <w:spacing w:after="0"/>
        <w:ind w:left="709" w:right="709"/>
        <w:jc w:val="both"/>
        <w:rPr>
          <w:rFonts w:ascii="Arial" w:hAnsi="Arial" w:cs="Arial"/>
          <w:b/>
          <w:bCs/>
          <w:sz w:val="21"/>
          <w:szCs w:val="21"/>
        </w:rPr>
      </w:pPr>
    </w:p>
    <w:p w14:paraId="20D10827" w14:textId="77777777" w:rsidR="00F7551C" w:rsidRPr="00ED0894" w:rsidRDefault="00F7551C" w:rsidP="00F7551C">
      <w:pPr>
        <w:spacing w:line="240" w:lineRule="auto"/>
        <w:ind w:left="709" w:right="709"/>
        <w:jc w:val="both"/>
        <w:rPr>
          <w:rFonts w:ascii="Arial" w:hAnsi="Arial" w:cs="Arial"/>
          <w:b/>
          <w:bCs/>
          <w:sz w:val="21"/>
          <w:szCs w:val="21"/>
          <w:lang w:val="es-MX"/>
        </w:rPr>
      </w:pPr>
      <w:r w:rsidRPr="00ED0894">
        <w:rPr>
          <w:rFonts w:ascii="Arial" w:hAnsi="Arial" w:cs="Arial"/>
          <w:b/>
          <w:bCs/>
          <w:sz w:val="21"/>
          <w:szCs w:val="21"/>
          <w:lang w:val="es-MX"/>
        </w:rPr>
        <w:t>1.15.</w:t>
      </w:r>
      <w:r w:rsidRPr="00ED0894">
        <w:rPr>
          <w:rFonts w:ascii="Arial" w:hAnsi="Arial" w:cs="Arial"/>
          <w:b/>
          <w:bCs/>
          <w:sz w:val="21"/>
          <w:szCs w:val="21"/>
          <w:lang w:val="es-MX"/>
        </w:rPr>
        <w:tab/>
        <w:t xml:space="preserve">CAUSALES DE RECHAZO </w:t>
      </w:r>
    </w:p>
    <w:p w14:paraId="0E329284" w14:textId="77777777" w:rsidR="00F7551C" w:rsidRPr="00ED0894" w:rsidRDefault="00F7551C" w:rsidP="00F7551C">
      <w:pPr>
        <w:spacing w:line="240" w:lineRule="auto"/>
        <w:ind w:left="709" w:right="709"/>
        <w:jc w:val="both"/>
        <w:rPr>
          <w:rFonts w:ascii="Arial" w:hAnsi="Arial" w:cs="Arial"/>
          <w:sz w:val="21"/>
          <w:szCs w:val="21"/>
          <w:lang w:val="es-MX"/>
        </w:rPr>
      </w:pPr>
      <w:r w:rsidRPr="00ED0894">
        <w:rPr>
          <w:rFonts w:ascii="Arial" w:hAnsi="Arial" w:cs="Arial"/>
          <w:sz w:val="21"/>
          <w:szCs w:val="21"/>
          <w:lang w:val="es-MX"/>
        </w:rPr>
        <w:t>Son causales de rechazo las siguientes [Las Entidades no podrán modificar o incluir causales de rechazo distintas a las señaladas en la presente sección]:</w:t>
      </w:r>
    </w:p>
    <w:p w14:paraId="452B9D55" w14:textId="77777777" w:rsidR="00F7551C" w:rsidRPr="00ED0894" w:rsidRDefault="00F7551C" w:rsidP="00F7551C">
      <w:pPr>
        <w:spacing w:after="120"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353F9561" w14:textId="77777777" w:rsidR="00F7551C" w:rsidRPr="00ED0894" w:rsidRDefault="00F7551C" w:rsidP="00F7551C">
      <w:pPr>
        <w:spacing w:line="240" w:lineRule="auto"/>
        <w:ind w:left="709" w:right="709"/>
        <w:jc w:val="both"/>
        <w:rPr>
          <w:rFonts w:ascii="Arial" w:hAnsi="Arial" w:cs="Arial"/>
          <w:sz w:val="21"/>
          <w:szCs w:val="21"/>
          <w:lang w:val="es-MX"/>
        </w:rPr>
      </w:pPr>
      <w:r w:rsidRPr="00ED0894">
        <w:rPr>
          <w:rFonts w:ascii="Arial" w:hAnsi="Arial" w:cs="Arial"/>
          <w:sz w:val="21"/>
          <w:szCs w:val="21"/>
          <w:lang w:val="es-MX"/>
        </w:rPr>
        <w:t>E. Que el Proponente no aclare, subsane o aporte documentos necesarios para el cumplimiento de un requisito habilitante en los términos establecidos en la sección 1.6.</w:t>
      </w:r>
    </w:p>
    <w:p w14:paraId="6352795C" w14:textId="77777777" w:rsidR="00F7551C" w:rsidRPr="00ED0894" w:rsidRDefault="00F7551C" w:rsidP="00F7551C">
      <w:pPr>
        <w:spacing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6E06B76E" w14:textId="77777777" w:rsidR="00F7551C" w:rsidRPr="00ED0894" w:rsidRDefault="00F7551C" w:rsidP="00F7551C">
      <w:pPr>
        <w:spacing w:before="120" w:line="240" w:lineRule="auto"/>
        <w:ind w:left="709" w:right="709"/>
        <w:jc w:val="both"/>
        <w:rPr>
          <w:rFonts w:ascii="Arial" w:hAnsi="Arial" w:cs="Arial"/>
          <w:sz w:val="21"/>
          <w:szCs w:val="21"/>
          <w:lang w:val="es-MX"/>
        </w:rPr>
      </w:pPr>
      <w:r w:rsidRPr="00ED0894">
        <w:rPr>
          <w:rFonts w:ascii="Arial" w:hAnsi="Arial" w:cs="Arial"/>
          <w:sz w:val="21"/>
          <w:szCs w:val="21"/>
          <w:lang w:val="es-MX"/>
        </w:rPr>
        <w:t>H. Que el Proponente aporte información inexacta sobre la cual pueda existir una posible falsedad en los términos de la sección 1.11.</w:t>
      </w:r>
    </w:p>
    <w:p w14:paraId="12B7DE37" w14:textId="77777777" w:rsidR="00F7551C" w:rsidRPr="00ED0894" w:rsidRDefault="00F7551C" w:rsidP="00F7551C">
      <w:pPr>
        <w:spacing w:after="120"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32D4A325" w14:textId="77777777" w:rsidR="00F7551C" w:rsidRPr="00ED0894" w:rsidRDefault="00F7551C" w:rsidP="00F7551C">
      <w:pPr>
        <w:spacing w:after="0" w:line="240" w:lineRule="auto"/>
        <w:ind w:left="709" w:right="709"/>
        <w:jc w:val="both"/>
        <w:rPr>
          <w:rFonts w:ascii="Arial" w:hAnsi="Arial" w:cs="Arial"/>
          <w:sz w:val="21"/>
          <w:szCs w:val="21"/>
          <w:lang w:val="es-MX"/>
        </w:rPr>
      </w:pPr>
      <w:r w:rsidRPr="00ED0894">
        <w:rPr>
          <w:rFonts w:ascii="Arial" w:hAnsi="Arial" w:cs="Arial"/>
          <w:sz w:val="21"/>
          <w:szCs w:val="21"/>
          <w:lang w:val="es-MX"/>
        </w:rPr>
        <w:t xml:space="preserve">Z. </w:t>
      </w:r>
      <w:bookmarkStart w:id="16" w:name="_Hlk78878480"/>
      <w:r w:rsidRPr="00ED0894">
        <w:rPr>
          <w:rFonts w:ascii="Arial" w:hAnsi="Arial" w:cs="Arial"/>
          <w:sz w:val="21"/>
          <w:szCs w:val="21"/>
          <w:lang w:val="es-MX"/>
        </w:rPr>
        <w:t>No informar todos los contratos que el Proponente tenga en ejecución antes del cierre, necesarios para acreditar su capacidad residual conforme a la sección 3.10.</w:t>
      </w:r>
    </w:p>
    <w:bookmarkEnd w:id="16"/>
    <w:p w14:paraId="2283A101" w14:textId="77777777" w:rsidR="00F7551C" w:rsidRPr="00ED0894" w:rsidRDefault="00F7551C" w:rsidP="00F7551C">
      <w:pPr>
        <w:spacing w:after="0"/>
        <w:ind w:left="709" w:right="709"/>
        <w:jc w:val="both"/>
        <w:rPr>
          <w:rFonts w:ascii="Arial" w:hAnsi="Arial" w:cs="Arial"/>
          <w:szCs w:val="20"/>
          <w:lang w:val="es-MX"/>
        </w:rPr>
      </w:pPr>
    </w:p>
    <w:p w14:paraId="2EC45FAF" w14:textId="77777777" w:rsidR="00F7551C" w:rsidRPr="00ED0894" w:rsidRDefault="00F7551C" w:rsidP="00F7551C">
      <w:pPr>
        <w:spacing w:after="120" w:line="276" w:lineRule="auto"/>
        <w:ind w:firstLine="709"/>
        <w:jc w:val="both"/>
        <w:rPr>
          <w:rFonts w:ascii="Arial" w:hAnsi="Arial" w:cs="Arial"/>
          <w:szCs w:val="20"/>
          <w:lang w:val="es-MX"/>
        </w:rPr>
      </w:pPr>
      <w:bookmarkStart w:id="17" w:name="_Hlk91596805"/>
      <w:r w:rsidRPr="00ED0894">
        <w:rPr>
          <w:rFonts w:ascii="Arial"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17"/>
    <w:p w14:paraId="3E977884" w14:textId="77777777" w:rsidR="00F7551C" w:rsidRPr="00ED0894" w:rsidRDefault="00F7551C" w:rsidP="00F7551C">
      <w:pPr>
        <w:spacing w:before="120" w:after="120" w:line="276" w:lineRule="auto"/>
        <w:ind w:firstLine="709"/>
        <w:jc w:val="both"/>
        <w:rPr>
          <w:rFonts w:ascii="Arial" w:hAnsi="Arial" w:cs="Arial"/>
          <w:i/>
          <w:iCs/>
          <w:lang w:val="es-MX"/>
        </w:rPr>
      </w:pPr>
      <w:r w:rsidRPr="00ED0894">
        <w:rPr>
          <w:rFonts w:ascii="Arial" w:hAnsi="Arial" w:cs="Arial"/>
          <w:i/>
          <w:szCs w:val="20"/>
          <w:lang w:val="es-MX"/>
        </w:rPr>
        <w:t>i)</w:t>
      </w:r>
      <w:r w:rsidRPr="00ED0894">
        <w:rPr>
          <w:rFonts w:ascii="Arial" w:hAnsi="Arial" w:cs="Arial"/>
          <w:szCs w:val="20"/>
          <w:lang w:val="es-MX"/>
        </w:rPr>
        <w:t xml:space="preserve"> La causal del </w:t>
      </w:r>
      <w:r w:rsidRPr="00ED0894">
        <w:rPr>
          <w:rFonts w:ascii="Arial" w:hAnsi="Arial" w:cs="Arial"/>
          <w:i/>
          <w:iCs/>
          <w:szCs w:val="20"/>
          <w:lang w:val="es-MX"/>
        </w:rPr>
        <w:t>literal Z</w:t>
      </w:r>
      <w:r w:rsidRPr="00ED0894">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ED0894">
        <w:rPr>
          <w:rFonts w:ascii="Arial" w:hAnsi="Arial" w:cs="Arial"/>
          <w:lang w:val="es-MX"/>
        </w:rPr>
        <w:t>configuración de la causal de rechazo del literal Z es objetiva, pues solo aplica ante la omisión del proponente de informar el número total de contratos en ejecución antes del cierre</w:t>
      </w:r>
      <w:r w:rsidRPr="00ED0894">
        <w:rPr>
          <w:rFonts w:ascii="Arial" w:hAnsi="Arial" w:cs="Arial"/>
          <w:szCs w:val="20"/>
          <w:lang w:val="es-MX"/>
        </w:rPr>
        <w:t xml:space="preserve">. </w:t>
      </w:r>
    </w:p>
    <w:p w14:paraId="53F745C8" w14:textId="77777777" w:rsidR="00F7551C" w:rsidRPr="00ED0894" w:rsidRDefault="00F7551C" w:rsidP="00F7551C">
      <w:pPr>
        <w:spacing w:before="120" w:line="276" w:lineRule="auto"/>
        <w:ind w:firstLine="708"/>
        <w:jc w:val="both"/>
        <w:rPr>
          <w:rFonts w:ascii="Arial" w:hAnsi="Arial" w:cs="Arial"/>
          <w:szCs w:val="20"/>
          <w:lang w:val="es-MX"/>
        </w:rPr>
      </w:pPr>
      <w:bookmarkStart w:id="18" w:name="_Hlk91596835"/>
      <w:r w:rsidRPr="00ED0894">
        <w:rPr>
          <w:rFonts w:ascii="Arial" w:hAnsi="Arial" w:cs="Arial"/>
          <w:i/>
          <w:szCs w:val="20"/>
          <w:lang w:val="es-MX"/>
        </w:rPr>
        <w:t xml:space="preserve">ii) </w:t>
      </w:r>
      <w:r w:rsidRPr="00ED0894">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ED0894">
        <w:rPr>
          <w:rFonts w:ascii="Arial" w:hAnsi="Arial" w:cs="Arial"/>
          <w:i/>
          <w:iCs/>
          <w:szCs w:val="20"/>
          <w:lang w:val="es-MX"/>
        </w:rPr>
        <w:t>literal E</w:t>
      </w:r>
      <w:r w:rsidRPr="00ED0894">
        <w:rPr>
          <w:rFonts w:ascii="Arial" w:hAnsi="Arial" w:cs="Arial"/>
          <w:szCs w:val="20"/>
          <w:lang w:val="es-MX"/>
        </w:rPr>
        <w:t xml:space="preserve"> del numeral 1.15.</w:t>
      </w:r>
      <w:bookmarkEnd w:id="18"/>
      <w:r w:rsidRPr="00ED0894">
        <w:rPr>
          <w:rFonts w:ascii="Arial" w:hAnsi="Arial" w:cs="Arial"/>
          <w:szCs w:val="20"/>
          <w:lang w:val="es-MX"/>
        </w:rPr>
        <w:t xml:space="preserve"> </w:t>
      </w:r>
    </w:p>
    <w:p w14:paraId="503CDDBA" w14:textId="77777777" w:rsidR="00F7551C" w:rsidRPr="00ED0894" w:rsidRDefault="00F7551C" w:rsidP="00F7551C">
      <w:pPr>
        <w:spacing w:before="120" w:after="0" w:line="276" w:lineRule="auto"/>
        <w:ind w:firstLine="708"/>
        <w:jc w:val="both"/>
        <w:rPr>
          <w:rFonts w:ascii="Arial" w:hAnsi="Arial" w:cs="Arial"/>
          <w:szCs w:val="20"/>
          <w:lang w:val="es-MX"/>
        </w:rPr>
      </w:pPr>
      <w:r w:rsidRPr="00ED0894">
        <w:rPr>
          <w:rFonts w:ascii="Arial" w:hAnsi="Arial" w:cs="Arial"/>
          <w:i/>
          <w:szCs w:val="20"/>
          <w:lang w:val="es-MX"/>
        </w:rPr>
        <w:t xml:space="preserve">iii) </w:t>
      </w:r>
      <w:r w:rsidRPr="00ED0894">
        <w:rPr>
          <w:rFonts w:ascii="Arial" w:hAnsi="Arial" w:cs="Arial"/>
          <w:szCs w:val="20"/>
          <w:lang w:val="es-MX"/>
        </w:rPr>
        <w:t xml:space="preserve">Lo dicho en los numerales precedentes tampoco descarta la posibilidad de que la entidad rechace la oferta si encuentra configurada la causal establecida en </w:t>
      </w:r>
      <w:bookmarkStart w:id="19" w:name="_Hlk81383775"/>
      <w:r w:rsidRPr="00ED0894">
        <w:rPr>
          <w:rFonts w:ascii="Arial" w:hAnsi="Arial" w:cs="Arial"/>
          <w:szCs w:val="20"/>
          <w:lang w:val="es-MX"/>
        </w:rPr>
        <w:t xml:space="preserve">el </w:t>
      </w:r>
      <w:r w:rsidRPr="00ED0894">
        <w:rPr>
          <w:rFonts w:ascii="Arial" w:hAnsi="Arial" w:cs="Arial"/>
          <w:i/>
          <w:iCs/>
          <w:szCs w:val="20"/>
          <w:lang w:val="es-MX"/>
        </w:rPr>
        <w:t>literal H</w:t>
      </w:r>
      <w:r w:rsidRPr="00ED0894">
        <w:rPr>
          <w:rFonts w:ascii="Arial" w:hAnsi="Arial" w:cs="Arial"/>
          <w:szCs w:val="20"/>
          <w:lang w:val="es-MX"/>
        </w:rPr>
        <w:t xml:space="preserve"> del numeral 1.15, que aplica cuando el proponente aporta información inexacta, de acuerdo con lo señalado en el numeral 1.11. del documento base</w:t>
      </w:r>
      <w:bookmarkEnd w:id="19"/>
      <w:r w:rsidRPr="00ED0894">
        <w:rPr>
          <w:rFonts w:ascii="Arial" w:hAnsi="Arial" w:cs="Arial"/>
          <w:szCs w:val="20"/>
          <w:lang w:val="es-MX"/>
        </w:rPr>
        <w:t xml:space="preserve">: </w:t>
      </w:r>
    </w:p>
    <w:p w14:paraId="4A12FAC4" w14:textId="77777777" w:rsidR="00F7551C" w:rsidRPr="00ED0894" w:rsidRDefault="00F7551C" w:rsidP="00F7551C">
      <w:pPr>
        <w:spacing w:after="0" w:line="276" w:lineRule="auto"/>
        <w:jc w:val="both"/>
        <w:rPr>
          <w:rFonts w:ascii="Arial" w:hAnsi="Arial" w:cs="Arial"/>
          <w:lang w:val="es-MX"/>
        </w:rPr>
      </w:pPr>
    </w:p>
    <w:p w14:paraId="552B1502" w14:textId="77777777" w:rsidR="00F7551C" w:rsidRPr="00ED0894" w:rsidRDefault="00F7551C" w:rsidP="00F7551C">
      <w:pPr>
        <w:spacing w:after="120" w:line="240" w:lineRule="auto"/>
        <w:ind w:left="709" w:right="709"/>
        <w:jc w:val="both"/>
        <w:rPr>
          <w:rFonts w:ascii="Arial" w:hAnsi="Arial" w:cs="Arial"/>
          <w:b/>
          <w:bCs/>
          <w:sz w:val="21"/>
          <w:szCs w:val="21"/>
        </w:rPr>
      </w:pPr>
      <w:r w:rsidRPr="00ED0894">
        <w:rPr>
          <w:rFonts w:ascii="Arial" w:hAnsi="Arial" w:cs="Arial"/>
          <w:b/>
          <w:bCs/>
          <w:sz w:val="21"/>
          <w:szCs w:val="21"/>
        </w:rPr>
        <w:t xml:space="preserve">1.11 INFORMACIÓN INEXACTA </w:t>
      </w:r>
    </w:p>
    <w:p w14:paraId="70D1C577" w14:textId="77777777" w:rsidR="00F7551C" w:rsidRPr="00ED0894" w:rsidRDefault="00F7551C" w:rsidP="00F7551C">
      <w:pPr>
        <w:spacing w:after="120" w:line="240" w:lineRule="auto"/>
        <w:ind w:left="709" w:right="709"/>
        <w:jc w:val="both"/>
        <w:rPr>
          <w:rFonts w:ascii="Arial" w:hAnsi="Arial" w:cs="Arial"/>
          <w:sz w:val="21"/>
          <w:szCs w:val="21"/>
        </w:rPr>
      </w:pPr>
      <w:r w:rsidRPr="00ED0894">
        <w:rPr>
          <w:rFonts w:ascii="Arial" w:hAnsi="Arial" w:cs="Arial"/>
          <w:sz w:val="21"/>
          <w:szCs w:val="21"/>
        </w:rPr>
        <w:t xml:space="preserve">La Entidad </w:t>
      </w:r>
      <w:bookmarkStart w:id="20" w:name="_Hlk88664526"/>
      <w:r w:rsidRPr="00ED0894">
        <w:rPr>
          <w:rFonts w:ascii="Arial" w:hAnsi="Arial" w:cs="Arial"/>
          <w:sz w:val="21"/>
          <w:szCs w:val="21"/>
        </w:rPr>
        <w:t>se reserva el derecho de verificar integralmente la información aportada por el Proponente</w:t>
      </w:r>
      <w:bookmarkEnd w:id="20"/>
      <w:r w:rsidRPr="00ED0894">
        <w:rPr>
          <w:rFonts w:ascii="Arial" w:hAnsi="Arial" w:cs="Arial"/>
          <w:sz w:val="21"/>
          <w:szCs w:val="21"/>
        </w:rPr>
        <w:t xml:space="preserve">. Para esto, puede acudir a las autoridades, personas, empresas o entidades respectivas. </w:t>
      </w:r>
    </w:p>
    <w:p w14:paraId="3A915AF8" w14:textId="77777777" w:rsidR="00F7551C" w:rsidRPr="00ED0894" w:rsidRDefault="00F7551C" w:rsidP="00F7551C">
      <w:pPr>
        <w:spacing w:after="120" w:line="240" w:lineRule="auto"/>
        <w:ind w:left="709" w:right="709"/>
        <w:jc w:val="both"/>
        <w:rPr>
          <w:rFonts w:ascii="Arial" w:hAnsi="Arial" w:cs="Arial"/>
          <w:sz w:val="21"/>
          <w:szCs w:val="21"/>
        </w:rPr>
      </w:pPr>
      <w:r w:rsidRPr="00ED0894">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755BB5EE" w14:textId="77777777" w:rsidR="00F7551C" w:rsidRPr="00ED0894" w:rsidRDefault="00F7551C" w:rsidP="00F7551C">
      <w:pPr>
        <w:spacing w:after="0" w:line="240" w:lineRule="auto"/>
        <w:ind w:left="709" w:right="709"/>
        <w:jc w:val="both"/>
        <w:rPr>
          <w:rFonts w:ascii="Arial" w:hAnsi="Arial" w:cs="Arial"/>
          <w:sz w:val="21"/>
          <w:szCs w:val="21"/>
        </w:rPr>
      </w:pPr>
      <w:r w:rsidRPr="00ED0894">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5A5F637F" w14:textId="77777777" w:rsidR="00F7551C" w:rsidRPr="00ED0894" w:rsidRDefault="00F7551C" w:rsidP="00F7551C">
      <w:pPr>
        <w:spacing w:after="0" w:line="240" w:lineRule="auto"/>
        <w:ind w:left="709" w:right="709"/>
        <w:jc w:val="both"/>
        <w:rPr>
          <w:rFonts w:ascii="Arial" w:hAnsi="Arial" w:cs="Arial"/>
          <w:sz w:val="21"/>
          <w:szCs w:val="21"/>
        </w:rPr>
      </w:pPr>
      <w:r w:rsidRPr="00ED0894">
        <w:rPr>
          <w:rFonts w:ascii="Arial" w:hAnsi="Arial" w:cs="Arial"/>
          <w:sz w:val="21"/>
          <w:szCs w:val="21"/>
        </w:rPr>
        <w:t>[…]</w:t>
      </w:r>
    </w:p>
    <w:p w14:paraId="1878D8AE" w14:textId="77777777" w:rsidR="00F7551C" w:rsidRPr="00ED0894" w:rsidRDefault="00F7551C" w:rsidP="00F7551C">
      <w:pPr>
        <w:spacing w:after="0" w:line="276" w:lineRule="auto"/>
        <w:jc w:val="both"/>
        <w:rPr>
          <w:rFonts w:ascii="Arial" w:hAnsi="Arial" w:cs="Arial"/>
        </w:rPr>
      </w:pPr>
    </w:p>
    <w:p w14:paraId="6F1D4102" w14:textId="77777777" w:rsidR="00F7551C" w:rsidRPr="00ED0894" w:rsidRDefault="00F7551C" w:rsidP="00F7551C">
      <w:pPr>
        <w:spacing w:after="120" w:line="276" w:lineRule="auto"/>
        <w:ind w:firstLine="709"/>
        <w:jc w:val="both"/>
        <w:rPr>
          <w:rFonts w:ascii="Arial" w:hAnsi="Arial" w:cs="Arial"/>
        </w:rPr>
      </w:pPr>
      <w:r w:rsidRPr="00ED0894">
        <w:rPr>
          <w:rFonts w:ascii="Arial" w:hAnsi="Arial" w:cs="Arial"/>
        </w:rPr>
        <w:lastRenderedPageBreak/>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ED0894">
        <w:rPr>
          <w:rFonts w:ascii="Arial" w:hAnsi="Arial" w:cs="Arial"/>
          <w:vertAlign w:val="superscript"/>
        </w:rPr>
        <w:footnoteReference w:id="4"/>
      </w:r>
      <w:r w:rsidRPr="00ED0894">
        <w:rPr>
          <w:rFonts w:ascii="Arial" w:hAnsi="Arial" w:cs="Arial"/>
        </w:rPr>
        <w:t>. Conforme a ello, la prerrogativa de verificación es una herramienta para que la Administración adquiera certeza frente al cumplimiento de los requisitos del procedimiento de selección y del comportamiento leal que se exige de los proponentes.</w:t>
      </w:r>
    </w:p>
    <w:p w14:paraId="5053D399" w14:textId="77777777" w:rsidR="00F7551C" w:rsidRPr="00ED0894" w:rsidRDefault="00F7551C" w:rsidP="00F7551C">
      <w:pPr>
        <w:spacing w:before="120" w:after="120" w:line="276" w:lineRule="auto"/>
        <w:ind w:firstLine="708"/>
        <w:jc w:val="both"/>
        <w:rPr>
          <w:rFonts w:ascii="Arial" w:eastAsiaTheme="minorEastAsia" w:hAnsi="Arial" w:cs="Arial"/>
          <w:lang w:val="es-MX" w:eastAsia="es-CO"/>
        </w:rPr>
      </w:pPr>
      <w:r w:rsidRPr="00ED0894">
        <w:rPr>
          <w:rFonts w:ascii="Arial" w:eastAsiaTheme="minorEastAsia" w:hAnsi="Arial" w:cs="Arial"/>
          <w:lang w:eastAsia="es-CO"/>
        </w:rPr>
        <w:t>Según</w:t>
      </w:r>
      <w:r w:rsidRPr="00ED0894">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3AE987BF"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lang w:val="es-MX"/>
        </w:rPr>
        <w:t xml:space="preserve">La </w:t>
      </w:r>
      <w:r w:rsidRPr="00ED0894">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2C098B32"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w:t>
      </w:r>
      <w:r w:rsidRPr="00ED0894">
        <w:rPr>
          <w:rFonts w:ascii="Arial" w:hAnsi="Arial" w:cs="Arial"/>
        </w:rPr>
        <w:lastRenderedPageBreak/>
        <w:t xml:space="preserve">procedente rechazar la oferta y compulsar copias a las autoridades competentes, quienes adelantarán las respectivas investigaciones. </w:t>
      </w:r>
    </w:p>
    <w:p w14:paraId="052DCAB8" w14:textId="77777777" w:rsidR="00F7551C" w:rsidRPr="00ED0894" w:rsidRDefault="00F7551C" w:rsidP="00F7551C">
      <w:pPr>
        <w:spacing w:before="120" w:after="120" w:line="276" w:lineRule="auto"/>
        <w:ind w:firstLine="708"/>
        <w:jc w:val="both"/>
        <w:rPr>
          <w:rFonts w:ascii="Arial" w:hAnsi="Arial" w:cs="Arial"/>
        </w:rPr>
      </w:pPr>
      <w:r w:rsidRPr="00ED0894">
        <w:rPr>
          <w:rFonts w:ascii="Arial" w:hAnsi="Arial" w:cs="Arial"/>
        </w:rPr>
        <w:t>Ahora bien, aunque las</w:t>
      </w:r>
      <w:r w:rsidRPr="00ED0894">
        <w:rPr>
          <w:rFonts w:ascii="Arial" w:hAnsi="Arial" w:cs="Arial"/>
          <w:szCs w:val="20"/>
        </w:rPr>
        <w:t xml:space="preserve"> causales de rechazo del literal E, H y Z del numeral 1.15 de los documentos tipo se relacionan con la capacidad residual como requisito habilitante</w:t>
      </w:r>
      <w:r w:rsidRPr="00ED0894">
        <w:rPr>
          <w:rFonts w:ascii="Arial" w:hAnsi="Arial" w:cs="Arial"/>
        </w:rPr>
        <w:t xml:space="preserve">, estas se aplican en supuestos diferentes, de acuerdo con lo explicado </w:t>
      </w:r>
      <w:r w:rsidRPr="00ED0894">
        <w:rPr>
          <w:rFonts w:ascii="Arial" w:hAnsi="Arial" w:cs="Arial"/>
          <w:i/>
        </w:rPr>
        <w:t>ut supra</w:t>
      </w:r>
      <w:r w:rsidRPr="00ED0894">
        <w:rPr>
          <w:rFonts w:ascii="Arial" w:hAnsi="Arial"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48C6A83F" w14:textId="77777777" w:rsidR="00F7551C" w:rsidRPr="00ED0894" w:rsidRDefault="00F7551C" w:rsidP="00F7551C">
      <w:pPr>
        <w:spacing w:before="120" w:after="120" w:line="276" w:lineRule="auto"/>
        <w:ind w:firstLine="708"/>
        <w:jc w:val="both"/>
        <w:rPr>
          <w:rFonts w:ascii="Arial" w:hAnsi="Arial" w:cs="Arial"/>
        </w:rPr>
      </w:pPr>
      <w:r w:rsidRPr="00ED0894">
        <w:rPr>
          <w:rFonts w:ascii="Arial" w:hAnsi="Arial"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08314398" w14:textId="77777777" w:rsidR="00F7551C" w:rsidRPr="00ED0894" w:rsidRDefault="00F7551C" w:rsidP="00F7551C">
      <w:pPr>
        <w:spacing w:before="120" w:after="120" w:line="276" w:lineRule="auto"/>
        <w:ind w:firstLine="708"/>
        <w:jc w:val="both"/>
        <w:rPr>
          <w:rFonts w:ascii="Arial" w:hAnsi="Arial" w:cs="Arial"/>
        </w:rPr>
      </w:pPr>
      <w:r w:rsidRPr="00ED0894">
        <w:rPr>
          <w:rFonts w:ascii="Arial" w:hAnsi="Arial" w:cs="Arial"/>
          <w:noProof/>
        </w:rPr>
        <w:t>Ahora bien, es importate precisar que lo</w:t>
      </w:r>
      <w:r w:rsidRPr="00ED0894">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ED0894">
        <w:t xml:space="preserve"> </w:t>
      </w:r>
      <w:r w:rsidRPr="00ED0894">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64FAD55D"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rPr>
        <w:t xml:space="preserve">Como se expresó,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w:t>
      </w:r>
      <w:r w:rsidRPr="00ED0894">
        <w:rPr>
          <w:rFonts w:ascii="Arial" w:hAnsi="Arial" w:cs="Arial"/>
        </w:rPr>
        <w:lastRenderedPageBreak/>
        <w:t xml:space="preserve">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 </w:t>
      </w:r>
    </w:p>
    <w:p w14:paraId="05D84501"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ED0894">
        <w:rPr>
          <w:rFonts w:ascii="Arial" w:hAnsi="Arial" w:cs="Arial"/>
          <w:i/>
        </w:rPr>
        <w:t>sub examine</w:t>
      </w:r>
      <w:r w:rsidRPr="00ED0894">
        <w:rPr>
          <w:rFonts w:ascii="Arial" w:hAnsi="Arial" w:cs="Arial"/>
        </w:rPr>
        <w:t xml:space="preserve"> es desincentivar todas las prácticas fraudulentas en los procesos de contratación estatal. </w:t>
      </w:r>
    </w:p>
    <w:p w14:paraId="54DBE046" w14:textId="3CE65114" w:rsidR="00F7551C" w:rsidRPr="00ED0894" w:rsidRDefault="00761125" w:rsidP="00F7551C">
      <w:pPr>
        <w:spacing w:before="120" w:after="120" w:line="276" w:lineRule="auto"/>
        <w:ind w:firstLine="709"/>
        <w:jc w:val="both"/>
        <w:rPr>
          <w:rFonts w:ascii="Arial" w:hAnsi="Arial" w:cs="Arial"/>
        </w:rPr>
      </w:pPr>
      <w:r w:rsidRPr="00ED0894">
        <w:rPr>
          <w:rStyle w:val="normaltextrun"/>
          <w:rFonts w:ascii="Arial" w:hAnsi="Arial"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ED0894">
        <w:rPr>
          <w:rStyle w:val="normaltextrun"/>
          <w:rFonts w:ascii="Arial" w:hAnsi="Arial" w:cs="Arial"/>
          <w:color w:val="000000"/>
          <w:shd w:val="clear" w:color="auto" w:fill="FFFFFF"/>
          <w:lang w:val="es-MX"/>
        </w:rPr>
        <w:t>incurre en algún error en la información de estos contratos, como por ejemplo en el valor o el plazo</w:t>
      </w:r>
      <w:r w:rsidRPr="00ED0894">
        <w:rPr>
          <w:rStyle w:val="normaltextrun"/>
          <w:rFonts w:ascii="Arial" w:hAnsi="Arial" w:cs="Arial"/>
          <w:color w:val="000000"/>
          <w:shd w:val="clear" w:color="auto" w:fill="FFFFFF"/>
        </w:rPr>
        <w:t>. En este caso, conforme a la explicación precedente, en principio, no se trata de información inexacta que tenga la connotación de falsedad por lo que no habría lugar a rechazo de la propuesta por esta causal. Por ello, si el proponente omite o se equivoca en la información específica de un contrato incluido en el formato respectivo</w:t>
      </w:r>
      <w:r w:rsidRPr="00ED0894">
        <w:rPr>
          <w:rStyle w:val="normaltextrun"/>
          <w:rFonts w:ascii="Arial" w:hAnsi="Arial" w:cs="Arial"/>
          <w:color w:val="000000"/>
          <w:shd w:val="clear" w:color="auto" w:fill="FFFFFF"/>
          <w:lang w:val="es-MX"/>
        </w:rPr>
        <w:t>, la entidad podrá requerirlo para que aclare la información y, en caso de no responder, rechazar la propuesta por la causal que consagra el literal E del numeral 1.15</w:t>
      </w:r>
      <w:r w:rsidR="00F7551C" w:rsidRPr="00ED0894">
        <w:rPr>
          <w:rFonts w:ascii="Arial" w:hAnsi="Arial" w:cs="Arial"/>
        </w:rPr>
        <w:t xml:space="preserve">. </w:t>
      </w:r>
    </w:p>
    <w:p w14:paraId="1237BE04" w14:textId="7461DF82" w:rsidR="00F7551C" w:rsidRPr="00ED0894" w:rsidRDefault="0020268A" w:rsidP="00F7551C">
      <w:pPr>
        <w:spacing w:before="120" w:after="120" w:line="276" w:lineRule="auto"/>
        <w:ind w:firstLine="709"/>
        <w:jc w:val="both"/>
        <w:rPr>
          <w:rFonts w:ascii="Arial" w:hAnsi="Arial" w:cs="Arial"/>
        </w:rPr>
      </w:pPr>
      <w:r w:rsidRPr="00ED0894">
        <w:rPr>
          <w:rStyle w:val="normaltextrun"/>
          <w:rFonts w:ascii="Arial" w:hAnsi="Arial"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w:t>
      </w:r>
      <w:r w:rsidRPr="00ED0894">
        <w:rPr>
          <w:rStyle w:val="normaltextrun"/>
          <w:rFonts w:ascii="Arial" w:hAnsi="Arial" w:cs="Arial"/>
          <w:color w:val="000000"/>
          <w:shd w:val="clear" w:color="auto" w:fill="FFFFFF"/>
          <w:lang w:val="es-MX"/>
        </w:rPr>
        <w:t>en el evento en que se reporten todos los contratos y la entidad advierta que se consignó información errada en el formato respectivo soportada en documentos presuntamente falsos. En este caso,</w:t>
      </w:r>
      <w:r w:rsidRPr="00ED0894">
        <w:rPr>
          <w:rStyle w:val="normaltextrun"/>
          <w:rFonts w:ascii="Arial" w:hAnsi="Arial" w:cs="Arial"/>
          <w:color w:val="000000"/>
          <w:shd w:val="clear" w:color="auto" w:fill="FFFFFF"/>
        </w:rPr>
        <w:t xml:space="preserve"> los datos erróneos corresponden a información inexacta sobre la cual pueda existir una posible falsedad, lo cual da lugar a la configuración de la causal de rechazo del literal H </w:t>
      </w:r>
      <w:r w:rsidRPr="00ED0894">
        <w:rPr>
          <w:rStyle w:val="normaltextrun"/>
          <w:rFonts w:ascii="Arial" w:hAnsi="Arial" w:cs="Arial"/>
          <w:color w:val="000000"/>
          <w:shd w:val="clear" w:color="auto" w:fill="FFFFFF"/>
          <w:lang w:val="es-MX"/>
        </w:rPr>
        <w:t xml:space="preserve">del numeral 1.15. del documento base </w:t>
      </w:r>
      <w:r w:rsidRPr="00ED0894">
        <w:rPr>
          <w:rStyle w:val="normaltextrun"/>
          <w:rFonts w:ascii="Arial" w:hAnsi="Arial" w:cs="Arial"/>
          <w:color w:val="000000"/>
          <w:shd w:val="clear" w:color="auto" w:fill="FFFFFF"/>
        </w:rPr>
        <w:t>e impide la subsanabilidad de la oferta en este aspecto</w:t>
      </w:r>
      <w:r w:rsidR="00F7551C" w:rsidRPr="00ED0894">
        <w:rPr>
          <w:rFonts w:ascii="Arial" w:hAnsi="Arial" w:cs="Arial"/>
        </w:rPr>
        <w:t xml:space="preserve">. </w:t>
      </w:r>
    </w:p>
    <w:p w14:paraId="68E8AF22" w14:textId="77777777" w:rsidR="000A7622" w:rsidRPr="00ED0894" w:rsidRDefault="000A7622" w:rsidP="000A7622">
      <w:pPr>
        <w:spacing w:after="0" w:line="276" w:lineRule="auto"/>
        <w:ind w:firstLine="708"/>
        <w:jc w:val="both"/>
        <w:rPr>
          <w:rFonts w:ascii="Arial" w:hAnsi="Arial" w:cs="Arial"/>
        </w:rPr>
      </w:pPr>
      <w:r w:rsidRPr="00ED0894">
        <w:rPr>
          <w:rFonts w:ascii="Arial" w:hAnsi="Arial" w:cs="Arial"/>
        </w:rPr>
        <w:t xml:space="preserve">En relación con la información contractual no incluida que pueda afectar la capacidad residual del proponente, el pliego de condiciones del «Documento Tipo – </w:t>
      </w:r>
      <w:r w:rsidRPr="00ED0894">
        <w:rPr>
          <w:rFonts w:ascii="Arial" w:hAnsi="Arial" w:cs="Arial"/>
        </w:rPr>
        <w:lastRenderedPageBreak/>
        <w:t xml:space="preserve">Versión 3» de licitación para obra pública de infraestructura de transporte estableció una regla especial en el numeral 3.10 así: </w:t>
      </w:r>
    </w:p>
    <w:p w14:paraId="41939BD2" w14:textId="77777777" w:rsidR="000A7622" w:rsidRPr="00ED0894" w:rsidRDefault="000A7622" w:rsidP="000A7622">
      <w:pPr>
        <w:spacing w:after="0" w:line="276" w:lineRule="auto"/>
        <w:ind w:firstLine="709"/>
        <w:jc w:val="both"/>
        <w:rPr>
          <w:rFonts w:ascii="Arial" w:hAnsi="Arial" w:cs="Arial"/>
        </w:rPr>
      </w:pPr>
    </w:p>
    <w:p w14:paraId="56CD936A" w14:textId="77777777" w:rsidR="000A7622" w:rsidRPr="00ED0894" w:rsidRDefault="000A7622" w:rsidP="000A7622">
      <w:pPr>
        <w:keepNext/>
        <w:spacing w:after="120" w:line="240" w:lineRule="auto"/>
        <w:ind w:left="709" w:right="709"/>
        <w:outlineLvl w:val="1"/>
        <w:rPr>
          <w:rFonts w:ascii="Arial" w:eastAsia="Times New Roman" w:hAnsi="Arial" w:cs="Arial"/>
          <w:b/>
          <w:sz w:val="21"/>
          <w:szCs w:val="21"/>
          <w:lang w:eastAsia="es-CO"/>
        </w:rPr>
      </w:pPr>
      <w:bookmarkStart w:id="21" w:name="_Toc32096843"/>
      <w:bookmarkStart w:id="22" w:name="_Toc32144836"/>
      <w:r w:rsidRPr="00ED0894">
        <w:rPr>
          <w:rFonts w:ascii="Arial" w:eastAsia="Times New Roman" w:hAnsi="Arial" w:cs="Arial"/>
          <w:b/>
          <w:sz w:val="21"/>
          <w:szCs w:val="21"/>
          <w:lang w:eastAsia="es-CO"/>
        </w:rPr>
        <w:t>3.10. CAPACIDAD RESIDUAL</w:t>
      </w:r>
      <w:bookmarkEnd w:id="21"/>
      <w:bookmarkEnd w:id="22"/>
      <w:r w:rsidRPr="00ED0894">
        <w:rPr>
          <w:rFonts w:ascii="Arial" w:eastAsia="Times New Roman" w:hAnsi="Arial" w:cs="Arial"/>
          <w:b/>
          <w:sz w:val="21"/>
          <w:szCs w:val="21"/>
          <w:lang w:eastAsia="es-CO"/>
        </w:rPr>
        <w:t xml:space="preserve"> </w:t>
      </w:r>
    </w:p>
    <w:p w14:paraId="279D3854" w14:textId="77777777" w:rsidR="000A7622" w:rsidRPr="00ED0894" w:rsidRDefault="000A7622" w:rsidP="000A7622">
      <w:pPr>
        <w:widowControl w:val="0"/>
        <w:spacing w:after="0" w:line="240" w:lineRule="auto"/>
        <w:ind w:left="709" w:right="709"/>
        <w:jc w:val="both"/>
        <w:rPr>
          <w:rFonts w:ascii="Arial" w:eastAsia="Arial" w:hAnsi="Arial" w:cs="Arial"/>
          <w:sz w:val="21"/>
          <w:szCs w:val="21"/>
        </w:rPr>
      </w:pP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será</w:t>
      </w:r>
      <w:r w:rsidRPr="00ED0894">
        <w:rPr>
          <w:rFonts w:ascii="Arial" w:eastAsia="Arial" w:hAnsi="Arial" w:cs="Arial"/>
          <w:sz w:val="21"/>
          <w:szCs w:val="21"/>
        </w:rPr>
        <w:t xml:space="preserve"> </w:t>
      </w:r>
      <w:r w:rsidRPr="00ED0894">
        <w:rPr>
          <w:rFonts w:ascii="Arial" w:hAnsi="Arial" w:cs="Arial"/>
          <w:sz w:val="21"/>
          <w:szCs w:val="21"/>
        </w:rPr>
        <w:t>hábil</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(CRP)</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mayor</w:t>
      </w:r>
      <w:r w:rsidRPr="00ED0894">
        <w:rPr>
          <w:rFonts w:ascii="Arial" w:eastAsia="Arial" w:hAnsi="Arial" w:cs="Arial"/>
          <w:sz w:val="21"/>
          <w:szCs w:val="21"/>
        </w:rPr>
        <w:t xml:space="preserve"> </w:t>
      </w:r>
      <w:r w:rsidRPr="00ED0894">
        <w:rPr>
          <w:rFonts w:ascii="Arial" w:hAnsi="Arial" w:cs="Arial"/>
          <w:sz w:val="21"/>
          <w:szCs w:val="21"/>
        </w:rPr>
        <w:t>o</w:t>
      </w:r>
      <w:r w:rsidRPr="00ED0894">
        <w:rPr>
          <w:rFonts w:ascii="Arial" w:eastAsia="Arial" w:hAnsi="Arial" w:cs="Arial"/>
          <w:sz w:val="21"/>
          <w:szCs w:val="21"/>
        </w:rPr>
        <w:t xml:space="preserve"> </w:t>
      </w:r>
      <w:r w:rsidRPr="00ED0894">
        <w:rPr>
          <w:rFonts w:ascii="Arial" w:hAnsi="Arial" w:cs="Arial"/>
          <w:sz w:val="21"/>
          <w:szCs w:val="21"/>
        </w:rPr>
        <w:t>igual</w:t>
      </w:r>
      <w:r w:rsidRPr="00ED0894">
        <w:rPr>
          <w:rFonts w:ascii="Arial" w:eastAsia="Arial" w:hAnsi="Arial" w:cs="Arial"/>
          <w:sz w:val="21"/>
          <w:szCs w:val="21"/>
        </w:rPr>
        <w:t xml:space="preserve"> </w:t>
      </w:r>
      <w:r w:rsidRPr="00ED0894">
        <w:rPr>
          <w:rFonts w:ascii="Arial" w:hAnsi="Arial" w:cs="Arial"/>
          <w:sz w:val="21"/>
          <w:szCs w:val="21"/>
        </w:rPr>
        <w:t>a</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Proceso de Contratación</w:t>
      </w:r>
      <w:r w:rsidRPr="00ED0894">
        <w:rPr>
          <w:rFonts w:ascii="Arial" w:eastAsia="Arial" w:hAnsi="Arial" w:cs="Arial"/>
          <w:sz w:val="21"/>
          <w:szCs w:val="21"/>
        </w:rPr>
        <w:t xml:space="preserve"> </w:t>
      </w:r>
      <w:r w:rsidRPr="00ED0894">
        <w:rPr>
          <w:rFonts w:ascii="Arial" w:hAnsi="Arial" w:cs="Arial"/>
          <w:sz w:val="21"/>
          <w:szCs w:val="21"/>
        </w:rPr>
        <w:t>(CRPC).</w:t>
      </w:r>
      <w:r w:rsidRPr="00ED0894">
        <w:rPr>
          <w:rFonts w:ascii="Arial" w:eastAsia="Arial" w:hAnsi="Arial" w:cs="Arial"/>
          <w:sz w:val="21"/>
          <w:szCs w:val="21"/>
        </w:rPr>
        <w:t xml:space="preserve"> </w:t>
      </w:r>
      <w:r w:rsidRPr="00ED0894">
        <w:rPr>
          <w:rFonts w:ascii="Arial" w:hAnsi="Arial" w:cs="Arial"/>
          <w:sz w:val="21"/>
          <w:szCs w:val="21"/>
        </w:rPr>
        <w:t>Así:</w:t>
      </w:r>
      <w:r w:rsidRPr="00ED0894">
        <w:rPr>
          <w:rFonts w:ascii="Arial" w:eastAsia="Arial" w:hAnsi="Arial" w:cs="Arial"/>
          <w:sz w:val="21"/>
          <w:szCs w:val="21"/>
        </w:rPr>
        <w:t xml:space="preserve"> </w:t>
      </w:r>
    </w:p>
    <w:p w14:paraId="5586BACB" w14:textId="77777777" w:rsidR="000A7622" w:rsidRPr="00ED0894" w:rsidRDefault="000A7622" w:rsidP="000A7622">
      <w:pPr>
        <w:widowControl w:val="0"/>
        <w:spacing w:after="0" w:line="240" w:lineRule="auto"/>
        <w:ind w:left="709" w:right="709"/>
        <w:jc w:val="both"/>
        <w:rPr>
          <w:rFonts w:ascii="Arial" w:eastAsia="Arial" w:hAnsi="Arial" w:cs="Arial"/>
          <w:sz w:val="21"/>
          <w:szCs w:val="21"/>
        </w:rPr>
      </w:pPr>
    </w:p>
    <w:p w14:paraId="2CB8D424" w14:textId="77777777" w:rsidR="000A7622" w:rsidRPr="00ED0894" w:rsidRDefault="000A7622" w:rsidP="000A7622">
      <w:pPr>
        <w:widowControl w:val="0"/>
        <w:spacing w:after="0" w:line="240" w:lineRule="auto"/>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49AF2D1D" w14:textId="77777777" w:rsidR="000A7622" w:rsidRPr="00ED0894" w:rsidRDefault="000A7622" w:rsidP="000A7622">
      <w:pPr>
        <w:widowControl w:val="0"/>
        <w:spacing w:after="0" w:line="240" w:lineRule="auto"/>
        <w:ind w:left="709" w:right="709"/>
        <w:jc w:val="center"/>
        <w:rPr>
          <w:rFonts w:ascii="Arial" w:hAnsi="Arial" w:cs="Arial"/>
          <w:sz w:val="21"/>
          <w:szCs w:val="21"/>
        </w:rPr>
      </w:pPr>
    </w:p>
    <w:p w14:paraId="606288AD" w14:textId="77777777" w:rsidR="000A7622" w:rsidRPr="00ED0894" w:rsidRDefault="000A7622" w:rsidP="000A7622">
      <w:pPr>
        <w:widowControl w:val="0"/>
        <w:spacing w:after="120" w:line="240" w:lineRule="auto"/>
        <w:ind w:left="709" w:right="709"/>
        <w:jc w:val="both"/>
        <w:rPr>
          <w:rFonts w:ascii="Arial" w:eastAsia="Arial" w:hAnsi="Arial" w:cs="Arial"/>
          <w:sz w:val="21"/>
          <w:szCs w:val="21"/>
        </w:rPr>
      </w:pPr>
      <w:r w:rsidRPr="00ED0894">
        <w:rPr>
          <w:rFonts w:ascii="Arial" w:hAnsi="Arial" w:cs="Arial"/>
          <w:sz w:val="21"/>
          <w:szCs w:val="21"/>
        </w:rPr>
        <w:t xml:space="preserve">Los Proponentes acreditarán la capacidad residual o K de contratación conforme se describe a continuación. </w:t>
      </w:r>
      <w:r w:rsidRPr="00ED0894">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ED0894">
        <w:rPr>
          <w:rFonts w:ascii="Arial" w:hAnsi="Arial" w:cs="Arial"/>
          <w:sz w:val="21"/>
          <w:szCs w:val="21"/>
        </w:rPr>
        <w:t xml:space="preserve">. </w:t>
      </w:r>
    </w:p>
    <w:p w14:paraId="3F223834" w14:textId="77777777" w:rsidR="000A7622" w:rsidRPr="00ED0894" w:rsidRDefault="000A7622" w:rsidP="000A7622">
      <w:pPr>
        <w:widowControl w:val="0"/>
        <w:spacing w:after="120" w:line="240" w:lineRule="auto"/>
        <w:ind w:left="709" w:right="709"/>
        <w:jc w:val="both"/>
        <w:rPr>
          <w:rFonts w:ascii="Arial" w:hAnsi="Arial" w:cs="Arial"/>
          <w:sz w:val="21"/>
          <w:szCs w:val="21"/>
        </w:rPr>
      </w:pPr>
      <w:r w:rsidRPr="00ED0894">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1ED2F730" w14:textId="77777777" w:rsidR="000A7622" w:rsidRPr="00ED0894" w:rsidRDefault="000A7622" w:rsidP="000A7622">
      <w:pPr>
        <w:widowControl w:val="0"/>
        <w:spacing w:after="0" w:line="240" w:lineRule="auto"/>
        <w:ind w:left="709" w:right="709"/>
        <w:jc w:val="both"/>
        <w:rPr>
          <w:rFonts w:ascii="Arial" w:hAnsi="Arial" w:cs="Arial"/>
          <w:sz w:val="21"/>
          <w:szCs w:val="21"/>
        </w:rPr>
      </w:pPr>
      <w:r w:rsidRPr="00ED0894">
        <w:rPr>
          <w:rFonts w:ascii="Arial" w:hAnsi="Arial" w:cs="Arial"/>
          <w:sz w:val="21"/>
          <w:szCs w:val="21"/>
        </w:rPr>
        <w:t xml:space="preserve">[…] (Énfasis fuera de texto) </w:t>
      </w:r>
    </w:p>
    <w:p w14:paraId="1E61AD2E" w14:textId="4DFB51D1" w:rsidR="000A7622" w:rsidRPr="00ED0894" w:rsidRDefault="000A7622" w:rsidP="00BB402C">
      <w:pPr>
        <w:widowControl w:val="0"/>
        <w:spacing w:after="0" w:line="276" w:lineRule="auto"/>
        <w:ind w:right="709"/>
        <w:jc w:val="both"/>
        <w:rPr>
          <w:rFonts w:ascii="Arial" w:hAnsi="Arial" w:cs="Arial"/>
        </w:rPr>
      </w:pPr>
    </w:p>
    <w:p w14:paraId="243D6ECA" w14:textId="773AADBD" w:rsidR="000A7622" w:rsidRPr="00ED0894" w:rsidRDefault="0020268A" w:rsidP="00BB402C">
      <w:pPr>
        <w:spacing w:before="120" w:after="120" w:line="276" w:lineRule="auto"/>
        <w:ind w:firstLine="708"/>
        <w:jc w:val="both"/>
        <w:rPr>
          <w:rFonts w:ascii="Arial" w:eastAsiaTheme="minorEastAsia" w:hAnsi="Arial" w:cs="Arial"/>
          <w:lang w:eastAsia="es-CO"/>
        </w:rPr>
      </w:pPr>
      <w:bookmarkStart w:id="23" w:name="_Hlk81551358"/>
      <w:r w:rsidRPr="00ED0894">
        <w:rPr>
          <w:rStyle w:val="normaltextrun"/>
          <w:rFonts w:ascii="Arial" w:hAnsi="Arial"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00986B14" w:rsidRPr="00ED0894">
        <w:rPr>
          <w:rFonts w:ascii="Arial" w:hAnsi="Arial" w:cs="Arial"/>
        </w:rPr>
        <w:t>E</w:t>
      </w:r>
      <w:r w:rsidR="000A7622" w:rsidRPr="00ED0894">
        <w:rPr>
          <w:rFonts w:ascii="Arial" w:hAnsi="Arial" w:cs="Arial"/>
        </w:rPr>
        <w:t xml:space="preserv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3"/>
      <w:r w:rsidR="000A7622" w:rsidRPr="00ED0894">
        <w:rPr>
          <w:rFonts w:ascii="Arial" w:hAnsi="Arial" w:cs="Arial"/>
        </w:rPr>
        <w:t>Esto concuerda con la causal de rechazo prevista en el literal «H» del numeral 1.15 del documento base, el cual autoriza el rechazo de la propuesta en el evento en «</w:t>
      </w:r>
      <w:r w:rsidR="000A7622" w:rsidRPr="00ED0894">
        <w:rPr>
          <w:rFonts w:ascii="Arial" w:eastAsia="Arial" w:hAnsi="Arial" w:cs="Arial"/>
          <w:lang w:eastAsia="es-CO"/>
        </w:rPr>
        <w:t>Que</w:t>
      </w:r>
      <w:r w:rsidR="000A7622" w:rsidRPr="00ED0894">
        <w:rPr>
          <w:rFonts w:ascii="Arial" w:eastAsia="Arial,Calibri" w:hAnsi="Arial" w:cs="Arial"/>
          <w:lang w:eastAsia="es-CO"/>
        </w:rPr>
        <w:t xml:space="preserve"> </w:t>
      </w:r>
      <w:r w:rsidR="000A7622" w:rsidRPr="00ED0894">
        <w:rPr>
          <w:rFonts w:ascii="Arial" w:eastAsia="Arial" w:hAnsi="Arial" w:cs="Arial"/>
          <w:lang w:eastAsia="es-CO"/>
        </w:rPr>
        <w:t>el</w:t>
      </w:r>
      <w:r w:rsidR="000A7622" w:rsidRPr="00ED0894">
        <w:rPr>
          <w:rFonts w:ascii="Arial" w:eastAsia="Arial,Calibri" w:hAnsi="Arial" w:cs="Arial"/>
          <w:lang w:eastAsia="es-CO"/>
        </w:rPr>
        <w:t xml:space="preserve"> </w:t>
      </w:r>
      <w:r w:rsidR="000A7622" w:rsidRPr="00ED0894">
        <w:rPr>
          <w:rFonts w:ascii="Arial" w:eastAsia="Arial" w:hAnsi="Arial" w:cs="Arial"/>
          <w:lang w:eastAsia="es-CO"/>
        </w:rPr>
        <w:t>Proponente</w:t>
      </w:r>
      <w:r w:rsidR="000A7622" w:rsidRPr="00ED0894">
        <w:rPr>
          <w:rFonts w:ascii="Arial" w:eastAsia="Arial,Calibri" w:hAnsi="Arial" w:cs="Arial"/>
          <w:lang w:eastAsia="es-CO"/>
        </w:rPr>
        <w:t xml:space="preserve"> </w:t>
      </w:r>
      <w:r w:rsidR="000A7622" w:rsidRPr="00ED0894">
        <w:rPr>
          <w:rFonts w:ascii="Arial" w:eastAsia="Arial" w:hAnsi="Arial" w:cs="Arial"/>
          <w:lang w:eastAsia="es-CO"/>
        </w:rPr>
        <w:t xml:space="preserve">aporte información inexacta </w:t>
      </w:r>
      <w:r w:rsidR="000A7622" w:rsidRPr="00ED0894">
        <w:rPr>
          <w:rFonts w:ascii="Arial" w:eastAsiaTheme="minorEastAsia" w:hAnsi="Arial" w:cs="Arial"/>
          <w:lang w:eastAsia="es-CO"/>
        </w:rPr>
        <w:t>sobre la cual pueda existir una posible falsedad</w:t>
      </w:r>
      <w:r w:rsidR="000A7622" w:rsidRPr="00ED0894" w:rsidDel="003061D1">
        <w:rPr>
          <w:rFonts w:ascii="Arial" w:eastAsiaTheme="minorEastAsia" w:hAnsi="Arial" w:cs="Arial"/>
          <w:lang w:eastAsia="es-CO"/>
        </w:rPr>
        <w:t xml:space="preserve"> </w:t>
      </w:r>
      <w:r w:rsidR="000A7622" w:rsidRPr="00ED0894">
        <w:rPr>
          <w:rFonts w:ascii="Arial" w:eastAsiaTheme="minorEastAsia" w:hAnsi="Arial" w:cs="Arial"/>
          <w:lang w:eastAsia="es-CO"/>
        </w:rPr>
        <w:t>en los términos de la sección 1.11».</w:t>
      </w:r>
    </w:p>
    <w:p w14:paraId="63D0143F" w14:textId="77777777" w:rsidR="000A7622" w:rsidRPr="00ED0894" w:rsidRDefault="000A7622" w:rsidP="00BB402C">
      <w:pPr>
        <w:spacing w:before="120" w:after="120" w:line="276" w:lineRule="auto"/>
        <w:ind w:firstLine="708"/>
        <w:jc w:val="both"/>
        <w:rPr>
          <w:rFonts w:ascii="Arial" w:hAnsi="Arial" w:cs="Arial"/>
        </w:rPr>
      </w:pPr>
      <w:r w:rsidRPr="00ED0894">
        <w:rPr>
          <w:rFonts w:ascii="Arial" w:hAnsi="Arial" w:cs="Arial"/>
        </w:rPr>
        <w:t>Según lo expuesto, al verificarse que el proponente no incluyó información contractual que afecte su capacidad residual, la entidad no estará en posición de solicitar aclaraciones, o acudir al régimen de subsanabilidad de ofertas</w:t>
      </w:r>
      <w:r w:rsidRPr="00ED0894">
        <w:rPr>
          <w:rFonts w:ascii="Arial" w:hAnsi="Arial" w:cs="Arial"/>
          <w:vertAlign w:val="superscript"/>
        </w:rPr>
        <w:footnoteReference w:id="5"/>
      </w:r>
      <w:r w:rsidRPr="00ED0894">
        <w:rPr>
          <w:rFonts w:ascii="Arial" w:hAnsi="Arial"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58ED1B14" w14:textId="722D956E" w:rsidR="000A7622" w:rsidRPr="00ED0894" w:rsidRDefault="000A7622" w:rsidP="00ED0894">
      <w:pPr>
        <w:spacing w:before="120" w:after="0" w:line="276" w:lineRule="auto"/>
        <w:jc w:val="both"/>
        <w:rPr>
          <w:rFonts w:ascii="Arial" w:hAnsi="Arial" w:cs="Arial"/>
        </w:rPr>
      </w:pPr>
      <w:r w:rsidRPr="00ED0894">
        <w:rPr>
          <w:rFonts w:ascii="Arial" w:hAnsi="Arial" w:cs="Arial"/>
        </w:rPr>
        <w:lastRenderedPageBreak/>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ED0894">
        <w:rPr>
          <w:rFonts w:ascii="Arial" w:hAnsi="Arial" w:cs="Arial"/>
          <w:i/>
          <w:iCs/>
        </w:rPr>
        <w:t>K</w:t>
      </w:r>
      <w:r w:rsidRPr="00ED0894">
        <w:rPr>
          <w:rFonts w:ascii="Arial" w:hAnsi="Arial" w:cs="Arial"/>
        </w:rPr>
        <w:t xml:space="preserve"> de contratación, facultaría a la entidad para rechazar su oferta conforme a la causal Z del numeral 1.15 del documento base o, eventualmente, por la causal del literal H </w:t>
      </w:r>
      <w:r w:rsidRPr="00ED0894">
        <w:rPr>
          <w:rFonts w:ascii="Arial" w:hAnsi="Arial" w:cs="Arial"/>
          <w:i/>
        </w:rPr>
        <w:t>ibídem</w:t>
      </w:r>
      <w:r w:rsidRPr="00ED0894">
        <w:rPr>
          <w:rFonts w:ascii="Arial" w:hAnsi="Arial" w:cs="Arial"/>
        </w:rPr>
        <w:t>.</w:t>
      </w:r>
    </w:p>
    <w:p w14:paraId="6D3B7BBE" w14:textId="77777777" w:rsidR="00414594" w:rsidRPr="00ED0894" w:rsidRDefault="00414594" w:rsidP="000A7622">
      <w:pPr>
        <w:spacing w:after="0" w:line="276" w:lineRule="auto"/>
        <w:ind w:firstLine="708"/>
        <w:jc w:val="both"/>
        <w:rPr>
          <w:rFonts w:ascii="Arial" w:hAnsi="Arial" w:cs="Arial"/>
        </w:rPr>
      </w:pPr>
    </w:p>
    <w:p w14:paraId="1B34A170" w14:textId="77777777" w:rsidR="000A7622" w:rsidRPr="00ED0894" w:rsidRDefault="000A7622" w:rsidP="000A7622">
      <w:pPr>
        <w:numPr>
          <w:ilvl w:val="0"/>
          <w:numId w:val="2"/>
        </w:numPr>
        <w:tabs>
          <w:tab w:val="left" w:pos="284"/>
        </w:tabs>
        <w:spacing w:after="0" w:line="276" w:lineRule="auto"/>
        <w:contextualSpacing/>
        <w:jc w:val="both"/>
        <w:rPr>
          <w:rFonts w:ascii="Arial" w:eastAsia="Calibri" w:hAnsi="Arial" w:cs="Arial"/>
          <w:lang w:val="es-MX"/>
        </w:rPr>
      </w:pPr>
      <w:r w:rsidRPr="00ED0894">
        <w:rPr>
          <w:rFonts w:ascii="Arial" w:eastAsia="Calibri" w:hAnsi="Arial" w:cs="Arial"/>
          <w:b/>
          <w:lang w:val="es-MX"/>
        </w:rPr>
        <w:t>Respuestas</w:t>
      </w:r>
    </w:p>
    <w:p w14:paraId="4D2210FD" w14:textId="77777777" w:rsidR="000A7622" w:rsidRPr="00ED0894" w:rsidRDefault="000A7622" w:rsidP="000A7622">
      <w:pPr>
        <w:spacing w:after="0" w:line="276" w:lineRule="auto"/>
        <w:ind w:right="709"/>
        <w:jc w:val="both"/>
        <w:rPr>
          <w:rFonts w:ascii="Arial" w:eastAsia="Calibri" w:hAnsi="Arial" w:cs="Arial"/>
          <w:iCs/>
          <w:lang w:val="es-MX"/>
        </w:rPr>
      </w:pPr>
    </w:p>
    <w:p w14:paraId="7EA5695A" w14:textId="3D18B54B" w:rsidR="0016251A" w:rsidRPr="00ED0894" w:rsidRDefault="0016251A" w:rsidP="00414594">
      <w:pPr>
        <w:pStyle w:val="Prrafodelista"/>
        <w:ind w:left="709" w:right="709"/>
        <w:jc w:val="both"/>
        <w:rPr>
          <w:rFonts w:ascii="Arial" w:hAnsi="Arial" w:cs="Arial"/>
          <w:bCs/>
          <w:sz w:val="21"/>
          <w:szCs w:val="21"/>
          <w:lang w:val="es-ES" w:eastAsia="es-CO"/>
        </w:rPr>
      </w:pPr>
      <w:r w:rsidRPr="00ED0894">
        <w:rPr>
          <w:rFonts w:ascii="Arial" w:hAnsi="Arial" w:cs="Arial"/>
          <w:sz w:val="21"/>
          <w:szCs w:val="21"/>
          <w:lang w:val="es-ES_tradnl" w:eastAsia="es-ES_tradnl"/>
        </w:rPr>
        <w:t xml:space="preserve">i) </w:t>
      </w:r>
      <w:r w:rsidRPr="00ED0894">
        <w:rPr>
          <w:rFonts w:ascii="Arial" w:hAnsi="Arial" w:cs="Arial"/>
          <w:bCs/>
          <w:sz w:val="21"/>
          <w:szCs w:val="21"/>
          <w:lang w:val="es-ES" w:eastAsia="es-CO"/>
        </w:rPr>
        <w:t xml:space="preserve">«En el momento de diligenciar el formato 5. SALDO DE CONTRATOS EN EJECUCION, y a su vez el aplicativo para k residual de Colombia </w:t>
      </w:r>
      <w:r w:rsidR="00414594" w:rsidRPr="00ED0894">
        <w:rPr>
          <w:rFonts w:ascii="Arial" w:hAnsi="Arial" w:cs="Arial"/>
          <w:bCs/>
          <w:sz w:val="21"/>
          <w:szCs w:val="21"/>
          <w:lang w:val="es-ES" w:eastAsia="es-CO"/>
        </w:rPr>
        <w:t>C</w:t>
      </w:r>
      <w:r w:rsidRPr="00ED0894">
        <w:rPr>
          <w:rFonts w:ascii="Arial" w:hAnsi="Arial" w:cs="Arial"/>
          <w:bCs/>
          <w:sz w:val="21"/>
          <w:szCs w:val="21"/>
          <w:lang w:val="es-ES" w:eastAsia="es-CO"/>
        </w:rPr>
        <w:t>ompra, refiere que los contratos que se encuentren suspendidos al momento del cierre del proceso, se tendrá que tener como fecha de inicio, la fecha del cierre del proceso de contratación y como valor a ejecutar el saldo pendiente de ejecución.</w:t>
      </w:r>
    </w:p>
    <w:p w14:paraId="384F7B6F" w14:textId="77777777" w:rsidR="0016251A" w:rsidRPr="00ED0894" w:rsidRDefault="0016251A" w:rsidP="00414594">
      <w:pPr>
        <w:pStyle w:val="Prrafodelista"/>
        <w:ind w:left="709" w:right="709"/>
        <w:jc w:val="both"/>
        <w:rPr>
          <w:rFonts w:ascii="Arial" w:hAnsi="Arial" w:cs="Arial"/>
          <w:bCs/>
          <w:sz w:val="21"/>
          <w:szCs w:val="21"/>
          <w:lang w:val="es-ES" w:eastAsia="es-CO"/>
        </w:rPr>
      </w:pPr>
    </w:p>
    <w:p w14:paraId="2AC78B1F" w14:textId="77777777" w:rsidR="0016251A" w:rsidRPr="00ED0894" w:rsidRDefault="0016251A" w:rsidP="00414594">
      <w:pPr>
        <w:pStyle w:val="Prrafodelista"/>
        <w:ind w:left="709" w:right="709"/>
        <w:jc w:val="both"/>
        <w:rPr>
          <w:rFonts w:ascii="Arial" w:hAnsi="Arial" w:cs="Arial"/>
          <w:bCs/>
          <w:sz w:val="21"/>
          <w:szCs w:val="21"/>
          <w:lang w:val="es-ES" w:eastAsia="es-CO"/>
        </w:rPr>
      </w:pPr>
      <w:r w:rsidRPr="00ED0894">
        <w:rPr>
          <w:rFonts w:ascii="Arial" w:hAnsi="Arial" w:cs="Arial"/>
          <w:bCs/>
          <w:sz w:val="21"/>
          <w:szCs w:val="21"/>
          <w:lang w:val="es-ES" w:eastAsia="es-CO"/>
        </w:rPr>
        <w:t>Teniendo en cuenta lo anterior, se solicita se aclare cómo se debe diligenciar en el aplicativo la información de los contratos que han sido suspendidos y reiniciados y que a la fecha de cierre del proceso que se está licitando se encuentran en ejecución, toda vez, que respecto a este tema,  ni los proponentes, ni las Entidades saben cómo proceder para el diligenciamiento y su respectivo  cálculo,  y a la fecha algunas  Entidades  han errado, dando como resultado una CAPACIDAD RESIDUAL DE CONTRATACION  menor a la que realmente se ostenta, situación que ha llevado al rechazo de las propuesta.»</w:t>
      </w:r>
    </w:p>
    <w:p w14:paraId="0959BB11" w14:textId="77777777" w:rsidR="008B1B34" w:rsidRPr="00ED0894" w:rsidRDefault="008B1B34" w:rsidP="008B1B34">
      <w:pPr>
        <w:jc w:val="both"/>
        <w:rPr>
          <w:rFonts w:ascii="Arial" w:hAnsi="Arial" w:cs="Arial"/>
        </w:rPr>
      </w:pPr>
      <w:r w:rsidRPr="00ED0894">
        <w:rPr>
          <w:rFonts w:ascii="Arial" w:eastAsia="Calibri" w:hAnsi="Arial" w:cs="Arial"/>
          <w:bCs/>
          <w:color w:val="000000" w:themeColor="text1"/>
          <w:lang w:val="es-MX"/>
        </w:rPr>
        <w:t xml:space="preserve">Respecto del factor de saldos de los contratos en ejecución </w:t>
      </w:r>
      <w:r w:rsidRPr="00ED0894">
        <w:rPr>
          <w:rFonts w:ascii="Arial" w:eastAsia="Calibri" w:hAnsi="Arial" w:cs="Arial"/>
          <w:bCs/>
          <w:color w:val="000000" w:themeColor="text1"/>
        </w:rPr>
        <w:t>«SCE»,</w:t>
      </w:r>
      <w:r w:rsidRPr="00ED0894">
        <w:rPr>
          <w:rFonts w:ascii="Arial" w:hAnsi="Arial" w:cs="Arial"/>
        </w:rPr>
        <w:t xml:space="preserve"> es necesario tener en cuenta que la Guía para Determinar y Verificar la Capacidad Residual del Proponente en los Procesos de Contratación de Obra Pública</w:t>
      </w:r>
      <w:r w:rsidRPr="00ED0894">
        <w:rPr>
          <w:rFonts w:ascii="Arial" w:hAnsi="Arial" w:cs="Arial"/>
          <w:i/>
          <w:iCs/>
        </w:rPr>
        <w:t xml:space="preserve">, </w:t>
      </w:r>
      <w:r w:rsidRPr="00ED0894">
        <w:rPr>
          <w:rFonts w:ascii="Arial" w:hAnsi="Arial" w:cs="Arial"/>
        </w:rPr>
        <w:t xml:space="preserve">define a este factor </w:t>
      </w:r>
      <w:r w:rsidRPr="00ED0894">
        <w:rPr>
          <w:rFonts w:ascii="Arial" w:eastAsia="Calibri" w:hAnsi="Arial" w:cs="Arial"/>
          <w:bCs/>
          <w:color w:val="000000" w:themeColor="text1"/>
        </w:rPr>
        <w:t xml:space="preserve">como «la suma de los montos por ejecutar de los contratos en ejecución durante los 12 meses siguientes». </w:t>
      </w:r>
      <w:r w:rsidRPr="00ED0894">
        <w:rPr>
          <w:rFonts w:ascii="Arial" w:hAnsi="Arial" w:cs="Arial"/>
        </w:rPr>
        <w:t>En este sentido, los saldos pendientes se derivan de las obligaciones que se encuentran en ejecución al momento de la presentación de la oferta y se refieren a contratos cuyo objeto sea la ejecución de obras civiles.</w:t>
      </w:r>
    </w:p>
    <w:p w14:paraId="526A39F7" w14:textId="77777777" w:rsidR="008B1B34" w:rsidRPr="00ED0894" w:rsidRDefault="008B1B34" w:rsidP="008B1B34">
      <w:pPr>
        <w:ind w:firstLine="708"/>
        <w:jc w:val="both"/>
        <w:rPr>
          <w:rFonts w:ascii="Arial" w:hAnsi="Arial" w:cs="Arial"/>
        </w:rPr>
      </w:pPr>
      <w:r w:rsidRPr="00ED0894">
        <w:rPr>
          <w:rFonts w:ascii="Arial" w:hAnsi="Arial" w:cs="Arial"/>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ED0894">
        <w:rPr>
          <w:rFonts w:ascii="Arial" w:eastAsia="Calibri" w:hAnsi="Arial" w:cs="Arial"/>
          <w:b/>
          <w:color w:val="000000" w:themeColor="text1"/>
        </w:rPr>
        <w:t>«</w:t>
      </w:r>
      <w:r w:rsidRPr="00ED0894">
        <w:rPr>
          <w:rFonts w:ascii="Arial" w:eastAsia="Calibri" w:hAnsi="Arial" w:cs="Arial"/>
          <w:bCs/>
          <w:color w:val="000000" w:themeColor="text1"/>
        </w:rPr>
        <w:t>CRP</w:t>
      </w:r>
      <w:r w:rsidRPr="00ED0894">
        <w:rPr>
          <w:rFonts w:ascii="Arial" w:eastAsia="Calibri" w:hAnsi="Arial" w:cs="Arial"/>
          <w:b/>
          <w:color w:val="000000" w:themeColor="text1"/>
        </w:rPr>
        <w:t>»</w:t>
      </w:r>
      <w:r w:rsidRPr="00ED0894">
        <w:rPr>
          <w:rFonts w:ascii="Arial" w:hAnsi="Arial" w:cs="Arial"/>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p>
    <w:p w14:paraId="503E9AD0" w14:textId="4A564E30" w:rsidR="008B1B34" w:rsidRPr="00ED0894" w:rsidRDefault="003245D9" w:rsidP="008B1B34">
      <w:pPr>
        <w:ind w:firstLine="708"/>
        <w:jc w:val="both"/>
        <w:rPr>
          <w:rFonts w:ascii="Arial" w:hAnsi="Arial" w:cs="Arial"/>
          <w:lang w:val="es-MX"/>
        </w:rPr>
      </w:pPr>
      <w:r w:rsidRPr="00ED0894">
        <w:rPr>
          <w:rFonts w:ascii="Arial" w:hAnsi="Arial" w:cs="Arial"/>
        </w:rPr>
        <w:lastRenderedPageBreak/>
        <w:t>En congruencia con la guía citada, d</w:t>
      </w:r>
      <w:r w:rsidR="008B1B34" w:rsidRPr="00ED0894">
        <w:rPr>
          <w:rFonts w:ascii="Arial" w:hAnsi="Arial" w:cs="Arial"/>
        </w:rPr>
        <w:t>e acuerdo con el literal E del numeral 3.10.2 del documento base de licitación de obra pública para infraestructura de transporte, 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la respectiva estructura. En todo caso, «</w:t>
      </w:r>
      <w:r w:rsidR="008B1B34" w:rsidRPr="00ED0894">
        <w:rPr>
          <w:rFonts w:ascii="Arial" w:hAnsi="Arial" w:cs="Arial"/>
          <w:i/>
          <w:iCs/>
          <w:lang w:val="es-MX"/>
        </w:rPr>
        <w:t>Si un contrato se encuentra suspendido, el cálculo del (SCE) de dicho contrato debe efectuarse asumiendo que lo que falta por ejecutar iniciara en la fecha de presentación de la oferta del Proceso de Contratación. Si el contrato está suspendido el Proponente debe informar el saldo pendiente por ejecutar</w:t>
      </w:r>
      <w:r w:rsidR="008B1B34" w:rsidRPr="00ED0894">
        <w:rPr>
          <w:rFonts w:ascii="Arial" w:hAnsi="Arial" w:cs="Arial"/>
          <w:lang w:val="es-MX"/>
        </w:rPr>
        <w:t>»</w:t>
      </w:r>
      <w:r w:rsidRPr="00ED0894">
        <w:rPr>
          <w:rFonts w:ascii="Arial" w:hAnsi="Arial" w:cs="Arial"/>
          <w:lang w:val="es-MX"/>
        </w:rPr>
        <w:t xml:space="preserve"> (Énfasis fuera de texto)</w:t>
      </w:r>
      <w:r w:rsidR="008B1B34" w:rsidRPr="00ED0894">
        <w:rPr>
          <w:rFonts w:ascii="Arial" w:hAnsi="Arial" w:cs="Arial"/>
          <w:lang w:val="es-MX"/>
        </w:rPr>
        <w:t>.</w:t>
      </w:r>
    </w:p>
    <w:p w14:paraId="0CC5EE7D" w14:textId="77777777" w:rsidR="008B1B34" w:rsidRPr="00ED0894" w:rsidRDefault="008B1B34" w:rsidP="008B1B34">
      <w:pPr>
        <w:pStyle w:val="Textoindependiente"/>
        <w:spacing w:after="120" w:line="276" w:lineRule="auto"/>
        <w:ind w:right="51" w:firstLine="709"/>
        <w:jc w:val="both"/>
        <w:rPr>
          <w:lang w:val="es-CO"/>
        </w:rPr>
      </w:pPr>
      <w:r w:rsidRPr="00ED0894">
        <w:rPr>
          <w:lang w:val="es-CO"/>
        </w:rPr>
        <w:t>Sin perjuicio de lo anterior, sobre el uso del aplicativo y la acreditación de los factores necesarios para calcular la capacidad residual, el punto 7 de la Circular Externa Única de Colombia Compra Eficiente dispone que</w:t>
      </w:r>
      <w:r w:rsidRPr="00ED0894">
        <w:rPr>
          <w:rFonts w:eastAsia="Calibri"/>
          <w:color w:val="000000" w:themeColor="text1"/>
        </w:rPr>
        <w:t xml:space="preserve"> «</w:t>
      </w:r>
      <w:r w:rsidRPr="00ED0894">
        <w:rPr>
          <w:lang w:val="es-CO"/>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r w:rsidRPr="00ED0894">
        <w:rPr>
          <w:rFonts w:eastAsia="Calibri"/>
          <w:color w:val="000000" w:themeColor="text1"/>
        </w:rPr>
        <w:t>».</w:t>
      </w:r>
    </w:p>
    <w:p w14:paraId="205AEB7B" w14:textId="77777777" w:rsidR="008B1B34" w:rsidRPr="00ED0894" w:rsidRDefault="008B1B34" w:rsidP="008B1B34">
      <w:pPr>
        <w:pStyle w:val="Textoindependiente"/>
        <w:spacing w:after="120" w:line="276" w:lineRule="auto"/>
        <w:ind w:firstLine="709"/>
        <w:jc w:val="both"/>
        <w:rPr>
          <w:rFonts w:eastAsia="Arial,"/>
          <w:lang w:val="es-CO"/>
        </w:rPr>
      </w:pPr>
      <w:r w:rsidRPr="00ED0894">
        <w:rPr>
          <w:rFonts w:eastAsia="Arial,"/>
          <w:lang w:val="es-CO"/>
        </w:rPr>
        <w:t>De esta manera, si bien el aplicativo de Excel desarrollado por esta Agencia constituye una herramienta que facilita la implementación de la metodología establecida en la guía, su uso no exime del deber de aplicar lo dispuesto en la normativa pertinente.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w:t>
      </w:r>
      <w:r w:rsidRPr="00ED0894">
        <w:rPr>
          <w:lang w:val="es-CO"/>
        </w:rPr>
        <w:t xml:space="preserve">. </w:t>
      </w:r>
      <w:r w:rsidRPr="00ED0894">
        <w:rPr>
          <w:rFonts w:eastAsia="Arial,"/>
          <w:lang w:val="es-CO"/>
        </w:rPr>
        <w:t>Así mismo, se reitera, la guía es el instrumento que detenta fuerza vinculante y, por tanto, son sus disposiciones las que deben observarse para la determinación de la capacidad residual.</w:t>
      </w:r>
    </w:p>
    <w:p w14:paraId="5B089EC1" w14:textId="77777777" w:rsidR="008B1B34" w:rsidRPr="00ED0894" w:rsidRDefault="008B1B34" w:rsidP="008B1B34">
      <w:pPr>
        <w:pStyle w:val="Textoindependiente"/>
        <w:spacing w:line="276" w:lineRule="auto"/>
        <w:ind w:firstLine="709"/>
        <w:jc w:val="both"/>
        <w:rPr>
          <w:rStyle w:val="normaltextrun"/>
          <w:color w:val="000000"/>
          <w:shd w:val="clear" w:color="auto" w:fill="FFFFFF"/>
        </w:rPr>
      </w:pPr>
      <w:r w:rsidRPr="00ED0894">
        <w:rPr>
          <w:rFonts w:eastAsia="Arial,"/>
          <w:lang w:val="es-CO"/>
        </w:rPr>
        <w:t>De otro lado, en procesos como los regidos por los documentos tipo de licitación de obra pública de infraestructura de transporte – Versión 3, se</w:t>
      </w:r>
      <w:r w:rsidRPr="00ED0894">
        <w:rPr>
          <w:bCs/>
        </w:rPr>
        <w:t xml:space="preserve"> faculta a las entidades estatales para establecer los formatos aplicables al proceso contractual necesarios para calcular la capacidad residual. En efecto, el Formato 5 de los documentos tipo señala que: «[La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r w:rsidRPr="00ED0894">
        <w:rPr>
          <w:rStyle w:val="normaltextrun"/>
          <w:color w:val="000000"/>
          <w:shd w:val="clear" w:color="auto" w:fill="FFFFFF"/>
        </w:rPr>
        <w:t>. En virtud de lo anterior, de acuerdo con lo establecido en los documentos tipo, las entidades estatales establecen los formatos que presentarán los proponentes para el cálculo de la capacidad residual.</w:t>
      </w:r>
    </w:p>
    <w:p w14:paraId="5FFC54C8" w14:textId="77777777" w:rsidR="00AD0F31" w:rsidRPr="00ED0894" w:rsidRDefault="00AD0F31" w:rsidP="007A61E4">
      <w:pPr>
        <w:spacing w:after="0" w:line="240" w:lineRule="auto"/>
        <w:ind w:right="709"/>
        <w:jc w:val="both"/>
        <w:rPr>
          <w:rFonts w:ascii="Arial" w:hAnsi="Arial" w:cs="Arial"/>
          <w:sz w:val="21"/>
          <w:szCs w:val="21"/>
          <w:lang w:val="es-ES"/>
        </w:rPr>
      </w:pPr>
    </w:p>
    <w:p w14:paraId="77101D49" w14:textId="79DE6371" w:rsidR="0016251A" w:rsidRPr="00ED0894" w:rsidRDefault="00AD0F31" w:rsidP="00ED0894">
      <w:pPr>
        <w:pStyle w:val="Prrafodelista"/>
        <w:spacing w:after="0" w:line="276" w:lineRule="auto"/>
        <w:ind w:left="709" w:right="709"/>
        <w:jc w:val="both"/>
        <w:rPr>
          <w:rFonts w:ascii="Arial" w:hAnsi="Arial" w:cs="Arial"/>
          <w:sz w:val="21"/>
          <w:szCs w:val="21"/>
          <w:lang w:val="es-ES"/>
        </w:rPr>
      </w:pPr>
      <w:r w:rsidRPr="00ED0894">
        <w:rPr>
          <w:rFonts w:ascii="Arial" w:hAnsi="Arial" w:cs="Arial"/>
          <w:sz w:val="21"/>
          <w:szCs w:val="21"/>
          <w:lang w:val="es-ES"/>
        </w:rPr>
        <w:lastRenderedPageBreak/>
        <w:t xml:space="preserve">ii) </w:t>
      </w:r>
      <w:r w:rsidR="00F152D9" w:rsidRPr="00ED0894">
        <w:rPr>
          <w:rFonts w:ascii="Arial" w:hAnsi="Arial" w:cs="Arial"/>
          <w:sz w:val="21"/>
          <w:szCs w:val="21"/>
          <w:lang w:val="es-ES"/>
        </w:rPr>
        <w:t>«</w:t>
      </w:r>
      <w:r w:rsidR="0016251A" w:rsidRPr="00ED0894">
        <w:rPr>
          <w:rFonts w:ascii="Arial" w:hAnsi="Arial" w:cs="Arial"/>
          <w:sz w:val="21"/>
          <w:szCs w:val="21"/>
          <w:lang w:val="es-ES_tradnl" w:eastAsia="es-ES_tradnl"/>
        </w:rPr>
        <w:t>Así mismo, se solicita se aclare, el tema en cuanto si por error involuntario el proponente ingresa en el formato 5. SALDO DE CONTRATOS EN EJCUCION, un valor y/o una fecha la cual no corresponde a lo reportado por la Entidad a la página de SECOP2,  la Entidad a percatarse del error en dichos datos debe rechazar la oferta de plano con base a la causal H del No. 1.15 del pliego de condiciones, la cual refiere: “Que el proponente aporte información inexacta sobre la cual puede existir una posible falsedad en los términos de la seccion1.11”;  o por si el contrario la Entidad debe solicitar al proponente aclaración y/o subsanación como ustedes lo han establecido en conceptos anteriores</w:t>
      </w:r>
      <w:r w:rsidR="0016251A" w:rsidRPr="00ED0894">
        <w:rPr>
          <w:rFonts w:ascii="Arial" w:hAnsi="Arial" w:cs="Arial"/>
          <w:sz w:val="21"/>
          <w:szCs w:val="21"/>
          <w:lang w:val="es-ES"/>
        </w:rPr>
        <w:t xml:space="preserve">». </w:t>
      </w:r>
    </w:p>
    <w:p w14:paraId="514C3565" w14:textId="77777777" w:rsidR="00FF0D61" w:rsidRPr="00ED0894" w:rsidRDefault="00FF0D61" w:rsidP="00ED0894">
      <w:pPr>
        <w:spacing w:after="0" w:line="276" w:lineRule="auto"/>
        <w:jc w:val="both"/>
        <w:rPr>
          <w:rFonts w:ascii="Arial" w:hAnsi="Arial" w:cs="Arial"/>
        </w:rPr>
      </w:pPr>
    </w:p>
    <w:p w14:paraId="3739875D" w14:textId="0C3A3043" w:rsidR="005313FC" w:rsidRPr="00ED0894" w:rsidRDefault="005313FC" w:rsidP="00ED0894">
      <w:pPr>
        <w:spacing w:after="120" w:line="276" w:lineRule="auto"/>
        <w:jc w:val="both"/>
        <w:rPr>
          <w:rFonts w:ascii="Arial" w:hAnsi="Arial" w:cs="Arial"/>
        </w:rPr>
      </w:pPr>
      <w:r w:rsidRPr="00ED0894">
        <w:rPr>
          <w:rFonts w:ascii="Arial" w:hAnsi="Arial" w:cs="Arial"/>
        </w:rPr>
        <w:t>La causal de rechazo del literal H del numeral 1.15 aplica cuando el proponente aporta información inexacta sobre la cual pueda existir una posible falsedad, de acuerdo con lo señalado en el numeral 1.11. del documento base. Este último numeral aplica frente a la totalidad de la información y documentación aportada para cumplir los requisitos exigidos en el pliego de condiciones. Además, regula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w:t>
      </w:r>
    </w:p>
    <w:p w14:paraId="350ABF7F" w14:textId="34FF4E8F" w:rsidR="005313FC" w:rsidRPr="00ED0894" w:rsidRDefault="005313FC" w:rsidP="00ED0894">
      <w:pPr>
        <w:spacing w:after="120" w:line="276" w:lineRule="auto"/>
        <w:ind w:firstLine="709"/>
        <w:jc w:val="both"/>
        <w:rPr>
          <w:rFonts w:ascii="Arial" w:hAnsi="Arial" w:cs="Arial"/>
        </w:rPr>
      </w:pPr>
      <w:r w:rsidRPr="00ED0894">
        <w:rPr>
          <w:rFonts w:ascii="Arial" w:hAnsi="Arial" w:cs="Arial"/>
        </w:rPr>
        <w:t>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w:t>
      </w:r>
    </w:p>
    <w:p w14:paraId="5F46B84A" w14:textId="77777777" w:rsidR="00896497" w:rsidRPr="00ED0894" w:rsidRDefault="00896497" w:rsidP="00896497">
      <w:pPr>
        <w:spacing w:after="120" w:line="276" w:lineRule="auto"/>
        <w:ind w:firstLine="709"/>
        <w:jc w:val="both"/>
        <w:rPr>
          <w:rFonts w:ascii="Arial" w:hAnsi="Arial" w:cs="Arial"/>
          <w:lang w:val="es-MX"/>
        </w:rPr>
      </w:pPr>
      <w:r w:rsidRPr="00ED0894">
        <w:rPr>
          <w:rFonts w:ascii="Arial" w:hAnsi="Arial" w:cs="Arial"/>
        </w:rPr>
        <w:t xml:space="preserve">En contraste, piénsese en el evento en que el proponente reporta todos los contratos de obra en ejecución en el formato de saldos de contratos en ejecución, pero </w:t>
      </w:r>
      <w:r w:rsidRPr="00ED0894">
        <w:rPr>
          <w:rFonts w:ascii="Arial" w:hAnsi="Arial" w:cs="Arial"/>
          <w:lang w:val="es-MX"/>
        </w:rPr>
        <w:t>incurre en algún error en la información de estos contratos, como por ejemplo en el valor o el plazo</w:t>
      </w:r>
      <w:r w:rsidRPr="00ED0894">
        <w:rPr>
          <w:rFonts w:ascii="Arial" w:hAnsi="Arial" w:cs="Arial"/>
        </w:rPr>
        <w:t xml:space="preserve">. En este caso, conforme a lo explicado, en principio, no se trata de información inexacta que tenga la connotación de falsedad por lo que no habría lugar a rechazo de la </w:t>
      </w:r>
      <w:r w:rsidRPr="00ED0894">
        <w:rPr>
          <w:rFonts w:ascii="Arial" w:hAnsi="Arial" w:cs="Arial"/>
        </w:rPr>
        <w:lastRenderedPageBreak/>
        <w:t xml:space="preserve">propuesta por la causal </w:t>
      </w:r>
      <w:r w:rsidRPr="00ED0894">
        <w:rPr>
          <w:rStyle w:val="normaltextrun"/>
          <w:rFonts w:ascii="Arial" w:hAnsi="Arial" w:cs="Arial"/>
          <w:color w:val="000000"/>
          <w:shd w:val="clear" w:color="auto" w:fill="FFFFFF"/>
        </w:rPr>
        <w:t>del literal H del numeral 1.15</w:t>
      </w:r>
      <w:r w:rsidRPr="00ED0894">
        <w:rPr>
          <w:rFonts w:ascii="Arial" w:hAnsi="Arial" w:cs="Arial"/>
        </w:rPr>
        <w:t>. Por ello, si el proponente omite o se equivoca en la información específica de un contrato incluido en el formato respectivo</w:t>
      </w:r>
      <w:r w:rsidRPr="00ED0894">
        <w:rPr>
          <w:rFonts w:ascii="Arial" w:hAnsi="Arial" w:cs="Arial"/>
          <w:lang w:val="es-MX"/>
        </w:rPr>
        <w:t>, la entidad podrá requerirlo para que aclare la información y, en caso de no responder, rechazar la propuesta por la causal que consagra el literal E del numeral 1.15.</w:t>
      </w:r>
    </w:p>
    <w:p w14:paraId="417581FD" w14:textId="4CAABE6E" w:rsidR="00896497" w:rsidRPr="00ED0894" w:rsidRDefault="00896497" w:rsidP="00ED0894">
      <w:pPr>
        <w:spacing w:after="120" w:line="276" w:lineRule="auto"/>
        <w:ind w:firstLine="709"/>
        <w:jc w:val="both"/>
        <w:rPr>
          <w:rFonts w:ascii="Arial" w:hAnsi="Arial" w:cs="Arial"/>
        </w:rPr>
      </w:pPr>
      <w:r w:rsidRPr="00ED0894">
        <w:rPr>
          <w:rFonts w:ascii="Arial" w:hAnsi="Arial" w:cs="Arial"/>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w:t>
      </w:r>
      <w:r w:rsidRPr="00ED0894">
        <w:rPr>
          <w:rFonts w:ascii="Arial" w:hAnsi="Arial" w:cs="Arial"/>
          <w:lang w:val="es-MX"/>
        </w:rPr>
        <w:t>en el evento en que se reporten todos los contratos y la entidad advierta que se consignó información errada en el formato respectivo soportada en documentos presuntamente falsos. En este caso,</w:t>
      </w:r>
      <w:r w:rsidRPr="00ED0894">
        <w:rPr>
          <w:rFonts w:ascii="Arial" w:hAnsi="Arial" w:cs="Arial"/>
        </w:rPr>
        <w:t xml:space="preserve"> los datos erróneos corresponden a información inexacta sobre la cual pueda existir una posible falsedad, lo cual da lugar a la configuración de la causal del literal H </w:t>
      </w:r>
      <w:r w:rsidRPr="00ED0894">
        <w:rPr>
          <w:rFonts w:ascii="Arial" w:hAnsi="Arial" w:cs="Arial"/>
          <w:lang w:val="es-MX"/>
        </w:rPr>
        <w:t xml:space="preserve">del numeral 1.15. del documento base </w:t>
      </w:r>
      <w:r w:rsidRPr="00ED0894">
        <w:rPr>
          <w:rFonts w:ascii="Arial" w:hAnsi="Arial" w:cs="Arial"/>
        </w:rPr>
        <w:t>e impide la subsanabilidad de la oferta.   </w:t>
      </w:r>
    </w:p>
    <w:p w14:paraId="671AEEC4" w14:textId="77777777" w:rsidR="005313FC" w:rsidRPr="00ED0894" w:rsidRDefault="005313FC" w:rsidP="00ED0894">
      <w:pPr>
        <w:spacing w:after="0" w:line="276" w:lineRule="auto"/>
        <w:ind w:firstLine="708"/>
        <w:jc w:val="both"/>
        <w:rPr>
          <w:rFonts w:ascii="Arial" w:hAnsi="Arial" w:cs="Arial"/>
        </w:rPr>
      </w:pPr>
    </w:p>
    <w:p w14:paraId="1D2F2E78" w14:textId="46719725" w:rsidR="000A7622" w:rsidRPr="00ED0894" w:rsidRDefault="000A7622" w:rsidP="00ED0894">
      <w:pPr>
        <w:spacing w:after="120" w:line="276" w:lineRule="auto"/>
        <w:jc w:val="both"/>
        <w:rPr>
          <w:rFonts w:ascii="Arial" w:eastAsia="Calibri" w:hAnsi="Arial" w:cs="Arial"/>
          <w:lang w:val="es-MX"/>
        </w:rPr>
      </w:pPr>
      <w:r w:rsidRPr="00ED0894">
        <w:rPr>
          <w:rFonts w:ascii="Arial" w:eastAsia="Calibri" w:hAnsi="Arial" w:cs="Arial"/>
          <w:lang w:val="es-MX"/>
        </w:rPr>
        <w:t>Este concepto tiene el alcance previsto en el artículo 28 del Código de Procedimiento Administrativo y de lo Contencioso Administrativo.</w:t>
      </w:r>
    </w:p>
    <w:p w14:paraId="36166166" w14:textId="77777777" w:rsidR="000A7622" w:rsidRPr="00ED0894" w:rsidRDefault="000A7622" w:rsidP="000A7622">
      <w:pPr>
        <w:spacing w:after="0" w:line="240" w:lineRule="auto"/>
        <w:jc w:val="both"/>
        <w:rPr>
          <w:rFonts w:ascii="Arial" w:eastAsia="Calibri" w:hAnsi="Arial" w:cs="Arial"/>
          <w:lang w:val="es-MX"/>
        </w:rPr>
      </w:pPr>
      <w:r w:rsidRPr="00ED0894">
        <w:rPr>
          <w:noProof/>
          <w:sz w:val="24"/>
          <w:lang w:val="en-US"/>
        </w:rPr>
        <mc:AlternateContent>
          <mc:Choice Requires="wps">
            <w:drawing>
              <wp:anchor distT="0" distB="0" distL="114300" distR="114300" simplePos="0" relativeHeight="251659264" behindDoc="0" locked="0" layoutInCell="1" allowOverlap="1" wp14:anchorId="152D47CC" wp14:editId="052812E9">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040E8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3A35B8D" w14:textId="77777777" w:rsidR="000A7622" w:rsidRPr="00ED0894" w:rsidRDefault="000A7622" w:rsidP="000A7622">
      <w:pPr>
        <w:spacing w:after="0" w:line="240" w:lineRule="auto"/>
        <w:rPr>
          <w:rFonts w:ascii="Arial" w:eastAsia="Times New Roman" w:hAnsi="Arial" w:cs="Arial"/>
          <w:lang w:val="es-MX" w:eastAsia="es-CO"/>
        </w:rPr>
      </w:pPr>
      <w:r w:rsidRPr="00ED0894">
        <w:rPr>
          <w:rFonts w:ascii="Arial" w:eastAsia="Times New Roman" w:hAnsi="Arial" w:cs="Arial"/>
          <w:lang w:val="es-MX" w:eastAsia="es-CO"/>
        </w:rPr>
        <w:t>Atentamente,</w:t>
      </w:r>
    </w:p>
    <w:bookmarkEnd w:id="2"/>
    <w:p w14:paraId="509F8ECD" w14:textId="031A77D5" w:rsidR="000A7622" w:rsidRPr="00ED0894" w:rsidRDefault="00C8352A" w:rsidP="000A7622">
      <w:pPr>
        <w:spacing w:after="0" w:line="276" w:lineRule="auto"/>
        <w:jc w:val="center"/>
        <w:rPr>
          <w:rFonts w:ascii="Arial" w:eastAsia="Times New Roman" w:hAnsi="Arial" w:cs="Arial"/>
          <w:color w:val="000000"/>
          <w:lang w:val="es-ES_tradnl" w:eastAsia="es-CO"/>
        </w:rPr>
      </w:pPr>
      <w:r>
        <w:rPr>
          <w:noProof/>
        </w:rPr>
        <w:drawing>
          <wp:inline distT="0" distB="0" distL="0" distR="0" wp14:anchorId="18031A3B" wp14:editId="69F55067">
            <wp:extent cx="2171700" cy="9239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7B090A00" w14:textId="77777777" w:rsidR="000A7622" w:rsidRPr="00ED0894" w:rsidRDefault="000A7622" w:rsidP="000A7622">
      <w:pPr>
        <w:spacing w:after="0" w:line="276" w:lineRule="auto"/>
        <w:jc w:val="center"/>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0A7622" w:rsidRPr="00ED0894" w14:paraId="6BF51601" w14:textId="77777777" w:rsidTr="0047539E">
        <w:trPr>
          <w:trHeight w:val="136"/>
        </w:trPr>
        <w:tc>
          <w:tcPr>
            <w:tcW w:w="802" w:type="dxa"/>
            <w:vAlign w:val="center"/>
            <w:hideMark/>
          </w:tcPr>
          <w:p w14:paraId="24D1A1FB"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Elaboró:</w:t>
            </w:r>
          </w:p>
        </w:tc>
        <w:tc>
          <w:tcPr>
            <w:tcW w:w="4362" w:type="dxa"/>
            <w:tcBorders>
              <w:top w:val="nil"/>
              <w:left w:val="nil"/>
              <w:bottom w:val="dotted" w:sz="4" w:space="0" w:color="7F7F7F"/>
              <w:right w:val="nil"/>
            </w:tcBorders>
            <w:vAlign w:val="center"/>
            <w:hideMark/>
          </w:tcPr>
          <w:p w14:paraId="732A89C9" w14:textId="2941C36E" w:rsidR="00591635" w:rsidRPr="00ED0894" w:rsidRDefault="00591635"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Nathalia Andrea Urrego Jiménez</w:t>
            </w:r>
          </w:p>
          <w:p w14:paraId="41260E08" w14:textId="2210A22E"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Contratista de la Subdirección de Gestión Contractual</w:t>
            </w:r>
          </w:p>
        </w:tc>
      </w:tr>
      <w:tr w:rsidR="000A7622" w:rsidRPr="00ED0894" w14:paraId="1D0180E8" w14:textId="77777777" w:rsidTr="0047539E">
        <w:trPr>
          <w:trHeight w:val="281"/>
        </w:trPr>
        <w:tc>
          <w:tcPr>
            <w:tcW w:w="802" w:type="dxa"/>
            <w:vAlign w:val="center"/>
            <w:hideMark/>
          </w:tcPr>
          <w:p w14:paraId="345A210C"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Revisó:</w:t>
            </w:r>
          </w:p>
        </w:tc>
        <w:tc>
          <w:tcPr>
            <w:tcW w:w="4362" w:type="dxa"/>
            <w:tcBorders>
              <w:top w:val="dotted" w:sz="4" w:space="0" w:color="7F7F7F"/>
              <w:left w:val="nil"/>
              <w:bottom w:val="dotted" w:sz="4" w:space="0" w:color="7F7F7F"/>
              <w:right w:val="nil"/>
            </w:tcBorders>
            <w:vAlign w:val="center"/>
            <w:hideMark/>
          </w:tcPr>
          <w:p w14:paraId="00B2866E" w14:textId="77777777" w:rsidR="000A7622" w:rsidRPr="00ED0894" w:rsidRDefault="000A7622" w:rsidP="0047539E">
            <w:pPr>
              <w:rPr>
                <w:rFonts w:ascii="Arial" w:eastAsia="Times New Roman" w:hAnsi="Arial" w:cs="Arial"/>
                <w:sz w:val="16"/>
                <w:szCs w:val="16"/>
                <w:lang w:val="es-MX" w:eastAsia="es-ES"/>
              </w:rPr>
            </w:pPr>
            <w:r w:rsidRPr="00ED0894">
              <w:rPr>
                <w:rFonts w:ascii="Arial" w:eastAsia="Times New Roman" w:hAnsi="Arial" w:cs="Arial"/>
                <w:sz w:val="16"/>
                <w:szCs w:val="16"/>
                <w:lang w:val="es-MX" w:eastAsia="es-ES"/>
              </w:rPr>
              <w:t>Juan David Montoya Penagos</w:t>
            </w:r>
          </w:p>
          <w:p w14:paraId="5BDBDEDC"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shd w:val="clear" w:color="auto" w:fill="FFFFFF"/>
                <w:lang w:eastAsia="es-ES_tradnl"/>
              </w:rPr>
              <w:t>Gestor T1-15 de la </w:t>
            </w:r>
            <w:r w:rsidRPr="00ED0894">
              <w:rPr>
                <w:rFonts w:ascii="Arial" w:eastAsia="Times New Roman" w:hAnsi="Arial" w:cs="Arial"/>
                <w:color w:val="000000"/>
                <w:sz w:val="16"/>
                <w:szCs w:val="16"/>
                <w:lang w:val="es-ES" w:eastAsia="es-ES"/>
              </w:rPr>
              <w:t>Subdirección de Gestión Contractual</w:t>
            </w:r>
          </w:p>
        </w:tc>
      </w:tr>
      <w:tr w:rsidR="000A7622" w:rsidRPr="008B2D1D" w14:paraId="28D91BF1" w14:textId="77777777" w:rsidTr="0047539E">
        <w:trPr>
          <w:trHeight w:val="256"/>
        </w:trPr>
        <w:tc>
          <w:tcPr>
            <w:tcW w:w="802" w:type="dxa"/>
            <w:vAlign w:val="center"/>
            <w:hideMark/>
          </w:tcPr>
          <w:p w14:paraId="5DBB0132"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Aprobó:</w:t>
            </w:r>
          </w:p>
        </w:tc>
        <w:tc>
          <w:tcPr>
            <w:tcW w:w="4362" w:type="dxa"/>
            <w:tcBorders>
              <w:top w:val="dotted" w:sz="4" w:space="0" w:color="7F7F7F"/>
              <w:left w:val="nil"/>
              <w:bottom w:val="dotted" w:sz="4" w:space="0" w:color="7F7F7F"/>
              <w:right w:val="nil"/>
            </w:tcBorders>
            <w:vAlign w:val="center"/>
            <w:hideMark/>
          </w:tcPr>
          <w:p w14:paraId="7C0E8F53" w14:textId="77777777" w:rsidR="00591635" w:rsidRPr="00ED0894" w:rsidRDefault="00591635" w:rsidP="00591635">
            <w:pPr>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Andrés Ricardo Mancipe González</w:t>
            </w:r>
          </w:p>
          <w:p w14:paraId="60F16C6A" w14:textId="437646C6" w:rsidR="000A7622" w:rsidRPr="008B2D1D" w:rsidRDefault="00591635"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Subdirector de Gestión Contractual (E)</w:t>
            </w:r>
          </w:p>
        </w:tc>
      </w:tr>
    </w:tbl>
    <w:p w14:paraId="2C11A293" w14:textId="77777777" w:rsidR="000A7622" w:rsidRPr="008B2D1D" w:rsidRDefault="000A7622" w:rsidP="000A7622">
      <w:pPr>
        <w:spacing w:after="0" w:line="240" w:lineRule="auto"/>
        <w:jc w:val="both"/>
        <w:rPr>
          <w:rFonts w:ascii="Arial" w:eastAsia="Times New Roman" w:hAnsi="Arial" w:cs="Arial"/>
          <w:sz w:val="24"/>
          <w:szCs w:val="24"/>
          <w:lang w:val="es-ES_tradnl" w:eastAsia="es-ES_tradnl"/>
        </w:rPr>
      </w:pPr>
    </w:p>
    <w:p w14:paraId="7C3B0AC7" w14:textId="77777777" w:rsidR="00FB347B" w:rsidRDefault="00FB347B"/>
    <w:sectPr w:rsidR="00FB347B"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FDE5" w14:textId="77777777" w:rsidR="00B55D56" w:rsidRDefault="00B55D56" w:rsidP="000A7622">
      <w:pPr>
        <w:spacing w:after="0" w:line="240" w:lineRule="auto"/>
      </w:pPr>
      <w:r>
        <w:separator/>
      </w:r>
    </w:p>
  </w:endnote>
  <w:endnote w:type="continuationSeparator" w:id="0">
    <w:p w14:paraId="125C5405" w14:textId="77777777" w:rsidR="00B55D56" w:rsidRDefault="00B55D56" w:rsidP="000A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62E" w14:textId="77777777" w:rsidR="000126BB" w:rsidRPr="005A79FE" w:rsidRDefault="000D2FE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D3A5B2" w14:textId="77777777" w:rsidR="000126BB" w:rsidRDefault="000D2FE0" w:rsidP="007B0854">
    <w:pPr>
      <w:pStyle w:val="Piedepgina"/>
      <w:jc w:val="center"/>
      <w:rPr>
        <w:lang w:val="es-ES"/>
      </w:rPr>
    </w:pPr>
    <w:r>
      <w:rPr>
        <w:noProof/>
      </w:rPr>
      <w:drawing>
        <wp:inline distT="0" distB="0" distL="0" distR="0" wp14:anchorId="3BDC0147" wp14:editId="0229DDA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8888657" w14:textId="77777777" w:rsidR="00E17C49" w:rsidRDefault="00B55D56" w:rsidP="007B0854">
    <w:pPr>
      <w:pStyle w:val="Piedepgina"/>
      <w:jc w:val="center"/>
      <w:rPr>
        <w:lang w:val="es-ES"/>
      </w:rPr>
    </w:pPr>
  </w:p>
  <w:p w14:paraId="38968801" w14:textId="77777777" w:rsidR="000126BB" w:rsidRPr="007B0854" w:rsidRDefault="00B55D56"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951E" w14:textId="77777777" w:rsidR="00B55D56" w:rsidRDefault="00B55D56" w:rsidP="000A7622">
      <w:pPr>
        <w:spacing w:after="0" w:line="240" w:lineRule="auto"/>
      </w:pPr>
      <w:r>
        <w:separator/>
      </w:r>
    </w:p>
  </w:footnote>
  <w:footnote w:type="continuationSeparator" w:id="0">
    <w:p w14:paraId="3B708A63" w14:textId="77777777" w:rsidR="00B55D56" w:rsidRDefault="00B55D56" w:rsidP="000A7622">
      <w:pPr>
        <w:spacing w:after="0" w:line="240" w:lineRule="auto"/>
      </w:pPr>
      <w:r>
        <w:continuationSeparator/>
      </w:r>
    </w:p>
  </w:footnote>
  <w:footnote w:id="1">
    <w:p w14:paraId="2E371275" w14:textId="77777777" w:rsidR="00C2687E" w:rsidRPr="00C243E3" w:rsidRDefault="00C2687E" w:rsidP="00C2687E">
      <w:pPr>
        <w:pStyle w:val="Textonotapie"/>
        <w:ind w:firstLine="709"/>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11CBF064" w14:textId="77777777" w:rsidR="00C2687E" w:rsidRPr="00C243E3" w:rsidRDefault="00C2687E" w:rsidP="00C2687E">
      <w:pPr>
        <w:pStyle w:val="Textonotapie"/>
        <w:ind w:firstLine="709"/>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57D1F6A8" w14:textId="77777777" w:rsidR="00C2687E" w:rsidRDefault="00C2687E" w:rsidP="00C2687E">
      <w:pPr>
        <w:pStyle w:val="Textonotapie"/>
        <w:ind w:firstLine="709"/>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2CF06C11" w14:textId="77777777" w:rsidR="00C2687E" w:rsidRPr="00C243E3" w:rsidRDefault="00C2687E" w:rsidP="00C2687E">
      <w:pPr>
        <w:pStyle w:val="Textonotapie"/>
        <w:ind w:firstLine="709"/>
        <w:jc w:val="both"/>
        <w:rPr>
          <w:rFonts w:ascii="Arial" w:hAnsi="Arial" w:cs="Arial"/>
          <w:color w:val="000000" w:themeColor="text1"/>
          <w:sz w:val="19"/>
          <w:szCs w:val="19"/>
          <w:lang w:val="es-CO"/>
        </w:rPr>
      </w:pPr>
    </w:p>
  </w:footnote>
  <w:footnote w:id="2">
    <w:p w14:paraId="1E6E8445" w14:textId="77777777" w:rsidR="00C2687E" w:rsidRPr="00C243E3" w:rsidRDefault="00C2687E" w:rsidP="00C2687E">
      <w:pPr>
        <w:pStyle w:val="Textonotapie"/>
        <w:ind w:firstLine="709"/>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Pr="00C243E3">
        <w:rPr>
          <w:rFonts w:ascii="Arial" w:eastAsia="Calibri" w:hAnsi="Arial" w:cs="Arial"/>
          <w:color w:val="000000" w:themeColor="text1"/>
          <w:sz w:val="19"/>
          <w:szCs w:val="19"/>
        </w:rPr>
        <w:t xml:space="preserve">Consejo </w:t>
      </w:r>
      <w:r>
        <w:rPr>
          <w:rFonts w:ascii="Arial" w:eastAsia="Calibri" w:hAnsi="Arial" w:cs="Arial"/>
          <w:color w:val="000000" w:themeColor="text1"/>
          <w:sz w:val="19"/>
          <w:szCs w:val="19"/>
        </w:rPr>
        <w:t>d</w:t>
      </w:r>
      <w:r w:rsidRPr="00C243E3">
        <w:rPr>
          <w:rFonts w:ascii="Arial" w:eastAsia="Calibri" w:hAnsi="Arial" w:cs="Arial"/>
          <w:color w:val="000000" w:themeColor="text1"/>
          <w:sz w:val="19"/>
          <w:szCs w:val="19"/>
        </w:rPr>
        <w:t xml:space="preserve">e Estado. Sección Tercera. Sentencia del 26 de junio de 2003. Rad. 13.354. C.P: María Elena Giraldo Gómez. </w:t>
      </w:r>
    </w:p>
  </w:footnote>
  <w:footnote w:id="3">
    <w:p w14:paraId="10D51878" w14:textId="77777777" w:rsidR="00C2687E" w:rsidRPr="00FB670A" w:rsidRDefault="00C2687E" w:rsidP="00C2687E">
      <w:pPr>
        <w:pStyle w:val="NormalWeb"/>
        <w:shd w:val="clear" w:color="auto" w:fill="FFFFFF"/>
        <w:spacing w:after="0" w:line="240" w:lineRule="auto"/>
        <w:ind w:firstLine="709"/>
        <w:jc w:val="both"/>
        <w:rPr>
          <w:rFonts w:ascii="Arial" w:hAnsi="Arial" w:cs="Arial"/>
          <w:sz w:val="19"/>
          <w:szCs w:val="19"/>
        </w:rPr>
      </w:pPr>
      <w:r w:rsidRPr="00816383">
        <w:rPr>
          <w:rStyle w:val="Refdenotaalpie"/>
          <w:rFonts w:ascii="Arial" w:hAnsi="Arial" w:cs="Arial"/>
          <w:sz w:val="19"/>
          <w:szCs w:val="19"/>
          <w:lang w:val="es-MX"/>
        </w:rPr>
        <w:footnoteRef/>
      </w:r>
      <w:r w:rsidRPr="00816383">
        <w:rPr>
          <w:rStyle w:val="Refdenotaalpie"/>
          <w:rFonts w:ascii="Arial" w:hAnsi="Arial" w:cs="Arial"/>
          <w:sz w:val="19"/>
          <w:szCs w:val="19"/>
          <w:lang w:val="es-MX"/>
        </w:rPr>
        <w:t xml:space="preserve"> </w:t>
      </w:r>
      <w:r w:rsidRPr="00816383">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5A187F6B" w14:textId="77777777" w:rsidR="00C2687E" w:rsidRPr="00FB670A" w:rsidRDefault="00C2687E" w:rsidP="00C2687E">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78DD252D" w14:textId="77777777" w:rsidR="00C2687E" w:rsidRPr="00FB670A" w:rsidRDefault="00C2687E" w:rsidP="00C2687E">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6E83279" w14:textId="77777777" w:rsidR="00C2687E" w:rsidRPr="00FB670A" w:rsidRDefault="00C2687E" w:rsidP="00C2687E">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7F815818" w14:textId="77777777" w:rsidR="00F7551C" w:rsidRPr="00F50E2F" w:rsidRDefault="00F7551C" w:rsidP="00F7551C">
      <w:pPr>
        <w:pStyle w:val="Textonotapie"/>
        <w:ind w:firstLine="709"/>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5">
    <w:p w14:paraId="6F029CD0" w14:textId="77777777" w:rsidR="000A7622" w:rsidRPr="00B637F3" w:rsidRDefault="000A7622" w:rsidP="000A7622">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5246CF72" w14:textId="77777777" w:rsidR="000A7622" w:rsidRPr="00B637F3" w:rsidRDefault="000A7622" w:rsidP="000A762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3A3C" w14:textId="77777777" w:rsidR="000126BB" w:rsidRDefault="00B55D56">
    <w:pPr>
      <w:pStyle w:val="Encabezado"/>
    </w:pPr>
  </w:p>
  <w:p w14:paraId="3B73BFE7" w14:textId="77777777" w:rsidR="000126BB" w:rsidRDefault="00B55D56">
    <w:pPr>
      <w:pStyle w:val="Encabezado"/>
    </w:pPr>
  </w:p>
  <w:p w14:paraId="6295CBEC" w14:textId="77777777" w:rsidR="000126BB" w:rsidRDefault="000D2FE0">
    <w:pPr>
      <w:pStyle w:val="Encabezado"/>
    </w:pPr>
    <w:r>
      <w:rPr>
        <w:noProof/>
        <w:lang w:val="en-US"/>
      </w:rPr>
      <w:drawing>
        <wp:anchor distT="0" distB="0" distL="114300" distR="114300" simplePos="0" relativeHeight="251659264" behindDoc="1" locked="0" layoutInCell="1" allowOverlap="1" wp14:anchorId="64D3CB28" wp14:editId="0371BB5E">
          <wp:simplePos x="0" y="0"/>
          <wp:positionH relativeFrom="margin">
            <wp:align>right</wp:align>
          </wp:positionH>
          <wp:positionV relativeFrom="paragraph">
            <wp:posOffset>50165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BCFB39" w14:textId="77777777" w:rsidR="000126BB" w:rsidRDefault="00B55D56">
    <w:pPr>
      <w:pStyle w:val="Encabezado"/>
    </w:pPr>
  </w:p>
  <w:p w14:paraId="17FE6F0F" w14:textId="77777777" w:rsidR="000126BB" w:rsidRDefault="00B55D56">
    <w:pPr>
      <w:pStyle w:val="Encabezado"/>
    </w:pPr>
  </w:p>
  <w:p w14:paraId="16F75284" w14:textId="77777777" w:rsidR="000126BB" w:rsidRDefault="00B55D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E2531A"/>
    <w:multiLevelType w:val="hybridMultilevel"/>
    <w:tmpl w:val="AE56CDC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E53474"/>
    <w:multiLevelType w:val="hybridMultilevel"/>
    <w:tmpl w:val="2FA0710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7A4574"/>
    <w:multiLevelType w:val="hybridMultilevel"/>
    <w:tmpl w:val="2FA07102"/>
    <w:lvl w:ilvl="0" w:tplc="80745C7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BD1E8E"/>
    <w:multiLevelType w:val="hybridMultilevel"/>
    <w:tmpl w:val="2588237E"/>
    <w:lvl w:ilvl="0" w:tplc="DFB24972">
      <w:start w:val="5"/>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291248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2396945">
    <w:abstractNumId w:val="6"/>
  </w:num>
  <w:num w:numId="3" w16cid:durableId="205065944">
    <w:abstractNumId w:val="4"/>
  </w:num>
  <w:num w:numId="4" w16cid:durableId="939869568">
    <w:abstractNumId w:val="1"/>
  </w:num>
  <w:num w:numId="5" w16cid:durableId="2127503388">
    <w:abstractNumId w:val="2"/>
  </w:num>
  <w:num w:numId="6" w16cid:durableId="564338357">
    <w:abstractNumId w:val="5"/>
  </w:num>
  <w:num w:numId="7" w16cid:durableId="162816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22"/>
    <w:rsid w:val="00000E2C"/>
    <w:rsid w:val="00016705"/>
    <w:rsid w:val="000417F2"/>
    <w:rsid w:val="00055BD4"/>
    <w:rsid w:val="00057FA3"/>
    <w:rsid w:val="0009485D"/>
    <w:rsid w:val="000A1C7D"/>
    <w:rsid w:val="000A54EF"/>
    <w:rsid w:val="000A7622"/>
    <w:rsid w:val="000D2FE0"/>
    <w:rsid w:val="000F48D7"/>
    <w:rsid w:val="00105BCD"/>
    <w:rsid w:val="00105E8F"/>
    <w:rsid w:val="00110D55"/>
    <w:rsid w:val="00125E16"/>
    <w:rsid w:val="00132FCD"/>
    <w:rsid w:val="001425C6"/>
    <w:rsid w:val="00154EC9"/>
    <w:rsid w:val="00156C5C"/>
    <w:rsid w:val="0016251A"/>
    <w:rsid w:val="00181A0F"/>
    <w:rsid w:val="001A5C14"/>
    <w:rsid w:val="001B1730"/>
    <w:rsid w:val="001E1D22"/>
    <w:rsid w:val="001F1354"/>
    <w:rsid w:val="0020268A"/>
    <w:rsid w:val="002053BE"/>
    <w:rsid w:val="002075BE"/>
    <w:rsid w:val="00237059"/>
    <w:rsid w:val="002811F9"/>
    <w:rsid w:val="00284465"/>
    <w:rsid w:val="00294599"/>
    <w:rsid w:val="002C0A42"/>
    <w:rsid w:val="002C1B88"/>
    <w:rsid w:val="002C2699"/>
    <w:rsid w:val="002C3D14"/>
    <w:rsid w:val="002D48C2"/>
    <w:rsid w:val="00310D55"/>
    <w:rsid w:val="003245D9"/>
    <w:rsid w:val="00344C12"/>
    <w:rsid w:val="00362393"/>
    <w:rsid w:val="003F0D79"/>
    <w:rsid w:val="00414594"/>
    <w:rsid w:val="00425781"/>
    <w:rsid w:val="0044201C"/>
    <w:rsid w:val="004566F2"/>
    <w:rsid w:val="004A0BA5"/>
    <w:rsid w:val="004F0A05"/>
    <w:rsid w:val="004F57E4"/>
    <w:rsid w:val="005313FC"/>
    <w:rsid w:val="005539E8"/>
    <w:rsid w:val="00560B68"/>
    <w:rsid w:val="00591635"/>
    <w:rsid w:val="005A3892"/>
    <w:rsid w:val="005C1744"/>
    <w:rsid w:val="005D6D35"/>
    <w:rsid w:val="005F4108"/>
    <w:rsid w:val="005F4127"/>
    <w:rsid w:val="006323EE"/>
    <w:rsid w:val="00671FBB"/>
    <w:rsid w:val="0069537B"/>
    <w:rsid w:val="006B021A"/>
    <w:rsid w:val="006B7691"/>
    <w:rsid w:val="006C07D7"/>
    <w:rsid w:val="00725027"/>
    <w:rsid w:val="007370D2"/>
    <w:rsid w:val="00761125"/>
    <w:rsid w:val="0077505D"/>
    <w:rsid w:val="00797E31"/>
    <w:rsid w:val="007A61E4"/>
    <w:rsid w:val="007B3BDB"/>
    <w:rsid w:val="007C67F2"/>
    <w:rsid w:val="007E1B61"/>
    <w:rsid w:val="00811AFA"/>
    <w:rsid w:val="00821A2B"/>
    <w:rsid w:val="008226D6"/>
    <w:rsid w:val="008426EF"/>
    <w:rsid w:val="008633E8"/>
    <w:rsid w:val="008646C6"/>
    <w:rsid w:val="00884CC0"/>
    <w:rsid w:val="00896497"/>
    <w:rsid w:val="008A6B02"/>
    <w:rsid w:val="008B1B34"/>
    <w:rsid w:val="008E0C95"/>
    <w:rsid w:val="008E171B"/>
    <w:rsid w:val="008E66DD"/>
    <w:rsid w:val="008F6FDA"/>
    <w:rsid w:val="009050CB"/>
    <w:rsid w:val="009463A1"/>
    <w:rsid w:val="00975C57"/>
    <w:rsid w:val="00985429"/>
    <w:rsid w:val="00986B14"/>
    <w:rsid w:val="00A32359"/>
    <w:rsid w:val="00A80FCA"/>
    <w:rsid w:val="00AD0F31"/>
    <w:rsid w:val="00AE26D9"/>
    <w:rsid w:val="00B07FAF"/>
    <w:rsid w:val="00B13A27"/>
    <w:rsid w:val="00B278AC"/>
    <w:rsid w:val="00B410BB"/>
    <w:rsid w:val="00B55D56"/>
    <w:rsid w:val="00B74220"/>
    <w:rsid w:val="00BB402C"/>
    <w:rsid w:val="00BE2A4B"/>
    <w:rsid w:val="00BE42E8"/>
    <w:rsid w:val="00BF7EBE"/>
    <w:rsid w:val="00C13C1E"/>
    <w:rsid w:val="00C2687E"/>
    <w:rsid w:val="00C8339E"/>
    <w:rsid w:val="00C8352A"/>
    <w:rsid w:val="00CD13AF"/>
    <w:rsid w:val="00CD33E7"/>
    <w:rsid w:val="00CE2839"/>
    <w:rsid w:val="00D47433"/>
    <w:rsid w:val="00D525E3"/>
    <w:rsid w:val="00D83929"/>
    <w:rsid w:val="00D86992"/>
    <w:rsid w:val="00DA3DA5"/>
    <w:rsid w:val="00DC2E95"/>
    <w:rsid w:val="00DD1B30"/>
    <w:rsid w:val="00E123EA"/>
    <w:rsid w:val="00E135EC"/>
    <w:rsid w:val="00E57338"/>
    <w:rsid w:val="00E80EB4"/>
    <w:rsid w:val="00E92BD9"/>
    <w:rsid w:val="00ED0894"/>
    <w:rsid w:val="00EE6842"/>
    <w:rsid w:val="00F152D9"/>
    <w:rsid w:val="00F16542"/>
    <w:rsid w:val="00F24144"/>
    <w:rsid w:val="00F276BB"/>
    <w:rsid w:val="00F31C2D"/>
    <w:rsid w:val="00F64648"/>
    <w:rsid w:val="00F73A0C"/>
    <w:rsid w:val="00F7551C"/>
    <w:rsid w:val="00F86683"/>
    <w:rsid w:val="00FB347B"/>
    <w:rsid w:val="00FE15C1"/>
    <w:rsid w:val="00FF0BEC"/>
    <w:rsid w:val="00FF0C70"/>
    <w:rsid w:val="00FF0D6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0F9A"/>
  <w15:chartTrackingRefBased/>
  <w15:docId w15:val="{076EE74A-8228-497A-A64C-AB5C947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7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622"/>
  </w:style>
  <w:style w:type="paragraph" w:styleId="Encabezado">
    <w:name w:val="header"/>
    <w:basedOn w:val="Normal"/>
    <w:link w:val="EncabezadoCar"/>
    <w:uiPriority w:val="99"/>
    <w:unhideWhenUsed/>
    <w:rsid w:val="000A7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622"/>
  </w:style>
  <w:style w:type="paragraph" w:styleId="NormalWeb">
    <w:name w:val="Normal (Web)"/>
    <w:basedOn w:val="Normal"/>
    <w:link w:val="NormalWebCar"/>
    <w:uiPriority w:val="99"/>
    <w:unhideWhenUsed/>
    <w:rsid w:val="000A7622"/>
    <w:rPr>
      <w:rFonts w:ascii="Times New Roman" w:hAnsi="Times New Roman" w:cs="Times New Roman"/>
      <w:sz w:val="24"/>
      <w:szCs w:val="24"/>
    </w:rPr>
  </w:style>
  <w:style w:type="table" w:styleId="Tablaconcuadrcula">
    <w:name w:val="Table Grid"/>
    <w:basedOn w:val="Tablanormal"/>
    <w:uiPriority w:val="59"/>
    <w:rsid w:val="000A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A76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A7622"/>
    <w:pPr>
      <w:spacing w:after="0" w:line="240" w:lineRule="auto"/>
    </w:pPr>
    <w:rPr>
      <w:sz w:val="20"/>
      <w:szCs w:val="20"/>
      <w:lang w:val="es-MX"/>
    </w:rPr>
  </w:style>
  <w:style w:type="character" w:customStyle="1" w:styleId="TextonotapieCar1">
    <w:name w:val="Texto nota pie Car1"/>
    <w:basedOn w:val="Fuentedeprrafopredeter"/>
    <w:uiPriority w:val="99"/>
    <w:semiHidden/>
    <w:rsid w:val="000A762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0A7622"/>
    <w:rPr>
      <w:vertAlign w:val="superscript"/>
    </w:rPr>
  </w:style>
  <w:style w:type="paragraph" w:customStyle="1" w:styleId="Appelnotedebasde">
    <w:name w:val="Appel note de bas de..."/>
    <w:basedOn w:val="Normal"/>
    <w:link w:val="Refdenotaalpie"/>
    <w:uiPriority w:val="99"/>
    <w:rsid w:val="000A7622"/>
    <w:pPr>
      <w:spacing w:line="240" w:lineRule="exact"/>
    </w:pPr>
    <w:rPr>
      <w:vertAlign w:val="superscript"/>
    </w:rPr>
  </w:style>
  <w:style w:type="character" w:customStyle="1" w:styleId="NormalWebCar">
    <w:name w:val="Normal (Web) Car"/>
    <w:link w:val="NormalWeb"/>
    <w:uiPriority w:val="99"/>
    <w:rsid w:val="000A7622"/>
    <w:rPr>
      <w:rFonts w:ascii="Times New Roman" w:hAnsi="Times New Roman" w:cs="Times New Roman"/>
      <w:sz w:val="24"/>
      <w:szCs w:val="24"/>
    </w:rPr>
  </w:style>
  <w:style w:type="paragraph" w:styleId="Sinespaciado">
    <w:name w:val="No Spacing"/>
    <w:uiPriority w:val="1"/>
    <w:qFormat/>
    <w:rsid w:val="000A7622"/>
    <w:pPr>
      <w:spacing w:after="0" w:line="240" w:lineRule="auto"/>
    </w:pPr>
  </w:style>
  <w:style w:type="paragraph" w:customStyle="1" w:styleId="Default">
    <w:name w:val="Default"/>
    <w:rsid w:val="005C174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AD0F31"/>
    <w:pPr>
      <w:ind w:left="720"/>
      <w:contextualSpacing/>
    </w:pPr>
  </w:style>
  <w:style w:type="paragraph" w:styleId="Revisin">
    <w:name w:val="Revision"/>
    <w:hidden/>
    <w:uiPriority w:val="99"/>
    <w:semiHidden/>
    <w:rsid w:val="00D47433"/>
    <w:pPr>
      <w:spacing w:after="0" w:line="240" w:lineRule="auto"/>
    </w:pPr>
  </w:style>
  <w:style w:type="character" w:customStyle="1" w:styleId="normaltextrun">
    <w:name w:val="normaltextrun"/>
    <w:basedOn w:val="Fuentedeprrafopredeter"/>
    <w:rsid w:val="00B13A27"/>
  </w:style>
  <w:style w:type="character" w:styleId="Refdecomentario">
    <w:name w:val="annotation reference"/>
    <w:basedOn w:val="Fuentedeprrafopredeter"/>
    <w:uiPriority w:val="99"/>
    <w:semiHidden/>
    <w:unhideWhenUsed/>
    <w:rsid w:val="0069537B"/>
    <w:rPr>
      <w:sz w:val="16"/>
      <w:szCs w:val="16"/>
    </w:rPr>
  </w:style>
  <w:style w:type="paragraph" w:styleId="Textocomentario">
    <w:name w:val="annotation text"/>
    <w:basedOn w:val="Normal"/>
    <w:link w:val="TextocomentarioCar"/>
    <w:uiPriority w:val="99"/>
    <w:unhideWhenUsed/>
    <w:rsid w:val="0069537B"/>
    <w:pPr>
      <w:spacing w:line="240" w:lineRule="auto"/>
    </w:pPr>
    <w:rPr>
      <w:sz w:val="20"/>
      <w:szCs w:val="20"/>
    </w:rPr>
  </w:style>
  <w:style w:type="character" w:customStyle="1" w:styleId="TextocomentarioCar">
    <w:name w:val="Texto comentario Car"/>
    <w:basedOn w:val="Fuentedeprrafopredeter"/>
    <w:link w:val="Textocomentario"/>
    <w:uiPriority w:val="99"/>
    <w:rsid w:val="0069537B"/>
    <w:rPr>
      <w:sz w:val="20"/>
      <w:szCs w:val="20"/>
    </w:rPr>
  </w:style>
  <w:style w:type="paragraph" w:styleId="Asuntodelcomentario">
    <w:name w:val="annotation subject"/>
    <w:basedOn w:val="Textocomentario"/>
    <w:next w:val="Textocomentario"/>
    <w:link w:val="AsuntodelcomentarioCar"/>
    <w:uiPriority w:val="99"/>
    <w:semiHidden/>
    <w:unhideWhenUsed/>
    <w:rsid w:val="0069537B"/>
    <w:rPr>
      <w:b/>
      <w:bCs/>
    </w:rPr>
  </w:style>
  <w:style w:type="character" w:customStyle="1" w:styleId="AsuntodelcomentarioCar">
    <w:name w:val="Asunto del comentario Car"/>
    <w:basedOn w:val="TextocomentarioCar"/>
    <w:link w:val="Asuntodelcomentario"/>
    <w:uiPriority w:val="99"/>
    <w:semiHidden/>
    <w:rsid w:val="0069537B"/>
    <w:rPr>
      <w:b/>
      <w:bCs/>
      <w:sz w:val="20"/>
      <w:szCs w:val="20"/>
    </w:rPr>
  </w:style>
  <w:style w:type="paragraph" w:styleId="Textoindependiente">
    <w:name w:val="Body Text"/>
    <w:basedOn w:val="Normal"/>
    <w:link w:val="TextoindependienteCar"/>
    <w:uiPriority w:val="1"/>
    <w:qFormat/>
    <w:rsid w:val="0077505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77505D"/>
    <w:rPr>
      <w:rFonts w:ascii="Arial" w:eastAsia="Arial" w:hAnsi="Arial" w:cs="Arial"/>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9463A1"/>
  </w:style>
  <w:style w:type="paragraph" w:customStyle="1" w:styleId="paragraph">
    <w:name w:val="paragraph"/>
    <w:basedOn w:val="Normal"/>
    <w:rsid w:val="001B17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B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9535">
      <w:bodyDiv w:val="1"/>
      <w:marLeft w:val="0"/>
      <w:marRight w:val="0"/>
      <w:marTop w:val="0"/>
      <w:marBottom w:val="0"/>
      <w:divBdr>
        <w:top w:val="none" w:sz="0" w:space="0" w:color="auto"/>
        <w:left w:val="none" w:sz="0" w:space="0" w:color="auto"/>
        <w:bottom w:val="none" w:sz="0" w:space="0" w:color="auto"/>
        <w:right w:val="none" w:sz="0" w:space="0" w:color="auto"/>
      </w:divBdr>
      <w:divsChild>
        <w:div w:id="313797549">
          <w:marLeft w:val="0"/>
          <w:marRight w:val="0"/>
          <w:marTop w:val="0"/>
          <w:marBottom w:val="0"/>
          <w:divBdr>
            <w:top w:val="none" w:sz="0" w:space="0" w:color="auto"/>
            <w:left w:val="none" w:sz="0" w:space="0" w:color="auto"/>
            <w:bottom w:val="none" w:sz="0" w:space="0" w:color="auto"/>
            <w:right w:val="none" w:sz="0" w:space="0" w:color="auto"/>
          </w:divBdr>
        </w:div>
        <w:div w:id="734821112">
          <w:marLeft w:val="0"/>
          <w:marRight w:val="0"/>
          <w:marTop w:val="0"/>
          <w:marBottom w:val="0"/>
          <w:divBdr>
            <w:top w:val="none" w:sz="0" w:space="0" w:color="auto"/>
            <w:left w:val="none" w:sz="0" w:space="0" w:color="auto"/>
            <w:bottom w:val="none" w:sz="0" w:space="0" w:color="auto"/>
            <w:right w:val="none" w:sz="0" w:space="0" w:color="auto"/>
          </w:divBdr>
        </w:div>
      </w:divsChild>
    </w:div>
    <w:div w:id="898200814">
      <w:bodyDiv w:val="1"/>
      <w:marLeft w:val="0"/>
      <w:marRight w:val="0"/>
      <w:marTop w:val="0"/>
      <w:marBottom w:val="0"/>
      <w:divBdr>
        <w:top w:val="none" w:sz="0" w:space="0" w:color="auto"/>
        <w:left w:val="none" w:sz="0" w:space="0" w:color="auto"/>
        <w:bottom w:val="none" w:sz="0" w:space="0" w:color="auto"/>
        <w:right w:val="none" w:sz="0" w:space="0" w:color="auto"/>
      </w:divBdr>
      <w:divsChild>
        <w:div w:id="1297222269">
          <w:marLeft w:val="0"/>
          <w:marRight w:val="0"/>
          <w:marTop w:val="0"/>
          <w:marBottom w:val="0"/>
          <w:divBdr>
            <w:top w:val="none" w:sz="0" w:space="0" w:color="auto"/>
            <w:left w:val="none" w:sz="0" w:space="0" w:color="auto"/>
            <w:bottom w:val="none" w:sz="0" w:space="0" w:color="auto"/>
            <w:right w:val="none" w:sz="0" w:space="0" w:color="auto"/>
          </w:divBdr>
        </w:div>
        <w:div w:id="170158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6790647-93AB-481B-82D7-F7291C72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E12C7-E6F7-42A7-BDD8-ECFC7AD259FD}">
  <ds:schemaRefs>
    <ds:schemaRef ds:uri="http://schemas.openxmlformats.org/officeDocument/2006/bibliography"/>
  </ds:schemaRefs>
</ds:datastoreItem>
</file>

<file path=customXml/itemProps3.xml><?xml version="1.0" encoding="utf-8"?>
<ds:datastoreItem xmlns:ds="http://schemas.openxmlformats.org/officeDocument/2006/customXml" ds:itemID="{10D42C9D-ACE0-4F8B-A201-B096B615C307}">
  <ds:schemaRefs>
    <ds:schemaRef ds:uri="http://schemas.microsoft.com/sharepoint/v3/contenttype/forms"/>
  </ds:schemaRefs>
</ds:datastoreItem>
</file>

<file path=customXml/itemProps4.xml><?xml version="1.0" encoding="utf-8"?>
<ds:datastoreItem xmlns:ds="http://schemas.openxmlformats.org/officeDocument/2006/customXml" ds:itemID="{879D932A-5396-4132-8D42-2E86E706325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8364</Words>
  <Characters>46004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Jorge Eliecer Moran Buitrón</cp:lastModifiedBy>
  <cp:revision>8</cp:revision>
  <dcterms:created xsi:type="dcterms:W3CDTF">2022-04-07T02:51:00Z</dcterms:created>
  <dcterms:modified xsi:type="dcterms:W3CDTF">2022-05-24T20:26:00Z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