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341A" w14:textId="70F603D6" w:rsidR="00524963" w:rsidRPr="00481068" w:rsidRDefault="00D43222" w:rsidP="00524963">
      <w:pPr>
        <w:spacing w:line="276" w:lineRule="auto"/>
        <w:jc w:val="right"/>
        <w:rPr>
          <w:rFonts w:ascii="Arial" w:eastAsia="Calibri" w:hAnsi="Arial" w:cs="Arial"/>
          <w:b/>
          <w:bCs/>
          <w:sz w:val="16"/>
          <w:szCs w:val="16"/>
          <w:lang w:eastAsia="en-US"/>
        </w:rPr>
      </w:pPr>
      <w:bookmarkStart w:id="0" w:name="_Hlk29890381"/>
      <w:bookmarkEnd w:id="0"/>
      <w:r>
        <w:rPr>
          <w:rFonts w:ascii="Arial" w:hAnsi="Arial" w:cs="Arial"/>
          <w:b/>
          <w:bCs/>
          <w:sz w:val="16"/>
          <w:szCs w:val="16"/>
          <w:lang w:eastAsia="es-ES"/>
        </w:rPr>
        <w:t xml:space="preserve"> </w:t>
      </w:r>
      <w:r w:rsidR="00524963" w:rsidRPr="00481068">
        <w:rPr>
          <w:rFonts w:ascii="Arial" w:hAnsi="Arial" w:cs="Arial"/>
          <w:b/>
          <w:bCs/>
          <w:sz w:val="16"/>
          <w:szCs w:val="16"/>
          <w:lang w:eastAsia="es-ES"/>
        </w:rPr>
        <w:t>CCE-DES-FM-17</w:t>
      </w:r>
    </w:p>
    <w:p w14:paraId="00AC5863" w14:textId="77777777" w:rsidR="001A1CC0" w:rsidRPr="00481068" w:rsidRDefault="001A1CC0" w:rsidP="001A1CC0">
      <w:pPr>
        <w:spacing w:line="276" w:lineRule="auto"/>
        <w:jc w:val="both"/>
        <w:rPr>
          <w:rFonts w:ascii="Arial" w:hAnsi="Arial" w:cs="Arial"/>
          <w:noProof/>
          <w:color w:val="000000" w:themeColor="text1"/>
          <w:sz w:val="22"/>
          <w:lang w:val="es-ES_tradnl"/>
        </w:rPr>
      </w:pPr>
    </w:p>
    <w:p w14:paraId="6EC7760D" w14:textId="77777777" w:rsidR="001A1CC0" w:rsidRPr="00481068" w:rsidRDefault="001A1CC0" w:rsidP="001A1CC0">
      <w:pPr>
        <w:spacing w:after="120"/>
        <w:contextualSpacing/>
        <w:jc w:val="both"/>
        <w:rPr>
          <w:rFonts w:ascii="Arial" w:eastAsia="Calibri" w:hAnsi="Arial" w:cs="Arial"/>
          <w:b/>
          <w:bCs/>
          <w:color w:val="000000" w:themeColor="text1"/>
          <w:sz w:val="22"/>
          <w:szCs w:val="22"/>
          <w:lang w:val="es-ES_tradnl" w:eastAsia="en-US"/>
        </w:rPr>
      </w:pPr>
      <w:r w:rsidRPr="00481068">
        <w:rPr>
          <w:rFonts w:ascii="Arial" w:eastAsia="Calibri" w:hAnsi="Arial" w:cs="Arial"/>
          <w:b/>
          <w:bCs/>
          <w:color w:val="000000" w:themeColor="text1"/>
          <w:sz w:val="22"/>
          <w:szCs w:val="22"/>
          <w:lang w:val="es-ES_tradnl" w:eastAsia="en-US"/>
        </w:rPr>
        <w:t>LEY DE GARANTÍAS ELECTORALES – Finalidad</w:t>
      </w:r>
    </w:p>
    <w:p w14:paraId="7508B161" w14:textId="77777777" w:rsidR="001A1CC0" w:rsidRPr="00481068" w:rsidRDefault="001A1CC0" w:rsidP="001A1CC0">
      <w:pPr>
        <w:spacing w:after="120"/>
        <w:contextualSpacing/>
        <w:jc w:val="both"/>
        <w:rPr>
          <w:rFonts w:ascii="Arial" w:eastAsia="Calibri" w:hAnsi="Arial" w:cs="Arial"/>
          <w:color w:val="000000" w:themeColor="text1"/>
          <w:sz w:val="20"/>
          <w:szCs w:val="20"/>
          <w:lang w:val="es-ES_tradnl" w:eastAsia="en-US"/>
        </w:rPr>
      </w:pPr>
    </w:p>
    <w:p w14:paraId="6989C7C1" w14:textId="676A0635" w:rsidR="001A1CC0" w:rsidRPr="00481068" w:rsidRDefault="00465F57" w:rsidP="00465F57">
      <w:pPr>
        <w:tabs>
          <w:tab w:val="left" w:pos="426"/>
        </w:tabs>
        <w:spacing w:after="120"/>
        <w:jc w:val="both"/>
        <w:rPr>
          <w:rFonts w:ascii="Arial" w:hAnsi="Arial" w:cs="Arial"/>
          <w:bCs/>
          <w:color w:val="000000" w:themeColor="text1"/>
          <w:sz w:val="20"/>
          <w:szCs w:val="20"/>
          <w:lang w:eastAsia="es-CO"/>
        </w:rPr>
      </w:pPr>
      <w:r w:rsidRPr="00481068">
        <w:rPr>
          <w:rFonts w:ascii="Arial" w:hAnsi="Arial" w:cs="Arial"/>
          <w:bCs/>
          <w:color w:val="000000" w:themeColor="text1"/>
          <w:sz w:val="20"/>
          <w:szCs w:val="20"/>
          <w:lang w:eastAsia="es-CO"/>
        </w:rPr>
        <w:t>El ordenamiento jurídico colombiano contempla previsiones claras para evitar la obtención de beneficios personales en asuntos propios de la administración pública</w:t>
      </w:r>
      <w:r w:rsidRPr="00481068">
        <w:rPr>
          <w:rFonts w:ascii="Arial" w:hAnsi="Arial" w:cs="Arial"/>
          <w:bCs/>
          <w:i/>
          <w:iCs/>
          <w:color w:val="000000" w:themeColor="text1"/>
          <w:sz w:val="20"/>
          <w:szCs w:val="20"/>
          <w:lang w:eastAsia="es-CO"/>
        </w:rPr>
        <w:t xml:space="preserve">. </w:t>
      </w:r>
      <w:r w:rsidRPr="00481068">
        <w:rPr>
          <w:rFonts w:ascii="Arial" w:hAnsi="Arial" w:cs="Arial"/>
          <w:bCs/>
          <w:color w:val="000000" w:themeColor="text1"/>
          <w:sz w:val="20"/>
          <w:szCs w:val="20"/>
          <w:lang w:eastAsia="es-CO"/>
        </w:rPr>
        <w:t>Por ejemplo, el artículo 127 de la Constitución Política establece una prohibición contractual a los servidores públicos y en cuanto a aspectos políticos consagra restricciones a ciertos empleados del Estado, incluso en época no electoral. En el mismo sentido</w:t>
      </w:r>
      <w:r w:rsidRPr="00481068">
        <w:rPr>
          <w:rFonts w:ascii="Arial" w:hAnsi="Arial" w:cs="Arial"/>
          <w:bCs/>
          <w:color w:val="000000" w:themeColor="text1"/>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hAnsi="Arial" w:cs="Arial"/>
          <w:bCs/>
          <w:color w:val="000000" w:themeColor="text1"/>
          <w:sz w:val="20"/>
          <w:szCs w:val="20"/>
          <w:lang w:val="es-ES_tradnl" w:eastAsia="es-CO"/>
        </w:rPr>
        <w:t xml:space="preserve"> </w:t>
      </w:r>
      <w:r w:rsidRPr="00481068">
        <w:rPr>
          <w:rFonts w:ascii="Arial" w:hAnsi="Arial" w:cs="Arial"/>
          <w:bCs/>
          <w:color w:val="000000" w:themeColor="text1"/>
          <w:sz w:val="20"/>
          <w:szCs w:val="20"/>
          <w:lang w:val="es-MX" w:eastAsia="es-CO"/>
        </w:rPr>
        <w:t>En armonía con lo anterior, la Corte Constitucional ha abordado la definición de la Ley de Garantías Electorales</w:t>
      </w:r>
      <w:r w:rsidR="001A1CC0" w:rsidRPr="00481068">
        <w:rPr>
          <w:rFonts w:ascii="Arial" w:hAnsi="Arial" w:cs="Arial"/>
          <w:bCs/>
          <w:color w:val="000000" w:themeColor="text1"/>
          <w:sz w:val="20"/>
          <w:szCs w:val="20"/>
          <w:lang w:val="es-ES_tradnl" w:eastAsia="es-CO"/>
        </w:rPr>
        <w:t>.</w:t>
      </w:r>
      <w:r w:rsidRPr="00481068">
        <w:rPr>
          <w:rFonts w:ascii="Arial" w:hAnsi="Arial" w:cs="Arial"/>
          <w:bCs/>
          <w:color w:val="000000" w:themeColor="text1"/>
          <w:sz w:val="20"/>
          <w:szCs w:val="20"/>
          <w:lang w:val="es-ES_tradnl" w:eastAsia="es-CO"/>
        </w:rPr>
        <w:t xml:space="preserve"> </w:t>
      </w:r>
      <w:r w:rsidRPr="00481068">
        <w:rPr>
          <w:rFonts w:ascii="Arial" w:hAnsi="Arial" w:cs="Arial"/>
          <w:bCs/>
          <w:color w:val="000000" w:themeColor="text1"/>
          <w:sz w:val="20"/>
          <w:szCs w:val="20"/>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65C11825" w14:textId="77777777" w:rsidR="001A1CC0" w:rsidRPr="00481068" w:rsidRDefault="001A1CC0" w:rsidP="001A1CC0">
      <w:pPr>
        <w:tabs>
          <w:tab w:val="left" w:pos="426"/>
        </w:tabs>
        <w:jc w:val="both"/>
        <w:rPr>
          <w:rFonts w:ascii="Arial" w:eastAsia="Calibri" w:hAnsi="Arial" w:cs="Arial"/>
          <w:bCs/>
          <w:color w:val="000000" w:themeColor="text1"/>
          <w:sz w:val="20"/>
          <w:szCs w:val="20"/>
          <w:lang w:val="es-ES_tradnl" w:eastAsia="en-US"/>
        </w:rPr>
      </w:pPr>
    </w:p>
    <w:p w14:paraId="3BC825E6" w14:textId="77777777" w:rsidR="001A1CC0" w:rsidRPr="00481068" w:rsidRDefault="001A1CC0" w:rsidP="001A1CC0">
      <w:pPr>
        <w:tabs>
          <w:tab w:val="left" w:pos="426"/>
        </w:tabs>
        <w:jc w:val="both"/>
        <w:rPr>
          <w:rFonts w:ascii="Arial" w:eastAsia="Calibri" w:hAnsi="Arial" w:cs="Arial"/>
          <w:b/>
          <w:bCs/>
          <w:color w:val="000000" w:themeColor="text1"/>
          <w:sz w:val="22"/>
          <w:szCs w:val="22"/>
          <w:lang w:val="es-ES_tradnl" w:eastAsia="en-US"/>
        </w:rPr>
      </w:pPr>
      <w:bookmarkStart w:id="1" w:name="_Hlk77152637"/>
      <w:bookmarkStart w:id="2" w:name="_Hlk77157066"/>
      <w:r w:rsidRPr="00481068">
        <w:rPr>
          <w:rFonts w:ascii="Arial" w:eastAsia="Calibri" w:hAnsi="Arial" w:cs="Arial"/>
          <w:b/>
          <w:bCs/>
          <w:color w:val="000000" w:themeColor="text1"/>
          <w:sz w:val="22"/>
          <w:szCs w:val="22"/>
          <w:lang w:val="es-ES_tradnl" w:eastAsia="en-US"/>
        </w:rPr>
        <w:t>LEY DE GARANTÍAS ELECTORALES ‒</w:t>
      </w:r>
      <w:bookmarkEnd w:id="1"/>
      <w:r w:rsidRPr="00481068">
        <w:rPr>
          <w:rFonts w:ascii="Arial" w:eastAsia="Calibri" w:hAnsi="Arial" w:cs="Arial"/>
          <w:b/>
          <w:bCs/>
          <w:color w:val="000000" w:themeColor="text1"/>
          <w:sz w:val="22"/>
          <w:szCs w:val="22"/>
          <w:lang w:val="es-ES_tradnl" w:eastAsia="en-US"/>
        </w:rPr>
        <w:t xml:space="preserve"> Restricciones </w:t>
      </w:r>
      <w:bookmarkStart w:id="3" w:name="_Hlk77157034"/>
      <w:r w:rsidRPr="00481068">
        <w:rPr>
          <w:rFonts w:ascii="Arial" w:eastAsia="Calibri" w:hAnsi="Arial" w:cs="Arial"/>
          <w:b/>
          <w:bCs/>
          <w:color w:val="000000" w:themeColor="text1"/>
          <w:sz w:val="22"/>
          <w:szCs w:val="22"/>
          <w:lang w:val="es-ES_tradnl" w:eastAsia="en-US"/>
        </w:rPr>
        <w:t xml:space="preserve">‒ </w:t>
      </w:r>
      <w:bookmarkEnd w:id="3"/>
      <w:r w:rsidRPr="00481068">
        <w:rPr>
          <w:rFonts w:ascii="Arial" w:eastAsia="Calibri" w:hAnsi="Arial" w:cs="Arial"/>
          <w:b/>
          <w:bCs/>
          <w:color w:val="000000" w:themeColor="text1"/>
          <w:sz w:val="22"/>
          <w:szCs w:val="22"/>
          <w:lang w:val="es-ES_tradnl" w:eastAsia="en-US"/>
        </w:rPr>
        <w:t>Contratación</w:t>
      </w:r>
      <w:bookmarkStart w:id="4" w:name="_Hlk77153098"/>
      <w:r w:rsidRPr="00481068">
        <w:rPr>
          <w:rFonts w:ascii="Arial" w:eastAsia="Calibri" w:hAnsi="Arial" w:cs="Arial"/>
          <w:b/>
          <w:bCs/>
          <w:color w:val="000000" w:themeColor="text1"/>
          <w:sz w:val="22"/>
          <w:szCs w:val="22"/>
          <w:lang w:val="es-ES_tradnl" w:eastAsia="en-US"/>
        </w:rPr>
        <w:t xml:space="preserve"> ‒ Tipos de elección</w:t>
      </w:r>
      <w:bookmarkEnd w:id="4"/>
      <w:r w:rsidRPr="00481068">
        <w:rPr>
          <w:rFonts w:ascii="Arial" w:eastAsia="Calibri" w:hAnsi="Arial" w:cs="Arial"/>
          <w:b/>
          <w:bCs/>
          <w:color w:val="000000" w:themeColor="text1"/>
          <w:sz w:val="22"/>
          <w:szCs w:val="22"/>
          <w:lang w:val="es-ES_tradnl" w:eastAsia="en-US"/>
        </w:rPr>
        <w:t xml:space="preserve"> </w:t>
      </w:r>
    </w:p>
    <w:p w14:paraId="0862B5F6" w14:textId="77777777" w:rsidR="001A1CC0" w:rsidRPr="00481068" w:rsidRDefault="001A1CC0" w:rsidP="001A1CC0">
      <w:pPr>
        <w:tabs>
          <w:tab w:val="left" w:pos="426"/>
        </w:tabs>
        <w:jc w:val="both"/>
        <w:rPr>
          <w:rFonts w:ascii="Arial" w:eastAsia="Calibri" w:hAnsi="Arial" w:cs="Arial"/>
          <w:b/>
          <w:bCs/>
          <w:color w:val="000000" w:themeColor="text1"/>
          <w:sz w:val="20"/>
          <w:szCs w:val="20"/>
          <w:lang w:val="es-ES_tradnl" w:eastAsia="en-US"/>
        </w:rPr>
      </w:pPr>
    </w:p>
    <w:p w14:paraId="55961553" w14:textId="3C2EB888" w:rsidR="001A1CC0" w:rsidRPr="00481068" w:rsidRDefault="00465F57" w:rsidP="00465F57">
      <w:pPr>
        <w:tabs>
          <w:tab w:val="left" w:pos="426"/>
        </w:tabs>
        <w:jc w:val="both"/>
        <w:rPr>
          <w:rFonts w:ascii="Arial" w:hAnsi="Arial" w:cs="Arial"/>
          <w:bCs/>
          <w:color w:val="000000" w:themeColor="text1"/>
          <w:sz w:val="20"/>
          <w:szCs w:val="20"/>
          <w:lang w:val="es-ES_tradnl" w:eastAsia="es-CO" w:bidi="es-ES"/>
        </w:rPr>
      </w:pPr>
      <w:bookmarkStart w:id="5" w:name="_Hlk77165666"/>
      <w:bookmarkEnd w:id="2"/>
      <w:r w:rsidRPr="00481068">
        <w:rPr>
          <w:rFonts w:ascii="Arial" w:hAnsi="Arial" w:cs="Arial"/>
          <w:bCs/>
          <w:color w:val="000000" w:themeColor="text1"/>
          <w:sz w:val="20"/>
          <w:szCs w:val="20"/>
          <w:lang w:val="es-ES_tradnl" w:eastAsia="es-CO"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 </w:t>
      </w:r>
      <w:r w:rsidRPr="00481068">
        <w:rPr>
          <w:rFonts w:ascii="Arial" w:hAnsi="Arial" w:cs="Arial"/>
          <w:bCs/>
          <w:color w:val="000000" w:themeColor="text1"/>
          <w:sz w:val="20"/>
          <w:szCs w:val="20"/>
          <w:lang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068">
        <w:rPr>
          <w:rFonts w:ascii="Arial" w:hAnsi="Arial" w:cs="Arial"/>
          <w:bCs/>
          <w:color w:val="000000" w:themeColor="text1"/>
          <w:sz w:val="20"/>
          <w:szCs w:val="20"/>
          <w:lang w:val="es-ES_tradnl" w:eastAsia="es-CO" w:bidi="es-ES"/>
        </w:rPr>
        <w:t xml:space="preserve"> </w:t>
      </w:r>
      <w:r w:rsidRPr="00481068">
        <w:rPr>
          <w:rFonts w:ascii="Arial" w:hAnsi="Arial" w:cs="Arial"/>
          <w:bCs/>
          <w:color w:val="000000" w:themeColor="text1"/>
          <w:sz w:val="20"/>
          <w:szCs w:val="20"/>
          <w:lang w:eastAsia="es-CO"/>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481068">
        <w:rPr>
          <w:rFonts w:ascii="Arial" w:hAnsi="Arial" w:cs="Arial"/>
          <w:bCs/>
          <w:color w:val="000000" w:themeColor="text1"/>
          <w:sz w:val="20"/>
          <w:szCs w:val="20"/>
          <w:lang w:val="es-MX" w:eastAsia="es-CO"/>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hAnsi="Arial" w:cs="Arial"/>
          <w:bCs/>
          <w:color w:val="000000" w:themeColor="text1"/>
          <w:sz w:val="20"/>
          <w:szCs w:val="20"/>
          <w:lang w:eastAsia="es-CO"/>
        </w:rPr>
        <w:t>»</w:t>
      </w:r>
    </w:p>
    <w:p w14:paraId="79BCEDE9" w14:textId="77777777" w:rsidR="001A1CC0" w:rsidRPr="00481068" w:rsidRDefault="001A1CC0" w:rsidP="001A1CC0">
      <w:pPr>
        <w:tabs>
          <w:tab w:val="left" w:pos="426"/>
        </w:tabs>
        <w:jc w:val="both"/>
        <w:rPr>
          <w:rFonts w:ascii="Arial" w:eastAsia="Calibri" w:hAnsi="Arial" w:cs="Arial"/>
          <w:b/>
          <w:bCs/>
          <w:sz w:val="22"/>
          <w:szCs w:val="22"/>
          <w:lang w:val="es-ES_tradnl" w:eastAsia="en-US"/>
        </w:rPr>
      </w:pPr>
      <w:r w:rsidRPr="00481068">
        <w:rPr>
          <w:rFonts w:ascii="Arial" w:eastAsia="Calibri" w:hAnsi="Arial" w:cs="Arial"/>
          <w:b/>
          <w:bCs/>
          <w:sz w:val="22"/>
          <w:szCs w:val="22"/>
          <w:lang w:val="es-ES_tradnl" w:eastAsia="en-US"/>
        </w:rPr>
        <w:lastRenderedPageBreak/>
        <w:t xml:space="preserve">LEY DE GARANTÍAS ELECTORALES ─ Prohibición artículo 33 ‒ </w:t>
      </w:r>
      <w:bookmarkEnd w:id="5"/>
      <w:r w:rsidRPr="00481068">
        <w:rPr>
          <w:rFonts w:ascii="Arial" w:eastAsia="Calibri" w:hAnsi="Arial" w:cs="Arial"/>
          <w:b/>
          <w:bCs/>
          <w:sz w:val="22"/>
          <w:szCs w:val="22"/>
          <w:lang w:val="es-ES_tradnl" w:eastAsia="en-US"/>
        </w:rPr>
        <w:t xml:space="preserve">Contratación directa ‒ Alcance </w:t>
      </w:r>
    </w:p>
    <w:p w14:paraId="5FFFFEE6" w14:textId="77777777" w:rsidR="001A1CC0" w:rsidRPr="00481068" w:rsidRDefault="001A1CC0" w:rsidP="001A1CC0">
      <w:pPr>
        <w:tabs>
          <w:tab w:val="left" w:pos="426"/>
        </w:tabs>
        <w:jc w:val="both"/>
        <w:rPr>
          <w:rFonts w:ascii="Arial" w:eastAsia="Calibri" w:hAnsi="Arial" w:cs="Arial"/>
          <w:noProof/>
          <w:sz w:val="20"/>
          <w:szCs w:val="20"/>
          <w:lang w:val="es-ES_tradnl" w:eastAsia="en-US"/>
        </w:rPr>
      </w:pPr>
    </w:p>
    <w:p w14:paraId="7AE2B61C" w14:textId="77777777" w:rsidR="001A1CC0" w:rsidRPr="00481068" w:rsidRDefault="001A1CC0" w:rsidP="001A1CC0">
      <w:pPr>
        <w:jc w:val="both"/>
        <w:rPr>
          <w:rFonts w:ascii="Arial" w:hAnsi="Arial" w:cs="Arial"/>
          <w:bCs/>
          <w:sz w:val="20"/>
          <w:szCs w:val="20"/>
          <w:lang w:val="es-ES_tradnl" w:eastAsia="x-none"/>
        </w:rPr>
      </w:pPr>
      <w:r w:rsidRPr="00481068">
        <w:rPr>
          <w:rFonts w:ascii="Arial" w:eastAsia="Calibri" w:hAnsi="Arial" w:cs="Arial"/>
          <w:noProof/>
          <w:sz w:val="20"/>
          <w:szCs w:val="20"/>
          <w:lang w:val="es-ES_tradnl" w:eastAsia="en-US"/>
        </w:rPr>
        <w:t xml:space="preserve">[…] </w:t>
      </w:r>
      <w:r w:rsidRPr="00481068">
        <w:rPr>
          <w:rFonts w:ascii="Arial" w:hAnsi="Arial" w:cs="Arial"/>
          <w:bCs/>
          <w:sz w:val="20"/>
          <w:szCs w:val="20"/>
          <w:lang w:val="es-ES_tradnl"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068">
        <w:rPr>
          <w:rFonts w:ascii="Arial" w:hAnsi="Arial" w:cs="Arial"/>
          <w:sz w:val="20"/>
          <w:szCs w:val="20"/>
          <w:vertAlign w:val="superscript"/>
          <w:lang w:val="es-ES_tradnl" w:eastAsia="x-none"/>
        </w:rPr>
        <w:t xml:space="preserve">. </w:t>
      </w:r>
      <w:r w:rsidRPr="00481068">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81068">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66715A56" w14:textId="77777777" w:rsidR="001A1CC0" w:rsidRPr="00481068" w:rsidRDefault="001A1CC0" w:rsidP="001A1CC0">
      <w:pPr>
        <w:jc w:val="both"/>
        <w:rPr>
          <w:rFonts w:ascii="Arial" w:hAnsi="Arial" w:cs="Arial"/>
          <w:b/>
          <w:bCs/>
          <w:sz w:val="20"/>
          <w:szCs w:val="20"/>
          <w:lang w:val="es-ES_tradnl" w:eastAsia="es-ES"/>
        </w:rPr>
      </w:pPr>
    </w:p>
    <w:p w14:paraId="25A39359" w14:textId="77777777" w:rsidR="001A1CC0" w:rsidRPr="00481068" w:rsidRDefault="001A1CC0" w:rsidP="001A1CC0">
      <w:pPr>
        <w:shd w:val="clear" w:color="auto" w:fill="FFFFFF"/>
        <w:jc w:val="both"/>
        <w:rPr>
          <w:rFonts w:ascii="Arial" w:hAnsi="Arial" w:cs="Arial"/>
          <w:b/>
          <w:bCs/>
          <w:sz w:val="22"/>
          <w:szCs w:val="22"/>
          <w:lang w:val="es-ES_tradnl" w:eastAsia="es-CO"/>
        </w:rPr>
      </w:pPr>
      <w:r w:rsidRPr="00481068">
        <w:rPr>
          <w:rFonts w:ascii="Arial" w:hAnsi="Arial" w:cs="Arial"/>
          <w:b/>
          <w:bCs/>
          <w:sz w:val="22"/>
          <w:szCs w:val="22"/>
          <w:lang w:val="es-ES_tradnl" w:eastAsia="es-CO"/>
        </w:rPr>
        <w:t xml:space="preserve">LEY DE GARANTÍAS ELECTORALES </w:t>
      </w:r>
      <w:bookmarkStart w:id="6" w:name="_Hlk77022358"/>
      <w:r w:rsidRPr="00481068">
        <w:rPr>
          <w:rFonts w:ascii="Arial" w:hAnsi="Arial" w:cs="Arial"/>
          <w:b/>
          <w:bCs/>
          <w:sz w:val="22"/>
          <w:szCs w:val="22"/>
          <w:lang w:val="es-ES_tradnl" w:eastAsia="es-CO"/>
        </w:rPr>
        <w:t>‒</w:t>
      </w:r>
      <w:bookmarkEnd w:id="6"/>
      <w:r w:rsidRPr="00481068">
        <w:rPr>
          <w:rFonts w:ascii="Arial" w:hAnsi="Arial" w:cs="Arial"/>
          <w:b/>
          <w:bCs/>
          <w:sz w:val="22"/>
          <w:szCs w:val="22"/>
          <w:lang w:val="es-ES_tradnl" w:eastAsia="es-CO"/>
        </w:rPr>
        <w:t xml:space="preserve"> Excepciones</w:t>
      </w:r>
      <w:r w:rsidRPr="00481068">
        <w:rPr>
          <w:rFonts w:ascii="Arial" w:hAnsi="Arial" w:cs="Arial"/>
          <w:b/>
          <w:sz w:val="22"/>
          <w:szCs w:val="22"/>
          <w:lang w:val="es-ES_tradnl" w:eastAsia="es-CO"/>
        </w:rPr>
        <w:t xml:space="preserve"> </w:t>
      </w:r>
    </w:p>
    <w:p w14:paraId="0F588BB6" w14:textId="77777777" w:rsidR="001A1CC0" w:rsidRPr="00481068" w:rsidRDefault="001A1CC0" w:rsidP="001A1CC0">
      <w:pPr>
        <w:shd w:val="clear" w:color="auto" w:fill="FFFFFF"/>
        <w:jc w:val="both"/>
        <w:rPr>
          <w:rFonts w:ascii="Arial" w:hAnsi="Arial" w:cs="Arial"/>
          <w:b/>
          <w:sz w:val="22"/>
          <w:szCs w:val="22"/>
          <w:lang w:val="es-ES_tradnl" w:eastAsia="es-CO"/>
        </w:rPr>
      </w:pPr>
    </w:p>
    <w:p w14:paraId="52F47871" w14:textId="77777777" w:rsidR="001A1CC0" w:rsidRPr="00481068" w:rsidRDefault="001A1CC0" w:rsidP="001A1CC0">
      <w:pPr>
        <w:tabs>
          <w:tab w:val="left" w:pos="426"/>
        </w:tabs>
        <w:jc w:val="both"/>
        <w:rPr>
          <w:rFonts w:ascii="Arial" w:eastAsia="Calibri" w:hAnsi="Arial" w:cs="Arial"/>
          <w:sz w:val="20"/>
          <w:szCs w:val="20"/>
          <w:lang w:val="es-ES_tradnl" w:eastAsia="en-US"/>
        </w:rPr>
      </w:pPr>
      <w:r w:rsidRPr="00481068">
        <w:rPr>
          <w:rFonts w:ascii="Arial" w:hAnsi="Arial" w:cs="Arial"/>
          <w:sz w:val="20"/>
          <w:szCs w:val="20"/>
          <w:lang w:val="es-ES_tradnl" w:eastAsia="x-none"/>
        </w:rPr>
        <w:t xml:space="preserve">[…] </w:t>
      </w:r>
      <w:r w:rsidRPr="00481068">
        <w:rPr>
          <w:rFonts w:ascii="Arial" w:hAnsi="Arial" w:cs="Arial"/>
          <w:bCs/>
          <w:sz w:val="20"/>
          <w:szCs w:val="20"/>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481068">
        <w:rPr>
          <w:rFonts w:ascii="Arial" w:hAnsi="Arial" w:cs="Arial"/>
          <w:bCs/>
          <w:sz w:val="20"/>
          <w:szCs w:val="20"/>
          <w:lang w:val="es-ES_tradnl" w:eastAsia="x-none"/>
        </w:rPr>
        <w:t>ii</w:t>
      </w:r>
      <w:proofErr w:type="spellEnd"/>
      <w:r w:rsidRPr="00481068">
        <w:rPr>
          <w:rFonts w:ascii="Arial" w:hAnsi="Arial" w:cs="Arial"/>
          <w:bCs/>
          <w:sz w:val="20"/>
          <w:szCs w:val="20"/>
          <w:lang w:val="es-ES_tradnl" w:eastAsia="x-none"/>
        </w:rPr>
        <w:t xml:space="preserve">) los contratos de crédito público; </w:t>
      </w:r>
      <w:proofErr w:type="spellStart"/>
      <w:r w:rsidRPr="00481068">
        <w:rPr>
          <w:rFonts w:ascii="Arial" w:hAnsi="Arial" w:cs="Arial"/>
          <w:bCs/>
          <w:sz w:val="20"/>
          <w:szCs w:val="20"/>
          <w:lang w:val="es-ES_tradnl" w:eastAsia="x-none"/>
        </w:rPr>
        <w:t>iii</w:t>
      </w:r>
      <w:proofErr w:type="spellEnd"/>
      <w:r w:rsidRPr="00481068">
        <w:rPr>
          <w:rFonts w:ascii="Arial" w:hAnsi="Arial" w:cs="Arial"/>
          <w:bCs/>
          <w:sz w:val="20"/>
          <w:szCs w:val="20"/>
          <w:lang w:val="es-ES_tradnl" w:eastAsia="x-none"/>
        </w:rPr>
        <w:t xml:space="preserve">) los requeridos para cubrir las emergencias educativas, sanitarias y desastres; </w:t>
      </w:r>
      <w:proofErr w:type="spellStart"/>
      <w:r w:rsidRPr="00481068">
        <w:rPr>
          <w:rFonts w:ascii="Arial" w:hAnsi="Arial" w:cs="Arial"/>
          <w:bCs/>
          <w:sz w:val="20"/>
          <w:szCs w:val="20"/>
          <w:lang w:val="es-ES_tradnl" w:eastAsia="x-none"/>
        </w:rPr>
        <w:t>iv</w:t>
      </w:r>
      <w:proofErr w:type="spellEnd"/>
      <w:r w:rsidRPr="00481068">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07BD7127" w14:textId="77777777" w:rsidR="001A1CC0" w:rsidRPr="00481068" w:rsidRDefault="001A1CC0" w:rsidP="001A1CC0">
      <w:pPr>
        <w:tabs>
          <w:tab w:val="left" w:pos="426"/>
        </w:tabs>
        <w:jc w:val="both"/>
        <w:rPr>
          <w:rFonts w:ascii="Arial" w:eastAsia="Calibri" w:hAnsi="Arial" w:cs="Arial"/>
          <w:noProof/>
          <w:sz w:val="20"/>
          <w:szCs w:val="20"/>
          <w:lang w:val="es-ES_tradnl" w:eastAsia="en-US"/>
        </w:rPr>
      </w:pPr>
    </w:p>
    <w:p w14:paraId="09AAA071" w14:textId="77777777" w:rsidR="001A1CC0" w:rsidRPr="00481068" w:rsidRDefault="001A1CC0" w:rsidP="001A1CC0">
      <w:pPr>
        <w:jc w:val="both"/>
        <w:rPr>
          <w:rFonts w:ascii="Arial" w:hAnsi="Arial" w:cs="Arial"/>
          <w:b/>
          <w:sz w:val="22"/>
          <w:szCs w:val="22"/>
          <w:lang w:val="es-ES_tradnl" w:eastAsia="es-CO"/>
        </w:rPr>
      </w:pPr>
      <w:r w:rsidRPr="00481068">
        <w:rPr>
          <w:rFonts w:ascii="Arial" w:hAnsi="Arial" w:cs="Arial"/>
          <w:b/>
          <w:bCs/>
          <w:sz w:val="22"/>
          <w:szCs w:val="22"/>
          <w:lang w:val="es-ES_tradnl" w:eastAsia="es-CO"/>
        </w:rPr>
        <w:t xml:space="preserve">LEY DE GARANTÍAS ELECTORALES </w:t>
      </w:r>
      <w:bookmarkStart w:id="7" w:name="_Hlk77166669"/>
      <w:r w:rsidRPr="00481068">
        <w:rPr>
          <w:rFonts w:ascii="Arial" w:hAnsi="Arial" w:cs="Arial"/>
          <w:b/>
          <w:bCs/>
          <w:sz w:val="22"/>
          <w:szCs w:val="22"/>
          <w:lang w:val="es-ES_tradnl" w:eastAsia="es-CO"/>
        </w:rPr>
        <w:t>‒</w:t>
      </w:r>
      <w:bookmarkEnd w:id="7"/>
      <w:r w:rsidRPr="00481068">
        <w:rPr>
          <w:rFonts w:ascii="Arial" w:hAnsi="Arial" w:cs="Arial"/>
          <w:b/>
          <w:bCs/>
          <w:sz w:val="22"/>
          <w:szCs w:val="22"/>
          <w:lang w:val="es-ES_tradnl" w:eastAsia="es-CO"/>
        </w:rPr>
        <w:t xml:space="preserve"> </w:t>
      </w:r>
      <w:r w:rsidRPr="00481068">
        <w:rPr>
          <w:rFonts w:ascii="Arial" w:hAnsi="Arial" w:cs="Arial"/>
          <w:b/>
          <w:sz w:val="22"/>
          <w:szCs w:val="22"/>
          <w:lang w:val="es-ES_tradnl" w:eastAsia="es-CO"/>
        </w:rPr>
        <w:t xml:space="preserve">Prohibición del artículo 33 </w:t>
      </w:r>
      <w:r w:rsidRPr="00481068">
        <w:rPr>
          <w:rFonts w:ascii="Arial" w:hAnsi="Arial" w:cs="Arial"/>
          <w:b/>
          <w:bCs/>
          <w:sz w:val="22"/>
          <w:szCs w:val="22"/>
          <w:lang w:val="es-ES_tradnl" w:eastAsia="es-CO"/>
        </w:rPr>
        <w:t>‒ Destinatarios</w:t>
      </w:r>
    </w:p>
    <w:p w14:paraId="71D9B629" w14:textId="77777777" w:rsidR="001A1CC0" w:rsidRPr="00481068" w:rsidRDefault="001A1CC0" w:rsidP="001A1CC0">
      <w:pPr>
        <w:tabs>
          <w:tab w:val="left" w:pos="426"/>
        </w:tabs>
        <w:jc w:val="both"/>
        <w:rPr>
          <w:rFonts w:ascii="Arial" w:eastAsia="Calibri" w:hAnsi="Arial" w:cs="Arial"/>
          <w:noProof/>
          <w:sz w:val="22"/>
          <w:szCs w:val="22"/>
          <w:lang w:val="es-ES_tradnl" w:eastAsia="en-US"/>
        </w:rPr>
      </w:pPr>
    </w:p>
    <w:p w14:paraId="482E3C0E" w14:textId="77777777" w:rsidR="001A1CC0" w:rsidRPr="00481068" w:rsidRDefault="001A1CC0" w:rsidP="001A1CC0">
      <w:pPr>
        <w:tabs>
          <w:tab w:val="left" w:pos="426"/>
        </w:tabs>
        <w:jc w:val="both"/>
        <w:rPr>
          <w:rFonts w:ascii="Arial" w:hAnsi="Arial" w:cs="Arial"/>
          <w:bCs/>
          <w:sz w:val="20"/>
          <w:szCs w:val="20"/>
          <w:lang w:val="es-ES_tradnl" w:eastAsia="x-none"/>
        </w:rPr>
      </w:pPr>
      <w:r w:rsidRPr="00481068">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81068">
        <w:rPr>
          <w:rFonts w:ascii="Arial" w:eastAsia="Calibri" w:hAnsi="Arial" w:cs="Arial"/>
          <w:sz w:val="20"/>
          <w:szCs w:val="20"/>
          <w:lang w:val="es-ES_tradnl" w:eastAsia="en-US"/>
        </w:rPr>
        <w:t xml:space="preserve"> </w:t>
      </w:r>
      <w:r w:rsidRPr="00481068">
        <w:rPr>
          <w:rFonts w:ascii="Arial" w:hAnsi="Arial" w:cs="Arial"/>
          <w:bCs/>
          <w:sz w:val="20"/>
          <w:szCs w:val="20"/>
          <w:lang w:val="es-ES_tradnl" w:eastAsia="x-none"/>
        </w:rPr>
        <w:t>En efecto, tal como lo ha sostenido el Consejo de Estado, el vocablo «todos» utilizado por el legislador comprende</w:t>
      </w:r>
      <w:r w:rsidRPr="00481068">
        <w:rPr>
          <w:rFonts w:ascii="Arial" w:eastAsia="Calibri" w:hAnsi="Arial" w:cs="Arial"/>
          <w:sz w:val="20"/>
          <w:szCs w:val="20"/>
          <w:lang w:val="es-ES_tradnl" w:eastAsia="en-US"/>
        </w:rPr>
        <w:t xml:space="preserve"> </w:t>
      </w:r>
      <w:r w:rsidRPr="00481068">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0C2B3FD" w14:textId="77777777" w:rsidR="001A1CC0" w:rsidRPr="00481068" w:rsidRDefault="001A1CC0" w:rsidP="001A1CC0">
      <w:pPr>
        <w:widowControl w:val="0"/>
        <w:autoSpaceDE w:val="0"/>
        <w:autoSpaceDN w:val="0"/>
        <w:jc w:val="both"/>
        <w:rPr>
          <w:rFonts w:ascii="Arial" w:eastAsia="Arial" w:hAnsi="Arial" w:cs="Arial"/>
          <w:color w:val="000000" w:themeColor="text1"/>
          <w:sz w:val="20"/>
          <w:szCs w:val="20"/>
          <w:lang w:val="es-ES_tradnl" w:eastAsia="es-ES" w:bidi="es-ES"/>
        </w:rPr>
      </w:pPr>
    </w:p>
    <w:p w14:paraId="387FAEA7" w14:textId="3B4965B1" w:rsidR="001A1CC0" w:rsidRPr="00481068" w:rsidRDefault="001A1CC0" w:rsidP="009F030F">
      <w:pPr>
        <w:tabs>
          <w:tab w:val="left" w:pos="3374"/>
        </w:tabs>
        <w:jc w:val="both"/>
        <w:rPr>
          <w:rFonts w:ascii="Arial" w:eastAsia="Calibri" w:hAnsi="Arial" w:cs="Arial"/>
          <w:b/>
          <w:bCs/>
          <w:sz w:val="22"/>
          <w:szCs w:val="22"/>
          <w:lang w:val="es-MX" w:eastAsia="en-US"/>
        </w:rPr>
      </w:pPr>
      <w:r w:rsidRPr="00481068">
        <w:rPr>
          <w:rFonts w:ascii="Arial" w:eastAsia="Calibri" w:hAnsi="Arial" w:cs="Arial"/>
          <w:b/>
          <w:color w:val="000000" w:themeColor="text1"/>
          <w:sz w:val="22"/>
          <w:szCs w:val="22"/>
        </w:rPr>
        <w:t xml:space="preserve">ORGANISMOS INTERNACIONALES – </w:t>
      </w:r>
      <w:r w:rsidR="009F030F" w:rsidRPr="00481068">
        <w:rPr>
          <w:rFonts w:ascii="Arial" w:eastAsia="Calibri" w:hAnsi="Arial" w:cs="Arial"/>
          <w:b/>
          <w:bCs/>
          <w:sz w:val="22"/>
          <w:szCs w:val="22"/>
          <w:lang w:eastAsia="en-US"/>
        </w:rPr>
        <w:t xml:space="preserve">Régimen de contratación </w:t>
      </w:r>
    </w:p>
    <w:p w14:paraId="155C09EC" w14:textId="77777777" w:rsidR="001A1CC0" w:rsidRPr="00481068" w:rsidRDefault="001A1CC0" w:rsidP="001A1CC0">
      <w:pPr>
        <w:jc w:val="both"/>
        <w:rPr>
          <w:rFonts w:ascii="Arial" w:eastAsia="Calibri" w:hAnsi="Arial" w:cs="Arial"/>
          <w:color w:val="000000" w:themeColor="text1"/>
          <w:sz w:val="20"/>
          <w:szCs w:val="20"/>
        </w:rPr>
      </w:pPr>
    </w:p>
    <w:p w14:paraId="0543A6D8" w14:textId="564FCD7B" w:rsidR="001A1CC0" w:rsidRPr="00481068" w:rsidRDefault="00D55299" w:rsidP="00D55299">
      <w:pPr>
        <w:jc w:val="both"/>
        <w:rPr>
          <w:rFonts w:ascii="Arial" w:hAnsi="Arial" w:cs="Arial"/>
          <w:bCs/>
          <w:sz w:val="20"/>
          <w:szCs w:val="20"/>
          <w:lang w:val="es-MX" w:eastAsia="x-none"/>
        </w:rPr>
      </w:pPr>
      <w:r w:rsidRPr="00481068">
        <w:rPr>
          <w:rFonts w:ascii="Arial" w:hAnsi="Arial" w:cs="Arial"/>
          <w:bCs/>
          <w:sz w:val="20"/>
          <w:szCs w:val="20"/>
          <w:lang w:val="es-ES" w:eastAsia="x-none"/>
        </w:rPr>
        <w:t>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r w:rsidR="009F030F" w:rsidRPr="00481068">
        <w:rPr>
          <w:rFonts w:ascii="Arial" w:hAnsi="Arial" w:cs="Arial"/>
          <w:bCs/>
          <w:sz w:val="20"/>
          <w:szCs w:val="20"/>
          <w:lang w:val="es-ES_tradnl" w:eastAsia="x-none"/>
        </w:rPr>
        <w:t xml:space="preserve">. </w:t>
      </w:r>
    </w:p>
    <w:p w14:paraId="2766A17D" w14:textId="5626A8FD" w:rsidR="00524963" w:rsidRPr="00481068" w:rsidRDefault="00524963" w:rsidP="00524963">
      <w:pPr>
        <w:tabs>
          <w:tab w:val="left" w:pos="3374"/>
        </w:tabs>
        <w:jc w:val="both"/>
        <w:rPr>
          <w:rFonts w:ascii="Arial" w:eastAsia="Calibri" w:hAnsi="Arial" w:cs="Arial"/>
          <w:sz w:val="22"/>
          <w:szCs w:val="22"/>
          <w:lang w:val="es-MX" w:eastAsia="en-US"/>
        </w:rPr>
      </w:pPr>
    </w:p>
    <w:p w14:paraId="5E8BFFE9" w14:textId="4DC10759" w:rsidR="009F030F" w:rsidRPr="00481068" w:rsidRDefault="009F030F" w:rsidP="009F030F">
      <w:pPr>
        <w:tabs>
          <w:tab w:val="left" w:pos="3374"/>
        </w:tabs>
        <w:jc w:val="both"/>
        <w:rPr>
          <w:rFonts w:ascii="Arial" w:eastAsia="Calibri" w:hAnsi="Arial" w:cs="Arial"/>
          <w:b/>
          <w:bCs/>
          <w:sz w:val="22"/>
          <w:szCs w:val="22"/>
          <w:lang w:val="es-MX" w:eastAsia="en-US"/>
        </w:rPr>
      </w:pPr>
      <w:r w:rsidRPr="00481068">
        <w:rPr>
          <w:rFonts w:ascii="Arial" w:eastAsia="Calibri" w:hAnsi="Arial" w:cs="Arial"/>
          <w:b/>
          <w:bCs/>
          <w:sz w:val="22"/>
          <w:szCs w:val="22"/>
          <w:lang w:eastAsia="en-US"/>
        </w:rPr>
        <w:t>ORGANISMOS INTERNACIONALES –</w:t>
      </w:r>
      <w:r w:rsidR="000807F4" w:rsidRPr="00481068">
        <w:rPr>
          <w:rFonts w:ascii="Arial" w:eastAsia="Calibri" w:hAnsi="Arial" w:cs="Arial"/>
          <w:b/>
          <w:bCs/>
          <w:sz w:val="22"/>
          <w:szCs w:val="22"/>
          <w:lang w:eastAsia="en-US"/>
        </w:rPr>
        <w:t xml:space="preserve"> </w:t>
      </w:r>
      <w:r w:rsidRPr="00481068">
        <w:rPr>
          <w:rFonts w:ascii="Arial" w:eastAsia="Calibri" w:hAnsi="Arial" w:cs="Arial"/>
          <w:b/>
          <w:bCs/>
          <w:sz w:val="22"/>
          <w:szCs w:val="22"/>
          <w:lang w:val="es-MX" w:eastAsia="en-US"/>
        </w:rPr>
        <w:t xml:space="preserve">Ley de Garantías Electorales – Restricción – </w:t>
      </w:r>
      <w:r w:rsidR="00F7700C" w:rsidRPr="00481068">
        <w:rPr>
          <w:rFonts w:ascii="Arial" w:eastAsia="Calibri" w:hAnsi="Arial" w:cs="Arial"/>
          <w:b/>
          <w:bCs/>
          <w:sz w:val="22"/>
          <w:szCs w:val="22"/>
          <w:lang w:val="es-MX" w:eastAsia="en-US"/>
        </w:rPr>
        <w:t xml:space="preserve">Contratación Directa </w:t>
      </w:r>
      <w:r w:rsidRPr="00481068">
        <w:rPr>
          <w:rFonts w:ascii="Arial" w:eastAsia="Calibri" w:hAnsi="Arial" w:cs="Arial"/>
          <w:b/>
          <w:bCs/>
          <w:sz w:val="22"/>
          <w:szCs w:val="22"/>
          <w:lang w:val="es-MX" w:eastAsia="en-US"/>
        </w:rPr>
        <w:t xml:space="preserve">– Artículo 33 – Alcance – </w:t>
      </w:r>
      <w:r w:rsidR="00D55299" w:rsidRPr="00481068">
        <w:rPr>
          <w:rFonts w:ascii="Arial" w:eastAsia="Calibri" w:hAnsi="Arial" w:cs="Arial"/>
          <w:b/>
          <w:bCs/>
          <w:sz w:val="22"/>
          <w:szCs w:val="22"/>
          <w:lang w:val="es-MX" w:eastAsia="en-US"/>
        </w:rPr>
        <w:t>Concepto CU – 180 de 2022</w:t>
      </w:r>
    </w:p>
    <w:p w14:paraId="3BE5690F" w14:textId="77777777" w:rsidR="009F030F" w:rsidRPr="00481068" w:rsidRDefault="009F030F" w:rsidP="009F030F">
      <w:pPr>
        <w:tabs>
          <w:tab w:val="left" w:pos="3374"/>
        </w:tabs>
        <w:jc w:val="both"/>
        <w:rPr>
          <w:rFonts w:ascii="Arial" w:eastAsia="Calibri" w:hAnsi="Arial" w:cs="Arial"/>
          <w:b/>
          <w:bCs/>
          <w:sz w:val="22"/>
          <w:szCs w:val="22"/>
          <w:lang w:val="es-MX" w:eastAsia="en-US"/>
        </w:rPr>
      </w:pPr>
    </w:p>
    <w:p w14:paraId="6AFC2F00" w14:textId="7AA4D642" w:rsidR="009F030F" w:rsidRPr="00481068" w:rsidRDefault="00D55299" w:rsidP="00D55299">
      <w:pPr>
        <w:jc w:val="both"/>
        <w:rPr>
          <w:rFonts w:ascii="Arial" w:hAnsi="Arial" w:cs="Arial"/>
          <w:bCs/>
          <w:sz w:val="20"/>
          <w:szCs w:val="20"/>
          <w:lang w:val="es-ES" w:eastAsia="x-none"/>
        </w:rPr>
      </w:pPr>
      <w:r w:rsidRPr="00481068">
        <w:rPr>
          <w:rFonts w:ascii="Arial" w:hAnsi="Arial" w:cs="Arial"/>
          <w:bCs/>
          <w:sz w:val="20"/>
          <w:szCs w:val="20"/>
          <w:lang w:val="es-ES" w:eastAsia="x-none"/>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 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r w:rsidR="009F030F" w:rsidRPr="00481068">
        <w:rPr>
          <w:rFonts w:ascii="Arial" w:hAnsi="Arial" w:cs="Arial"/>
          <w:bCs/>
          <w:sz w:val="20"/>
          <w:szCs w:val="20"/>
          <w:lang w:val="es-MX" w:eastAsia="x-none"/>
        </w:rPr>
        <w:t>.</w:t>
      </w:r>
    </w:p>
    <w:p w14:paraId="242DCE26" w14:textId="0C4A5249" w:rsidR="001A1CC0" w:rsidRPr="00481068" w:rsidRDefault="001A1CC0" w:rsidP="000807F4">
      <w:pPr>
        <w:jc w:val="both"/>
        <w:rPr>
          <w:rFonts w:ascii="Arial" w:hAnsi="Arial" w:cs="Arial"/>
          <w:bCs/>
          <w:sz w:val="20"/>
          <w:szCs w:val="20"/>
          <w:lang w:val="es-MX" w:eastAsia="x-none"/>
        </w:rPr>
      </w:pPr>
    </w:p>
    <w:p w14:paraId="1A438321" w14:textId="2B0A3CD7" w:rsidR="001A1CC0" w:rsidRPr="00481068" w:rsidRDefault="001A1CC0" w:rsidP="000807F4">
      <w:pPr>
        <w:jc w:val="both"/>
        <w:rPr>
          <w:rFonts w:ascii="Arial" w:hAnsi="Arial" w:cs="Arial"/>
          <w:bCs/>
          <w:sz w:val="20"/>
          <w:szCs w:val="20"/>
          <w:lang w:val="es-MX" w:eastAsia="x-none"/>
        </w:rPr>
      </w:pPr>
    </w:p>
    <w:p w14:paraId="42CCD241" w14:textId="46AAF2C3" w:rsidR="001A1CC0" w:rsidRPr="00481068" w:rsidRDefault="001A1CC0" w:rsidP="000807F4">
      <w:pPr>
        <w:jc w:val="both"/>
        <w:rPr>
          <w:rFonts w:ascii="Arial" w:hAnsi="Arial" w:cs="Arial"/>
          <w:bCs/>
          <w:sz w:val="20"/>
          <w:szCs w:val="20"/>
          <w:lang w:val="es-MX" w:eastAsia="x-none"/>
        </w:rPr>
      </w:pPr>
    </w:p>
    <w:p w14:paraId="272FF2F1" w14:textId="7587C1B1" w:rsidR="001A1CC0" w:rsidRPr="00481068" w:rsidRDefault="001A1CC0" w:rsidP="00524963">
      <w:pPr>
        <w:tabs>
          <w:tab w:val="left" w:pos="3374"/>
        </w:tabs>
        <w:jc w:val="both"/>
        <w:rPr>
          <w:rFonts w:ascii="Arial" w:eastAsia="Calibri" w:hAnsi="Arial" w:cs="Arial"/>
          <w:sz w:val="22"/>
          <w:szCs w:val="22"/>
          <w:lang w:val="es-MX" w:eastAsia="en-US"/>
        </w:rPr>
      </w:pPr>
    </w:p>
    <w:p w14:paraId="741EA1B4" w14:textId="562E60B6" w:rsidR="001A1CC0" w:rsidRPr="00481068" w:rsidRDefault="001A1CC0" w:rsidP="00524963">
      <w:pPr>
        <w:tabs>
          <w:tab w:val="left" w:pos="3374"/>
        </w:tabs>
        <w:jc w:val="both"/>
        <w:rPr>
          <w:rFonts w:ascii="Arial" w:eastAsia="Calibri" w:hAnsi="Arial" w:cs="Arial"/>
          <w:sz w:val="22"/>
          <w:szCs w:val="22"/>
          <w:lang w:val="es-MX" w:eastAsia="en-US"/>
        </w:rPr>
      </w:pPr>
    </w:p>
    <w:p w14:paraId="4C411CBA" w14:textId="78F7FA03" w:rsidR="001A1CC0" w:rsidRPr="00481068" w:rsidRDefault="001A1CC0" w:rsidP="00524963">
      <w:pPr>
        <w:tabs>
          <w:tab w:val="left" w:pos="3374"/>
        </w:tabs>
        <w:jc w:val="both"/>
        <w:rPr>
          <w:rFonts w:ascii="Arial" w:eastAsia="Calibri" w:hAnsi="Arial" w:cs="Arial"/>
          <w:sz w:val="22"/>
          <w:szCs w:val="22"/>
          <w:lang w:val="es-MX" w:eastAsia="en-US"/>
        </w:rPr>
      </w:pPr>
    </w:p>
    <w:p w14:paraId="5C3F3B40" w14:textId="00D0F154" w:rsidR="001A1CC0" w:rsidRPr="00481068" w:rsidRDefault="001A1CC0" w:rsidP="00524963">
      <w:pPr>
        <w:tabs>
          <w:tab w:val="left" w:pos="3374"/>
        </w:tabs>
        <w:jc w:val="both"/>
        <w:rPr>
          <w:rFonts w:ascii="Arial" w:eastAsia="Calibri" w:hAnsi="Arial" w:cs="Arial"/>
          <w:sz w:val="22"/>
          <w:szCs w:val="22"/>
          <w:lang w:val="es-MX" w:eastAsia="en-US"/>
        </w:rPr>
      </w:pPr>
    </w:p>
    <w:p w14:paraId="6AC6C648" w14:textId="66B19CC9" w:rsidR="001A1CC0" w:rsidRPr="00481068" w:rsidRDefault="001A1CC0" w:rsidP="00524963">
      <w:pPr>
        <w:tabs>
          <w:tab w:val="left" w:pos="3374"/>
        </w:tabs>
        <w:jc w:val="both"/>
        <w:rPr>
          <w:rFonts w:ascii="Arial" w:eastAsia="Calibri" w:hAnsi="Arial" w:cs="Arial"/>
          <w:sz w:val="22"/>
          <w:szCs w:val="22"/>
          <w:lang w:val="es-MX" w:eastAsia="en-US"/>
        </w:rPr>
      </w:pPr>
    </w:p>
    <w:p w14:paraId="46D8AE4D" w14:textId="01A38D4E" w:rsidR="001A1CC0" w:rsidRPr="00481068" w:rsidRDefault="001A1CC0" w:rsidP="00524963">
      <w:pPr>
        <w:tabs>
          <w:tab w:val="left" w:pos="3374"/>
        </w:tabs>
        <w:jc w:val="both"/>
        <w:rPr>
          <w:rFonts w:ascii="Arial" w:eastAsia="Calibri" w:hAnsi="Arial" w:cs="Arial"/>
          <w:sz w:val="22"/>
          <w:szCs w:val="22"/>
          <w:lang w:val="es-MX" w:eastAsia="en-US"/>
        </w:rPr>
      </w:pPr>
    </w:p>
    <w:p w14:paraId="7A7087D4" w14:textId="4A17CD72" w:rsidR="001A1CC0" w:rsidRPr="00481068" w:rsidRDefault="001A1CC0" w:rsidP="00524963">
      <w:pPr>
        <w:tabs>
          <w:tab w:val="left" w:pos="3374"/>
        </w:tabs>
        <w:jc w:val="both"/>
        <w:rPr>
          <w:rFonts w:ascii="Arial" w:eastAsia="Calibri" w:hAnsi="Arial" w:cs="Arial"/>
          <w:sz w:val="22"/>
          <w:szCs w:val="22"/>
          <w:lang w:val="es-MX" w:eastAsia="en-US"/>
        </w:rPr>
      </w:pPr>
    </w:p>
    <w:p w14:paraId="0E317658" w14:textId="1A95BEF9" w:rsidR="001A1CC0" w:rsidRPr="00481068" w:rsidRDefault="001A1CC0" w:rsidP="00524963">
      <w:pPr>
        <w:tabs>
          <w:tab w:val="left" w:pos="3374"/>
        </w:tabs>
        <w:jc w:val="both"/>
        <w:rPr>
          <w:rFonts w:ascii="Arial" w:eastAsia="Calibri" w:hAnsi="Arial" w:cs="Arial"/>
          <w:sz w:val="22"/>
          <w:szCs w:val="22"/>
          <w:lang w:val="es-MX" w:eastAsia="en-US"/>
        </w:rPr>
      </w:pPr>
    </w:p>
    <w:p w14:paraId="7DCC285A" w14:textId="1C34F2FE" w:rsidR="001A1CC0" w:rsidRPr="00481068" w:rsidRDefault="001A1CC0" w:rsidP="00524963">
      <w:pPr>
        <w:tabs>
          <w:tab w:val="left" w:pos="3374"/>
        </w:tabs>
        <w:jc w:val="both"/>
        <w:rPr>
          <w:rFonts w:ascii="Arial" w:eastAsia="Calibri" w:hAnsi="Arial" w:cs="Arial"/>
          <w:sz w:val="22"/>
          <w:szCs w:val="22"/>
          <w:lang w:val="es-MX" w:eastAsia="en-US"/>
        </w:rPr>
      </w:pPr>
    </w:p>
    <w:p w14:paraId="365ABC23" w14:textId="51F05797" w:rsidR="001A1CC0" w:rsidRPr="00481068" w:rsidRDefault="001A1CC0" w:rsidP="00524963">
      <w:pPr>
        <w:tabs>
          <w:tab w:val="left" w:pos="3374"/>
        </w:tabs>
        <w:jc w:val="both"/>
        <w:rPr>
          <w:rFonts w:ascii="Arial" w:eastAsia="Calibri" w:hAnsi="Arial" w:cs="Arial"/>
          <w:sz w:val="22"/>
          <w:szCs w:val="22"/>
          <w:lang w:val="es-MX" w:eastAsia="en-US"/>
        </w:rPr>
      </w:pPr>
    </w:p>
    <w:p w14:paraId="0C5D23A2" w14:textId="6C2CC747" w:rsidR="001A1CC0" w:rsidRPr="00481068" w:rsidRDefault="001A1CC0" w:rsidP="00524963">
      <w:pPr>
        <w:tabs>
          <w:tab w:val="left" w:pos="3374"/>
        </w:tabs>
        <w:jc w:val="both"/>
        <w:rPr>
          <w:rFonts w:ascii="Arial" w:eastAsia="Calibri" w:hAnsi="Arial" w:cs="Arial"/>
          <w:sz w:val="22"/>
          <w:szCs w:val="22"/>
          <w:lang w:val="es-MX" w:eastAsia="en-US"/>
        </w:rPr>
      </w:pPr>
    </w:p>
    <w:p w14:paraId="0CE5EF4C" w14:textId="6C19FDDD" w:rsidR="001A1CC0" w:rsidRPr="00481068" w:rsidRDefault="001A1CC0" w:rsidP="00524963">
      <w:pPr>
        <w:tabs>
          <w:tab w:val="left" w:pos="3374"/>
        </w:tabs>
        <w:jc w:val="both"/>
        <w:rPr>
          <w:rFonts w:ascii="Arial" w:eastAsia="Calibri" w:hAnsi="Arial" w:cs="Arial"/>
          <w:sz w:val="22"/>
          <w:szCs w:val="22"/>
          <w:lang w:val="es-MX" w:eastAsia="en-US"/>
        </w:rPr>
      </w:pPr>
    </w:p>
    <w:p w14:paraId="3C2CFD86" w14:textId="2506C96F" w:rsidR="001A1CC0" w:rsidRPr="00481068" w:rsidRDefault="001A1CC0" w:rsidP="00524963">
      <w:pPr>
        <w:tabs>
          <w:tab w:val="left" w:pos="3374"/>
        </w:tabs>
        <w:jc w:val="both"/>
        <w:rPr>
          <w:rFonts w:ascii="Arial" w:eastAsia="Calibri" w:hAnsi="Arial" w:cs="Arial"/>
          <w:sz w:val="22"/>
          <w:szCs w:val="22"/>
          <w:lang w:val="es-MX" w:eastAsia="en-US"/>
        </w:rPr>
      </w:pPr>
    </w:p>
    <w:p w14:paraId="106A734E" w14:textId="5ED631DA" w:rsidR="001A1CC0" w:rsidRPr="00481068" w:rsidRDefault="001A1CC0" w:rsidP="00524963">
      <w:pPr>
        <w:tabs>
          <w:tab w:val="left" w:pos="3374"/>
        </w:tabs>
        <w:jc w:val="both"/>
        <w:rPr>
          <w:rFonts w:ascii="Arial" w:eastAsia="Calibri" w:hAnsi="Arial" w:cs="Arial"/>
          <w:sz w:val="22"/>
          <w:szCs w:val="22"/>
          <w:lang w:val="es-MX" w:eastAsia="en-US"/>
        </w:rPr>
      </w:pPr>
    </w:p>
    <w:p w14:paraId="5A437314" w14:textId="68A29BE8" w:rsidR="001A1CC0" w:rsidRPr="00481068" w:rsidRDefault="001A1CC0" w:rsidP="00524963">
      <w:pPr>
        <w:tabs>
          <w:tab w:val="left" w:pos="3374"/>
        </w:tabs>
        <w:jc w:val="both"/>
        <w:rPr>
          <w:rFonts w:ascii="Arial" w:eastAsia="Calibri" w:hAnsi="Arial" w:cs="Arial"/>
          <w:sz w:val="22"/>
          <w:szCs w:val="22"/>
          <w:lang w:val="es-MX" w:eastAsia="en-US"/>
        </w:rPr>
      </w:pPr>
    </w:p>
    <w:p w14:paraId="414404B9" w14:textId="69760732" w:rsidR="001A1CC0" w:rsidRPr="00481068" w:rsidRDefault="001A1CC0" w:rsidP="00524963">
      <w:pPr>
        <w:tabs>
          <w:tab w:val="left" w:pos="3374"/>
        </w:tabs>
        <w:jc w:val="both"/>
        <w:rPr>
          <w:rFonts w:ascii="Arial" w:eastAsia="Calibri" w:hAnsi="Arial" w:cs="Arial"/>
          <w:sz w:val="22"/>
          <w:szCs w:val="22"/>
          <w:lang w:val="es-MX" w:eastAsia="en-US"/>
        </w:rPr>
      </w:pPr>
    </w:p>
    <w:p w14:paraId="6FFEE8C5" w14:textId="2134C514" w:rsidR="001A1CC0" w:rsidRPr="00481068" w:rsidRDefault="001A1CC0" w:rsidP="00524963">
      <w:pPr>
        <w:tabs>
          <w:tab w:val="left" w:pos="3374"/>
        </w:tabs>
        <w:jc w:val="both"/>
        <w:rPr>
          <w:rFonts w:ascii="Arial" w:eastAsia="Calibri" w:hAnsi="Arial" w:cs="Arial"/>
          <w:sz w:val="22"/>
          <w:szCs w:val="22"/>
          <w:lang w:val="es-MX" w:eastAsia="en-US"/>
        </w:rPr>
      </w:pPr>
    </w:p>
    <w:p w14:paraId="00795F52" w14:textId="4B4A721A" w:rsidR="001A1CC0" w:rsidRPr="00481068" w:rsidRDefault="001A1CC0" w:rsidP="00524963">
      <w:pPr>
        <w:tabs>
          <w:tab w:val="left" w:pos="3374"/>
        </w:tabs>
        <w:jc w:val="both"/>
        <w:rPr>
          <w:rFonts w:ascii="Arial" w:eastAsia="Calibri" w:hAnsi="Arial" w:cs="Arial"/>
          <w:sz w:val="22"/>
          <w:szCs w:val="22"/>
          <w:lang w:val="es-MX" w:eastAsia="en-US"/>
        </w:rPr>
      </w:pPr>
    </w:p>
    <w:p w14:paraId="6927745C" w14:textId="77777777" w:rsidR="000807F4" w:rsidRPr="00481068" w:rsidRDefault="000807F4" w:rsidP="00524963">
      <w:pPr>
        <w:tabs>
          <w:tab w:val="left" w:pos="3374"/>
        </w:tabs>
        <w:rPr>
          <w:rFonts w:ascii="Arial" w:eastAsia="Calibri" w:hAnsi="Arial" w:cs="Arial"/>
          <w:sz w:val="22"/>
          <w:szCs w:val="22"/>
          <w:lang w:val="es-MX" w:eastAsia="en-US"/>
        </w:rPr>
      </w:pPr>
    </w:p>
    <w:p w14:paraId="1E4D5F42" w14:textId="29A7CF21" w:rsidR="001A1CC0" w:rsidRPr="00481068" w:rsidRDefault="001A1CC0" w:rsidP="00524963">
      <w:pPr>
        <w:tabs>
          <w:tab w:val="left" w:pos="3374"/>
        </w:tabs>
        <w:rPr>
          <w:rFonts w:ascii="Arial" w:eastAsia="Calibri" w:hAnsi="Arial" w:cs="Arial"/>
          <w:sz w:val="22"/>
          <w:szCs w:val="22"/>
          <w:lang w:val="es-MX" w:eastAsia="en-US"/>
        </w:rPr>
      </w:pPr>
    </w:p>
    <w:p w14:paraId="25C1F96F" w14:textId="40120835" w:rsidR="000807F4" w:rsidRPr="00481068" w:rsidRDefault="000807F4" w:rsidP="00524963">
      <w:pPr>
        <w:tabs>
          <w:tab w:val="left" w:pos="3374"/>
        </w:tabs>
        <w:rPr>
          <w:rFonts w:ascii="Arial" w:eastAsia="Calibri" w:hAnsi="Arial" w:cs="Arial"/>
          <w:sz w:val="22"/>
          <w:szCs w:val="22"/>
          <w:lang w:val="es-MX" w:eastAsia="en-US"/>
        </w:rPr>
      </w:pPr>
    </w:p>
    <w:p w14:paraId="0ED1AC47" w14:textId="20BC9957" w:rsidR="0041286F" w:rsidRPr="00481068" w:rsidRDefault="0041286F" w:rsidP="00524963">
      <w:pPr>
        <w:tabs>
          <w:tab w:val="left" w:pos="3374"/>
        </w:tabs>
        <w:rPr>
          <w:rFonts w:ascii="Arial" w:eastAsia="Calibri" w:hAnsi="Arial" w:cs="Arial"/>
          <w:sz w:val="22"/>
          <w:szCs w:val="22"/>
          <w:lang w:val="es-MX" w:eastAsia="en-US"/>
        </w:rPr>
      </w:pPr>
    </w:p>
    <w:p w14:paraId="7E535FB7" w14:textId="5F8BE9C3" w:rsidR="00D55299" w:rsidRPr="00481068" w:rsidRDefault="00D55299" w:rsidP="00524963">
      <w:pPr>
        <w:tabs>
          <w:tab w:val="left" w:pos="3374"/>
        </w:tabs>
        <w:rPr>
          <w:rFonts w:ascii="Arial" w:eastAsia="Calibri" w:hAnsi="Arial" w:cs="Arial"/>
          <w:sz w:val="22"/>
          <w:szCs w:val="22"/>
          <w:lang w:val="es-MX" w:eastAsia="en-US"/>
        </w:rPr>
      </w:pPr>
    </w:p>
    <w:p w14:paraId="1593C877" w14:textId="617E42E9" w:rsidR="00D55299" w:rsidRPr="00481068" w:rsidRDefault="00D55299" w:rsidP="00524963">
      <w:pPr>
        <w:tabs>
          <w:tab w:val="left" w:pos="3374"/>
        </w:tabs>
        <w:rPr>
          <w:rFonts w:ascii="Arial" w:eastAsia="Calibri" w:hAnsi="Arial" w:cs="Arial"/>
          <w:sz w:val="22"/>
          <w:szCs w:val="22"/>
          <w:lang w:val="es-MX" w:eastAsia="en-US"/>
        </w:rPr>
      </w:pPr>
    </w:p>
    <w:p w14:paraId="43D9E200" w14:textId="18BFEF6C" w:rsidR="00D55299" w:rsidRPr="00481068" w:rsidRDefault="00D55299" w:rsidP="00524963">
      <w:pPr>
        <w:tabs>
          <w:tab w:val="left" w:pos="3374"/>
        </w:tabs>
        <w:rPr>
          <w:rFonts w:ascii="Arial" w:eastAsia="Calibri" w:hAnsi="Arial" w:cs="Arial"/>
          <w:sz w:val="22"/>
          <w:szCs w:val="22"/>
          <w:lang w:val="es-MX" w:eastAsia="en-US"/>
        </w:rPr>
      </w:pPr>
    </w:p>
    <w:p w14:paraId="1650B869" w14:textId="31BF5422" w:rsidR="00D55299" w:rsidRPr="00481068" w:rsidRDefault="00D55299" w:rsidP="00524963">
      <w:pPr>
        <w:tabs>
          <w:tab w:val="left" w:pos="3374"/>
        </w:tabs>
        <w:rPr>
          <w:rFonts w:ascii="Arial" w:eastAsia="Calibri" w:hAnsi="Arial" w:cs="Arial"/>
          <w:sz w:val="22"/>
          <w:szCs w:val="22"/>
          <w:lang w:val="es-MX" w:eastAsia="en-US"/>
        </w:rPr>
      </w:pPr>
    </w:p>
    <w:p w14:paraId="140B7AD7" w14:textId="3030DA32" w:rsidR="00D55299" w:rsidRPr="00481068" w:rsidRDefault="00895B07" w:rsidP="00895B07">
      <w:pPr>
        <w:tabs>
          <w:tab w:val="left" w:pos="3374"/>
        </w:tabs>
        <w:jc w:val="right"/>
        <w:rPr>
          <w:rFonts w:ascii="Arial" w:eastAsia="Calibri" w:hAnsi="Arial" w:cs="Arial"/>
          <w:sz w:val="22"/>
          <w:szCs w:val="22"/>
          <w:lang w:val="es-MX" w:eastAsia="en-US"/>
        </w:rPr>
      </w:pPr>
      <w:r w:rsidRPr="006E0F44">
        <w:rPr>
          <w:rFonts w:ascii="Arial" w:hAnsi="Arial" w:cs="Arial"/>
          <w:b/>
          <w:noProof/>
          <w:color w:val="000000" w:themeColor="text1"/>
          <w:sz w:val="22"/>
        </w:rPr>
        <w:drawing>
          <wp:inline distT="0" distB="0" distL="0" distR="0" wp14:anchorId="5D2F8787" wp14:editId="036F3E4F">
            <wp:extent cx="2971800" cy="736103"/>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7875" cy="745039"/>
                    </a:xfrm>
                    <a:prstGeom prst="rect">
                      <a:avLst/>
                    </a:prstGeom>
                    <a:noFill/>
                    <a:ln>
                      <a:noFill/>
                    </a:ln>
                  </pic:spPr>
                </pic:pic>
              </a:graphicData>
            </a:graphic>
          </wp:inline>
        </w:drawing>
      </w:r>
    </w:p>
    <w:p w14:paraId="0038E58E" w14:textId="77777777" w:rsidR="008810EB" w:rsidRPr="00481068" w:rsidRDefault="008810EB" w:rsidP="008810EB">
      <w:pPr>
        <w:jc w:val="both"/>
        <w:rPr>
          <w:rFonts w:ascii="Arial" w:eastAsia="Calibri" w:hAnsi="Arial" w:cs="Arial"/>
          <w:noProof/>
          <w:color w:val="000000" w:themeColor="text1"/>
          <w:sz w:val="22"/>
          <w:szCs w:val="22"/>
        </w:rPr>
      </w:pPr>
    </w:p>
    <w:p w14:paraId="5A97C9A0" w14:textId="77777777" w:rsidR="00895B07" w:rsidRPr="00895B07" w:rsidRDefault="00895B07" w:rsidP="00895B07">
      <w:pPr>
        <w:jc w:val="right"/>
        <w:rPr>
          <w:rFonts w:ascii="Arial" w:hAnsi="Arial" w:cs="Arial"/>
          <w:sz w:val="16"/>
          <w:szCs w:val="16"/>
        </w:rPr>
      </w:pPr>
      <w:r w:rsidRPr="00895B07">
        <w:rPr>
          <w:rFonts w:ascii="Arial" w:hAnsi="Arial" w:cs="Arial"/>
          <w:sz w:val="16"/>
          <w:szCs w:val="16"/>
        </w:rPr>
        <w:t xml:space="preserve">CCE-DES-FM-17 </w:t>
      </w:r>
    </w:p>
    <w:p w14:paraId="1875F663" w14:textId="77777777" w:rsidR="00895B07" w:rsidRDefault="00895B07" w:rsidP="00524963"/>
    <w:p w14:paraId="7CC2EF28" w14:textId="26922097" w:rsidR="00524963" w:rsidRPr="00895B07" w:rsidRDefault="00895B07" w:rsidP="00524963">
      <w:pPr>
        <w:rPr>
          <w:rFonts w:ascii="Arial" w:eastAsia="Calibri" w:hAnsi="Arial" w:cs="Arial"/>
          <w:noProof/>
          <w:sz w:val="22"/>
          <w:szCs w:val="22"/>
          <w:lang w:eastAsia="en-US"/>
        </w:rPr>
      </w:pPr>
      <w:r w:rsidRPr="00895B07">
        <w:rPr>
          <w:rFonts w:ascii="Arial" w:hAnsi="Arial" w:cs="Arial"/>
          <w:sz w:val="22"/>
          <w:szCs w:val="22"/>
        </w:rPr>
        <w:t xml:space="preserve">Bogotá, 02 </w:t>
      </w:r>
      <w:proofErr w:type="gramStart"/>
      <w:r w:rsidRPr="00895B07">
        <w:rPr>
          <w:rFonts w:ascii="Arial" w:hAnsi="Arial" w:cs="Arial"/>
          <w:sz w:val="22"/>
          <w:szCs w:val="22"/>
        </w:rPr>
        <w:t>Mayo</w:t>
      </w:r>
      <w:proofErr w:type="gramEnd"/>
      <w:r w:rsidRPr="00895B07">
        <w:rPr>
          <w:rFonts w:ascii="Arial" w:hAnsi="Arial" w:cs="Arial"/>
          <w:sz w:val="22"/>
          <w:szCs w:val="22"/>
        </w:rPr>
        <w:t xml:space="preserve"> </w:t>
      </w:r>
      <w:r w:rsidR="0010510D">
        <w:rPr>
          <w:rFonts w:ascii="Arial" w:hAnsi="Arial" w:cs="Arial"/>
          <w:sz w:val="22"/>
          <w:szCs w:val="22"/>
        </w:rPr>
        <w:t xml:space="preserve">de </w:t>
      </w:r>
      <w:r w:rsidRPr="00895B07">
        <w:rPr>
          <w:rFonts w:ascii="Arial" w:hAnsi="Arial" w:cs="Arial"/>
          <w:sz w:val="22"/>
          <w:szCs w:val="22"/>
        </w:rPr>
        <w:t>2022</w:t>
      </w:r>
    </w:p>
    <w:p w14:paraId="5D5DCB70" w14:textId="77777777" w:rsidR="00524963" w:rsidRDefault="00524963" w:rsidP="00524963">
      <w:pPr>
        <w:rPr>
          <w:rFonts w:ascii="Arial" w:eastAsia="Calibri" w:hAnsi="Arial" w:cs="Arial"/>
          <w:sz w:val="22"/>
          <w:szCs w:val="22"/>
          <w:lang w:eastAsia="en-US"/>
        </w:rPr>
      </w:pPr>
    </w:p>
    <w:p w14:paraId="6A3F4F31" w14:textId="77777777" w:rsidR="00895B07" w:rsidRPr="00481068" w:rsidRDefault="00895B07" w:rsidP="00524963">
      <w:pPr>
        <w:rPr>
          <w:rFonts w:ascii="Arial" w:eastAsia="Calibri" w:hAnsi="Arial" w:cs="Arial"/>
          <w:sz w:val="22"/>
          <w:szCs w:val="22"/>
          <w:lang w:eastAsia="en-US"/>
        </w:rPr>
      </w:pPr>
    </w:p>
    <w:p w14:paraId="725275E7" w14:textId="49CC3947" w:rsidR="00524963" w:rsidRPr="00481068" w:rsidRDefault="00EB09FF" w:rsidP="00524963">
      <w:pPr>
        <w:jc w:val="both"/>
        <w:rPr>
          <w:rFonts w:ascii="Arial" w:eastAsia="Calibri" w:hAnsi="Arial" w:cs="Arial"/>
          <w:sz w:val="22"/>
          <w:szCs w:val="22"/>
          <w:lang w:eastAsia="en-US"/>
        </w:rPr>
      </w:pPr>
      <w:bookmarkStart w:id="8" w:name="_Hlk96417464"/>
      <w:r w:rsidRPr="00481068">
        <w:rPr>
          <w:rFonts w:ascii="Arial" w:eastAsia="Calibri" w:hAnsi="Arial" w:cs="Arial"/>
          <w:sz w:val="22"/>
          <w:szCs w:val="22"/>
          <w:lang w:eastAsia="en-US"/>
        </w:rPr>
        <w:t>Señor</w:t>
      </w:r>
    </w:p>
    <w:p w14:paraId="4A8A1325" w14:textId="4CFB9F15" w:rsidR="00EB09FF" w:rsidRPr="00481068" w:rsidRDefault="00EB09FF" w:rsidP="00EB09FF">
      <w:pPr>
        <w:jc w:val="both"/>
        <w:rPr>
          <w:rFonts w:ascii="Arial" w:eastAsia="Calibri" w:hAnsi="Arial" w:cs="Arial"/>
          <w:b/>
          <w:sz w:val="22"/>
          <w:szCs w:val="22"/>
          <w:lang w:eastAsia="en-US"/>
        </w:rPr>
      </w:pPr>
      <w:r w:rsidRPr="00481068">
        <w:rPr>
          <w:rFonts w:ascii="Arial" w:eastAsia="Calibri" w:hAnsi="Arial" w:cs="Arial"/>
          <w:b/>
          <w:sz w:val="22"/>
          <w:szCs w:val="22"/>
          <w:lang w:eastAsia="en-US"/>
        </w:rPr>
        <w:t>Andrés Camilo Acevedo Barragán</w:t>
      </w:r>
    </w:p>
    <w:p w14:paraId="1EA4E737" w14:textId="530B7200" w:rsidR="00524963" w:rsidRPr="00481068" w:rsidRDefault="00EB09FF" w:rsidP="00524963">
      <w:pPr>
        <w:jc w:val="both"/>
        <w:rPr>
          <w:rFonts w:ascii="Arial" w:eastAsia="Calibri" w:hAnsi="Arial" w:cs="Arial"/>
          <w:color w:val="FF0000"/>
          <w:sz w:val="22"/>
          <w:szCs w:val="22"/>
          <w:lang w:eastAsia="en-US"/>
        </w:rPr>
      </w:pPr>
      <w:r w:rsidRPr="00481068">
        <w:rPr>
          <w:rFonts w:ascii="Arial" w:eastAsia="Calibri" w:hAnsi="Arial" w:cs="Arial"/>
          <w:bCs/>
          <w:sz w:val="22"/>
          <w:szCs w:val="22"/>
          <w:lang w:eastAsia="en-US"/>
        </w:rPr>
        <w:t>Ibagué, Tolima</w:t>
      </w:r>
    </w:p>
    <w:p w14:paraId="3746D9AF" w14:textId="79215A9D" w:rsidR="00524963" w:rsidRPr="00481068" w:rsidRDefault="00524963" w:rsidP="00524963">
      <w:pPr>
        <w:jc w:val="both"/>
        <w:rPr>
          <w:rFonts w:ascii="Arial" w:eastAsia="Calibri" w:hAnsi="Arial" w:cs="Arial"/>
          <w:color w:val="FF0000"/>
          <w:sz w:val="22"/>
          <w:szCs w:val="22"/>
          <w:lang w:eastAsia="en-US"/>
        </w:rPr>
      </w:pPr>
    </w:p>
    <w:p w14:paraId="0F9E3977" w14:textId="77777777" w:rsidR="00EB09FF" w:rsidRPr="00481068" w:rsidRDefault="00EB09FF" w:rsidP="00524963">
      <w:pPr>
        <w:jc w:val="both"/>
        <w:rPr>
          <w:rFonts w:ascii="Arial" w:eastAsia="Calibri" w:hAnsi="Arial" w:cs="Arial"/>
          <w:color w:val="FF0000"/>
          <w:sz w:val="22"/>
          <w:szCs w:val="22"/>
          <w:lang w:eastAsia="en-US"/>
        </w:rPr>
      </w:pPr>
    </w:p>
    <w:p w14:paraId="3419EAF6" w14:textId="1B83F57B" w:rsidR="00524963" w:rsidRPr="00481068" w:rsidRDefault="00524963" w:rsidP="00524963">
      <w:pPr>
        <w:jc w:val="both"/>
        <w:rPr>
          <w:rFonts w:ascii="Arial" w:eastAsia="Calibri" w:hAnsi="Arial" w:cs="Arial"/>
          <w:sz w:val="22"/>
          <w:szCs w:val="22"/>
          <w:lang w:eastAsia="en-US"/>
        </w:rPr>
      </w:pPr>
      <w:r w:rsidRPr="00481068">
        <w:rPr>
          <w:rFonts w:ascii="Arial" w:eastAsia="Calibri" w:hAnsi="Arial" w:cs="Arial"/>
          <w:sz w:val="22"/>
          <w:szCs w:val="22"/>
          <w:lang w:eastAsia="en-US"/>
        </w:rPr>
        <w:t xml:space="preserve">                                            </w:t>
      </w:r>
      <w:r w:rsidRPr="00481068">
        <w:rPr>
          <w:rFonts w:ascii="Arial" w:eastAsia="Calibri" w:hAnsi="Arial" w:cs="Arial"/>
          <w:b/>
          <w:sz w:val="22"/>
          <w:szCs w:val="22"/>
          <w:lang w:eastAsia="en-US"/>
        </w:rPr>
        <w:t xml:space="preserve">Concepto C – </w:t>
      </w:r>
      <w:r w:rsidR="00EB09FF" w:rsidRPr="00481068">
        <w:rPr>
          <w:rFonts w:ascii="Arial" w:eastAsia="Calibri" w:hAnsi="Arial" w:cs="Arial"/>
          <w:b/>
          <w:sz w:val="22"/>
          <w:szCs w:val="22"/>
          <w:lang w:eastAsia="en-US"/>
        </w:rPr>
        <w:t>184</w:t>
      </w:r>
      <w:r w:rsidRPr="00481068">
        <w:rPr>
          <w:rFonts w:ascii="Arial" w:eastAsia="Calibri" w:hAnsi="Arial" w:cs="Arial"/>
          <w:b/>
          <w:sz w:val="22"/>
          <w:szCs w:val="22"/>
          <w:lang w:eastAsia="en-US"/>
        </w:rPr>
        <w:t xml:space="preserve"> de 2022</w:t>
      </w:r>
      <w:r w:rsidRPr="00481068">
        <w:rPr>
          <w:rFonts w:ascii="Arial" w:eastAsia="Calibri" w:hAnsi="Arial" w:cs="Arial"/>
          <w:sz w:val="22"/>
          <w:szCs w:val="22"/>
          <w:lang w:eastAsia="en-US"/>
        </w:rPr>
        <w:t xml:space="preserve"> </w:t>
      </w:r>
    </w:p>
    <w:p w14:paraId="6157B7C8" w14:textId="77777777" w:rsidR="00524963" w:rsidRPr="00481068" w:rsidRDefault="00524963" w:rsidP="00524963">
      <w:pPr>
        <w:jc w:val="both"/>
        <w:rPr>
          <w:rFonts w:ascii="Arial" w:eastAsia="Calibri" w:hAnsi="Arial" w:cs="Arial"/>
          <w:b/>
          <w:sz w:val="22"/>
          <w:szCs w:val="22"/>
          <w:lang w:eastAsia="en-US"/>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24963" w:rsidRPr="00481068" w14:paraId="3B9133A1" w14:textId="77777777" w:rsidTr="00266B9D">
        <w:trPr>
          <w:trHeight w:val="485"/>
        </w:trPr>
        <w:tc>
          <w:tcPr>
            <w:tcW w:w="2689" w:type="dxa"/>
            <w:hideMark/>
          </w:tcPr>
          <w:p w14:paraId="7D325A61" w14:textId="77777777" w:rsidR="00524963" w:rsidRPr="00481068" w:rsidRDefault="00524963" w:rsidP="00524963">
            <w:pPr>
              <w:contextualSpacing/>
              <w:rPr>
                <w:rFonts w:ascii="Arial" w:eastAsia="Calibri" w:hAnsi="Arial" w:cs="Arial"/>
                <w:noProof/>
                <w:sz w:val="22"/>
                <w:szCs w:val="22"/>
                <w:lang w:val="es-ES_tradnl" w:eastAsia="en-US"/>
              </w:rPr>
            </w:pPr>
            <w:r w:rsidRPr="00481068">
              <w:rPr>
                <w:rFonts w:ascii="Arial" w:eastAsia="Calibri" w:hAnsi="Arial" w:cs="Arial"/>
                <w:b/>
                <w:noProof/>
                <w:sz w:val="22"/>
                <w:szCs w:val="22"/>
                <w:lang w:val="es-ES_tradnl" w:eastAsia="en-US"/>
              </w:rPr>
              <w:t>Temas:</w:t>
            </w:r>
            <w:r w:rsidRPr="00481068">
              <w:rPr>
                <w:rFonts w:ascii="Arial" w:eastAsia="Calibri" w:hAnsi="Arial" w:cs="Arial"/>
                <w:noProof/>
                <w:sz w:val="22"/>
                <w:szCs w:val="22"/>
                <w:lang w:val="es-ES_tradnl" w:eastAsia="en-US"/>
              </w:rPr>
              <w:t xml:space="preserve">        </w:t>
            </w:r>
          </w:p>
        </w:tc>
        <w:tc>
          <w:tcPr>
            <w:tcW w:w="6237" w:type="dxa"/>
            <w:hideMark/>
          </w:tcPr>
          <w:p w14:paraId="7CB6205F" w14:textId="3AF60F37" w:rsidR="0041286F" w:rsidRPr="00481068" w:rsidRDefault="001A1CC0" w:rsidP="001A1CC0">
            <w:pPr>
              <w:spacing w:after="120"/>
              <w:contextualSpacing/>
              <w:jc w:val="both"/>
              <w:rPr>
                <w:rFonts w:ascii="Arial" w:hAnsi="Arial" w:cs="Arial"/>
                <w:bCs/>
                <w:sz w:val="22"/>
                <w:lang w:val="es-ES_tradnl" w:eastAsia="es-CO"/>
              </w:rPr>
            </w:pPr>
            <w:r w:rsidRPr="00481068">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481068">
              <w:rPr>
                <w:rFonts w:ascii="Arial" w:eastAsia="Calibri" w:hAnsi="Arial" w:cs="Arial"/>
                <w:bCs/>
                <w:sz w:val="22"/>
                <w:lang w:val="es-ES_tradnl"/>
              </w:rPr>
              <w:t xml:space="preserve">LEY DE GARANTÍAS ELECTORALES ─ Prohibición artículo 33 ‒ Contratación directa ‒ Alcance / </w:t>
            </w:r>
            <w:r w:rsidRPr="00481068">
              <w:rPr>
                <w:rFonts w:ascii="Arial" w:hAnsi="Arial" w:cs="Arial"/>
                <w:bCs/>
                <w:sz w:val="22"/>
                <w:lang w:val="es-ES_tradnl" w:eastAsia="es-CO"/>
              </w:rPr>
              <w:t>LEY DE GARANTÍAS ELECTORALES ‒ Excepciones</w:t>
            </w:r>
            <w:r w:rsidRPr="00481068">
              <w:rPr>
                <w:rFonts w:ascii="Arial" w:hAnsi="Arial" w:cs="Arial"/>
                <w:sz w:val="22"/>
                <w:lang w:val="es-ES_tradnl" w:eastAsia="es-CO"/>
              </w:rPr>
              <w:t xml:space="preserve"> / </w:t>
            </w:r>
            <w:r w:rsidRPr="00481068">
              <w:rPr>
                <w:rFonts w:ascii="Arial" w:hAnsi="Arial" w:cs="Arial"/>
                <w:bCs/>
                <w:sz w:val="22"/>
                <w:lang w:val="es-ES_tradnl" w:eastAsia="es-CO"/>
              </w:rPr>
              <w:t xml:space="preserve">LEY DE GARANTÍAS ELECTORALES ‒ </w:t>
            </w:r>
            <w:r w:rsidRPr="00481068">
              <w:rPr>
                <w:rFonts w:ascii="Arial" w:hAnsi="Arial" w:cs="Arial"/>
                <w:sz w:val="22"/>
                <w:lang w:val="es-ES_tradnl" w:eastAsia="es-CO"/>
              </w:rPr>
              <w:t xml:space="preserve">Prohibición del artículo 33 </w:t>
            </w:r>
            <w:r w:rsidRPr="00481068">
              <w:rPr>
                <w:rFonts w:ascii="Arial" w:hAnsi="Arial" w:cs="Arial"/>
                <w:bCs/>
                <w:sz w:val="22"/>
                <w:lang w:val="es-ES_tradnl" w:eastAsia="es-CO"/>
              </w:rPr>
              <w:t xml:space="preserve">‒ Destinatarios / </w:t>
            </w:r>
            <w:r w:rsidR="000807F4" w:rsidRPr="00481068">
              <w:rPr>
                <w:rFonts w:ascii="Arial" w:hAnsi="Arial" w:cs="Arial"/>
                <w:bCs/>
                <w:sz w:val="22"/>
                <w:lang w:val="es-ES_tradnl" w:eastAsia="es-CO"/>
              </w:rPr>
              <w:t xml:space="preserve">ORGANISMOS INTERNACIONALES – Régimen de contratación / </w:t>
            </w:r>
            <w:r w:rsidRPr="00481068">
              <w:rPr>
                <w:rFonts w:ascii="Arial" w:hAnsi="Arial" w:cs="Arial"/>
                <w:bCs/>
                <w:sz w:val="22"/>
                <w:lang w:val="es-ES_tradnl" w:eastAsia="es-CO"/>
              </w:rPr>
              <w:t>ORGANISMOS INTERNACIONALES – Ley de garantías electorales – Restricción – Contratación Directa – Artículo 33 – Alcance</w:t>
            </w:r>
            <w:r w:rsidR="00D260C6" w:rsidRPr="00481068">
              <w:rPr>
                <w:rFonts w:ascii="Arial" w:hAnsi="Arial" w:cs="Arial"/>
                <w:bCs/>
                <w:sz w:val="22"/>
                <w:lang w:val="es-ES_tradnl" w:eastAsia="es-CO"/>
              </w:rPr>
              <w:t xml:space="preserve"> – Unificación de criterios</w:t>
            </w:r>
          </w:p>
          <w:p w14:paraId="616ABA7B" w14:textId="77777777" w:rsidR="001A1CC0" w:rsidRPr="00481068" w:rsidRDefault="001A1CC0" w:rsidP="00AF5B0E">
            <w:pPr>
              <w:spacing w:after="120"/>
              <w:contextualSpacing/>
              <w:jc w:val="both"/>
              <w:rPr>
                <w:rFonts w:ascii="Arial" w:eastAsia="Calibri" w:hAnsi="Arial" w:cs="Arial"/>
                <w:b/>
                <w:sz w:val="12"/>
                <w:szCs w:val="12"/>
                <w:lang w:val="es-MX" w:eastAsia="es-MX"/>
              </w:rPr>
            </w:pPr>
          </w:p>
          <w:p w14:paraId="1FAC99B3" w14:textId="77777777" w:rsidR="00524963" w:rsidRPr="00481068" w:rsidRDefault="00524963" w:rsidP="00524963">
            <w:pPr>
              <w:spacing w:after="120"/>
              <w:rPr>
                <w:rFonts w:ascii="Arial" w:eastAsia="Calibri" w:hAnsi="Arial" w:cs="Arial"/>
                <w:bCs/>
                <w:sz w:val="22"/>
                <w:szCs w:val="22"/>
                <w:lang w:val="es-MX" w:eastAsia="en-US"/>
              </w:rPr>
            </w:pPr>
          </w:p>
        </w:tc>
      </w:tr>
      <w:tr w:rsidR="00524963" w:rsidRPr="00481068" w14:paraId="3ACF6E69" w14:textId="77777777" w:rsidTr="00EB09FF">
        <w:trPr>
          <w:trHeight w:val="231"/>
        </w:trPr>
        <w:tc>
          <w:tcPr>
            <w:tcW w:w="2689" w:type="dxa"/>
          </w:tcPr>
          <w:p w14:paraId="4C768BE4" w14:textId="77777777" w:rsidR="00524963" w:rsidRPr="00481068" w:rsidRDefault="00524963" w:rsidP="00EB09FF">
            <w:pPr>
              <w:contextualSpacing/>
              <w:rPr>
                <w:rFonts w:ascii="Arial" w:eastAsia="Calibri" w:hAnsi="Arial" w:cs="Arial"/>
                <w:b/>
                <w:noProof/>
                <w:sz w:val="22"/>
                <w:szCs w:val="22"/>
                <w:lang w:val="es-ES_tradnl" w:eastAsia="en-US"/>
              </w:rPr>
            </w:pPr>
            <w:r w:rsidRPr="00481068">
              <w:rPr>
                <w:rFonts w:ascii="Arial" w:eastAsia="Calibri" w:hAnsi="Arial" w:cs="Arial"/>
                <w:b/>
                <w:noProof/>
                <w:sz w:val="22"/>
                <w:szCs w:val="22"/>
                <w:lang w:val="es-ES_tradnl" w:eastAsia="en-US"/>
              </w:rPr>
              <w:t>Radicación:</w:t>
            </w:r>
            <w:r w:rsidRPr="00481068">
              <w:rPr>
                <w:rFonts w:ascii="Arial" w:eastAsia="Calibri" w:hAnsi="Arial" w:cs="Arial"/>
                <w:noProof/>
                <w:sz w:val="22"/>
                <w:szCs w:val="22"/>
                <w:lang w:val="es-ES_tradnl" w:eastAsia="en-US"/>
              </w:rPr>
              <w:t xml:space="preserve">                              </w:t>
            </w:r>
          </w:p>
        </w:tc>
        <w:tc>
          <w:tcPr>
            <w:tcW w:w="6237" w:type="dxa"/>
          </w:tcPr>
          <w:p w14:paraId="7AE192F3" w14:textId="2C52A33D" w:rsidR="00524963" w:rsidRPr="00481068" w:rsidRDefault="00524963" w:rsidP="00EB09FF">
            <w:pPr>
              <w:jc w:val="both"/>
              <w:rPr>
                <w:rFonts w:ascii="Arial" w:eastAsia="Calibri" w:hAnsi="Arial" w:cs="Arial"/>
                <w:noProof/>
                <w:sz w:val="22"/>
                <w:szCs w:val="22"/>
                <w:lang w:val="es-ES_tradnl" w:eastAsia="en-US"/>
              </w:rPr>
            </w:pPr>
            <w:r w:rsidRPr="00481068">
              <w:rPr>
                <w:rFonts w:ascii="Arial" w:eastAsia="Calibri" w:hAnsi="Arial" w:cs="Arial"/>
                <w:noProof/>
                <w:sz w:val="22"/>
                <w:szCs w:val="22"/>
                <w:lang w:val="es-ES_tradnl" w:eastAsia="en-US"/>
              </w:rPr>
              <w:t xml:space="preserve">Respuesta a </w:t>
            </w:r>
            <w:r w:rsidR="00A057E8" w:rsidRPr="00481068">
              <w:rPr>
                <w:rFonts w:ascii="Arial" w:eastAsia="Calibri" w:hAnsi="Arial" w:cs="Arial"/>
                <w:noProof/>
                <w:sz w:val="22"/>
                <w:szCs w:val="22"/>
                <w:lang w:val="es-ES_tradnl" w:eastAsia="en-US"/>
              </w:rPr>
              <w:t xml:space="preserve">la </w:t>
            </w:r>
            <w:r w:rsidRPr="00481068">
              <w:rPr>
                <w:rFonts w:ascii="Arial" w:eastAsia="Calibri" w:hAnsi="Arial" w:cs="Arial"/>
                <w:noProof/>
                <w:sz w:val="22"/>
                <w:szCs w:val="22"/>
                <w:lang w:val="es-ES_tradnl" w:eastAsia="en-US"/>
              </w:rPr>
              <w:t>consulta</w:t>
            </w:r>
            <w:r w:rsidR="007E213A" w:rsidRPr="00481068">
              <w:rPr>
                <w:rFonts w:ascii="Arial" w:eastAsia="Calibri" w:hAnsi="Arial" w:cs="Arial"/>
                <w:noProof/>
                <w:sz w:val="22"/>
                <w:szCs w:val="22"/>
                <w:lang w:val="es-ES_tradnl" w:eastAsia="en-US"/>
              </w:rPr>
              <w:t xml:space="preserve"> </w:t>
            </w:r>
            <w:r w:rsidR="00EB09FF" w:rsidRPr="00481068">
              <w:rPr>
                <w:rFonts w:ascii="Arial" w:eastAsia="Calibri" w:hAnsi="Arial" w:cs="Arial"/>
                <w:noProof/>
                <w:sz w:val="22"/>
                <w:szCs w:val="22"/>
                <w:lang w:val="es-ES_tradnl" w:eastAsia="en-US"/>
              </w:rPr>
              <w:t>P20220316002614</w:t>
            </w:r>
          </w:p>
        </w:tc>
      </w:tr>
    </w:tbl>
    <w:p w14:paraId="16390F0C" w14:textId="37125357" w:rsidR="00524963" w:rsidRPr="00481068" w:rsidRDefault="00524963" w:rsidP="00EB09FF">
      <w:pPr>
        <w:jc w:val="both"/>
        <w:rPr>
          <w:rFonts w:ascii="Arial" w:eastAsia="Calibri" w:hAnsi="Arial" w:cs="Arial"/>
          <w:sz w:val="22"/>
          <w:szCs w:val="22"/>
          <w:lang w:eastAsia="en-US"/>
        </w:rPr>
      </w:pPr>
    </w:p>
    <w:p w14:paraId="55141216" w14:textId="77777777" w:rsidR="0041286F" w:rsidRPr="00481068" w:rsidRDefault="0041286F" w:rsidP="00EB09FF">
      <w:pPr>
        <w:jc w:val="both"/>
        <w:rPr>
          <w:rFonts w:ascii="Arial" w:eastAsia="Calibri" w:hAnsi="Arial" w:cs="Arial"/>
          <w:sz w:val="22"/>
          <w:szCs w:val="22"/>
          <w:lang w:eastAsia="en-US"/>
        </w:rPr>
      </w:pPr>
    </w:p>
    <w:p w14:paraId="26030D5D" w14:textId="3F8B9AAE" w:rsidR="00524963" w:rsidRPr="00481068" w:rsidRDefault="00524963" w:rsidP="00524963">
      <w:pPr>
        <w:spacing w:line="276" w:lineRule="auto"/>
        <w:jc w:val="both"/>
        <w:rPr>
          <w:rFonts w:ascii="Arial" w:eastAsia="Calibri" w:hAnsi="Arial" w:cs="Arial"/>
          <w:sz w:val="22"/>
          <w:szCs w:val="22"/>
          <w:lang w:eastAsia="en-US"/>
        </w:rPr>
      </w:pPr>
      <w:r w:rsidRPr="00481068">
        <w:rPr>
          <w:rFonts w:ascii="Arial" w:eastAsia="Calibri" w:hAnsi="Arial" w:cs="Arial"/>
          <w:sz w:val="22"/>
          <w:szCs w:val="22"/>
          <w:lang w:eastAsia="en-US"/>
        </w:rPr>
        <w:t>Estimad</w:t>
      </w:r>
      <w:r w:rsidR="007E213A" w:rsidRPr="00481068">
        <w:rPr>
          <w:rFonts w:ascii="Arial" w:eastAsia="Calibri" w:hAnsi="Arial" w:cs="Arial"/>
          <w:sz w:val="22"/>
          <w:szCs w:val="22"/>
          <w:lang w:eastAsia="en-US"/>
        </w:rPr>
        <w:t>o</w:t>
      </w:r>
      <w:r w:rsidRPr="00481068">
        <w:rPr>
          <w:rFonts w:ascii="Arial" w:eastAsia="Calibri" w:hAnsi="Arial" w:cs="Arial"/>
          <w:sz w:val="22"/>
          <w:szCs w:val="22"/>
          <w:lang w:eastAsia="en-US"/>
        </w:rPr>
        <w:t xml:space="preserve"> </w:t>
      </w:r>
      <w:r w:rsidR="00D260C6" w:rsidRPr="00481068">
        <w:rPr>
          <w:rFonts w:ascii="Arial" w:eastAsia="Calibri" w:hAnsi="Arial" w:cs="Arial"/>
          <w:sz w:val="22"/>
          <w:szCs w:val="22"/>
          <w:lang w:eastAsia="en-US"/>
        </w:rPr>
        <w:t>D</w:t>
      </w:r>
      <w:r w:rsidRPr="00481068">
        <w:rPr>
          <w:rFonts w:ascii="Arial" w:eastAsia="Calibri" w:hAnsi="Arial" w:cs="Arial"/>
          <w:sz w:val="22"/>
          <w:szCs w:val="22"/>
          <w:lang w:eastAsia="en-US"/>
        </w:rPr>
        <w:t xml:space="preserve">octor </w:t>
      </w:r>
      <w:r w:rsidR="007E213A" w:rsidRPr="00481068">
        <w:rPr>
          <w:rFonts w:ascii="Arial" w:eastAsia="Calibri" w:hAnsi="Arial" w:cs="Arial"/>
          <w:sz w:val="22"/>
          <w:szCs w:val="22"/>
          <w:lang w:eastAsia="en-US"/>
        </w:rPr>
        <w:t>Lara</w:t>
      </w:r>
      <w:r w:rsidRPr="00481068">
        <w:rPr>
          <w:rFonts w:ascii="Arial" w:eastAsia="Calibri" w:hAnsi="Arial" w:cs="Arial"/>
          <w:sz w:val="22"/>
          <w:szCs w:val="22"/>
          <w:lang w:eastAsia="en-US"/>
        </w:rPr>
        <w:t>:</w:t>
      </w:r>
    </w:p>
    <w:p w14:paraId="5E245FA2" w14:textId="77777777" w:rsidR="00524963" w:rsidRPr="00481068" w:rsidRDefault="00524963" w:rsidP="00524963">
      <w:pPr>
        <w:spacing w:line="276" w:lineRule="auto"/>
        <w:ind w:firstLine="709"/>
        <w:jc w:val="both"/>
        <w:rPr>
          <w:rFonts w:ascii="Arial" w:eastAsia="Calibri" w:hAnsi="Arial" w:cs="Arial"/>
          <w:sz w:val="22"/>
          <w:szCs w:val="22"/>
          <w:lang w:eastAsia="en-US"/>
        </w:rPr>
      </w:pPr>
    </w:p>
    <w:p w14:paraId="3475A231" w14:textId="4440E89D" w:rsidR="00524963" w:rsidRPr="00481068" w:rsidRDefault="00524963" w:rsidP="00524963">
      <w:pPr>
        <w:spacing w:line="276" w:lineRule="auto"/>
        <w:ind w:right="51"/>
        <w:jc w:val="both"/>
        <w:rPr>
          <w:rFonts w:ascii="Arial" w:eastAsia="Calibri" w:hAnsi="Arial" w:cs="Arial"/>
          <w:sz w:val="22"/>
          <w:szCs w:val="22"/>
          <w:lang w:eastAsia="en-US"/>
        </w:rPr>
      </w:pPr>
      <w:r w:rsidRPr="00481068">
        <w:rPr>
          <w:rFonts w:ascii="Arial" w:eastAsia="Calibri" w:hAnsi="Arial" w:cs="Arial"/>
          <w:sz w:val="22"/>
          <w:szCs w:val="22"/>
          <w:lang w:eastAsia="en-US"/>
        </w:rPr>
        <w:t>En ejercicio de la competencia otorgada por el numeral 8 del artículo 11 y el numeral 5 del artículo 3 del Decreto Ley 4170 de 2011, la Agencia Nacional de Contratación Pública – Colombia Compra Eficiente responde la consulta</w:t>
      </w:r>
      <w:r w:rsidR="00B52A3C" w:rsidRPr="00481068">
        <w:rPr>
          <w:rFonts w:ascii="Arial" w:eastAsia="Calibri" w:hAnsi="Arial" w:cs="Arial"/>
          <w:sz w:val="22"/>
          <w:szCs w:val="22"/>
          <w:lang w:eastAsia="en-US"/>
        </w:rPr>
        <w:t xml:space="preserve"> </w:t>
      </w:r>
      <w:r w:rsidR="00A057E8" w:rsidRPr="00481068">
        <w:rPr>
          <w:rFonts w:ascii="Arial" w:eastAsia="Calibri" w:hAnsi="Arial" w:cs="Arial"/>
          <w:sz w:val="22"/>
          <w:szCs w:val="22"/>
          <w:lang w:eastAsia="en-US"/>
        </w:rPr>
        <w:t xml:space="preserve">radicada </w:t>
      </w:r>
      <w:r w:rsidRPr="00481068">
        <w:rPr>
          <w:rFonts w:ascii="Arial" w:eastAsia="Calibri" w:hAnsi="Arial" w:cs="Arial"/>
          <w:sz w:val="22"/>
          <w:szCs w:val="22"/>
          <w:lang w:eastAsia="en-US"/>
        </w:rPr>
        <w:t xml:space="preserve">el </w:t>
      </w:r>
      <w:r w:rsidR="007E213A" w:rsidRPr="00481068">
        <w:rPr>
          <w:rFonts w:ascii="Arial" w:eastAsia="Calibri" w:hAnsi="Arial" w:cs="Arial"/>
          <w:sz w:val="22"/>
          <w:szCs w:val="22"/>
          <w:lang w:eastAsia="en-US"/>
        </w:rPr>
        <w:t xml:space="preserve">16 </w:t>
      </w:r>
      <w:r w:rsidRPr="00481068">
        <w:rPr>
          <w:rFonts w:ascii="Arial" w:eastAsia="Calibri" w:hAnsi="Arial" w:cs="Arial"/>
          <w:sz w:val="22"/>
          <w:szCs w:val="22"/>
          <w:lang w:eastAsia="en-US"/>
        </w:rPr>
        <w:t xml:space="preserve">de </w:t>
      </w:r>
      <w:r w:rsidR="007E213A" w:rsidRPr="00481068">
        <w:rPr>
          <w:rFonts w:ascii="Arial" w:eastAsia="Calibri" w:hAnsi="Arial" w:cs="Arial"/>
          <w:sz w:val="22"/>
          <w:szCs w:val="22"/>
          <w:lang w:eastAsia="en-US"/>
        </w:rPr>
        <w:t>marzo</w:t>
      </w:r>
      <w:r w:rsidRPr="00481068">
        <w:rPr>
          <w:rFonts w:ascii="Arial" w:eastAsia="Calibri" w:hAnsi="Arial" w:cs="Arial"/>
          <w:sz w:val="22"/>
          <w:szCs w:val="22"/>
          <w:lang w:eastAsia="en-US"/>
        </w:rPr>
        <w:t xml:space="preserve"> de 202</w:t>
      </w:r>
      <w:r w:rsidR="007E213A" w:rsidRPr="00481068">
        <w:rPr>
          <w:rFonts w:ascii="Arial" w:eastAsia="Calibri" w:hAnsi="Arial" w:cs="Arial"/>
          <w:sz w:val="22"/>
          <w:szCs w:val="22"/>
          <w:lang w:eastAsia="en-US"/>
        </w:rPr>
        <w:t>2</w:t>
      </w:r>
      <w:r w:rsidR="00A057E8" w:rsidRPr="00481068">
        <w:rPr>
          <w:rFonts w:ascii="Arial" w:eastAsia="Calibri" w:hAnsi="Arial" w:cs="Arial"/>
          <w:sz w:val="22"/>
          <w:szCs w:val="22"/>
          <w:lang w:eastAsia="en-US"/>
        </w:rPr>
        <w:t>.</w:t>
      </w:r>
      <w:r w:rsidRPr="00481068">
        <w:rPr>
          <w:rFonts w:ascii="Arial" w:eastAsia="Calibri" w:hAnsi="Arial" w:cs="Arial"/>
          <w:sz w:val="22"/>
          <w:szCs w:val="22"/>
          <w:lang w:eastAsia="en-US"/>
        </w:rPr>
        <w:t xml:space="preserve"> </w:t>
      </w:r>
    </w:p>
    <w:p w14:paraId="1FDC1190" w14:textId="77777777" w:rsidR="00524963" w:rsidRPr="00481068" w:rsidRDefault="00524963" w:rsidP="00524963">
      <w:pPr>
        <w:spacing w:line="276" w:lineRule="auto"/>
        <w:jc w:val="both"/>
        <w:rPr>
          <w:rFonts w:ascii="Arial" w:eastAsia="Calibri" w:hAnsi="Arial" w:cs="Arial"/>
          <w:sz w:val="22"/>
          <w:szCs w:val="22"/>
          <w:lang w:eastAsia="en-US"/>
        </w:rPr>
      </w:pPr>
    </w:p>
    <w:p w14:paraId="589A7A08" w14:textId="77777777" w:rsidR="00524963" w:rsidRPr="00481068" w:rsidRDefault="00524963" w:rsidP="00524963">
      <w:pPr>
        <w:tabs>
          <w:tab w:val="left" w:pos="284"/>
        </w:tabs>
        <w:spacing w:line="276" w:lineRule="auto"/>
        <w:jc w:val="both"/>
        <w:rPr>
          <w:rFonts w:ascii="Arial" w:eastAsia="Calibri" w:hAnsi="Arial" w:cs="Arial"/>
          <w:b/>
          <w:sz w:val="22"/>
          <w:szCs w:val="22"/>
          <w:lang w:eastAsia="en-US"/>
        </w:rPr>
      </w:pPr>
      <w:r w:rsidRPr="00481068">
        <w:rPr>
          <w:rFonts w:ascii="Arial" w:eastAsia="Calibri" w:hAnsi="Arial" w:cs="Arial"/>
          <w:b/>
          <w:sz w:val="22"/>
          <w:szCs w:val="22"/>
          <w:lang w:eastAsia="en-US"/>
        </w:rPr>
        <w:t xml:space="preserve">1. Problema planteado </w:t>
      </w:r>
    </w:p>
    <w:p w14:paraId="39487201" w14:textId="77777777" w:rsidR="00524963" w:rsidRPr="00481068" w:rsidRDefault="00524963" w:rsidP="00524963">
      <w:pPr>
        <w:tabs>
          <w:tab w:val="left" w:pos="284"/>
        </w:tabs>
        <w:spacing w:line="276" w:lineRule="auto"/>
        <w:ind w:firstLine="709"/>
        <w:contextualSpacing/>
        <w:jc w:val="both"/>
        <w:rPr>
          <w:rFonts w:ascii="Arial" w:eastAsia="Calibri" w:hAnsi="Arial" w:cs="Arial"/>
          <w:b/>
          <w:sz w:val="22"/>
          <w:szCs w:val="22"/>
          <w:lang w:eastAsia="en-US"/>
        </w:rPr>
      </w:pPr>
    </w:p>
    <w:p w14:paraId="2B4A55D3" w14:textId="202B60D2" w:rsidR="00524963" w:rsidRPr="00481068" w:rsidRDefault="0040152A" w:rsidP="00881E2A">
      <w:pPr>
        <w:spacing w:line="276" w:lineRule="auto"/>
        <w:jc w:val="both"/>
        <w:rPr>
          <w:rFonts w:ascii="Arial" w:eastAsia="Calibri" w:hAnsi="Arial" w:cs="Arial"/>
          <w:sz w:val="21"/>
          <w:szCs w:val="21"/>
          <w:lang w:val="es-ES_tradnl" w:eastAsia="es-CO"/>
        </w:rPr>
      </w:pPr>
      <w:bookmarkStart w:id="9" w:name="_Hlk58917991"/>
      <w:bookmarkStart w:id="10" w:name="_Hlk56103000"/>
      <w:r w:rsidRPr="00481068">
        <w:rPr>
          <w:rFonts w:ascii="Arial" w:hAnsi="Arial" w:cs="Arial"/>
          <w:color w:val="000000"/>
          <w:sz w:val="22"/>
          <w:szCs w:val="22"/>
          <w:lang w:val="es-ES_tradnl"/>
        </w:rPr>
        <w:t>Respecto a la prohibición del artículo 33 de</w:t>
      </w:r>
      <w:r w:rsidR="00524963" w:rsidRPr="00481068">
        <w:rPr>
          <w:rFonts w:ascii="Arial" w:hAnsi="Arial" w:cs="Arial"/>
          <w:color w:val="000000"/>
          <w:sz w:val="22"/>
          <w:szCs w:val="22"/>
          <w:lang w:val="es-ES_tradnl"/>
        </w:rPr>
        <w:t xml:space="preserve"> la Ley de Garantías Electorales, usted </w:t>
      </w:r>
      <w:r w:rsidRPr="00481068">
        <w:rPr>
          <w:rFonts w:ascii="Arial" w:hAnsi="Arial" w:cs="Arial"/>
          <w:color w:val="000000"/>
          <w:sz w:val="22"/>
          <w:szCs w:val="22"/>
          <w:lang w:val="es-ES_tradnl"/>
        </w:rPr>
        <w:t>realiza la siguiente pregunta</w:t>
      </w:r>
      <w:r w:rsidR="00524963" w:rsidRPr="00481068">
        <w:rPr>
          <w:rFonts w:ascii="Arial" w:hAnsi="Arial" w:cs="Arial"/>
          <w:color w:val="000000"/>
          <w:sz w:val="22"/>
          <w:szCs w:val="22"/>
          <w:lang w:val="es-ES_tradnl"/>
        </w:rPr>
        <w:t xml:space="preserve">: </w:t>
      </w:r>
      <w:bookmarkStart w:id="11" w:name="_Hlk98832248"/>
      <w:bookmarkStart w:id="12" w:name="_Hlk94514883"/>
      <w:r w:rsidR="00126A33" w:rsidRPr="00481068">
        <w:rPr>
          <w:rFonts w:ascii="Arial" w:hAnsi="Arial" w:cs="Arial"/>
          <w:color w:val="000000"/>
          <w:sz w:val="22"/>
          <w:szCs w:val="22"/>
          <w:lang w:val="es-ES_tradnl"/>
        </w:rPr>
        <w:t>«¿En el marco de la Ley de Garantías, se pueden suscribir contratos de cooperación internacional? En nuestro caso, con el Banco Centroamericano de Integración Económica».</w:t>
      </w:r>
      <w:bookmarkEnd w:id="11"/>
      <w:bookmarkEnd w:id="12"/>
      <w:r w:rsidR="00881E2A" w:rsidRPr="00481068">
        <w:rPr>
          <w:rFonts w:ascii="Arial" w:hAnsi="Arial" w:cs="Arial"/>
          <w:color w:val="000000"/>
          <w:sz w:val="22"/>
          <w:szCs w:val="22"/>
          <w:lang w:val="es-ES_tradnl"/>
        </w:rPr>
        <w:t xml:space="preserve"> </w:t>
      </w:r>
      <w:bookmarkStart w:id="13" w:name="_Hlk102136620"/>
      <w:r w:rsidR="00881E2A" w:rsidRPr="00481068">
        <w:rPr>
          <w:rFonts w:ascii="Arial" w:hAnsi="Arial" w:cs="Arial"/>
          <w:color w:val="000000"/>
          <w:sz w:val="22"/>
          <w:szCs w:val="22"/>
          <w:lang w:val="es-ES_tradnl"/>
        </w:rPr>
        <w:t xml:space="preserve">Lo anterior considerando que «[…] </w:t>
      </w:r>
      <w:r w:rsidR="00881E2A" w:rsidRPr="00481068">
        <w:rPr>
          <w:rFonts w:ascii="Arial" w:hAnsi="Arial" w:cs="Arial"/>
          <w:color w:val="000000"/>
          <w:sz w:val="22"/>
          <w:szCs w:val="22"/>
        </w:rPr>
        <w:t xml:space="preserve">existe normatividad expresa </w:t>
      </w:r>
      <w:r w:rsidR="00881E2A" w:rsidRPr="00481068">
        <w:rPr>
          <w:rFonts w:ascii="Arial" w:hAnsi="Arial" w:cs="Arial"/>
          <w:color w:val="000000"/>
          <w:sz w:val="22"/>
          <w:szCs w:val="22"/>
        </w:rPr>
        <w:lastRenderedPageBreak/>
        <w:t xml:space="preserve">que prohíbe a los gobernadores, alcaldes, secretarios, gerentes y directores de entidades estatales de orden territorial celebrar contratos estatales en la modalidad de </w:t>
      </w:r>
      <w:r w:rsidR="00881E2A" w:rsidRPr="00481068">
        <w:rPr>
          <w:rFonts w:ascii="Arial" w:hAnsi="Arial" w:cs="Arial"/>
          <w:i/>
          <w:iCs/>
          <w:color w:val="000000"/>
          <w:sz w:val="22"/>
          <w:szCs w:val="22"/>
        </w:rPr>
        <w:t>contratación directa</w:t>
      </w:r>
      <w:r w:rsidR="00881E2A" w:rsidRPr="00481068">
        <w:rPr>
          <w:rFonts w:ascii="Arial" w:hAnsi="Arial" w:cs="Arial"/>
          <w:color w:val="000000"/>
          <w:sz w:val="22"/>
          <w:szCs w:val="22"/>
        </w:rPr>
        <w:t xml:space="preserve"> que tengan la finalidad de ejecutar recursos públicos, independiente de la naturaleza, durante los cuatro meses antes de cualquier elección»</w:t>
      </w:r>
      <w:bookmarkEnd w:id="13"/>
      <w:r w:rsidR="00881E2A" w:rsidRPr="00481068">
        <w:rPr>
          <w:rFonts w:ascii="Arial" w:hAnsi="Arial" w:cs="Arial"/>
          <w:color w:val="000000"/>
          <w:sz w:val="22"/>
          <w:szCs w:val="22"/>
        </w:rPr>
        <w:t xml:space="preserve"> (Énfasis fuera de texto). </w:t>
      </w:r>
    </w:p>
    <w:p w14:paraId="5DCB41BD" w14:textId="77777777" w:rsidR="00524963" w:rsidRPr="00481068" w:rsidRDefault="00524963" w:rsidP="00524963">
      <w:pPr>
        <w:tabs>
          <w:tab w:val="left" w:pos="426"/>
        </w:tabs>
        <w:spacing w:line="276" w:lineRule="auto"/>
        <w:jc w:val="both"/>
        <w:rPr>
          <w:rFonts w:ascii="Arial" w:eastAsia="Calibri" w:hAnsi="Arial" w:cs="Arial"/>
          <w:sz w:val="22"/>
          <w:szCs w:val="22"/>
          <w:lang w:eastAsia="en-US"/>
        </w:rPr>
      </w:pPr>
    </w:p>
    <w:bookmarkEnd w:id="9"/>
    <w:bookmarkEnd w:id="10"/>
    <w:p w14:paraId="59A5D171" w14:textId="77777777" w:rsidR="00524963" w:rsidRPr="00481068" w:rsidRDefault="00524963" w:rsidP="00524963">
      <w:pPr>
        <w:tabs>
          <w:tab w:val="left" w:pos="284"/>
        </w:tabs>
        <w:spacing w:line="276" w:lineRule="auto"/>
        <w:jc w:val="both"/>
        <w:rPr>
          <w:rFonts w:ascii="Arial" w:eastAsia="Calibri" w:hAnsi="Arial" w:cs="Arial"/>
          <w:b/>
          <w:sz w:val="22"/>
          <w:szCs w:val="22"/>
          <w:lang w:eastAsia="en-US"/>
        </w:rPr>
      </w:pPr>
      <w:r w:rsidRPr="00481068">
        <w:rPr>
          <w:rFonts w:ascii="Arial" w:eastAsia="Calibri" w:hAnsi="Arial" w:cs="Arial"/>
          <w:b/>
          <w:sz w:val="22"/>
          <w:szCs w:val="22"/>
          <w:lang w:eastAsia="en-US"/>
        </w:rPr>
        <w:t>2. Consideraciones</w:t>
      </w:r>
    </w:p>
    <w:p w14:paraId="4960B777" w14:textId="77777777" w:rsidR="00524963" w:rsidRPr="00481068" w:rsidRDefault="00524963" w:rsidP="00524963">
      <w:pPr>
        <w:tabs>
          <w:tab w:val="left" w:pos="426"/>
        </w:tabs>
        <w:spacing w:line="276" w:lineRule="auto"/>
        <w:ind w:firstLine="709"/>
        <w:jc w:val="both"/>
        <w:rPr>
          <w:rFonts w:ascii="Arial" w:eastAsia="Calibri" w:hAnsi="Arial" w:cs="Arial"/>
          <w:bCs/>
          <w:sz w:val="22"/>
          <w:szCs w:val="22"/>
          <w:lang w:eastAsia="en-US"/>
        </w:rPr>
      </w:pPr>
    </w:p>
    <w:p w14:paraId="1E6B1AC9" w14:textId="77777777" w:rsidR="00524963" w:rsidRPr="00481068" w:rsidRDefault="00524963" w:rsidP="0051212F">
      <w:pPr>
        <w:spacing w:line="276" w:lineRule="auto"/>
        <w:jc w:val="both"/>
        <w:rPr>
          <w:rFonts w:ascii="Arial" w:eastAsia="Calibri" w:hAnsi="Arial" w:cs="Arial"/>
          <w:color w:val="000000"/>
          <w:sz w:val="22"/>
        </w:rPr>
      </w:pPr>
      <w:r w:rsidRPr="00481068">
        <w:rPr>
          <w:rFonts w:ascii="Arial" w:eastAsia="Calibri" w:hAnsi="Arial"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481068">
        <w:rPr>
          <w:rFonts w:ascii="Arial" w:eastAsia="Calibri" w:hAnsi="Arial" w:cs="Arial"/>
          <w:color w:val="000000"/>
          <w:sz w:val="22"/>
          <w:vertAlign w:val="superscript"/>
        </w:rPr>
        <w:footnoteReference w:id="2"/>
      </w:r>
      <w:r w:rsidRPr="00481068">
        <w:rPr>
          <w:rFonts w:ascii="Arial" w:eastAsia="Calibri" w:hAnsi="Arial"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0DEF6099" w14:textId="7A402169" w:rsidR="00524963" w:rsidRPr="00481068" w:rsidRDefault="00524963" w:rsidP="0051212F">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094EC3C5" w14:textId="394C9920" w:rsidR="00975010" w:rsidRPr="00481068" w:rsidRDefault="00975010" w:rsidP="0051212F">
      <w:pPr>
        <w:spacing w:before="120" w:line="276" w:lineRule="auto"/>
        <w:ind w:firstLine="708"/>
        <w:jc w:val="both"/>
        <w:rPr>
          <w:rFonts w:ascii="Arial" w:eastAsia="Calibri" w:hAnsi="Arial" w:cs="Arial"/>
          <w:color w:val="000000"/>
          <w:sz w:val="22"/>
        </w:rPr>
      </w:pPr>
      <w:r w:rsidRPr="00481068">
        <w:rPr>
          <w:rFonts w:ascii="Arial" w:eastAsia="Calibri" w:hAnsi="Arial" w:cs="Arial"/>
          <w:bCs/>
          <w:color w:val="000000"/>
          <w:sz w:val="22"/>
          <w:szCs w:val="22"/>
          <w:lang w:eastAsia="es-CO"/>
        </w:rPr>
        <w:t xml:space="preserve">Bajo estas consideraciones, corresponde a cada entidad pública, en ejercicio de su competencia y previa valoración de los elementos fácticos y jurídicos, determinar si </w:t>
      </w:r>
      <w:r w:rsidR="00091642" w:rsidRPr="00481068">
        <w:rPr>
          <w:rFonts w:ascii="Arial" w:eastAsia="Calibri" w:hAnsi="Arial" w:cs="Arial"/>
          <w:bCs/>
          <w:color w:val="000000"/>
          <w:sz w:val="22"/>
          <w:szCs w:val="22"/>
          <w:lang w:eastAsia="es-CO"/>
        </w:rPr>
        <w:t>es procedente o no la celebración de un determinado contrato en específico</w:t>
      </w:r>
      <w:r w:rsidRPr="00481068">
        <w:rPr>
          <w:rFonts w:ascii="Arial" w:eastAsia="Calibri" w:hAnsi="Arial" w:cs="Arial"/>
          <w:bCs/>
          <w:color w:val="000000"/>
          <w:sz w:val="22"/>
          <w:szCs w:val="22"/>
          <w:lang w:eastAsia="es-CO"/>
        </w:rPr>
        <w:t xml:space="preserve">. Al tratarse de un análisis que se debe realizar en cada caso concreto, la Agencia, por vía consultiva, no puede definir un criterio universal y absoluto, sino que brinda elementos hermenéuticos de </w:t>
      </w:r>
      <w:r w:rsidRPr="00481068">
        <w:rPr>
          <w:rFonts w:ascii="Arial" w:eastAsia="Calibri" w:hAnsi="Arial" w:cs="Arial"/>
          <w:bCs/>
          <w:color w:val="000000"/>
          <w:sz w:val="22"/>
          <w:szCs w:val="22"/>
          <w:lang w:eastAsia="es-CO"/>
        </w:rPr>
        <w:lastRenderedPageBreak/>
        <w:t>carácter general para que los partícipes del sistema de compras y contratación pública adopten la decisión que corresponda, lo cual es acorde con el principio de juridicidad.</w:t>
      </w:r>
    </w:p>
    <w:p w14:paraId="33597D50" w14:textId="000B015F" w:rsidR="00524963" w:rsidRPr="00481068" w:rsidRDefault="009B1E40" w:rsidP="00091642">
      <w:pPr>
        <w:spacing w:before="120" w:line="276" w:lineRule="auto"/>
        <w:ind w:firstLine="708"/>
        <w:jc w:val="both"/>
        <w:rPr>
          <w:rFonts w:ascii="Arial" w:eastAsia="Calibri" w:hAnsi="Arial" w:cs="Arial"/>
          <w:color w:val="000000"/>
          <w:sz w:val="22"/>
        </w:rPr>
      </w:pPr>
      <w:r w:rsidRPr="00481068">
        <w:rPr>
          <w:rFonts w:ascii="Arial" w:eastAsia="Calibri" w:hAnsi="Arial" w:cs="Arial"/>
          <w:color w:val="000000"/>
          <w:sz w:val="22"/>
        </w:rPr>
        <w:t>Sin perjuicio de</w:t>
      </w:r>
      <w:r w:rsidR="00524963" w:rsidRPr="00481068">
        <w:rPr>
          <w:rFonts w:ascii="Arial" w:eastAsia="Calibri" w:hAnsi="Arial" w:cs="Arial"/>
          <w:color w:val="000000"/>
          <w:sz w:val="22"/>
        </w:rPr>
        <w:t xml:space="preserve"> lo anterior, </w:t>
      </w:r>
      <w:r w:rsidR="00091642" w:rsidRPr="00481068">
        <w:rPr>
          <w:rFonts w:ascii="Arial" w:eastAsia="Calibri" w:hAnsi="Arial" w:cs="Arial"/>
          <w:color w:val="000000"/>
          <w:sz w:val="22"/>
          <w:lang w:val="es-ES"/>
        </w:rPr>
        <w:t xml:space="preserve">la Agencia –dentro de los límites de sus atribuciones, esto es, </w:t>
      </w:r>
      <w:bookmarkStart w:id="14" w:name="_Hlk61025408"/>
      <w:r w:rsidR="00091642" w:rsidRPr="00481068">
        <w:rPr>
          <w:rFonts w:ascii="Arial" w:eastAsia="Calibri" w:hAnsi="Arial" w:cs="Arial"/>
          <w:color w:val="000000"/>
          <w:sz w:val="22"/>
          <w:lang w:val="es-ES"/>
        </w:rPr>
        <w:t>haciendo abstracción del caso particular expuesto por el peticionario</w:t>
      </w:r>
      <w:bookmarkEnd w:id="14"/>
      <w:r w:rsidR="00091642" w:rsidRPr="00481068">
        <w:rPr>
          <w:rFonts w:ascii="Arial" w:eastAsia="Calibri" w:hAnsi="Arial" w:cs="Arial"/>
          <w:color w:val="000000"/>
          <w:sz w:val="22"/>
          <w:lang w:val="es-ES"/>
        </w:rPr>
        <w:t xml:space="preserve">– resolverá la consulta conforme a las normas generales en materia de contratación estatal. </w:t>
      </w:r>
      <w:r w:rsidR="00091642" w:rsidRPr="00481068">
        <w:rPr>
          <w:rFonts w:ascii="Arial" w:eastAsia="Calibri" w:hAnsi="Arial" w:cs="Arial"/>
          <w:color w:val="000000" w:themeColor="text1"/>
          <w:sz w:val="22"/>
          <w:lang w:val="es-ES"/>
        </w:rPr>
        <w:t>Con este objetivo se analizarán los siguientes temas</w:t>
      </w:r>
      <w:r w:rsidR="00524963" w:rsidRPr="00481068">
        <w:rPr>
          <w:rFonts w:ascii="Arial" w:eastAsia="Calibri" w:hAnsi="Arial" w:cs="Arial"/>
          <w:color w:val="000000"/>
          <w:sz w:val="22"/>
        </w:rPr>
        <w:t xml:space="preserve">: </w:t>
      </w:r>
      <w:r w:rsidR="00524963" w:rsidRPr="00481068">
        <w:rPr>
          <w:rFonts w:ascii="Arial" w:eastAsia="Calibri" w:hAnsi="Arial" w:cs="Arial"/>
          <w:color w:val="000000"/>
          <w:sz w:val="22"/>
          <w:lang w:val="es-ES_tradnl"/>
        </w:rPr>
        <w:t xml:space="preserve">i) alcance de las restricciones establecidas en la Ley 996 de 2005 –más conocida como «Ley de Garantías Electorales»–, </w:t>
      </w:r>
      <w:proofErr w:type="spellStart"/>
      <w:r w:rsidR="00524963" w:rsidRPr="00481068">
        <w:rPr>
          <w:rFonts w:ascii="Arial" w:eastAsia="Calibri" w:hAnsi="Arial" w:cs="Arial"/>
          <w:color w:val="000000"/>
          <w:sz w:val="22"/>
          <w:lang w:val="es-ES_tradnl"/>
        </w:rPr>
        <w:t>ii</w:t>
      </w:r>
      <w:proofErr w:type="spellEnd"/>
      <w:r w:rsidR="00524963" w:rsidRPr="00481068">
        <w:rPr>
          <w:rFonts w:ascii="Arial" w:eastAsia="Calibri" w:hAnsi="Arial" w:cs="Arial"/>
          <w:color w:val="000000"/>
          <w:sz w:val="22"/>
          <w:lang w:val="es-ES_tradnl"/>
        </w:rPr>
        <w:t xml:space="preserve">) restricciones especiales aplicables de cara a las elecciones presidenciales, </w:t>
      </w:r>
      <w:proofErr w:type="spellStart"/>
      <w:r w:rsidR="00524963" w:rsidRPr="00481068">
        <w:rPr>
          <w:rFonts w:ascii="Arial" w:eastAsia="Calibri" w:hAnsi="Arial" w:cs="Arial"/>
          <w:color w:val="000000"/>
          <w:sz w:val="22"/>
          <w:lang w:val="es-ES_tradnl"/>
        </w:rPr>
        <w:t>iii</w:t>
      </w:r>
      <w:proofErr w:type="spellEnd"/>
      <w:r w:rsidR="00524963" w:rsidRPr="00481068">
        <w:rPr>
          <w:rFonts w:ascii="Arial" w:eastAsia="Calibri" w:hAnsi="Arial" w:cs="Arial"/>
          <w:color w:val="000000"/>
          <w:sz w:val="22"/>
          <w:lang w:val="es-ES_tradnl"/>
        </w:rPr>
        <w:t>) aplicación de la Ley de Garantías Electorales a la contratación directa sometida a los reglamentos de los organismos de cooperación, asistencia o ayuda internacional</w:t>
      </w:r>
      <w:r w:rsidR="00524963" w:rsidRPr="00481068">
        <w:rPr>
          <w:rFonts w:ascii="Arial" w:eastAsia="Calibri" w:hAnsi="Arial" w:cs="Arial"/>
          <w:color w:val="000000"/>
          <w:sz w:val="22"/>
        </w:rPr>
        <w:t>.</w:t>
      </w:r>
    </w:p>
    <w:p w14:paraId="1BECEB7D" w14:textId="5CF87F03" w:rsidR="00AA196C" w:rsidRPr="00481068" w:rsidRDefault="00524963" w:rsidP="0051212F">
      <w:pPr>
        <w:tabs>
          <w:tab w:val="left" w:pos="426"/>
        </w:tabs>
        <w:spacing w:before="120" w:line="276" w:lineRule="auto"/>
        <w:ind w:firstLine="709"/>
        <w:jc w:val="both"/>
        <w:rPr>
          <w:rFonts w:ascii="Arial" w:hAnsi="Arial" w:cs="Arial"/>
          <w:sz w:val="22"/>
          <w:szCs w:val="22"/>
        </w:rPr>
      </w:pPr>
      <w:r w:rsidRPr="00481068">
        <w:rPr>
          <w:rFonts w:ascii="Arial" w:eastAsia="Calibri" w:hAnsi="Arial" w:cs="Arial"/>
          <w:color w:val="000000"/>
          <w:sz w:val="22"/>
        </w:rPr>
        <w:t xml:space="preserve"> 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 C-116 del 18 de febrero de 2022 y C-077 del 17 de marzo de 2022, entre otros. </w:t>
      </w:r>
    </w:p>
    <w:p w14:paraId="0B293497" w14:textId="5E6F07AA" w:rsidR="00524963" w:rsidRPr="00481068" w:rsidRDefault="00AA196C" w:rsidP="001D7836">
      <w:pPr>
        <w:tabs>
          <w:tab w:val="left" w:pos="426"/>
        </w:tabs>
        <w:spacing w:before="120" w:line="276" w:lineRule="auto"/>
        <w:ind w:firstLine="709"/>
        <w:jc w:val="both"/>
        <w:rPr>
          <w:rFonts w:ascii="Arial" w:eastAsia="Calibri" w:hAnsi="Arial" w:cs="Arial"/>
          <w:sz w:val="22"/>
          <w:szCs w:val="22"/>
          <w:lang w:val="es-ES" w:eastAsia="en-US"/>
        </w:rPr>
      </w:pPr>
      <w:r w:rsidRPr="00481068">
        <w:rPr>
          <w:rFonts w:ascii="Arial" w:hAnsi="Arial" w:cs="Arial"/>
          <w:sz w:val="22"/>
          <w:szCs w:val="22"/>
        </w:rPr>
        <w:t xml:space="preserve">Los </w:t>
      </w:r>
      <w:r w:rsidR="00827B78" w:rsidRPr="00481068">
        <w:rPr>
          <w:rFonts w:ascii="Arial" w:hAnsi="Arial" w:cs="Arial"/>
          <w:sz w:val="22"/>
          <w:szCs w:val="22"/>
        </w:rPr>
        <w:t xml:space="preserve">conceptos </w:t>
      </w:r>
      <w:r w:rsidRPr="00481068">
        <w:rPr>
          <w:rFonts w:ascii="Arial" w:hAnsi="Arial" w:cs="Arial"/>
          <w:sz w:val="22"/>
          <w:szCs w:val="22"/>
        </w:rPr>
        <w:t xml:space="preserve">mencionados en el párrafo precedente </w:t>
      </w:r>
      <w:r w:rsidR="00827B78" w:rsidRPr="00481068">
        <w:rPr>
          <w:rFonts w:ascii="Arial" w:hAnsi="Arial" w:cs="Arial"/>
          <w:sz w:val="22"/>
          <w:szCs w:val="22"/>
        </w:rPr>
        <w:t xml:space="preserve">fueron complementados, en lo pertinente, </w:t>
      </w:r>
      <w:r w:rsidR="00715BAE" w:rsidRPr="00481068">
        <w:rPr>
          <w:rFonts w:ascii="Arial" w:hAnsi="Arial" w:cs="Arial"/>
          <w:sz w:val="22"/>
          <w:szCs w:val="22"/>
        </w:rPr>
        <w:t>por</w:t>
      </w:r>
      <w:r w:rsidR="00827B78" w:rsidRPr="00481068">
        <w:rPr>
          <w:rFonts w:ascii="Arial" w:hAnsi="Arial" w:cs="Arial"/>
          <w:sz w:val="22"/>
          <w:szCs w:val="22"/>
        </w:rPr>
        <w:t xml:space="preserve"> el </w:t>
      </w:r>
      <w:r w:rsidR="00715BAE" w:rsidRPr="00481068">
        <w:rPr>
          <w:rFonts w:ascii="Arial" w:hAnsi="Arial" w:cs="Arial"/>
          <w:sz w:val="22"/>
          <w:szCs w:val="22"/>
        </w:rPr>
        <w:t>C</w:t>
      </w:r>
      <w:r w:rsidR="00827B78" w:rsidRPr="00481068">
        <w:rPr>
          <w:rFonts w:ascii="Arial" w:hAnsi="Arial" w:cs="Arial"/>
          <w:sz w:val="22"/>
          <w:szCs w:val="22"/>
        </w:rPr>
        <w:t>oncepto CU-180 del 8 de abril de 2022</w:t>
      </w:r>
      <w:r w:rsidR="00D260C6" w:rsidRPr="00481068">
        <w:rPr>
          <w:rFonts w:ascii="Arial" w:hAnsi="Arial" w:cs="Arial"/>
          <w:sz w:val="22"/>
          <w:szCs w:val="22"/>
        </w:rPr>
        <w:t xml:space="preserve">, en el que se efectuaron </w:t>
      </w:r>
      <w:r w:rsidR="00827B78" w:rsidRPr="00481068">
        <w:rPr>
          <w:rFonts w:ascii="Arial" w:hAnsi="Arial" w:cs="Arial"/>
          <w:sz w:val="22"/>
          <w:szCs w:val="22"/>
        </w:rPr>
        <w:t xml:space="preserve">algunas precisiones sobre los Conceptos </w:t>
      </w:r>
      <w:r w:rsidR="00827B78" w:rsidRPr="00481068">
        <w:rPr>
          <w:rFonts w:ascii="Arial" w:hAnsi="Arial" w:cs="Arial"/>
          <w:bCs/>
          <w:sz w:val="22"/>
          <w:szCs w:val="22"/>
        </w:rPr>
        <w:t>C-296 del 22 de junio</w:t>
      </w:r>
      <w:r w:rsidR="00827B78" w:rsidRPr="00481068">
        <w:rPr>
          <w:rFonts w:ascii="Arial" w:hAnsi="Arial" w:cs="Arial"/>
          <w:sz w:val="22"/>
          <w:szCs w:val="22"/>
        </w:rPr>
        <w:t xml:space="preserve"> de 2021, C-559 del 31 de agosto de 2021 y C-100 de 29 de marzo de 2022, relacionados con la aplicación de la Ley de Garantías Electorales frente a la contratación con organismos internacionales. </w:t>
      </w:r>
      <w:bookmarkStart w:id="15" w:name="_Hlk102372764"/>
      <w:bookmarkStart w:id="16" w:name="_Hlk102372981"/>
      <w:r w:rsidR="001D7836" w:rsidRPr="00481068">
        <w:rPr>
          <w:rFonts w:ascii="Arial" w:eastAsia="Calibri" w:hAnsi="Arial" w:cs="Arial"/>
          <w:sz w:val="22"/>
          <w:szCs w:val="22"/>
          <w:lang w:val="es-ES" w:eastAsia="en-US"/>
        </w:rPr>
        <w:t xml:space="preserve">De acuerdo con el artículo 10 de la Ley 1437 de 2011, </w:t>
      </w:r>
      <w:r w:rsidR="00A92816" w:rsidRPr="00481068">
        <w:rPr>
          <w:rFonts w:ascii="Arial" w:eastAsia="Calibri" w:hAnsi="Arial" w:cs="Arial"/>
          <w:sz w:val="22"/>
          <w:szCs w:val="22"/>
          <w:lang w:val="es-ES" w:eastAsia="en-US"/>
        </w:rPr>
        <w:t xml:space="preserve">es necesario tener en cuenta que </w:t>
      </w:r>
      <w:r w:rsidR="001D7836" w:rsidRPr="00481068">
        <w:rPr>
          <w:rFonts w:ascii="Arial" w:eastAsia="Calibri" w:hAnsi="Arial" w:cs="Arial"/>
          <w:sz w:val="22"/>
          <w:szCs w:val="22"/>
          <w:lang w:val="es-ES" w:eastAsia="en-US"/>
        </w:rPr>
        <w:t>«</w:t>
      </w:r>
      <w:r w:rsidR="001D7836" w:rsidRPr="00481068">
        <w:rPr>
          <w:rFonts w:ascii="Arial" w:eastAsia="Calibri" w:hAnsi="Arial" w:cs="Arial"/>
          <w:sz w:val="22"/>
          <w:szCs w:val="22"/>
          <w:lang w:eastAsia="en-US"/>
        </w:rPr>
        <w:t>Al resolver los asuntos de su competencia, las autoridades aplicarán las disposiciones constitucionales, legales y reglamentarias de manera uniforme a situaciones que tengan los mismos supuestos fácticos y jurídicos». Por tanto,</w:t>
      </w:r>
      <w:r w:rsidR="00715BAE" w:rsidRPr="00481068">
        <w:rPr>
          <w:rFonts w:ascii="Arial" w:eastAsia="Calibri" w:hAnsi="Arial" w:cs="Arial"/>
          <w:sz w:val="22"/>
          <w:szCs w:val="22"/>
          <w:lang w:val="es-ES" w:eastAsia="en-US"/>
        </w:rPr>
        <w:t xml:space="preserve"> l</w:t>
      </w:r>
      <w:r w:rsidR="00524963" w:rsidRPr="00481068">
        <w:rPr>
          <w:rFonts w:ascii="Arial" w:eastAsia="Calibri" w:hAnsi="Arial" w:cs="Arial"/>
          <w:sz w:val="22"/>
          <w:szCs w:val="22"/>
          <w:lang w:val="es-ES" w:eastAsia="en-US"/>
        </w:rPr>
        <w:t>a tesi</w:t>
      </w:r>
      <w:r w:rsidR="00D260C6" w:rsidRPr="00481068">
        <w:rPr>
          <w:rFonts w:ascii="Arial" w:eastAsia="Calibri" w:hAnsi="Arial" w:cs="Arial"/>
          <w:sz w:val="22"/>
          <w:szCs w:val="22"/>
          <w:lang w:val="es-ES" w:eastAsia="en-US"/>
        </w:rPr>
        <w:t xml:space="preserve">s </w:t>
      </w:r>
      <w:r w:rsidR="00524963" w:rsidRPr="00481068">
        <w:rPr>
          <w:rFonts w:ascii="Arial" w:eastAsia="Calibri" w:hAnsi="Arial" w:cs="Arial"/>
          <w:sz w:val="22"/>
          <w:szCs w:val="22"/>
          <w:lang w:val="es-ES" w:eastAsia="en-US"/>
        </w:rPr>
        <w:t>desarrollada</w:t>
      </w:r>
      <w:r w:rsidR="00827B78" w:rsidRPr="00481068">
        <w:rPr>
          <w:rFonts w:ascii="Arial" w:eastAsia="Calibri" w:hAnsi="Arial" w:cs="Arial"/>
          <w:sz w:val="22"/>
          <w:szCs w:val="22"/>
          <w:lang w:val="es-ES" w:eastAsia="en-US"/>
        </w:rPr>
        <w:t xml:space="preserve"> en el Concepto de Unificación C</w:t>
      </w:r>
      <w:r w:rsidR="00F80371" w:rsidRPr="00481068">
        <w:rPr>
          <w:rFonts w:ascii="Arial" w:eastAsia="Calibri" w:hAnsi="Arial" w:cs="Arial"/>
          <w:sz w:val="22"/>
          <w:szCs w:val="22"/>
          <w:lang w:val="es-ES" w:eastAsia="en-US"/>
        </w:rPr>
        <w:t>U</w:t>
      </w:r>
      <w:r w:rsidR="00827B78" w:rsidRPr="00481068">
        <w:rPr>
          <w:rFonts w:ascii="Arial" w:eastAsia="Calibri" w:hAnsi="Arial" w:cs="Arial"/>
          <w:sz w:val="22"/>
          <w:szCs w:val="22"/>
          <w:lang w:val="es-ES" w:eastAsia="en-US"/>
        </w:rPr>
        <w:t>-180 del 8 de abril de 2022</w:t>
      </w:r>
      <w:r w:rsidR="00A6049A" w:rsidRPr="00481068">
        <w:rPr>
          <w:rFonts w:ascii="Arial" w:eastAsia="Calibri" w:hAnsi="Arial" w:cs="Arial"/>
          <w:sz w:val="22"/>
          <w:szCs w:val="22"/>
          <w:lang w:val="es-ES" w:eastAsia="en-US"/>
        </w:rPr>
        <w:t xml:space="preserve"> se reitera </w:t>
      </w:r>
      <w:r w:rsidR="00715BAE" w:rsidRPr="00481068">
        <w:rPr>
          <w:rFonts w:ascii="Arial" w:eastAsia="Calibri" w:hAnsi="Arial" w:cs="Arial"/>
          <w:sz w:val="22"/>
          <w:szCs w:val="22"/>
          <w:lang w:val="es-ES" w:eastAsia="en-US"/>
        </w:rPr>
        <w:t>a continuación</w:t>
      </w:r>
      <w:bookmarkEnd w:id="15"/>
      <w:r w:rsidR="00524963" w:rsidRPr="00481068">
        <w:rPr>
          <w:rFonts w:ascii="Arial" w:eastAsia="Calibri" w:hAnsi="Arial" w:cs="Arial"/>
          <w:sz w:val="22"/>
          <w:szCs w:val="22"/>
          <w:lang w:val="es-ES" w:eastAsia="en-US"/>
        </w:rPr>
        <w:t>:</w:t>
      </w:r>
    </w:p>
    <w:bookmarkEnd w:id="16"/>
    <w:p w14:paraId="46D3461E" w14:textId="77777777" w:rsidR="00524963" w:rsidRPr="00481068" w:rsidRDefault="00524963" w:rsidP="00524963">
      <w:pPr>
        <w:spacing w:line="276" w:lineRule="auto"/>
        <w:contextualSpacing/>
        <w:jc w:val="both"/>
        <w:rPr>
          <w:rFonts w:ascii="Arial" w:eastAsia="Calibri" w:hAnsi="Arial" w:cs="Arial"/>
          <w:color w:val="000000"/>
          <w:sz w:val="22"/>
        </w:rPr>
      </w:pPr>
    </w:p>
    <w:p w14:paraId="3235CEC2" w14:textId="77777777" w:rsidR="00524963" w:rsidRPr="00481068" w:rsidRDefault="00524963" w:rsidP="00524963">
      <w:pPr>
        <w:tabs>
          <w:tab w:val="left" w:pos="426"/>
        </w:tabs>
        <w:spacing w:line="276" w:lineRule="auto"/>
        <w:jc w:val="both"/>
        <w:rPr>
          <w:rFonts w:ascii="Arial" w:eastAsia="Calibri" w:hAnsi="Arial" w:cs="Arial"/>
          <w:b/>
          <w:bCs/>
          <w:sz w:val="22"/>
          <w:szCs w:val="22"/>
          <w:lang w:val="es-ES_tradnl" w:eastAsia="en-US"/>
        </w:rPr>
      </w:pPr>
      <w:r w:rsidRPr="00481068">
        <w:rPr>
          <w:rFonts w:ascii="Arial" w:eastAsia="Calibri" w:hAnsi="Arial" w:cs="Arial"/>
          <w:b/>
          <w:bCs/>
          <w:sz w:val="22"/>
          <w:szCs w:val="22"/>
          <w:lang w:val="es-ES_tradnl" w:eastAsia="en-US"/>
        </w:rPr>
        <w:lastRenderedPageBreak/>
        <w:t>2.1. Definición y finalidad de la Ley de Garantías Electorales: alcance de las restricciones</w:t>
      </w:r>
    </w:p>
    <w:p w14:paraId="5549A47E" w14:textId="77777777" w:rsidR="00524963" w:rsidRPr="00481068" w:rsidRDefault="00524963" w:rsidP="00524963">
      <w:pPr>
        <w:tabs>
          <w:tab w:val="left" w:pos="426"/>
        </w:tabs>
        <w:spacing w:line="276" w:lineRule="auto"/>
        <w:ind w:firstLine="709"/>
        <w:jc w:val="both"/>
        <w:rPr>
          <w:rFonts w:ascii="Arial" w:eastAsia="Calibri" w:hAnsi="Arial" w:cs="Arial"/>
          <w:bCs/>
          <w:sz w:val="22"/>
          <w:szCs w:val="22"/>
          <w:lang w:val="es-ES_tradnl" w:eastAsia="en-US"/>
        </w:rPr>
      </w:pPr>
    </w:p>
    <w:p w14:paraId="4BD1B5CA" w14:textId="77777777" w:rsidR="00963B93" w:rsidRPr="00481068" w:rsidRDefault="00963B93" w:rsidP="00963B93">
      <w:pPr>
        <w:tabs>
          <w:tab w:val="left" w:pos="426"/>
        </w:tabs>
        <w:spacing w:after="120" w:line="276" w:lineRule="auto"/>
        <w:jc w:val="both"/>
        <w:rPr>
          <w:rFonts w:ascii="Arial" w:hAnsi="Arial" w:cs="Arial"/>
          <w:bCs/>
          <w:sz w:val="22"/>
          <w:szCs w:val="22"/>
          <w:lang w:eastAsia="es-CO"/>
        </w:rPr>
      </w:pPr>
      <w:r w:rsidRPr="00481068">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481068">
        <w:rPr>
          <w:rFonts w:ascii="Arial" w:eastAsia="Calibri" w:hAnsi="Arial" w:cs="Arial"/>
          <w:bCs/>
          <w:i/>
          <w:iCs/>
          <w:sz w:val="22"/>
          <w:szCs w:val="22"/>
        </w:rPr>
        <w:t xml:space="preserve">. </w:t>
      </w:r>
      <w:r w:rsidRPr="00481068">
        <w:rPr>
          <w:rFonts w:ascii="Arial" w:eastAsia="Calibri" w:hAnsi="Arial" w:cs="Arial"/>
          <w:bCs/>
          <w:sz w:val="22"/>
          <w:szCs w:val="22"/>
        </w:rPr>
        <w:t>Por ejemplo, el artículo 127 de la Constitución Política establece una prohibición contractual a los servidores públicos y en cuanto a aspectos políticos consagra restricciones a ciertos empleados del Estado, incluso en época no electoral</w:t>
      </w:r>
      <w:r w:rsidRPr="00481068">
        <w:rPr>
          <w:rFonts w:ascii="Arial" w:eastAsia="Calibri" w:hAnsi="Arial" w:cs="Arial"/>
          <w:bCs/>
          <w:sz w:val="22"/>
          <w:szCs w:val="22"/>
          <w:vertAlign w:val="superscript"/>
        </w:rPr>
        <w:footnoteReference w:id="3"/>
      </w:r>
      <w:r w:rsidRPr="00481068">
        <w:rPr>
          <w:rFonts w:ascii="Arial" w:eastAsia="Calibri" w:hAnsi="Arial" w:cs="Arial"/>
          <w:bCs/>
          <w:sz w:val="22"/>
          <w:szCs w:val="22"/>
        </w:rPr>
        <w:t xml:space="preserve">. </w:t>
      </w:r>
    </w:p>
    <w:p w14:paraId="4737EA0A" w14:textId="77777777" w:rsidR="00963B93" w:rsidRPr="00481068" w:rsidRDefault="00963B93" w:rsidP="00963B93">
      <w:pPr>
        <w:tabs>
          <w:tab w:val="left" w:pos="426"/>
        </w:tabs>
        <w:spacing w:line="276" w:lineRule="auto"/>
        <w:ind w:firstLine="709"/>
        <w:jc w:val="both"/>
        <w:rPr>
          <w:rFonts w:ascii="Arial" w:hAnsi="Arial" w:cs="Arial"/>
          <w:bCs/>
          <w:sz w:val="22"/>
          <w:szCs w:val="22"/>
          <w:lang w:val="es-MX" w:eastAsia="es-CO"/>
        </w:rPr>
      </w:pPr>
      <w:r w:rsidRPr="00481068">
        <w:rPr>
          <w:rFonts w:ascii="Arial" w:hAnsi="Arial" w:cs="Arial"/>
          <w:bCs/>
          <w:sz w:val="22"/>
          <w:szCs w:val="22"/>
          <w:lang w:eastAsia="es-CO"/>
        </w:rPr>
        <w:t>En el mismo sentido</w:t>
      </w:r>
      <w:r w:rsidRPr="00481068">
        <w:rPr>
          <w:rFonts w:ascii="Arial" w:hAnsi="Arial" w:cs="Arial"/>
          <w:bCs/>
          <w:sz w:val="22"/>
          <w:szCs w:val="22"/>
          <w:lang w:val="es-MX" w:eastAsia="es-CO"/>
        </w:rPr>
        <w:t xml:space="preserve">, </w:t>
      </w:r>
      <w:bookmarkStart w:id="17" w:name="_Hlk99576829"/>
      <w:r w:rsidRPr="00481068">
        <w:rPr>
          <w:rFonts w:ascii="Arial" w:hAnsi="Arial" w:cs="Arial"/>
          <w:bCs/>
          <w:sz w:val="22"/>
          <w:szCs w:val="22"/>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81068">
        <w:rPr>
          <w:rFonts w:ascii="Arial" w:hAnsi="Arial" w:cs="Arial"/>
          <w:bCs/>
          <w:sz w:val="22"/>
          <w:szCs w:val="22"/>
          <w:vertAlign w:val="superscript"/>
          <w:lang w:val="es-MX" w:eastAsia="es-CO"/>
        </w:rPr>
        <w:footnoteReference w:id="4"/>
      </w:r>
      <w:r w:rsidRPr="00481068">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81068">
        <w:rPr>
          <w:rFonts w:ascii="Arial" w:eastAsia="Calibri" w:hAnsi="Arial" w:cs="Arial"/>
          <w:noProof/>
          <w:sz w:val="22"/>
          <w:szCs w:val="22"/>
          <w:lang w:val="es-ES_tradnl"/>
        </w:rPr>
        <w:t xml:space="preserve"> </w:t>
      </w:r>
      <w:bookmarkEnd w:id="17"/>
      <w:r w:rsidRPr="00481068">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471A4B70" w14:textId="77777777" w:rsidR="00963B93" w:rsidRPr="00481068" w:rsidRDefault="00963B93" w:rsidP="00963B93">
      <w:pPr>
        <w:spacing w:line="276" w:lineRule="auto"/>
        <w:ind w:right="709"/>
        <w:contextualSpacing/>
        <w:jc w:val="both"/>
        <w:rPr>
          <w:rFonts w:ascii="Arial" w:hAnsi="Arial" w:cs="Arial"/>
          <w:sz w:val="22"/>
          <w:szCs w:val="22"/>
          <w:lang w:val="es-ES" w:eastAsia="es-CO"/>
        </w:rPr>
      </w:pPr>
    </w:p>
    <w:p w14:paraId="0C792F47" w14:textId="11A5A52C"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sz w:val="21"/>
          <w:szCs w:val="21"/>
          <w:lang w:val="es-ES" w:eastAsia="es-CO"/>
        </w:rPr>
        <w:t xml:space="preserve">[…] </w:t>
      </w:r>
      <w:r w:rsidRPr="00481068">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0178193" w14:textId="77777777"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 xml:space="preserve">[…] </w:t>
      </w:r>
    </w:p>
    <w:p w14:paraId="40D2A285" w14:textId="77777777" w:rsidR="00963B93" w:rsidRPr="00481068" w:rsidRDefault="00963B93" w:rsidP="00AF5B0E">
      <w:pPr>
        <w:ind w:right="709"/>
        <w:contextualSpacing/>
        <w:jc w:val="both"/>
        <w:rPr>
          <w:rFonts w:ascii="Arial" w:hAnsi="Arial" w:cs="Arial"/>
          <w:bCs/>
          <w:sz w:val="21"/>
          <w:szCs w:val="21"/>
          <w:lang w:val="es-MX" w:eastAsia="es-CO"/>
        </w:rPr>
      </w:pPr>
    </w:p>
    <w:p w14:paraId="6BB1920B" w14:textId="77777777"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81068">
        <w:rPr>
          <w:rFonts w:ascii="Arial" w:eastAsia="Calibri" w:hAnsi="Arial" w:cs="Arial"/>
          <w:sz w:val="20"/>
          <w:szCs w:val="20"/>
          <w:vertAlign w:val="superscript"/>
          <w:lang w:val="es-MX"/>
        </w:rPr>
        <w:footnoteReference w:id="5"/>
      </w:r>
    </w:p>
    <w:p w14:paraId="163CA603" w14:textId="77777777" w:rsidR="00963B93" w:rsidRPr="00481068" w:rsidRDefault="00963B93" w:rsidP="00963B93">
      <w:pPr>
        <w:spacing w:line="276" w:lineRule="auto"/>
        <w:ind w:left="709" w:right="709"/>
        <w:contextualSpacing/>
        <w:jc w:val="both"/>
        <w:rPr>
          <w:rFonts w:ascii="Arial" w:hAnsi="Arial" w:cs="Arial"/>
          <w:bCs/>
          <w:sz w:val="22"/>
          <w:szCs w:val="22"/>
          <w:lang w:val="es-MX" w:eastAsia="es-CO"/>
        </w:rPr>
      </w:pPr>
    </w:p>
    <w:p w14:paraId="2FB977DD" w14:textId="1ABE36B1" w:rsidR="00963B93" w:rsidRPr="00481068" w:rsidRDefault="00963B93" w:rsidP="00963B93">
      <w:pPr>
        <w:spacing w:line="276" w:lineRule="auto"/>
        <w:ind w:firstLine="709"/>
        <w:jc w:val="both"/>
        <w:rPr>
          <w:rFonts w:ascii="Arial" w:hAnsi="Arial" w:cs="Arial"/>
          <w:bCs/>
          <w:sz w:val="22"/>
          <w:szCs w:val="22"/>
          <w:lang w:val="es-MX" w:eastAsia="es-CO"/>
        </w:rPr>
      </w:pPr>
      <w:bookmarkStart w:id="18" w:name="_Hlk78818186"/>
      <w:r w:rsidRPr="00481068">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8"/>
      <w:r w:rsidRPr="00481068">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9382AA7" w14:textId="77777777" w:rsidR="00963B93" w:rsidRPr="00481068" w:rsidRDefault="00963B93" w:rsidP="00963B93">
      <w:pPr>
        <w:spacing w:line="276" w:lineRule="auto"/>
        <w:ind w:firstLine="709"/>
        <w:contextualSpacing/>
        <w:jc w:val="both"/>
        <w:rPr>
          <w:rFonts w:ascii="Arial" w:hAnsi="Arial" w:cs="Arial"/>
          <w:bCs/>
          <w:sz w:val="22"/>
          <w:szCs w:val="22"/>
          <w:lang w:val="es-MX" w:eastAsia="es-CO"/>
        </w:rPr>
      </w:pPr>
    </w:p>
    <w:p w14:paraId="7AC952E8" w14:textId="77777777"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81068">
        <w:rPr>
          <w:rFonts w:ascii="Arial" w:hAnsi="Arial" w:cs="Arial"/>
          <w:bCs/>
          <w:sz w:val="21"/>
          <w:szCs w:val="21"/>
          <w:lang w:val="es-MX" w:eastAsia="es-CO"/>
        </w:rPr>
        <w:t>legis</w:t>
      </w:r>
      <w:proofErr w:type="spellEnd"/>
      <w:r w:rsidRPr="00481068">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87E936E" w14:textId="77777777" w:rsidR="00963B93" w:rsidRPr="00481068" w:rsidRDefault="00963B93" w:rsidP="00963B93">
      <w:pPr>
        <w:ind w:left="709" w:right="709"/>
        <w:contextualSpacing/>
        <w:jc w:val="both"/>
        <w:rPr>
          <w:rFonts w:ascii="Arial" w:hAnsi="Arial" w:cs="Arial"/>
          <w:bCs/>
          <w:sz w:val="21"/>
          <w:szCs w:val="21"/>
          <w:lang w:val="es-MX" w:eastAsia="es-CO"/>
        </w:rPr>
      </w:pPr>
    </w:p>
    <w:p w14:paraId="4AEAB442" w14:textId="77777777" w:rsidR="00963B93" w:rsidRPr="00481068" w:rsidRDefault="00963B93" w:rsidP="00963B93">
      <w:pPr>
        <w:ind w:left="709" w:right="709"/>
        <w:contextualSpacing/>
        <w:jc w:val="both"/>
        <w:rPr>
          <w:rFonts w:ascii="Arial" w:hAnsi="Arial" w:cs="Arial"/>
          <w:bCs/>
          <w:sz w:val="21"/>
          <w:szCs w:val="21"/>
          <w:lang w:val="es-MX" w:eastAsia="es-CO"/>
        </w:rPr>
      </w:pPr>
      <w:r w:rsidRPr="00481068">
        <w:rPr>
          <w:rFonts w:ascii="Arial" w:hAnsi="Arial" w:cs="Arial"/>
          <w:bCs/>
          <w:sz w:val="21"/>
          <w:szCs w:val="21"/>
          <w:lang w:val="es-MX" w:eastAsia="es-CO"/>
        </w:rPr>
        <w:t>La jurisprudencia de la Corte Constitucional</w:t>
      </w:r>
      <w:r w:rsidRPr="00481068">
        <w:rPr>
          <w:rFonts w:ascii="Arial" w:hAnsi="Arial" w:cs="Arial"/>
          <w:bCs/>
          <w:sz w:val="21"/>
          <w:szCs w:val="21"/>
          <w:vertAlign w:val="superscript"/>
          <w:lang w:val="es-MX" w:eastAsia="es-CO"/>
        </w:rPr>
        <w:footnoteReference w:id="6"/>
      </w:r>
      <w:r w:rsidRPr="00481068">
        <w:rPr>
          <w:rFonts w:ascii="Arial" w:hAnsi="Arial" w:cs="Arial"/>
          <w:bCs/>
          <w:sz w:val="21"/>
          <w:szCs w:val="21"/>
          <w:lang w:val="es-MX" w:eastAsia="es-CO"/>
        </w:rPr>
        <w:t> y del Consejo de Estado</w:t>
      </w:r>
      <w:r w:rsidRPr="00481068">
        <w:rPr>
          <w:rFonts w:ascii="Arial" w:hAnsi="Arial" w:cs="Arial"/>
          <w:bCs/>
          <w:sz w:val="21"/>
          <w:szCs w:val="21"/>
          <w:vertAlign w:val="superscript"/>
          <w:lang w:val="es-MX" w:eastAsia="es-CO"/>
        </w:rPr>
        <w:footnoteReference w:id="7"/>
      </w:r>
      <w:r w:rsidRPr="00481068">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81068">
        <w:rPr>
          <w:rFonts w:ascii="Arial" w:hAnsi="Arial" w:cs="Arial"/>
          <w:bCs/>
          <w:vertAlign w:val="superscript"/>
          <w:lang w:val="es-MX" w:eastAsia="es-CO"/>
        </w:rPr>
        <w:footnoteReference w:id="8"/>
      </w:r>
      <w:r w:rsidRPr="00481068">
        <w:rPr>
          <w:rFonts w:ascii="Arial" w:hAnsi="Arial" w:cs="Arial"/>
          <w:bCs/>
          <w:sz w:val="21"/>
          <w:szCs w:val="21"/>
          <w:lang w:val="es-MX" w:eastAsia="es-CO"/>
        </w:rPr>
        <w:t>.</w:t>
      </w:r>
    </w:p>
    <w:p w14:paraId="291224E4" w14:textId="77777777" w:rsidR="00963B93" w:rsidRPr="00481068" w:rsidRDefault="00963B93" w:rsidP="00963B93">
      <w:pPr>
        <w:spacing w:line="276" w:lineRule="auto"/>
        <w:ind w:right="709"/>
        <w:contextualSpacing/>
        <w:jc w:val="both"/>
        <w:rPr>
          <w:rFonts w:ascii="Arial" w:hAnsi="Arial" w:cs="Arial"/>
          <w:bCs/>
          <w:sz w:val="22"/>
          <w:szCs w:val="22"/>
          <w:lang w:val="es-MX" w:eastAsia="es-CO"/>
        </w:rPr>
      </w:pPr>
    </w:p>
    <w:p w14:paraId="381DFB4C" w14:textId="06B149F2" w:rsidR="00963B93" w:rsidRPr="00481068" w:rsidRDefault="00963B93" w:rsidP="00963B93">
      <w:pPr>
        <w:spacing w:after="120" w:line="276" w:lineRule="auto"/>
        <w:jc w:val="both"/>
        <w:rPr>
          <w:rFonts w:ascii="Arial" w:eastAsia="Arial" w:hAnsi="Arial" w:cs="Arial"/>
          <w:sz w:val="22"/>
          <w:szCs w:val="22"/>
          <w:lang w:val="es-ES" w:eastAsia="es-ES" w:bidi="es-ES"/>
        </w:rPr>
      </w:pPr>
      <w:r w:rsidRPr="00481068">
        <w:rPr>
          <w:rFonts w:ascii="Arial" w:hAnsi="Arial" w:cs="Arial"/>
          <w:bCs/>
          <w:sz w:val="22"/>
          <w:szCs w:val="22"/>
          <w:lang w:val="es-MX" w:eastAsia="es-CO"/>
        </w:rPr>
        <w:tab/>
        <w:t>De</w:t>
      </w:r>
      <w:r w:rsidRPr="00481068">
        <w:rPr>
          <w:rFonts w:ascii="Arial" w:eastAsia="Arial" w:hAnsi="Arial" w:cs="Arial"/>
          <w:sz w:val="22"/>
          <w:szCs w:val="22"/>
          <w:lang w:val="es-ES" w:eastAsia="es-ES" w:bidi="es-ES"/>
        </w:rPr>
        <w:t xml:space="preserve"> conformidad con lo anterior, </w:t>
      </w:r>
      <w:bookmarkStart w:id="19" w:name="_Hlk77236098"/>
      <w:r w:rsidRPr="00481068">
        <w:rPr>
          <w:rFonts w:ascii="Arial" w:eastAsia="Arial" w:hAnsi="Arial" w:cs="Arial"/>
          <w:sz w:val="22"/>
          <w:szCs w:val="22"/>
          <w:lang w:val="es-ES" w:eastAsia="es-ES" w:bidi="es-ES"/>
        </w:rPr>
        <w:t xml:space="preserve">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w:t>
      </w:r>
      <w:r w:rsidRPr="00481068">
        <w:rPr>
          <w:rFonts w:ascii="Arial" w:eastAsia="Arial" w:hAnsi="Arial" w:cs="Arial"/>
          <w:sz w:val="22"/>
          <w:szCs w:val="22"/>
          <w:lang w:val="es-ES" w:eastAsia="es-ES" w:bidi="es-ES"/>
        </w:rPr>
        <w:lastRenderedPageBreak/>
        <w:t>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9"/>
    </w:p>
    <w:p w14:paraId="713E5C7C" w14:textId="77777777" w:rsidR="00963B93" w:rsidRPr="00481068" w:rsidRDefault="00963B93" w:rsidP="00963B93">
      <w:pPr>
        <w:spacing w:after="120" w:line="276" w:lineRule="auto"/>
        <w:ind w:firstLine="708"/>
        <w:jc w:val="both"/>
        <w:rPr>
          <w:rFonts w:ascii="Arial" w:eastAsia="Calibri" w:hAnsi="Arial" w:cs="Arial"/>
          <w:sz w:val="22"/>
          <w:szCs w:val="22"/>
        </w:rPr>
      </w:pPr>
      <w:r w:rsidRPr="00481068">
        <w:rPr>
          <w:rFonts w:ascii="Arial" w:eastAsia="Calibri" w:hAnsi="Arial" w:cs="Arial"/>
          <w:sz w:val="22"/>
          <w:szCs w:val="22"/>
        </w:rPr>
        <w:t xml:space="preserve">Por un lado, el artículo 33 de la Ley 996 de 2005 prohíbe </w:t>
      </w:r>
      <w:r w:rsidRPr="00481068">
        <w:rPr>
          <w:rFonts w:ascii="Arial" w:eastAsia="Calibri" w:hAnsi="Arial" w:cs="Arial"/>
          <w:bCs/>
          <w:sz w:val="22"/>
          <w:szCs w:val="22"/>
        </w:rPr>
        <w:t xml:space="preserve">«[…] </w:t>
      </w:r>
      <w:r w:rsidRPr="00481068">
        <w:rPr>
          <w:rFonts w:ascii="Arial" w:eastAsia="Calibri" w:hAnsi="Arial" w:cs="Arial"/>
          <w:sz w:val="22"/>
          <w:szCs w:val="22"/>
        </w:rPr>
        <w:t>la contratación directa por parte de todos los entes del Estado</w:t>
      </w:r>
      <w:r w:rsidRPr="00481068">
        <w:rPr>
          <w:rFonts w:ascii="Arial" w:eastAsia="Calibri" w:hAnsi="Arial" w:cs="Arial"/>
          <w:bCs/>
          <w:sz w:val="22"/>
          <w:szCs w:val="22"/>
        </w:rPr>
        <w:t>»</w:t>
      </w:r>
      <w:r w:rsidRPr="00481068">
        <w:rPr>
          <w:rFonts w:ascii="Arial" w:eastAsia="Calibri" w:hAnsi="Arial" w:cs="Arial"/>
          <w:sz w:val="22"/>
          <w:szCs w:val="22"/>
        </w:rPr>
        <w:t xml:space="preserve"> durante los cuatro (4) meses anteriores a las elecciones presidenciales, salvo </w:t>
      </w:r>
      <w:r w:rsidRPr="00481068">
        <w:rPr>
          <w:rFonts w:ascii="Arial" w:eastAsia="Calibri" w:hAnsi="Arial" w:cs="Arial"/>
          <w:bCs/>
          <w:sz w:val="22"/>
          <w:szCs w:val="22"/>
        </w:rPr>
        <w:t xml:space="preserve">«[…] </w:t>
      </w:r>
      <w:r w:rsidRPr="00481068">
        <w:rPr>
          <w:rFonts w:ascii="Arial" w:eastAsia="Calibri" w:hAnsi="Arial" w:cs="Arial"/>
          <w:sz w:val="22"/>
          <w:szCs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81068">
        <w:rPr>
          <w:rFonts w:ascii="Arial" w:eastAsia="Calibri" w:hAnsi="Arial" w:cs="Arial"/>
          <w:bCs/>
          <w:sz w:val="22"/>
          <w:szCs w:val="22"/>
        </w:rPr>
        <w:t>»</w:t>
      </w:r>
      <w:r w:rsidRPr="00481068">
        <w:rPr>
          <w:rFonts w:ascii="Arial" w:eastAsia="Calibri" w:hAnsi="Arial" w:cs="Arial"/>
          <w:bCs/>
          <w:sz w:val="22"/>
          <w:szCs w:val="22"/>
          <w:vertAlign w:val="superscript"/>
        </w:rPr>
        <w:footnoteReference w:id="9"/>
      </w:r>
      <w:r w:rsidRPr="00481068">
        <w:rPr>
          <w:rFonts w:ascii="Arial" w:eastAsia="Calibri" w:hAnsi="Arial" w:cs="Arial"/>
          <w:sz w:val="22"/>
          <w:szCs w:val="22"/>
        </w:rPr>
        <w:t>.</w:t>
      </w:r>
    </w:p>
    <w:p w14:paraId="006F0500" w14:textId="77777777" w:rsidR="00963B93" w:rsidRPr="00481068" w:rsidRDefault="00963B93" w:rsidP="00963B93">
      <w:pPr>
        <w:widowControl w:val="0"/>
        <w:autoSpaceDE w:val="0"/>
        <w:autoSpaceDN w:val="0"/>
        <w:spacing w:line="276" w:lineRule="auto"/>
        <w:ind w:right="113" w:firstLine="708"/>
        <w:contextualSpacing/>
        <w:jc w:val="both"/>
        <w:rPr>
          <w:rFonts w:ascii="Arial" w:eastAsia="Arial" w:hAnsi="Arial" w:cs="Arial"/>
          <w:sz w:val="22"/>
          <w:szCs w:val="22"/>
          <w:lang w:val="es-ES" w:eastAsia="es-ES" w:bidi="es-ES"/>
        </w:rPr>
      </w:pPr>
      <w:r w:rsidRPr="00481068">
        <w:rPr>
          <w:rFonts w:ascii="Arial" w:eastAsia="Calibri" w:hAnsi="Arial" w:cs="Arial"/>
          <w:sz w:val="22"/>
          <w:szCs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81068">
        <w:rPr>
          <w:rFonts w:ascii="Arial" w:eastAsia="Calibri" w:hAnsi="Arial" w:cs="Arial"/>
          <w:bCs/>
          <w:sz w:val="22"/>
          <w:szCs w:val="22"/>
        </w:rPr>
        <w:t xml:space="preserve">«[…] </w:t>
      </w:r>
      <w:r w:rsidRPr="00481068">
        <w:rPr>
          <w:rFonts w:ascii="Arial" w:eastAsia="Calibri" w:hAnsi="Arial" w:cs="Arial"/>
          <w:sz w:val="22"/>
          <w:szCs w:val="22"/>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81068">
        <w:rPr>
          <w:rFonts w:ascii="Arial" w:eastAsia="Calibri" w:hAnsi="Arial" w:cs="Arial"/>
          <w:bCs/>
          <w:sz w:val="22"/>
          <w:szCs w:val="22"/>
        </w:rPr>
        <w:t>»</w:t>
      </w:r>
      <w:r w:rsidRPr="00481068">
        <w:rPr>
          <w:rFonts w:ascii="Arial" w:eastAsia="Calibri" w:hAnsi="Arial" w:cs="Arial"/>
          <w:bCs/>
          <w:sz w:val="22"/>
          <w:szCs w:val="22"/>
          <w:vertAlign w:val="superscript"/>
        </w:rPr>
        <w:footnoteReference w:id="10"/>
      </w:r>
      <w:r w:rsidRPr="00481068">
        <w:rPr>
          <w:rFonts w:ascii="Arial" w:eastAsia="Calibri" w:hAnsi="Arial" w:cs="Arial"/>
          <w:sz w:val="22"/>
          <w:szCs w:val="22"/>
          <w:lang w:val="es-MX"/>
        </w:rPr>
        <w:t>.</w:t>
      </w:r>
      <w:r w:rsidRPr="00481068">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E1F7F88" w14:textId="77777777" w:rsidR="00963B93" w:rsidRPr="00481068" w:rsidRDefault="00963B93" w:rsidP="00963B93">
      <w:pPr>
        <w:widowControl w:val="0"/>
        <w:autoSpaceDE w:val="0"/>
        <w:autoSpaceDN w:val="0"/>
        <w:spacing w:line="276" w:lineRule="auto"/>
        <w:ind w:left="805" w:right="812"/>
        <w:contextualSpacing/>
        <w:jc w:val="both"/>
        <w:rPr>
          <w:rFonts w:ascii="Arial" w:eastAsia="Arial" w:hAnsi="Arial" w:cs="Arial"/>
          <w:sz w:val="22"/>
          <w:szCs w:val="22"/>
          <w:lang w:val="es-ES" w:eastAsia="es-ES" w:bidi="es-ES"/>
        </w:rPr>
      </w:pPr>
    </w:p>
    <w:p w14:paraId="596C5687" w14:textId="77777777" w:rsidR="00963B93" w:rsidRPr="00481068" w:rsidRDefault="00963B93" w:rsidP="00963B93">
      <w:pPr>
        <w:widowControl w:val="0"/>
        <w:autoSpaceDE w:val="0"/>
        <w:autoSpaceDN w:val="0"/>
        <w:ind w:left="709" w:right="709"/>
        <w:contextualSpacing/>
        <w:jc w:val="both"/>
        <w:rPr>
          <w:rFonts w:ascii="Arial" w:eastAsia="Arial" w:hAnsi="Arial" w:cs="Arial"/>
          <w:sz w:val="21"/>
          <w:szCs w:val="21"/>
          <w:lang w:val="es-ES" w:eastAsia="es-ES" w:bidi="es-ES"/>
        </w:rPr>
      </w:pPr>
      <w:r w:rsidRPr="00481068">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w:t>
      </w:r>
      <w:r w:rsidRPr="00481068">
        <w:rPr>
          <w:rFonts w:ascii="Arial" w:eastAsia="Arial" w:hAnsi="Arial" w:cs="Arial"/>
          <w:sz w:val="21"/>
          <w:szCs w:val="21"/>
          <w:lang w:val="es-ES" w:eastAsia="es-ES" w:bidi="es-ES"/>
        </w:rPr>
        <w:lastRenderedPageBreak/>
        <w:t xml:space="preserve">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2" w:name="_Hlk76109421"/>
      <w:r w:rsidRPr="00481068">
        <w:rPr>
          <w:rFonts w:ascii="Arial" w:eastAsia="Arial" w:hAnsi="Arial" w:cs="Arial"/>
          <w:sz w:val="21"/>
          <w:szCs w:val="21"/>
          <w:lang w:val="es-ES" w:eastAsia="es-ES" w:bidi="es-ES"/>
        </w:rPr>
        <w:t>se integran parcialmente</w:t>
      </w:r>
      <w:bookmarkEnd w:id="22"/>
      <w:r w:rsidRPr="00481068">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81068">
        <w:rPr>
          <w:rFonts w:ascii="Arial" w:eastAsia="Arial" w:hAnsi="Arial" w:cs="Arial"/>
          <w:bCs/>
          <w:sz w:val="21"/>
          <w:szCs w:val="21"/>
          <w:lang w:val="es-ES" w:eastAsia="es-ES" w:bidi="es-ES"/>
        </w:rPr>
        <w:t xml:space="preserve">En cambio, para elecciones en general, excluyendo las correspondientes a </w:t>
      </w:r>
      <w:proofErr w:type="gramStart"/>
      <w:r w:rsidRPr="00481068">
        <w:rPr>
          <w:rFonts w:ascii="Arial" w:eastAsia="Arial" w:hAnsi="Arial" w:cs="Arial"/>
          <w:bCs/>
          <w:sz w:val="21"/>
          <w:szCs w:val="21"/>
          <w:lang w:val="es-ES" w:eastAsia="es-ES" w:bidi="es-ES"/>
        </w:rPr>
        <w:t>Presidente</w:t>
      </w:r>
      <w:proofErr w:type="gramEnd"/>
      <w:r w:rsidRPr="00481068">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481068">
        <w:rPr>
          <w:rFonts w:ascii="Arial" w:eastAsia="Arial" w:hAnsi="Arial" w:cs="Arial"/>
          <w:sz w:val="21"/>
          <w:szCs w:val="21"/>
          <w:lang w:val="es-ES" w:eastAsia="es-ES" w:bidi="es-ES"/>
        </w:rPr>
        <w:t>.</w:t>
      </w:r>
      <w:r w:rsidRPr="00481068">
        <w:rPr>
          <w:rFonts w:ascii="Arial" w:eastAsia="Arial" w:hAnsi="Arial" w:cs="Arial"/>
          <w:sz w:val="21"/>
          <w:szCs w:val="21"/>
          <w:vertAlign w:val="superscript"/>
          <w:lang w:val="es-ES" w:eastAsia="es-ES" w:bidi="es-ES"/>
        </w:rPr>
        <w:footnoteReference w:id="11"/>
      </w:r>
    </w:p>
    <w:p w14:paraId="2C406158" w14:textId="77777777" w:rsidR="00963B93" w:rsidRPr="00481068" w:rsidRDefault="00963B93" w:rsidP="00963B93">
      <w:pPr>
        <w:widowControl w:val="0"/>
        <w:autoSpaceDE w:val="0"/>
        <w:autoSpaceDN w:val="0"/>
        <w:spacing w:line="276" w:lineRule="auto"/>
        <w:contextualSpacing/>
        <w:rPr>
          <w:rFonts w:ascii="Arial" w:eastAsia="Arial" w:hAnsi="Arial" w:cs="Arial"/>
          <w:sz w:val="22"/>
          <w:szCs w:val="22"/>
          <w:lang w:val="es-ES" w:eastAsia="es-ES" w:bidi="es-ES"/>
        </w:rPr>
      </w:pPr>
    </w:p>
    <w:p w14:paraId="3CE340D0" w14:textId="77777777" w:rsidR="00963B93" w:rsidRPr="00481068" w:rsidRDefault="00963B93" w:rsidP="00963B93">
      <w:pPr>
        <w:spacing w:after="120" w:line="276" w:lineRule="auto"/>
        <w:ind w:firstLine="709"/>
        <w:jc w:val="both"/>
        <w:rPr>
          <w:rFonts w:ascii="Arial" w:eastAsia="Arial" w:hAnsi="Arial" w:cs="Arial"/>
          <w:sz w:val="22"/>
          <w:szCs w:val="22"/>
          <w:lang w:val="es-ES" w:eastAsia="es-ES" w:bidi="es-ES"/>
        </w:rPr>
      </w:pPr>
      <w:r w:rsidRPr="00481068">
        <w:rPr>
          <w:rFonts w:ascii="Arial" w:eastAsia="Arial" w:hAnsi="Arial" w:cs="Arial"/>
          <w:sz w:val="22"/>
          <w:szCs w:val="22"/>
          <w:lang w:val="es-ES" w:eastAsia="es-ES" w:bidi="es-ES"/>
        </w:rPr>
        <w:t xml:space="preserve">De conformidad con lo anterior, </w:t>
      </w:r>
      <w:bookmarkStart w:id="23" w:name="_Hlk77236420"/>
      <w:bookmarkStart w:id="24" w:name="_Hlk78818435"/>
      <w:bookmarkStart w:id="25" w:name="_Hlk75780333"/>
      <w:r w:rsidRPr="00481068">
        <w:rPr>
          <w:rFonts w:ascii="Arial" w:eastAsia="Arial" w:hAnsi="Arial" w:cs="Arial"/>
          <w:sz w:val="22"/>
          <w:szCs w:val="22"/>
          <w:lang w:val="es-ES" w:eastAsia="es-ES" w:bidi="es-ES"/>
        </w:rPr>
        <w:t xml:space="preserve">la Ley 996 de 2005 establece dos (2) tipos de restricciones en materia de contratación, las cuales coinciden parcialmente. </w:t>
      </w:r>
      <w:r w:rsidRPr="00481068">
        <w:rPr>
          <w:rFonts w:ascii="Arial" w:eastAsia="Arial" w:hAnsi="Arial" w:cs="Arial"/>
          <w:i/>
          <w:iCs/>
          <w:sz w:val="22"/>
          <w:szCs w:val="22"/>
          <w:lang w:val="es-ES" w:eastAsia="es-ES" w:bidi="es-ES"/>
        </w:rPr>
        <w:t>En primer lugar</w:t>
      </w:r>
      <w:r w:rsidRPr="00481068">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81068">
        <w:rPr>
          <w:rFonts w:ascii="Arial" w:eastAsia="Arial" w:hAnsi="Arial" w:cs="Arial"/>
          <w:i/>
          <w:iCs/>
          <w:sz w:val="22"/>
          <w:szCs w:val="22"/>
          <w:lang w:val="es-ES" w:eastAsia="es-ES" w:bidi="es-ES"/>
        </w:rPr>
        <w:t>En segundo lugar</w:t>
      </w:r>
      <w:r w:rsidRPr="00481068">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3"/>
    </w:p>
    <w:bookmarkEnd w:id="24"/>
    <w:p w14:paraId="753A4F37" w14:textId="77777777" w:rsidR="00963B93" w:rsidRPr="00481068" w:rsidRDefault="00963B93" w:rsidP="00963B93">
      <w:pPr>
        <w:spacing w:after="120" w:line="276" w:lineRule="auto"/>
        <w:ind w:firstLine="709"/>
        <w:jc w:val="both"/>
        <w:rPr>
          <w:rFonts w:ascii="Arial" w:eastAsia="Arial" w:hAnsi="Arial" w:cs="Arial"/>
          <w:sz w:val="22"/>
          <w:szCs w:val="22"/>
          <w:lang w:val="es-ES" w:eastAsia="es-ES" w:bidi="es-ES"/>
        </w:rPr>
      </w:pPr>
      <w:r w:rsidRPr="00481068">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481068">
        <w:rPr>
          <w:rFonts w:ascii="Arial" w:eastAsia="Arial" w:hAnsi="Arial" w:cs="Arial"/>
          <w:sz w:val="22"/>
          <w:szCs w:val="22"/>
          <w:lang w:val="es-ES" w:eastAsia="es-ES" w:bidi="es-ES"/>
        </w:rPr>
        <w:t>Presidente</w:t>
      </w:r>
      <w:proofErr w:type="gramEnd"/>
      <w:r w:rsidRPr="00481068">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81068">
        <w:rPr>
          <w:rFonts w:ascii="Arial" w:eastAsia="Arial" w:hAnsi="Arial" w:cs="Arial"/>
          <w:sz w:val="22"/>
          <w:szCs w:val="22"/>
          <w:lang w:val="es-ES" w:eastAsia="es-ES" w:bidi="es-ES"/>
        </w:rPr>
        <w:t>Presidente</w:t>
      </w:r>
      <w:proofErr w:type="gramEnd"/>
      <w:r w:rsidRPr="00481068">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bookmarkEnd w:id="25"/>
    <w:p w14:paraId="5121E9E1" w14:textId="58FDE126" w:rsidR="00524963" w:rsidRPr="00481068" w:rsidRDefault="00963B93" w:rsidP="00963B93">
      <w:pPr>
        <w:spacing w:before="120" w:line="276" w:lineRule="auto"/>
        <w:ind w:firstLine="708"/>
        <w:jc w:val="both"/>
        <w:rPr>
          <w:rFonts w:ascii="Arial" w:eastAsia="Arial" w:hAnsi="Arial" w:cs="Arial"/>
          <w:sz w:val="22"/>
          <w:szCs w:val="22"/>
          <w:lang w:val="es-ES_tradnl" w:eastAsia="es-ES" w:bidi="es-ES"/>
        </w:rPr>
      </w:pPr>
      <w:r w:rsidRPr="00481068">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481068">
        <w:rPr>
          <w:rFonts w:ascii="Arial" w:eastAsia="Arial" w:hAnsi="Arial" w:cs="Arial"/>
          <w:sz w:val="22"/>
          <w:szCs w:val="22"/>
          <w:lang w:val="es-ES" w:eastAsia="es-ES" w:bidi="es-ES"/>
        </w:rPr>
        <w:t>Presidente</w:t>
      </w:r>
      <w:proofErr w:type="gramEnd"/>
      <w:r w:rsidRPr="00481068">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w:t>
      </w:r>
      <w:r w:rsidRPr="00481068">
        <w:rPr>
          <w:rFonts w:ascii="Arial" w:eastAsia="Arial" w:hAnsi="Arial" w:cs="Arial"/>
          <w:sz w:val="22"/>
          <w:szCs w:val="22"/>
          <w:lang w:val="es-ES" w:eastAsia="es-ES" w:bidi="es-ES"/>
        </w:rPr>
        <w:lastRenderedPageBreak/>
        <w:t xml:space="preserve">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D163A2D" w14:textId="77777777" w:rsidR="00524963" w:rsidRPr="00481068" w:rsidRDefault="00524963" w:rsidP="00524963">
      <w:pPr>
        <w:spacing w:line="276" w:lineRule="auto"/>
        <w:jc w:val="both"/>
        <w:rPr>
          <w:rFonts w:ascii="Arial" w:eastAsia="Arial" w:hAnsi="Arial" w:cs="Arial"/>
          <w:sz w:val="22"/>
          <w:szCs w:val="22"/>
          <w:lang w:val="es-ES_tradnl" w:eastAsia="es-ES" w:bidi="es-ES"/>
        </w:rPr>
      </w:pPr>
    </w:p>
    <w:p w14:paraId="78C2973A" w14:textId="77777777" w:rsidR="00524963" w:rsidRPr="00481068" w:rsidRDefault="00524963" w:rsidP="00524963">
      <w:pPr>
        <w:spacing w:line="276" w:lineRule="auto"/>
        <w:jc w:val="both"/>
        <w:rPr>
          <w:rFonts w:ascii="Arial" w:eastAsia="Calibri" w:hAnsi="Arial" w:cs="Arial"/>
          <w:b/>
          <w:sz w:val="22"/>
          <w:szCs w:val="22"/>
          <w:lang w:val="es-ES_tradnl" w:eastAsia="es-CO"/>
        </w:rPr>
      </w:pPr>
      <w:r w:rsidRPr="00481068">
        <w:rPr>
          <w:rFonts w:ascii="Arial" w:eastAsia="Calibri" w:hAnsi="Arial" w:cs="Arial"/>
          <w:b/>
          <w:sz w:val="22"/>
          <w:szCs w:val="22"/>
          <w:lang w:val="es-ES_tradnl" w:eastAsia="es-CO"/>
        </w:rPr>
        <w:t xml:space="preserve">2.2. </w:t>
      </w:r>
      <w:r w:rsidRPr="00481068">
        <w:rPr>
          <w:rFonts w:ascii="Arial" w:eastAsia="Calibri" w:hAnsi="Arial" w:cs="Arial"/>
          <w:b/>
          <w:bCs/>
          <w:sz w:val="22"/>
          <w:szCs w:val="22"/>
          <w:lang w:val="es-ES_tradnl" w:eastAsia="es-CO"/>
        </w:rPr>
        <w:t>Restricciones en elecciones presidenciales: prohibición del artículo 33 de la Ley 996 de 2005</w:t>
      </w:r>
    </w:p>
    <w:p w14:paraId="5C3085D4" w14:textId="77777777" w:rsidR="00524963" w:rsidRPr="00481068" w:rsidRDefault="00524963" w:rsidP="00524963">
      <w:pPr>
        <w:spacing w:line="276" w:lineRule="auto"/>
        <w:jc w:val="both"/>
        <w:rPr>
          <w:rFonts w:ascii="Arial" w:eastAsia="Calibri" w:hAnsi="Arial" w:cs="Arial"/>
          <w:bCs/>
          <w:sz w:val="22"/>
          <w:szCs w:val="22"/>
          <w:lang w:val="es-ES_tradnl" w:eastAsia="x-none"/>
        </w:rPr>
      </w:pPr>
    </w:p>
    <w:p w14:paraId="4C8AF64C" w14:textId="77777777" w:rsidR="00524963" w:rsidRPr="00481068" w:rsidRDefault="00524963" w:rsidP="00524963">
      <w:pPr>
        <w:spacing w:line="276" w:lineRule="auto"/>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 xml:space="preserve">El ámbito material de la prohibición contenida en el artículo 33 de la ley 996 de 2005 está delimitado por la expresión </w:t>
      </w:r>
      <w:r w:rsidRPr="00481068">
        <w:rPr>
          <w:rFonts w:ascii="Arial" w:eastAsia="Calibri" w:hAnsi="Arial" w:cs="Arial"/>
          <w:bCs/>
          <w:sz w:val="20"/>
          <w:szCs w:val="20"/>
          <w:lang w:val="es-ES_tradnl" w:eastAsia="en-US"/>
        </w:rPr>
        <w:t>«</w:t>
      </w:r>
      <w:r w:rsidRPr="00481068">
        <w:rPr>
          <w:rFonts w:ascii="Arial" w:eastAsia="Calibri" w:hAnsi="Arial" w:cs="Arial"/>
          <w:bCs/>
          <w:sz w:val="22"/>
          <w:szCs w:val="22"/>
          <w:lang w:val="es-ES_tradnl" w:eastAsia="x-none"/>
        </w:rPr>
        <w:t>queda prohibida la contratación directa</w:t>
      </w:r>
      <w:r w:rsidRPr="00481068">
        <w:rPr>
          <w:rFonts w:ascii="Arial" w:eastAsia="Calibri" w:hAnsi="Arial" w:cs="Arial"/>
          <w:sz w:val="20"/>
          <w:szCs w:val="20"/>
          <w:lang w:val="es-ES_tradnl" w:eastAsia="en-US"/>
        </w:rPr>
        <w:t>»</w:t>
      </w:r>
      <w:r w:rsidRPr="00481068">
        <w:rPr>
          <w:rFonts w:ascii="Arial" w:eastAsia="Calibri" w:hAnsi="Arial" w:cs="Arial"/>
          <w:bCs/>
          <w:sz w:val="22"/>
          <w:szCs w:val="22"/>
          <w:lang w:val="es-ES_tradnl" w:eastAsia="x-none"/>
        </w:rPr>
        <w:t xml:space="preserve">. </w:t>
      </w:r>
      <w:r w:rsidRPr="00481068">
        <w:rPr>
          <w:rFonts w:ascii="Arial" w:eastAsia="Calibri" w:hAnsi="Arial" w:cs="Arial"/>
          <w:sz w:val="22"/>
          <w:szCs w:val="22"/>
          <w:lang w:val="es-ES_tradnl" w:eastAsia="es-CO"/>
        </w:rPr>
        <w:t xml:space="preserve"> A propósito de esta restricción de la Ley de Garantías Electorales, la Sala de Consulta y Servicio Civil del Consejo de Estado ha considerado que:</w:t>
      </w:r>
    </w:p>
    <w:p w14:paraId="0A17AB1D" w14:textId="77777777" w:rsidR="00524963" w:rsidRPr="00481068" w:rsidRDefault="00524963" w:rsidP="00524963">
      <w:pPr>
        <w:spacing w:line="259" w:lineRule="auto"/>
        <w:ind w:left="708" w:right="709"/>
        <w:jc w:val="both"/>
        <w:rPr>
          <w:rFonts w:ascii="Arial" w:eastAsia="Calibri" w:hAnsi="Arial" w:cs="Arial"/>
          <w:sz w:val="22"/>
          <w:szCs w:val="22"/>
          <w:lang w:val="es-ES_tradnl" w:eastAsia="en-US"/>
        </w:rPr>
      </w:pPr>
    </w:p>
    <w:p w14:paraId="490C216B" w14:textId="77777777" w:rsidR="00524963" w:rsidRPr="00481068" w:rsidRDefault="00524963" w:rsidP="00524963">
      <w:pPr>
        <w:spacing w:after="120"/>
        <w:ind w:left="709" w:right="709"/>
        <w:jc w:val="both"/>
        <w:rPr>
          <w:rFonts w:ascii="Arial" w:eastAsia="Calibri" w:hAnsi="Arial" w:cs="Arial"/>
          <w:sz w:val="21"/>
          <w:szCs w:val="21"/>
          <w:lang w:val="es-ES_tradnl" w:eastAsia="en-US"/>
        </w:rPr>
      </w:pPr>
      <w:r w:rsidRPr="00481068">
        <w:rPr>
          <w:rFonts w:ascii="Arial" w:eastAsia="Calibr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81068">
        <w:rPr>
          <w:rFonts w:ascii="Arial" w:eastAsia="Calibri" w:hAnsi="Arial" w:cs="Arial"/>
          <w:sz w:val="21"/>
          <w:szCs w:val="21"/>
          <w:vertAlign w:val="superscript"/>
          <w:lang w:eastAsia="en-US"/>
        </w:rPr>
        <w:footnoteReference w:id="12"/>
      </w:r>
      <w:r w:rsidRPr="00481068">
        <w:rPr>
          <w:rFonts w:ascii="Arial" w:eastAsia="Calibri" w:hAnsi="Arial" w:cs="Arial"/>
          <w:sz w:val="21"/>
          <w:szCs w:val="21"/>
          <w:lang w:val="es-ES_tradnl" w:eastAsia="en-US"/>
        </w:rPr>
        <w:t>.</w:t>
      </w:r>
    </w:p>
    <w:p w14:paraId="716AF450" w14:textId="77777777" w:rsidR="00524963" w:rsidRPr="00481068" w:rsidRDefault="00524963" w:rsidP="00524963">
      <w:pPr>
        <w:ind w:left="708" w:right="709"/>
        <w:jc w:val="both"/>
        <w:rPr>
          <w:rFonts w:ascii="Arial" w:eastAsia="Calibri" w:hAnsi="Arial" w:cs="Arial"/>
          <w:sz w:val="21"/>
          <w:szCs w:val="21"/>
          <w:lang w:val="es-ES_tradnl" w:eastAsia="en-US"/>
        </w:rPr>
      </w:pPr>
      <w:r w:rsidRPr="00481068">
        <w:rPr>
          <w:rFonts w:ascii="Arial" w:eastAsia="Calibri" w:hAnsi="Arial" w:cs="Arial"/>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81068">
        <w:rPr>
          <w:rFonts w:ascii="Arial" w:eastAsia="Calibri" w:hAnsi="Arial" w:cs="Arial"/>
          <w:sz w:val="21"/>
          <w:szCs w:val="21"/>
          <w:vertAlign w:val="superscript"/>
          <w:lang w:eastAsia="en-US"/>
        </w:rPr>
        <w:footnoteReference w:id="13"/>
      </w:r>
      <w:r w:rsidRPr="00481068">
        <w:rPr>
          <w:rFonts w:ascii="Arial" w:eastAsia="Calibri" w:hAnsi="Arial" w:cs="Arial"/>
          <w:sz w:val="21"/>
          <w:szCs w:val="21"/>
          <w:vertAlign w:val="superscript"/>
          <w:lang w:val="es-ES_tradnl" w:eastAsia="en-US"/>
        </w:rPr>
        <w:t>.</w:t>
      </w:r>
      <w:r w:rsidRPr="00481068">
        <w:rPr>
          <w:rFonts w:ascii="Arial" w:eastAsia="Calibr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81068">
        <w:rPr>
          <w:rFonts w:ascii="Arial" w:eastAsia="Calibri" w:hAnsi="Arial" w:cs="Arial"/>
          <w:sz w:val="21"/>
          <w:szCs w:val="21"/>
          <w:vertAlign w:val="superscript"/>
          <w:lang w:eastAsia="en-US"/>
        </w:rPr>
        <w:footnoteReference w:id="14"/>
      </w:r>
      <w:r w:rsidRPr="00481068">
        <w:rPr>
          <w:rFonts w:ascii="Arial" w:eastAsia="Calibri" w:hAnsi="Arial" w:cs="Arial"/>
          <w:sz w:val="21"/>
          <w:szCs w:val="21"/>
          <w:lang w:val="es-ES_tradnl" w:eastAsia="en-US"/>
        </w:rPr>
        <w:t xml:space="preserve"> .</w:t>
      </w:r>
    </w:p>
    <w:p w14:paraId="2F2B973A" w14:textId="77777777" w:rsidR="00524963" w:rsidRPr="00481068" w:rsidRDefault="00524963" w:rsidP="00524963">
      <w:pPr>
        <w:shd w:val="clear" w:color="auto" w:fill="FFFFFF"/>
        <w:spacing w:line="276" w:lineRule="auto"/>
        <w:ind w:firstLine="709"/>
        <w:jc w:val="both"/>
        <w:rPr>
          <w:rFonts w:ascii="Arial" w:eastAsia="Calibri" w:hAnsi="Arial" w:cs="Arial"/>
          <w:sz w:val="22"/>
          <w:szCs w:val="22"/>
          <w:lang w:val="es-ES_tradnl" w:eastAsia="x-none"/>
        </w:rPr>
      </w:pPr>
    </w:p>
    <w:p w14:paraId="365550C8" w14:textId="5B565D9F" w:rsidR="00524963" w:rsidRPr="00481068" w:rsidRDefault="00524963" w:rsidP="0051212F">
      <w:pPr>
        <w:spacing w:line="276" w:lineRule="auto"/>
        <w:ind w:firstLine="708"/>
        <w:jc w:val="both"/>
        <w:rPr>
          <w:rFonts w:ascii="Arial" w:eastAsia="Calibri" w:hAnsi="Arial" w:cs="Arial"/>
          <w:bCs/>
          <w:sz w:val="22"/>
          <w:szCs w:val="22"/>
          <w:lang w:val="es-ES_tradnl" w:eastAsia="x-none"/>
        </w:rPr>
      </w:pPr>
      <w:r w:rsidRPr="00481068">
        <w:rPr>
          <w:rFonts w:ascii="Arial" w:eastAsia="Calibri" w:hAnsi="Arial" w:cs="Arial"/>
          <w:sz w:val="22"/>
          <w:szCs w:val="22"/>
          <w:lang w:val="es-ES_tradnl" w:eastAsia="x-none"/>
        </w:rPr>
        <w:lastRenderedPageBreak/>
        <w:t xml:space="preserve">De acuerdo con el citado concepto, la prohibición del artículo 33 de la Ley de Garantías Electorales se refiere a </w:t>
      </w:r>
      <w:r w:rsidRPr="00481068">
        <w:rPr>
          <w:rFonts w:ascii="Arial" w:eastAsia="Calibri" w:hAnsi="Arial" w:cs="Arial"/>
          <w:sz w:val="19"/>
          <w:szCs w:val="19"/>
          <w:lang w:val="es-ES_tradnl" w:eastAsia="en-GB"/>
        </w:rPr>
        <w:t>«</w:t>
      </w:r>
      <w:r w:rsidRPr="00481068">
        <w:rPr>
          <w:rFonts w:ascii="Arial" w:eastAsia="Calibri" w:hAnsi="Arial" w:cs="Arial"/>
          <w:sz w:val="22"/>
          <w:szCs w:val="22"/>
          <w:lang w:val="es-ES_tradnl" w:eastAsia="x-none"/>
        </w:rPr>
        <w:t>cualquier sistema que no implique convocatoria pública y posibilidad de pluralidad de oferentes</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481068">
        <w:rPr>
          <w:rFonts w:ascii="Arial" w:eastAsia="Calibri" w:hAnsi="Arial" w:cs="Arial"/>
          <w:sz w:val="22"/>
          <w:szCs w:val="22"/>
          <w:vertAlign w:val="superscript"/>
          <w:lang w:eastAsia="en-US"/>
        </w:rPr>
        <w:footnoteReference w:id="15"/>
      </w:r>
      <w:r w:rsidRPr="00481068">
        <w:rPr>
          <w:rFonts w:ascii="Arial" w:eastAsia="Calibri" w:hAnsi="Arial" w:cs="Arial"/>
          <w:sz w:val="22"/>
          <w:szCs w:val="22"/>
          <w:lang w:val="es-ES_tradnl" w:eastAsia="x-none"/>
        </w:rPr>
        <w:t xml:space="preserve"> y sistematizó las causales de contratación directa</w:t>
      </w:r>
      <w:r w:rsidRPr="00481068">
        <w:rPr>
          <w:rFonts w:ascii="Arial" w:eastAsia="Calibri" w:hAnsi="Arial" w:cs="Arial"/>
          <w:sz w:val="22"/>
          <w:szCs w:val="22"/>
          <w:vertAlign w:val="superscript"/>
          <w:lang w:eastAsia="en-US"/>
        </w:rPr>
        <w:footnoteReference w:id="16"/>
      </w:r>
      <w:r w:rsidR="00C54797" w:rsidRPr="00481068">
        <w:rPr>
          <w:rFonts w:ascii="Arial" w:eastAsia="Calibri" w:hAnsi="Arial" w:cs="Arial"/>
          <w:sz w:val="22"/>
          <w:szCs w:val="22"/>
          <w:lang w:val="es-ES_tradnl" w:eastAsia="x-none"/>
        </w:rPr>
        <w:t>.</w:t>
      </w:r>
    </w:p>
    <w:p w14:paraId="0208D1CA" w14:textId="1B527674" w:rsidR="00524963" w:rsidRPr="00481068" w:rsidRDefault="00524963" w:rsidP="0051212F">
      <w:pPr>
        <w:spacing w:before="120" w:line="276" w:lineRule="auto"/>
        <w:ind w:firstLine="708"/>
        <w:jc w:val="both"/>
        <w:rPr>
          <w:rFonts w:ascii="Arial" w:eastAsia="Calibri" w:hAnsi="Arial" w:cs="Arial"/>
          <w:sz w:val="22"/>
          <w:szCs w:val="22"/>
          <w:lang w:val="es-ES_tradnl" w:eastAsia="x-none"/>
        </w:rPr>
      </w:pPr>
      <w:r w:rsidRPr="00481068">
        <w:rPr>
          <w:rFonts w:ascii="Arial" w:eastAsia="Calibri" w:hAnsi="Arial" w:cs="Arial"/>
          <w:sz w:val="22"/>
          <w:szCs w:val="22"/>
          <w:lang w:val="es-ES_tradnl" w:eastAsia="x-none"/>
        </w:rPr>
        <w:t xml:space="preserve">De esta forma, se ha depurado la noción de </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contratación directa</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81068">
        <w:rPr>
          <w:rFonts w:ascii="Arial" w:eastAsia="Calibri" w:hAnsi="Arial" w:cs="Arial"/>
          <w:sz w:val="22"/>
          <w:szCs w:val="22"/>
          <w:vertAlign w:val="superscript"/>
          <w:lang w:eastAsia="en-US"/>
        </w:rPr>
        <w:footnoteReference w:id="17"/>
      </w:r>
      <w:r w:rsidRPr="00481068">
        <w:rPr>
          <w:rFonts w:ascii="Arial" w:eastAsia="Calibri" w:hAnsi="Arial" w:cs="Arial"/>
          <w:sz w:val="22"/>
          <w:szCs w:val="22"/>
          <w:lang w:val="es-ES_tradnl" w:eastAsia="x-none"/>
        </w:rPr>
        <w:t>, han establecido sistemas de contratación que implican convocatoria pública y participación de varios oferentes</w:t>
      </w:r>
      <w:r w:rsidRPr="00481068">
        <w:rPr>
          <w:rFonts w:ascii="Arial" w:eastAsia="Calibri" w:hAnsi="Arial" w:cs="Arial"/>
          <w:sz w:val="22"/>
          <w:szCs w:val="22"/>
          <w:lang w:val="es-ES_tradnl" w:eastAsia="en-GB"/>
        </w:rPr>
        <w:t>»</w:t>
      </w:r>
      <w:r w:rsidRPr="00481068">
        <w:rPr>
          <w:rFonts w:ascii="Arial" w:eastAsia="Calibri" w:hAnsi="Arial" w:cs="Arial"/>
          <w:sz w:val="22"/>
          <w:szCs w:val="22"/>
          <w:lang w:val="es-ES_tradnl" w:eastAsia="x-none"/>
        </w:rPr>
        <w:t xml:space="preserve">. </w:t>
      </w:r>
    </w:p>
    <w:p w14:paraId="2764F0A6"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E</w:t>
      </w:r>
      <w:r w:rsidRPr="00481068">
        <w:rPr>
          <w:rFonts w:ascii="Arial" w:eastAsia="Calibri"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81068">
        <w:rPr>
          <w:rFonts w:ascii="Arial" w:eastAsia="Calibri" w:hAnsi="Arial" w:cs="Arial"/>
          <w:sz w:val="22"/>
          <w:szCs w:val="22"/>
          <w:vertAlign w:val="superscript"/>
          <w:lang w:eastAsia="en-US"/>
        </w:rPr>
        <w:footnoteReference w:id="18"/>
      </w:r>
      <w:r w:rsidRPr="00481068">
        <w:rPr>
          <w:rFonts w:ascii="Arial" w:eastAsia="Calibri" w:hAnsi="Arial" w:cs="Arial"/>
          <w:sz w:val="22"/>
          <w:szCs w:val="22"/>
          <w:lang w:val="es-ES_tradnl" w:eastAsia="x-none"/>
        </w:rPr>
        <w:t xml:space="preserve">. </w:t>
      </w:r>
    </w:p>
    <w:p w14:paraId="6670E7F9"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w:t>
      </w:r>
      <w:r w:rsidRPr="00481068">
        <w:rPr>
          <w:rFonts w:ascii="Arial" w:eastAsia="Calibri" w:hAnsi="Arial" w:cs="Arial"/>
          <w:bCs/>
          <w:sz w:val="22"/>
          <w:szCs w:val="22"/>
          <w:lang w:val="es-ES_tradnl" w:eastAsia="es-CO"/>
        </w:rPr>
        <w:lastRenderedPageBreak/>
        <w:t>observa que luego de la expedición de Ley 1150 de 2007, el Consejo de Estado comenzó a delimitar con mayor precisión el término de «contratación directa».</w:t>
      </w:r>
    </w:p>
    <w:p w14:paraId="148019DF"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81068">
        <w:rPr>
          <w:rFonts w:ascii="Arial" w:eastAsia="Calibri" w:hAnsi="Arial" w:cs="Arial"/>
          <w:sz w:val="22"/>
          <w:szCs w:val="22"/>
          <w:vertAlign w:val="superscript"/>
          <w:lang w:eastAsia="en-US"/>
        </w:rPr>
        <w:footnoteReference w:id="19"/>
      </w:r>
      <w:r w:rsidRPr="00481068">
        <w:rPr>
          <w:rFonts w:ascii="Arial" w:eastAsia="Calibri" w:hAnsi="Arial" w:cs="Arial"/>
          <w:bCs/>
          <w:sz w:val="22"/>
          <w:szCs w:val="22"/>
          <w:lang w:val="es-ES_tradnl" w:eastAsia="x-none"/>
        </w:rPr>
        <w:t>.</w:t>
      </w:r>
      <w:r w:rsidRPr="00481068">
        <w:rPr>
          <w:rFonts w:ascii="Arial" w:eastAsia="Calibri" w:hAnsi="Arial" w:cs="Arial"/>
          <w:sz w:val="22"/>
          <w:szCs w:val="22"/>
          <w:vertAlign w:val="superscript"/>
          <w:lang w:val="es-ES_tradnl" w:eastAsia="x-none"/>
        </w:rPr>
        <w:t xml:space="preserve"> </w:t>
      </w:r>
    </w:p>
    <w:p w14:paraId="116D2E65" w14:textId="77777777" w:rsidR="00524963" w:rsidRPr="00481068" w:rsidRDefault="00524963" w:rsidP="0051212F">
      <w:pPr>
        <w:spacing w:before="120" w:line="276" w:lineRule="auto"/>
        <w:ind w:firstLine="708"/>
        <w:jc w:val="both"/>
        <w:rPr>
          <w:rFonts w:ascii="Arial" w:eastAsia="Calibri" w:hAnsi="Arial" w:cs="Arial"/>
          <w:sz w:val="22"/>
          <w:szCs w:val="22"/>
          <w:lang w:val="es-ES_tradnl" w:eastAsia="x-none"/>
        </w:rPr>
      </w:pPr>
      <w:r w:rsidRPr="00481068">
        <w:rPr>
          <w:rFonts w:ascii="Arial" w:eastAsia="Calibri"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81068">
        <w:rPr>
          <w:rFonts w:ascii="Arial" w:eastAsia="Calibri" w:hAnsi="Arial" w:cs="Arial"/>
          <w:sz w:val="22"/>
          <w:szCs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24999CE1"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es-CO"/>
        </w:rPr>
        <w:t xml:space="preserve">Como en otras oportunidades lo ha manifestado esta Agencia, las prórrogas, modificaciones o adiciones de los contratos suscritos antes de la </w:t>
      </w:r>
      <w:proofErr w:type="gramStart"/>
      <w:r w:rsidRPr="00481068">
        <w:rPr>
          <w:rFonts w:ascii="Arial" w:eastAsia="Calibri" w:hAnsi="Arial" w:cs="Arial"/>
          <w:bCs/>
          <w:sz w:val="22"/>
          <w:szCs w:val="22"/>
          <w:lang w:val="es-ES_tradnl" w:eastAsia="es-CO"/>
        </w:rPr>
        <w:t>entrada en vigencia</w:t>
      </w:r>
      <w:proofErr w:type="gramEnd"/>
      <w:r w:rsidRPr="00481068">
        <w:rPr>
          <w:rFonts w:ascii="Arial" w:eastAsia="Calibri" w:hAnsi="Arial" w:cs="Arial"/>
          <w:bCs/>
          <w:sz w:val="22"/>
          <w:szCs w:val="22"/>
          <w:lang w:val="es-ES_tradnl" w:eastAsia="es-CO"/>
        </w:rPr>
        <w:t xml:space="preserve"> de las prohibiciones anotadas, así como la cesión de los mismos, pueden tener lugar en el período de aplicación de la Ley de Garantías</w:t>
      </w:r>
      <w:r w:rsidRPr="00481068">
        <w:rPr>
          <w:rFonts w:ascii="Arial" w:eastAsia="Calibri" w:hAnsi="Arial" w:cs="Arial"/>
          <w:sz w:val="22"/>
          <w:szCs w:val="22"/>
          <w:vertAlign w:val="superscript"/>
          <w:lang w:eastAsia="en-US"/>
        </w:rPr>
        <w:footnoteReference w:id="20"/>
      </w:r>
      <w:r w:rsidRPr="00481068">
        <w:rPr>
          <w:rFonts w:ascii="Arial" w:eastAsia="Calibri" w:hAnsi="Arial" w:cs="Arial"/>
          <w:bCs/>
          <w:sz w:val="22"/>
          <w:szCs w:val="22"/>
          <w:lang w:val="es-ES_tradnl" w:eastAsia="es-CO"/>
        </w:rPr>
        <w:t>. Esto sin que ello haga nugatoria la restricción de la contratación directa y siempre que cumplan los principios de planeación, transparencia y responsabilidad.</w:t>
      </w:r>
    </w:p>
    <w:p w14:paraId="34242274"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es-CO"/>
        </w:rPr>
      </w:pPr>
      <w:r w:rsidRPr="00481068">
        <w:rPr>
          <w:rFonts w:ascii="Arial" w:eastAsia="Calibri" w:hAnsi="Arial" w:cs="Arial"/>
          <w:bCs/>
          <w:sz w:val="22"/>
          <w:szCs w:val="22"/>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481068">
        <w:rPr>
          <w:rFonts w:ascii="Arial" w:eastAsia="Calibri" w:hAnsi="Arial" w:cs="Arial"/>
          <w:bCs/>
          <w:sz w:val="22"/>
          <w:szCs w:val="22"/>
          <w:lang w:val="es-ES_tradnl" w:eastAsia="x-none"/>
        </w:rPr>
        <w:t>ii</w:t>
      </w:r>
      <w:proofErr w:type="spellEnd"/>
      <w:r w:rsidRPr="00481068">
        <w:rPr>
          <w:rFonts w:ascii="Arial" w:eastAsia="Calibri" w:hAnsi="Arial" w:cs="Arial"/>
          <w:bCs/>
          <w:sz w:val="22"/>
          <w:szCs w:val="22"/>
          <w:lang w:val="es-ES_tradnl" w:eastAsia="x-none"/>
        </w:rPr>
        <w:t xml:space="preserve">) los contratos de crédito público; </w:t>
      </w:r>
      <w:proofErr w:type="spellStart"/>
      <w:r w:rsidRPr="00481068">
        <w:rPr>
          <w:rFonts w:ascii="Arial" w:eastAsia="Calibri" w:hAnsi="Arial" w:cs="Arial"/>
          <w:bCs/>
          <w:sz w:val="22"/>
          <w:szCs w:val="22"/>
          <w:lang w:val="es-ES_tradnl" w:eastAsia="x-none"/>
        </w:rPr>
        <w:t>iii</w:t>
      </w:r>
      <w:proofErr w:type="spellEnd"/>
      <w:r w:rsidRPr="00481068">
        <w:rPr>
          <w:rFonts w:ascii="Arial" w:eastAsia="Calibri" w:hAnsi="Arial" w:cs="Arial"/>
          <w:bCs/>
          <w:sz w:val="22"/>
          <w:szCs w:val="22"/>
          <w:lang w:val="es-ES_tradnl" w:eastAsia="x-none"/>
        </w:rPr>
        <w:t xml:space="preserve">) los requeridos para cubrir las emergencias educativas, sanitarias y desastres; </w:t>
      </w:r>
      <w:proofErr w:type="spellStart"/>
      <w:r w:rsidRPr="00481068">
        <w:rPr>
          <w:rFonts w:ascii="Arial" w:eastAsia="Calibri" w:hAnsi="Arial" w:cs="Arial"/>
          <w:bCs/>
          <w:sz w:val="22"/>
          <w:szCs w:val="22"/>
          <w:lang w:val="es-ES_tradnl" w:eastAsia="x-none"/>
        </w:rPr>
        <w:t>iv</w:t>
      </w:r>
      <w:proofErr w:type="spellEnd"/>
      <w:r w:rsidRPr="00481068">
        <w:rPr>
          <w:rFonts w:ascii="Arial" w:eastAsia="Calibri" w:hAnsi="Arial" w:cs="Arial"/>
          <w:bCs/>
          <w:sz w:val="22"/>
          <w:szCs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81068">
        <w:rPr>
          <w:rFonts w:ascii="Arial" w:eastAsia="Calibri"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94A9740" w14:textId="77777777" w:rsidR="00524963" w:rsidRPr="00481068" w:rsidRDefault="00524963" w:rsidP="0051212F">
      <w:pPr>
        <w:spacing w:before="120" w:line="276" w:lineRule="auto"/>
        <w:ind w:firstLine="708"/>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 xml:space="preserve">En esta labor es importante tener en cuenta, como lo anotó la Corte Constitucional, en Sentencia C-1153 de noviembre 11 de 2005 que «si bien la limitación garantiza la </w:t>
      </w:r>
      <w:r w:rsidRPr="00481068">
        <w:rPr>
          <w:rFonts w:ascii="Arial" w:eastAsia="Calibri" w:hAnsi="Arial" w:cs="Arial"/>
          <w:bCs/>
          <w:sz w:val="22"/>
          <w:szCs w:val="22"/>
          <w:lang w:val="es-ES_tradnl" w:eastAsia="x-none"/>
        </w:rPr>
        <w:lastRenderedPageBreak/>
        <w:t>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81068">
        <w:rPr>
          <w:rFonts w:ascii="Arial" w:eastAsia="Calibri" w:hAnsi="Arial" w:cs="Arial"/>
          <w:sz w:val="22"/>
          <w:szCs w:val="22"/>
          <w:vertAlign w:val="superscript"/>
          <w:lang w:eastAsia="en-US"/>
        </w:rPr>
        <w:footnoteReference w:id="21"/>
      </w:r>
      <w:r w:rsidRPr="00481068">
        <w:rPr>
          <w:rFonts w:ascii="Arial" w:eastAsia="Calibri"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6D996DA8" w14:textId="4D7C8A02" w:rsidR="00524963" w:rsidRPr="00481068" w:rsidRDefault="00C54797" w:rsidP="00524963">
      <w:pPr>
        <w:spacing w:before="120" w:line="276" w:lineRule="auto"/>
        <w:ind w:firstLine="709"/>
        <w:jc w:val="both"/>
        <w:rPr>
          <w:rFonts w:ascii="Arial" w:eastAsia="Calibri" w:hAnsi="Arial" w:cs="Arial"/>
          <w:bCs/>
          <w:sz w:val="22"/>
          <w:szCs w:val="22"/>
          <w:lang w:val="es-ES_tradnl" w:eastAsia="x-none"/>
        </w:rPr>
      </w:pPr>
      <w:r w:rsidRPr="00481068">
        <w:rPr>
          <w:rFonts w:ascii="Arial" w:eastAsia="Calibri" w:hAnsi="Arial" w:cs="Arial"/>
          <w:bCs/>
          <w:sz w:val="22"/>
          <w:szCs w:val="22"/>
          <w:lang w:val="es-ES_tradnl" w:eastAsia="x-none"/>
        </w:rPr>
        <w:t>Por lo demás, e</w:t>
      </w:r>
      <w:r w:rsidR="00524963" w:rsidRPr="00481068">
        <w:rPr>
          <w:rFonts w:ascii="Arial" w:eastAsia="Calibri" w:hAnsi="Arial" w:cs="Arial"/>
          <w:bCs/>
          <w:sz w:val="22"/>
          <w:szCs w:val="22"/>
          <w:lang w:val="es-ES_tradnl" w:eastAsia="x-none"/>
        </w:rPr>
        <w:t>l artículo 33 de la Ley 996 de 2005 señala expresamente a los destinatarios de la prohibición, en el sentido de que son «todos los entes del Estado», expresión que contempla a los diferentes organismos o entidades autorizadas por la ley para suscribir contratos.</w:t>
      </w:r>
      <w:r w:rsidR="00524963" w:rsidRPr="00481068">
        <w:rPr>
          <w:rFonts w:ascii="Arial" w:eastAsia="Calibri" w:hAnsi="Arial" w:cs="Arial"/>
          <w:sz w:val="22"/>
          <w:szCs w:val="22"/>
          <w:lang w:val="es-ES_tradnl" w:eastAsia="en-US"/>
        </w:rPr>
        <w:t xml:space="preserve"> </w:t>
      </w:r>
      <w:r w:rsidR="00524963" w:rsidRPr="00481068">
        <w:rPr>
          <w:rFonts w:ascii="Arial" w:eastAsia="Calibri" w:hAnsi="Arial" w:cs="Arial"/>
          <w:bCs/>
          <w:sz w:val="22"/>
          <w:szCs w:val="22"/>
          <w:lang w:val="es-ES_tradnl" w:eastAsia="x-none"/>
        </w:rPr>
        <w:t>En efecto, como lo ha sostenido el Consejo de Estado, el vocablo «todos» utilizado por el legislador comprende</w:t>
      </w:r>
      <w:r w:rsidR="00524963" w:rsidRPr="00481068">
        <w:rPr>
          <w:rFonts w:ascii="Arial" w:eastAsia="Calibri" w:hAnsi="Arial" w:cs="Arial"/>
          <w:sz w:val="22"/>
          <w:szCs w:val="22"/>
          <w:lang w:val="es-ES_tradnl" w:eastAsia="en-US"/>
        </w:rPr>
        <w:t xml:space="preserve"> </w:t>
      </w:r>
      <w:r w:rsidR="00524963" w:rsidRPr="00481068">
        <w:rPr>
          <w:rFonts w:ascii="Arial" w:eastAsia="Calibri"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 fecha 20 de febrero de 2006, consideró que: </w:t>
      </w:r>
    </w:p>
    <w:p w14:paraId="3210A617" w14:textId="77777777" w:rsidR="00524963" w:rsidRPr="00481068" w:rsidRDefault="00524963" w:rsidP="00524963">
      <w:pPr>
        <w:spacing w:line="276" w:lineRule="auto"/>
        <w:ind w:firstLine="708"/>
        <w:jc w:val="both"/>
        <w:rPr>
          <w:rFonts w:ascii="Arial" w:eastAsia="Calibri" w:hAnsi="Arial" w:cs="Arial"/>
          <w:bCs/>
          <w:sz w:val="22"/>
          <w:szCs w:val="22"/>
          <w:lang w:val="es-ES_tradnl" w:eastAsia="x-none"/>
        </w:rPr>
      </w:pPr>
    </w:p>
    <w:p w14:paraId="43C09519" w14:textId="77777777" w:rsidR="00524963" w:rsidRPr="00481068" w:rsidRDefault="00524963" w:rsidP="00524963">
      <w:pPr>
        <w:ind w:left="708" w:right="709"/>
        <w:jc w:val="both"/>
        <w:rPr>
          <w:rFonts w:ascii="Arial" w:eastAsia="Calibri" w:hAnsi="Arial" w:cs="Arial"/>
          <w:bCs/>
          <w:sz w:val="21"/>
          <w:szCs w:val="21"/>
          <w:lang w:val="es-ES_tradnl" w:eastAsia="es-CO"/>
        </w:rPr>
      </w:pPr>
      <w:r w:rsidRPr="00481068">
        <w:rPr>
          <w:rFonts w:ascii="Arial" w:eastAsia="Calibri"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81068">
        <w:rPr>
          <w:rFonts w:ascii="Arial" w:eastAsia="Calibri" w:hAnsi="Arial" w:cs="Arial"/>
          <w:sz w:val="21"/>
          <w:szCs w:val="21"/>
          <w:vertAlign w:val="superscript"/>
          <w:lang w:eastAsia="en-US"/>
        </w:rPr>
        <w:footnoteReference w:id="22"/>
      </w:r>
      <w:r w:rsidRPr="00481068">
        <w:rPr>
          <w:rFonts w:ascii="Arial" w:eastAsia="Calibri" w:hAnsi="Arial" w:cs="Arial"/>
          <w:bCs/>
          <w:sz w:val="21"/>
          <w:szCs w:val="21"/>
          <w:lang w:val="es-ES_tradnl" w:eastAsia="x-none"/>
        </w:rPr>
        <w:t>.</w:t>
      </w:r>
      <w:r w:rsidRPr="00481068">
        <w:rPr>
          <w:rFonts w:ascii="Arial" w:eastAsia="Calibri" w:hAnsi="Arial" w:cs="Arial"/>
          <w:bCs/>
          <w:sz w:val="21"/>
          <w:szCs w:val="21"/>
          <w:lang w:val="es-ES_tradnl" w:eastAsia="es-CO"/>
        </w:rPr>
        <w:t xml:space="preserve"> </w:t>
      </w:r>
    </w:p>
    <w:p w14:paraId="4E24CAA1" w14:textId="77777777" w:rsidR="00524963" w:rsidRPr="00481068" w:rsidRDefault="00524963" w:rsidP="00524963">
      <w:pPr>
        <w:spacing w:line="276" w:lineRule="auto"/>
        <w:ind w:firstLine="708"/>
        <w:jc w:val="both"/>
        <w:rPr>
          <w:rFonts w:ascii="Arial" w:eastAsia="Calibri" w:hAnsi="Arial" w:cs="Arial"/>
          <w:bCs/>
          <w:sz w:val="22"/>
          <w:szCs w:val="22"/>
          <w:lang w:val="es-ES_tradnl" w:eastAsia="es-CO"/>
        </w:rPr>
      </w:pPr>
    </w:p>
    <w:p w14:paraId="2A6D1194" w14:textId="77777777" w:rsidR="0040083B" w:rsidRPr="00481068" w:rsidRDefault="0040083B" w:rsidP="0040083B">
      <w:pPr>
        <w:spacing w:line="276" w:lineRule="auto"/>
        <w:ind w:firstLine="708"/>
        <w:contextualSpacing/>
        <w:jc w:val="both"/>
        <w:rPr>
          <w:rFonts w:ascii="Arial" w:eastAsia="Calibri" w:hAnsi="Arial" w:cs="Arial"/>
          <w:sz w:val="22"/>
          <w:szCs w:val="22"/>
          <w:lang w:val="es-MX"/>
        </w:rPr>
      </w:pPr>
      <w:r w:rsidRPr="00481068">
        <w:rPr>
          <w:rFonts w:ascii="Arial" w:hAnsi="Arial" w:cs="Arial"/>
          <w:bCs/>
          <w:sz w:val="22"/>
          <w:szCs w:val="22"/>
          <w:lang w:val="es-MX" w:eastAsia="x-none"/>
        </w:rPr>
        <w:t xml:space="preserve">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w:t>
      </w:r>
      <w:r w:rsidRPr="00481068">
        <w:rPr>
          <w:rFonts w:ascii="Arial" w:hAnsi="Arial" w:cs="Arial"/>
          <w:bCs/>
          <w:sz w:val="22"/>
          <w:szCs w:val="22"/>
          <w:lang w:val="es-MX" w:eastAsia="x-none"/>
        </w:rPr>
        <w:lastRenderedPageBreak/>
        <w:t>de un convenio interadministrativo sea ordenada, para ambas partes, por el Legislador</w:t>
      </w:r>
      <w:bookmarkStart w:id="26" w:name="_Hlk75635823"/>
      <w:r w:rsidRPr="00481068">
        <w:rPr>
          <w:rFonts w:ascii="Arial" w:hAnsi="Arial" w:cs="Arial"/>
          <w:bCs/>
          <w:sz w:val="22"/>
          <w:szCs w:val="22"/>
          <w:lang w:val="es-MX" w:eastAsia="x-none"/>
        </w:rPr>
        <w:t>»</w:t>
      </w:r>
      <w:bookmarkStart w:id="27" w:name="_Hlk75758868"/>
      <w:bookmarkStart w:id="28" w:name="_Hlk75741220"/>
      <w:bookmarkEnd w:id="26"/>
      <w:r w:rsidRPr="00481068">
        <w:rPr>
          <w:rFonts w:ascii="Arial" w:eastAsia="Calibri" w:hAnsi="Arial" w:cs="Arial"/>
          <w:sz w:val="22"/>
          <w:szCs w:val="22"/>
          <w:vertAlign w:val="superscript"/>
          <w:lang w:val="es-MX"/>
        </w:rPr>
        <w:footnoteReference w:id="23"/>
      </w:r>
      <w:bookmarkEnd w:id="27"/>
      <w:bookmarkEnd w:id="28"/>
      <w:r w:rsidRPr="00481068">
        <w:rPr>
          <w:rFonts w:ascii="Arial" w:hAnsi="Arial" w:cs="Arial"/>
          <w:bCs/>
          <w:sz w:val="22"/>
          <w:szCs w:val="22"/>
          <w:lang w:val="es-MX" w:eastAsia="x-none"/>
        </w:rPr>
        <w:t>.</w:t>
      </w:r>
      <w:r w:rsidRPr="00481068">
        <w:rPr>
          <w:rFonts w:ascii="Arial" w:eastAsia="Calibri" w:hAnsi="Arial" w:cs="Arial"/>
          <w:sz w:val="22"/>
          <w:szCs w:val="22"/>
          <w:lang w:val="es-MX"/>
        </w:rPr>
        <w:t xml:space="preserve"> Sin embargo, debe precisarse el siguiente aspecto que distinguió la Sala de Consulta y Servicio Civil:</w:t>
      </w:r>
    </w:p>
    <w:p w14:paraId="354813F0" w14:textId="77777777" w:rsidR="0040083B" w:rsidRPr="00481068" w:rsidRDefault="0040083B" w:rsidP="0040083B">
      <w:pPr>
        <w:spacing w:line="276" w:lineRule="auto"/>
        <w:contextualSpacing/>
        <w:jc w:val="both"/>
        <w:rPr>
          <w:rFonts w:ascii="Arial" w:eastAsia="Calibri" w:hAnsi="Arial" w:cs="Arial"/>
          <w:sz w:val="22"/>
          <w:szCs w:val="22"/>
          <w:lang w:val="es-MX"/>
        </w:rPr>
      </w:pPr>
    </w:p>
    <w:p w14:paraId="2931A85E" w14:textId="77777777" w:rsidR="0040083B" w:rsidRPr="00481068" w:rsidRDefault="0040083B" w:rsidP="0040083B">
      <w:pPr>
        <w:ind w:left="708" w:right="709"/>
        <w:contextualSpacing/>
        <w:jc w:val="both"/>
        <w:rPr>
          <w:rFonts w:ascii="Arial" w:eastAsia="Calibri" w:hAnsi="Arial" w:cs="Arial"/>
          <w:sz w:val="21"/>
          <w:szCs w:val="21"/>
          <w:lang w:val="es-MX"/>
        </w:rPr>
      </w:pPr>
      <w:bookmarkStart w:id="30" w:name="_Hlk75811446"/>
      <w:r w:rsidRPr="00481068">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30"/>
      <w:r w:rsidRPr="00481068">
        <w:rPr>
          <w:rFonts w:ascii="Arial" w:eastAsia="Calibri" w:hAnsi="Arial" w:cs="Arial"/>
          <w:vertAlign w:val="superscript"/>
          <w:lang w:val="es-MX"/>
        </w:rPr>
        <w:footnoteReference w:id="24"/>
      </w:r>
      <w:r w:rsidRPr="00481068">
        <w:rPr>
          <w:rFonts w:ascii="Arial" w:hAnsi="Arial" w:cs="Arial"/>
          <w:bCs/>
          <w:lang w:val="es-MX" w:eastAsia="x-none"/>
        </w:rPr>
        <w:t>.</w:t>
      </w:r>
    </w:p>
    <w:p w14:paraId="7114F13E" w14:textId="77777777" w:rsidR="0040083B" w:rsidRPr="00481068" w:rsidRDefault="0040083B" w:rsidP="0040083B">
      <w:pPr>
        <w:spacing w:line="276" w:lineRule="auto"/>
        <w:contextualSpacing/>
        <w:jc w:val="both"/>
        <w:rPr>
          <w:rFonts w:ascii="Arial" w:eastAsia="Calibri" w:hAnsi="Arial" w:cs="Arial"/>
          <w:sz w:val="22"/>
          <w:szCs w:val="22"/>
          <w:lang w:val="es-MX"/>
        </w:rPr>
      </w:pPr>
    </w:p>
    <w:p w14:paraId="20BDBFA0" w14:textId="32F80199" w:rsidR="0040083B" w:rsidRPr="00481068" w:rsidRDefault="0040083B" w:rsidP="00AF5B0E">
      <w:pPr>
        <w:spacing w:after="120" w:line="276" w:lineRule="auto"/>
        <w:ind w:firstLine="709"/>
        <w:jc w:val="both"/>
        <w:rPr>
          <w:rFonts w:ascii="Arial" w:hAnsi="Arial" w:cs="Arial"/>
          <w:bCs/>
          <w:sz w:val="22"/>
          <w:szCs w:val="22"/>
          <w:lang w:val="es-MX" w:eastAsia="x-none"/>
        </w:rPr>
      </w:pPr>
      <w:r w:rsidRPr="00481068">
        <w:rPr>
          <w:rFonts w:ascii="Arial" w:eastAsia="Calibri" w:hAnsi="Arial" w:cs="Arial"/>
          <w:sz w:val="22"/>
          <w:szCs w:val="22"/>
          <w:lang w:val="es-MX"/>
        </w:rPr>
        <w:t>Aplicando este razonamiento,</w:t>
      </w:r>
      <w:bookmarkStart w:id="31" w:name="_Hlk75811096"/>
      <w:r w:rsidRPr="00481068">
        <w:rPr>
          <w:rFonts w:ascii="Arial" w:eastAsia="Calibri" w:hAnsi="Arial" w:cs="Arial"/>
          <w:sz w:val="22"/>
          <w:szCs w:val="22"/>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31"/>
      <w:r w:rsidRPr="00481068">
        <w:rPr>
          <w:rFonts w:ascii="Arial" w:eastAsia="Calibri" w:hAnsi="Arial" w:cs="Arial"/>
          <w:sz w:val="22"/>
          <w:szCs w:val="22"/>
          <w:lang w:val="es-MX"/>
        </w:rPr>
        <w:t>»</w:t>
      </w:r>
      <w:r w:rsidRPr="00481068">
        <w:rPr>
          <w:rFonts w:ascii="Arial" w:eastAsia="Calibri" w:hAnsi="Arial" w:cs="Arial"/>
          <w:sz w:val="22"/>
          <w:szCs w:val="22"/>
          <w:vertAlign w:val="superscript"/>
          <w:lang w:val="es-MX"/>
        </w:rPr>
        <w:t xml:space="preserve"> </w:t>
      </w:r>
      <w:r w:rsidRPr="00481068">
        <w:rPr>
          <w:rFonts w:ascii="Arial" w:eastAsia="Calibri" w:hAnsi="Arial" w:cs="Arial"/>
          <w:sz w:val="22"/>
          <w:szCs w:val="22"/>
          <w:vertAlign w:val="superscript"/>
          <w:lang w:val="es-MX"/>
        </w:rPr>
        <w:footnoteReference w:id="25"/>
      </w:r>
      <w:r w:rsidRPr="00481068">
        <w:rPr>
          <w:rFonts w:ascii="Arial" w:eastAsia="Calibri" w:hAnsi="Arial" w:cs="Arial"/>
          <w:sz w:val="22"/>
          <w:szCs w:val="22"/>
          <w:lang w:val="es-MX"/>
        </w:rPr>
        <w:t>.</w:t>
      </w:r>
    </w:p>
    <w:p w14:paraId="747E6790" w14:textId="3DC73C34" w:rsidR="00524963" w:rsidRPr="00481068" w:rsidRDefault="00524963" w:rsidP="00524963">
      <w:pPr>
        <w:spacing w:line="276" w:lineRule="auto"/>
        <w:ind w:firstLine="708"/>
        <w:jc w:val="both"/>
        <w:rPr>
          <w:rFonts w:ascii="Arial" w:eastAsia="Calibri" w:hAnsi="Arial" w:cs="Arial"/>
          <w:bCs/>
          <w:sz w:val="22"/>
          <w:szCs w:val="22"/>
          <w:lang w:val="es-ES_tradnl" w:eastAsia="x-none"/>
        </w:rPr>
      </w:pPr>
      <w:r w:rsidRPr="00481068">
        <w:rPr>
          <w:rFonts w:ascii="Arial" w:eastAsia="Calibri" w:hAnsi="Arial" w:cs="Arial"/>
          <w:sz w:val="22"/>
          <w:szCs w:val="22"/>
          <w:lang w:val="es-ES_tradnl" w:eastAsia="en-US"/>
        </w:rPr>
        <w:t xml:space="preserve">Por lo tanto, la restricción prevista en la Ley 996 de 2005, </w:t>
      </w:r>
      <w:r w:rsidRPr="00481068">
        <w:rPr>
          <w:rFonts w:ascii="Arial" w:eastAsia="Calibri" w:hAnsi="Arial"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w:t>
      </w:r>
      <w:r w:rsidRPr="00481068">
        <w:rPr>
          <w:rFonts w:ascii="Arial" w:eastAsia="Calibri" w:hAnsi="Arial" w:cs="Arial"/>
          <w:bCs/>
          <w:sz w:val="22"/>
          <w:szCs w:val="22"/>
          <w:lang w:val="es-ES_tradnl" w:eastAsia="x-none"/>
        </w:rPr>
        <w:lastRenderedPageBreak/>
        <w:t xml:space="preserve">del Estado utilicen la contratación con fines políticos, esto es, con la intención de influir a los electores y alterar la voluntad popular en las contiendas electorales, se puede presentar tanto en la contratación regulada por la Ley 80 de 1993 como en la regida por </w:t>
      </w:r>
      <w:r w:rsidR="00F850C0" w:rsidRPr="00481068">
        <w:rPr>
          <w:rFonts w:ascii="Arial" w:eastAsia="Calibri" w:hAnsi="Arial" w:cs="Arial"/>
          <w:bCs/>
          <w:sz w:val="22"/>
          <w:szCs w:val="22"/>
          <w:lang w:val="es-ES_tradnl" w:eastAsia="x-none"/>
        </w:rPr>
        <w:t>el derecho privado</w:t>
      </w:r>
      <w:r w:rsidRPr="00481068">
        <w:rPr>
          <w:rFonts w:ascii="Arial" w:eastAsia="Calibri" w:hAnsi="Arial" w:cs="Arial"/>
          <w:bCs/>
          <w:sz w:val="22"/>
          <w:szCs w:val="22"/>
          <w:lang w:val="es-ES_tradnl" w:eastAsia="x-none"/>
        </w:rPr>
        <w:t>.</w:t>
      </w:r>
    </w:p>
    <w:p w14:paraId="305800CA" w14:textId="77777777" w:rsidR="00524963" w:rsidRPr="00481068" w:rsidRDefault="00524963" w:rsidP="00524963">
      <w:pPr>
        <w:tabs>
          <w:tab w:val="left" w:pos="426"/>
        </w:tabs>
        <w:spacing w:line="276" w:lineRule="auto"/>
        <w:jc w:val="both"/>
        <w:rPr>
          <w:rFonts w:ascii="Arial" w:eastAsia="Calibri" w:hAnsi="Arial" w:cs="Arial"/>
          <w:bCs/>
          <w:sz w:val="22"/>
          <w:szCs w:val="22"/>
          <w:lang w:val="es-ES" w:eastAsia="es-CO"/>
        </w:rPr>
      </w:pPr>
    </w:p>
    <w:p w14:paraId="657F10AF" w14:textId="6BC2E170" w:rsidR="001428C2" w:rsidRPr="00481068" w:rsidRDefault="00524963" w:rsidP="00037198">
      <w:pPr>
        <w:spacing w:line="276" w:lineRule="auto"/>
        <w:jc w:val="both"/>
        <w:rPr>
          <w:rFonts w:ascii="Arial" w:eastAsia="Calibri" w:hAnsi="Arial" w:cs="Arial"/>
          <w:sz w:val="22"/>
          <w:szCs w:val="22"/>
          <w:lang w:val="es-MX"/>
        </w:rPr>
      </w:pPr>
      <w:r w:rsidRPr="00481068">
        <w:rPr>
          <w:rFonts w:ascii="Arial" w:eastAsia="Calibri" w:hAnsi="Arial" w:cs="Arial"/>
          <w:b/>
          <w:bCs/>
          <w:color w:val="000000"/>
          <w:sz w:val="22"/>
          <w:szCs w:val="22"/>
          <w:lang w:eastAsia="en-US"/>
        </w:rPr>
        <w:t xml:space="preserve">2.3. </w:t>
      </w:r>
      <w:r w:rsidR="00037198" w:rsidRPr="00481068">
        <w:rPr>
          <w:rFonts w:ascii="Arial" w:hAnsi="Arial" w:cs="Arial"/>
          <w:b/>
          <w:bCs/>
          <w:color w:val="000000" w:themeColor="text1"/>
          <w:sz w:val="22"/>
          <w:szCs w:val="22"/>
        </w:rPr>
        <w:t>Contratos con organismos internacionales y restricciones de la Ley de Garantías para la contratación directa</w:t>
      </w:r>
    </w:p>
    <w:p w14:paraId="2FCF9A58" w14:textId="77777777" w:rsidR="00037198" w:rsidRPr="00481068" w:rsidRDefault="00037198" w:rsidP="001428C2">
      <w:pPr>
        <w:snapToGrid w:val="0"/>
        <w:spacing w:line="276" w:lineRule="auto"/>
        <w:jc w:val="both"/>
        <w:rPr>
          <w:rFonts w:ascii="Arial" w:eastAsia="Calibri" w:hAnsi="Arial" w:cs="Arial"/>
          <w:bCs/>
          <w:sz w:val="22"/>
          <w:szCs w:val="22"/>
          <w:lang w:val="es-MX"/>
        </w:rPr>
      </w:pPr>
    </w:p>
    <w:p w14:paraId="08BDBB1B" w14:textId="77777777" w:rsidR="00037198" w:rsidRPr="00481068" w:rsidRDefault="00037198">
      <w:pPr>
        <w:spacing w:after="120" w:line="276" w:lineRule="auto"/>
        <w:jc w:val="both"/>
        <w:rPr>
          <w:rFonts w:ascii="Arial" w:hAnsi="Arial" w:cs="Arial"/>
          <w:sz w:val="22"/>
          <w:szCs w:val="22"/>
          <w:lang w:val="es-ES"/>
        </w:rPr>
      </w:pPr>
      <w:bookmarkStart w:id="32" w:name="_Hlk99449041"/>
      <w:r w:rsidRPr="00481068">
        <w:rPr>
          <w:rFonts w:ascii="Arial" w:hAnsi="Arial" w:cs="Arial"/>
          <w:sz w:val="22"/>
          <w:szCs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481068">
        <w:rPr>
          <w:rStyle w:val="Refdenotaalpie"/>
          <w:rFonts w:ascii="Arial" w:hAnsi="Arial" w:cs="Arial"/>
          <w:sz w:val="22"/>
          <w:szCs w:val="22"/>
        </w:rPr>
        <w:footnoteReference w:id="26"/>
      </w:r>
      <w:r w:rsidRPr="00481068">
        <w:rPr>
          <w:rFonts w:ascii="Arial" w:hAnsi="Arial" w:cs="Arial"/>
          <w:sz w:val="22"/>
          <w:szCs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604646EF" w14:textId="36B9A4EE" w:rsidR="00037198" w:rsidRPr="00481068" w:rsidRDefault="00037198" w:rsidP="00037198">
      <w:pPr>
        <w:pStyle w:val="Prrafodelista"/>
        <w:snapToGrid w:val="0"/>
        <w:spacing w:before="120" w:after="120" w:line="276" w:lineRule="auto"/>
        <w:ind w:left="0" w:firstLine="709"/>
        <w:jc w:val="both"/>
        <w:rPr>
          <w:rFonts w:ascii="Arial" w:eastAsia="Calibri" w:hAnsi="Arial" w:cs="Arial"/>
          <w:sz w:val="22"/>
        </w:rPr>
      </w:pPr>
      <w:bookmarkStart w:id="33" w:name="_Hlk99449078"/>
      <w:bookmarkEnd w:id="32"/>
      <w:r w:rsidRPr="00481068">
        <w:rPr>
          <w:rFonts w:ascii="Arial" w:eastAsia="Calibri" w:hAnsi="Arial" w:cs="Arial"/>
          <w:sz w:val="22"/>
        </w:rPr>
        <w:t>El artículo 13 de la Ley 80 de 1993 regula de forma general el régimen aplicable a los contratos que celebren las entidades referidas en el artículo segundo del estatuto</w:t>
      </w:r>
      <w:r w:rsidRPr="00481068">
        <w:rPr>
          <w:rStyle w:val="Refdenotaalpie"/>
          <w:rFonts w:ascii="Arial" w:hAnsi="Arial" w:cs="Arial"/>
          <w:sz w:val="22"/>
        </w:rPr>
        <w:footnoteReference w:id="27"/>
      </w:r>
      <w:r w:rsidRPr="00481068">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bookmarkEnd w:id="33"/>
    </w:p>
    <w:p w14:paraId="0AF9026D" w14:textId="77777777" w:rsidR="00037198" w:rsidRPr="00481068" w:rsidRDefault="00037198" w:rsidP="00AF5B0E">
      <w:pPr>
        <w:pStyle w:val="Prrafodelista"/>
        <w:snapToGrid w:val="0"/>
        <w:spacing w:before="120" w:after="120" w:line="276" w:lineRule="auto"/>
        <w:ind w:left="0" w:firstLine="709"/>
        <w:jc w:val="both"/>
        <w:rPr>
          <w:rFonts w:ascii="Arial" w:eastAsia="Calibri" w:hAnsi="Arial" w:cs="Arial"/>
          <w:sz w:val="12"/>
          <w:szCs w:val="12"/>
        </w:rPr>
      </w:pPr>
    </w:p>
    <w:p w14:paraId="031C21A9" w14:textId="77777777" w:rsidR="00037198" w:rsidRPr="00481068" w:rsidRDefault="00037198" w:rsidP="00AF5B0E">
      <w:pPr>
        <w:pStyle w:val="Prrafodelista"/>
        <w:snapToGrid w:val="0"/>
        <w:spacing w:line="276" w:lineRule="auto"/>
        <w:ind w:left="0" w:firstLine="709"/>
        <w:jc w:val="both"/>
        <w:rPr>
          <w:rFonts w:ascii="Arial" w:eastAsia="Calibri" w:hAnsi="Arial" w:cs="Arial"/>
          <w:sz w:val="22"/>
        </w:rPr>
      </w:pPr>
      <w:r w:rsidRPr="00481068">
        <w:rPr>
          <w:rFonts w:ascii="Arial" w:eastAsia="Calibri" w:hAnsi="Arial" w:cs="Arial"/>
          <w:sz w:val="22"/>
        </w:rPr>
        <w:t xml:space="preserve">Nótese cómo el artículo citado permite que las entidades estatales no se rijan siempre por la normativa colombiana, permitiendo, en algunos casos, la aplicación de la ley extranjera. Además de los supuestos anteriores, el Consejo de Estado explica, en </w:t>
      </w:r>
      <w:r w:rsidRPr="00481068">
        <w:rPr>
          <w:rFonts w:ascii="Arial" w:eastAsia="Calibri" w:hAnsi="Arial" w:cs="Arial"/>
          <w:sz w:val="22"/>
        </w:rPr>
        <w:lastRenderedPageBreak/>
        <w:t>general, los siguientes escenarios, en los cuales el régimen jurídico puede ser uno diferente al prescrito en el derecho nacional, pese a tratarse de contratos sometidos, en principio, a la Ley 80 de 1993:</w:t>
      </w:r>
    </w:p>
    <w:p w14:paraId="6943F3E9" w14:textId="77777777" w:rsidR="00037198" w:rsidRPr="00481068" w:rsidRDefault="00037198" w:rsidP="00AF5B0E">
      <w:pPr>
        <w:pStyle w:val="Prrafodelista"/>
        <w:snapToGrid w:val="0"/>
        <w:spacing w:line="276" w:lineRule="auto"/>
        <w:ind w:left="0" w:firstLine="709"/>
        <w:jc w:val="both"/>
        <w:rPr>
          <w:rFonts w:ascii="Arial" w:eastAsia="Calibri" w:hAnsi="Arial" w:cs="Arial"/>
          <w:sz w:val="22"/>
        </w:rPr>
      </w:pPr>
    </w:p>
    <w:p w14:paraId="6EF10F3B" w14:textId="77777777" w:rsidR="00037198" w:rsidRPr="00481068" w:rsidRDefault="00037198" w:rsidP="00AF5B0E">
      <w:pPr>
        <w:pStyle w:val="Prrafodelista"/>
        <w:ind w:left="709" w:right="709"/>
        <w:jc w:val="both"/>
        <w:rPr>
          <w:rFonts w:ascii="Arial" w:eastAsia="MS Mincho" w:hAnsi="Arial" w:cs="Arial"/>
          <w:sz w:val="21"/>
          <w:szCs w:val="21"/>
          <w:lang w:eastAsia="es-ES"/>
        </w:rPr>
      </w:pPr>
      <w:r w:rsidRPr="00481068">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481068">
        <w:rPr>
          <w:rFonts w:ascii="Arial" w:eastAsia="MS Mincho" w:hAnsi="Arial" w:cs="Arial"/>
          <w:sz w:val="21"/>
          <w:szCs w:val="21"/>
          <w:lang w:eastAsia="es-ES"/>
        </w:rPr>
        <w:t>ii</w:t>
      </w:r>
      <w:proofErr w:type="spellEnd"/>
      <w:r w:rsidRPr="00481068">
        <w:rPr>
          <w:rFonts w:ascii="Arial" w:eastAsia="MS Mincho" w:hAnsi="Arial"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481068">
        <w:rPr>
          <w:rFonts w:ascii="Arial" w:eastAsia="MS Mincho" w:hAnsi="Arial" w:cs="Arial"/>
          <w:sz w:val="21"/>
          <w:szCs w:val="21"/>
          <w:lang w:eastAsia="es-ES"/>
        </w:rPr>
        <w:t>iii</w:t>
      </w:r>
      <w:proofErr w:type="spellEnd"/>
      <w:r w:rsidRPr="00481068">
        <w:rPr>
          <w:rFonts w:ascii="Arial" w:eastAsia="MS Mincho" w:hAnsi="Arial" w:cs="Arial"/>
          <w:sz w:val="21"/>
          <w:szCs w:val="21"/>
          <w:lang w:eastAsia="es-ES"/>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481068">
        <w:rPr>
          <w:rStyle w:val="Refdenotaalpie"/>
          <w:rFonts w:ascii="Arial" w:hAnsi="Arial" w:cs="Arial"/>
          <w:sz w:val="21"/>
          <w:szCs w:val="21"/>
        </w:rPr>
        <w:footnoteReference w:id="28"/>
      </w:r>
      <w:r w:rsidRPr="00481068">
        <w:rPr>
          <w:rFonts w:ascii="Arial" w:eastAsia="MS Mincho" w:hAnsi="Arial" w:cs="Arial"/>
          <w:sz w:val="21"/>
          <w:szCs w:val="21"/>
          <w:lang w:eastAsia="es-ES"/>
        </w:rPr>
        <w:t xml:space="preserve">. </w:t>
      </w:r>
    </w:p>
    <w:p w14:paraId="30E23642" w14:textId="77777777" w:rsidR="00037198" w:rsidRPr="00481068" w:rsidRDefault="00037198" w:rsidP="00037198">
      <w:pPr>
        <w:pStyle w:val="Prrafodelista"/>
        <w:spacing w:before="120"/>
        <w:ind w:left="851" w:right="709"/>
        <w:rPr>
          <w:rFonts w:ascii="Arial" w:eastAsia="Calibri" w:hAnsi="Arial" w:cs="Arial"/>
          <w:sz w:val="22"/>
        </w:rPr>
      </w:pPr>
    </w:p>
    <w:p w14:paraId="71484423" w14:textId="77777777" w:rsidR="00037198" w:rsidRPr="00481068" w:rsidRDefault="00037198" w:rsidP="00037198">
      <w:pPr>
        <w:spacing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481068">
        <w:rPr>
          <w:rStyle w:val="Refdenotaalpie"/>
          <w:rFonts w:ascii="Arial" w:eastAsia="Calibri" w:hAnsi="Arial" w:cs="Arial"/>
          <w:sz w:val="22"/>
          <w:szCs w:val="22"/>
        </w:rPr>
        <w:footnoteReference w:id="29"/>
      </w:r>
      <w:r w:rsidRPr="00481068">
        <w:rPr>
          <w:rFonts w:ascii="Arial" w:eastAsia="Calibri" w:hAnsi="Arial" w:cs="Arial"/>
          <w:sz w:val="22"/>
          <w:szCs w:val="22"/>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7C6ADB76" w14:textId="77777777" w:rsidR="00037198" w:rsidRPr="00481068" w:rsidRDefault="00037198" w:rsidP="00037198">
      <w:pPr>
        <w:spacing w:before="120" w:after="120"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Para comprender el alcance del régimen aplicable a los contratos o convenios que se suscriban con organismos internacionales, de acuerdo con la financiación de estos, resulta necesario analizar el artículo 20 de la Ley 1150 de 2007</w:t>
      </w:r>
      <w:r w:rsidRPr="00481068">
        <w:rPr>
          <w:rStyle w:val="Refdenotaalpie"/>
          <w:rFonts w:ascii="Arial" w:eastAsia="Calibri" w:hAnsi="Arial" w:cs="Arial"/>
          <w:sz w:val="22"/>
          <w:szCs w:val="22"/>
        </w:rPr>
        <w:footnoteReference w:id="30"/>
      </w:r>
      <w:r w:rsidRPr="00481068">
        <w:rPr>
          <w:rFonts w:ascii="Arial" w:eastAsia="Calibri" w:hAnsi="Arial" w:cs="Arial"/>
          <w:sz w:val="22"/>
          <w:szCs w:val="22"/>
          <w:lang w:val="es-ES"/>
        </w:rPr>
        <w:t xml:space="preserve">. De conformidad con este </w:t>
      </w:r>
      <w:r w:rsidRPr="00481068">
        <w:rPr>
          <w:rFonts w:ascii="Arial" w:eastAsia="Calibri" w:hAnsi="Arial" w:cs="Arial"/>
          <w:sz w:val="22"/>
          <w:szCs w:val="22"/>
          <w:lang w:val="es-ES"/>
        </w:rPr>
        <w:lastRenderedPageBreak/>
        <w:t xml:space="preserve">artículo, en lo que tiene que ver con el </w:t>
      </w:r>
      <w:r w:rsidRPr="00481068">
        <w:rPr>
          <w:rFonts w:ascii="Arial" w:eastAsia="Calibri" w:hAnsi="Arial" w:cs="Arial"/>
          <w:i/>
          <w:iCs/>
          <w:sz w:val="22"/>
          <w:szCs w:val="22"/>
          <w:lang w:val="es-ES"/>
        </w:rPr>
        <w:t>inciso primero</w:t>
      </w:r>
      <w:r w:rsidRPr="00481068">
        <w:rPr>
          <w:rFonts w:ascii="Arial" w:eastAsia="Calibri" w:hAnsi="Arial" w:cs="Arial"/>
          <w:sz w:val="22"/>
          <w:szCs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14:paraId="2A723BAC" w14:textId="77777777" w:rsidR="00037198" w:rsidRPr="00481068" w:rsidRDefault="00037198" w:rsidP="00037198">
      <w:pPr>
        <w:spacing w:before="120"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 xml:space="preserve">Por otro lado, la norma establece un segundo criterio, en el </w:t>
      </w:r>
      <w:r w:rsidRPr="00481068">
        <w:rPr>
          <w:rFonts w:ascii="Arial" w:eastAsia="Calibri" w:hAnsi="Arial" w:cs="Arial"/>
          <w:i/>
          <w:iCs/>
          <w:sz w:val="22"/>
          <w:szCs w:val="22"/>
          <w:lang w:val="es-ES"/>
        </w:rPr>
        <w:t>inciso segundo,</w:t>
      </w:r>
      <w:r w:rsidRPr="00481068">
        <w:rPr>
          <w:rFonts w:ascii="Arial" w:eastAsia="Calibri" w:hAnsi="Arial" w:cs="Arial"/>
          <w:sz w:val="22"/>
          <w:szCs w:val="22"/>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En tal sentido, los otros supuestos en que es posible someter el régimen contractual a los reglamentos de los organismos internacionales son los siguientes: </w:t>
      </w:r>
    </w:p>
    <w:p w14:paraId="7B680E6C" w14:textId="77777777" w:rsidR="00037198" w:rsidRPr="00481068" w:rsidRDefault="00037198" w:rsidP="00037198">
      <w:pPr>
        <w:spacing w:line="276" w:lineRule="auto"/>
        <w:ind w:firstLine="709"/>
        <w:jc w:val="both"/>
        <w:rPr>
          <w:rFonts w:ascii="Arial" w:eastAsia="Calibri" w:hAnsi="Arial" w:cs="Arial"/>
          <w:sz w:val="22"/>
          <w:szCs w:val="22"/>
          <w:lang w:val="es-ES"/>
        </w:rPr>
      </w:pPr>
    </w:p>
    <w:p w14:paraId="61FE3660" w14:textId="77777777" w:rsidR="00037198" w:rsidRPr="00481068" w:rsidRDefault="00037198" w:rsidP="00037198">
      <w:pPr>
        <w:pStyle w:val="Prrafodelista"/>
        <w:numPr>
          <w:ilvl w:val="0"/>
          <w:numId w:val="40"/>
        </w:numPr>
        <w:spacing w:after="200" w:line="276" w:lineRule="auto"/>
        <w:ind w:left="1134" w:right="709" w:hanging="141"/>
        <w:jc w:val="both"/>
        <w:rPr>
          <w:rFonts w:ascii="Arial" w:eastAsia="Calibri" w:hAnsi="Arial" w:cs="Arial"/>
          <w:sz w:val="21"/>
          <w:szCs w:val="21"/>
        </w:rPr>
      </w:pPr>
      <w:r w:rsidRPr="00481068">
        <w:rPr>
          <w:rFonts w:ascii="Arial" w:eastAsia="Calibri" w:hAnsi="Arial" w:cs="Arial"/>
          <w:sz w:val="21"/>
          <w:szCs w:val="21"/>
        </w:rPr>
        <w:t xml:space="preserve">Desarrollo de programas de promoción, prevención y atención en salud. </w:t>
      </w:r>
    </w:p>
    <w:p w14:paraId="7078E580"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necesarios para la operación de la OIT.</w:t>
      </w:r>
    </w:p>
    <w:p w14:paraId="69095D87"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que se ejecuten en desarrollo del sistema integrado de monitoreo de cultivos ilícitos.</w:t>
      </w:r>
    </w:p>
    <w:p w14:paraId="2755F1F7"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la operación del programa mundial de alimentos.</w:t>
      </w:r>
    </w:p>
    <w:p w14:paraId="2730561E"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1"/>
          <w:szCs w:val="21"/>
        </w:rPr>
      </w:pPr>
      <w:r w:rsidRPr="00481068">
        <w:rPr>
          <w:rFonts w:ascii="Arial" w:hAnsi="Arial" w:cs="Arial"/>
          <w:sz w:val="21"/>
          <w:szCs w:val="21"/>
        </w:rPr>
        <w:t>Contratos y convenios para el desarrollo de programas de apoyo educativo a población desplazada y vulnerable adelantados por la Unesco y la OIM.</w:t>
      </w:r>
    </w:p>
    <w:p w14:paraId="04647805" w14:textId="77777777" w:rsidR="00037198" w:rsidRPr="00481068" w:rsidRDefault="00037198" w:rsidP="00037198">
      <w:pPr>
        <w:pStyle w:val="Prrafodelista"/>
        <w:numPr>
          <w:ilvl w:val="0"/>
          <w:numId w:val="40"/>
        </w:numPr>
        <w:spacing w:line="276" w:lineRule="auto"/>
        <w:ind w:left="1134" w:right="709" w:hanging="141"/>
        <w:jc w:val="both"/>
        <w:rPr>
          <w:rFonts w:ascii="Arial" w:hAnsi="Arial" w:cs="Arial"/>
          <w:sz w:val="22"/>
        </w:rPr>
      </w:pPr>
      <w:r w:rsidRPr="00481068">
        <w:rPr>
          <w:rFonts w:ascii="Arial" w:hAnsi="Arial" w:cs="Arial"/>
          <w:sz w:val="21"/>
          <w:szCs w:val="21"/>
        </w:rPr>
        <w:lastRenderedPageBreak/>
        <w:t>Los contratos o convenios financiados con fondos de los organismos multilaterales de crédito y entes gubernamentales extranjeros.</w:t>
      </w:r>
      <w:r w:rsidRPr="00481068">
        <w:rPr>
          <w:rFonts w:ascii="Arial" w:hAnsi="Arial" w:cs="Arial"/>
          <w:sz w:val="22"/>
        </w:rPr>
        <w:t xml:space="preserve"> </w:t>
      </w:r>
    </w:p>
    <w:p w14:paraId="1D5D175C" w14:textId="77777777" w:rsidR="00037198" w:rsidRPr="00481068" w:rsidRDefault="00037198" w:rsidP="00037198">
      <w:pPr>
        <w:pStyle w:val="Prrafodelista"/>
        <w:ind w:left="1429"/>
        <w:rPr>
          <w:rFonts w:ascii="Arial" w:hAnsi="Arial" w:cs="Arial"/>
          <w:sz w:val="22"/>
        </w:rPr>
      </w:pPr>
    </w:p>
    <w:p w14:paraId="1755D919" w14:textId="77777777" w:rsidR="00037198" w:rsidRPr="00481068" w:rsidRDefault="00037198" w:rsidP="00037198">
      <w:pPr>
        <w:spacing w:line="276" w:lineRule="auto"/>
        <w:ind w:firstLine="709"/>
        <w:jc w:val="both"/>
        <w:rPr>
          <w:rFonts w:ascii="Arial" w:eastAsia="Calibri" w:hAnsi="Arial" w:cs="Arial"/>
          <w:sz w:val="22"/>
          <w:szCs w:val="22"/>
          <w:lang w:val="es-ES"/>
        </w:rPr>
      </w:pPr>
      <w:r w:rsidRPr="00481068">
        <w:rPr>
          <w:rFonts w:ascii="Arial" w:eastAsia="Calibri" w:hAnsi="Arial" w:cs="Arial"/>
          <w:sz w:val="22"/>
          <w:szCs w:val="22"/>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14:paraId="53766228" w14:textId="77777777" w:rsidR="00037198" w:rsidRPr="00481068" w:rsidRDefault="00037198" w:rsidP="00037198">
      <w:pPr>
        <w:spacing w:line="276" w:lineRule="auto"/>
        <w:ind w:firstLine="709"/>
        <w:jc w:val="both"/>
        <w:rPr>
          <w:rFonts w:ascii="Arial" w:eastAsia="Calibri" w:hAnsi="Arial" w:cs="Arial"/>
          <w:sz w:val="22"/>
          <w:szCs w:val="22"/>
          <w:lang w:val="es-ES"/>
        </w:rPr>
      </w:pPr>
    </w:p>
    <w:p w14:paraId="7FA07CB5" w14:textId="77777777" w:rsidR="00037198" w:rsidRPr="00481068" w:rsidRDefault="00037198" w:rsidP="00037198">
      <w:pPr>
        <w:ind w:left="709" w:right="709"/>
        <w:jc w:val="both"/>
        <w:rPr>
          <w:rFonts w:ascii="Arial" w:eastAsia="Calibri" w:hAnsi="Arial" w:cs="Arial"/>
          <w:sz w:val="21"/>
          <w:szCs w:val="21"/>
          <w:lang w:val="es-ES"/>
        </w:rPr>
      </w:pPr>
      <w:r w:rsidRPr="00481068">
        <w:rPr>
          <w:rFonts w:ascii="Arial" w:eastAsia="Calibri" w:hAnsi="Arial"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14:paraId="4ADD2656" w14:textId="77777777" w:rsidR="00037198" w:rsidRPr="00481068" w:rsidRDefault="00037198" w:rsidP="00037198">
      <w:pPr>
        <w:ind w:left="709" w:right="709"/>
        <w:jc w:val="both"/>
        <w:rPr>
          <w:rFonts w:ascii="Arial" w:eastAsia="Calibri" w:hAnsi="Arial" w:cs="Arial"/>
          <w:sz w:val="22"/>
          <w:szCs w:val="22"/>
          <w:lang w:val="es-ES"/>
        </w:rPr>
      </w:pPr>
    </w:p>
    <w:p w14:paraId="21149161" w14:textId="6AA8E373" w:rsidR="00037198" w:rsidRPr="00481068" w:rsidRDefault="00037198" w:rsidP="00AF5B0E">
      <w:pPr>
        <w:spacing w:after="120" w:line="276" w:lineRule="auto"/>
        <w:ind w:firstLine="709"/>
        <w:jc w:val="both"/>
        <w:rPr>
          <w:rFonts w:ascii="Arial" w:hAnsi="Arial" w:cs="Arial"/>
          <w:sz w:val="22"/>
          <w:szCs w:val="22"/>
        </w:rPr>
      </w:pPr>
      <w:r w:rsidRPr="00481068">
        <w:rPr>
          <w:rFonts w:ascii="Arial" w:eastAsia="Calibri" w:hAnsi="Arial" w:cs="Arial"/>
          <w:sz w:val="22"/>
          <w:szCs w:val="22"/>
          <w:lang w:val="es-ES"/>
        </w:rPr>
        <w:t>De otra parte, en relación con los contratos del inciso primero del artículo 20 de la Ley 1150 de 2007, conviene mencionar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dispuso que: «se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481068">
        <w:rPr>
          <w:rStyle w:val="Refdenotaalpie"/>
          <w:rFonts w:ascii="Arial" w:eastAsia="Calibri" w:hAnsi="Arial" w:cs="Arial"/>
          <w:sz w:val="22"/>
          <w:szCs w:val="22"/>
        </w:rPr>
        <w:footnoteReference w:id="31"/>
      </w:r>
      <w:r w:rsidRPr="00481068">
        <w:rPr>
          <w:rFonts w:ascii="Arial" w:eastAsia="Calibri" w:hAnsi="Arial" w:cs="Arial"/>
          <w:sz w:val="22"/>
          <w:szCs w:val="22"/>
          <w:lang w:val="es-ES"/>
        </w:rPr>
        <w:t xml:space="preserve">. Así las cosas, la entidad contratante debe realizar </w:t>
      </w:r>
      <w:r w:rsidRPr="00481068">
        <w:rPr>
          <w:rFonts w:ascii="Arial" w:eastAsia="Calibri" w:hAnsi="Arial" w:cs="Arial"/>
          <w:sz w:val="22"/>
          <w:szCs w:val="22"/>
          <w:lang w:val="es-ES"/>
        </w:rPr>
        <w:lastRenderedPageBreak/>
        <w:t>un constante monitoreo respecto de los aportes de cada una de las partes para determinar si se debe realizar un ajuste frente al régimen aplicable, esto es, en relación con los contratos regulados en el inciso primero del artículo 20 de la Ley 1150 de 2007</w:t>
      </w:r>
      <w:r w:rsidRPr="00481068">
        <w:rPr>
          <w:rFonts w:ascii="Arial" w:hAnsi="Arial" w:cs="Arial"/>
          <w:sz w:val="22"/>
          <w:szCs w:val="22"/>
        </w:rPr>
        <w:t xml:space="preserve">. </w:t>
      </w:r>
    </w:p>
    <w:p w14:paraId="34D4BB85" w14:textId="560BD058" w:rsidR="00FC728E" w:rsidRPr="00481068" w:rsidRDefault="007A4952" w:rsidP="00AF5B0E">
      <w:pPr>
        <w:snapToGrid w:val="0"/>
        <w:spacing w:after="120" w:line="276" w:lineRule="auto"/>
        <w:ind w:firstLine="709"/>
        <w:jc w:val="both"/>
        <w:rPr>
          <w:rFonts w:ascii="Arial" w:eastAsia="Calibri" w:hAnsi="Arial" w:cs="Arial"/>
          <w:sz w:val="22"/>
          <w:szCs w:val="22"/>
          <w:lang w:val="es-ES" w:eastAsia="en-US"/>
        </w:rPr>
      </w:pPr>
      <w:r w:rsidRPr="00481068">
        <w:rPr>
          <w:rFonts w:ascii="Arial" w:hAnsi="Arial" w:cs="Arial"/>
          <w:sz w:val="22"/>
          <w:szCs w:val="22"/>
        </w:rPr>
        <w:t>Ahora bien, d</w:t>
      </w:r>
      <w:proofErr w:type="spellStart"/>
      <w:r w:rsidR="001056C4" w:rsidRPr="00481068">
        <w:rPr>
          <w:rFonts w:ascii="Arial" w:hAnsi="Arial" w:cs="Arial"/>
          <w:sz w:val="22"/>
          <w:szCs w:val="22"/>
          <w:lang w:val="es-MX"/>
        </w:rPr>
        <w:t>e</w:t>
      </w:r>
      <w:proofErr w:type="spellEnd"/>
      <w:r w:rsidR="001056C4" w:rsidRPr="00481068">
        <w:rPr>
          <w:rFonts w:ascii="Arial" w:hAnsi="Arial" w:cs="Arial"/>
          <w:sz w:val="22"/>
          <w:szCs w:val="22"/>
          <w:lang w:val="es-MX"/>
        </w:rPr>
        <w:t xml:space="preserve"> acuerdo con el </w:t>
      </w:r>
      <w:r w:rsidR="001056C4" w:rsidRPr="00481068">
        <w:rPr>
          <w:rFonts w:ascii="Arial" w:eastAsia="Calibri" w:hAnsi="Arial" w:cs="Arial"/>
          <w:sz w:val="22"/>
          <w:szCs w:val="22"/>
          <w:lang w:val="es-ES" w:eastAsia="en-US"/>
        </w:rPr>
        <w:t>Concepto CU-180 del 8 de abril de 2022</w:t>
      </w:r>
      <w:r w:rsidR="0060503B" w:rsidRPr="00481068">
        <w:rPr>
          <w:rFonts w:ascii="Arial" w:eastAsia="Calibri" w:hAnsi="Arial" w:cs="Arial"/>
          <w:sz w:val="22"/>
          <w:szCs w:val="22"/>
          <w:lang w:val="es-ES" w:eastAsia="en-US"/>
        </w:rPr>
        <w:t xml:space="preserve"> de esta Agencia</w:t>
      </w:r>
      <w:r w:rsidR="001056C4" w:rsidRPr="00481068">
        <w:rPr>
          <w:rFonts w:ascii="Arial" w:eastAsia="Calibri" w:hAnsi="Arial" w:cs="Arial"/>
          <w:sz w:val="22"/>
          <w:szCs w:val="22"/>
          <w:lang w:val="es-ES" w:eastAsia="en-US"/>
        </w:rPr>
        <w:t>,</w:t>
      </w:r>
      <w:r w:rsidR="0006040A" w:rsidRPr="00481068">
        <w:rPr>
          <w:rFonts w:ascii="Arial" w:eastAsia="Calibri" w:hAnsi="Arial" w:cs="Arial"/>
          <w:sz w:val="22"/>
          <w:szCs w:val="22"/>
          <w:lang w:val="es-ES" w:eastAsia="en-US"/>
        </w:rPr>
        <w:t xml:space="preserve"> el artículo 20 de la Ley 1150 </w:t>
      </w:r>
      <w:r w:rsidR="0060503B" w:rsidRPr="00481068">
        <w:rPr>
          <w:rFonts w:ascii="Arial" w:eastAsia="Calibri" w:hAnsi="Arial" w:cs="Arial"/>
          <w:sz w:val="22"/>
          <w:szCs w:val="22"/>
          <w:lang w:val="es-ES" w:eastAsia="en-US"/>
        </w:rPr>
        <w:t xml:space="preserve">de 2007 </w:t>
      </w:r>
      <w:r w:rsidR="0006040A" w:rsidRPr="00481068">
        <w:rPr>
          <w:rFonts w:ascii="Arial" w:eastAsia="Calibri" w:hAnsi="Arial" w:cs="Arial"/>
          <w:sz w:val="22"/>
          <w:szCs w:val="22"/>
          <w:lang w:val="es-ES" w:eastAsia="en-US"/>
        </w:rPr>
        <w:t>dispone una excepción a la regla general del artículo 13 de la Ley 80 de 1993, según la cual las normas aplicables tanto a la celebración como ejecución del contrato estatal serán las nacionales, siempre y cuando el respectivo acuerdo sea celebrado o ejecutado en el territorio nacional.</w:t>
      </w:r>
      <w:r w:rsidR="00C22305" w:rsidRPr="00481068">
        <w:rPr>
          <w:rFonts w:ascii="Arial" w:eastAsia="Calibri" w:hAnsi="Arial" w:cs="Arial"/>
          <w:sz w:val="22"/>
          <w:szCs w:val="22"/>
          <w:lang w:val="es-ES" w:eastAsia="en-US"/>
        </w:rPr>
        <w:t xml:space="preserve"> </w:t>
      </w:r>
      <w:r w:rsidR="004364FC" w:rsidRPr="00481068">
        <w:rPr>
          <w:rFonts w:ascii="Arial" w:eastAsia="Calibri" w:hAnsi="Arial" w:cs="Arial"/>
          <w:sz w:val="22"/>
          <w:szCs w:val="22"/>
          <w:lang w:val="es-ES" w:eastAsia="en-US"/>
        </w:rPr>
        <w:t>Por tanto, sobre el artículo 33 de la Ley de Garantías</w:t>
      </w:r>
      <w:r w:rsidR="004364FC" w:rsidRPr="00481068">
        <w:rPr>
          <w:rFonts w:ascii="Arial" w:eastAsia="Calibri" w:hAnsi="Arial" w:cs="Arial"/>
          <w:sz w:val="22"/>
          <w:szCs w:val="22"/>
          <w:lang w:val="es-MX" w:eastAsia="en-US"/>
        </w:rPr>
        <w:t xml:space="preserve">, </w:t>
      </w:r>
      <w:r w:rsidR="004364FC" w:rsidRPr="00481068">
        <w:rPr>
          <w:rFonts w:ascii="Arial" w:eastAsia="Calibri" w:hAnsi="Arial" w:cs="Arial"/>
          <w:sz w:val="22"/>
          <w:szCs w:val="22"/>
          <w:lang w:val="es-ES" w:eastAsia="en-US"/>
        </w:rPr>
        <w:t>la Agencia –al retomar la tesis del Concepto C-559 del 31 de agosto de 2021– consider</w:t>
      </w:r>
      <w:r w:rsidR="00741363" w:rsidRPr="00481068">
        <w:rPr>
          <w:rFonts w:ascii="Arial" w:eastAsia="Calibri" w:hAnsi="Arial" w:cs="Arial"/>
          <w:sz w:val="22"/>
          <w:szCs w:val="22"/>
          <w:lang w:val="es-ES" w:eastAsia="en-US"/>
        </w:rPr>
        <w:t>ó</w:t>
      </w:r>
      <w:r w:rsidR="004364FC" w:rsidRPr="00481068">
        <w:rPr>
          <w:rFonts w:ascii="Arial" w:eastAsia="Calibri" w:hAnsi="Arial" w:cs="Arial"/>
          <w:sz w:val="22"/>
          <w:szCs w:val="22"/>
          <w:lang w:val="es-ES" w:eastAsia="en-US"/>
        </w:rPr>
        <w:t xml:space="preserve"> lo siguiente: «[…] </w:t>
      </w:r>
      <w:r w:rsidR="004364FC" w:rsidRPr="00481068">
        <w:rPr>
          <w:rFonts w:ascii="Arial" w:eastAsia="Calibri" w:hAnsi="Arial" w:cs="Arial"/>
          <w:i/>
          <w:iCs/>
          <w:sz w:val="22"/>
          <w:szCs w:val="22"/>
          <w:lang w:val="es-ES" w:eastAsia="en-US"/>
        </w:rPr>
        <w:t>dado que</w:t>
      </w:r>
      <w:r w:rsidR="004364FC" w:rsidRPr="00481068">
        <w:rPr>
          <w:rFonts w:ascii="Arial" w:eastAsia="Calibri" w:hAnsi="Arial" w:cs="Arial"/>
          <w:sz w:val="22"/>
          <w:szCs w:val="22"/>
          <w:lang w:val="es-ES" w:eastAsia="en-US"/>
        </w:rPr>
        <w:t xml:space="preserve"> […] </w:t>
      </w:r>
      <w:r w:rsidR="004364FC" w:rsidRPr="00481068">
        <w:rPr>
          <w:rFonts w:ascii="Arial" w:eastAsia="Calibri" w:hAnsi="Arial" w:cs="Arial"/>
          <w:i/>
          <w:iCs/>
          <w:sz w:val="22"/>
          <w:szCs w:val="22"/>
          <w:lang w:val="es-ES" w:eastAsia="en-US"/>
        </w:rPr>
        <w:t>existen algunos casos en los cuales el legislador habilitó a las entidades públicas para que suscribieran contratos cuyo régimen es distinto al derecho nacional,</w:t>
      </w:r>
      <w:r w:rsidR="004364FC" w:rsidRPr="00481068">
        <w:rPr>
          <w:rFonts w:ascii="Arial" w:eastAsia="Calibri" w:hAnsi="Arial" w:cs="Arial"/>
          <w:sz w:val="22"/>
          <w:szCs w:val="22"/>
          <w:lang w:val="es-ES" w:eastAsia="en-US"/>
        </w:rPr>
        <w:t xml:space="preserve"> […] </w:t>
      </w:r>
      <w:r w:rsidR="004364FC" w:rsidRPr="00481068">
        <w:rPr>
          <w:rFonts w:ascii="Arial" w:eastAsia="Calibri" w:hAnsi="Arial" w:cs="Arial"/>
          <w:i/>
          <w:iCs/>
          <w:sz w:val="22"/>
          <w:szCs w:val="22"/>
          <w:lang w:val="es-ES" w:eastAsia="en-US"/>
        </w:rPr>
        <w:t>en estos eventos dicha restricción no sería aplicable</w:t>
      </w:r>
      <w:r w:rsidR="004364FC" w:rsidRPr="00481068">
        <w:rPr>
          <w:rFonts w:ascii="Arial" w:eastAsia="Calibri" w:hAnsi="Arial" w:cs="Arial"/>
          <w:sz w:val="22"/>
          <w:szCs w:val="22"/>
          <w:lang w:val="es-ES" w:eastAsia="en-US"/>
        </w:rPr>
        <w:t>» (Énfasis fuera de texto)</w:t>
      </w:r>
      <w:r w:rsidR="0083788E" w:rsidRPr="00481068">
        <w:rPr>
          <w:rFonts w:ascii="Arial" w:eastAsia="Calibri" w:hAnsi="Arial" w:cs="Arial"/>
          <w:sz w:val="22"/>
          <w:szCs w:val="22"/>
          <w:lang w:val="es-ES" w:eastAsia="en-US"/>
        </w:rPr>
        <w:t xml:space="preserve">. </w:t>
      </w:r>
    </w:p>
    <w:p w14:paraId="6102A70C" w14:textId="6B2BF00F" w:rsidR="00CD5D94" w:rsidRPr="00481068" w:rsidRDefault="007A4952" w:rsidP="00563680">
      <w:pPr>
        <w:snapToGrid w:val="0"/>
        <w:spacing w:line="276" w:lineRule="auto"/>
        <w:ind w:firstLine="708"/>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Para efectos de la tesis unificada,</w:t>
      </w:r>
      <w:r w:rsidR="0083788E" w:rsidRPr="00481068">
        <w:rPr>
          <w:rFonts w:ascii="Arial" w:eastAsia="Calibri" w:hAnsi="Arial" w:cs="Arial"/>
          <w:sz w:val="22"/>
          <w:szCs w:val="22"/>
          <w:lang w:val="es-ES" w:eastAsia="en-US"/>
        </w:rPr>
        <w:t xml:space="preserve"> el artículo 20 </w:t>
      </w:r>
      <w:r w:rsidR="00176F27" w:rsidRPr="00481068">
        <w:rPr>
          <w:rFonts w:ascii="Arial" w:eastAsia="Calibri" w:hAnsi="Arial" w:cs="Arial"/>
          <w:sz w:val="22"/>
          <w:szCs w:val="22"/>
          <w:lang w:val="es-ES" w:eastAsia="en-US"/>
        </w:rPr>
        <w:t>de la Ley 1150 de 2007 implica un régimen exceptuado distinto a los demás, en la medida que el derecho aplicable a estos contratos no es el derecho nacional</w:t>
      </w:r>
      <w:r w:rsidRPr="00481068">
        <w:rPr>
          <w:rFonts w:ascii="Arial" w:eastAsia="Calibri" w:hAnsi="Arial" w:cs="Arial"/>
          <w:sz w:val="22"/>
          <w:szCs w:val="22"/>
          <w:lang w:val="es-ES" w:eastAsia="en-US"/>
        </w:rPr>
        <w:t>,</w:t>
      </w:r>
      <w:r w:rsidR="00176F27" w:rsidRPr="00481068">
        <w:rPr>
          <w:rFonts w:ascii="Arial" w:eastAsia="Calibri" w:hAnsi="Arial" w:cs="Arial"/>
          <w:sz w:val="22"/>
          <w:szCs w:val="22"/>
          <w:lang w:val="es-ES" w:eastAsia="en-US"/>
        </w:rPr>
        <w:t xml:space="preserve"> sino </w:t>
      </w:r>
      <w:r w:rsidR="00E569FA" w:rsidRPr="00481068">
        <w:rPr>
          <w:rFonts w:ascii="Arial" w:eastAsia="Calibri" w:hAnsi="Arial" w:cs="Arial"/>
          <w:sz w:val="22"/>
          <w:szCs w:val="22"/>
          <w:lang w:val="es-ES" w:eastAsia="en-US"/>
        </w:rPr>
        <w:t>disposiciones</w:t>
      </w:r>
      <w:r w:rsidR="00176F27" w:rsidRPr="00481068">
        <w:rPr>
          <w:rFonts w:ascii="Arial" w:eastAsia="Calibri" w:hAnsi="Arial" w:cs="Arial"/>
          <w:sz w:val="22"/>
          <w:szCs w:val="22"/>
          <w:lang w:val="es-ES" w:eastAsia="en-US"/>
        </w:rPr>
        <w:t xml:space="preserve"> de carácter internacional, </w:t>
      </w:r>
      <w:r w:rsidRPr="00481068">
        <w:rPr>
          <w:rFonts w:ascii="Arial" w:eastAsia="Calibri" w:hAnsi="Arial" w:cs="Arial"/>
          <w:sz w:val="22"/>
          <w:szCs w:val="22"/>
          <w:lang w:val="es-ES" w:eastAsia="en-US"/>
        </w:rPr>
        <w:t>normas que se</w:t>
      </w:r>
      <w:r w:rsidR="00176F27" w:rsidRPr="00481068">
        <w:rPr>
          <w:rFonts w:ascii="Arial" w:eastAsia="Calibri" w:hAnsi="Arial" w:cs="Arial"/>
          <w:sz w:val="22"/>
          <w:szCs w:val="22"/>
          <w:lang w:val="es-ES" w:eastAsia="en-US"/>
        </w:rPr>
        <w:t xml:space="preserve"> materializan a través de los reglamentos de</w:t>
      </w:r>
      <w:r w:rsidR="00E569FA" w:rsidRPr="00481068">
        <w:rPr>
          <w:rFonts w:ascii="Arial" w:eastAsia="Calibri" w:hAnsi="Arial" w:cs="Arial"/>
          <w:sz w:val="22"/>
          <w:szCs w:val="22"/>
          <w:lang w:val="es-ES" w:eastAsia="en-US"/>
        </w:rPr>
        <w:t xml:space="preserve"> los organismos de</w:t>
      </w:r>
      <w:r w:rsidR="00176F27" w:rsidRPr="00481068">
        <w:rPr>
          <w:rFonts w:ascii="Arial" w:eastAsia="Calibri" w:hAnsi="Arial" w:cs="Arial"/>
          <w:sz w:val="22"/>
          <w:szCs w:val="22"/>
          <w:lang w:val="es-ES" w:eastAsia="en-US"/>
        </w:rPr>
        <w:t xml:space="preserve"> cooperación, asistencia o ayuda</w:t>
      </w:r>
      <w:r w:rsidRPr="00481068">
        <w:rPr>
          <w:rFonts w:ascii="Arial" w:eastAsia="Calibri" w:hAnsi="Arial" w:cs="Arial"/>
          <w:sz w:val="22"/>
          <w:szCs w:val="22"/>
          <w:lang w:val="es-ES" w:eastAsia="en-US"/>
        </w:rPr>
        <w:t xml:space="preserve">. Así las cosas, </w:t>
      </w:r>
      <w:r w:rsidR="001E7B2B" w:rsidRPr="00481068">
        <w:rPr>
          <w:rFonts w:ascii="Arial" w:eastAsia="Calibri" w:hAnsi="Arial" w:cs="Arial"/>
          <w:sz w:val="22"/>
          <w:szCs w:val="22"/>
          <w:lang w:val="es-ES" w:eastAsia="en-US"/>
        </w:rPr>
        <w:t xml:space="preserve">en </w:t>
      </w:r>
      <w:r w:rsidRPr="00481068">
        <w:rPr>
          <w:rFonts w:ascii="Arial" w:eastAsia="Calibri" w:hAnsi="Arial" w:cs="Arial"/>
          <w:sz w:val="22"/>
          <w:szCs w:val="22"/>
          <w:lang w:val="es-ES" w:eastAsia="en-US"/>
        </w:rPr>
        <w:t>el Concepto CU-180 del 8 de abril de 2022</w:t>
      </w:r>
      <w:r w:rsidR="001E7B2B" w:rsidRPr="00481068">
        <w:rPr>
          <w:rFonts w:ascii="Arial" w:eastAsia="Calibri" w:hAnsi="Arial" w:cs="Arial"/>
          <w:sz w:val="22"/>
          <w:szCs w:val="22"/>
          <w:lang w:val="es-ES" w:eastAsia="en-US"/>
        </w:rPr>
        <w:t>, la Agencia estimó que</w:t>
      </w:r>
      <w:r w:rsidR="00CD5D94" w:rsidRPr="00481068">
        <w:rPr>
          <w:rFonts w:ascii="Arial" w:eastAsia="Calibri" w:hAnsi="Arial" w:cs="Arial"/>
          <w:sz w:val="22"/>
          <w:szCs w:val="22"/>
          <w:lang w:val="es-ES" w:eastAsia="en-US"/>
        </w:rPr>
        <w:t>:</w:t>
      </w:r>
    </w:p>
    <w:p w14:paraId="1B4FE483" w14:textId="77777777" w:rsidR="00455672" w:rsidRPr="00481068" w:rsidRDefault="00455672" w:rsidP="00AF5B0E">
      <w:pPr>
        <w:snapToGrid w:val="0"/>
        <w:spacing w:line="276" w:lineRule="auto"/>
        <w:jc w:val="both"/>
        <w:rPr>
          <w:rFonts w:ascii="Arial" w:eastAsia="Calibri" w:hAnsi="Arial" w:cs="Arial"/>
          <w:sz w:val="22"/>
          <w:szCs w:val="22"/>
          <w:lang w:val="es-ES" w:eastAsia="en-US"/>
        </w:rPr>
      </w:pPr>
    </w:p>
    <w:p w14:paraId="017F82F6" w14:textId="0D80A53E" w:rsidR="00CD5D94" w:rsidRPr="00481068" w:rsidRDefault="00CD5D94" w:rsidP="00AF5B0E">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 siempre y cuando se cumplan con los requisitos que el artículo 20 impone, las partes que deseen contratar podrán incorporar las normas contenidas en los reglamentos de los organismos internacionales, de forma completa y absoluta o de manera sectorizada y parcial. En este último caso, entonces, podrán </w:t>
      </w:r>
      <w:r w:rsidRPr="00481068">
        <w:rPr>
          <w:rFonts w:ascii="Arial" w:eastAsia="Calibri" w:hAnsi="Arial" w:cs="Arial"/>
          <w:sz w:val="21"/>
          <w:szCs w:val="21"/>
          <w:lang w:val="es-ES" w:eastAsia="en-US"/>
        </w:rPr>
        <w:lastRenderedPageBreak/>
        <w:t xml:space="preserve">convenir, por ejemplo, que al contrato se apliquen solo ciertas normas extranjeras de su reglamento relacionadas con el procedimiento de selección o la forma de celebrar el contrato, y estipular que la ejecución de este se regirá por el ordenamiento nacional. </w:t>
      </w:r>
    </w:p>
    <w:p w14:paraId="13CFC8E6" w14:textId="77777777" w:rsidR="00CD5D94" w:rsidRPr="00481068" w:rsidRDefault="00CD5D94" w:rsidP="00AF5B0E">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En todo caso, dada la naturaleza potestativa de la variación de régimen normativo que gobierna el contrato, las partes serán las encargadas de establecer el alcance de tal variación, optando por el régimen nacional o por el internacional, o bien por ambos de manera alternada, consecutiva o paralela. </w:t>
      </w:r>
    </w:p>
    <w:p w14:paraId="255AD582" w14:textId="77777777" w:rsidR="00CD5D94" w:rsidRPr="00481068" w:rsidRDefault="00CD5D94" w:rsidP="00AF5B0E">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28BD92D0" w14:textId="77777777" w:rsidR="00CD5D94" w:rsidRPr="00481068" w:rsidRDefault="00CD5D94" w:rsidP="00AF5B0E">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 </w:t>
      </w:r>
    </w:p>
    <w:p w14:paraId="0BB608B3" w14:textId="4624EF9A" w:rsidR="00CD5D94" w:rsidRPr="00481068" w:rsidRDefault="00CD5D94" w:rsidP="00AF5B0E">
      <w:pPr>
        <w:snapToGrid w:val="0"/>
        <w:ind w:left="709" w:right="709"/>
        <w:jc w:val="both"/>
        <w:rPr>
          <w:rFonts w:ascii="Arial" w:eastAsia="Calibri" w:hAnsi="Arial" w:cs="Arial"/>
          <w:sz w:val="22"/>
          <w:szCs w:val="22"/>
          <w:lang w:val="es-ES" w:eastAsia="en-US"/>
        </w:rPr>
      </w:pPr>
      <w:r w:rsidRPr="00481068">
        <w:rPr>
          <w:rFonts w:ascii="Arial" w:eastAsia="Calibri" w:hAnsi="Arial" w:cs="Arial"/>
          <w:sz w:val="21"/>
          <w:szCs w:val="21"/>
          <w:lang w:val="es-ES" w:eastAsia="en-US"/>
        </w:rPr>
        <w:t>Así las cosas, con el fin de unificar los criterios expresados en los conceptos emitidos por esta Subdirección en pasadas oportunidades, es menester precisar que, si bien la prohibición para la contratación directa contenida en el artículo 33 de la Ley de Garantías Electorales aplica a todos los entes del Estado cualquiera que sea el régimen jurídico de contratación de carácter nacional, no puede obviarse que, de conformidad con el artículo 20 de la Ley 1150 de 2007, el legislador ha permitido que en ciertos casos las partes que pretendan celebrar un contrato regulado por esta última disposición pueden optar por aplicar la normativa nacional o la internacional de manera absoluta o parcial</w:t>
      </w:r>
      <w:r w:rsidR="00741363" w:rsidRPr="00481068">
        <w:rPr>
          <w:rStyle w:val="Refdenotaalpie"/>
          <w:rFonts w:ascii="Arial" w:eastAsia="Calibri" w:hAnsi="Arial" w:cs="Arial"/>
          <w:sz w:val="21"/>
          <w:szCs w:val="21"/>
          <w:lang w:val="es-ES" w:eastAsia="en-US"/>
        </w:rPr>
        <w:footnoteReference w:id="32"/>
      </w:r>
      <w:r w:rsidRPr="00481068">
        <w:rPr>
          <w:rFonts w:ascii="Arial" w:eastAsia="Calibri" w:hAnsi="Arial" w:cs="Arial"/>
          <w:sz w:val="21"/>
          <w:szCs w:val="21"/>
          <w:lang w:val="es-ES" w:eastAsia="en-US"/>
        </w:rPr>
        <w:t>.</w:t>
      </w:r>
      <w:r w:rsidRPr="00481068">
        <w:rPr>
          <w:rFonts w:ascii="Arial" w:eastAsia="Calibri" w:hAnsi="Arial" w:cs="Arial"/>
          <w:sz w:val="22"/>
          <w:szCs w:val="22"/>
          <w:lang w:val="es-ES" w:eastAsia="en-US"/>
        </w:rPr>
        <w:t xml:space="preserve"> </w:t>
      </w:r>
    </w:p>
    <w:p w14:paraId="2DB58DFA" w14:textId="291489E3" w:rsidR="00455672" w:rsidRPr="00481068" w:rsidRDefault="00455672" w:rsidP="00CD5D94">
      <w:pPr>
        <w:snapToGrid w:val="0"/>
        <w:spacing w:line="276" w:lineRule="auto"/>
        <w:jc w:val="both"/>
        <w:rPr>
          <w:rFonts w:ascii="Arial" w:eastAsia="Calibri" w:hAnsi="Arial" w:cs="Arial"/>
          <w:sz w:val="22"/>
          <w:szCs w:val="22"/>
          <w:lang w:val="es-ES" w:eastAsia="en-US"/>
        </w:rPr>
      </w:pPr>
    </w:p>
    <w:p w14:paraId="69C799FB" w14:textId="5E3F7FA1" w:rsidR="001056C4" w:rsidRPr="00481068" w:rsidRDefault="00455672">
      <w:pPr>
        <w:snapToGrid w:val="0"/>
        <w:spacing w:line="276" w:lineRule="auto"/>
        <w:jc w:val="both"/>
        <w:rPr>
          <w:rFonts w:ascii="Arial" w:eastAsia="Calibri" w:hAnsi="Arial" w:cs="Arial"/>
          <w:bCs/>
          <w:sz w:val="22"/>
          <w:szCs w:val="22"/>
          <w:lang w:val="es-ES"/>
        </w:rPr>
      </w:pPr>
      <w:r w:rsidRPr="00481068">
        <w:rPr>
          <w:rFonts w:ascii="Arial" w:eastAsia="Calibri" w:hAnsi="Arial" w:cs="Arial"/>
          <w:sz w:val="22"/>
          <w:szCs w:val="22"/>
          <w:lang w:val="es-ES" w:eastAsia="en-US"/>
        </w:rPr>
        <w:tab/>
      </w:r>
      <w:r w:rsidR="009A61EA" w:rsidRPr="00481068">
        <w:rPr>
          <w:rFonts w:ascii="Arial" w:eastAsia="Calibri" w:hAnsi="Arial" w:cs="Arial"/>
          <w:sz w:val="22"/>
          <w:szCs w:val="22"/>
          <w:lang w:val="es-ES" w:eastAsia="en-US"/>
        </w:rPr>
        <w:t xml:space="preserve">De acuerdo con la fundamentación del concepto citado, lo anterior no implica una violación de las normas nacionales, puesto que la contratación </w:t>
      </w:r>
      <w:r w:rsidR="00635824" w:rsidRPr="00481068">
        <w:rPr>
          <w:rFonts w:ascii="Arial" w:eastAsia="Calibri" w:hAnsi="Arial" w:cs="Arial"/>
          <w:sz w:val="22"/>
          <w:szCs w:val="22"/>
          <w:lang w:val="es-ES" w:eastAsia="en-US"/>
        </w:rPr>
        <w:t>con los sujetos previstos en el artículo 20 de la Ley 1150 de 2007 se encuentra amparada por tratados, convenios o convenciones ratificados por el Estado e incorporados debidamente al ordenamiento jurídico interno. De esta manera,</w:t>
      </w:r>
      <w:r w:rsidR="00741363" w:rsidRPr="00481068">
        <w:rPr>
          <w:rFonts w:ascii="Arial" w:eastAsia="Calibri" w:hAnsi="Arial" w:cs="Arial"/>
          <w:sz w:val="22"/>
          <w:szCs w:val="22"/>
          <w:lang w:val="es-ES" w:eastAsia="en-US"/>
        </w:rPr>
        <w:t xml:space="preserve"> en dicho concepto</w:t>
      </w:r>
      <w:r w:rsidR="00635824" w:rsidRPr="00481068">
        <w:rPr>
          <w:rFonts w:ascii="Arial" w:eastAsia="Calibri" w:hAnsi="Arial" w:cs="Arial"/>
          <w:sz w:val="22"/>
          <w:szCs w:val="22"/>
          <w:lang w:val="es-ES" w:eastAsia="en-US"/>
        </w:rPr>
        <w:t xml:space="preserve"> también </w:t>
      </w:r>
      <w:r w:rsidR="00A6049A" w:rsidRPr="00481068">
        <w:rPr>
          <w:rFonts w:ascii="Arial" w:eastAsia="Calibri" w:hAnsi="Arial" w:cs="Arial"/>
          <w:sz w:val="22"/>
          <w:szCs w:val="22"/>
          <w:lang w:val="es-ES" w:eastAsia="en-US"/>
        </w:rPr>
        <w:t xml:space="preserve">estimó que este régimen de excepcionalidad obedece a </w:t>
      </w:r>
      <w:r w:rsidR="00A6049A" w:rsidRPr="00481068">
        <w:rPr>
          <w:rFonts w:ascii="Arial" w:eastAsia="Calibri" w:hAnsi="Arial" w:cs="Arial"/>
          <w:sz w:val="22"/>
          <w:szCs w:val="22"/>
          <w:lang w:val="es-ES_tradnl" w:eastAsia="en-US"/>
        </w:rPr>
        <w:t xml:space="preserve">razones de política económica exterior y de apertura para obtener la colaboración efectiva de los organismos multilaterales de crédito. En este contexto, «[…] </w:t>
      </w:r>
      <w:r w:rsidR="00A6049A" w:rsidRPr="00481068">
        <w:rPr>
          <w:rFonts w:ascii="Arial" w:eastAsia="Calibri" w:hAnsi="Arial" w:cs="Arial"/>
          <w:sz w:val="22"/>
          <w:szCs w:val="22"/>
          <w:lang w:val="es-ES" w:eastAsia="en-US"/>
        </w:rPr>
        <w:t>la finalidad de la prohibición del artículo 33 de la Ley de Garantías Electorales es evitar la utilización de la contratación directa como mecanismo para que, con recursos públicos, una entidad estatal favorezca o impulse a cierto candidato, partido o movimiento político. Vista así, dicha finalidad no parecería acomodarse a la contratación con los sujetos internacionales catalogados en el artículo 20 de la Ley 1150 de 2007, menos aún, cuando se trata de contratos financiados con recursos provenientes de los organismos internacionales o de entidades gubernamentales extranjeras».</w:t>
      </w:r>
    </w:p>
    <w:p w14:paraId="6857DAA8" w14:textId="77777777" w:rsidR="00362B12" w:rsidRPr="00481068" w:rsidRDefault="00362B12" w:rsidP="00E04A32">
      <w:pPr>
        <w:spacing w:before="120" w:line="276" w:lineRule="auto"/>
        <w:ind w:firstLine="709"/>
        <w:contextualSpacing/>
        <w:jc w:val="both"/>
        <w:rPr>
          <w:rFonts w:ascii="Arial" w:eastAsia="Calibri" w:hAnsi="Arial" w:cs="Arial"/>
          <w:bCs/>
          <w:sz w:val="22"/>
          <w:szCs w:val="22"/>
          <w:lang w:eastAsia="es-CO"/>
        </w:rPr>
      </w:pPr>
    </w:p>
    <w:p w14:paraId="2354B772" w14:textId="77777777" w:rsidR="00524963" w:rsidRPr="00481068" w:rsidRDefault="00524963" w:rsidP="00524963">
      <w:pPr>
        <w:spacing w:line="276" w:lineRule="auto"/>
        <w:contextualSpacing/>
        <w:jc w:val="both"/>
        <w:rPr>
          <w:rFonts w:ascii="Arial" w:eastAsia="Calibri" w:hAnsi="Arial" w:cs="Arial"/>
          <w:b/>
          <w:sz w:val="22"/>
          <w:szCs w:val="22"/>
          <w:lang w:eastAsia="en-US"/>
        </w:rPr>
      </w:pPr>
      <w:r w:rsidRPr="00481068">
        <w:rPr>
          <w:rFonts w:ascii="Arial" w:eastAsia="Calibri" w:hAnsi="Arial" w:cs="Arial"/>
          <w:b/>
          <w:sz w:val="22"/>
          <w:szCs w:val="22"/>
          <w:lang w:eastAsia="en-US"/>
        </w:rPr>
        <w:t>3. Respuesta</w:t>
      </w:r>
    </w:p>
    <w:p w14:paraId="040E4518" w14:textId="77777777" w:rsidR="00524963" w:rsidRPr="00481068" w:rsidRDefault="00524963" w:rsidP="00524963">
      <w:pPr>
        <w:spacing w:line="276" w:lineRule="auto"/>
        <w:contextualSpacing/>
        <w:jc w:val="both"/>
        <w:rPr>
          <w:rFonts w:ascii="Arial" w:eastAsia="Calibri" w:hAnsi="Arial" w:cs="Arial"/>
          <w:bCs/>
          <w:color w:val="FF0000"/>
          <w:sz w:val="22"/>
          <w:szCs w:val="22"/>
          <w:lang w:eastAsia="en-US"/>
        </w:rPr>
      </w:pPr>
    </w:p>
    <w:p w14:paraId="2C9AD675" w14:textId="6A16711F" w:rsidR="008C7399" w:rsidRPr="00481068" w:rsidRDefault="00B30418" w:rsidP="00881E2A">
      <w:pPr>
        <w:ind w:left="709" w:right="709"/>
        <w:jc w:val="both"/>
        <w:rPr>
          <w:rFonts w:ascii="Arial" w:eastAsia="Calibri" w:hAnsi="Arial" w:cs="Arial"/>
          <w:sz w:val="21"/>
          <w:szCs w:val="21"/>
          <w:lang w:val="es-ES_tradnl" w:eastAsia="es-CO"/>
        </w:rPr>
      </w:pPr>
      <w:bookmarkStart w:id="34" w:name="_Hlk57650395"/>
      <w:r w:rsidRPr="00481068">
        <w:rPr>
          <w:rFonts w:ascii="Arial" w:eastAsia="Calibri" w:hAnsi="Arial" w:cs="Arial"/>
          <w:sz w:val="21"/>
          <w:szCs w:val="21"/>
          <w:lang w:val="es-ES_tradnl" w:eastAsia="es-CO"/>
        </w:rPr>
        <w:t>Respecto a la prohibición del artículo 33 de la Ley de Garantías Electorales: «¿En el marco de la Ley de Garantías, se pueden suscribir contratos de cooperación internacional? En nuestro caso, con el Banco Centroamericano de Integración Económica»</w:t>
      </w:r>
      <w:r w:rsidR="008C7399" w:rsidRPr="00481068">
        <w:rPr>
          <w:rFonts w:ascii="Arial" w:eastAsia="Calibri" w:hAnsi="Arial" w:cs="Arial"/>
          <w:sz w:val="21"/>
          <w:szCs w:val="21"/>
          <w:lang w:val="es-ES_tradnl" w:eastAsia="es-CO"/>
        </w:rPr>
        <w:t>.</w:t>
      </w:r>
      <w:r w:rsidR="00881E2A" w:rsidRPr="00481068">
        <w:rPr>
          <w:rFonts w:ascii="Arial" w:eastAsia="Calibri" w:hAnsi="Arial" w:cs="Arial"/>
          <w:sz w:val="21"/>
          <w:szCs w:val="21"/>
          <w:lang w:val="es-ES_tradnl" w:eastAsia="es-CO"/>
        </w:rPr>
        <w:t xml:space="preserve"> Lo anterior considerando que «[…] </w:t>
      </w:r>
      <w:r w:rsidR="00881E2A" w:rsidRPr="00481068">
        <w:rPr>
          <w:rFonts w:ascii="Arial" w:eastAsia="Calibri" w:hAnsi="Arial" w:cs="Arial"/>
          <w:sz w:val="21"/>
          <w:szCs w:val="21"/>
          <w:lang w:eastAsia="es-CO"/>
        </w:rPr>
        <w:t xml:space="preserve">existe normatividad expresa que prohíbe a los gobernadores, alcaldes, secretarios, gerentes y directores de entidades estatales de orden territorial celebrar contratos estatales en la modalidad de </w:t>
      </w:r>
      <w:r w:rsidR="00881E2A" w:rsidRPr="00481068">
        <w:rPr>
          <w:rFonts w:ascii="Arial" w:eastAsia="Calibri" w:hAnsi="Arial" w:cs="Arial"/>
          <w:i/>
          <w:iCs/>
          <w:sz w:val="21"/>
          <w:szCs w:val="21"/>
          <w:lang w:eastAsia="es-CO"/>
        </w:rPr>
        <w:t>contratación directa</w:t>
      </w:r>
      <w:r w:rsidR="00881E2A" w:rsidRPr="00481068">
        <w:rPr>
          <w:rFonts w:ascii="Arial" w:eastAsia="Calibri" w:hAnsi="Arial" w:cs="Arial"/>
          <w:sz w:val="21"/>
          <w:szCs w:val="21"/>
          <w:lang w:eastAsia="es-CO"/>
        </w:rPr>
        <w:t xml:space="preserve"> que tengan la finalidad de ejecutar recursos públicos, independiente de la naturaleza, durante los cuatro meses antes de cualquier elección» (Énfasis fuera de texto).</w:t>
      </w:r>
    </w:p>
    <w:p w14:paraId="0CA9CD25" w14:textId="77777777" w:rsidR="00524963" w:rsidRPr="00481068" w:rsidRDefault="00524963" w:rsidP="00977689">
      <w:pPr>
        <w:spacing w:line="276" w:lineRule="auto"/>
        <w:contextualSpacing/>
        <w:jc w:val="both"/>
        <w:rPr>
          <w:rFonts w:ascii="Arial" w:hAnsi="Arial" w:cs="Arial"/>
          <w:bCs/>
          <w:sz w:val="22"/>
          <w:szCs w:val="22"/>
          <w:lang w:val="es-MX" w:eastAsia="es-CO"/>
        </w:rPr>
      </w:pPr>
    </w:p>
    <w:p w14:paraId="3D73870C" w14:textId="3BF579F2" w:rsidR="00A72945" w:rsidRPr="00481068" w:rsidRDefault="001D5765" w:rsidP="001D7836">
      <w:pPr>
        <w:snapToGrid w:val="0"/>
        <w:spacing w:after="120" w:line="276" w:lineRule="auto"/>
        <w:jc w:val="both"/>
        <w:rPr>
          <w:rFonts w:ascii="Arial" w:eastAsia="Calibri" w:hAnsi="Arial" w:cs="Arial"/>
          <w:sz w:val="22"/>
          <w:szCs w:val="22"/>
          <w:lang w:val="es-ES" w:eastAsia="en-US"/>
        </w:rPr>
      </w:pPr>
      <w:bookmarkStart w:id="35" w:name="_Hlk102373021"/>
      <w:r w:rsidRPr="00481068">
        <w:rPr>
          <w:rFonts w:ascii="Arial" w:hAnsi="Arial" w:cs="Arial"/>
          <w:bCs/>
          <w:sz w:val="22"/>
          <w:szCs w:val="22"/>
          <w:lang w:eastAsia="es-CO"/>
        </w:rPr>
        <w:t xml:space="preserve">De acuerdo con la interpretación de las normas generales del sistema de compras y contratación pública, </w:t>
      </w:r>
      <w:r w:rsidR="001D7836" w:rsidRPr="00481068">
        <w:rPr>
          <w:rFonts w:ascii="Arial" w:hAnsi="Arial" w:cs="Arial"/>
          <w:bCs/>
          <w:sz w:val="22"/>
          <w:szCs w:val="22"/>
          <w:lang w:val="es-ES" w:eastAsia="es-CO"/>
        </w:rPr>
        <w:t>considerando que el artículo 10 de la Ley 1437 de 2011 dispone que «</w:t>
      </w:r>
      <w:r w:rsidR="001D7836" w:rsidRPr="00481068">
        <w:rPr>
          <w:rFonts w:ascii="Arial" w:hAnsi="Arial" w:cs="Arial"/>
          <w:bCs/>
          <w:sz w:val="22"/>
          <w:szCs w:val="22"/>
          <w:lang w:eastAsia="es-CO"/>
        </w:rPr>
        <w:t>Al resolver los asuntos de su competencia, las autoridades aplicarán las disposiciones constitucionales, legales y reglamentarias de manera uniforme a situaciones que tengan los mismos supuestos fácticos y jurídicos»</w:t>
      </w:r>
      <w:r w:rsidR="00715421" w:rsidRPr="00481068">
        <w:rPr>
          <w:rFonts w:ascii="Arial" w:hAnsi="Arial" w:cs="Arial"/>
          <w:bCs/>
          <w:sz w:val="22"/>
          <w:szCs w:val="22"/>
          <w:lang w:eastAsia="es-CO"/>
        </w:rPr>
        <w:t xml:space="preserve">, se reitera la tesis del </w:t>
      </w:r>
      <w:r w:rsidR="00715421" w:rsidRPr="00481068">
        <w:rPr>
          <w:rFonts w:ascii="Arial" w:hAnsi="Arial" w:cs="Arial"/>
          <w:bCs/>
          <w:sz w:val="22"/>
          <w:szCs w:val="22"/>
          <w:lang w:val="es-ES" w:eastAsia="es-CO"/>
        </w:rPr>
        <w:t>Concepto de Unificación CU-180 del 8 de abril de 2022</w:t>
      </w:r>
      <w:bookmarkEnd w:id="35"/>
      <w:r w:rsidR="00715421" w:rsidRPr="00481068">
        <w:rPr>
          <w:rFonts w:ascii="Arial" w:hAnsi="Arial" w:cs="Arial"/>
          <w:bCs/>
          <w:sz w:val="22"/>
          <w:szCs w:val="22"/>
          <w:lang w:val="es-ES" w:eastAsia="es-CO"/>
        </w:rPr>
        <w:t xml:space="preserve">. </w:t>
      </w:r>
      <w:r w:rsidR="00B44C28" w:rsidRPr="00481068">
        <w:rPr>
          <w:rFonts w:ascii="Arial" w:eastAsia="Calibri" w:hAnsi="Arial" w:cs="Arial"/>
          <w:sz w:val="22"/>
          <w:szCs w:val="22"/>
          <w:lang w:val="es-ES" w:eastAsia="en-US"/>
        </w:rPr>
        <w:t>Por tanto, sobre el artículo 33 de la Ley de Garantías</w:t>
      </w:r>
      <w:r w:rsidR="00B44C28" w:rsidRPr="00481068">
        <w:rPr>
          <w:rFonts w:ascii="Arial" w:eastAsia="Calibri" w:hAnsi="Arial" w:cs="Arial"/>
          <w:sz w:val="22"/>
          <w:szCs w:val="22"/>
          <w:lang w:val="es-MX" w:eastAsia="en-US"/>
        </w:rPr>
        <w:t xml:space="preserve">, </w:t>
      </w:r>
      <w:r w:rsidR="00B44C28" w:rsidRPr="00481068">
        <w:rPr>
          <w:rFonts w:ascii="Arial" w:eastAsia="Calibri" w:hAnsi="Arial" w:cs="Arial"/>
          <w:sz w:val="22"/>
          <w:szCs w:val="22"/>
          <w:lang w:val="es-ES" w:eastAsia="en-US"/>
        </w:rPr>
        <w:t xml:space="preserve">la </w:t>
      </w:r>
      <w:r w:rsidR="00B44C28" w:rsidRPr="00481068">
        <w:rPr>
          <w:rFonts w:ascii="Arial" w:eastAsia="Calibri" w:hAnsi="Arial" w:cs="Arial"/>
          <w:sz w:val="22"/>
          <w:szCs w:val="22"/>
          <w:lang w:val="es-ES" w:eastAsia="en-US"/>
        </w:rPr>
        <w:lastRenderedPageBreak/>
        <w:t>Agencia –al retomar la tesis del Concepto C-559 del 31 de agosto de 2021– consider</w:t>
      </w:r>
      <w:r w:rsidR="00EF37D3" w:rsidRPr="00481068">
        <w:rPr>
          <w:rFonts w:ascii="Arial" w:eastAsia="Calibri" w:hAnsi="Arial" w:cs="Arial"/>
          <w:sz w:val="22"/>
          <w:szCs w:val="22"/>
          <w:lang w:val="es-ES" w:eastAsia="en-US"/>
        </w:rPr>
        <w:t>ó</w:t>
      </w:r>
      <w:r w:rsidR="00B44C28" w:rsidRPr="00481068">
        <w:rPr>
          <w:rFonts w:ascii="Arial" w:eastAsia="Calibri" w:hAnsi="Arial" w:cs="Arial"/>
          <w:sz w:val="22"/>
          <w:szCs w:val="22"/>
          <w:lang w:val="es-ES" w:eastAsia="en-US"/>
        </w:rPr>
        <w:t xml:space="preserve"> lo siguiente: «[…] </w:t>
      </w:r>
      <w:r w:rsidR="00B44C28" w:rsidRPr="00481068">
        <w:rPr>
          <w:rFonts w:ascii="Arial" w:eastAsia="Calibri" w:hAnsi="Arial" w:cs="Arial"/>
          <w:i/>
          <w:iCs/>
          <w:sz w:val="22"/>
          <w:szCs w:val="22"/>
          <w:lang w:val="es-ES" w:eastAsia="en-US"/>
        </w:rPr>
        <w:t>dado que</w:t>
      </w:r>
      <w:r w:rsidR="00B44C28" w:rsidRPr="00481068">
        <w:rPr>
          <w:rFonts w:ascii="Arial" w:eastAsia="Calibri" w:hAnsi="Arial" w:cs="Arial"/>
          <w:sz w:val="22"/>
          <w:szCs w:val="22"/>
          <w:lang w:val="es-ES" w:eastAsia="en-US"/>
        </w:rPr>
        <w:t xml:space="preserve"> […] </w:t>
      </w:r>
      <w:r w:rsidR="00B44C28" w:rsidRPr="00481068">
        <w:rPr>
          <w:rFonts w:ascii="Arial" w:eastAsia="Calibri" w:hAnsi="Arial" w:cs="Arial"/>
          <w:i/>
          <w:iCs/>
          <w:sz w:val="22"/>
          <w:szCs w:val="22"/>
          <w:lang w:val="es-ES" w:eastAsia="en-US"/>
        </w:rPr>
        <w:t>existen algunos casos en los cuales el legislador habilitó a las entidades públicas para que suscribieran contratos cuyo régimen es distinto al derecho nacional,</w:t>
      </w:r>
      <w:r w:rsidR="00B44C28" w:rsidRPr="00481068">
        <w:rPr>
          <w:rFonts w:ascii="Arial" w:eastAsia="Calibri" w:hAnsi="Arial" w:cs="Arial"/>
          <w:sz w:val="22"/>
          <w:szCs w:val="22"/>
          <w:lang w:val="es-ES" w:eastAsia="en-US"/>
        </w:rPr>
        <w:t xml:space="preserve"> […] </w:t>
      </w:r>
      <w:r w:rsidR="00B44C28" w:rsidRPr="00481068">
        <w:rPr>
          <w:rFonts w:ascii="Arial" w:eastAsia="Calibri" w:hAnsi="Arial" w:cs="Arial"/>
          <w:i/>
          <w:iCs/>
          <w:sz w:val="22"/>
          <w:szCs w:val="22"/>
          <w:lang w:val="es-ES" w:eastAsia="en-US"/>
        </w:rPr>
        <w:t>en estos eventos dicha restricción no sería aplicable</w:t>
      </w:r>
      <w:r w:rsidR="00B44C28" w:rsidRPr="00481068">
        <w:rPr>
          <w:rFonts w:ascii="Arial" w:eastAsia="Calibri" w:hAnsi="Arial" w:cs="Arial"/>
          <w:sz w:val="22"/>
          <w:szCs w:val="22"/>
          <w:lang w:val="es-ES" w:eastAsia="en-US"/>
        </w:rPr>
        <w:t>» (Énfasis fuera de texto)</w:t>
      </w:r>
      <w:r w:rsidR="00A72945" w:rsidRPr="00481068">
        <w:rPr>
          <w:rFonts w:ascii="Arial" w:eastAsia="Calibri" w:hAnsi="Arial" w:cs="Arial"/>
          <w:sz w:val="22"/>
          <w:szCs w:val="22"/>
          <w:lang w:val="es-ES" w:eastAsia="en-US"/>
        </w:rPr>
        <w:t xml:space="preserve">. </w:t>
      </w:r>
    </w:p>
    <w:p w14:paraId="515B4ADC" w14:textId="0AF4347F" w:rsidR="00A72945" w:rsidRPr="00481068" w:rsidRDefault="00A72945" w:rsidP="00A72945">
      <w:pPr>
        <w:spacing w:before="120" w:line="276" w:lineRule="auto"/>
        <w:ind w:firstLine="851"/>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Para efectos de la tesis unificada, el artículo 20 de la Ley 1150 de 2007 implica un régimen exceptuado distinto a los demás, en la medida que el derecho aplicable a estos contratos no es el derecho nacional, sino disposiciones de carácter internacional, normas que se materializan a través de los reglamentos de los organismos de cooperación, asistencia o ayuda. Así las cosas:</w:t>
      </w:r>
    </w:p>
    <w:p w14:paraId="558E9E0A" w14:textId="28DC6B16" w:rsidR="00A72945" w:rsidRPr="00481068" w:rsidRDefault="00A72945" w:rsidP="00A72945">
      <w:pPr>
        <w:spacing w:line="276" w:lineRule="auto"/>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ab/>
      </w:r>
    </w:p>
    <w:p w14:paraId="2B04F686" w14:textId="14D098D0" w:rsidR="00A72945" w:rsidRPr="00481068" w:rsidRDefault="00A72945" w:rsidP="00AF5B0E">
      <w:pPr>
        <w:spacing w:line="276" w:lineRule="auto"/>
        <w:jc w:val="both"/>
        <w:rPr>
          <w:rFonts w:ascii="Arial" w:eastAsia="Calibri" w:hAnsi="Arial" w:cs="Arial"/>
          <w:sz w:val="22"/>
          <w:szCs w:val="22"/>
          <w:lang w:val="es-ES" w:eastAsia="en-US"/>
        </w:rPr>
      </w:pPr>
      <w:r w:rsidRPr="00481068">
        <w:rPr>
          <w:rFonts w:ascii="Arial" w:eastAsia="Calibri" w:hAnsi="Arial" w:cs="Arial"/>
          <w:sz w:val="22"/>
          <w:szCs w:val="22"/>
          <w:lang w:val="es-ES" w:eastAsia="en-US"/>
        </w:rPr>
        <w:tab/>
        <w:t>[…]</w:t>
      </w:r>
    </w:p>
    <w:p w14:paraId="1D2FBD02" w14:textId="77777777" w:rsidR="00A72945" w:rsidRPr="00481068" w:rsidRDefault="00A72945" w:rsidP="00A72945">
      <w:pPr>
        <w:snapToGrid w:val="0"/>
        <w:spacing w:after="12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14:paraId="3D907DE0" w14:textId="77777777" w:rsidR="00A72945" w:rsidRPr="00481068" w:rsidRDefault="00A72945" w:rsidP="00AF5B0E">
      <w:pPr>
        <w:snapToGrid w:val="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w:t>
      </w:r>
    </w:p>
    <w:p w14:paraId="4B72B771" w14:textId="7B7C33F2" w:rsidR="00A72945" w:rsidRPr="00481068" w:rsidRDefault="00A72945" w:rsidP="009F3410">
      <w:pPr>
        <w:snapToGrid w:val="0"/>
        <w:ind w:left="709" w:right="709"/>
        <w:jc w:val="both"/>
        <w:rPr>
          <w:rFonts w:ascii="Arial" w:eastAsia="Calibri" w:hAnsi="Arial" w:cs="Arial"/>
          <w:sz w:val="21"/>
          <w:szCs w:val="21"/>
          <w:lang w:val="es-ES" w:eastAsia="en-US"/>
        </w:rPr>
      </w:pPr>
      <w:r w:rsidRPr="00481068">
        <w:rPr>
          <w:rFonts w:ascii="Arial" w:eastAsia="Calibri" w:hAnsi="Arial" w:cs="Arial"/>
          <w:sz w:val="21"/>
          <w:szCs w:val="21"/>
          <w:lang w:val="es-ES" w:eastAsia="en-US"/>
        </w:rPr>
        <w:t xml:space="preserve">[…] </w:t>
      </w:r>
    </w:p>
    <w:p w14:paraId="6F8972B3" w14:textId="01651052" w:rsidR="00977689" w:rsidRPr="00481068" w:rsidRDefault="00977689" w:rsidP="009F3410">
      <w:pPr>
        <w:spacing w:line="276" w:lineRule="auto"/>
        <w:jc w:val="both"/>
        <w:rPr>
          <w:rFonts w:ascii="Arial" w:hAnsi="Arial" w:cs="Arial"/>
          <w:bCs/>
          <w:sz w:val="22"/>
          <w:szCs w:val="22"/>
          <w:lang w:val="es-ES" w:eastAsia="es-CO"/>
        </w:rPr>
      </w:pPr>
    </w:p>
    <w:p w14:paraId="66E0C229" w14:textId="5544784B" w:rsidR="0051212F" w:rsidRPr="00481068" w:rsidRDefault="00EA6BEC" w:rsidP="009F3410">
      <w:pPr>
        <w:spacing w:line="276" w:lineRule="auto"/>
        <w:ind w:firstLine="709"/>
        <w:jc w:val="both"/>
        <w:rPr>
          <w:rFonts w:ascii="Arial" w:eastAsia="Calibri" w:hAnsi="Arial" w:cs="Arial"/>
          <w:color w:val="000000"/>
          <w:sz w:val="22"/>
        </w:rPr>
      </w:pPr>
      <w:r w:rsidRPr="00481068">
        <w:rPr>
          <w:rFonts w:ascii="Arial" w:eastAsia="Calibri" w:hAnsi="Arial" w:cs="Arial"/>
          <w:bCs/>
          <w:color w:val="000000"/>
          <w:sz w:val="22"/>
          <w:szCs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00524963" w:rsidRPr="00481068">
        <w:rPr>
          <w:rFonts w:ascii="Arial" w:hAnsi="Arial" w:cs="Arial"/>
          <w:sz w:val="22"/>
          <w:szCs w:val="22"/>
          <w:lang w:eastAsia="x-none"/>
        </w:rPr>
        <w:t>.</w:t>
      </w:r>
    </w:p>
    <w:p w14:paraId="6F8D21A7" w14:textId="01B0DFD8" w:rsidR="00524963" w:rsidRPr="00481068" w:rsidRDefault="00524963" w:rsidP="009F3410">
      <w:pPr>
        <w:spacing w:after="120" w:line="259" w:lineRule="auto"/>
        <w:jc w:val="both"/>
        <w:rPr>
          <w:rFonts w:asciiTheme="minorBidi" w:hAnsiTheme="minorBidi" w:cstheme="minorBidi"/>
          <w:sz w:val="22"/>
          <w:szCs w:val="22"/>
        </w:rPr>
      </w:pPr>
    </w:p>
    <w:p w14:paraId="7A2C9C60" w14:textId="77777777" w:rsidR="0051212F" w:rsidRPr="00481068" w:rsidRDefault="0051212F" w:rsidP="0051212F">
      <w:pPr>
        <w:spacing w:line="276" w:lineRule="auto"/>
        <w:jc w:val="both"/>
        <w:rPr>
          <w:rFonts w:ascii="Arial" w:hAnsi="Arial" w:cs="Arial"/>
          <w:color w:val="000000" w:themeColor="text1"/>
          <w:sz w:val="22"/>
          <w:lang w:val="es-ES_tradnl"/>
        </w:rPr>
      </w:pPr>
      <w:r w:rsidRPr="00481068">
        <w:rPr>
          <w:rFonts w:ascii="Arial" w:hAnsi="Arial" w:cs="Arial"/>
          <w:color w:val="000000" w:themeColor="text1"/>
          <w:sz w:val="22"/>
          <w:szCs w:val="22"/>
          <w:lang w:val="es-ES_tradnl"/>
        </w:rPr>
        <w:lastRenderedPageBreak/>
        <w:t>Este concepto tiene el alcance previsto en el artículo 28 del</w:t>
      </w:r>
      <w:r w:rsidRPr="00481068">
        <w:rPr>
          <w:rFonts w:ascii="Arial" w:hAnsi="Arial" w:cs="Arial"/>
          <w:color w:val="000000" w:themeColor="text1"/>
          <w:sz w:val="22"/>
          <w:lang w:val="es-ES_tradnl"/>
        </w:rPr>
        <w:t xml:space="preserve"> Código de Procedimiento Administrativo y de lo Contencioso Administrativo.</w:t>
      </w:r>
    </w:p>
    <w:bookmarkEnd w:id="8"/>
    <w:bookmarkEnd w:id="34"/>
    <w:p w14:paraId="6F54E9C9" w14:textId="77777777" w:rsidR="00003233" w:rsidRPr="00481068"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481068"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81068">
        <w:rPr>
          <w:rFonts w:ascii="Arial" w:hAnsi="Arial" w:cs="Arial"/>
          <w:color w:val="000000" w:themeColor="text1"/>
          <w:sz w:val="22"/>
          <w:szCs w:val="22"/>
          <w:lang w:val="es-ES_tradnl"/>
        </w:rPr>
        <w:t>Atentamente,</w:t>
      </w:r>
    </w:p>
    <w:p w14:paraId="10A1E411" w14:textId="27818C31" w:rsidR="00D40F8B" w:rsidRPr="00481068" w:rsidRDefault="003C6A5C"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2FEBF97C" wp14:editId="0ACEE10B">
            <wp:extent cx="2514600" cy="1114425"/>
            <wp:effectExtent l="0" t="0" r="0" b="9525"/>
            <wp:docPr id="3" name="Imagen 3"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1ED13883" w14:textId="77777777" w:rsidR="00003233" w:rsidRPr="00481068"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81068" w14:paraId="0C7DC5F7" w14:textId="77777777" w:rsidTr="00D40F8B">
        <w:trPr>
          <w:trHeight w:val="160"/>
        </w:trPr>
        <w:tc>
          <w:tcPr>
            <w:tcW w:w="812" w:type="dxa"/>
            <w:vAlign w:val="center"/>
            <w:hideMark/>
          </w:tcPr>
          <w:p w14:paraId="5BDB1AC9" w14:textId="77777777" w:rsidR="00DD5B04" w:rsidRPr="00481068" w:rsidRDefault="00DD5B04"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1798226" w14:textId="77777777" w:rsidR="00E00A83" w:rsidRPr="00481068" w:rsidRDefault="00E00A83" w:rsidP="009F3410">
            <w:pPr>
              <w:jc w:val="both"/>
              <w:rPr>
                <w:rFonts w:ascii="Arial" w:hAnsi="Arial" w:cs="Arial"/>
                <w:color w:val="000000"/>
                <w:sz w:val="16"/>
                <w:szCs w:val="16"/>
                <w:shd w:val="clear" w:color="auto" w:fill="FFFFFF"/>
              </w:rPr>
            </w:pPr>
            <w:r w:rsidRPr="00481068">
              <w:rPr>
                <w:rFonts w:ascii="Arial" w:hAnsi="Arial" w:cs="Arial"/>
                <w:color w:val="000000" w:themeColor="text1"/>
                <w:sz w:val="16"/>
                <w:szCs w:val="16"/>
                <w:lang w:val="es-ES_tradnl" w:eastAsia="es-ES"/>
              </w:rPr>
              <w:t>Juan David Montoya Penagos</w:t>
            </w:r>
            <w:r w:rsidRPr="00481068">
              <w:rPr>
                <w:rFonts w:ascii="Arial" w:hAnsi="Arial" w:cs="Arial"/>
                <w:color w:val="000000"/>
                <w:sz w:val="16"/>
                <w:szCs w:val="16"/>
                <w:shd w:val="clear" w:color="auto" w:fill="FFFFFF"/>
              </w:rPr>
              <w:t xml:space="preserve"> </w:t>
            </w:r>
          </w:p>
          <w:p w14:paraId="240C71FD" w14:textId="6F41918B" w:rsidR="00DD5B04" w:rsidRPr="00481068" w:rsidRDefault="009F3410" w:rsidP="009F3410">
            <w:pPr>
              <w:jc w:val="both"/>
              <w:rPr>
                <w:rFonts w:ascii="Arial" w:hAnsi="Arial" w:cs="Arial"/>
                <w:color w:val="000000" w:themeColor="text1"/>
                <w:sz w:val="16"/>
                <w:szCs w:val="16"/>
                <w:lang w:val="es-ES_tradnl" w:eastAsia="es-ES"/>
              </w:rPr>
            </w:pPr>
            <w:r w:rsidRPr="00481068">
              <w:rPr>
                <w:rFonts w:ascii="Arial" w:hAnsi="Arial" w:cs="Arial"/>
                <w:color w:val="000000"/>
                <w:sz w:val="16"/>
                <w:szCs w:val="16"/>
                <w:shd w:val="clear" w:color="auto" w:fill="FFFFFF"/>
              </w:rPr>
              <w:t>Gestor T1-15 de la </w:t>
            </w:r>
            <w:r w:rsidRPr="00481068">
              <w:rPr>
                <w:rFonts w:ascii="Arial" w:hAnsi="Arial" w:cs="Arial"/>
                <w:color w:val="000000" w:themeColor="text1"/>
                <w:sz w:val="16"/>
                <w:szCs w:val="16"/>
                <w:lang w:val="es-ES" w:eastAsia="es-ES"/>
              </w:rPr>
              <w:t>Subdirección de Gestión Contractual</w:t>
            </w:r>
          </w:p>
        </w:tc>
      </w:tr>
      <w:tr w:rsidR="00DD5B04" w:rsidRPr="00481068" w14:paraId="2F8FD650" w14:textId="77777777" w:rsidTr="00D15356">
        <w:trPr>
          <w:trHeight w:val="330"/>
        </w:trPr>
        <w:tc>
          <w:tcPr>
            <w:tcW w:w="812" w:type="dxa"/>
            <w:vAlign w:val="center"/>
            <w:hideMark/>
          </w:tcPr>
          <w:p w14:paraId="50203A0B" w14:textId="77777777" w:rsidR="00DD5B04" w:rsidRPr="00481068" w:rsidRDefault="00DD5B04"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6D82C0FF" w:rsidR="00B17563" w:rsidRPr="00481068" w:rsidRDefault="00E00A83" w:rsidP="00F412DF">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eastAsia="es-ES"/>
              </w:rPr>
              <w:t>Alejandro Sarmiento Cantillo</w:t>
            </w:r>
            <w:r w:rsidRPr="00481068">
              <w:rPr>
                <w:rFonts w:ascii="Arial" w:hAnsi="Arial" w:cs="Arial"/>
                <w:color w:val="000000" w:themeColor="text1"/>
                <w:sz w:val="16"/>
                <w:szCs w:val="16"/>
                <w:lang w:val="es-ES_tradnl" w:eastAsia="es-ES"/>
              </w:rPr>
              <w:t xml:space="preserve"> </w:t>
            </w:r>
          </w:p>
          <w:p w14:paraId="130B3228" w14:textId="6F49F386" w:rsidR="00DD5B04" w:rsidRPr="00481068" w:rsidRDefault="009F3410" w:rsidP="00F412DF">
            <w:pPr>
              <w:jc w:val="both"/>
              <w:rPr>
                <w:rFonts w:ascii="Arial" w:hAnsi="Arial" w:cs="Arial"/>
                <w:color w:val="000000" w:themeColor="text1"/>
                <w:sz w:val="16"/>
                <w:szCs w:val="16"/>
                <w:lang w:val="es-ES_tradnl" w:eastAsia="es-ES"/>
              </w:rPr>
            </w:pPr>
            <w:r w:rsidRPr="00481068">
              <w:rPr>
                <w:rFonts w:ascii="Arial" w:hAnsi="Arial" w:cs="Arial"/>
                <w:color w:val="000000"/>
                <w:sz w:val="16"/>
                <w:szCs w:val="16"/>
                <w:shd w:val="clear" w:color="auto" w:fill="FFFFFF"/>
              </w:rPr>
              <w:t>Gestor T1-15</w:t>
            </w:r>
            <w:r w:rsidR="00F412DF" w:rsidRPr="00481068">
              <w:rPr>
                <w:rFonts w:ascii="Arial" w:hAnsi="Arial" w:cs="Arial"/>
                <w:color w:val="000000"/>
                <w:sz w:val="16"/>
                <w:szCs w:val="16"/>
                <w:shd w:val="clear" w:color="auto" w:fill="FFFFFF"/>
              </w:rPr>
              <w:t xml:space="preserve"> de la </w:t>
            </w:r>
            <w:r w:rsidR="00F412DF" w:rsidRPr="00481068">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481068" w:rsidRDefault="00DD5B04"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81068" w:rsidRDefault="00C05A61"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 xml:space="preserve">Jorge </w:t>
            </w:r>
            <w:r w:rsidR="00647A36" w:rsidRPr="00481068">
              <w:rPr>
                <w:rFonts w:ascii="Arial" w:hAnsi="Arial" w:cs="Arial"/>
                <w:color w:val="000000" w:themeColor="text1"/>
                <w:sz w:val="16"/>
                <w:szCs w:val="16"/>
                <w:lang w:val="es-ES_tradnl" w:eastAsia="es-ES"/>
              </w:rPr>
              <w:t xml:space="preserve">Augusto </w:t>
            </w:r>
            <w:r w:rsidRPr="00481068">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481068">
              <w:rPr>
                <w:rFonts w:ascii="Arial" w:hAnsi="Arial" w:cs="Arial"/>
                <w:color w:val="000000" w:themeColor="text1"/>
                <w:sz w:val="16"/>
                <w:szCs w:val="16"/>
                <w:lang w:val="es-ES_tradnl" w:eastAsia="es-ES"/>
              </w:rPr>
              <w:t>Subdirector de Gestión Contractual</w:t>
            </w:r>
            <w:r w:rsidR="00973AA2" w:rsidRPr="00481068">
              <w:rPr>
                <w:rFonts w:ascii="Arial" w:hAnsi="Arial" w:cs="Arial"/>
                <w:color w:val="000000" w:themeColor="text1"/>
                <w:sz w:val="16"/>
                <w:szCs w:val="16"/>
                <w:lang w:val="es-ES_tradnl" w:eastAsia="es-ES"/>
              </w:rPr>
              <w:t xml:space="preserve"> </w:t>
            </w:r>
            <w:r w:rsidR="00973AA2" w:rsidRPr="00481068">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8B96" w14:textId="77777777" w:rsidR="0055348E" w:rsidRDefault="0055348E">
      <w:r>
        <w:separator/>
      </w:r>
    </w:p>
  </w:endnote>
  <w:endnote w:type="continuationSeparator" w:id="0">
    <w:p w14:paraId="0689B1D2" w14:textId="77777777" w:rsidR="0055348E" w:rsidRDefault="0055348E">
      <w:r>
        <w:continuationSeparator/>
      </w:r>
    </w:p>
  </w:endnote>
  <w:endnote w:type="continuationNotice" w:id="1">
    <w:p w14:paraId="61A5C5C5" w14:textId="77777777" w:rsidR="0055348E" w:rsidRDefault="00553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B7A4" w14:textId="77777777" w:rsidR="0055348E" w:rsidRDefault="0055348E">
      <w:r>
        <w:separator/>
      </w:r>
    </w:p>
  </w:footnote>
  <w:footnote w:type="continuationSeparator" w:id="0">
    <w:p w14:paraId="6F4DB5CB" w14:textId="77777777" w:rsidR="0055348E" w:rsidRDefault="0055348E">
      <w:r>
        <w:continuationSeparator/>
      </w:r>
    </w:p>
  </w:footnote>
  <w:footnote w:type="continuationNotice" w:id="1">
    <w:p w14:paraId="3874C3EC" w14:textId="77777777" w:rsidR="0055348E" w:rsidRDefault="0055348E"/>
  </w:footnote>
  <w:footnote w:id="2">
    <w:p w14:paraId="3EAC3DAF" w14:textId="77777777" w:rsidR="00524963" w:rsidRPr="00A0627B" w:rsidRDefault="00524963" w:rsidP="00E20A7A">
      <w:pPr>
        <w:pStyle w:val="Textonotapie"/>
        <w:ind w:firstLine="708"/>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«Artículo 3°. Funciones. La Agencia Nacional de Contratación Pública –Colombia Compra Eficiente– ejercerá las siguientes funciones: </w:t>
      </w:r>
    </w:p>
    <w:p w14:paraId="70C73CDC" w14:textId="77777777" w:rsidR="00524963" w:rsidRPr="00A0627B" w:rsidRDefault="00524963" w:rsidP="00E20A7A">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 xml:space="preserve">»[...] </w:t>
      </w:r>
    </w:p>
    <w:p w14:paraId="2676BF68" w14:textId="77777777" w:rsidR="00524963" w:rsidRPr="00A0627B" w:rsidRDefault="00524963" w:rsidP="00E20A7A">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»5. Absolver consultas sobre la aplicación de normas de carácter general y expedir circulares externas en materia de compras y contratación pública».</w:t>
      </w:r>
    </w:p>
    <w:p w14:paraId="3499B972" w14:textId="77777777" w:rsidR="00524963" w:rsidRPr="00A0627B" w:rsidRDefault="00524963" w:rsidP="00E20A7A">
      <w:pPr>
        <w:pStyle w:val="Textonotapie"/>
        <w:ind w:firstLine="709"/>
        <w:contextualSpacing/>
        <w:jc w:val="both"/>
        <w:rPr>
          <w:rFonts w:ascii="Arial" w:hAnsi="Arial" w:cs="Arial"/>
          <w:sz w:val="19"/>
          <w:szCs w:val="19"/>
          <w:lang w:val="es-ES"/>
        </w:rPr>
      </w:pPr>
      <w:r w:rsidRPr="00A0627B">
        <w:rPr>
          <w:rFonts w:ascii="Arial" w:eastAsia="Times New Roman" w:hAnsi="Arial" w:cs="Arial"/>
          <w:sz w:val="19"/>
          <w:szCs w:val="19"/>
          <w:lang w:val="es-CO" w:eastAsia="es-ES_tradnl"/>
        </w:rPr>
        <w:t>«</w:t>
      </w:r>
      <w:r w:rsidRPr="00A0627B">
        <w:rPr>
          <w:rFonts w:ascii="Arial" w:hAnsi="Arial" w:cs="Arial"/>
          <w:sz w:val="19"/>
          <w:szCs w:val="19"/>
          <w:lang w:val="es-ES"/>
        </w:rPr>
        <w:t xml:space="preserve">Artículo 11. Subdirección de Gestión Contractual. Son funciones de la Subdirección de Gestión Contractual las siguientes: </w:t>
      </w:r>
    </w:p>
    <w:p w14:paraId="086C1AE4" w14:textId="77777777" w:rsidR="00524963" w:rsidRPr="00A0627B" w:rsidRDefault="00524963" w:rsidP="00E20A7A">
      <w:pPr>
        <w:pStyle w:val="Textonotapie"/>
        <w:ind w:firstLine="709"/>
        <w:contextualSpacing/>
        <w:jc w:val="both"/>
        <w:rPr>
          <w:rFonts w:ascii="Arial" w:hAnsi="Arial" w:cs="Arial"/>
          <w:sz w:val="19"/>
          <w:szCs w:val="19"/>
          <w:lang w:val="es-ES"/>
        </w:rPr>
      </w:pPr>
      <w:r w:rsidRPr="00A0627B">
        <w:rPr>
          <w:rFonts w:ascii="Arial" w:hAnsi="Arial" w:cs="Arial"/>
          <w:sz w:val="19"/>
          <w:szCs w:val="19"/>
          <w:lang w:val="es-ES"/>
        </w:rPr>
        <w:t xml:space="preserve">»[...] </w:t>
      </w:r>
    </w:p>
    <w:p w14:paraId="36505374" w14:textId="77777777" w:rsidR="00524963" w:rsidRPr="00A0627B" w:rsidRDefault="00524963" w:rsidP="00E20A7A">
      <w:pPr>
        <w:pStyle w:val="Textonotapie"/>
        <w:ind w:firstLine="708"/>
        <w:contextualSpacing/>
        <w:jc w:val="both"/>
        <w:rPr>
          <w:rFonts w:ascii="Arial" w:hAnsi="Arial" w:cs="Arial"/>
          <w:sz w:val="19"/>
          <w:szCs w:val="19"/>
        </w:rPr>
      </w:pPr>
      <w:r w:rsidRPr="00A0627B">
        <w:rPr>
          <w:rFonts w:ascii="Arial" w:eastAsia="Times New Roman" w:hAnsi="Arial" w:cs="Arial"/>
          <w:sz w:val="19"/>
          <w:szCs w:val="19"/>
          <w:lang w:val="es-CO" w:eastAsia="es-ES_tradnl"/>
        </w:rPr>
        <w:t>»</w:t>
      </w:r>
      <w:r w:rsidRPr="00A0627B">
        <w:rPr>
          <w:rFonts w:ascii="Arial" w:hAnsi="Arial" w:cs="Arial"/>
          <w:sz w:val="19"/>
          <w:szCs w:val="19"/>
          <w:lang w:val="es-ES"/>
        </w:rPr>
        <w:t>8. Absolver consultas sobre la aplicación de normas de carácter general».</w:t>
      </w:r>
    </w:p>
  </w:footnote>
  <w:footnote w:id="3">
    <w:p w14:paraId="1EB34580"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1C80805" w14:textId="79881E28" w:rsidR="00963B93" w:rsidRPr="00A0627B" w:rsidRDefault="00963B93" w:rsidP="00E20A7A">
      <w:pPr>
        <w:pStyle w:val="Textonotapie"/>
        <w:ind w:firstLine="709"/>
        <w:contextualSpacing/>
        <w:jc w:val="both"/>
        <w:rPr>
          <w:rFonts w:ascii="Arial" w:hAnsi="Arial" w:cs="Arial"/>
          <w:sz w:val="19"/>
          <w:szCs w:val="19"/>
        </w:rPr>
      </w:pPr>
      <w:proofErr w:type="gramStart"/>
      <w:r w:rsidRPr="00A0627B">
        <w:rPr>
          <w:rFonts w:ascii="Arial" w:hAnsi="Arial" w:cs="Arial"/>
          <w:sz w:val="19"/>
          <w:szCs w:val="19"/>
        </w:rPr>
        <w:t>»A</w:t>
      </w:r>
      <w:proofErr w:type="gramEnd"/>
      <w:r w:rsidRPr="00A0627B">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11E8664F"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Gaceta del Congreso de la República No. 71 del 2005.</w:t>
      </w:r>
    </w:p>
  </w:footnote>
  <w:footnote w:id="5">
    <w:p w14:paraId="1BA9AAE9"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Corte Constitucional, Sentencia C- 1153 de 2005, M.P. Marco Gerardo Monroy Cabra.</w:t>
      </w:r>
    </w:p>
  </w:footnote>
  <w:footnote w:id="6">
    <w:p w14:paraId="570E67B0"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5EACA9DF" w14:textId="77777777" w:rsidR="00963B93" w:rsidRPr="00A0627B" w:rsidRDefault="00963B93" w:rsidP="00E20A7A">
      <w:pPr>
        <w:pStyle w:val="Textonotapie"/>
        <w:ind w:firstLine="709"/>
        <w:contextualSpacing/>
        <w:jc w:val="both"/>
        <w:rPr>
          <w:rFonts w:ascii="Arial" w:hAnsi="Arial" w:cs="Arial"/>
          <w:sz w:val="19"/>
          <w:szCs w:val="19"/>
          <w:lang w:val="es-CO"/>
        </w:rPr>
      </w:pPr>
      <w:r w:rsidRPr="00A0627B">
        <w:rPr>
          <w:rStyle w:val="Refdenotaalpie"/>
          <w:rFonts w:ascii="Arial" w:hAnsi="Arial" w:cs="Arial"/>
          <w:sz w:val="19"/>
          <w:szCs w:val="19"/>
        </w:rPr>
        <w:footnoteRef/>
      </w:r>
      <w:r w:rsidRPr="00A0627B">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20FDAF2C" w14:textId="77777777" w:rsidR="00963B93" w:rsidRPr="00A0627B" w:rsidRDefault="00963B93" w:rsidP="00E20A7A">
      <w:pPr>
        <w:pStyle w:val="Textonotapie"/>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Consejo de Estado, Sala de Consulta y Servicio Civil de fecha 24 de julio de 2013, radicado 2166, </w:t>
      </w:r>
      <w:proofErr w:type="gramStart"/>
      <w:r w:rsidRPr="00A0627B">
        <w:rPr>
          <w:rFonts w:ascii="Arial" w:hAnsi="Arial" w:cs="Arial"/>
          <w:sz w:val="19"/>
          <w:szCs w:val="19"/>
        </w:rPr>
        <w:t>Consejero</w:t>
      </w:r>
      <w:proofErr w:type="gramEnd"/>
      <w:r w:rsidRPr="00A0627B">
        <w:rPr>
          <w:rFonts w:ascii="Arial" w:hAnsi="Arial" w:cs="Arial"/>
          <w:sz w:val="19"/>
          <w:szCs w:val="19"/>
        </w:rPr>
        <w:t xml:space="preserve"> Ponente: Álvaro </w:t>
      </w:r>
      <w:proofErr w:type="spellStart"/>
      <w:r w:rsidRPr="00A0627B">
        <w:rPr>
          <w:rFonts w:ascii="Arial" w:hAnsi="Arial" w:cs="Arial"/>
          <w:sz w:val="19"/>
          <w:szCs w:val="19"/>
        </w:rPr>
        <w:t>Namén</w:t>
      </w:r>
      <w:proofErr w:type="spellEnd"/>
      <w:r w:rsidRPr="00A0627B">
        <w:rPr>
          <w:rFonts w:ascii="Arial" w:hAnsi="Arial" w:cs="Arial"/>
          <w:sz w:val="19"/>
          <w:szCs w:val="19"/>
        </w:rPr>
        <w:t xml:space="preserve"> Vargas.  </w:t>
      </w:r>
    </w:p>
  </w:footnote>
  <w:footnote w:id="9">
    <w:p w14:paraId="3F35F8AF" w14:textId="77777777" w:rsidR="00963B93" w:rsidRPr="00A0627B" w:rsidRDefault="00963B93" w:rsidP="00E20A7A">
      <w:pPr>
        <w:ind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w:t>
      </w:r>
      <w:bookmarkStart w:id="20" w:name="33"/>
      <w:r w:rsidRPr="00A0627B">
        <w:rPr>
          <w:rFonts w:ascii="Arial" w:eastAsia="Calibri" w:hAnsi="Arial" w:cs="Arial"/>
          <w:bCs/>
          <w:color w:val="000000"/>
          <w:sz w:val="19"/>
          <w:szCs w:val="19"/>
        </w:rPr>
        <w:t>«</w:t>
      </w:r>
      <w:r w:rsidRPr="00A0627B">
        <w:rPr>
          <w:rFonts w:ascii="Arial" w:hAnsi="Arial" w:cs="Arial"/>
          <w:sz w:val="19"/>
          <w:szCs w:val="19"/>
        </w:rPr>
        <w:t>Artículo 33. Restricciones a la contratación pública.</w:t>
      </w:r>
      <w:bookmarkEnd w:id="20"/>
      <w:r w:rsidRPr="00A0627B">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14923947" w14:textId="77777777" w:rsidR="00963B93" w:rsidRPr="00A0627B" w:rsidRDefault="00963B93" w:rsidP="00E20A7A">
      <w:pPr>
        <w:ind w:firstLine="709"/>
        <w:contextualSpacing/>
        <w:jc w:val="both"/>
        <w:rPr>
          <w:rFonts w:ascii="Arial" w:hAnsi="Arial" w:cs="Arial"/>
          <w:sz w:val="19"/>
          <w:szCs w:val="19"/>
        </w:rPr>
      </w:pPr>
      <w:r w:rsidRPr="00A0627B">
        <w:rPr>
          <w:rFonts w:ascii="Arial" w:eastAsia="Calibri" w:hAnsi="Arial" w:cs="Arial"/>
          <w:bCs/>
          <w:color w:val="000000"/>
          <w:sz w:val="19"/>
          <w:szCs w:val="19"/>
        </w:rPr>
        <w:t>»</w:t>
      </w:r>
      <w:r w:rsidRPr="00A0627B">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0627B">
        <w:rPr>
          <w:rFonts w:ascii="Arial" w:eastAsia="Calibri" w:hAnsi="Arial" w:cs="Arial"/>
          <w:bCs/>
          <w:color w:val="000000"/>
          <w:sz w:val="19"/>
          <w:szCs w:val="19"/>
        </w:rPr>
        <w:t>»</w:t>
      </w:r>
      <w:r w:rsidRPr="00A0627B">
        <w:rPr>
          <w:rFonts w:ascii="Arial" w:hAnsi="Arial" w:cs="Arial"/>
          <w:sz w:val="19"/>
          <w:szCs w:val="19"/>
        </w:rPr>
        <w:t>.</w:t>
      </w:r>
    </w:p>
  </w:footnote>
  <w:footnote w:id="10">
    <w:p w14:paraId="48AC1B41" w14:textId="77777777" w:rsidR="00963B93" w:rsidRPr="00A0627B" w:rsidRDefault="00963B93" w:rsidP="00E20A7A">
      <w:pPr>
        <w:pStyle w:val="NormalWeb"/>
        <w:spacing w:before="0" w:beforeAutospacing="0" w:after="0" w:afterAutospacing="0"/>
        <w:ind w:firstLine="709"/>
        <w:contextualSpacing/>
        <w:jc w:val="both"/>
        <w:rPr>
          <w:rFonts w:ascii="Arial" w:hAnsi="Arial" w:cs="Arial"/>
          <w:sz w:val="19"/>
          <w:szCs w:val="19"/>
          <w:lang w:val="es-MX"/>
        </w:rPr>
      </w:pPr>
      <w:r w:rsidRPr="00A0627B">
        <w:rPr>
          <w:rStyle w:val="Refdenotaalpie"/>
          <w:rFonts w:ascii="Arial" w:hAnsi="Arial" w:cs="Arial"/>
          <w:sz w:val="19"/>
          <w:szCs w:val="19"/>
        </w:rPr>
        <w:footnoteRef/>
      </w:r>
      <w:r w:rsidRPr="00A0627B">
        <w:rPr>
          <w:rFonts w:ascii="Arial" w:hAnsi="Arial" w:cs="Arial"/>
          <w:sz w:val="19"/>
          <w:szCs w:val="19"/>
        </w:rPr>
        <w:t xml:space="preserve"> </w:t>
      </w:r>
      <w:bookmarkStart w:id="21" w:name="38"/>
      <w:r w:rsidRPr="00A0627B">
        <w:rPr>
          <w:rFonts w:ascii="Arial" w:eastAsia="Calibri" w:hAnsi="Arial" w:cs="Arial"/>
          <w:bCs/>
          <w:color w:val="000000"/>
          <w:sz w:val="19"/>
          <w:szCs w:val="19"/>
        </w:rPr>
        <w:t>«</w:t>
      </w:r>
      <w:r w:rsidRPr="00A0627B">
        <w:rPr>
          <w:rFonts w:ascii="Arial" w:hAnsi="Arial" w:cs="Arial"/>
          <w:sz w:val="19"/>
          <w:szCs w:val="19"/>
          <w:lang w:val="es-MX"/>
        </w:rPr>
        <w:t>Artículo 38. Prohibiciones para los servidores públicos. A los empleados del Estado les está prohibido:</w:t>
      </w:r>
      <w:bookmarkEnd w:id="21"/>
    </w:p>
    <w:p w14:paraId="0D9E6AE0" w14:textId="77777777" w:rsidR="00963B93" w:rsidRPr="00A0627B" w:rsidRDefault="00963B93" w:rsidP="00E20A7A">
      <w:pPr>
        <w:pStyle w:val="NormalWeb"/>
        <w:spacing w:before="0" w:beforeAutospacing="0" w:after="0" w:afterAutospacing="0"/>
        <w:ind w:firstLine="709"/>
        <w:contextualSpacing/>
        <w:jc w:val="both"/>
        <w:rPr>
          <w:rFonts w:ascii="Arial" w:hAnsi="Arial" w:cs="Arial"/>
          <w:sz w:val="19"/>
          <w:szCs w:val="19"/>
          <w:lang w:val="es-MX"/>
        </w:rPr>
      </w:pPr>
      <w:r w:rsidRPr="00A0627B">
        <w:rPr>
          <w:rFonts w:ascii="Arial" w:eastAsia="Calibri" w:hAnsi="Arial" w:cs="Arial"/>
          <w:bCs/>
          <w:color w:val="000000"/>
          <w:sz w:val="19"/>
          <w:szCs w:val="19"/>
        </w:rPr>
        <w:t>»</w:t>
      </w:r>
      <w:r w:rsidRPr="00A0627B">
        <w:rPr>
          <w:rFonts w:ascii="Arial" w:hAnsi="Arial" w:cs="Arial"/>
          <w:sz w:val="19"/>
          <w:szCs w:val="19"/>
          <w:lang w:val="es-MX"/>
        </w:rPr>
        <w:t xml:space="preserve"> […]</w:t>
      </w:r>
    </w:p>
    <w:p w14:paraId="1176DA2F" w14:textId="77777777" w:rsidR="00963B93" w:rsidRPr="00A0627B" w:rsidRDefault="00963B93" w:rsidP="00E20A7A">
      <w:pPr>
        <w:pStyle w:val="NormalWeb"/>
        <w:spacing w:before="0" w:beforeAutospacing="0" w:after="0" w:afterAutospacing="0"/>
        <w:ind w:firstLine="709"/>
        <w:contextualSpacing/>
        <w:jc w:val="both"/>
        <w:rPr>
          <w:rFonts w:ascii="Arial" w:hAnsi="Arial" w:cs="Arial"/>
          <w:sz w:val="19"/>
          <w:szCs w:val="19"/>
          <w:lang w:val="es-MX"/>
        </w:rPr>
      </w:pPr>
      <w:r w:rsidRPr="00A0627B">
        <w:rPr>
          <w:rFonts w:ascii="Arial" w:eastAsia="Calibri" w:hAnsi="Arial" w:cs="Arial"/>
          <w:bCs/>
          <w:color w:val="000000"/>
          <w:sz w:val="19"/>
          <w:szCs w:val="19"/>
        </w:rPr>
        <w:t>»</w:t>
      </w:r>
      <w:r w:rsidRPr="00A0627B">
        <w:rPr>
          <w:rStyle w:val="baj"/>
          <w:rFonts w:ascii="Arial" w:hAnsi="Arial" w:cs="Arial"/>
          <w:sz w:val="19"/>
          <w:szCs w:val="19"/>
          <w:lang w:val="es-MX"/>
        </w:rPr>
        <w:t xml:space="preserve"> Parágrafo.</w:t>
      </w:r>
      <w:r w:rsidRPr="00A0627B">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0627B">
        <w:rPr>
          <w:rFonts w:ascii="Arial" w:eastAsia="Calibri" w:hAnsi="Arial" w:cs="Arial"/>
          <w:bCs/>
          <w:color w:val="000000"/>
          <w:sz w:val="19"/>
          <w:szCs w:val="19"/>
        </w:rPr>
        <w:t>»</w:t>
      </w:r>
      <w:r w:rsidRPr="00A0627B">
        <w:rPr>
          <w:rFonts w:ascii="Arial" w:hAnsi="Arial" w:cs="Arial"/>
          <w:sz w:val="19"/>
          <w:szCs w:val="19"/>
          <w:lang w:val="es-MX"/>
        </w:rPr>
        <w:t>.</w:t>
      </w:r>
    </w:p>
  </w:footnote>
  <w:footnote w:id="11">
    <w:p w14:paraId="179D0981" w14:textId="77777777" w:rsidR="00963B93" w:rsidRPr="00A0627B" w:rsidRDefault="00963B93" w:rsidP="00E20A7A">
      <w:pPr>
        <w:ind w:left="100" w:right="244" w:firstLine="709"/>
        <w:contextualSpacing/>
        <w:jc w:val="both"/>
        <w:rPr>
          <w:rFonts w:ascii="Arial" w:hAnsi="Arial" w:cs="Arial"/>
          <w:sz w:val="19"/>
          <w:szCs w:val="19"/>
          <w:lang w:val="es-ES"/>
        </w:rPr>
      </w:pPr>
      <w:r w:rsidRPr="00A0627B">
        <w:rPr>
          <w:rStyle w:val="Refdenotaalpie"/>
          <w:rFonts w:ascii="Arial" w:hAnsi="Arial" w:cs="Arial"/>
          <w:sz w:val="19"/>
          <w:szCs w:val="19"/>
        </w:rPr>
        <w:footnoteRef/>
      </w:r>
      <w:r w:rsidRPr="00A0627B">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2E0912E5"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w:t>
      </w:r>
      <w:r w:rsidRPr="00A0627B">
        <w:rPr>
          <w:rFonts w:ascii="Arial" w:hAnsi="Arial" w:cs="Arial"/>
          <w:color w:val="000000"/>
          <w:sz w:val="19"/>
          <w:szCs w:val="19"/>
          <w:lang w:val="es-ES"/>
        </w:rPr>
        <w:t xml:space="preserve">[25] </w:t>
      </w:r>
      <w:r w:rsidRPr="00A0627B">
        <w:rPr>
          <w:rFonts w:ascii="Arial" w:hAnsi="Arial" w:cs="Arial"/>
          <w:color w:val="000000"/>
          <w:sz w:val="19"/>
          <w:szCs w:val="19"/>
        </w:rPr>
        <w:t>Cfr. Consejo de Estado. Sección Tercera. Sentencia de 3 de diciembre de 2007. Radicados: 24.715, 25.206, 25.409, 24.524, 27.834, 25.410, 26.105, 28.244, 31.447 -acumulados-».</w:t>
      </w:r>
    </w:p>
  </w:footnote>
  <w:footnote w:id="13">
    <w:p w14:paraId="2D26AD8A"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w:t>
      </w:r>
      <w:r w:rsidRPr="00A0627B">
        <w:rPr>
          <w:rFonts w:ascii="Arial" w:hAnsi="Arial" w:cs="Arial"/>
          <w:color w:val="000000"/>
          <w:sz w:val="19"/>
          <w:szCs w:val="19"/>
          <w:lang w:val="es-ES"/>
        </w:rPr>
        <w:t xml:space="preserve">[26] </w:t>
      </w:r>
      <w:r w:rsidRPr="00A0627B">
        <w:rPr>
          <w:rFonts w:ascii="Arial" w:hAnsi="Arial" w:cs="Arial"/>
          <w:color w:val="000000"/>
          <w:sz w:val="19"/>
          <w:szCs w:val="19"/>
        </w:rPr>
        <w:t>Al respecto ver el concepto 1712 de 2 de febrero de 2006. Consejo de Estado Sala de Consulta y Servicio Civil».</w:t>
      </w:r>
    </w:p>
  </w:footnote>
  <w:footnote w:id="14">
    <w:p w14:paraId="3FDC5283"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Consejo de Estado. Sala de Consulta y Servicio Civil. Concepto del 2 de septiembre de 2013. Radicación número: 11001-03-06-000-2013-00412-00 (2168). Consejero Ponente: Álvaro </w:t>
      </w:r>
      <w:proofErr w:type="spellStart"/>
      <w:r w:rsidRPr="00A0627B">
        <w:rPr>
          <w:rFonts w:ascii="Arial" w:hAnsi="Arial" w:cs="Arial"/>
          <w:color w:val="000000"/>
          <w:sz w:val="19"/>
          <w:szCs w:val="19"/>
        </w:rPr>
        <w:t>Namén</w:t>
      </w:r>
      <w:proofErr w:type="spellEnd"/>
      <w:r w:rsidRPr="00A0627B">
        <w:rPr>
          <w:rFonts w:ascii="Arial" w:hAnsi="Arial" w:cs="Arial"/>
          <w:color w:val="000000"/>
          <w:sz w:val="19"/>
          <w:szCs w:val="19"/>
        </w:rPr>
        <w:t xml:space="preserve"> Vargas.</w:t>
      </w:r>
    </w:p>
  </w:footnote>
  <w:footnote w:id="15">
    <w:p w14:paraId="02563B18" w14:textId="77777777" w:rsidR="00524963" w:rsidRPr="00A0627B" w:rsidRDefault="00524963" w:rsidP="00E20A7A">
      <w:pPr>
        <w:pStyle w:val="Textonotapie"/>
        <w:ind w:firstLine="709"/>
        <w:jc w:val="both"/>
        <w:rPr>
          <w:rFonts w:ascii="Arial" w:hAnsi="Arial" w:cs="Arial"/>
          <w:color w:val="000000"/>
          <w:sz w:val="19"/>
          <w:szCs w:val="19"/>
          <w:lang w:val="es-ES"/>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w:t>
      </w:r>
      <w:r w:rsidRPr="00A0627B">
        <w:rPr>
          <w:rFonts w:ascii="Arial" w:hAnsi="Arial" w:cs="Arial"/>
          <w:color w:val="000000"/>
          <w:sz w:val="19"/>
          <w:szCs w:val="19"/>
          <w:lang w:val="es-ES"/>
        </w:rPr>
        <w:t xml:space="preserve">Artículo 2. </w:t>
      </w:r>
    </w:p>
  </w:footnote>
  <w:footnote w:id="16">
    <w:p w14:paraId="4125B07B" w14:textId="77777777" w:rsidR="00524963" w:rsidRPr="00A0627B" w:rsidRDefault="00524963" w:rsidP="00E20A7A">
      <w:pPr>
        <w:pStyle w:val="Textonotapie"/>
        <w:ind w:firstLine="709"/>
        <w:jc w:val="both"/>
        <w:rPr>
          <w:rFonts w:ascii="Arial" w:hAnsi="Arial" w:cs="Arial"/>
          <w:color w:val="000000"/>
          <w:sz w:val="19"/>
          <w:szCs w:val="19"/>
          <w:lang w:val="es-ES"/>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w:t>
      </w:r>
      <w:r w:rsidRPr="00A0627B">
        <w:rPr>
          <w:rFonts w:ascii="Arial" w:hAnsi="Arial" w:cs="Arial"/>
          <w:i/>
          <w:color w:val="000000"/>
          <w:sz w:val="19"/>
          <w:szCs w:val="19"/>
          <w:lang w:val="es-ES"/>
        </w:rPr>
        <w:t>Ídem</w:t>
      </w:r>
      <w:r w:rsidRPr="00A0627B">
        <w:rPr>
          <w:rFonts w:ascii="Arial" w:hAnsi="Arial" w:cs="Arial"/>
          <w:color w:val="000000"/>
          <w:sz w:val="19"/>
          <w:szCs w:val="19"/>
          <w:lang w:val="es-ES"/>
        </w:rPr>
        <w:t>.</w:t>
      </w:r>
    </w:p>
  </w:footnote>
  <w:footnote w:id="17">
    <w:p w14:paraId="5DF03155" w14:textId="77777777" w:rsidR="00524963" w:rsidRPr="00A0627B" w:rsidRDefault="00524963" w:rsidP="00E20A7A">
      <w:pPr>
        <w:pStyle w:val="Textonotapie"/>
        <w:ind w:firstLine="709"/>
        <w:jc w:val="both"/>
        <w:rPr>
          <w:rFonts w:ascii="Arial" w:hAnsi="Arial" w:cs="Arial"/>
          <w:color w:val="000000"/>
          <w:sz w:val="19"/>
          <w:szCs w:val="19"/>
          <w:lang w:val="es-ES"/>
        </w:rPr>
      </w:pPr>
      <w:r w:rsidRPr="00A0627B">
        <w:rPr>
          <w:rStyle w:val="Refdenotaalpie"/>
          <w:rFonts w:ascii="Arial" w:hAnsi="Arial" w:cs="Arial"/>
          <w:sz w:val="19"/>
          <w:szCs w:val="19"/>
        </w:rPr>
        <w:footnoteRef/>
      </w:r>
      <w:r w:rsidRPr="00A0627B">
        <w:rPr>
          <w:rStyle w:val="Refdenotaalpie"/>
          <w:rFonts w:ascii="Arial" w:hAnsi="Arial" w:cs="Arial"/>
          <w:color w:val="000000"/>
          <w:sz w:val="19"/>
          <w:szCs w:val="19"/>
        </w:rPr>
        <w:t xml:space="preserve"> </w:t>
      </w:r>
      <w:r w:rsidRPr="00A0627B">
        <w:rPr>
          <w:rFonts w:ascii="Arial" w:hAnsi="Arial" w:cs="Arial"/>
          <w:color w:val="000000"/>
          <w:sz w:val="19"/>
          <w:szCs w:val="19"/>
          <w:lang w:val="es-ES"/>
        </w:rPr>
        <w:t xml:space="preserve">«[…] A este respecto, cabe recordar que el artículo 860 del Código de Comercio regula la licitación en el derecho privado». </w:t>
      </w:r>
    </w:p>
  </w:footnote>
  <w:footnote w:id="18">
    <w:p w14:paraId="62A161C5" w14:textId="77777777" w:rsidR="00524963" w:rsidRPr="00A0627B" w:rsidRDefault="00524963" w:rsidP="00E20A7A">
      <w:pPr>
        <w:shd w:val="clear" w:color="auto" w:fill="FFFFFF"/>
        <w:ind w:firstLine="709"/>
        <w:jc w:val="both"/>
        <w:rPr>
          <w:rFonts w:ascii="Arial" w:hAnsi="Arial" w:cs="Arial"/>
          <w:color w:val="000000"/>
          <w:sz w:val="19"/>
          <w:szCs w:val="19"/>
          <w:lang w:val="es-ES"/>
        </w:rPr>
      </w:pPr>
      <w:r w:rsidRPr="00A0627B">
        <w:rPr>
          <w:rStyle w:val="Refdenotaalpie"/>
          <w:rFonts w:ascii="Arial" w:hAnsi="Arial" w:cs="Arial"/>
          <w:sz w:val="19"/>
          <w:szCs w:val="19"/>
        </w:rPr>
        <w:footnoteRef/>
      </w:r>
      <w:r w:rsidRPr="00A0627B">
        <w:rPr>
          <w:rStyle w:val="Refdenotaalpie"/>
          <w:rFonts w:ascii="Arial" w:hAnsi="Arial" w:cs="Arial"/>
          <w:color w:val="000000"/>
          <w:sz w:val="19"/>
          <w:szCs w:val="19"/>
        </w:rPr>
        <w:t xml:space="preserve"> </w:t>
      </w:r>
      <w:r w:rsidRPr="00A0627B">
        <w:rPr>
          <w:rFonts w:ascii="Arial" w:hAnsi="Arial" w:cs="Arial"/>
          <w:color w:val="000000"/>
          <w:sz w:val="19"/>
          <w:szCs w:val="19"/>
          <w:lang w:val="es-ES"/>
        </w:rPr>
        <w:t xml:space="preserve">Consejo de Estado. Sala de Consulta y Servicio Civil, Concepto de 8 de mayo de 2018. Radicación Número: 11001-03-06-000-2018-00095-00(2382). Consejero Ponente: Álvaro </w:t>
      </w:r>
      <w:proofErr w:type="spellStart"/>
      <w:r w:rsidRPr="00A0627B">
        <w:rPr>
          <w:rFonts w:ascii="Arial" w:hAnsi="Arial" w:cs="Arial"/>
          <w:color w:val="000000"/>
          <w:sz w:val="19"/>
          <w:szCs w:val="19"/>
          <w:lang w:val="es-ES"/>
        </w:rPr>
        <w:t>Namén</w:t>
      </w:r>
      <w:proofErr w:type="spellEnd"/>
      <w:r w:rsidRPr="00A0627B">
        <w:rPr>
          <w:rFonts w:ascii="Arial" w:hAnsi="Arial" w:cs="Arial"/>
          <w:color w:val="000000"/>
          <w:sz w:val="19"/>
          <w:szCs w:val="19"/>
          <w:lang w:val="es-ES"/>
        </w:rPr>
        <w:t xml:space="preserve"> Vargas.</w:t>
      </w:r>
    </w:p>
  </w:footnote>
  <w:footnote w:id="19">
    <w:p w14:paraId="64309EE0"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Consejo de Estado. Sala de Consulta y Servicio Civil. Concepto del 08 de mayo de 2018. </w:t>
      </w:r>
      <w:proofErr w:type="spellStart"/>
      <w:r w:rsidRPr="00A0627B">
        <w:rPr>
          <w:rFonts w:ascii="Arial" w:hAnsi="Arial" w:cs="Arial"/>
          <w:color w:val="000000"/>
          <w:sz w:val="19"/>
          <w:szCs w:val="19"/>
        </w:rPr>
        <w:t>Exp</w:t>
      </w:r>
      <w:proofErr w:type="spellEnd"/>
      <w:r w:rsidRPr="00A0627B">
        <w:rPr>
          <w:rFonts w:ascii="Arial" w:hAnsi="Arial" w:cs="Arial"/>
          <w:color w:val="000000"/>
          <w:sz w:val="19"/>
          <w:szCs w:val="19"/>
        </w:rPr>
        <w:t xml:space="preserve">. 2.382. C.P. Álvaro </w:t>
      </w:r>
      <w:proofErr w:type="spellStart"/>
      <w:r w:rsidRPr="00A0627B">
        <w:rPr>
          <w:rFonts w:ascii="Arial" w:hAnsi="Arial" w:cs="Arial"/>
          <w:color w:val="000000"/>
          <w:sz w:val="19"/>
          <w:szCs w:val="19"/>
        </w:rPr>
        <w:t>Namén</w:t>
      </w:r>
      <w:proofErr w:type="spellEnd"/>
      <w:r w:rsidRPr="00A0627B">
        <w:rPr>
          <w:rFonts w:ascii="Arial" w:hAnsi="Arial" w:cs="Arial"/>
          <w:color w:val="000000"/>
          <w:sz w:val="19"/>
          <w:szCs w:val="19"/>
        </w:rPr>
        <w:t xml:space="preserve"> Vargas.</w:t>
      </w:r>
    </w:p>
  </w:footnote>
  <w:footnote w:id="20">
    <w:p w14:paraId="384BEF30"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Cfr. Concepto C-757 del 30 de diciembre de 2021.</w:t>
      </w:r>
    </w:p>
  </w:footnote>
  <w:footnote w:id="21">
    <w:p w14:paraId="5423C8EC" w14:textId="77777777" w:rsidR="00524963" w:rsidRPr="00A0627B" w:rsidRDefault="00524963" w:rsidP="00E20A7A">
      <w:pPr>
        <w:pStyle w:val="Textonotapie"/>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A0627B">
        <w:rPr>
          <w:rFonts w:ascii="Arial" w:hAnsi="Arial" w:cs="Arial"/>
          <w:color w:val="000000"/>
          <w:sz w:val="19"/>
          <w:szCs w:val="19"/>
        </w:rPr>
        <w:t>N°</w:t>
      </w:r>
      <w:proofErr w:type="spellEnd"/>
      <w:r w:rsidRPr="00A0627B">
        <w:rPr>
          <w:rFonts w:ascii="Arial" w:hAnsi="Arial" w:cs="Arial"/>
          <w:color w:val="000000"/>
          <w:sz w:val="19"/>
          <w:szCs w:val="19"/>
        </w:rPr>
        <w:t xml:space="preserve"> 216/05 Senado, </w:t>
      </w:r>
      <w:proofErr w:type="spellStart"/>
      <w:r w:rsidRPr="00A0627B">
        <w:rPr>
          <w:rFonts w:ascii="Arial" w:hAnsi="Arial" w:cs="Arial"/>
          <w:color w:val="000000"/>
          <w:sz w:val="19"/>
          <w:szCs w:val="19"/>
        </w:rPr>
        <w:t>N°</w:t>
      </w:r>
      <w:proofErr w:type="spellEnd"/>
      <w:r w:rsidRPr="00A0627B">
        <w:rPr>
          <w:rFonts w:ascii="Arial" w:hAnsi="Arial" w:cs="Arial"/>
          <w:color w:val="000000"/>
          <w:sz w:val="19"/>
          <w:szCs w:val="19"/>
        </w:rPr>
        <w:t xml:space="preserve"> 235-Cámara que dio lugar a la Ley de Garantías Electorales.</w:t>
      </w:r>
    </w:p>
  </w:footnote>
  <w:footnote w:id="22">
    <w:p w14:paraId="7BDFE052" w14:textId="77777777" w:rsidR="00524963" w:rsidRPr="00A0627B" w:rsidRDefault="00524963" w:rsidP="00E20A7A">
      <w:pPr>
        <w:ind w:firstLine="709"/>
        <w:jc w:val="both"/>
        <w:rPr>
          <w:rFonts w:ascii="Arial" w:hAnsi="Arial" w:cs="Arial"/>
          <w:color w:val="000000"/>
          <w:sz w:val="19"/>
          <w:szCs w:val="19"/>
        </w:rPr>
      </w:pPr>
      <w:r w:rsidRPr="00A0627B">
        <w:rPr>
          <w:rStyle w:val="Refdenotaalpie"/>
          <w:rFonts w:ascii="Arial" w:hAnsi="Arial" w:cs="Arial"/>
          <w:sz w:val="19"/>
          <w:szCs w:val="19"/>
        </w:rPr>
        <w:footnoteRef/>
      </w:r>
      <w:r w:rsidRPr="00A0627B">
        <w:rPr>
          <w:rFonts w:ascii="Arial" w:hAnsi="Arial" w:cs="Arial"/>
          <w:color w:val="000000"/>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14:paraId="4C62D15C" w14:textId="77777777" w:rsidR="0040083B" w:rsidRPr="00A0627B" w:rsidRDefault="0040083B" w:rsidP="00E20A7A">
      <w:pPr>
        <w:pStyle w:val="Textonotapie"/>
        <w:ind w:right="51"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w:t>
      </w:r>
      <w:bookmarkStart w:id="29" w:name="_Hlk75633115"/>
      <w:r w:rsidRPr="00A0627B">
        <w:rPr>
          <w:rFonts w:ascii="Arial" w:hAnsi="Arial" w:cs="Arial"/>
          <w:sz w:val="19"/>
          <w:szCs w:val="19"/>
        </w:rPr>
        <w:t xml:space="preserve">Consejo de Estado. Sala de Consulta y Servicio Civil. Concepto </w:t>
      </w:r>
      <w:bookmarkEnd w:id="29"/>
      <w:r w:rsidRPr="00A0627B">
        <w:rPr>
          <w:rFonts w:ascii="Arial" w:hAnsi="Arial" w:cs="Arial"/>
          <w:sz w:val="19"/>
          <w:szCs w:val="19"/>
        </w:rPr>
        <w:t>de 6 de abril de 2006. Radicación Número: 11001-03-06-000-2006-00038-00(1738). Consejero Ponente: Enrique José Arboleda Perdomo:</w:t>
      </w:r>
      <w:r w:rsidRPr="00A0627B">
        <w:rPr>
          <w:rFonts w:ascii="Arial" w:eastAsia="Times New Roman" w:hAnsi="Arial" w:cs="Arial"/>
          <w:bCs/>
          <w:sz w:val="19"/>
          <w:szCs w:val="19"/>
          <w:lang w:eastAsia="x-none"/>
        </w:rPr>
        <w:t xml:space="preserve"> «</w:t>
      </w:r>
      <w:r w:rsidRPr="00A0627B">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A0627B">
        <w:rPr>
          <w:rFonts w:ascii="Arial" w:eastAsia="Times New Roman" w:hAnsi="Arial" w:cs="Arial"/>
          <w:bCs/>
          <w:sz w:val="19"/>
          <w:szCs w:val="19"/>
          <w:lang w:eastAsia="x-none"/>
        </w:rPr>
        <w:t>».</w:t>
      </w:r>
    </w:p>
  </w:footnote>
  <w:footnote w:id="24">
    <w:p w14:paraId="0606894C" w14:textId="77777777" w:rsidR="0040083B" w:rsidRPr="00A0627B" w:rsidRDefault="0040083B" w:rsidP="00E20A7A">
      <w:pPr>
        <w:pStyle w:val="Textonotapie"/>
        <w:ind w:right="51"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5">
    <w:p w14:paraId="43CDD80A" w14:textId="77777777" w:rsidR="0040083B" w:rsidRPr="00A0627B" w:rsidRDefault="0040083B" w:rsidP="00E20A7A">
      <w:pPr>
        <w:pStyle w:val="Textonotapie"/>
        <w:ind w:right="51" w:firstLine="709"/>
        <w:contextualSpacing/>
        <w:jc w:val="both"/>
        <w:rPr>
          <w:rFonts w:ascii="Arial" w:hAnsi="Arial" w:cs="Arial"/>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Consejo de Estado. Sala de Consulta y Servicio Civil, ídem.</w:t>
      </w:r>
    </w:p>
  </w:footnote>
  <w:footnote w:id="26">
    <w:p w14:paraId="2D19EB70" w14:textId="77777777" w:rsidR="00037198" w:rsidRPr="00A0627B" w:rsidRDefault="00037198" w:rsidP="00E20A7A">
      <w:pPr>
        <w:pStyle w:val="Textonotapie"/>
        <w:ind w:firstLine="709"/>
        <w:jc w:val="both"/>
        <w:rPr>
          <w:rFonts w:ascii="Arial" w:hAnsi="Arial" w:cs="Arial"/>
          <w:color w:val="000000" w:themeColor="text1"/>
          <w:sz w:val="19"/>
          <w:szCs w:val="19"/>
          <w:lang w:val="es-CO"/>
        </w:rPr>
      </w:pPr>
      <w:r w:rsidRPr="00A0627B">
        <w:rPr>
          <w:rStyle w:val="Refdenotaalpie"/>
          <w:rFonts w:ascii="Arial" w:hAnsi="Arial" w:cs="Arial"/>
          <w:sz w:val="19"/>
          <w:szCs w:val="19"/>
        </w:rPr>
        <w:footnoteRef/>
      </w:r>
      <w:r w:rsidRPr="00A0627B">
        <w:rPr>
          <w:rFonts w:ascii="Arial" w:hAnsi="Arial" w:cs="Arial"/>
          <w:color w:val="000000" w:themeColor="text1"/>
          <w:sz w:val="19"/>
          <w:szCs w:val="19"/>
          <w:lang w:val="es-CO"/>
        </w:rPr>
        <w:t xml:space="preserve"> FIGUEROA U. Organismos internacionales. 2ª edición. Santiago de Chile: Editorial RIL editores, 2010.</w:t>
      </w:r>
    </w:p>
  </w:footnote>
  <w:footnote w:id="27">
    <w:p w14:paraId="566A002D"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r:id="rId1" w:anchor="2" w:history="1">
        <w:r w:rsidRPr="00A0627B">
          <w:rPr>
            <w:rStyle w:val="Hipervnculo"/>
            <w:rFonts w:ascii="Arial" w:hAnsi="Arial" w:cs="Arial"/>
            <w:color w:val="000000" w:themeColor="text1"/>
            <w:sz w:val="19"/>
            <w:szCs w:val="19"/>
          </w:rPr>
          <w:t>2</w:t>
        </w:r>
      </w:hyperlink>
      <w:r w:rsidRPr="00A0627B">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3B95AC0B"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»Los</w:t>
      </w:r>
      <w:proofErr w:type="gramEnd"/>
      <w:r w:rsidRPr="00A0627B">
        <w:rPr>
          <w:rFonts w:ascii="Arial" w:hAnsi="Arial" w:cs="Arial"/>
          <w:color w:val="000000" w:themeColor="text1"/>
          <w:sz w:val="19"/>
          <w:szCs w:val="19"/>
        </w:rPr>
        <w:t xml:space="preserve"> contratos celebrados en el exterior se podrán regir en su ejecución por las reglas del país en donde se hayan suscrito, a menos que deban cumplirse en Colombia»</w:t>
      </w:r>
    </w:p>
    <w:p w14:paraId="77F5F8D6"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»Los</w:t>
      </w:r>
      <w:proofErr w:type="gramEnd"/>
      <w:r w:rsidRPr="00A0627B">
        <w:rPr>
          <w:rFonts w:ascii="Arial" w:hAnsi="Arial" w:cs="Arial"/>
          <w:color w:val="000000" w:themeColor="text1"/>
          <w:sz w:val="19"/>
          <w:szCs w:val="19"/>
        </w:rPr>
        <w:t xml:space="preserve"> contratos que se celebren en Colombia y deban ejecutarse o cumplirse en el extranjero, podrán someterse a la ley extranjera».</w:t>
      </w:r>
    </w:p>
  </w:footnote>
  <w:footnote w:id="28">
    <w:p w14:paraId="32581797" w14:textId="77777777" w:rsidR="00037198" w:rsidRPr="00A0627B" w:rsidRDefault="00037198" w:rsidP="00E20A7A">
      <w:pPr>
        <w:pStyle w:val="Textonotapie"/>
        <w:ind w:firstLine="709"/>
        <w:jc w:val="both"/>
        <w:rPr>
          <w:rFonts w:ascii="Arial" w:hAnsi="Arial" w:cs="Arial"/>
          <w:color w:val="000000" w:themeColor="text1"/>
          <w:sz w:val="19"/>
          <w:szCs w:val="19"/>
          <w:lang w:val="es-ES_tradnl"/>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Consejo de Estado. Sección Tercera, Subsección C. Sentencia del 26 de noviembre de 2015. </w:t>
      </w:r>
      <w:proofErr w:type="spellStart"/>
      <w:r w:rsidRPr="00A0627B">
        <w:rPr>
          <w:rFonts w:ascii="Arial" w:hAnsi="Arial" w:cs="Arial"/>
          <w:color w:val="000000" w:themeColor="text1"/>
          <w:sz w:val="19"/>
          <w:szCs w:val="19"/>
          <w:lang w:val="es-ES_tradnl"/>
        </w:rPr>
        <w:t>Exp</w:t>
      </w:r>
      <w:proofErr w:type="spellEnd"/>
      <w:r w:rsidRPr="00A0627B">
        <w:rPr>
          <w:rFonts w:ascii="Arial" w:hAnsi="Arial" w:cs="Arial"/>
          <w:color w:val="000000" w:themeColor="text1"/>
          <w:sz w:val="19"/>
          <w:szCs w:val="19"/>
          <w:lang w:val="es-ES_tradnl"/>
        </w:rPr>
        <w:t xml:space="preserve">. </w:t>
      </w:r>
      <w:r w:rsidRPr="00A0627B">
        <w:rPr>
          <w:rFonts w:ascii="Arial" w:hAnsi="Arial" w:cs="Arial"/>
          <w:color w:val="000000" w:themeColor="text1"/>
          <w:sz w:val="19"/>
          <w:szCs w:val="19"/>
          <w:lang w:val="es-CO"/>
        </w:rPr>
        <w:t xml:space="preserve">54.069. C.P Jaime Orlando Santofimio Gamboa. </w:t>
      </w:r>
    </w:p>
  </w:footnote>
  <w:footnote w:id="29">
    <w:p w14:paraId="788DBA6B" w14:textId="77777777" w:rsidR="00037198" w:rsidRPr="00A0627B" w:rsidRDefault="00037198" w:rsidP="00E20A7A">
      <w:pPr>
        <w:pStyle w:val="Textonotapie"/>
        <w:ind w:firstLine="709"/>
        <w:jc w:val="both"/>
        <w:rPr>
          <w:rFonts w:ascii="Arial" w:hAnsi="Arial" w:cs="Arial"/>
          <w:color w:val="000000" w:themeColor="text1"/>
          <w:sz w:val="19"/>
          <w:szCs w:val="19"/>
          <w:lang w:eastAsia="es-CO"/>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w:t>
      </w:r>
      <w:r w:rsidRPr="00A0627B">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30">
    <w:p w14:paraId="70358E68"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51A52F94"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491F2E16"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»Las</w:t>
      </w:r>
      <w:proofErr w:type="gramEnd"/>
      <w:r w:rsidRPr="00A0627B">
        <w:rPr>
          <w:rFonts w:ascii="Arial" w:hAnsi="Arial" w:cs="Arial"/>
          <w:color w:val="000000" w:themeColor="text1"/>
          <w:sz w:val="19"/>
          <w:szCs w:val="19"/>
        </w:rPr>
        <w:t xml:space="preserve"> entidades estatales no podrán celebrar contratos o convenios para la administración o gerencia de sus recursos propios o de aquellos que les asignen los presupuestos públicos, con organismos de cooperación, asistencia o ayuda internacional.</w:t>
      </w:r>
    </w:p>
    <w:p w14:paraId="4C37DC5B"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w:t>
      </w:r>
      <w:r w:rsidRPr="00A0627B">
        <w:rPr>
          <w:rStyle w:val="baj"/>
          <w:rFonts w:ascii="Arial" w:hAnsi="Arial" w:cs="Arial"/>
          <w:color w:val="000000" w:themeColor="text1"/>
          <w:sz w:val="19"/>
          <w:szCs w:val="19"/>
        </w:rPr>
        <w:t>PARÁGRAFO</w:t>
      </w:r>
      <w:proofErr w:type="gramEnd"/>
      <w:r w:rsidRPr="00A0627B">
        <w:rPr>
          <w:rStyle w:val="baj"/>
          <w:rFonts w:ascii="Arial" w:hAnsi="Arial" w:cs="Arial"/>
          <w:color w:val="000000" w:themeColor="text1"/>
          <w:sz w:val="19"/>
          <w:szCs w:val="19"/>
        </w:rPr>
        <w:t xml:space="preserve"> 1o.</w:t>
      </w:r>
      <w:r w:rsidRPr="00A0627B">
        <w:rPr>
          <w:rFonts w:ascii="Arial" w:hAnsi="Arial" w:cs="Arial"/>
          <w:color w:val="000000" w:themeColor="text1"/>
          <w:sz w:val="19"/>
          <w:szCs w:val="19"/>
        </w:rPr>
        <w:t xml:space="preserve"> Los contratos o acuerdos celebrados con personas extranjeras de derecho </w:t>
      </w:r>
      <w:proofErr w:type="gramStart"/>
      <w:r w:rsidRPr="00A0627B">
        <w:rPr>
          <w:rFonts w:ascii="Arial" w:hAnsi="Arial" w:cs="Arial"/>
          <w:color w:val="000000" w:themeColor="text1"/>
          <w:sz w:val="19"/>
          <w:szCs w:val="19"/>
        </w:rPr>
        <w:t>público,</w:t>
      </w:r>
      <w:proofErr w:type="gramEnd"/>
      <w:r w:rsidRPr="00A0627B">
        <w:rPr>
          <w:rFonts w:ascii="Arial" w:hAnsi="Arial" w:cs="Arial"/>
          <w:color w:val="000000" w:themeColor="text1"/>
          <w:sz w:val="19"/>
          <w:szCs w:val="19"/>
        </w:rPr>
        <w:t xml:space="preserve"> podrán someterse a las reglas de tales organismos.</w:t>
      </w:r>
    </w:p>
    <w:p w14:paraId="160D6B26"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w:t>
      </w:r>
      <w:r w:rsidRPr="00A0627B">
        <w:rPr>
          <w:rStyle w:val="baj"/>
          <w:rFonts w:ascii="Arial" w:hAnsi="Arial" w:cs="Arial"/>
          <w:color w:val="000000" w:themeColor="text1"/>
          <w:sz w:val="19"/>
          <w:szCs w:val="19"/>
        </w:rPr>
        <w:t>PARÁGRAFO</w:t>
      </w:r>
      <w:proofErr w:type="gramEnd"/>
      <w:r w:rsidRPr="00A0627B">
        <w:rPr>
          <w:rStyle w:val="baj"/>
          <w:rFonts w:ascii="Arial" w:hAnsi="Arial" w:cs="Arial"/>
          <w:color w:val="000000" w:themeColor="text1"/>
          <w:sz w:val="19"/>
          <w:szCs w:val="19"/>
        </w:rPr>
        <w:t xml:space="preserve"> 2o.</w:t>
      </w:r>
      <w:r w:rsidRPr="00A0627B">
        <w:rPr>
          <w:rFonts w:ascii="Arial" w:hAnsi="Arial" w:cs="Arial"/>
          <w:color w:val="000000" w:themeColor="text1"/>
          <w:sz w:val="19"/>
          <w:szCs w:val="19"/>
        </w:rPr>
        <w:t xml:space="preserve"> Las entidades estatales tendrán la obligación de reportar la información a los organismos de control y al </w:t>
      </w:r>
      <w:proofErr w:type="spellStart"/>
      <w:r w:rsidRPr="00A0627B">
        <w:rPr>
          <w:rFonts w:ascii="Arial" w:hAnsi="Arial" w:cs="Arial"/>
          <w:color w:val="000000" w:themeColor="text1"/>
          <w:sz w:val="19"/>
          <w:szCs w:val="19"/>
        </w:rPr>
        <w:t>Secop</w:t>
      </w:r>
      <w:proofErr w:type="spellEnd"/>
      <w:r w:rsidRPr="00A0627B">
        <w:rPr>
          <w:rFonts w:ascii="Arial" w:hAnsi="Arial" w:cs="Arial"/>
          <w:color w:val="000000" w:themeColor="text1"/>
          <w:sz w:val="19"/>
          <w:szCs w:val="19"/>
        </w:rPr>
        <w:t xml:space="preserve"> relativa a la ejecución de los contratos a los que se refiere el presente artículo.</w:t>
      </w:r>
    </w:p>
    <w:p w14:paraId="1BD44D59" w14:textId="77777777" w:rsidR="00037198" w:rsidRPr="00A0627B" w:rsidRDefault="00037198" w:rsidP="00E20A7A">
      <w:pPr>
        <w:pStyle w:val="NormalWeb"/>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w:t>
      </w:r>
      <w:r w:rsidRPr="00A0627B">
        <w:rPr>
          <w:rStyle w:val="baj"/>
          <w:rFonts w:ascii="Arial" w:hAnsi="Arial" w:cs="Arial"/>
          <w:color w:val="000000" w:themeColor="text1"/>
          <w:sz w:val="19"/>
          <w:szCs w:val="19"/>
        </w:rPr>
        <w:t>PARÁGRAFO</w:t>
      </w:r>
      <w:proofErr w:type="gramEnd"/>
      <w:r w:rsidRPr="00A0627B">
        <w:rPr>
          <w:rStyle w:val="baj"/>
          <w:rFonts w:ascii="Arial" w:hAnsi="Arial" w:cs="Arial"/>
          <w:color w:val="000000" w:themeColor="text1"/>
          <w:sz w:val="19"/>
          <w:szCs w:val="19"/>
        </w:rPr>
        <w:t xml:space="preserve"> 3o.</w:t>
      </w:r>
      <w:r w:rsidRPr="00A0627B">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31">
    <w:p w14:paraId="3AA8202E"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Style w:val="Refdenotaalpie"/>
          <w:rFonts w:ascii="Arial" w:hAnsi="Arial" w:cs="Arial"/>
          <w:sz w:val="19"/>
          <w:szCs w:val="19"/>
        </w:rPr>
        <w:footnoteRef/>
      </w:r>
      <w:r w:rsidRPr="00A0627B">
        <w:rPr>
          <w:rFonts w:ascii="Arial" w:hAnsi="Arial" w:cs="Arial"/>
          <w:color w:val="000000" w:themeColor="text1"/>
          <w:sz w:val="19"/>
          <w:szCs w:val="19"/>
        </w:rPr>
        <w:t xml:space="preserve"> Decreto 1082 de 2015. «Artículo </w:t>
      </w:r>
      <w:r w:rsidRPr="00A0627B">
        <w:rPr>
          <w:rStyle w:val="Textoennegrita"/>
          <w:rFonts w:ascii="Arial" w:hAnsi="Arial" w:cs="Arial"/>
          <w:color w:val="000000" w:themeColor="text1"/>
          <w:sz w:val="19"/>
          <w:szCs w:val="19"/>
        </w:rPr>
        <w:t>2.2.1.2.4.4.1. </w:t>
      </w:r>
      <w:r w:rsidRPr="00A0627B">
        <w:rPr>
          <w:rStyle w:val="nfasis"/>
          <w:rFonts w:ascii="Arial" w:hAnsi="Arial" w:cs="Arial"/>
          <w:color w:val="000000" w:themeColor="text1"/>
          <w:sz w:val="19"/>
          <w:szCs w:val="19"/>
        </w:rPr>
        <w:t>Régimen aplicable a los contratos o convenios de cooperación Internacional. </w:t>
      </w:r>
      <w:r w:rsidRPr="00A0627B">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5EE75E2C"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w:t>
      </w:r>
      <w:r w:rsidRPr="00A0627B">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A0627B">
        <w:rPr>
          <w:rFonts w:ascii="Arial" w:hAnsi="Arial" w:cs="Arial"/>
          <w:color w:val="000000" w:themeColor="text1"/>
          <w:sz w:val="19"/>
          <w:szCs w:val="19"/>
        </w:rPr>
        <w:t>.</w:t>
      </w:r>
    </w:p>
    <w:p w14:paraId="6D14B98A"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»Cuando</w:t>
      </w:r>
      <w:proofErr w:type="gramEnd"/>
      <w:r w:rsidRPr="00A0627B">
        <w:rPr>
          <w:rFonts w:ascii="Arial" w:hAnsi="Arial" w:cs="Arial"/>
          <w:color w:val="000000" w:themeColor="text1"/>
          <w:sz w:val="19"/>
          <w:szCs w:val="19"/>
        </w:rPr>
        <w:t xml:space="preserve">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4F1ED120"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»Los</w:t>
      </w:r>
      <w:proofErr w:type="gramEnd"/>
      <w:r w:rsidRPr="00A0627B">
        <w:rPr>
          <w:rFonts w:ascii="Arial" w:hAnsi="Arial" w:cs="Arial"/>
          <w:color w:val="000000" w:themeColor="text1"/>
          <w:sz w:val="19"/>
          <w:szCs w:val="19"/>
        </w:rPr>
        <w:t xml:space="preserve">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14:paraId="6C49AB56"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r:id="rId2" w:history="1">
        <w:r w:rsidRPr="00A0627B">
          <w:rPr>
            <w:rStyle w:val="Hipervnculo"/>
            <w:rFonts w:ascii="Arial" w:hAnsi="Arial" w:cs="Arial"/>
            <w:color w:val="000000" w:themeColor="text1"/>
            <w:sz w:val="19"/>
            <w:szCs w:val="19"/>
          </w:rPr>
          <w:t>Ley 1150 de 2007</w:t>
        </w:r>
      </w:hyperlink>
      <w:r w:rsidRPr="00A0627B">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3" w:history="1">
        <w:r w:rsidRPr="00A0627B">
          <w:rPr>
            <w:rStyle w:val="Hipervnculo"/>
            <w:rFonts w:ascii="Arial" w:hAnsi="Arial" w:cs="Arial"/>
            <w:color w:val="000000" w:themeColor="text1"/>
            <w:sz w:val="19"/>
            <w:szCs w:val="19"/>
          </w:rPr>
          <w:t> Ley 1150 de 2007</w:t>
        </w:r>
      </w:hyperlink>
      <w:r w:rsidRPr="00A0627B">
        <w:rPr>
          <w:rFonts w:ascii="Arial" w:hAnsi="Arial" w:cs="Arial"/>
          <w:color w:val="000000" w:themeColor="text1"/>
          <w:sz w:val="19"/>
          <w:szCs w:val="19"/>
        </w:rPr>
        <w:t>.</w:t>
      </w:r>
    </w:p>
    <w:p w14:paraId="613F05F7" w14:textId="77777777" w:rsidR="00037198" w:rsidRPr="00A0627B" w:rsidRDefault="00037198" w:rsidP="00E20A7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»Los</w:t>
      </w:r>
      <w:proofErr w:type="gramEnd"/>
      <w:r w:rsidRPr="00A0627B">
        <w:rPr>
          <w:rFonts w:ascii="Arial" w:hAnsi="Arial" w:cs="Arial"/>
          <w:color w:val="000000" w:themeColor="text1"/>
          <w:sz w:val="19"/>
          <w:szCs w:val="19"/>
        </w:rPr>
        <w:t xml:space="preserve"> contratos con personas extranjeras de derecho público se deben celebrar y ejecutar según se acuerde entre las partes».</w:t>
      </w:r>
    </w:p>
  </w:footnote>
  <w:footnote w:id="32">
    <w:p w14:paraId="1208B121" w14:textId="441AF4A1" w:rsidR="00741363" w:rsidRPr="00A0627B" w:rsidRDefault="00741363" w:rsidP="00741363">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A0627B">
        <w:rPr>
          <w:rStyle w:val="Refdenotaalpie"/>
          <w:rFonts w:ascii="Arial" w:hAnsi="Arial" w:cs="Arial"/>
          <w:sz w:val="19"/>
          <w:szCs w:val="19"/>
        </w:rPr>
        <w:footnoteRef/>
      </w:r>
      <w:r w:rsidRPr="00A0627B">
        <w:rPr>
          <w:rFonts w:ascii="Arial" w:hAnsi="Arial" w:cs="Arial"/>
          <w:sz w:val="19"/>
          <w:szCs w:val="19"/>
        </w:rPr>
        <w:t xml:space="preserve"> </w:t>
      </w:r>
      <w:r w:rsidRPr="00A0627B">
        <w:rPr>
          <w:rFonts w:ascii="Arial" w:hAnsi="Arial" w:cs="Arial"/>
          <w:color w:val="000000" w:themeColor="text1"/>
          <w:sz w:val="19"/>
          <w:szCs w:val="19"/>
        </w:rPr>
        <w:t xml:space="preserve">En otros apartes del Concepto CU-180 del 8 de abril de 2022 se sintetizó la postura de unificación en los siguientes términos: «En este orden de ideas, esta Subdirección unifica su criterio en torno a la aplicación de la prohibición del artículo 33 de la Ley de Garantías Electorales, en el sentido de que, cuando una entidad pública con fundamento en el artículo 20 de la Ley 1150 de 2007 acuerde la aplicación del reglamento del organismo internacional, de la persona pública extranjera o del organismo de asistencia, ayuda o cooperación internacional, se deberá precisar en el respectivo contrato o convenio el alcance de tal variación de régimen y si ello implica acoger la totalidad de las normas del reglamento extranjero o si, por el contrario, solo se aplicarán ciertos aspectos en él regulados. </w:t>
      </w:r>
    </w:p>
    <w:p w14:paraId="727FEBB8" w14:textId="77777777" w:rsidR="00741363" w:rsidRPr="00A0627B" w:rsidRDefault="00741363" w:rsidP="00741363">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A0627B">
        <w:rPr>
          <w:rFonts w:ascii="Arial" w:hAnsi="Arial" w:cs="Arial"/>
          <w:color w:val="000000" w:themeColor="text1"/>
          <w:sz w:val="19"/>
          <w:szCs w:val="19"/>
        </w:rPr>
        <w:t>»En</w:t>
      </w:r>
      <w:proofErr w:type="gramEnd"/>
      <w:r w:rsidRPr="00A0627B">
        <w:rPr>
          <w:rFonts w:ascii="Arial" w:hAnsi="Arial" w:cs="Arial"/>
          <w:color w:val="000000" w:themeColor="text1"/>
          <w:sz w:val="19"/>
          <w:szCs w:val="19"/>
        </w:rPr>
        <w:t xml:space="preserve"> uno y otro caso, si el reglamento del organismo o sujeto internacional que las partes han convenido en aplicar regula todo lo relacionado con el procedimiento de selección de contratistas y las oportunidades para que sea realizado, la prohibición para contratar directamente establecida en el artículo 33 de la Ley de Garantías Electorales no será derecho aplicable al convenio o contrato y sus derivados. Por el contrario, si el convenio en el que se varíe el régimen normativo toca aspectos o etapas distintas al procedimiento para la selección del contratista, la prohibición del artículo 33 de la Ley de Garantías Electorales sí será derecho aplicable a la actividad contractual».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0324192"/>
    <w:multiLevelType w:val="hybridMultilevel"/>
    <w:tmpl w:val="B3FC81D8"/>
    <w:lvl w:ilvl="0" w:tplc="33FA551E">
      <w:start w:val="3"/>
      <w:numFmt w:val="bullet"/>
      <w:lvlText w:val="-"/>
      <w:lvlJc w:val="left"/>
      <w:pPr>
        <w:ind w:left="3054" w:hanging="360"/>
      </w:pPr>
      <w:rPr>
        <w:rFonts w:ascii="Arial" w:eastAsia="Calibri" w:hAnsi="Arial" w:cs="Arial" w:hint="default"/>
      </w:rPr>
    </w:lvl>
    <w:lvl w:ilvl="1" w:tplc="240A0003" w:tentative="1">
      <w:start w:val="1"/>
      <w:numFmt w:val="bullet"/>
      <w:lvlText w:val="o"/>
      <w:lvlJc w:val="left"/>
      <w:pPr>
        <w:ind w:left="3774" w:hanging="360"/>
      </w:pPr>
      <w:rPr>
        <w:rFonts w:ascii="Courier New" w:hAnsi="Courier New" w:cs="Courier New" w:hint="default"/>
      </w:rPr>
    </w:lvl>
    <w:lvl w:ilvl="2" w:tplc="240A0005" w:tentative="1">
      <w:start w:val="1"/>
      <w:numFmt w:val="bullet"/>
      <w:lvlText w:val=""/>
      <w:lvlJc w:val="left"/>
      <w:pPr>
        <w:ind w:left="4494" w:hanging="360"/>
      </w:pPr>
      <w:rPr>
        <w:rFonts w:ascii="Wingdings" w:hAnsi="Wingdings" w:hint="default"/>
      </w:rPr>
    </w:lvl>
    <w:lvl w:ilvl="3" w:tplc="240A0001" w:tentative="1">
      <w:start w:val="1"/>
      <w:numFmt w:val="bullet"/>
      <w:lvlText w:val=""/>
      <w:lvlJc w:val="left"/>
      <w:pPr>
        <w:ind w:left="5214" w:hanging="360"/>
      </w:pPr>
      <w:rPr>
        <w:rFonts w:ascii="Symbol" w:hAnsi="Symbol" w:hint="default"/>
      </w:rPr>
    </w:lvl>
    <w:lvl w:ilvl="4" w:tplc="240A0003" w:tentative="1">
      <w:start w:val="1"/>
      <w:numFmt w:val="bullet"/>
      <w:lvlText w:val="o"/>
      <w:lvlJc w:val="left"/>
      <w:pPr>
        <w:ind w:left="5934" w:hanging="360"/>
      </w:pPr>
      <w:rPr>
        <w:rFonts w:ascii="Courier New" w:hAnsi="Courier New" w:cs="Courier New" w:hint="default"/>
      </w:rPr>
    </w:lvl>
    <w:lvl w:ilvl="5" w:tplc="240A0005" w:tentative="1">
      <w:start w:val="1"/>
      <w:numFmt w:val="bullet"/>
      <w:lvlText w:val=""/>
      <w:lvlJc w:val="left"/>
      <w:pPr>
        <w:ind w:left="6654" w:hanging="360"/>
      </w:pPr>
      <w:rPr>
        <w:rFonts w:ascii="Wingdings" w:hAnsi="Wingdings" w:hint="default"/>
      </w:rPr>
    </w:lvl>
    <w:lvl w:ilvl="6" w:tplc="240A0001" w:tentative="1">
      <w:start w:val="1"/>
      <w:numFmt w:val="bullet"/>
      <w:lvlText w:val=""/>
      <w:lvlJc w:val="left"/>
      <w:pPr>
        <w:ind w:left="7374" w:hanging="360"/>
      </w:pPr>
      <w:rPr>
        <w:rFonts w:ascii="Symbol" w:hAnsi="Symbol" w:hint="default"/>
      </w:rPr>
    </w:lvl>
    <w:lvl w:ilvl="7" w:tplc="240A0003" w:tentative="1">
      <w:start w:val="1"/>
      <w:numFmt w:val="bullet"/>
      <w:lvlText w:val="o"/>
      <w:lvlJc w:val="left"/>
      <w:pPr>
        <w:ind w:left="8094" w:hanging="360"/>
      </w:pPr>
      <w:rPr>
        <w:rFonts w:ascii="Courier New" w:hAnsi="Courier New" w:cs="Courier New" w:hint="default"/>
      </w:rPr>
    </w:lvl>
    <w:lvl w:ilvl="8" w:tplc="240A0005" w:tentative="1">
      <w:start w:val="1"/>
      <w:numFmt w:val="bullet"/>
      <w:lvlText w:val=""/>
      <w:lvlJc w:val="left"/>
      <w:pPr>
        <w:ind w:left="8814" w:hanging="360"/>
      </w:pPr>
      <w:rPr>
        <w:rFonts w:ascii="Wingdings" w:hAnsi="Wingdings" w:hint="default"/>
      </w:r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6" w15:restartNumberingAfterBreak="0">
    <w:nsid w:val="723B1079"/>
    <w:multiLevelType w:val="hybridMultilevel"/>
    <w:tmpl w:val="2E0CD9C4"/>
    <w:lvl w:ilvl="0" w:tplc="E3DC3302">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0"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41511651">
    <w:abstractNumId w:val="16"/>
  </w:num>
  <w:num w:numId="2" w16cid:durableId="599415786">
    <w:abstractNumId w:val="14"/>
  </w:num>
  <w:num w:numId="3" w16cid:durableId="1298024361">
    <w:abstractNumId w:val="23"/>
  </w:num>
  <w:num w:numId="4" w16cid:durableId="2069567963">
    <w:abstractNumId w:val="29"/>
  </w:num>
  <w:num w:numId="5" w16cid:durableId="2125998958">
    <w:abstractNumId w:val="33"/>
  </w:num>
  <w:num w:numId="6" w16cid:durableId="196715776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5760332">
    <w:abstractNumId w:val="30"/>
  </w:num>
  <w:num w:numId="8" w16cid:durableId="1596134620">
    <w:abstractNumId w:val="3"/>
  </w:num>
  <w:num w:numId="9" w16cid:durableId="860624318">
    <w:abstractNumId w:val="8"/>
  </w:num>
  <w:num w:numId="10" w16cid:durableId="1386181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9169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727127">
    <w:abstractNumId w:val="15"/>
  </w:num>
  <w:num w:numId="13" w16cid:durableId="1382364735">
    <w:abstractNumId w:val="21"/>
  </w:num>
  <w:num w:numId="14" w16cid:durableId="2006784727">
    <w:abstractNumId w:val="12"/>
  </w:num>
  <w:num w:numId="15" w16cid:durableId="206032088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83421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596789">
    <w:abstractNumId w:val="37"/>
  </w:num>
  <w:num w:numId="18" w16cid:durableId="98068813">
    <w:abstractNumId w:val="24"/>
  </w:num>
  <w:num w:numId="19" w16cid:durableId="1206794228">
    <w:abstractNumId w:val="7"/>
  </w:num>
  <w:num w:numId="20" w16cid:durableId="744377293">
    <w:abstractNumId w:val="38"/>
  </w:num>
  <w:num w:numId="21" w16cid:durableId="2027632297">
    <w:abstractNumId w:val="27"/>
  </w:num>
  <w:num w:numId="22" w16cid:durableId="829053337">
    <w:abstractNumId w:val="10"/>
  </w:num>
  <w:num w:numId="23" w16cid:durableId="111361378">
    <w:abstractNumId w:val="9"/>
  </w:num>
  <w:num w:numId="24" w16cid:durableId="508760960">
    <w:abstractNumId w:val="31"/>
  </w:num>
  <w:num w:numId="25" w16cid:durableId="379212600">
    <w:abstractNumId w:val="18"/>
  </w:num>
  <w:num w:numId="26" w16cid:durableId="1676954214">
    <w:abstractNumId w:val="34"/>
  </w:num>
  <w:num w:numId="27" w16cid:durableId="1836215344">
    <w:abstractNumId w:val="40"/>
  </w:num>
  <w:num w:numId="28" w16cid:durableId="143281948">
    <w:abstractNumId w:val="22"/>
  </w:num>
  <w:num w:numId="29" w16cid:durableId="1061713901">
    <w:abstractNumId w:val="2"/>
  </w:num>
  <w:num w:numId="30" w16cid:durableId="155541465">
    <w:abstractNumId w:val="25"/>
  </w:num>
  <w:num w:numId="31" w16cid:durableId="1329748672">
    <w:abstractNumId w:val="19"/>
  </w:num>
  <w:num w:numId="32" w16cid:durableId="1158305571">
    <w:abstractNumId w:val="28"/>
  </w:num>
  <w:num w:numId="33" w16cid:durableId="1243029788">
    <w:abstractNumId w:val="39"/>
  </w:num>
  <w:num w:numId="34" w16cid:durableId="1650789726">
    <w:abstractNumId w:val="17"/>
  </w:num>
  <w:num w:numId="35" w16cid:durableId="1723093840">
    <w:abstractNumId w:val="1"/>
  </w:num>
  <w:num w:numId="36" w16cid:durableId="544408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5998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6487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83813">
    <w:abstractNumId w:val="5"/>
  </w:num>
  <w:num w:numId="40" w16cid:durableId="10199649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9111041">
    <w:abstractNumId w:val="11"/>
  </w:num>
  <w:num w:numId="42" w16cid:durableId="1801804628">
    <w:abstractNumId w:val="36"/>
  </w:num>
  <w:num w:numId="43" w16cid:durableId="12804508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37198"/>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6F22"/>
    <w:rsid w:val="00056F66"/>
    <w:rsid w:val="0005702F"/>
    <w:rsid w:val="00057661"/>
    <w:rsid w:val="0005779C"/>
    <w:rsid w:val="0006040A"/>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7F4"/>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1642"/>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B86"/>
    <w:rsid w:val="000B3051"/>
    <w:rsid w:val="000B419B"/>
    <w:rsid w:val="000B4364"/>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15D2"/>
    <w:rsid w:val="00102605"/>
    <w:rsid w:val="00102686"/>
    <w:rsid w:val="00102745"/>
    <w:rsid w:val="001032E3"/>
    <w:rsid w:val="00103361"/>
    <w:rsid w:val="00103855"/>
    <w:rsid w:val="00103915"/>
    <w:rsid w:val="00103EA0"/>
    <w:rsid w:val="001046B8"/>
    <w:rsid w:val="00104F1C"/>
    <w:rsid w:val="0010510D"/>
    <w:rsid w:val="001051E5"/>
    <w:rsid w:val="001056C4"/>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A33"/>
    <w:rsid w:val="00126F9B"/>
    <w:rsid w:val="00127004"/>
    <w:rsid w:val="00127AF2"/>
    <w:rsid w:val="00127B7B"/>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421"/>
    <w:rsid w:val="00140A4F"/>
    <w:rsid w:val="001413AB"/>
    <w:rsid w:val="001428C2"/>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E5"/>
    <w:rsid w:val="00156FDB"/>
    <w:rsid w:val="00157232"/>
    <w:rsid w:val="00160401"/>
    <w:rsid w:val="00160D4E"/>
    <w:rsid w:val="00161721"/>
    <w:rsid w:val="00161E62"/>
    <w:rsid w:val="00161F1C"/>
    <w:rsid w:val="0016200B"/>
    <w:rsid w:val="00163D7A"/>
    <w:rsid w:val="00164281"/>
    <w:rsid w:val="00164AF1"/>
    <w:rsid w:val="001654DF"/>
    <w:rsid w:val="00166476"/>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6F27"/>
    <w:rsid w:val="00177076"/>
    <w:rsid w:val="001805C1"/>
    <w:rsid w:val="00180A2E"/>
    <w:rsid w:val="001813AF"/>
    <w:rsid w:val="00182831"/>
    <w:rsid w:val="001829CD"/>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CC0"/>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5765"/>
    <w:rsid w:val="001D7836"/>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E7B2B"/>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0430"/>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740"/>
    <w:rsid w:val="00222BE8"/>
    <w:rsid w:val="00223102"/>
    <w:rsid w:val="002232CB"/>
    <w:rsid w:val="00223AA2"/>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1E21"/>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21E"/>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3D71"/>
    <w:rsid w:val="00274DB5"/>
    <w:rsid w:val="00275BB1"/>
    <w:rsid w:val="00275FBF"/>
    <w:rsid w:val="00276373"/>
    <w:rsid w:val="00277933"/>
    <w:rsid w:val="00277F13"/>
    <w:rsid w:val="00277F8D"/>
    <w:rsid w:val="00277FA7"/>
    <w:rsid w:val="002805E0"/>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1F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B62"/>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8FE"/>
    <w:rsid w:val="002B73B0"/>
    <w:rsid w:val="002C054D"/>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37DD"/>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2780"/>
    <w:rsid w:val="0031336A"/>
    <w:rsid w:val="00313447"/>
    <w:rsid w:val="00313748"/>
    <w:rsid w:val="00313EA3"/>
    <w:rsid w:val="00315457"/>
    <w:rsid w:val="003161A4"/>
    <w:rsid w:val="00316955"/>
    <w:rsid w:val="0031720A"/>
    <w:rsid w:val="0031749B"/>
    <w:rsid w:val="003174E5"/>
    <w:rsid w:val="00317C9D"/>
    <w:rsid w:val="00317CD2"/>
    <w:rsid w:val="00317D99"/>
    <w:rsid w:val="0032078D"/>
    <w:rsid w:val="003208F4"/>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680A"/>
    <w:rsid w:val="00346C62"/>
    <w:rsid w:val="0034778E"/>
    <w:rsid w:val="00347FEE"/>
    <w:rsid w:val="003501E2"/>
    <w:rsid w:val="00350A59"/>
    <w:rsid w:val="00351E10"/>
    <w:rsid w:val="0035273A"/>
    <w:rsid w:val="00352D59"/>
    <w:rsid w:val="003533F4"/>
    <w:rsid w:val="003536F6"/>
    <w:rsid w:val="00353DD5"/>
    <w:rsid w:val="00355131"/>
    <w:rsid w:val="00355462"/>
    <w:rsid w:val="00356438"/>
    <w:rsid w:val="00356687"/>
    <w:rsid w:val="003609C4"/>
    <w:rsid w:val="003618D9"/>
    <w:rsid w:val="00361A59"/>
    <w:rsid w:val="00362B12"/>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878"/>
    <w:rsid w:val="00383A8D"/>
    <w:rsid w:val="00384CD6"/>
    <w:rsid w:val="00384DF1"/>
    <w:rsid w:val="00384FF3"/>
    <w:rsid w:val="00386456"/>
    <w:rsid w:val="003865A9"/>
    <w:rsid w:val="003867EE"/>
    <w:rsid w:val="00387642"/>
    <w:rsid w:val="003903B6"/>
    <w:rsid w:val="00390F32"/>
    <w:rsid w:val="0039135E"/>
    <w:rsid w:val="0039200F"/>
    <w:rsid w:val="0039319C"/>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A5C"/>
    <w:rsid w:val="003C6D53"/>
    <w:rsid w:val="003C73C7"/>
    <w:rsid w:val="003D03F3"/>
    <w:rsid w:val="003D050B"/>
    <w:rsid w:val="003D0B98"/>
    <w:rsid w:val="003D0C3C"/>
    <w:rsid w:val="003D0DE5"/>
    <w:rsid w:val="003D1351"/>
    <w:rsid w:val="003D1E4F"/>
    <w:rsid w:val="003D21C1"/>
    <w:rsid w:val="003D2924"/>
    <w:rsid w:val="003D3707"/>
    <w:rsid w:val="003D3B15"/>
    <w:rsid w:val="003D3B2E"/>
    <w:rsid w:val="003D484D"/>
    <w:rsid w:val="003D49CB"/>
    <w:rsid w:val="003D4BD6"/>
    <w:rsid w:val="003D6412"/>
    <w:rsid w:val="003D6B8F"/>
    <w:rsid w:val="003D7566"/>
    <w:rsid w:val="003E08B3"/>
    <w:rsid w:val="003E09BB"/>
    <w:rsid w:val="003E0EAD"/>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083B"/>
    <w:rsid w:val="0040152A"/>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86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6D3B"/>
    <w:rsid w:val="004273FA"/>
    <w:rsid w:val="004276C2"/>
    <w:rsid w:val="00430186"/>
    <w:rsid w:val="00430730"/>
    <w:rsid w:val="0043269A"/>
    <w:rsid w:val="00432AD2"/>
    <w:rsid w:val="00432E14"/>
    <w:rsid w:val="004333C2"/>
    <w:rsid w:val="00433ACB"/>
    <w:rsid w:val="00434787"/>
    <w:rsid w:val="004347DA"/>
    <w:rsid w:val="004349EF"/>
    <w:rsid w:val="00434C13"/>
    <w:rsid w:val="00436323"/>
    <w:rsid w:val="004364FC"/>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63D"/>
    <w:rsid w:val="00454717"/>
    <w:rsid w:val="00455047"/>
    <w:rsid w:val="00455354"/>
    <w:rsid w:val="0045558D"/>
    <w:rsid w:val="00455672"/>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5F57"/>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068"/>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DCB"/>
    <w:rsid w:val="005075CA"/>
    <w:rsid w:val="0051074C"/>
    <w:rsid w:val="00510DE9"/>
    <w:rsid w:val="005111E2"/>
    <w:rsid w:val="00511231"/>
    <w:rsid w:val="0051212F"/>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963"/>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348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3680"/>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03B"/>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322"/>
    <w:rsid w:val="006157A9"/>
    <w:rsid w:val="0061591D"/>
    <w:rsid w:val="00615ED0"/>
    <w:rsid w:val="0061604C"/>
    <w:rsid w:val="0061610B"/>
    <w:rsid w:val="006168BD"/>
    <w:rsid w:val="00616C2B"/>
    <w:rsid w:val="006174FA"/>
    <w:rsid w:val="006178D1"/>
    <w:rsid w:val="00620719"/>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824"/>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9B7"/>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9FA"/>
    <w:rsid w:val="006D6A12"/>
    <w:rsid w:val="006D712D"/>
    <w:rsid w:val="006D7687"/>
    <w:rsid w:val="006D7D1F"/>
    <w:rsid w:val="006D7D8A"/>
    <w:rsid w:val="006E0572"/>
    <w:rsid w:val="006E05D8"/>
    <w:rsid w:val="006E08EE"/>
    <w:rsid w:val="006E0F44"/>
    <w:rsid w:val="006E1130"/>
    <w:rsid w:val="006E155A"/>
    <w:rsid w:val="006E3452"/>
    <w:rsid w:val="006E39D1"/>
    <w:rsid w:val="006E4038"/>
    <w:rsid w:val="006E437F"/>
    <w:rsid w:val="006E4D5B"/>
    <w:rsid w:val="006E602F"/>
    <w:rsid w:val="006E6720"/>
    <w:rsid w:val="006E68FA"/>
    <w:rsid w:val="006E7275"/>
    <w:rsid w:val="006E77B8"/>
    <w:rsid w:val="006F15CC"/>
    <w:rsid w:val="006F1EA6"/>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421"/>
    <w:rsid w:val="00715BAE"/>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5F0"/>
    <w:rsid w:val="00727DDC"/>
    <w:rsid w:val="00730CD6"/>
    <w:rsid w:val="00730F74"/>
    <w:rsid w:val="0073114B"/>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363"/>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64B"/>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2FBA"/>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5CB6"/>
    <w:rsid w:val="007963F6"/>
    <w:rsid w:val="00796418"/>
    <w:rsid w:val="00796485"/>
    <w:rsid w:val="00796576"/>
    <w:rsid w:val="00796E80"/>
    <w:rsid w:val="007979AD"/>
    <w:rsid w:val="00797A9C"/>
    <w:rsid w:val="007A0EAB"/>
    <w:rsid w:val="007A2341"/>
    <w:rsid w:val="007A38A1"/>
    <w:rsid w:val="007A38C1"/>
    <w:rsid w:val="007A3967"/>
    <w:rsid w:val="007A3BBE"/>
    <w:rsid w:val="007A4766"/>
    <w:rsid w:val="007A4952"/>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1D"/>
    <w:rsid w:val="007C4241"/>
    <w:rsid w:val="007C51E2"/>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13A"/>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F90"/>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B78"/>
    <w:rsid w:val="00827CC0"/>
    <w:rsid w:val="00831026"/>
    <w:rsid w:val="0083119B"/>
    <w:rsid w:val="00831654"/>
    <w:rsid w:val="00831BAE"/>
    <w:rsid w:val="00832216"/>
    <w:rsid w:val="00832CD0"/>
    <w:rsid w:val="00833430"/>
    <w:rsid w:val="00834128"/>
    <w:rsid w:val="0083417F"/>
    <w:rsid w:val="00835143"/>
    <w:rsid w:val="008351F8"/>
    <w:rsid w:val="00835741"/>
    <w:rsid w:val="00836E74"/>
    <w:rsid w:val="00836EAB"/>
    <w:rsid w:val="00837673"/>
    <w:rsid w:val="0083788E"/>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0"/>
    <w:rsid w:val="00860AEF"/>
    <w:rsid w:val="0086122C"/>
    <w:rsid w:val="00861310"/>
    <w:rsid w:val="00861B7B"/>
    <w:rsid w:val="00861F0F"/>
    <w:rsid w:val="00861F53"/>
    <w:rsid w:val="00862205"/>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0EB"/>
    <w:rsid w:val="008812E2"/>
    <w:rsid w:val="0088168A"/>
    <w:rsid w:val="00881E2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B07"/>
    <w:rsid w:val="0089606D"/>
    <w:rsid w:val="00896129"/>
    <w:rsid w:val="008965DF"/>
    <w:rsid w:val="0089774F"/>
    <w:rsid w:val="00897875"/>
    <w:rsid w:val="00897B8F"/>
    <w:rsid w:val="008A00D8"/>
    <w:rsid w:val="008A00D9"/>
    <w:rsid w:val="008A059D"/>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111"/>
    <w:rsid w:val="008B6649"/>
    <w:rsid w:val="008B672C"/>
    <w:rsid w:val="008B7611"/>
    <w:rsid w:val="008B7DE4"/>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B89"/>
    <w:rsid w:val="008C7399"/>
    <w:rsid w:val="008D18AA"/>
    <w:rsid w:val="008D1A16"/>
    <w:rsid w:val="008D1A2A"/>
    <w:rsid w:val="008D29B1"/>
    <w:rsid w:val="008D2EB5"/>
    <w:rsid w:val="008D35D9"/>
    <w:rsid w:val="008D3B85"/>
    <w:rsid w:val="008D4527"/>
    <w:rsid w:val="008D462D"/>
    <w:rsid w:val="008D51F2"/>
    <w:rsid w:val="008D577B"/>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9EB"/>
    <w:rsid w:val="009046E5"/>
    <w:rsid w:val="0090475D"/>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77A"/>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AD7"/>
    <w:rsid w:val="00940F3C"/>
    <w:rsid w:val="00940FC1"/>
    <w:rsid w:val="009410E0"/>
    <w:rsid w:val="009444B4"/>
    <w:rsid w:val="00944644"/>
    <w:rsid w:val="009449F9"/>
    <w:rsid w:val="009451CE"/>
    <w:rsid w:val="009460F9"/>
    <w:rsid w:val="00946A24"/>
    <w:rsid w:val="009470D4"/>
    <w:rsid w:val="00947337"/>
    <w:rsid w:val="009512FA"/>
    <w:rsid w:val="00951E57"/>
    <w:rsid w:val="00953018"/>
    <w:rsid w:val="009533E2"/>
    <w:rsid w:val="00953554"/>
    <w:rsid w:val="0095385A"/>
    <w:rsid w:val="00953928"/>
    <w:rsid w:val="009540F0"/>
    <w:rsid w:val="00954432"/>
    <w:rsid w:val="00955906"/>
    <w:rsid w:val="00955978"/>
    <w:rsid w:val="00957010"/>
    <w:rsid w:val="009574F8"/>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3B93"/>
    <w:rsid w:val="00964138"/>
    <w:rsid w:val="00964B3F"/>
    <w:rsid w:val="00964C98"/>
    <w:rsid w:val="00964E0A"/>
    <w:rsid w:val="00965C11"/>
    <w:rsid w:val="00966214"/>
    <w:rsid w:val="00971441"/>
    <w:rsid w:val="009715D4"/>
    <w:rsid w:val="00972470"/>
    <w:rsid w:val="009739A9"/>
    <w:rsid w:val="00973AA2"/>
    <w:rsid w:val="0097494E"/>
    <w:rsid w:val="00974B58"/>
    <w:rsid w:val="00975010"/>
    <w:rsid w:val="00975DA3"/>
    <w:rsid w:val="009761ED"/>
    <w:rsid w:val="00977689"/>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3CD6"/>
    <w:rsid w:val="0099483A"/>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1EA"/>
    <w:rsid w:val="009A6CA7"/>
    <w:rsid w:val="009A6FDF"/>
    <w:rsid w:val="009A76D6"/>
    <w:rsid w:val="009B199E"/>
    <w:rsid w:val="009B1E40"/>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6E67"/>
    <w:rsid w:val="009D70C2"/>
    <w:rsid w:val="009D7278"/>
    <w:rsid w:val="009D773A"/>
    <w:rsid w:val="009D7ADB"/>
    <w:rsid w:val="009D7B33"/>
    <w:rsid w:val="009E0327"/>
    <w:rsid w:val="009E0703"/>
    <w:rsid w:val="009E0E95"/>
    <w:rsid w:val="009E1649"/>
    <w:rsid w:val="009E16DA"/>
    <w:rsid w:val="009E1CD4"/>
    <w:rsid w:val="009E20DC"/>
    <w:rsid w:val="009E2391"/>
    <w:rsid w:val="009E476A"/>
    <w:rsid w:val="009E4E05"/>
    <w:rsid w:val="009E56FF"/>
    <w:rsid w:val="009E5CB1"/>
    <w:rsid w:val="009E5E56"/>
    <w:rsid w:val="009E61EA"/>
    <w:rsid w:val="009E6990"/>
    <w:rsid w:val="009E6FEE"/>
    <w:rsid w:val="009F030F"/>
    <w:rsid w:val="009F060F"/>
    <w:rsid w:val="009F0781"/>
    <w:rsid w:val="009F0850"/>
    <w:rsid w:val="009F11B2"/>
    <w:rsid w:val="009F1BDF"/>
    <w:rsid w:val="009F1EAE"/>
    <w:rsid w:val="009F29A5"/>
    <w:rsid w:val="009F3410"/>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7E8"/>
    <w:rsid w:val="00A05B4B"/>
    <w:rsid w:val="00A0627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E0E"/>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49A"/>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2945"/>
    <w:rsid w:val="00A730AD"/>
    <w:rsid w:val="00A733D2"/>
    <w:rsid w:val="00A73855"/>
    <w:rsid w:val="00A73D64"/>
    <w:rsid w:val="00A73FEA"/>
    <w:rsid w:val="00A74216"/>
    <w:rsid w:val="00A744B4"/>
    <w:rsid w:val="00A749D9"/>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2816"/>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96C"/>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B0E"/>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418"/>
    <w:rsid w:val="00B309C9"/>
    <w:rsid w:val="00B30E11"/>
    <w:rsid w:val="00B30EEB"/>
    <w:rsid w:val="00B30FD0"/>
    <w:rsid w:val="00B31423"/>
    <w:rsid w:val="00B31710"/>
    <w:rsid w:val="00B323E0"/>
    <w:rsid w:val="00B3279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4C28"/>
    <w:rsid w:val="00B458D0"/>
    <w:rsid w:val="00B46120"/>
    <w:rsid w:val="00B4792C"/>
    <w:rsid w:val="00B50CAE"/>
    <w:rsid w:val="00B512AD"/>
    <w:rsid w:val="00B5196C"/>
    <w:rsid w:val="00B525CB"/>
    <w:rsid w:val="00B52697"/>
    <w:rsid w:val="00B52A3C"/>
    <w:rsid w:val="00B53E7C"/>
    <w:rsid w:val="00B54D8F"/>
    <w:rsid w:val="00B55857"/>
    <w:rsid w:val="00B55C69"/>
    <w:rsid w:val="00B55EC1"/>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09A7"/>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DAD"/>
    <w:rsid w:val="00C14E82"/>
    <w:rsid w:val="00C14FF6"/>
    <w:rsid w:val="00C150A6"/>
    <w:rsid w:val="00C15A85"/>
    <w:rsid w:val="00C1641B"/>
    <w:rsid w:val="00C165FC"/>
    <w:rsid w:val="00C176D5"/>
    <w:rsid w:val="00C2082C"/>
    <w:rsid w:val="00C20832"/>
    <w:rsid w:val="00C20EB0"/>
    <w:rsid w:val="00C21005"/>
    <w:rsid w:val="00C2183B"/>
    <w:rsid w:val="00C220B6"/>
    <w:rsid w:val="00C22305"/>
    <w:rsid w:val="00C22D7C"/>
    <w:rsid w:val="00C22DDE"/>
    <w:rsid w:val="00C2338B"/>
    <w:rsid w:val="00C233CE"/>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97"/>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5B7"/>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5D94"/>
    <w:rsid w:val="00CD6054"/>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2B73"/>
    <w:rsid w:val="00D0368E"/>
    <w:rsid w:val="00D03D2D"/>
    <w:rsid w:val="00D03E7B"/>
    <w:rsid w:val="00D0401A"/>
    <w:rsid w:val="00D047E0"/>
    <w:rsid w:val="00D04B9F"/>
    <w:rsid w:val="00D04F34"/>
    <w:rsid w:val="00D04FFB"/>
    <w:rsid w:val="00D05153"/>
    <w:rsid w:val="00D058E9"/>
    <w:rsid w:val="00D0612A"/>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123"/>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0C6"/>
    <w:rsid w:val="00D26C21"/>
    <w:rsid w:val="00D2742F"/>
    <w:rsid w:val="00D2754F"/>
    <w:rsid w:val="00D27912"/>
    <w:rsid w:val="00D279D9"/>
    <w:rsid w:val="00D27C74"/>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316"/>
    <w:rsid w:val="00D4043A"/>
    <w:rsid w:val="00D40A8E"/>
    <w:rsid w:val="00D40AB0"/>
    <w:rsid w:val="00D40DB0"/>
    <w:rsid w:val="00D40F8B"/>
    <w:rsid w:val="00D41858"/>
    <w:rsid w:val="00D422DB"/>
    <w:rsid w:val="00D42A83"/>
    <w:rsid w:val="00D42AC2"/>
    <w:rsid w:val="00D43222"/>
    <w:rsid w:val="00D4498E"/>
    <w:rsid w:val="00D4515F"/>
    <w:rsid w:val="00D451E8"/>
    <w:rsid w:val="00D46354"/>
    <w:rsid w:val="00D4636B"/>
    <w:rsid w:val="00D466C9"/>
    <w:rsid w:val="00D467D8"/>
    <w:rsid w:val="00D47275"/>
    <w:rsid w:val="00D4767B"/>
    <w:rsid w:val="00D50AEF"/>
    <w:rsid w:val="00D50C39"/>
    <w:rsid w:val="00D51E15"/>
    <w:rsid w:val="00D52B7E"/>
    <w:rsid w:val="00D52E2F"/>
    <w:rsid w:val="00D52F59"/>
    <w:rsid w:val="00D53E3E"/>
    <w:rsid w:val="00D55299"/>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2C8"/>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005B"/>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B33"/>
    <w:rsid w:val="00E00A83"/>
    <w:rsid w:val="00E00B7A"/>
    <w:rsid w:val="00E02186"/>
    <w:rsid w:val="00E026BB"/>
    <w:rsid w:val="00E027C5"/>
    <w:rsid w:val="00E03124"/>
    <w:rsid w:val="00E031EB"/>
    <w:rsid w:val="00E03951"/>
    <w:rsid w:val="00E03DB8"/>
    <w:rsid w:val="00E04A32"/>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A7A"/>
    <w:rsid w:val="00E20BA4"/>
    <w:rsid w:val="00E20C24"/>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A5D"/>
    <w:rsid w:val="00E424C8"/>
    <w:rsid w:val="00E4251D"/>
    <w:rsid w:val="00E42F41"/>
    <w:rsid w:val="00E43D00"/>
    <w:rsid w:val="00E43D3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69FA"/>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B41"/>
    <w:rsid w:val="00E7347B"/>
    <w:rsid w:val="00E73D03"/>
    <w:rsid w:val="00E7471C"/>
    <w:rsid w:val="00E7498A"/>
    <w:rsid w:val="00E7514E"/>
    <w:rsid w:val="00E75B34"/>
    <w:rsid w:val="00E76AC5"/>
    <w:rsid w:val="00E77AF5"/>
    <w:rsid w:val="00E8029A"/>
    <w:rsid w:val="00E803A6"/>
    <w:rsid w:val="00E81653"/>
    <w:rsid w:val="00E818BF"/>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A6BEC"/>
    <w:rsid w:val="00EB09FF"/>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ACA"/>
    <w:rsid w:val="00EF1E97"/>
    <w:rsid w:val="00EF2436"/>
    <w:rsid w:val="00EF2547"/>
    <w:rsid w:val="00EF2B2B"/>
    <w:rsid w:val="00EF2E1C"/>
    <w:rsid w:val="00EF2FD6"/>
    <w:rsid w:val="00EF326A"/>
    <w:rsid w:val="00EF37D3"/>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3A0F"/>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1FA9"/>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5FE1"/>
    <w:rsid w:val="00F76C11"/>
    <w:rsid w:val="00F7700C"/>
    <w:rsid w:val="00F77021"/>
    <w:rsid w:val="00F775CB"/>
    <w:rsid w:val="00F77E61"/>
    <w:rsid w:val="00F80371"/>
    <w:rsid w:val="00F814B2"/>
    <w:rsid w:val="00F815AC"/>
    <w:rsid w:val="00F83200"/>
    <w:rsid w:val="00F83B33"/>
    <w:rsid w:val="00F83CAE"/>
    <w:rsid w:val="00F840BF"/>
    <w:rsid w:val="00F8415D"/>
    <w:rsid w:val="00F8427A"/>
    <w:rsid w:val="00F843DF"/>
    <w:rsid w:val="00F84899"/>
    <w:rsid w:val="00F848AB"/>
    <w:rsid w:val="00F84A0A"/>
    <w:rsid w:val="00F850C0"/>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5E75"/>
    <w:rsid w:val="00FA6F8B"/>
    <w:rsid w:val="00FA7A30"/>
    <w:rsid w:val="00FB033F"/>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28E"/>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table" w:customStyle="1" w:styleId="Tablaconcuadrcula3">
    <w:name w:val="Tabla con cuadrícula3"/>
    <w:basedOn w:val="Tablanormal"/>
    <w:next w:val="Tablaconcuadrcula"/>
    <w:uiPriority w:val="39"/>
    <w:rsid w:val="0052496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2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24963"/>
  </w:style>
  <w:style w:type="paragraph" w:customStyle="1" w:styleId="footnotedescription">
    <w:name w:val="footnote description"/>
    <w:next w:val="Normal"/>
    <w:link w:val="footnotedescriptionChar"/>
    <w:hidden/>
    <w:rsid w:val="007A38C1"/>
    <w:pPr>
      <w:spacing w:after="14" w:line="246" w:lineRule="auto"/>
      <w:ind w:right="55" w:firstLine="709"/>
      <w:jc w:val="both"/>
    </w:pPr>
    <w:rPr>
      <w:rFonts w:ascii="Arial" w:eastAsia="Arial" w:hAnsi="Arial" w:cs="Arial"/>
      <w:color w:val="000000"/>
      <w:sz w:val="19"/>
      <w:lang w:eastAsia="es-CO"/>
    </w:rPr>
  </w:style>
  <w:style w:type="character" w:customStyle="1" w:styleId="footnotedescriptionChar">
    <w:name w:val="footnote description Char"/>
    <w:link w:val="footnotedescription"/>
    <w:rsid w:val="007A38C1"/>
    <w:rPr>
      <w:rFonts w:ascii="Arial" w:eastAsia="Arial" w:hAnsi="Arial" w:cs="Arial"/>
      <w:color w:val="000000"/>
      <w:sz w:val="19"/>
      <w:lang w:eastAsia="es-CO"/>
    </w:rPr>
  </w:style>
  <w:style w:type="character" w:customStyle="1" w:styleId="footnotemark">
    <w:name w:val="footnote mark"/>
    <w:hidden/>
    <w:rsid w:val="007A38C1"/>
    <w:rPr>
      <w:rFonts w:ascii="Arial" w:eastAsia="Arial" w:hAnsi="Arial" w:cs="Arial"/>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52F62188-A088-483D-8D51-477DF138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570</TotalTime>
  <Pages>1</Pages>
  <Words>8863</Words>
  <Characters>48749</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61</cp:revision>
  <cp:lastPrinted>2020-01-30T15:05:00Z</cp:lastPrinted>
  <dcterms:created xsi:type="dcterms:W3CDTF">2022-03-25T14:21:00Z</dcterms:created>
  <dcterms:modified xsi:type="dcterms:W3CDTF">2022-05-24T20:49:00Z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