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6A6B87" w:rsidRDefault="00E05AA3" w:rsidP="00CC1897">
      <w:pPr>
        <w:jc w:val="right"/>
        <w:rPr>
          <w:rFonts w:ascii="Arial" w:hAnsi="Arial" w:cs="Arial"/>
          <w:bCs/>
          <w:color w:val="000000" w:themeColor="text1"/>
          <w:sz w:val="20"/>
          <w:szCs w:val="20"/>
          <w:lang w:val="es-ES_tradnl" w:eastAsia="es-ES"/>
        </w:rPr>
      </w:pPr>
      <w:bookmarkStart w:id="0" w:name="_Hlk28946138"/>
      <w:bookmarkStart w:id="1" w:name="_Hlk29548183"/>
    </w:p>
    <w:p w14:paraId="346AE9F5" w14:textId="4873E163" w:rsidR="0030575F" w:rsidRPr="005873AF" w:rsidRDefault="00B55C69" w:rsidP="0030575F">
      <w:pPr>
        <w:jc w:val="right"/>
        <w:rPr>
          <w:rFonts w:ascii="Arial" w:eastAsia="Calibri" w:hAnsi="Arial" w:cs="Arial"/>
          <w:b/>
          <w:color w:val="000000" w:themeColor="text1"/>
          <w:sz w:val="20"/>
          <w:szCs w:val="20"/>
          <w:lang w:val="es-ES_tradnl"/>
        </w:rPr>
      </w:pPr>
      <w:r w:rsidRPr="005873AF">
        <w:rPr>
          <w:rFonts w:ascii="Arial" w:hAnsi="Arial" w:cs="Arial"/>
          <w:bCs/>
          <w:color w:val="000000" w:themeColor="text1"/>
          <w:sz w:val="20"/>
          <w:szCs w:val="20"/>
          <w:lang w:val="es-ES_tradnl" w:eastAsia="es-ES"/>
        </w:rPr>
        <w:t>CCE-DES-FM-17</w:t>
      </w:r>
      <w:bookmarkEnd w:id="0"/>
      <w:bookmarkEnd w:id="1"/>
    </w:p>
    <w:p w14:paraId="1DAD8B54" w14:textId="77777777" w:rsidR="005873AF" w:rsidRDefault="005873AF" w:rsidP="002652C1">
      <w:pPr>
        <w:contextualSpacing/>
        <w:jc w:val="both"/>
        <w:rPr>
          <w:rFonts w:ascii="Arial" w:eastAsia="Calibri" w:hAnsi="Arial" w:cs="Arial"/>
          <w:b/>
          <w:bCs/>
          <w:color w:val="000000" w:themeColor="text1"/>
          <w:sz w:val="22"/>
          <w:szCs w:val="22"/>
          <w:lang w:val="es-MX" w:eastAsia="en-US"/>
        </w:rPr>
      </w:pPr>
      <w:bookmarkStart w:id="2" w:name="_Hlk79765235"/>
    </w:p>
    <w:p w14:paraId="213A2A29" w14:textId="45C5865E" w:rsidR="00AB5DF8" w:rsidRPr="005873AF" w:rsidRDefault="00AB5DF8" w:rsidP="002652C1">
      <w:pPr>
        <w:jc w:val="both"/>
        <w:rPr>
          <w:rFonts w:ascii="Arial" w:eastAsia="Arial" w:hAnsi="Arial" w:cs="Arial"/>
          <w:color w:val="000000" w:themeColor="text1"/>
          <w:sz w:val="20"/>
          <w:szCs w:val="20"/>
          <w:lang w:val="es-ES" w:eastAsia="es-ES" w:bidi="es-ES"/>
        </w:rPr>
      </w:pPr>
    </w:p>
    <w:p w14:paraId="137EF084" w14:textId="77777777" w:rsidR="00AB5DF8" w:rsidRPr="005873AF" w:rsidRDefault="00AB5DF8" w:rsidP="002652C1">
      <w:pPr>
        <w:tabs>
          <w:tab w:val="left" w:pos="426"/>
        </w:tabs>
        <w:jc w:val="both"/>
        <w:rPr>
          <w:rFonts w:ascii="Arial" w:eastAsia="Calibri" w:hAnsi="Arial" w:cs="Arial"/>
          <w:b/>
          <w:bCs/>
          <w:color w:val="000000" w:themeColor="text1"/>
          <w:sz w:val="22"/>
          <w:szCs w:val="22"/>
          <w:lang w:val="es-MX" w:eastAsia="en-US"/>
        </w:rPr>
      </w:pPr>
      <w:bookmarkStart w:id="3" w:name="_Hlk77165666"/>
      <w:r w:rsidRPr="005873AF">
        <w:rPr>
          <w:rFonts w:ascii="Arial" w:eastAsia="Calibri" w:hAnsi="Arial" w:cs="Arial"/>
          <w:b/>
          <w:bCs/>
          <w:color w:val="000000" w:themeColor="text1"/>
          <w:sz w:val="22"/>
          <w:szCs w:val="22"/>
          <w:lang w:val="es-MX" w:eastAsia="en-US"/>
        </w:rPr>
        <w:t xml:space="preserve">LEY DE GARANTÍAS ELECTORALES ─ Prohibición artículo 33 ‒ </w:t>
      </w:r>
      <w:bookmarkEnd w:id="3"/>
      <w:r w:rsidRPr="005873AF">
        <w:rPr>
          <w:rFonts w:ascii="Arial" w:eastAsia="Calibri" w:hAnsi="Arial" w:cs="Arial"/>
          <w:b/>
          <w:bCs/>
          <w:color w:val="000000" w:themeColor="text1"/>
          <w:sz w:val="22"/>
          <w:szCs w:val="22"/>
          <w:lang w:val="es-MX" w:eastAsia="en-US"/>
        </w:rPr>
        <w:t xml:space="preserve">Contratación directa ‒ Alcance </w:t>
      </w:r>
    </w:p>
    <w:p w14:paraId="07DDB2B3" w14:textId="77777777" w:rsidR="00AB5DF8" w:rsidRPr="005873AF" w:rsidRDefault="00AB5DF8" w:rsidP="002652C1">
      <w:pPr>
        <w:tabs>
          <w:tab w:val="left" w:pos="426"/>
        </w:tabs>
        <w:jc w:val="both"/>
        <w:rPr>
          <w:rFonts w:ascii="Arial" w:eastAsia="Calibri" w:hAnsi="Arial" w:cs="Arial"/>
          <w:noProof/>
          <w:color w:val="000000" w:themeColor="text1"/>
          <w:sz w:val="20"/>
          <w:szCs w:val="20"/>
          <w:lang w:val="es-MX" w:eastAsia="en-US"/>
        </w:rPr>
      </w:pPr>
    </w:p>
    <w:p w14:paraId="0340FA94" w14:textId="0AAF8DC7" w:rsidR="00FB24E3" w:rsidRDefault="00AB5DF8" w:rsidP="00FB24E3">
      <w:pPr>
        <w:ind w:right="49"/>
        <w:jc w:val="both"/>
        <w:rPr>
          <w:rFonts w:ascii="Arial" w:hAnsi="Arial" w:cs="Arial"/>
          <w:color w:val="000000" w:themeColor="text1"/>
          <w:sz w:val="20"/>
          <w:szCs w:val="20"/>
          <w:lang w:eastAsia="x-none"/>
        </w:rPr>
      </w:pPr>
      <w:r w:rsidRPr="00713B6C">
        <w:rPr>
          <w:rFonts w:ascii="Arial" w:eastAsia="Calibri" w:hAnsi="Arial" w:cs="Arial"/>
          <w:noProof/>
          <w:color w:val="000000" w:themeColor="text1"/>
          <w:sz w:val="20"/>
          <w:szCs w:val="20"/>
          <w:lang w:val="es-MX" w:eastAsia="en-US"/>
        </w:rPr>
        <w:t xml:space="preserve">[…] </w:t>
      </w:r>
      <w:bookmarkEnd w:id="2"/>
      <w:r w:rsidR="00FB24E3" w:rsidRPr="00FB24E3">
        <w:rPr>
          <w:rFonts w:ascii="Arial" w:hAnsi="Arial" w:cs="Arial"/>
          <w:color w:val="000000" w:themeColor="text1"/>
          <w:sz w:val="20"/>
          <w:szCs w:val="20"/>
          <w:lang w:eastAsia="x-none"/>
        </w:rPr>
        <w:t xml:space="preserve">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 </w:t>
      </w:r>
    </w:p>
    <w:p w14:paraId="30D92C31" w14:textId="77777777" w:rsidR="00594EC1" w:rsidRPr="00FB24E3" w:rsidRDefault="00594EC1" w:rsidP="00FB24E3">
      <w:pPr>
        <w:ind w:right="49"/>
        <w:jc w:val="both"/>
        <w:rPr>
          <w:rFonts w:ascii="Arial" w:hAnsi="Arial" w:cs="Arial"/>
          <w:color w:val="000000" w:themeColor="text1"/>
          <w:sz w:val="20"/>
          <w:szCs w:val="20"/>
          <w:lang w:eastAsia="x-none"/>
        </w:rPr>
      </w:pPr>
    </w:p>
    <w:p w14:paraId="6662A6AF" w14:textId="4EE3C633" w:rsidR="00A1108C" w:rsidRDefault="00FB24E3" w:rsidP="00FB24E3">
      <w:pPr>
        <w:ind w:right="49"/>
        <w:jc w:val="both"/>
        <w:rPr>
          <w:rFonts w:ascii="Arial" w:hAnsi="Arial" w:cs="Arial"/>
          <w:color w:val="000000" w:themeColor="text1"/>
          <w:sz w:val="20"/>
          <w:szCs w:val="20"/>
          <w:lang w:eastAsia="x-none"/>
        </w:rPr>
      </w:pPr>
      <w:r w:rsidRPr="00FB24E3">
        <w:rPr>
          <w:rFonts w:ascii="Arial" w:hAnsi="Arial" w:cs="Arial"/>
          <w:color w:val="000000" w:themeColor="text1"/>
          <w:sz w:val="20"/>
          <w:szCs w:val="20"/>
          <w:lang w:eastAsia="x-none"/>
        </w:rPr>
        <w:t>De lo anterior se desprende que la restricción aplica, sin perjuicio de las excepciones establecidas en la misma ley, para celebrar cualquier contrato de forma directa, esto es, sin que exista un proceso abierto y competitivo, durante la etapa prelectoral de las elecciones presidenciales.</w:t>
      </w:r>
    </w:p>
    <w:p w14:paraId="13376DB8" w14:textId="5078E17E" w:rsidR="00FA458D" w:rsidRDefault="00FA458D" w:rsidP="00FB24E3">
      <w:pPr>
        <w:ind w:right="49"/>
        <w:jc w:val="both"/>
        <w:rPr>
          <w:rFonts w:ascii="Arial" w:hAnsi="Arial" w:cs="Arial"/>
          <w:color w:val="000000" w:themeColor="text1"/>
          <w:sz w:val="20"/>
          <w:szCs w:val="20"/>
          <w:lang w:eastAsia="x-none"/>
        </w:rPr>
      </w:pPr>
    </w:p>
    <w:p w14:paraId="13419E85" w14:textId="77777777" w:rsidR="00FA458D" w:rsidRPr="00B76A79" w:rsidRDefault="00FA458D" w:rsidP="00FA458D">
      <w:pPr>
        <w:jc w:val="both"/>
        <w:rPr>
          <w:rFonts w:ascii="Arial" w:hAnsi="Arial" w:cs="Arial"/>
          <w:b/>
          <w:color w:val="000000" w:themeColor="text1"/>
          <w:sz w:val="22"/>
          <w:szCs w:val="22"/>
        </w:rPr>
      </w:pPr>
      <w:r w:rsidRPr="00B76A79">
        <w:rPr>
          <w:rFonts w:ascii="Arial" w:hAnsi="Arial" w:cs="Arial"/>
          <w:b/>
          <w:color w:val="000000" w:themeColor="text1"/>
          <w:sz w:val="22"/>
          <w:szCs w:val="22"/>
        </w:rPr>
        <w:t>LEY DE GARANTÍAS ELECTORALES –</w:t>
      </w:r>
      <w:r>
        <w:rPr>
          <w:rFonts w:ascii="Arial" w:hAnsi="Arial" w:cs="Arial"/>
          <w:b/>
          <w:color w:val="000000" w:themeColor="text1"/>
          <w:sz w:val="22"/>
          <w:szCs w:val="22"/>
        </w:rPr>
        <w:t xml:space="preserve"> </w:t>
      </w:r>
      <w:r w:rsidRPr="00B76A79">
        <w:rPr>
          <w:rFonts w:ascii="Arial" w:hAnsi="Arial" w:cs="Arial"/>
          <w:b/>
          <w:color w:val="000000" w:themeColor="text1"/>
          <w:sz w:val="22"/>
          <w:szCs w:val="22"/>
        </w:rPr>
        <w:t xml:space="preserve">Destinatarios </w:t>
      </w:r>
    </w:p>
    <w:p w14:paraId="576B1846" w14:textId="77777777" w:rsidR="00FA458D" w:rsidRPr="00B76A79" w:rsidRDefault="00FA458D" w:rsidP="00FA458D">
      <w:pPr>
        <w:rPr>
          <w:rFonts w:ascii="Arial" w:hAnsi="Arial" w:cs="Arial"/>
          <w:color w:val="000000" w:themeColor="text1"/>
          <w:sz w:val="20"/>
          <w:szCs w:val="20"/>
        </w:rPr>
      </w:pPr>
    </w:p>
    <w:p w14:paraId="486F7AB6" w14:textId="428F2BF7" w:rsidR="00FA458D" w:rsidRDefault="00FA458D" w:rsidP="00FA458D">
      <w:pPr>
        <w:ind w:right="49"/>
        <w:jc w:val="both"/>
        <w:rPr>
          <w:rFonts w:ascii="Arial" w:hAnsi="Arial" w:cs="Arial"/>
          <w:color w:val="000000" w:themeColor="text1"/>
          <w:sz w:val="20"/>
          <w:szCs w:val="20"/>
          <w:lang w:eastAsia="x-none"/>
        </w:rPr>
      </w:pPr>
      <w:r w:rsidRPr="00CF4BD0">
        <w:rPr>
          <w:rFonts w:ascii="Arial" w:hAnsi="Arial" w:cs="Arial"/>
          <w:bCs/>
          <w:color w:val="000000" w:themeColor="text1"/>
          <w:sz w:val="20"/>
          <w:szCs w:val="20"/>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0DE02453" w14:textId="77777777" w:rsidR="00FB24E3" w:rsidRPr="005873AF" w:rsidRDefault="00FB24E3" w:rsidP="00FB24E3">
      <w:pPr>
        <w:ind w:right="49"/>
        <w:jc w:val="both"/>
        <w:rPr>
          <w:rFonts w:ascii="Arial" w:eastAsia="Arial" w:hAnsi="Arial" w:cs="Arial"/>
          <w:bCs/>
          <w:color w:val="000000" w:themeColor="text1"/>
          <w:sz w:val="22"/>
          <w:szCs w:val="22"/>
        </w:rPr>
      </w:pPr>
    </w:p>
    <w:p w14:paraId="532BB815" w14:textId="6C340F0F" w:rsidR="00A1108C" w:rsidRPr="005873AF" w:rsidRDefault="00A1108C" w:rsidP="000340B3">
      <w:pPr>
        <w:jc w:val="both"/>
        <w:rPr>
          <w:rFonts w:ascii="Arial" w:eastAsia="Arial" w:hAnsi="Arial" w:cs="Arial"/>
          <w:b/>
          <w:bCs/>
          <w:color w:val="000000" w:themeColor="text1"/>
          <w:sz w:val="22"/>
          <w:szCs w:val="22"/>
        </w:rPr>
      </w:pPr>
      <w:r w:rsidRPr="005873AF">
        <w:rPr>
          <w:rFonts w:ascii="Arial" w:eastAsia="Arial" w:hAnsi="Arial" w:cs="Arial"/>
          <w:b/>
          <w:bCs/>
          <w:color w:val="000000" w:themeColor="text1"/>
          <w:sz w:val="22"/>
          <w:szCs w:val="22"/>
        </w:rPr>
        <w:t>LEY DE GARANTÍ</w:t>
      </w:r>
      <w:r w:rsidR="00C02EBD">
        <w:rPr>
          <w:rFonts w:ascii="Arial" w:eastAsia="Arial" w:hAnsi="Arial" w:cs="Arial"/>
          <w:b/>
          <w:bCs/>
          <w:color w:val="000000" w:themeColor="text1"/>
          <w:sz w:val="22"/>
          <w:szCs w:val="22"/>
        </w:rPr>
        <w:t>AS ELECTORALES – Excepciones – A</w:t>
      </w:r>
      <w:r w:rsidRPr="005873AF">
        <w:rPr>
          <w:rFonts w:ascii="Arial" w:eastAsia="Arial" w:hAnsi="Arial" w:cs="Arial"/>
          <w:b/>
          <w:bCs/>
          <w:color w:val="000000" w:themeColor="text1"/>
          <w:sz w:val="22"/>
          <w:szCs w:val="22"/>
        </w:rPr>
        <w:t xml:space="preserve">rtículo 33 </w:t>
      </w:r>
    </w:p>
    <w:p w14:paraId="57F71A07" w14:textId="77777777" w:rsidR="00A1108C" w:rsidRPr="005873AF" w:rsidRDefault="00A1108C" w:rsidP="000340B3">
      <w:pPr>
        <w:jc w:val="both"/>
        <w:rPr>
          <w:rFonts w:ascii="Arial" w:eastAsia="Arial" w:hAnsi="Arial" w:cs="Arial"/>
          <w:bCs/>
          <w:color w:val="000000" w:themeColor="text1"/>
          <w:sz w:val="20"/>
          <w:szCs w:val="20"/>
        </w:rPr>
      </w:pPr>
    </w:p>
    <w:p w14:paraId="709D0F8E" w14:textId="7485AE3C" w:rsidR="007954AF" w:rsidRDefault="00713B6C" w:rsidP="00713B6C">
      <w:pPr>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007954AF" w:rsidRPr="00713B6C">
        <w:rPr>
          <w:rFonts w:ascii="Arial" w:eastAsia="Arial" w:hAnsi="Arial" w:cs="Arial"/>
          <w:color w:val="000000" w:themeColor="text1"/>
          <w:sz w:val="20"/>
          <w:szCs w:val="20"/>
        </w:rPr>
        <w:t>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 o normas especiales.</w:t>
      </w:r>
    </w:p>
    <w:p w14:paraId="03924449" w14:textId="77777777" w:rsidR="00713B6C" w:rsidRDefault="00713B6C" w:rsidP="00713B6C">
      <w:pPr>
        <w:jc w:val="both"/>
        <w:rPr>
          <w:rFonts w:ascii="Arial" w:eastAsia="Arial" w:hAnsi="Arial" w:cs="Arial"/>
          <w:bCs/>
          <w:color w:val="000000" w:themeColor="text1"/>
          <w:sz w:val="20"/>
          <w:szCs w:val="20"/>
        </w:rPr>
      </w:pPr>
    </w:p>
    <w:p w14:paraId="546AA848" w14:textId="369B6C30" w:rsidR="007954AF" w:rsidRDefault="007954AF" w:rsidP="00713B6C">
      <w:pPr>
        <w:jc w:val="both"/>
        <w:rPr>
          <w:rFonts w:ascii="Arial" w:hAnsi="Arial" w:cs="Arial"/>
          <w:bCs/>
          <w:color w:val="000000" w:themeColor="text1"/>
          <w:sz w:val="20"/>
          <w:szCs w:val="20"/>
          <w:lang w:val="es-ES_tradnl"/>
        </w:rPr>
      </w:pPr>
      <w:r w:rsidRPr="00713B6C">
        <w:rPr>
          <w:rFonts w:ascii="Arial" w:eastAsia="Arial" w:hAnsi="Arial" w:cs="Arial"/>
          <w:bCs/>
          <w:color w:val="000000" w:themeColor="text1"/>
          <w:sz w:val="20"/>
          <w:szCs w:val="20"/>
        </w:rPr>
        <w:t xml:space="preserve">En este punto, debe tenerse en cuenta que, en principio, todos los entes del Estado están cobijados por la prohibición para contratar directamente establecida en el artículo 33 de la Ley de Garantías Electorales. Sin embargo, es importante reiterar que </w:t>
      </w:r>
      <w:r w:rsidRPr="00713B6C">
        <w:rPr>
          <w:rFonts w:ascii="Arial" w:hAnsi="Arial" w:cs="Arial"/>
          <w:bCs/>
          <w:color w:val="000000" w:themeColor="text1"/>
          <w:sz w:val="20"/>
          <w:szCs w:val="20"/>
          <w:lang w:val="es-ES_tradnl"/>
        </w:rPr>
        <w:t>el segundo inciso de la misma disposición consagró las excepciones aplicables a la prohibición de contratación directa establecida en el mismo artículo. Como se indicó, las excepciones a la prohibición del artículo 33 de la norma mencionada son las siguientes:</w:t>
      </w:r>
    </w:p>
    <w:p w14:paraId="66F02EE6" w14:textId="77777777" w:rsidR="00594EC1" w:rsidRPr="00713B6C" w:rsidRDefault="00594EC1" w:rsidP="00713B6C">
      <w:pPr>
        <w:jc w:val="both"/>
        <w:rPr>
          <w:rFonts w:ascii="Arial" w:hAnsi="Arial" w:cs="Arial"/>
          <w:bCs/>
          <w:color w:val="000000" w:themeColor="text1"/>
          <w:sz w:val="20"/>
          <w:szCs w:val="20"/>
          <w:lang w:val="es-ES_tradnl"/>
        </w:rPr>
      </w:pPr>
    </w:p>
    <w:p w14:paraId="1AC6A900" w14:textId="77777777" w:rsidR="007954AF" w:rsidRPr="00713B6C" w:rsidRDefault="007954AF" w:rsidP="00713B6C">
      <w:pPr>
        <w:tabs>
          <w:tab w:val="left" w:pos="709"/>
        </w:tabs>
        <w:jc w:val="both"/>
        <w:rPr>
          <w:rFonts w:ascii="Arial" w:hAnsi="Arial" w:cs="Arial"/>
          <w:bCs/>
          <w:color w:val="000000" w:themeColor="text1"/>
          <w:sz w:val="20"/>
          <w:szCs w:val="20"/>
          <w:lang w:val="es-ES_tradnl"/>
        </w:rPr>
      </w:pPr>
      <w:r w:rsidRPr="00713B6C">
        <w:rPr>
          <w:rFonts w:ascii="Arial" w:hAnsi="Arial" w:cs="Arial"/>
          <w:bCs/>
          <w:color w:val="000000" w:themeColor="text1"/>
          <w:sz w:val="20"/>
          <w:szCs w:val="20"/>
          <w:lang w:val="es-ES_tradnl"/>
        </w:rPr>
        <w:tab/>
        <w:t>i) La contratación referente a la defensa y seguridad del Estado;</w:t>
      </w:r>
    </w:p>
    <w:p w14:paraId="524E2C7B" w14:textId="77777777" w:rsidR="007954AF" w:rsidRPr="00713B6C" w:rsidRDefault="007954AF" w:rsidP="00713B6C">
      <w:pPr>
        <w:tabs>
          <w:tab w:val="left" w:pos="709"/>
        </w:tabs>
        <w:jc w:val="both"/>
        <w:rPr>
          <w:rFonts w:ascii="Arial" w:hAnsi="Arial" w:cs="Arial"/>
          <w:bCs/>
          <w:color w:val="000000" w:themeColor="text1"/>
          <w:sz w:val="20"/>
          <w:szCs w:val="20"/>
          <w:lang w:val="es-ES_tradnl"/>
        </w:rPr>
      </w:pPr>
      <w:r w:rsidRPr="00713B6C">
        <w:rPr>
          <w:rFonts w:ascii="Arial" w:hAnsi="Arial" w:cs="Arial"/>
          <w:bCs/>
          <w:color w:val="000000" w:themeColor="text1"/>
          <w:sz w:val="20"/>
          <w:szCs w:val="20"/>
          <w:lang w:val="es-ES_tradnl"/>
        </w:rPr>
        <w:tab/>
        <w:t>ii) Los contratos de crédito público;</w:t>
      </w:r>
    </w:p>
    <w:p w14:paraId="1C0D4F77" w14:textId="77777777" w:rsidR="007954AF" w:rsidRPr="00713B6C" w:rsidRDefault="007954AF" w:rsidP="00713B6C">
      <w:pPr>
        <w:tabs>
          <w:tab w:val="left" w:pos="709"/>
        </w:tabs>
        <w:jc w:val="both"/>
        <w:rPr>
          <w:rFonts w:ascii="Arial" w:hAnsi="Arial" w:cs="Arial"/>
          <w:bCs/>
          <w:color w:val="000000" w:themeColor="text1"/>
          <w:sz w:val="20"/>
          <w:szCs w:val="20"/>
          <w:lang w:val="es-ES_tradnl"/>
        </w:rPr>
      </w:pPr>
      <w:r w:rsidRPr="00713B6C">
        <w:rPr>
          <w:rFonts w:ascii="Arial" w:hAnsi="Arial" w:cs="Arial"/>
          <w:bCs/>
          <w:color w:val="000000" w:themeColor="text1"/>
          <w:sz w:val="20"/>
          <w:szCs w:val="20"/>
          <w:lang w:val="es-ES_tradnl"/>
        </w:rPr>
        <w:tab/>
        <w:t xml:space="preserve">iii) Los contratos requeridos para cubrir las emergencias educativas, sanitarias y desastres; </w:t>
      </w:r>
    </w:p>
    <w:p w14:paraId="45AE4778" w14:textId="77777777" w:rsidR="007954AF" w:rsidRPr="00713B6C" w:rsidRDefault="007954AF" w:rsidP="00713B6C">
      <w:pPr>
        <w:tabs>
          <w:tab w:val="left" w:pos="709"/>
        </w:tabs>
        <w:jc w:val="both"/>
        <w:rPr>
          <w:rFonts w:ascii="Arial" w:hAnsi="Arial" w:cs="Arial"/>
          <w:bCs/>
          <w:color w:val="000000" w:themeColor="text1"/>
          <w:sz w:val="20"/>
          <w:szCs w:val="20"/>
          <w:lang w:val="es-ES_tradnl"/>
        </w:rPr>
      </w:pPr>
      <w:r w:rsidRPr="00713B6C">
        <w:rPr>
          <w:rFonts w:ascii="Arial" w:hAnsi="Arial" w:cs="Arial"/>
          <w:bCs/>
          <w:color w:val="000000" w:themeColor="text1"/>
          <w:sz w:val="20"/>
          <w:szCs w:val="20"/>
          <w:lang w:val="es-ES_tradnl"/>
        </w:rPr>
        <w:lastRenderedPageBreak/>
        <w:tab/>
        <w:t>iv) La contratación para la reconstrucción de vías, puentes, carreteras, infraestructura energética y de comunicaciones, en caso de que hayan sido objeto de atentados, acciones terroristas, desastres naturales o casos de fuerza mayor y;</w:t>
      </w:r>
    </w:p>
    <w:p w14:paraId="49F8AC1F" w14:textId="77777777" w:rsidR="007954AF" w:rsidRPr="00713B6C" w:rsidRDefault="007954AF" w:rsidP="00713B6C">
      <w:pPr>
        <w:tabs>
          <w:tab w:val="left" w:pos="709"/>
        </w:tabs>
        <w:jc w:val="both"/>
        <w:rPr>
          <w:rFonts w:ascii="Arial" w:hAnsi="Arial" w:cs="Arial"/>
          <w:bCs/>
          <w:color w:val="000000" w:themeColor="text1"/>
          <w:sz w:val="20"/>
          <w:szCs w:val="20"/>
          <w:lang w:val="es-ES_tradnl"/>
        </w:rPr>
      </w:pPr>
      <w:r w:rsidRPr="00713B6C">
        <w:rPr>
          <w:rFonts w:ascii="Arial" w:hAnsi="Arial" w:cs="Arial"/>
          <w:bCs/>
          <w:color w:val="000000" w:themeColor="text1"/>
          <w:sz w:val="20"/>
          <w:szCs w:val="20"/>
          <w:lang w:val="es-ES_tradnl"/>
        </w:rPr>
        <w:tab/>
        <w:t xml:space="preserve">v) La contratación que deban realizar las entidades sanitarias y hospitalarias. </w:t>
      </w:r>
    </w:p>
    <w:p w14:paraId="09B8E758" w14:textId="77777777" w:rsidR="00C128B2" w:rsidRPr="005873AF" w:rsidRDefault="00C128B2" w:rsidP="003E718C">
      <w:pPr>
        <w:rPr>
          <w:rFonts w:ascii="Arial" w:hAnsi="Arial" w:cs="Arial"/>
          <w:color w:val="000000" w:themeColor="text1"/>
          <w:sz w:val="20"/>
          <w:szCs w:val="20"/>
          <w:lang w:val="es-ES_tradnl"/>
        </w:rPr>
      </w:pPr>
    </w:p>
    <w:p w14:paraId="0146910F" w14:textId="084729EF" w:rsidR="00FB24E3" w:rsidRPr="00FB24E3" w:rsidRDefault="00FB24E3" w:rsidP="00CF4BD0">
      <w:pPr>
        <w:tabs>
          <w:tab w:val="left" w:pos="426"/>
        </w:tabs>
        <w:jc w:val="both"/>
        <w:rPr>
          <w:rFonts w:ascii="Arial" w:hAnsi="Arial" w:cs="Arial"/>
          <w:bCs/>
          <w:color w:val="000000" w:themeColor="text1"/>
          <w:sz w:val="20"/>
          <w:szCs w:val="20"/>
          <w:lang w:val="es-ES_tradnl"/>
        </w:rPr>
      </w:pPr>
    </w:p>
    <w:p w14:paraId="16352EB4" w14:textId="63C99904" w:rsidR="00DE104F" w:rsidRPr="005873AF" w:rsidRDefault="00F56DF8" w:rsidP="00713B6C">
      <w:pPr>
        <w:rPr>
          <w:rFonts w:ascii="Arial" w:hAnsi="Arial" w:cs="Arial"/>
          <w:color w:val="000000" w:themeColor="text1"/>
          <w:sz w:val="22"/>
        </w:rPr>
      </w:pPr>
      <w:r w:rsidRPr="00713B6C" w:rsidDel="00F56DF8">
        <w:rPr>
          <w:rFonts w:ascii="Arial" w:hAnsi="Arial" w:cs="Arial"/>
          <w:bCs/>
          <w:color w:val="000000" w:themeColor="text1"/>
          <w:sz w:val="20"/>
          <w:szCs w:val="20"/>
        </w:rPr>
        <w:t xml:space="preserve"> </w:t>
      </w:r>
    </w:p>
    <w:p w14:paraId="0EED21EF" w14:textId="77777777" w:rsidR="00594EC1" w:rsidRDefault="00594EC1">
      <w:pPr>
        <w:spacing w:after="200" w:line="276" w:lineRule="auto"/>
        <w:rPr>
          <w:rFonts w:ascii="Arial" w:eastAsia="Arial MT" w:hAnsi="Arial MT" w:cs="Arial MT"/>
          <w:b/>
          <w:color w:val="585858"/>
          <w:sz w:val="18"/>
          <w:szCs w:val="22"/>
          <w:lang w:val="es-ES" w:eastAsia="en-US"/>
        </w:rPr>
      </w:pPr>
      <w:r>
        <w:rPr>
          <w:rFonts w:ascii="Arial" w:eastAsia="Arial MT" w:hAnsi="Arial MT" w:cs="Arial MT"/>
          <w:b/>
          <w:color w:val="585858"/>
          <w:sz w:val="18"/>
          <w:szCs w:val="22"/>
          <w:lang w:val="es-ES" w:eastAsia="en-US"/>
        </w:rPr>
        <w:br w:type="page"/>
      </w:r>
    </w:p>
    <w:p w14:paraId="3622FA82" w14:textId="77777777" w:rsidR="00A12C00" w:rsidRDefault="00A12C00" w:rsidP="00F05449">
      <w:pPr>
        <w:widowControl w:val="0"/>
        <w:autoSpaceDE w:val="0"/>
        <w:autoSpaceDN w:val="0"/>
        <w:spacing w:before="94"/>
        <w:jc w:val="right"/>
        <w:rPr>
          <w:rFonts w:ascii="Arial" w:eastAsia="Arial MT" w:hAnsi="Arial MT" w:cs="Arial MT"/>
          <w:b/>
          <w:color w:val="585858"/>
          <w:sz w:val="18"/>
          <w:szCs w:val="22"/>
          <w:lang w:val="es-ES" w:eastAsia="en-US"/>
        </w:rPr>
      </w:pPr>
    </w:p>
    <w:p w14:paraId="19442D94" w14:textId="194A20D8" w:rsidR="00A12C00" w:rsidRDefault="00A12C00" w:rsidP="00A12C00">
      <w:pPr>
        <w:widowControl w:val="0"/>
        <w:autoSpaceDE w:val="0"/>
        <w:autoSpaceDN w:val="0"/>
        <w:spacing w:before="94"/>
        <w:jc w:val="right"/>
        <w:rPr>
          <w:rFonts w:ascii="Arial" w:eastAsia="Arial MT" w:hAnsi="Arial MT" w:cs="Arial MT"/>
          <w:b/>
          <w:color w:val="585858"/>
          <w:sz w:val="18"/>
          <w:szCs w:val="22"/>
          <w:lang w:val="es-ES" w:eastAsia="en-US"/>
        </w:rPr>
      </w:pPr>
      <w:r w:rsidRPr="00A12C00">
        <w:rPr>
          <w:rFonts w:ascii="Arial" w:eastAsia="Arial MT" w:hAnsi="Arial MT" w:cs="Arial MT"/>
          <w:b/>
          <w:noProof/>
          <w:color w:val="585858"/>
          <w:sz w:val="18"/>
          <w:szCs w:val="22"/>
          <w:lang w:val="es-ES" w:eastAsia="en-US"/>
        </w:rPr>
        <w:drawing>
          <wp:inline distT="0" distB="0" distL="0" distR="0" wp14:anchorId="132F2BC8" wp14:editId="22D0065B">
            <wp:extent cx="3465475" cy="82042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3664" cy="822359"/>
                    </a:xfrm>
                    <a:prstGeom prst="rect">
                      <a:avLst/>
                    </a:prstGeom>
                    <a:noFill/>
                    <a:ln>
                      <a:noFill/>
                    </a:ln>
                  </pic:spPr>
                </pic:pic>
              </a:graphicData>
            </a:graphic>
          </wp:inline>
        </w:drawing>
      </w:r>
    </w:p>
    <w:p w14:paraId="65C80D16" w14:textId="77777777" w:rsidR="00A12C00" w:rsidRDefault="00A12C00" w:rsidP="00F05449">
      <w:pPr>
        <w:widowControl w:val="0"/>
        <w:autoSpaceDE w:val="0"/>
        <w:autoSpaceDN w:val="0"/>
        <w:spacing w:before="94"/>
        <w:jc w:val="right"/>
        <w:rPr>
          <w:rFonts w:ascii="Arial" w:eastAsia="Arial MT" w:hAnsi="Arial MT" w:cs="Arial MT"/>
          <w:b/>
          <w:color w:val="585858"/>
          <w:sz w:val="18"/>
          <w:szCs w:val="22"/>
          <w:lang w:val="es-ES" w:eastAsia="en-US"/>
        </w:rPr>
      </w:pPr>
    </w:p>
    <w:p w14:paraId="753ECFAC" w14:textId="67954D6C" w:rsidR="00E47C87" w:rsidRPr="00E47C87" w:rsidRDefault="00E47C87" w:rsidP="00F05449">
      <w:pPr>
        <w:widowControl w:val="0"/>
        <w:autoSpaceDE w:val="0"/>
        <w:autoSpaceDN w:val="0"/>
        <w:spacing w:before="94"/>
        <w:jc w:val="right"/>
        <w:rPr>
          <w:rFonts w:ascii="Arial" w:eastAsia="Arial MT" w:hAnsi="Arial MT" w:cs="Arial MT"/>
          <w:b/>
          <w:sz w:val="18"/>
          <w:szCs w:val="22"/>
          <w:lang w:val="es-ES" w:eastAsia="en-US"/>
        </w:rPr>
      </w:pPr>
      <w:r w:rsidRPr="00E47C87">
        <w:rPr>
          <w:rFonts w:ascii="Arial" w:eastAsia="Arial MT" w:hAnsi="Arial MT" w:cs="Arial MT"/>
          <w:b/>
          <w:color w:val="585858"/>
          <w:sz w:val="18"/>
          <w:szCs w:val="22"/>
          <w:lang w:val="es-ES" w:eastAsia="en-US"/>
        </w:rPr>
        <w:t>CCE-DES-FM-17</w:t>
      </w:r>
    </w:p>
    <w:p w14:paraId="42F1D0CC" w14:textId="1F91F072" w:rsidR="00300726" w:rsidRPr="00F05449" w:rsidRDefault="00300726" w:rsidP="00300726">
      <w:pPr>
        <w:widowControl w:val="0"/>
        <w:autoSpaceDE w:val="0"/>
        <w:autoSpaceDN w:val="0"/>
        <w:rPr>
          <w:rFonts w:ascii="Arial" w:eastAsia="Arial MT" w:hAnsi="Arial MT" w:cs="Arial MT"/>
          <w:bCs/>
          <w:color w:val="000000" w:themeColor="text1"/>
          <w:sz w:val="22"/>
          <w:szCs w:val="22"/>
          <w:lang w:val="es-ES" w:eastAsia="en-US"/>
        </w:rPr>
      </w:pPr>
    </w:p>
    <w:p w14:paraId="3CC1FF42" w14:textId="77777777" w:rsidR="001A3C58" w:rsidRPr="00F05449" w:rsidRDefault="001A3C58" w:rsidP="00300726">
      <w:pPr>
        <w:widowControl w:val="0"/>
        <w:autoSpaceDE w:val="0"/>
        <w:autoSpaceDN w:val="0"/>
        <w:rPr>
          <w:rFonts w:ascii="Arial" w:eastAsia="Arial MT" w:hAnsi="Arial MT" w:cs="Arial MT"/>
          <w:bCs/>
          <w:color w:val="000000" w:themeColor="text1"/>
          <w:sz w:val="22"/>
          <w:szCs w:val="22"/>
          <w:lang w:val="es-ES" w:eastAsia="en-US"/>
        </w:rPr>
      </w:pPr>
    </w:p>
    <w:p w14:paraId="21B36A7F" w14:textId="4C93CB62" w:rsidR="0018730F" w:rsidRDefault="0018730F" w:rsidP="00F05449">
      <w:pPr>
        <w:widowControl w:val="0"/>
        <w:rPr>
          <w:rFonts w:ascii="Arial" w:hAnsi="Arial" w:cs="Arial"/>
          <w:b/>
          <w:sz w:val="22"/>
        </w:rPr>
      </w:pPr>
    </w:p>
    <w:p w14:paraId="7B09415B" w14:textId="77777777" w:rsidR="0018730F" w:rsidRPr="00F05449" w:rsidRDefault="0018730F" w:rsidP="0018730F">
      <w:pPr>
        <w:rPr>
          <w:rFonts w:ascii="Arial" w:hAnsi="Arial" w:cs="Arial"/>
          <w:bCs/>
          <w:sz w:val="22"/>
        </w:rPr>
      </w:pPr>
    </w:p>
    <w:p w14:paraId="557684AD" w14:textId="7CC565B4" w:rsidR="0018730F" w:rsidRPr="00F05449" w:rsidRDefault="0018730F" w:rsidP="0018730F">
      <w:pPr>
        <w:rPr>
          <w:rFonts w:ascii="Arial" w:hAnsi="Arial" w:cs="Arial"/>
          <w:bCs/>
          <w:sz w:val="22"/>
        </w:rPr>
      </w:pPr>
    </w:p>
    <w:p w14:paraId="313F1E48" w14:textId="77777777" w:rsidR="00700BDE" w:rsidRPr="000F7818" w:rsidRDefault="00700BDE" w:rsidP="00B95C30">
      <w:pPr>
        <w:jc w:val="both"/>
        <w:rPr>
          <w:rFonts w:ascii="Arial" w:hAnsi="Arial" w:cs="Arial"/>
          <w:bCs/>
          <w:color w:val="000000" w:themeColor="text1"/>
          <w:sz w:val="22"/>
          <w:szCs w:val="22"/>
        </w:rPr>
      </w:pPr>
    </w:p>
    <w:p w14:paraId="5F5AE9EF" w14:textId="0437188C" w:rsidR="00B95C30" w:rsidRPr="003D1E53" w:rsidRDefault="00BE4FBF" w:rsidP="00B95C30">
      <w:pPr>
        <w:jc w:val="both"/>
        <w:rPr>
          <w:rFonts w:ascii="Arial" w:eastAsia="Calibri" w:hAnsi="Arial" w:cs="Arial"/>
          <w:color w:val="000000" w:themeColor="text1"/>
          <w:sz w:val="22"/>
          <w:szCs w:val="22"/>
        </w:rPr>
      </w:pPr>
      <w:bookmarkStart w:id="4" w:name="_Hlk80951783"/>
      <w:r w:rsidRPr="003D1E53">
        <w:rPr>
          <w:rFonts w:ascii="Arial" w:eastAsia="Calibri" w:hAnsi="Arial" w:cs="Arial"/>
          <w:color w:val="000000" w:themeColor="text1"/>
          <w:sz w:val="22"/>
          <w:szCs w:val="22"/>
        </w:rPr>
        <w:t>Señor</w:t>
      </w:r>
    </w:p>
    <w:p w14:paraId="34BF62D2" w14:textId="3FC1BEF7" w:rsidR="00A56E1D" w:rsidRPr="003D1E53" w:rsidRDefault="00491A87" w:rsidP="00B95C30">
      <w:pPr>
        <w:jc w:val="both"/>
        <w:rPr>
          <w:rFonts w:ascii="Arial" w:eastAsia="Calibri" w:hAnsi="Arial" w:cs="Arial"/>
          <w:b/>
          <w:color w:val="000000" w:themeColor="text1"/>
          <w:sz w:val="22"/>
          <w:szCs w:val="22"/>
        </w:rPr>
      </w:pPr>
      <w:r>
        <w:rPr>
          <w:rFonts w:ascii="Arial" w:eastAsia="Calibri" w:hAnsi="Arial" w:cs="Arial"/>
          <w:b/>
          <w:color w:val="000000" w:themeColor="text1"/>
          <w:sz w:val="22"/>
          <w:szCs w:val="22"/>
        </w:rPr>
        <w:t xml:space="preserve">Juan David Peláez Henao </w:t>
      </w:r>
    </w:p>
    <w:p w14:paraId="00327671" w14:textId="475AAB75" w:rsidR="003D1E53" w:rsidRPr="005032F6" w:rsidRDefault="00B2563D" w:rsidP="00B95C30">
      <w:pPr>
        <w:jc w:val="both"/>
        <w:rPr>
          <w:rFonts w:ascii="Arial" w:hAnsi="Arial" w:cs="Arial"/>
          <w:color w:val="000000" w:themeColor="text1"/>
          <w:sz w:val="22"/>
          <w:szCs w:val="22"/>
          <w:lang w:val="pt-BR"/>
          <w:rPrChange w:id="5" w:author="María Claudia de la Ossa Bobadilla" w:date="2022-05-24T11:30:00Z">
            <w:rPr>
              <w:rFonts w:ascii="Arial" w:hAnsi="Arial" w:cs="Arial"/>
              <w:color w:val="000000" w:themeColor="text1"/>
              <w:sz w:val="22"/>
              <w:szCs w:val="22"/>
            </w:rPr>
          </w:rPrChange>
        </w:rPr>
      </w:pPr>
      <w:r w:rsidRPr="005032F6">
        <w:rPr>
          <w:rFonts w:ascii="Arial" w:hAnsi="Arial" w:cs="Arial"/>
          <w:sz w:val="22"/>
          <w:lang w:val="pt-BR"/>
          <w:rPrChange w:id="6" w:author="María Claudia de la Ossa Bobadilla" w:date="2022-05-24T11:30:00Z">
            <w:rPr>
              <w:rFonts w:ascii="Arial" w:hAnsi="Arial" w:cs="Arial"/>
              <w:sz w:val="22"/>
            </w:rPr>
          </w:rPrChange>
        </w:rPr>
        <w:t xml:space="preserve">Pereira, Risaralda </w:t>
      </w:r>
    </w:p>
    <w:p w14:paraId="6514542E" w14:textId="77777777" w:rsidR="00093B01" w:rsidRPr="005032F6" w:rsidRDefault="00093B01" w:rsidP="00B95C30">
      <w:pPr>
        <w:jc w:val="both"/>
        <w:rPr>
          <w:rFonts w:ascii="Arial" w:eastAsia="Calibri" w:hAnsi="Arial" w:cs="Arial"/>
          <w:color w:val="000000" w:themeColor="text1"/>
          <w:sz w:val="22"/>
          <w:szCs w:val="22"/>
          <w:lang w:val="pt-BR"/>
          <w:rPrChange w:id="7" w:author="María Claudia de la Ossa Bobadilla" w:date="2022-05-24T11:30:00Z">
            <w:rPr>
              <w:rFonts w:ascii="Arial" w:eastAsia="Calibri" w:hAnsi="Arial" w:cs="Arial"/>
              <w:color w:val="000000" w:themeColor="text1"/>
              <w:sz w:val="22"/>
              <w:szCs w:val="22"/>
            </w:rPr>
          </w:rPrChange>
        </w:rPr>
      </w:pPr>
    </w:p>
    <w:p w14:paraId="0942E2A4" w14:textId="77777777" w:rsidR="000254DD" w:rsidRPr="005032F6" w:rsidRDefault="000254DD" w:rsidP="00B95C30">
      <w:pPr>
        <w:jc w:val="both"/>
        <w:rPr>
          <w:rFonts w:ascii="Arial" w:eastAsia="Calibri" w:hAnsi="Arial" w:cs="Arial"/>
          <w:color w:val="000000" w:themeColor="text1"/>
          <w:sz w:val="22"/>
          <w:szCs w:val="22"/>
          <w:lang w:val="pt-BR"/>
          <w:rPrChange w:id="8" w:author="María Claudia de la Ossa Bobadilla" w:date="2022-05-24T11:30:00Z">
            <w:rPr>
              <w:rFonts w:ascii="Arial" w:eastAsia="Calibri" w:hAnsi="Arial" w:cs="Arial"/>
              <w:color w:val="000000" w:themeColor="text1"/>
              <w:sz w:val="22"/>
              <w:szCs w:val="22"/>
            </w:rPr>
          </w:rPrChange>
        </w:rPr>
      </w:pPr>
    </w:p>
    <w:p w14:paraId="12E66182" w14:textId="16642BD1" w:rsidR="00B95C30" w:rsidRPr="005032F6" w:rsidRDefault="00A70C4A" w:rsidP="00F05449">
      <w:pPr>
        <w:rPr>
          <w:rFonts w:ascii="Arial" w:eastAsia="Calibri" w:hAnsi="Arial" w:cs="Arial"/>
          <w:b/>
          <w:sz w:val="22"/>
          <w:szCs w:val="22"/>
          <w:lang w:val="pt-BR" w:eastAsia="en-US"/>
          <w:rPrChange w:id="9" w:author="María Claudia de la Ossa Bobadilla" w:date="2022-05-24T11:30:00Z">
            <w:rPr>
              <w:rFonts w:ascii="Arial" w:eastAsia="Calibri" w:hAnsi="Arial" w:cs="Arial"/>
              <w:b/>
              <w:sz w:val="22"/>
              <w:szCs w:val="22"/>
              <w:lang w:val="es-MX" w:eastAsia="en-US"/>
            </w:rPr>
          </w:rPrChange>
        </w:rPr>
      </w:pPr>
      <w:r w:rsidRPr="005032F6">
        <w:rPr>
          <w:rFonts w:ascii="Arial" w:eastAsia="Calibri" w:hAnsi="Arial" w:cs="Arial"/>
          <w:b/>
          <w:sz w:val="22"/>
          <w:szCs w:val="22"/>
          <w:lang w:val="pt-BR" w:eastAsia="en-US"/>
          <w:rPrChange w:id="10" w:author="María Claudia de la Ossa Bobadilla" w:date="2022-05-24T11:30:00Z">
            <w:rPr>
              <w:rFonts w:ascii="Arial" w:eastAsia="Calibri" w:hAnsi="Arial" w:cs="Arial"/>
              <w:b/>
              <w:sz w:val="22"/>
              <w:szCs w:val="22"/>
              <w:lang w:val="es-MX" w:eastAsia="en-US"/>
            </w:rPr>
          </w:rPrChange>
        </w:rPr>
        <w:t xml:space="preserve">                                            </w:t>
      </w:r>
      <w:r w:rsidR="00B95C30" w:rsidRPr="005032F6">
        <w:rPr>
          <w:rFonts w:ascii="Arial" w:eastAsia="Calibri" w:hAnsi="Arial" w:cs="Arial"/>
          <w:b/>
          <w:sz w:val="22"/>
          <w:szCs w:val="22"/>
          <w:lang w:val="pt-BR" w:eastAsia="en-US"/>
          <w:rPrChange w:id="11" w:author="María Claudia de la Ossa Bobadilla" w:date="2022-05-24T11:30:00Z">
            <w:rPr>
              <w:rFonts w:ascii="Arial" w:eastAsia="Calibri" w:hAnsi="Arial" w:cs="Arial"/>
              <w:b/>
              <w:sz w:val="22"/>
              <w:szCs w:val="22"/>
              <w:lang w:val="es-MX" w:eastAsia="en-US"/>
            </w:rPr>
          </w:rPrChange>
        </w:rPr>
        <w:t>Concepto C</w:t>
      </w:r>
      <w:r w:rsidR="00421DAC" w:rsidRPr="005032F6">
        <w:rPr>
          <w:rFonts w:ascii="Arial" w:eastAsia="Calibri" w:hAnsi="Arial" w:cs="Arial"/>
          <w:b/>
          <w:sz w:val="22"/>
          <w:szCs w:val="22"/>
          <w:lang w:val="pt-BR" w:eastAsia="en-US"/>
          <w:rPrChange w:id="12" w:author="María Claudia de la Ossa Bobadilla" w:date="2022-05-24T11:30:00Z">
            <w:rPr>
              <w:rFonts w:ascii="Arial" w:eastAsia="Calibri" w:hAnsi="Arial" w:cs="Arial"/>
              <w:b/>
              <w:sz w:val="22"/>
              <w:szCs w:val="22"/>
              <w:lang w:val="es-MX" w:eastAsia="en-US"/>
            </w:rPr>
          </w:rPrChange>
        </w:rPr>
        <w:t>-</w:t>
      </w:r>
      <w:r w:rsidR="00B2563D" w:rsidRPr="005032F6">
        <w:rPr>
          <w:rFonts w:ascii="Arial" w:eastAsia="Calibri" w:hAnsi="Arial" w:cs="Arial"/>
          <w:b/>
          <w:sz w:val="22"/>
          <w:szCs w:val="22"/>
          <w:lang w:val="pt-BR" w:eastAsia="en-US"/>
          <w:rPrChange w:id="13" w:author="María Claudia de la Ossa Bobadilla" w:date="2022-05-24T11:30:00Z">
            <w:rPr>
              <w:rFonts w:ascii="Arial" w:eastAsia="Calibri" w:hAnsi="Arial" w:cs="Arial"/>
              <w:b/>
              <w:sz w:val="22"/>
              <w:szCs w:val="22"/>
              <w:lang w:val="es-MX" w:eastAsia="en-US"/>
            </w:rPr>
          </w:rPrChange>
        </w:rPr>
        <w:t>202</w:t>
      </w:r>
      <w:r w:rsidR="00DF2B34" w:rsidRPr="005032F6">
        <w:rPr>
          <w:rFonts w:ascii="Arial" w:eastAsia="Calibri" w:hAnsi="Arial" w:cs="Arial"/>
          <w:b/>
          <w:sz w:val="22"/>
          <w:szCs w:val="22"/>
          <w:lang w:val="pt-BR" w:eastAsia="en-US"/>
          <w:rPrChange w:id="14" w:author="María Claudia de la Ossa Bobadilla" w:date="2022-05-24T11:30:00Z">
            <w:rPr>
              <w:rFonts w:ascii="Arial" w:eastAsia="Calibri" w:hAnsi="Arial" w:cs="Arial"/>
              <w:b/>
              <w:sz w:val="22"/>
              <w:szCs w:val="22"/>
              <w:lang w:val="es-MX" w:eastAsia="en-US"/>
            </w:rPr>
          </w:rPrChange>
        </w:rPr>
        <w:t xml:space="preserve"> </w:t>
      </w:r>
      <w:r w:rsidR="005E3AF3" w:rsidRPr="005032F6">
        <w:rPr>
          <w:rFonts w:ascii="Arial" w:eastAsia="Calibri" w:hAnsi="Arial" w:cs="Arial"/>
          <w:b/>
          <w:sz w:val="22"/>
          <w:szCs w:val="22"/>
          <w:lang w:val="pt-BR" w:eastAsia="en-US"/>
          <w:rPrChange w:id="15" w:author="María Claudia de la Ossa Bobadilla" w:date="2022-05-24T11:30:00Z">
            <w:rPr>
              <w:rFonts w:ascii="Arial" w:eastAsia="Calibri" w:hAnsi="Arial" w:cs="Arial"/>
              <w:b/>
              <w:sz w:val="22"/>
              <w:szCs w:val="22"/>
              <w:lang w:val="es-MX" w:eastAsia="en-US"/>
            </w:rPr>
          </w:rPrChange>
        </w:rPr>
        <w:t>de 2022</w:t>
      </w:r>
    </w:p>
    <w:p w14:paraId="20200123" w14:textId="461A4C5D" w:rsidR="0096347F" w:rsidRPr="005032F6" w:rsidRDefault="0096347F" w:rsidP="00B95C30">
      <w:pPr>
        <w:jc w:val="both"/>
        <w:rPr>
          <w:rFonts w:ascii="Arial" w:eastAsia="Calibri" w:hAnsi="Arial" w:cs="Arial"/>
          <w:color w:val="000000" w:themeColor="text1"/>
          <w:sz w:val="22"/>
          <w:szCs w:val="22"/>
          <w:lang w:val="pt-BR"/>
          <w:rPrChange w:id="16" w:author="María Claudia de la Ossa Bobadilla" w:date="2022-05-24T11:30:00Z">
            <w:rPr>
              <w:rFonts w:ascii="Arial" w:eastAsia="Calibri" w:hAnsi="Arial" w:cs="Arial"/>
              <w:color w:val="000000" w:themeColor="text1"/>
              <w:sz w:val="22"/>
              <w:szCs w:val="22"/>
              <w:lang w:val="es-ES_tradnl"/>
            </w:rPr>
          </w:rPrChange>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A6B87" w:rsidRPr="003A0FAD" w14:paraId="19DFC051" w14:textId="77777777" w:rsidTr="008F4163">
        <w:tc>
          <w:tcPr>
            <w:tcW w:w="2689" w:type="dxa"/>
          </w:tcPr>
          <w:p w14:paraId="6BC0D1AC" w14:textId="77777777" w:rsidR="00B95C30" w:rsidRPr="005873AF" w:rsidRDefault="00B95C30" w:rsidP="008F4163">
            <w:pPr>
              <w:jc w:val="both"/>
              <w:rPr>
                <w:rFonts w:ascii="Arial" w:eastAsia="Calibri" w:hAnsi="Arial" w:cs="Arial"/>
                <w:b/>
                <w:color w:val="000000" w:themeColor="text1"/>
                <w:sz w:val="22"/>
                <w:szCs w:val="22"/>
                <w:lang w:val="es-ES_tradnl"/>
              </w:rPr>
            </w:pPr>
            <w:r w:rsidRPr="005873AF">
              <w:rPr>
                <w:rFonts w:ascii="Arial" w:eastAsia="Calibri" w:hAnsi="Arial" w:cs="Arial"/>
                <w:b/>
                <w:color w:val="000000" w:themeColor="text1"/>
                <w:sz w:val="22"/>
                <w:szCs w:val="22"/>
                <w:lang w:val="es-ES_tradnl"/>
              </w:rPr>
              <w:t xml:space="preserve">Temas:                                      </w:t>
            </w:r>
          </w:p>
        </w:tc>
        <w:tc>
          <w:tcPr>
            <w:tcW w:w="6237" w:type="dxa"/>
          </w:tcPr>
          <w:p w14:paraId="5F389CAF" w14:textId="3F11BF10" w:rsidR="009A773A" w:rsidRPr="003A0FAD" w:rsidRDefault="00713B6C" w:rsidP="00F05449">
            <w:pPr>
              <w:widowControl w:val="0"/>
              <w:autoSpaceDE w:val="0"/>
              <w:autoSpaceDN w:val="0"/>
              <w:adjustRightInd w:val="0"/>
              <w:spacing w:after="120"/>
              <w:jc w:val="both"/>
              <w:rPr>
                <w:rFonts w:ascii="Arial" w:eastAsiaTheme="minorHAnsi" w:hAnsi="Arial" w:cs="Arial"/>
                <w:color w:val="000000" w:themeColor="text1"/>
                <w:sz w:val="22"/>
                <w:szCs w:val="22"/>
                <w:lang w:val="es-ES_tradnl" w:eastAsia="en-US"/>
              </w:rPr>
            </w:pPr>
            <w:r w:rsidRPr="003A0FAD">
              <w:rPr>
                <w:rFonts w:ascii="Arial" w:eastAsiaTheme="minorHAnsi" w:hAnsi="Arial" w:cs="Arial"/>
                <w:color w:val="000000" w:themeColor="text1"/>
                <w:sz w:val="22"/>
                <w:szCs w:val="22"/>
                <w:lang w:val="es-ES_tradnl" w:eastAsia="en-US"/>
              </w:rPr>
              <w:t xml:space="preserve">LEY DE GARANTÍAS ELECTORALES ─ Prohibición artículo 33 ‒ Contratación directa ‒ Alcance / </w:t>
            </w:r>
            <w:r w:rsidR="00F17405" w:rsidRPr="003A0FAD">
              <w:rPr>
                <w:rFonts w:ascii="Arial" w:eastAsiaTheme="minorHAnsi" w:hAnsi="Arial" w:cs="Arial"/>
                <w:color w:val="000000" w:themeColor="text1"/>
                <w:sz w:val="22"/>
                <w:szCs w:val="22"/>
                <w:lang w:val="es-ES_tradnl" w:eastAsia="en-US"/>
              </w:rPr>
              <w:t>LEY DE GARANTÍAS ELECTORALES</w:t>
            </w:r>
            <w:r w:rsidR="00F17405">
              <w:rPr>
                <w:rFonts w:ascii="Arial" w:eastAsiaTheme="minorHAnsi" w:hAnsi="Arial" w:cs="Arial"/>
                <w:color w:val="000000" w:themeColor="text1"/>
                <w:sz w:val="22"/>
                <w:szCs w:val="22"/>
                <w:lang w:val="es-ES_tradnl" w:eastAsia="en-US"/>
              </w:rPr>
              <w:t xml:space="preserve"> </w:t>
            </w:r>
            <w:r w:rsidR="00F17405" w:rsidRPr="003A0FAD">
              <w:rPr>
                <w:rFonts w:ascii="Arial" w:eastAsiaTheme="minorHAnsi" w:hAnsi="Arial" w:cs="Arial"/>
                <w:color w:val="000000" w:themeColor="text1"/>
                <w:sz w:val="22"/>
                <w:szCs w:val="22"/>
                <w:lang w:val="es-ES_tradnl" w:eastAsia="en-US"/>
              </w:rPr>
              <w:t>– Destinatarios</w:t>
            </w:r>
            <w:r w:rsidR="00F17405">
              <w:rPr>
                <w:rFonts w:ascii="Arial" w:eastAsiaTheme="minorHAnsi" w:hAnsi="Arial" w:cs="Arial"/>
                <w:color w:val="000000" w:themeColor="text1"/>
                <w:sz w:val="22"/>
                <w:szCs w:val="22"/>
                <w:lang w:val="es-ES_tradnl" w:eastAsia="en-US"/>
              </w:rPr>
              <w:t xml:space="preserve"> / </w:t>
            </w:r>
            <w:r w:rsidRPr="003A0FAD">
              <w:rPr>
                <w:rFonts w:ascii="Arial" w:eastAsiaTheme="minorHAnsi" w:hAnsi="Arial" w:cs="Arial"/>
                <w:color w:val="000000" w:themeColor="text1"/>
                <w:sz w:val="22"/>
                <w:szCs w:val="22"/>
                <w:lang w:val="es-ES_tradnl" w:eastAsia="en-US"/>
              </w:rPr>
              <w:t xml:space="preserve">LEY DE GARANTÍAS ELECTORALES – Excepciones – </w:t>
            </w:r>
            <w:r w:rsidR="00B76A79" w:rsidRPr="003A0FAD">
              <w:rPr>
                <w:rFonts w:ascii="Arial" w:eastAsiaTheme="minorHAnsi" w:hAnsi="Arial" w:cs="Arial"/>
                <w:color w:val="000000" w:themeColor="text1"/>
                <w:sz w:val="22"/>
                <w:szCs w:val="22"/>
                <w:lang w:val="es-ES_tradnl" w:eastAsia="en-US"/>
              </w:rPr>
              <w:t>A</w:t>
            </w:r>
            <w:r w:rsidRPr="003A0FAD">
              <w:rPr>
                <w:rFonts w:ascii="Arial" w:eastAsiaTheme="minorHAnsi" w:hAnsi="Arial" w:cs="Arial"/>
                <w:color w:val="000000" w:themeColor="text1"/>
                <w:sz w:val="22"/>
                <w:szCs w:val="22"/>
                <w:lang w:val="es-ES_tradnl" w:eastAsia="en-US"/>
              </w:rPr>
              <w:t xml:space="preserve">rtículo 33 </w:t>
            </w:r>
          </w:p>
        </w:tc>
      </w:tr>
      <w:tr w:rsidR="00B95C30" w:rsidRPr="003A0FAD" w14:paraId="27CD52AB" w14:textId="77777777" w:rsidTr="0096347F">
        <w:trPr>
          <w:trHeight w:val="391"/>
        </w:trPr>
        <w:tc>
          <w:tcPr>
            <w:tcW w:w="2689" w:type="dxa"/>
          </w:tcPr>
          <w:p w14:paraId="37E195A1" w14:textId="1BA218D5" w:rsidR="00B95C30" w:rsidRPr="005873AF" w:rsidRDefault="00B95C30" w:rsidP="008F4163">
            <w:pPr>
              <w:spacing w:before="120"/>
              <w:jc w:val="both"/>
              <w:rPr>
                <w:rFonts w:ascii="Arial" w:eastAsia="Calibri" w:hAnsi="Arial" w:cs="Arial"/>
                <w:color w:val="000000" w:themeColor="text1"/>
                <w:sz w:val="22"/>
                <w:szCs w:val="22"/>
                <w:lang w:val="es-ES_tradnl"/>
              </w:rPr>
            </w:pPr>
            <w:r w:rsidRPr="005873AF">
              <w:rPr>
                <w:rFonts w:ascii="Arial" w:eastAsia="Calibri" w:hAnsi="Arial" w:cs="Arial"/>
                <w:b/>
                <w:color w:val="000000" w:themeColor="text1"/>
                <w:sz w:val="22"/>
                <w:szCs w:val="22"/>
                <w:lang w:val="es-ES_tradnl"/>
              </w:rPr>
              <w:t>Radicación</w:t>
            </w:r>
            <w:r w:rsidRPr="005873AF">
              <w:rPr>
                <w:rFonts w:ascii="Arial" w:eastAsia="Calibri" w:hAnsi="Arial" w:cs="Arial"/>
                <w:color w:val="000000" w:themeColor="text1"/>
                <w:sz w:val="22"/>
                <w:szCs w:val="22"/>
                <w:lang w:val="es-ES_tradnl"/>
              </w:rPr>
              <w:t xml:space="preserve">:                              </w:t>
            </w:r>
          </w:p>
        </w:tc>
        <w:tc>
          <w:tcPr>
            <w:tcW w:w="6237" w:type="dxa"/>
          </w:tcPr>
          <w:p w14:paraId="09088B1B" w14:textId="63037F8A" w:rsidR="00B95C30" w:rsidRPr="003A0FAD" w:rsidRDefault="00B95C30" w:rsidP="00F05449">
            <w:pPr>
              <w:widowControl w:val="0"/>
              <w:autoSpaceDE w:val="0"/>
              <w:autoSpaceDN w:val="0"/>
              <w:adjustRightInd w:val="0"/>
              <w:jc w:val="both"/>
              <w:rPr>
                <w:rFonts w:ascii="Arial" w:eastAsiaTheme="minorHAnsi" w:hAnsi="Arial" w:cs="Arial"/>
                <w:color w:val="000000" w:themeColor="text1"/>
                <w:sz w:val="22"/>
                <w:szCs w:val="22"/>
                <w:lang w:val="es-ES_tradnl" w:eastAsia="en-US"/>
              </w:rPr>
            </w:pPr>
            <w:r w:rsidRPr="003A0FAD">
              <w:rPr>
                <w:rFonts w:ascii="Arial" w:eastAsiaTheme="minorHAnsi" w:hAnsi="Arial" w:cs="Arial"/>
                <w:color w:val="000000" w:themeColor="text1"/>
                <w:sz w:val="22"/>
                <w:szCs w:val="22"/>
                <w:lang w:val="es-ES_tradnl" w:eastAsia="en-US"/>
              </w:rPr>
              <w:t xml:space="preserve">Respuesta a consulta </w:t>
            </w:r>
            <w:r w:rsidR="00734546" w:rsidRPr="00734546">
              <w:rPr>
                <w:rFonts w:ascii="Arial" w:eastAsiaTheme="minorHAnsi" w:hAnsi="Arial" w:cs="Arial"/>
                <w:color w:val="000000" w:themeColor="text1"/>
                <w:sz w:val="22"/>
                <w:szCs w:val="22"/>
                <w:lang w:val="es-ES_tradnl" w:eastAsia="en-US"/>
              </w:rPr>
              <w:t>P202</w:t>
            </w:r>
            <w:r w:rsidR="00570A47">
              <w:rPr>
                <w:rFonts w:ascii="Arial" w:eastAsiaTheme="minorHAnsi" w:hAnsi="Arial" w:cs="Arial"/>
                <w:color w:val="000000" w:themeColor="text1"/>
                <w:sz w:val="22"/>
                <w:szCs w:val="22"/>
                <w:lang w:val="es-ES_tradnl" w:eastAsia="en-US"/>
              </w:rPr>
              <w:t>20302002052</w:t>
            </w:r>
          </w:p>
        </w:tc>
      </w:tr>
    </w:tbl>
    <w:p w14:paraId="019E1DF8" w14:textId="534BD368" w:rsidR="00493CDA" w:rsidRPr="005873AF" w:rsidRDefault="00493CDA" w:rsidP="003C3339">
      <w:pPr>
        <w:jc w:val="both"/>
        <w:rPr>
          <w:rFonts w:ascii="Arial" w:eastAsia="Calibri" w:hAnsi="Arial" w:cs="Arial"/>
          <w:color w:val="000000" w:themeColor="text1"/>
          <w:sz w:val="22"/>
          <w:lang w:val="es-ES_tradnl"/>
        </w:rPr>
      </w:pPr>
    </w:p>
    <w:p w14:paraId="07A8E951" w14:textId="77777777" w:rsidR="003A0FAD" w:rsidRDefault="003A0FAD" w:rsidP="003C3339">
      <w:pPr>
        <w:jc w:val="both"/>
        <w:rPr>
          <w:rFonts w:ascii="Arial" w:eastAsia="Calibri" w:hAnsi="Arial" w:cs="Arial"/>
          <w:color w:val="000000" w:themeColor="text1"/>
          <w:sz w:val="22"/>
          <w:lang w:val="es-ES_tradnl"/>
        </w:rPr>
      </w:pPr>
    </w:p>
    <w:p w14:paraId="1CF4AEA0" w14:textId="1840AEDF" w:rsidR="003C3339" w:rsidRPr="005873AF" w:rsidRDefault="003C3339" w:rsidP="003C3339">
      <w:pPr>
        <w:jc w:val="both"/>
        <w:rPr>
          <w:rFonts w:ascii="Arial" w:eastAsia="Calibri" w:hAnsi="Arial" w:cs="Arial"/>
          <w:color w:val="000000" w:themeColor="text1"/>
          <w:sz w:val="22"/>
          <w:lang w:val="es-ES_tradnl"/>
        </w:rPr>
      </w:pPr>
      <w:r w:rsidRPr="003D1E53">
        <w:rPr>
          <w:rFonts w:ascii="Arial" w:eastAsia="Calibri" w:hAnsi="Arial" w:cs="Arial"/>
          <w:color w:val="000000" w:themeColor="text1"/>
          <w:sz w:val="22"/>
          <w:lang w:val="es-ES_tradnl"/>
        </w:rPr>
        <w:t>Estimad</w:t>
      </w:r>
      <w:r w:rsidR="003D1E53" w:rsidRPr="003D1E53">
        <w:rPr>
          <w:rFonts w:ascii="Arial" w:eastAsia="Calibri" w:hAnsi="Arial" w:cs="Arial"/>
          <w:color w:val="000000" w:themeColor="text1"/>
          <w:sz w:val="22"/>
          <w:lang w:val="es-ES_tradnl"/>
        </w:rPr>
        <w:t>o s</w:t>
      </w:r>
      <w:r w:rsidR="008164D9" w:rsidRPr="003D1E53">
        <w:rPr>
          <w:rFonts w:ascii="Arial" w:eastAsia="Calibri" w:hAnsi="Arial" w:cs="Arial"/>
          <w:color w:val="000000" w:themeColor="text1"/>
          <w:sz w:val="22"/>
          <w:lang w:val="es-ES_tradnl"/>
        </w:rPr>
        <w:t>eñor</w:t>
      </w:r>
      <w:r w:rsidR="003D1E53" w:rsidRPr="003D1E53">
        <w:rPr>
          <w:rFonts w:ascii="Arial" w:eastAsia="Calibri" w:hAnsi="Arial" w:cs="Arial"/>
          <w:color w:val="000000" w:themeColor="text1"/>
          <w:sz w:val="22"/>
          <w:lang w:val="es-ES_tradnl"/>
        </w:rPr>
        <w:t xml:space="preserve"> </w:t>
      </w:r>
      <w:r w:rsidR="00570A47">
        <w:rPr>
          <w:rFonts w:ascii="Arial" w:eastAsia="Calibri" w:hAnsi="Arial" w:cs="Arial"/>
          <w:color w:val="000000" w:themeColor="text1"/>
          <w:sz w:val="22"/>
          <w:lang w:val="es-ES_tradnl"/>
        </w:rPr>
        <w:t>Peláez Henao</w:t>
      </w:r>
      <w:r w:rsidR="00E746A6" w:rsidRPr="003D1E53">
        <w:rPr>
          <w:rFonts w:ascii="Arial" w:eastAsia="Calibri" w:hAnsi="Arial" w:cs="Arial"/>
          <w:color w:val="000000" w:themeColor="text1"/>
          <w:sz w:val="22"/>
          <w:lang w:val="es-ES_tradnl"/>
        </w:rPr>
        <w:t>:</w:t>
      </w:r>
      <w:r w:rsidR="00E746A6" w:rsidRPr="005873AF">
        <w:rPr>
          <w:rFonts w:ascii="Arial" w:eastAsia="Calibri" w:hAnsi="Arial" w:cs="Arial"/>
          <w:color w:val="000000" w:themeColor="text1"/>
          <w:sz w:val="22"/>
          <w:lang w:val="es-ES_tradnl"/>
        </w:rPr>
        <w:t xml:space="preserve"> </w:t>
      </w:r>
    </w:p>
    <w:p w14:paraId="1EAE5543" w14:textId="77777777" w:rsidR="00DD5B04" w:rsidRPr="005873AF" w:rsidRDefault="00DD5B04" w:rsidP="00DF76A2">
      <w:pPr>
        <w:jc w:val="both"/>
        <w:rPr>
          <w:rFonts w:ascii="Arial" w:eastAsia="Calibri" w:hAnsi="Arial" w:cs="Arial"/>
          <w:color w:val="000000" w:themeColor="text1"/>
          <w:sz w:val="22"/>
          <w:lang w:val="es-ES_tradnl"/>
        </w:rPr>
      </w:pPr>
    </w:p>
    <w:p w14:paraId="2109B2D3" w14:textId="71CCB0A8" w:rsidR="00DD5B04" w:rsidRPr="005873AF" w:rsidRDefault="00DD5B04" w:rsidP="00DF76A2">
      <w:pPr>
        <w:spacing w:line="276" w:lineRule="auto"/>
        <w:jc w:val="both"/>
        <w:rPr>
          <w:rFonts w:ascii="Arial" w:eastAsia="Calibri" w:hAnsi="Arial" w:cs="Arial"/>
          <w:color w:val="000000" w:themeColor="text1"/>
          <w:sz w:val="22"/>
          <w:lang w:val="es-ES_tradnl"/>
        </w:rPr>
      </w:pPr>
      <w:r w:rsidRPr="005873AF">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5873AF">
        <w:rPr>
          <w:rFonts w:ascii="Arial" w:eastAsia="Calibri" w:hAnsi="Arial" w:cs="Arial"/>
          <w:color w:val="000000" w:themeColor="text1"/>
          <w:sz w:val="22"/>
          <w:lang w:val="es-ES_tradnl"/>
        </w:rPr>
        <w:t>–</w:t>
      </w:r>
      <w:r w:rsidRPr="005873AF">
        <w:rPr>
          <w:rFonts w:ascii="Arial" w:eastAsia="Calibri" w:hAnsi="Arial" w:cs="Arial"/>
          <w:color w:val="000000" w:themeColor="text1"/>
          <w:sz w:val="22"/>
          <w:lang w:val="es-ES_tradnl"/>
        </w:rPr>
        <w:t xml:space="preserve"> Colombia Compra Eficiente</w:t>
      </w:r>
      <w:r w:rsidR="008C3C57" w:rsidRPr="005873AF">
        <w:rPr>
          <w:rFonts w:ascii="Arial" w:eastAsia="Calibri" w:hAnsi="Arial" w:cs="Arial"/>
          <w:color w:val="000000" w:themeColor="text1"/>
          <w:sz w:val="22"/>
          <w:lang w:val="es-ES_tradnl"/>
        </w:rPr>
        <w:t xml:space="preserve"> </w:t>
      </w:r>
      <w:r w:rsidR="00436B3F" w:rsidRPr="005873AF">
        <w:rPr>
          <w:rFonts w:ascii="Arial" w:eastAsia="Calibri" w:hAnsi="Arial" w:cs="Arial"/>
          <w:color w:val="000000" w:themeColor="text1"/>
          <w:sz w:val="22"/>
          <w:lang w:val="es-ES_tradnl"/>
        </w:rPr>
        <w:t xml:space="preserve">responde </w:t>
      </w:r>
      <w:r w:rsidR="00F14360">
        <w:rPr>
          <w:rFonts w:ascii="Arial" w:eastAsia="Calibri" w:hAnsi="Arial" w:cs="Arial"/>
          <w:color w:val="000000" w:themeColor="text1"/>
          <w:sz w:val="22"/>
          <w:lang w:val="es-ES_tradnl"/>
        </w:rPr>
        <w:t xml:space="preserve">la petición de consulta radicada el 2 de </w:t>
      </w:r>
      <w:r w:rsidR="00387311">
        <w:rPr>
          <w:rFonts w:ascii="Arial" w:eastAsia="Calibri" w:hAnsi="Arial" w:cs="Arial"/>
          <w:color w:val="000000" w:themeColor="text1"/>
          <w:sz w:val="22"/>
          <w:lang w:val="es-ES_tradnl"/>
        </w:rPr>
        <w:t>marzo</w:t>
      </w:r>
      <w:r w:rsidR="00F14360">
        <w:rPr>
          <w:rFonts w:ascii="Arial" w:eastAsia="Calibri" w:hAnsi="Arial" w:cs="Arial"/>
          <w:color w:val="000000" w:themeColor="text1"/>
          <w:sz w:val="22"/>
          <w:lang w:val="es-ES_tradnl"/>
        </w:rPr>
        <w:t xml:space="preserve"> de 2022</w:t>
      </w:r>
      <w:r w:rsidR="00387311">
        <w:rPr>
          <w:rFonts w:ascii="Arial" w:eastAsia="Calibri" w:hAnsi="Arial" w:cs="Arial"/>
          <w:color w:val="000000" w:themeColor="text1"/>
          <w:sz w:val="22"/>
          <w:lang w:val="es-ES_tradnl"/>
        </w:rPr>
        <w:t>.</w:t>
      </w:r>
      <w:r w:rsidR="005A5564" w:rsidRPr="005873AF">
        <w:rPr>
          <w:rFonts w:ascii="Arial" w:eastAsia="Calibri" w:hAnsi="Arial" w:cs="Arial"/>
          <w:color w:val="000000" w:themeColor="text1"/>
          <w:sz w:val="22"/>
          <w:lang w:val="es-ES_tradnl"/>
        </w:rPr>
        <w:t xml:space="preserve"> </w:t>
      </w:r>
    </w:p>
    <w:p w14:paraId="2FA4B1AA" w14:textId="52055B2D" w:rsidR="001A3C58" w:rsidRPr="005873AF" w:rsidRDefault="001A3C58" w:rsidP="00DF76A2">
      <w:pPr>
        <w:spacing w:line="276" w:lineRule="auto"/>
        <w:jc w:val="both"/>
        <w:rPr>
          <w:rFonts w:ascii="Arial" w:eastAsia="Calibri" w:hAnsi="Arial" w:cs="Arial"/>
          <w:b/>
          <w:color w:val="000000" w:themeColor="text1"/>
          <w:sz w:val="22"/>
          <w:lang w:val="es-ES_tradnl"/>
        </w:rPr>
      </w:pPr>
    </w:p>
    <w:p w14:paraId="7701FCC7" w14:textId="77777777" w:rsidR="00DD5B04" w:rsidRPr="005873A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873AF">
        <w:rPr>
          <w:rFonts w:ascii="Arial" w:eastAsia="Calibri" w:hAnsi="Arial" w:cs="Arial"/>
          <w:b/>
          <w:color w:val="000000" w:themeColor="text1"/>
          <w:sz w:val="22"/>
          <w:lang w:val="es-ES_tradnl"/>
        </w:rPr>
        <w:t xml:space="preserve">Problema planteado </w:t>
      </w:r>
    </w:p>
    <w:p w14:paraId="224B43D3" w14:textId="77777777" w:rsidR="00DD5B04" w:rsidRPr="005873AF"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187E9F68" w14:textId="77777777" w:rsidR="00A63763" w:rsidRDefault="00A70C4A" w:rsidP="00795D27">
      <w:pPr>
        <w:autoSpaceDE w:val="0"/>
        <w:autoSpaceDN w:val="0"/>
        <w:adjustRightInd w:val="0"/>
        <w:spacing w:line="276" w:lineRule="auto"/>
        <w:jc w:val="both"/>
        <w:rPr>
          <w:rFonts w:ascii="Arial" w:eastAsia="Arial" w:hAnsi="Arial" w:cs="Arial"/>
          <w:color w:val="000000" w:themeColor="text1"/>
          <w:sz w:val="22"/>
          <w:szCs w:val="22"/>
          <w:lang w:val="es-MX"/>
        </w:rPr>
      </w:pPr>
      <w:bookmarkStart w:id="17" w:name="_Hlk99633761"/>
      <w:r w:rsidRPr="00A70C4A">
        <w:rPr>
          <w:rFonts w:ascii="Arial" w:eastAsia="Arial" w:hAnsi="Arial" w:cs="Arial"/>
          <w:color w:val="000000" w:themeColor="text1"/>
          <w:sz w:val="22"/>
          <w:szCs w:val="22"/>
        </w:rPr>
        <w:t xml:space="preserve">Respecto a </w:t>
      </w:r>
      <w:r w:rsidR="004241F6" w:rsidRPr="00A70C4A">
        <w:rPr>
          <w:rFonts w:ascii="Arial" w:eastAsia="Arial" w:hAnsi="Arial" w:cs="Arial"/>
          <w:color w:val="000000" w:themeColor="text1"/>
          <w:sz w:val="22"/>
          <w:szCs w:val="22"/>
        </w:rPr>
        <w:t>la</w:t>
      </w:r>
      <w:r w:rsidR="004241F6">
        <w:rPr>
          <w:rFonts w:ascii="Arial" w:eastAsia="Arial" w:hAnsi="Arial" w:cs="Arial"/>
          <w:color w:val="000000" w:themeColor="text1"/>
          <w:sz w:val="22"/>
          <w:szCs w:val="22"/>
        </w:rPr>
        <w:t xml:space="preserve"> prohibición</w:t>
      </w:r>
      <w:r w:rsidR="008F6780">
        <w:rPr>
          <w:rFonts w:ascii="Arial" w:eastAsia="Arial" w:hAnsi="Arial" w:cs="Arial"/>
          <w:color w:val="000000" w:themeColor="text1"/>
          <w:sz w:val="22"/>
          <w:szCs w:val="22"/>
        </w:rPr>
        <w:t xml:space="preserve"> de contratación directa del artículo 33 de</w:t>
      </w:r>
      <w:r w:rsidRPr="00A70C4A">
        <w:rPr>
          <w:rFonts w:ascii="Arial" w:eastAsia="Arial" w:hAnsi="Arial" w:cs="Arial"/>
          <w:color w:val="000000" w:themeColor="text1"/>
          <w:sz w:val="22"/>
          <w:szCs w:val="22"/>
        </w:rPr>
        <w:t xml:space="preserve"> la Ley 996 de 2005</w:t>
      </w:r>
      <w:bookmarkEnd w:id="17"/>
      <w:r w:rsidRPr="00A70C4A">
        <w:rPr>
          <w:rFonts w:ascii="Arial" w:eastAsia="Arial" w:hAnsi="Arial" w:cs="Arial"/>
          <w:color w:val="000000" w:themeColor="text1"/>
          <w:sz w:val="22"/>
          <w:szCs w:val="22"/>
        </w:rPr>
        <w:t>, usted realiza la siguiente pregunta</w:t>
      </w:r>
      <w:r w:rsidR="00781CAE" w:rsidRPr="005873AF">
        <w:rPr>
          <w:rFonts w:ascii="Arial" w:eastAsia="Arial" w:hAnsi="Arial" w:cs="Arial"/>
          <w:color w:val="000000" w:themeColor="text1"/>
          <w:sz w:val="22"/>
          <w:szCs w:val="22"/>
          <w:lang w:val="es-MX"/>
        </w:rPr>
        <w:t>:</w:t>
      </w:r>
      <w:r w:rsidR="009433D1" w:rsidRPr="00647645">
        <w:rPr>
          <w:rFonts w:ascii="Arial" w:eastAsia="Arial" w:hAnsi="Arial" w:cs="Arial"/>
          <w:color w:val="000000" w:themeColor="text1"/>
          <w:sz w:val="22"/>
          <w:szCs w:val="22"/>
          <w:lang w:val="es-MX"/>
        </w:rPr>
        <w:t xml:space="preserve"> </w:t>
      </w:r>
    </w:p>
    <w:p w14:paraId="7E857735" w14:textId="77777777" w:rsidR="00A63763" w:rsidRDefault="00A63763" w:rsidP="00795D27">
      <w:pPr>
        <w:autoSpaceDE w:val="0"/>
        <w:autoSpaceDN w:val="0"/>
        <w:adjustRightInd w:val="0"/>
        <w:spacing w:line="276" w:lineRule="auto"/>
        <w:jc w:val="both"/>
        <w:rPr>
          <w:rFonts w:ascii="Arial" w:eastAsia="Arial" w:hAnsi="Arial" w:cs="Arial"/>
          <w:color w:val="000000" w:themeColor="text1"/>
          <w:sz w:val="22"/>
          <w:szCs w:val="22"/>
          <w:lang w:val="es-MX"/>
        </w:rPr>
      </w:pPr>
    </w:p>
    <w:p w14:paraId="5659F453" w14:textId="4CB60909" w:rsidR="00DF2B34" w:rsidRDefault="00DF2B34" w:rsidP="006B7A7B">
      <w:pPr>
        <w:autoSpaceDE w:val="0"/>
        <w:autoSpaceDN w:val="0"/>
        <w:adjustRightInd w:val="0"/>
        <w:ind w:left="709" w:right="709"/>
        <w:jc w:val="both"/>
        <w:rPr>
          <w:rFonts w:ascii="Arial" w:hAnsi="Arial" w:cs="Arial"/>
          <w:sz w:val="21"/>
          <w:szCs w:val="21"/>
        </w:rPr>
      </w:pPr>
      <w:r w:rsidRPr="00647645">
        <w:rPr>
          <w:rFonts w:ascii="Arial" w:hAnsi="Arial" w:cs="Arial"/>
          <w:sz w:val="21"/>
          <w:szCs w:val="21"/>
        </w:rPr>
        <w:t>«</w:t>
      </w:r>
      <w:bookmarkStart w:id="18" w:name="_Hlk100577924"/>
      <w:r w:rsidR="004241F6" w:rsidRPr="00647645">
        <w:rPr>
          <w:rFonts w:ascii="Arial" w:hAnsi="Arial" w:cs="Arial"/>
          <w:sz w:val="21"/>
          <w:szCs w:val="21"/>
        </w:rPr>
        <w:t>Esta prohibición se debe interpretar de</w:t>
      </w:r>
      <w:r w:rsidR="004241F6">
        <w:rPr>
          <w:rFonts w:ascii="Arial" w:hAnsi="Arial" w:cs="Arial"/>
          <w:sz w:val="21"/>
          <w:szCs w:val="21"/>
        </w:rPr>
        <w:t xml:space="preserve"> </w:t>
      </w:r>
      <w:r w:rsidR="004241F6" w:rsidRPr="00647645">
        <w:rPr>
          <w:rFonts w:ascii="Arial" w:hAnsi="Arial" w:cs="Arial"/>
          <w:sz w:val="21"/>
          <w:szCs w:val="21"/>
        </w:rPr>
        <w:t>manera extensiva a los contratos de compraventa de bienes inmuebles en el marco de</w:t>
      </w:r>
      <w:r w:rsidR="004241F6">
        <w:rPr>
          <w:rFonts w:ascii="Arial" w:hAnsi="Arial" w:cs="Arial"/>
          <w:sz w:val="21"/>
          <w:szCs w:val="21"/>
        </w:rPr>
        <w:t xml:space="preserve"> </w:t>
      </w:r>
      <w:r w:rsidR="004241F6" w:rsidRPr="00647645">
        <w:rPr>
          <w:rFonts w:ascii="Arial" w:hAnsi="Arial" w:cs="Arial"/>
          <w:sz w:val="21"/>
          <w:szCs w:val="21"/>
        </w:rPr>
        <w:t>la ejecución de un contrato de obra</w:t>
      </w:r>
      <w:r w:rsidR="004241F6">
        <w:rPr>
          <w:rFonts w:ascii="Arial" w:hAnsi="Arial" w:cs="Arial"/>
          <w:sz w:val="21"/>
          <w:szCs w:val="21"/>
        </w:rPr>
        <w:t xml:space="preserve"> (sic)</w:t>
      </w:r>
      <w:r w:rsidR="004241F6" w:rsidRPr="00647645">
        <w:rPr>
          <w:rFonts w:ascii="Arial" w:hAnsi="Arial" w:cs="Arial"/>
          <w:sz w:val="21"/>
          <w:szCs w:val="21"/>
        </w:rPr>
        <w:t xml:space="preserve"> , que requiere para su ejecución la gestión predial?</w:t>
      </w:r>
      <w:r w:rsidR="004241F6" w:rsidRPr="00647645">
        <w:rPr>
          <w:sz w:val="21"/>
          <w:szCs w:val="21"/>
        </w:rPr>
        <w:t xml:space="preserve"> </w:t>
      </w:r>
      <w:r w:rsidR="00B8412C" w:rsidRPr="00647645">
        <w:rPr>
          <w:rFonts w:ascii="Arial" w:hAnsi="Arial" w:cs="Arial"/>
          <w:sz w:val="21"/>
          <w:szCs w:val="21"/>
        </w:rPr>
        <w:t>[…]</w:t>
      </w:r>
      <w:r w:rsidR="004241F6">
        <w:rPr>
          <w:rFonts w:ascii="Arial" w:hAnsi="Arial" w:cs="Arial"/>
          <w:sz w:val="21"/>
          <w:szCs w:val="21"/>
        </w:rPr>
        <w:t xml:space="preserve"> </w:t>
      </w:r>
      <w:r w:rsidR="00795D27" w:rsidRPr="00795D27">
        <w:rPr>
          <w:rFonts w:ascii="Arial" w:hAnsi="Arial" w:cs="Arial"/>
          <w:sz w:val="21"/>
          <w:szCs w:val="21"/>
        </w:rPr>
        <w:t>¿ esta</w:t>
      </w:r>
      <w:r w:rsidR="00795D27">
        <w:rPr>
          <w:rFonts w:ascii="Arial" w:hAnsi="Arial" w:cs="Arial"/>
          <w:sz w:val="21"/>
          <w:szCs w:val="21"/>
        </w:rPr>
        <w:t xml:space="preserve"> </w:t>
      </w:r>
      <w:r w:rsidR="00795D27" w:rsidRPr="00795D27">
        <w:rPr>
          <w:rFonts w:ascii="Arial" w:hAnsi="Arial" w:cs="Arial"/>
          <w:sz w:val="21"/>
          <w:szCs w:val="21"/>
        </w:rPr>
        <w:t>prohibición no iría en contra de manera palmaria de la finalidad de la contratación</w:t>
      </w:r>
      <w:r w:rsidR="00795D27">
        <w:rPr>
          <w:rFonts w:ascii="Arial" w:hAnsi="Arial" w:cs="Arial"/>
          <w:sz w:val="21"/>
          <w:szCs w:val="21"/>
        </w:rPr>
        <w:t xml:space="preserve"> </w:t>
      </w:r>
      <w:r w:rsidR="00795D27" w:rsidRPr="00795D27">
        <w:rPr>
          <w:rFonts w:ascii="Arial" w:hAnsi="Arial" w:cs="Arial"/>
          <w:sz w:val="21"/>
          <w:szCs w:val="21"/>
        </w:rPr>
        <w:t>pública que es cumplir los fines esenciales del estado siendo este último un precepto</w:t>
      </w:r>
      <w:r w:rsidR="00795D27">
        <w:rPr>
          <w:rFonts w:ascii="Arial" w:hAnsi="Arial" w:cs="Arial"/>
          <w:sz w:val="21"/>
          <w:szCs w:val="21"/>
        </w:rPr>
        <w:t xml:space="preserve"> </w:t>
      </w:r>
      <w:r w:rsidR="00795D27" w:rsidRPr="00795D27">
        <w:rPr>
          <w:rFonts w:ascii="Arial" w:hAnsi="Arial" w:cs="Arial"/>
          <w:sz w:val="21"/>
          <w:szCs w:val="21"/>
        </w:rPr>
        <w:t>constitucional? más aun considerando que este tipo de contrataciones están por fuera</w:t>
      </w:r>
      <w:r w:rsidR="00795D27">
        <w:rPr>
          <w:rFonts w:ascii="Arial" w:hAnsi="Arial" w:cs="Arial"/>
          <w:sz w:val="21"/>
          <w:szCs w:val="21"/>
        </w:rPr>
        <w:t xml:space="preserve"> </w:t>
      </w:r>
      <w:r w:rsidR="00795D27" w:rsidRPr="00795D27">
        <w:rPr>
          <w:rFonts w:ascii="Arial" w:hAnsi="Arial" w:cs="Arial"/>
          <w:sz w:val="21"/>
          <w:szCs w:val="21"/>
        </w:rPr>
        <w:t>del marco político y/o electoral, al ser bienes o contrataciones conexas a procesos o</w:t>
      </w:r>
      <w:r w:rsidR="00795D27">
        <w:rPr>
          <w:rFonts w:ascii="Arial" w:hAnsi="Arial" w:cs="Arial"/>
          <w:sz w:val="21"/>
          <w:szCs w:val="21"/>
        </w:rPr>
        <w:t xml:space="preserve"> </w:t>
      </w:r>
      <w:r w:rsidR="00795D27" w:rsidRPr="00795D27">
        <w:rPr>
          <w:rFonts w:ascii="Arial" w:hAnsi="Arial" w:cs="Arial"/>
          <w:sz w:val="21"/>
          <w:szCs w:val="21"/>
        </w:rPr>
        <w:t>desarrollos que si o si se deben realizar y que el contrato principal derivado se obtuvo</w:t>
      </w:r>
      <w:r w:rsidR="00795D27">
        <w:rPr>
          <w:rFonts w:ascii="Arial" w:hAnsi="Arial" w:cs="Arial"/>
          <w:sz w:val="21"/>
          <w:szCs w:val="21"/>
        </w:rPr>
        <w:t xml:space="preserve"> </w:t>
      </w:r>
      <w:r w:rsidR="00795D27" w:rsidRPr="00795D27">
        <w:rPr>
          <w:rFonts w:ascii="Arial" w:hAnsi="Arial" w:cs="Arial"/>
          <w:sz w:val="21"/>
          <w:szCs w:val="21"/>
        </w:rPr>
        <w:t>por medio de licitación pública</w:t>
      </w:r>
      <w:bookmarkEnd w:id="18"/>
      <w:r w:rsidR="00795D27" w:rsidRPr="00795D27">
        <w:rPr>
          <w:rFonts w:ascii="Arial" w:hAnsi="Arial" w:cs="Arial"/>
          <w:sz w:val="21"/>
          <w:szCs w:val="21"/>
        </w:rPr>
        <w:t>.</w:t>
      </w:r>
      <w:r w:rsidRPr="00647645">
        <w:rPr>
          <w:rFonts w:ascii="Arial" w:hAnsi="Arial" w:cs="Arial"/>
          <w:sz w:val="21"/>
          <w:szCs w:val="21"/>
        </w:rPr>
        <w:t>»</w:t>
      </w:r>
    </w:p>
    <w:p w14:paraId="779FAB57" w14:textId="77777777" w:rsidR="006743AB" w:rsidRDefault="006743AB" w:rsidP="00795D27">
      <w:pPr>
        <w:autoSpaceDE w:val="0"/>
        <w:autoSpaceDN w:val="0"/>
        <w:adjustRightInd w:val="0"/>
        <w:spacing w:line="276" w:lineRule="auto"/>
        <w:jc w:val="both"/>
        <w:rPr>
          <w:rFonts w:ascii="Arial" w:hAnsi="Arial" w:cs="Arial"/>
          <w:sz w:val="21"/>
          <w:szCs w:val="21"/>
        </w:rPr>
      </w:pPr>
    </w:p>
    <w:p w14:paraId="777C1FDD" w14:textId="6FDF5EA3" w:rsidR="00C91180" w:rsidRDefault="00C91180" w:rsidP="00795D27">
      <w:pPr>
        <w:autoSpaceDE w:val="0"/>
        <w:autoSpaceDN w:val="0"/>
        <w:adjustRightInd w:val="0"/>
        <w:spacing w:line="276" w:lineRule="auto"/>
        <w:jc w:val="both"/>
        <w:rPr>
          <w:rFonts w:ascii="Arial" w:hAnsi="Arial" w:cs="Arial"/>
          <w:sz w:val="21"/>
          <w:szCs w:val="21"/>
        </w:rPr>
      </w:pPr>
    </w:p>
    <w:p w14:paraId="673E8F12" w14:textId="77777777" w:rsidR="00C91180" w:rsidRPr="00647645" w:rsidRDefault="00C91180" w:rsidP="00795D27">
      <w:pPr>
        <w:autoSpaceDE w:val="0"/>
        <w:autoSpaceDN w:val="0"/>
        <w:adjustRightInd w:val="0"/>
        <w:spacing w:line="276" w:lineRule="auto"/>
        <w:jc w:val="both"/>
        <w:rPr>
          <w:rFonts w:ascii="Arial" w:hAnsi="Arial" w:cs="Arial"/>
          <w:sz w:val="21"/>
          <w:szCs w:val="21"/>
        </w:rPr>
      </w:pPr>
    </w:p>
    <w:p w14:paraId="037E7D68" w14:textId="67363858" w:rsidR="007446F6" w:rsidRPr="00DF2B34" w:rsidRDefault="007446F6" w:rsidP="005873AF">
      <w:pPr>
        <w:ind w:left="709" w:right="709"/>
        <w:jc w:val="both"/>
        <w:rPr>
          <w:rFonts w:ascii="Arial" w:hAnsi="Arial" w:cs="Arial"/>
          <w:color w:val="000000" w:themeColor="text1"/>
          <w:sz w:val="21"/>
          <w:szCs w:val="21"/>
          <w:highlight w:val="yellow"/>
        </w:rPr>
      </w:pPr>
    </w:p>
    <w:p w14:paraId="124D2DCA" w14:textId="77777777" w:rsidR="00DD5B04" w:rsidRPr="005873AF" w:rsidRDefault="00DD5B04" w:rsidP="00184443">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873AF">
        <w:rPr>
          <w:rFonts w:ascii="Arial" w:eastAsia="Calibri" w:hAnsi="Arial" w:cs="Arial"/>
          <w:b/>
          <w:color w:val="000000" w:themeColor="text1"/>
          <w:sz w:val="22"/>
          <w:lang w:val="es-ES_tradnl"/>
        </w:rPr>
        <w:t>Consideraciones</w:t>
      </w:r>
    </w:p>
    <w:p w14:paraId="104EB7CA" w14:textId="77777777" w:rsidR="00913A0F" w:rsidRPr="005873AF" w:rsidRDefault="00913A0F" w:rsidP="00184443">
      <w:pPr>
        <w:spacing w:line="276" w:lineRule="auto"/>
        <w:jc w:val="both"/>
        <w:rPr>
          <w:rFonts w:ascii="Arial" w:eastAsia="Calibri" w:hAnsi="Arial" w:cs="Arial"/>
          <w:color w:val="000000" w:themeColor="text1"/>
          <w:sz w:val="22"/>
          <w:szCs w:val="22"/>
          <w:lang w:val="es-ES_tradnl"/>
        </w:rPr>
      </w:pPr>
    </w:p>
    <w:p w14:paraId="718A48D6" w14:textId="1BF1B975" w:rsidR="00F54C37" w:rsidRPr="000F7818" w:rsidRDefault="00BA3FBD" w:rsidP="006B7A7B">
      <w:pPr>
        <w:spacing w:after="120" w:line="276" w:lineRule="auto"/>
        <w:jc w:val="both"/>
        <w:rPr>
          <w:rFonts w:ascii="Arial" w:eastAsia="Calibri" w:hAnsi="Arial" w:cs="Arial"/>
          <w:color w:val="000000" w:themeColor="text1"/>
          <w:sz w:val="22"/>
          <w:szCs w:val="22"/>
          <w:lang w:val="es-ES_tradnl"/>
        </w:rPr>
      </w:pPr>
      <w:r w:rsidRPr="00CB2E0B">
        <w:rPr>
          <w:rFonts w:ascii="Arial" w:hAnsi="Arial" w:cs="Arial"/>
          <w:color w:val="000000" w:themeColor="text1"/>
          <w:sz w:val="22"/>
          <w:lang w:val="es-ES_tradnl"/>
        </w:rPr>
        <w:t xml:space="preserve">Para resolver su consulta, se analizarán los siguientes temas: </w:t>
      </w:r>
      <w:r>
        <w:rPr>
          <w:rFonts w:ascii="Arial" w:eastAsia="Calibri" w:hAnsi="Arial" w:cs="Arial"/>
          <w:color w:val="000000" w:themeColor="text1"/>
          <w:sz w:val="22"/>
        </w:rPr>
        <w:t xml:space="preserve"> </w:t>
      </w:r>
      <w:r w:rsidR="004D1322" w:rsidRPr="000F7818">
        <w:rPr>
          <w:rFonts w:ascii="Arial" w:eastAsia="Calibri" w:hAnsi="Arial" w:cs="Arial"/>
          <w:bCs/>
          <w:color w:val="000000" w:themeColor="text1"/>
          <w:sz w:val="22"/>
        </w:rPr>
        <w:t xml:space="preserve">i) </w:t>
      </w:r>
      <w:r w:rsidR="00615336" w:rsidRPr="005873AF">
        <w:rPr>
          <w:rFonts w:ascii="Arial" w:eastAsia="Calibri" w:hAnsi="Arial" w:cs="Arial"/>
          <w:bCs/>
          <w:color w:val="000000" w:themeColor="text1"/>
          <w:sz w:val="22"/>
        </w:rPr>
        <w:t>definición y finalidad de la Ley de Garantías Electorales</w:t>
      </w:r>
      <w:r w:rsidR="003D1E53" w:rsidRPr="000F7818">
        <w:rPr>
          <w:rFonts w:ascii="Arial" w:eastAsia="Calibri" w:hAnsi="Arial" w:cs="Arial"/>
          <w:bCs/>
          <w:color w:val="000000" w:themeColor="text1"/>
          <w:sz w:val="22"/>
        </w:rPr>
        <w:t>; ii</w:t>
      </w:r>
      <w:r w:rsidR="006161BE" w:rsidRPr="000F7818">
        <w:rPr>
          <w:rFonts w:ascii="Arial" w:eastAsia="Calibri" w:hAnsi="Arial" w:cs="Arial"/>
          <w:bCs/>
          <w:color w:val="000000" w:themeColor="text1"/>
          <w:sz w:val="22"/>
        </w:rPr>
        <w:t xml:space="preserve">) </w:t>
      </w:r>
      <w:r w:rsidR="00B8412C">
        <w:rPr>
          <w:rFonts w:ascii="Arial" w:eastAsia="Calibri" w:hAnsi="Arial" w:cs="Arial"/>
          <w:bCs/>
          <w:color w:val="000000" w:themeColor="text1"/>
          <w:sz w:val="22"/>
        </w:rPr>
        <w:t>r</w:t>
      </w:r>
      <w:r w:rsidR="003D2D38" w:rsidRPr="000F7818">
        <w:rPr>
          <w:rFonts w:ascii="Arial" w:eastAsia="Calibri" w:hAnsi="Arial" w:cs="Arial"/>
          <w:bCs/>
          <w:color w:val="000000" w:themeColor="text1"/>
          <w:sz w:val="22"/>
        </w:rPr>
        <w:t>estricciones en elecciones presidenciales: prohibición del artículo 33 de la Ley 996 de 2005</w:t>
      </w:r>
      <w:r w:rsidR="00E85CE0" w:rsidRPr="000F7818">
        <w:rPr>
          <w:rFonts w:ascii="Arial" w:eastAsia="Calibri" w:hAnsi="Arial" w:cs="Arial"/>
          <w:bCs/>
          <w:color w:val="000000" w:themeColor="text1"/>
          <w:sz w:val="22"/>
        </w:rPr>
        <w:t>,</w:t>
      </w:r>
      <w:r w:rsidR="003D1E53" w:rsidRPr="000F7818">
        <w:rPr>
          <w:rFonts w:ascii="Arial" w:eastAsia="Calibri" w:hAnsi="Arial" w:cs="Arial"/>
          <w:bCs/>
          <w:color w:val="000000" w:themeColor="text1"/>
          <w:sz w:val="22"/>
        </w:rPr>
        <w:t xml:space="preserve"> i</w:t>
      </w:r>
      <w:r w:rsidR="00BE7A1C">
        <w:rPr>
          <w:rFonts w:ascii="Arial" w:eastAsia="Calibri" w:hAnsi="Arial" w:cs="Arial"/>
          <w:bCs/>
          <w:color w:val="000000" w:themeColor="text1"/>
          <w:sz w:val="22"/>
        </w:rPr>
        <w:t>ii</w:t>
      </w:r>
      <w:r w:rsidR="00E85CE0" w:rsidRPr="000F7818">
        <w:rPr>
          <w:rFonts w:ascii="Arial" w:eastAsia="Calibri" w:hAnsi="Arial" w:cs="Arial"/>
          <w:bCs/>
          <w:color w:val="000000" w:themeColor="text1"/>
          <w:sz w:val="22"/>
        </w:rPr>
        <w:t xml:space="preserve">) </w:t>
      </w:r>
      <w:r w:rsidR="00B8412C">
        <w:rPr>
          <w:rFonts w:ascii="Arial" w:eastAsia="Calibri" w:hAnsi="Arial" w:cs="Arial"/>
          <w:bCs/>
          <w:color w:val="000000" w:themeColor="text1"/>
          <w:sz w:val="22"/>
        </w:rPr>
        <w:t>d</w:t>
      </w:r>
      <w:r w:rsidR="003D2D38" w:rsidRPr="000F7818">
        <w:rPr>
          <w:rFonts w:ascii="Arial" w:eastAsia="Calibri" w:hAnsi="Arial" w:cs="Arial"/>
          <w:bCs/>
          <w:color w:val="000000" w:themeColor="text1"/>
          <w:sz w:val="22"/>
        </w:rPr>
        <w:t>estinatarios de la restricción del artículo 33 de la Ley 996 de 2005 y l</w:t>
      </w:r>
      <w:r w:rsidR="003D1E53" w:rsidRPr="000F7818">
        <w:rPr>
          <w:rFonts w:ascii="Arial" w:eastAsia="Calibri" w:hAnsi="Arial" w:cs="Arial"/>
          <w:bCs/>
          <w:color w:val="000000" w:themeColor="text1"/>
          <w:sz w:val="22"/>
        </w:rPr>
        <w:t>as excepciones a la prohibición</w:t>
      </w:r>
      <w:r w:rsidR="004D1322" w:rsidRPr="000F7818">
        <w:rPr>
          <w:rFonts w:ascii="Arial" w:eastAsia="Calibri" w:hAnsi="Arial" w:cs="Arial"/>
          <w:bCs/>
          <w:color w:val="000000" w:themeColor="text1"/>
          <w:sz w:val="22"/>
        </w:rPr>
        <w:t>.</w:t>
      </w:r>
    </w:p>
    <w:p w14:paraId="433DF896" w14:textId="20BFD213" w:rsidR="003827B5" w:rsidRDefault="001459D2" w:rsidP="00184443">
      <w:pPr>
        <w:spacing w:line="276" w:lineRule="auto"/>
        <w:ind w:firstLine="708"/>
        <w:jc w:val="both"/>
        <w:rPr>
          <w:rFonts w:ascii="Arial" w:eastAsia="Calibri" w:hAnsi="Arial" w:cs="Arial"/>
          <w:color w:val="000000" w:themeColor="text1"/>
          <w:sz w:val="22"/>
        </w:rPr>
      </w:pPr>
      <w:r w:rsidRPr="005873AF">
        <w:rPr>
          <w:rFonts w:ascii="Arial" w:eastAsia="Calibri" w:hAnsi="Arial" w:cs="Arial"/>
          <w:color w:val="000000" w:themeColor="text1"/>
          <w:sz w:val="22"/>
        </w:rPr>
        <w:t>Esta Agencia</w:t>
      </w:r>
      <w:r w:rsidR="00E670DD" w:rsidRPr="005873AF">
        <w:rPr>
          <w:rFonts w:ascii="Arial" w:eastAsia="Calibri" w:hAnsi="Arial" w:cs="Arial"/>
          <w:color w:val="000000" w:themeColor="text1"/>
          <w:sz w:val="22"/>
        </w:rPr>
        <w:t xml:space="preserve"> se ha pronunciado en diferentes ocasiones sobre la Ley de Garantías</w:t>
      </w:r>
      <w:r w:rsidRPr="005873AF">
        <w:rPr>
          <w:rFonts w:ascii="Arial" w:eastAsia="Calibri" w:hAnsi="Arial" w:cs="Arial"/>
          <w:color w:val="000000" w:themeColor="text1"/>
          <w:sz w:val="22"/>
        </w:rPr>
        <w:t xml:space="preserve"> Electorales</w:t>
      </w:r>
      <w:r w:rsidR="00E670DD" w:rsidRPr="005873AF">
        <w:rPr>
          <w:rFonts w:ascii="Arial" w:eastAsia="Calibri" w:hAnsi="Arial" w:cs="Arial"/>
          <w:color w:val="000000" w:themeColor="text1"/>
          <w:sz w:val="22"/>
        </w:rPr>
        <w:t>,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w:t>
      </w:r>
      <w:r w:rsidR="00E746A6" w:rsidRPr="005873AF">
        <w:rPr>
          <w:rFonts w:ascii="Arial" w:eastAsia="Calibri" w:hAnsi="Arial" w:cs="Arial"/>
          <w:color w:val="000000" w:themeColor="text1"/>
          <w:sz w:val="22"/>
        </w:rPr>
        <w:t xml:space="preserve">, </w:t>
      </w:r>
      <w:r w:rsidR="00974B94" w:rsidRPr="005873AF">
        <w:rPr>
          <w:rFonts w:ascii="Arial" w:eastAsia="Calibri" w:hAnsi="Arial" w:cs="Arial"/>
          <w:color w:val="000000" w:themeColor="text1"/>
          <w:sz w:val="22"/>
        </w:rPr>
        <w:t xml:space="preserve"> C-227 del 24 de mayo de 2021</w:t>
      </w:r>
      <w:r w:rsidR="00E746A6" w:rsidRPr="005873AF">
        <w:rPr>
          <w:rFonts w:ascii="Arial" w:eastAsia="Calibri" w:hAnsi="Arial" w:cs="Arial"/>
          <w:color w:val="000000" w:themeColor="text1"/>
          <w:sz w:val="22"/>
        </w:rPr>
        <w:t xml:space="preserve"> y </w:t>
      </w:r>
      <w:r w:rsidR="0030575F" w:rsidRPr="005873AF">
        <w:rPr>
          <w:rFonts w:ascii="Arial" w:eastAsia="Calibri" w:hAnsi="Arial" w:cs="Arial"/>
          <w:color w:val="000000" w:themeColor="text1"/>
          <w:sz w:val="22"/>
        </w:rPr>
        <w:t>3</w:t>
      </w:r>
      <w:r w:rsidR="00E746A6" w:rsidRPr="005873AF">
        <w:rPr>
          <w:rFonts w:ascii="Arial" w:eastAsia="Calibri" w:hAnsi="Arial" w:cs="Arial"/>
          <w:color w:val="000000" w:themeColor="text1"/>
          <w:sz w:val="22"/>
        </w:rPr>
        <w:t>96 de</w:t>
      </w:r>
      <w:r w:rsidR="0030575F" w:rsidRPr="005873AF">
        <w:rPr>
          <w:rFonts w:ascii="Arial" w:eastAsia="Calibri" w:hAnsi="Arial" w:cs="Arial"/>
          <w:color w:val="000000" w:themeColor="text1"/>
          <w:sz w:val="22"/>
        </w:rPr>
        <w:t>l 13 de agosto de</w:t>
      </w:r>
      <w:r w:rsidR="00E746A6" w:rsidRPr="005873AF">
        <w:rPr>
          <w:rFonts w:ascii="Arial" w:eastAsia="Calibri" w:hAnsi="Arial" w:cs="Arial"/>
          <w:color w:val="000000" w:themeColor="text1"/>
          <w:sz w:val="22"/>
        </w:rPr>
        <w:t xml:space="preserve"> 2021</w:t>
      </w:r>
      <w:r w:rsidR="00E552DD" w:rsidRPr="005873AF">
        <w:rPr>
          <w:rFonts w:ascii="Arial" w:eastAsia="Calibri" w:hAnsi="Arial" w:cs="Arial"/>
          <w:color w:val="000000" w:themeColor="text1"/>
          <w:sz w:val="22"/>
        </w:rPr>
        <w:t>, C-429 del 27 de agosto de 2021</w:t>
      </w:r>
      <w:r w:rsidR="00A161D5" w:rsidRPr="005873AF">
        <w:rPr>
          <w:rFonts w:ascii="Arial" w:eastAsia="Calibri" w:hAnsi="Arial" w:cs="Arial"/>
          <w:color w:val="000000" w:themeColor="text1"/>
          <w:sz w:val="22"/>
        </w:rPr>
        <w:t xml:space="preserve">, C-456 del 3 de septiembre, C-481 del 9 de septiembre de 2021, </w:t>
      </w:r>
      <w:r w:rsidR="000A0A18" w:rsidRPr="005873AF">
        <w:rPr>
          <w:rFonts w:ascii="Arial" w:eastAsia="Calibri" w:hAnsi="Arial" w:cs="Arial"/>
          <w:color w:val="000000" w:themeColor="text1"/>
          <w:sz w:val="22"/>
        </w:rPr>
        <w:t>C- 528 del 27 de septiembre de 2021, C-550 del 5 de octubre de 2021</w:t>
      </w:r>
      <w:r w:rsidR="00E552DD" w:rsidRPr="005873AF">
        <w:rPr>
          <w:rFonts w:ascii="Arial" w:eastAsia="Calibri" w:hAnsi="Arial" w:cs="Arial"/>
          <w:color w:val="000000" w:themeColor="text1"/>
          <w:sz w:val="22"/>
        </w:rPr>
        <w:t xml:space="preserve"> y C-523 del </w:t>
      </w:r>
      <w:r w:rsidR="00E17CD1" w:rsidRPr="005873AF">
        <w:rPr>
          <w:rFonts w:ascii="Arial" w:eastAsia="Calibri" w:hAnsi="Arial" w:cs="Arial"/>
          <w:color w:val="000000" w:themeColor="text1"/>
          <w:sz w:val="22"/>
        </w:rPr>
        <w:t>10 de octubre de 2021</w:t>
      </w:r>
      <w:r w:rsidR="008D5CD5" w:rsidRPr="005873AF">
        <w:rPr>
          <w:rFonts w:ascii="Arial" w:eastAsia="Calibri" w:hAnsi="Arial" w:cs="Arial"/>
          <w:color w:val="000000" w:themeColor="text1"/>
          <w:sz w:val="22"/>
        </w:rPr>
        <w:t>, C-606 del 28 de octubre de 2021 y C-614 del 2 de noviembre de 2021, C-636 del 16 de noviembre de 2021, 681 del 7 de diciembre de 2021, C-686 del 21 de diciembre de 2021, C-697 del 3 de enero de 2022</w:t>
      </w:r>
      <w:r w:rsidR="002F1AA8">
        <w:rPr>
          <w:rFonts w:ascii="Arial" w:eastAsia="Calibri" w:hAnsi="Arial" w:cs="Arial"/>
          <w:color w:val="000000" w:themeColor="text1"/>
          <w:sz w:val="22"/>
        </w:rPr>
        <w:t xml:space="preserve">, </w:t>
      </w:r>
      <w:r w:rsidR="00913A0F" w:rsidRPr="005873AF">
        <w:rPr>
          <w:rFonts w:ascii="Arial" w:eastAsia="Calibri" w:hAnsi="Arial" w:cs="Arial"/>
          <w:color w:val="000000" w:themeColor="text1"/>
          <w:sz w:val="22"/>
        </w:rPr>
        <w:t>C-002 del 15 de febrero de 2022,</w:t>
      </w:r>
      <w:r w:rsidR="002F1AA8">
        <w:rPr>
          <w:rFonts w:ascii="Arial" w:eastAsia="Calibri" w:hAnsi="Arial" w:cs="Arial"/>
          <w:color w:val="000000" w:themeColor="text1"/>
          <w:sz w:val="22"/>
        </w:rPr>
        <w:t xml:space="preserve"> </w:t>
      </w:r>
      <w:r w:rsidR="002F1AA8">
        <w:rPr>
          <w:rFonts w:ascii="Arial" w:eastAsia="Calibri" w:hAnsi="Arial" w:cs="Arial"/>
          <w:bCs/>
          <w:color w:val="000000" w:themeColor="text1"/>
          <w:sz w:val="22"/>
          <w:szCs w:val="22"/>
          <w:lang w:eastAsia="en-US"/>
        </w:rPr>
        <w:t xml:space="preserve">C- 005 del 16 de febrero de 2022, </w:t>
      </w:r>
      <w:r w:rsidR="002F1AA8" w:rsidRPr="00253311">
        <w:rPr>
          <w:rFonts w:ascii="Arial" w:eastAsia="Calibri" w:hAnsi="Arial" w:cs="Arial"/>
          <w:bCs/>
          <w:color w:val="000000" w:themeColor="text1"/>
          <w:sz w:val="22"/>
          <w:szCs w:val="22"/>
          <w:lang w:eastAsia="en-US"/>
        </w:rPr>
        <w:t xml:space="preserve">C-079 del 18 de febrero de 2022 </w:t>
      </w:r>
      <w:r w:rsidR="003106FA">
        <w:rPr>
          <w:rFonts w:ascii="Arial" w:eastAsia="Calibri" w:hAnsi="Arial" w:cs="Arial"/>
          <w:bCs/>
          <w:color w:val="000000" w:themeColor="text1"/>
          <w:sz w:val="22"/>
          <w:szCs w:val="22"/>
          <w:lang w:eastAsia="en-US"/>
        </w:rPr>
        <w:t>,</w:t>
      </w:r>
      <w:r w:rsidR="002F1AA8" w:rsidRPr="00253311">
        <w:rPr>
          <w:rFonts w:ascii="Arial" w:eastAsia="Calibri" w:hAnsi="Arial" w:cs="Arial"/>
          <w:bCs/>
          <w:color w:val="000000" w:themeColor="text1"/>
          <w:sz w:val="22"/>
          <w:szCs w:val="22"/>
          <w:lang w:eastAsia="en-US"/>
        </w:rPr>
        <w:t>C-216 del 9 de marzo de 2022</w:t>
      </w:r>
      <w:r w:rsidR="003918F5">
        <w:rPr>
          <w:rFonts w:ascii="Arial" w:eastAsia="Calibri" w:hAnsi="Arial" w:cs="Arial"/>
          <w:bCs/>
          <w:color w:val="000000" w:themeColor="text1"/>
          <w:sz w:val="22"/>
          <w:szCs w:val="22"/>
          <w:lang w:eastAsia="en-US"/>
        </w:rPr>
        <w:t>,</w:t>
      </w:r>
      <w:r w:rsidR="00913A0F" w:rsidRPr="005873AF">
        <w:rPr>
          <w:rFonts w:ascii="Arial" w:eastAsia="Calibri" w:hAnsi="Arial" w:cs="Arial"/>
          <w:color w:val="000000" w:themeColor="text1"/>
          <w:sz w:val="22"/>
        </w:rPr>
        <w:t xml:space="preserve"> </w:t>
      </w:r>
      <w:r w:rsidR="003106FA">
        <w:rPr>
          <w:rFonts w:ascii="Arial" w:eastAsia="Calibri" w:hAnsi="Arial" w:cs="Arial"/>
          <w:color w:val="000000" w:themeColor="text1"/>
          <w:sz w:val="22"/>
        </w:rPr>
        <w:t xml:space="preserve">C-127 del 22 de marzo de 2022 y C-164 del 22 de marzo de 2022 </w:t>
      </w:r>
      <w:r w:rsidR="00913A0F" w:rsidRPr="005873AF">
        <w:rPr>
          <w:rFonts w:ascii="Arial" w:eastAsia="Calibri" w:hAnsi="Arial" w:cs="Arial"/>
          <w:color w:val="000000" w:themeColor="text1"/>
          <w:sz w:val="22"/>
        </w:rPr>
        <w:t>entre otros</w:t>
      </w:r>
      <w:r w:rsidR="00974B94" w:rsidRPr="005873AF">
        <w:rPr>
          <w:rFonts w:ascii="Arial" w:eastAsia="Calibri" w:hAnsi="Arial" w:cs="Arial"/>
          <w:color w:val="000000" w:themeColor="text1"/>
          <w:sz w:val="22"/>
        </w:rPr>
        <w:t>.</w:t>
      </w:r>
    </w:p>
    <w:p w14:paraId="76DD091D" w14:textId="32CE93BA" w:rsidR="001D4D28" w:rsidRPr="005873AF" w:rsidRDefault="001D4D28" w:rsidP="00184443">
      <w:pPr>
        <w:spacing w:line="276" w:lineRule="auto"/>
        <w:jc w:val="both"/>
        <w:rPr>
          <w:rFonts w:ascii="Arial" w:eastAsia="Calibri" w:hAnsi="Arial" w:cs="Arial"/>
          <w:color w:val="000000" w:themeColor="text1"/>
          <w:sz w:val="22"/>
        </w:rPr>
      </w:pPr>
    </w:p>
    <w:p w14:paraId="41BBC2F5" w14:textId="1C7DBB63" w:rsidR="00EE3D05" w:rsidRPr="005B1F70" w:rsidRDefault="004D1322" w:rsidP="00184443">
      <w:pPr>
        <w:tabs>
          <w:tab w:val="left" w:pos="426"/>
        </w:tabs>
        <w:spacing w:line="276" w:lineRule="auto"/>
        <w:jc w:val="both"/>
        <w:rPr>
          <w:rFonts w:ascii="Arial" w:eastAsia="Arial" w:hAnsi="Arial" w:cs="Arial"/>
          <w:sz w:val="22"/>
          <w:szCs w:val="22"/>
        </w:rPr>
      </w:pPr>
      <w:r>
        <w:rPr>
          <w:rFonts w:ascii="Arial" w:eastAsia="Arial" w:hAnsi="Arial" w:cs="Arial"/>
          <w:b/>
          <w:sz w:val="22"/>
          <w:szCs w:val="22"/>
        </w:rPr>
        <w:t>2.</w:t>
      </w:r>
      <w:r w:rsidR="00560C73">
        <w:rPr>
          <w:rFonts w:ascii="Arial" w:eastAsia="Arial" w:hAnsi="Arial" w:cs="Arial"/>
          <w:b/>
          <w:sz w:val="22"/>
          <w:szCs w:val="22"/>
        </w:rPr>
        <w:t>1</w:t>
      </w:r>
      <w:r w:rsidR="00EE3D05" w:rsidRPr="00D22117">
        <w:rPr>
          <w:rFonts w:ascii="Arial" w:eastAsia="Arial" w:hAnsi="Arial" w:cs="Arial"/>
          <w:b/>
          <w:sz w:val="22"/>
          <w:szCs w:val="22"/>
        </w:rPr>
        <w:t xml:space="preserve">. </w:t>
      </w:r>
      <w:r w:rsidR="00111B3A" w:rsidRPr="005873AF">
        <w:rPr>
          <w:rFonts w:ascii="Arial" w:eastAsia="Calibri" w:hAnsi="Arial" w:cs="Arial"/>
          <w:b/>
          <w:bCs/>
          <w:color w:val="000000" w:themeColor="text1"/>
          <w:sz w:val="22"/>
        </w:rPr>
        <w:t>Definición y finalidad de la Ley de Garantías Electorales: alcance de las restricciones</w:t>
      </w:r>
      <w:r w:rsidR="00111B3A" w:rsidRPr="00D22117" w:rsidDel="00111B3A">
        <w:rPr>
          <w:rFonts w:ascii="Arial" w:eastAsia="Arial" w:hAnsi="Arial" w:cs="Arial"/>
          <w:b/>
          <w:sz w:val="22"/>
          <w:szCs w:val="22"/>
        </w:rPr>
        <w:t xml:space="preserve"> </w:t>
      </w:r>
    </w:p>
    <w:p w14:paraId="5B3303B9" w14:textId="06B7D3F1" w:rsidR="00EE3D05" w:rsidRDefault="00EE3D05" w:rsidP="00184443">
      <w:pPr>
        <w:tabs>
          <w:tab w:val="left" w:pos="426"/>
        </w:tabs>
        <w:spacing w:line="276" w:lineRule="auto"/>
        <w:jc w:val="both"/>
        <w:rPr>
          <w:rFonts w:ascii="Arial" w:hAnsi="Arial" w:cs="Arial"/>
          <w:bCs/>
          <w:sz w:val="22"/>
        </w:rPr>
      </w:pPr>
    </w:p>
    <w:p w14:paraId="50771552" w14:textId="77777777" w:rsidR="00111B3A" w:rsidRPr="005873AF" w:rsidRDefault="00111B3A" w:rsidP="00111B3A">
      <w:pPr>
        <w:tabs>
          <w:tab w:val="left" w:pos="426"/>
        </w:tabs>
        <w:spacing w:after="120" w:line="276" w:lineRule="auto"/>
        <w:jc w:val="both"/>
        <w:rPr>
          <w:rFonts w:ascii="Arial" w:hAnsi="Arial" w:cs="Arial"/>
          <w:bCs/>
          <w:color w:val="000000" w:themeColor="text1"/>
          <w:sz w:val="22"/>
          <w:lang w:eastAsia="es-CO"/>
        </w:rPr>
      </w:pPr>
      <w:bookmarkStart w:id="19" w:name="_35nkun2" w:colFirst="0" w:colLast="0"/>
      <w:bookmarkEnd w:id="19"/>
      <w:r w:rsidRPr="005873AF">
        <w:rPr>
          <w:rFonts w:ascii="Arial" w:eastAsia="Calibri" w:hAnsi="Arial" w:cs="Arial"/>
          <w:bCs/>
          <w:color w:val="000000" w:themeColor="text1"/>
          <w:sz w:val="22"/>
        </w:rPr>
        <w:t>El ordenamiento jurídico colombiano contempla previsiones claras para evitar la obtención de beneficios personales en asuntos propios de la administración pública</w:t>
      </w:r>
      <w:r w:rsidRPr="005873AF">
        <w:rPr>
          <w:rFonts w:ascii="Arial" w:eastAsia="Calibri" w:hAnsi="Arial" w:cs="Arial"/>
          <w:bCs/>
          <w:i/>
          <w:iCs/>
          <w:color w:val="000000" w:themeColor="text1"/>
          <w:sz w:val="22"/>
        </w:rPr>
        <w:t xml:space="preserve">. </w:t>
      </w:r>
      <w:r w:rsidRPr="005873AF">
        <w:rPr>
          <w:rFonts w:ascii="Arial" w:eastAsia="Calibri" w:hAnsi="Arial" w:cs="Arial"/>
          <w:bCs/>
          <w:color w:val="000000" w:themeColor="text1"/>
          <w:sz w:val="22"/>
        </w:rPr>
        <w:t>Por ejemplo, el artículo 127 de la Constitución Política establece una prohibición contractual a los servidores públicos y en cuanto a aspectos políticos establece restricciones a ciertos empleados del Estado, incluso en época no electoral</w:t>
      </w:r>
      <w:r w:rsidRPr="005873AF">
        <w:rPr>
          <w:rStyle w:val="Refdenotaalpie"/>
          <w:rFonts w:ascii="Arial" w:eastAsia="Calibri" w:hAnsi="Arial" w:cs="Arial"/>
          <w:bCs/>
          <w:color w:val="000000" w:themeColor="text1"/>
          <w:sz w:val="22"/>
        </w:rPr>
        <w:footnoteReference w:id="2"/>
      </w:r>
      <w:r w:rsidRPr="005873AF">
        <w:rPr>
          <w:rFonts w:ascii="Arial" w:eastAsia="Calibri" w:hAnsi="Arial" w:cs="Arial"/>
          <w:bCs/>
          <w:color w:val="000000" w:themeColor="text1"/>
          <w:sz w:val="22"/>
        </w:rPr>
        <w:t xml:space="preserve">. </w:t>
      </w:r>
    </w:p>
    <w:p w14:paraId="0379BF89" w14:textId="77777777" w:rsidR="00111B3A" w:rsidRPr="005873AF" w:rsidRDefault="00111B3A" w:rsidP="00111B3A">
      <w:pPr>
        <w:tabs>
          <w:tab w:val="left" w:pos="426"/>
        </w:tabs>
        <w:spacing w:line="276" w:lineRule="auto"/>
        <w:ind w:firstLine="709"/>
        <w:jc w:val="both"/>
        <w:rPr>
          <w:rFonts w:ascii="Arial" w:hAnsi="Arial" w:cs="Arial"/>
          <w:bCs/>
          <w:color w:val="000000" w:themeColor="text1"/>
          <w:sz w:val="22"/>
          <w:lang w:eastAsia="es-CO"/>
        </w:rPr>
      </w:pPr>
      <w:r w:rsidRPr="005873AF">
        <w:rPr>
          <w:rFonts w:ascii="Arial" w:hAnsi="Arial" w:cs="Arial"/>
          <w:bCs/>
          <w:color w:val="000000" w:themeColor="text1"/>
          <w:sz w:val="22"/>
          <w:lang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873AF">
        <w:rPr>
          <w:rStyle w:val="Refdenotaalpie"/>
          <w:rFonts w:ascii="Arial" w:hAnsi="Arial" w:cs="Arial"/>
          <w:bCs/>
          <w:color w:val="000000" w:themeColor="text1"/>
          <w:sz w:val="22"/>
          <w:lang w:eastAsia="es-CO"/>
        </w:rPr>
        <w:footnoteReference w:id="3"/>
      </w:r>
      <w:r w:rsidRPr="005873AF">
        <w:rPr>
          <w:rFonts w:ascii="Arial" w:hAnsi="Arial" w:cs="Arial"/>
          <w:bCs/>
          <w:color w:val="000000" w:themeColor="text1"/>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5873AF">
        <w:rPr>
          <w:rFonts w:ascii="Arial" w:eastAsia="Calibri" w:hAnsi="Arial" w:cs="Arial"/>
          <w:noProof/>
          <w:color w:val="000000" w:themeColor="text1"/>
          <w:sz w:val="22"/>
          <w:lang w:val="es-ES_tradnl"/>
        </w:rPr>
        <w:t xml:space="preserve"> </w:t>
      </w:r>
      <w:r w:rsidRPr="005873AF">
        <w:rPr>
          <w:rFonts w:ascii="Arial" w:hAnsi="Arial" w:cs="Arial"/>
          <w:bCs/>
          <w:color w:val="000000" w:themeColor="text1"/>
          <w:sz w:val="22"/>
          <w:lang w:eastAsia="es-CO"/>
        </w:rPr>
        <w:t>En armonía con lo anterior, la Corte Constitucional ha abordado la definición de la Ley de Garantías Electorales, en los siguientes términos:</w:t>
      </w:r>
    </w:p>
    <w:p w14:paraId="70B5AEF4" w14:textId="77777777" w:rsidR="00111B3A" w:rsidRPr="005873AF" w:rsidRDefault="00111B3A" w:rsidP="00111B3A">
      <w:pPr>
        <w:ind w:right="709"/>
        <w:rPr>
          <w:rFonts w:ascii="Arial" w:hAnsi="Arial" w:cs="Arial"/>
          <w:color w:val="000000" w:themeColor="text1"/>
          <w:sz w:val="21"/>
          <w:szCs w:val="21"/>
          <w:lang w:val="es-ES" w:eastAsia="es-CO"/>
        </w:rPr>
      </w:pPr>
    </w:p>
    <w:p w14:paraId="0505ABB9" w14:textId="77777777" w:rsidR="00111B3A" w:rsidRPr="005873AF" w:rsidRDefault="00111B3A" w:rsidP="00111B3A">
      <w:pPr>
        <w:ind w:left="709" w:right="709"/>
        <w:jc w:val="both"/>
        <w:rPr>
          <w:rFonts w:ascii="Arial" w:hAnsi="Arial" w:cs="Arial"/>
          <w:bCs/>
          <w:color w:val="000000" w:themeColor="text1"/>
          <w:sz w:val="21"/>
          <w:szCs w:val="21"/>
          <w:lang w:eastAsia="es-CO"/>
        </w:rPr>
      </w:pPr>
      <w:r w:rsidRPr="005873AF">
        <w:rPr>
          <w:rFonts w:ascii="Arial" w:hAnsi="Arial" w:cs="Arial"/>
          <w:color w:val="000000" w:themeColor="text1"/>
          <w:sz w:val="21"/>
          <w:szCs w:val="21"/>
          <w:lang w:val="es-ES" w:eastAsia="es-CO"/>
        </w:rPr>
        <w:t xml:space="preserve">[…] </w:t>
      </w:r>
      <w:r w:rsidRPr="005873AF">
        <w:rPr>
          <w:rFonts w:ascii="Arial" w:hAnsi="Arial" w:cs="Arial"/>
          <w:bCs/>
          <w:color w:val="000000" w:themeColor="text1"/>
          <w:sz w:val="21"/>
          <w:szCs w:val="21"/>
          <w:lang w:eastAsia="es-CO"/>
        </w:rPr>
        <w:t>la definición de reglas claras que permitan acceder a los canales de expresión democrática de manera efectiva e igualitaria. El objetivo de una ley de garantías es definir esas reglas.</w:t>
      </w:r>
    </w:p>
    <w:p w14:paraId="45998D08" w14:textId="77777777" w:rsidR="00111B3A" w:rsidRPr="005873AF" w:rsidRDefault="00111B3A" w:rsidP="00111B3A">
      <w:pPr>
        <w:spacing w:after="120"/>
        <w:ind w:left="709" w:right="709"/>
        <w:jc w:val="both"/>
        <w:rPr>
          <w:rFonts w:ascii="Arial" w:hAnsi="Arial" w:cs="Arial"/>
          <w:bCs/>
          <w:color w:val="000000" w:themeColor="text1"/>
          <w:sz w:val="21"/>
          <w:szCs w:val="21"/>
          <w:lang w:eastAsia="es-CO"/>
        </w:rPr>
      </w:pPr>
      <w:r w:rsidRPr="005873AF">
        <w:rPr>
          <w:rFonts w:ascii="Arial" w:hAnsi="Arial" w:cs="Arial"/>
          <w:bCs/>
          <w:color w:val="000000" w:themeColor="text1"/>
          <w:sz w:val="21"/>
          <w:szCs w:val="21"/>
          <w:lang w:eastAsia="es-CO"/>
        </w:rPr>
        <w:t xml:space="preserve">[…] </w:t>
      </w:r>
    </w:p>
    <w:p w14:paraId="2EC447EB" w14:textId="77777777" w:rsidR="00111B3A" w:rsidRPr="005873AF" w:rsidRDefault="00111B3A" w:rsidP="00111B3A">
      <w:pPr>
        <w:ind w:left="709" w:right="709"/>
        <w:jc w:val="both"/>
        <w:rPr>
          <w:rFonts w:ascii="Arial" w:hAnsi="Arial" w:cs="Arial"/>
          <w:bCs/>
          <w:color w:val="000000" w:themeColor="text1"/>
          <w:sz w:val="21"/>
          <w:szCs w:val="21"/>
          <w:lang w:eastAsia="es-CO"/>
        </w:rPr>
      </w:pPr>
      <w:r w:rsidRPr="005873AF">
        <w:rPr>
          <w:rFonts w:ascii="Arial" w:hAnsi="Arial" w:cs="Arial"/>
          <w:bCs/>
          <w:color w:val="000000" w:themeColor="text1"/>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873AF">
        <w:rPr>
          <w:rStyle w:val="Refdenotaalpie"/>
          <w:rFonts w:ascii="Arial" w:hAnsi="Arial" w:cs="Arial"/>
          <w:color w:val="000000" w:themeColor="text1"/>
          <w:sz w:val="20"/>
          <w:szCs w:val="20"/>
        </w:rPr>
        <w:footnoteReference w:id="4"/>
      </w:r>
    </w:p>
    <w:p w14:paraId="3B07DE4F" w14:textId="77777777" w:rsidR="00111B3A" w:rsidRPr="005873AF" w:rsidRDefault="00111B3A" w:rsidP="00111B3A">
      <w:pPr>
        <w:ind w:left="709" w:right="709"/>
        <w:rPr>
          <w:rFonts w:ascii="Arial" w:hAnsi="Arial" w:cs="Arial"/>
          <w:bCs/>
          <w:color w:val="000000" w:themeColor="text1"/>
          <w:sz w:val="21"/>
          <w:szCs w:val="21"/>
          <w:lang w:eastAsia="es-CO"/>
        </w:rPr>
      </w:pPr>
    </w:p>
    <w:p w14:paraId="37E851AB" w14:textId="77777777" w:rsidR="00111B3A" w:rsidRPr="005873AF" w:rsidRDefault="00111B3A" w:rsidP="00111B3A">
      <w:pPr>
        <w:spacing w:line="276" w:lineRule="auto"/>
        <w:ind w:firstLine="709"/>
        <w:jc w:val="both"/>
        <w:rPr>
          <w:rFonts w:ascii="Arial" w:hAnsi="Arial" w:cs="Arial"/>
          <w:bCs/>
          <w:color w:val="000000" w:themeColor="text1"/>
          <w:sz w:val="22"/>
          <w:lang w:eastAsia="es-CO"/>
        </w:rPr>
      </w:pPr>
      <w:bookmarkStart w:id="20" w:name="_Hlk78818186"/>
      <w:r w:rsidRPr="005873AF">
        <w:rPr>
          <w:rFonts w:ascii="Arial" w:hAnsi="Arial" w:cs="Arial"/>
          <w:bCs/>
          <w:color w:val="000000" w:themeColor="text1"/>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20"/>
      <w:r w:rsidRPr="005873AF">
        <w:rPr>
          <w:rFonts w:ascii="Arial" w:hAnsi="Arial" w:cs="Arial"/>
          <w:bCs/>
          <w:color w:val="000000" w:themeColor="text1"/>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6691E635" w14:textId="77777777" w:rsidR="00111B3A" w:rsidRPr="005873AF" w:rsidRDefault="00111B3A" w:rsidP="00111B3A">
      <w:pPr>
        <w:ind w:firstLine="709"/>
        <w:rPr>
          <w:rFonts w:ascii="Arial" w:hAnsi="Arial" w:cs="Arial"/>
          <w:bCs/>
          <w:color w:val="000000" w:themeColor="text1"/>
          <w:sz w:val="22"/>
          <w:lang w:eastAsia="es-CO"/>
        </w:rPr>
      </w:pPr>
    </w:p>
    <w:p w14:paraId="06397E56" w14:textId="77777777" w:rsidR="00111B3A" w:rsidRPr="005873AF" w:rsidRDefault="00111B3A" w:rsidP="00111B3A">
      <w:pPr>
        <w:spacing w:after="120"/>
        <w:ind w:left="709" w:right="709"/>
        <w:jc w:val="both"/>
        <w:rPr>
          <w:rFonts w:ascii="Arial" w:hAnsi="Arial" w:cs="Arial"/>
          <w:bCs/>
          <w:color w:val="000000" w:themeColor="text1"/>
          <w:sz w:val="21"/>
          <w:szCs w:val="21"/>
          <w:lang w:eastAsia="es-CO"/>
        </w:rPr>
      </w:pPr>
      <w:r w:rsidRPr="005873AF">
        <w:rPr>
          <w:rFonts w:ascii="Arial" w:hAnsi="Arial" w:cs="Arial"/>
          <w:bCs/>
          <w:color w:val="000000" w:themeColor="text1"/>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66B05F1D" w14:textId="77777777" w:rsidR="00111B3A" w:rsidRPr="005873AF" w:rsidRDefault="00111B3A" w:rsidP="00111B3A">
      <w:pPr>
        <w:ind w:left="709" w:right="709"/>
        <w:jc w:val="both"/>
        <w:rPr>
          <w:rFonts w:ascii="Arial" w:hAnsi="Arial" w:cs="Arial"/>
          <w:bCs/>
          <w:color w:val="000000" w:themeColor="text1"/>
          <w:sz w:val="21"/>
          <w:szCs w:val="21"/>
          <w:lang w:eastAsia="es-CO"/>
        </w:rPr>
      </w:pPr>
      <w:r w:rsidRPr="005873AF">
        <w:rPr>
          <w:rFonts w:ascii="Arial" w:hAnsi="Arial" w:cs="Arial"/>
          <w:bCs/>
          <w:color w:val="000000" w:themeColor="text1"/>
          <w:sz w:val="21"/>
          <w:szCs w:val="21"/>
          <w:lang w:eastAsia="es-CO"/>
        </w:rPr>
        <w:t>La jurisprudencia de la Corte Constitucional</w:t>
      </w:r>
      <w:r w:rsidRPr="005873AF">
        <w:rPr>
          <w:rStyle w:val="Refdenotaalpie"/>
          <w:rFonts w:ascii="Arial" w:hAnsi="Arial" w:cs="Arial"/>
          <w:bCs/>
          <w:color w:val="000000" w:themeColor="text1"/>
          <w:sz w:val="21"/>
          <w:szCs w:val="21"/>
          <w:lang w:eastAsia="es-CO"/>
        </w:rPr>
        <w:footnoteReference w:id="5"/>
      </w:r>
      <w:r w:rsidRPr="005873AF">
        <w:rPr>
          <w:rFonts w:ascii="Arial" w:hAnsi="Arial" w:cs="Arial"/>
          <w:bCs/>
          <w:color w:val="000000" w:themeColor="text1"/>
          <w:sz w:val="21"/>
          <w:szCs w:val="21"/>
          <w:lang w:eastAsia="es-CO"/>
        </w:rPr>
        <w:t> y del Consejo de Estado</w:t>
      </w:r>
      <w:r w:rsidRPr="005873AF">
        <w:rPr>
          <w:rStyle w:val="Refdenotaalpie"/>
          <w:rFonts w:ascii="Arial" w:hAnsi="Arial" w:cs="Arial"/>
          <w:bCs/>
          <w:color w:val="000000" w:themeColor="text1"/>
          <w:sz w:val="21"/>
          <w:szCs w:val="21"/>
          <w:lang w:eastAsia="es-CO"/>
        </w:rPr>
        <w:footnoteReference w:id="6"/>
      </w:r>
      <w:r w:rsidRPr="005873AF">
        <w:rPr>
          <w:rFonts w:ascii="Arial" w:hAnsi="Arial" w:cs="Arial"/>
          <w:bCs/>
          <w:color w:val="000000" w:themeColor="text1"/>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873AF">
        <w:rPr>
          <w:rStyle w:val="Refdenotaalpie"/>
          <w:rFonts w:ascii="Arial" w:hAnsi="Arial" w:cs="Arial"/>
          <w:bCs/>
          <w:color w:val="000000" w:themeColor="text1"/>
          <w:sz w:val="21"/>
          <w:szCs w:val="21"/>
          <w:lang w:eastAsia="es-CO"/>
        </w:rPr>
        <w:footnoteReference w:id="7"/>
      </w:r>
      <w:r w:rsidRPr="005873AF">
        <w:rPr>
          <w:rFonts w:ascii="Arial" w:hAnsi="Arial" w:cs="Arial"/>
          <w:bCs/>
          <w:color w:val="000000" w:themeColor="text1"/>
          <w:sz w:val="21"/>
          <w:szCs w:val="21"/>
          <w:lang w:eastAsia="es-CO"/>
        </w:rPr>
        <w:t>.</w:t>
      </w:r>
    </w:p>
    <w:p w14:paraId="173DCC61" w14:textId="77777777" w:rsidR="00111B3A" w:rsidRPr="005873AF" w:rsidRDefault="00111B3A" w:rsidP="00111B3A">
      <w:pPr>
        <w:ind w:right="709"/>
        <w:rPr>
          <w:rFonts w:ascii="Arial" w:hAnsi="Arial" w:cs="Arial"/>
          <w:bCs/>
          <w:color w:val="000000" w:themeColor="text1"/>
          <w:sz w:val="21"/>
          <w:szCs w:val="21"/>
          <w:lang w:eastAsia="es-CO"/>
        </w:rPr>
      </w:pPr>
    </w:p>
    <w:p w14:paraId="38D66DD8" w14:textId="77777777" w:rsidR="00111B3A" w:rsidRPr="005873AF" w:rsidRDefault="00111B3A" w:rsidP="00111B3A">
      <w:pPr>
        <w:spacing w:after="120" w:line="276" w:lineRule="auto"/>
        <w:jc w:val="both"/>
        <w:rPr>
          <w:rFonts w:ascii="Arial" w:eastAsia="Arial" w:hAnsi="Arial" w:cs="Arial"/>
          <w:color w:val="000000" w:themeColor="text1"/>
          <w:sz w:val="22"/>
          <w:lang w:val="es-ES" w:eastAsia="es-ES" w:bidi="es-ES"/>
        </w:rPr>
      </w:pPr>
      <w:r w:rsidRPr="005873AF">
        <w:rPr>
          <w:rFonts w:ascii="Arial" w:hAnsi="Arial" w:cs="Arial"/>
          <w:bCs/>
          <w:color w:val="000000" w:themeColor="text1"/>
          <w:sz w:val="22"/>
          <w:lang w:eastAsia="es-CO"/>
        </w:rPr>
        <w:tab/>
        <w:t>De</w:t>
      </w:r>
      <w:r w:rsidRPr="005873AF">
        <w:rPr>
          <w:rFonts w:ascii="Arial" w:eastAsia="Arial" w:hAnsi="Arial" w:cs="Arial"/>
          <w:color w:val="000000" w:themeColor="text1"/>
          <w:sz w:val="22"/>
          <w:lang w:val="es-ES" w:eastAsia="es-ES" w:bidi="es-ES"/>
        </w:rPr>
        <w:t xml:space="preserve"> conformidad con lo anterior, </w:t>
      </w:r>
      <w:bookmarkStart w:id="21" w:name="_Hlk77236098"/>
      <w:r w:rsidRPr="005873AF">
        <w:rPr>
          <w:rFonts w:ascii="Arial" w:eastAsia="Arial" w:hAnsi="Arial" w:cs="Arial"/>
          <w:color w:val="000000" w:themeColor="text1"/>
          <w:sz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21"/>
    </w:p>
    <w:p w14:paraId="1540D1AF" w14:textId="77777777" w:rsidR="00111B3A" w:rsidRPr="005873AF" w:rsidRDefault="00111B3A" w:rsidP="00111B3A">
      <w:pPr>
        <w:spacing w:after="120" w:line="276" w:lineRule="auto"/>
        <w:ind w:firstLine="708"/>
        <w:jc w:val="both"/>
        <w:rPr>
          <w:rFonts w:ascii="Arial" w:eastAsia="Calibri" w:hAnsi="Arial" w:cs="Arial"/>
          <w:color w:val="000000" w:themeColor="text1"/>
          <w:sz w:val="22"/>
        </w:rPr>
      </w:pPr>
      <w:r w:rsidRPr="005873AF">
        <w:rPr>
          <w:rFonts w:ascii="Arial" w:eastAsia="Calibri" w:hAnsi="Arial" w:cs="Arial"/>
          <w:color w:val="000000" w:themeColor="text1"/>
          <w:sz w:val="22"/>
        </w:rPr>
        <w:t xml:space="preserve">Por un lado, el artículo 33 de la Ley 996 de 2005 prohíbe </w:t>
      </w:r>
      <w:r w:rsidRPr="005873AF">
        <w:rPr>
          <w:rFonts w:ascii="Arial" w:eastAsia="Calibri" w:hAnsi="Arial" w:cs="Arial"/>
          <w:bCs/>
          <w:color w:val="000000" w:themeColor="text1"/>
          <w:sz w:val="22"/>
        </w:rPr>
        <w:t xml:space="preserve">«[…] </w:t>
      </w:r>
      <w:r w:rsidRPr="005873AF">
        <w:rPr>
          <w:rFonts w:ascii="Arial" w:eastAsia="Calibri" w:hAnsi="Arial" w:cs="Arial"/>
          <w:color w:val="000000" w:themeColor="text1"/>
          <w:sz w:val="22"/>
        </w:rPr>
        <w:t>la contratación directa por parte de todos los entes del Estado</w:t>
      </w:r>
      <w:r w:rsidRPr="005873AF">
        <w:rPr>
          <w:rFonts w:ascii="Arial" w:eastAsia="Calibri" w:hAnsi="Arial" w:cs="Arial"/>
          <w:bCs/>
          <w:color w:val="000000" w:themeColor="text1"/>
          <w:sz w:val="22"/>
        </w:rPr>
        <w:t>»</w:t>
      </w:r>
      <w:r w:rsidRPr="005873AF">
        <w:rPr>
          <w:rFonts w:ascii="Arial" w:eastAsia="Calibri" w:hAnsi="Arial" w:cs="Arial"/>
          <w:color w:val="000000" w:themeColor="text1"/>
          <w:sz w:val="22"/>
        </w:rPr>
        <w:t xml:space="preserve"> durante los cuatro (4) meses anteriores a las elecciones presidenciales, salvo </w:t>
      </w:r>
      <w:r w:rsidRPr="005873AF">
        <w:rPr>
          <w:rFonts w:ascii="Arial" w:eastAsia="Calibri" w:hAnsi="Arial" w:cs="Arial"/>
          <w:bCs/>
          <w:color w:val="000000" w:themeColor="text1"/>
          <w:sz w:val="22"/>
        </w:rPr>
        <w:t xml:space="preserve">«[…] </w:t>
      </w:r>
      <w:r w:rsidRPr="005873AF">
        <w:rPr>
          <w:rFonts w:ascii="Arial" w:eastAsia="Calibri" w:hAnsi="Arial" w:cs="Arial"/>
          <w:color w:val="000000" w:themeColor="text1"/>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873AF">
        <w:rPr>
          <w:rFonts w:ascii="Arial" w:eastAsia="Calibri" w:hAnsi="Arial" w:cs="Arial"/>
          <w:bCs/>
          <w:color w:val="000000" w:themeColor="text1"/>
          <w:sz w:val="22"/>
        </w:rPr>
        <w:t>»</w:t>
      </w:r>
      <w:r w:rsidRPr="005873AF">
        <w:rPr>
          <w:rFonts w:ascii="Arial" w:eastAsia="Calibri" w:hAnsi="Arial" w:cs="Arial"/>
          <w:bCs/>
          <w:color w:val="000000" w:themeColor="text1"/>
          <w:sz w:val="22"/>
          <w:vertAlign w:val="superscript"/>
        </w:rPr>
        <w:footnoteReference w:id="8"/>
      </w:r>
      <w:r w:rsidRPr="005873AF">
        <w:rPr>
          <w:rFonts w:ascii="Arial" w:eastAsia="Calibri" w:hAnsi="Arial" w:cs="Arial"/>
          <w:color w:val="000000" w:themeColor="text1"/>
          <w:sz w:val="22"/>
        </w:rPr>
        <w:t>.</w:t>
      </w:r>
    </w:p>
    <w:p w14:paraId="72B8F4B9" w14:textId="77777777" w:rsidR="00111B3A" w:rsidRPr="005873AF" w:rsidRDefault="00111B3A" w:rsidP="00111B3A">
      <w:pPr>
        <w:widowControl w:val="0"/>
        <w:autoSpaceDE w:val="0"/>
        <w:autoSpaceDN w:val="0"/>
        <w:spacing w:line="276" w:lineRule="auto"/>
        <w:ind w:right="113" w:firstLine="708"/>
        <w:jc w:val="both"/>
        <w:rPr>
          <w:rFonts w:ascii="Arial" w:eastAsia="Arial" w:hAnsi="Arial" w:cs="Arial"/>
          <w:color w:val="000000" w:themeColor="text1"/>
          <w:sz w:val="22"/>
          <w:lang w:val="es-ES" w:eastAsia="es-ES" w:bidi="es-ES"/>
        </w:rPr>
      </w:pPr>
      <w:r w:rsidRPr="005873AF">
        <w:rPr>
          <w:rFonts w:ascii="Arial" w:eastAsia="Calibri" w:hAnsi="Arial" w:cs="Arial"/>
          <w:color w:val="000000" w:themeColor="text1"/>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5873AF">
        <w:rPr>
          <w:rFonts w:ascii="Arial" w:eastAsia="Calibri" w:hAnsi="Arial" w:cs="Arial"/>
          <w:bCs/>
          <w:color w:val="000000" w:themeColor="text1"/>
          <w:sz w:val="22"/>
        </w:rPr>
        <w:t xml:space="preserve">«[…] </w:t>
      </w:r>
      <w:r w:rsidRPr="005873AF">
        <w:rPr>
          <w:rFonts w:ascii="Arial" w:eastAsia="Calibri" w:hAnsi="Arial" w:cs="Arial"/>
          <w:color w:val="000000" w:themeColor="text1"/>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873AF">
        <w:rPr>
          <w:rFonts w:ascii="Arial" w:eastAsia="Calibri" w:hAnsi="Arial" w:cs="Arial"/>
          <w:bCs/>
          <w:color w:val="000000" w:themeColor="text1"/>
          <w:sz w:val="19"/>
          <w:szCs w:val="19"/>
        </w:rPr>
        <w:t>»</w:t>
      </w:r>
      <w:r w:rsidRPr="005873AF">
        <w:rPr>
          <w:rFonts w:ascii="Arial" w:eastAsia="Calibri" w:hAnsi="Arial" w:cs="Arial"/>
          <w:bCs/>
          <w:color w:val="000000" w:themeColor="text1"/>
          <w:sz w:val="19"/>
          <w:szCs w:val="19"/>
          <w:vertAlign w:val="superscript"/>
        </w:rPr>
        <w:footnoteReference w:id="9"/>
      </w:r>
      <w:r w:rsidRPr="005873AF">
        <w:rPr>
          <w:rFonts w:ascii="Arial" w:eastAsia="Calibri" w:hAnsi="Arial" w:cs="Arial"/>
          <w:color w:val="000000" w:themeColor="text1"/>
          <w:sz w:val="22"/>
        </w:rPr>
        <w:t>.</w:t>
      </w:r>
      <w:r w:rsidRPr="005873AF">
        <w:rPr>
          <w:rFonts w:ascii="Arial" w:eastAsia="Arial" w:hAnsi="Arial" w:cs="Arial"/>
          <w:color w:val="000000" w:themeColor="text1"/>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C91485B" w14:textId="77777777" w:rsidR="00111B3A" w:rsidRPr="005873AF" w:rsidRDefault="00111B3A" w:rsidP="00111B3A">
      <w:pPr>
        <w:widowControl w:val="0"/>
        <w:autoSpaceDE w:val="0"/>
        <w:autoSpaceDN w:val="0"/>
        <w:ind w:left="805" w:right="812"/>
        <w:rPr>
          <w:rFonts w:ascii="Arial" w:eastAsia="Arial" w:hAnsi="Arial" w:cs="Arial"/>
          <w:color w:val="000000" w:themeColor="text1"/>
          <w:sz w:val="22"/>
          <w:lang w:val="es-ES" w:eastAsia="es-ES" w:bidi="es-ES"/>
        </w:rPr>
      </w:pPr>
    </w:p>
    <w:p w14:paraId="2C919B4F" w14:textId="77777777" w:rsidR="00111B3A" w:rsidRPr="005873AF" w:rsidRDefault="00111B3A" w:rsidP="00111B3A">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5873AF">
        <w:rPr>
          <w:rFonts w:ascii="Arial" w:eastAsia="Arial" w:hAnsi="Arial" w:cs="Arial"/>
          <w:color w:val="000000" w:themeColor="text1"/>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873AF">
        <w:rPr>
          <w:rFonts w:ascii="Arial" w:eastAsia="Arial" w:hAnsi="Arial" w:cs="Arial"/>
          <w:bCs/>
          <w:color w:val="000000" w:themeColor="text1"/>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5873AF">
        <w:rPr>
          <w:rFonts w:ascii="Arial" w:eastAsia="Arial" w:hAnsi="Arial" w:cs="Arial"/>
          <w:color w:val="000000" w:themeColor="text1"/>
          <w:sz w:val="21"/>
          <w:szCs w:val="21"/>
          <w:lang w:val="es-ES" w:eastAsia="es-ES" w:bidi="es-ES"/>
        </w:rPr>
        <w:t>.</w:t>
      </w:r>
      <w:r w:rsidRPr="005873AF">
        <w:rPr>
          <w:rFonts w:ascii="Arial" w:eastAsia="Arial" w:hAnsi="Arial" w:cs="Arial"/>
          <w:color w:val="000000" w:themeColor="text1"/>
          <w:sz w:val="21"/>
          <w:szCs w:val="21"/>
          <w:vertAlign w:val="superscript"/>
          <w:lang w:val="es-ES" w:eastAsia="es-ES" w:bidi="es-ES"/>
        </w:rPr>
        <w:footnoteReference w:id="10"/>
      </w:r>
    </w:p>
    <w:p w14:paraId="68FFEDC7" w14:textId="77777777" w:rsidR="00111B3A" w:rsidRPr="005873AF" w:rsidRDefault="00111B3A" w:rsidP="00111B3A">
      <w:pPr>
        <w:widowControl w:val="0"/>
        <w:autoSpaceDE w:val="0"/>
        <w:autoSpaceDN w:val="0"/>
        <w:spacing w:before="8"/>
        <w:rPr>
          <w:rFonts w:ascii="Arial" w:eastAsia="Arial" w:hAnsi="Arial" w:cs="Arial"/>
          <w:color w:val="000000" w:themeColor="text1"/>
          <w:sz w:val="22"/>
          <w:lang w:val="es-ES" w:eastAsia="es-ES" w:bidi="es-ES"/>
        </w:rPr>
      </w:pPr>
    </w:p>
    <w:p w14:paraId="3D51E175" w14:textId="77777777" w:rsidR="00111B3A" w:rsidRPr="005873AF" w:rsidRDefault="00111B3A" w:rsidP="00111B3A">
      <w:pPr>
        <w:spacing w:after="120" w:line="276" w:lineRule="auto"/>
        <w:ind w:firstLine="709"/>
        <w:jc w:val="both"/>
        <w:rPr>
          <w:rFonts w:ascii="Arial" w:eastAsia="Arial" w:hAnsi="Arial" w:cs="Arial"/>
          <w:color w:val="000000" w:themeColor="text1"/>
          <w:sz w:val="22"/>
          <w:lang w:val="es-ES" w:eastAsia="es-ES" w:bidi="es-ES"/>
        </w:rPr>
      </w:pPr>
      <w:r w:rsidRPr="005873AF">
        <w:rPr>
          <w:rFonts w:ascii="Arial" w:eastAsia="Arial" w:hAnsi="Arial" w:cs="Arial"/>
          <w:color w:val="000000" w:themeColor="text1"/>
          <w:sz w:val="22"/>
          <w:lang w:val="es-ES" w:eastAsia="es-ES" w:bidi="es-ES"/>
        </w:rPr>
        <w:t xml:space="preserve">De lo anterior se desprende que </w:t>
      </w:r>
      <w:bookmarkStart w:id="23" w:name="_Hlk77236420"/>
      <w:bookmarkStart w:id="24" w:name="_Hlk78818435"/>
      <w:r w:rsidRPr="005873AF">
        <w:rPr>
          <w:rFonts w:ascii="Arial" w:eastAsia="Arial" w:hAnsi="Arial" w:cs="Arial"/>
          <w:color w:val="000000" w:themeColor="text1"/>
          <w:sz w:val="22"/>
          <w:lang w:val="es-ES" w:eastAsia="es-ES" w:bidi="es-ES"/>
        </w:rPr>
        <w:t xml:space="preserve">la Ley 996 de 2005 establece dos (2) tipos de restricciones en materia de contratación, las cuales coinciden parcialmente. </w:t>
      </w:r>
      <w:r w:rsidRPr="005873AF">
        <w:rPr>
          <w:rFonts w:ascii="Arial" w:eastAsia="Arial" w:hAnsi="Arial" w:cs="Arial"/>
          <w:i/>
          <w:iCs/>
          <w:color w:val="000000" w:themeColor="text1"/>
          <w:sz w:val="22"/>
          <w:lang w:val="es-ES" w:eastAsia="es-ES" w:bidi="es-ES"/>
        </w:rPr>
        <w:t>En primer lugar</w:t>
      </w:r>
      <w:r w:rsidRPr="005873AF">
        <w:rPr>
          <w:rFonts w:ascii="Arial" w:eastAsia="Arial" w:hAnsi="Arial" w:cs="Arial"/>
          <w:color w:val="000000" w:themeColor="text1"/>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5873AF">
        <w:rPr>
          <w:rFonts w:ascii="Arial" w:eastAsia="Arial" w:hAnsi="Arial" w:cs="Arial"/>
          <w:i/>
          <w:iCs/>
          <w:color w:val="000000" w:themeColor="text1"/>
          <w:sz w:val="22"/>
          <w:lang w:val="es-ES" w:eastAsia="es-ES" w:bidi="es-ES"/>
        </w:rPr>
        <w:t>En segundo lugar</w:t>
      </w:r>
      <w:r w:rsidRPr="005873AF">
        <w:rPr>
          <w:rFonts w:ascii="Arial" w:eastAsia="Arial" w:hAnsi="Arial" w:cs="Arial"/>
          <w:color w:val="000000" w:themeColor="text1"/>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3"/>
    </w:p>
    <w:bookmarkEnd w:id="24"/>
    <w:p w14:paraId="09430A24" w14:textId="77777777" w:rsidR="00111B3A" w:rsidRPr="005873AF" w:rsidRDefault="00111B3A" w:rsidP="00111B3A">
      <w:pPr>
        <w:spacing w:after="120" w:line="276" w:lineRule="auto"/>
        <w:ind w:firstLine="709"/>
        <w:jc w:val="both"/>
        <w:rPr>
          <w:rFonts w:ascii="Arial" w:eastAsia="Arial" w:hAnsi="Arial" w:cs="Arial"/>
          <w:color w:val="000000" w:themeColor="text1"/>
          <w:sz w:val="22"/>
          <w:lang w:val="es-ES" w:eastAsia="es-ES" w:bidi="es-ES"/>
        </w:rPr>
      </w:pPr>
      <w:r w:rsidRPr="005873AF">
        <w:rPr>
          <w:rFonts w:ascii="Arial" w:eastAsia="Arial" w:hAnsi="Arial" w:cs="Arial"/>
          <w:color w:val="000000" w:themeColor="text1"/>
          <w:sz w:val="22"/>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6BE8C93D" w14:textId="77777777" w:rsidR="00111B3A" w:rsidRPr="005873AF" w:rsidRDefault="00111B3A" w:rsidP="00111B3A">
      <w:pPr>
        <w:spacing w:line="276" w:lineRule="auto"/>
        <w:ind w:firstLine="708"/>
        <w:jc w:val="both"/>
        <w:rPr>
          <w:rFonts w:ascii="Arial" w:eastAsia="Arial" w:hAnsi="Arial" w:cs="Arial"/>
          <w:color w:val="000000" w:themeColor="text1"/>
          <w:sz w:val="22"/>
          <w:lang w:val="es-ES" w:eastAsia="es-ES" w:bidi="es-ES"/>
        </w:rPr>
      </w:pPr>
      <w:r w:rsidRPr="005873AF">
        <w:rPr>
          <w:rFonts w:ascii="Arial" w:eastAsia="Arial" w:hAnsi="Arial" w:cs="Arial"/>
          <w:color w:val="000000" w:themeColor="text1"/>
          <w:sz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196DBDA" w14:textId="252DFD42" w:rsidR="00184443" w:rsidRDefault="00184443" w:rsidP="00184443">
      <w:pPr>
        <w:widowControl w:val="0"/>
        <w:pBdr>
          <w:top w:val="nil"/>
          <w:left w:val="nil"/>
          <w:bottom w:val="nil"/>
          <w:right w:val="nil"/>
          <w:between w:val="nil"/>
        </w:pBdr>
        <w:spacing w:line="276" w:lineRule="auto"/>
        <w:ind w:firstLine="709"/>
        <w:jc w:val="both"/>
        <w:rPr>
          <w:rFonts w:ascii="Arial" w:eastAsia="Arial" w:hAnsi="Arial" w:cs="Arial"/>
          <w:color w:val="000000"/>
          <w:sz w:val="22"/>
          <w:szCs w:val="22"/>
        </w:rPr>
      </w:pPr>
      <w:bookmarkStart w:id="25" w:name="_1ksv4uv" w:colFirst="0" w:colLast="0"/>
      <w:bookmarkEnd w:id="25"/>
    </w:p>
    <w:p w14:paraId="5C2E6711" w14:textId="1E8A985D" w:rsidR="004500E8" w:rsidRPr="005873AF" w:rsidRDefault="004500E8" w:rsidP="004500E8">
      <w:pPr>
        <w:spacing w:line="276" w:lineRule="auto"/>
        <w:ind w:right="49"/>
        <w:jc w:val="both"/>
        <w:rPr>
          <w:rFonts w:ascii="Arial" w:hAnsi="Arial" w:cs="Arial"/>
          <w:b/>
          <w:color w:val="000000" w:themeColor="text1"/>
          <w:sz w:val="22"/>
          <w:szCs w:val="22"/>
          <w:lang w:val="es-ES" w:eastAsia="es-CO"/>
        </w:rPr>
      </w:pPr>
      <w:r w:rsidRPr="005873AF">
        <w:rPr>
          <w:rFonts w:ascii="Arial" w:hAnsi="Arial" w:cs="Arial"/>
          <w:b/>
          <w:color w:val="000000" w:themeColor="text1"/>
          <w:sz w:val="22"/>
          <w:szCs w:val="22"/>
          <w:lang w:val="es-ES" w:eastAsia="es-CO"/>
        </w:rPr>
        <w:t>2.</w:t>
      </w:r>
      <w:r w:rsidR="00A56CCB">
        <w:rPr>
          <w:rFonts w:ascii="Arial" w:hAnsi="Arial" w:cs="Arial"/>
          <w:b/>
          <w:color w:val="000000" w:themeColor="text1"/>
          <w:sz w:val="22"/>
          <w:szCs w:val="22"/>
          <w:lang w:val="es-ES" w:eastAsia="es-CO"/>
        </w:rPr>
        <w:t>2</w:t>
      </w:r>
      <w:r w:rsidRPr="005873AF">
        <w:rPr>
          <w:rFonts w:ascii="Arial" w:hAnsi="Arial" w:cs="Arial"/>
          <w:b/>
          <w:color w:val="000000" w:themeColor="text1"/>
          <w:sz w:val="22"/>
          <w:szCs w:val="22"/>
          <w:lang w:val="es-ES" w:eastAsia="es-CO"/>
        </w:rPr>
        <w:t xml:space="preserve">. </w:t>
      </w:r>
      <w:r w:rsidRPr="005873AF">
        <w:rPr>
          <w:rFonts w:ascii="Arial" w:hAnsi="Arial" w:cs="Arial"/>
          <w:b/>
          <w:bCs/>
          <w:color w:val="000000" w:themeColor="text1"/>
          <w:sz w:val="22"/>
          <w:szCs w:val="22"/>
          <w:lang w:val="es-MX" w:eastAsia="es-CO"/>
        </w:rPr>
        <w:t>Restricciones en elecciones presidenciales</w:t>
      </w:r>
      <w:r w:rsidR="00CC7D38" w:rsidRPr="005873AF">
        <w:rPr>
          <w:rFonts w:ascii="Arial" w:hAnsi="Arial" w:cs="Arial"/>
          <w:b/>
          <w:bCs/>
          <w:color w:val="000000" w:themeColor="text1"/>
          <w:sz w:val="22"/>
          <w:szCs w:val="22"/>
          <w:lang w:val="es-MX" w:eastAsia="es-CO"/>
        </w:rPr>
        <w:t>: prohibición del artículo 33 de la Ley 996 de 2005</w:t>
      </w:r>
    </w:p>
    <w:p w14:paraId="7B34CE04" w14:textId="75EB0471" w:rsidR="004500E8" w:rsidRDefault="004500E8" w:rsidP="004500E8">
      <w:pPr>
        <w:spacing w:line="276" w:lineRule="auto"/>
        <w:ind w:right="49"/>
        <w:jc w:val="both"/>
        <w:rPr>
          <w:rFonts w:ascii="Arial" w:hAnsi="Arial" w:cs="Arial"/>
          <w:bCs/>
          <w:color w:val="000000" w:themeColor="text1"/>
          <w:sz w:val="22"/>
          <w:szCs w:val="22"/>
          <w:lang w:val="es-MX" w:eastAsia="x-none"/>
        </w:rPr>
      </w:pPr>
    </w:p>
    <w:p w14:paraId="3A913228" w14:textId="77777777" w:rsidR="00A31B74" w:rsidRPr="005873AF" w:rsidRDefault="00A31B74" w:rsidP="00A31B74">
      <w:pPr>
        <w:spacing w:line="276" w:lineRule="auto"/>
        <w:ind w:right="49"/>
        <w:jc w:val="both"/>
        <w:rPr>
          <w:rFonts w:ascii="Arial" w:hAnsi="Arial" w:cs="Arial"/>
          <w:bCs/>
          <w:color w:val="000000" w:themeColor="text1"/>
          <w:sz w:val="22"/>
          <w:szCs w:val="22"/>
          <w:lang w:val="es-MX" w:eastAsia="es-CO"/>
        </w:rPr>
      </w:pPr>
      <w:bookmarkStart w:id="26" w:name="_Hlk100581474"/>
      <w:r w:rsidRPr="005873AF">
        <w:rPr>
          <w:rFonts w:ascii="Arial" w:hAnsi="Arial" w:cs="Arial"/>
          <w:bCs/>
          <w:color w:val="000000" w:themeColor="text1"/>
          <w:sz w:val="22"/>
          <w:szCs w:val="22"/>
          <w:lang w:val="es-MX" w:eastAsia="x-none"/>
        </w:rPr>
        <w:t xml:space="preserve">El ámbito material de la prohibición contenida </w:t>
      </w:r>
      <w:bookmarkStart w:id="27" w:name="_Hlk75628761"/>
      <w:r w:rsidRPr="005873AF">
        <w:rPr>
          <w:rFonts w:ascii="Arial" w:hAnsi="Arial" w:cs="Arial"/>
          <w:bCs/>
          <w:color w:val="000000" w:themeColor="text1"/>
          <w:sz w:val="22"/>
          <w:szCs w:val="22"/>
          <w:lang w:val="es-MX" w:eastAsia="x-none"/>
        </w:rPr>
        <w:t xml:space="preserve">en el artículo 33 de la ley 996 de 2005 </w:t>
      </w:r>
      <w:bookmarkEnd w:id="27"/>
      <w:r w:rsidRPr="005873AF">
        <w:rPr>
          <w:rFonts w:ascii="Arial" w:hAnsi="Arial" w:cs="Arial"/>
          <w:bCs/>
          <w:color w:val="000000" w:themeColor="text1"/>
          <w:sz w:val="22"/>
          <w:szCs w:val="22"/>
          <w:lang w:val="es-MX" w:eastAsia="x-none"/>
        </w:rPr>
        <w:t xml:space="preserve">está </w:t>
      </w:r>
      <w:r w:rsidRPr="006912EE">
        <w:rPr>
          <w:rFonts w:ascii="Arial" w:hAnsi="Arial" w:cs="Arial"/>
          <w:bCs/>
          <w:color w:val="000000" w:themeColor="text1"/>
          <w:sz w:val="22"/>
          <w:szCs w:val="22"/>
          <w:lang w:val="es-MX" w:eastAsia="x-none"/>
        </w:rPr>
        <w:t xml:space="preserve">delimitado por la expresión </w:t>
      </w:r>
      <w:r w:rsidRPr="006912EE">
        <w:rPr>
          <w:rFonts w:ascii="Arial" w:eastAsia="Calibri" w:hAnsi="Arial" w:cs="Arial"/>
          <w:bCs/>
          <w:color w:val="000000" w:themeColor="text1"/>
          <w:sz w:val="20"/>
          <w:szCs w:val="20"/>
          <w:lang w:val="es-MX" w:eastAsia="en-US"/>
        </w:rPr>
        <w:t>«</w:t>
      </w:r>
      <w:r w:rsidRPr="006912EE">
        <w:rPr>
          <w:rFonts w:ascii="Arial" w:hAnsi="Arial" w:cs="Arial"/>
          <w:bCs/>
          <w:color w:val="000000" w:themeColor="text1"/>
          <w:sz w:val="22"/>
          <w:szCs w:val="22"/>
          <w:lang w:val="es-MX" w:eastAsia="x-none"/>
        </w:rPr>
        <w:t>queda prohibida la contratación directa</w:t>
      </w:r>
      <w:r w:rsidRPr="006912EE">
        <w:rPr>
          <w:rFonts w:ascii="Arial" w:eastAsiaTheme="minorHAnsi" w:hAnsi="Arial" w:cs="Arial"/>
          <w:color w:val="000000" w:themeColor="text1"/>
          <w:sz w:val="20"/>
          <w:szCs w:val="20"/>
          <w:lang w:val="es-MX" w:eastAsia="en-US"/>
        </w:rPr>
        <w:t>»</w:t>
      </w:r>
      <w:r w:rsidRPr="006912EE">
        <w:rPr>
          <w:rFonts w:ascii="Arial" w:hAnsi="Arial" w:cs="Arial"/>
          <w:bCs/>
          <w:color w:val="000000" w:themeColor="text1"/>
          <w:sz w:val="22"/>
          <w:szCs w:val="22"/>
          <w:lang w:val="es-MX" w:eastAsia="x-none"/>
        </w:rPr>
        <w:t>.</w:t>
      </w:r>
      <w:r w:rsidRPr="005873AF">
        <w:rPr>
          <w:rFonts w:ascii="Arial" w:hAnsi="Arial" w:cs="Arial"/>
          <w:bCs/>
          <w:color w:val="000000" w:themeColor="text1"/>
          <w:sz w:val="22"/>
          <w:szCs w:val="22"/>
          <w:lang w:val="es-MX" w:eastAsia="x-none"/>
        </w:rPr>
        <w:t xml:space="preserve"> </w:t>
      </w:r>
      <w:bookmarkEnd w:id="26"/>
      <w:r w:rsidRPr="005873AF">
        <w:rPr>
          <w:rFonts w:ascii="Arial" w:hAnsi="Arial" w:cs="Arial"/>
          <w:color w:val="000000" w:themeColor="text1"/>
          <w:sz w:val="22"/>
          <w:szCs w:val="22"/>
          <w:lang w:val="es-MX" w:eastAsia="es-CO"/>
        </w:rPr>
        <w:t xml:space="preserve">A propósito de </w:t>
      </w:r>
      <w:r w:rsidRPr="005873AF">
        <w:rPr>
          <w:rFonts w:ascii="Arial" w:hAnsi="Arial" w:cs="Arial"/>
          <w:color w:val="000000" w:themeColor="text1"/>
          <w:sz w:val="22"/>
          <w:szCs w:val="22"/>
          <w:lang w:eastAsia="es-CO"/>
        </w:rPr>
        <w:t>esta restricción de la Ley de Garantías Electorales, la Sala de Consulta y Servicio Civil del Consejo de Estado ha considerado que:</w:t>
      </w:r>
    </w:p>
    <w:p w14:paraId="6F3DF601" w14:textId="77777777" w:rsidR="00A31B74" w:rsidRPr="005873AF" w:rsidRDefault="00A31B74" w:rsidP="00A31B74">
      <w:pPr>
        <w:spacing w:line="276" w:lineRule="auto"/>
        <w:ind w:left="708" w:right="49"/>
        <w:jc w:val="both"/>
        <w:rPr>
          <w:rFonts w:ascii="Arial" w:eastAsiaTheme="minorHAnsi" w:hAnsi="Arial" w:cs="Arial"/>
          <w:color w:val="000000" w:themeColor="text1"/>
          <w:sz w:val="21"/>
          <w:szCs w:val="21"/>
          <w:lang w:val="es-MX" w:eastAsia="en-US"/>
        </w:rPr>
      </w:pPr>
    </w:p>
    <w:p w14:paraId="37137D86" w14:textId="77777777" w:rsidR="00A31B74" w:rsidRPr="005873AF" w:rsidRDefault="00A31B74" w:rsidP="00A31B74">
      <w:pPr>
        <w:spacing w:after="120"/>
        <w:ind w:left="709" w:right="709"/>
        <w:jc w:val="both"/>
        <w:rPr>
          <w:rFonts w:ascii="Arial" w:hAnsi="Arial" w:cs="Arial"/>
          <w:color w:val="000000" w:themeColor="text1"/>
          <w:sz w:val="21"/>
          <w:szCs w:val="21"/>
          <w:lang w:val="es-ES" w:eastAsia="es-CO"/>
        </w:rPr>
      </w:pPr>
      <w:r w:rsidRPr="005873AF">
        <w:rPr>
          <w:rFonts w:ascii="Arial" w:hAnsi="Arial" w:cs="Arial"/>
          <w:color w:val="000000" w:themeColor="text1"/>
          <w:sz w:val="21"/>
          <w:szCs w:val="21"/>
          <w:lang w:val="es-ES" w:eastAsia="es-CO"/>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5873AF">
        <w:rPr>
          <w:rFonts w:ascii="Arial" w:hAnsi="Arial" w:cs="Arial"/>
          <w:color w:val="000000" w:themeColor="text1"/>
          <w:sz w:val="21"/>
          <w:szCs w:val="21"/>
          <w:lang w:val="es-ES" w:eastAsia="es-CO"/>
        </w:rPr>
        <w:footnoteReference w:id="11"/>
      </w:r>
      <w:r w:rsidRPr="005873AF">
        <w:rPr>
          <w:rFonts w:ascii="Arial" w:hAnsi="Arial" w:cs="Arial"/>
          <w:color w:val="000000" w:themeColor="text1"/>
          <w:sz w:val="21"/>
          <w:szCs w:val="21"/>
          <w:lang w:val="es-ES" w:eastAsia="es-CO"/>
        </w:rPr>
        <w:t>.</w:t>
      </w:r>
    </w:p>
    <w:p w14:paraId="01C34C95" w14:textId="77777777" w:rsidR="00A31B74" w:rsidRPr="005873AF" w:rsidRDefault="00A31B74" w:rsidP="00A31B74">
      <w:pPr>
        <w:ind w:left="708" w:right="709"/>
        <w:jc w:val="both"/>
        <w:rPr>
          <w:rFonts w:ascii="Arial" w:eastAsiaTheme="minorHAnsi" w:hAnsi="Arial" w:cs="Arial"/>
          <w:color w:val="000000" w:themeColor="text1"/>
          <w:sz w:val="21"/>
          <w:szCs w:val="21"/>
          <w:lang w:val="es-MX" w:eastAsia="en-US"/>
        </w:rPr>
      </w:pPr>
      <w:r w:rsidRPr="005873AF">
        <w:rPr>
          <w:rFonts w:ascii="Arial" w:hAnsi="Arial" w:cs="Arial"/>
          <w:color w:val="000000" w:themeColor="text1"/>
          <w:sz w:val="21"/>
          <w:szCs w:val="21"/>
          <w:lang w:val="es-ES" w:eastAsia="es-CO"/>
        </w:rPr>
        <w:t xml:space="preserve">Esta Sala ha entendido que para los efectos de la ley de garantías, y dada su finalidad, el enunciado ´contratación directa´ es sinónimo </w:t>
      </w:r>
      <w:bookmarkStart w:id="30" w:name="_Hlk75741738"/>
      <w:r w:rsidRPr="005873AF">
        <w:rPr>
          <w:rFonts w:ascii="Arial" w:hAnsi="Arial" w:cs="Arial"/>
          <w:color w:val="000000" w:themeColor="text1"/>
          <w:sz w:val="21"/>
          <w:szCs w:val="21"/>
          <w:lang w:val="es-ES" w:eastAsia="es-CO"/>
        </w:rPr>
        <w:t xml:space="preserve">de cualquier sistema que no implique convocatoria pública y posibilidad de pluralidad de oferentes, </w:t>
      </w:r>
      <w:bookmarkEnd w:id="30"/>
      <w:r w:rsidRPr="005873AF">
        <w:rPr>
          <w:rFonts w:ascii="Arial" w:hAnsi="Arial" w:cs="Arial"/>
          <w:color w:val="000000" w:themeColor="text1"/>
          <w:sz w:val="21"/>
          <w:szCs w:val="21"/>
          <w:lang w:val="es-ES" w:eastAsia="es-CO"/>
        </w:rPr>
        <w:t>y que, además, no necesariamente hace referencia al procedimiento especial regulado por la ley de contratación estatal, sino a cualquier otro que prescinda de un proceso de licitación pública o concurso</w:t>
      </w:r>
      <w:r w:rsidRPr="005873AF">
        <w:rPr>
          <w:rFonts w:ascii="Arial" w:hAnsi="Arial" w:cs="Arial"/>
          <w:color w:val="000000" w:themeColor="text1"/>
          <w:sz w:val="21"/>
          <w:szCs w:val="21"/>
          <w:vertAlign w:val="superscript"/>
          <w:lang w:val="es-ES" w:eastAsia="es-CO"/>
        </w:rPr>
        <w:footnoteReference w:id="12"/>
      </w:r>
      <w:r w:rsidRPr="005873AF">
        <w:rPr>
          <w:rFonts w:ascii="Arial" w:hAnsi="Arial" w:cs="Arial"/>
          <w:color w:val="000000" w:themeColor="text1"/>
          <w:sz w:val="21"/>
          <w:szCs w:val="21"/>
          <w:vertAlign w:val="superscript"/>
          <w:lang w:val="es-ES" w:eastAsia="es-CO"/>
        </w:rPr>
        <w:t>.</w:t>
      </w:r>
      <w:r w:rsidRPr="005873AF">
        <w:rPr>
          <w:rFonts w:ascii="Arial" w:hAnsi="Arial" w:cs="Arial"/>
          <w:color w:val="000000" w:themeColor="text1"/>
          <w:sz w:val="21"/>
          <w:szCs w:val="21"/>
          <w:lang w:val="es-ES" w:eastAsia="es-CO"/>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5873AF">
        <w:rPr>
          <w:rFonts w:ascii="Arial" w:hAnsi="Arial" w:cs="Arial"/>
          <w:color w:val="000000" w:themeColor="text1"/>
          <w:sz w:val="22"/>
          <w:szCs w:val="22"/>
          <w:vertAlign w:val="superscript"/>
          <w:lang w:eastAsia="es-CO"/>
        </w:rPr>
        <w:footnoteReference w:id="13"/>
      </w:r>
      <w:r w:rsidRPr="005873AF">
        <w:rPr>
          <w:rFonts w:ascii="Arial" w:eastAsiaTheme="minorHAnsi" w:hAnsi="Arial" w:cs="Arial"/>
          <w:color w:val="000000" w:themeColor="text1"/>
          <w:sz w:val="21"/>
          <w:szCs w:val="21"/>
          <w:lang w:val="es-MX" w:eastAsia="en-US"/>
        </w:rPr>
        <w:t xml:space="preserve"> .</w:t>
      </w:r>
    </w:p>
    <w:p w14:paraId="3C5DADDF" w14:textId="77777777" w:rsidR="00A31B74" w:rsidRPr="005873AF" w:rsidRDefault="00A31B74" w:rsidP="00A31B74">
      <w:pPr>
        <w:shd w:val="clear" w:color="auto" w:fill="FFFFFF"/>
        <w:spacing w:line="276" w:lineRule="auto"/>
        <w:ind w:right="49" w:firstLine="709"/>
        <w:jc w:val="both"/>
        <w:rPr>
          <w:rFonts w:ascii="Arial" w:hAnsi="Arial" w:cs="Arial"/>
          <w:color w:val="000000" w:themeColor="text1"/>
          <w:sz w:val="22"/>
          <w:szCs w:val="22"/>
          <w:lang w:eastAsia="x-none"/>
        </w:rPr>
      </w:pPr>
    </w:p>
    <w:p w14:paraId="70E41143" w14:textId="77777777" w:rsidR="00A31B74" w:rsidRPr="005873AF" w:rsidRDefault="00A31B74" w:rsidP="00A31B74">
      <w:pPr>
        <w:spacing w:after="120" w:line="276" w:lineRule="auto"/>
        <w:ind w:right="49" w:firstLine="708"/>
        <w:jc w:val="both"/>
        <w:rPr>
          <w:rFonts w:ascii="Arial" w:hAnsi="Arial" w:cs="Arial"/>
          <w:bCs/>
          <w:color w:val="000000" w:themeColor="text1"/>
          <w:sz w:val="22"/>
          <w:szCs w:val="22"/>
          <w:lang w:eastAsia="x-none"/>
        </w:rPr>
      </w:pPr>
      <w:r w:rsidRPr="005873AF">
        <w:rPr>
          <w:rFonts w:ascii="Arial" w:hAnsi="Arial" w:cs="Arial"/>
          <w:color w:val="000000" w:themeColor="text1"/>
          <w:sz w:val="22"/>
          <w:szCs w:val="22"/>
          <w:lang w:eastAsia="x-none"/>
        </w:rPr>
        <w:t xml:space="preserve">De conformidad con el citado concepto, </w:t>
      </w:r>
      <w:bookmarkStart w:id="32" w:name="_Hlk78818702"/>
      <w:r w:rsidRPr="005873AF">
        <w:rPr>
          <w:rFonts w:ascii="Arial" w:hAnsi="Arial" w:cs="Arial"/>
          <w:color w:val="000000" w:themeColor="text1"/>
          <w:sz w:val="22"/>
          <w:szCs w:val="22"/>
          <w:lang w:eastAsia="x-none"/>
        </w:rPr>
        <w:t xml:space="preserve">la prohibición del artículo 33 de la Ley de Garantías Electorales se refiere a </w:t>
      </w:r>
      <w:bookmarkStart w:id="33" w:name="_Hlk74294635"/>
      <w:r w:rsidRPr="005873AF">
        <w:rPr>
          <w:rFonts w:ascii="Arial" w:hAnsi="Arial" w:cs="Arial"/>
          <w:color w:val="000000" w:themeColor="text1"/>
          <w:sz w:val="19"/>
          <w:szCs w:val="19"/>
          <w:lang w:eastAsia="en-GB"/>
        </w:rPr>
        <w:t>«</w:t>
      </w:r>
      <w:bookmarkEnd w:id="33"/>
      <w:r w:rsidRPr="005873AF">
        <w:rPr>
          <w:rFonts w:ascii="Arial" w:hAnsi="Arial" w:cs="Arial"/>
          <w:color w:val="000000" w:themeColor="text1"/>
          <w:sz w:val="22"/>
          <w:szCs w:val="22"/>
          <w:lang w:eastAsia="x-none"/>
        </w:rPr>
        <w:t>cualquier sistema que no implique convocatoria pública y posibilidad de pluralidad de oferentes</w:t>
      </w:r>
      <w:bookmarkStart w:id="34" w:name="_Hlk74404754"/>
      <w:r w:rsidRPr="005873AF">
        <w:rPr>
          <w:rFonts w:ascii="Arial" w:hAnsi="Arial" w:cs="Arial"/>
          <w:color w:val="000000" w:themeColor="text1"/>
          <w:sz w:val="22"/>
          <w:szCs w:val="22"/>
          <w:lang w:eastAsia="en-GB"/>
        </w:rPr>
        <w:t>»</w:t>
      </w:r>
      <w:bookmarkEnd w:id="34"/>
      <w:r w:rsidRPr="005873AF">
        <w:rPr>
          <w:rFonts w:ascii="Arial" w:hAnsi="Arial" w:cs="Arial"/>
          <w:color w:val="000000" w:themeColor="text1"/>
          <w:sz w:val="22"/>
          <w:szCs w:val="22"/>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32"/>
      <w:r w:rsidRPr="005873AF">
        <w:rPr>
          <w:rFonts w:ascii="Arial" w:hAnsi="Arial" w:cs="Arial"/>
          <w:color w:val="000000" w:themeColor="text1"/>
          <w:sz w:val="22"/>
          <w:szCs w:val="22"/>
          <w:lang w:eastAsia="x-none"/>
        </w:rPr>
        <w:t>Esta posición es congruente con la expedición de la Ley 1150 de 2007 que, entre otras reformas, introdujo la selección abreviada, rediseñó el concurso de méritos</w:t>
      </w:r>
      <w:r w:rsidRPr="005873AF">
        <w:rPr>
          <w:rFonts w:ascii="Arial" w:hAnsi="Arial" w:cs="Arial"/>
          <w:color w:val="000000" w:themeColor="text1"/>
          <w:sz w:val="22"/>
          <w:szCs w:val="22"/>
          <w:vertAlign w:val="superscript"/>
          <w:lang w:val="en-GB" w:eastAsia="x-none"/>
        </w:rPr>
        <w:footnoteReference w:id="14"/>
      </w:r>
      <w:r w:rsidRPr="005873AF">
        <w:rPr>
          <w:rFonts w:ascii="Arial" w:hAnsi="Arial" w:cs="Arial"/>
          <w:color w:val="000000" w:themeColor="text1"/>
          <w:sz w:val="22"/>
          <w:szCs w:val="22"/>
          <w:lang w:eastAsia="x-none"/>
        </w:rPr>
        <w:t xml:space="preserve"> y sistematizó las causales de contratación directa</w:t>
      </w:r>
      <w:r w:rsidRPr="005873AF">
        <w:rPr>
          <w:rFonts w:ascii="Arial" w:hAnsi="Arial" w:cs="Arial"/>
          <w:color w:val="000000" w:themeColor="text1"/>
          <w:sz w:val="22"/>
          <w:szCs w:val="22"/>
          <w:vertAlign w:val="superscript"/>
          <w:lang w:val="en-GB" w:eastAsia="x-none"/>
        </w:rPr>
        <w:footnoteReference w:id="15"/>
      </w:r>
      <w:r w:rsidRPr="005873AF">
        <w:rPr>
          <w:rFonts w:ascii="Arial" w:hAnsi="Arial" w:cs="Arial"/>
          <w:color w:val="000000" w:themeColor="text1"/>
          <w:sz w:val="22"/>
          <w:szCs w:val="22"/>
          <w:lang w:eastAsia="x-none"/>
        </w:rPr>
        <w:t xml:space="preserve">. </w:t>
      </w:r>
    </w:p>
    <w:p w14:paraId="78773298" w14:textId="77777777" w:rsidR="00A31B74" w:rsidRPr="005873AF" w:rsidRDefault="00A31B74" w:rsidP="00A31B74">
      <w:pPr>
        <w:spacing w:after="120" w:line="276" w:lineRule="auto"/>
        <w:ind w:right="49" w:firstLine="708"/>
        <w:jc w:val="both"/>
        <w:rPr>
          <w:rFonts w:ascii="Arial" w:hAnsi="Arial" w:cs="Arial"/>
          <w:color w:val="000000" w:themeColor="text1"/>
          <w:sz w:val="22"/>
          <w:szCs w:val="22"/>
          <w:lang w:val="es-MX" w:eastAsia="x-none"/>
        </w:rPr>
      </w:pPr>
      <w:r w:rsidRPr="005873AF">
        <w:rPr>
          <w:rFonts w:ascii="Arial" w:hAnsi="Arial" w:cs="Arial"/>
          <w:color w:val="000000" w:themeColor="text1"/>
          <w:sz w:val="22"/>
          <w:szCs w:val="22"/>
          <w:lang w:eastAsia="x-none"/>
        </w:rPr>
        <w:t xml:space="preserve">De esta forma, con fundamento en la evolución de la normativa sobre la contratación pública, se ha depurado la noción de </w:t>
      </w:r>
      <w:r w:rsidRPr="005873AF">
        <w:rPr>
          <w:rFonts w:ascii="Arial" w:hAnsi="Arial" w:cs="Arial"/>
          <w:color w:val="000000" w:themeColor="text1"/>
          <w:sz w:val="19"/>
          <w:szCs w:val="19"/>
          <w:lang w:eastAsia="en-GB"/>
        </w:rPr>
        <w:t>«</w:t>
      </w:r>
      <w:r w:rsidRPr="005873AF">
        <w:rPr>
          <w:rFonts w:ascii="Arial" w:hAnsi="Arial" w:cs="Arial"/>
          <w:color w:val="000000" w:themeColor="text1"/>
          <w:sz w:val="22"/>
          <w:szCs w:val="22"/>
          <w:lang w:eastAsia="x-none"/>
        </w:rPr>
        <w:t>contratación directa</w:t>
      </w:r>
      <w:r w:rsidRPr="005873AF">
        <w:rPr>
          <w:rFonts w:ascii="Arial" w:hAnsi="Arial" w:cs="Arial"/>
          <w:color w:val="000000" w:themeColor="text1"/>
          <w:sz w:val="22"/>
          <w:szCs w:val="22"/>
          <w:lang w:eastAsia="en-GB"/>
        </w:rPr>
        <w:t>»</w:t>
      </w:r>
      <w:r w:rsidRPr="005873AF">
        <w:rPr>
          <w:rFonts w:ascii="Arial" w:hAnsi="Arial" w:cs="Arial"/>
          <w:color w:val="000000" w:themeColor="text1"/>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5873AF">
        <w:rPr>
          <w:rFonts w:ascii="Arial" w:hAnsi="Arial" w:cs="Arial"/>
          <w:color w:val="000000" w:themeColor="text1"/>
          <w:sz w:val="22"/>
          <w:szCs w:val="22"/>
          <w:vertAlign w:val="superscript"/>
          <w:lang w:val="en-GB" w:eastAsia="x-none"/>
        </w:rPr>
        <w:footnoteReference w:id="16"/>
      </w:r>
      <w:r w:rsidRPr="005873AF">
        <w:rPr>
          <w:rFonts w:ascii="Arial" w:hAnsi="Arial" w:cs="Arial"/>
          <w:color w:val="000000" w:themeColor="text1"/>
          <w:sz w:val="22"/>
          <w:szCs w:val="22"/>
          <w:lang w:eastAsia="x-none"/>
        </w:rPr>
        <w:t>, han establecido sistemas de contratación que implican convocatoria pública y participación de varios oferentes</w:t>
      </w:r>
      <w:r w:rsidRPr="005873AF">
        <w:rPr>
          <w:rFonts w:ascii="Arial" w:hAnsi="Arial" w:cs="Arial"/>
          <w:color w:val="000000" w:themeColor="text1"/>
          <w:sz w:val="22"/>
          <w:szCs w:val="22"/>
          <w:lang w:eastAsia="en-GB"/>
        </w:rPr>
        <w:t>»</w:t>
      </w:r>
      <w:r w:rsidRPr="005873AF">
        <w:rPr>
          <w:rFonts w:ascii="Arial" w:hAnsi="Arial" w:cs="Arial"/>
          <w:color w:val="000000" w:themeColor="text1"/>
          <w:sz w:val="22"/>
          <w:szCs w:val="22"/>
          <w:lang w:eastAsia="x-none"/>
        </w:rPr>
        <w:t xml:space="preserve">. </w:t>
      </w:r>
    </w:p>
    <w:p w14:paraId="0FDCE9C8" w14:textId="77777777" w:rsidR="00A31B74" w:rsidRPr="005873AF" w:rsidRDefault="00A31B74" w:rsidP="00A31B74">
      <w:pPr>
        <w:spacing w:after="120" w:line="276" w:lineRule="auto"/>
        <w:ind w:right="49" w:firstLine="708"/>
        <w:jc w:val="both"/>
        <w:rPr>
          <w:rFonts w:ascii="Arial" w:hAnsi="Arial" w:cs="Arial"/>
          <w:bCs/>
          <w:color w:val="000000" w:themeColor="text1"/>
          <w:sz w:val="22"/>
          <w:szCs w:val="22"/>
          <w:lang w:val="es-MX" w:eastAsia="es-CO"/>
        </w:rPr>
      </w:pPr>
      <w:r w:rsidRPr="005873AF">
        <w:rPr>
          <w:rFonts w:ascii="Arial" w:hAnsi="Arial" w:cs="Arial"/>
          <w:bCs/>
          <w:color w:val="000000" w:themeColor="text1"/>
          <w:sz w:val="22"/>
          <w:szCs w:val="22"/>
          <w:lang w:val="es-MX" w:eastAsia="x-none"/>
        </w:rPr>
        <w:t>E</w:t>
      </w:r>
      <w:r w:rsidRPr="005873AF">
        <w:rPr>
          <w:rFonts w:ascii="Arial" w:hAnsi="Arial" w:cs="Arial"/>
          <w:color w:val="000000" w:themeColor="text1"/>
          <w:sz w:val="22"/>
          <w:szCs w:val="22"/>
          <w:lang w:eastAsia="x-none"/>
        </w:rPr>
        <w:t xml:space="preserve">n efecto, vale la pena mencionar que, </w:t>
      </w:r>
      <w:bookmarkStart w:id="36" w:name="_Hlk75636073"/>
      <w:r w:rsidRPr="005873AF">
        <w:rPr>
          <w:rFonts w:ascii="Arial" w:hAnsi="Arial" w:cs="Arial"/>
          <w:color w:val="000000" w:themeColor="text1"/>
          <w:sz w:val="22"/>
          <w:szCs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6"/>
      <w:r w:rsidRPr="005873AF">
        <w:rPr>
          <w:rFonts w:ascii="Arial" w:hAnsi="Arial" w:cs="Arial"/>
          <w:color w:val="000000" w:themeColor="text1"/>
          <w:sz w:val="22"/>
          <w:szCs w:val="22"/>
          <w:vertAlign w:val="superscript"/>
          <w:lang w:eastAsia="x-none"/>
        </w:rPr>
        <w:footnoteReference w:id="17"/>
      </w:r>
      <w:r w:rsidRPr="005873AF">
        <w:rPr>
          <w:rFonts w:ascii="Arial" w:hAnsi="Arial" w:cs="Arial"/>
          <w:color w:val="000000" w:themeColor="text1"/>
          <w:sz w:val="22"/>
          <w:szCs w:val="22"/>
          <w:lang w:eastAsia="x-none"/>
        </w:rPr>
        <w:t xml:space="preserve">. </w:t>
      </w:r>
    </w:p>
    <w:p w14:paraId="29015B2D" w14:textId="77777777" w:rsidR="00A31B74" w:rsidRPr="005873AF" w:rsidRDefault="00A31B74" w:rsidP="00A31B74">
      <w:pPr>
        <w:spacing w:after="120" w:line="276" w:lineRule="auto"/>
        <w:ind w:right="49" w:firstLine="708"/>
        <w:jc w:val="both"/>
        <w:rPr>
          <w:rFonts w:ascii="Arial" w:hAnsi="Arial" w:cs="Arial"/>
          <w:bCs/>
          <w:color w:val="000000" w:themeColor="text1"/>
          <w:sz w:val="22"/>
          <w:szCs w:val="22"/>
          <w:lang w:val="es-MX" w:eastAsia="es-CO"/>
        </w:rPr>
      </w:pPr>
      <w:r w:rsidRPr="005873AF">
        <w:rPr>
          <w:rFonts w:ascii="Arial" w:hAnsi="Arial" w:cs="Arial"/>
          <w:bCs/>
          <w:color w:val="000000" w:themeColor="text1"/>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341385B2" w14:textId="77777777" w:rsidR="00A31B74" w:rsidRPr="000367C0" w:rsidRDefault="00A31B74" w:rsidP="00A31B74">
      <w:pPr>
        <w:spacing w:after="120" w:line="276" w:lineRule="auto"/>
        <w:ind w:right="49" w:firstLine="708"/>
        <w:jc w:val="both"/>
        <w:rPr>
          <w:rFonts w:ascii="Arial" w:hAnsi="Arial" w:cs="Arial"/>
          <w:bCs/>
          <w:color w:val="000000" w:themeColor="text1"/>
          <w:sz w:val="22"/>
          <w:szCs w:val="22"/>
          <w:lang w:val="es-MX" w:eastAsia="x-none"/>
        </w:rPr>
      </w:pPr>
      <w:bookmarkStart w:id="37" w:name="_Hlk78818796"/>
      <w:bookmarkStart w:id="38" w:name="_Hlk100581657"/>
      <w:r w:rsidRPr="005873AF">
        <w:rPr>
          <w:rFonts w:ascii="Arial" w:hAnsi="Arial" w:cs="Arial"/>
          <w:bCs/>
          <w:color w:val="000000" w:themeColor="text1"/>
          <w:sz w:val="22"/>
          <w:szCs w:val="22"/>
          <w:lang w:val="es-MX" w:eastAsia="x-none"/>
        </w:rPr>
        <w:t xml:space="preserve"> </w:t>
      </w:r>
      <w:r w:rsidRPr="006912EE">
        <w:rPr>
          <w:rFonts w:ascii="Arial" w:hAnsi="Arial" w:cs="Arial"/>
          <w:bCs/>
          <w:color w:val="000000" w:themeColor="text1"/>
          <w:sz w:val="22"/>
          <w:szCs w:val="22"/>
          <w:lang w:val="es-MX" w:eastAsia="x-none"/>
        </w:rPr>
        <w:t>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6912EE">
        <w:rPr>
          <w:rFonts w:ascii="Arial" w:hAnsi="Arial" w:cs="Arial"/>
          <w:color w:val="000000" w:themeColor="text1"/>
          <w:sz w:val="22"/>
          <w:szCs w:val="22"/>
          <w:vertAlign w:val="superscript"/>
          <w:lang w:eastAsia="x-none"/>
        </w:rPr>
        <w:footnoteReference w:id="18"/>
      </w:r>
      <w:r w:rsidRPr="006912EE">
        <w:rPr>
          <w:rFonts w:ascii="Arial" w:hAnsi="Arial" w:cs="Arial"/>
          <w:bCs/>
          <w:color w:val="000000" w:themeColor="text1"/>
          <w:sz w:val="22"/>
          <w:szCs w:val="22"/>
          <w:lang w:val="es-MX" w:eastAsia="x-none"/>
        </w:rPr>
        <w:t>.</w:t>
      </w:r>
      <w:r w:rsidRPr="000367C0">
        <w:rPr>
          <w:rFonts w:ascii="Arial" w:hAnsi="Arial" w:cs="Arial"/>
          <w:color w:val="000000" w:themeColor="text1"/>
          <w:sz w:val="22"/>
          <w:szCs w:val="22"/>
          <w:vertAlign w:val="superscript"/>
          <w:lang w:eastAsia="x-none"/>
        </w:rPr>
        <w:t xml:space="preserve"> </w:t>
      </w:r>
    </w:p>
    <w:bookmarkEnd w:id="37"/>
    <w:p w14:paraId="6BFCC7EA" w14:textId="77777777" w:rsidR="00A31B74" w:rsidRPr="005873AF" w:rsidRDefault="00A31B74" w:rsidP="00A31B74">
      <w:pPr>
        <w:spacing w:after="120" w:line="276" w:lineRule="auto"/>
        <w:ind w:right="49" w:firstLine="708"/>
        <w:jc w:val="both"/>
        <w:rPr>
          <w:rFonts w:ascii="Arial" w:hAnsi="Arial" w:cs="Arial"/>
          <w:color w:val="000000" w:themeColor="text1"/>
          <w:sz w:val="22"/>
          <w:szCs w:val="22"/>
          <w:lang w:eastAsia="x-none"/>
        </w:rPr>
      </w:pPr>
      <w:r w:rsidRPr="006912EE">
        <w:rPr>
          <w:rFonts w:ascii="Arial" w:hAnsi="Arial" w:cs="Arial"/>
          <w:bCs/>
          <w:color w:val="000000" w:themeColor="text1"/>
          <w:sz w:val="22"/>
          <w:szCs w:val="22"/>
          <w:lang w:val="es-MX" w:eastAsia="x-none"/>
        </w:rPr>
        <w:t>De lo anterior se deduce que la prohibición aplica, sin perjuicio de las excepciones establecidas en la misma ley, para celebrar cualquier contrato de forma directa, esto es, sin que exista un proceso abierto y competitivo.</w:t>
      </w:r>
      <w:r w:rsidRPr="006912EE">
        <w:rPr>
          <w:rFonts w:ascii="Arial" w:hAnsi="Arial" w:cs="Arial"/>
          <w:color w:val="000000" w:themeColor="text1"/>
          <w:sz w:val="22"/>
          <w:szCs w:val="22"/>
          <w:lang w:eastAsia="x-none"/>
        </w:rPr>
        <w:t xml:space="preserve"> </w:t>
      </w:r>
      <w:bookmarkEnd w:id="38"/>
      <w:r w:rsidRPr="006912EE">
        <w:rPr>
          <w:rFonts w:ascii="Arial" w:hAnsi="Arial" w:cs="Arial"/>
          <w:color w:val="000000" w:themeColor="text1"/>
          <w:sz w:val="22"/>
          <w:szCs w:val="22"/>
          <w:lang w:eastAsia="x-none"/>
        </w:rPr>
        <w:t>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pueden las entidades públicas seguir contratando bajo estas modalidades.</w:t>
      </w:r>
    </w:p>
    <w:p w14:paraId="5B8E5C6F" w14:textId="77777777" w:rsidR="00A31B74" w:rsidRPr="005873AF" w:rsidRDefault="00A31B74" w:rsidP="00A31B74">
      <w:pPr>
        <w:spacing w:after="120" w:line="276" w:lineRule="auto"/>
        <w:ind w:right="49" w:firstLine="708"/>
        <w:jc w:val="both"/>
        <w:rPr>
          <w:rFonts w:ascii="Arial" w:hAnsi="Arial" w:cs="Arial"/>
          <w:bCs/>
          <w:color w:val="000000" w:themeColor="text1"/>
          <w:sz w:val="22"/>
          <w:szCs w:val="22"/>
          <w:lang w:val="es-MX" w:eastAsia="x-none"/>
        </w:rPr>
      </w:pPr>
      <w:r w:rsidRPr="005873AF">
        <w:rPr>
          <w:rFonts w:ascii="Arial" w:hAnsi="Arial" w:cs="Arial"/>
          <w:bCs/>
          <w:color w:val="000000" w:themeColor="text1"/>
          <w:sz w:val="22"/>
          <w:szCs w:val="22"/>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Pr="005873AF">
        <w:rPr>
          <w:rStyle w:val="Refdenotaalpie"/>
          <w:rFonts w:ascii="Arial" w:hAnsi="Arial" w:cs="Arial"/>
          <w:bCs/>
          <w:color w:val="000000" w:themeColor="text1"/>
          <w:sz w:val="22"/>
          <w:szCs w:val="22"/>
          <w:lang w:val="es-MX" w:eastAsia="es-CO"/>
        </w:rPr>
        <w:footnoteReference w:id="19"/>
      </w:r>
      <w:r w:rsidRPr="005873AF">
        <w:rPr>
          <w:rFonts w:ascii="Arial" w:hAnsi="Arial" w:cs="Arial"/>
          <w:bCs/>
          <w:color w:val="000000" w:themeColor="text1"/>
          <w:sz w:val="22"/>
          <w:szCs w:val="22"/>
          <w:lang w:val="es-MX" w:eastAsia="es-CO"/>
        </w:rPr>
        <w:t>. Además, también es posible que contratos celebrados previamente se continúen ejecutando.</w:t>
      </w:r>
    </w:p>
    <w:p w14:paraId="7F7CF50C" w14:textId="77777777" w:rsidR="00A31B74" w:rsidRPr="005873AF" w:rsidRDefault="00A31B74" w:rsidP="00A31B74">
      <w:pPr>
        <w:spacing w:line="276" w:lineRule="auto"/>
        <w:ind w:firstLine="708"/>
        <w:jc w:val="both"/>
        <w:rPr>
          <w:rFonts w:ascii="Arial" w:eastAsia="Arial" w:hAnsi="Arial" w:cs="Arial"/>
          <w:color w:val="000000" w:themeColor="text1"/>
          <w:sz w:val="22"/>
          <w:szCs w:val="22"/>
        </w:rPr>
      </w:pPr>
      <w:r w:rsidRPr="005873AF">
        <w:rPr>
          <w:rFonts w:ascii="Arial" w:eastAsia="Arial" w:hAnsi="Arial" w:cs="Arial"/>
          <w:color w:val="000000" w:themeColor="text1"/>
          <w:sz w:val="22"/>
          <w:szCs w:val="22"/>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77D1CEAF" w14:textId="77777777" w:rsidR="00A31B74" w:rsidRPr="005873AF" w:rsidRDefault="00A31B74" w:rsidP="00A31B74">
      <w:pPr>
        <w:spacing w:before="120" w:line="276" w:lineRule="auto"/>
        <w:ind w:firstLine="709"/>
        <w:jc w:val="both"/>
        <w:rPr>
          <w:rFonts w:ascii="Arial" w:eastAsia="Arial" w:hAnsi="Arial" w:cs="Arial"/>
          <w:color w:val="000000" w:themeColor="text1"/>
          <w:sz w:val="22"/>
          <w:szCs w:val="22"/>
        </w:rPr>
      </w:pPr>
      <w:r w:rsidRPr="005873AF">
        <w:rPr>
          <w:rFonts w:ascii="Arial" w:eastAsia="Arial" w:hAnsi="Arial" w:cs="Arial"/>
          <w:color w:val="000000" w:themeColor="text1"/>
          <w:sz w:val="22"/>
          <w:szCs w:val="22"/>
        </w:rPr>
        <w:t>En esta labor es importante tener en cuenta, como lo anotó la Corte Constitucional, en Sentencia C-1153 de noviembre 11 de 2005</w:t>
      </w:r>
      <w:r w:rsidRPr="005873AF">
        <w:rPr>
          <w:color w:val="000000" w:themeColor="text1"/>
          <w:vertAlign w:val="superscript"/>
        </w:rPr>
        <w:t>,</w:t>
      </w:r>
      <w:r w:rsidRPr="005873AF">
        <w:rPr>
          <w:rFonts w:ascii="Arial" w:eastAsia="Arial" w:hAnsi="Arial" w:cs="Arial"/>
          <w:color w:val="000000" w:themeColor="text1"/>
          <w:sz w:val="22"/>
          <w:szCs w:val="22"/>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5873AF">
        <w:rPr>
          <w:rFonts w:ascii="Arial" w:eastAsia="Arial" w:hAnsi="Arial" w:cs="Arial"/>
          <w:color w:val="000000" w:themeColor="text1"/>
          <w:sz w:val="22"/>
          <w:szCs w:val="22"/>
          <w:vertAlign w:val="superscript"/>
        </w:rPr>
        <w:footnoteReference w:id="20"/>
      </w:r>
      <w:r w:rsidRPr="005873AF">
        <w:rPr>
          <w:rFonts w:ascii="Arial" w:eastAsia="Arial" w:hAnsi="Arial" w:cs="Arial"/>
          <w:color w:val="000000" w:themeColor="text1"/>
          <w:sz w:val="22"/>
          <w:szCs w:val="22"/>
        </w:rPr>
        <w:t>. 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5416547E" w14:textId="2A460960" w:rsidR="00A31B74" w:rsidRPr="00F05449" w:rsidRDefault="00A31B74" w:rsidP="00F05449">
      <w:pPr>
        <w:spacing w:before="120" w:line="276" w:lineRule="auto"/>
        <w:ind w:firstLine="709"/>
        <w:jc w:val="both"/>
        <w:rPr>
          <w:rFonts w:ascii="Arial" w:eastAsia="Arial" w:hAnsi="Arial" w:cs="Arial"/>
          <w:color w:val="000000" w:themeColor="text1"/>
          <w:sz w:val="22"/>
          <w:szCs w:val="22"/>
        </w:rPr>
      </w:pPr>
      <w:r w:rsidRPr="005873AF">
        <w:rPr>
          <w:rFonts w:ascii="Arial" w:eastAsia="Arial" w:hAnsi="Arial" w:cs="Arial"/>
          <w:color w:val="000000" w:themeColor="text1"/>
          <w:sz w:val="22"/>
          <w:szCs w:val="22"/>
        </w:rPr>
        <w:t xml:space="preserve">Como se puede apreciar, el inciso segundo del artículo 33 dispone de dos (2) grandes grupos de excepciones a la prohibición de contratar directamente en la época preelectoral. </w:t>
      </w:r>
      <w:r w:rsidRPr="005873AF">
        <w:rPr>
          <w:rFonts w:ascii="Arial" w:eastAsia="Arial" w:hAnsi="Arial" w:cs="Arial"/>
          <w:i/>
          <w:iCs/>
          <w:color w:val="000000" w:themeColor="text1"/>
          <w:sz w:val="22"/>
          <w:szCs w:val="22"/>
        </w:rPr>
        <w:t>Por un lado</w:t>
      </w:r>
      <w:r w:rsidRPr="005873AF">
        <w:rPr>
          <w:rFonts w:ascii="Arial" w:eastAsia="Arial" w:hAnsi="Arial" w:cs="Arial"/>
          <w:color w:val="000000" w:themeColor="text1"/>
          <w:sz w:val="22"/>
          <w:szCs w:val="22"/>
        </w:rPr>
        <w:t xml:space="preserve">, las que atienden el ejercicio de cierta función o la atención de determinada actividad particular y sin importar la calidad del ente que la cumpla o desarrolle. </w:t>
      </w:r>
      <w:r w:rsidRPr="005873AF">
        <w:rPr>
          <w:rFonts w:ascii="Arial" w:eastAsia="Arial" w:hAnsi="Arial" w:cs="Arial"/>
          <w:i/>
          <w:iCs/>
          <w:color w:val="000000" w:themeColor="text1"/>
          <w:sz w:val="22"/>
          <w:szCs w:val="22"/>
        </w:rPr>
        <w:t>Por otra parte</w:t>
      </w:r>
      <w:r w:rsidRPr="005873AF">
        <w:rPr>
          <w:rFonts w:ascii="Arial" w:eastAsia="Arial" w:hAnsi="Arial" w:cs="Arial"/>
          <w:color w:val="000000" w:themeColor="text1"/>
          <w:sz w:val="22"/>
          <w:szCs w:val="22"/>
        </w:rPr>
        <w:t>, las que aluden a las entidades sanitarias y hospitalarias acudiendo a un criterio eminentemente subjetivo –u orgánico–, pese a que no limita la excepción a un tipo de entidad en particular, sino que ata su aplicación a la naturaleza del respectivo ente.</w:t>
      </w:r>
      <w:r>
        <w:rPr>
          <w:rFonts w:ascii="Arial" w:eastAsia="Arial" w:hAnsi="Arial" w:cs="Arial"/>
          <w:color w:val="000000" w:themeColor="text1"/>
          <w:sz w:val="22"/>
          <w:szCs w:val="22"/>
        </w:rPr>
        <w:t xml:space="preserve"> m</w:t>
      </w:r>
      <w:r w:rsidRPr="005873AF">
        <w:rPr>
          <w:rFonts w:ascii="Arial" w:eastAsia="Arial" w:hAnsi="Arial" w:cs="Arial"/>
          <w:color w:val="000000" w:themeColor="text1"/>
          <w:sz w:val="22"/>
          <w:szCs w:val="22"/>
        </w:rPr>
        <w:t>Así, para determinar si la contratación de una entidad pública está exceptuada de la prohibición general para la contratación directa, el intérprete deberá analizar el caso concreto para establecer si se trata de una actividad de las descritas en la norma o que se trate de los que deban realizar las entidades sanitarias u hospitalarias.</w:t>
      </w:r>
    </w:p>
    <w:p w14:paraId="385B0C51" w14:textId="1D7C9E49" w:rsidR="00184443" w:rsidRDefault="00184443" w:rsidP="00184443">
      <w:pPr>
        <w:spacing w:line="276" w:lineRule="auto"/>
        <w:ind w:firstLine="708"/>
        <w:jc w:val="both"/>
        <w:rPr>
          <w:rFonts w:ascii="Arial" w:hAnsi="Arial" w:cs="Arial"/>
          <w:bCs/>
          <w:sz w:val="22"/>
          <w:lang w:eastAsia="es-CO"/>
        </w:rPr>
      </w:pPr>
    </w:p>
    <w:p w14:paraId="5ACB0940" w14:textId="4603E1A1" w:rsidR="004500E8" w:rsidRPr="005873AF" w:rsidRDefault="004500E8" w:rsidP="004500E8">
      <w:pPr>
        <w:spacing w:line="276" w:lineRule="auto"/>
        <w:ind w:right="49"/>
        <w:jc w:val="both"/>
        <w:rPr>
          <w:rFonts w:ascii="Arial" w:hAnsi="Arial" w:cs="Arial"/>
          <w:b/>
          <w:color w:val="000000" w:themeColor="text1"/>
          <w:sz w:val="22"/>
          <w:szCs w:val="22"/>
          <w:lang w:val="es-MX" w:eastAsia="x-none"/>
        </w:rPr>
      </w:pPr>
      <w:r w:rsidRPr="005873AF">
        <w:rPr>
          <w:rFonts w:ascii="Arial" w:hAnsi="Arial" w:cs="Arial"/>
          <w:b/>
          <w:color w:val="000000" w:themeColor="text1"/>
          <w:sz w:val="22"/>
          <w:szCs w:val="22"/>
          <w:lang w:val="es-MX" w:eastAsia="x-none"/>
        </w:rPr>
        <w:t>2.</w:t>
      </w:r>
      <w:r w:rsidR="00FC55CB">
        <w:rPr>
          <w:rFonts w:ascii="Arial" w:hAnsi="Arial" w:cs="Arial"/>
          <w:b/>
          <w:color w:val="000000" w:themeColor="text1"/>
          <w:sz w:val="22"/>
          <w:szCs w:val="22"/>
          <w:lang w:val="es-MX" w:eastAsia="x-none"/>
        </w:rPr>
        <w:t>3</w:t>
      </w:r>
      <w:r w:rsidRPr="005873AF">
        <w:rPr>
          <w:rFonts w:ascii="Arial" w:hAnsi="Arial" w:cs="Arial"/>
          <w:b/>
          <w:color w:val="000000" w:themeColor="text1"/>
          <w:sz w:val="22"/>
          <w:szCs w:val="22"/>
          <w:lang w:val="es-MX" w:eastAsia="x-none"/>
        </w:rPr>
        <w:t>. Destinatarios de la restricción del artículo 33 de la Ley 996 de 2005</w:t>
      </w:r>
      <w:r w:rsidR="006359EC" w:rsidRPr="005873AF">
        <w:rPr>
          <w:rFonts w:ascii="Arial" w:hAnsi="Arial" w:cs="Arial"/>
          <w:b/>
          <w:color w:val="000000" w:themeColor="text1"/>
          <w:sz w:val="22"/>
          <w:szCs w:val="22"/>
          <w:lang w:val="es-MX" w:eastAsia="x-none"/>
        </w:rPr>
        <w:t xml:space="preserve"> y las excepciones a la prohibición</w:t>
      </w:r>
    </w:p>
    <w:p w14:paraId="2EFAEC26" w14:textId="6B423429" w:rsidR="00A210E6" w:rsidRDefault="00A210E6" w:rsidP="004500E8">
      <w:pPr>
        <w:spacing w:line="276" w:lineRule="auto"/>
        <w:ind w:right="49"/>
        <w:jc w:val="both"/>
        <w:rPr>
          <w:rFonts w:ascii="Arial" w:eastAsia="Arial" w:hAnsi="Arial" w:cs="Arial"/>
          <w:color w:val="000000" w:themeColor="text1"/>
          <w:sz w:val="22"/>
          <w:szCs w:val="22"/>
        </w:rPr>
      </w:pPr>
    </w:p>
    <w:p w14:paraId="3875738F" w14:textId="77777777" w:rsidR="00A210E6" w:rsidRPr="005873AF" w:rsidRDefault="00A210E6" w:rsidP="00A210E6">
      <w:pPr>
        <w:spacing w:line="276" w:lineRule="auto"/>
        <w:jc w:val="both"/>
        <w:rPr>
          <w:rFonts w:ascii="Arial" w:eastAsia="Arial" w:hAnsi="Arial" w:cs="Arial"/>
          <w:color w:val="000000" w:themeColor="text1"/>
          <w:sz w:val="22"/>
          <w:szCs w:val="22"/>
        </w:rPr>
      </w:pPr>
      <w:bookmarkStart w:id="39" w:name="_Hlk100579004"/>
      <w:r w:rsidRPr="005873AF">
        <w:rPr>
          <w:rFonts w:ascii="Arial" w:eastAsia="Arial" w:hAnsi="Arial" w:cs="Arial"/>
          <w:color w:val="000000" w:themeColor="text1"/>
          <w:sz w:val="22"/>
          <w:szCs w:val="22"/>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5873AF">
        <w:rPr>
          <w:color w:val="000000" w:themeColor="text1"/>
        </w:rPr>
        <w:t xml:space="preserve"> </w:t>
      </w:r>
      <w:r w:rsidRPr="005873AF">
        <w:rPr>
          <w:rFonts w:ascii="Arial" w:eastAsia="Arial" w:hAnsi="Arial" w:cs="Arial"/>
          <w:color w:val="000000" w:themeColor="text1"/>
          <w:sz w:val="22"/>
          <w:szCs w:val="22"/>
        </w:rPr>
        <w:t>En efecto, tal como lo ha sostenido el Consejo de Estado, el vocablo «todos» utilizado por el legislador comprende</w:t>
      </w:r>
      <w:r w:rsidRPr="005873AF">
        <w:rPr>
          <w:color w:val="000000" w:themeColor="text1"/>
        </w:rPr>
        <w:t xml:space="preserve"> </w:t>
      </w:r>
      <w:r w:rsidRPr="005873AF">
        <w:rPr>
          <w:rFonts w:ascii="Arial" w:eastAsia="Arial" w:hAnsi="Arial" w:cs="Arial"/>
          <w:color w:val="000000" w:themeColor="text1"/>
          <w:sz w:val="22"/>
          <w:szCs w:val="22"/>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bookmarkEnd w:id="39"/>
      <w:r w:rsidRPr="005873AF">
        <w:rPr>
          <w:rFonts w:ascii="Arial" w:eastAsia="Arial" w:hAnsi="Arial" w:cs="Arial"/>
          <w:color w:val="000000" w:themeColor="text1"/>
          <w:sz w:val="22"/>
          <w:szCs w:val="22"/>
        </w:rPr>
        <w:t xml:space="preserve"> La Sala de Consulta y Servicio Civil del Consejo de Estado, en Concepto 1727 de fecha 20 de febrero de 2006, consideró que:</w:t>
      </w:r>
    </w:p>
    <w:p w14:paraId="0CDF0FB1" w14:textId="77777777" w:rsidR="00A210E6" w:rsidRPr="005873AF" w:rsidRDefault="00A210E6" w:rsidP="00A210E6">
      <w:pPr>
        <w:spacing w:line="276" w:lineRule="auto"/>
        <w:jc w:val="both"/>
        <w:rPr>
          <w:rFonts w:ascii="Arial" w:eastAsia="Arial" w:hAnsi="Arial" w:cs="Arial"/>
          <w:color w:val="000000" w:themeColor="text1"/>
          <w:sz w:val="22"/>
          <w:szCs w:val="22"/>
        </w:rPr>
      </w:pPr>
    </w:p>
    <w:p w14:paraId="6469AB80" w14:textId="77777777" w:rsidR="00A210E6" w:rsidRPr="005873AF" w:rsidRDefault="00A210E6" w:rsidP="00A210E6">
      <w:pPr>
        <w:ind w:left="709" w:right="709"/>
        <w:jc w:val="both"/>
        <w:rPr>
          <w:color w:val="000000" w:themeColor="text1"/>
        </w:rPr>
      </w:pPr>
      <w:r w:rsidRPr="005873AF">
        <w:rPr>
          <w:rFonts w:ascii="Arial" w:eastAsia="Arial" w:hAnsi="Arial" w:cs="Arial"/>
          <w:color w:val="000000" w:themeColor="text1"/>
          <w:sz w:val="21"/>
          <w:szCs w:val="21"/>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5873AF">
        <w:rPr>
          <w:rFonts w:ascii="Arial" w:eastAsia="Arial" w:hAnsi="Arial" w:cs="Arial"/>
          <w:color w:val="000000" w:themeColor="text1"/>
          <w:sz w:val="21"/>
          <w:szCs w:val="21"/>
          <w:vertAlign w:val="superscript"/>
        </w:rPr>
        <w:footnoteReference w:id="21"/>
      </w:r>
      <w:r w:rsidRPr="005873AF">
        <w:rPr>
          <w:rFonts w:ascii="Arial" w:eastAsia="Arial" w:hAnsi="Arial" w:cs="Arial"/>
          <w:color w:val="000000" w:themeColor="text1"/>
          <w:sz w:val="21"/>
          <w:szCs w:val="21"/>
        </w:rPr>
        <w:t xml:space="preserve">. </w:t>
      </w:r>
    </w:p>
    <w:p w14:paraId="44E5422A" w14:textId="77777777" w:rsidR="00A210E6" w:rsidRPr="005873AF" w:rsidRDefault="00A210E6" w:rsidP="00A210E6">
      <w:pPr>
        <w:spacing w:line="276" w:lineRule="auto"/>
        <w:jc w:val="both"/>
        <w:rPr>
          <w:rFonts w:ascii="Arial" w:eastAsia="Arial" w:hAnsi="Arial" w:cs="Arial"/>
          <w:color w:val="000000" w:themeColor="text1"/>
          <w:sz w:val="22"/>
          <w:szCs w:val="22"/>
        </w:rPr>
      </w:pPr>
    </w:p>
    <w:p w14:paraId="2A2817FB" w14:textId="77777777" w:rsidR="00A210E6" w:rsidRPr="005873AF" w:rsidRDefault="00A210E6" w:rsidP="00A210E6">
      <w:pPr>
        <w:spacing w:line="276" w:lineRule="auto"/>
        <w:ind w:firstLine="709"/>
        <w:jc w:val="both"/>
        <w:rPr>
          <w:rFonts w:ascii="Arial" w:eastAsia="Arial" w:hAnsi="Arial" w:cs="Arial"/>
          <w:bCs/>
          <w:color w:val="000000" w:themeColor="text1"/>
          <w:sz w:val="22"/>
          <w:szCs w:val="22"/>
        </w:rPr>
      </w:pPr>
      <w:r w:rsidRPr="005873AF">
        <w:rPr>
          <w:rFonts w:ascii="Arial" w:eastAsia="Arial" w:hAnsi="Arial" w:cs="Arial"/>
          <w:color w:val="000000" w:themeColor="text1"/>
          <w:sz w:val="22"/>
          <w:szCs w:val="22"/>
        </w:rPr>
        <w:t>Por lo tanto, 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 o normas especiales.</w:t>
      </w:r>
    </w:p>
    <w:p w14:paraId="5F2CC00A" w14:textId="77777777" w:rsidR="00A210E6" w:rsidRPr="005873AF" w:rsidRDefault="00A210E6" w:rsidP="00A210E6">
      <w:pPr>
        <w:spacing w:before="120" w:line="276" w:lineRule="auto"/>
        <w:ind w:firstLine="709"/>
        <w:jc w:val="both"/>
        <w:rPr>
          <w:rFonts w:ascii="Arial" w:hAnsi="Arial" w:cs="Arial"/>
          <w:bCs/>
          <w:color w:val="000000" w:themeColor="text1"/>
          <w:sz w:val="22"/>
          <w:lang w:val="es-ES_tradnl"/>
        </w:rPr>
      </w:pPr>
      <w:r w:rsidRPr="005873AF">
        <w:rPr>
          <w:rFonts w:ascii="Arial" w:eastAsia="Arial" w:hAnsi="Arial" w:cs="Arial"/>
          <w:bCs/>
          <w:color w:val="000000" w:themeColor="text1"/>
          <w:sz w:val="22"/>
          <w:szCs w:val="22"/>
        </w:rPr>
        <w:t xml:space="preserve">En este punto, debe tenerse en cuenta que, en principio, todos los entes del Estado están cobijados por la prohibición para contratar directamente establecida en el artículo 33 de la Ley de Garantías Electorales. Sin embargo, es importante reiterar que </w:t>
      </w:r>
      <w:r w:rsidRPr="005873AF">
        <w:rPr>
          <w:rFonts w:ascii="Arial" w:hAnsi="Arial" w:cs="Arial"/>
          <w:bCs/>
          <w:color w:val="000000" w:themeColor="text1"/>
          <w:sz w:val="22"/>
          <w:lang w:val="es-ES_tradnl"/>
        </w:rPr>
        <w:t>el segundo inciso de la misma disposición consagró las excepciones aplicables a la prohibición de contratación directa establecida en el mismo artículo. Como se indicó, las excepciones a la prohibición del artículo 33 de la norma mencionada son las siguientes:</w:t>
      </w:r>
    </w:p>
    <w:p w14:paraId="52D020E4" w14:textId="77777777" w:rsidR="00A210E6" w:rsidRPr="005873AF" w:rsidRDefault="00A210E6" w:rsidP="00A210E6">
      <w:pPr>
        <w:tabs>
          <w:tab w:val="left" w:pos="709"/>
        </w:tabs>
        <w:spacing w:before="120" w:line="276" w:lineRule="auto"/>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ab/>
        <w:t>i) La contratación referente a la defensa y seguridad del Estado;</w:t>
      </w:r>
    </w:p>
    <w:p w14:paraId="158A9BD4" w14:textId="77777777" w:rsidR="00A210E6" w:rsidRPr="005873AF" w:rsidRDefault="00A210E6" w:rsidP="00A210E6">
      <w:pPr>
        <w:tabs>
          <w:tab w:val="left" w:pos="709"/>
        </w:tabs>
        <w:spacing w:before="120" w:line="276" w:lineRule="auto"/>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ab/>
        <w:t>ii) Los contratos de crédito público;</w:t>
      </w:r>
    </w:p>
    <w:p w14:paraId="0188D50F" w14:textId="77777777" w:rsidR="00A210E6" w:rsidRPr="005873AF" w:rsidRDefault="00A210E6" w:rsidP="00A210E6">
      <w:pPr>
        <w:tabs>
          <w:tab w:val="left" w:pos="709"/>
        </w:tabs>
        <w:spacing w:before="120" w:line="276" w:lineRule="auto"/>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ab/>
        <w:t xml:space="preserve">iii) Los contratos requeridos para cubrir las emergencias educativas, sanitarias y desastres; </w:t>
      </w:r>
    </w:p>
    <w:p w14:paraId="79624709" w14:textId="77777777" w:rsidR="00A210E6" w:rsidRPr="005873AF" w:rsidRDefault="00A210E6" w:rsidP="00A210E6">
      <w:pPr>
        <w:tabs>
          <w:tab w:val="left" w:pos="709"/>
        </w:tabs>
        <w:spacing w:before="120" w:line="276" w:lineRule="auto"/>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ab/>
        <w:t>iv) La contratación para la reconstrucción de vías, puentes, carreteras, infraestructura energética y de comunicaciones, en caso de que hayan sido objeto de atentados, acciones terroristas, desastres naturales o casos de fuerza mayor y;</w:t>
      </w:r>
    </w:p>
    <w:p w14:paraId="4A4C1304" w14:textId="77777777" w:rsidR="00A210E6" w:rsidRPr="005873AF" w:rsidRDefault="00A210E6" w:rsidP="00A210E6">
      <w:pPr>
        <w:tabs>
          <w:tab w:val="left" w:pos="709"/>
        </w:tabs>
        <w:spacing w:before="120" w:line="276" w:lineRule="auto"/>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ab/>
        <w:t xml:space="preserve">v) La contratación que deban realizar las entidades sanitarias y hospitalarias. </w:t>
      </w:r>
    </w:p>
    <w:p w14:paraId="6382514D" w14:textId="77777777" w:rsidR="00A210E6" w:rsidRPr="005873AF" w:rsidRDefault="00A210E6" w:rsidP="00A210E6">
      <w:pPr>
        <w:tabs>
          <w:tab w:val="left" w:pos="426"/>
        </w:tabs>
        <w:spacing w:before="120" w:line="276" w:lineRule="auto"/>
        <w:ind w:firstLine="709"/>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 xml:space="preserve">La Sala de Consulta y Servicio Civil del Consejo de Estado, en concepto del 4 de febrero de 2010, se pronunció frente a las razones por las que el legislador consagró excepciones al artículo 33 de la Ley de Garantías Electorales: </w:t>
      </w:r>
    </w:p>
    <w:p w14:paraId="1975D071" w14:textId="77777777" w:rsidR="00A210E6" w:rsidRPr="005873AF" w:rsidRDefault="00A210E6" w:rsidP="00A210E6">
      <w:pPr>
        <w:tabs>
          <w:tab w:val="left" w:pos="426"/>
        </w:tabs>
        <w:ind w:firstLine="709"/>
        <w:jc w:val="both"/>
        <w:rPr>
          <w:rFonts w:ascii="Arial" w:hAnsi="Arial" w:cs="Arial"/>
          <w:bCs/>
          <w:color w:val="000000" w:themeColor="text1"/>
          <w:sz w:val="22"/>
          <w:lang w:val="es-ES_tradnl"/>
        </w:rPr>
      </w:pPr>
    </w:p>
    <w:p w14:paraId="57CA2DE1" w14:textId="77777777" w:rsidR="00A210E6" w:rsidRPr="005873AF" w:rsidRDefault="00A210E6" w:rsidP="00A210E6">
      <w:pPr>
        <w:shd w:val="clear" w:color="auto" w:fill="FFFFFF"/>
        <w:ind w:left="709" w:right="709"/>
        <w:jc w:val="both"/>
        <w:rPr>
          <w:rFonts w:ascii="Arial" w:hAnsi="Arial" w:cs="Arial"/>
          <w:color w:val="000000" w:themeColor="text1"/>
          <w:sz w:val="21"/>
          <w:szCs w:val="21"/>
          <w:lang w:val="es-ES_tradnl" w:eastAsia="es-CO"/>
        </w:rPr>
      </w:pPr>
      <w:r w:rsidRPr="005873AF">
        <w:rPr>
          <w:rFonts w:ascii="Arial" w:hAnsi="Arial" w:cs="Arial"/>
          <w:color w:val="000000" w:themeColor="text1"/>
          <w:sz w:val="21"/>
          <w:szCs w:val="21"/>
          <w:lang w:val="es-ES_tradnl" w:eastAsia="es-CO"/>
        </w:rPr>
        <w:t>[…] Las excepciones establecidas en los artículos 32 y 33 en comento, guardan relación, exclusivamente, con algunos servicios públicos que por su naturaleza no admiten postergaciones en la atención de sus necesidades de personal, bienes y servicios [...]</w:t>
      </w:r>
      <w:r w:rsidRPr="005873AF">
        <w:rPr>
          <w:rFonts w:ascii="Arial" w:hAnsi="Arial" w:cs="Arial"/>
          <w:color w:val="000000" w:themeColor="text1"/>
          <w:sz w:val="21"/>
          <w:szCs w:val="21"/>
          <w:vertAlign w:val="superscript"/>
          <w:lang w:val="es-ES_tradnl" w:eastAsia="es-CO"/>
        </w:rPr>
        <w:footnoteReference w:id="22"/>
      </w:r>
      <w:r w:rsidRPr="005873AF">
        <w:rPr>
          <w:rFonts w:ascii="Arial" w:hAnsi="Arial" w:cs="Arial"/>
          <w:color w:val="000000" w:themeColor="text1"/>
          <w:sz w:val="21"/>
          <w:szCs w:val="21"/>
          <w:lang w:val="es-ES_tradnl" w:eastAsia="es-CO"/>
        </w:rPr>
        <w:t xml:space="preserve">. </w:t>
      </w:r>
    </w:p>
    <w:p w14:paraId="024EFEBD" w14:textId="77777777" w:rsidR="00A210E6" w:rsidRPr="005873AF" w:rsidRDefault="00A210E6" w:rsidP="00A210E6">
      <w:pPr>
        <w:shd w:val="clear" w:color="auto" w:fill="FFFFFF"/>
        <w:spacing w:line="276" w:lineRule="auto"/>
        <w:ind w:left="709" w:right="709"/>
        <w:jc w:val="both"/>
        <w:rPr>
          <w:rFonts w:ascii="Arial" w:hAnsi="Arial" w:cs="Arial"/>
          <w:color w:val="000000" w:themeColor="text1"/>
          <w:sz w:val="21"/>
          <w:szCs w:val="21"/>
          <w:lang w:val="es-ES_tradnl" w:eastAsia="es-CO"/>
        </w:rPr>
      </w:pPr>
    </w:p>
    <w:p w14:paraId="2B8F3EA6" w14:textId="77777777" w:rsidR="00A210E6" w:rsidRPr="005873AF" w:rsidRDefault="00A210E6" w:rsidP="00A210E6">
      <w:pPr>
        <w:shd w:val="clear" w:color="auto" w:fill="FFFFFF"/>
        <w:spacing w:line="276" w:lineRule="auto"/>
        <w:ind w:firstLine="709"/>
        <w:jc w:val="both"/>
        <w:rPr>
          <w:rFonts w:ascii="Arial" w:hAnsi="Arial" w:cs="Arial"/>
          <w:color w:val="000000" w:themeColor="text1"/>
          <w:sz w:val="22"/>
          <w:lang w:val="es-ES_tradnl" w:eastAsia="es-CO"/>
        </w:rPr>
      </w:pPr>
      <w:r w:rsidRPr="005873AF">
        <w:rPr>
          <w:rFonts w:ascii="Arial" w:hAnsi="Arial" w:cs="Arial"/>
          <w:color w:val="000000" w:themeColor="text1"/>
          <w:sz w:val="22"/>
          <w:lang w:val="es-ES_tradnl" w:eastAsia="es-CO"/>
        </w:rPr>
        <w:t>A su vez, la Corte Constitucional, al analizar la constitucionalidad de la Ley de Garantías Electorales, consideró que las prohibiciones consagradas en los artículos 32 y 33 de la ley mencionada no pueden ir en detrimento de intereses públicos. Por lo anterior, la Alta Corte consideró que las excepciones para la prohibición de contratación se encontraban justificadas, declarando su exequibilidad. Así, por ejemplo, la Corte Constitucional explicó que «las excepciones de limitación protegen diversos tipos de urgencias de defensa, salud, educación, infraestructura vial y de servicios públicos y ecológicas tienden a no limitar desproporcionadamente la acción del Estado en el cumplimiento de sus fines, en procura de la igualdad entre candidatos como garantía electoral»</w:t>
      </w:r>
      <w:r w:rsidRPr="005873AF">
        <w:rPr>
          <w:rFonts w:ascii="Arial" w:hAnsi="Arial" w:cs="Arial"/>
          <w:color w:val="000000" w:themeColor="text1"/>
          <w:sz w:val="22"/>
          <w:vertAlign w:val="superscript"/>
          <w:lang w:val="es-ES_tradnl" w:eastAsia="es-CO"/>
        </w:rPr>
        <w:footnoteReference w:id="23"/>
      </w:r>
      <w:r w:rsidRPr="005873AF">
        <w:rPr>
          <w:rFonts w:ascii="Arial" w:hAnsi="Arial" w:cs="Arial"/>
          <w:color w:val="000000" w:themeColor="text1"/>
          <w:sz w:val="22"/>
          <w:lang w:val="es-ES_tradnl" w:eastAsia="es-CO"/>
        </w:rPr>
        <w:t xml:space="preserve">. </w:t>
      </w:r>
    </w:p>
    <w:p w14:paraId="316343AB" w14:textId="77777777" w:rsidR="00A210E6" w:rsidRPr="005873AF" w:rsidRDefault="00A210E6" w:rsidP="00A210E6">
      <w:pPr>
        <w:tabs>
          <w:tab w:val="left" w:pos="426"/>
        </w:tabs>
        <w:spacing w:before="120" w:line="276" w:lineRule="auto"/>
        <w:ind w:firstLine="709"/>
        <w:jc w:val="both"/>
        <w:rPr>
          <w:rFonts w:ascii="Arial" w:hAnsi="Arial" w:cs="Arial"/>
          <w:color w:val="000000" w:themeColor="text1"/>
          <w:sz w:val="22"/>
          <w:lang w:val="es-ES_tradnl"/>
        </w:rPr>
      </w:pPr>
      <w:r w:rsidRPr="005873AF">
        <w:rPr>
          <w:rFonts w:ascii="Arial" w:hAnsi="Arial" w:cs="Arial"/>
          <w:bCs/>
          <w:color w:val="000000" w:themeColor="text1"/>
          <w:sz w:val="22"/>
          <w:lang w:val="es-ES_tradnl"/>
        </w:rPr>
        <w:t>Por tanto, las excepciones a la prohibición contenida en el inciso segundo de artículo 33 de la ley de garantías electorales tienen por finalidad garantizar la realización ininterrumpida de ciertas actividades que, dada su importancia en el orden interno, se verían irrazonablemente afectados por la restricción. De igual forma, la Sala de Consulta y Servicio Civil del Consejo de Estado, en concepto del 2 de septiembre de 2013</w:t>
      </w:r>
      <w:r w:rsidRPr="005873AF">
        <w:rPr>
          <w:rFonts w:ascii="Arial" w:hAnsi="Arial" w:cs="Arial"/>
          <w:color w:val="000000" w:themeColor="text1"/>
          <w:sz w:val="22"/>
          <w:lang w:val="es-ES_tradnl"/>
        </w:rPr>
        <w:t xml:space="preserve">, mencionó las excepciones a la prohibición del artículo 33 de la Ley de Garantías Electorales, resaltando el carácter taxativo de la regla de excepción referida, y señalando la independencia de los supuestos establecidos allí, así: </w:t>
      </w:r>
    </w:p>
    <w:p w14:paraId="4827CE0A" w14:textId="77777777" w:rsidR="00A210E6" w:rsidRPr="005873AF" w:rsidRDefault="00A210E6" w:rsidP="00A210E6">
      <w:pPr>
        <w:tabs>
          <w:tab w:val="left" w:pos="426"/>
        </w:tabs>
        <w:spacing w:line="276" w:lineRule="auto"/>
        <w:ind w:firstLine="709"/>
        <w:jc w:val="both"/>
        <w:rPr>
          <w:rFonts w:ascii="Arial" w:hAnsi="Arial" w:cs="Arial"/>
          <w:bCs/>
          <w:color w:val="000000" w:themeColor="text1"/>
          <w:sz w:val="22"/>
          <w:lang w:val="es-ES_tradnl"/>
        </w:rPr>
      </w:pPr>
    </w:p>
    <w:p w14:paraId="3A182415" w14:textId="77777777" w:rsidR="00A210E6" w:rsidRPr="005873AF" w:rsidRDefault="00A210E6" w:rsidP="00A210E6">
      <w:pPr>
        <w:tabs>
          <w:tab w:val="left" w:pos="426"/>
        </w:tabs>
        <w:ind w:right="709"/>
        <w:jc w:val="both"/>
        <w:rPr>
          <w:rFonts w:ascii="Arial" w:hAnsi="Arial" w:cs="Arial"/>
          <w:color w:val="000000" w:themeColor="text1"/>
          <w:sz w:val="21"/>
          <w:szCs w:val="21"/>
          <w:lang w:val="es-ES_tradnl"/>
        </w:rPr>
      </w:pPr>
      <w:r w:rsidRPr="005873AF">
        <w:rPr>
          <w:rFonts w:ascii="Arial" w:hAnsi="Arial" w:cs="Arial"/>
          <w:color w:val="000000" w:themeColor="text1"/>
          <w:sz w:val="21"/>
          <w:szCs w:val="21"/>
          <w:lang w:val="es-ES_tradnl"/>
        </w:rPr>
        <w:tab/>
      </w:r>
      <w:r w:rsidRPr="005873AF">
        <w:rPr>
          <w:rFonts w:ascii="Arial" w:hAnsi="Arial" w:cs="Arial"/>
          <w:color w:val="000000" w:themeColor="text1"/>
          <w:sz w:val="21"/>
          <w:szCs w:val="21"/>
          <w:lang w:val="es-ES_tradnl"/>
        </w:rPr>
        <w:tab/>
        <w:t>[…]</w:t>
      </w:r>
    </w:p>
    <w:p w14:paraId="4B2D1A49" w14:textId="77777777" w:rsidR="00A210E6" w:rsidRPr="005873AF" w:rsidRDefault="00A210E6" w:rsidP="00A210E6">
      <w:pPr>
        <w:ind w:left="709" w:right="709"/>
        <w:jc w:val="both"/>
        <w:rPr>
          <w:rFonts w:ascii="Arial" w:hAnsi="Arial" w:cs="Arial"/>
          <w:i/>
          <w:color w:val="000000" w:themeColor="text1"/>
          <w:sz w:val="21"/>
          <w:szCs w:val="21"/>
          <w:lang w:val="es-ES_tradnl"/>
        </w:rPr>
      </w:pPr>
      <w:r w:rsidRPr="005873AF">
        <w:rPr>
          <w:rFonts w:ascii="Arial" w:hAnsi="Arial" w:cs="Arial"/>
          <w:i/>
          <w:color w:val="000000" w:themeColor="text1"/>
          <w:sz w:val="21"/>
          <w:szCs w:val="21"/>
          <w:lang w:val="es-ES_tradnl"/>
        </w:rPr>
        <w:t>Las excepciones aplicables a la restricción de contratación pública</w:t>
      </w:r>
    </w:p>
    <w:p w14:paraId="1C564880" w14:textId="77777777" w:rsidR="00A210E6" w:rsidRPr="005873AF" w:rsidRDefault="00A210E6" w:rsidP="00A210E6">
      <w:pPr>
        <w:ind w:left="709" w:right="709"/>
        <w:jc w:val="both"/>
        <w:rPr>
          <w:rFonts w:ascii="Arial" w:hAnsi="Arial" w:cs="Arial"/>
          <w:color w:val="000000" w:themeColor="text1"/>
          <w:sz w:val="21"/>
          <w:szCs w:val="21"/>
          <w:shd w:val="clear" w:color="auto" w:fill="FFFFFF"/>
          <w:lang w:val="es-ES_tradnl"/>
        </w:rPr>
      </w:pPr>
      <w:r w:rsidRPr="005873AF">
        <w:rPr>
          <w:rFonts w:ascii="Arial" w:hAnsi="Arial" w:cs="Arial"/>
          <w:color w:val="000000" w:themeColor="text1"/>
          <w:sz w:val="21"/>
          <w:szCs w:val="21"/>
          <w:shd w:val="clear" w:color="auto" w:fill="FFFFFF"/>
          <w:lang w:val="es-ES_tradnl"/>
        </w:rPr>
        <w:t>Ahora bien, las únicas excepciones a las disposiciones previstas en la Ley de Garantías se encuentran numeradas taxativamente en el último inciso del artículo 33 de la ley 996 de 2005, dentro de las que se encuentran:</w:t>
      </w:r>
    </w:p>
    <w:p w14:paraId="35281225" w14:textId="77777777" w:rsidR="00A210E6" w:rsidRPr="005873AF" w:rsidRDefault="00A210E6" w:rsidP="00A210E6">
      <w:pPr>
        <w:ind w:left="709" w:right="709"/>
        <w:jc w:val="both"/>
        <w:rPr>
          <w:rFonts w:ascii="Arial" w:hAnsi="Arial" w:cs="Arial"/>
          <w:color w:val="000000" w:themeColor="text1"/>
          <w:sz w:val="21"/>
          <w:szCs w:val="21"/>
          <w:shd w:val="clear" w:color="auto" w:fill="FFFFFF"/>
          <w:lang w:val="es-ES_tradnl"/>
        </w:rPr>
      </w:pPr>
      <w:bookmarkStart w:id="40" w:name="_Hlk100579790"/>
      <w:r w:rsidRPr="005873AF">
        <w:rPr>
          <w:rFonts w:ascii="Arial" w:hAnsi="Arial" w:cs="Arial"/>
          <w:color w:val="000000" w:themeColor="text1"/>
          <w:sz w:val="21"/>
          <w:szCs w:val="21"/>
          <w:shd w:val="clear" w:color="auto" w:fill="FFFFFF"/>
          <w:lang w:val="es-ES_tradnl"/>
        </w:rPr>
        <w:t>[…]</w:t>
      </w:r>
      <w:bookmarkEnd w:id="40"/>
      <w:r w:rsidRPr="005873AF">
        <w:rPr>
          <w:rFonts w:ascii="Arial" w:hAnsi="Arial" w:cs="Arial"/>
          <w:color w:val="000000" w:themeColor="text1"/>
          <w:sz w:val="21"/>
          <w:szCs w:val="21"/>
          <w:shd w:val="clear" w:color="auto" w:fill="FFFFFF"/>
          <w:lang w:val="es-ES_tradnl"/>
        </w:rPr>
        <w:t xml:space="preserve"> </w:t>
      </w:r>
    </w:p>
    <w:p w14:paraId="5D4CDF65" w14:textId="77777777" w:rsidR="00A210E6" w:rsidRPr="005873AF" w:rsidRDefault="00A210E6" w:rsidP="00A210E6">
      <w:pPr>
        <w:ind w:left="709" w:right="709"/>
        <w:jc w:val="both"/>
        <w:rPr>
          <w:rFonts w:ascii="Arial" w:hAnsi="Arial" w:cs="Arial"/>
          <w:color w:val="000000" w:themeColor="text1"/>
          <w:sz w:val="21"/>
          <w:szCs w:val="21"/>
          <w:shd w:val="clear" w:color="auto" w:fill="FFFFFF"/>
          <w:lang w:val="es-ES_tradnl"/>
        </w:rPr>
      </w:pPr>
      <w:r w:rsidRPr="005873AF">
        <w:rPr>
          <w:rFonts w:ascii="Arial" w:hAnsi="Arial" w:cs="Arial"/>
          <w:color w:val="000000" w:themeColor="text1"/>
          <w:sz w:val="21"/>
          <w:szCs w:val="21"/>
          <w:shd w:val="clear" w:color="auto" w:fill="FFFFFF"/>
          <w:lang w:val="es-ES_tradnl"/>
        </w:rPr>
        <w:t>5. Los que deban realizar las entidades sanitarias y hospitalarias […]</w:t>
      </w:r>
      <w:r w:rsidRPr="005873AF">
        <w:rPr>
          <w:rFonts w:ascii="Arial" w:hAnsi="Arial" w:cs="Arial"/>
          <w:color w:val="000000" w:themeColor="text1"/>
          <w:sz w:val="21"/>
          <w:szCs w:val="21"/>
          <w:shd w:val="clear" w:color="auto" w:fill="FFFFFF"/>
          <w:vertAlign w:val="superscript"/>
          <w:lang w:val="es-ES_tradnl"/>
        </w:rPr>
        <w:footnoteReference w:id="24"/>
      </w:r>
      <w:r w:rsidRPr="005873AF">
        <w:rPr>
          <w:rFonts w:ascii="Arial" w:hAnsi="Arial" w:cs="Arial"/>
          <w:color w:val="000000" w:themeColor="text1"/>
          <w:sz w:val="21"/>
          <w:szCs w:val="21"/>
          <w:shd w:val="clear" w:color="auto" w:fill="FFFFFF"/>
          <w:lang w:val="es-ES_tradnl"/>
        </w:rPr>
        <w:t>.</w:t>
      </w:r>
    </w:p>
    <w:p w14:paraId="69230A3E" w14:textId="77777777" w:rsidR="00A210E6" w:rsidRPr="005873AF" w:rsidRDefault="00A210E6" w:rsidP="00A210E6">
      <w:pPr>
        <w:spacing w:line="276" w:lineRule="auto"/>
        <w:ind w:left="709" w:right="709"/>
        <w:jc w:val="both"/>
        <w:rPr>
          <w:rFonts w:ascii="Arial" w:hAnsi="Arial" w:cs="Arial"/>
          <w:color w:val="000000" w:themeColor="text1"/>
          <w:sz w:val="21"/>
          <w:szCs w:val="21"/>
          <w:shd w:val="clear" w:color="auto" w:fill="FFFFFF"/>
          <w:lang w:val="es-ES_tradnl"/>
        </w:rPr>
      </w:pPr>
    </w:p>
    <w:p w14:paraId="004CE397" w14:textId="3DB79C7C" w:rsidR="00A210E6" w:rsidRDefault="00A210E6" w:rsidP="006B7A7B">
      <w:pPr>
        <w:tabs>
          <w:tab w:val="left" w:pos="426"/>
        </w:tabs>
        <w:spacing w:after="120" w:line="276" w:lineRule="auto"/>
        <w:ind w:firstLine="709"/>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Lo anterior implica que las excepciones al artículo 33 en comento deben interpretarse y aplicarse de manera estricta. En otras palabras, que no sería factible hacer interpretaciones extensivas</w:t>
      </w:r>
      <w:r w:rsidRPr="005873AF">
        <w:rPr>
          <w:rFonts w:ascii="Arial" w:hAnsi="Arial" w:cs="Arial"/>
          <w:bCs/>
          <w:i/>
          <w:iCs/>
          <w:color w:val="000000" w:themeColor="text1"/>
          <w:sz w:val="22"/>
          <w:lang w:val="es-ES_tradnl"/>
        </w:rPr>
        <w:t xml:space="preserve"> </w:t>
      </w:r>
      <w:r w:rsidRPr="005873AF">
        <w:rPr>
          <w:rFonts w:ascii="Arial" w:hAnsi="Arial" w:cs="Arial"/>
          <w:bCs/>
          <w:color w:val="000000" w:themeColor="text1"/>
          <w:sz w:val="22"/>
          <w:lang w:val="es-ES_tradnl"/>
        </w:rPr>
        <w:t xml:space="preserve">para incluir otros supuestos de hecho similares a las circunstancias previstas en dicho artículo, pues el carácter taxativo implica que solo en los eventos consagrados expresamente en la norma permiten que ciertas entidades estatales se vean exceptuadas de la prohibición. </w:t>
      </w:r>
    </w:p>
    <w:p w14:paraId="59F9A83A" w14:textId="4A9EF4CD" w:rsidR="005A5512" w:rsidRDefault="00FC350D" w:rsidP="006B7A7B">
      <w:pPr>
        <w:tabs>
          <w:tab w:val="left" w:pos="426"/>
        </w:tabs>
        <w:spacing w:after="120" w:line="276" w:lineRule="auto"/>
        <w:ind w:firstLine="709"/>
        <w:jc w:val="both"/>
        <w:rPr>
          <w:rFonts w:ascii="Arial" w:hAnsi="Arial" w:cs="Arial"/>
          <w:sz w:val="21"/>
          <w:szCs w:val="21"/>
        </w:rPr>
      </w:pPr>
      <w:r>
        <w:rPr>
          <w:rFonts w:ascii="Arial" w:hAnsi="Arial" w:cs="Arial"/>
          <w:bCs/>
          <w:color w:val="000000" w:themeColor="text1"/>
          <w:sz w:val="22"/>
          <w:lang w:val="es-ES_tradnl"/>
        </w:rPr>
        <w:t xml:space="preserve">Ahora bien, </w:t>
      </w:r>
      <w:r w:rsidR="009D2794">
        <w:rPr>
          <w:rFonts w:ascii="Arial" w:hAnsi="Arial" w:cs="Arial"/>
          <w:bCs/>
          <w:color w:val="000000" w:themeColor="text1"/>
          <w:sz w:val="22"/>
          <w:lang w:val="es-ES_tradnl"/>
        </w:rPr>
        <w:t>su  consulta ind</w:t>
      </w:r>
      <w:r>
        <w:rPr>
          <w:rFonts w:ascii="Arial" w:hAnsi="Arial" w:cs="Arial"/>
          <w:bCs/>
          <w:color w:val="000000" w:themeColor="text1"/>
          <w:sz w:val="22"/>
          <w:lang w:val="es-ES_tradnl"/>
        </w:rPr>
        <w:t xml:space="preserve">aga </w:t>
      </w:r>
      <w:r w:rsidR="00303A20">
        <w:rPr>
          <w:rFonts w:ascii="Arial" w:hAnsi="Arial" w:cs="Arial"/>
          <w:bCs/>
          <w:color w:val="000000" w:themeColor="text1"/>
          <w:sz w:val="22"/>
          <w:lang w:val="es-ES_tradnl"/>
        </w:rPr>
        <w:t>sobre</w:t>
      </w:r>
      <w:r>
        <w:rPr>
          <w:rFonts w:ascii="Arial" w:hAnsi="Arial" w:cs="Arial"/>
          <w:bCs/>
          <w:color w:val="000000" w:themeColor="text1"/>
          <w:sz w:val="22"/>
          <w:lang w:val="es-ES_tradnl"/>
        </w:rPr>
        <w:t xml:space="preserve"> l</w:t>
      </w:r>
      <w:r w:rsidR="009D2794">
        <w:rPr>
          <w:rFonts w:ascii="Arial" w:hAnsi="Arial" w:cs="Arial"/>
          <w:bCs/>
          <w:color w:val="000000" w:themeColor="text1"/>
          <w:sz w:val="22"/>
          <w:lang w:val="es-ES_tradnl"/>
        </w:rPr>
        <w:t>a posibilidad</w:t>
      </w:r>
      <w:r w:rsidR="006C4B54">
        <w:rPr>
          <w:rFonts w:ascii="Arial" w:hAnsi="Arial" w:cs="Arial"/>
          <w:bCs/>
          <w:color w:val="000000" w:themeColor="text1"/>
          <w:sz w:val="22"/>
          <w:lang w:val="es-ES_tradnl"/>
        </w:rPr>
        <w:t xml:space="preserve"> de que una entidad pública </w:t>
      </w:r>
      <w:r w:rsidR="00303A20">
        <w:rPr>
          <w:rFonts w:ascii="Arial" w:hAnsi="Arial" w:cs="Arial"/>
          <w:bCs/>
          <w:color w:val="000000" w:themeColor="text1"/>
          <w:sz w:val="22"/>
          <w:lang w:val="es-ES_tradnl"/>
        </w:rPr>
        <w:t>celebre</w:t>
      </w:r>
      <w:r>
        <w:rPr>
          <w:rFonts w:ascii="Arial" w:hAnsi="Arial" w:cs="Arial"/>
          <w:bCs/>
          <w:color w:val="000000" w:themeColor="text1"/>
          <w:sz w:val="22"/>
          <w:lang w:val="es-ES_tradnl"/>
        </w:rPr>
        <w:t xml:space="preserve"> </w:t>
      </w:r>
      <w:r w:rsidRPr="008118AD">
        <w:rPr>
          <w:rFonts w:ascii="Arial" w:hAnsi="Arial" w:cs="Arial"/>
          <w:sz w:val="21"/>
          <w:szCs w:val="21"/>
        </w:rPr>
        <w:t>«</w:t>
      </w:r>
      <w:r w:rsidRPr="00950024">
        <w:rPr>
          <w:rFonts w:ascii="Arial" w:hAnsi="Arial" w:cs="Arial"/>
          <w:sz w:val="21"/>
          <w:szCs w:val="21"/>
        </w:rPr>
        <w:t>contratos de compraventa de bienes inmuebles en el marco de la ejecución de un contrato de obra</w:t>
      </w:r>
      <w:r w:rsidRPr="006A41C0">
        <w:rPr>
          <w:rFonts w:ascii="Arial" w:hAnsi="Arial" w:cs="Arial"/>
          <w:sz w:val="22"/>
          <w:szCs w:val="22"/>
        </w:rPr>
        <w:t>»</w:t>
      </w:r>
      <w:r w:rsidR="006C4B54">
        <w:rPr>
          <w:rFonts w:ascii="Arial" w:hAnsi="Arial" w:cs="Arial"/>
          <w:sz w:val="22"/>
          <w:szCs w:val="22"/>
        </w:rPr>
        <w:t>, en vigencia de las referidas restr</w:t>
      </w:r>
      <w:r w:rsidR="005E0C08">
        <w:rPr>
          <w:rFonts w:ascii="Arial" w:hAnsi="Arial" w:cs="Arial"/>
          <w:sz w:val="22"/>
          <w:szCs w:val="22"/>
        </w:rPr>
        <w:t>icciones contractuales.</w:t>
      </w:r>
      <w:r w:rsidR="00303A20">
        <w:rPr>
          <w:rFonts w:ascii="Arial" w:hAnsi="Arial" w:cs="Arial"/>
          <w:sz w:val="22"/>
          <w:szCs w:val="22"/>
        </w:rPr>
        <w:t xml:space="preserve"> Sobre el particular</w:t>
      </w:r>
      <w:r w:rsidR="009900A5" w:rsidRPr="006A41C0">
        <w:rPr>
          <w:rFonts w:ascii="Arial" w:hAnsi="Arial" w:cs="Arial"/>
          <w:sz w:val="22"/>
          <w:szCs w:val="22"/>
        </w:rPr>
        <w:t xml:space="preserve"> es</w:t>
      </w:r>
      <w:r w:rsidR="00303A20">
        <w:rPr>
          <w:rFonts w:ascii="Arial" w:hAnsi="Arial" w:cs="Arial"/>
          <w:sz w:val="22"/>
          <w:szCs w:val="22"/>
        </w:rPr>
        <w:t xml:space="preserve"> pertinente traer a colación</w:t>
      </w:r>
      <w:r w:rsidR="009900A5" w:rsidRPr="006A41C0">
        <w:rPr>
          <w:rFonts w:ascii="Arial" w:hAnsi="Arial" w:cs="Arial"/>
          <w:sz w:val="22"/>
          <w:szCs w:val="22"/>
        </w:rPr>
        <w:t xml:space="preserve"> </w:t>
      </w:r>
      <w:bookmarkStart w:id="41" w:name="_Hlk100580877"/>
      <w:r w:rsidR="006E3A32" w:rsidRPr="006A41C0">
        <w:rPr>
          <w:rFonts w:ascii="Arial" w:hAnsi="Arial" w:cs="Arial"/>
          <w:sz w:val="22"/>
          <w:szCs w:val="22"/>
        </w:rPr>
        <w:t>el artículo 2 de la Ley 1150 de 2007</w:t>
      </w:r>
      <w:bookmarkEnd w:id="41"/>
      <w:r w:rsidR="006E3A32" w:rsidRPr="006A41C0">
        <w:rPr>
          <w:rFonts w:ascii="Arial" w:hAnsi="Arial" w:cs="Arial"/>
          <w:sz w:val="22"/>
          <w:szCs w:val="22"/>
        </w:rPr>
        <w:t xml:space="preserve">, </w:t>
      </w:r>
      <w:r w:rsidR="00303A20">
        <w:rPr>
          <w:rFonts w:ascii="Arial" w:hAnsi="Arial" w:cs="Arial"/>
          <w:sz w:val="22"/>
          <w:szCs w:val="22"/>
        </w:rPr>
        <w:t xml:space="preserve">específicamente, </w:t>
      </w:r>
      <w:r w:rsidR="006E3A32" w:rsidRPr="006A41C0">
        <w:rPr>
          <w:rFonts w:ascii="Arial" w:hAnsi="Arial" w:cs="Arial"/>
          <w:sz w:val="22"/>
          <w:szCs w:val="22"/>
        </w:rPr>
        <w:t>el numeral 4 literal i</w:t>
      </w:r>
      <w:r w:rsidR="00AF11D2">
        <w:rPr>
          <w:rFonts w:ascii="Arial" w:hAnsi="Arial" w:cs="Arial"/>
          <w:sz w:val="22"/>
          <w:szCs w:val="22"/>
        </w:rPr>
        <w:t>)</w:t>
      </w:r>
      <w:r w:rsidR="006E3A32" w:rsidRPr="006A41C0">
        <w:rPr>
          <w:rFonts w:ascii="Arial" w:hAnsi="Arial" w:cs="Arial"/>
          <w:sz w:val="22"/>
          <w:szCs w:val="22"/>
        </w:rPr>
        <w:t xml:space="preserve">, el cual </w:t>
      </w:r>
      <w:r w:rsidR="00AF11D2">
        <w:rPr>
          <w:rFonts w:ascii="Arial" w:hAnsi="Arial" w:cs="Arial"/>
          <w:sz w:val="22"/>
          <w:szCs w:val="22"/>
        </w:rPr>
        <w:t>establece</w:t>
      </w:r>
      <w:r w:rsidR="00027554">
        <w:rPr>
          <w:rFonts w:ascii="Arial" w:hAnsi="Arial" w:cs="Arial"/>
          <w:sz w:val="22"/>
          <w:szCs w:val="22"/>
        </w:rPr>
        <w:t xml:space="preserve"> la contratación directa como la modalidad de escogencia aplicable </w:t>
      </w:r>
      <w:r w:rsidR="00B800EB">
        <w:rPr>
          <w:rFonts w:ascii="Arial" w:hAnsi="Arial" w:cs="Arial"/>
          <w:sz w:val="22"/>
          <w:szCs w:val="22"/>
        </w:rPr>
        <w:t xml:space="preserve">a </w:t>
      </w:r>
      <w:r w:rsidR="00027554">
        <w:rPr>
          <w:rFonts w:ascii="Arial" w:hAnsi="Arial" w:cs="Arial"/>
          <w:sz w:val="21"/>
          <w:szCs w:val="21"/>
        </w:rPr>
        <w:t>«</w:t>
      </w:r>
      <w:r w:rsidR="00B800EB">
        <w:rPr>
          <w:rFonts w:ascii="Arial" w:hAnsi="Arial" w:cs="Arial"/>
          <w:sz w:val="21"/>
          <w:szCs w:val="21"/>
        </w:rPr>
        <w:t xml:space="preserve">El </w:t>
      </w:r>
      <w:r w:rsidR="00F72555" w:rsidRPr="00F72555">
        <w:rPr>
          <w:rFonts w:ascii="Arial" w:hAnsi="Arial" w:cs="Arial"/>
          <w:sz w:val="21"/>
          <w:szCs w:val="21"/>
        </w:rPr>
        <w:t>arrendamiento o adquisición de inmuebles</w:t>
      </w:r>
      <w:r w:rsidR="006E3A32" w:rsidRPr="0089046C">
        <w:rPr>
          <w:rFonts w:ascii="Arial" w:hAnsi="Arial" w:cs="Arial"/>
          <w:sz w:val="22"/>
          <w:szCs w:val="22"/>
        </w:rPr>
        <w:t>»</w:t>
      </w:r>
      <w:r w:rsidR="00B800EB">
        <w:rPr>
          <w:rFonts w:ascii="Arial" w:hAnsi="Arial" w:cs="Arial"/>
          <w:sz w:val="22"/>
          <w:szCs w:val="22"/>
        </w:rPr>
        <w:t>.</w:t>
      </w:r>
      <w:r w:rsidR="00F72555">
        <w:rPr>
          <w:rFonts w:ascii="Arial" w:hAnsi="Arial" w:cs="Arial"/>
          <w:sz w:val="22"/>
          <w:szCs w:val="22"/>
        </w:rPr>
        <w:t xml:space="preserve"> </w:t>
      </w:r>
      <w:r w:rsidR="00932B89">
        <w:rPr>
          <w:rFonts w:ascii="Arial" w:hAnsi="Arial" w:cs="Arial"/>
          <w:sz w:val="22"/>
          <w:szCs w:val="22"/>
        </w:rPr>
        <w:t xml:space="preserve">Esto es </w:t>
      </w:r>
      <w:r w:rsidR="003541AE">
        <w:rPr>
          <w:rFonts w:ascii="Arial" w:hAnsi="Arial" w:cs="Arial"/>
          <w:sz w:val="22"/>
          <w:szCs w:val="22"/>
        </w:rPr>
        <w:t xml:space="preserve">reglamentado </w:t>
      </w:r>
      <w:r w:rsidR="001055EA">
        <w:rPr>
          <w:rFonts w:ascii="Arial" w:hAnsi="Arial" w:cs="Arial"/>
          <w:sz w:val="22"/>
          <w:szCs w:val="22"/>
        </w:rPr>
        <w:t xml:space="preserve">en la </w:t>
      </w:r>
      <w:r w:rsidR="003541AE">
        <w:rPr>
          <w:rFonts w:ascii="Arial" w:hAnsi="Arial" w:cs="Arial"/>
          <w:sz w:val="22"/>
          <w:szCs w:val="22"/>
        </w:rPr>
        <w:t xml:space="preserve">Subsección 4, de la Sección 1 del </w:t>
      </w:r>
      <w:r w:rsidR="001055EA" w:rsidRPr="003541AE">
        <w:rPr>
          <w:rFonts w:ascii="Arial" w:hAnsi="Arial" w:cs="Arial"/>
          <w:sz w:val="22"/>
          <w:szCs w:val="22"/>
        </w:rPr>
        <w:t>Capítulo</w:t>
      </w:r>
      <w:r w:rsidR="003541AE" w:rsidRPr="003541AE">
        <w:rPr>
          <w:rFonts w:ascii="Arial" w:hAnsi="Arial" w:cs="Arial"/>
          <w:sz w:val="22"/>
          <w:szCs w:val="22"/>
        </w:rPr>
        <w:t xml:space="preserve"> 2</w:t>
      </w:r>
      <w:r w:rsidR="001055EA">
        <w:rPr>
          <w:rFonts w:ascii="Arial" w:hAnsi="Arial" w:cs="Arial"/>
          <w:sz w:val="22"/>
          <w:szCs w:val="22"/>
        </w:rPr>
        <w:t xml:space="preserve"> del Decreto 1082 de 2015, </w:t>
      </w:r>
      <w:r w:rsidR="00EE77CF">
        <w:rPr>
          <w:rFonts w:ascii="Arial" w:hAnsi="Arial" w:cs="Arial"/>
          <w:sz w:val="22"/>
          <w:szCs w:val="22"/>
        </w:rPr>
        <w:t xml:space="preserve">específicamente referida a la contratación directa, </w:t>
      </w:r>
      <w:r w:rsidR="009757CD">
        <w:rPr>
          <w:rFonts w:ascii="Arial" w:hAnsi="Arial" w:cs="Arial"/>
          <w:sz w:val="22"/>
          <w:szCs w:val="22"/>
        </w:rPr>
        <w:t xml:space="preserve">de la que hace parte </w:t>
      </w:r>
      <w:bookmarkStart w:id="42" w:name="_Hlk100580945"/>
      <w:r w:rsidR="00463D7D">
        <w:rPr>
          <w:rFonts w:ascii="Arial" w:hAnsi="Arial" w:cs="Arial"/>
          <w:sz w:val="22"/>
          <w:szCs w:val="22"/>
        </w:rPr>
        <w:t xml:space="preserve">el artículo </w:t>
      </w:r>
      <w:r w:rsidR="003A27AB" w:rsidRPr="003A27AB">
        <w:rPr>
          <w:rFonts w:ascii="Arial" w:hAnsi="Arial" w:cs="Arial"/>
          <w:sz w:val="22"/>
          <w:szCs w:val="22"/>
        </w:rPr>
        <w:t>2.2.1.2.1.4.10</w:t>
      </w:r>
      <w:r w:rsidR="003A27AB">
        <w:rPr>
          <w:rFonts w:ascii="Arial" w:hAnsi="Arial" w:cs="Arial"/>
          <w:sz w:val="22"/>
          <w:szCs w:val="22"/>
        </w:rPr>
        <w:t xml:space="preserve"> </w:t>
      </w:r>
      <w:r w:rsidR="00463D7D">
        <w:rPr>
          <w:rFonts w:ascii="Arial" w:hAnsi="Arial" w:cs="Arial"/>
          <w:sz w:val="22"/>
          <w:szCs w:val="22"/>
        </w:rPr>
        <w:t xml:space="preserve">del Decreto </w:t>
      </w:r>
      <w:r w:rsidR="003A27AB">
        <w:rPr>
          <w:rFonts w:ascii="Arial" w:hAnsi="Arial" w:cs="Arial"/>
          <w:sz w:val="22"/>
          <w:szCs w:val="22"/>
        </w:rPr>
        <w:t xml:space="preserve">1082 </w:t>
      </w:r>
      <w:r w:rsidR="00F83D31">
        <w:rPr>
          <w:rFonts w:ascii="Arial" w:hAnsi="Arial" w:cs="Arial"/>
          <w:sz w:val="22"/>
          <w:szCs w:val="22"/>
        </w:rPr>
        <w:t>de 201</w:t>
      </w:r>
      <w:r w:rsidR="003A27AB">
        <w:rPr>
          <w:rFonts w:ascii="Arial" w:hAnsi="Arial" w:cs="Arial"/>
          <w:sz w:val="22"/>
          <w:szCs w:val="22"/>
        </w:rPr>
        <w:t>5</w:t>
      </w:r>
      <w:r w:rsidR="009757CD">
        <w:rPr>
          <w:rFonts w:ascii="Arial" w:hAnsi="Arial" w:cs="Arial"/>
          <w:sz w:val="22"/>
          <w:szCs w:val="22"/>
        </w:rPr>
        <w:t xml:space="preserve">, disposición que </w:t>
      </w:r>
      <w:bookmarkEnd w:id="42"/>
      <w:r w:rsidR="008266FB">
        <w:rPr>
          <w:rFonts w:ascii="Arial" w:hAnsi="Arial" w:cs="Arial"/>
          <w:sz w:val="21"/>
          <w:szCs w:val="21"/>
        </w:rPr>
        <w:t xml:space="preserve">establece </w:t>
      </w:r>
      <w:r w:rsidR="004D3439">
        <w:rPr>
          <w:rFonts w:ascii="Arial" w:hAnsi="Arial" w:cs="Arial"/>
          <w:sz w:val="21"/>
          <w:szCs w:val="21"/>
        </w:rPr>
        <w:t>unas</w:t>
      </w:r>
      <w:r w:rsidR="008266FB">
        <w:rPr>
          <w:rFonts w:ascii="Arial" w:hAnsi="Arial" w:cs="Arial"/>
          <w:sz w:val="21"/>
          <w:szCs w:val="21"/>
        </w:rPr>
        <w:t xml:space="preserve"> reglas que deben seguir las entidades estatales para la adquisición de bienes inmuebles a través de la modalidad de selección de contratación directa</w:t>
      </w:r>
      <w:r w:rsidR="004D3439">
        <w:rPr>
          <w:rStyle w:val="Refdenotaalpie"/>
          <w:rFonts w:ascii="Arial" w:hAnsi="Arial" w:cs="Arial"/>
          <w:sz w:val="21"/>
          <w:szCs w:val="21"/>
        </w:rPr>
        <w:footnoteReference w:id="25"/>
      </w:r>
      <w:r w:rsidR="005A5512">
        <w:rPr>
          <w:rFonts w:ascii="Arial" w:hAnsi="Arial" w:cs="Arial"/>
          <w:sz w:val="21"/>
          <w:szCs w:val="21"/>
        </w:rPr>
        <w:t>.</w:t>
      </w:r>
      <w:r w:rsidR="004D3439">
        <w:rPr>
          <w:rFonts w:ascii="Arial" w:hAnsi="Arial" w:cs="Arial"/>
          <w:sz w:val="21"/>
          <w:szCs w:val="21"/>
        </w:rPr>
        <w:t xml:space="preserve"> Entre tales reglas </w:t>
      </w:r>
      <w:r w:rsidR="00367D4E">
        <w:rPr>
          <w:rFonts w:ascii="Arial" w:hAnsi="Arial" w:cs="Arial"/>
          <w:sz w:val="21"/>
          <w:szCs w:val="21"/>
        </w:rPr>
        <w:t xml:space="preserve">se encuentran i) la elaboración de un avalúo de los bienes inmuebles identificados por la entidad estatal conforme a </w:t>
      </w:r>
      <w:r w:rsidR="00683C9A">
        <w:rPr>
          <w:rFonts w:ascii="Arial" w:hAnsi="Arial" w:cs="Arial"/>
          <w:sz w:val="21"/>
          <w:szCs w:val="21"/>
        </w:rPr>
        <w:t xml:space="preserve">sus necesidades; ii) </w:t>
      </w:r>
      <w:r w:rsidR="00C574DA">
        <w:rPr>
          <w:rFonts w:ascii="Arial" w:hAnsi="Arial" w:cs="Arial"/>
          <w:sz w:val="21"/>
          <w:szCs w:val="21"/>
        </w:rPr>
        <w:t>analizar</w:t>
      </w:r>
      <w:r w:rsidR="00683C9A">
        <w:rPr>
          <w:rFonts w:ascii="Arial" w:hAnsi="Arial" w:cs="Arial"/>
          <w:sz w:val="21"/>
          <w:szCs w:val="21"/>
        </w:rPr>
        <w:t xml:space="preserve"> comparativ</w:t>
      </w:r>
      <w:r w:rsidR="00C574DA">
        <w:rPr>
          <w:rFonts w:ascii="Arial" w:hAnsi="Arial" w:cs="Arial"/>
          <w:sz w:val="21"/>
          <w:szCs w:val="21"/>
        </w:rPr>
        <w:t>amente</w:t>
      </w:r>
      <w:r w:rsidR="00683C9A">
        <w:rPr>
          <w:rFonts w:ascii="Arial" w:hAnsi="Arial" w:cs="Arial"/>
          <w:sz w:val="21"/>
          <w:szCs w:val="21"/>
        </w:rPr>
        <w:t xml:space="preserve"> </w:t>
      </w:r>
      <w:r w:rsidR="00FA228F">
        <w:rPr>
          <w:rFonts w:ascii="Arial" w:hAnsi="Arial" w:cs="Arial"/>
          <w:sz w:val="21"/>
          <w:szCs w:val="21"/>
        </w:rPr>
        <w:t>la</w:t>
      </w:r>
      <w:r w:rsidR="00C574DA">
        <w:rPr>
          <w:rFonts w:ascii="Arial" w:hAnsi="Arial" w:cs="Arial"/>
          <w:sz w:val="21"/>
          <w:szCs w:val="21"/>
        </w:rPr>
        <w:t>s</w:t>
      </w:r>
      <w:r w:rsidR="00FA228F">
        <w:rPr>
          <w:rFonts w:ascii="Arial" w:hAnsi="Arial" w:cs="Arial"/>
          <w:sz w:val="21"/>
          <w:szCs w:val="21"/>
        </w:rPr>
        <w:t xml:space="preserve"> condiciones de los bienes </w:t>
      </w:r>
      <w:r w:rsidR="00EB3C24">
        <w:rPr>
          <w:rFonts w:ascii="Arial" w:hAnsi="Arial" w:cs="Arial"/>
          <w:sz w:val="21"/>
          <w:szCs w:val="21"/>
        </w:rPr>
        <w:t>inmuebles</w:t>
      </w:r>
      <w:r w:rsidR="00FA228F">
        <w:rPr>
          <w:rFonts w:ascii="Arial" w:hAnsi="Arial" w:cs="Arial"/>
          <w:sz w:val="21"/>
          <w:szCs w:val="21"/>
        </w:rPr>
        <w:t xml:space="preserve"> considerados y sus opciones de adquisición, </w:t>
      </w:r>
      <w:r w:rsidR="00EB3C24">
        <w:rPr>
          <w:rFonts w:ascii="Arial" w:hAnsi="Arial" w:cs="Arial"/>
          <w:sz w:val="21"/>
          <w:szCs w:val="21"/>
        </w:rPr>
        <w:t xml:space="preserve">conforme a los principios y objetivos del sistema de compra pública; y iii) la </w:t>
      </w:r>
      <w:r w:rsidR="00A23BD0">
        <w:rPr>
          <w:rFonts w:ascii="Arial" w:hAnsi="Arial" w:cs="Arial"/>
          <w:sz w:val="21"/>
          <w:szCs w:val="21"/>
        </w:rPr>
        <w:t>posibilidad de que la entidad estatal haga parte de un proyecto</w:t>
      </w:r>
      <w:r w:rsidR="005919F0">
        <w:rPr>
          <w:rFonts w:ascii="Arial" w:hAnsi="Arial" w:cs="Arial"/>
          <w:sz w:val="21"/>
          <w:szCs w:val="21"/>
        </w:rPr>
        <w:t xml:space="preserve"> inmobiliario</w:t>
      </w:r>
      <w:r w:rsidR="008119E6">
        <w:rPr>
          <w:rFonts w:ascii="Arial" w:hAnsi="Arial" w:cs="Arial"/>
          <w:sz w:val="21"/>
          <w:szCs w:val="21"/>
        </w:rPr>
        <w:t xml:space="preserve">. </w:t>
      </w:r>
    </w:p>
    <w:p w14:paraId="4B21E721" w14:textId="18331329" w:rsidR="004F78FC" w:rsidRPr="006A41C0" w:rsidRDefault="004F78FC" w:rsidP="006A41C0">
      <w:pPr>
        <w:tabs>
          <w:tab w:val="left" w:pos="426"/>
        </w:tabs>
        <w:spacing w:line="276" w:lineRule="auto"/>
        <w:ind w:firstLine="709"/>
        <w:jc w:val="both"/>
        <w:rPr>
          <w:rFonts w:ascii="Arial" w:hAnsi="Arial" w:cs="Arial"/>
          <w:sz w:val="21"/>
          <w:szCs w:val="21"/>
        </w:rPr>
      </w:pPr>
      <w:r>
        <w:rPr>
          <w:rFonts w:ascii="Arial" w:hAnsi="Arial" w:cs="Arial"/>
          <w:sz w:val="21"/>
          <w:szCs w:val="21"/>
        </w:rPr>
        <w:t xml:space="preserve">Conforme a las normas anteriores, </w:t>
      </w:r>
      <w:r w:rsidR="00E72640">
        <w:rPr>
          <w:rFonts w:ascii="Arial" w:hAnsi="Arial" w:cs="Arial"/>
          <w:sz w:val="22"/>
          <w:szCs w:val="22"/>
        </w:rPr>
        <w:t xml:space="preserve"> es claro que </w:t>
      </w:r>
      <w:r w:rsidR="00CD5BD5">
        <w:rPr>
          <w:rFonts w:ascii="Arial" w:hAnsi="Arial" w:cs="Arial"/>
          <w:sz w:val="22"/>
          <w:szCs w:val="22"/>
        </w:rPr>
        <w:t xml:space="preserve">modalidad </w:t>
      </w:r>
      <w:r w:rsidR="00E72640">
        <w:rPr>
          <w:rFonts w:ascii="Arial" w:hAnsi="Arial" w:cs="Arial"/>
          <w:sz w:val="22"/>
          <w:szCs w:val="22"/>
        </w:rPr>
        <w:t>previst</w:t>
      </w:r>
      <w:r w:rsidR="00CD5BD5">
        <w:rPr>
          <w:rFonts w:ascii="Arial" w:hAnsi="Arial" w:cs="Arial"/>
          <w:sz w:val="22"/>
          <w:szCs w:val="22"/>
        </w:rPr>
        <w:t>a</w:t>
      </w:r>
      <w:r w:rsidR="00E72640">
        <w:rPr>
          <w:rFonts w:ascii="Arial" w:hAnsi="Arial" w:cs="Arial"/>
          <w:sz w:val="22"/>
          <w:szCs w:val="22"/>
        </w:rPr>
        <w:t xml:space="preserve"> en la Ley para la adquisición de bienes inmuebles, en el régimen de compras públicas, es la modalidad de contratación directa. </w:t>
      </w:r>
      <w:r w:rsidR="00CD5BD5">
        <w:rPr>
          <w:rFonts w:ascii="Arial" w:hAnsi="Arial" w:cs="Arial"/>
          <w:sz w:val="22"/>
          <w:szCs w:val="22"/>
        </w:rPr>
        <w:t>Visto esto, teniendo en cuenta que</w:t>
      </w:r>
      <w:r w:rsidR="0076076E">
        <w:rPr>
          <w:rFonts w:ascii="Arial" w:hAnsi="Arial" w:cs="Arial"/>
          <w:sz w:val="22"/>
          <w:szCs w:val="22"/>
        </w:rPr>
        <w:t xml:space="preserve"> la restricción del artículo 33 de la Ley de garantías electorales prohíbe </w:t>
      </w:r>
      <w:r w:rsidR="00581897">
        <w:rPr>
          <w:rFonts w:ascii="Arial" w:hAnsi="Arial" w:cs="Arial"/>
          <w:sz w:val="22"/>
          <w:szCs w:val="22"/>
        </w:rPr>
        <w:t xml:space="preserve">la </w:t>
      </w:r>
      <w:r w:rsidR="00581897" w:rsidRPr="006A41C0">
        <w:rPr>
          <w:rFonts w:ascii="Arial" w:hAnsi="Arial" w:cs="Arial"/>
          <w:bCs/>
          <w:color w:val="000000" w:themeColor="text1"/>
          <w:sz w:val="22"/>
          <w:szCs w:val="22"/>
          <w:lang w:val="es-MX" w:eastAsia="x-none"/>
        </w:rPr>
        <w:t>«contratación directa»</w:t>
      </w:r>
      <w:r w:rsidR="00581897">
        <w:rPr>
          <w:rFonts w:ascii="Arial" w:hAnsi="Arial" w:cs="Arial"/>
          <w:bCs/>
          <w:color w:val="000000" w:themeColor="text1"/>
          <w:sz w:val="22"/>
          <w:szCs w:val="22"/>
          <w:lang w:val="es-MX" w:eastAsia="x-none"/>
        </w:rPr>
        <w:t xml:space="preserve">, y que, como se acaba de mencionar, </w:t>
      </w:r>
      <w:r w:rsidR="00CD5BD5">
        <w:rPr>
          <w:rFonts w:ascii="Arial" w:hAnsi="Arial" w:cs="Arial"/>
          <w:bCs/>
          <w:color w:val="000000" w:themeColor="text1"/>
          <w:sz w:val="22"/>
          <w:szCs w:val="22"/>
          <w:lang w:val="es-MX" w:eastAsia="x-none"/>
        </w:rPr>
        <w:t xml:space="preserve">este es precisamente </w:t>
      </w:r>
      <w:r w:rsidR="00581897">
        <w:rPr>
          <w:rFonts w:ascii="Arial" w:hAnsi="Arial" w:cs="Arial"/>
          <w:bCs/>
          <w:color w:val="000000" w:themeColor="text1"/>
          <w:sz w:val="22"/>
          <w:szCs w:val="22"/>
          <w:lang w:val="es-MX" w:eastAsia="x-none"/>
        </w:rPr>
        <w:t xml:space="preserve">es el mecanismo de selección </w:t>
      </w:r>
      <w:r w:rsidR="00CD5BD5">
        <w:rPr>
          <w:rFonts w:ascii="Arial" w:hAnsi="Arial" w:cs="Arial"/>
          <w:bCs/>
          <w:color w:val="000000" w:themeColor="text1"/>
          <w:sz w:val="22"/>
          <w:szCs w:val="22"/>
          <w:lang w:val="es-MX" w:eastAsia="x-none"/>
        </w:rPr>
        <w:t xml:space="preserve">aplicable </w:t>
      </w:r>
      <w:r w:rsidR="00581897">
        <w:rPr>
          <w:rFonts w:ascii="Arial" w:hAnsi="Arial" w:cs="Arial"/>
          <w:bCs/>
          <w:color w:val="000000" w:themeColor="text1"/>
          <w:sz w:val="22"/>
          <w:szCs w:val="22"/>
          <w:lang w:val="es-MX" w:eastAsia="x-none"/>
        </w:rPr>
        <w:t>para realizar la compraventa de bienes inmuebles, la restricción temporal prevista en el artículo 33 cobija la adquisición de</w:t>
      </w:r>
      <w:r w:rsidR="00CD5BD5">
        <w:rPr>
          <w:rFonts w:ascii="Arial" w:hAnsi="Arial" w:cs="Arial"/>
          <w:bCs/>
          <w:color w:val="000000" w:themeColor="text1"/>
          <w:sz w:val="22"/>
          <w:szCs w:val="22"/>
          <w:lang w:val="es-MX" w:eastAsia="x-none"/>
        </w:rPr>
        <w:t xml:space="preserve"> los</w:t>
      </w:r>
      <w:r w:rsidR="00581897">
        <w:rPr>
          <w:rFonts w:ascii="Arial" w:hAnsi="Arial" w:cs="Arial"/>
          <w:bCs/>
          <w:color w:val="000000" w:themeColor="text1"/>
          <w:sz w:val="22"/>
          <w:szCs w:val="22"/>
          <w:lang w:val="es-MX" w:eastAsia="x-none"/>
        </w:rPr>
        <w:t xml:space="preserve"> </w:t>
      </w:r>
      <w:r w:rsidR="00581897" w:rsidRPr="00581897">
        <w:rPr>
          <w:rFonts w:ascii="Arial" w:hAnsi="Arial" w:cs="Arial"/>
          <w:bCs/>
          <w:color w:val="000000" w:themeColor="text1"/>
          <w:sz w:val="22"/>
          <w:szCs w:val="22"/>
          <w:lang w:eastAsia="x-none"/>
        </w:rPr>
        <w:t xml:space="preserve">bienes inmuebles </w:t>
      </w:r>
      <w:r w:rsidR="00CD5BD5">
        <w:rPr>
          <w:rFonts w:ascii="Arial" w:hAnsi="Arial" w:cs="Arial"/>
          <w:bCs/>
          <w:color w:val="000000" w:themeColor="text1"/>
          <w:sz w:val="22"/>
          <w:szCs w:val="22"/>
          <w:lang w:eastAsia="x-none"/>
        </w:rPr>
        <w:t>requeridos en</w:t>
      </w:r>
      <w:r w:rsidR="00581897" w:rsidRPr="00581897">
        <w:rPr>
          <w:rFonts w:ascii="Arial" w:hAnsi="Arial" w:cs="Arial"/>
          <w:bCs/>
          <w:color w:val="000000" w:themeColor="text1"/>
          <w:sz w:val="22"/>
          <w:szCs w:val="22"/>
          <w:lang w:eastAsia="x-none"/>
        </w:rPr>
        <w:t xml:space="preserve"> marco de la ejecución de un contrato de obra</w:t>
      </w:r>
      <w:r w:rsidR="00CD5BD5">
        <w:rPr>
          <w:rFonts w:ascii="Arial" w:hAnsi="Arial" w:cs="Arial"/>
          <w:bCs/>
          <w:color w:val="000000" w:themeColor="text1"/>
          <w:sz w:val="22"/>
          <w:szCs w:val="22"/>
          <w:lang w:eastAsia="x-none"/>
        </w:rPr>
        <w:t xml:space="preserve">, siempre que tales </w:t>
      </w:r>
      <w:r w:rsidR="00154B96">
        <w:rPr>
          <w:rFonts w:ascii="Arial" w:hAnsi="Arial" w:cs="Arial"/>
          <w:bCs/>
          <w:color w:val="000000" w:themeColor="text1"/>
          <w:sz w:val="22"/>
          <w:szCs w:val="22"/>
          <w:lang w:eastAsia="x-none"/>
        </w:rPr>
        <w:t xml:space="preserve">compras sean realizadas por la entidades estatales. </w:t>
      </w:r>
    </w:p>
    <w:p w14:paraId="6790D61F" w14:textId="1DDCEAE3" w:rsidR="00A6460F" w:rsidRDefault="00A6460F" w:rsidP="00F05449">
      <w:pPr>
        <w:tabs>
          <w:tab w:val="left" w:pos="426"/>
        </w:tabs>
        <w:spacing w:line="276" w:lineRule="auto"/>
        <w:jc w:val="both"/>
        <w:rPr>
          <w:rFonts w:ascii="Arial" w:hAnsi="Arial" w:cs="Arial"/>
          <w:bCs/>
          <w:sz w:val="22"/>
          <w:szCs w:val="22"/>
          <w:lang w:eastAsia="x-none"/>
        </w:rPr>
      </w:pPr>
    </w:p>
    <w:p w14:paraId="5071167E" w14:textId="10EDD341" w:rsidR="008A6AA1" w:rsidRDefault="008A6AA1">
      <w:pPr>
        <w:tabs>
          <w:tab w:val="left" w:pos="0"/>
        </w:tabs>
        <w:jc w:val="both"/>
        <w:rPr>
          <w:rFonts w:ascii="Arial" w:eastAsia="Calibri" w:hAnsi="Arial" w:cs="Arial"/>
          <w:b/>
          <w:color w:val="000000" w:themeColor="text1"/>
          <w:sz w:val="22"/>
          <w:lang w:val="es-ES_tradnl"/>
        </w:rPr>
      </w:pPr>
      <w:bookmarkStart w:id="43" w:name="_44sinio" w:colFirst="0" w:colLast="0"/>
      <w:bookmarkStart w:id="44" w:name="_2jxsxqh" w:colFirst="0" w:colLast="0"/>
      <w:bookmarkStart w:id="45" w:name="_z337ya" w:colFirst="0" w:colLast="0"/>
      <w:bookmarkStart w:id="46" w:name="_3j2qqm3" w:colFirst="0" w:colLast="0"/>
      <w:bookmarkStart w:id="47" w:name="_1y810tw" w:colFirst="0" w:colLast="0"/>
      <w:bookmarkStart w:id="48" w:name="_4i7ojhp" w:colFirst="0" w:colLast="0"/>
      <w:bookmarkStart w:id="49" w:name="_2xcytpi" w:colFirst="0" w:colLast="0"/>
      <w:bookmarkStart w:id="50" w:name="_1ci93xb" w:colFirst="0" w:colLast="0"/>
      <w:bookmarkStart w:id="51" w:name="_3whwml4" w:colFirst="0" w:colLast="0"/>
      <w:bookmarkStart w:id="52" w:name="_2bn6wsx" w:colFirst="0" w:colLast="0"/>
      <w:bookmarkStart w:id="53" w:name="_3as4poj" w:colFirst="0" w:colLast="0"/>
      <w:bookmarkStart w:id="54" w:name="_1pxezwc" w:colFirst="0" w:colLast="0"/>
      <w:bookmarkStart w:id="55" w:name="_49x2ik5" w:colFirst="0" w:colLast="0"/>
      <w:bookmarkEnd w:id="43"/>
      <w:bookmarkEnd w:id="44"/>
      <w:bookmarkEnd w:id="45"/>
      <w:bookmarkEnd w:id="46"/>
      <w:bookmarkEnd w:id="47"/>
      <w:bookmarkEnd w:id="48"/>
      <w:bookmarkEnd w:id="49"/>
      <w:bookmarkEnd w:id="50"/>
      <w:bookmarkEnd w:id="51"/>
      <w:bookmarkEnd w:id="52"/>
      <w:bookmarkEnd w:id="53"/>
      <w:bookmarkEnd w:id="54"/>
      <w:bookmarkEnd w:id="55"/>
      <w:r w:rsidRPr="005873AF">
        <w:rPr>
          <w:rFonts w:ascii="Arial" w:eastAsia="Calibri" w:hAnsi="Arial" w:cs="Arial"/>
          <w:b/>
          <w:color w:val="000000" w:themeColor="text1"/>
          <w:sz w:val="22"/>
          <w:lang w:val="es-ES_tradnl"/>
        </w:rPr>
        <w:t>3. Respuesta</w:t>
      </w:r>
    </w:p>
    <w:p w14:paraId="0ECE0DAD" w14:textId="24E588F1" w:rsidR="008612BD" w:rsidRDefault="008612BD">
      <w:pPr>
        <w:tabs>
          <w:tab w:val="left" w:pos="0"/>
        </w:tabs>
        <w:jc w:val="both"/>
        <w:rPr>
          <w:rFonts w:ascii="Arial" w:eastAsia="Calibri" w:hAnsi="Arial" w:cs="Arial"/>
          <w:b/>
          <w:color w:val="000000" w:themeColor="text1"/>
          <w:sz w:val="22"/>
          <w:lang w:val="es-ES_tradnl"/>
        </w:rPr>
      </w:pPr>
    </w:p>
    <w:p w14:paraId="6292DC4B" w14:textId="7CA3DDF6" w:rsidR="008612BD" w:rsidRPr="008612BD" w:rsidRDefault="00A210E6" w:rsidP="008118AD">
      <w:pPr>
        <w:ind w:left="709" w:right="709"/>
        <w:jc w:val="both"/>
        <w:rPr>
          <w:rFonts w:ascii="Arial" w:hAnsi="Arial" w:cs="Arial"/>
          <w:bCs/>
          <w:sz w:val="21"/>
          <w:szCs w:val="21"/>
        </w:rPr>
      </w:pPr>
      <w:r w:rsidRPr="00A210E6">
        <w:rPr>
          <w:rFonts w:ascii="Arial" w:hAnsi="Arial" w:cs="Arial"/>
          <w:sz w:val="21"/>
          <w:szCs w:val="21"/>
        </w:rPr>
        <w:t>Respecto a la prohibición de contratación directa del artículo 33 de la Ley 996 de 2005</w:t>
      </w:r>
      <w:r>
        <w:rPr>
          <w:rFonts w:ascii="Arial" w:hAnsi="Arial" w:cs="Arial"/>
          <w:sz w:val="21"/>
          <w:szCs w:val="21"/>
        </w:rPr>
        <w:t xml:space="preserve">: </w:t>
      </w:r>
      <w:r w:rsidR="008118AD" w:rsidRPr="008118AD">
        <w:rPr>
          <w:rFonts w:ascii="Arial" w:hAnsi="Arial" w:cs="Arial"/>
          <w:sz w:val="21"/>
          <w:szCs w:val="21"/>
        </w:rPr>
        <w:t>«</w:t>
      </w:r>
      <w:r w:rsidR="00950024" w:rsidRPr="00950024">
        <w:rPr>
          <w:rFonts w:ascii="Arial" w:hAnsi="Arial" w:cs="Arial"/>
          <w:sz w:val="21"/>
          <w:szCs w:val="21"/>
        </w:rPr>
        <w:t xml:space="preserve">Esta prohibición se debe interpretar de manera extensiva a los </w:t>
      </w:r>
      <w:bookmarkStart w:id="56" w:name="_Hlk100578815"/>
      <w:r w:rsidR="00950024" w:rsidRPr="00950024">
        <w:rPr>
          <w:rFonts w:ascii="Arial" w:hAnsi="Arial" w:cs="Arial"/>
          <w:sz w:val="21"/>
          <w:szCs w:val="21"/>
        </w:rPr>
        <w:t xml:space="preserve">contratos de compraventa de </w:t>
      </w:r>
      <w:bookmarkStart w:id="57" w:name="_Hlk100581343"/>
      <w:r w:rsidR="00950024" w:rsidRPr="00950024">
        <w:rPr>
          <w:rFonts w:ascii="Arial" w:hAnsi="Arial" w:cs="Arial"/>
          <w:sz w:val="21"/>
          <w:szCs w:val="21"/>
        </w:rPr>
        <w:t>bienes inmuebles en el marco de la ejecución de un contrato de obra</w:t>
      </w:r>
      <w:bookmarkEnd w:id="57"/>
      <w:r w:rsidR="00950024" w:rsidRPr="00950024">
        <w:rPr>
          <w:rFonts w:ascii="Arial" w:hAnsi="Arial" w:cs="Arial"/>
          <w:sz w:val="21"/>
          <w:szCs w:val="21"/>
        </w:rPr>
        <w:t xml:space="preserve"> (sic) , que requiere para su ejecución la gestión predial</w:t>
      </w:r>
      <w:bookmarkEnd w:id="56"/>
      <w:r w:rsidR="00950024" w:rsidRPr="00950024">
        <w:rPr>
          <w:rFonts w:ascii="Arial" w:hAnsi="Arial" w:cs="Arial"/>
          <w:sz w:val="21"/>
          <w:szCs w:val="21"/>
        </w:rPr>
        <w:t xml:space="preserve">? […] ¿ esta </w:t>
      </w:r>
      <w:r w:rsidR="00950024" w:rsidRPr="00795D27">
        <w:rPr>
          <w:rFonts w:ascii="Arial" w:hAnsi="Arial" w:cs="Arial"/>
          <w:sz w:val="21"/>
          <w:szCs w:val="21"/>
        </w:rPr>
        <w:t>prohibición no iría en contra de manera palmaria de la finalidad de la contratación</w:t>
      </w:r>
      <w:r w:rsidR="00950024" w:rsidRPr="00950024">
        <w:rPr>
          <w:rFonts w:ascii="Arial" w:hAnsi="Arial" w:cs="Arial"/>
          <w:sz w:val="21"/>
          <w:szCs w:val="21"/>
        </w:rPr>
        <w:t xml:space="preserve"> </w:t>
      </w:r>
      <w:r w:rsidR="00950024" w:rsidRPr="00795D27">
        <w:rPr>
          <w:rFonts w:ascii="Arial" w:hAnsi="Arial" w:cs="Arial"/>
          <w:sz w:val="21"/>
          <w:szCs w:val="21"/>
        </w:rPr>
        <w:t>pública que es cumplir los fines esenciales del estado siendo este último un precepto</w:t>
      </w:r>
      <w:r w:rsidR="00950024" w:rsidRPr="00950024">
        <w:rPr>
          <w:rFonts w:ascii="Arial" w:hAnsi="Arial" w:cs="Arial"/>
          <w:sz w:val="21"/>
          <w:szCs w:val="21"/>
        </w:rPr>
        <w:t xml:space="preserve"> </w:t>
      </w:r>
      <w:r w:rsidR="00950024" w:rsidRPr="00795D27">
        <w:rPr>
          <w:rFonts w:ascii="Arial" w:hAnsi="Arial" w:cs="Arial"/>
          <w:sz w:val="21"/>
          <w:szCs w:val="21"/>
        </w:rPr>
        <w:t>constitucional? más aun considerando que este tipo de contrataciones están por fuera</w:t>
      </w:r>
      <w:r w:rsidR="00950024" w:rsidRPr="00950024">
        <w:rPr>
          <w:rFonts w:ascii="Arial" w:hAnsi="Arial" w:cs="Arial"/>
          <w:sz w:val="21"/>
          <w:szCs w:val="21"/>
        </w:rPr>
        <w:t xml:space="preserve"> </w:t>
      </w:r>
      <w:r w:rsidR="00950024" w:rsidRPr="00795D27">
        <w:rPr>
          <w:rFonts w:ascii="Arial" w:hAnsi="Arial" w:cs="Arial"/>
          <w:sz w:val="21"/>
          <w:szCs w:val="21"/>
        </w:rPr>
        <w:t>del marco político y/o electoral, al ser bienes o contrataciones conexas a procesos o</w:t>
      </w:r>
      <w:r w:rsidR="00950024" w:rsidRPr="00950024">
        <w:rPr>
          <w:rFonts w:ascii="Arial" w:hAnsi="Arial" w:cs="Arial"/>
          <w:sz w:val="21"/>
          <w:szCs w:val="21"/>
        </w:rPr>
        <w:t xml:space="preserve"> </w:t>
      </w:r>
      <w:r w:rsidR="00950024" w:rsidRPr="00795D27">
        <w:rPr>
          <w:rFonts w:ascii="Arial" w:hAnsi="Arial" w:cs="Arial"/>
          <w:sz w:val="21"/>
          <w:szCs w:val="21"/>
        </w:rPr>
        <w:t>desarrollos que si o si se deben realizar y que el contrato principal derivado se obtuvo</w:t>
      </w:r>
      <w:r w:rsidR="00950024" w:rsidRPr="00950024">
        <w:rPr>
          <w:rFonts w:ascii="Arial" w:hAnsi="Arial" w:cs="Arial"/>
          <w:sz w:val="21"/>
          <w:szCs w:val="21"/>
        </w:rPr>
        <w:t xml:space="preserve"> por medio de licitación pública</w:t>
      </w:r>
      <w:r w:rsidR="00FC350D">
        <w:rPr>
          <w:rFonts w:ascii="Arial" w:hAnsi="Arial" w:cs="Arial"/>
          <w:sz w:val="21"/>
          <w:szCs w:val="21"/>
        </w:rPr>
        <w:t>.</w:t>
      </w:r>
      <w:r w:rsidR="008118AD" w:rsidRPr="008118AD">
        <w:rPr>
          <w:rFonts w:ascii="Arial" w:hAnsi="Arial" w:cs="Arial"/>
          <w:sz w:val="21"/>
          <w:szCs w:val="21"/>
        </w:rPr>
        <w:t>»</w:t>
      </w:r>
      <w:r>
        <w:rPr>
          <w:rFonts w:ascii="Arial" w:hAnsi="Arial" w:cs="Arial"/>
          <w:sz w:val="21"/>
          <w:szCs w:val="21"/>
        </w:rPr>
        <w:t>.</w:t>
      </w:r>
    </w:p>
    <w:p w14:paraId="14C35534" w14:textId="77777777" w:rsidR="008612BD" w:rsidRPr="008612BD" w:rsidRDefault="008612BD" w:rsidP="00496039">
      <w:pPr>
        <w:tabs>
          <w:tab w:val="left" w:pos="0"/>
        </w:tabs>
        <w:jc w:val="both"/>
        <w:rPr>
          <w:rFonts w:ascii="Arial" w:eastAsia="Calibri" w:hAnsi="Arial" w:cs="Arial"/>
          <w:b/>
          <w:color w:val="000000" w:themeColor="text1"/>
          <w:sz w:val="22"/>
        </w:rPr>
      </w:pPr>
    </w:p>
    <w:p w14:paraId="157E00E7" w14:textId="1EE3A47F" w:rsidR="0027741C" w:rsidRPr="005873AF" w:rsidRDefault="00C23330" w:rsidP="006B7A7B">
      <w:pPr>
        <w:spacing w:after="120" w:line="276" w:lineRule="auto"/>
        <w:ind w:firstLine="709"/>
        <w:jc w:val="both"/>
        <w:rPr>
          <w:rFonts w:ascii="Arial" w:hAnsi="Arial" w:cs="Arial"/>
          <w:bCs/>
          <w:color w:val="000000" w:themeColor="text1"/>
          <w:sz w:val="22"/>
          <w:szCs w:val="22"/>
          <w:lang w:val="es-ES_tradnl" w:eastAsia="x-none"/>
        </w:rPr>
      </w:pPr>
      <w:r w:rsidRPr="005873AF">
        <w:rPr>
          <w:rFonts w:ascii="Arial" w:hAnsi="Arial" w:cs="Arial"/>
          <w:bCs/>
          <w:color w:val="000000" w:themeColor="text1"/>
          <w:sz w:val="22"/>
          <w:szCs w:val="22"/>
          <w:lang w:val="es-MX" w:eastAsia="x-none"/>
        </w:rPr>
        <w:t xml:space="preserve">El ámbito material de la prohibición contenida en el artículo 33 de la ley 996 de 2005 está </w:t>
      </w:r>
      <w:r w:rsidRPr="006A41C0">
        <w:rPr>
          <w:rFonts w:ascii="Arial" w:hAnsi="Arial" w:cs="Arial"/>
          <w:bCs/>
          <w:color w:val="000000" w:themeColor="text1"/>
          <w:sz w:val="22"/>
          <w:szCs w:val="22"/>
          <w:lang w:val="es-MX" w:eastAsia="x-none"/>
        </w:rPr>
        <w:t xml:space="preserve">delimitado por la expresión </w:t>
      </w:r>
      <w:r w:rsidRPr="006A41C0">
        <w:rPr>
          <w:rFonts w:ascii="Arial" w:eastAsia="Calibri" w:hAnsi="Arial" w:cs="Arial"/>
          <w:bCs/>
          <w:color w:val="000000" w:themeColor="text1"/>
          <w:sz w:val="20"/>
          <w:szCs w:val="20"/>
          <w:lang w:val="es-MX" w:eastAsia="en-US"/>
        </w:rPr>
        <w:t>«</w:t>
      </w:r>
      <w:r w:rsidRPr="006A41C0">
        <w:rPr>
          <w:rFonts w:ascii="Arial" w:hAnsi="Arial" w:cs="Arial"/>
          <w:bCs/>
          <w:color w:val="000000" w:themeColor="text1"/>
          <w:sz w:val="22"/>
          <w:szCs w:val="22"/>
          <w:lang w:val="es-MX" w:eastAsia="x-none"/>
        </w:rPr>
        <w:t>queda prohibida la contratación directa</w:t>
      </w:r>
      <w:r w:rsidRPr="006A41C0">
        <w:rPr>
          <w:rFonts w:ascii="Arial" w:eastAsiaTheme="minorHAnsi" w:hAnsi="Arial" w:cs="Arial"/>
          <w:color w:val="000000" w:themeColor="text1"/>
          <w:sz w:val="20"/>
          <w:szCs w:val="20"/>
          <w:lang w:val="es-MX" w:eastAsia="en-US"/>
        </w:rPr>
        <w:t>»</w:t>
      </w:r>
      <w:r w:rsidRPr="006A41C0">
        <w:rPr>
          <w:rFonts w:ascii="Arial" w:hAnsi="Arial" w:cs="Arial"/>
          <w:bCs/>
          <w:color w:val="000000" w:themeColor="text1"/>
          <w:sz w:val="22"/>
          <w:szCs w:val="22"/>
          <w:lang w:val="es-MX" w:eastAsia="x-none"/>
        </w:rPr>
        <w:t>.</w:t>
      </w:r>
      <w:r w:rsidRPr="005873AF">
        <w:rPr>
          <w:rFonts w:ascii="Arial" w:hAnsi="Arial" w:cs="Arial"/>
          <w:bCs/>
          <w:color w:val="000000" w:themeColor="text1"/>
          <w:sz w:val="22"/>
          <w:szCs w:val="22"/>
          <w:lang w:val="es-MX" w:eastAsia="x-none"/>
        </w:rPr>
        <w:t xml:space="preserve"> </w:t>
      </w:r>
      <w:r w:rsidR="00F1457A" w:rsidRPr="00F1457A">
        <w:rPr>
          <w:rFonts w:ascii="Arial" w:hAnsi="Arial" w:cs="Arial"/>
          <w:bCs/>
          <w:color w:val="000000" w:themeColor="text1"/>
          <w:sz w:val="22"/>
          <w:szCs w:val="22"/>
          <w:lang w:val="es-MX" w:eastAsia="x-none"/>
        </w:rPr>
        <w:t>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w:t>
      </w:r>
      <w:r w:rsidR="00F1457A">
        <w:rPr>
          <w:rFonts w:ascii="Arial" w:hAnsi="Arial" w:cs="Arial"/>
          <w:bCs/>
          <w:color w:val="000000" w:themeColor="text1"/>
          <w:sz w:val="22"/>
          <w:szCs w:val="22"/>
          <w:lang w:val="es-MX" w:eastAsia="x-none"/>
        </w:rPr>
        <w:t>s.</w:t>
      </w:r>
      <w:r w:rsidR="0027741C" w:rsidRPr="005873AF">
        <w:rPr>
          <w:rFonts w:ascii="Arial" w:hAnsi="Arial" w:cs="Arial"/>
          <w:bCs/>
          <w:color w:val="000000" w:themeColor="text1"/>
          <w:sz w:val="22"/>
          <w:szCs w:val="22"/>
          <w:lang w:val="es-ES_tradnl" w:eastAsia="x-none"/>
        </w:rPr>
        <w:t xml:space="preserve"> </w:t>
      </w:r>
      <w:r w:rsidR="0027741C">
        <w:rPr>
          <w:rFonts w:ascii="Arial" w:hAnsi="Arial" w:cs="Arial"/>
          <w:bCs/>
          <w:color w:val="000000" w:themeColor="text1"/>
          <w:sz w:val="22"/>
          <w:szCs w:val="22"/>
          <w:lang w:val="es-ES_tradnl" w:eastAsia="x-none"/>
        </w:rPr>
        <w:t>E</w:t>
      </w:r>
      <w:r w:rsidR="0027741C" w:rsidRPr="005873AF">
        <w:rPr>
          <w:rFonts w:ascii="Arial" w:hAnsi="Arial" w:cs="Arial"/>
          <w:bCs/>
          <w:color w:val="000000" w:themeColor="text1"/>
          <w:sz w:val="22"/>
          <w:szCs w:val="22"/>
          <w:lang w:val="es-ES_tradnl" w:eastAsia="x-none"/>
        </w:rPr>
        <w:t xml:space="preserve">l artículo 33 de la Ley 996 de 2005 </w:t>
      </w:r>
      <w:r w:rsidR="0027741C">
        <w:rPr>
          <w:rFonts w:ascii="Arial" w:hAnsi="Arial" w:cs="Arial"/>
          <w:bCs/>
          <w:color w:val="000000" w:themeColor="text1"/>
          <w:sz w:val="22"/>
          <w:szCs w:val="22"/>
          <w:lang w:val="es-ES_tradnl" w:eastAsia="x-none"/>
        </w:rPr>
        <w:t xml:space="preserve">también </w:t>
      </w:r>
      <w:r w:rsidR="0027741C" w:rsidRPr="005873AF">
        <w:rPr>
          <w:rFonts w:ascii="Arial" w:hAnsi="Arial" w:cs="Arial"/>
          <w:bCs/>
          <w:color w:val="000000" w:themeColor="text1"/>
          <w:sz w:val="22"/>
          <w:szCs w:val="22"/>
          <w:lang w:val="es-ES_tradnl" w:eastAsia="x-none"/>
        </w:rPr>
        <w:t>señala expresamente a los destinatarios de la prohibición, en el sentido de que son «todos los entes del Estado». Esto, de conformidad con lo expuesto, involucra a todas las entidades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sin perjuicio de las excepciones establecidas en el inciso segundo del artículo 33.</w:t>
      </w:r>
    </w:p>
    <w:p w14:paraId="3CAF43D2" w14:textId="1E2A6E7C" w:rsidR="00C91D7E" w:rsidRPr="006A41C0" w:rsidRDefault="00F1457A" w:rsidP="006A41C0">
      <w:pPr>
        <w:spacing w:after="120" w:line="276" w:lineRule="auto"/>
        <w:ind w:firstLine="708"/>
        <w:jc w:val="both"/>
        <w:rPr>
          <w:rFonts w:ascii="Arial" w:hAnsi="Arial" w:cs="Arial"/>
          <w:bCs/>
          <w:color w:val="000000" w:themeColor="text1"/>
          <w:sz w:val="22"/>
          <w:szCs w:val="22"/>
          <w:lang w:val="es-ES_tradnl" w:eastAsia="x-none"/>
        </w:rPr>
      </w:pPr>
      <w:r w:rsidRPr="006A41C0">
        <w:rPr>
          <w:rFonts w:ascii="Arial" w:hAnsi="Arial" w:cs="Arial"/>
          <w:bCs/>
          <w:color w:val="000000" w:themeColor="text1"/>
          <w:sz w:val="22"/>
          <w:szCs w:val="22"/>
          <w:lang w:val="es-ES_tradnl" w:eastAsia="x-none"/>
        </w:rPr>
        <w:t xml:space="preserve">De lo anterior se deduce que la prohibición aplica, sin perjuicio de las excepciones establecidas en la misma ley, para celebrar cualquier contrato de forma directa, esto es, sin que exista un proceso abierto y competitivo. </w:t>
      </w:r>
      <w:r w:rsidR="003226CE">
        <w:rPr>
          <w:rFonts w:ascii="Arial" w:hAnsi="Arial" w:cs="Arial"/>
          <w:bCs/>
          <w:color w:val="000000" w:themeColor="text1"/>
          <w:sz w:val="22"/>
          <w:szCs w:val="22"/>
          <w:lang w:val="es-ES_tradnl" w:eastAsia="x-none"/>
        </w:rPr>
        <w:t xml:space="preserve">Como se </w:t>
      </w:r>
      <w:r w:rsidR="00FC1814">
        <w:rPr>
          <w:rFonts w:ascii="Arial" w:hAnsi="Arial" w:cs="Arial"/>
          <w:bCs/>
          <w:color w:val="000000" w:themeColor="text1"/>
          <w:sz w:val="22"/>
          <w:szCs w:val="22"/>
          <w:lang w:val="es-ES_tradnl" w:eastAsia="x-none"/>
        </w:rPr>
        <w:t>desarrolló</w:t>
      </w:r>
      <w:r w:rsidR="003226CE">
        <w:rPr>
          <w:rFonts w:ascii="Arial" w:hAnsi="Arial" w:cs="Arial"/>
          <w:bCs/>
          <w:color w:val="000000" w:themeColor="text1"/>
          <w:sz w:val="22"/>
          <w:szCs w:val="22"/>
          <w:lang w:val="es-ES_tradnl" w:eastAsia="x-none"/>
        </w:rPr>
        <w:t xml:space="preserve"> anteriormente, conforme </w:t>
      </w:r>
      <w:r w:rsidR="003226CE">
        <w:rPr>
          <w:rFonts w:ascii="Arial" w:hAnsi="Arial" w:cs="Arial"/>
          <w:sz w:val="22"/>
          <w:szCs w:val="22"/>
        </w:rPr>
        <w:t>al</w:t>
      </w:r>
      <w:r w:rsidR="003226CE" w:rsidRPr="0089046C">
        <w:rPr>
          <w:rFonts w:ascii="Arial" w:hAnsi="Arial" w:cs="Arial"/>
          <w:sz w:val="22"/>
          <w:szCs w:val="22"/>
        </w:rPr>
        <w:t xml:space="preserve"> artículo 2 de la Ley 1150 de 2007</w:t>
      </w:r>
      <w:r w:rsidR="003226CE">
        <w:rPr>
          <w:rFonts w:ascii="Arial" w:hAnsi="Arial" w:cs="Arial"/>
          <w:sz w:val="22"/>
          <w:szCs w:val="22"/>
        </w:rPr>
        <w:t xml:space="preserve"> y el artículo </w:t>
      </w:r>
      <w:r w:rsidR="0087004F" w:rsidRPr="003A27AB">
        <w:rPr>
          <w:rFonts w:ascii="Arial" w:hAnsi="Arial" w:cs="Arial"/>
          <w:sz w:val="22"/>
          <w:szCs w:val="22"/>
        </w:rPr>
        <w:t>2.2.1.2.1.4.10</w:t>
      </w:r>
      <w:r w:rsidR="0087004F">
        <w:rPr>
          <w:rFonts w:ascii="Arial" w:hAnsi="Arial" w:cs="Arial"/>
          <w:sz w:val="22"/>
          <w:szCs w:val="22"/>
        </w:rPr>
        <w:t xml:space="preserve"> del Decreto 1082 de 2015</w:t>
      </w:r>
      <w:r w:rsidR="003226CE">
        <w:rPr>
          <w:rFonts w:ascii="Arial" w:hAnsi="Arial" w:cs="Arial"/>
          <w:sz w:val="22"/>
          <w:szCs w:val="22"/>
        </w:rPr>
        <w:t>, el mecanismo previsto en la Ley para la adquisición de bienes inmuebles es la modalidad de selección de contratación directa</w:t>
      </w:r>
      <w:r w:rsidR="00D92C83">
        <w:rPr>
          <w:rFonts w:ascii="Arial" w:hAnsi="Arial" w:cs="Arial"/>
          <w:sz w:val="22"/>
          <w:szCs w:val="22"/>
        </w:rPr>
        <w:t>,</w:t>
      </w:r>
      <w:r w:rsidR="003226CE">
        <w:rPr>
          <w:rFonts w:ascii="Arial" w:hAnsi="Arial" w:cs="Arial"/>
          <w:sz w:val="22"/>
          <w:szCs w:val="22"/>
        </w:rPr>
        <w:t xml:space="preserve"> por tal razón la restricción prevista en al articulo 33 de la Ley de garantías electorales abarca la adquisición de bienes inmuebles a través de contratación directa. </w:t>
      </w:r>
    </w:p>
    <w:p w14:paraId="243E3665" w14:textId="77777777" w:rsidR="00E10612" w:rsidRPr="005873AF" w:rsidRDefault="00E10612" w:rsidP="00E10612">
      <w:pPr>
        <w:spacing w:after="120" w:line="276" w:lineRule="auto"/>
        <w:ind w:firstLine="708"/>
        <w:jc w:val="both"/>
        <w:rPr>
          <w:rFonts w:ascii="Arial" w:hAnsi="Arial" w:cs="Arial"/>
          <w:bCs/>
          <w:color w:val="000000" w:themeColor="text1"/>
          <w:sz w:val="22"/>
          <w:szCs w:val="22"/>
          <w:lang w:val="es-ES_tradnl" w:eastAsia="es-CO"/>
        </w:rPr>
      </w:pPr>
      <w:r w:rsidRPr="005873AF">
        <w:rPr>
          <w:rFonts w:ascii="Arial" w:hAnsi="Arial" w:cs="Arial"/>
          <w:bCs/>
          <w:color w:val="000000" w:themeColor="text1"/>
          <w:sz w:val="22"/>
          <w:szCs w:val="22"/>
          <w:lang w:val="es-ES_tradnl"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5873AF">
        <w:rPr>
          <w:rFonts w:ascii="Arial" w:hAnsi="Arial" w:cs="Arial"/>
          <w:bCs/>
          <w:color w:val="000000" w:themeColor="text1"/>
          <w:sz w:val="22"/>
          <w:szCs w:val="22"/>
          <w:lang w:val="es-ES_tradnl" w:eastAsia="es-CO"/>
        </w:rPr>
        <w:t xml:space="preserve"> Por ello,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52684671" w14:textId="77777777" w:rsidR="00400F0C" w:rsidRPr="005873AF" w:rsidRDefault="00400F0C" w:rsidP="002652C1">
      <w:pPr>
        <w:autoSpaceDE w:val="0"/>
        <w:autoSpaceDN w:val="0"/>
        <w:adjustRightInd w:val="0"/>
        <w:ind w:left="709" w:right="709"/>
        <w:jc w:val="both"/>
        <w:rPr>
          <w:rFonts w:ascii="Arial" w:hAnsi="Arial" w:cs="Arial"/>
          <w:color w:val="000000" w:themeColor="text1"/>
          <w:sz w:val="22"/>
          <w:szCs w:val="22"/>
        </w:rPr>
      </w:pPr>
    </w:p>
    <w:p w14:paraId="7B2C921D" w14:textId="01C61C9E" w:rsidR="00DD5B04" w:rsidRDefault="00DD5B04" w:rsidP="00861F5C">
      <w:pPr>
        <w:spacing w:line="276" w:lineRule="auto"/>
        <w:jc w:val="both"/>
        <w:rPr>
          <w:rFonts w:ascii="Arial" w:hAnsi="Arial" w:cs="Arial"/>
          <w:color w:val="000000" w:themeColor="text1"/>
          <w:sz w:val="22"/>
          <w:lang w:val="es-ES_tradnl"/>
        </w:rPr>
      </w:pPr>
      <w:r w:rsidRPr="005873A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2844992A" w14:textId="77777777" w:rsidR="00C73DFB" w:rsidRPr="005873AF" w:rsidRDefault="00C73DFB" w:rsidP="00861F5C">
      <w:pPr>
        <w:spacing w:line="276" w:lineRule="auto"/>
        <w:jc w:val="both"/>
        <w:rPr>
          <w:rFonts w:ascii="Arial" w:hAnsi="Arial" w:cs="Arial"/>
          <w:color w:val="000000" w:themeColor="text1"/>
          <w:sz w:val="22"/>
          <w:lang w:val="es-ES_tradnl"/>
        </w:rPr>
      </w:pPr>
    </w:p>
    <w:p w14:paraId="77EE5912" w14:textId="544EC1BC" w:rsidR="00DD5B04" w:rsidRPr="005873A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4EFB1874" w:rsidR="00DD5B04" w:rsidRPr="005873A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873AF">
        <w:rPr>
          <w:rFonts w:ascii="Arial" w:hAnsi="Arial" w:cs="Arial"/>
          <w:color w:val="000000" w:themeColor="text1"/>
          <w:sz w:val="22"/>
          <w:szCs w:val="22"/>
          <w:lang w:val="es-ES_tradnl"/>
        </w:rPr>
        <w:t>Atentamente,</w:t>
      </w:r>
    </w:p>
    <w:p w14:paraId="49730030" w14:textId="537F6833" w:rsidR="00DD5B04" w:rsidRPr="005873AF" w:rsidRDefault="00866601" w:rsidP="00F05449">
      <w:pPr>
        <w:pStyle w:val="NormalWeb"/>
        <w:spacing w:before="0" w:beforeAutospacing="0" w:after="0" w:afterAutospacing="0" w:line="276" w:lineRule="auto"/>
        <w:jc w:val="center"/>
        <w:rPr>
          <w:color w:val="000000" w:themeColor="text1"/>
          <w:lang w:val="es-ES_tradnl"/>
        </w:rPr>
      </w:pPr>
      <w:r w:rsidRPr="00570FD2">
        <w:rPr>
          <w:rFonts w:ascii="Arial" w:hAnsi="Arial" w:cs="Arial"/>
          <w:noProof/>
          <w:color w:val="000000" w:themeColor="text1"/>
          <w:sz w:val="22"/>
        </w:rPr>
        <w:drawing>
          <wp:inline distT="0" distB="0" distL="0" distR="0" wp14:anchorId="616AB8DB" wp14:editId="56428618">
            <wp:extent cx="2714625" cy="1152525"/>
            <wp:effectExtent l="0" t="0" r="9525"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575"/>
      </w:tblGrid>
      <w:tr w:rsidR="006A6B87" w:rsidRPr="005873AF" w14:paraId="0C7DC5F7" w14:textId="77777777" w:rsidTr="00F05449">
        <w:trPr>
          <w:trHeight w:val="315"/>
        </w:trPr>
        <w:tc>
          <w:tcPr>
            <w:tcW w:w="812" w:type="dxa"/>
            <w:vAlign w:val="center"/>
            <w:hideMark/>
          </w:tcPr>
          <w:p w14:paraId="5BDB1AC9" w14:textId="77777777"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Elaboró:</w:t>
            </w:r>
          </w:p>
        </w:tc>
        <w:tc>
          <w:tcPr>
            <w:tcW w:w="4575" w:type="dxa"/>
            <w:tcBorders>
              <w:top w:val="nil"/>
              <w:left w:val="nil"/>
              <w:bottom w:val="dotted" w:sz="4" w:space="0" w:color="7F7F7F" w:themeColor="text1" w:themeTint="80"/>
              <w:right w:val="nil"/>
            </w:tcBorders>
            <w:vAlign w:val="center"/>
            <w:hideMark/>
          </w:tcPr>
          <w:p w14:paraId="288BFDA7" w14:textId="331C1691" w:rsidR="009B1F41" w:rsidRDefault="009B1F41" w:rsidP="00DF76A2">
            <w:pPr>
              <w:jc w:val="both"/>
              <w:rPr>
                <w:rFonts w:ascii="Arial" w:hAnsi="Arial" w:cs="Arial"/>
                <w:color w:val="000000" w:themeColor="text1"/>
                <w:sz w:val="16"/>
                <w:szCs w:val="16"/>
                <w:lang w:val="es-ES_tradnl" w:eastAsia="es-ES"/>
              </w:rPr>
            </w:pPr>
            <w:r w:rsidRPr="009B1F41">
              <w:rPr>
                <w:rFonts w:ascii="Arial" w:hAnsi="Arial" w:cs="Arial"/>
                <w:color w:val="000000" w:themeColor="text1"/>
                <w:sz w:val="16"/>
                <w:szCs w:val="16"/>
                <w:lang w:val="es-ES_tradnl" w:eastAsia="es-ES"/>
              </w:rPr>
              <w:t>Gabriel Alejandro Murcia Taboada</w:t>
            </w:r>
          </w:p>
          <w:p w14:paraId="240C71FD" w14:textId="61417E02"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Contratista</w:t>
            </w:r>
            <w:r w:rsidR="00FF0050" w:rsidRPr="005873AF">
              <w:rPr>
                <w:rFonts w:ascii="Arial" w:hAnsi="Arial" w:cs="Arial"/>
                <w:color w:val="000000" w:themeColor="text1"/>
                <w:sz w:val="16"/>
                <w:szCs w:val="16"/>
                <w:lang w:val="es-ES_tradnl" w:eastAsia="es-ES"/>
              </w:rPr>
              <w:t xml:space="preserve"> de la </w:t>
            </w:r>
            <w:r w:rsidRPr="005873AF">
              <w:rPr>
                <w:rFonts w:ascii="Arial" w:hAnsi="Arial" w:cs="Arial"/>
                <w:color w:val="000000" w:themeColor="text1"/>
                <w:sz w:val="16"/>
                <w:szCs w:val="16"/>
                <w:lang w:val="es-ES_tradnl" w:eastAsia="es-ES"/>
              </w:rPr>
              <w:t>Subdirección de Gestión Contractual</w:t>
            </w:r>
          </w:p>
        </w:tc>
      </w:tr>
      <w:tr w:rsidR="006A6B87" w:rsidRPr="005873AF" w14:paraId="2F8FD650" w14:textId="77777777" w:rsidTr="00F05449">
        <w:trPr>
          <w:trHeight w:val="330"/>
        </w:trPr>
        <w:tc>
          <w:tcPr>
            <w:tcW w:w="812" w:type="dxa"/>
            <w:vAlign w:val="center"/>
            <w:hideMark/>
          </w:tcPr>
          <w:p w14:paraId="50203A0B" w14:textId="77777777"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Revisó: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38AA5BBD" w14:textId="77777777" w:rsidR="002533AD" w:rsidRPr="00FF5EA5" w:rsidRDefault="002533AD" w:rsidP="002533AD">
            <w:pPr>
              <w:rPr>
                <w:rFonts w:ascii="Arial" w:hAnsi="Arial" w:cs="Arial"/>
                <w:color w:val="000000" w:themeColor="text1"/>
                <w:sz w:val="16"/>
                <w:szCs w:val="16"/>
                <w:lang w:val="es-ES" w:eastAsia="es-ES"/>
              </w:rPr>
            </w:pPr>
            <w:r w:rsidRPr="00FF5EA5">
              <w:rPr>
                <w:rFonts w:ascii="Arial" w:hAnsi="Arial" w:cs="Arial"/>
                <w:color w:val="000000" w:themeColor="text1"/>
                <w:sz w:val="16"/>
                <w:szCs w:val="16"/>
                <w:lang w:val="es-ES" w:eastAsia="es-ES"/>
              </w:rPr>
              <w:t xml:space="preserve">Alejandro Sarmiento Cantillo </w:t>
            </w:r>
          </w:p>
          <w:p w14:paraId="130B3228" w14:textId="37410BEF" w:rsidR="002B08BA" w:rsidRPr="00DF2B34" w:rsidRDefault="00C84DD3" w:rsidP="00C05A61">
            <w:pPr>
              <w:jc w:val="both"/>
              <w:rPr>
                <w:rFonts w:ascii="Arial" w:hAnsi="Arial" w:cs="Arial"/>
                <w:color w:val="000000" w:themeColor="text1"/>
                <w:sz w:val="16"/>
                <w:szCs w:val="16"/>
                <w:highlight w:val="yellow"/>
                <w:lang w:val="es-ES_tradnl" w:eastAsia="es-ES"/>
              </w:rPr>
            </w:pPr>
            <w:r w:rsidRPr="00C84DD3">
              <w:rPr>
                <w:rFonts w:ascii="Arial" w:hAnsi="Arial" w:cs="Arial"/>
                <w:color w:val="000000" w:themeColor="text1"/>
                <w:sz w:val="16"/>
                <w:szCs w:val="16"/>
                <w:lang w:val="es-ES_tradnl" w:eastAsia="es-ES"/>
              </w:rPr>
              <w:t xml:space="preserve">Gestor T1-15 de la </w:t>
            </w:r>
            <w:r w:rsidR="00A1108C" w:rsidRPr="00C84DD3">
              <w:rPr>
                <w:rFonts w:ascii="Arial" w:hAnsi="Arial" w:cs="Arial"/>
                <w:color w:val="000000" w:themeColor="text1"/>
                <w:sz w:val="16"/>
                <w:szCs w:val="16"/>
                <w:lang w:val="es-ES_tradnl" w:eastAsia="es-ES"/>
              </w:rPr>
              <w:t xml:space="preserve">de </w:t>
            </w:r>
            <w:r w:rsidR="00015642" w:rsidRPr="00C84DD3">
              <w:rPr>
                <w:rFonts w:ascii="Arial" w:hAnsi="Arial" w:cs="Arial"/>
                <w:color w:val="000000" w:themeColor="text1"/>
                <w:sz w:val="16"/>
                <w:szCs w:val="16"/>
                <w:lang w:val="es-ES_tradnl" w:eastAsia="es-ES"/>
              </w:rPr>
              <w:t xml:space="preserve">la </w:t>
            </w:r>
            <w:r w:rsidR="003D281F" w:rsidRPr="00C84DD3">
              <w:rPr>
                <w:rFonts w:ascii="Arial" w:hAnsi="Arial" w:cs="Arial"/>
                <w:color w:val="000000" w:themeColor="text1"/>
                <w:sz w:val="16"/>
                <w:szCs w:val="16"/>
                <w:lang w:val="es-ES_tradnl" w:eastAsia="es-ES"/>
              </w:rPr>
              <w:t xml:space="preserve">Subdirección de Gestión Contractual </w:t>
            </w:r>
            <w:r w:rsidR="00015642" w:rsidRPr="00C84DD3">
              <w:rPr>
                <w:rFonts w:ascii="Arial" w:hAnsi="Arial" w:cs="Arial"/>
                <w:color w:val="000000" w:themeColor="text1"/>
                <w:sz w:val="16"/>
                <w:szCs w:val="16"/>
                <w:lang w:val="es-ES_tradnl" w:eastAsia="es-ES"/>
              </w:rPr>
              <w:t xml:space="preserve"> </w:t>
            </w:r>
          </w:p>
        </w:tc>
      </w:tr>
      <w:tr w:rsidR="00DD5B04" w:rsidRPr="006A6B87" w14:paraId="0FCBCA4A" w14:textId="77777777" w:rsidTr="00F05449">
        <w:trPr>
          <w:trHeight w:val="300"/>
        </w:trPr>
        <w:tc>
          <w:tcPr>
            <w:tcW w:w="812" w:type="dxa"/>
            <w:vAlign w:val="center"/>
            <w:hideMark/>
          </w:tcPr>
          <w:p w14:paraId="3C1D943A" w14:textId="29B4D648"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Aprobó: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56961283" w14:textId="77777777" w:rsidR="00335288" w:rsidRPr="00B04140" w:rsidRDefault="00335288" w:rsidP="00335288">
            <w:pPr>
              <w:rPr>
                <w:rFonts w:ascii="Arial" w:hAnsi="Arial" w:cs="Arial"/>
                <w:sz w:val="16"/>
                <w:szCs w:val="16"/>
                <w:lang w:val="es-ES" w:eastAsia="es-ES"/>
              </w:rPr>
            </w:pPr>
            <w:r w:rsidRPr="00B04140">
              <w:rPr>
                <w:rFonts w:ascii="Arial" w:hAnsi="Arial" w:cs="Arial"/>
                <w:sz w:val="16"/>
                <w:szCs w:val="16"/>
                <w:lang w:val="es-ES" w:eastAsia="es-ES"/>
              </w:rPr>
              <w:t>Jorge Augusto Tirado Navarro</w:t>
            </w:r>
          </w:p>
          <w:p w14:paraId="1ADC483B" w14:textId="12261569" w:rsidR="00DD5B04" w:rsidRPr="006A6B87" w:rsidRDefault="00335288" w:rsidP="00DF76A2">
            <w:pPr>
              <w:jc w:val="both"/>
              <w:rPr>
                <w:rFonts w:ascii="Arial" w:hAnsi="Arial" w:cs="Arial"/>
                <w:color w:val="000000" w:themeColor="text1"/>
                <w:sz w:val="16"/>
                <w:szCs w:val="16"/>
                <w:lang w:val="es-ES_tradnl" w:eastAsia="es-ES"/>
              </w:rPr>
            </w:pPr>
            <w:r w:rsidRPr="00B04140">
              <w:rPr>
                <w:rFonts w:ascii="Arial" w:hAnsi="Arial" w:cs="Arial"/>
                <w:sz w:val="16"/>
                <w:szCs w:val="16"/>
                <w:lang w:val="es-ES" w:eastAsia="es-ES"/>
              </w:rPr>
              <w:t>Subdirector de Gestión Contractual ANCP – CCE</w:t>
            </w:r>
          </w:p>
        </w:tc>
      </w:tr>
      <w:bookmarkEnd w:id="4"/>
    </w:tbl>
    <w:p w14:paraId="5E9C37DB" w14:textId="1DEDFC4D" w:rsidR="00746E08" w:rsidRPr="006A6B87" w:rsidRDefault="00746E08" w:rsidP="00322342">
      <w:pPr>
        <w:tabs>
          <w:tab w:val="left" w:pos="3795"/>
        </w:tabs>
        <w:rPr>
          <w:rFonts w:ascii="Arial" w:hAnsi="Arial" w:cs="Arial"/>
          <w:color w:val="000000" w:themeColor="text1"/>
          <w:lang w:val="es-ES_tradnl"/>
        </w:rPr>
      </w:pPr>
    </w:p>
    <w:sectPr w:rsidR="00746E08" w:rsidRPr="006A6B8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09D6" w14:textId="77777777" w:rsidR="002465E6" w:rsidRDefault="002465E6">
      <w:r>
        <w:separator/>
      </w:r>
    </w:p>
  </w:endnote>
  <w:endnote w:type="continuationSeparator" w:id="0">
    <w:p w14:paraId="02921644" w14:textId="77777777" w:rsidR="002465E6" w:rsidRDefault="002465E6">
      <w:r>
        <w:continuationSeparator/>
      </w:r>
    </w:p>
  </w:endnote>
  <w:endnote w:type="continuationNotice" w:id="1">
    <w:p w14:paraId="20E5F39F" w14:textId="77777777" w:rsidR="002465E6" w:rsidRDefault="00246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0A6380" w:rsidRDefault="000A6380" w:rsidP="00322937">
    <w:pPr>
      <w:pStyle w:val="Sinespaciado"/>
      <w:jc w:val="right"/>
      <w:rPr>
        <w:rFonts w:ascii="Arial" w:hAnsi="Arial" w:cs="Arial"/>
        <w:sz w:val="18"/>
        <w:szCs w:val="18"/>
      </w:rPr>
    </w:pPr>
  </w:p>
  <w:p w14:paraId="7A3785F3" w14:textId="62101545" w:rsidR="000A6380" w:rsidRPr="008217B7" w:rsidRDefault="000A638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03286">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03286">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8FC6A04" w14:textId="5FD1A7C9" w:rsidR="000A6380" w:rsidRDefault="000A6380"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0A6380" w:rsidRDefault="000A6380" w:rsidP="007B0854">
    <w:pPr>
      <w:pStyle w:val="Piedepgina"/>
      <w:jc w:val="center"/>
      <w:rPr>
        <w:lang w:val="es-ES"/>
      </w:rPr>
    </w:pPr>
  </w:p>
  <w:p w14:paraId="6C0EFC49" w14:textId="77777777" w:rsidR="000A6380" w:rsidRPr="007B0854" w:rsidRDefault="000A638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EBB1" w14:textId="77777777" w:rsidR="002465E6" w:rsidRDefault="002465E6">
      <w:r>
        <w:separator/>
      </w:r>
    </w:p>
  </w:footnote>
  <w:footnote w:type="continuationSeparator" w:id="0">
    <w:p w14:paraId="6BBB864C" w14:textId="77777777" w:rsidR="002465E6" w:rsidRDefault="002465E6">
      <w:r>
        <w:continuationSeparator/>
      </w:r>
    </w:p>
  </w:footnote>
  <w:footnote w:type="continuationNotice" w:id="1">
    <w:p w14:paraId="10F8CBF0" w14:textId="77777777" w:rsidR="002465E6" w:rsidRDefault="002465E6"/>
  </w:footnote>
  <w:footnote w:id="2">
    <w:p w14:paraId="5C7D11E9" w14:textId="77777777" w:rsidR="00111B3A" w:rsidRPr="005873AF" w:rsidRDefault="00111B3A" w:rsidP="00111B3A">
      <w:pPr>
        <w:pStyle w:val="Textonotapie"/>
        <w:ind w:firstLine="709"/>
        <w:jc w:val="both"/>
        <w:rPr>
          <w:rFonts w:ascii="Arial" w:hAnsi="Arial" w:cs="Arial"/>
          <w:color w:val="000000" w:themeColor="text1"/>
          <w:sz w:val="18"/>
          <w:szCs w:val="18"/>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El artículo </w:t>
      </w:r>
      <w:r w:rsidRPr="005873AF">
        <w:rPr>
          <w:rFonts w:ascii="Arial" w:hAnsi="Arial" w:cs="Arial"/>
          <w:color w:val="000000" w:themeColor="text1"/>
          <w:sz w:val="18"/>
          <w:szCs w:val="18"/>
        </w:rPr>
        <w:t xml:space="preserve">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524EF16" w14:textId="77777777" w:rsidR="00111B3A" w:rsidRPr="005873AF" w:rsidRDefault="00111B3A" w:rsidP="00111B3A">
      <w:pPr>
        <w:pStyle w:val="Textonotapie"/>
        <w:ind w:firstLine="709"/>
        <w:jc w:val="both"/>
        <w:rPr>
          <w:rFonts w:ascii="Arial" w:hAnsi="Arial" w:cs="Arial"/>
          <w:color w:val="000000" w:themeColor="text1"/>
          <w:sz w:val="18"/>
          <w:szCs w:val="18"/>
        </w:rPr>
      </w:pPr>
      <w:r w:rsidRPr="005873AF">
        <w:rPr>
          <w:rFonts w:ascii="Arial" w:hAnsi="Arial" w:cs="Arial"/>
          <w:color w:val="000000" w:themeColor="text1"/>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34F4F7DC" w14:textId="4A6A00BE" w:rsidR="00111B3A" w:rsidRDefault="00111B3A" w:rsidP="00111B3A">
      <w:pPr>
        <w:pStyle w:val="Textonotapie"/>
        <w:ind w:firstLine="709"/>
        <w:jc w:val="both"/>
        <w:rPr>
          <w:rFonts w:ascii="Arial" w:hAnsi="Arial" w:cs="Arial"/>
          <w:color w:val="000000" w:themeColor="text1"/>
          <w:sz w:val="18"/>
          <w:szCs w:val="18"/>
        </w:rPr>
      </w:pPr>
      <w:r w:rsidRPr="005873AF">
        <w:rPr>
          <w:rStyle w:val="Refdenotaalpie"/>
          <w:rFonts w:ascii="Arial" w:hAnsi="Arial" w:cs="Arial"/>
          <w:color w:val="000000" w:themeColor="text1"/>
          <w:sz w:val="18"/>
          <w:szCs w:val="18"/>
        </w:rPr>
        <w:footnoteRef/>
      </w:r>
      <w:r w:rsidRPr="005873AF">
        <w:rPr>
          <w:rFonts w:ascii="Arial" w:hAnsi="Arial" w:cs="Arial"/>
          <w:color w:val="000000" w:themeColor="text1"/>
          <w:sz w:val="18"/>
          <w:szCs w:val="18"/>
        </w:rPr>
        <w:t xml:space="preserve"> Gaceta del Congreso de la República No. 71 del 2005.</w:t>
      </w:r>
    </w:p>
    <w:p w14:paraId="5FAB4333" w14:textId="77777777" w:rsidR="00C478CA" w:rsidRPr="005873AF" w:rsidRDefault="00C478CA" w:rsidP="00111B3A">
      <w:pPr>
        <w:pStyle w:val="Textonotapie"/>
        <w:ind w:firstLine="709"/>
        <w:jc w:val="both"/>
        <w:rPr>
          <w:rFonts w:ascii="Arial" w:hAnsi="Arial" w:cs="Arial"/>
          <w:color w:val="000000" w:themeColor="text1"/>
          <w:sz w:val="18"/>
          <w:szCs w:val="18"/>
        </w:rPr>
      </w:pPr>
    </w:p>
  </w:footnote>
  <w:footnote w:id="4">
    <w:p w14:paraId="34D576BC" w14:textId="77777777" w:rsidR="00111B3A" w:rsidRPr="005873AF" w:rsidRDefault="00111B3A" w:rsidP="00111B3A">
      <w:pPr>
        <w:pStyle w:val="Textonotapie"/>
        <w:ind w:firstLine="709"/>
        <w:jc w:val="both"/>
        <w:rPr>
          <w:rFonts w:ascii="Arial" w:hAnsi="Arial" w:cs="Arial"/>
          <w:color w:val="000000" w:themeColor="text1"/>
          <w:sz w:val="18"/>
          <w:szCs w:val="18"/>
        </w:rPr>
      </w:pPr>
      <w:r w:rsidRPr="005873AF">
        <w:rPr>
          <w:rStyle w:val="Refdenotaalpie"/>
          <w:rFonts w:ascii="Arial" w:hAnsi="Arial" w:cs="Arial"/>
          <w:color w:val="000000" w:themeColor="text1"/>
          <w:sz w:val="18"/>
          <w:szCs w:val="18"/>
        </w:rPr>
        <w:footnoteRef/>
      </w:r>
      <w:r w:rsidRPr="005873AF">
        <w:rPr>
          <w:rFonts w:ascii="Arial" w:hAnsi="Arial" w:cs="Arial"/>
          <w:color w:val="000000" w:themeColor="text1"/>
          <w:sz w:val="18"/>
          <w:szCs w:val="18"/>
        </w:rPr>
        <w:t xml:space="preserve"> Corte Constitucional, Sentencia C- 1153 de 2005, M.P. Marco Gerardo Monroy Cabra.</w:t>
      </w:r>
    </w:p>
  </w:footnote>
  <w:footnote w:id="5">
    <w:p w14:paraId="7C38CC88" w14:textId="77777777" w:rsidR="00111B3A" w:rsidRPr="005873AF" w:rsidRDefault="00111B3A" w:rsidP="00111B3A">
      <w:pPr>
        <w:pStyle w:val="Textonotapie"/>
        <w:ind w:firstLine="709"/>
        <w:jc w:val="both"/>
        <w:rPr>
          <w:rFonts w:ascii="Arial" w:hAnsi="Arial" w:cs="Arial"/>
          <w:color w:val="000000" w:themeColor="text1"/>
          <w:sz w:val="18"/>
          <w:szCs w:val="18"/>
        </w:rPr>
      </w:pPr>
      <w:r w:rsidRPr="005873AF">
        <w:rPr>
          <w:rStyle w:val="Refdenotaalpie"/>
          <w:rFonts w:ascii="Arial" w:hAnsi="Arial" w:cs="Arial"/>
          <w:color w:val="000000" w:themeColor="text1"/>
          <w:sz w:val="18"/>
          <w:szCs w:val="18"/>
        </w:rPr>
        <w:footnoteRef/>
      </w:r>
      <w:r w:rsidRPr="005873AF">
        <w:rPr>
          <w:rFonts w:ascii="Arial" w:hAnsi="Arial" w:cs="Arial"/>
          <w:color w:val="000000" w:themeColor="text1"/>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2A0B6D20" w14:textId="483DF4FC" w:rsidR="00111B3A" w:rsidRDefault="00111B3A" w:rsidP="00111B3A">
      <w:pPr>
        <w:pStyle w:val="Textonotapie"/>
        <w:ind w:firstLine="708"/>
        <w:jc w:val="both"/>
        <w:rPr>
          <w:rFonts w:ascii="Arial" w:hAnsi="Arial" w:cs="Arial"/>
          <w:color w:val="000000" w:themeColor="text1"/>
          <w:sz w:val="18"/>
          <w:szCs w:val="18"/>
          <w:lang w:val="es-CO"/>
        </w:rPr>
      </w:pPr>
      <w:r w:rsidRPr="005873AF">
        <w:rPr>
          <w:rStyle w:val="Refdenotaalpie"/>
          <w:rFonts w:ascii="Arial" w:hAnsi="Arial" w:cs="Arial"/>
          <w:color w:val="000000" w:themeColor="text1"/>
          <w:sz w:val="18"/>
          <w:szCs w:val="18"/>
        </w:rPr>
        <w:footnoteRef/>
      </w:r>
      <w:r w:rsidRPr="005873AF">
        <w:rPr>
          <w:rFonts w:ascii="Arial" w:hAnsi="Arial" w:cs="Arial"/>
          <w:color w:val="000000" w:themeColor="text1"/>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0BEC5240" w14:textId="77777777" w:rsidR="00C478CA" w:rsidRPr="005873AF" w:rsidRDefault="00C478CA" w:rsidP="00111B3A">
      <w:pPr>
        <w:pStyle w:val="Textonotapie"/>
        <w:ind w:firstLine="708"/>
        <w:jc w:val="both"/>
        <w:rPr>
          <w:rFonts w:ascii="Arial" w:hAnsi="Arial" w:cs="Arial"/>
          <w:color w:val="000000" w:themeColor="text1"/>
          <w:sz w:val="18"/>
          <w:szCs w:val="18"/>
          <w:lang w:val="es-CO"/>
        </w:rPr>
      </w:pPr>
    </w:p>
  </w:footnote>
  <w:footnote w:id="7">
    <w:p w14:paraId="136637E0" w14:textId="041C078B" w:rsidR="00111B3A" w:rsidRDefault="00111B3A" w:rsidP="00111B3A">
      <w:pPr>
        <w:pStyle w:val="Textonotapie"/>
        <w:ind w:firstLine="709"/>
        <w:jc w:val="both"/>
        <w:rPr>
          <w:rFonts w:ascii="Arial" w:hAnsi="Arial" w:cs="Arial"/>
          <w:color w:val="000000" w:themeColor="text1"/>
          <w:sz w:val="18"/>
          <w:szCs w:val="18"/>
        </w:rPr>
      </w:pPr>
      <w:r w:rsidRPr="005873AF">
        <w:rPr>
          <w:rStyle w:val="Refdenotaalpie"/>
          <w:rFonts w:ascii="Arial" w:hAnsi="Arial" w:cs="Arial"/>
          <w:color w:val="000000" w:themeColor="text1"/>
          <w:sz w:val="18"/>
          <w:szCs w:val="18"/>
        </w:rPr>
        <w:footnoteRef/>
      </w:r>
      <w:r w:rsidRPr="005873AF">
        <w:rPr>
          <w:rFonts w:ascii="Arial" w:hAnsi="Arial" w:cs="Arial"/>
          <w:color w:val="000000" w:themeColor="text1"/>
          <w:sz w:val="18"/>
          <w:szCs w:val="18"/>
        </w:rPr>
        <w:t xml:space="preserve"> Consejo de Estado, Sala de Consulta y Servicio Civil de fecha 24 de julio de 2013, radicado 2166, Consejero Ponente: Álvaro Namén Vargas.  </w:t>
      </w:r>
    </w:p>
    <w:p w14:paraId="425A0C01" w14:textId="77777777" w:rsidR="00C478CA" w:rsidRPr="005873AF" w:rsidRDefault="00C478CA" w:rsidP="00111B3A">
      <w:pPr>
        <w:pStyle w:val="Textonotapie"/>
        <w:ind w:firstLine="709"/>
        <w:jc w:val="both"/>
        <w:rPr>
          <w:rFonts w:ascii="Arial" w:hAnsi="Arial" w:cs="Arial"/>
          <w:color w:val="000000" w:themeColor="text1"/>
          <w:sz w:val="18"/>
          <w:szCs w:val="18"/>
        </w:rPr>
      </w:pPr>
    </w:p>
  </w:footnote>
  <w:footnote w:id="8">
    <w:p w14:paraId="537A3848" w14:textId="77777777" w:rsidR="00111B3A" w:rsidRPr="005873AF" w:rsidRDefault="00111B3A" w:rsidP="00111B3A">
      <w:pPr>
        <w:ind w:firstLine="709"/>
        <w:jc w:val="both"/>
        <w:rPr>
          <w:rFonts w:ascii="Arial" w:hAnsi="Arial" w:cs="Arial"/>
          <w:color w:val="000000" w:themeColor="text1"/>
          <w:sz w:val="18"/>
          <w:szCs w:val="18"/>
        </w:rPr>
      </w:pPr>
      <w:r w:rsidRPr="005873AF">
        <w:rPr>
          <w:rStyle w:val="Refdenotaalpie"/>
          <w:rFonts w:ascii="Arial" w:hAnsi="Arial" w:cs="Arial"/>
          <w:color w:val="000000" w:themeColor="text1"/>
          <w:sz w:val="18"/>
          <w:szCs w:val="18"/>
        </w:rPr>
        <w:footnoteRef/>
      </w:r>
      <w:r w:rsidRPr="005873AF">
        <w:rPr>
          <w:rFonts w:ascii="Arial" w:hAnsi="Arial" w:cs="Arial"/>
          <w:color w:val="000000" w:themeColor="text1"/>
          <w:sz w:val="18"/>
          <w:szCs w:val="18"/>
        </w:rPr>
        <w:t xml:space="preserve"> </w:t>
      </w:r>
      <w:r w:rsidRPr="005873AF">
        <w:rPr>
          <w:rFonts w:ascii="Arial" w:eastAsia="Calibri" w:hAnsi="Arial" w:cs="Arial"/>
          <w:bCs/>
          <w:color w:val="000000" w:themeColor="text1"/>
          <w:sz w:val="18"/>
          <w:szCs w:val="18"/>
        </w:rPr>
        <w:t>«</w:t>
      </w:r>
      <w:r w:rsidRPr="005873AF">
        <w:rPr>
          <w:rFonts w:ascii="Arial" w:hAnsi="Arial" w:cs="Arial"/>
          <w:color w:val="000000" w:themeColor="text1"/>
          <w:sz w:val="18"/>
          <w:szCs w:val="18"/>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12CE0CEF" w14:textId="77777777" w:rsidR="00111B3A" w:rsidRPr="005873AF" w:rsidRDefault="00111B3A" w:rsidP="00111B3A">
      <w:pPr>
        <w:ind w:firstLine="709"/>
        <w:jc w:val="both"/>
        <w:rPr>
          <w:rFonts w:ascii="Arial" w:hAnsi="Arial" w:cs="Arial"/>
          <w:color w:val="000000" w:themeColor="text1"/>
          <w:sz w:val="18"/>
          <w:szCs w:val="18"/>
        </w:rPr>
      </w:pPr>
      <w:r w:rsidRPr="005873AF">
        <w:rPr>
          <w:rFonts w:ascii="Arial" w:eastAsia="Calibri" w:hAnsi="Arial" w:cs="Arial"/>
          <w:bCs/>
          <w:color w:val="000000" w:themeColor="text1"/>
          <w:sz w:val="18"/>
          <w:szCs w:val="18"/>
        </w:rPr>
        <w:t>»</w:t>
      </w:r>
      <w:r w:rsidRPr="005873AF">
        <w:rPr>
          <w:rFonts w:ascii="Arial" w:hAnsi="Arial" w:cs="Arial"/>
          <w:color w:val="000000" w:themeColor="text1"/>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873AF">
        <w:rPr>
          <w:rFonts w:ascii="Arial" w:eastAsia="Calibri" w:hAnsi="Arial" w:cs="Arial"/>
          <w:bCs/>
          <w:color w:val="000000" w:themeColor="text1"/>
          <w:sz w:val="18"/>
          <w:szCs w:val="18"/>
        </w:rPr>
        <w:t>»</w:t>
      </w:r>
      <w:r w:rsidRPr="005873AF">
        <w:rPr>
          <w:rFonts w:ascii="Arial" w:hAnsi="Arial" w:cs="Arial"/>
          <w:color w:val="000000" w:themeColor="text1"/>
          <w:sz w:val="18"/>
          <w:szCs w:val="18"/>
        </w:rPr>
        <w:t>.</w:t>
      </w:r>
    </w:p>
  </w:footnote>
  <w:footnote w:id="9">
    <w:p w14:paraId="05D2DA16" w14:textId="77777777" w:rsidR="00111B3A" w:rsidRPr="005873AF" w:rsidRDefault="00111B3A" w:rsidP="00111B3A">
      <w:pPr>
        <w:pStyle w:val="NormalWeb"/>
        <w:spacing w:before="0" w:beforeAutospacing="0" w:after="0" w:afterAutospacing="0"/>
        <w:ind w:firstLine="709"/>
        <w:jc w:val="both"/>
        <w:rPr>
          <w:rFonts w:ascii="Arial" w:hAnsi="Arial" w:cs="Arial"/>
          <w:color w:val="000000" w:themeColor="text1"/>
          <w:sz w:val="18"/>
          <w:szCs w:val="18"/>
          <w:lang w:val="es-MX"/>
        </w:rPr>
      </w:pPr>
      <w:r w:rsidRPr="005873AF">
        <w:rPr>
          <w:rStyle w:val="Refdenotaalpie"/>
          <w:rFonts w:ascii="Arial" w:hAnsi="Arial" w:cs="Arial"/>
          <w:color w:val="000000" w:themeColor="text1"/>
          <w:sz w:val="18"/>
          <w:szCs w:val="18"/>
        </w:rPr>
        <w:footnoteRef/>
      </w:r>
      <w:r w:rsidRPr="005873AF">
        <w:rPr>
          <w:rFonts w:ascii="Arial" w:hAnsi="Arial" w:cs="Arial"/>
          <w:color w:val="000000" w:themeColor="text1"/>
          <w:sz w:val="18"/>
          <w:szCs w:val="18"/>
        </w:rPr>
        <w:t xml:space="preserve"> </w:t>
      </w:r>
      <w:bookmarkStart w:id="22" w:name="38"/>
      <w:r w:rsidRPr="005873AF">
        <w:rPr>
          <w:rFonts w:ascii="Arial" w:eastAsia="Calibri" w:hAnsi="Arial" w:cs="Arial"/>
          <w:bCs/>
          <w:color w:val="000000" w:themeColor="text1"/>
          <w:sz w:val="18"/>
          <w:szCs w:val="18"/>
        </w:rPr>
        <w:t>«</w:t>
      </w:r>
      <w:r w:rsidRPr="005873AF">
        <w:rPr>
          <w:rFonts w:ascii="Arial" w:hAnsi="Arial" w:cs="Arial"/>
          <w:color w:val="000000" w:themeColor="text1"/>
          <w:sz w:val="18"/>
          <w:szCs w:val="18"/>
          <w:lang w:val="es-MX"/>
        </w:rPr>
        <w:t>Artículo 38. Prohibiciones para los servidores públicos. A los empleados del Estado les está prohibido:</w:t>
      </w:r>
      <w:bookmarkEnd w:id="22"/>
    </w:p>
    <w:p w14:paraId="05052662" w14:textId="77777777" w:rsidR="00111B3A" w:rsidRPr="005873AF" w:rsidRDefault="00111B3A" w:rsidP="00111B3A">
      <w:pPr>
        <w:pStyle w:val="NormalWeb"/>
        <w:spacing w:before="0" w:beforeAutospacing="0" w:after="0" w:afterAutospacing="0"/>
        <w:ind w:firstLine="709"/>
        <w:jc w:val="both"/>
        <w:rPr>
          <w:rFonts w:ascii="Arial" w:hAnsi="Arial" w:cs="Arial"/>
          <w:color w:val="000000" w:themeColor="text1"/>
          <w:sz w:val="18"/>
          <w:szCs w:val="18"/>
          <w:lang w:val="es-MX"/>
        </w:rPr>
      </w:pPr>
      <w:r w:rsidRPr="005873AF">
        <w:rPr>
          <w:rFonts w:ascii="Arial" w:eastAsia="Calibri" w:hAnsi="Arial" w:cs="Arial"/>
          <w:bCs/>
          <w:color w:val="000000" w:themeColor="text1"/>
          <w:sz w:val="18"/>
          <w:szCs w:val="18"/>
        </w:rPr>
        <w:t>»</w:t>
      </w:r>
      <w:r w:rsidRPr="005873AF">
        <w:rPr>
          <w:rFonts w:ascii="Arial" w:hAnsi="Arial" w:cs="Arial"/>
          <w:color w:val="000000" w:themeColor="text1"/>
          <w:sz w:val="18"/>
          <w:szCs w:val="18"/>
          <w:lang w:val="es-MX"/>
        </w:rPr>
        <w:t xml:space="preserve"> […]</w:t>
      </w:r>
    </w:p>
    <w:p w14:paraId="319E2D68" w14:textId="77777777" w:rsidR="00111B3A" w:rsidRPr="005873AF" w:rsidRDefault="00111B3A" w:rsidP="00111B3A">
      <w:pPr>
        <w:pStyle w:val="NormalWeb"/>
        <w:spacing w:before="0" w:beforeAutospacing="0" w:after="0" w:afterAutospacing="0"/>
        <w:ind w:firstLine="709"/>
        <w:jc w:val="both"/>
        <w:rPr>
          <w:rFonts w:ascii="Arial" w:hAnsi="Arial" w:cs="Arial"/>
          <w:color w:val="000000" w:themeColor="text1"/>
          <w:sz w:val="18"/>
          <w:szCs w:val="18"/>
          <w:lang w:val="es-MX"/>
        </w:rPr>
      </w:pPr>
      <w:r w:rsidRPr="005873AF">
        <w:rPr>
          <w:rFonts w:ascii="Arial" w:eastAsia="Calibri" w:hAnsi="Arial" w:cs="Arial"/>
          <w:bCs/>
          <w:color w:val="000000" w:themeColor="text1"/>
          <w:sz w:val="18"/>
          <w:szCs w:val="18"/>
        </w:rPr>
        <w:t>»</w:t>
      </w:r>
      <w:r w:rsidRPr="005873AF">
        <w:rPr>
          <w:rStyle w:val="baj"/>
          <w:rFonts w:ascii="Arial" w:hAnsi="Arial" w:cs="Arial"/>
          <w:color w:val="000000" w:themeColor="text1"/>
          <w:sz w:val="18"/>
          <w:szCs w:val="18"/>
          <w:lang w:val="es-MX"/>
        </w:rPr>
        <w:t xml:space="preserve"> Parágrafo.</w:t>
      </w:r>
      <w:r w:rsidRPr="005873AF">
        <w:rPr>
          <w:rFonts w:ascii="Arial" w:hAnsi="Arial" w:cs="Arial"/>
          <w:color w:val="000000" w:themeColor="text1"/>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873AF">
        <w:rPr>
          <w:rFonts w:ascii="Arial" w:eastAsia="Calibri" w:hAnsi="Arial" w:cs="Arial"/>
          <w:bCs/>
          <w:color w:val="000000" w:themeColor="text1"/>
          <w:sz w:val="18"/>
          <w:szCs w:val="18"/>
        </w:rPr>
        <w:t>»</w:t>
      </w:r>
      <w:r w:rsidRPr="005873AF">
        <w:rPr>
          <w:rFonts w:ascii="Arial" w:hAnsi="Arial" w:cs="Arial"/>
          <w:color w:val="000000" w:themeColor="text1"/>
          <w:sz w:val="18"/>
          <w:szCs w:val="18"/>
          <w:lang w:val="es-MX"/>
        </w:rPr>
        <w:t>.</w:t>
      </w:r>
    </w:p>
  </w:footnote>
  <w:footnote w:id="10">
    <w:p w14:paraId="1C40C447" w14:textId="77777777" w:rsidR="00111B3A" w:rsidRPr="005873AF" w:rsidRDefault="00111B3A" w:rsidP="00111B3A">
      <w:pPr>
        <w:ind w:left="100" w:right="244" w:firstLine="709"/>
        <w:jc w:val="both"/>
        <w:rPr>
          <w:rFonts w:ascii="Arial" w:hAnsi="Arial" w:cs="Arial"/>
          <w:color w:val="000000" w:themeColor="text1"/>
          <w:sz w:val="18"/>
          <w:szCs w:val="18"/>
          <w:lang w:val="es-ES"/>
        </w:rPr>
      </w:pPr>
      <w:r w:rsidRPr="005873AF">
        <w:rPr>
          <w:rStyle w:val="Refdenotaalpie"/>
          <w:rFonts w:ascii="Arial" w:hAnsi="Arial" w:cs="Arial"/>
          <w:color w:val="000000" w:themeColor="text1"/>
          <w:sz w:val="18"/>
          <w:szCs w:val="18"/>
        </w:rPr>
        <w:footnoteRef/>
      </w:r>
      <w:r w:rsidRPr="005873AF">
        <w:rPr>
          <w:rFonts w:ascii="Arial" w:hAnsi="Arial" w:cs="Arial"/>
          <w:color w:val="000000" w:themeColor="text1"/>
          <w:sz w:val="18"/>
          <w:szCs w:val="18"/>
        </w:rPr>
        <w:t xml:space="preserve"> Consejo de Estado. Sala de Consulta y Servicio Civil. Concepto del 17 de febrero de 2015. C.P. William Zambrano Cetina. Radicación No. 11001-03-06-000-2015-00164-00(2269).</w:t>
      </w:r>
    </w:p>
  </w:footnote>
  <w:footnote w:id="11">
    <w:p w14:paraId="5197261B" w14:textId="058502E3" w:rsidR="00A31B74" w:rsidRDefault="00A31B74" w:rsidP="00A31B74">
      <w:pPr>
        <w:pStyle w:val="Textonotapie"/>
        <w:ind w:right="51" w:firstLine="709"/>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w:t>
      </w:r>
      <w:bookmarkStart w:id="28" w:name="_Hlk74272731"/>
      <w:r w:rsidRPr="005873AF">
        <w:rPr>
          <w:rFonts w:ascii="Arial" w:hAnsi="Arial" w:cs="Arial"/>
          <w:color w:val="000000" w:themeColor="text1"/>
          <w:sz w:val="19"/>
          <w:szCs w:val="19"/>
        </w:rPr>
        <w:t>«</w:t>
      </w:r>
      <w:bookmarkEnd w:id="28"/>
      <w:r w:rsidRPr="005873AF">
        <w:rPr>
          <w:rFonts w:ascii="Arial" w:hAnsi="Arial" w:cs="Arial"/>
          <w:color w:val="000000" w:themeColor="text1"/>
          <w:sz w:val="19"/>
          <w:szCs w:val="19"/>
          <w:lang w:val="es-ES"/>
        </w:rPr>
        <w:t xml:space="preserve">[25] </w:t>
      </w:r>
      <w:r w:rsidRPr="005873AF">
        <w:rPr>
          <w:rFonts w:ascii="Arial" w:hAnsi="Arial" w:cs="Arial"/>
          <w:color w:val="000000" w:themeColor="text1"/>
          <w:sz w:val="19"/>
          <w:szCs w:val="19"/>
        </w:rPr>
        <w:t>Cfr. Consejo de Estado. Sección Tercera. Sentencia de 3 de diciembre de 2007. Radicados: 24.715, 25.206, 25.409, 24.524, 27.834, 25.410, 26.105, 28.244, 31.447 -acumulados-</w:t>
      </w:r>
      <w:bookmarkStart w:id="29" w:name="_Hlk74271358"/>
      <w:r w:rsidRPr="005873AF">
        <w:rPr>
          <w:rFonts w:ascii="Arial" w:hAnsi="Arial" w:cs="Arial"/>
          <w:color w:val="000000" w:themeColor="text1"/>
          <w:sz w:val="19"/>
          <w:szCs w:val="19"/>
        </w:rPr>
        <w:t>»</w:t>
      </w:r>
      <w:bookmarkEnd w:id="29"/>
      <w:r w:rsidRPr="005873AF">
        <w:rPr>
          <w:rFonts w:ascii="Arial" w:hAnsi="Arial" w:cs="Arial"/>
          <w:color w:val="000000" w:themeColor="text1"/>
          <w:sz w:val="19"/>
          <w:szCs w:val="19"/>
        </w:rPr>
        <w:t>.</w:t>
      </w:r>
    </w:p>
    <w:p w14:paraId="5ACC5F35" w14:textId="77777777" w:rsidR="007365FE" w:rsidRPr="005873AF" w:rsidRDefault="007365FE" w:rsidP="00A31B74">
      <w:pPr>
        <w:pStyle w:val="Textonotapie"/>
        <w:ind w:right="51" w:firstLine="709"/>
        <w:jc w:val="both"/>
        <w:rPr>
          <w:rFonts w:ascii="Arial" w:hAnsi="Arial" w:cs="Arial"/>
          <w:color w:val="000000" w:themeColor="text1"/>
          <w:sz w:val="19"/>
          <w:szCs w:val="19"/>
        </w:rPr>
      </w:pPr>
    </w:p>
  </w:footnote>
  <w:footnote w:id="12">
    <w:p w14:paraId="2E9DBA3E" w14:textId="6D6D5C8D" w:rsidR="00A31B74" w:rsidRDefault="00A31B74" w:rsidP="00A31B74">
      <w:pPr>
        <w:pStyle w:val="Textonotapie"/>
        <w:ind w:right="51" w:firstLine="709"/>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w:t>
      </w:r>
      <w:bookmarkStart w:id="31" w:name="_Hlk74294506"/>
      <w:r w:rsidRPr="005873AF">
        <w:rPr>
          <w:rFonts w:ascii="Arial" w:hAnsi="Arial" w:cs="Arial"/>
          <w:color w:val="000000" w:themeColor="text1"/>
          <w:sz w:val="19"/>
          <w:szCs w:val="19"/>
        </w:rPr>
        <w:t>«</w:t>
      </w:r>
      <w:r w:rsidRPr="005873AF">
        <w:rPr>
          <w:rFonts w:ascii="Arial" w:hAnsi="Arial" w:cs="Arial"/>
          <w:color w:val="000000" w:themeColor="text1"/>
          <w:sz w:val="19"/>
          <w:szCs w:val="19"/>
          <w:lang w:val="es-ES"/>
        </w:rPr>
        <w:t xml:space="preserve">[26] </w:t>
      </w:r>
      <w:bookmarkEnd w:id="31"/>
      <w:r w:rsidRPr="005873AF">
        <w:rPr>
          <w:rFonts w:ascii="Arial" w:hAnsi="Arial" w:cs="Arial"/>
          <w:color w:val="000000" w:themeColor="text1"/>
          <w:sz w:val="19"/>
          <w:szCs w:val="19"/>
        </w:rPr>
        <w:t>Al respecto ver el concepto 1712 de 2 de febrero de 2006. Consejo de Estado Sala de Consulta y Servicio Civil».</w:t>
      </w:r>
    </w:p>
    <w:p w14:paraId="1784876F" w14:textId="77777777" w:rsidR="007365FE" w:rsidRPr="005873AF" w:rsidRDefault="007365FE" w:rsidP="00A31B74">
      <w:pPr>
        <w:pStyle w:val="Textonotapie"/>
        <w:ind w:right="51" w:firstLine="709"/>
        <w:jc w:val="both"/>
        <w:rPr>
          <w:rFonts w:ascii="Arial" w:hAnsi="Arial" w:cs="Arial"/>
          <w:color w:val="000000" w:themeColor="text1"/>
          <w:sz w:val="19"/>
          <w:szCs w:val="19"/>
        </w:rPr>
      </w:pPr>
    </w:p>
  </w:footnote>
  <w:footnote w:id="13">
    <w:p w14:paraId="73FEAD98" w14:textId="6D858065" w:rsidR="00A31B74" w:rsidRDefault="00A31B74" w:rsidP="00A31B74">
      <w:pPr>
        <w:pStyle w:val="Textonotapie"/>
        <w:ind w:firstLine="709"/>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Consejo de Estado. Sala de Consulta y Servicio Civil. Concepto del 2 de septiembre de 2013. Radicación número: 11001-03-06-000-2013-00412-00 (2168). Consejero Ponente: Álvaro Namén Vargas.</w:t>
      </w:r>
    </w:p>
    <w:p w14:paraId="359BA25F" w14:textId="77777777" w:rsidR="007365FE" w:rsidRPr="005873AF" w:rsidRDefault="007365FE" w:rsidP="00A31B74">
      <w:pPr>
        <w:pStyle w:val="Textonotapie"/>
        <w:ind w:firstLine="709"/>
        <w:jc w:val="both"/>
        <w:rPr>
          <w:rFonts w:ascii="Arial" w:hAnsi="Arial" w:cs="Arial"/>
          <w:color w:val="000000" w:themeColor="text1"/>
          <w:sz w:val="19"/>
          <w:szCs w:val="19"/>
        </w:rPr>
      </w:pPr>
    </w:p>
  </w:footnote>
  <w:footnote w:id="14">
    <w:p w14:paraId="0C568E97" w14:textId="524C6AB1" w:rsidR="00A31B74" w:rsidRDefault="00A31B74" w:rsidP="00A31B74">
      <w:pPr>
        <w:pStyle w:val="Textonotapie"/>
        <w:ind w:firstLine="709"/>
        <w:jc w:val="both"/>
        <w:rPr>
          <w:rFonts w:ascii="Arial" w:hAnsi="Arial" w:cs="Arial"/>
          <w:color w:val="000000" w:themeColor="text1"/>
          <w:sz w:val="19"/>
          <w:szCs w:val="19"/>
          <w:lang w:val="es-ES"/>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w:t>
      </w:r>
      <w:r w:rsidRPr="005873AF">
        <w:rPr>
          <w:rFonts w:ascii="Arial" w:hAnsi="Arial" w:cs="Arial"/>
          <w:color w:val="000000" w:themeColor="text1"/>
          <w:sz w:val="19"/>
          <w:szCs w:val="19"/>
          <w:lang w:val="es-ES"/>
        </w:rPr>
        <w:t xml:space="preserve">Artículo 2. </w:t>
      </w:r>
    </w:p>
    <w:p w14:paraId="58A5D913" w14:textId="77777777" w:rsidR="007365FE" w:rsidRPr="005873AF" w:rsidRDefault="007365FE" w:rsidP="00A31B74">
      <w:pPr>
        <w:pStyle w:val="Textonotapie"/>
        <w:ind w:firstLine="709"/>
        <w:jc w:val="both"/>
        <w:rPr>
          <w:rFonts w:ascii="Arial" w:hAnsi="Arial" w:cs="Arial"/>
          <w:color w:val="000000" w:themeColor="text1"/>
          <w:sz w:val="19"/>
          <w:szCs w:val="19"/>
          <w:lang w:val="es-ES"/>
        </w:rPr>
      </w:pPr>
    </w:p>
  </w:footnote>
  <w:footnote w:id="15">
    <w:p w14:paraId="6FA8FFC2" w14:textId="77777777" w:rsidR="00A31B74" w:rsidRPr="005873AF" w:rsidRDefault="00A31B74" w:rsidP="00A31B74">
      <w:pPr>
        <w:pStyle w:val="Textonotapie"/>
        <w:ind w:firstLine="709"/>
        <w:jc w:val="both"/>
        <w:rPr>
          <w:rFonts w:ascii="Arial" w:hAnsi="Arial" w:cs="Arial"/>
          <w:color w:val="000000" w:themeColor="text1"/>
          <w:sz w:val="19"/>
          <w:szCs w:val="19"/>
          <w:lang w:val="es-ES"/>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w:t>
      </w:r>
      <w:r w:rsidRPr="005873AF">
        <w:rPr>
          <w:rFonts w:ascii="Arial" w:hAnsi="Arial" w:cs="Arial"/>
          <w:i/>
          <w:color w:val="000000" w:themeColor="text1"/>
          <w:sz w:val="19"/>
          <w:szCs w:val="19"/>
          <w:lang w:val="es-ES"/>
        </w:rPr>
        <w:t>Ídem</w:t>
      </w:r>
      <w:r w:rsidRPr="005873AF">
        <w:rPr>
          <w:rFonts w:ascii="Arial" w:hAnsi="Arial" w:cs="Arial"/>
          <w:color w:val="000000" w:themeColor="text1"/>
          <w:sz w:val="19"/>
          <w:szCs w:val="19"/>
          <w:lang w:val="es-ES"/>
        </w:rPr>
        <w:t>.</w:t>
      </w:r>
    </w:p>
  </w:footnote>
  <w:footnote w:id="16">
    <w:p w14:paraId="4168AB90" w14:textId="2EB0DDC5" w:rsidR="00A31B74" w:rsidRDefault="00A31B74" w:rsidP="00A31B74">
      <w:pPr>
        <w:pStyle w:val="Textonotapie"/>
        <w:ind w:firstLine="709"/>
        <w:jc w:val="both"/>
        <w:rPr>
          <w:rFonts w:ascii="Arial" w:hAnsi="Arial" w:cs="Arial"/>
          <w:color w:val="000000" w:themeColor="text1"/>
          <w:sz w:val="19"/>
          <w:szCs w:val="19"/>
          <w:lang w:val="es-ES"/>
        </w:rPr>
      </w:pPr>
      <w:r w:rsidRPr="005873AF">
        <w:rPr>
          <w:rStyle w:val="Refdenotaalpie"/>
          <w:rFonts w:ascii="Arial" w:hAnsi="Arial" w:cs="Arial"/>
          <w:color w:val="000000" w:themeColor="text1"/>
          <w:sz w:val="19"/>
          <w:szCs w:val="19"/>
        </w:rPr>
        <w:footnoteRef/>
      </w:r>
      <w:r w:rsidRPr="005873AF">
        <w:rPr>
          <w:rStyle w:val="Refdenotaalpie"/>
          <w:rFonts w:ascii="Arial" w:hAnsi="Arial" w:cs="Arial"/>
          <w:color w:val="000000" w:themeColor="text1"/>
          <w:sz w:val="19"/>
          <w:szCs w:val="19"/>
        </w:rPr>
        <w:t xml:space="preserve"> </w:t>
      </w:r>
      <w:bookmarkStart w:id="35" w:name="_Hlk74297130"/>
      <w:r w:rsidRPr="005873AF">
        <w:rPr>
          <w:rFonts w:ascii="Arial" w:hAnsi="Arial" w:cs="Arial"/>
          <w:color w:val="000000" w:themeColor="text1"/>
          <w:sz w:val="19"/>
          <w:szCs w:val="19"/>
          <w:lang w:val="es-ES"/>
        </w:rPr>
        <w:t>«</w:t>
      </w:r>
      <w:bookmarkEnd w:id="35"/>
      <w:r w:rsidRPr="005873AF">
        <w:rPr>
          <w:rFonts w:ascii="Arial" w:hAnsi="Arial" w:cs="Arial"/>
          <w:color w:val="000000" w:themeColor="text1"/>
          <w:sz w:val="19"/>
          <w:szCs w:val="19"/>
          <w:lang w:val="es-ES"/>
        </w:rPr>
        <w:t xml:space="preserve">[…] A este respecto, cabe recordar que el artículo 860 del Código de Comercio regula la licitación en el derecho privado». </w:t>
      </w:r>
    </w:p>
    <w:p w14:paraId="52389E70" w14:textId="77777777" w:rsidR="007365FE" w:rsidRPr="005873AF" w:rsidRDefault="007365FE" w:rsidP="00A31B74">
      <w:pPr>
        <w:pStyle w:val="Textonotapie"/>
        <w:ind w:firstLine="709"/>
        <w:jc w:val="both"/>
        <w:rPr>
          <w:rFonts w:ascii="Arial" w:hAnsi="Arial" w:cs="Arial"/>
          <w:color w:val="000000" w:themeColor="text1"/>
          <w:sz w:val="19"/>
          <w:szCs w:val="19"/>
          <w:lang w:val="es-ES"/>
        </w:rPr>
      </w:pPr>
    </w:p>
  </w:footnote>
  <w:footnote w:id="17">
    <w:p w14:paraId="678A9757" w14:textId="612320A7" w:rsidR="00A31B74" w:rsidRDefault="00A31B74" w:rsidP="00A31B74">
      <w:pPr>
        <w:shd w:val="clear" w:color="auto" w:fill="FFFFFF"/>
        <w:ind w:firstLine="709"/>
        <w:jc w:val="both"/>
        <w:rPr>
          <w:rFonts w:ascii="Arial" w:hAnsi="Arial" w:cs="Arial"/>
          <w:color w:val="000000" w:themeColor="text1"/>
          <w:sz w:val="19"/>
          <w:szCs w:val="19"/>
          <w:lang w:val="es-ES"/>
        </w:rPr>
      </w:pPr>
      <w:r w:rsidRPr="005873AF">
        <w:rPr>
          <w:rStyle w:val="Refdenotaalpie"/>
          <w:rFonts w:ascii="Arial" w:hAnsi="Arial" w:cs="Arial"/>
          <w:color w:val="000000" w:themeColor="text1"/>
          <w:sz w:val="19"/>
          <w:szCs w:val="19"/>
        </w:rPr>
        <w:footnoteRef/>
      </w:r>
      <w:r w:rsidRPr="005873AF">
        <w:rPr>
          <w:rStyle w:val="Refdenotaalpie"/>
          <w:rFonts w:ascii="Arial" w:hAnsi="Arial" w:cs="Arial"/>
          <w:color w:val="000000" w:themeColor="text1"/>
          <w:sz w:val="19"/>
          <w:szCs w:val="19"/>
        </w:rPr>
        <w:t xml:space="preserve"> </w:t>
      </w:r>
      <w:r w:rsidRPr="005873AF">
        <w:rPr>
          <w:rFonts w:ascii="Arial" w:hAnsi="Arial" w:cs="Arial"/>
          <w:color w:val="000000" w:themeColor="text1"/>
          <w:sz w:val="19"/>
          <w:szCs w:val="19"/>
          <w:lang w:val="es-ES"/>
        </w:rPr>
        <w:t>Consejo de Estado. Sala de Consulta y Servicio Civil, Concepto de 8 de mayo de 2018. Radicación Número: 11001-03-06-000-2018-00095-00(2382). Consejero Ponente: Álvaro Namén Vargas.</w:t>
      </w:r>
    </w:p>
    <w:p w14:paraId="1BA88B13" w14:textId="77777777" w:rsidR="007365FE" w:rsidRPr="005873AF" w:rsidRDefault="007365FE" w:rsidP="00A31B74">
      <w:pPr>
        <w:shd w:val="clear" w:color="auto" w:fill="FFFFFF"/>
        <w:ind w:firstLine="709"/>
        <w:jc w:val="both"/>
        <w:rPr>
          <w:rFonts w:ascii="Arial" w:hAnsi="Arial" w:cs="Arial"/>
          <w:color w:val="000000" w:themeColor="text1"/>
          <w:sz w:val="19"/>
          <w:szCs w:val="19"/>
          <w:lang w:val="es-ES"/>
        </w:rPr>
      </w:pPr>
    </w:p>
  </w:footnote>
  <w:footnote w:id="18">
    <w:p w14:paraId="4ADCD140" w14:textId="77777777" w:rsidR="00A31B74" w:rsidRPr="005873AF" w:rsidRDefault="00A31B74" w:rsidP="00A31B74">
      <w:pPr>
        <w:pStyle w:val="Textonotapie"/>
        <w:ind w:firstLine="709"/>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Consejo de Estado. Sala de Consulta y Servicio Civil. Concepto del 08 de mayo de 2018. Exp. 2.382. C.P. Álvaro Namén Vargas.</w:t>
      </w:r>
    </w:p>
  </w:footnote>
  <w:footnote w:id="19">
    <w:p w14:paraId="14546CA1" w14:textId="2BEC1AAA" w:rsidR="00A31B74" w:rsidRDefault="00A31B74" w:rsidP="00A31B74">
      <w:pPr>
        <w:pStyle w:val="Textonotapie"/>
        <w:ind w:firstLine="708"/>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COLOMBIA COMP</w:t>
      </w:r>
      <w:r>
        <w:rPr>
          <w:rFonts w:ascii="Arial" w:hAnsi="Arial" w:cs="Arial"/>
          <w:color w:val="000000" w:themeColor="text1"/>
          <w:sz w:val="19"/>
          <w:szCs w:val="19"/>
        </w:rPr>
        <w:t>R</w:t>
      </w:r>
      <w:r w:rsidRPr="005873AF">
        <w:rPr>
          <w:rFonts w:ascii="Arial" w:hAnsi="Arial" w:cs="Arial"/>
          <w:color w:val="000000" w:themeColor="text1"/>
          <w:sz w:val="19"/>
          <w:szCs w:val="19"/>
        </w:rPr>
        <w:t>A EFICIENTE. Circular Externa Única. Numeral 15.5.</w:t>
      </w:r>
    </w:p>
    <w:p w14:paraId="1BC7BF88" w14:textId="77777777" w:rsidR="007365FE" w:rsidRPr="005873AF" w:rsidRDefault="007365FE" w:rsidP="00A31B74">
      <w:pPr>
        <w:pStyle w:val="Textonotapie"/>
        <w:ind w:firstLine="708"/>
        <w:jc w:val="both"/>
        <w:rPr>
          <w:rFonts w:ascii="Arial" w:hAnsi="Arial" w:cs="Arial"/>
          <w:color w:val="000000" w:themeColor="text1"/>
          <w:sz w:val="19"/>
          <w:szCs w:val="19"/>
        </w:rPr>
      </w:pPr>
    </w:p>
  </w:footnote>
  <w:footnote w:id="20">
    <w:p w14:paraId="05D810F1" w14:textId="77777777" w:rsidR="00A31B74" w:rsidRPr="005873AF" w:rsidRDefault="00A31B74" w:rsidP="00A31B74">
      <w:pPr>
        <w:pBdr>
          <w:top w:val="nil"/>
          <w:left w:val="nil"/>
          <w:bottom w:val="nil"/>
          <w:right w:val="nil"/>
          <w:between w:val="nil"/>
        </w:pBdr>
        <w:ind w:firstLine="709"/>
        <w:jc w:val="both"/>
        <w:rPr>
          <w:rFonts w:ascii="Arial" w:eastAsia="Arial" w:hAnsi="Arial" w:cs="Arial"/>
          <w:color w:val="000000" w:themeColor="text1"/>
          <w:sz w:val="19"/>
          <w:szCs w:val="19"/>
        </w:rPr>
      </w:pPr>
      <w:r w:rsidRPr="005873AF">
        <w:rPr>
          <w:rFonts w:ascii="Arial" w:hAnsi="Arial" w:cs="Arial"/>
          <w:color w:val="000000" w:themeColor="text1"/>
          <w:sz w:val="19"/>
          <w:szCs w:val="19"/>
          <w:vertAlign w:val="superscript"/>
        </w:rPr>
        <w:footnoteRef/>
      </w:r>
      <w:r w:rsidRPr="005873AF">
        <w:rPr>
          <w:rFonts w:ascii="Arial" w:eastAsia="Arial" w:hAnsi="Arial" w:cs="Arial"/>
          <w:color w:val="000000" w:themeColor="text1"/>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5DEF8B7F" w14:textId="5F82B792" w:rsidR="00A210E6" w:rsidRPr="005873AF" w:rsidRDefault="00A210E6">
      <w:pPr>
        <w:ind w:firstLine="709"/>
        <w:jc w:val="both"/>
        <w:rPr>
          <w:rFonts w:ascii="Arial" w:eastAsia="Arial" w:hAnsi="Arial" w:cs="Arial"/>
          <w:color w:val="000000" w:themeColor="text1"/>
          <w:sz w:val="19"/>
          <w:szCs w:val="19"/>
        </w:rPr>
      </w:pPr>
      <w:r w:rsidRPr="005873AF">
        <w:rPr>
          <w:rFonts w:ascii="Arial" w:hAnsi="Arial" w:cs="Arial"/>
          <w:color w:val="000000" w:themeColor="text1"/>
          <w:sz w:val="19"/>
          <w:szCs w:val="19"/>
          <w:vertAlign w:val="superscript"/>
        </w:rPr>
        <w:footnoteRef/>
      </w:r>
      <w:r w:rsidRPr="005873AF">
        <w:rPr>
          <w:rFonts w:ascii="Arial" w:eastAsia="Arial" w:hAnsi="Arial" w:cs="Arial"/>
          <w:color w:val="000000" w:themeColor="text1"/>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0507B8A5" w14:textId="42525D4A" w:rsidR="00A210E6" w:rsidRDefault="00A210E6">
      <w:pPr>
        <w:pStyle w:val="Textonotapie"/>
        <w:ind w:firstLine="708"/>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Consejo de Estado. Sala de Consulta y Servicio Civil. Concepto del 18 de febrero 2010. Rad. 11001-03-06-000-2010-00006-00 (1985). C.P. Enrique José Arboleda Perdomo.</w:t>
      </w:r>
    </w:p>
    <w:p w14:paraId="6CD1B021" w14:textId="77777777" w:rsidR="00DC4CF6" w:rsidRPr="005873AF" w:rsidRDefault="00DC4CF6">
      <w:pPr>
        <w:pStyle w:val="Textonotapie"/>
        <w:ind w:firstLine="708"/>
        <w:jc w:val="both"/>
        <w:rPr>
          <w:rFonts w:ascii="Arial" w:hAnsi="Arial" w:cs="Arial"/>
          <w:color w:val="000000" w:themeColor="text1"/>
          <w:sz w:val="19"/>
          <w:szCs w:val="19"/>
        </w:rPr>
      </w:pPr>
    </w:p>
  </w:footnote>
  <w:footnote w:id="23">
    <w:p w14:paraId="14434EB6" w14:textId="77777777" w:rsidR="00A210E6" w:rsidRPr="005873AF" w:rsidRDefault="00A210E6" w:rsidP="00A210E6">
      <w:pPr>
        <w:pStyle w:val="Textonotapie"/>
        <w:ind w:firstLine="708"/>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Corte Constitucional. Sentencia C-1153 de 2005 M.P. Marco Gerardo Monroy Cabra. </w:t>
      </w:r>
    </w:p>
  </w:footnote>
  <w:footnote w:id="24">
    <w:p w14:paraId="34D65754" w14:textId="6238A418" w:rsidR="00A210E6" w:rsidRPr="005873AF" w:rsidRDefault="00A210E6" w:rsidP="00F05449">
      <w:pPr>
        <w:pStyle w:val="Textonotapie"/>
        <w:ind w:firstLine="708"/>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Consejo de Estado. Sala de Consulta y Servicio Civil. Concepto del 02 de septiembre de 2013. Rad. 11001-03-06-000-2013-00412-00 (2168). C.P. Álvaro Namén Vargas.</w:t>
      </w:r>
    </w:p>
  </w:footnote>
  <w:footnote w:id="25">
    <w:p w14:paraId="375B8386" w14:textId="67433D4B" w:rsidR="004D3439" w:rsidRPr="006B7A7B" w:rsidRDefault="004D3439" w:rsidP="006B7A7B">
      <w:pPr>
        <w:pStyle w:val="Textonotapie"/>
        <w:spacing w:after="120"/>
        <w:ind w:firstLine="709"/>
        <w:jc w:val="both"/>
        <w:rPr>
          <w:rFonts w:ascii="Arial" w:hAnsi="Arial" w:cs="Arial"/>
          <w:sz w:val="18"/>
          <w:szCs w:val="18"/>
        </w:rPr>
      </w:pPr>
      <w:r w:rsidRPr="006B7A7B">
        <w:rPr>
          <w:rStyle w:val="Refdenotaalpie"/>
          <w:rFonts w:ascii="Arial" w:hAnsi="Arial" w:cs="Arial"/>
          <w:sz w:val="18"/>
          <w:szCs w:val="18"/>
        </w:rPr>
        <w:footnoteRef/>
      </w:r>
      <w:r w:rsidRPr="006B7A7B">
        <w:rPr>
          <w:rFonts w:ascii="Arial" w:hAnsi="Arial" w:cs="Arial"/>
          <w:sz w:val="18"/>
          <w:szCs w:val="18"/>
        </w:rPr>
        <w:t xml:space="preserve"> Decreto 1082 de 2015. </w:t>
      </w:r>
      <w:r>
        <w:rPr>
          <w:rFonts w:ascii="Arial" w:hAnsi="Arial" w:cs="Arial"/>
          <w:sz w:val="18"/>
          <w:szCs w:val="18"/>
        </w:rPr>
        <w:t>«</w:t>
      </w:r>
      <w:r w:rsidRPr="006B7A7B">
        <w:rPr>
          <w:rFonts w:ascii="Arial" w:hAnsi="Arial" w:cs="Arial"/>
          <w:sz w:val="18"/>
          <w:szCs w:val="18"/>
        </w:rPr>
        <w:t xml:space="preserve">Artículo 2.2.1.2.1.4.10. Adquisición de bienes inmuebles. Las Entidades Estatales pueden adquirir bienes inmuebles mediante contratación directa para lo cual deben seguir las siguientes reglas: </w:t>
      </w:r>
    </w:p>
    <w:p w14:paraId="3AF4DEBD" w14:textId="77777777" w:rsidR="004D3439" w:rsidRPr="006B7A7B" w:rsidRDefault="004D3439" w:rsidP="006B7A7B">
      <w:pPr>
        <w:pStyle w:val="Textonotapie"/>
        <w:spacing w:after="120"/>
        <w:ind w:firstLine="709"/>
        <w:jc w:val="both"/>
        <w:rPr>
          <w:rFonts w:ascii="Arial" w:hAnsi="Arial" w:cs="Arial"/>
          <w:sz w:val="18"/>
          <w:szCs w:val="18"/>
        </w:rPr>
      </w:pPr>
      <w:r w:rsidRPr="006B7A7B">
        <w:rPr>
          <w:rFonts w:ascii="Arial" w:hAnsi="Arial" w:cs="Arial"/>
          <w:sz w:val="18"/>
          <w:szCs w:val="18"/>
        </w:rPr>
        <w:t xml:space="preserve">1. Avaluar con una institución especializada el bien o los bienes inmuebles identificados que satisfagan las necesidades que tiene la Entidad Estatal. </w:t>
      </w:r>
    </w:p>
    <w:p w14:paraId="4B31BBB2" w14:textId="77777777" w:rsidR="004D3439" w:rsidRPr="006B7A7B" w:rsidRDefault="004D3439" w:rsidP="006B7A7B">
      <w:pPr>
        <w:pStyle w:val="Textonotapie"/>
        <w:spacing w:after="120"/>
        <w:ind w:firstLine="709"/>
        <w:jc w:val="both"/>
        <w:rPr>
          <w:rFonts w:ascii="Arial" w:hAnsi="Arial" w:cs="Arial"/>
          <w:sz w:val="18"/>
          <w:szCs w:val="18"/>
        </w:rPr>
      </w:pPr>
      <w:r w:rsidRPr="006B7A7B">
        <w:rPr>
          <w:rFonts w:ascii="Arial" w:hAnsi="Arial" w:cs="Arial"/>
          <w:sz w:val="18"/>
          <w:szCs w:val="18"/>
        </w:rPr>
        <w:t xml:space="preserve">2. Analizar y comparar las condiciones de los bienes inmuebles que satisfacen las necesidades identificadas y las opciones de adquisición, análisis que deberá tener en cuenta los principios y objetivos del sistema de compras y contratación pública. </w:t>
      </w:r>
    </w:p>
    <w:p w14:paraId="5FDD5E3D" w14:textId="10ECAF97" w:rsidR="004D3439" w:rsidRDefault="004D3439" w:rsidP="006B7A7B">
      <w:pPr>
        <w:pStyle w:val="Textonotapie"/>
        <w:ind w:firstLine="708"/>
        <w:jc w:val="both"/>
      </w:pPr>
      <w:r w:rsidRPr="006B7A7B">
        <w:rPr>
          <w:rFonts w:ascii="Arial" w:hAnsi="Arial" w:cs="Arial"/>
          <w:sz w:val="18"/>
          <w:szCs w:val="18"/>
        </w:rPr>
        <w:t>3. La Entidad Estatal puede hacer parte de un proyecto inmobiliario para adquirir el bien inmueble que satisfaga la necesidad que ha identificado, caso en el cual no requiere el avalúo de que trata el numeral 1 anterior».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0A6380" w:rsidRDefault="000A6380">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57506287">
    <w:abstractNumId w:val="10"/>
  </w:num>
  <w:num w:numId="2" w16cid:durableId="2004235233">
    <w:abstractNumId w:val="8"/>
  </w:num>
  <w:num w:numId="3" w16cid:durableId="1095052463">
    <w:abstractNumId w:val="14"/>
  </w:num>
  <w:num w:numId="4" w16cid:durableId="800462308">
    <w:abstractNumId w:val="18"/>
  </w:num>
  <w:num w:numId="5" w16cid:durableId="305936365">
    <w:abstractNumId w:val="22"/>
  </w:num>
  <w:num w:numId="6" w16cid:durableId="114107445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790115">
    <w:abstractNumId w:val="20"/>
  </w:num>
  <w:num w:numId="8" w16cid:durableId="652872701">
    <w:abstractNumId w:val="0"/>
  </w:num>
  <w:num w:numId="9" w16cid:durableId="1024163383">
    <w:abstractNumId w:val="4"/>
  </w:num>
  <w:num w:numId="10" w16cid:durableId="955908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4190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9912110">
    <w:abstractNumId w:val="9"/>
  </w:num>
  <w:num w:numId="13" w16cid:durableId="1367098120">
    <w:abstractNumId w:val="12"/>
  </w:num>
  <w:num w:numId="14" w16cid:durableId="900016512">
    <w:abstractNumId w:val="7"/>
  </w:num>
  <w:num w:numId="15" w16cid:durableId="184759547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514119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2327548">
    <w:abstractNumId w:val="24"/>
  </w:num>
  <w:num w:numId="18" w16cid:durableId="1807432769">
    <w:abstractNumId w:val="15"/>
  </w:num>
  <w:num w:numId="19" w16cid:durableId="1728644044">
    <w:abstractNumId w:val="2"/>
  </w:num>
  <w:num w:numId="20" w16cid:durableId="2090760711">
    <w:abstractNumId w:val="25"/>
  </w:num>
  <w:num w:numId="21" w16cid:durableId="1185091659">
    <w:abstractNumId w:val="17"/>
  </w:num>
  <w:num w:numId="22" w16cid:durableId="1921866286">
    <w:abstractNumId w:val="6"/>
  </w:num>
  <w:num w:numId="23" w16cid:durableId="1074082532">
    <w:abstractNumId w:val="5"/>
  </w:num>
  <w:num w:numId="24" w16cid:durableId="1102529885">
    <w:abstractNumId w:val="23"/>
  </w:num>
  <w:num w:numId="25" w16cid:durableId="770856456">
    <w:abstractNumId w:val="19"/>
  </w:num>
  <w:num w:numId="26" w16cid:durableId="1383477348">
    <w:abstractNumId w:val="3"/>
  </w:num>
  <w:num w:numId="27" w16cid:durableId="1724019252">
    <w:abstractNumId w:val="16"/>
  </w:num>
  <w:num w:numId="28" w16cid:durableId="15075964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63554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ía Claudia de la Ossa Bobadilla">
    <w15:presenceInfo w15:providerId="AD" w15:userId="S::maria.delaossa@colombiacompra.gov.co::c2aef83c-8ad9-4d47-b1d6-301ab25017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2C36"/>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0B1"/>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726"/>
    <w:rsid w:val="00025D0A"/>
    <w:rsid w:val="00025D35"/>
    <w:rsid w:val="00026203"/>
    <w:rsid w:val="000263F0"/>
    <w:rsid w:val="00026407"/>
    <w:rsid w:val="00026608"/>
    <w:rsid w:val="00027554"/>
    <w:rsid w:val="00027787"/>
    <w:rsid w:val="000278D2"/>
    <w:rsid w:val="0002797C"/>
    <w:rsid w:val="00031364"/>
    <w:rsid w:val="000315E1"/>
    <w:rsid w:val="0003236E"/>
    <w:rsid w:val="0003339A"/>
    <w:rsid w:val="00033BD8"/>
    <w:rsid w:val="000340B3"/>
    <w:rsid w:val="000341F2"/>
    <w:rsid w:val="00035046"/>
    <w:rsid w:val="000351F2"/>
    <w:rsid w:val="000367C0"/>
    <w:rsid w:val="000368A6"/>
    <w:rsid w:val="00036E03"/>
    <w:rsid w:val="00037AD5"/>
    <w:rsid w:val="000406DB"/>
    <w:rsid w:val="0004094D"/>
    <w:rsid w:val="00041029"/>
    <w:rsid w:val="00041357"/>
    <w:rsid w:val="0004149B"/>
    <w:rsid w:val="00041FC6"/>
    <w:rsid w:val="00042961"/>
    <w:rsid w:val="00042C25"/>
    <w:rsid w:val="00042D03"/>
    <w:rsid w:val="0004302F"/>
    <w:rsid w:val="00043086"/>
    <w:rsid w:val="000430A0"/>
    <w:rsid w:val="00043D3B"/>
    <w:rsid w:val="0004418C"/>
    <w:rsid w:val="00044204"/>
    <w:rsid w:val="000449D4"/>
    <w:rsid w:val="00045BF5"/>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612"/>
    <w:rsid w:val="00055CB9"/>
    <w:rsid w:val="0005602F"/>
    <w:rsid w:val="00056565"/>
    <w:rsid w:val="00056F66"/>
    <w:rsid w:val="0005702F"/>
    <w:rsid w:val="00057930"/>
    <w:rsid w:val="000606AC"/>
    <w:rsid w:val="00061010"/>
    <w:rsid w:val="00061470"/>
    <w:rsid w:val="00061D06"/>
    <w:rsid w:val="00062BDF"/>
    <w:rsid w:val="00062CDD"/>
    <w:rsid w:val="00063AD6"/>
    <w:rsid w:val="000640AF"/>
    <w:rsid w:val="00064940"/>
    <w:rsid w:val="00064CAE"/>
    <w:rsid w:val="00064D2E"/>
    <w:rsid w:val="00064DB7"/>
    <w:rsid w:val="00064FA7"/>
    <w:rsid w:val="00065195"/>
    <w:rsid w:val="0006536C"/>
    <w:rsid w:val="00065D20"/>
    <w:rsid w:val="0006626E"/>
    <w:rsid w:val="000701A0"/>
    <w:rsid w:val="00070AF1"/>
    <w:rsid w:val="000714DE"/>
    <w:rsid w:val="0007254F"/>
    <w:rsid w:val="00072878"/>
    <w:rsid w:val="0007357C"/>
    <w:rsid w:val="00073C30"/>
    <w:rsid w:val="00073E68"/>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6F7"/>
    <w:rsid w:val="00093B01"/>
    <w:rsid w:val="00093CA0"/>
    <w:rsid w:val="00093ECD"/>
    <w:rsid w:val="000942EB"/>
    <w:rsid w:val="00094BAE"/>
    <w:rsid w:val="000954FA"/>
    <w:rsid w:val="00095607"/>
    <w:rsid w:val="00095B70"/>
    <w:rsid w:val="00095E38"/>
    <w:rsid w:val="0009617E"/>
    <w:rsid w:val="0009628D"/>
    <w:rsid w:val="0009670F"/>
    <w:rsid w:val="00097022"/>
    <w:rsid w:val="000979CF"/>
    <w:rsid w:val="00097CAD"/>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2E46"/>
    <w:rsid w:val="000A31FB"/>
    <w:rsid w:val="000A362F"/>
    <w:rsid w:val="000A3B49"/>
    <w:rsid w:val="000A464B"/>
    <w:rsid w:val="000A46FE"/>
    <w:rsid w:val="000A47E6"/>
    <w:rsid w:val="000A4810"/>
    <w:rsid w:val="000A52C0"/>
    <w:rsid w:val="000A5836"/>
    <w:rsid w:val="000A5AAF"/>
    <w:rsid w:val="000A5F97"/>
    <w:rsid w:val="000A600A"/>
    <w:rsid w:val="000A6380"/>
    <w:rsid w:val="000A648E"/>
    <w:rsid w:val="000A73BB"/>
    <w:rsid w:val="000A73E8"/>
    <w:rsid w:val="000A79C2"/>
    <w:rsid w:val="000A7C27"/>
    <w:rsid w:val="000A7EF4"/>
    <w:rsid w:val="000B081A"/>
    <w:rsid w:val="000B0A15"/>
    <w:rsid w:val="000B103F"/>
    <w:rsid w:val="000B1437"/>
    <w:rsid w:val="000B1470"/>
    <w:rsid w:val="000B17EC"/>
    <w:rsid w:val="000B2080"/>
    <w:rsid w:val="000B244D"/>
    <w:rsid w:val="000B2B86"/>
    <w:rsid w:val="000B3051"/>
    <w:rsid w:val="000B30B1"/>
    <w:rsid w:val="000B419B"/>
    <w:rsid w:val="000B5781"/>
    <w:rsid w:val="000B5CB1"/>
    <w:rsid w:val="000B68EA"/>
    <w:rsid w:val="000B75F4"/>
    <w:rsid w:val="000C0185"/>
    <w:rsid w:val="000C088D"/>
    <w:rsid w:val="000C0AD9"/>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3A"/>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54CC"/>
    <w:rsid w:val="000D6288"/>
    <w:rsid w:val="000D7541"/>
    <w:rsid w:val="000D75E1"/>
    <w:rsid w:val="000E1FF3"/>
    <w:rsid w:val="000E22CF"/>
    <w:rsid w:val="000E2977"/>
    <w:rsid w:val="000E2CC0"/>
    <w:rsid w:val="000E2E73"/>
    <w:rsid w:val="000E30AC"/>
    <w:rsid w:val="000E3B46"/>
    <w:rsid w:val="000E3E11"/>
    <w:rsid w:val="000E4596"/>
    <w:rsid w:val="000E4B94"/>
    <w:rsid w:val="000E4D50"/>
    <w:rsid w:val="000E5768"/>
    <w:rsid w:val="000E5843"/>
    <w:rsid w:val="000E6139"/>
    <w:rsid w:val="000E653C"/>
    <w:rsid w:val="000E6BE1"/>
    <w:rsid w:val="000E7E0B"/>
    <w:rsid w:val="000F0136"/>
    <w:rsid w:val="000F0367"/>
    <w:rsid w:val="000F078A"/>
    <w:rsid w:val="000F122D"/>
    <w:rsid w:val="000F1450"/>
    <w:rsid w:val="000F14E8"/>
    <w:rsid w:val="000F1BBD"/>
    <w:rsid w:val="000F290F"/>
    <w:rsid w:val="000F4403"/>
    <w:rsid w:val="000F480B"/>
    <w:rsid w:val="000F4E17"/>
    <w:rsid w:val="000F5615"/>
    <w:rsid w:val="000F5780"/>
    <w:rsid w:val="000F6578"/>
    <w:rsid w:val="000F722C"/>
    <w:rsid w:val="000F7818"/>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5EA"/>
    <w:rsid w:val="00105A74"/>
    <w:rsid w:val="00105ACB"/>
    <w:rsid w:val="00105AEF"/>
    <w:rsid w:val="00106259"/>
    <w:rsid w:val="001068EB"/>
    <w:rsid w:val="001078CE"/>
    <w:rsid w:val="00107EB3"/>
    <w:rsid w:val="00110A86"/>
    <w:rsid w:val="00110F61"/>
    <w:rsid w:val="001111BD"/>
    <w:rsid w:val="0011165A"/>
    <w:rsid w:val="00111B2B"/>
    <w:rsid w:val="00111B3A"/>
    <w:rsid w:val="001124C3"/>
    <w:rsid w:val="00112774"/>
    <w:rsid w:val="00112B2E"/>
    <w:rsid w:val="00113003"/>
    <w:rsid w:val="00113062"/>
    <w:rsid w:val="00113705"/>
    <w:rsid w:val="00113975"/>
    <w:rsid w:val="00113CFC"/>
    <w:rsid w:val="00113FEA"/>
    <w:rsid w:val="00114A22"/>
    <w:rsid w:val="00114D04"/>
    <w:rsid w:val="00114E9D"/>
    <w:rsid w:val="0011507B"/>
    <w:rsid w:val="00115819"/>
    <w:rsid w:val="00116328"/>
    <w:rsid w:val="001163CF"/>
    <w:rsid w:val="001166B1"/>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317"/>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0E9B"/>
    <w:rsid w:val="001413AB"/>
    <w:rsid w:val="00141DBF"/>
    <w:rsid w:val="00142E96"/>
    <w:rsid w:val="00142EFD"/>
    <w:rsid w:val="00143AD6"/>
    <w:rsid w:val="00144335"/>
    <w:rsid w:val="0014502F"/>
    <w:rsid w:val="00145282"/>
    <w:rsid w:val="001453B0"/>
    <w:rsid w:val="001454D9"/>
    <w:rsid w:val="0014553F"/>
    <w:rsid w:val="001459D2"/>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4B96"/>
    <w:rsid w:val="00155D08"/>
    <w:rsid w:val="0015623B"/>
    <w:rsid w:val="00156BE5"/>
    <w:rsid w:val="00157226"/>
    <w:rsid w:val="00157232"/>
    <w:rsid w:val="00157B5C"/>
    <w:rsid w:val="00160401"/>
    <w:rsid w:val="00160D4E"/>
    <w:rsid w:val="00161DDA"/>
    <w:rsid w:val="00161E62"/>
    <w:rsid w:val="00161F1C"/>
    <w:rsid w:val="0016200B"/>
    <w:rsid w:val="0016204B"/>
    <w:rsid w:val="00162552"/>
    <w:rsid w:val="00163786"/>
    <w:rsid w:val="00163C03"/>
    <w:rsid w:val="00163D7A"/>
    <w:rsid w:val="00164281"/>
    <w:rsid w:val="00164BA2"/>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3FB5"/>
    <w:rsid w:val="001742BF"/>
    <w:rsid w:val="001742E1"/>
    <w:rsid w:val="001745FB"/>
    <w:rsid w:val="001750A3"/>
    <w:rsid w:val="001759ED"/>
    <w:rsid w:val="00175E49"/>
    <w:rsid w:val="0017649F"/>
    <w:rsid w:val="0017655B"/>
    <w:rsid w:val="001805C1"/>
    <w:rsid w:val="00180A2E"/>
    <w:rsid w:val="001813AF"/>
    <w:rsid w:val="001817E9"/>
    <w:rsid w:val="001829CD"/>
    <w:rsid w:val="00182F01"/>
    <w:rsid w:val="001833C2"/>
    <w:rsid w:val="001841E2"/>
    <w:rsid w:val="00184219"/>
    <w:rsid w:val="00184443"/>
    <w:rsid w:val="00184F27"/>
    <w:rsid w:val="0018519B"/>
    <w:rsid w:val="00185966"/>
    <w:rsid w:val="00185A2D"/>
    <w:rsid w:val="00185AFE"/>
    <w:rsid w:val="00185E78"/>
    <w:rsid w:val="00185F7F"/>
    <w:rsid w:val="001870F4"/>
    <w:rsid w:val="00187177"/>
    <w:rsid w:val="0018730F"/>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1E17"/>
    <w:rsid w:val="001A25D3"/>
    <w:rsid w:val="001A3011"/>
    <w:rsid w:val="001A3284"/>
    <w:rsid w:val="001A3C58"/>
    <w:rsid w:val="001A3E7D"/>
    <w:rsid w:val="001A4A9B"/>
    <w:rsid w:val="001A4DAF"/>
    <w:rsid w:val="001A54CD"/>
    <w:rsid w:val="001A66DF"/>
    <w:rsid w:val="001A67D0"/>
    <w:rsid w:val="001A6863"/>
    <w:rsid w:val="001A7591"/>
    <w:rsid w:val="001A75B1"/>
    <w:rsid w:val="001A7B06"/>
    <w:rsid w:val="001A7C04"/>
    <w:rsid w:val="001B0366"/>
    <w:rsid w:val="001B0444"/>
    <w:rsid w:val="001B096B"/>
    <w:rsid w:val="001B0F9F"/>
    <w:rsid w:val="001B123C"/>
    <w:rsid w:val="001B19D8"/>
    <w:rsid w:val="001B1A0D"/>
    <w:rsid w:val="001B1BF1"/>
    <w:rsid w:val="001B2456"/>
    <w:rsid w:val="001B3C85"/>
    <w:rsid w:val="001B449C"/>
    <w:rsid w:val="001B4AA2"/>
    <w:rsid w:val="001B4ADE"/>
    <w:rsid w:val="001B5530"/>
    <w:rsid w:val="001B5EF8"/>
    <w:rsid w:val="001B5F4C"/>
    <w:rsid w:val="001B71E8"/>
    <w:rsid w:val="001B7401"/>
    <w:rsid w:val="001C07C6"/>
    <w:rsid w:val="001C15C9"/>
    <w:rsid w:val="001C19CD"/>
    <w:rsid w:val="001C22D5"/>
    <w:rsid w:val="001C2515"/>
    <w:rsid w:val="001C26FB"/>
    <w:rsid w:val="001C2D24"/>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131"/>
    <w:rsid w:val="001D2EEE"/>
    <w:rsid w:val="001D30F3"/>
    <w:rsid w:val="001D31A0"/>
    <w:rsid w:val="001D338E"/>
    <w:rsid w:val="001D4238"/>
    <w:rsid w:val="001D4D28"/>
    <w:rsid w:val="001D56E9"/>
    <w:rsid w:val="001D6006"/>
    <w:rsid w:val="001D646C"/>
    <w:rsid w:val="001D65AC"/>
    <w:rsid w:val="001D716B"/>
    <w:rsid w:val="001D796A"/>
    <w:rsid w:val="001D7A84"/>
    <w:rsid w:val="001D7C79"/>
    <w:rsid w:val="001E003B"/>
    <w:rsid w:val="001E1CC4"/>
    <w:rsid w:val="001E1D38"/>
    <w:rsid w:val="001E28A0"/>
    <w:rsid w:val="001E320D"/>
    <w:rsid w:val="001E3FFE"/>
    <w:rsid w:val="001E4258"/>
    <w:rsid w:val="001E47D6"/>
    <w:rsid w:val="001E5140"/>
    <w:rsid w:val="001E5D6A"/>
    <w:rsid w:val="001E600E"/>
    <w:rsid w:val="001E6A94"/>
    <w:rsid w:val="001E70FB"/>
    <w:rsid w:val="001E780A"/>
    <w:rsid w:val="001F08BB"/>
    <w:rsid w:val="001F0D15"/>
    <w:rsid w:val="001F0FA0"/>
    <w:rsid w:val="001F1349"/>
    <w:rsid w:val="001F1863"/>
    <w:rsid w:val="001F2356"/>
    <w:rsid w:val="001F2A68"/>
    <w:rsid w:val="001F3A1C"/>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693"/>
    <w:rsid w:val="00214741"/>
    <w:rsid w:val="00214938"/>
    <w:rsid w:val="0021539A"/>
    <w:rsid w:val="00215852"/>
    <w:rsid w:val="00215B01"/>
    <w:rsid w:val="00215B8E"/>
    <w:rsid w:val="00216264"/>
    <w:rsid w:val="002176B6"/>
    <w:rsid w:val="0021792D"/>
    <w:rsid w:val="00217DB8"/>
    <w:rsid w:val="002202CE"/>
    <w:rsid w:val="0022032A"/>
    <w:rsid w:val="00220B61"/>
    <w:rsid w:val="00220FD8"/>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5E6"/>
    <w:rsid w:val="00246E0D"/>
    <w:rsid w:val="00247712"/>
    <w:rsid w:val="00250A9E"/>
    <w:rsid w:val="00250EC6"/>
    <w:rsid w:val="002515C7"/>
    <w:rsid w:val="00251866"/>
    <w:rsid w:val="00251A9F"/>
    <w:rsid w:val="00251ABD"/>
    <w:rsid w:val="00252492"/>
    <w:rsid w:val="00252B35"/>
    <w:rsid w:val="00253070"/>
    <w:rsid w:val="0025316D"/>
    <w:rsid w:val="002533A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2D7C"/>
    <w:rsid w:val="00263101"/>
    <w:rsid w:val="002631D1"/>
    <w:rsid w:val="00263201"/>
    <w:rsid w:val="00263A37"/>
    <w:rsid w:val="00264266"/>
    <w:rsid w:val="0026471F"/>
    <w:rsid w:val="0026480D"/>
    <w:rsid w:val="002652C1"/>
    <w:rsid w:val="002653A6"/>
    <w:rsid w:val="00265EB4"/>
    <w:rsid w:val="002661F1"/>
    <w:rsid w:val="00266DB6"/>
    <w:rsid w:val="002679AB"/>
    <w:rsid w:val="002711A4"/>
    <w:rsid w:val="00271230"/>
    <w:rsid w:val="00271A92"/>
    <w:rsid w:val="00271F13"/>
    <w:rsid w:val="002725C3"/>
    <w:rsid w:val="00272945"/>
    <w:rsid w:val="0027482E"/>
    <w:rsid w:val="00274DB5"/>
    <w:rsid w:val="00275BB1"/>
    <w:rsid w:val="00276839"/>
    <w:rsid w:val="00276A51"/>
    <w:rsid w:val="0027741C"/>
    <w:rsid w:val="0027770B"/>
    <w:rsid w:val="002778C9"/>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2DA"/>
    <w:rsid w:val="00284CFC"/>
    <w:rsid w:val="00285832"/>
    <w:rsid w:val="00285969"/>
    <w:rsid w:val="00286245"/>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4238"/>
    <w:rsid w:val="00294368"/>
    <w:rsid w:val="00294B78"/>
    <w:rsid w:val="00295416"/>
    <w:rsid w:val="002956FB"/>
    <w:rsid w:val="00295949"/>
    <w:rsid w:val="00295D7C"/>
    <w:rsid w:val="0029624A"/>
    <w:rsid w:val="00296922"/>
    <w:rsid w:val="0029697B"/>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2F69"/>
    <w:rsid w:val="002B330B"/>
    <w:rsid w:val="002B35A7"/>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3C4"/>
    <w:rsid w:val="002C3CF4"/>
    <w:rsid w:val="002C441A"/>
    <w:rsid w:val="002C4A73"/>
    <w:rsid w:val="002C4B84"/>
    <w:rsid w:val="002C4C0C"/>
    <w:rsid w:val="002C5016"/>
    <w:rsid w:val="002C5C2F"/>
    <w:rsid w:val="002C5D0F"/>
    <w:rsid w:val="002C5F40"/>
    <w:rsid w:val="002C60B9"/>
    <w:rsid w:val="002C6F77"/>
    <w:rsid w:val="002C704D"/>
    <w:rsid w:val="002C7102"/>
    <w:rsid w:val="002D0845"/>
    <w:rsid w:val="002D0933"/>
    <w:rsid w:val="002D18C5"/>
    <w:rsid w:val="002D19BB"/>
    <w:rsid w:val="002D1A9B"/>
    <w:rsid w:val="002D1ABF"/>
    <w:rsid w:val="002D20F8"/>
    <w:rsid w:val="002D22BD"/>
    <w:rsid w:val="002D22C5"/>
    <w:rsid w:val="002D233E"/>
    <w:rsid w:val="002D26A1"/>
    <w:rsid w:val="002D283F"/>
    <w:rsid w:val="002D302A"/>
    <w:rsid w:val="002D36C6"/>
    <w:rsid w:val="002D37C1"/>
    <w:rsid w:val="002D444B"/>
    <w:rsid w:val="002D46B4"/>
    <w:rsid w:val="002D4A45"/>
    <w:rsid w:val="002D4B42"/>
    <w:rsid w:val="002D4B43"/>
    <w:rsid w:val="002D4BC1"/>
    <w:rsid w:val="002D5A1B"/>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36"/>
    <w:rsid w:val="002F0073"/>
    <w:rsid w:val="002F1AA8"/>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02C"/>
    <w:rsid w:val="002F7575"/>
    <w:rsid w:val="002F7961"/>
    <w:rsid w:val="002F7B66"/>
    <w:rsid w:val="002F7C8C"/>
    <w:rsid w:val="00300726"/>
    <w:rsid w:val="00300CB4"/>
    <w:rsid w:val="00300E24"/>
    <w:rsid w:val="00303286"/>
    <w:rsid w:val="003033BA"/>
    <w:rsid w:val="00303A20"/>
    <w:rsid w:val="00303C19"/>
    <w:rsid w:val="003043A3"/>
    <w:rsid w:val="00304BD4"/>
    <w:rsid w:val="0030500A"/>
    <w:rsid w:val="003052EB"/>
    <w:rsid w:val="0030575F"/>
    <w:rsid w:val="00305FCB"/>
    <w:rsid w:val="003063C3"/>
    <w:rsid w:val="003069DC"/>
    <w:rsid w:val="00306B44"/>
    <w:rsid w:val="00307C44"/>
    <w:rsid w:val="003100E1"/>
    <w:rsid w:val="003106FA"/>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1AD"/>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37"/>
    <w:rsid w:val="00321FA3"/>
    <w:rsid w:val="00322342"/>
    <w:rsid w:val="003226CE"/>
    <w:rsid w:val="003227D3"/>
    <w:rsid w:val="00322937"/>
    <w:rsid w:val="00323534"/>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4C39"/>
    <w:rsid w:val="00335288"/>
    <w:rsid w:val="00335B15"/>
    <w:rsid w:val="00335B21"/>
    <w:rsid w:val="00335D3F"/>
    <w:rsid w:val="00336104"/>
    <w:rsid w:val="00336729"/>
    <w:rsid w:val="003368D6"/>
    <w:rsid w:val="00336CD9"/>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41AE"/>
    <w:rsid w:val="0035463F"/>
    <w:rsid w:val="00355131"/>
    <w:rsid w:val="00355F74"/>
    <w:rsid w:val="003560DB"/>
    <w:rsid w:val="003564DB"/>
    <w:rsid w:val="00356F87"/>
    <w:rsid w:val="00357198"/>
    <w:rsid w:val="00357E83"/>
    <w:rsid w:val="00360CF3"/>
    <w:rsid w:val="0036137C"/>
    <w:rsid w:val="00361A59"/>
    <w:rsid w:val="00361ED9"/>
    <w:rsid w:val="003622B1"/>
    <w:rsid w:val="00363348"/>
    <w:rsid w:val="00363857"/>
    <w:rsid w:val="00363D59"/>
    <w:rsid w:val="003640F7"/>
    <w:rsid w:val="0036412A"/>
    <w:rsid w:val="00364E04"/>
    <w:rsid w:val="0036501A"/>
    <w:rsid w:val="003650AA"/>
    <w:rsid w:val="00365457"/>
    <w:rsid w:val="00365D3A"/>
    <w:rsid w:val="003664FF"/>
    <w:rsid w:val="00366BD2"/>
    <w:rsid w:val="003670B8"/>
    <w:rsid w:val="00367D4E"/>
    <w:rsid w:val="003704A3"/>
    <w:rsid w:val="0037058F"/>
    <w:rsid w:val="003706F2"/>
    <w:rsid w:val="003707CB"/>
    <w:rsid w:val="0037124F"/>
    <w:rsid w:val="00373827"/>
    <w:rsid w:val="0037401C"/>
    <w:rsid w:val="0037507B"/>
    <w:rsid w:val="003754B0"/>
    <w:rsid w:val="00375C7C"/>
    <w:rsid w:val="00375DA0"/>
    <w:rsid w:val="00377027"/>
    <w:rsid w:val="00377135"/>
    <w:rsid w:val="00380272"/>
    <w:rsid w:val="003805DB"/>
    <w:rsid w:val="00380D09"/>
    <w:rsid w:val="0038152A"/>
    <w:rsid w:val="003827B5"/>
    <w:rsid w:val="00382BAD"/>
    <w:rsid w:val="003835FD"/>
    <w:rsid w:val="00384DF1"/>
    <w:rsid w:val="00384FF3"/>
    <w:rsid w:val="00386456"/>
    <w:rsid w:val="003865A9"/>
    <w:rsid w:val="00386F75"/>
    <w:rsid w:val="00387311"/>
    <w:rsid w:val="0039091C"/>
    <w:rsid w:val="0039092B"/>
    <w:rsid w:val="00390F32"/>
    <w:rsid w:val="0039135E"/>
    <w:rsid w:val="003918F5"/>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455"/>
    <w:rsid w:val="003A04BD"/>
    <w:rsid w:val="003A0878"/>
    <w:rsid w:val="003A0B08"/>
    <w:rsid w:val="003A0FAD"/>
    <w:rsid w:val="003A11E5"/>
    <w:rsid w:val="003A1561"/>
    <w:rsid w:val="003A1CB2"/>
    <w:rsid w:val="003A1D25"/>
    <w:rsid w:val="003A22A2"/>
    <w:rsid w:val="003A22FC"/>
    <w:rsid w:val="003A2447"/>
    <w:rsid w:val="003A27AB"/>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69AD"/>
    <w:rsid w:val="003A72F5"/>
    <w:rsid w:val="003A78E5"/>
    <w:rsid w:val="003B0341"/>
    <w:rsid w:val="003B1961"/>
    <w:rsid w:val="003B1E57"/>
    <w:rsid w:val="003B2EF3"/>
    <w:rsid w:val="003B534F"/>
    <w:rsid w:val="003B5391"/>
    <w:rsid w:val="003B54E3"/>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1E53"/>
    <w:rsid w:val="003D21C1"/>
    <w:rsid w:val="003D281F"/>
    <w:rsid w:val="003D2D38"/>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8C"/>
    <w:rsid w:val="003E71CD"/>
    <w:rsid w:val="003E78DA"/>
    <w:rsid w:val="003E7A8B"/>
    <w:rsid w:val="003F0567"/>
    <w:rsid w:val="003F060E"/>
    <w:rsid w:val="003F0F7F"/>
    <w:rsid w:val="003F115C"/>
    <w:rsid w:val="003F153A"/>
    <w:rsid w:val="003F1767"/>
    <w:rsid w:val="003F1C15"/>
    <w:rsid w:val="003F23D1"/>
    <w:rsid w:val="003F2789"/>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0D3F"/>
    <w:rsid w:val="00400F0C"/>
    <w:rsid w:val="004016A3"/>
    <w:rsid w:val="00401B31"/>
    <w:rsid w:val="00401BB8"/>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2CF"/>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DAC"/>
    <w:rsid w:val="00421E00"/>
    <w:rsid w:val="00421FCB"/>
    <w:rsid w:val="0042244C"/>
    <w:rsid w:val="00422DCA"/>
    <w:rsid w:val="00423D04"/>
    <w:rsid w:val="00423F9F"/>
    <w:rsid w:val="004241F6"/>
    <w:rsid w:val="00425C43"/>
    <w:rsid w:val="004261AA"/>
    <w:rsid w:val="0042639C"/>
    <w:rsid w:val="00426FB4"/>
    <w:rsid w:val="004273FA"/>
    <w:rsid w:val="004275A7"/>
    <w:rsid w:val="00430186"/>
    <w:rsid w:val="00430F17"/>
    <w:rsid w:val="004313B9"/>
    <w:rsid w:val="0043269A"/>
    <w:rsid w:val="004333C2"/>
    <w:rsid w:val="00433415"/>
    <w:rsid w:val="00434787"/>
    <w:rsid w:val="00434C13"/>
    <w:rsid w:val="00435128"/>
    <w:rsid w:val="0043549E"/>
    <w:rsid w:val="00435703"/>
    <w:rsid w:val="00435AA2"/>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0E8"/>
    <w:rsid w:val="004505D4"/>
    <w:rsid w:val="00450846"/>
    <w:rsid w:val="00451847"/>
    <w:rsid w:val="00451A52"/>
    <w:rsid w:val="004521DA"/>
    <w:rsid w:val="00452361"/>
    <w:rsid w:val="0045271D"/>
    <w:rsid w:val="00452755"/>
    <w:rsid w:val="00452803"/>
    <w:rsid w:val="004529C6"/>
    <w:rsid w:val="00452EAD"/>
    <w:rsid w:val="004533D1"/>
    <w:rsid w:val="004534D1"/>
    <w:rsid w:val="00453E0E"/>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57882"/>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3D7D"/>
    <w:rsid w:val="00464030"/>
    <w:rsid w:val="004647F8"/>
    <w:rsid w:val="004647FB"/>
    <w:rsid w:val="00465347"/>
    <w:rsid w:val="00465677"/>
    <w:rsid w:val="00466616"/>
    <w:rsid w:val="00466A0C"/>
    <w:rsid w:val="00466A53"/>
    <w:rsid w:val="00470A6A"/>
    <w:rsid w:val="00470D73"/>
    <w:rsid w:val="00470D92"/>
    <w:rsid w:val="00470E92"/>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DE"/>
    <w:rsid w:val="00481870"/>
    <w:rsid w:val="00481AC4"/>
    <w:rsid w:val="00481DC1"/>
    <w:rsid w:val="00482507"/>
    <w:rsid w:val="0048268A"/>
    <w:rsid w:val="004831B1"/>
    <w:rsid w:val="00483379"/>
    <w:rsid w:val="004835CA"/>
    <w:rsid w:val="004836F8"/>
    <w:rsid w:val="004836FE"/>
    <w:rsid w:val="004838FD"/>
    <w:rsid w:val="00484F0F"/>
    <w:rsid w:val="00484F40"/>
    <w:rsid w:val="0048540C"/>
    <w:rsid w:val="00485996"/>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1A87"/>
    <w:rsid w:val="0049241A"/>
    <w:rsid w:val="00492C1F"/>
    <w:rsid w:val="00492E4C"/>
    <w:rsid w:val="00493664"/>
    <w:rsid w:val="004938FD"/>
    <w:rsid w:val="00493CDA"/>
    <w:rsid w:val="00493E04"/>
    <w:rsid w:val="004940E3"/>
    <w:rsid w:val="00494515"/>
    <w:rsid w:val="0049530F"/>
    <w:rsid w:val="00496039"/>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6AC"/>
    <w:rsid w:val="004A4D93"/>
    <w:rsid w:val="004A5719"/>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9D6"/>
    <w:rsid w:val="004B5BE7"/>
    <w:rsid w:val="004B5E2D"/>
    <w:rsid w:val="004B6C07"/>
    <w:rsid w:val="004B74D3"/>
    <w:rsid w:val="004B755E"/>
    <w:rsid w:val="004B788E"/>
    <w:rsid w:val="004B7E5D"/>
    <w:rsid w:val="004C0F94"/>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322"/>
    <w:rsid w:val="004D1C7E"/>
    <w:rsid w:val="004D1FB0"/>
    <w:rsid w:val="004D245A"/>
    <w:rsid w:val="004D2571"/>
    <w:rsid w:val="004D25EB"/>
    <w:rsid w:val="004D31EE"/>
    <w:rsid w:val="004D3439"/>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4581"/>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8FC"/>
    <w:rsid w:val="004F7AC9"/>
    <w:rsid w:val="0050039C"/>
    <w:rsid w:val="0050062F"/>
    <w:rsid w:val="00500E74"/>
    <w:rsid w:val="0050160F"/>
    <w:rsid w:val="0050273B"/>
    <w:rsid w:val="0050284E"/>
    <w:rsid w:val="00502911"/>
    <w:rsid w:val="0050306F"/>
    <w:rsid w:val="005032F6"/>
    <w:rsid w:val="00503EC8"/>
    <w:rsid w:val="00505DCB"/>
    <w:rsid w:val="005075CA"/>
    <w:rsid w:val="00507B06"/>
    <w:rsid w:val="00507BF1"/>
    <w:rsid w:val="0051074C"/>
    <w:rsid w:val="0051099D"/>
    <w:rsid w:val="00510DE9"/>
    <w:rsid w:val="00510E2B"/>
    <w:rsid w:val="005111E2"/>
    <w:rsid w:val="00511231"/>
    <w:rsid w:val="005119ED"/>
    <w:rsid w:val="00512C4F"/>
    <w:rsid w:val="00513042"/>
    <w:rsid w:val="0051334F"/>
    <w:rsid w:val="00513399"/>
    <w:rsid w:val="00513AF2"/>
    <w:rsid w:val="00514575"/>
    <w:rsid w:val="00514C03"/>
    <w:rsid w:val="00514D67"/>
    <w:rsid w:val="0051522A"/>
    <w:rsid w:val="00515515"/>
    <w:rsid w:val="0051635C"/>
    <w:rsid w:val="00516C5B"/>
    <w:rsid w:val="00516FA0"/>
    <w:rsid w:val="00517612"/>
    <w:rsid w:val="00517CFB"/>
    <w:rsid w:val="00517F85"/>
    <w:rsid w:val="00520235"/>
    <w:rsid w:val="00520899"/>
    <w:rsid w:val="00520922"/>
    <w:rsid w:val="005209FC"/>
    <w:rsid w:val="00520C09"/>
    <w:rsid w:val="00521A30"/>
    <w:rsid w:val="00521B53"/>
    <w:rsid w:val="005224E5"/>
    <w:rsid w:val="00523903"/>
    <w:rsid w:val="005239B6"/>
    <w:rsid w:val="00523C45"/>
    <w:rsid w:val="00523EE1"/>
    <w:rsid w:val="00523F41"/>
    <w:rsid w:val="00524165"/>
    <w:rsid w:val="00524657"/>
    <w:rsid w:val="005246E7"/>
    <w:rsid w:val="00524B08"/>
    <w:rsid w:val="00524C38"/>
    <w:rsid w:val="00524FD2"/>
    <w:rsid w:val="00525621"/>
    <w:rsid w:val="00526431"/>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2D63"/>
    <w:rsid w:val="00533101"/>
    <w:rsid w:val="00533682"/>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753"/>
    <w:rsid w:val="00545E30"/>
    <w:rsid w:val="00545EA3"/>
    <w:rsid w:val="00546C9B"/>
    <w:rsid w:val="00547BF6"/>
    <w:rsid w:val="00547FB3"/>
    <w:rsid w:val="00551098"/>
    <w:rsid w:val="00551598"/>
    <w:rsid w:val="0055162B"/>
    <w:rsid w:val="00551A56"/>
    <w:rsid w:val="00551BFF"/>
    <w:rsid w:val="00551D68"/>
    <w:rsid w:val="00551DFF"/>
    <w:rsid w:val="005523AC"/>
    <w:rsid w:val="005525C9"/>
    <w:rsid w:val="00552B3E"/>
    <w:rsid w:val="005535B9"/>
    <w:rsid w:val="005546CD"/>
    <w:rsid w:val="00554D57"/>
    <w:rsid w:val="005551AA"/>
    <w:rsid w:val="0055604C"/>
    <w:rsid w:val="005564CA"/>
    <w:rsid w:val="005568EA"/>
    <w:rsid w:val="00557140"/>
    <w:rsid w:val="0055715A"/>
    <w:rsid w:val="0055729E"/>
    <w:rsid w:val="00557984"/>
    <w:rsid w:val="00557A3F"/>
    <w:rsid w:val="00560C73"/>
    <w:rsid w:val="00560C87"/>
    <w:rsid w:val="00560F51"/>
    <w:rsid w:val="00561249"/>
    <w:rsid w:val="0056182B"/>
    <w:rsid w:val="00561A88"/>
    <w:rsid w:val="00561AF3"/>
    <w:rsid w:val="00561E0B"/>
    <w:rsid w:val="00562141"/>
    <w:rsid w:val="00562A19"/>
    <w:rsid w:val="00562BE8"/>
    <w:rsid w:val="00562D86"/>
    <w:rsid w:val="00563CF3"/>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A47"/>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77D2E"/>
    <w:rsid w:val="005803E7"/>
    <w:rsid w:val="0058040C"/>
    <w:rsid w:val="00580D6D"/>
    <w:rsid w:val="00581151"/>
    <w:rsid w:val="005813DE"/>
    <w:rsid w:val="00581796"/>
    <w:rsid w:val="00581897"/>
    <w:rsid w:val="00581B45"/>
    <w:rsid w:val="00582480"/>
    <w:rsid w:val="00582805"/>
    <w:rsid w:val="0058290E"/>
    <w:rsid w:val="00582CAB"/>
    <w:rsid w:val="00582FA6"/>
    <w:rsid w:val="00582FBF"/>
    <w:rsid w:val="005836D5"/>
    <w:rsid w:val="0058375E"/>
    <w:rsid w:val="00584233"/>
    <w:rsid w:val="005842D0"/>
    <w:rsid w:val="005843E8"/>
    <w:rsid w:val="005845FB"/>
    <w:rsid w:val="005855AE"/>
    <w:rsid w:val="00585829"/>
    <w:rsid w:val="00585CA8"/>
    <w:rsid w:val="00586412"/>
    <w:rsid w:val="005864B9"/>
    <w:rsid w:val="005866C4"/>
    <w:rsid w:val="00586D16"/>
    <w:rsid w:val="005873AF"/>
    <w:rsid w:val="00590F1A"/>
    <w:rsid w:val="0059114D"/>
    <w:rsid w:val="005919F0"/>
    <w:rsid w:val="00591C03"/>
    <w:rsid w:val="00591E2A"/>
    <w:rsid w:val="00592181"/>
    <w:rsid w:val="005923C4"/>
    <w:rsid w:val="005938C3"/>
    <w:rsid w:val="00593EA2"/>
    <w:rsid w:val="00593F75"/>
    <w:rsid w:val="005940A0"/>
    <w:rsid w:val="0059429A"/>
    <w:rsid w:val="00594A54"/>
    <w:rsid w:val="00594BC9"/>
    <w:rsid w:val="00594CBE"/>
    <w:rsid w:val="00594EC1"/>
    <w:rsid w:val="0059542B"/>
    <w:rsid w:val="00595AF6"/>
    <w:rsid w:val="00596AF7"/>
    <w:rsid w:val="00596CCE"/>
    <w:rsid w:val="005A1976"/>
    <w:rsid w:val="005A2120"/>
    <w:rsid w:val="005A2349"/>
    <w:rsid w:val="005A2501"/>
    <w:rsid w:val="005A2C80"/>
    <w:rsid w:val="005A3066"/>
    <w:rsid w:val="005A3B35"/>
    <w:rsid w:val="005A3C4B"/>
    <w:rsid w:val="005A3E5A"/>
    <w:rsid w:val="005A43F3"/>
    <w:rsid w:val="005A47B3"/>
    <w:rsid w:val="005A496F"/>
    <w:rsid w:val="005A4A56"/>
    <w:rsid w:val="005A4F69"/>
    <w:rsid w:val="005A5512"/>
    <w:rsid w:val="005A5564"/>
    <w:rsid w:val="005A5608"/>
    <w:rsid w:val="005A5A3D"/>
    <w:rsid w:val="005A6035"/>
    <w:rsid w:val="005A6B75"/>
    <w:rsid w:val="005A6E00"/>
    <w:rsid w:val="005A718A"/>
    <w:rsid w:val="005A7885"/>
    <w:rsid w:val="005B12B2"/>
    <w:rsid w:val="005B143B"/>
    <w:rsid w:val="005B19BD"/>
    <w:rsid w:val="005B1E45"/>
    <w:rsid w:val="005B1F70"/>
    <w:rsid w:val="005B21C4"/>
    <w:rsid w:val="005B2206"/>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7B5"/>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C08"/>
    <w:rsid w:val="005E0D7B"/>
    <w:rsid w:val="005E1595"/>
    <w:rsid w:val="005E1F1D"/>
    <w:rsid w:val="005E273D"/>
    <w:rsid w:val="005E3278"/>
    <w:rsid w:val="005E363B"/>
    <w:rsid w:val="005E3736"/>
    <w:rsid w:val="005E38E9"/>
    <w:rsid w:val="005E3AF3"/>
    <w:rsid w:val="005E4B72"/>
    <w:rsid w:val="005E52C9"/>
    <w:rsid w:val="005F02D8"/>
    <w:rsid w:val="005F1D88"/>
    <w:rsid w:val="005F24CC"/>
    <w:rsid w:val="005F305B"/>
    <w:rsid w:val="005F3361"/>
    <w:rsid w:val="005F3ACA"/>
    <w:rsid w:val="005F3B47"/>
    <w:rsid w:val="005F4481"/>
    <w:rsid w:val="005F47AC"/>
    <w:rsid w:val="005F49AF"/>
    <w:rsid w:val="005F4A58"/>
    <w:rsid w:val="005F54DF"/>
    <w:rsid w:val="005F56AD"/>
    <w:rsid w:val="005F5888"/>
    <w:rsid w:val="005F5984"/>
    <w:rsid w:val="005F5EAB"/>
    <w:rsid w:val="005F6CE2"/>
    <w:rsid w:val="005F6EC8"/>
    <w:rsid w:val="005F6F24"/>
    <w:rsid w:val="005F72E9"/>
    <w:rsid w:val="005F780B"/>
    <w:rsid w:val="0060009B"/>
    <w:rsid w:val="006003E9"/>
    <w:rsid w:val="00600473"/>
    <w:rsid w:val="0060079A"/>
    <w:rsid w:val="0060083D"/>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336"/>
    <w:rsid w:val="006157A9"/>
    <w:rsid w:val="0061591D"/>
    <w:rsid w:val="00615ED0"/>
    <w:rsid w:val="0061604C"/>
    <w:rsid w:val="006161BE"/>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78"/>
    <w:rsid w:val="006307FD"/>
    <w:rsid w:val="00630845"/>
    <w:rsid w:val="00631059"/>
    <w:rsid w:val="006310C3"/>
    <w:rsid w:val="00631245"/>
    <w:rsid w:val="006312E1"/>
    <w:rsid w:val="0063161E"/>
    <w:rsid w:val="00631BB5"/>
    <w:rsid w:val="00631DD0"/>
    <w:rsid w:val="00632B7C"/>
    <w:rsid w:val="00633DBF"/>
    <w:rsid w:val="00634122"/>
    <w:rsid w:val="0063444B"/>
    <w:rsid w:val="006359EC"/>
    <w:rsid w:val="00635E32"/>
    <w:rsid w:val="006360FC"/>
    <w:rsid w:val="006361C9"/>
    <w:rsid w:val="006365DE"/>
    <w:rsid w:val="00636BE4"/>
    <w:rsid w:val="00636F88"/>
    <w:rsid w:val="0063732C"/>
    <w:rsid w:val="00637802"/>
    <w:rsid w:val="00637836"/>
    <w:rsid w:val="00637C26"/>
    <w:rsid w:val="00637F44"/>
    <w:rsid w:val="0064091A"/>
    <w:rsid w:val="00641078"/>
    <w:rsid w:val="00641242"/>
    <w:rsid w:val="00642A32"/>
    <w:rsid w:val="00642A8F"/>
    <w:rsid w:val="00642D7A"/>
    <w:rsid w:val="006433D5"/>
    <w:rsid w:val="00643412"/>
    <w:rsid w:val="00644BFD"/>
    <w:rsid w:val="00645CEB"/>
    <w:rsid w:val="00646B20"/>
    <w:rsid w:val="00646D0F"/>
    <w:rsid w:val="00646D57"/>
    <w:rsid w:val="00646D69"/>
    <w:rsid w:val="00647645"/>
    <w:rsid w:val="00647A36"/>
    <w:rsid w:val="00647DCC"/>
    <w:rsid w:val="00647E07"/>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2"/>
    <w:rsid w:val="00655507"/>
    <w:rsid w:val="006568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28"/>
    <w:rsid w:val="006739E4"/>
    <w:rsid w:val="00673DD7"/>
    <w:rsid w:val="00673ECF"/>
    <w:rsid w:val="0067426B"/>
    <w:rsid w:val="006743AB"/>
    <w:rsid w:val="00674800"/>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3C9A"/>
    <w:rsid w:val="00684462"/>
    <w:rsid w:val="00684C0D"/>
    <w:rsid w:val="00684C8A"/>
    <w:rsid w:val="00684CF5"/>
    <w:rsid w:val="0068553E"/>
    <w:rsid w:val="0068557F"/>
    <w:rsid w:val="00685D37"/>
    <w:rsid w:val="00685E7B"/>
    <w:rsid w:val="00686551"/>
    <w:rsid w:val="006867B7"/>
    <w:rsid w:val="00686CAB"/>
    <w:rsid w:val="0068717F"/>
    <w:rsid w:val="0068730C"/>
    <w:rsid w:val="00687504"/>
    <w:rsid w:val="00687A14"/>
    <w:rsid w:val="00687A8C"/>
    <w:rsid w:val="00690839"/>
    <w:rsid w:val="006908DB"/>
    <w:rsid w:val="00690DE9"/>
    <w:rsid w:val="006912EE"/>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05E"/>
    <w:rsid w:val="006A0274"/>
    <w:rsid w:val="006A112B"/>
    <w:rsid w:val="006A1137"/>
    <w:rsid w:val="006A27BC"/>
    <w:rsid w:val="006A2948"/>
    <w:rsid w:val="006A2A43"/>
    <w:rsid w:val="006A2BF1"/>
    <w:rsid w:val="006A2F9A"/>
    <w:rsid w:val="006A34E4"/>
    <w:rsid w:val="006A3A5A"/>
    <w:rsid w:val="006A41C0"/>
    <w:rsid w:val="006A44CF"/>
    <w:rsid w:val="006A457D"/>
    <w:rsid w:val="006A4C06"/>
    <w:rsid w:val="006A55EE"/>
    <w:rsid w:val="006A575B"/>
    <w:rsid w:val="006A59DE"/>
    <w:rsid w:val="006A5DEE"/>
    <w:rsid w:val="006A64C6"/>
    <w:rsid w:val="006A6655"/>
    <w:rsid w:val="006A6B87"/>
    <w:rsid w:val="006A6BF9"/>
    <w:rsid w:val="006A7CB5"/>
    <w:rsid w:val="006A7FD0"/>
    <w:rsid w:val="006B025C"/>
    <w:rsid w:val="006B08ED"/>
    <w:rsid w:val="006B2534"/>
    <w:rsid w:val="006B28DE"/>
    <w:rsid w:val="006B2CB2"/>
    <w:rsid w:val="006B347D"/>
    <w:rsid w:val="006B3E19"/>
    <w:rsid w:val="006B3EB4"/>
    <w:rsid w:val="006B4488"/>
    <w:rsid w:val="006B50C4"/>
    <w:rsid w:val="006B53AE"/>
    <w:rsid w:val="006B56FA"/>
    <w:rsid w:val="006B58B4"/>
    <w:rsid w:val="006B67AC"/>
    <w:rsid w:val="006B786A"/>
    <w:rsid w:val="006B7A7B"/>
    <w:rsid w:val="006B7E4E"/>
    <w:rsid w:val="006C003A"/>
    <w:rsid w:val="006C0630"/>
    <w:rsid w:val="006C0AB9"/>
    <w:rsid w:val="006C107C"/>
    <w:rsid w:val="006C189C"/>
    <w:rsid w:val="006C1E1F"/>
    <w:rsid w:val="006C2454"/>
    <w:rsid w:val="006C2551"/>
    <w:rsid w:val="006C37CA"/>
    <w:rsid w:val="006C40D2"/>
    <w:rsid w:val="006C4509"/>
    <w:rsid w:val="006C4684"/>
    <w:rsid w:val="006C4B5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BD0"/>
    <w:rsid w:val="006D4E32"/>
    <w:rsid w:val="006D5B5C"/>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A32"/>
    <w:rsid w:val="006E3B05"/>
    <w:rsid w:val="006E437F"/>
    <w:rsid w:val="006E4D5B"/>
    <w:rsid w:val="006E53CB"/>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0BDE"/>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2BC4"/>
    <w:rsid w:val="00713526"/>
    <w:rsid w:val="00713B6C"/>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3F6"/>
    <w:rsid w:val="00723475"/>
    <w:rsid w:val="007236C4"/>
    <w:rsid w:val="00724635"/>
    <w:rsid w:val="00724A57"/>
    <w:rsid w:val="00724F21"/>
    <w:rsid w:val="00725134"/>
    <w:rsid w:val="0072554B"/>
    <w:rsid w:val="00725AFD"/>
    <w:rsid w:val="00726603"/>
    <w:rsid w:val="007266AC"/>
    <w:rsid w:val="00726E89"/>
    <w:rsid w:val="00727B1D"/>
    <w:rsid w:val="00727DDC"/>
    <w:rsid w:val="00730CD6"/>
    <w:rsid w:val="00730F74"/>
    <w:rsid w:val="0073114B"/>
    <w:rsid w:val="00731380"/>
    <w:rsid w:val="00732029"/>
    <w:rsid w:val="00732151"/>
    <w:rsid w:val="007341D8"/>
    <w:rsid w:val="00734546"/>
    <w:rsid w:val="00734952"/>
    <w:rsid w:val="00734990"/>
    <w:rsid w:val="00734FF5"/>
    <w:rsid w:val="00735B78"/>
    <w:rsid w:val="00735DA7"/>
    <w:rsid w:val="007365FE"/>
    <w:rsid w:val="00736700"/>
    <w:rsid w:val="007368B4"/>
    <w:rsid w:val="00737229"/>
    <w:rsid w:val="007378E0"/>
    <w:rsid w:val="00740529"/>
    <w:rsid w:val="00740876"/>
    <w:rsid w:val="00740C34"/>
    <w:rsid w:val="00740F18"/>
    <w:rsid w:val="00741358"/>
    <w:rsid w:val="00741626"/>
    <w:rsid w:val="00742332"/>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76E"/>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137"/>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832"/>
    <w:rsid w:val="00781939"/>
    <w:rsid w:val="00781CAE"/>
    <w:rsid w:val="00781D29"/>
    <w:rsid w:val="007821A7"/>
    <w:rsid w:val="007821D6"/>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81F"/>
    <w:rsid w:val="007938E6"/>
    <w:rsid w:val="00793A57"/>
    <w:rsid w:val="00793B2E"/>
    <w:rsid w:val="007948F5"/>
    <w:rsid w:val="0079502E"/>
    <w:rsid w:val="007954AF"/>
    <w:rsid w:val="00795647"/>
    <w:rsid w:val="00795887"/>
    <w:rsid w:val="00795D27"/>
    <w:rsid w:val="007963F6"/>
    <w:rsid w:val="00796CD4"/>
    <w:rsid w:val="00796DC8"/>
    <w:rsid w:val="00796E80"/>
    <w:rsid w:val="0079744F"/>
    <w:rsid w:val="0079776F"/>
    <w:rsid w:val="007979AD"/>
    <w:rsid w:val="00797A9C"/>
    <w:rsid w:val="007A02C2"/>
    <w:rsid w:val="007A0EAB"/>
    <w:rsid w:val="007A233D"/>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2D3D"/>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6B"/>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3A2"/>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6548"/>
    <w:rsid w:val="007D7A62"/>
    <w:rsid w:val="007D7B1C"/>
    <w:rsid w:val="007D7CFC"/>
    <w:rsid w:val="007E0812"/>
    <w:rsid w:val="007E18DF"/>
    <w:rsid w:val="007E2C36"/>
    <w:rsid w:val="007E3141"/>
    <w:rsid w:val="007E350D"/>
    <w:rsid w:val="007E39C8"/>
    <w:rsid w:val="007E3ACA"/>
    <w:rsid w:val="007E564D"/>
    <w:rsid w:val="007E5C4A"/>
    <w:rsid w:val="007E64D4"/>
    <w:rsid w:val="007E66E9"/>
    <w:rsid w:val="007E69F2"/>
    <w:rsid w:val="007E7432"/>
    <w:rsid w:val="007E74BF"/>
    <w:rsid w:val="007E77D2"/>
    <w:rsid w:val="007E7D2E"/>
    <w:rsid w:val="007F0221"/>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7A"/>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07FA"/>
    <w:rsid w:val="00811898"/>
    <w:rsid w:val="008118AD"/>
    <w:rsid w:val="008119E6"/>
    <w:rsid w:val="00811CDC"/>
    <w:rsid w:val="008124D8"/>
    <w:rsid w:val="00813A41"/>
    <w:rsid w:val="00813A7B"/>
    <w:rsid w:val="00813F04"/>
    <w:rsid w:val="0081513E"/>
    <w:rsid w:val="00815DA5"/>
    <w:rsid w:val="00816221"/>
    <w:rsid w:val="008164D9"/>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6FB"/>
    <w:rsid w:val="008268FB"/>
    <w:rsid w:val="00826BCC"/>
    <w:rsid w:val="00826F71"/>
    <w:rsid w:val="00827CC0"/>
    <w:rsid w:val="008306AB"/>
    <w:rsid w:val="00830CB4"/>
    <w:rsid w:val="00831026"/>
    <w:rsid w:val="0083119B"/>
    <w:rsid w:val="00831BAE"/>
    <w:rsid w:val="00832216"/>
    <w:rsid w:val="008328D4"/>
    <w:rsid w:val="00832CD0"/>
    <w:rsid w:val="00833430"/>
    <w:rsid w:val="008338D0"/>
    <w:rsid w:val="00833ADA"/>
    <w:rsid w:val="00834128"/>
    <w:rsid w:val="0083417F"/>
    <w:rsid w:val="00835143"/>
    <w:rsid w:val="008355CD"/>
    <w:rsid w:val="0083569B"/>
    <w:rsid w:val="00835741"/>
    <w:rsid w:val="00836E74"/>
    <w:rsid w:val="00836EAB"/>
    <w:rsid w:val="00837673"/>
    <w:rsid w:val="00837937"/>
    <w:rsid w:val="00837D82"/>
    <w:rsid w:val="00840893"/>
    <w:rsid w:val="008408E2"/>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4CF"/>
    <w:rsid w:val="00847535"/>
    <w:rsid w:val="00847954"/>
    <w:rsid w:val="00847B6D"/>
    <w:rsid w:val="00850542"/>
    <w:rsid w:val="0085092D"/>
    <w:rsid w:val="008509A5"/>
    <w:rsid w:val="00850C79"/>
    <w:rsid w:val="00850D82"/>
    <w:rsid w:val="00850EA3"/>
    <w:rsid w:val="00850F79"/>
    <w:rsid w:val="0085100B"/>
    <w:rsid w:val="008527D6"/>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2BD"/>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601"/>
    <w:rsid w:val="00866881"/>
    <w:rsid w:val="00866931"/>
    <w:rsid w:val="00867512"/>
    <w:rsid w:val="008678A3"/>
    <w:rsid w:val="00867C13"/>
    <w:rsid w:val="00867C1D"/>
    <w:rsid w:val="0087004F"/>
    <w:rsid w:val="0087033C"/>
    <w:rsid w:val="008713B0"/>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403B"/>
    <w:rsid w:val="008850EB"/>
    <w:rsid w:val="00885224"/>
    <w:rsid w:val="00885228"/>
    <w:rsid w:val="008857E3"/>
    <w:rsid w:val="0088662A"/>
    <w:rsid w:val="00886DF2"/>
    <w:rsid w:val="00886FB9"/>
    <w:rsid w:val="00887057"/>
    <w:rsid w:val="00887080"/>
    <w:rsid w:val="008877A7"/>
    <w:rsid w:val="00887C79"/>
    <w:rsid w:val="0089016B"/>
    <w:rsid w:val="0089107B"/>
    <w:rsid w:val="008913CC"/>
    <w:rsid w:val="008914AE"/>
    <w:rsid w:val="008919CF"/>
    <w:rsid w:val="00891F84"/>
    <w:rsid w:val="00891FC3"/>
    <w:rsid w:val="008928EC"/>
    <w:rsid w:val="00892E5D"/>
    <w:rsid w:val="008935CF"/>
    <w:rsid w:val="00893C6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A9F"/>
    <w:rsid w:val="008A1FB7"/>
    <w:rsid w:val="008A229A"/>
    <w:rsid w:val="008A2A23"/>
    <w:rsid w:val="008A2AF5"/>
    <w:rsid w:val="008A2B5A"/>
    <w:rsid w:val="008A3F9D"/>
    <w:rsid w:val="008A4769"/>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B36"/>
    <w:rsid w:val="008D3B85"/>
    <w:rsid w:val="008D462D"/>
    <w:rsid w:val="008D5CD5"/>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2FD2"/>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06C1"/>
    <w:rsid w:val="008F1056"/>
    <w:rsid w:val="008F1E70"/>
    <w:rsid w:val="008F220A"/>
    <w:rsid w:val="008F28B8"/>
    <w:rsid w:val="008F2E8D"/>
    <w:rsid w:val="008F361D"/>
    <w:rsid w:val="008F387B"/>
    <w:rsid w:val="008F3DD9"/>
    <w:rsid w:val="008F4163"/>
    <w:rsid w:val="008F4814"/>
    <w:rsid w:val="008F4B18"/>
    <w:rsid w:val="008F4DA6"/>
    <w:rsid w:val="008F538E"/>
    <w:rsid w:val="008F546F"/>
    <w:rsid w:val="008F58BE"/>
    <w:rsid w:val="008F5A20"/>
    <w:rsid w:val="008F5ABA"/>
    <w:rsid w:val="008F6780"/>
    <w:rsid w:val="008F71AB"/>
    <w:rsid w:val="008F7905"/>
    <w:rsid w:val="008F7989"/>
    <w:rsid w:val="00900A23"/>
    <w:rsid w:val="00901F1D"/>
    <w:rsid w:val="009026AC"/>
    <w:rsid w:val="009028E8"/>
    <w:rsid w:val="00902E5C"/>
    <w:rsid w:val="0090363E"/>
    <w:rsid w:val="00903E0D"/>
    <w:rsid w:val="009046E5"/>
    <w:rsid w:val="009047C5"/>
    <w:rsid w:val="00905CE5"/>
    <w:rsid w:val="00910683"/>
    <w:rsid w:val="00910E00"/>
    <w:rsid w:val="00910E04"/>
    <w:rsid w:val="00911142"/>
    <w:rsid w:val="009116CE"/>
    <w:rsid w:val="00911714"/>
    <w:rsid w:val="00911D04"/>
    <w:rsid w:val="00911EFF"/>
    <w:rsid w:val="00912294"/>
    <w:rsid w:val="0091310F"/>
    <w:rsid w:val="009136D4"/>
    <w:rsid w:val="00913A0F"/>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770"/>
    <w:rsid w:val="00925346"/>
    <w:rsid w:val="009253D2"/>
    <w:rsid w:val="00925743"/>
    <w:rsid w:val="0092579F"/>
    <w:rsid w:val="00926068"/>
    <w:rsid w:val="00927DD3"/>
    <w:rsid w:val="00927E8D"/>
    <w:rsid w:val="00927F23"/>
    <w:rsid w:val="00930521"/>
    <w:rsid w:val="009307CD"/>
    <w:rsid w:val="00931364"/>
    <w:rsid w:val="00931365"/>
    <w:rsid w:val="00931451"/>
    <w:rsid w:val="009314FA"/>
    <w:rsid w:val="00931901"/>
    <w:rsid w:val="0093194F"/>
    <w:rsid w:val="00931BF3"/>
    <w:rsid w:val="00931C55"/>
    <w:rsid w:val="00932014"/>
    <w:rsid w:val="00932B89"/>
    <w:rsid w:val="00933333"/>
    <w:rsid w:val="00933390"/>
    <w:rsid w:val="0093349A"/>
    <w:rsid w:val="0093352B"/>
    <w:rsid w:val="009338BA"/>
    <w:rsid w:val="00933FCB"/>
    <w:rsid w:val="00934396"/>
    <w:rsid w:val="009346C8"/>
    <w:rsid w:val="00934BEF"/>
    <w:rsid w:val="00934CEC"/>
    <w:rsid w:val="00934E69"/>
    <w:rsid w:val="009355CF"/>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3D1"/>
    <w:rsid w:val="009439B6"/>
    <w:rsid w:val="00943FCD"/>
    <w:rsid w:val="009444B4"/>
    <w:rsid w:val="00944644"/>
    <w:rsid w:val="009467DC"/>
    <w:rsid w:val="00946A24"/>
    <w:rsid w:val="009470D4"/>
    <w:rsid w:val="00947337"/>
    <w:rsid w:val="00947E6E"/>
    <w:rsid w:val="00950024"/>
    <w:rsid w:val="0095041D"/>
    <w:rsid w:val="00950EF2"/>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B3F"/>
    <w:rsid w:val="00964C98"/>
    <w:rsid w:val="00967BEF"/>
    <w:rsid w:val="00971441"/>
    <w:rsid w:val="009715D4"/>
    <w:rsid w:val="0097179A"/>
    <w:rsid w:val="009731F4"/>
    <w:rsid w:val="009732A4"/>
    <w:rsid w:val="009739E6"/>
    <w:rsid w:val="00973C05"/>
    <w:rsid w:val="00973CFF"/>
    <w:rsid w:val="00973F3A"/>
    <w:rsid w:val="0097494E"/>
    <w:rsid w:val="00974999"/>
    <w:rsid w:val="00974B58"/>
    <w:rsid w:val="00974B94"/>
    <w:rsid w:val="00974CBD"/>
    <w:rsid w:val="00975390"/>
    <w:rsid w:val="00975445"/>
    <w:rsid w:val="009757CD"/>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123"/>
    <w:rsid w:val="009876F2"/>
    <w:rsid w:val="00987C77"/>
    <w:rsid w:val="00987F55"/>
    <w:rsid w:val="00987FED"/>
    <w:rsid w:val="009900A5"/>
    <w:rsid w:val="00990345"/>
    <w:rsid w:val="00990701"/>
    <w:rsid w:val="0099119C"/>
    <w:rsid w:val="0099137A"/>
    <w:rsid w:val="00991CFE"/>
    <w:rsid w:val="00991D3D"/>
    <w:rsid w:val="00991F86"/>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BBD"/>
    <w:rsid w:val="009A4D63"/>
    <w:rsid w:val="009A5356"/>
    <w:rsid w:val="009A5468"/>
    <w:rsid w:val="009A5D99"/>
    <w:rsid w:val="009A608C"/>
    <w:rsid w:val="009A6FDF"/>
    <w:rsid w:val="009A715F"/>
    <w:rsid w:val="009A76D6"/>
    <w:rsid w:val="009A773A"/>
    <w:rsid w:val="009B0B1E"/>
    <w:rsid w:val="009B1AE9"/>
    <w:rsid w:val="009B1F41"/>
    <w:rsid w:val="009B231D"/>
    <w:rsid w:val="009B2374"/>
    <w:rsid w:val="009B2E29"/>
    <w:rsid w:val="009B304D"/>
    <w:rsid w:val="009B3163"/>
    <w:rsid w:val="009B35AE"/>
    <w:rsid w:val="009B422F"/>
    <w:rsid w:val="009B46BC"/>
    <w:rsid w:val="009B4D01"/>
    <w:rsid w:val="009B4D1A"/>
    <w:rsid w:val="009B519D"/>
    <w:rsid w:val="009B558B"/>
    <w:rsid w:val="009B5981"/>
    <w:rsid w:val="009B6D21"/>
    <w:rsid w:val="009B78ED"/>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794"/>
    <w:rsid w:val="009D28AB"/>
    <w:rsid w:val="009D2BDF"/>
    <w:rsid w:val="009D3736"/>
    <w:rsid w:val="009D3E9B"/>
    <w:rsid w:val="009D4529"/>
    <w:rsid w:val="009D604F"/>
    <w:rsid w:val="009D61BB"/>
    <w:rsid w:val="009D6410"/>
    <w:rsid w:val="009D68BB"/>
    <w:rsid w:val="009D6909"/>
    <w:rsid w:val="009D7049"/>
    <w:rsid w:val="009D70C2"/>
    <w:rsid w:val="009D7244"/>
    <w:rsid w:val="009D7ADB"/>
    <w:rsid w:val="009D7B33"/>
    <w:rsid w:val="009D7D06"/>
    <w:rsid w:val="009E020C"/>
    <w:rsid w:val="009E0444"/>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6797"/>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08C"/>
    <w:rsid w:val="00A11BB6"/>
    <w:rsid w:val="00A11E78"/>
    <w:rsid w:val="00A12355"/>
    <w:rsid w:val="00A12574"/>
    <w:rsid w:val="00A127D2"/>
    <w:rsid w:val="00A1284E"/>
    <w:rsid w:val="00A12C00"/>
    <w:rsid w:val="00A131F8"/>
    <w:rsid w:val="00A13CF5"/>
    <w:rsid w:val="00A143EC"/>
    <w:rsid w:val="00A149E8"/>
    <w:rsid w:val="00A14E6E"/>
    <w:rsid w:val="00A1500F"/>
    <w:rsid w:val="00A15343"/>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0E6"/>
    <w:rsid w:val="00A213DD"/>
    <w:rsid w:val="00A21454"/>
    <w:rsid w:val="00A216CE"/>
    <w:rsid w:val="00A22025"/>
    <w:rsid w:val="00A22498"/>
    <w:rsid w:val="00A22571"/>
    <w:rsid w:val="00A2298D"/>
    <w:rsid w:val="00A23BD0"/>
    <w:rsid w:val="00A24560"/>
    <w:rsid w:val="00A24E1D"/>
    <w:rsid w:val="00A25B0F"/>
    <w:rsid w:val="00A25BBB"/>
    <w:rsid w:val="00A25F2F"/>
    <w:rsid w:val="00A27FB6"/>
    <w:rsid w:val="00A30121"/>
    <w:rsid w:val="00A30368"/>
    <w:rsid w:val="00A3043A"/>
    <w:rsid w:val="00A30E02"/>
    <w:rsid w:val="00A30F6A"/>
    <w:rsid w:val="00A31B74"/>
    <w:rsid w:val="00A31C3E"/>
    <w:rsid w:val="00A31CE1"/>
    <w:rsid w:val="00A32254"/>
    <w:rsid w:val="00A32A8C"/>
    <w:rsid w:val="00A34538"/>
    <w:rsid w:val="00A34677"/>
    <w:rsid w:val="00A3540F"/>
    <w:rsid w:val="00A35630"/>
    <w:rsid w:val="00A35914"/>
    <w:rsid w:val="00A36189"/>
    <w:rsid w:val="00A37054"/>
    <w:rsid w:val="00A3753B"/>
    <w:rsid w:val="00A37E73"/>
    <w:rsid w:val="00A37FB6"/>
    <w:rsid w:val="00A409E2"/>
    <w:rsid w:val="00A4104A"/>
    <w:rsid w:val="00A41081"/>
    <w:rsid w:val="00A411CA"/>
    <w:rsid w:val="00A41AE8"/>
    <w:rsid w:val="00A41C35"/>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0A9"/>
    <w:rsid w:val="00A47849"/>
    <w:rsid w:val="00A500B1"/>
    <w:rsid w:val="00A52A53"/>
    <w:rsid w:val="00A52EE5"/>
    <w:rsid w:val="00A53037"/>
    <w:rsid w:val="00A532B9"/>
    <w:rsid w:val="00A5351D"/>
    <w:rsid w:val="00A53E79"/>
    <w:rsid w:val="00A54031"/>
    <w:rsid w:val="00A5426D"/>
    <w:rsid w:val="00A54E62"/>
    <w:rsid w:val="00A54FC2"/>
    <w:rsid w:val="00A55122"/>
    <w:rsid w:val="00A55CEA"/>
    <w:rsid w:val="00A56CCB"/>
    <w:rsid w:val="00A56DE7"/>
    <w:rsid w:val="00A56E1D"/>
    <w:rsid w:val="00A57EB2"/>
    <w:rsid w:val="00A6009E"/>
    <w:rsid w:val="00A60265"/>
    <w:rsid w:val="00A60540"/>
    <w:rsid w:val="00A60B1F"/>
    <w:rsid w:val="00A6109E"/>
    <w:rsid w:val="00A61C60"/>
    <w:rsid w:val="00A62589"/>
    <w:rsid w:val="00A62AD0"/>
    <w:rsid w:val="00A62C3A"/>
    <w:rsid w:val="00A6319C"/>
    <w:rsid w:val="00A63763"/>
    <w:rsid w:val="00A63812"/>
    <w:rsid w:val="00A63DF7"/>
    <w:rsid w:val="00A6454D"/>
    <w:rsid w:val="00A6460F"/>
    <w:rsid w:val="00A64F2F"/>
    <w:rsid w:val="00A65DBF"/>
    <w:rsid w:val="00A6611E"/>
    <w:rsid w:val="00A668BA"/>
    <w:rsid w:val="00A66DDA"/>
    <w:rsid w:val="00A66FA7"/>
    <w:rsid w:val="00A67D7D"/>
    <w:rsid w:val="00A67E16"/>
    <w:rsid w:val="00A67EB1"/>
    <w:rsid w:val="00A703CC"/>
    <w:rsid w:val="00A70C4A"/>
    <w:rsid w:val="00A70C5C"/>
    <w:rsid w:val="00A710A2"/>
    <w:rsid w:val="00A71EA7"/>
    <w:rsid w:val="00A730AD"/>
    <w:rsid w:val="00A73690"/>
    <w:rsid w:val="00A73855"/>
    <w:rsid w:val="00A73D39"/>
    <w:rsid w:val="00A73D64"/>
    <w:rsid w:val="00A74046"/>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87FAC"/>
    <w:rsid w:val="00A90792"/>
    <w:rsid w:val="00A90F12"/>
    <w:rsid w:val="00A91690"/>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8E7"/>
    <w:rsid w:val="00AA0A06"/>
    <w:rsid w:val="00AA1351"/>
    <w:rsid w:val="00AA184C"/>
    <w:rsid w:val="00AA19B8"/>
    <w:rsid w:val="00AA1AF4"/>
    <w:rsid w:val="00AA1C84"/>
    <w:rsid w:val="00AA3036"/>
    <w:rsid w:val="00AA3D7B"/>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0CFD"/>
    <w:rsid w:val="00AB14E8"/>
    <w:rsid w:val="00AB1B1D"/>
    <w:rsid w:val="00AB2216"/>
    <w:rsid w:val="00AB2AEC"/>
    <w:rsid w:val="00AB358D"/>
    <w:rsid w:val="00AB37A1"/>
    <w:rsid w:val="00AB3BAD"/>
    <w:rsid w:val="00AB3CFD"/>
    <w:rsid w:val="00AB49BC"/>
    <w:rsid w:val="00AB4DEE"/>
    <w:rsid w:val="00AB4E32"/>
    <w:rsid w:val="00AB5BE7"/>
    <w:rsid w:val="00AB5C19"/>
    <w:rsid w:val="00AB5DF8"/>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159"/>
    <w:rsid w:val="00AC56F2"/>
    <w:rsid w:val="00AC5897"/>
    <w:rsid w:val="00AC71C3"/>
    <w:rsid w:val="00AC7B4D"/>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8A2"/>
    <w:rsid w:val="00AE2AD4"/>
    <w:rsid w:val="00AE2CA7"/>
    <w:rsid w:val="00AE2F1D"/>
    <w:rsid w:val="00AE4C81"/>
    <w:rsid w:val="00AE50BD"/>
    <w:rsid w:val="00AE586F"/>
    <w:rsid w:val="00AE6582"/>
    <w:rsid w:val="00AE6DC5"/>
    <w:rsid w:val="00AE7686"/>
    <w:rsid w:val="00AE7899"/>
    <w:rsid w:val="00AE799A"/>
    <w:rsid w:val="00AE7A7C"/>
    <w:rsid w:val="00AF0E81"/>
    <w:rsid w:val="00AF117A"/>
    <w:rsid w:val="00AF11D2"/>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BAB"/>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35"/>
    <w:rsid w:val="00B17B91"/>
    <w:rsid w:val="00B20209"/>
    <w:rsid w:val="00B203C9"/>
    <w:rsid w:val="00B2088D"/>
    <w:rsid w:val="00B208FF"/>
    <w:rsid w:val="00B20A58"/>
    <w:rsid w:val="00B20E8F"/>
    <w:rsid w:val="00B220D1"/>
    <w:rsid w:val="00B22E22"/>
    <w:rsid w:val="00B22F5F"/>
    <w:rsid w:val="00B232BD"/>
    <w:rsid w:val="00B23353"/>
    <w:rsid w:val="00B23813"/>
    <w:rsid w:val="00B23FD9"/>
    <w:rsid w:val="00B24591"/>
    <w:rsid w:val="00B245D5"/>
    <w:rsid w:val="00B245EF"/>
    <w:rsid w:val="00B24C36"/>
    <w:rsid w:val="00B24F94"/>
    <w:rsid w:val="00B25126"/>
    <w:rsid w:val="00B2563D"/>
    <w:rsid w:val="00B25A52"/>
    <w:rsid w:val="00B25AED"/>
    <w:rsid w:val="00B25FC3"/>
    <w:rsid w:val="00B2754F"/>
    <w:rsid w:val="00B27875"/>
    <w:rsid w:val="00B27CB5"/>
    <w:rsid w:val="00B3008D"/>
    <w:rsid w:val="00B30884"/>
    <w:rsid w:val="00B30E11"/>
    <w:rsid w:val="00B30EAE"/>
    <w:rsid w:val="00B30EEB"/>
    <w:rsid w:val="00B31423"/>
    <w:rsid w:val="00B317AE"/>
    <w:rsid w:val="00B323E0"/>
    <w:rsid w:val="00B32DC0"/>
    <w:rsid w:val="00B32FA2"/>
    <w:rsid w:val="00B3346C"/>
    <w:rsid w:val="00B335E4"/>
    <w:rsid w:val="00B33C23"/>
    <w:rsid w:val="00B345B4"/>
    <w:rsid w:val="00B348B1"/>
    <w:rsid w:val="00B34A28"/>
    <w:rsid w:val="00B35046"/>
    <w:rsid w:val="00B35B6A"/>
    <w:rsid w:val="00B35F1B"/>
    <w:rsid w:val="00B365B4"/>
    <w:rsid w:val="00B36C99"/>
    <w:rsid w:val="00B36D2B"/>
    <w:rsid w:val="00B37657"/>
    <w:rsid w:val="00B37AFD"/>
    <w:rsid w:val="00B37B07"/>
    <w:rsid w:val="00B4046F"/>
    <w:rsid w:val="00B406B3"/>
    <w:rsid w:val="00B40714"/>
    <w:rsid w:val="00B40A36"/>
    <w:rsid w:val="00B40D1D"/>
    <w:rsid w:val="00B41BCA"/>
    <w:rsid w:val="00B41D39"/>
    <w:rsid w:val="00B41D66"/>
    <w:rsid w:val="00B422C0"/>
    <w:rsid w:val="00B426CA"/>
    <w:rsid w:val="00B426E1"/>
    <w:rsid w:val="00B428F5"/>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1DCA"/>
    <w:rsid w:val="00B525CB"/>
    <w:rsid w:val="00B52697"/>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B79"/>
    <w:rsid w:val="00B63CB2"/>
    <w:rsid w:val="00B64246"/>
    <w:rsid w:val="00B64EDB"/>
    <w:rsid w:val="00B65938"/>
    <w:rsid w:val="00B65C8A"/>
    <w:rsid w:val="00B65CE2"/>
    <w:rsid w:val="00B65E6C"/>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6FC"/>
    <w:rsid w:val="00B74D05"/>
    <w:rsid w:val="00B74EF8"/>
    <w:rsid w:val="00B75893"/>
    <w:rsid w:val="00B76124"/>
    <w:rsid w:val="00B764C9"/>
    <w:rsid w:val="00B76A79"/>
    <w:rsid w:val="00B771F4"/>
    <w:rsid w:val="00B7762A"/>
    <w:rsid w:val="00B777FA"/>
    <w:rsid w:val="00B77850"/>
    <w:rsid w:val="00B7796B"/>
    <w:rsid w:val="00B800EB"/>
    <w:rsid w:val="00B80476"/>
    <w:rsid w:val="00B80C72"/>
    <w:rsid w:val="00B80D5D"/>
    <w:rsid w:val="00B80F34"/>
    <w:rsid w:val="00B81964"/>
    <w:rsid w:val="00B81D46"/>
    <w:rsid w:val="00B81E6F"/>
    <w:rsid w:val="00B82123"/>
    <w:rsid w:val="00B821D4"/>
    <w:rsid w:val="00B8225B"/>
    <w:rsid w:val="00B82BB5"/>
    <w:rsid w:val="00B83182"/>
    <w:rsid w:val="00B839F0"/>
    <w:rsid w:val="00B8412C"/>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4D3"/>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3FBD"/>
    <w:rsid w:val="00BA405F"/>
    <w:rsid w:val="00BA4771"/>
    <w:rsid w:val="00BA482B"/>
    <w:rsid w:val="00BA4BDA"/>
    <w:rsid w:val="00BA5027"/>
    <w:rsid w:val="00BA5A74"/>
    <w:rsid w:val="00BA661F"/>
    <w:rsid w:val="00BA665B"/>
    <w:rsid w:val="00BA6FE8"/>
    <w:rsid w:val="00BA732D"/>
    <w:rsid w:val="00BA7370"/>
    <w:rsid w:val="00BA7491"/>
    <w:rsid w:val="00BA778B"/>
    <w:rsid w:val="00BB0888"/>
    <w:rsid w:val="00BB0DF1"/>
    <w:rsid w:val="00BB0E9B"/>
    <w:rsid w:val="00BB2410"/>
    <w:rsid w:val="00BB2841"/>
    <w:rsid w:val="00BB300F"/>
    <w:rsid w:val="00BB32C9"/>
    <w:rsid w:val="00BB35C5"/>
    <w:rsid w:val="00BB4048"/>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1AB"/>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E7A1C"/>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557"/>
    <w:rsid w:val="00C01F74"/>
    <w:rsid w:val="00C02558"/>
    <w:rsid w:val="00C0285F"/>
    <w:rsid w:val="00C028F5"/>
    <w:rsid w:val="00C02EBD"/>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1F6"/>
    <w:rsid w:val="00C06B5A"/>
    <w:rsid w:val="00C06CCF"/>
    <w:rsid w:val="00C0794D"/>
    <w:rsid w:val="00C10360"/>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30"/>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2EFB"/>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478CA"/>
    <w:rsid w:val="00C500F0"/>
    <w:rsid w:val="00C504A7"/>
    <w:rsid w:val="00C505D5"/>
    <w:rsid w:val="00C506C9"/>
    <w:rsid w:val="00C509F9"/>
    <w:rsid w:val="00C50A16"/>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4DA"/>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5C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1F62"/>
    <w:rsid w:val="00C733BA"/>
    <w:rsid w:val="00C73DFB"/>
    <w:rsid w:val="00C74306"/>
    <w:rsid w:val="00C760DC"/>
    <w:rsid w:val="00C8082B"/>
    <w:rsid w:val="00C81A88"/>
    <w:rsid w:val="00C81BD5"/>
    <w:rsid w:val="00C81D46"/>
    <w:rsid w:val="00C82298"/>
    <w:rsid w:val="00C8331F"/>
    <w:rsid w:val="00C833B4"/>
    <w:rsid w:val="00C83C3E"/>
    <w:rsid w:val="00C84284"/>
    <w:rsid w:val="00C84887"/>
    <w:rsid w:val="00C84DD3"/>
    <w:rsid w:val="00C84E33"/>
    <w:rsid w:val="00C856A1"/>
    <w:rsid w:val="00C85E5A"/>
    <w:rsid w:val="00C85FFC"/>
    <w:rsid w:val="00C861FC"/>
    <w:rsid w:val="00C86C87"/>
    <w:rsid w:val="00C9005E"/>
    <w:rsid w:val="00C90111"/>
    <w:rsid w:val="00C9038E"/>
    <w:rsid w:val="00C9077B"/>
    <w:rsid w:val="00C90CA9"/>
    <w:rsid w:val="00C90F88"/>
    <w:rsid w:val="00C91180"/>
    <w:rsid w:val="00C915F2"/>
    <w:rsid w:val="00C917B1"/>
    <w:rsid w:val="00C9193C"/>
    <w:rsid w:val="00C91B77"/>
    <w:rsid w:val="00C91D7E"/>
    <w:rsid w:val="00C920E2"/>
    <w:rsid w:val="00C9370F"/>
    <w:rsid w:val="00C93765"/>
    <w:rsid w:val="00C93861"/>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35DD"/>
    <w:rsid w:val="00CA41E7"/>
    <w:rsid w:val="00CA4A99"/>
    <w:rsid w:val="00CA4AD7"/>
    <w:rsid w:val="00CA4D7D"/>
    <w:rsid w:val="00CA5520"/>
    <w:rsid w:val="00CA5812"/>
    <w:rsid w:val="00CA5BD4"/>
    <w:rsid w:val="00CA5C14"/>
    <w:rsid w:val="00CA5CF3"/>
    <w:rsid w:val="00CA76FC"/>
    <w:rsid w:val="00CA7E7B"/>
    <w:rsid w:val="00CA7F21"/>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C7D38"/>
    <w:rsid w:val="00CD02ED"/>
    <w:rsid w:val="00CD050A"/>
    <w:rsid w:val="00CD1017"/>
    <w:rsid w:val="00CD19EA"/>
    <w:rsid w:val="00CD1D44"/>
    <w:rsid w:val="00CD205D"/>
    <w:rsid w:val="00CD2A22"/>
    <w:rsid w:val="00CD2B50"/>
    <w:rsid w:val="00CD3172"/>
    <w:rsid w:val="00CD3A6D"/>
    <w:rsid w:val="00CD4506"/>
    <w:rsid w:val="00CD520B"/>
    <w:rsid w:val="00CD5663"/>
    <w:rsid w:val="00CD592E"/>
    <w:rsid w:val="00CD5982"/>
    <w:rsid w:val="00CD5A1A"/>
    <w:rsid w:val="00CD5BD5"/>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97B"/>
    <w:rsid w:val="00CF4AF7"/>
    <w:rsid w:val="00CF4BD0"/>
    <w:rsid w:val="00CF4D20"/>
    <w:rsid w:val="00CF5E78"/>
    <w:rsid w:val="00CF729B"/>
    <w:rsid w:val="00CF73F8"/>
    <w:rsid w:val="00CF7928"/>
    <w:rsid w:val="00CF7CA2"/>
    <w:rsid w:val="00D00911"/>
    <w:rsid w:val="00D00A8E"/>
    <w:rsid w:val="00D00DE0"/>
    <w:rsid w:val="00D00F79"/>
    <w:rsid w:val="00D012BF"/>
    <w:rsid w:val="00D0135E"/>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DB3"/>
    <w:rsid w:val="00D126C8"/>
    <w:rsid w:val="00D12D82"/>
    <w:rsid w:val="00D12E9B"/>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918"/>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87DCE"/>
    <w:rsid w:val="00D90683"/>
    <w:rsid w:val="00D90B2A"/>
    <w:rsid w:val="00D911B3"/>
    <w:rsid w:val="00D91483"/>
    <w:rsid w:val="00D915C8"/>
    <w:rsid w:val="00D92C83"/>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0F4"/>
    <w:rsid w:val="00DB7117"/>
    <w:rsid w:val="00DB7760"/>
    <w:rsid w:val="00DB7DD4"/>
    <w:rsid w:val="00DC00B4"/>
    <w:rsid w:val="00DC0585"/>
    <w:rsid w:val="00DC0954"/>
    <w:rsid w:val="00DC0DF8"/>
    <w:rsid w:val="00DC15BA"/>
    <w:rsid w:val="00DC18CD"/>
    <w:rsid w:val="00DC1A68"/>
    <w:rsid w:val="00DC30B8"/>
    <w:rsid w:val="00DC3B6B"/>
    <w:rsid w:val="00DC478F"/>
    <w:rsid w:val="00DC4CF6"/>
    <w:rsid w:val="00DC4F6D"/>
    <w:rsid w:val="00DC62E5"/>
    <w:rsid w:val="00DC6D70"/>
    <w:rsid w:val="00DC6F33"/>
    <w:rsid w:val="00DC7349"/>
    <w:rsid w:val="00DD0EA9"/>
    <w:rsid w:val="00DD14D8"/>
    <w:rsid w:val="00DD1599"/>
    <w:rsid w:val="00DD16F1"/>
    <w:rsid w:val="00DD1B03"/>
    <w:rsid w:val="00DD1E43"/>
    <w:rsid w:val="00DD26BA"/>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4F"/>
    <w:rsid w:val="00DE106B"/>
    <w:rsid w:val="00DE1410"/>
    <w:rsid w:val="00DE20C6"/>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2B34"/>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AA3"/>
    <w:rsid w:val="00E05E70"/>
    <w:rsid w:val="00E064BC"/>
    <w:rsid w:val="00E06803"/>
    <w:rsid w:val="00E07225"/>
    <w:rsid w:val="00E076B4"/>
    <w:rsid w:val="00E07B55"/>
    <w:rsid w:val="00E10579"/>
    <w:rsid w:val="00E10612"/>
    <w:rsid w:val="00E109DD"/>
    <w:rsid w:val="00E11229"/>
    <w:rsid w:val="00E114CA"/>
    <w:rsid w:val="00E127D1"/>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BA4"/>
    <w:rsid w:val="00E20E22"/>
    <w:rsid w:val="00E210D0"/>
    <w:rsid w:val="00E23137"/>
    <w:rsid w:val="00E23980"/>
    <w:rsid w:val="00E241E9"/>
    <w:rsid w:val="00E257C3"/>
    <w:rsid w:val="00E25A2C"/>
    <w:rsid w:val="00E25CB3"/>
    <w:rsid w:val="00E25DA4"/>
    <w:rsid w:val="00E25EB2"/>
    <w:rsid w:val="00E26237"/>
    <w:rsid w:val="00E26CB8"/>
    <w:rsid w:val="00E26D16"/>
    <w:rsid w:val="00E26FCF"/>
    <w:rsid w:val="00E27165"/>
    <w:rsid w:val="00E275D9"/>
    <w:rsid w:val="00E30444"/>
    <w:rsid w:val="00E3044A"/>
    <w:rsid w:val="00E30E49"/>
    <w:rsid w:val="00E31A4A"/>
    <w:rsid w:val="00E31C71"/>
    <w:rsid w:val="00E3344A"/>
    <w:rsid w:val="00E33B29"/>
    <w:rsid w:val="00E33B62"/>
    <w:rsid w:val="00E33F67"/>
    <w:rsid w:val="00E3403D"/>
    <w:rsid w:val="00E344BD"/>
    <w:rsid w:val="00E34E6C"/>
    <w:rsid w:val="00E353E2"/>
    <w:rsid w:val="00E35D3A"/>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2D0E"/>
    <w:rsid w:val="00E436BF"/>
    <w:rsid w:val="00E43D00"/>
    <w:rsid w:val="00E443B4"/>
    <w:rsid w:val="00E445E4"/>
    <w:rsid w:val="00E457CB"/>
    <w:rsid w:val="00E45D47"/>
    <w:rsid w:val="00E45DE4"/>
    <w:rsid w:val="00E45E63"/>
    <w:rsid w:val="00E4759C"/>
    <w:rsid w:val="00E47C87"/>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2DD"/>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0D71"/>
    <w:rsid w:val="00E71704"/>
    <w:rsid w:val="00E719F2"/>
    <w:rsid w:val="00E724E7"/>
    <w:rsid w:val="00E72640"/>
    <w:rsid w:val="00E72B41"/>
    <w:rsid w:val="00E732C1"/>
    <w:rsid w:val="00E7347B"/>
    <w:rsid w:val="00E73792"/>
    <w:rsid w:val="00E73D03"/>
    <w:rsid w:val="00E746A6"/>
    <w:rsid w:val="00E7471C"/>
    <w:rsid w:val="00E7498A"/>
    <w:rsid w:val="00E7514E"/>
    <w:rsid w:val="00E76537"/>
    <w:rsid w:val="00E77784"/>
    <w:rsid w:val="00E77AF5"/>
    <w:rsid w:val="00E807B5"/>
    <w:rsid w:val="00E8143D"/>
    <w:rsid w:val="00E820F4"/>
    <w:rsid w:val="00E823F9"/>
    <w:rsid w:val="00E82C1F"/>
    <w:rsid w:val="00E83671"/>
    <w:rsid w:val="00E839C4"/>
    <w:rsid w:val="00E840EE"/>
    <w:rsid w:val="00E84314"/>
    <w:rsid w:val="00E849CA"/>
    <w:rsid w:val="00E84A71"/>
    <w:rsid w:val="00E8556F"/>
    <w:rsid w:val="00E85CE0"/>
    <w:rsid w:val="00E86556"/>
    <w:rsid w:val="00E86D35"/>
    <w:rsid w:val="00E86DC2"/>
    <w:rsid w:val="00E86E32"/>
    <w:rsid w:val="00E86F2E"/>
    <w:rsid w:val="00E8732E"/>
    <w:rsid w:val="00E9011F"/>
    <w:rsid w:val="00E906EB"/>
    <w:rsid w:val="00E90AEC"/>
    <w:rsid w:val="00E914C8"/>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3C24"/>
    <w:rsid w:val="00EB45AE"/>
    <w:rsid w:val="00EB4AE1"/>
    <w:rsid w:val="00EB4D92"/>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394"/>
    <w:rsid w:val="00EC5741"/>
    <w:rsid w:val="00EC5DA3"/>
    <w:rsid w:val="00EC6014"/>
    <w:rsid w:val="00EC6B3E"/>
    <w:rsid w:val="00EC6F2D"/>
    <w:rsid w:val="00EC73DE"/>
    <w:rsid w:val="00EC7637"/>
    <w:rsid w:val="00EC7CF2"/>
    <w:rsid w:val="00ED046C"/>
    <w:rsid w:val="00ED053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3D05"/>
    <w:rsid w:val="00EE5454"/>
    <w:rsid w:val="00EE54C4"/>
    <w:rsid w:val="00EE59B5"/>
    <w:rsid w:val="00EE5CF1"/>
    <w:rsid w:val="00EE5FB7"/>
    <w:rsid w:val="00EE62AB"/>
    <w:rsid w:val="00EE6783"/>
    <w:rsid w:val="00EE6AC4"/>
    <w:rsid w:val="00EE77CF"/>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40E"/>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5449"/>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360"/>
    <w:rsid w:val="00F1438F"/>
    <w:rsid w:val="00F1457A"/>
    <w:rsid w:val="00F148B7"/>
    <w:rsid w:val="00F14960"/>
    <w:rsid w:val="00F14E28"/>
    <w:rsid w:val="00F14EA9"/>
    <w:rsid w:val="00F15505"/>
    <w:rsid w:val="00F15BFF"/>
    <w:rsid w:val="00F16E4F"/>
    <w:rsid w:val="00F17244"/>
    <w:rsid w:val="00F17405"/>
    <w:rsid w:val="00F20ECE"/>
    <w:rsid w:val="00F2121A"/>
    <w:rsid w:val="00F213A0"/>
    <w:rsid w:val="00F21D54"/>
    <w:rsid w:val="00F21EF4"/>
    <w:rsid w:val="00F2207B"/>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0B5E"/>
    <w:rsid w:val="00F3399B"/>
    <w:rsid w:val="00F33F4B"/>
    <w:rsid w:val="00F346ED"/>
    <w:rsid w:val="00F34945"/>
    <w:rsid w:val="00F34E1E"/>
    <w:rsid w:val="00F3570C"/>
    <w:rsid w:val="00F363A4"/>
    <w:rsid w:val="00F36613"/>
    <w:rsid w:val="00F36765"/>
    <w:rsid w:val="00F368FF"/>
    <w:rsid w:val="00F37068"/>
    <w:rsid w:val="00F37F3F"/>
    <w:rsid w:val="00F40795"/>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4C37"/>
    <w:rsid w:val="00F55679"/>
    <w:rsid w:val="00F561DA"/>
    <w:rsid w:val="00F561E3"/>
    <w:rsid w:val="00F565E6"/>
    <w:rsid w:val="00F56AFA"/>
    <w:rsid w:val="00F56DF8"/>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555"/>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0ED3"/>
    <w:rsid w:val="00F815AC"/>
    <w:rsid w:val="00F8297B"/>
    <w:rsid w:val="00F83B33"/>
    <w:rsid w:val="00F83CAE"/>
    <w:rsid w:val="00F83D31"/>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119"/>
    <w:rsid w:val="00F952E4"/>
    <w:rsid w:val="00F9537B"/>
    <w:rsid w:val="00F96079"/>
    <w:rsid w:val="00F963FC"/>
    <w:rsid w:val="00F97CF1"/>
    <w:rsid w:val="00FA015F"/>
    <w:rsid w:val="00FA0850"/>
    <w:rsid w:val="00FA0EBD"/>
    <w:rsid w:val="00FA0FAC"/>
    <w:rsid w:val="00FA10F7"/>
    <w:rsid w:val="00FA1DA2"/>
    <w:rsid w:val="00FA228F"/>
    <w:rsid w:val="00FA3414"/>
    <w:rsid w:val="00FA347A"/>
    <w:rsid w:val="00FA3CDE"/>
    <w:rsid w:val="00FA458D"/>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4E3"/>
    <w:rsid w:val="00FB27B7"/>
    <w:rsid w:val="00FB35E3"/>
    <w:rsid w:val="00FB3FBE"/>
    <w:rsid w:val="00FB43BC"/>
    <w:rsid w:val="00FB4727"/>
    <w:rsid w:val="00FB4C98"/>
    <w:rsid w:val="00FB4CE3"/>
    <w:rsid w:val="00FB4E26"/>
    <w:rsid w:val="00FB583C"/>
    <w:rsid w:val="00FB6171"/>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14"/>
    <w:rsid w:val="00FC18DC"/>
    <w:rsid w:val="00FC2477"/>
    <w:rsid w:val="00FC2AC4"/>
    <w:rsid w:val="00FC2F73"/>
    <w:rsid w:val="00FC3216"/>
    <w:rsid w:val="00FC350D"/>
    <w:rsid w:val="00FC3A9B"/>
    <w:rsid w:val="00FC3AE1"/>
    <w:rsid w:val="00FC3DFC"/>
    <w:rsid w:val="00FC3EAA"/>
    <w:rsid w:val="00FC3EF4"/>
    <w:rsid w:val="00FC431B"/>
    <w:rsid w:val="00FC434C"/>
    <w:rsid w:val="00FC472C"/>
    <w:rsid w:val="00FC4FDF"/>
    <w:rsid w:val="00FC55CB"/>
    <w:rsid w:val="00FC56C7"/>
    <w:rsid w:val="00FC5B0B"/>
    <w:rsid w:val="00FC5CF4"/>
    <w:rsid w:val="00FC5D64"/>
    <w:rsid w:val="00FC6A39"/>
    <w:rsid w:val="00FC6DB9"/>
    <w:rsid w:val="00FC76A9"/>
    <w:rsid w:val="00FC79AB"/>
    <w:rsid w:val="00FC7BE7"/>
    <w:rsid w:val="00FC7DAC"/>
    <w:rsid w:val="00FD005D"/>
    <w:rsid w:val="00FD013F"/>
    <w:rsid w:val="00FD04AE"/>
    <w:rsid w:val="00FD0DFA"/>
    <w:rsid w:val="00FD10E4"/>
    <w:rsid w:val="00FD1854"/>
    <w:rsid w:val="00FD1890"/>
    <w:rsid w:val="00FD1994"/>
    <w:rsid w:val="00FD3508"/>
    <w:rsid w:val="00FD393C"/>
    <w:rsid w:val="00FD3AFF"/>
    <w:rsid w:val="00FD43BB"/>
    <w:rsid w:val="00FD47F6"/>
    <w:rsid w:val="00FD4AF3"/>
    <w:rsid w:val="00FD4B22"/>
    <w:rsid w:val="00FD72B1"/>
    <w:rsid w:val="00FD798D"/>
    <w:rsid w:val="00FE0EFF"/>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45F"/>
    <w:rsid w:val="00FF0490"/>
    <w:rsid w:val="00FF13CE"/>
    <w:rsid w:val="00FF13D4"/>
    <w:rsid w:val="00FF2053"/>
    <w:rsid w:val="00FF2E82"/>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7552A153-DFC2-41AB-99DE-0D9B090A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2B35A7"/>
    <w:pPr>
      <w:spacing w:after="0"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27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492648">
      <w:bodyDiv w:val="1"/>
      <w:marLeft w:val="0"/>
      <w:marRight w:val="0"/>
      <w:marTop w:val="0"/>
      <w:marBottom w:val="0"/>
      <w:divBdr>
        <w:top w:val="none" w:sz="0" w:space="0" w:color="auto"/>
        <w:left w:val="none" w:sz="0" w:space="0" w:color="auto"/>
        <w:bottom w:val="none" w:sz="0" w:space="0" w:color="auto"/>
        <w:right w:val="none" w:sz="0" w:space="0" w:color="auto"/>
      </w:divBdr>
      <w:divsChild>
        <w:div w:id="1802075241">
          <w:marLeft w:val="0"/>
          <w:marRight w:val="0"/>
          <w:marTop w:val="0"/>
          <w:marBottom w:val="0"/>
          <w:divBdr>
            <w:top w:val="none" w:sz="0" w:space="0" w:color="auto"/>
            <w:left w:val="none" w:sz="0" w:space="0" w:color="auto"/>
            <w:bottom w:val="none" w:sz="0" w:space="0" w:color="auto"/>
            <w:right w:val="none" w:sz="0" w:space="0" w:color="auto"/>
          </w:divBdr>
        </w:div>
        <w:div w:id="1661468700">
          <w:marLeft w:val="0"/>
          <w:marRight w:val="0"/>
          <w:marTop w:val="0"/>
          <w:marBottom w:val="0"/>
          <w:divBdr>
            <w:top w:val="none" w:sz="0" w:space="0" w:color="auto"/>
            <w:left w:val="none" w:sz="0" w:space="0" w:color="auto"/>
            <w:bottom w:val="none" w:sz="0" w:space="0" w:color="auto"/>
            <w:right w:val="none" w:sz="0" w:space="0" w:color="auto"/>
          </w:divBdr>
        </w:div>
      </w:divsChild>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1663742">
      <w:bodyDiv w:val="1"/>
      <w:marLeft w:val="0"/>
      <w:marRight w:val="0"/>
      <w:marTop w:val="0"/>
      <w:marBottom w:val="0"/>
      <w:divBdr>
        <w:top w:val="none" w:sz="0" w:space="0" w:color="auto"/>
        <w:left w:val="none" w:sz="0" w:space="0" w:color="auto"/>
        <w:bottom w:val="none" w:sz="0" w:space="0" w:color="auto"/>
        <w:right w:val="none" w:sz="0" w:space="0" w:color="auto"/>
      </w:divBdr>
      <w:divsChild>
        <w:div w:id="1567910524">
          <w:marLeft w:val="0"/>
          <w:marRight w:val="0"/>
          <w:marTop w:val="0"/>
          <w:marBottom w:val="0"/>
          <w:divBdr>
            <w:top w:val="none" w:sz="0" w:space="0" w:color="auto"/>
            <w:left w:val="none" w:sz="0" w:space="0" w:color="auto"/>
            <w:bottom w:val="none" w:sz="0" w:space="0" w:color="auto"/>
            <w:right w:val="none" w:sz="0" w:space="0" w:color="auto"/>
          </w:divBdr>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4926297">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B341CEDE-8010-472E-950A-D53F6747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17</Pages>
  <Words>5873</Words>
  <Characters>32303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MARIA CLAUDIA DE LA OSSA BOBADILLA</cp:lastModifiedBy>
  <cp:revision>2</cp:revision>
  <cp:lastPrinted>2021-08-27T20:19:00Z</cp:lastPrinted>
  <dcterms:created xsi:type="dcterms:W3CDTF">2022-05-24T16:31:00Z</dcterms:created>
  <dcterms:modified xsi:type="dcterms:W3CDTF">2022-05-24T16:31:00Z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