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7F1C29" w:rsidRDefault="00B55C69" w:rsidP="00DC78F6">
      <w:pPr>
        <w:jc w:val="right"/>
        <w:rPr>
          <w:rFonts w:ascii="Arial" w:eastAsia="Calibri" w:hAnsi="Arial" w:cs="Arial"/>
          <w:b/>
          <w:sz w:val="20"/>
          <w:szCs w:val="20"/>
          <w:lang w:val="es-ES_tradnl"/>
        </w:rPr>
      </w:pPr>
      <w:bookmarkStart w:id="0" w:name="_Hlk28946138"/>
      <w:bookmarkStart w:id="1" w:name="_Hlk29548183"/>
      <w:bookmarkStart w:id="2" w:name="_Hlk100760729"/>
      <w:r w:rsidRPr="007F1C29">
        <w:rPr>
          <w:rFonts w:ascii="Arial" w:hAnsi="Arial" w:cs="Arial"/>
          <w:bCs/>
          <w:sz w:val="16"/>
          <w:szCs w:val="16"/>
          <w:lang w:val="es-ES_tradnl" w:eastAsia="es-ES"/>
        </w:rPr>
        <w:t>CCE-DES-FM-17</w:t>
      </w:r>
      <w:bookmarkEnd w:id="0"/>
      <w:bookmarkEnd w:id="1"/>
    </w:p>
    <w:p w14:paraId="55FBD910" w14:textId="77777777" w:rsidR="008536BB" w:rsidRPr="007F1C29" w:rsidRDefault="008536BB" w:rsidP="00DC78F6">
      <w:pPr>
        <w:spacing w:line="276" w:lineRule="auto"/>
        <w:jc w:val="both"/>
        <w:rPr>
          <w:rFonts w:ascii="Arial" w:hAnsi="Arial" w:cs="Arial"/>
          <w:noProof/>
          <w:sz w:val="22"/>
          <w:lang w:val="es-ES_tradnl"/>
        </w:rPr>
      </w:pPr>
    </w:p>
    <w:p w14:paraId="72D51A0C" w14:textId="164F7369" w:rsidR="006D3558" w:rsidRDefault="006D3558" w:rsidP="006D3558">
      <w:pPr>
        <w:jc w:val="both"/>
        <w:rPr>
          <w:rFonts w:ascii="Arial" w:eastAsia="Calibri" w:hAnsi="Arial" w:cs="Arial"/>
          <w:b/>
          <w:bCs/>
          <w:color w:val="000000" w:themeColor="text1"/>
          <w:sz w:val="22"/>
          <w:szCs w:val="22"/>
          <w:lang w:val="es-ES_tradnl"/>
        </w:rPr>
      </w:pPr>
      <w:r w:rsidRPr="007F1C29">
        <w:rPr>
          <w:rFonts w:ascii="Arial" w:eastAsia="Calibri" w:hAnsi="Arial" w:cs="Arial"/>
          <w:b/>
          <w:bCs/>
          <w:color w:val="000000" w:themeColor="text1"/>
          <w:sz w:val="22"/>
          <w:szCs w:val="22"/>
          <w:lang w:val="es-ES_tradnl"/>
        </w:rPr>
        <w:t>MÍNIMA CUANTÍA – Concepto – Regulación – Requisitos</w:t>
      </w:r>
    </w:p>
    <w:p w14:paraId="010B3AE5" w14:textId="26DF1C10" w:rsidR="00DF2677" w:rsidRDefault="00DF2677" w:rsidP="006D3558">
      <w:pPr>
        <w:jc w:val="both"/>
        <w:rPr>
          <w:rFonts w:ascii="Arial" w:eastAsia="Calibri" w:hAnsi="Arial" w:cs="Arial"/>
          <w:b/>
          <w:bCs/>
          <w:color w:val="000000" w:themeColor="text1"/>
          <w:sz w:val="22"/>
          <w:szCs w:val="22"/>
          <w:lang w:val="es-ES_tradnl"/>
        </w:rPr>
      </w:pPr>
    </w:p>
    <w:p w14:paraId="05CA552E" w14:textId="385307BB" w:rsidR="00DF2677" w:rsidRPr="00DF2677" w:rsidRDefault="00DF2677" w:rsidP="00DF2677">
      <w:pPr>
        <w:spacing w:after="120"/>
        <w:jc w:val="both"/>
        <w:rPr>
          <w:rFonts w:ascii="Arial" w:eastAsia="Calibri" w:hAnsi="Arial" w:cs="Arial"/>
          <w:sz w:val="20"/>
          <w:szCs w:val="20"/>
          <w:lang w:val="es-ES_tradnl" w:eastAsia="en-US"/>
        </w:rPr>
      </w:pPr>
      <w:r w:rsidRPr="00DF2677">
        <w:rPr>
          <w:rFonts w:ascii="Arial" w:eastAsia="Calibri" w:hAnsi="Arial" w:cs="Arial"/>
          <w:sz w:val="20"/>
          <w:szCs w:val="20"/>
          <w:lang w:val="es-ES_tradnl" w:eastAsia="en-US"/>
        </w:rPr>
        <w:t xml:space="preserve">La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 –que adicionó el numeral 5º al artículo 2 de la Ley 1150 de 2007–, estableciendo que el factor determinante para llevar a cabo tal procedimiento es la cuantía –calculada como presupuesto oficial a partir del estudio del sector–, «independientemente de su objeto». </w:t>
      </w:r>
    </w:p>
    <w:p w14:paraId="3E32816E" w14:textId="6206B0FE" w:rsidR="00DF2677" w:rsidRPr="00DF2677" w:rsidRDefault="00DF2677" w:rsidP="00DF2677">
      <w:pPr>
        <w:spacing w:after="120"/>
        <w:jc w:val="both"/>
        <w:rPr>
          <w:rFonts w:ascii="Arial" w:eastAsia="Calibri" w:hAnsi="Arial" w:cs="Arial"/>
          <w:sz w:val="20"/>
          <w:szCs w:val="20"/>
          <w:lang w:val="es-ES_tradnl" w:eastAsia="en-US"/>
        </w:rPr>
      </w:pPr>
      <w:r w:rsidRPr="00DF2677">
        <w:rPr>
          <w:rFonts w:ascii="Arial" w:eastAsia="Calibri" w:hAnsi="Arial" w:cs="Arial"/>
          <w:sz w:val="20"/>
          <w:szCs w:val="20"/>
          <w:lang w:val="es-ES_tradnl" w:eastAsia="en-US"/>
        </w:rPr>
        <w:t>Dicho de otro modo, la mínima cuantía es un procedimiento de selección excepcional,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 y lo segundo, porque sus requisitos, etapas y términos son peculiares. Cabe precisar que la disposición indicada en el párrafo anterior fue modificada por el artículo 42 de la Ley 1955 de 2019; sin embargo, la norma vigente que fundamenta la modalidad de mínima cuantía actualmente es el artículo 30 de la Ley 2069 de 2020, como se procederá a explicar.</w:t>
      </w:r>
    </w:p>
    <w:p w14:paraId="329C29E2" w14:textId="77777777" w:rsidR="00DF2677" w:rsidRPr="00DF2677" w:rsidRDefault="00DF2677" w:rsidP="009B0C1D">
      <w:pPr>
        <w:widowControl w:val="0"/>
        <w:autoSpaceDE w:val="0"/>
        <w:autoSpaceDN w:val="0"/>
        <w:spacing w:before="120" w:after="120"/>
        <w:jc w:val="both"/>
        <w:rPr>
          <w:rFonts w:ascii="Arial" w:eastAsia="Calibri" w:hAnsi="Arial" w:cs="Arial"/>
          <w:sz w:val="20"/>
          <w:szCs w:val="20"/>
          <w:lang w:val="es-ES_tradnl" w:eastAsia="en-US"/>
        </w:rPr>
      </w:pPr>
      <w:r w:rsidRPr="00DF2677">
        <w:rPr>
          <w:rFonts w:ascii="Arial" w:eastAsia="Calibri" w:hAnsi="Arial" w:cs="Arial"/>
          <w:sz w:val="20"/>
          <w:szCs w:val="20"/>
          <w:lang w:val="es-ES_tradnl" w:eastAsia="en-US"/>
        </w:rPr>
        <w:t xml:space="preserve">En este sentido, el artículo 30 de la Ley 2069 de 2020, </w:t>
      </w:r>
      <w:r w:rsidRPr="00DF2677">
        <w:rPr>
          <w:rFonts w:ascii="Arial MT" w:eastAsia="Arial MT" w:hAnsi="Arial MT" w:cs="Arial MT"/>
          <w:sz w:val="20"/>
          <w:szCs w:val="20"/>
          <w:lang w:val="es-ES" w:eastAsia="en-US"/>
        </w:rPr>
        <w:t>«Por</w:t>
      </w:r>
      <w:r w:rsidRPr="00DF2677">
        <w:rPr>
          <w:rFonts w:ascii="Arial MT" w:eastAsia="Arial MT" w:hAnsi="Arial MT" w:cs="Arial MT"/>
          <w:spacing w:val="-3"/>
          <w:sz w:val="20"/>
          <w:szCs w:val="20"/>
          <w:lang w:val="es-ES" w:eastAsia="en-US"/>
        </w:rPr>
        <w:t xml:space="preserve"> </w:t>
      </w:r>
      <w:r w:rsidRPr="00DF2677">
        <w:rPr>
          <w:rFonts w:ascii="Arial MT" w:eastAsia="Arial MT" w:hAnsi="Arial MT" w:cs="Arial MT"/>
          <w:sz w:val="20"/>
          <w:szCs w:val="20"/>
          <w:lang w:val="es-ES" w:eastAsia="en-US"/>
        </w:rPr>
        <w:t>medio</w:t>
      </w:r>
      <w:r w:rsidRPr="00DF2677">
        <w:rPr>
          <w:rFonts w:ascii="Arial MT" w:eastAsia="Arial MT" w:hAnsi="Arial MT" w:cs="Arial MT"/>
          <w:spacing w:val="-3"/>
          <w:sz w:val="20"/>
          <w:szCs w:val="20"/>
          <w:lang w:val="es-ES" w:eastAsia="en-US"/>
        </w:rPr>
        <w:t xml:space="preserve"> </w:t>
      </w:r>
      <w:r w:rsidRPr="00DF2677">
        <w:rPr>
          <w:rFonts w:ascii="Arial MT" w:eastAsia="Arial MT" w:hAnsi="Arial MT" w:cs="Arial MT"/>
          <w:sz w:val="20"/>
          <w:szCs w:val="20"/>
          <w:lang w:val="es-ES" w:eastAsia="en-US"/>
        </w:rPr>
        <w:t>de</w:t>
      </w:r>
      <w:r w:rsidRPr="00DF2677">
        <w:rPr>
          <w:rFonts w:ascii="Arial MT" w:eastAsia="Arial MT" w:hAnsi="Arial MT" w:cs="Arial MT"/>
          <w:spacing w:val="-4"/>
          <w:sz w:val="20"/>
          <w:szCs w:val="20"/>
          <w:lang w:val="es-ES" w:eastAsia="en-US"/>
        </w:rPr>
        <w:t xml:space="preserve"> </w:t>
      </w:r>
      <w:r w:rsidRPr="00DF2677">
        <w:rPr>
          <w:rFonts w:ascii="Arial MT" w:eastAsia="Arial MT" w:hAnsi="Arial MT" w:cs="Arial MT"/>
          <w:sz w:val="20"/>
          <w:szCs w:val="20"/>
          <w:lang w:val="es-ES" w:eastAsia="en-US"/>
        </w:rPr>
        <w:t>la</w:t>
      </w:r>
      <w:r w:rsidRPr="00DF2677">
        <w:rPr>
          <w:rFonts w:ascii="Arial MT" w:eastAsia="Arial MT" w:hAnsi="Arial MT" w:cs="Arial MT"/>
          <w:spacing w:val="-3"/>
          <w:sz w:val="20"/>
          <w:szCs w:val="20"/>
          <w:lang w:val="es-ES" w:eastAsia="en-US"/>
        </w:rPr>
        <w:t xml:space="preserve"> </w:t>
      </w:r>
      <w:r w:rsidRPr="00DF2677">
        <w:rPr>
          <w:rFonts w:ascii="Arial MT" w:eastAsia="Arial MT" w:hAnsi="Arial MT" w:cs="Arial MT"/>
          <w:sz w:val="20"/>
          <w:szCs w:val="20"/>
          <w:lang w:val="es-ES" w:eastAsia="en-US"/>
        </w:rPr>
        <w:t>cual</w:t>
      </w:r>
      <w:r w:rsidRPr="00DF2677">
        <w:rPr>
          <w:rFonts w:ascii="Arial MT" w:eastAsia="Arial MT" w:hAnsi="Arial MT" w:cs="Arial MT"/>
          <w:spacing w:val="-3"/>
          <w:sz w:val="20"/>
          <w:szCs w:val="20"/>
          <w:lang w:val="es-ES" w:eastAsia="en-US"/>
        </w:rPr>
        <w:t xml:space="preserve"> </w:t>
      </w:r>
      <w:r w:rsidRPr="00DF2677">
        <w:rPr>
          <w:rFonts w:ascii="Arial MT" w:eastAsia="Arial MT" w:hAnsi="Arial MT" w:cs="Arial MT"/>
          <w:sz w:val="20"/>
          <w:szCs w:val="20"/>
          <w:lang w:val="es-ES" w:eastAsia="en-US"/>
        </w:rPr>
        <w:t>se</w:t>
      </w:r>
      <w:r w:rsidRPr="00DF2677">
        <w:rPr>
          <w:rFonts w:ascii="Arial MT" w:eastAsia="Arial MT" w:hAnsi="Arial MT" w:cs="Arial MT"/>
          <w:spacing w:val="-3"/>
          <w:sz w:val="20"/>
          <w:szCs w:val="20"/>
          <w:lang w:val="es-ES" w:eastAsia="en-US"/>
        </w:rPr>
        <w:t xml:space="preserve"> </w:t>
      </w:r>
      <w:r w:rsidRPr="00DF2677">
        <w:rPr>
          <w:rFonts w:ascii="Arial MT" w:eastAsia="Arial MT" w:hAnsi="Arial MT" w:cs="Arial MT"/>
          <w:sz w:val="20"/>
          <w:szCs w:val="20"/>
          <w:lang w:val="es-ES" w:eastAsia="en-US"/>
        </w:rPr>
        <w:t>impulsa</w:t>
      </w:r>
      <w:r w:rsidRPr="00DF2677">
        <w:rPr>
          <w:rFonts w:ascii="Arial MT" w:eastAsia="Arial MT" w:hAnsi="Arial MT" w:cs="Arial MT"/>
          <w:spacing w:val="-59"/>
          <w:sz w:val="20"/>
          <w:szCs w:val="20"/>
          <w:lang w:val="es-ES" w:eastAsia="en-US"/>
        </w:rPr>
        <w:t xml:space="preserve"> </w:t>
      </w:r>
      <w:r w:rsidRPr="00DF2677">
        <w:rPr>
          <w:rFonts w:ascii="Arial MT" w:eastAsia="Arial MT" w:hAnsi="Arial MT" w:cs="Arial MT"/>
          <w:sz w:val="20"/>
          <w:szCs w:val="20"/>
          <w:lang w:val="es-ES" w:eastAsia="en-US"/>
        </w:rPr>
        <w:t>el emprendimiento en Colombia»,</w:t>
      </w:r>
      <w:r w:rsidRPr="00DF2677">
        <w:rPr>
          <w:rFonts w:ascii="Arial" w:eastAsia="Calibri" w:hAnsi="Arial" w:cs="Arial"/>
          <w:sz w:val="20"/>
          <w:szCs w:val="20"/>
          <w:lang w:val="es-ES_tradnl" w:eastAsia="en-US"/>
        </w:rPr>
        <w:t xml:space="preserve"> modificó el numeral 5 del artículo 2 de la Ley 1150 de 2007. En esencia, esta disposición conserva a grandes rasgos el procedimiento previsto en el derogado artículo 94 de la Ley 1474 de 2011, definiendo aspectos tales como</w:t>
      </w:r>
      <w:r w:rsidRPr="00DF2677">
        <w:rPr>
          <w:rFonts w:ascii="Arial MT" w:eastAsia="Arial MT" w:hAnsi="Arial MT" w:cs="Arial MT"/>
          <w:sz w:val="20"/>
          <w:szCs w:val="20"/>
          <w:lang w:val="es-ES" w:eastAsia="en-US"/>
        </w:rPr>
        <w:t>: i) el término mínimo para publicar la</w:t>
      </w:r>
      <w:r w:rsidRPr="00DF2677">
        <w:rPr>
          <w:rFonts w:ascii="Arial MT" w:eastAsia="Arial MT" w:hAnsi="Arial MT" w:cs="Arial MT"/>
          <w:spacing w:val="1"/>
          <w:sz w:val="20"/>
          <w:szCs w:val="20"/>
          <w:lang w:val="es-ES" w:eastAsia="en-US"/>
        </w:rPr>
        <w:t xml:space="preserve"> </w:t>
      </w:r>
      <w:r w:rsidRPr="00DF2677">
        <w:rPr>
          <w:rFonts w:ascii="Arial MT" w:eastAsia="Arial MT" w:hAnsi="Arial MT" w:cs="Arial MT"/>
          <w:sz w:val="20"/>
          <w:szCs w:val="20"/>
          <w:lang w:val="es-ES" w:eastAsia="en-US"/>
        </w:rPr>
        <w:t>invitación,</w:t>
      </w:r>
      <w:r w:rsidRPr="00DF2677">
        <w:rPr>
          <w:rFonts w:ascii="Arial MT" w:eastAsia="Arial MT" w:hAnsi="Arial MT" w:cs="Arial MT"/>
          <w:spacing w:val="-7"/>
          <w:sz w:val="20"/>
          <w:szCs w:val="20"/>
          <w:lang w:val="es-ES" w:eastAsia="en-US"/>
        </w:rPr>
        <w:t xml:space="preserve"> </w:t>
      </w:r>
      <w:proofErr w:type="spellStart"/>
      <w:r w:rsidRPr="00DF2677">
        <w:rPr>
          <w:rFonts w:ascii="Arial MT" w:eastAsia="Arial MT" w:hAnsi="Arial MT" w:cs="Arial MT"/>
          <w:sz w:val="20"/>
          <w:szCs w:val="20"/>
          <w:lang w:val="es-ES" w:eastAsia="en-US"/>
        </w:rPr>
        <w:t>ii</w:t>
      </w:r>
      <w:proofErr w:type="spellEnd"/>
      <w:r w:rsidRPr="00DF2677">
        <w:rPr>
          <w:rFonts w:ascii="Arial MT" w:eastAsia="Arial MT" w:hAnsi="Arial MT" w:cs="Arial MT"/>
          <w:sz w:val="20"/>
          <w:szCs w:val="20"/>
          <w:lang w:val="es-ES" w:eastAsia="en-US"/>
        </w:rPr>
        <w:t>)</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el</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plazo</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mínimo</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de</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recepción</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de</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las</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ofertas,</w:t>
      </w:r>
      <w:r w:rsidRPr="00DF2677">
        <w:rPr>
          <w:rFonts w:ascii="Arial MT" w:eastAsia="Arial MT" w:hAnsi="Arial MT" w:cs="Arial MT"/>
          <w:spacing w:val="-6"/>
          <w:sz w:val="20"/>
          <w:szCs w:val="20"/>
          <w:lang w:val="es-ES" w:eastAsia="en-US"/>
        </w:rPr>
        <w:t xml:space="preserve"> </w:t>
      </w:r>
      <w:proofErr w:type="spellStart"/>
      <w:r w:rsidRPr="00DF2677">
        <w:rPr>
          <w:rFonts w:ascii="Arial MT" w:eastAsia="Arial MT" w:hAnsi="Arial MT" w:cs="Arial MT"/>
          <w:sz w:val="20"/>
          <w:szCs w:val="20"/>
          <w:lang w:val="es-ES" w:eastAsia="en-US"/>
        </w:rPr>
        <w:t>iii</w:t>
      </w:r>
      <w:proofErr w:type="spellEnd"/>
      <w:r w:rsidRPr="00DF2677">
        <w:rPr>
          <w:rFonts w:ascii="Arial MT" w:eastAsia="Arial MT" w:hAnsi="Arial MT" w:cs="Arial MT"/>
          <w:sz w:val="20"/>
          <w:szCs w:val="20"/>
          <w:lang w:val="es-ES" w:eastAsia="en-US"/>
        </w:rPr>
        <w:t>)</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el</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factor</w:t>
      </w:r>
      <w:r w:rsidRPr="00DF2677">
        <w:rPr>
          <w:rFonts w:ascii="Arial MT" w:eastAsia="Arial MT" w:hAnsi="Arial MT" w:cs="Arial MT"/>
          <w:spacing w:val="-5"/>
          <w:sz w:val="20"/>
          <w:szCs w:val="20"/>
          <w:lang w:val="es-ES" w:eastAsia="en-US"/>
        </w:rPr>
        <w:t xml:space="preserve"> </w:t>
      </w:r>
      <w:r w:rsidRPr="00DF2677">
        <w:rPr>
          <w:rFonts w:ascii="Arial MT" w:eastAsia="Arial MT" w:hAnsi="Arial MT" w:cs="Arial MT"/>
          <w:sz w:val="20"/>
          <w:szCs w:val="20"/>
          <w:lang w:val="es-ES" w:eastAsia="en-US"/>
        </w:rPr>
        <w:t>de</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evaluación</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que define</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la</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selección</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del</w:t>
      </w:r>
      <w:r w:rsidRPr="00DF2677">
        <w:rPr>
          <w:rFonts w:ascii="Arial MT" w:eastAsia="Arial MT" w:hAnsi="Arial MT" w:cs="Arial MT"/>
          <w:spacing w:val="-5"/>
          <w:sz w:val="20"/>
          <w:szCs w:val="20"/>
          <w:lang w:val="es-ES" w:eastAsia="en-US"/>
        </w:rPr>
        <w:t xml:space="preserve"> </w:t>
      </w:r>
      <w:r w:rsidRPr="00DF2677">
        <w:rPr>
          <w:rFonts w:ascii="Arial MT" w:eastAsia="Arial MT" w:hAnsi="Arial MT" w:cs="Arial MT"/>
          <w:sz w:val="20"/>
          <w:szCs w:val="20"/>
          <w:lang w:val="es-ES" w:eastAsia="en-US"/>
        </w:rPr>
        <w:t>proponente</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y</w:t>
      </w:r>
      <w:r w:rsidRPr="00DF2677">
        <w:rPr>
          <w:rFonts w:ascii="Arial MT" w:eastAsia="Arial MT" w:hAnsi="Arial MT" w:cs="Arial MT"/>
          <w:spacing w:val="-6"/>
          <w:sz w:val="20"/>
          <w:szCs w:val="20"/>
          <w:lang w:val="es-ES" w:eastAsia="en-US"/>
        </w:rPr>
        <w:t xml:space="preserve"> </w:t>
      </w:r>
      <w:proofErr w:type="spellStart"/>
      <w:r w:rsidRPr="00DF2677">
        <w:rPr>
          <w:rFonts w:ascii="Arial MT" w:eastAsia="Arial MT" w:hAnsi="Arial MT" w:cs="Arial MT"/>
          <w:sz w:val="20"/>
          <w:szCs w:val="20"/>
          <w:lang w:val="es-ES" w:eastAsia="en-US"/>
        </w:rPr>
        <w:t>iv</w:t>
      </w:r>
      <w:proofErr w:type="spellEnd"/>
      <w:r w:rsidRPr="00DF2677">
        <w:rPr>
          <w:rFonts w:ascii="Arial MT" w:eastAsia="Arial MT" w:hAnsi="Arial MT" w:cs="Arial MT"/>
          <w:sz w:val="20"/>
          <w:szCs w:val="20"/>
          <w:lang w:val="es-ES" w:eastAsia="en-US"/>
        </w:rPr>
        <w:t>)</w:t>
      </w:r>
      <w:r w:rsidRPr="00DF2677">
        <w:rPr>
          <w:rFonts w:ascii="Arial MT" w:eastAsia="Arial MT" w:hAnsi="Arial MT" w:cs="Arial MT"/>
          <w:spacing w:val="-5"/>
          <w:sz w:val="20"/>
          <w:szCs w:val="20"/>
          <w:lang w:val="es-ES" w:eastAsia="en-US"/>
        </w:rPr>
        <w:t xml:space="preserve"> </w:t>
      </w:r>
      <w:r w:rsidRPr="00DF2677">
        <w:rPr>
          <w:rFonts w:ascii="Arial MT" w:eastAsia="Arial MT" w:hAnsi="Arial MT" w:cs="Arial MT"/>
          <w:sz w:val="20"/>
          <w:szCs w:val="20"/>
          <w:lang w:val="es-ES" w:eastAsia="en-US"/>
        </w:rPr>
        <w:t>el</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perfeccionamiento</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del</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contrato. De tal manera,</w:t>
      </w:r>
      <w:r w:rsidRPr="00DF2677">
        <w:rPr>
          <w:rFonts w:ascii="Arial MT" w:eastAsia="Arial MT" w:hAnsi="Arial MT" w:cs="Arial MT"/>
          <w:spacing w:val="-5"/>
          <w:sz w:val="20"/>
          <w:szCs w:val="20"/>
          <w:lang w:val="es-ES" w:eastAsia="en-US"/>
        </w:rPr>
        <w:t xml:space="preserve"> l</w:t>
      </w:r>
      <w:r w:rsidRPr="00DF2677">
        <w:rPr>
          <w:rFonts w:ascii="Arial MT" w:eastAsia="Arial MT" w:hAnsi="Arial MT" w:cs="Arial MT"/>
          <w:sz w:val="20"/>
          <w:szCs w:val="20"/>
          <w:lang w:val="es-ES" w:eastAsia="en-US"/>
        </w:rPr>
        <w:t>as</w:t>
      </w:r>
      <w:r w:rsidRPr="00DF2677">
        <w:rPr>
          <w:rFonts w:ascii="Arial MT" w:eastAsia="Arial MT" w:hAnsi="Arial MT" w:cs="Arial MT"/>
          <w:spacing w:val="-6"/>
          <w:sz w:val="20"/>
          <w:szCs w:val="20"/>
          <w:lang w:val="es-ES" w:eastAsia="en-US"/>
        </w:rPr>
        <w:t xml:space="preserve"> </w:t>
      </w:r>
      <w:r w:rsidRPr="00DF2677">
        <w:rPr>
          <w:rFonts w:ascii="Arial MT" w:eastAsia="Arial MT" w:hAnsi="Arial MT" w:cs="Arial MT"/>
          <w:sz w:val="20"/>
          <w:szCs w:val="20"/>
          <w:lang w:val="es-ES" w:eastAsia="en-US"/>
        </w:rPr>
        <w:t>entidades</w:t>
      </w:r>
      <w:r w:rsidRPr="00DF2677">
        <w:rPr>
          <w:rFonts w:ascii="Arial MT" w:eastAsia="Arial MT" w:hAnsi="Arial MT" w:cs="Arial MT"/>
          <w:spacing w:val="-59"/>
          <w:sz w:val="20"/>
          <w:szCs w:val="20"/>
          <w:lang w:val="es-ES" w:eastAsia="en-US"/>
        </w:rPr>
        <w:t xml:space="preserve"> </w:t>
      </w:r>
      <w:r w:rsidRPr="00DF2677">
        <w:rPr>
          <w:rFonts w:ascii="Arial MT" w:eastAsia="Arial MT" w:hAnsi="Arial MT" w:cs="Arial MT"/>
          <w:sz w:val="20"/>
          <w:szCs w:val="20"/>
          <w:lang w:val="es-ES" w:eastAsia="en-US"/>
        </w:rPr>
        <w:t>deben</w:t>
      </w:r>
      <w:r w:rsidRPr="00DF2677">
        <w:rPr>
          <w:rFonts w:ascii="Arial MT" w:eastAsia="Arial MT" w:hAnsi="Arial MT" w:cs="Arial MT"/>
          <w:spacing w:val="9"/>
          <w:sz w:val="20"/>
          <w:szCs w:val="20"/>
          <w:lang w:val="es-ES" w:eastAsia="en-US"/>
        </w:rPr>
        <w:t xml:space="preserve"> </w:t>
      </w:r>
      <w:r w:rsidRPr="00DF2677">
        <w:rPr>
          <w:rFonts w:ascii="Arial MT" w:eastAsia="Arial MT" w:hAnsi="Arial MT" w:cs="Arial MT"/>
          <w:sz w:val="20"/>
          <w:szCs w:val="20"/>
          <w:lang w:val="es-ES" w:eastAsia="en-US"/>
        </w:rPr>
        <w:t>estructurar</w:t>
      </w:r>
      <w:r w:rsidRPr="00DF2677">
        <w:rPr>
          <w:rFonts w:ascii="Arial MT" w:eastAsia="Arial MT" w:hAnsi="Arial MT" w:cs="Arial MT"/>
          <w:spacing w:val="9"/>
          <w:sz w:val="20"/>
          <w:szCs w:val="20"/>
          <w:lang w:val="es-ES" w:eastAsia="en-US"/>
        </w:rPr>
        <w:t xml:space="preserve"> </w:t>
      </w:r>
      <w:r w:rsidRPr="00DF2677">
        <w:rPr>
          <w:rFonts w:ascii="Arial MT" w:eastAsia="Arial MT" w:hAnsi="Arial MT" w:cs="Arial MT"/>
          <w:sz w:val="20"/>
          <w:szCs w:val="20"/>
          <w:lang w:val="es-ES" w:eastAsia="en-US"/>
        </w:rPr>
        <w:t>sus</w:t>
      </w:r>
      <w:r w:rsidRPr="00DF2677">
        <w:rPr>
          <w:rFonts w:ascii="Arial MT" w:eastAsia="Arial MT" w:hAnsi="Arial MT" w:cs="Arial MT"/>
          <w:spacing w:val="9"/>
          <w:sz w:val="20"/>
          <w:szCs w:val="20"/>
          <w:lang w:val="es-ES" w:eastAsia="en-US"/>
        </w:rPr>
        <w:t xml:space="preserve"> </w:t>
      </w:r>
      <w:r w:rsidRPr="00DF2677">
        <w:rPr>
          <w:rFonts w:ascii="Arial MT" w:eastAsia="Arial MT" w:hAnsi="Arial MT" w:cs="Arial MT"/>
          <w:sz w:val="20"/>
          <w:szCs w:val="20"/>
          <w:lang w:val="es-ES" w:eastAsia="en-US"/>
        </w:rPr>
        <w:t>procedimientos</w:t>
      </w:r>
      <w:r w:rsidRPr="00DF2677">
        <w:rPr>
          <w:rFonts w:ascii="Arial MT" w:eastAsia="Arial MT" w:hAnsi="Arial MT" w:cs="Arial MT"/>
          <w:spacing w:val="9"/>
          <w:sz w:val="20"/>
          <w:szCs w:val="20"/>
          <w:lang w:val="es-ES" w:eastAsia="en-US"/>
        </w:rPr>
        <w:t xml:space="preserve"> </w:t>
      </w:r>
      <w:r w:rsidRPr="00DF2677">
        <w:rPr>
          <w:rFonts w:ascii="Arial MT" w:eastAsia="Arial MT" w:hAnsi="Arial MT" w:cs="Arial MT"/>
          <w:sz w:val="20"/>
          <w:szCs w:val="20"/>
          <w:lang w:val="es-ES" w:eastAsia="en-US"/>
        </w:rPr>
        <w:t>de</w:t>
      </w:r>
      <w:r w:rsidRPr="00DF2677">
        <w:rPr>
          <w:rFonts w:ascii="Arial MT" w:eastAsia="Arial MT" w:hAnsi="Arial MT" w:cs="Arial MT"/>
          <w:spacing w:val="8"/>
          <w:sz w:val="20"/>
          <w:szCs w:val="20"/>
          <w:lang w:val="es-ES" w:eastAsia="en-US"/>
        </w:rPr>
        <w:t xml:space="preserve"> </w:t>
      </w:r>
      <w:r w:rsidRPr="00DF2677">
        <w:rPr>
          <w:rFonts w:ascii="Arial MT" w:eastAsia="Arial MT" w:hAnsi="Arial MT" w:cs="Arial MT"/>
          <w:sz w:val="20"/>
          <w:szCs w:val="20"/>
          <w:lang w:val="es-ES" w:eastAsia="en-US"/>
        </w:rPr>
        <w:t>selección</w:t>
      </w:r>
      <w:r w:rsidRPr="00DF2677">
        <w:rPr>
          <w:rFonts w:ascii="Arial MT" w:eastAsia="Arial MT" w:hAnsi="Arial MT" w:cs="Arial MT"/>
          <w:spacing w:val="9"/>
          <w:sz w:val="20"/>
          <w:szCs w:val="20"/>
          <w:lang w:val="es-ES" w:eastAsia="en-US"/>
        </w:rPr>
        <w:t xml:space="preserve"> </w:t>
      </w:r>
      <w:r w:rsidRPr="00DF2677">
        <w:rPr>
          <w:rFonts w:ascii="Arial MT" w:eastAsia="Arial MT" w:hAnsi="Arial MT" w:cs="Arial MT"/>
          <w:sz w:val="20"/>
          <w:szCs w:val="20"/>
          <w:lang w:val="es-ES" w:eastAsia="en-US"/>
        </w:rPr>
        <w:t>de</w:t>
      </w:r>
      <w:r w:rsidRPr="00DF2677">
        <w:rPr>
          <w:rFonts w:ascii="Arial MT" w:eastAsia="Arial MT" w:hAnsi="Arial MT" w:cs="Arial MT"/>
          <w:spacing w:val="8"/>
          <w:sz w:val="20"/>
          <w:szCs w:val="20"/>
          <w:lang w:val="es-ES" w:eastAsia="en-US"/>
        </w:rPr>
        <w:t xml:space="preserve"> </w:t>
      </w:r>
      <w:r w:rsidRPr="00DF2677">
        <w:rPr>
          <w:rFonts w:ascii="Arial MT" w:eastAsia="Arial MT" w:hAnsi="Arial MT" w:cs="Arial MT"/>
          <w:sz w:val="20"/>
          <w:szCs w:val="20"/>
          <w:lang w:val="es-ES" w:eastAsia="en-US"/>
        </w:rPr>
        <w:t>acuerdo</w:t>
      </w:r>
      <w:r w:rsidRPr="00DF2677">
        <w:rPr>
          <w:rFonts w:ascii="Arial MT" w:eastAsia="Arial MT" w:hAnsi="Arial MT" w:cs="Arial MT"/>
          <w:spacing w:val="9"/>
          <w:sz w:val="20"/>
          <w:szCs w:val="20"/>
          <w:lang w:val="es-ES" w:eastAsia="en-US"/>
        </w:rPr>
        <w:t xml:space="preserve"> </w:t>
      </w:r>
      <w:r w:rsidRPr="00DF2677">
        <w:rPr>
          <w:rFonts w:ascii="Arial MT" w:eastAsia="Arial MT" w:hAnsi="Arial MT" w:cs="Arial MT"/>
          <w:sz w:val="20"/>
          <w:szCs w:val="20"/>
          <w:lang w:val="es-ES" w:eastAsia="en-US"/>
        </w:rPr>
        <w:t>con</w:t>
      </w:r>
      <w:r w:rsidRPr="00DF2677">
        <w:rPr>
          <w:rFonts w:ascii="Arial MT" w:eastAsia="Arial MT" w:hAnsi="Arial MT" w:cs="Arial MT"/>
          <w:spacing w:val="9"/>
          <w:sz w:val="20"/>
          <w:szCs w:val="20"/>
          <w:lang w:val="es-ES" w:eastAsia="en-US"/>
        </w:rPr>
        <w:t xml:space="preserve"> </w:t>
      </w:r>
      <w:r w:rsidRPr="00DF2677">
        <w:rPr>
          <w:rFonts w:ascii="Arial MT" w:eastAsia="Arial MT" w:hAnsi="Arial MT" w:cs="Arial MT"/>
          <w:sz w:val="20"/>
          <w:szCs w:val="20"/>
          <w:lang w:val="es-ES" w:eastAsia="en-US"/>
        </w:rPr>
        <w:t>estos</w:t>
      </w:r>
      <w:r w:rsidRPr="00DF2677">
        <w:rPr>
          <w:rFonts w:ascii="Arial MT" w:eastAsia="Arial MT" w:hAnsi="Arial MT" w:cs="Arial MT"/>
          <w:spacing w:val="9"/>
          <w:sz w:val="20"/>
          <w:szCs w:val="20"/>
          <w:lang w:val="es-ES" w:eastAsia="en-US"/>
        </w:rPr>
        <w:t xml:space="preserve"> </w:t>
      </w:r>
      <w:r w:rsidRPr="00DF2677">
        <w:rPr>
          <w:rFonts w:ascii="Arial MT" w:eastAsia="Arial MT" w:hAnsi="Arial MT" w:cs="Arial MT"/>
          <w:sz w:val="20"/>
          <w:szCs w:val="20"/>
          <w:lang w:val="es-ES" w:eastAsia="en-US"/>
        </w:rPr>
        <w:t xml:space="preserve">parámetros. </w:t>
      </w:r>
    </w:p>
    <w:p w14:paraId="5844667B" w14:textId="77777777" w:rsidR="00DF2677" w:rsidRPr="007F1C29" w:rsidRDefault="00DF2677" w:rsidP="006D3558">
      <w:pPr>
        <w:jc w:val="both"/>
        <w:rPr>
          <w:rFonts w:ascii="Arial" w:eastAsia="Calibri" w:hAnsi="Arial" w:cs="Arial"/>
          <w:b/>
          <w:bCs/>
          <w:color w:val="000000" w:themeColor="text1"/>
          <w:sz w:val="22"/>
          <w:szCs w:val="22"/>
          <w:lang w:val="es-ES_tradnl"/>
        </w:rPr>
      </w:pPr>
    </w:p>
    <w:p w14:paraId="7455375E" w14:textId="639C47F0" w:rsidR="006D3558" w:rsidRPr="009B0C1D" w:rsidRDefault="009B0C1D" w:rsidP="006D3558">
      <w:pPr>
        <w:jc w:val="both"/>
        <w:rPr>
          <w:rFonts w:ascii="Arial" w:eastAsia="Calibri" w:hAnsi="Arial" w:cs="Arial"/>
          <w:b/>
          <w:bCs/>
          <w:color w:val="000000" w:themeColor="text1"/>
          <w:sz w:val="22"/>
          <w:szCs w:val="22"/>
          <w:lang w:val="es-ES_tradnl"/>
        </w:rPr>
      </w:pPr>
      <w:r w:rsidRPr="009B0C1D">
        <w:rPr>
          <w:rFonts w:ascii="Arial" w:eastAsia="Calibri" w:hAnsi="Arial" w:cs="Arial"/>
          <w:b/>
          <w:bCs/>
          <w:color w:val="000000" w:themeColor="text1"/>
          <w:sz w:val="22"/>
          <w:szCs w:val="22"/>
          <w:lang w:val="es-ES_tradnl"/>
        </w:rPr>
        <w:t>MÍNIMA CUANTÍA – ACUERDOS COMERCIALES – Aplicabilidad de los acuerdos comerciales a la modalidad de mínima cuantía</w:t>
      </w:r>
    </w:p>
    <w:p w14:paraId="2FCCAA56" w14:textId="27769877" w:rsidR="00822F4B" w:rsidRPr="00822F4B" w:rsidRDefault="000D34DB" w:rsidP="00822F4B">
      <w:pPr>
        <w:spacing w:before="215"/>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00822F4B" w:rsidRPr="00822F4B">
        <w:rPr>
          <w:rFonts w:ascii="Arial" w:eastAsia="Calibri" w:hAnsi="Arial" w:cs="Arial"/>
          <w:color w:val="000000" w:themeColor="text1"/>
          <w:sz w:val="20"/>
          <w:szCs w:val="20"/>
          <w:lang w:val="es-ES_tradnl"/>
        </w:rPr>
        <w:t xml:space="preserve">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w:t>
      </w:r>
      <w:proofErr w:type="spellStart"/>
      <w:r w:rsidR="00822F4B" w:rsidRPr="00822F4B">
        <w:rPr>
          <w:rFonts w:ascii="Arial" w:eastAsia="Calibri" w:hAnsi="Arial" w:cs="Arial"/>
          <w:color w:val="000000" w:themeColor="text1"/>
          <w:sz w:val="20"/>
          <w:szCs w:val="20"/>
          <w:lang w:val="es-ES_tradnl"/>
        </w:rPr>
        <w:t>ii</w:t>
      </w:r>
      <w:proofErr w:type="spellEnd"/>
      <w:r w:rsidR="00822F4B" w:rsidRPr="00822F4B">
        <w:rPr>
          <w:rFonts w:ascii="Arial" w:eastAsia="Calibri" w:hAnsi="Arial" w:cs="Arial"/>
          <w:color w:val="000000" w:themeColor="text1"/>
          <w:sz w:val="20"/>
          <w:szCs w:val="20"/>
          <w:lang w:val="es-ES_tradnl"/>
        </w:rPr>
        <w:t xml:space="preserve">) los valores a partir de los cuales el Acuerdo Comercial es aplicable al proceso de contratación; y, </w:t>
      </w:r>
      <w:proofErr w:type="spellStart"/>
      <w:r w:rsidR="00822F4B" w:rsidRPr="00822F4B">
        <w:rPr>
          <w:rFonts w:ascii="Arial" w:eastAsia="Calibri" w:hAnsi="Arial" w:cs="Arial"/>
          <w:color w:val="000000" w:themeColor="text1"/>
          <w:sz w:val="20"/>
          <w:szCs w:val="20"/>
          <w:lang w:val="es-ES_tradnl"/>
        </w:rPr>
        <w:t>iii</w:t>
      </w:r>
      <w:proofErr w:type="spellEnd"/>
      <w:r w:rsidR="00822F4B" w:rsidRPr="00822F4B">
        <w:rPr>
          <w:rFonts w:ascii="Arial" w:eastAsia="Calibri" w:hAnsi="Arial" w:cs="Arial"/>
          <w:color w:val="000000" w:themeColor="text1"/>
          <w:sz w:val="20"/>
          <w:szCs w:val="20"/>
          <w:lang w:val="es-ES_tradnl"/>
        </w:rPr>
        <w:t>) las excepciones a la aplicación del acuerdo comercial.</w:t>
      </w:r>
    </w:p>
    <w:p w14:paraId="59AF66A7" w14:textId="77777777" w:rsidR="00822F4B" w:rsidRPr="00822F4B" w:rsidRDefault="00822F4B" w:rsidP="00822F4B">
      <w:pPr>
        <w:spacing w:before="215"/>
        <w:jc w:val="both"/>
        <w:rPr>
          <w:rFonts w:ascii="Arial" w:eastAsia="Calibri" w:hAnsi="Arial" w:cs="Arial"/>
          <w:color w:val="000000" w:themeColor="text1"/>
          <w:sz w:val="20"/>
          <w:szCs w:val="20"/>
          <w:lang w:val="es-ES_tradnl"/>
        </w:rPr>
      </w:pPr>
      <w:r w:rsidRPr="00822F4B">
        <w:rPr>
          <w:rFonts w:ascii="Arial" w:eastAsia="Calibri" w:hAnsi="Arial" w:cs="Arial"/>
          <w:color w:val="000000" w:themeColor="text1"/>
          <w:sz w:val="20"/>
          <w:szCs w:val="20"/>
          <w:lang w:val="es-ES_tradnl"/>
        </w:rPr>
        <w:t xml:space="preserve">En armonía con lo anterior, las entidades deben verificar si los procesos de contratación se encuentran dentro de los umbrales de aplicación de los acuerdos comerciales; pues en caso de que no se encuentren comprendidos, no deberán aplicarlos y, por tanto, los compromisos y obligaciones consignados en el mismo no serán de obligatorio cumplimiento para el proceso de contratación en particular. </w:t>
      </w:r>
    </w:p>
    <w:p w14:paraId="37132AB6" w14:textId="39020476" w:rsidR="006D3558" w:rsidRPr="007F1C29" w:rsidRDefault="00822F4B" w:rsidP="00822F4B">
      <w:pPr>
        <w:spacing w:before="215"/>
        <w:jc w:val="both"/>
        <w:rPr>
          <w:rFonts w:ascii="Arial" w:eastAsia="Calibri" w:hAnsi="Arial" w:cs="Arial"/>
          <w:b/>
          <w:bCs/>
          <w:lang w:val="es-ES_tradnl"/>
        </w:rPr>
      </w:pPr>
      <w:r w:rsidRPr="00822F4B">
        <w:rPr>
          <w:rFonts w:ascii="Arial" w:eastAsia="Calibri" w:hAnsi="Arial" w:cs="Arial"/>
          <w:color w:val="000000" w:themeColor="text1"/>
          <w:sz w:val="20"/>
          <w:szCs w:val="20"/>
          <w:lang w:val="es-ES_tradnl"/>
        </w:rPr>
        <w:t xml:space="preserve">En todo caso, se resalta que, por regla general, los umbrales que establecen los Acuerdos Comerciales son superiores al valor máximo de la mínima cuantía y, por tanto, </w:t>
      </w:r>
      <w:proofErr w:type="gramStart"/>
      <w:r w:rsidRPr="00822F4B">
        <w:rPr>
          <w:rFonts w:ascii="Arial" w:eastAsia="Calibri" w:hAnsi="Arial" w:cs="Arial"/>
          <w:color w:val="000000" w:themeColor="text1"/>
          <w:sz w:val="20"/>
          <w:szCs w:val="20"/>
          <w:lang w:val="es-ES_tradnl"/>
        </w:rPr>
        <w:t>en razón del</w:t>
      </w:r>
      <w:proofErr w:type="gramEnd"/>
      <w:r w:rsidRPr="00822F4B">
        <w:rPr>
          <w:rFonts w:ascii="Arial" w:eastAsia="Calibri" w:hAnsi="Arial" w:cs="Arial"/>
          <w:color w:val="000000" w:themeColor="text1"/>
          <w:sz w:val="20"/>
          <w:szCs w:val="20"/>
          <w:lang w:val="es-ES_tradnl"/>
        </w:rPr>
        <w:t xml:space="preserve"> umbral, los procesos de contratación mediante la modalidad de mínima cuantía, generalmente, no resultarían cubiertos por los Acuerdos Comerciales.</w:t>
      </w:r>
    </w:p>
    <w:p w14:paraId="6E824707" w14:textId="77777777" w:rsidR="006D3558" w:rsidRPr="007F1C29" w:rsidRDefault="006D3558" w:rsidP="006D3558">
      <w:pPr>
        <w:pStyle w:val="Textoindependiente"/>
        <w:spacing w:before="2"/>
        <w:rPr>
          <w:rFonts w:ascii="Times New Roman"/>
        </w:rPr>
      </w:pPr>
    </w:p>
    <w:p w14:paraId="22F9B018" w14:textId="77777777" w:rsidR="006D3558" w:rsidRPr="007F1C29" w:rsidRDefault="006D3558" w:rsidP="006D3558">
      <w:pPr>
        <w:spacing w:before="94"/>
        <w:ind w:right="49"/>
        <w:jc w:val="right"/>
        <w:rPr>
          <w:rFonts w:ascii="Arial"/>
          <w:b/>
          <w:sz w:val="18"/>
        </w:rPr>
      </w:pPr>
      <w:r w:rsidRPr="007F1C29">
        <w:rPr>
          <w:rFonts w:ascii="Arial"/>
          <w:b/>
          <w:color w:val="585858"/>
          <w:sz w:val="18"/>
        </w:rPr>
        <w:t>CCE-DES-FM-17</w:t>
      </w:r>
    </w:p>
    <w:p w14:paraId="5FE55DD6" w14:textId="77777777" w:rsidR="006D3558" w:rsidRPr="007F1C29" w:rsidRDefault="006D3558" w:rsidP="006D3558">
      <w:pPr>
        <w:pStyle w:val="Textoindependiente"/>
        <w:rPr>
          <w:rFonts w:ascii="Arial"/>
          <w:b/>
          <w:sz w:val="20"/>
        </w:rPr>
      </w:pPr>
    </w:p>
    <w:p w14:paraId="7D4DC1C4" w14:textId="3281712E" w:rsidR="006D3558" w:rsidRPr="007F1C29" w:rsidRDefault="006D3558" w:rsidP="006D3558">
      <w:pPr>
        <w:pStyle w:val="Textoindependiente"/>
        <w:rPr>
          <w:rFonts w:ascii="Arial" w:hAnsi="Arial" w:cs="Arial"/>
          <w:sz w:val="24"/>
        </w:rPr>
      </w:pPr>
      <w:r w:rsidRPr="007F1C29">
        <w:rPr>
          <w:rFonts w:ascii="Arial" w:hAnsi="Arial" w:cs="Arial"/>
          <w:color w:val="4E4D4D"/>
        </w:rPr>
        <w:t>Bogotá,</w:t>
      </w:r>
      <w:r w:rsidRPr="007F1C29">
        <w:rPr>
          <w:rFonts w:ascii="Arial" w:hAnsi="Arial" w:cs="Arial"/>
          <w:color w:val="4E4D4D"/>
          <w:spacing w:val="-3"/>
        </w:rPr>
        <w:t xml:space="preserve"> </w:t>
      </w:r>
      <w:r w:rsidR="0029121A">
        <w:rPr>
          <w:rFonts w:ascii="Arial" w:hAnsi="Arial" w:cs="Arial"/>
          <w:color w:val="4E4D4D"/>
          <w:spacing w:val="-3"/>
        </w:rPr>
        <w:t xml:space="preserve">13 </w:t>
      </w:r>
      <w:proofErr w:type="gramStart"/>
      <w:r w:rsidR="0029121A">
        <w:rPr>
          <w:rFonts w:ascii="Arial" w:hAnsi="Arial" w:cs="Arial"/>
          <w:color w:val="4E4D4D"/>
          <w:spacing w:val="-3"/>
        </w:rPr>
        <w:t>Abril</w:t>
      </w:r>
      <w:proofErr w:type="gramEnd"/>
      <w:r w:rsidR="0029121A">
        <w:rPr>
          <w:rFonts w:ascii="Arial" w:hAnsi="Arial" w:cs="Arial"/>
          <w:color w:val="4E4D4D"/>
          <w:spacing w:val="-3"/>
        </w:rPr>
        <w:t xml:space="preserve"> de 2022</w:t>
      </w:r>
    </w:p>
    <w:p w14:paraId="0ABD23C6" w14:textId="7DEBA7B0" w:rsidR="006D3558" w:rsidRPr="007F1C29" w:rsidRDefault="001D0CBD" w:rsidP="001D0CBD">
      <w:pPr>
        <w:pStyle w:val="Textoindependiente"/>
        <w:spacing w:before="6"/>
        <w:jc w:val="right"/>
        <w:rPr>
          <w:rFonts w:ascii="Arial" w:hAnsi="Arial" w:cs="Arial"/>
          <w:sz w:val="21"/>
        </w:rPr>
      </w:pPr>
      <w:r>
        <w:rPr>
          <w:noProof/>
        </w:rPr>
        <w:drawing>
          <wp:inline distT="0" distB="0" distL="0" distR="0" wp14:anchorId="548CFA81" wp14:editId="3F731289">
            <wp:extent cx="2495550" cy="71437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95550" cy="714375"/>
                    </a:xfrm>
                    <a:prstGeom prst="rect">
                      <a:avLst/>
                    </a:prstGeom>
                  </pic:spPr>
                </pic:pic>
              </a:graphicData>
            </a:graphic>
          </wp:inline>
        </w:drawing>
      </w:r>
    </w:p>
    <w:p w14:paraId="15120DF1" w14:textId="77777777" w:rsidR="006D3558" w:rsidRPr="007F1C29" w:rsidRDefault="006D3558" w:rsidP="006D3558">
      <w:pPr>
        <w:pStyle w:val="Textoindependiente"/>
        <w:spacing w:after="0"/>
        <w:rPr>
          <w:rFonts w:ascii="Arial" w:hAnsi="Arial" w:cs="Arial"/>
        </w:rPr>
      </w:pPr>
      <w:r w:rsidRPr="007F1C29">
        <w:rPr>
          <w:rFonts w:ascii="Arial" w:hAnsi="Arial" w:cs="Arial"/>
        </w:rPr>
        <w:t>Señora</w:t>
      </w:r>
    </w:p>
    <w:p w14:paraId="70AD9410" w14:textId="77777777" w:rsidR="006D3558" w:rsidRPr="007F1C29" w:rsidRDefault="006D3558" w:rsidP="006D3558">
      <w:pPr>
        <w:pStyle w:val="Ttulo1"/>
        <w:ind w:left="0" w:firstLine="0"/>
      </w:pPr>
      <w:r w:rsidRPr="007F1C29">
        <w:t>ANA VERGEL</w:t>
      </w:r>
    </w:p>
    <w:p w14:paraId="4E162EE2" w14:textId="77777777" w:rsidR="006D3558" w:rsidRPr="007F1C29" w:rsidRDefault="006D3558" w:rsidP="006D3558">
      <w:pPr>
        <w:pStyle w:val="Textoindependiente"/>
        <w:spacing w:after="0"/>
        <w:rPr>
          <w:rFonts w:ascii="Arial" w:hAnsi="Arial" w:cs="Arial"/>
        </w:rPr>
      </w:pPr>
      <w:r w:rsidRPr="007F1C29">
        <w:rPr>
          <w:rFonts w:ascii="Arial" w:hAnsi="Arial" w:cs="Arial"/>
        </w:rPr>
        <w:t>Bogotá</w:t>
      </w:r>
      <w:r w:rsidRPr="007F1C29">
        <w:rPr>
          <w:rFonts w:ascii="Arial" w:hAnsi="Arial" w:cs="Arial"/>
          <w:spacing w:val="-6"/>
        </w:rPr>
        <w:t xml:space="preserve"> </w:t>
      </w:r>
      <w:r w:rsidRPr="007F1C29">
        <w:rPr>
          <w:rFonts w:ascii="Arial" w:hAnsi="Arial" w:cs="Arial"/>
        </w:rPr>
        <w:t>D.C.</w:t>
      </w:r>
    </w:p>
    <w:p w14:paraId="441184B8" w14:textId="77777777" w:rsidR="006D3558" w:rsidRPr="007F1C29" w:rsidRDefault="006D3558" w:rsidP="006D3558">
      <w:pPr>
        <w:pStyle w:val="Textoindependiente"/>
        <w:spacing w:before="11"/>
        <w:rPr>
          <w:rFonts w:ascii="Arial" w:hAnsi="Arial" w:cs="Arial"/>
          <w:sz w:val="17"/>
        </w:rPr>
      </w:pPr>
    </w:p>
    <w:p w14:paraId="6F1D60E8" w14:textId="77777777" w:rsidR="006D3558" w:rsidRPr="007F1C29" w:rsidRDefault="006D3558" w:rsidP="006D3558">
      <w:pPr>
        <w:pStyle w:val="Ttulo1"/>
        <w:spacing w:before="93"/>
        <w:ind w:left="0" w:firstLine="0"/>
        <w:jc w:val="center"/>
      </w:pPr>
      <w:r w:rsidRPr="007F1C29">
        <w:t>Concepto</w:t>
      </w:r>
      <w:r w:rsidRPr="007F1C29">
        <w:rPr>
          <w:spacing w:val="-4"/>
        </w:rPr>
        <w:t xml:space="preserve"> </w:t>
      </w:r>
      <w:r w:rsidRPr="007F1C29">
        <w:t>C</w:t>
      </w:r>
      <w:r w:rsidRPr="007F1C29">
        <w:rPr>
          <w:spacing w:val="-2"/>
        </w:rPr>
        <w:t xml:space="preserve"> </w:t>
      </w:r>
      <w:r w:rsidRPr="007F1C29">
        <w:t>–</w:t>
      </w:r>
      <w:r w:rsidRPr="007F1C29">
        <w:rPr>
          <w:spacing w:val="-3"/>
        </w:rPr>
        <w:t xml:space="preserve"> </w:t>
      </w:r>
      <w:r w:rsidRPr="007F1C29">
        <w:t>203</w:t>
      </w:r>
      <w:r w:rsidRPr="007F1C29">
        <w:rPr>
          <w:spacing w:val="-4"/>
        </w:rPr>
        <w:t xml:space="preserve"> </w:t>
      </w:r>
      <w:r w:rsidRPr="007F1C29">
        <w:t>de</w:t>
      </w:r>
      <w:r w:rsidRPr="007F1C29">
        <w:rPr>
          <w:spacing w:val="-3"/>
        </w:rPr>
        <w:t xml:space="preserve"> </w:t>
      </w:r>
      <w:r w:rsidRPr="007F1C29">
        <w:t>2022</w:t>
      </w:r>
    </w:p>
    <w:p w14:paraId="551B8ADB" w14:textId="77777777" w:rsidR="006D3558" w:rsidRPr="007F1C29" w:rsidRDefault="006D3558" w:rsidP="006D3558">
      <w:pPr>
        <w:pStyle w:val="Textoindependiente"/>
        <w:tabs>
          <w:tab w:val="left" w:pos="2977"/>
        </w:tabs>
        <w:spacing w:before="207"/>
        <w:ind w:left="2835" w:right="392" w:hanging="2835"/>
        <w:jc w:val="both"/>
        <w:rPr>
          <w:rFonts w:ascii="Arial" w:hAnsi="Arial" w:cs="Arial"/>
        </w:rPr>
      </w:pPr>
      <w:r w:rsidRPr="007F1C29">
        <w:rPr>
          <w:rFonts w:ascii="Arial" w:hAnsi="Arial" w:cs="Arial"/>
          <w:b/>
        </w:rPr>
        <w:t>Temas:</w:t>
      </w:r>
      <w:r w:rsidRPr="007F1C29">
        <w:rPr>
          <w:rFonts w:ascii="Arial" w:hAnsi="Arial" w:cs="Arial"/>
          <w:b/>
        </w:rPr>
        <w:tab/>
      </w:r>
      <w:r w:rsidRPr="007F1C29">
        <w:rPr>
          <w:rFonts w:ascii="Arial" w:hAnsi="Arial" w:cs="Arial"/>
        </w:rPr>
        <w:t>MÍNIMA CUANTÍA ― Concepto ― Regulación ― Requisitos /</w:t>
      </w:r>
      <w:r w:rsidRPr="007F1C29">
        <w:rPr>
          <w:rFonts w:ascii="Arial" w:hAnsi="Arial" w:cs="Arial"/>
          <w:spacing w:val="1"/>
        </w:rPr>
        <w:t xml:space="preserve"> </w:t>
      </w:r>
      <w:r w:rsidRPr="007F1C29">
        <w:rPr>
          <w:rFonts w:ascii="Arial" w:hAnsi="Arial" w:cs="Arial"/>
        </w:rPr>
        <w:t>MÍNIMA CUANTÍA – Aplicabilidad de los Acuerdos Comerciales</w:t>
      </w:r>
    </w:p>
    <w:p w14:paraId="1CAAE707" w14:textId="77777777" w:rsidR="006D3558" w:rsidRPr="007F1C29" w:rsidRDefault="006D3558" w:rsidP="006D3558">
      <w:pPr>
        <w:tabs>
          <w:tab w:val="left" w:pos="2788"/>
        </w:tabs>
        <w:spacing w:before="145"/>
        <w:rPr>
          <w:rFonts w:ascii="Arial" w:hAnsi="Arial" w:cs="Arial"/>
          <w:sz w:val="22"/>
          <w:szCs w:val="22"/>
        </w:rPr>
      </w:pPr>
      <w:r w:rsidRPr="007F1C29">
        <w:rPr>
          <w:rFonts w:ascii="Arial" w:hAnsi="Arial" w:cs="Arial"/>
          <w:b/>
          <w:sz w:val="22"/>
          <w:szCs w:val="22"/>
        </w:rPr>
        <w:t>Radicación:</w:t>
      </w:r>
      <w:r w:rsidRPr="007F1C29">
        <w:rPr>
          <w:rFonts w:ascii="Arial" w:hAnsi="Arial" w:cs="Arial"/>
          <w:b/>
          <w:sz w:val="22"/>
          <w:szCs w:val="22"/>
        </w:rPr>
        <w:tab/>
        <w:t xml:space="preserve"> </w:t>
      </w:r>
      <w:r w:rsidRPr="007F1C29">
        <w:rPr>
          <w:rFonts w:ascii="Arial" w:hAnsi="Arial" w:cs="Arial"/>
          <w:sz w:val="22"/>
          <w:szCs w:val="22"/>
        </w:rPr>
        <w:t>Respuesta</w:t>
      </w:r>
      <w:r w:rsidRPr="007F1C29">
        <w:rPr>
          <w:rFonts w:ascii="Arial" w:hAnsi="Arial" w:cs="Arial"/>
          <w:spacing w:val="-7"/>
          <w:sz w:val="22"/>
          <w:szCs w:val="22"/>
        </w:rPr>
        <w:t xml:space="preserve"> </w:t>
      </w:r>
      <w:r w:rsidRPr="007F1C29">
        <w:rPr>
          <w:rFonts w:ascii="Arial" w:hAnsi="Arial" w:cs="Arial"/>
          <w:sz w:val="22"/>
          <w:szCs w:val="22"/>
        </w:rPr>
        <w:t>a</w:t>
      </w:r>
      <w:r w:rsidRPr="007F1C29">
        <w:rPr>
          <w:rFonts w:ascii="Arial" w:hAnsi="Arial" w:cs="Arial"/>
          <w:spacing w:val="-6"/>
          <w:sz w:val="22"/>
          <w:szCs w:val="22"/>
        </w:rPr>
        <w:t xml:space="preserve"> </w:t>
      </w:r>
      <w:r w:rsidRPr="007F1C29">
        <w:rPr>
          <w:rFonts w:ascii="Arial" w:hAnsi="Arial" w:cs="Arial"/>
          <w:sz w:val="22"/>
          <w:szCs w:val="22"/>
        </w:rPr>
        <w:t>consulta</w:t>
      </w:r>
      <w:r w:rsidRPr="007F1C29">
        <w:rPr>
          <w:rFonts w:ascii="Arial" w:hAnsi="Arial" w:cs="Arial"/>
          <w:spacing w:val="-5"/>
          <w:sz w:val="22"/>
          <w:szCs w:val="22"/>
        </w:rPr>
        <w:t xml:space="preserve"> </w:t>
      </w:r>
      <w:r w:rsidRPr="007F1C29">
        <w:rPr>
          <w:rFonts w:ascii="Arial" w:hAnsi="Arial" w:cs="Arial"/>
          <w:sz w:val="22"/>
          <w:szCs w:val="22"/>
        </w:rPr>
        <w:t>P20220301002028</w:t>
      </w:r>
    </w:p>
    <w:p w14:paraId="636DA77F" w14:textId="77777777" w:rsidR="006D3558" w:rsidRPr="007F1C29" w:rsidRDefault="006D3558" w:rsidP="006D3558">
      <w:pPr>
        <w:pStyle w:val="Textoindependiente"/>
        <w:rPr>
          <w:rFonts w:ascii="Arial" w:hAnsi="Arial" w:cs="Arial"/>
          <w:sz w:val="24"/>
        </w:rPr>
      </w:pPr>
    </w:p>
    <w:p w14:paraId="00BF9692" w14:textId="77777777" w:rsidR="006D3558" w:rsidRPr="007F1C29" w:rsidRDefault="006D3558" w:rsidP="006D3558">
      <w:pPr>
        <w:pStyle w:val="Textoindependiente"/>
        <w:spacing w:before="194"/>
        <w:rPr>
          <w:rFonts w:ascii="Arial" w:hAnsi="Arial" w:cs="Arial"/>
        </w:rPr>
      </w:pPr>
      <w:r w:rsidRPr="007F1C29">
        <w:rPr>
          <w:rFonts w:ascii="Arial" w:hAnsi="Arial" w:cs="Arial"/>
        </w:rPr>
        <w:t>Estimada</w:t>
      </w:r>
      <w:r w:rsidRPr="007F1C29">
        <w:rPr>
          <w:rFonts w:ascii="Arial" w:hAnsi="Arial" w:cs="Arial"/>
          <w:spacing w:val="-6"/>
        </w:rPr>
        <w:t xml:space="preserve"> </w:t>
      </w:r>
      <w:r w:rsidRPr="007F1C29">
        <w:rPr>
          <w:rFonts w:ascii="Arial" w:hAnsi="Arial" w:cs="Arial"/>
        </w:rPr>
        <w:t>señora</w:t>
      </w:r>
      <w:r w:rsidRPr="007F1C29">
        <w:rPr>
          <w:rFonts w:ascii="Arial" w:hAnsi="Arial" w:cs="Arial"/>
          <w:spacing w:val="-5"/>
        </w:rPr>
        <w:t xml:space="preserve"> </w:t>
      </w:r>
      <w:r w:rsidRPr="007F1C29">
        <w:rPr>
          <w:rFonts w:ascii="Arial" w:hAnsi="Arial" w:cs="Arial"/>
        </w:rPr>
        <w:t>Vergel:</w:t>
      </w:r>
    </w:p>
    <w:p w14:paraId="0B09C12C" w14:textId="77777777" w:rsidR="006D3558" w:rsidRPr="007F1C29" w:rsidRDefault="006D3558" w:rsidP="006D3558">
      <w:pPr>
        <w:pStyle w:val="Textoindependiente"/>
        <w:spacing w:before="1"/>
        <w:ind w:right="64"/>
        <w:jc w:val="both"/>
        <w:rPr>
          <w:rFonts w:ascii="Arial" w:hAnsi="Arial" w:cs="Arial"/>
        </w:rPr>
      </w:pPr>
      <w:r w:rsidRPr="007F1C29">
        <w:rPr>
          <w:rFonts w:ascii="Arial" w:hAnsi="Arial" w:cs="Arial"/>
        </w:rPr>
        <w:t>En ejercicio de la competencia otorgada por los artículos 11, numeral 8º, y 3º, numeral 5º, del</w:t>
      </w:r>
      <w:r w:rsidRPr="007F1C29">
        <w:rPr>
          <w:rFonts w:ascii="Arial" w:hAnsi="Arial" w:cs="Arial"/>
          <w:spacing w:val="-59"/>
        </w:rPr>
        <w:t xml:space="preserve"> </w:t>
      </w:r>
      <w:r w:rsidRPr="007F1C29">
        <w:rPr>
          <w:rFonts w:ascii="Arial" w:hAnsi="Arial" w:cs="Arial"/>
        </w:rPr>
        <w:t>Decreto</w:t>
      </w:r>
      <w:r w:rsidRPr="007F1C29">
        <w:rPr>
          <w:rFonts w:ascii="Arial" w:hAnsi="Arial" w:cs="Arial"/>
          <w:spacing w:val="-7"/>
        </w:rPr>
        <w:t xml:space="preserve"> </w:t>
      </w:r>
      <w:r w:rsidRPr="007F1C29">
        <w:rPr>
          <w:rFonts w:ascii="Arial" w:hAnsi="Arial" w:cs="Arial"/>
        </w:rPr>
        <w:t>Ley</w:t>
      </w:r>
      <w:r w:rsidRPr="007F1C29">
        <w:rPr>
          <w:rFonts w:ascii="Arial" w:hAnsi="Arial" w:cs="Arial"/>
          <w:spacing w:val="-7"/>
        </w:rPr>
        <w:t xml:space="preserve"> </w:t>
      </w:r>
      <w:r w:rsidRPr="007F1C29">
        <w:rPr>
          <w:rFonts w:ascii="Arial" w:hAnsi="Arial" w:cs="Arial"/>
        </w:rPr>
        <w:t>4170</w:t>
      </w:r>
      <w:r w:rsidRPr="007F1C29">
        <w:rPr>
          <w:rFonts w:ascii="Arial" w:hAnsi="Arial" w:cs="Arial"/>
          <w:spacing w:val="-7"/>
        </w:rPr>
        <w:t xml:space="preserve"> </w:t>
      </w:r>
      <w:r w:rsidRPr="007F1C29">
        <w:rPr>
          <w:rFonts w:ascii="Arial" w:hAnsi="Arial" w:cs="Arial"/>
        </w:rPr>
        <w:t>de</w:t>
      </w:r>
      <w:r w:rsidRPr="007F1C29">
        <w:rPr>
          <w:rFonts w:ascii="Arial" w:hAnsi="Arial" w:cs="Arial"/>
          <w:spacing w:val="-7"/>
        </w:rPr>
        <w:t xml:space="preserve"> </w:t>
      </w:r>
      <w:r w:rsidRPr="007F1C29">
        <w:rPr>
          <w:rFonts w:ascii="Arial" w:hAnsi="Arial" w:cs="Arial"/>
        </w:rPr>
        <w:t>2011,</w:t>
      </w:r>
      <w:r w:rsidRPr="007F1C29">
        <w:rPr>
          <w:rFonts w:ascii="Arial" w:hAnsi="Arial" w:cs="Arial"/>
          <w:spacing w:val="-7"/>
        </w:rPr>
        <w:t xml:space="preserve"> </w:t>
      </w:r>
      <w:r w:rsidRPr="007F1C29">
        <w:rPr>
          <w:rFonts w:ascii="Arial" w:hAnsi="Arial" w:cs="Arial"/>
        </w:rPr>
        <w:t>la</w:t>
      </w:r>
      <w:r w:rsidRPr="007F1C29">
        <w:rPr>
          <w:rFonts w:ascii="Arial" w:hAnsi="Arial" w:cs="Arial"/>
          <w:spacing w:val="-6"/>
        </w:rPr>
        <w:t xml:space="preserve"> </w:t>
      </w:r>
      <w:r w:rsidRPr="007F1C29">
        <w:rPr>
          <w:rFonts w:ascii="Arial" w:hAnsi="Arial" w:cs="Arial"/>
        </w:rPr>
        <w:t>Agencia</w:t>
      </w:r>
      <w:r w:rsidRPr="007F1C29">
        <w:rPr>
          <w:rFonts w:ascii="Arial" w:hAnsi="Arial" w:cs="Arial"/>
          <w:spacing w:val="-6"/>
        </w:rPr>
        <w:t xml:space="preserve"> </w:t>
      </w:r>
      <w:r w:rsidRPr="007F1C29">
        <w:rPr>
          <w:rFonts w:ascii="Arial" w:hAnsi="Arial" w:cs="Arial"/>
        </w:rPr>
        <w:t>Nacional</w:t>
      </w:r>
      <w:r w:rsidRPr="007F1C29">
        <w:rPr>
          <w:rFonts w:ascii="Arial" w:hAnsi="Arial" w:cs="Arial"/>
          <w:spacing w:val="-7"/>
        </w:rPr>
        <w:t xml:space="preserve"> </w:t>
      </w:r>
      <w:r w:rsidRPr="007F1C29">
        <w:rPr>
          <w:rFonts w:ascii="Arial" w:hAnsi="Arial" w:cs="Arial"/>
        </w:rPr>
        <w:t>de</w:t>
      </w:r>
      <w:r w:rsidRPr="007F1C29">
        <w:rPr>
          <w:rFonts w:ascii="Arial" w:hAnsi="Arial" w:cs="Arial"/>
          <w:spacing w:val="-7"/>
        </w:rPr>
        <w:t xml:space="preserve"> </w:t>
      </w:r>
      <w:r w:rsidRPr="007F1C29">
        <w:rPr>
          <w:rFonts w:ascii="Arial" w:hAnsi="Arial" w:cs="Arial"/>
        </w:rPr>
        <w:t>Contratación</w:t>
      </w:r>
      <w:r w:rsidRPr="007F1C29">
        <w:rPr>
          <w:rFonts w:ascii="Arial" w:hAnsi="Arial" w:cs="Arial"/>
          <w:spacing w:val="-7"/>
        </w:rPr>
        <w:t xml:space="preserve"> </w:t>
      </w:r>
      <w:r w:rsidRPr="007F1C29">
        <w:rPr>
          <w:rFonts w:ascii="Arial" w:hAnsi="Arial" w:cs="Arial"/>
        </w:rPr>
        <w:t>Pública</w:t>
      </w:r>
      <w:r w:rsidRPr="007F1C29">
        <w:rPr>
          <w:rFonts w:ascii="Arial" w:hAnsi="Arial" w:cs="Arial"/>
          <w:spacing w:val="-6"/>
        </w:rPr>
        <w:t xml:space="preserve"> </w:t>
      </w:r>
      <w:r w:rsidRPr="007F1C29">
        <w:rPr>
          <w:rFonts w:ascii="Arial" w:hAnsi="Arial" w:cs="Arial"/>
        </w:rPr>
        <w:t>−</w:t>
      </w:r>
      <w:r w:rsidRPr="007F1C29">
        <w:rPr>
          <w:rFonts w:ascii="Arial" w:hAnsi="Arial" w:cs="Arial"/>
          <w:spacing w:val="-7"/>
        </w:rPr>
        <w:t xml:space="preserve"> </w:t>
      </w:r>
      <w:r w:rsidRPr="007F1C29">
        <w:rPr>
          <w:rFonts w:ascii="Arial" w:hAnsi="Arial" w:cs="Arial"/>
        </w:rPr>
        <w:t>Colombia</w:t>
      </w:r>
      <w:r w:rsidRPr="007F1C29">
        <w:rPr>
          <w:rFonts w:ascii="Arial" w:hAnsi="Arial" w:cs="Arial"/>
          <w:spacing w:val="-7"/>
        </w:rPr>
        <w:t xml:space="preserve"> </w:t>
      </w:r>
      <w:r w:rsidRPr="007F1C29">
        <w:rPr>
          <w:rFonts w:ascii="Arial" w:hAnsi="Arial" w:cs="Arial"/>
        </w:rPr>
        <w:t>Compra</w:t>
      </w:r>
      <w:r w:rsidRPr="007F1C29">
        <w:rPr>
          <w:rFonts w:ascii="Arial" w:hAnsi="Arial" w:cs="Arial"/>
          <w:spacing w:val="-58"/>
        </w:rPr>
        <w:t xml:space="preserve"> </w:t>
      </w:r>
      <w:r w:rsidRPr="007F1C29">
        <w:rPr>
          <w:rFonts w:ascii="Arial" w:hAnsi="Arial" w:cs="Arial"/>
        </w:rPr>
        <w:t>Eficiente</w:t>
      </w:r>
      <w:r w:rsidRPr="007F1C29">
        <w:rPr>
          <w:rFonts w:ascii="Arial" w:hAnsi="Arial" w:cs="Arial"/>
          <w:spacing w:val="-2"/>
        </w:rPr>
        <w:t xml:space="preserve"> </w:t>
      </w:r>
      <w:r w:rsidRPr="007F1C29">
        <w:rPr>
          <w:rFonts w:ascii="Arial" w:hAnsi="Arial" w:cs="Arial"/>
        </w:rPr>
        <w:t>responde</w:t>
      </w:r>
      <w:r w:rsidRPr="007F1C29">
        <w:rPr>
          <w:rFonts w:ascii="Arial" w:hAnsi="Arial" w:cs="Arial"/>
          <w:spacing w:val="-1"/>
        </w:rPr>
        <w:t xml:space="preserve"> </w:t>
      </w:r>
      <w:r w:rsidRPr="007F1C29">
        <w:rPr>
          <w:rFonts w:ascii="Arial" w:hAnsi="Arial" w:cs="Arial"/>
        </w:rPr>
        <w:t>su</w:t>
      </w:r>
      <w:r w:rsidRPr="007F1C29">
        <w:rPr>
          <w:rFonts w:ascii="Arial" w:hAnsi="Arial" w:cs="Arial"/>
          <w:spacing w:val="4"/>
        </w:rPr>
        <w:t xml:space="preserve"> </w:t>
      </w:r>
      <w:r w:rsidRPr="007F1C29">
        <w:rPr>
          <w:rFonts w:ascii="Arial" w:hAnsi="Arial" w:cs="Arial"/>
        </w:rPr>
        <w:t>consulta</w:t>
      </w:r>
      <w:r w:rsidRPr="007F1C29">
        <w:rPr>
          <w:rFonts w:ascii="Arial" w:hAnsi="Arial" w:cs="Arial"/>
          <w:spacing w:val="-2"/>
        </w:rPr>
        <w:t xml:space="preserve"> </w:t>
      </w:r>
      <w:r w:rsidRPr="007F1C29">
        <w:rPr>
          <w:rFonts w:ascii="Arial" w:hAnsi="Arial" w:cs="Arial"/>
        </w:rPr>
        <w:t>del</w:t>
      </w:r>
      <w:r w:rsidRPr="007F1C29">
        <w:rPr>
          <w:rFonts w:ascii="Arial" w:hAnsi="Arial" w:cs="Arial"/>
          <w:spacing w:val="-1"/>
        </w:rPr>
        <w:t xml:space="preserve"> </w:t>
      </w:r>
      <w:r w:rsidRPr="007F1C29">
        <w:rPr>
          <w:rFonts w:ascii="Arial" w:hAnsi="Arial" w:cs="Arial"/>
        </w:rPr>
        <w:t>1</w:t>
      </w:r>
      <w:r w:rsidRPr="007F1C29">
        <w:rPr>
          <w:rFonts w:ascii="Arial" w:hAnsi="Arial" w:cs="Arial"/>
          <w:spacing w:val="-1"/>
        </w:rPr>
        <w:t xml:space="preserve"> </w:t>
      </w:r>
      <w:r w:rsidRPr="007F1C29">
        <w:rPr>
          <w:rFonts w:ascii="Arial" w:hAnsi="Arial" w:cs="Arial"/>
        </w:rPr>
        <w:t>de</w:t>
      </w:r>
      <w:r w:rsidRPr="007F1C29">
        <w:rPr>
          <w:rFonts w:ascii="Arial" w:hAnsi="Arial" w:cs="Arial"/>
          <w:spacing w:val="-2"/>
        </w:rPr>
        <w:t xml:space="preserve"> </w:t>
      </w:r>
      <w:r w:rsidRPr="007F1C29">
        <w:rPr>
          <w:rFonts w:ascii="Arial" w:hAnsi="Arial" w:cs="Arial"/>
        </w:rPr>
        <w:t>marzo de 2022.</w:t>
      </w:r>
    </w:p>
    <w:p w14:paraId="104471E8" w14:textId="77777777" w:rsidR="006D3558" w:rsidRPr="007F1C29" w:rsidRDefault="006D3558" w:rsidP="006D3558">
      <w:pPr>
        <w:pStyle w:val="Ttulo1"/>
        <w:numPr>
          <w:ilvl w:val="0"/>
          <w:numId w:val="26"/>
        </w:numPr>
        <w:tabs>
          <w:tab w:val="left" w:pos="142"/>
        </w:tabs>
        <w:spacing w:before="184"/>
        <w:ind w:left="284" w:right="64" w:hanging="284"/>
      </w:pPr>
      <w:r w:rsidRPr="007F1C29">
        <w:t>Problemas</w:t>
      </w:r>
      <w:r w:rsidRPr="007F1C29">
        <w:rPr>
          <w:spacing w:val="-10"/>
        </w:rPr>
        <w:t xml:space="preserve"> </w:t>
      </w:r>
      <w:r w:rsidRPr="007F1C29">
        <w:t>planteados</w:t>
      </w:r>
    </w:p>
    <w:p w14:paraId="2CD2783F" w14:textId="77777777" w:rsidR="006D3558" w:rsidRPr="007F1C29" w:rsidRDefault="006D3558" w:rsidP="006D3558">
      <w:pPr>
        <w:pStyle w:val="Textoindependiente"/>
        <w:tabs>
          <w:tab w:val="left" w:pos="142"/>
        </w:tabs>
        <w:spacing w:before="7"/>
        <w:ind w:hanging="344"/>
        <w:rPr>
          <w:rFonts w:ascii="Arial" w:hAnsi="Arial" w:cs="Arial"/>
          <w:b/>
          <w:sz w:val="21"/>
        </w:rPr>
      </w:pPr>
    </w:p>
    <w:p w14:paraId="215BCDBF" w14:textId="43228E68" w:rsidR="006D3558" w:rsidRPr="007F1C29" w:rsidRDefault="00CA4E88" w:rsidP="006D3558">
      <w:pPr>
        <w:pStyle w:val="Textoindependiente"/>
        <w:tabs>
          <w:tab w:val="left" w:pos="142"/>
        </w:tabs>
        <w:spacing w:before="1"/>
        <w:ind w:left="100" w:hanging="100"/>
        <w:rPr>
          <w:rFonts w:ascii="Arial" w:hAnsi="Arial" w:cs="Arial"/>
        </w:rPr>
      </w:pPr>
      <w:r w:rsidRPr="007F1C29">
        <w:rPr>
          <w:rFonts w:ascii="Arial" w:hAnsi="Arial" w:cs="Arial"/>
        </w:rPr>
        <w:t>La</w:t>
      </w:r>
      <w:r w:rsidR="006D3558" w:rsidRPr="007F1C29">
        <w:rPr>
          <w:rFonts w:ascii="Arial" w:hAnsi="Arial" w:cs="Arial"/>
          <w:spacing w:val="-4"/>
        </w:rPr>
        <w:t xml:space="preserve"> </w:t>
      </w:r>
      <w:r w:rsidR="006D3558" w:rsidRPr="007F1C29">
        <w:rPr>
          <w:rFonts w:ascii="Arial" w:hAnsi="Arial" w:cs="Arial"/>
        </w:rPr>
        <w:t>peticionari</w:t>
      </w:r>
      <w:r w:rsidRPr="007F1C29">
        <w:rPr>
          <w:rFonts w:ascii="Arial" w:hAnsi="Arial" w:cs="Arial"/>
        </w:rPr>
        <w:t>a</w:t>
      </w:r>
      <w:r w:rsidR="006D3558" w:rsidRPr="007F1C29">
        <w:rPr>
          <w:rFonts w:ascii="Arial" w:hAnsi="Arial" w:cs="Arial"/>
          <w:spacing w:val="-3"/>
        </w:rPr>
        <w:t xml:space="preserve"> </w:t>
      </w:r>
      <w:r w:rsidR="006D3558" w:rsidRPr="007F1C29">
        <w:rPr>
          <w:rFonts w:ascii="Arial" w:hAnsi="Arial" w:cs="Arial"/>
        </w:rPr>
        <w:t>realiza</w:t>
      </w:r>
      <w:r w:rsidR="006D3558" w:rsidRPr="007F1C29">
        <w:rPr>
          <w:rFonts w:ascii="Arial" w:hAnsi="Arial" w:cs="Arial"/>
          <w:spacing w:val="-3"/>
        </w:rPr>
        <w:t xml:space="preserve"> </w:t>
      </w:r>
      <w:r w:rsidR="006D3558" w:rsidRPr="007F1C29">
        <w:rPr>
          <w:rFonts w:ascii="Arial" w:hAnsi="Arial" w:cs="Arial"/>
        </w:rPr>
        <w:t>la</w:t>
      </w:r>
      <w:r w:rsidR="006D3558" w:rsidRPr="007F1C29">
        <w:rPr>
          <w:rFonts w:ascii="Arial" w:hAnsi="Arial" w:cs="Arial"/>
          <w:spacing w:val="-3"/>
        </w:rPr>
        <w:t xml:space="preserve"> </w:t>
      </w:r>
      <w:r w:rsidR="006D3558" w:rsidRPr="007F1C29">
        <w:rPr>
          <w:rFonts w:ascii="Arial" w:hAnsi="Arial" w:cs="Arial"/>
        </w:rPr>
        <w:t>siguiente</w:t>
      </w:r>
      <w:r w:rsidR="006D3558" w:rsidRPr="007F1C29">
        <w:rPr>
          <w:rFonts w:ascii="Arial" w:hAnsi="Arial" w:cs="Arial"/>
          <w:spacing w:val="-3"/>
        </w:rPr>
        <w:t xml:space="preserve"> </w:t>
      </w:r>
      <w:r w:rsidR="006D3558" w:rsidRPr="007F1C29">
        <w:rPr>
          <w:rFonts w:ascii="Arial" w:hAnsi="Arial" w:cs="Arial"/>
        </w:rPr>
        <w:t>consulta:</w:t>
      </w:r>
    </w:p>
    <w:p w14:paraId="0B1F1188" w14:textId="77777777" w:rsidR="006D3558" w:rsidRPr="007F1C29" w:rsidRDefault="006D3558" w:rsidP="006D3558">
      <w:pPr>
        <w:ind w:left="809" w:right="888"/>
        <w:jc w:val="both"/>
        <w:rPr>
          <w:rFonts w:ascii="Arial" w:hAnsi="Arial" w:cs="Arial"/>
          <w:sz w:val="21"/>
          <w:szCs w:val="21"/>
        </w:rPr>
      </w:pPr>
      <w:r w:rsidRPr="007F1C29">
        <w:rPr>
          <w:rFonts w:ascii="Arial" w:hAnsi="Arial" w:cs="Arial"/>
          <w:sz w:val="21"/>
          <w:szCs w:val="21"/>
        </w:rPr>
        <w:t>«La versión M-MACPC-14, - MANUAL PARA EL MANEJO DE LOS ACUERDOS COMERCIALES EN PROCESOS DE CONTRATACIÓN, establecía explícitamente para la Entidades Estatales que no era necesario realizar el análisis de aplicación de acuerdos comerciales para los procesos de mínima cuantía. El actual MANUAL PARA EL MANEJO DE LOS ACUERDOS COMERCIALES EN PROCESOS DE CONTRATACIÓN CCE-EICP-MA-03 V1. 24/11/2021, no establece nada al respecto sobre el análisis de aplicación de acuerdo comercial para los procesos de mínima cuantía, es decir, con la actual versión CCE-EICP-MA-03 V1. 24/11/2021 las Entidades del Estado que adelanten sus Procesos de Contratación de Mínima cuantía, deben hacer el análisis de aplicación de los acuerdos comerciales?».</w:t>
      </w:r>
    </w:p>
    <w:p w14:paraId="41F04075" w14:textId="77777777" w:rsidR="006D3558" w:rsidRPr="007F1C29" w:rsidRDefault="006D3558" w:rsidP="006D3558">
      <w:pPr>
        <w:pStyle w:val="Textoindependiente"/>
        <w:spacing w:before="11"/>
        <w:rPr>
          <w:rFonts w:ascii="Arial" w:hAnsi="Arial" w:cs="Arial"/>
          <w:sz w:val="20"/>
        </w:rPr>
      </w:pPr>
    </w:p>
    <w:p w14:paraId="38E5AF3B" w14:textId="77777777" w:rsidR="006D3558" w:rsidRPr="007F1C29" w:rsidRDefault="006D3558" w:rsidP="006D3558">
      <w:pPr>
        <w:pStyle w:val="Ttulo1"/>
        <w:numPr>
          <w:ilvl w:val="0"/>
          <w:numId w:val="26"/>
        </w:numPr>
        <w:tabs>
          <w:tab w:val="left" w:pos="345"/>
        </w:tabs>
        <w:ind w:left="284" w:hanging="284"/>
      </w:pPr>
      <w:r w:rsidRPr="007F1C29">
        <w:lastRenderedPageBreak/>
        <w:t>Consideraciones</w:t>
      </w:r>
    </w:p>
    <w:p w14:paraId="3CF7CF93" w14:textId="77777777" w:rsidR="00C036BF" w:rsidRPr="007F1C29" w:rsidRDefault="00C036BF" w:rsidP="006D3558">
      <w:pPr>
        <w:tabs>
          <w:tab w:val="left" w:pos="426"/>
        </w:tabs>
        <w:spacing w:after="120" w:line="276" w:lineRule="auto"/>
        <w:ind w:right="64"/>
        <w:jc w:val="both"/>
        <w:rPr>
          <w:rFonts w:ascii="Arial" w:eastAsia="Calibri" w:hAnsi="Arial" w:cs="Arial"/>
          <w:sz w:val="22"/>
          <w:szCs w:val="22"/>
          <w:lang w:val="es-ES_tradnl"/>
        </w:rPr>
      </w:pPr>
    </w:p>
    <w:p w14:paraId="79F32129" w14:textId="7459A4FB" w:rsidR="006D3558" w:rsidRPr="007F1C29" w:rsidRDefault="006D3558" w:rsidP="006D3558">
      <w:pPr>
        <w:tabs>
          <w:tab w:val="left" w:pos="426"/>
        </w:tabs>
        <w:spacing w:after="120" w:line="276" w:lineRule="auto"/>
        <w:ind w:right="64"/>
        <w:jc w:val="both"/>
        <w:rPr>
          <w:rFonts w:ascii="Arial" w:eastAsia="Calibri" w:hAnsi="Arial" w:cs="Arial"/>
          <w:sz w:val="22"/>
          <w:szCs w:val="22"/>
          <w:lang w:val="es-ES_tradnl"/>
        </w:rPr>
      </w:pPr>
      <w:r w:rsidRPr="007F1C29">
        <w:rPr>
          <w:rFonts w:ascii="Arial" w:eastAsia="Calibri" w:hAnsi="Arial" w:cs="Arial"/>
          <w:sz w:val="22"/>
          <w:szCs w:val="22"/>
          <w:lang w:val="es-ES_tradnl"/>
        </w:rPr>
        <w:t xml:space="preserve">Para resolver esta consulta se </w:t>
      </w:r>
      <w:r w:rsidR="0094353E" w:rsidRPr="007F1C29">
        <w:rPr>
          <w:rFonts w:ascii="Arial" w:eastAsia="Calibri" w:hAnsi="Arial" w:cs="Arial"/>
          <w:sz w:val="22"/>
          <w:szCs w:val="22"/>
          <w:lang w:val="es-ES_tradnl"/>
        </w:rPr>
        <w:t>analizarán</w:t>
      </w:r>
      <w:r w:rsidRPr="007F1C29">
        <w:rPr>
          <w:rFonts w:ascii="Arial" w:eastAsia="Calibri" w:hAnsi="Arial" w:cs="Arial"/>
          <w:sz w:val="22"/>
          <w:szCs w:val="22"/>
          <w:lang w:val="es-ES_tradnl"/>
        </w:rPr>
        <w:t xml:space="preserve"> los siguientes temas: i) </w:t>
      </w:r>
      <w:r w:rsidR="00BF58A6" w:rsidRPr="007F1C29">
        <w:rPr>
          <w:rFonts w:ascii="Arial" w:eastAsia="Calibri" w:hAnsi="Arial" w:cs="Arial"/>
          <w:sz w:val="22"/>
          <w:szCs w:val="22"/>
          <w:lang w:val="es-ES_tradnl"/>
        </w:rPr>
        <w:t>Régimen actual de la modalidad de mínima cuantía</w:t>
      </w:r>
      <w:r w:rsidRPr="007F1C29">
        <w:rPr>
          <w:rFonts w:ascii="Arial" w:eastAsia="Calibri" w:hAnsi="Arial" w:cs="Arial"/>
          <w:sz w:val="22"/>
          <w:szCs w:val="22"/>
          <w:lang w:val="es-ES_tradnl"/>
        </w:rPr>
        <w:t xml:space="preserve">; </w:t>
      </w:r>
      <w:proofErr w:type="spellStart"/>
      <w:r w:rsidRPr="007F1C29">
        <w:rPr>
          <w:rFonts w:ascii="Arial" w:eastAsia="Calibri" w:hAnsi="Arial" w:cs="Arial"/>
          <w:sz w:val="22"/>
          <w:szCs w:val="22"/>
          <w:lang w:val="es-ES_tradnl"/>
        </w:rPr>
        <w:t>ii</w:t>
      </w:r>
      <w:proofErr w:type="spellEnd"/>
      <w:r w:rsidRPr="007F1C29">
        <w:rPr>
          <w:rFonts w:ascii="Arial" w:eastAsia="Calibri" w:hAnsi="Arial" w:cs="Arial"/>
          <w:sz w:val="22"/>
          <w:szCs w:val="22"/>
          <w:lang w:val="es-ES_tradnl"/>
        </w:rPr>
        <w:t>)</w:t>
      </w:r>
      <w:r w:rsidR="00BF58A6" w:rsidRPr="007F1C29">
        <w:rPr>
          <w:rFonts w:ascii="Arial" w:eastAsia="Calibri" w:hAnsi="Arial" w:cs="Arial"/>
          <w:sz w:val="22"/>
          <w:szCs w:val="22"/>
          <w:lang w:val="es-ES_tradnl"/>
        </w:rPr>
        <w:t xml:space="preserve"> la contratación pública y los tratados internacionales; y </w:t>
      </w:r>
      <w:proofErr w:type="spellStart"/>
      <w:r w:rsidR="00BF58A6" w:rsidRPr="007F1C29">
        <w:rPr>
          <w:rFonts w:ascii="Arial" w:eastAsia="Calibri" w:hAnsi="Arial" w:cs="Arial"/>
          <w:sz w:val="22"/>
          <w:szCs w:val="22"/>
          <w:lang w:val="es-ES_tradnl"/>
        </w:rPr>
        <w:t>iii</w:t>
      </w:r>
      <w:proofErr w:type="spellEnd"/>
      <w:r w:rsidR="00BF58A6" w:rsidRPr="007F1C29">
        <w:rPr>
          <w:rFonts w:ascii="Arial" w:eastAsia="Calibri" w:hAnsi="Arial" w:cs="Arial"/>
          <w:sz w:val="22"/>
          <w:szCs w:val="22"/>
          <w:lang w:val="es-ES_tradnl"/>
        </w:rPr>
        <w:t>)</w:t>
      </w:r>
      <w:r w:rsidRPr="007F1C29">
        <w:rPr>
          <w:rFonts w:ascii="Arial" w:eastAsia="Calibri" w:hAnsi="Arial" w:cs="Arial"/>
          <w:sz w:val="22"/>
          <w:szCs w:val="22"/>
          <w:lang w:val="es-ES_tradnl"/>
        </w:rPr>
        <w:t xml:space="preserve"> la vinculatoriedad de las Guías y Manuales expedidos por la Agencia</w:t>
      </w:r>
      <w:r w:rsidRPr="007F1C29">
        <w:rPr>
          <w:rFonts w:ascii="Arial" w:hAnsi="Arial" w:cs="Arial"/>
          <w:sz w:val="22"/>
          <w:szCs w:val="22"/>
        </w:rPr>
        <w:t xml:space="preserve"> Nacional de Contratación Pública ― Colombia Compra Eficiente</w:t>
      </w:r>
      <w:r w:rsidR="0094353E" w:rsidRPr="007F1C29">
        <w:rPr>
          <w:rFonts w:ascii="Arial" w:hAnsi="Arial" w:cs="Arial"/>
          <w:sz w:val="22"/>
          <w:szCs w:val="22"/>
        </w:rPr>
        <w:t>.</w:t>
      </w:r>
    </w:p>
    <w:p w14:paraId="7F4C0A31" w14:textId="07FCEC47" w:rsidR="006D3558" w:rsidRPr="007F1C29" w:rsidRDefault="0094353E" w:rsidP="006D3558">
      <w:pPr>
        <w:tabs>
          <w:tab w:val="left" w:pos="426"/>
        </w:tabs>
        <w:spacing w:after="120" w:line="276" w:lineRule="auto"/>
        <w:ind w:right="64"/>
        <w:jc w:val="both"/>
        <w:rPr>
          <w:rFonts w:ascii="Arial" w:eastAsia="Calibri" w:hAnsi="Arial" w:cs="Arial"/>
          <w:b/>
          <w:sz w:val="22"/>
          <w:szCs w:val="22"/>
        </w:rPr>
      </w:pPr>
      <w:r w:rsidRPr="007F1C29">
        <w:rPr>
          <w:rFonts w:ascii="Arial" w:hAnsi="Arial" w:cs="Arial"/>
          <w:sz w:val="22"/>
          <w:szCs w:val="22"/>
        </w:rPr>
        <w:tab/>
      </w:r>
      <w:r w:rsidRPr="007F1C29">
        <w:rPr>
          <w:rFonts w:ascii="Arial" w:hAnsi="Arial" w:cs="Arial"/>
          <w:sz w:val="22"/>
          <w:szCs w:val="22"/>
        </w:rPr>
        <w:tab/>
      </w:r>
      <w:r w:rsidR="006D3558" w:rsidRPr="007F1C29">
        <w:rPr>
          <w:rFonts w:ascii="Arial" w:hAnsi="Arial" w:cs="Arial"/>
          <w:sz w:val="22"/>
          <w:szCs w:val="22"/>
        </w:rPr>
        <w:t>Al respecto, la Agencia Nacional de Contratación Pública ― Colombia Compra Eficiente, es el concepto</w:t>
      </w:r>
      <w:r w:rsidR="006D3558" w:rsidRPr="007F1C29">
        <w:rPr>
          <w:rFonts w:ascii="Arial" w:hAnsi="Arial" w:cs="Arial"/>
          <w:spacing w:val="1"/>
          <w:sz w:val="22"/>
          <w:szCs w:val="22"/>
        </w:rPr>
        <w:t xml:space="preserve"> </w:t>
      </w:r>
      <w:r w:rsidR="006D3558" w:rsidRPr="007F1C29">
        <w:rPr>
          <w:rFonts w:ascii="Arial" w:hAnsi="Arial" w:cs="Arial"/>
          <w:sz w:val="22"/>
          <w:szCs w:val="22"/>
        </w:rPr>
        <w:t>C-107 de 2020,</w:t>
      </w:r>
      <w:r w:rsidR="006D3558" w:rsidRPr="007F1C29">
        <w:rPr>
          <w:rFonts w:ascii="Arial" w:eastAsia="Calibri" w:hAnsi="Arial" w:cs="Arial"/>
          <w:sz w:val="22"/>
          <w:szCs w:val="22"/>
        </w:rPr>
        <w:t xml:space="preserve"> C – 295 del 30 de abril de 2020,</w:t>
      </w:r>
      <w:r w:rsidR="006D3558" w:rsidRPr="007F1C29">
        <w:rPr>
          <w:rFonts w:ascii="Arial" w:hAnsi="Arial" w:cs="Arial"/>
          <w:sz w:val="22"/>
          <w:szCs w:val="22"/>
        </w:rPr>
        <w:t xml:space="preserve"> C-557 del 21 de agosto de 2020, C-562 del 25 de octubre de 2021, estudió la modalidad de selección de mínima cuantía su regulación y las</w:t>
      </w:r>
      <w:r w:rsidR="006D3558" w:rsidRPr="007F1C29">
        <w:rPr>
          <w:rFonts w:ascii="Arial" w:hAnsi="Arial" w:cs="Arial"/>
          <w:spacing w:val="1"/>
          <w:sz w:val="22"/>
          <w:szCs w:val="22"/>
        </w:rPr>
        <w:t xml:space="preserve"> </w:t>
      </w:r>
      <w:r w:rsidR="006D3558" w:rsidRPr="007F1C29">
        <w:rPr>
          <w:rFonts w:ascii="Arial" w:hAnsi="Arial" w:cs="Arial"/>
          <w:sz w:val="22"/>
          <w:szCs w:val="22"/>
        </w:rPr>
        <w:t>características</w:t>
      </w:r>
      <w:r w:rsidR="006D3558" w:rsidRPr="007F1C29">
        <w:rPr>
          <w:rFonts w:ascii="Arial" w:hAnsi="Arial" w:cs="Arial"/>
          <w:spacing w:val="1"/>
          <w:sz w:val="22"/>
          <w:szCs w:val="22"/>
        </w:rPr>
        <w:t xml:space="preserve"> </w:t>
      </w:r>
      <w:r w:rsidR="006D3558" w:rsidRPr="007F1C29">
        <w:rPr>
          <w:rFonts w:ascii="Arial" w:hAnsi="Arial" w:cs="Arial"/>
          <w:sz w:val="22"/>
          <w:szCs w:val="22"/>
        </w:rPr>
        <w:t>del</w:t>
      </w:r>
      <w:r w:rsidR="006D3558" w:rsidRPr="007F1C29">
        <w:rPr>
          <w:rFonts w:ascii="Arial" w:hAnsi="Arial" w:cs="Arial"/>
          <w:spacing w:val="1"/>
          <w:sz w:val="22"/>
          <w:szCs w:val="22"/>
        </w:rPr>
        <w:t xml:space="preserve"> </w:t>
      </w:r>
      <w:r w:rsidR="006D3558" w:rsidRPr="007F1C29">
        <w:rPr>
          <w:rFonts w:ascii="Arial" w:hAnsi="Arial" w:cs="Arial"/>
          <w:sz w:val="22"/>
          <w:szCs w:val="22"/>
        </w:rPr>
        <w:t>procedimiento; así mismo, a través de los conceptos</w:t>
      </w:r>
      <w:r w:rsidR="00B00629" w:rsidRPr="007F1C29">
        <w:rPr>
          <w:rFonts w:ascii="Arial" w:hAnsi="Arial" w:cs="Arial"/>
          <w:sz w:val="22"/>
          <w:szCs w:val="22"/>
        </w:rPr>
        <w:t xml:space="preserve"> 4201912000008232 del 26 de diciembre de 2019,</w:t>
      </w:r>
      <w:r w:rsidR="0024451A" w:rsidRPr="007F1C29">
        <w:rPr>
          <w:rFonts w:ascii="Arial" w:hAnsi="Arial" w:cs="Arial"/>
          <w:sz w:val="22"/>
          <w:szCs w:val="22"/>
        </w:rPr>
        <w:t xml:space="preserve"> C-124 del 4 de mayo de 2021,</w:t>
      </w:r>
      <w:r w:rsidR="00987B16" w:rsidRPr="007F1C29">
        <w:rPr>
          <w:rFonts w:ascii="Arial" w:hAnsi="Arial" w:cs="Arial"/>
          <w:sz w:val="22"/>
          <w:szCs w:val="22"/>
        </w:rPr>
        <w:t xml:space="preserve"> C-682 de</w:t>
      </w:r>
      <w:r w:rsidR="00997707" w:rsidRPr="007F1C29">
        <w:rPr>
          <w:rFonts w:ascii="Arial" w:hAnsi="Arial" w:cs="Arial"/>
          <w:sz w:val="22"/>
          <w:szCs w:val="22"/>
        </w:rPr>
        <w:t>l 21 de enero de 2021,</w:t>
      </w:r>
      <w:r w:rsidR="00987B16" w:rsidRPr="007F1C29">
        <w:rPr>
          <w:rFonts w:ascii="Arial" w:hAnsi="Arial" w:cs="Arial"/>
          <w:sz w:val="22"/>
          <w:szCs w:val="22"/>
        </w:rPr>
        <w:t xml:space="preserve"> C-519 de</w:t>
      </w:r>
      <w:r w:rsidR="00BC4783" w:rsidRPr="007F1C29">
        <w:rPr>
          <w:rFonts w:ascii="Arial" w:hAnsi="Arial" w:cs="Arial"/>
          <w:sz w:val="22"/>
          <w:szCs w:val="22"/>
        </w:rPr>
        <w:t>l 23 de septiembre de 2021,</w:t>
      </w:r>
      <w:r w:rsidR="00987B16" w:rsidRPr="007F1C29">
        <w:rPr>
          <w:rFonts w:ascii="Arial" w:hAnsi="Arial" w:cs="Arial"/>
          <w:sz w:val="22"/>
          <w:szCs w:val="22"/>
        </w:rPr>
        <w:t xml:space="preserve"> C-294 de</w:t>
      </w:r>
      <w:r w:rsidR="00BC4783" w:rsidRPr="007F1C29">
        <w:rPr>
          <w:rFonts w:ascii="Arial" w:hAnsi="Arial" w:cs="Arial"/>
          <w:sz w:val="22"/>
          <w:szCs w:val="22"/>
        </w:rPr>
        <w:t xml:space="preserve">l </w:t>
      </w:r>
      <w:r w:rsidR="00997707" w:rsidRPr="007F1C29">
        <w:rPr>
          <w:rFonts w:ascii="Arial" w:hAnsi="Arial" w:cs="Arial"/>
          <w:sz w:val="22"/>
          <w:szCs w:val="22"/>
        </w:rPr>
        <w:t>10</w:t>
      </w:r>
      <w:r w:rsidR="00BC4783" w:rsidRPr="007F1C29">
        <w:rPr>
          <w:rFonts w:ascii="Arial" w:hAnsi="Arial" w:cs="Arial"/>
          <w:sz w:val="22"/>
          <w:szCs w:val="22"/>
        </w:rPr>
        <w:t xml:space="preserve"> de </w:t>
      </w:r>
      <w:r w:rsidR="00997707" w:rsidRPr="007F1C29">
        <w:rPr>
          <w:rFonts w:ascii="Arial" w:hAnsi="Arial" w:cs="Arial"/>
          <w:sz w:val="22"/>
          <w:szCs w:val="22"/>
        </w:rPr>
        <w:t xml:space="preserve">septiembre </w:t>
      </w:r>
      <w:r w:rsidR="00BC4783" w:rsidRPr="007F1C29">
        <w:rPr>
          <w:rFonts w:ascii="Arial" w:hAnsi="Arial" w:cs="Arial"/>
          <w:sz w:val="22"/>
          <w:szCs w:val="22"/>
        </w:rPr>
        <w:t>de 2021</w:t>
      </w:r>
      <w:r w:rsidR="00997707" w:rsidRPr="007F1C29">
        <w:rPr>
          <w:rFonts w:ascii="Arial" w:hAnsi="Arial" w:cs="Arial"/>
          <w:sz w:val="22"/>
          <w:szCs w:val="22"/>
        </w:rPr>
        <w:t>, analizó la obligatoriedad de las guías y manuales expedidos por la Agencia.</w:t>
      </w:r>
      <w:r w:rsidR="006D3558" w:rsidRPr="007F1C29">
        <w:rPr>
          <w:rFonts w:ascii="Arial" w:hAnsi="Arial" w:cs="Arial"/>
          <w:sz w:val="22"/>
          <w:szCs w:val="22"/>
        </w:rPr>
        <w:t xml:space="preserve"> Las</w:t>
      </w:r>
      <w:r w:rsidR="006D3558" w:rsidRPr="007F1C29">
        <w:rPr>
          <w:rFonts w:ascii="Arial" w:eastAsia="Calibri" w:hAnsi="Arial" w:cs="Arial"/>
          <w:sz w:val="22"/>
          <w:szCs w:val="22"/>
        </w:rPr>
        <w:t xml:space="preserve"> tesis desarrolladas se exponen a continuación y se complementan en los pertinente.</w:t>
      </w:r>
    </w:p>
    <w:p w14:paraId="232FF403" w14:textId="7AADC701" w:rsidR="006D3558" w:rsidRPr="007F1C29" w:rsidRDefault="006D3558" w:rsidP="006D3558">
      <w:pPr>
        <w:pStyle w:val="Ttulo1"/>
        <w:numPr>
          <w:ilvl w:val="1"/>
          <w:numId w:val="26"/>
        </w:numPr>
        <w:tabs>
          <w:tab w:val="left" w:pos="607"/>
        </w:tabs>
        <w:spacing w:before="240" w:after="240" w:line="276" w:lineRule="auto"/>
        <w:ind w:left="0" w:right="176" w:firstLine="0"/>
        <w:jc w:val="both"/>
      </w:pPr>
      <w:r w:rsidRPr="007F1C29">
        <w:t>Modalidad</w:t>
      </w:r>
      <w:r w:rsidRPr="007F1C29">
        <w:rPr>
          <w:spacing w:val="12"/>
        </w:rPr>
        <w:t xml:space="preserve"> </w:t>
      </w:r>
      <w:r w:rsidRPr="007F1C29">
        <w:t>de</w:t>
      </w:r>
      <w:r w:rsidRPr="007F1C29">
        <w:rPr>
          <w:spacing w:val="12"/>
        </w:rPr>
        <w:t xml:space="preserve"> </w:t>
      </w:r>
      <w:r w:rsidRPr="007F1C29">
        <w:t>selección</w:t>
      </w:r>
      <w:r w:rsidRPr="007F1C29">
        <w:rPr>
          <w:spacing w:val="13"/>
        </w:rPr>
        <w:t xml:space="preserve"> </w:t>
      </w:r>
      <w:r w:rsidRPr="007F1C29">
        <w:t>de</w:t>
      </w:r>
      <w:r w:rsidRPr="007F1C29">
        <w:rPr>
          <w:spacing w:val="12"/>
        </w:rPr>
        <w:t xml:space="preserve"> </w:t>
      </w:r>
      <w:r w:rsidRPr="007F1C29">
        <w:t>mínima</w:t>
      </w:r>
      <w:r w:rsidRPr="007F1C29">
        <w:rPr>
          <w:spacing w:val="12"/>
        </w:rPr>
        <w:t xml:space="preserve"> </w:t>
      </w:r>
      <w:r w:rsidRPr="007F1C29">
        <w:t>cuantía.</w:t>
      </w:r>
      <w:r w:rsidRPr="007F1C29">
        <w:rPr>
          <w:spacing w:val="13"/>
        </w:rPr>
        <w:t xml:space="preserve"> </w:t>
      </w:r>
      <w:r w:rsidR="0062032D" w:rsidRPr="007F1C29">
        <w:t>Artículo 30 de la Ley 2069 de 2020 y el Decreto 1860 de 2021</w:t>
      </w:r>
    </w:p>
    <w:p w14:paraId="01B0D476" w14:textId="36D5D9D4" w:rsidR="006D3558" w:rsidRPr="007F1C29" w:rsidRDefault="006D3558" w:rsidP="006D3558">
      <w:pPr>
        <w:spacing w:after="120" w:line="276" w:lineRule="auto"/>
        <w:ind w:right="64"/>
        <w:jc w:val="both"/>
        <w:rPr>
          <w:rFonts w:ascii="Arial" w:eastAsia="Calibri" w:hAnsi="Arial" w:cs="Arial"/>
          <w:sz w:val="22"/>
        </w:rPr>
      </w:pPr>
      <w:r w:rsidRPr="007F1C29">
        <w:rPr>
          <w:rFonts w:ascii="Arial" w:eastAsia="Calibri" w:hAnsi="Arial" w:cs="Arial"/>
          <w:sz w:val="22"/>
        </w:rPr>
        <w:t xml:space="preserve">La contratación pública comprende, entre otros aspectos, las decisiones de gasto que las entidades realizan para ejecutar los recursos públicos en la adquisición de bienes, obras o servicios. En este sentido, teniendo en cuenta que mediante los procedimientos contractuales las entidades satisfacen el interés general, las normas de contratación </w:t>
      </w:r>
      <w:proofErr w:type="gramStart"/>
      <w:r w:rsidRPr="007F1C29">
        <w:rPr>
          <w:rFonts w:ascii="Arial" w:eastAsia="Calibri" w:hAnsi="Arial" w:cs="Arial"/>
          <w:sz w:val="22"/>
        </w:rPr>
        <w:t>pública  ̶</w:t>
      </w:r>
      <w:proofErr w:type="gramEnd"/>
      <w:r w:rsidRPr="007F1C29">
        <w:rPr>
          <w:rFonts w:ascii="Arial" w:eastAsia="Calibri" w:hAnsi="Arial" w:cs="Arial"/>
          <w:sz w:val="22"/>
        </w:rPr>
        <w:t xml:space="preserve"> Ley 80 de 1993, Ley 1150 de 2007, y Decreto 1082 de 2015 ̶  disponen los principios y etapas que rigen los contratos de la Administración. Específicamente, el Estatuto General de Contratación de la Administración </w:t>
      </w:r>
      <w:proofErr w:type="gramStart"/>
      <w:r w:rsidRPr="007F1C29">
        <w:rPr>
          <w:rFonts w:ascii="Arial" w:eastAsia="Calibri" w:hAnsi="Arial" w:cs="Arial"/>
          <w:sz w:val="22"/>
        </w:rPr>
        <w:t>Pública  ̶</w:t>
      </w:r>
      <w:proofErr w:type="gramEnd"/>
      <w:r w:rsidRPr="007F1C29">
        <w:rPr>
          <w:rFonts w:ascii="Arial" w:eastAsia="Calibri" w:hAnsi="Arial" w:cs="Arial"/>
          <w:sz w:val="22"/>
        </w:rPr>
        <w:t xml:space="preserve"> Ley 80 de 1993 ̶  se aplica en las entidades estatales relacionadas en su artículo 2, con lo cual se determina quiénes deben cumplir con los principios y las obligaciones señalados en las normas citadas</w:t>
      </w:r>
      <w:r w:rsidRPr="007F1C29">
        <w:rPr>
          <w:rStyle w:val="Refdenotaalpie"/>
          <w:rFonts w:ascii="Arial" w:eastAsia="Calibri" w:hAnsi="Arial" w:cs="Arial"/>
          <w:sz w:val="22"/>
        </w:rPr>
        <w:footnoteReference w:id="2"/>
      </w:r>
      <w:r w:rsidRPr="007F1C29">
        <w:rPr>
          <w:rFonts w:ascii="Arial" w:eastAsia="Calibri" w:hAnsi="Arial" w:cs="Arial"/>
          <w:sz w:val="22"/>
        </w:rPr>
        <w:t>.</w:t>
      </w:r>
    </w:p>
    <w:p w14:paraId="116DB57A" w14:textId="77777777" w:rsidR="00E22EB9" w:rsidRPr="007F1C29" w:rsidRDefault="00E22EB9" w:rsidP="00E22EB9">
      <w:pPr>
        <w:spacing w:after="120" w:line="276" w:lineRule="auto"/>
        <w:jc w:val="both"/>
        <w:rPr>
          <w:rFonts w:ascii="Arial" w:eastAsia="Calibri" w:hAnsi="Arial" w:cs="Arial"/>
          <w:sz w:val="22"/>
          <w:szCs w:val="22"/>
          <w:lang w:val="es-ES_tradnl" w:eastAsia="en-US"/>
        </w:rPr>
      </w:pPr>
      <w:r w:rsidRPr="007F1C29">
        <w:rPr>
          <w:rFonts w:ascii="Arial" w:eastAsia="Calibri" w:hAnsi="Arial" w:cs="Arial"/>
          <w:sz w:val="22"/>
        </w:rPr>
        <w:lastRenderedPageBreak/>
        <w:tab/>
      </w:r>
      <w:bookmarkStart w:id="3" w:name="_Hlk100313785"/>
      <w:r w:rsidRPr="007F1C29">
        <w:rPr>
          <w:rFonts w:ascii="Arial" w:eastAsia="Calibri" w:hAnsi="Arial" w:cs="Arial"/>
          <w:sz w:val="22"/>
          <w:szCs w:val="22"/>
          <w:lang w:val="es-ES_tradnl" w:eastAsia="en-US"/>
        </w:rPr>
        <w:t>La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w:t>
      </w:r>
      <w:r w:rsidRPr="007F1C29">
        <w:rPr>
          <w:rFonts w:ascii="Arial" w:eastAsia="Calibri" w:hAnsi="Arial" w:cs="Arial"/>
          <w:sz w:val="22"/>
          <w:szCs w:val="22"/>
          <w:vertAlign w:val="superscript"/>
          <w:lang w:val="es-ES_tradnl" w:eastAsia="en-US"/>
        </w:rPr>
        <w:footnoteReference w:id="3"/>
      </w:r>
      <w:r w:rsidRPr="007F1C29">
        <w:rPr>
          <w:rFonts w:ascii="Arial" w:eastAsia="Calibri" w:hAnsi="Arial" w:cs="Arial"/>
          <w:sz w:val="22"/>
          <w:szCs w:val="22"/>
          <w:lang w:val="es-ES_tradnl" w:eastAsia="en-US"/>
        </w:rPr>
        <w:t xml:space="preserve"> –que adicionó el numeral 5º al artículo 2 de la Ley 1150 de 2007–, estableciendo que el factor determinante para llevar a cabo tal procedimiento es la cuantía –calculada como presupuesto oficial a partir del estudio del sector–, «independientemente de su objeto»</w:t>
      </w:r>
      <w:r w:rsidRPr="007F1C29">
        <w:rPr>
          <w:rFonts w:ascii="Arial" w:eastAsia="Calibri" w:hAnsi="Arial" w:cs="Arial"/>
          <w:sz w:val="22"/>
          <w:szCs w:val="22"/>
          <w:vertAlign w:val="superscript"/>
          <w:lang w:val="es-ES_tradnl" w:eastAsia="en-US"/>
        </w:rPr>
        <w:footnoteReference w:id="4"/>
      </w:r>
      <w:r w:rsidRPr="007F1C29">
        <w:rPr>
          <w:rFonts w:ascii="Arial" w:eastAsia="Calibri" w:hAnsi="Arial" w:cs="Arial"/>
          <w:sz w:val="22"/>
          <w:szCs w:val="22"/>
          <w:lang w:val="es-ES_tradnl" w:eastAsia="en-US"/>
        </w:rPr>
        <w:t xml:space="preserve">. </w:t>
      </w:r>
    </w:p>
    <w:bookmarkEnd w:id="3"/>
    <w:p w14:paraId="38D7D107" w14:textId="77777777" w:rsidR="00E22EB9" w:rsidRPr="007F1C29" w:rsidRDefault="00E22EB9" w:rsidP="00E22EB9">
      <w:pPr>
        <w:spacing w:after="120" w:line="276" w:lineRule="auto"/>
        <w:ind w:firstLine="709"/>
        <w:jc w:val="both"/>
        <w:rPr>
          <w:rFonts w:ascii="Arial" w:eastAsia="Calibri" w:hAnsi="Arial" w:cs="Arial"/>
          <w:sz w:val="22"/>
          <w:szCs w:val="22"/>
          <w:lang w:val="es-ES_tradnl" w:eastAsia="en-US"/>
        </w:rPr>
      </w:pPr>
      <w:r w:rsidRPr="007F1C29">
        <w:rPr>
          <w:rFonts w:ascii="Arial" w:eastAsia="Calibri" w:hAnsi="Arial" w:cs="Arial"/>
          <w:sz w:val="22"/>
          <w:szCs w:val="22"/>
          <w:lang w:val="es-ES_tradnl" w:eastAsia="en-US"/>
        </w:rPr>
        <w:t>Dicho de otro modo, la mínima cuantía es un procedimiento de selección excepcional</w:t>
      </w:r>
      <w:r w:rsidRPr="007F1C29">
        <w:rPr>
          <w:rFonts w:ascii="Arial" w:eastAsia="Calibri" w:hAnsi="Arial" w:cs="Arial"/>
          <w:sz w:val="22"/>
          <w:szCs w:val="22"/>
          <w:vertAlign w:val="superscript"/>
          <w:lang w:val="es-ES_tradnl" w:eastAsia="en-US"/>
        </w:rPr>
        <w:footnoteReference w:id="5"/>
      </w:r>
      <w:r w:rsidRPr="007F1C29">
        <w:rPr>
          <w:rFonts w:ascii="Arial" w:eastAsia="Calibri" w:hAnsi="Arial" w:cs="Arial"/>
          <w:sz w:val="22"/>
          <w:szCs w:val="22"/>
          <w:lang w:val="es-ES_tradnl" w:eastAsia="en-US"/>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7F1C29">
        <w:rPr>
          <w:rFonts w:ascii="Arial" w:eastAsia="Calibri" w:hAnsi="Arial" w:cs="Arial"/>
          <w:sz w:val="22"/>
          <w:szCs w:val="22"/>
          <w:vertAlign w:val="superscript"/>
          <w:lang w:val="es-ES_tradnl" w:eastAsia="en-US"/>
        </w:rPr>
        <w:footnoteReference w:id="6"/>
      </w:r>
      <w:r w:rsidRPr="007F1C29">
        <w:rPr>
          <w:rFonts w:ascii="Arial" w:eastAsia="Calibri" w:hAnsi="Arial" w:cs="Arial"/>
          <w:sz w:val="22"/>
          <w:szCs w:val="22"/>
          <w:lang w:val="es-ES_tradnl" w:eastAsia="en-US"/>
        </w:rPr>
        <w:t xml:space="preserve">, y lo segundo, porque sus requisitos, etapas y términos </w:t>
      </w:r>
      <w:r w:rsidRPr="007F1C29">
        <w:rPr>
          <w:rFonts w:ascii="Arial" w:eastAsia="Calibri" w:hAnsi="Arial" w:cs="Arial"/>
          <w:sz w:val="22"/>
          <w:szCs w:val="22"/>
          <w:lang w:val="es-ES_tradnl" w:eastAsia="en-US"/>
        </w:rPr>
        <w:lastRenderedPageBreak/>
        <w:t>son peculiares. Cabe precisar que la disposición indicada en el párrafo anterior fue modificada por el artículo 42 de la Ley 1955 de 2019; sin embargo, la norma vigente que fundamenta la modalidad de mínima cuantía actualmente es el artículo 30 de la Ley 2069 de 2020, como se procederá a explicar.</w:t>
      </w:r>
    </w:p>
    <w:p w14:paraId="4A7ACCDD" w14:textId="608D93F8" w:rsidR="00E22EB9" w:rsidRPr="007F1C29" w:rsidRDefault="00E22EB9" w:rsidP="00E22EB9">
      <w:pPr>
        <w:widowControl w:val="0"/>
        <w:autoSpaceDE w:val="0"/>
        <w:autoSpaceDN w:val="0"/>
        <w:spacing w:before="120" w:after="120" w:line="276" w:lineRule="auto"/>
        <w:ind w:firstLine="709"/>
        <w:jc w:val="both"/>
        <w:rPr>
          <w:rFonts w:ascii="Arial" w:eastAsia="Calibri" w:hAnsi="Arial" w:cs="Arial"/>
          <w:sz w:val="22"/>
          <w:szCs w:val="22"/>
          <w:lang w:val="es-ES_tradnl" w:eastAsia="en-US"/>
        </w:rPr>
      </w:pPr>
      <w:r w:rsidRPr="007F1C29">
        <w:rPr>
          <w:rFonts w:ascii="Arial" w:eastAsia="Calibri" w:hAnsi="Arial" w:cs="Arial"/>
          <w:sz w:val="22"/>
          <w:szCs w:val="22"/>
          <w:lang w:val="es-ES_tradnl" w:eastAsia="en-US"/>
        </w:rPr>
        <w:t xml:space="preserve">En este sentido, el artículo 30 de la Ley 2069 de 2020, </w:t>
      </w:r>
      <w:r w:rsidRPr="007F1C29">
        <w:rPr>
          <w:rFonts w:ascii="Arial MT" w:eastAsia="Arial MT" w:hAnsi="Arial MT" w:cs="Arial MT"/>
          <w:sz w:val="22"/>
          <w:szCs w:val="22"/>
          <w:lang w:val="es-ES" w:eastAsia="en-US"/>
        </w:rPr>
        <w:t>«Por</w:t>
      </w:r>
      <w:r w:rsidRPr="007F1C29">
        <w:rPr>
          <w:rFonts w:ascii="Arial MT" w:eastAsia="Arial MT" w:hAnsi="Arial MT" w:cs="Arial MT"/>
          <w:spacing w:val="-3"/>
          <w:sz w:val="22"/>
          <w:szCs w:val="22"/>
          <w:lang w:val="es-ES" w:eastAsia="en-US"/>
        </w:rPr>
        <w:t xml:space="preserve"> </w:t>
      </w:r>
      <w:r w:rsidRPr="007F1C29">
        <w:rPr>
          <w:rFonts w:ascii="Arial MT" w:eastAsia="Arial MT" w:hAnsi="Arial MT" w:cs="Arial MT"/>
          <w:sz w:val="22"/>
          <w:szCs w:val="22"/>
          <w:lang w:val="es-ES" w:eastAsia="en-US"/>
        </w:rPr>
        <w:t>medio</w:t>
      </w:r>
      <w:r w:rsidRPr="007F1C29">
        <w:rPr>
          <w:rFonts w:ascii="Arial MT" w:eastAsia="Arial MT" w:hAnsi="Arial MT" w:cs="Arial MT"/>
          <w:spacing w:val="-3"/>
          <w:sz w:val="22"/>
          <w:szCs w:val="22"/>
          <w:lang w:val="es-ES" w:eastAsia="en-US"/>
        </w:rPr>
        <w:t xml:space="preserve"> </w:t>
      </w:r>
      <w:r w:rsidRPr="007F1C29">
        <w:rPr>
          <w:rFonts w:ascii="Arial MT" w:eastAsia="Arial MT" w:hAnsi="Arial MT" w:cs="Arial MT"/>
          <w:sz w:val="22"/>
          <w:szCs w:val="22"/>
          <w:lang w:val="es-ES" w:eastAsia="en-US"/>
        </w:rPr>
        <w:t>de</w:t>
      </w:r>
      <w:r w:rsidRPr="007F1C29">
        <w:rPr>
          <w:rFonts w:ascii="Arial MT" w:eastAsia="Arial MT" w:hAnsi="Arial MT" w:cs="Arial MT"/>
          <w:spacing w:val="-4"/>
          <w:sz w:val="22"/>
          <w:szCs w:val="22"/>
          <w:lang w:val="es-ES" w:eastAsia="en-US"/>
        </w:rPr>
        <w:t xml:space="preserve"> </w:t>
      </w:r>
      <w:r w:rsidRPr="007F1C29">
        <w:rPr>
          <w:rFonts w:ascii="Arial MT" w:eastAsia="Arial MT" w:hAnsi="Arial MT" w:cs="Arial MT"/>
          <w:sz w:val="22"/>
          <w:szCs w:val="22"/>
          <w:lang w:val="es-ES" w:eastAsia="en-US"/>
        </w:rPr>
        <w:t>la</w:t>
      </w:r>
      <w:r w:rsidRPr="007F1C29">
        <w:rPr>
          <w:rFonts w:ascii="Arial MT" w:eastAsia="Arial MT" w:hAnsi="Arial MT" w:cs="Arial MT"/>
          <w:spacing w:val="-3"/>
          <w:sz w:val="22"/>
          <w:szCs w:val="22"/>
          <w:lang w:val="es-ES" w:eastAsia="en-US"/>
        </w:rPr>
        <w:t xml:space="preserve"> </w:t>
      </w:r>
      <w:r w:rsidRPr="007F1C29">
        <w:rPr>
          <w:rFonts w:ascii="Arial MT" w:eastAsia="Arial MT" w:hAnsi="Arial MT" w:cs="Arial MT"/>
          <w:sz w:val="22"/>
          <w:szCs w:val="22"/>
          <w:lang w:val="es-ES" w:eastAsia="en-US"/>
        </w:rPr>
        <w:t>cual</w:t>
      </w:r>
      <w:r w:rsidRPr="007F1C29">
        <w:rPr>
          <w:rFonts w:ascii="Arial MT" w:eastAsia="Arial MT" w:hAnsi="Arial MT" w:cs="Arial MT"/>
          <w:spacing w:val="-3"/>
          <w:sz w:val="22"/>
          <w:szCs w:val="22"/>
          <w:lang w:val="es-ES" w:eastAsia="en-US"/>
        </w:rPr>
        <w:t xml:space="preserve"> </w:t>
      </w:r>
      <w:r w:rsidRPr="007F1C29">
        <w:rPr>
          <w:rFonts w:ascii="Arial MT" w:eastAsia="Arial MT" w:hAnsi="Arial MT" w:cs="Arial MT"/>
          <w:sz w:val="22"/>
          <w:szCs w:val="22"/>
          <w:lang w:val="es-ES" w:eastAsia="en-US"/>
        </w:rPr>
        <w:t>se</w:t>
      </w:r>
      <w:r w:rsidRPr="007F1C29">
        <w:rPr>
          <w:rFonts w:ascii="Arial MT" w:eastAsia="Arial MT" w:hAnsi="Arial MT" w:cs="Arial MT"/>
          <w:spacing w:val="-3"/>
          <w:sz w:val="22"/>
          <w:szCs w:val="22"/>
          <w:lang w:val="es-ES" w:eastAsia="en-US"/>
        </w:rPr>
        <w:t xml:space="preserve"> </w:t>
      </w:r>
      <w:r w:rsidRPr="007F1C29">
        <w:rPr>
          <w:rFonts w:ascii="Arial MT" w:eastAsia="Arial MT" w:hAnsi="Arial MT" w:cs="Arial MT"/>
          <w:sz w:val="22"/>
          <w:szCs w:val="22"/>
          <w:lang w:val="es-ES" w:eastAsia="en-US"/>
        </w:rPr>
        <w:t>impulsa</w:t>
      </w:r>
      <w:r w:rsidRPr="007F1C29">
        <w:rPr>
          <w:rFonts w:ascii="Arial MT" w:eastAsia="Arial MT" w:hAnsi="Arial MT" w:cs="Arial MT"/>
          <w:spacing w:val="-59"/>
          <w:sz w:val="22"/>
          <w:szCs w:val="22"/>
          <w:lang w:val="es-ES" w:eastAsia="en-US"/>
        </w:rPr>
        <w:t xml:space="preserve"> </w:t>
      </w:r>
      <w:r w:rsidRPr="007F1C29">
        <w:rPr>
          <w:rFonts w:ascii="Arial MT" w:eastAsia="Arial MT" w:hAnsi="Arial MT" w:cs="Arial MT"/>
          <w:sz w:val="22"/>
          <w:szCs w:val="22"/>
          <w:lang w:val="es-ES" w:eastAsia="en-US"/>
        </w:rPr>
        <w:t>el emprendimiento en Colombia»,</w:t>
      </w:r>
      <w:r w:rsidRPr="007F1C29">
        <w:rPr>
          <w:rFonts w:ascii="Arial" w:eastAsia="Calibri" w:hAnsi="Arial" w:cs="Arial"/>
          <w:sz w:val="22"/>
          <w:szCs w:val="22"/>
          <w:lang w:val="es-ES_tradnl" w:eastAsia="en-US"/>
        </w:rPr>
        <w:t xml:space="preserve"> modificó el numeral 5 del artículo 2 de la Ley 1150 de 2007. En esencia, esta disposición conserva a grandes rasgos el procedimiento previsto en el derogado artículo 94 de la Ley 1474 de 2011, definiendo aspectos tales como</w:t>
      </w:r>
      <w:r w:rsidRPr="007F1C29">
        <w:rPr>
          <w:rFonts w:ascii="Arial MT" w:eastAsia="Arial MT" w:hAnsi="Arial MT" w:cs="Arial MT"/>
          <w:sz w:val="22"/>
          <w:szCs w:val="22"/>
          <w:lang w:val="es-ES" w:eastAsia="en-US"/>
        </w:rPr>
        <w:t>: i) el término mínimo para publicar la</w:t>
      </w:r>
      <w:r w:rsidRPr="007F1C29">
        <w:rPr>
          <w:rFonts w:ascii="Arial MT" w:eastAsia="Arial MT" w:hAnsi="Arial MT" w:cs="Arial MT"/>
          <w:spacing w:val="1"/>
          <w:sz w:val="22"/>
          <w:szCs w:val="22"/>
          <w:lang w:val="es-ES" w:eastAsia="en-US"/>
        </w:rPr>
        <w:t xml:space="preserve"> </w:t>
      </w:r>
      <w:r w:rsidRPr="007F1C29">
        <w:rPr>
          <w:rFonts w:ascii="Arial MT" w:eastAsia="Arial MT" w:hAnsi="Arial MT" w:cs="Arial MT"/>
          <w:sz w:val="22"/>
          <w:szCs w:val="22"/>
          <w:lang w:val="es-ES" w:eastAsia="en-US"/>
        </w:rPr>
        <w:t>invitación,</w:t>
      </w:r>
      <w:r w:rsidRPr="007F1C29">
        <w:rPr>
          <w:rFonts w:ascii="Arial MT" w:eastAsia="Arial MT" w:hAnsi="Arial MT" w:cs="Arial MT"/>
          <w:spacing w:val="-7"/>
          <w:sz w:val="22"/>
          <w:szCs w:val="22"/>
          <w:lang w:val="es-ES" w:eastAsia="en-US"/>
        </w:rPr>
        <w:t xml:space="preserve"> </w:t>
      </w:r>
      <w:proofErr w:type="spellStart"/>
      <w:r w:rsidRPr="007F1C29">
        <w:rPr>
          <w:rFonts w:ascii="Arial MT" w:eastAsia="Arial MT" w:hAnsi="Arial MT" w:cs="Arial MT"/>
          <w:sz w:val="22"/>
          <w:szCs w:val="22"/>
          <w:lang w:val="es-ES" w:eastAsia="en-US"/>
        </w:rPr>
        <w:t>ii</w:t>
      </w:r>
      <w:proofErr w:type="spellEnd"/>
      <w:r w:rsidRPr="007F1C29">
        <w:rPr>
          <w:rFonts w:ascii="Arial MT" w:eastAsia="Arial MT" w:hAnsi="Arial MT" w:cs="Arial MT"/>
          <w:sz w:val="22"/>
          <w:szCs w:val="22"/>
          <w:lang w:val="es-ES" w:eastAsia="en-US"/>
        </w:rPr>
        <w:t>)</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el</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plazo</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mínimo</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de</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recepción</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de</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las</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ofertas,</w:t>
      </w:r>
      <w:r w:rsidRPr="007F1C29">
        <w:rPr>
          <w:rFonts w:ascii="Arial MT" w:eastAsia="Arial MT" w:hAnsi="Arial MT" w:cs="Arial MT"/>
          <w:spacing w:val="-6"/>
          <w:sz w:val="22"/>
          <w:szCs w:val="22"/>
          <w:lang w:val="es-ES" w:eastAsia="en-US"/>
        </w:rPr>
        <w:t xml:space="preserve"> </w:t>
      </w:r>
      <w:proofErr w:type="spellStart"/>
      <w:r w:rsidRPr="007F1C29">
        <w:rPr>
          <w:rFonts w:ascii="Arial MT" w:eastAsia="Arial MT" w:hAnsi="Arial MT" w:cs="Arial MT"/>
          <w:sz w:val="22"/>
          <w:szCs w:val="22"/>
          <w:lang w:val="es-ES" w:eastAsia="en-US"/>
        </w:rPr>
        <w:t>iii</w:t>
      </w:r>
      <w:proofErr w:type="spellEnd"/>
      <w:r w:rsidRPr="007F1C29">
        <w:rPr>
          <w:rFonts w:ascii="Arial MT" w:eastAsia="Arial MT" w:hAnsi="Arial MT" w:cs="Arial MT"/>
          <w:sz w:val="22"/>
          <w:szCs w:val="22"/>
          <w:lang w:val="es-ES" w:eastAsia="en-US"/>
        </w:rPr>
        <w:t>)</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el</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factor</w:t>
      </w:r>
      <w:r w:rsidRPr="007F1C29">
        <w:rPr>
          <w:rFonts w:ascii="Arial MT" w:eastAsia="Arial MT" w:hAnsi="Arial MT" w:cs="Arial MT"/>
          <w:spacing w:val="-5"/>
          <w:sz w:val="22"/>
          <w:szCs w:val="22"/>
          <w:lang w:val="es-ES" w:eastAsia="en-US"/>
        </w:rPr>
        <w:t xml:space="preserve"> </w:t>
      </w:r>
      <w:r w:rsidRPr="007F1C29">
        <w:rPr>
          <w:rFonts w:ascii="Arial MT" w:eastAsia="Arial MT" w:hAnsi="Arial MT" w:cs="Arial MT"/>
          <w:sz w:val="22"/>
          <w:szCs w:val="22"/>
          <w:lang w:val="es-ES" w:eastAsia="en-US"/>
        </w:rPr>
        <w:t>de</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evaluación</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que define</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la</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selección</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del</w:t>
      </w:r>
      <w:r w:rsidRPr="007F1C29">
        <w:rPr>
          <w:rFonts w:ascii="Arial MT" w:eastAsia="Arial MT" w:hAnsi="Arial MT" w:cs="Arial MT"/>
          <w:spacing w:val="-5"/>
          <w:sz w:val="22"/>
          <w:szCs w:val="22"/>
          <w:lang w:val="es-ES" w:eastAsia="en-US"/>
        </w:rPr>
        <w:t xml:space="preserve"> </w:t>
      </w:r>
      <w:r w:rsidRPr="007F1C29">
        <w:rPr>
          <w:rFonts w:ascii="Arial MT" w:eastAsia="Arial MT" w:hAnsi="Arial MT" w:cs="Arial MT"/>
          <w:sz w:val="22"/>
          <w:szCs w:val="22"/>
          <w:lang w:val="es-ES" w:eastAsia="en-US"/>
        </w:rPr>
        <w:t>proponente</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y</w:t>
      </w:r>
      <w:r w:rsidRPr="007F1C29">
        <w:rPr>
          <w:rFonts w:ascii="Arial MT" w:eastAsia="Arial MT" w:hAnsi="Arial MT" w:cs="Arial MT"/>
          <w:spacing w:val="-6"/>
          <w:sz w:val="22"/>
          <w:szCs w:val="22"/>
          <w:lang w:val="es-ES" w:eastAsia="en-US"/>
        </w:rPr>
        <w:t xml:space="preserve"> </w:t>
      </w:r>
      <w:proofErr w:type="spellStart"/>
      <w:r w:rsidRPr="007F1C29">
        <w:rPr>
          <w:rFonts w:ascii="Arial MT" w:eastAsia="Arial MT" w:hAnsi="Arial MT" w:cs="Arial MT"/>
          <w:sz w:val="22"/>
          <w:szCs w:val="22"/>
          <w:lang w:val="es-ES" w:eastAsia="en-US"/>
        </w:rPr>
        <w:t>iv</w:t>
      </w:r>
      <w:proofErr w:type="spellEnd"/>
      <w:r w:rsidRPr="007F1C29">
        <w:rPr>
          <w:rFonts w:ascii="Arial MT" w:eastAsia="Arial MT" w:hAnsi="Arial MT" w:cs="Arial MT"/>
          <w:sz w:val="22"/>
          <w:szCs w:val="22"/>
          <w:lang w:val="es-ES" w:eastAsia="en-US"/>
        </w:rPr>
        <w:t>)</w:t>
      </w:r>
      <w:r w:rsidRPr="007F1C29">
        <w:rPr>
          <w:rFonts w:ascii="Arial MT" w:eastAsia="Arial MT" w:hAnsi="Arial MT" w:cs="Arial MT"/>
          <w:spacing w:val="-5"/>
          <w:sz w:val="22"/>
          <w:szCs w:val="22"/>
          <w:lang w:val="es-ES" w:eastAsia="en-US"/>
        </w:rPr>
        <w:t xml:space="preserve"> </w:t>
      </w:r>
      <w:r w:rsidRPr="007F1C29">
        <w:rPr>
          <w:rFonts w:ascii="Arial MT" w:eastAsia="Arial MT" w:hAnsi="Arial MT" w:cs="Arial MT"/>
          <w:sz w:val="22"/>
          <w:szCs w:val="22"/>
          <w:lang w:val="es-ES" w:eastAsia="en-US"/>
        </w:rPr>
        <w:t>el</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perfeccionamiento</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del</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contrato. De tal manera,</w:t>
      </w:r>
      <w:r w:rsidRPr="007F1C29">
        <w:rPr>
          <w:rFonts w:ascii="Arial MT" w:eastAsia="Arial MT" w:hAnsi="Arial MT" w:cs="Arial MT"/>
          <w:spacing w:val="-5"/>
          <w:sz w:val="22"/>
          <w:szCs w:val="22"/>
          <w:lang w:val="es-ES" w:eastAsia="en-US"/>
        </w:rPr>
        <w:t xml:space="preserve"> l</w:t>
      </w:r>
      <w:r w:rsidRPr="007F1C29">
        <w:rPr>
          <w:rFonts w:ascii="Arial MT" w:eastAsia="Arial MT" w:hAnsi="Arial MT" w:cs="Arial MT"/>
          <w:sz w:val="22"/>
          <w:szCs w:val="22"/>
          <w:lang w:val="es-ES" w:eastAsia="en-US"/>
        </w:rPr>
        <w:t>as</w:t>
      </w:r>
      <w:r w:rsidRPr="007F1C29">
        <w:rPr>
          <w:rFonts w:ascii="Arial MT" w:eastAsia="Arial MT" w:hAnsi="Arial MT" w:cs="Arial MT"/>
          <w:spacing w:val="-6"/>
          <w:sz w:val="22"/>
          <w:szCs w:val="22"/>
          <w:lang w:val="es-ES" w:eastAsia="en-US"/>
        </w:rPr>
        <w:t xml:space="preserve"> </w:t>
      </w:r>
      <w:r w:rsidRPr="007F1C29">
        <w:rPr>
          <w:rFonts w:ascii="Arial MT" w:eastAsia="Arial MT" w:hAnsi="Arial MT" w:cs="Arial MT"/>
          <w:sz w:val="22"/>
          <w:szCs w:val="22"/>
          <w:lang w:val="es-ES" w:eastAsia="en-US"/>
        </w:rPr>
        <w:t>entidades</w:t>
      </w:r>
      <w:r w:rsidRPr="007F1C29">
        <w:rPr>
          <w:rFonts w:ascii="Arial MT" w:eastAsia="Arial MT" w:hAnsi="Arial MT" w:cs="Arial MT"/>
          <w:spacing w:val="-59"/>
          <w:sz w:val="22"/>
          <w:szCs w:val="22"/>
          <w:lang w:val="es-ES" w:eastAsia="en-US"/>
        </w:rPr>
        <w:t xml:space="preserve"> </w:t>
      </w:r>
      <w:r w:rsidRPr="007F1C29">
        <w:rPr>
          <w:rFonts w:ascii="Arial MT" w:eastAsia="Arial MT" w:hAnsi="Arial MT" w:cs="Arial MT"/>
          <w:sz w:val="22"/>
          <w:szCs w:val="22"/>
          <w:lang w:val="es-ES" w:eastAsia="en-US"/>
        </w:rPr>
        <w:t>deben</w:t>
      </w:r>
      <w:r w:rsidRPr="007F1C29">
        <w:rPr>
          <w:rFonts w:ascii="Arial MT" w:eastAsia="Arial MT" w:hAnsi="Arial MT" w:cs="Arial MT"/>
          <w:spacing w:val="9"/>
          <w:sz w:val="22"/>
          <w:szCs w:val="22"/>
          <w:lang w:val="es-ES" w:eastAsia="en-US"/>
        </w:rPr>
        <w:t xml:space="preserve"> </w:t>
      </w:r>
      <w:r w:rsidRPr="007F1C29">
        <w:rPr>
          <w:rFonts w:ascii="Arial MT" w:eastAsia="Arial MT" w:hAnsi="Arial MT" w:cs="Arial MT"/>
          <w:sz w:val="22"/>
          <w:szCs w:val="22"/>
          <w:lang w:val="es-ES" w:eastAsia="en-US"/>
        </w:rPr>
        <w:t>estructurar</w:t>
      </w:r>
      <w:r w:rsidRPr="007F1C29">
        <w:rPr>
          <w:rFonts w:ascii="Arial MT" w:eastAsia="Arial MT" w:hAnsi="Arial MT" w:cs="Arial MT"/>
          <w:spacing w:val="9"/>
          <w:sz w:val="22"/>
          <w:szCs w:val="22"/>
          <w:lang w:val="es-ES" w:eastAsia="en-US"/>
        </w:rPr>
        <w:t xml:space="preserve"> </w:t>
      </w:r>
      <w:r w:rsidRPr="007F1C29">
        <w:rPr>
          <w:rFonts w:ascii="Arial MT" w:eastAsia="Arial MT" w:hAnsi="Arial MT" w:cs="Arial MT"/>
          <w:sz w:val="22"/>
          <w:szCs w:val="22"/>
          <w:lang w:val="es-ES" w:eastAsia="en-US"/>
        </w:rPr>
        <w:t>sus</w:t>
      </w:r>
      <w:r w:rsidRPr="007F1C29">
        <w:rPr>
          <w:rFonts w:ascii="Arial MT" w:eastAsia="Arial MT" w:hAnsi="Arial MT" w:cs="Arial MT"/>
          <w:spacing w:val="9"/>
          <w:sz w:val="22"/>
          <w:szCs w:val="22"/>
          <w:lang w:val="es-ES" w:eastAsia="en-US"/>
        </w:rPr>
        <w:t xml:space="preserve"> </w:t>
      </w:r>
      <w:r w:rsidRPr="007F1C29">
        <w:rPr>
          <w:rFonts w:ascii="Arial MT" w:eastAsia="Arial MT" w:hAnsi="Arial MT" w:cs="Arial MT"/>
          <w:sz w:val="22"/>
          <w:szCs w:val="22"/>
          <w:lang w:val="es-ES" w:eastAsia="en-US"/>
        </w:rPr>
        <w:t>procedimientos</w:t>
      </w:r>
      <w:r w:rsidRPr="007F1C29">
        <w:rPr>
          <w:rFonts w:ascii="Arial MT" w:eastAsia="Arial MT" w:hAnsi="Arial MT" w:cs="Arial MT"/>
          <w:spacing w:val="9"/>
          <w:sz w:val="22"/>
          <w:szCs w:val="22"/>
          <w:lang w:val="es-ES" w:eastAsia="en-US"/>
        </w:rPr>
        <w:t xml:space="preserve"> </w:t>
      </w:r>
      <w:r w:rsidRPr="007F1C29">
        <w:rPr>
          <w:rFonts w:ascii="Arial MT" w:eastAsia="Arial MT" w:hAnsi="Arial MT" w:cs="Arial MT"/>
          <w:sz w:val="22"/>
          <w:szCs w:val="22"/>
          <w:lang w:val="es-ES" w:eastAsia="en-US"/>
        </w:rPr>
        <w:t>de</w:t>
      </w:r>
      <w:r w:rsidRPr="007F1C29">
        <w:rPr>
          <w:rFonts w:ascii="Arial MT" w:eastAsia="Arial MT" w:hAnsi="Arial MT" w:cs="Arial MT"/>
          <w:spacing w:val="8"/>
          <w:sz w:val="22"/>
          <w:szCs w:val="22"/>
          <w:lang w:val="es-ES" w:eastAsia="en-US"/>
        </w:rPr>
        <w:t xml:space="preserve"> </w:t>
      </w:r>
      <w:r w:rsidRPr="007F1C29">
        <w:rPr>
          <w:rFonts w:ascii="Arial MT" w:eastAsia="Arial MT" w:hAnsi="Arial MT" w:cs="Arial MT"/>
          <w:sz w:val="22"/>
          <w:szCs w:val="22"/>
          <w:lang w:val="es-ES" w:eastAsia="en-US"/>
        </w:rPr>
        <w:t>selección</w:t>
      </w:r>
      <w:r w:rsidRPr="007F1C29">
        <w:rPr>
          <w:rFonts w:ascii="Arial MT" w:eastAsia="Arial MT" w:hAnsi="Arial MT" w:cs="Arial MT"/>
          <w:spacing w:val="9"/>
          <w:sz w:val="22"/>
          <w:szCs w:val="22"/>
          <w:lang w:val="es-ES" w:eastAsia="en-US"/>
        </w:rPr>
        <w:t xml:space="preserve"> </w:t>
      </w:r>
      <w:r w:rsidRPr="007F1C29">
        <w:rPr>
          <w:rFonts w:ascii="Arial MT" w:eastAsia="Arial MT" w:hAnsi="Arial MT" w:cs="Arial MT"/>
          <w:sz w:val="22"/>
          <w:szCs w:val="22"/>
          <w:lang w:val="es-ES" w:eastAsia="en-US"/>
        </w:rPr>
        <w:t>de</w:t>
      </w:r>
      <w:r w:rsidRPr="007F1C29">
        <w:rPr>
          <w:rFonts w:ascii="Arial MT" w:eastAsia="Arial MT" w:hAnsi="Arial MT" w:cs="Arial MT"/>
          <w:spacing w:val="8"/>
          <w:sz w:val="22"/>
          <w:szCs w:val="22"/>
          <w:lang w:val="es-ES" w:eastAsia="en-US"/>
        </w:rPr>
        <w:t xml:space="preserve"> </w:t>
      </w:r>
      <w:r w:rsidRPr="007F1C29">
        <w:rPr>
          <w:rFonts w:ascii="Arial MT" w:eastAsia="Arial MT" w:hAnsi="Arial MT" w:cs="Arial MT"/>
          <w:sz w:val="22"/>
          <w:szCs w:val="22"/>
          <w:lang w:val="es-ES" w:eastAsia="en-US"/>
        </w:rPr>
        <w:t>acuerdo</w:t>
      </w:r>
      <w:r w:rsidRPr="007F1C29">
        <w:rPr>
          <w:rFonts w:ascii="Arial MT" w:eastAsia="Arial MT" w:hAnsi="Arial MT" w:cs="Arial MT"/>
          <w:spacing w:val="9"/>
          <w:sz w:val="22"/>
          <w:szCs w:val="22"/>
          <w:lang w:val="es-ES" w:eastAsia="en-US"/>
        </w:rPr>
        <w:t xml:space="preserve"> </w:t>
      </w:r>
      <w:r w:rsidRPr="007F1C29">
        <w:rPr>
          <w:rFonts w:ascii="Arial MT" w:eastAsia="Arial MT" w:hAnsi="Arial MT" w:cs="Arial MT"/>
          <w:sz w:val="22"/>
          <w:szCs w:val="22"/>
          <w:lang w:val="es-ES" w:eastAsia="en-US"/>
        </w:rPr>
        <w:t>con</w:t>
      </w:r>
      <w:r w:rsidRPr="007F1C29">
        <w:rPr>
          <w:rFonts w:ascii="Arial MT" w:eastAsia="Arial MT" w:hAnsi="Arial MT" w:cs="Arial MT"/>
          <w:spacing w:val="9"/>
          <w:sz w:val="22"/>
          <w:szCs w:val="22"/>
          <w:lang w:val="es-ES" w:eastAsia="en-US"/>
        </w:rPr>
        <w:t xml:space="preserve"> </w:t>
      </w:r>
      <w:r w:rsidRPr="007F1C29">
        <w:rPr>
          <w:rFonts w:ascii="Arial MT" w:eastAsia="Arial MT" w:hAnsi="Arial MT" w:cs="Arial MT"/>
          <w:sz w:val="22"/>
          <w:szCs w:val="22"/>
          <w:lang w:val="es-ES" w:eastAsia="en-US"/>
        </w:rPr>
        <w:t>estos</w:t>
      </w:r>
      <w:r w:rsidRPr="007F1C29">
        <w:rPr>
          <w:rFonts w:ascii="Arial MT" w:eastAsia="Arial MT" w:hAnsi="Arial MT" w:cs="Arial MT"/>
          <w:spacing w:val="9"/>
          <w:sz w:val="22"/>
          <w:szCs w:val="22"/>
          <w:lang w:val="es-ES" w:eastAsia="en-US"/>
        </w:rPr>
        <w:t xml:space="preserve"> </w:t>
      </w:r>
      <w:r w:rsidRPr="007F1C29">
        <w:rPr>
          <w:rFonts w:ascii="Arial MT" w:eastAsia="Arial MT" w:hAnsi="Arial MT" w:cs="Arial MT"/>
          <w:sz w:val="22"/>
          <w:szCs w:val="22"/>
          <w:lang w:val="es-ES" w:eastAsia="en-US"/>
        </w:rPr>
        <w:t xml:space="preserve">parámetros. </w:t>
      </w:r>
    </w:p>
    <w:p w14:paraId="64121386" w14:textId="168EAB3A" w:rsidR="00E22EB9" w:rsidRPr="007F1C29" w:rsidRDefault="00E22EB9" w:rsidP="00E22EB9">
      <w:pPr>
        <w:widowControl w:val="0"/>
        <w:autoSpaceDE w:val="0"/>
        <w:autoSpaceDN w:val="0"/>
        <w:spacing w:before="120" w:after="120" w:line="276" w:lineRule="auto"/>
        <w:ind w:firstLine="709"/>
        <w:jc w:val="both"/>
        <w:rPr>
          <w:rFonts w:ascii="Arial" w:eastAsia="Arial MT" w:hAnsi="Arial" w:cs="Arial"/>
          <w:sz w:val="22"/>
          <w:szCs w:val="22"/>
          <w:lang w:val="es-ES" w:eastAsia="en-US"/>
        </w:rPr>
      </w:pPr>
      <w:r w:rsidRPr="007F1C29">
        <w:rPr>
          <w:rFonts w:ascii="Arial" w:eastAsia="Calibri" w:hAnsi="Arial" w:cs="Arial"/>
          <w:sz w:val="22"/>
          <w:szCs w:val="22"/>
          <w:lang w:val="es-ES_tradnl" w:eastAsia="en-US"/>
        </w:rPr>
        <w:t xml:space="preserve">Aludiendo expresamente al desarrollo reglamentario, el parágrafo primero introduce el siguiente cambio: «Las particularidades del procedimiento aquí previsto, así como la posibilidad que tengan las entidades de realizar estas adquisiciones a </w:t>
      </w:r>
      <w:proofErr w:type="spellStart"/>
      <w:r w:rsidRPr="007F1C29">
        <w:rPr>
          <w:rFonts w:ascii="Arial" w:eastAsia="Calibri" w:hAnsi="Arial" w:cs="Arial"/>
          <w:sz w:val="22"/>
          <w:szCs w:val="22"/>
          <w:lang w:val="es-ES_tradnl" w:eastAsia="en-US"/>
        </w:rPr>
        <w:t>Mipymes</w:t>
      </w:r>
      <w:proofErr w:type="spellEnd"/>
      <w:r w:rsidRPr="007F1C29">
        <w:rPr>
          <w:rFonts w:ascii="Arial" w:eastAsia="Calibri" w:hAnsi="Arial" w:cs="Arial"/>
          <w:sz w:val="22"/>
          <w:szCs w:val="22"/>
          <w:lang w:val="es-ES_tradnl" w:eastAsia="en-US"/>
        </w:rPr>
        <w:t xml:space="preserve"> o establecimientos que correspondan a la definición de "gran almacén" señalada por la Superintendencia de Industria y Comercio, se determinarán en el reglamento que para el efecto expida el Gobierno Nacional» (Énfasis fuera de texto). </w:t>
      </w:r>
      <w:r w:rsidRPr="007F1C29">
        <w:rPr>
          <w:rFonts w:ascii="Arial" w:eastAsia="Arial MT" w:hAnsi="Arial" w:cs="Arial"/>
          <w:sz w:val="22"/>
          <w:szCs w:val="22"/>
          <w:lang w:val="es-ES" w:eastAsia="en-US"/>
        </w:rPr>
        <w:t>Como se observa, este parágrafo dispone que el reglamento es importante para regular: i) las «particularidades del procedimiento</w:t>
      </w:r>
      <w:r w:rsidRPr="007F1C29">
        <w:rPr>
          <w:rFonts w:ascii="Arial" w:eastAsia="Arial MT" w:hAnsi="Arial" w:cs="Arial"/>
          <w:spacing w:val="-59"/>
          <w:sz w:val="22"/>
          <w:szCs w:val="22"/>
          <w:lang w:val="es-ES" w:eastAsia="en-US"/>
        </w:rPr>
        <w:t xml:space="preserve"> </w:t>
      </w:r>
      <w:r w:rsidRPr="007F1C29">
        <w:rPr>
          <w:rFonts w:ascii="Arial" w:eastAsia="Arial MT" w:hAnsi="Arial" w:cs="Arial"/>
          <w:sz w:val="22"/>
          <w:szCs w:val="22"/>
          <w:lang w:val="es-ES" w:eastAsia="en-US"/>
        </w:rPr>
        <w:t>de</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selección»</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y</w:t>
      </w:r>
      <w:r w:rsidRPr="007F1C29">
        <w:rPr>
          <w:rFonts w:ascii="Arial" w:eastAsia="Arial MT" w:hAnsi="Arial" w:cs="Arial"/>
          <w:spacing w:val="1"/>
          <w:sz w:val="22"/>
          <w:szCs w:val="22"/>
          <w:lang w:val="es-ES" w:eastAsia="en-US"/>
        </w:rPr>
        <w:t xml:space="preserve"> </w:t>
      </w:r>
      <w:proofErr w:type="spellStart"/>
      <w:r w:rsidRPr="007F1C29">
        <w:rPr>
          <w:rFonts w:ascii="Arial" w:eastAsia="Arial MT" w:hAnsi="Arial" w:cs="Arial"/>
          <w:sz w:val="22"/>
          <w:szCs w:val="22"/>
          <w:lang w:val="es-ES" w:eastAsia="en-US"/>
        </w:rPr>
        <w:t>ii</w:t>
      </w:r>
      <w:proofErr w:type="spellEnd"/>
      <w:r w:rsidRPr="007F1C29">
        <w:rPr>
          <w:rFonts w:ascii="Arial" w:eastAsia="Arial MT" w:hAnsi="Arial" w:cs="Arial"/>
          <w:sz w:val="22"/>
          <w:szCs w:val="22"/>
          <w:lang w:val="es-ES" w:eastAsia="en-US"/>
        </w:rPr>
        <w:t>)</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la</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posibilidad</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de</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realizar</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estas</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adquisiciones</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a</w:t>
      </w:r>
      <w:r w:rsidRPr="007F1C29">
        <w:rPr>
          <w:rFonts w:ascii="Arial" w:eastAsia="Arial MT" w:hAnsi="Arial" w:cs="Arial"/>
          <w:spacing w:val="1"/>
          <w:sz w:val="22"/>
          <w:szCs w:val="22"/>
          <w:lang w:val="es-ES" w:eastAsia="en-US"/>
        </w:rPr>
        <w:t xml:space="preserve"> </w:t>
      </w:r>
      <w:proofErr w:type="spellStart"/>
      <w:r w:rsidRPr="007F1C29">
        <w:rPr>
          <w:rFonts w:ascii="Arial" w:eastAsia="Arial MT" w:hAnsi="Arial" w:cs="Arial"/>
          <w:sz w:val="22"/>
          <w:szCs w:val="22"/>
          <w:lang w:val="es-ES" w:eastAsia="en-US"/>
        </w:rPr>
        <w:t>Mipymes</w:t>
      </w:r>
      <w:proofErr w:type="spellEnd"/>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o</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establecimientos que correspondan a la definición de «gran almacén». En concordancia con lo anterior el parágrafo segundo señala que la contratación a la que se refiere el artículo 30 se realizará exclusivamente con las reglas contempladas en el mismo y en su reglamentación. La reglamentación a la cual se refieren las disposiciones estudiadas fue realizada mediante el Decreto 1860 del 24 de diciembre de 2021 –que modificó el Decreto 1082 de 2015– que</w:t>
      </w:r>
      <w:r w:rsidRPr="007F1C29">
        <w:rPr>
          <w:rFonts w:ascii="Arial" w:eastAsia="Arial MT" w:hAnsi="Arial" w:cs="Arial"/>
          <w:spacing w:val="1"/>
          <w:sz w:val="22"/>
          <w:szCs w:val="22"/>
          <w:lang w:val="es-ES" w:eastAsia="en-US"/>
        </w:rPr>
        <w:t xml:space="preserve"> </w:t>
      </w:r>
      <w:r w:rsidRPr="007F1C29">
        <w:rPr>
          <w:rFonts w:ascii="Arial" w:eastAsia="Arial MT" w:hAnsi="Arial" w:cs="Arial"/>
          <w:sz w:val="22"/>
          <w:szCs w:val="22"/>
          <w:lang w:val="es-ES" w:eastAsia="en-US"/>
        </w:rPr>
        <w:t xml:space="preserve">resulta aplicable para los procesos de mínima cuantía cuya invitación </w:t>
      </w:r>
      <w:r w:rsidRPr="007F1C29">
        <w:rPr>
          <w:rFonts w:ascii="Arial MT" w:eastAsia="Arial MT" w:hAnsi="Arial MT" w:cs="Arial MT"/>
          <w:sz w:val="22"/>
          <w:szCs w:val="22"/>
          <w:lang w:val="es-ES" w:eastAsia="en-US"/>
        </w:rPr>
        <w:t>se publique a los tres (3)</w:t>
      </w:r>
      <w:r w:rsidRPr="007F1C29">
        <w:rPr>
          <w:rFonts w:ascii="Arial MT" w:eastAsia="Arial MT" w:hAnsi="Arial MT" w:cs="Arial MT"/>
          <w:spacing w:val="1"/>
          <w:sz w:val="22"/>
          <w:szCs w:val="22"/>
          <w:lang w:val="es-ES" w:eastAsia="en-US"/>
        </w:rPr>
        <w:t xml:space="preserve"> </w:t>
      </w:r>
      <w:r w:rsidRPr="007F1C29">
        <w:rPr>
          <w:rFonts w:ascii="Arial MT" w:eastAsia="Arial MT" w:hAnsi="Arial MT" w:cs="Arial MT"/>
          <w:sz w:val="22"/>
          <w:szCs w:val="22"/>
          <w:lang w:val="es-ES" w:eastAsia="en-US"/>
        </w:rPr>
        <w:t xml:space="preserve">meses contados a partir de su expedición, </w:t>
      </w:r>
      <w:r w:rsidRPr="007F1C29">
        <w:rPr>
          <w:rFonts w:ascii="Arial" w:eastAsia="Arial MT" w:hAnsi="Arial" w:cs="Arial"/>
          <w:sz w:val="22"/>
          <w:szCs w:val="22"/>
          <w:lang w:val="es-ES" w:eastAsia="en-US"/>
        </w:rPr>
        <w:t>es decir, a</w:t>
      </w:r>
      <w:r w:rsidRPr="007F1C29">
        <w:rPr>
          <w:rFonts w:ascii="Arial" w:eastAsia="Arial MT" w:hAnsi="Arial" w:cs="Arial"/>
          <w:spacing w:val="1"/>
          <w:sz w:val="22"/>
          <w:szCs w:val="22"/>
          <w:lang w:val="es-ES" w:eastAsia="en-US"/>
        </w:rPr>
        <w:t xml:space="preserve"> </w:t>
      </w:r>
      <w:r w:rsidRPr="007F1C29">
        <w:rPr>
          <w:rFonts w:ascii="Arial" w:eastAsia="Arial MT" w:hAnsi="Arial" w:cs="Arial"/>
          <w:spacing w:val="-1"/>
          <w:sz w:val="22"/>
          <w:szCs w:val="22"/>
          <w:lang w:val="es-ES" w:eastAsia="en-US"/>
        </w:rPr>
        <w:t>partir</w:t>
      </w:r>
      <w:r w:rsidRPr="007F1C29">
        <w:rPr>
          <w:rFonts w:ascii="Arial" w:eastAsia="Arial MT" w:hAnsi="Arial" w:cs="Arial"/>
          <w:spacing w:val="-15"/>
          <w:sz w:val="22"/>
          <w:szCs w:val="22"/>
          <w:lang w:val="es-ES" w:eastAsia="en-US"/>
        </w:rPr>
        <w:t xml:space="preserve"> </w:t>
      </w:r>
      <w:r w:rsidRPr="007F1C29">
        <w:rPr>
          <w:rFonts w:ascii="Arial" w:eastAsia="Arial MT" w:hAnsi="Arial" w:cs="Arial"/>
          <w:spacing w:val="-1"/>
          <w:sz w:val="22"/>
          <w:szCs w:val="22"/>
          <w:lang w:val="es-ES" w:eastAsia="en-US"/>
        </w:rPr>
        <w:t>del</w:t>
      </w:r>
      <w:r w:rsidRPr="007F1C29">
        <w:rPr>
          <w:rFonts w:ascii="Arial" w:eastAsia="Arial MT" w:hAnsi="Arial" w:cs="Arial"/>
          <w:spacing w:val="-14"/>
          <w:sz w:val="22"/>
          <w:szCs w:val="22"/>
          <w:lang w:val="es-ES" w:eastAsia="en-US"/>
        </w:rPr>
        <w:t xml:space="preserve"> </w:t>
      </w:r>
      <w:r w:rsidRPr="007F1C29">
        <w:rPr>
          <w:rFonts w:ascii="Arial" w:eastAsia="Arial MT" w:hAnsi="Arial" w:cs="Arial"/>
          <w:spacing w:val="-1"/>
          <w:sz w:val="22"/>
          <w:szCs w:val="22"/>
          <w:lang w:val="es-ES" w:eastAsia="en-US"/>
        </w:rPr>
        <w:t>24</w:t>
      </w:r>
      <w:r w:rsidRPr="007F1C29">
        <w:rPr>
          <w:rFonts w:ascii="Arial" w:eastAsia="Arial MT" w:hAnsi="Arial" w:cs="Arial"/>
          <w:spacing w:val="-14"/>
          <w:sz w:val="22"/>
          <w:szCs w:val="22"/>
          <w:lang w:val="es-ES" w:eastAsia="en-US"/>
        </w:rPr>
        <w:t xml:space="preserve"> </w:t>
      </w:r>
      <w:r w:rsidRPr="007F1C29">
        <w:rPr>
          <w:rFonts w:ascii="Arial" w:eastAsia="Arial MT" w:hAnsi="Arial" w:cs="Arial"/>
          <w:spacing w:val="-1"/>
          <w:sz w:val="22"/>
          <w:szCs w:val="22"/>
          <w:lang w:val="es-ES" w:eastAsia="en-US"/>
        </w:rPr>
        <w:t>de</w:t>
      </w:r>
      <w:r w:rsidRPr="007F1C29">
        <w:rPr>
          <w:rFonts w:ascii="Arial" w:eastAsia="Arial MT" w:hAnsi="Arial" w:cs="Arial"/>
          <w:spacing w:val="-14"/>
          <w:sz w:val="22"/>
          <w:szCs w:val="22"/>
          <w:lang w:val="es-ES" w:eastAsia="en-US"/>
        </w:rPr>
        <w:t xml:space="preserve"> </w:t>
      </w:r>
      <w:r w:rsidRPr="007F1C29">
        <w:rPr>
          <w:rFonts w:ascii="Arial" w:eastAsia="Arial MT" w:hAnsi="Arial" w:cs="Arial"/>
          <w:spacing w:val="-1"/>
          <w:sz w:val="22"/>
          <w:szCs w:val="22"/>
          <w:lang w:val="es-ES" w:eastAsia="en-US"/>
        </w:rPr>
        <w:t>marzo</w:t>
      </w:r>
      <w:r w:rsidRPr="007F1C29">
        <w:rPr>
          <w:rFonts w:ascii="Arial" w:eastAsia="Arial MT" w:hAnsi="Arial" w:cs="Arial"/>
          <w:spacing w:val="-14"/>
          <w:sz w:val="22"/>
          <w:szCs w:val="22"/>
          <w:lang w:val="es-ES" w:eastAsia="en-US"/>
        </w:rPr>
        <w:t xml:space="preserve"> </w:t>
      </w:r>
      <w:r w:rsidRPr="007F1C29">
        <w:rPr>
          <w:rFonts w:ascii="Arial" w:eastAsia="Arial MT" w:hAnsi="Arial" w:cs="Arial"/>
          <w:spacing w:val="-1"/>
          <w:sz w:val="22"/>
          <w:szCs w:val="22"/>
          <w:lang w:val="es-ES" w:eastAsia="en-US"/>
        </w:rPr>
        <w:t>de</w:t>
      </w:r>
      <w:r w:rsidRPr="007F1C29">
        <w:rPr>
          <w:rFonts w:ascii="Arial" w:eastAsia="Arial MT" w:hAnsi="Arial" w:cs="Arial"/>
          <w:spacing w:val="-14"/>
          <w:sz w:val="22"/>
          <w:szCs w:val="22"/>
          <w:lang w:val="es-ES" w:eastAsia="en-US"/>
        </w:rPr>
        <w:t xml:space="preserve"> </w:t>
      </w:r>
      <w:r w:rsidRPr="007F1C29">
        <w:rPr>
          <w:rFonts w:ascii="Arial" w:eastAsia="Arial MT" w:hAnsi="Arial" w:cs="Arial"/>
          <w:spacing w:val="-1"/>
          <w:sz w:val="22"/>
          <w:szCs w:val="22"/>
          <w:lang w:val="es-ES" w:eastAsia="en-US"/>
        </w:rPr>
        <w:t>2022, teniendo en cuenta la vigencia fijada en el</w:t>
      </w:r>
      <w:r w:rsidRPr="007F1C29">
        <w:rPr>
          <w:rFonts w:ascii="Arial MT" w:eastAsia="Arial MT" w:hAnsi="Arial MT" w:cs="Arial MT"/>
          <w:sz w:val="22"/>
          <w:szCs w:val="22"/>
          <w:lang w:val="es-ES" w:eastAsia="en-US"/>
        </w:rPr>
        <w:t xml:space="preserve"> artículo 8 del Decreto citado, </w:t>
      </w:r>
      <w:r w:rsidRPr="007F1C29">
        <w:rPr>
          <w:rFonts w:ascii="Arial MT" w:eastAsia="Arial MT" w:hAnsi="Arial MT" w:cs="Arial MT"/>
          <w:sz w:val="22"/>
          <w:szCs w:val="22"/>
          <w:lang w:val="es-ES" w:eastAsia="en-US"/>
        </w:rPr>
        <w:lastRenderedPageBreak/>
        <w:t>por lo que actualmente esta es la regulación vigente.</w:t>
      </w:r>
    </w:p>
    <w:p w14:paraId="7A3EB1AD" w14:textId="79903FA4" w:rsidR="00CC564A" w:rsidRPr="007F1C29" w:rsidRDefault="00CC564A" w:rsidP="008C1B72">
      <w:pPr>
        <w:spacing w:before="240" w:after="240" w:line="276" w:lineRule="auto"/>
        <w:jc w:val="both"/>
        <w:rPr>
          <w:rFonts w:ascii="Arial" w:eastAsia="Calibri" w:hAnsi="Arial" w:cs="Arial"/>
          <w:b/>
          <w:color w:val="000000" w:themeColor="text1"/>
          <w:sz w:val="22"/>
          <w:szCs w:val="22"/>
          <w:lang w:val="es-ES_tradnl"/>
        </w:rPr>
      </w:pPr>
      <w:r w:rsidRPr="007F1C29">
        <w:rPr>
          <w:rFonts w:ascii="Arial" w:eastAsia="Calibri" w:hAnsi="Arial" w:cs="Arial"/>
          <w:b/>
          <w:bCs/>
          <w:color w:val="000000" w:themeColor="text1"/>
          <w:sz w:val="22"/>
          <w:szCs w:val="22"/>
        </w:rPr>
        <w:t xml:space="preserve">2.2. </w:t>
      </w:r>
      <w:r w:rsidRPr="007F1C29">
        <w:rPr>
          <w:rFonts w:ascii="Arial" w:eastAsia="Calibri" w:hAnsi="Arial" w:cs="Arial"/>
          <w:b/>
          <w:color w:val="000000" w:themeColor="text1"/>
          <w:sz w:val="22"/>
          <w:szCs w:val="22"/>
          <w:lang w:val="es-ES_tradnl"/>
        </w:rPr>
        <w:t>Contratación Pública y tratados internacionales</w:t>
      </w:r>
    </w:p>
    <w:p w14:paraId="5233413E" w14:textId="77777777" w:rsidR="00CC564A" w:rsidRPr="007F1C29" w:rsidRDefault="00CC564A" w:rsidP="006E60F0">
      <w:pPr>
        <w:tabs>
          <w:tab w:val="left" w:pos="0"/>
        </w:tabs>
        <w:spacing w:before="240" w:after="120" w:line="276" w:lineRule="auto"/>
        <w:jc w:val="both"/>
        <w:rPr>
          <w:rFonts w:ascii="Arial" w:eastAsia="Calibri" w:hAnsi="Arial" w:cs="Arial"/>
          <w:bCs/>
          <w:color w:val="000000" w:themeColor="text1"/>
          <w:sz w:val="22"/>
          <w:szCs w:val="22"/>
          <w:lang w:val="es-ES_tradnl"/>
        </w:rPr>
      </w:pPr>
      <w:r w:rsidRPr="007F1C29">
        <w:rPr>
          <w:rFonts w:ascii="Arial" w:eastAsia="Calibri" w:hAnsi="Arial" w:cs="Arial"/>
          <w:bCs/>
          <w:color w:val="000000" w:themeColor="text1"/>
          <w:sz w:val="22"/>
          <w:szCs w:val="22"/>
          <w:lang w:val="es-ES_tradnl"/>
        </w:rPr>
        <w:t xml:space="preserve">El derecho de la contratación estatal ha dejado de ser un fenómeno estrictamente de derecho doméstico. Desde hace varias décadas existen instrumentos normativos, buenas prácticas y </w:t>
      </w:r>
      <w:proofErr w:type="spellStart"/>
      <w:r w:rsidRPr="007F1C29">
        <w:rPr>
          <w:rFonts w:ascii="Arial" w:eastAsia="Calibri" w:hAnsi="Arial" w:cs="Arial"/>
          <w:bCs/>
          <w:i/>
          <w:iCs/>
          <w:color w:val="000000" w:themeColor="text1"/>
          <w:sz w:val="22"/>
          <w:szCs w:val="22"/>
          <w:lang w:val="es-ES_tradnl"/>
        </w:rPr>
        <w:t>soft</w:t>
      </w:r>
      <w:proofErr w:type="spellEnd"/>
      <w:r w:rsidRPr="007F1C29">
        <w:rPr>
          <w:rFonts w:ascii="Arial" w:eastAsia="Calibri" w:hAnsi="Arial" w:cs="Arial"/>
          <w:bCs/>
          <w:i/>
          <w:iCs/>
          <w:color w:val="000000" w:themeColor="text1"/>
          <w:sz w:val="22"/>
          <w:szCs w:val="22"/>
          <w:lang w:val="es-ES_tradnl"/>
        </w:rPr>
        <w:t xml:space="preserve"> </w:t>
      </w:r>
      <w:proofErr w:type="spellStart"/>
      <w:r w:rsidRPr="007F1C29">
        <w:rPr>
          <w:rFonts w:ascii="Arial" w:eastAsia="Calibri" w:hAnsi="Arial" w:cs="Arial"/>
          <w:bCs/>
          <w:i/>
          <w:iCs/>
          <w:color w:val="000000" w:themeColor="text1"/>
          <w:sz w:val="22"/>
          <w:szCs w:val="22"/>
          <w:lang w:val="es-ES_tradnl"/>
        </w:rPr>
        <w:t>law</w:t>
      </w:r>
      <w:proofErr w:type="spellEnd"/>
      <w:r w:rsidRPr="007F1C29">
        <w:rPr>
          <w:rFonts w:ascii="Arial" w:eastAsia="Calibri" w:hAnsi="Arial" w:cs="Arial"/>
          <w:bCs/>
          <w:color w:val="000000" w:themeColor="text1"/>
          <w:sz w:val="22"/>
          <w:szCs w:val="22"/>
          <w:lang w:val="es-ES_tradnl"/>
        </w:rPr>
        <w:t xml:space="preserve"> que hacen parte del «nuevo sistema de fuentes» de la contratación pública en diversos ordenamientos jurídicos en el mundo. La transformación de los sistemas locales ha sido de tal magnitud y tan evidente resulta la existencia de un orden internacional que la doctrina se refirió, hace más de dos décadas, a este cuerpo de normas e ideas sobre contratación estatal como «una reforma global»</w:t>
      </w:r>
      <w:r w:rsidRPr="007F1C29">
        <w:rPr>
          <w:rStyle w:val="Refdenotaalpie"/>
          <w:rFonts w:ascii="Arial" w:eastAsia="Calibri" w:hAnsi="Arial" w:cs="Arial"/>
          <w:bCs/>
          <w:color w:val="000000" w:themeColor="text1"/>
          <w:sz w:val="22"/>
          <w:szCs w:val="22"/>
          <w:lang w:val="es-ES_tradnl"/>
        </w:rPr>
        <w:footnoteReference w:id="7"/>
      </w:r>
      <w:r w:rsidRPr="007F1C29">
        <w:rPr>
          <w:rFonts w:ascii="Arial" w:eastAsia="Calibri" w:hAnsi="Arial" w:cs="Arial"/>
          <w:bCs/>
          <w:color w:val="000000" w:themeColor="text1"/>
          <w:sz w:val="22"/>
          <w:szCs w:val="22"/>
          <w:lang w:val="es-ES_tradnl"/>
        </w:rPr>
        <w:t xml:space="preserve"> o, incluso, una «revolución global»</w:t>
      </w:r>
      <w:r w:rsidRPr="007F1C29">
        <w:rPr>
          <w:rStyle w:val="Refdenotaalpie"/>
          <w:rFonts w:ascii="Arial" w:eastAsia="Calibri" w:hAnsi="Arial" w:cs="Arial"/>
          <w:bCs/>
          <w:color w:val="000000" w:themeColor="text1"/>
          <w:sz w:val="22"/>
          <w:szCs w:val="22"/>
          <w:lang w:val="es-ES_tradnl"/>
        </w:rPr>
        <w:footnoteReference w:id="8"/>
      </w:r>
      <w:r w:rsidRPr="007F1C29">
        <w:rPr>
          <w:rFonts w:ascii="Arial" w:eastAsia="Calibri" w:hAnsi="Arial" w:cs="Arial"/>
          <w:bCs/>
          <w:color w:val="000000" w:themeColor="text1"/>
          <w:sz w:val="22"/>
          <w:szCs w:val="22"/>
          <w:lang w:val="es-ES_tradnl"/>
        </w:rPr>
        <w:t>.</w:t>
      </w:r>
    </w:p>
    <w:p w14:paraId="135ACA0F" w14:textId="77777777" w:rsidR="00CC564A" w:rsidRPr="007F1C29" w:rsidRDefault="00CC564A" w:rsidP="00CC564A">
      <w:pPr>
        <w:tabs>
          <w:tab w:val="left" w:pos="0"/>
        </w:tabs>
        <w:spacing w:after="120" w:line="276" w:lineRule="auto"/>
        <w:jc w:val="both"/>
        <w:rPr>
          <w:rFonts w:ascii="Arial" w:eastAsia="Calibri" w:hAnsi="Arial" w:cs="Arial"/>
          <w:bCs/>
          <w:color w:val="000000" w:themeColor="text1"/>
          <w:sz w:val="22"/>
          <w:szCs w:val="22"/>
          <w:lang w:val="es-ES_tradnl"/>
        </w:rPr>
      </w:pPr>
      <w:r w:rsidRPr="007F1C29">
        <w:rPr>
          <w:rFonts w:ascii="Arial" w:eastAsia="Calibri" w:hAnsi="Arial" w:cs="Arial"/>
          <w:bCs/>
          <w:color w:val="000000" w:themeColor="text1"/>
          <w:sz w:val="22"/>
          <w:szCs w:val="22"/>
          <w:lang w:val="es-ES_tradnl"/>
        </w:rPr>
        <w:tab/>
        <w:t>Esta revolución global en materia de contratación estatal es un fenómeno jurídico, en alguna medida imbricado con el fenómeno más amplio de la globalización, en el cual se cuentan actores diversos, como la Comisión de las Naciones Unidas para el Derecho Mercantil que cuenta con una ley modelo en materia de contratación pública</w:t>
      </w:r>
      <w:r w:rsidRPr="007F1C29">
        <w:rPr>
          <w:rStyle w:val="Refdenotaalpie"/>
          <w:rFonts w:ascii="Arial" w:eastAsia="Calibri" w:hAnsi="Arial" w:cs="Arial"/>
          <w:bCs/>
          <w:color w:val="000000" w:themeColor="text1"/>
          <w:sz w:val="22"/>
          <w:szCs w:val="22"/>
          <w:lang w:val="es-ES_tradnl"/>
        </w:rPr>
        <w:footnoteReference w:id="9"/>
      </w:r>
      <w:r w:rsidRPr="007F1C29">
        <w:rPr>
          <w:rFonts w:ascii="Arial" w:eastAsia="Calibri" w:hAnsi="Arial" w:cs="Arial"/>
          <w:bCs/>
          <w:color w:val="000000" w:themeColor="text1"/>
          <w:sz w:val="22"/>
          <w:szCs w:val="22"/>
          <w:lang w:val="es-ES_tradnl"/>
        </w:rPr>
        <w:t>, los organismos multilaterales de crédito que han actuado como catalizadores de reforma de los sistemas locales</w:t>
      </w:r>
      <w:r w:rsidRPr="007F1C29">
        <w:rPr>
          <w:rStyle w:val="Refdenotaalpie"/>
          <w:rFonts w:ascii="Arial" w:eastAsia="Calibri" w:hAnsi="Arial" w:cs="Arial"/>
          <w:bCs/>
          <w:color w:val="000000" w:themeColor="text1"/>
          <w:sz w:val="22"/>
          <w:szCs w:val="22"/>
          <w:lang w:val="es-ES_tradnl"/>
        </w:rPr>
        <w:footnoteReference w:id="10"/>
      </w:r>
      <w:r w:rsidRPr="007F1C29">
        <w:rPr>
          <w:rFonts w:ascii="Arial" w:eastAsia="Calibri" w:hAnsi="Arial" w:cs="Arial"/>
          <w:bCs/>
          <w:color w:val="000000" w:themeColor="text1"/>
          <w:sz w:val="22"/>
          <w:szCs w:val="22"/>
          <w:lang w:val="es-ES_tradnl"/>
        </w:rPr>
        <w:t xml:space="preserve">. De igual forma, la liberalización de los mercados de contratación mediante acuerdos plurilaterales de comercio como el Acuerdo sobre Contratación Pública de la OMC, acuerdos regionales como la Unión Europea, o acuerdos bilaterales de comercio con capítulos de contratación estatal, lo cual tiene importantes efectos para el asunto analizado en este concepto. </w:t>
      </w:r>
    </w:p>
    <w:p w14:paraId="1D064F75" w14:textId="77777777" w:rsidR="00CC564A" w:rsidRPr="007F1C29" w:rsidRDefault="00CC564A" w:rsidP="00CC564A">
      <w:pPr>
        <w:tabs>
          <w:tab w:val="left" w:pos="0"/>
        </w:tabs>
        <w:spacing w:after="120" w:line="276" w:lineRule="auto"/>
        <w:jc w:val="both"/>
        <w:rPr>
          <w:rFonts w:ascii="Arial" w:eastAsia="Calibri" w:hAnsi="Arial" w:cs="Arial"/>
          <w:bCs/>
          <w:color w:val="000000" w:themeColor="text1"/>
          <w:sz w:val="22"/>
          <w:szCs w:val="22"/>
          <w:lang w:val="es-ES_tradnl"/>
        </w:rPr>
      </w:pPr>
      <w:r w:rsidRPr="007F1C29">
        <w:rPr>
          <w:rFonts w:ascii="Arial" w:eastAsia="Calibri" w:hAnsi="Arial" w:cs="Arial"/>
          <w:bCs/>
          <w:color w:val="000000" w:themeColor="text1"/>
          <w:sz w:val="22"/>
          <w:szCs w:val="22"/>
          <w:lang w:val="es-ES_tradnl"/>
        </w:rPr>
        <w:tab/>
      </w:r>
      <w:bookmarkStart w:id="4" w:name="_Hlk66177778"/>
      <w:r w:rsidRPr="007F1C29">
        <w:rPr>
          <w:rFonts w:ascii="Arial" w:eastAsia="Calibri" w:hAnsi="Arial" w:cs="Arial"/>
          <w:bCs/>
          <w:color w:val="000000" w:themeColor="text1"/>
          <w:sz w:val="22"/>
          <w:szCs w:val="22"/>
          <w:lang w:val="es-ES_tradnl"/>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16230337" w14:textId="77777777" w:rsidR="00CC564A" w:rsidRPr="007F1C29" w:rsidRDefault="00CC564A" w:rsidP="00CC564A">
      <w:pPr>
        <w:tabs>
          <w:tab w:val="left" w:pos="0"/>
        </w:tabs>
        <w:spacing w:before="120" w:line="276" w:lineRule="auto"/>
        <w:jc w:val="both"/>
        <w:rPr>
          <w:rFonts w:ascii="Arial" w:eastAsia="Calibri" w:hAnsi="Arial" w:cs="Arial"/>
          <w:bCs/>
          <w:color w:val="000000" w:themeColor="text1"/>
          <w:sz w:val="22"/>
          <w:lang w:val="es-ES_tradnl"/>
        </w:rPr>
      </w:pPr>
      <w:r w:rsidRPr="007F1C29">
        <w:rPr>
          <w:rFonts w:ascii="Arial" w:eastAsia="Calibri" w:hAnsi="Arial" w:cs="Arial"/>
          <w:bCs/>
          <w:color w:val="000000" w:themeColor="text1"/>
          <w:sz w:val="22"/>
          <w:szCs w:val="22"/>
          <w:lang w:val="es-ES_tradnl"/>
        </w:rPr>
        <w:lastRenderedPageBreak/>
        <w:tab/>
      </w:r>
      <w:r w:rsidRPr="007F1C29">
        <w:rPr>
          <w:rFonts w:ascii="Arial" w:hAnsi="Arial" w:cs="Arial"/>
          <w:sz w:val="22"/>
          <w:szCs w:val="22"/>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w:t>
      </w:r>
      <w:r w:rsidRPr="007F1C29">
        <w:rPr>
          <w:rFonts w:ascii="Arial" w:eastAsia="Calibri" w:hAnsi="Arial" w:cs="Arial"/>
          <w:bCs/>
          <w:color w:val="000000" w:themeColor="text1"/>
          <w:sz w:val="22"/>
          <w:lang w:val="es-ES_tradnl"/>
        </w:rPr>
        <w:t xml:space="preserve">cada acuerdo comercial, por ser un tratado que celebra el gobierno con otros Estados, debe ser aprobado y posteriormente incorporado al ordenamiento </w:t>
      </w:r>
      <w:proofErr w:type="spellStart"/>
      <w:r w:rsidRPr="007F1C29">
        <w:rPr>
          <w:rFonts w:ascii="Arial" w:eastAsia="Calibri" w:hAnsi="Arial" w:cs="Arial"/>
          <w:bCs/>
          <w:color w:val="000000" w:themeColor="text1"/>
          <w:sz w:val="22"/>
          <w:lang w:val="es-ES_tradnl"/>
        </w:rPr>
        <w:t>jurídico</w:t>
      </w:r>
      <w:proofErr w:type="spellEnd"/>
      <w:r w:rsidRPr="007F1C29">
        <w:rPr>
          <w:rFonts w:ascii="Arial" w:eastAsia="Calibri" w:hAnsi="Arial" w:cs="Arial"/>
          <w:bCs/>
          <w:color w:val="000000" w:themeColor="text1"/>
          <w:sz w:val="22"/>
          <w:lang w:val="es-ES_tradnl"/>
        </w:rPr>
        <w:t xml:space="preserve"> colombiano por una ley de la República</w:t>
      </w:r>
      <w:bookmarkEnd w:id="4"/>
      <w:r w:rsidRPr="007F1C29">
        <w:rPr>
          <w:rStyle w:val="Refdenotaalpie"/>
          <w:rFonts w:ascii="Arial" w:eastAsia="Calibri" w:hAnsi="Arial" w:cs="Arial"/>
          <w:bCs/>
          <w:color w:val="000000" w:themeColor="text1"/>
          <w:sz w:val="22"/>
          <w:lang w:val="es-ES_tradnl"/>
        </w:rPr>
        <w:footnoteReference w:id="11"/>
      </w:r>
      <w:r w:rsidRPr="007F1C29">
        <w:rPr>
          <w:rFonts w:ascii="Arial" w:eastAsia="Calibri" w:hAnsi="Arial" w:cs="Arial"/>
          <w:bCs/>
          <w:color w:val="000000" w:themeColor="text1"/>
          <w:sz w:val="22"/>
          <w:lang w:val="es-ES_tradnl"/>
        </w:rPr>
        <w:t xml:space="preserve">. </w:t>
      </w:r>
    </w:p>
    <w:p w14:paraId="583F01F0" w14:textId="77777777" w:rsidR="00CC564A" w:rsidRPr="007F1C29" w:rsidRDefault="00CC564A" w:rsidP="00CC564A">
      <w:pPr>
        <w:tabs>
          <w:tab w:val="left" w:pos="0"/>
        </w:tabs>
        <w:spacing w:before="120" w:after="120" w:line="276" w:lineRule="auto"/>
        <w:jc w:val="both"/>
        <w:rPr>
          <w:rFonts w:ascii="Arial" w:eastAsia="Calibri" w:hAnsi="Arial" w:cs="Arial"/>
          <w:bCs/>
          <w:color w:val="000000" w:themeColor="text1"/>
          <w:sz w:val="22"/>
          <w:szCs w:val="22"/>
          <w:lang w:val="es-ES_tradnl"/>
        </w:rPr>
      </w:pPr>
      <w:r w:rsidRPr="007F1C29">
        <w:rPr>
          <w:rFonts w:ascii="Arial" w:eastAsia="Calibri" w:hAnsi="Arial" w:cs="Arial"/>
          <w:bCs/>
          <w:color w:val="000000" w:themeColor="text1"/>
          <w:sz w:val="22"/>
          <w:szCs w:val="22"/>
          <w:lang w:val="es-ES_tradnl"/>
        </w:rPr>
        <w:tab/>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w:t>
      </w:r>
      <w:r w:rsidRPr="007F1C29">
        <w:rPr>
          <w:rFonts w:ascii="Arial" w:eastAsia="Calibri" w:hAnsi="Arial" w:cs="Arial"/>
          <w:bCs/>
          <w:i/>
          <w:iCs/>
          <w:color w:val="000000" w:themeColor="text1"/>
          <w:sz w:val="22"/>
          <w:szCs w:val="22"/>
          <w:lang w:val="es-ES_tradnl"/>
        </w:rPr>
        <w:t>contratación cubierta</w:t>
      </w:r>
      <w:r w:rsidRPr="007F1C29">
        <w:rPr>
          <w:rFonts w:ascii="Arial" w:eastAsia="Calibri" w:hAnsi="Arial" w:cs="Arial"/>
          <w:bCs/>
          <w:color w:val="000000" w:themeColor="text1"/>
          <w:sz w:val="22"/>
          <w:szCs w:val="22"/>
          <w:lang w:val="es-ES_tradnl"/>
        </w:rPr>
        <w:t xml:space="preserve"> es necesario revisar el instrumento normativo preciso cuya protección se invoca –el tratado– y determinar si la transacción que se alega como cubierta lo está o no. </w:t>
      </w:r>
    </w:p>
    <w:p w14:paraId="043A2D6E" w14:textId="77777777" w:rsidR="00CC564A" w:rsidRPr="007F1C29" w:rsidRDefault="00CC564A" w:rsidP="00CC564A">
      <w:pPr>
        <w:spacing w:before="120" w:line="276" w:lineRule="auto"/>
        <w:ind w:firstLine="709"/>
        <w:jc w:val="both"/>
        <w:rPr>
          <w:rFonts w:ascii="Arial" w:eastAsia="Calibri" w:hAnsi="Arial" w:cs="Arial"/>
          <w:bCs/>
          <w:color w:val="000000" w:themeColor="text1"/>
          <w:sz w:val="22"/>
          <w:szCs w:val="22"/>
          <w:lang w:val="es-ES_tradnl"/>
        </w:rPr>
      </w:pPr>
      <w:r w:rsidRPr="007F1C29">
        <w:rPr>
          <w:rFonts w:ascii="Arial" w:eastAsia="Calibri" w:hAnsi="Arial" w:cs="Arial"/>
          <w:bCs/>
          <w:color w:val="000000" w:themeColor="text1"/>
          <w:sz w:val="22"/>
          <w:lang w:val="es-ES_tradnl"/>
        </w:rPr>
        <w:t xml:space="preserve">Por esta razón, </w:t>
      </w:r>
      <w:bookmarkStart w:id="5" w:name="_Hlk66177822"/>
      <w:r w:rsidRPr="007F1C29">
        <w:rPr>
          <w:rFonts w:ascii="Arial" w:eastAsia="Calibri" w:hAnsi="Arial" w:cs="Arial"/>
          <w:bCs/>
          <w:color w:val="000000" w:themeColor="text1"/>
          <w:sz w:val="22"/>
          <w:lang w:val="es-ES_tradnl"/>
        </w:rPr>
        <w:t xml:space="preserve">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w:t>
      </w:r>
      <w:proofErr w:type="spellStart"/>
      <w:r w:rsidRPr="007F1C29">
        <w:rPr>
          <w:rFonts w:ascii="Arial" w:eastAsia="Calibri" w:hAnsi="Arial" w:cs="Arial"/>
          <w:bCs/>
          <w:color w:val="000000" w:themeColor="text1"/>
          <w:sz w:val="22"/>
          <w:lang w:val="es-ES_tradnl"/>
        </w:rPr>
        <w:t>ii</w:t>
      </w:r>
      <w:proofErr w:type="spellEnd"/>
      <w:r w:rsidRPr="007F1C29">
        <w:rPr>
          <w:rFonts w:ascii="Arial" w:eastAsia="Calibri" w:hAnsi="Arial" w:cs="Arial"/>
          <w:bCs/>
          <w:color w:val="000000" w:themeColor="text1"/>
          <w:sz w:val="22"/>
          <w:lang w:val="es-ES_tradnl"/>
        </w:rPr>
        <w:t xml:space="preserve">) los valores a partir de los cuales el Acuerdo Comercial es aplicable al proceso de contratación; y, </w:t>
      </w:r>
      <w:proofErr w:type="spellStart"/>
      <w:r w:rsidRPr="007F1C29">
        <w:rPr>
          <w:rFonts w:ascii="Arial" w:eastAsia="Calibri" w:hAnsi="Arial" w:cs="Arial"/>
          <w:bCs/>
          <w:color w:val="000000" w:themeColor="text1"/>
          <w:sz w:val="22"/>
          <w:lang w:val="es-ES_tradnl"/>
        </w:rPr>
        <w:t>iii</w:t>
      </w:r>
      <w:proofErr w:type="spellEnd"/>
      <w:r w:rsidRPr="007F1C29">
        <w:rPr>
          <w:rFonts w:ascii="Arial" w:eastAsia="Calibri" w:hAnsi="Arial" w:cs="Arial"/>
          <w:bCs/>
          <w:color w:val="000000" w:themeColor="text1"/>
          <w:sz w:val="22"/>
          <w:lang w:val="es-ES_tradnl"/>
        </w:rPr>
        <w:t>) las excepciones a la aplicación del acuerdo comercial.</w:t>
      </w:r>
    </w:p>
    <w:bookmarkEnd w:id="5"/>
    <w:p w14:paraId="15D8DAB5" w14:textId="5DA08437" w:rsidR="00E77DC8" w:rsidRPr="007F1C29" w:rsidRDefault="00CC564A" w:rsidP="005918D9">
      <w:pPr>
        <w:tabs>
          <w:tab w:val="left" w:pos="0"/>
        </w:tabs>
        <w:spacing w:before="120" w:line="276" w:lineRule="auto"/>
        <w:jc w:val="both"/>
        <w:rPr>
          <w:rFonts w:ascii="Arial" w:eastAsia="Calibri" w:hAnsi="Arial" w:cs="Arial"/>
          <w:bCs/>
          <w:color w:val="000000" w:themeColor="text1"/>
          <w:sz w:val="22"/>
          <w:lang w:val="es-ES_tradnl"/>
        </w:rPr>
      </w:pPr>
      <w:r w:rsidRPr="007F1C29">
        <w:rPr>
          <w:rFonts w:ascii="Arial" w:hAnsi="Arial" w:cs="Arial"/>
          <w:sz w:val="22"/>
          <w:szCs w:val="22"/>
        </w:rPr>
        <w:tab/>
      </w:r>
      <w:r w:rsidR="00E77DC8" w:rsidRPr="007F1C29">
        <w:rPr>
          <w:rFonts w:ascii="Arial" w:eastAsia="Calibri" w:hAnsi="Arial" w:cs="Arial"/>
          <w:bCs/>
          <w:color w:val="000000" w:themeColor="text1"/>
          <w:sz w:val="22"/>
          <w:lang w:val="es-ES_tradnl"/>
        </w:rPr>
        <w:t>Respecto de los valores a partir de los cuales el Acuerdo Comercial es aplicable al proceso de contratación, debe señalarse que los valores generalmente son negociados en dólares de los Estados Unidos de América o en Derechos Especiales de Giro (DEG) –</w:t>
      </w:r>
      <w:proofErr w:type="spellStart"/>
      <w:r w:rsidR="00E77DC8" w:rsidRPr="007F1C29">
        <w:rPr>
          <w:rFonts w:ascii="Arial" w:eastAsia="Calibri" w:hAnsi="Arial" w:cs="Arial"/>
          <w:bCs/>
          <w:color w:val="000000" w:themeColor="text1"/>
          <w:sz w:val="22"/>
          <w:lang w:val="es-ES_tradnl"/>
        </w:rPr>
        <w:t>Special</w:t>
      </w:r>
      <w:proofErr w:type="spellEnd"/>
      <w:r w:rsidR="00E77DC8" w:rsidRPr="007F1C29">
        <w:rPr>
          <w:rFonts w:ascii="Arial" w:eastAsia="Calibri" w:hAnsi="Arial" w:cs="Arial"/>
          <w:bCs/>
          <w:color w:val="000000" w:themeColor="text1"/>
          <w:sz w:val="22"/>
          <w:lang w:val="es-ES_tradnl"/>
        </w:rPr>
        <w:t xml:space="preserve"> </w:t>
      </w:r>
      <w:proofErr w:type="spellStart"/>
      <w:r w:rsidR="00E77DC8" w:rsidRPr="007F1C29">
        <w:rPr>
          <w:rFonts w:ascii="Arial" w:eastAsia="Calibri" w:hAnsi="Arial" w:cs="Arial"/>
          <w:bCs/>
          <w:color w:val="000000" w:themeColor="text1"/>
          <w:sz w:val="22"/>
          <w:lang w:val="es-ES_tradnl"/>
        </w:rPr>
        <w:t>Drawing</w:t>
      </w:r>
      <w:proofErr w:type="spellEnd"/>
      <w:r w:rsidR="00E77DC8" w:rsidRPr="007F1C29">
        <w:rPr>
          <w:rFonts w:ascii="Arial" w:eastAsia="Calibri" w:hAnsi="Arial" w:cs="Arial"/>
          <w:bCs/>
          <w:color w:val="000000" w:themeColor="text1"/>
          <w:sz w:val="22"/>
          <w:lang w:val="es-ES_tradnl"/>
        </w:rPr>
        <w:t xml:space="preserve"> </w:t>
      </w:r>
      <w:proofErr w:type="spellStart"/>
      <w:r w:rsidR="00E77DC8" w:rsidRPr="007F1C29">
        <w:rPr>
          <w:rFonts w:ascii="Arial" w:eastAsia="Calibri" w:hAnsi="Arial" w:cs="Arial"/>
          <w:bCs/>
          <w:color w:val="000000" w:themeColor="text1"/>
          <w:sz w:val="22"/>
          <w:lang w:val="es-ES_tradnl"/>
        </w:rPr>
        <w:t>Rights</w:t>
      </w:r>
      <w:proofErr w:type="spellEnd"/>
      <w:r w:rsidR="00E77DC8" w:rsidRPr="007F1C29">
        <w:rPr>
          <w:rFonts w:ascii="Arial" w:eastAsia="Calibri" w:hAnsi="Arial" w:cs="Arial"/>
          <w:bCs/>
          <w:color w:val="000000" w:themeColor="text1"/>
          <w:sz w:val="22"/>
          <w:lang w:val="es-ES_tradnl"/>
        </w:rPr>
        <w:t xml:space="preserve">, SDR por sus siglas en inglés–. Frente a este último, el Ministerio de Comercio, Industria y Turismo es el encargado de señalar, con la periodicidad definida en cada Acuerdo Comercial, el valor de conversión de estas monedas a pesos colombianos para determinar el umbral aplicable y la Agencia pone dichos valores a disposición de los partícipes del Sistema de Compra Pública en el siguiente enlace: </w:t>
      </w:r>
      <w:hyperlink r:id="rId12" w:history="1">
        <w:r w:rsidR="007F1C29" w:rsidRPr="007F1C29">
          <w:rPr>
            <w:rStyle w:val="Hipervnculo"/>
            <w:rFonts w:eastAsia="Calibri"/>
          </w:rPr>
          <w:t>https://colombiacompra.gov.co/compradores/acuerdos-comerciales-y-trato-nacional-por-reciprocidad</w:t>
        </w:r>
      </w:hyperlink>
      <w:r w:rsidR="00FF041C" w:rsidRPr="007F1C29">
        <w:rPr>
          <w:rFonts w:ascii="Arial" w:eastAsia="Calibri" w:hAnsi="Arial" w:cs="Arial"/>
          <w:bCs/>
          <w:color w:val="000000" w:themeColor="text1"/>
          <w:sz w:val="22"/>
          <w:lang w:val="es-ES_tradnl"/>
        </w:rPr>
        <w:t xml:space="preserve"> </w:t>
      </w:r>
      <w:r w:rsidR="00E77DC8" w:rsidRPr="007F1C29">
        <w:rPr>
          <w:rFonts w:ascii="Arial" w:eastAsia="Calibri" w:hAnsi="Arial" w:cs="Arial"/>
          <w:bCs/>
          <w:color w:val="000000" w:themeColor="text1"/>
          <w:sz w:val="22"/>
          <w:lang w:val="es-ES_tradnl"/>
        </w:rPr>
        <w:t xml:space="preserve"> </w:t>
      </w:r>
    </w:p>
    <w:p w14:paraId="4DDD9A68" w14:textId="34310E1C" w:rsidR="00F8658F" w:rsidRPr="007F1C29" w:rsidRDefault="00FF041C" w:rsidP="00E77DC8">
      <w:pPr>
        <w:spacing w:before="120" w:line="276" w:lineRule="auto"/>
        <w:ind w:firstLine="708"/>
        <w:jc w:val="both"/>
        <w:rPr>
          <w:rFonts w:ascii="Arial" w:eastAsia="Calibri" w:hAnsi="Arial" w:cs="Arial"/>
          <w:bCs/>
          <w:color w:val="000000" w:themeColor="text1"/>
          <w:sz w:val="22"/>
          <w:lang w:val="es-ES_tradnl"/>
        </w:rPr>
      </w:pPr>
      <w:r w:rsidRPr="007F1C29">
        <w:rPr>
          <w:rFonts w:ascii="Arial" w:eastAsia="Calibri" w:hAnsi="Arial" w:cs="Arial"/>
          <w:bCs/>
          <w:color w:val="000000" w:themeColor="text1"/>
          <w:sz w:val="22"/>
          <w:lang w:val="es-ES_tradnl"/>
        </w:rPr>
        <w:t>En armonía con lo anterior,</w:t>
      </w:r>
      <w:r w:rsidR="00F8658F" w:rsidRPr="007F1C29">
        <w:rPr>
          <w:rFonts w:ascii="Arial" w:eastAsia="Calibri" w:hAnsi="Arial" w:cs="Arial"/>
          <w:bCs/>
          <w:color w:val="000000" w:themeColor="text1"/>
          <w:sz w:val="22"/>
          <w:lang w:val="es-ES_tradnl"/>
        </w:rPr>
        <w:t xml:space="preserve"> las entidades deb</w:t>
      </w:r>
      <w:r w:rsidR="009F419D" w:rsidRPr="007F1C29">
        <w:rPr>
          <w:rFonts w:ascii="Arial" w:eastAsia="Calibri" w:hAnsi="Arial" w:cs="Arial"/>
          <w:bCs/>
          <w:color w:val="000000" w:themeColor="text1"/>
          <w:sz w:val="22"/>
          <w:lang w:val="es-ES_tradnl"/>
        </w:rPr>
        <w:t>e</w:t>
      </w:r>
      <w:r w:rsidR="00F8658F" w:rsidRPr="007F1C29">
        <w:rPr>
          <w:rFonts w:ascii="Arial" w:eastAsia="Calibri" w:hAnsi="Arial" w:cs="Arial"/>
          <w:bCs/>
          <w:color w:val="000000" w:themeColor="text1"/>
          <w:sz w:val="22"/>
          <w:lang w:val="es-ES_tradnl"/>
        </w:rPr>
        <w:t>n verificar s</w:t>
      </w:r>
      <w:r w:rsidRPr="007F1C29">
        <w:rPr>
          <w:rFonts w:ascii="Arial" w:eastAsia="Calibri" w:hAnsi="Arial" w:cs="Arial"/>
          <w:bCs/>
          <w:color w:val="000000" w:themeColor="text1"/>
          <w:sz w:val="22"/>
          <w:lang w:val="es-ES_tradnl"/>
        </w:rPr>
        <w:t>i</w:t>
      </w:r>
      <w:r w:rsidR="00F8658F" w:rsidRPr="007F1C29">
        <w:rPr>
          <w:rFonts w:ascii="Arial" w:eastAsia="Calibri" w:hAnsi="Arial" w:cs="Arial"/>
          <w:bCs/>
          <w:color w:val="000000" w:themeColor="text1"/>
          <w:sz w:val="22"/>
          <w:lang w:val="es-ES_tradnl"/>
        </w:rPr>
        <w:t xml:space="preserve"> los procesos de contratación se encuentran dentro de los umbrales de aplicación de los acuerdos comerciales; pues </w:t>
      </w:r>
      <w:r w:rsidR="009A2B47" w:rsidRPr="007F1C29">
        <w:rPr>
          <w:rFonts w:ascii="Arial" w:eastAsia="Calibri" w:hAnsi="Arial" w:cs="Arial"/>
          <w:bCs/>
          <w:color w:val="000000" w:themeColor="text1"/>
          <w:sz w:val="22"/>
          <w:lang w:val="es-ES_tradnl"/>
        </w:rPr>
        <w:t>en caso de que</w:t>
      </w:r>
      <w:r w:rsidR="00F8658F" w:rsidRPr="007F1C29">
        <w:rPr>
          <w:rFonts w:ascii="Arial" w:eastAsia="Calibri" w:hAnsi="Arial" w:cs="Arial"/>
          <w:bCs/>
          <w:color w:val="000000" w:themeColor="text1"/>
          <w:sz w:val="22"/>
          <w:lang w:val="es-ES_tradnl"/>
        </w:rPr>
        <w:t xml:space="preserve"> no se encuentren</w:t>
      </w:r>
      <w:r w:rsidR="002A7AAD" w:rsidRPr="007F1C29">
        <w:rPr>
          <w:rFonts w:ascii="Arial" w:eastAsia="Calibri" w:hAnsi="Arial" w:cs="Arial"/>
          <w:bCs/>
          <w:color w:val="000000" w:themeColor="text1"/>
          <w:sz w:val="22"/>
          <w:lang w:val="es-ES_tradnl"/>
        </w:rPr>
        <w:t xml:space="preserve"> comprendidos</w:t>
      </w:r>
      <w:r w:rsidR="009A2B47" w:rsidRPr="007F1C29">
        <w:rPr>
          <w:rFonts w:ascii="Arial" w:eastAsia="Calibri" w:hAnsi="Arial" w:cs="Arial"/>
          <w:bCs/>
          <w:color w:val="000000" w:themeColor="text1"/>
          <w:sz w:val="22"/>
          <w:lang w:val="es-ES_tradnl"/>
        </w:rPr>
        <w:t>,</w:t>
      </w:r>
      <w:r w:rsidR="00F8658F" w:rsidRPr="007F1C29">
        <w:rPr>
          <w:rFonts w:ascii="Arial" w:eastAsia="Calibri" w:hAnsi="Arial" w:cs="Arial"/>
          <w:bCs/>
          <w:color w:val="000000" w:themeColor="text1"/>
          <w:sz w:val="22"/>
          <w:lang w:val="es-ES_tradnl"/>
        </w:rPr>
        <w:t xml:space="preserve"> no deberán </w:t>
      </w:r>
      <w:r w:rsidR="002A7AAD" w:rsidRPr="007F1C29">
        <w:rPr>
          <w:rFonts w:ascii="Arial" w:eastAsia="Calibri" w:hAnsi="Arial" w:cs="Arial"/>
          <w:bCs/>
          <w:color w:val="000000" w:themeColor="text1"/>
          <w:sz w:val="22"/>
          <w:lang w:val="es-ES_tradnl"/>
        </w:rPr>
        <w:t>aplicarlos</w:t>
      </w:r>
      <w:r w:rsidR="00F8658F" w:rsidRPr="007F1C29">
        <w:rPr>
          <w:rFonts w:ascii="Arial" w:eastAsia="Calibri" w:hAnsi="Arial" w:cs="Arial"/>
          <w:bCs/>
          <w:color w:val="000000" w:themeColor="text1"/>
          <w:sz w:val="22"/>
          <w:lang w:val="es-ES_tradnl"/>
        </w:rPr>
        <w:t xml:space="preserve"> </w:t>
      </w:r>
      <w:r w:rsidR="002A3376" w:rsidRPr="007F1C29">
        <w:rPr>
          <w:rFonts w:ascii="Arial" w:eastAsia="Calibri" w:hAnsi="Arial" w:cs="Arial"/>
          <w:bCs/>
          <w:color w:val="000000" w:themeColor="text1"/>
          <w:sz w:val="22"/>
          <w:lang w:val="es-ES_tradnl"/>
        </w:rPr>
        <w:t>y</w:t>
      </w:r>
      <w:r w:rsidRPr="007F1C29">
        <w:rPr>
          <w:rFonts w:ascii="Arial" w:eastAsia="Calibri" w:hAnsi="Arial" w:cs="Arial"/>
          <w:bCs/>
          <w:color w:val="000000" w:themeColor="text1"/>
          <w:sz w:val="22"/>
          <w:lang w:val="es-ES_tradnl"/>
        </w:rPr>
        <w:t>,</w:t>
      </w:r>
      <w:r w:rsidR="002A3376" w:rsidRPr="007F1C29">
        <w:rPr>
          <w:rFonts w:ascii="Arial" w:eastAsia="Calibri" w:hAnsi="Arial" w:cs="Arial"/>
          <w:bCs/>
          <w:color w:val="000000" w:themeColor="text1"/>
          <w:sz w:val="22"/>
          <w:lang w:val="es-ES_tradnl"/>
        </w:rPr>
        <w:t xml:space="preserve"> por tanto</w:t>
      </w:r>
      <w:r w:rsidRPr="007F1C29">
        <w:rPr>
          <w:rFonts w:ascii="Arial" w:eastAsia="Calibri" w:hAnsi="Arial" w:cs="Arial"/>
          <w:bCs/>
          <w:color w:val="000000" w:themeColor="text1"/>
          <w:sz w:val="22"/>
          <w:lang w:val="es-ES_tradnl"/>
        </w:rPr>
        <w:t>,</w:t>
      </w:r>
      <w:r w:rsidR="006B19BC" w:rsidRPr="007F1C29">
        <w:rPr>
          <w:rFonts w:ascii="Arial" w:eastAsia="Calibri" w:hAnsi="Arial" w:cs="Arial"/>
          <w:bCs/>
          <w:color w:val="000000" w:themeColor="text1"/>
          <w:sz w:val="22"/>
          <w:lang w:val="es-ES_tradnl"/>
        </w:rPr>
        <w:t xml:space="preserve"> los compromisos y obligaciones consignados en </w:t>
      </w:r>
      <w:r w:rsidR="00392FE8" w:rsidRPr="007F1C29">
        <w:rPr>
          <w:rFonts w:ascii="Arial" w:eastAsia="Calibri" w:hAnsi="Arial" w:cs="Arial"/>
          <w:bCs/>
          <w:color w:val="000000" w:themeColor="text1"/>
          <w:sz w:val="22"/>
          <w:lang w:val="es-ES_tradnl"/>
        </w:rPr>
        <w:t xml:space="preserve">el </w:t>
      </w:r>
      <w:r w:rsidR="00A40D79" w:rsidRPr="007F1C29">
        <w:rPr>
          <w:rFonts w:ascii="Arial" w:eastAsia="Calibri" w:hAnsi="Arial" w:cs="Arial"/>
          <w:bCs/>
          <w:color w:val="000000" w:themeColor="text1"/>
          <w:sz w:val="22"/>
          <w:lang w:val="es-ES_tradnl"/>
        </w:rPr>
        <w:t>mismo</w:t>
      </w:r>
      <w:r w:rsidR="006B19BC" w:rsidRPr="007F1C29">
        <w:rPr>
          <w:rFonts w:ascii="Arial" w:eastAsia="Calibri" w:hAnsi="Arial" w:cs="Arial"/>
          <w:bCs/>
          <w:color w:val="000000" w:themeColor="text1"/>
          <w:sz w:val="22"/>
          <w:lang w:val="es-ES_tradnl"/>
        </w:rPr>
        <w:t xml:space="preserve"> no serán de obligatorio cumplimiento para el proceso de contratación en particular. </w:t>
      </w:r>
    </w:p>
    <w:p w14:paraId="6C3D8B68" w14:textId="3537F5AD" w:rsidR="00392FE8" w:rsidRPr="007F1C29" w:rsidRDefault="00D47295" w:rsidP="00E77DC8">
      <w:pPr>
        <w:spacing w:before="120" w:line="276" w:lineRule="auto"/>
        <w:ind w:firstLine="708"/>
        <w:jc w:val="both"/>
        <w:rPr>
          <w:rFonts w:ascii="Arial" w:eastAsia="Calibri" w:hAnsi="Arial" w:cs="Arial"/>
          <w:bCs/>
          <w:color w:val="000000" w:themeColor="text1"/>
          <w:sz w:val="22"/>
          <w:lang w:val="es-ES_tradnl"/>
        </w:rPr>
      </w:pPr>
      <w:r w:rsidRPr="007F1C29">
        <w:rPr>
          <w:rFonts w:ascii="Arial" w:eastAsia="Calibri" w:hAnsi="Arial" w:cs="Arial"/>
          <w:bCs/>
          <w:color w:val="000000" w:themeColor="text1"/>
          <w:sz w:val="22"/>
          <w:szCs w:val="22"/>
          <w:lang w:val="es-ES_tradnl"/>
        </w:rPr>
        <w:t>En todo caso, se resalta que,</w:t>
      </w:r>
      <w:r w:rsidRPr="007F1C29">
        <w:rPr>
          <w:rFonts w:ascii="Arial" w:eastAsia="Calibri" w:hAnsi="Arial" w:cs="Arial"/>
          <w:bCs/>
          <w:color w:val="000000" w:themeColor="text1"/>
          <w:sz w:val="22"/>
          <w:lang w:val="es-ES_tradnl"/>
        </w:rPr>
        <w:t xml:space="preserve"> por regla general, los umbrales que establecen los Acuerdos Comerciales son superiores al valor máximo de la mínima cuantía </w:t>
      </w:r>
      <w:r w:rsidR="005D39BB" w:rsidRPr="007F1C29">
        <w:rPr>
          <w:rFonts w:ascii="Arial" w:eastAsia="Calibri" w:hAnsi="Arial" w:cs="Arial"/>
          <w:bCs/>
          <w:color w:val="000000" w:themeColor="text1"/>
          <w:sz w:val="22"/>
          <w:lang w:val="es-ES_tradnl"/>
        </w:rPr>
        <w:t>y,</w:t>
      </w:r>
      <w:r w:rsidRPr="007F1C29">
        <w:rPr>
          <w:rFonts w:ascii="Arial" w:eastAsia="Calibri" w:hAnsi="Arial" w:cs="Arial"/>
          <w:bCs/>
          <w:color w:val="000000" w:themeColor="text1"/>
          <w:sz w:val="22"/>
          <w:lang w:val="es-ES_tradnl"/>
        </w:rPr>
        <w:t xml:space="preserve"> por tanto, </w:t>
      </w:r>
      <w:proofErr w:type="gramStart"/>
      <w:r w:rsidRPr="007F1C29">
        <w:rPr>
          <w:rFonts w:ascii="Arial" w:eastAsia="Calibri" w:hAnsi="Arial" w:cs="Arial"/>
          <w:bCs/>
          <w:color w:val="000000" w:themeColor="text1"/>
          <w:sz w:val="22"/>
          <w:lang w:val="es-ES_tradnl"/>
        </w:rPr>
        <w:t xml:space="preserve">en razón </w:t>
      </w:r>
      <w:r w:rsidR="002A7AAD" w:rsidRPr="007F1C29">
        <w:rPr>
          <w:rFonts w:ascii="Arial" w:eastAsia="Calibri" w:hAnsi="Arial" w:cs="Arial"/>
          <w:bCs/>
          <w:color w:val="000000" w:themeColor="text1"/>
          <w:sz w:val="22"/>
          <w:lang w:val="es-ES_tradnl"/>
        </w:rPr>
        <w:t>de</w:t>
      </w:r>
      <w:r w:rsidRPr="007F1C29">
        <w:rPr>
          <w:rFonts w:ascii="Arial" w:eastAsia="Calibri" w:hAnsi="Arial" w:cs="Arial"/>
          <w:bCs/>
          <w:color w:val="000000" w:themeColor="text1"/>
          <w:sz w:val="22"/>
          <w:lang w:val="es-ES_tradnl"/>
        </w:rPr>
        <w:t>l</w:t>
      </w:r>
      <w:proofErr w:type="gramEnd"/>
      <w:r w:rsidRPr="007F1C29">
        <w:rPr>
          <w:rFonts w:ascii="Arial" w:eastAsia="Calibri" w:hAnsi="Arial" w:cs="Arial"/>
          <w:bCs/>
          <w:color w:val="000000" w:themeColor="text1"/>
          <w:sz w:val="22"/>
          <w:lang w:val="es-ES_tradnl"/>
        </w:rPr>
        <w:t xml:space="preserve"> umbral, los procesos de contratación mediante la modalidad de mínima cuantía, generalmente, no resultarían cubiertos por los Acuerdos Comerciales.</w:t>
      </w:r>
    </w:p>
    <w:p w14:paraId="23838C3F" w14:textId="3ED8BE05" w:rsidR="00CC564A" w:rsidRPr="007F1C29" w:rsidRDefault="00CC564A" w:rsidP="006E60F0">
      <w:pPr>
        <w:tabs>
          <w:tab w:val="left" w:pos="0"/>
        </w:tabs>
        <w:spacing w:before="120" w:after="240" w:line="276" w:lineRule="auto"/>
        <w:jc w:val="both"/>
        <w:rPr>
          <w:rFonts w:ascii="Arial" w:eastAsia="Calibri" w:hAnsi="Arial" w:cs="Arial"/>
          <w:bCs/>
          <w:color w:val="000000" w:themeColor="text1"/>
          <w:sz w:val="22"/>
          <w:szCs w:val="22"/>
          <w:lang w:val="es-ES_tradnl"/>
        </w:rPr>
      </w:pPr>
      <w:r w:rsidRPr="007F1C29">
        <w:rPr>
          <w:rFonts w:ascii="Arial" w:eastAsia="Calibri" w:hAnsi="Arial" w:cs="Arial"/>
          <w:bCs/>
          <w:color w:val="000000" w:themeColor="text1"/>
          <w:sz w:val="22"/>
          <w:szCs w:val="22"/>
          <w:lang w:val="es-ES_tradnl"/>
        </w:rPr>
        <w:tab/>
      </w:r>
      <w:r w:rsidR="00774656" w:rsidRPr="007F1C29">
        <w:rPr>
          <w:rFonts w:ascii="Arial" w:eastAsia="Calibri" w:hAnsi="Arial" w:cs="Arial"/>
          <w:bCs/>
          <w:color w:val="000000" w:themeColor="text1"/>
          <w:sz w:val="22"/>
          <w:szCs w:val="22"/>
          <w:lang w:val="es-ES_tradnl"/>
        </w:rPr>
        <w:t>Finalmente, e</w:t>
      </w:r>
      <w:r w:rsidR="00CC534D" w:rsidRPr="007F1C29">
        <w:rPr>
          <w:rFonts w:ascii="Arial" w:eastAsia="Calibri" w:hAnsi="Arial" w:cs="Arial"/>
          <w:bCs/>
          <w:color w:val="000000" w:themeColor="text1"/>
          <w:sz w:val="22"/>
          <w:szCs w:val="22"/>
          <w:lang w:val="es-ES_tradnl"/>
        </w:rPr>
        <w:t>n el marc</w:t>
      </w:r>
      <w:r w:rsidR="006F7E16" w:rsidRPr="007F1C29">
        <w:rPr>
          <w:rFonts w:ascii="Arial" w:eastAsia="Calibri" w:hAnsi="Arial" w:cs="Arial"/>
          <w:bCs/>
          <w:color w:val="000000" w:themeColor="text1"/>
          <w:sz w:val="22"/>
          <w:szCs w:val="22"/>
          <w:lang w:val="es-ES_tradnl"/>
        </w:rPr>
        <w:t xml:space="preserve">o </w:t>
      </w:r>
      <w:r w:rsidR="00774656" w:rsidRPr="007F1C29">
        <w:rPr>
          <w:rFonts w:ascii="Arial" w:eastAsia="Calibri" w:hAnsi="Arial" w:cs="Arial"/>
          <w:bCs/>
          <w:color w:val="000000" w:themeColor="text1"/>
          <w:sz w:val="22"/>
          <w:szCs w:val="22"/>
          <w:lang w:val="es-ES_tradnl"/>
        </w:rPr>
        <w:t xml:space="preserve">de lo </w:t>
      </w:r>
      <w:r w:rsidR="006F7E16" w:rsidRPr="007F1C29">
        <w:rPr>
          <w:rFonts w:ascii="Arial" w:eastAsia="Calibri" w:hAnsi="Arial" w:cs="Arial"/>
          <w:bCs/>
          <w:color w:val="000000" w:themeColor="text1"/>
          <w:sz w:val="22"/>
          <w:szCs w:val="22"/>
          <w:lang w:val="es-ES_tradnl"/>
        </w:rPr>
        <w:t>hasta aquí expuesto</w:t>
      </w:r>
      <w:r w:rsidRPr="007F1C29">
        <w:rPr>
          <w:rFonts w:ascii="Arial" w:eastAsia="Calibri" w:hAnsi="Arial" w:cs="Arial"/>
          <w:bCs/>
          <w:color w:val="000000" w:themeColor="text1"/>
          <w:sz w:val="22"/>
          <w:szCs w:val="22"/>
          <w:lang w:val="es-ES_tradnl"/>
        </w:rPr>
        <w:t xml:space="preserve">,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 condensa y explica los deberes internacionales del </w:t>
      </w:r>
      <w:r w:rsidR="002A7AAD" w:rsidRPr="007F1C29">
        <w:rPr>
          <w:rFonts w:ascii="Arial" w:eastAsia="Calibri" w:hAnsi="Arial" w:cs="Arial"/>
          <w:bCs/>
          <w:color w:val="000000" w:themeColor="text1"/>
          <w:sz w:val="22"/>
          <w:szCs w:val="22"/>
          <w:lang w:val="es-ES_tradnl"/>
        </w:rPr>
        <w:t>E</w:t>
      </w:r>
      <w:r w:rsidRPr="007F1C29">
        <w:rPr>
          <w:rFonts w:ascii="Arial" w:eastAsia="Calibri" w:hAnsi="Arial" w:cs="Arial"/>
          <w:bCs/>
          <w:color w:val="000000" w:themeColor="text1"/>
          <w:sz w:val="22"/>
          <w:szCs w:val="22"/>
          <w:lang w:val="es-ES_tradnl"/>
        </w:rPr>
        <w:t>stado colombiano que deben iluminar la actuación de las entidades estatales contratantes</w:t>
      </w:r>
      <w:r w:rsidR="00C96F84" w:rsidRPr="007F1C29">
        <w:rPr>
          <w:rFonts w:ascii="Arial" w:eastAsia="Calibri" w:hAnsi="Arial" w:cs="Arial"/>
          <w:bCs/>
          <w:color w:val="000000" w:themeColor="text1"/>
          <w:sz w:val="22"/>
          <w:szCs w:val="22"/>
          <w:lang w:val="es-ES_tradnl"/>
        </w:rPr>
        <w:t xml:space="preserve">, así como la cobertura </w:t>
      </w:r>
      <w:r w:rsidR="0063649F" w:rsidRPr="007F1C29">
        <w:rPr>
          <w:rFonts w:ascii="Arial" w:eastAsia="Calibri" w:hAnsi="Arial" w:cs="Arial"/>
          <w:bCs/>
          <w:color w:val="000000" w:themeColor="text1"/>
          <w:sz w:val="22"/>
          <w:szCs w:val="22"/>
          <w:lang w:val="es-ES_tradnl"/>
        </w:rPr>
        <w:t>de los acuerdos desde el punto de vista de los umbrales y desde el criterio orgánico de las entidades cubiertas.</w:t>
      </w:r>
    </w:p>
    <w:p w14:paraId="4A916A11" w14:textId="3348F63C" w:rsidR="001D5737" w:rsidRPr="007F1C29" w:rsidRDefault="001D5737" w:rsidP="001D5737">
      <w:pPr>
        <w:spacing w:line="276" w:lineRule="auto"/>
        <w:rPr>
          <w:rFonts w:ascii="Arial" w:hAnsi="Arial" w:cs="Arial"/>
          <w:b/>
          <w:bCs/>
          <w:sz w:val="22"/>
          <w:szCs w:val="22"/>
          <w:lang w:eastAsia="es-CO"/>
        </w:rPr>
      </w:pPr>
      <w:r w:rsidRPr="007F1C29">
        <w:rPr>
          <w:rFonts w:ascii="Arial" w:hAnsi="Arial" w:cs="Arial"/>
          <w:b/>
          <w:bCs/>
          <w:sz w:val="22"/>
          <w:szCs w:val="22"/>
          <w:lang w:val="es-ES" w:eastAsia="es-CO"/>
        </w:rPr>
        <w:t xml:space="preserve">2.3 Vinculatoriedad de las </w:t>
      </w:r>
      <w:r w:rsidRPr="007F1C29">
        <w:rPr>
          <w:rFonts w:ascii="Arial" w:hAnsi="Arial" w:cs="Arial"/>
          <w:b/>
          <w:bCs/>
          <w:sz w:val="22"/>
          <w:szCs w:val="22"/>
          <w:lang w:eastAsia="es-CO"/>
        </w:rPr>
        <w:t xml:space="preserve">Guías, Manuales y Circulares </w:t>
      </w:r>
    </w:p>
    <w:p w14:paraId="479EF0A2" w14:textId="77777777" w:rsidR="001D5737" w:rsidRPr="007F1C29" w:rsidRDefault="001D5737" w:rsidP="001D5737">
      <w:pPr>
        <w:spacing w:before="240" w:after="120" w:line="276" w:lineRule="auto"/>
        <w:jc w:val="both"/>
        <w:rPr>
          <w:rFonts w:ascii="Arial" w:hAnsi="Arial" w:cs="Arial"/>
          <w:sz w:val="22"/>
          <w:szCs w:val="22"/>
          <w:lang w:eastAsia="es-CO"/>
        </w:rPr>
      </w:pPr>
      <w:r w:rsidRPr="007F1C29">
        <w:rPr>
          <w:rFonts w:ascii="Arial" w:hAnsi="Arial" w:cs="Arial"/>
          <w:sz w:val="22"/>
          <w:szCs w:val="22"/>
          <w:lang w:eastAsia="es-CO"/>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w:t>
      </w:r>
    </w:p>
    <w:p w14:paraId="37824441" w14:textId="77777777" w:rsidR="001D5737" w:rsidRPr="007F1C29" w:rsidRDefault="001D5737" w:rsidP="001D5737">
      <w:pPr>
        <w:spacing w:before="93" w:after="120" w:line="276" w:lineRule="auto"/>
        <w:ind w:firstLine="708"/>
        <w:jc w:val="both"/>
        <w:rPr>
          <w:rFonts w:ascii="Arial" w:hAnsi="Arial" w:cs="Arial"/>
          <w:sz w:val="22"/>
          <w:szCs w:val="22"/>
          <w:lang w:eastAsia="es-CO"/>
        </w:rPr>
      </w:pPr>
      <w:r w:rsidRPr="007F1C29">
        <w:rPr>
          <w:rFonts w:ascii="Arial" w:hAnsi="Arial" w:cs="Arial"/>
          <w:sz w:val="22"/>
          <w:szCs w:val="22"/>
          <w:lang w:eastAsia="es-CO"/>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1B813D71" w14:textId="77777777" w:rsidR="001D5737" w:rsidRPr="007F1C29" w:rsidRDefault="001D5737" w:rsidP="001D5737">
      <w:pPr>
        <w:spacing w:after="120" w:line="276" w:lineRule="auto"/>
        <w:ind w:firstLine="708"/>
        <w:jc w:val="both"/>
        <w:rPr>
          <w:rFonts w:ascii="Arial" w:hAnsi="Arial" w:cs="Arial"/>
          <w:sz w:val="22"/>
          <w:szCs w:val="22"/>
          <w:lang w:eastAsia="es-CO"/>
        </w:rPr>
      </w:pPr>
      <w:r w:rsidRPr="007F1C29">
        <w:rPr>
          <w:rFonts w:ascii="Arial" w:hAnsi="Arial" w:cs="Arial"/>
          <w:sz w:val="22"/>
          <w:szCs w:val="22"/>
          <w:lang w:eastAsia="es-CO"/>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w:t>
      </w:r>
      <w:r w:rsidRPr="007F1C29">
        <w:rPr>
          <w:rFonts w:ascii="Arial" w:hAnsi="Arial" w:cs="Arial"/>
          <w:sz w:val="22"/>
          <w:szCs w:val="22"/>
          <w:lang w:eastAsia="es-CO"/>
        </w:rPr>
        <w:lastRenderedPageBreak/>
        <w:t>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481EEAFF" w14:textId="77777777" w:rsidR="001D5737" w:rsidRPr="007F1C29" w:rsidRDefault="001D5737" w:rsidP="001D5737">
      <w:pPr>
        <w:spacing w:after="120" w:line="276" w:lineRule="auto"/>
        <w:ind w:firstLine="708"/>
        <w:jc w:val="both"/>
        <w:rPr>
          <w:rFonts w:ascii="Arial" w:hAnsi="Arial" w:cs="Arial"/>
          <w:sz w:val="22"/>
          <w:szCs w:val="22"/>
          <w:lang w:eastAsia="es-CO"/>
        </w:rPr>
      </w:pPr>
      <w:r w:rsidRPr="007F1C29">
        <w:rPr>
          <w:rFonts w:ascii="Arial" w:hAnsi="Arial" w:cs="Arial"/>
          <w:sz w:val="22"/>
          <w:szCs w:val="22"/>
          <w:lang w:eastAsia="es-CO"/>
        </w:rPr>
        <w:t>En ejercicio de estas competencias conferidas por el Decreto Ley 4170 de 2011, Colombia Compra Eficiente ha expedido Guías, Manuales y Circulares, los cuales pueden ser calificados como herramientas de apoyo a los partícipes de la contratación pública.</w:t>
      </w:r>
    </w:p>
    <w:p w14:paraId="652A1565" w14:textId="77777777" w:rsidR="001D5737" w:rsidRPr="007F1C29" w:rsidRDefault="001D5737" w:rsidP="001D5737">
      <w:pPr>
        <w:spacing w:after="120" w:line="276" w:lineRule="auto"/>
        <w:ind w:firstLine="708"/>
        <w:jc w:val="both"/>
        <w:rPr>
          <w:rFonts w:ascii="Arial" w:hAnsi="Arial" w:cs="Arial"/>
          <w:sz w:val="22"/>
          <w:szCs w:val="22"/>
          <w:lang w:eastAsia="es-CO"/>
        </w:rPr>
      </w:pPr>
      <w:r w:rsidRPr="007F1C29">
        <w:rPr>
          <w:rFonts w:ascii="Arial" w:hAnsi="Arial" w:cs="Arial"/>
          <w:sz w:val="22"/>
          <w:szCs w:val="22"/>
          <w:lang w:eastAsia="es-CO"/>
        </w:rPr>
        <w:t>A pesar de que el Decreto Ley 4170 de 2011 no contiene de manera expresa los vocablos Guía o Manual, Colombia Compra Eficiente, a partir del 2013,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1A83BEF3" w14:textId="77777777" w:rsidR="001D5737" w:rsidRPr="007F1C29" w:rsidRDefault="001D5737" w:rsidP="001D5737">
      <w:pPr>
        <w:spacing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Bajo las denominaciones de Guías, Manuales, instructivos y protocolos muchas entidades del Estado han adoptado herramientas e instrumentos para definir criterios técnicos, fijar procedimientos, estandarizar procesos y establecer metodologías, aunque no existe un significado unívoco que defina cada herramienta</w:t>
      </w:r>
      <w:r w:rsidRPr="007F1C29">
        <w:rPr>
          <w:rFonts w:ascii="Arial" w:hAnsi="Arial" w:cs="Arial"/>
          <w:sz w:val="22"/>
          <w:szCs w:val="22"/>
          <w:vertAlign w:val="superscript"/>
          <w:lang w:eastAsia="es-CO"/>
        </w:rPr>
        <w:footnoteReference w:id="12"/>
      </w:r>
      <w:r w:rsidRPr="007F1C29">
        <w:rPr>
          <w:rFonts w:ascii="Arial" w:hAnsi="Arial" w:cs="Arial"/>
          <w:sz w:val="22"/>
          <w:szCs w:val="22"/>
          <w:lang w:eastAsia="es-CO"/>
        </w:rPr>
        <w:t>.</w:t>
      </w:r>
    </w:p>
    <w:p w14:paraId="4B414266" w14:textId="77777777" w:rsidR="001D5737" w:rsidRPr="007F1C29" w:rsidRDefault="001D5737" w:rsidP="001D5737">
      <w:pPr>
        <w:spacing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219D1FE5" w14:textId="77777777" w:rsidR="001D5737" w:rsidRPr="007F1C29" w:rsidRDefault="001D5737" w:rsidP="001D5737">
      <w:pPr>
        <w:spacing w:before="1"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 xml:space="preserve">Las Guías, por su parte, se han entendido como documentos técnicos que indican generalmente un procedimiento sobre cómo deben operarse ciertos temas por parte de los </w:t>
      </w:r>
      <w:r w:rsidRPr="007F1C29">
        <w:rPr>
          <w:rFonts w:ascii="Arial" w:hAnsi="Arial" w:cs="Arial"/>
          <w:sz w:val="22"/>
          <w:szCs w:val="22"/>
          <w:lang w:eastAsia="es-CO"/>
        </w:rPr>
        <w:lastRenderedPageBreak/>
        <w:t xml:space="preserve">partícipes del Sistema de Compra Pública. Así, por ejemplo, se han expedido guías de compras públicas socialmente responsables o guía para la liquidación de los contratos estatales, la cual fija un procedimiento para el efecto. </w:t>
      </w:r>
    </w:p>
    <w:p w14:paraId="23DD49B1" w14:textId="5C38DC23" w:rsidR="001D5737" w:rsidRPr="007F1C29" w:rsidRDefault="001D5737" w:rsidP="001D5737">
      <w:pPr>
        <w:spacing w:before="240" w:after="240" w:line="276" w:lineRule="auto"/>
        <w:ind w:right="40"/>
        <w:jc w:val="both"/>
        <w:rPr>
          <w:rFonts w:ascii="Arial" w:hAnsi="Arial" w:cs="Arial"/>
          <w:b/>
          <w:bCs/>
          <w:sz w:val="22"/>
          <w:szCs w:val="22"/>
          <w:lang w:eastAsia="es-CO"/>
        </w:rPr>
      </w:pPr>
      <w:r w:rsidRPr="007F1C29">
        <w:rPr>
          <w:rFonts w:ascii="Arial" w:hAnsi="Arial" w:cs="Arial"/>
          <w:b/>
          <w:bCs/>
          <w:sz w:val="22"/>
          <w:szCs w:val="22"/>
          <w:lang w:eastAsia="es-CO"/>
        </w:rPr>
        <w:t>2.3.1 Obligatoriedad de los instrumentos y herramientas expedidas por Colombia Compra</w:t>
      </w:r>
      <w:r w:rsidRPr="007F1C29">
        <w:rPr>
          <w:rFonts w:ascii="Arial" w:hAnsi="Arial" w:cs="Arial"/>
          <w:b/>
          <w:bCs/>
          <w:spacing w:val="-2"/>
          <w:sz w:val="22"/>
          <w:szCs w:val="22"/>
          <w:lang w:eastAsia="es-CO"/>
        </w:rPr>
        <w:t xml:space="preserve"> </w:t>
      </w:r>
      <w:r w:rsidRPr="007F1C29">
        <w:rPr>
          <w:rFonts w:ascii="Arial" w:hAnsi="Arial" w:cs="Arial"/>
          <w:b/>
          <w:bCs/>
          <w:sz w:val="22"/>
          <w:szCs w:val="22"/>
          <w:lang w:eastAsia="es-CO"/>
        </w:rPr>
        <w:t>Eficiente</w:t>
      </w:r>
    </w:p>
    <w:p w14:paraId="7B60D94C" w14:textId="77777777" w:rsidR="001D5737" w:rsidRPr="007F1C29" w:rsidRDefault="001D5737" w:rsidP="001D5737">
      <w:pPr>
        <w:spacing w:after="120" w:line="276" w:lineRule="auto"/>
        <w:ind w:right="42"/>
        <w:jc w:val="both"/>
        <w:rPr>
          <w:rFonts w:ascii="Arial" w:hAnsi="Arial" w:cs="Arial"/>
          <w:sz w:val="22"/>
          <w:szCs w:val="22"/>
          <w:lang w:eastAsia="es-CO"/>
        </w:rPr>
      </w:pPr>
      <w:r w:rsidRPr="007F1C29">
        <w:rPr>
          <w:rFonts w:ascii="Arial" w:hAnsi="Arial" w:cs="Arial"/>
          <w:sz w:val="22"/>
          <w:szCs w:val="22"/>
          <w:lang w:eastAsia="es-CO"/>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7F1C29">
        <w:rPr>
          <w:rFonts w:ascii="Arial" w:hAnsi="Arial" w:cs="Arial"/>
          <w:spacing w:val="-8"/>
          <w:sz w:val="22"/>
          <w:szCs w:val="22"/>
          <w:lang w:eastAsia="es-CO"/>
        </w:rPr>
        <w:t xml:space="preserve"> </w:t>
      </w:r>
      <w:r w:rsidRPr="007F1C29">
        <w:rPr>
          <w:rFonts w:ascii="Arial" w:hAnsi="Arial" w:cs="Arial"/>
          <w:sz w:val="22"/>
          <w:szCs w:val="22"/>
          <w:lang w:eastAsia="es-CO"/>
        </w:rPr>
        <w:t>proceso.</w:t>
      </w:r>
    </w:p>
    <w:p w14:paraId="4D7D3C2F" w14:textId="77777777" w:rsidR="001D5737" w:rsidRPr="007F1C29" w:rsidRDefault="001D5737" w:rsidP="001D5737">
      <w:pPr>
        <w:spacing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7F1C29">
        <w:rPr>
          <w:rFonts w:ascii="Arial" w:hAnsi="Arial" w:cs="Arial"/>
          <w:sz w:val="22"/>
          <w:szCs w:val="22"/>
          <w:vertAlign w:val="superscript"/>
          <w:lang w:eastAsia="es-CO"/>
        </w:rPr>
        <w:footnoteReference w:id="13"/>
      </w:r>
      <w:r w:rsidRPr="007F1C29">
        <w:rPr>
          <w:rFonts w:ascii="Arial" w:hAnsi="Arial" w:cs="Arial"/>
          <w:sz w:val="22"/>
          <w:szCs w:val="22"/>
          <w:lang w:eastAsia="es-CO"/>
        </w:rPr>
        <w:t>.</w:t>
      </w:r>
    </w:p>
    <w:p w14:paraId="587AAF6A" w14:textId="77777777" w:rsidR="001D5737" w:rsidRPr="007F1C29" w:rsidRDefault="001D5737" w:rsidP="001D5737">
      <w:pPr>
        <w:spacing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o Manual su aplicación era facultativa, y por tanto su rango normativo no pasaba de ser una recomendación de buenas prácticas administrativas.</w:t>
      </w:r>
    </w:p>
    <w:p w14:paraId="75A85543" w14:textId="77777777" w:rsidR="001D5737" w:rsidRPr="007F1C29" w:rsidRDefault="001D5737" w:rsidP="001D5737">
      <w:pPr>
        <w:spacing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Ahora bien, en el 2017 la Subdirección de Gestión Contractual acogió un enfoque sustantivo sobre el carácter obligatorio de los actos expedidos por la entidad. Esto quiere decir que con</w:t>
      </w:r>
      <w:r w:rsidRPr="007F1C29">
        <w:rPr>
          <w:rFonts w:ascii="Arial" w:hAnsi="Arial" w:cs="Arial"/>
          <w:spacing w:val="1"/>
          <w:sz w:val="22"/>
          <w:szCs w:val="22"/>
          <w:lang w:eastAsia="es-CO"/>
        </w:rPr>
        <w:t xml:space="preserve"> </w:t>
      </w:r>
      <w:r w:rsidRPr="007F1C29">
        <w:rPr>
          <w:rFonts w:ascii="Arial" w:hAnsi="Arial" w:cs="Arial"/>
          <w:sz w:val="22"/>
          <w:szCs w:val="22"/>
          <w:lang w:eastAsia="es-CO"/>
        </w:rPr>
        <w:t>independencia de la forma que adopte la directriz, su carácter obligatorio o no está determinado por la existencia de una competencia legal o reglamentaria para regular el asunto en concreto.</w:t>
      </w:r>
    </w:p>
    <w:p w14:paraId="55DBF0C9" w14:textId="77777777" w:rsidR="001D5737" w:rsidRPr="007F1C29" w:rsidRDefault="001D5737" w:rsidP="001D5737">
      <w:pPr>
        <w:spacing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 xml:space="preserve">En otras palabras, lo que define la obligatoriedad de determinado acto que expida la entidad no es que se adopte mediante Circular Externa, sino que el contenido sea de aquellos cuya regulación ha sido encargada por el legislador o el </w:t>
      </w:r>
      <w:proofErr w:type="gramStart"/>
      <w:r w:rsidRPr="007F1C29">
        <w:rPr>
          <w:rFonts w:ascii="Arial" w:hAnsi="Arial" w:cs="Arial"/>
          <w:sz w:val="22"/>
          <w:szCs w:val="22"/>
          <w:lang w:eastAsia="es-CO"/>
        </w:rPr>
        <w:t>Presidente</w:t>
      </w:r>
      <w:proofErr w:type="gramEnd"/>
      <w:r w:rsidRPr="007F1C29">
        <w:rPr>
          <w:rFonts w:ascii="Arial" w:hAnsi="Arial" w:cs="Arial"/>
          <w:sz w:val="22"/>
          <w:szCs w:val="22"/>
          <w:lang w:eastAsia="es-CO"/>
        </w:rPr>
        <w:t xml:space="preserve"> de la </w:t>
      </w:r>
      <w:r w:rsidRPr="007F1C29">
        <w:rPr>
          <w:rFonts w:ascii="Arial" w:hAnsi="Arial" w:cs="Arial"/>
          <w:sz w:val="22"/>
          <w:szCs w:val="22"/>
          <w:lang w:eastAsia="es-CO"/>
        </w:rPr>
        <w:lastRenderedPageBreak/>
        <w:t>República a la Agencia Nacional de Contratación Pública. Lo anterior hace referencia a la competencia, como uno de los elementos que caracteriza a los actos administrativos.</w:t>
      </w:r>
    </w:p>
    <w:p w14:paraId="71B13C30" w14:textId="77777777" w:rsidR="001D5737" w:rsidRPr="007F1C29" w:rsidRDefault="001D5737" w:rsidP="001D5737">
      <w:pPr>
        <w:spacing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la potencialidad de producir efectos jurídicos.</w:t>
      </w:r>
    </w:p>
    <w:p w14:paraId="375EF03A" w14:textId="77777777" w:rsidR="001D5737" w:rsidRPr="007F1C29" w:rsidRDefault="001D5737" w:rsidP="001D5737">
      <w:pPr>
        <w:spacing w:before="1" w:after="120" w:line="276" w:lineRule="auto"/>
        <w:ind w:right="42" w:firstLine="708"/>
        <w:jc w:val="both"/>
        <w:rPr>
          <w:rFonts w:ascii="Arial" w:hAnsi="Arial" w:cs="Arial"/>
          <w:sz w:val="22"/>
          <w:szCs w:val="22"/>
          <w:lang w:eastAsia="es-CO"/>
        </w:rPr>
      </w:pPr>
      <w:r w:rsidRPr="007F1C29">
        <w:rPr>
          <w:rFonts w:ascii="Arial" w:hAnsi="Arial" w:cs="Arial"/>
          <w:sz w:val="22"/>
          <w:szCs w:val="22"/>
          <w:lang w:eastAsia="es-CO"/>
        </w:rPr>
        <w:t xml:space="preserve">Este enfoque sustantivo o material en relación con la obligatoriedad de las Circulares, Guías, Manuales o Documentos Tipo se corresponde al entendimiento que la jurisprudencia del Consejo de Estado ha tenido para determinar si se está ante un acto de la administración controlable por la jurisdicción </w:t>
      </w:r>
      <w:proofErr w:type="gramStart"/>
      <w:r w:rsidRPr="007F1C29">
        <w:rPr>
          <w:rFonts w:ascii="Arial" w:hAnsi="Arial" w:cs="Arial"/>
          <w:sz w:val="22"/>
          <w:szCs w:val="22"/>
          <w:lang w:eastAsia="es-CO"/>
        </w:rPr>
        <w:t>contencioso administrativa</w:t>
      </w:r>
      <w:proofErr w:type="gramEnd"/>
      <w:r w:rsidRPr="007F1C29">
        <w:rPr>
          <w:rFonts w:ascii="Arial" w:hAnsi="Arial" w:cs="Arial"/>
          <w:sz w:val="22"/>
          <w:szCs w:val="22"/>
          <w:lang w:eastAsia="es-CO"/>
        </w:rPr>
        <w:t xml:space="preserve">, esto es, si se está en presencia de un acto administrativo. </w:t>
      </w:r>
    </w:p>
    <w:p w14:paraId="5032C566" w14:textId="269AB5AA" w:rsidR="001D5737" w:rsidRPr="007F1C29" w:rsidRDefault="001D5737" w:rsidP="001D5737">
      <w:pPr>
        <w:spacing w:before="240" w:after="240"/>
        <w:ind w:right="51"/>
        <w:jc w:val="both"/>
        <w:rPr>
          <w:rFonts w:ascii="Arial" w:hAnsi="Arial" w:cs="Arial"/>
          <w:sz w:val="22"/>
          <w:szCs w:val="22"/>
          <w:lang w:eastAsia="en-US"/>
        </w:rPr>
      </w:pPr>
      <w:r w:rsidRPr="007F1C29">
        <w:rPr>
          <w:rFonts w:ascii="Arial" w:hAnsi="Arial" w:cs="Arial"/>
          <w:b/>
          <w:bCs/>
          <w:sz w:val="22"/>
          <w:szCs w:val="22"/>
          <w:lang w:eastAsia="en-US"/>
        </w:rPr>
        <w:t>2.3.2. Posición del Consejo de Estado en torno a la obligatoriedad de los instrumentos y herramientas expedidas por Colombia Compra</w:t>
      </w:r>
      <w:r w:rsidRPr="007F1C29">
        <w:rPr>
          <w:rFonts w:ascii="Arial" w:hAnsi="Arial" w:cs="Arial"/>
          <w:b/>
          <w:bCs/>
          <w:spacing w:val="-11"/>
          <w:sz w:val="22"/>
          <w:szCs w:val="22"/>
          <w:lang w:eastAsia="en-US"/>
        </w:rPr>
        <w:t xml:space="preserve"> </w:t>
      </w:r>
      <w:r w:rsidRPr="007F1C29">
        <w:rPr>
          <w:rFonts w:ascii="Arial" w:hAnsi="Arial" w:cs="Arial"/>
          <w:b/>
          <w:bCs/>
          <w:sz w:val="22"/>
          <w:szCs w:val="22"/>
          <w:lang w:eastAsia="en-US"/>
        </w:rPr>
        <w:t xml:space="preserve">Eficiente </w:t>
      </w:r>
    </w:p>
    <w:p w14:paraId="46CBBC36" w14:textId="77777777" w:rsidR="001D5737" w:rsidRPr="007F1C29" w:rsidRDefault="001D5737" w:rsidP="001D5737">
      <w:pPr>
        <w:spacing w:before="93" w:after="120" w:line="276" w:lineRule="auto"/>
        <w:ind w:right="49"/>
        <w:jc w:val="both"/>
        <w:rPr>
          <w:rFonts w:ascii="Arial" w:hAnsi="Arial" w:cs="Arial"/>
          <w:sz w:val="22"/>
          <w:szCs w:val="22"/>
          <w:lang w:eastAsia="es-CO"/>
        </w:rPr>
      </w:pPr>
      <w:r w:rsidRPr="007F1C29">
        <w:rPr>
          <w:rFonts w:ascii="Arial" w:hAnsi="Arial" w:cs="Arial"/>
          <w:sz w:val="22"/>
          <w:szCs w:val="22"/>
          <w:lang w:eastAsia="es-CO"/>
        </w:rPr>
        <w:t xml:space="preserve">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w:t>
      </w:r>
      <w:proofErr w:type="gramStart"/>
      <w:r w:rsidRPr="007F1C29">
        <w:rPr>
          <w:rFonts w:ascii="Arial" w:hAnsi="Arial" w:cs="Arial"/>
          <w:sz w:val="22"/>
          <w:szCs w:val="22"/>
          <w:lang w:eastAsia="es-CO"/>
        </w:rPr>
        <w:t>Presidente</w:t>
      </w:r>
      <w:proofErr w:type="gramEnd"/>
      <w:r w:rsidRPr="007F1C29">
        <w:rPr>
          <w:rFonts w:ascii="Arial" w:hAnsi="Arial" w:cs="Arial"/>
          <w:sz w:val="22"/>
          <w:szCs w:val="22"/>
          <w:lang w:eastAsia="es-CO"/>
        </w:rPr>
        <w:t xml:space="preserve"> de la República en ejercicio de la potestad reglamentaria del numeral 11 del artículo 189 de la Constitución</w:t>
      </w:r>
      <w:r w:rsidRPr="007F1C29">
        <w:rPr>
          <w:rFonts w:ascii="Arial" w:hAnsi="Arial" w:cs="Arial"/>
          <w:spacing w:val="-6"/>
          <w:sz w:val="22"/>
          <w:szCs w:val="22"/>
          <w:lang w:eastAsia="es-CO"/>
        </w:rPr>
        <w:t xml:space="preserve"> </w:t>
      </w:r>
      <w:r w:rsidRPr="007F1C29">
        <w:rPr>
          <w:rFonts w:ascii="Arial" w:hAnsi="Arial" w:cs="Arial"/>
          <w:sz w:val="22"/>
          <w:szCs w:val="22"/>
          <w:lang w:eastAsia="es-CO"/>
        </w:rPr>
        <w:t>Política.</w:t>
      </w:r>
    </w:p>
    <w:p w14:paraId="11003B83" w14:textId="77777777" w:rsidR="001D5737" w:rsidRPr="007F1C29" w:rsidRDefault="001D5737" w:rsidP="001D5737">
      <w:pPr>
        <w:spacing w:after="120" w:line="276" w:lineRule="auto"/>
        <w:ind w:right="49" w:firstLine="708"/>
        <w:jc w:val="both"/>
        <w:rPr>
          <w:rFonts w:ascii="Arial" w:hAnsi="Arial" w:cs="Arial"/>
          <w:sz w:val="22"/>
          <w:szCs w:val="22"/>
          <w:lang w:eastAsia="es-CO"/>
        </w:rPr>
      </w:pPr>
      <w:r w:rsidRPr="007F1C29">
        <w:rPr>
          <w:rFonts w:ascii="Arial" w:hAnsi="Arial" w:cs="Arial"/>
          <w:sz w:val="22"/>
          <w:szCs w:val="22"/>
          <w:lang w:eastAsia="es-CO"/>
        </w:rPr>
        <w:t>El Consejo de Estado,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otorgado lo que genera que tenga naturaleza de acto administrativo, sino su contenido reglamentario o normativo de obligatoria aplicación, y ello es predicable, incluso, de los manuales expedidos por las distintas</w:t>
      </w:r>
      <w:r w:rsidRPr="007F1C29">
        <w:rPr>
          <w:rFonts w:ascii="Arial" w:hAnsi="Arial" w:cs="Arial"/>
          <w:spacing w:val="-34"/>
          <w:sz w:val="22"/>
          <w:szCs w:val="22"/>
          <w:lang w:eastAsia="es-CO"/>
        </w:rPr>
        <w:t xml:space="preserve"> </w:t>
      </w:r>
      <w:r w:rsidRPr="007F1C29">
        <w:rPr>
          <w:rFonts w:ascii="Arial" w:hAnsi="Arial" w:cs="Arial"/>
          <w:sz w:val="22"/>
          <w:szCs w:val="22"/>
          <w:lang w:eastAsia="es-CO"/>
        </w:rPr>
        <w:t>autoridades.</w:t>
      </w:r>
    </w:p>
    <w:p w14:paraId="50F7C68A" w14:textId="77777777" w:rsidR="001D5737" w:rsidRPr="007F1C29" w:rsidRDefault="001D5737" w:rsidP="001D5737">
      <w:pPr>
        <w:spacing w:after="120" w:line="276" w:lineRule="auto"/>
        <w:ind w:right="49" w:firstLine="708"/>
        <w:jc w:val="both"/>
        <w:rPr>
          <w:rFonts w:ascii="Arial" w:hAnsi="Arial" w:cs="Arial"/>
          <w:sz w:val="22"/>
          <w:szCs w:val="22"/>
          <w:lang w:eastAsia="es-CO"/>
        </w:rPr>
      </w:pPr>
      <w:r w:rsidRPr="007F1C29">
        <w:rPr>
          <w:rFonts w:ascii="Arial" w:hAnsi="Arial" w:cs="Arial"/>
          <w:sz w:val="22"/>
          <w:szCs w:val="22"/>
          <w:lang w:eastAsia="es-CO"/>
        </w:rPr>
        <w:t>De esta forma,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14:paraId="4C886D94" w14:textId="77777777" w:rsidR="001D5737" w:rsidRPr="007F1C29" w:rsidRDefault="001D5737" w:rsidP="001D5737">
      <w:pPr>
        <w:spacing w:after="120" w:line="276" w:lineRule="auto"/>
        <w:ind w:right="49" w:firstLine="708"/>
        <w:jc w:val="both"/>
        <w:rPr>
          <w:rFonts w:ascii="Arial" w:hAnsi="Arial" w:cs="Arial"/>
          <w:sz w:val="22"/>
          <w:szCs w:val="22"/>
          <w:lang w:eastAsia="es-CO"/>
        </w:rPr>
      </w:pPr>
      <w:r w:rsidRPr="007F1C29">
        <w:rPr>
          <w:rFonts w:ascii="Arial" w:hAnsi="Arial" w:cs="Arial"/>
          <w:sz w:val="22"/>
          <w:szCs w:val="22"/>
          <w:lang w:eastAsia="es-CO"/>
        </w:rPr>
        <w:lastRenderedPageBreak/>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ámbito de normas de apoyo y de buenas prácticas para los partícipes del Sistema de Compra Pública, de donde no se puede derivar obligatoriedad.</w:t>
      </w:r>
    </w:p>
    <w:p w14:paraId="28E0B19D" w14:textId="77777777" w:rsidR="001D5737" w:rsidRPr="007F1C29" w:rsidRDefault="001D5737" w:rsidP="001D5737">
      <w:pPr>
        <w:spacing w:before="93" w:after="120" w:line="276" w:lineRule="auto"/>
        <w:ind w:right="49" w:firstLine="708"/>
        <w:jc w:val="both"/>
        <w:rPr>
          <w:rFonts w:ascii="Arial" w:hAnsi="Arial" w:cs="Arial"/>
          <w:sz w:val="22"/>
          <w:szCs w:val="22"/>
          <w:lang w:eastAsia="es-CO"/>
        </w:rPr>
      </w:pPr>
      <w:r w:rsidRPr="007F1C29">
        <w:rPr>
          <w:rFonts w:ascii="Arial" w:hAnsi="Arial" w:cs="Arial"/>
          <w:sz w:val="22"/>
          <w:szCs w:val="22"/>
          <w:lang w:eastAsia="es-CO"/>
        </w:rPr>
        <w:t>Así las cosas, la obligatoriedad de los instrumentos expedidos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7F1C29">
        <w:rPr>
          <w:rFonts w:ascii="Arial" w:hAnsi="Arial" w:cs="Arial"/>
          <w:spacing w:val="-2"/>
          <w:sz w:val="22"/>
          <w:szCs w:val="22"/>
          <w:lang w:eastAsia="es-CO"/>
        </w:rPr>
        <w:t xml:space="preserve"> </w:t>
      </w:r>
      <w:r w:rsidRPr="007F1C29">
        <w:rPr>
          <w:rFonts w:ascii="Arial" w:hAnsi="Arial" w:cs="Arial"/>
          <w:sz w:val="22"/>
          <w:szCs w:val="22"/>
          <w:lang w:eastAsia="es-CO"/>
        </w:rPr>
        <w:t>tenga.</w:t>
      </w:r>
    </w:p>
    <w:p w14:paraId="4F0AAE9F" w14:textId="77777777" w:rsidR="001D5737" w:rsidRPr="007F1C29" w:rsidRDefault="001D5737" w:rsidP="001D5737">
      <w:pPr>
        <w:tabs>
          <w:tab w:val="left" w:pos="426"/>
        </w:tabs>
        <w:spacing w:after="120" w:line="276" w:lineRule="auto"/>
        <w:jc w:val="both"/>
        <w:rPr>
          <w:rFonts w:ascii="Arial" w:eastAsia="Calibri" w:hAnsi="Arial" w:cs="Arial"/>
          <w:bCs/>
          <w:color w:val="000000"/>
          <w:sz w:val="22"/>
          <w:lang w:val="es-ES_tradnl" w:eastAsia="en-US"/>
        </w:rPr>
      </w:pPr>
      <w:r w:rsidRPr="007F1C29">
        <w:rPr>
          <w:rFonts w:ascii="Arial" w:hAnsi="Arial" w:cs="Arial"/>
          <w:sz w:val="22"/>
          <w:szCs w:val="22"/>
          <w:lang w:eastAsia="es-CO"/>
        </w:rPr>
        <w:tab/>
      </w:r>
      <w:r w:rsidRPr="007F1C29">
        <w:rPr>
          <w:rFonts w:ascii="Arial" w:hAnsi="Arial" w:cs="Arial"/>
          <w:sz w:val="22"/>
          <w:szCs w:val="22"/>
          <w:lang w:eastAsia="es-CO"/>
        </w:rPr>
        <w:tab/>
      </w:r>
      <w:bookmarkStart w:id="6" w:name="_Hlk95118121"/>
      <w:r w:rsidRPr="007F1C29">
        <w:rPr>
          <w:rFonts w:ascii="Arial" w:eastAsia="Calibri" w:hAnsi="Arial" w:cs="Arial"/>
          <w:bCs/>
          <w:color w:val="000000"/>
          <w:sz w:val="22"/>
          <w:lang w:val="es-ES_tradnl" w:eastAsia="en-US"/>
        </w:rPr>
        <w:t xml:space="preserve">Ahora bien,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w:t>
      </w:r>
      <w:proofErr w:type="spellStart"/>
      <w:r w:rsidRPr="007F1C29">
        <w:rPr>
          <w:rFonts w:ascii="Arial" w:eastAsia="Calibri" w:hAnsi="Arial" w:cs="Arial"/>
          <w:bCs/>
          <w:color w:val="000000"/>
          <w:sz w:val="22"/>
          <w:lang w:val="es-ES_tradnl" w:eastAsia="en-US"/>
        </w:rPr>
        <w:t>Contratación</w:t>
      </w:r>
      <w:proofErr w:type="spellEnd"/>
      <w:r w:rsidRPr="007F1C29">
        <w:rPr>
          <w:rFonts w:ascii="Arial" w:eastAsia="Calibri" w:hAnsi="Arial" w:cs="Arial"/>
          <w:bCs/>
          <w:color w:val="000000"/>
          <w:sz w:val="22"/>
          <w:lang w:val="es-ES_tradnl" w:eastAsia="en-US"/>
        </w:rPr>
        <w:t xml:space="preserve">”, expedido por Colombia Compra Eficiente como herramienta orientadora para conocer la cobertura de los Acuerdos Comerciales y los plazos 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de selección. </w:t>
      </w:r>
    </w:p>
    <w:p w14:paraId="67D9FAC0" w14:textId="77777777" w:rsidR="001D5737" w:rsidRPr="007F1C29" w:rsidRDefault="001D5737" w:rsidP="001D5737">
      <w:pPr>
        <w:spacing w:before="120" w:after="120" w:line="276" w:lineRule="auto"/>
        <w:ind w:firstLine="709"/>
        <w:jc w:val="both"/>
        <w:rPr>
          <w:rFonts w:ascii="Arial" w:eastAsia="Calibri" w:hAnsi="Arial" w:cs="Arial"/>
          <w:bCs/>
          <w:color w:val="000000"/>
          <w:sz w:val="22"/>
          <w:szCs w:val="22"/>
          <w:lang w:val="es-ES_tradnl" w:eastAsia="es-CO"/>
        </w:rPr>
      </w:pPr>
      <w:r w:rsidRPr="007F1C29">
        <w:rPr>
          <w:rFonts w:ascii="Arial" w:eastAsia="Calibri" w:hAnsi="Arial" w:cs="Arial"/>
          <w:bCs/>
          <w:color w:val="000000"/>
          <w:sz w:val="22"/>
          <w:lang w:val="es-ES_tradnl" w:eastAsia="en-US"/>
        </w:rPr>
        <w:t xml:space="preserve">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Comerciales, la Entidad Estatal debe adoptar las medidas necesarias para el cumplimiento de la totalidad de los compromisos previstos en los Acuerdos Comerciales».​ </w:t>
      </w:r>
      <w:r w:rsidRPr="007F1C29">
        <w:rPr>
          <w:rFonts w:ascii="Arial" w:hAnsi="Arial" w:cs="Arial"/>
          <w:sz w:val="22"/>
          <w:szCs w:val="22"/>
          <w:lang w:eastAsia="es-CO"/>
        </w:rPr>
        <w:t xml:space="preserve">De esta manera, las entidades estatales y los procesos contractuales cubiertos por los tratados suscritos entre Colombia y otros Estados son aquellos que aparecen en sus listas. Por ello, la determinación de si tales acuerdos comerciales aplican o no en un determinado procedimiento de selección corresponde </w:t>
      </w:r>
      <w:r w:rsidRPr="007F1C29">
        <w:rPr>
          <w:rFonts w:ascii="Arial" w:hAnsi="Arial" w:cs="Arial"/>
          <w:sz w:val="22"/>
          <w:szCs w:val="22"/>
          <w:lang w:eastAsia="es-CO"/>
        </w:rPr>
        <w:lastRenderedPageBreak/>
        <w:t xml:space="preserve">realizarlo a cada entidad estatal, </w:t>
      </w:r>
      <w:r w:rsidRPr="007F1C29">
        <w:rPr>
          <w:rFonts w:ascii="Arial" w:eastAsia="Calibri" w:hAnsi="Arial" w:cs="Arial"/>
          <w:bCs/>
          <w:color w:val="000000"/>
          <w:sz w:val="22"/>
          <w:lang w:val="es-ES_tradnl" w:eastAsia="es-CO"/>
        </w:rPr>
        <w:t>consultando el ámbito de cobertura de cada Acuerdo Comercial.</w:t>
      </w:r>
    </w:p>
    <w:bookmarkEnd w:id="6"/>
    <w:p w14:paraId="09F262D2" w14:textId="77777777" w:rsidR="001D5737" w:rsidRPr="007F1C29" w:rsidRDefault="001D5737" w:rsidP="008C1B72">
      <w:pPr>
        <w:tabs>
          <w:tab w:val="left" w:pos="0"/>
        </w:tabs>
        <w:spacing w:before="240" w:after="240" w:line="276" w:lineRule="auto"/>
        <w:jc w:val="both"/>
        <w:rPr>
          <w:rFonts w:ascii="Arial" w:eastAsia="Calibri" w:hAnsi="Arial" w:cs="Arial"/>
          <w:bCs/>
          <w:color w:val="000000" w:themeColor="text1"/>
          <w:sz w:val="22"/>
          <w:szCs w:val="22"/>
          <w:lang w:val="es-ES_tradnl"/>
        </w:rPr>
      </w:pPr>
    </w:p>
    <w:p w14:paraId="389CDC66" w14:textId="22A0FAC8" w:rsidR="006D3558" w:rsidRPr="007F1C29" w:rsidRDefault="006D3558" w:rsidP="006E60F0">
      <w:pPr>
        <w:pStyle w:val="Ttulo1"/>
        <w:numPr>
          <w:ilvl w:val="0"/>
          <w:numId w:val="26"/>
        </w:numPr>
        <w:tabs>
          <w:tab w:val="left" w:pos="345"/>
        </w:tabs>
        <w:ind w:left="0" w:firstLine="0"/>
      </w:pPr>
      <w:r w:rsidRPr="007F1C29">
        <w:t>Respuestas</w:t>
      </w:r>
    </w:p>
    <w:p w14:paraId="14C183FB" w14:textId="77777777" w:rsidR="006D3558" w:rsidRPr="007F1C29" w:rsidRDefault="006D3558" w:rsidP="006D3558">
      <w:pPr>
        <w:pStyle w:val="Ttulo1"/>
        <w:tabs>
          <w:tab w:val="left" w:pos="345"/>
        </w:tabs>
        <w:ind w:left="720" w:firstLine="0"/>
      </w:pPr>
    </w:p>
    <w:p w14:paraId="06787F55" w14:textId="5AB1F30A" w:rsidR="006D3558" w:rsidRPr="007F1C29" w:rsidRDefault="006D3558" w:rsidP="006D3558">
      <w:pPr>
        <w:ind w:left="809" w:right="888"/>
        <w:jc w:val="both"/>
        <w:rPr>
          <w:rFonts w:ascii="Arial" w:hAnsi="Arial" w:cs="Arial"/>
          <w:sz w:val="21"/>
          <w:szCs w:val="21"/>
        </w:rPr>
      </w:pPr>
      <w:r w:rsidRPr="007F1C29">
        <w:rPr>
          <w:rFonts w:ascii="Arial" w:hAnsi="Arial" w:cs="Arial"/>
          <w:sz w:val="21"/>
          <w:szCs w:val="21"/>
        </w:rPr>
        <w:t>«La versión M-MACPC-14, - MANUAL PARA EL MANEJO DE LOS ACUERDOS COMERCIALES EN PROCESOS DE CONTRATACIÓN, establecía explícitamente para la Entidades Estatales que no era necesario realizar el análisis de aplicación de acuerdos comerciales para los procesos de mínima cuantía. El actual MANUAL PARA EL MANEJO DE LOS ACUERDOS COMERCIALES EN PROCESOS DE CONTRATACIÓN CCE-EICP-MA-03 V1. 24/11/2021, no establece nada al respecto sobre el análisis de aplicación de acuerdo comercial para los procesos de mínima cuantía, es decir, con la actual versión CCE-EICP-MA-03 V1. 24/11/2021 las Entidades del Estado que adelanten sus Procesos de Contratación de Mínima cuantía, deben hacer el análisis de aplicación de los acuerdos comerciales?».</w:t>
      </w:r>
    </w:p>
    <w:p w14:paraId="77C5B214" w14:textId="77777777" w:rsidR="006D3558" w:rsidRPr="007F1C29" w:rsidRDefault="006D3558" w:rsidP="006D3558">
      <w:pPr>
        <w:ind w:left="809" w:right="888"/>
        <w:jc w:val="both"/>
        <w:rPr>
          <w:rFonts w:ascii="Arial" w:hAnsi="Arial" w:cs="Arial"/>
          <w:sz w:val="21"/>
          <w:szCs w:val="21"/>
        </w:rPr>
      </w:pPr>
    </w:p>
    <w:p w14:paraId="77BEBD01" w14:textId="59C1C268" w:rsidR="00FF22B2" w:rsidRPr="007F1C29" w:rsidRDefault="00FF22B2" w:rsidP="00FF22B2">
      <w:pPr>
        <w:tabs>
          <w:tab w:val="left" w:pos="426"/>
        </w:tabs>
        <w:spacing w:after="120" w:line="276" w:lineRule="auto"/>
        <w:jc w:val="both"/>
        <w:rPr>
          <w:rFonts w:ascii="Arial" w:eastAsia="Calibri" w:hAnsi="Arial" w:cs="Arial"/>
          <w:bCs/>
          <w:color w:val="000000" w:themeColor="text1"/>
          <w:sz w:val="22"/>
          <w:lang w:val="es-ES_tradnl"/>
        </w:rPr>
      </w:pPr>
      <w:r w:rsidRPr="007F1C29">
        <w:rPr>
          <w:rFonts w:ascii="Arial" w:hAnsi="Arial" w:cs="Arial"/>
          <w:sz w:val="22"/>
          <w:szCs w:val="22"/>
        </w:rPr>
        <w:t xml:space="preserve">Los acuerdos comerciales son tratados internacionales celebrados entre Estados e incorporados a los ordenamientos nacionales, cuyo contenido consagra derechos y obligaciones en distintas materias, entre estas las compras públicas. </w:t>
      </w:r>
      <w:r w:rsidRPr="007F1C29">
        <w:rPr>
          <w:rFonts w:ascii="Arial" w:eastAsia="Calibri" w:hAnsi="Arial" w:cs="Arial"/>
          <w:bCs/>
          <w:color w:val="000000" w:themeColor="text1"/>
          <w:sz w:val="22"/>
          <w:lang w:val="es-ES_tradnl"/>
        </w:rPr>
        <w:t xml:space="preserve">Por esta razón,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w:t>
      </w:r>
      <w:proofErr w:type="spellStart"/>
      <w:r w:rsidRPr="007F1C29">
        <w:rPr>
          <w:rFonts w:ascii="Arial" w:eastAsia="Calibri" w:hAnsi="Arial" w:cs="Arial"/>
          <w:bCs/>
          <w:color w:val="000000" w:themeColor="text1"/>
          <w:sz w:val="22"/>
          <w:lang w:val="es-ES_tradnl"/>
        </w:rPr>
        <w:t>ii</w:t>
      </w:r>
      <w:proofErr w:type="spellEnd"/>
      <w:r w:rsidRPr="007F1C29">
        <w:rPr>
          <w:rFonts w:ascii="Arial" w:eastAsia="Calibri" w:hAnsi="Arial" w:cs="Arial"/>
          <w:bCs/>
          <w:color w:val="000000" w:themeColor="text1"/>
          <w:sz w:val="22"/>
          <w:lang w:val="es-ES_tradnl"/>
        </w:rPr>
        <w:t xml:space="preserve">) los valores a partir de los cuales el Acuerdo Comercial es aplicable al proceso de contratación –umbrales–; y, </w:t>
      </w:r>
      <w:proofErr w:type="spellStart"/>
      <w:r w:rsidRPr="007F1C29">
        <w:rPr>
          <w:rFonts w:ascii="Arial" w:eastAsia="Calibri" w:hAnsi="Arial" w:cs="Arial"/>
          <w:bCs/>
          <w:color w:val="000000" w:themeColor="text1"/>
          <w:sz w:val="22"/>
          <w:lang w:val="es-ES_tradnl"/>
        </w:rPr>
        <w:t>iii</w:t>
      </w:r>
      <w:proofErr w:type="spellEnd"/>
      <w:r w:rsidRPr="007F1C29">
        <w:rPr>
          <w:rFonts w:ascii="Arial" w:eastAsia="Calibri" w:hAnsi="Arial" w:cs="Arial"/>
          <w:bCs/>
          <w:color w:val="000000" w:themeColor="text1"/>
          <w:sz w:val="22"/>
          <w:lang w:val="es-ES_tradnl"/>
        </w:rPr>
        <w:t>) las excepciones a la aplicación del acuerdo comercial.</w:t>
      </w:r>
    </w:p>
    <w:p w14:paraId="0E24A2AC" w14:textId="4C53A816" w:rsidR="00C60D6A" w:rsidRPr="007F1C29" w:rsidRDefault="00C60D6A" w:rsidP="00183AEE">
      <w:pPr>
        <w:pStyle w:val="Textoindependiente"/>
        <w:ind w:firstLine="708"/>
        <w:jc w:val="both"/>
        <w:rPr>
          <w:rFonts w:ascii="Arial" w:eastAsia="Calibri" w:hAnsi="Arial" w:cs="Arial"/>
          <w:bCs/>
          <w:color w:val="000000" w:themeColor="text1"/>
          <w:lang w:val="es-ES_tradnl" w:eastAsia="es-ES_tradnl"/>
        </w:rPr>
      </w:pPr>
      <w:r w:rsidRPr="007F1C29">
        <w:rPr>
          <w:rFonts w:ascii="Arial" w:eastAsia="Calibri" w:hAnsi="Arial" w:cs="Arial"/>
          <w:bCs/>
          <w:color w:val="000000" w:themeColor="text1"/>
          <w:lang w:val="es-ES_tradnl"/>
        </w:rPr>
        <w:t>Por tanto, en caso de qu</w:t>
      </w:r>
      <w:r w:rsidR="001719FE" w:rsidRPr="007F1C29">
        <w:rPr>
          <w:rFonts w:ascii="Arial" w:eastAsia="Calibri" w:hAnsi="Arial" w:cs="Arial"/>
          <w:bCs/>
          <w:color w:val="000000" w:themeColor="text1"/>
          <w:lang w:val="es-ES_tradnl"/>
        </w:rPr>
        <w:t>e</w:t>
      </w:r>
      <w:r w:rsidRPr="007F1C29">
        <w:rPr>
          <w:rFonts w:ascii="Arial" w:eastAsia="Calibri" w:hAnsi="Arial" w:cs="Arial"/>
          <w:bCs/>
          <w:color w:val="000000" w:themeColor="text1"/>
          <w:lang w:val="es-ES_tradnl"/>
        </w:rPr>
        <w:t xml:space="preserve">, excepcionalmente, </w:t>
      </w:r>
      <w:r w:rsidRPr="007F1C29">
        <w:rPr>
          <w:rFonts w:ascii="Arial" w:eastAsia="Calibri" w:hAnsi="Arial" w:cs="Arial"/>
          <w:bCs/>
          <w:color w:val="000000" w:themeColor="text1"/>
          <w:lang w:val="es-ES_tradnl" w:eastAsia="es-ES_tradnl"/>
        </w:rPr>
        <w:t>aplique un acuerdo comercial a un proceso de contratación realizado a través de la modalidad de mínima cuantía las entidades deben adelantar el proceso de contratación respetando los compromisos y obligaciones contemplad</w:t>
      </w:r>
      <w:r w:rsidR="001719FE" w:rsidRPr="007F1C29">
        <w:rPr>
          <w:rFonts w:ascii="Arial" w:eastAsia="Calibri" w:hAnsi="Arial" w:cs="Arial"/>
          <w:bCs/>
          <w:color w:val="000000" w:themeColor="text1"/>
          <w:lang w:val="es-ES_tradnl" w:eastAsia="es-ES_tradnl"/>
        </w:rPr>
        <w:t>as</w:t>
      </w:r>
      <w:r w:rsidRPr="007F1C29">
        <w:rPr>
          <w:rFonts w:ascii="Arial" w:eastAsia="Calibri" w:hAnsi="Arial" w:cs="Arial"/>
          <w:bCs/>
          <w:color w:val="000000" w:themeColor="text1"/>
          <w:lang w:val="es-ES_tradnl" w:eastAsia="es-ES_tradnl"/>
        </w:rPr>
        <w:t xml:space="preserve"> en el respectivo acuerdo comercial.</w:t>
      </w:r>
    </w:p>
    <w:p w14:paraId="4978A1F2" w14:textId="2320D6C7" w:rsidR="0091064B" w:rsidRPr="007F1C29" w:rsidRDefault="009B6C40" w:rsidP="009B6C40">
      <w:pPr>
        <w:tabs>
          <w:tab w:val="left" w:pos="426"/>
        </w:tabs>
        <w:spacing w:before="120" w:after="120" w:line="276" w:lineRule="auto"/>
        <w:jc w:val="both"/>
        <w:rPr>
          <w:rFonts w:ascii="Arial" w:eastAsia="Calibri" w:hAnsi="Arial" w:cs="Arial"/>
          <w:bCs/>
          <w:color w:val="000000" w:themeColor="text1"/>
          <w:sz w:val="22"/>
          <w:szCs w:val="22"/>
          <w:lang w:val="es-ES_tradnl"/>
        </w:rPr>
      </w:pPr>
      <w:r w:rsidRPr="007F1C29">
        <w:rPr>
          <w:rFonts w:ascii="Arial" w:eastAsia="Calibri" w:hAnsi="Arial" w:cs="Arial"/>
          <w:bCs/>
          <w:color w:val="000000" w:themeColor="text1"/>
          <w:sz w:val="22"/>
          <w:szCs w:val="22"/>
          <w:lang w:val="es-ES_tradnl"/>
        </w:rPr>
        <w:tab/>
      </w:r>
      <w:r w:rsidRPr="007F1C29">
        <w:rPr>
          <w:rFonts w:ascii="Arial" w:eastAsia="Calibri" w:hAnsi="Arial" w:cs="Arial"/>
          <w:bCs/>
          <w:color w:val="000000" w:themeColor="text1"/>
          <w:sz w:val="22"/>
          <w:szCs w:val="22"/>
          <w:lang w:val="es-ES_tradnl"/>
        </w:rPr>
        <w:tab/>
      </w:r>
      <w:r w:rsidR="001719FE" w:rsidRPr="007F1C29">
        <w:rPr>
          <w:rFonts w:ascii="Arial" w:eastAsia="Calibri" w:hAnsi="Arial" w:cs="Arial"/>
          <w:bCs/>
          <w:color w:val="000000" w:themeColor="text1"/>
          <w:sz w:val="22"/>
          <w:szCs w:val="22"/>
          <w:lang w:val="es-ES_tradnl"/>
        </w:rPr>
        <w:t>Sin perjuicio de lo anterior</w:t>
      </w:r>
      <w:r w:rsidRPr="007F1C29">
        <w:rPr>
          <w:rFonts w:ascii="Arial" w:eastAsia="Calibri" w:hAnsi="Arial" w:cs="Arial"/>
          <w:bCs/>
          <w:color w:val="000000" w:themeColor="text1"/>
          <w:sz w:val="22"/>
          <w:szCs w:val="22"/>
          <w:lang w:val="es-ES_tradnl"/>
        </w:rPr>
        <w:t>,</w:t>
      </w:r>
      <w:r w:rsidR="00373ABE" w:rsidRPr="007F1C29">
        <w:rPr>
          <w:rFonts w:ascii="Arial" w:eastAsia="Calibri" w:hAnsi="Arial" w:cs="Arial"/>
          <w:bCs/>
          <w:color w:val="000000" w:themeColor="text1"/>
          <w:sz w:val="22"/>
          <w:szCs w:val="22"/>
          <w:lang w:val="es-ES_tradnl"/>
        </w:rPr>
        <w:t xml:space="preserve"> es </w:t>
      </w:r>
      <w:r w:rsidR="001719FE" w:rsidRPr="007F1C29">
        <w:rPr>
          <w:rFonts w:ascii="Arial" w:eastAsia="Calibri" w:hAnsi="Arial" w:cs="Arial"/>
          <w:bCs/>
          <w:color w:val="000000" w:themeColor="text1"/>
          <w:sz w:val="22"/>
          <w:szCs w:val="22"/>
          <w:lang w:val="es-ES_tradnl"/>
        </w:rPr>
        <w:t xml:space="preserve">importante </w:t>
      </w:r>
      <w:r w:rsidR="00373ABE" w:rsidRPr="007F1C29">
        <w:rPr>
          <w:rFonts w:ascii="Arial" w:eastAsia="Calibri" w:hAnsi="Arial" w:cs="Arial"/>
          <w:bCs/>
          <w:color w:val="000000" w:themeColor="text1"/>
          <w:sz w:val="22"/>
          <w:szCs w:val="22"/>
          <w:lang w:val="es-ES_tradnl"/>
        </w:rPr>
        <w:t>resaltar</w:t>
      </w:r>
      <w:r w:rsidR="002933BB" w:rsidRPr="007F1C29">
        <w:rPr>
          <w:rFonts w:ascii="Arial" w:eastAsia="Calibri" w:hAnsi="Arial" w:cs="Arial"/>
          <w:bCs/>
          <w:color w:val="000000" w:themeColor="text1"/>
          <w:sz w:val="22"/>
          <w:szCs w:val="22"/>
          <w:lang w:val="es-ES_tradnl"/>
        </w:rPr>
        <w:t xml:space="preserve"> qu</w:t>
      </w:r>
      <w:r w:rsidR="00806257" w:rsidRPr="007F1C29">
        <w:rPr>
          <w:rFonts w:ascii="Arial" w:eastAsia="Calibri" w:hAnsi="Arial" w:cs="Arial"/>
          <w:bCs/>
          <w:color w:val="000000" w:themeColor="text1"/>
          <w:sz w:val="22"/>
          <w:szCs w:val="22"/>
          <w:lang w:val="es-ES_tradnl"/>
        </w:rPr>
        <w:t>e</w:t>
      </w:r>
      <w:r w:rsidR="001719FE" w:rsidRPr="007F1C29">
        <w:rPr>
          <w:rFonts w:ascii="Arial" w:eastAsia="Calibri" w:hAnsi="Arial" w:cs="Arial"/>
          <w:bCs/>
          <w:color w:val="000000" w:themeColor="text1"/>
          <w:sz w:val="22"/>
          <w:lang w:val="es-ES_tradnl"/>
        </w:rPr>
        <w:t xml:space="preserve"> </w:t>
      </w:r>
      <w:r w:rsidR="00CF1BB8" w:rsidRPr="007F1C29">
        <w:rPr>
          <w:rFonts w:ascii="Arial" w:eastAsia="Calibri" w:hAnsi="Arial" w:cs="Arial"/>
          <w:bCs/>
          <w:color w:val="000000" w:themeColor="text1"/>
          <w:sz w:val="22"/>
          <w:lang w:val="es-ES_tradnl"/>
        </w:rPr>
        <w:t>los umbrales que establecen los Acuerdos Comerciales son superiores al valor máximo de la mínima cuantía y</w:t>
      </w:r>
      <w:r w:rsidR="001719FE" w:rsidRPr="007F1C29">
        <w:rPr>
          <w:rFonts w:ascii="Arial" w:eastAsia="Calibri" w:hAnsi="Arial" w:cs="Arial"/>
          <w:bCs/>
          <w:color w:val="000000" w:themeColor="text1"/>
          <w:sz w:val="22"/>
          <w:lang w:val="es-ES_tradnl"/>
        </w:rPr>
        <w:t>,</w:t>
      </w:r>
      <w:r w:rsidR="00CF1BB8" w:rsidRPr="007F1C29">
        <w:rPr>
          <w:rFonts w:ascii="Arial" w:eastAsia="Calibri" w:hAnsi="Arial" w:cs="Arial"/>
          <w:bCs/>
          <w:color w:val="000000" w:themeColor="text1"/>
          <w:sz w:val="22"/>
          <w:lang w:val="es-ES_tradnl"/>
        </w:rPr>
        <w:t xml:space="preserve"> por tanto, en razón al umbral, los procesos de contratación mediante la modalidad de mínima </w:t>
      </w:r>
      <w:proofErr w:type="gramStart"/>
      <w:r w:rsidR="00CF1BB8" w:rsidRPr="007F1C29">
        <w:rPr>
          <w:rFonts w:ascii="Arial" w:eastAsia="Calibri" w:hAnsi="Arial" w:cs="Arial"/>
          <w:bCs/>
          <w:color w:val="000000" w:themeColor="text1"/>
          <w:sz w:val="22"/>
          <w:lang w:val="es-ES_tradnl"/>
        </w:rPr>
        <w:t>cuantía</w:t>
      </w:r>
      <w:r w:rsidR="00373ABE" w:rsidRPr="007F1C29">
        <w:rPr>
          <w:rFonts w:ascii="Arial" w:eastAsia="Calibri" w:hAnsi="Arial" w:cs="Arial"/>
          <w:bCs/>
          <w:color w:val="000000" w:themeColor="text1"/>
          <w:sz w:val="22"/>
          <w:lang w:val="es-ES_tradnl"/>
        </w:rPr>
        <w:t>,</w:t>
      </w:r>
      <w:proofErr w:type="gramEnd"/>
      <w:r w:rsidR="00373ABE" w:rsidRPr="007F1C29">
        <w:rPr>
          <w:rFonts w:ascii="Arial" w:eastAsia="Calibri" w:hAnsi="Arial" w:cs="Arial"/>
          <w:bCs/>
          <w:color w:val="000000" w:themeColor="text1"/>
          <w:sz w:val="22"/>
          <w:lang w:val="es-ES_tradnl"/>
        </w:rPr>
        <w:t xml:space="preserve"> generalmente </w:t>
      </w:r>
      <w:r w:rsidR="00CF1BB8" w:rsidRPr="007F1C29">
        <w:rPr>
          <w:rFonts w:ascii="Arial" w:eastAsia="Calibri" w:hAnsi="Arial" w:cs="Arial"/>
          <w:bCs/>
          <w:color w:val="000000" w:themeColor="text1"/>
          <w:sz w:val="22"/>
          <w:lang w:val="es-ES_tradnl"/>
        </w:rPr>
        <w:t>no resultarían cubiertos por los Acuerdos Comerciales.</w:t>
      </w:r>
    </w:p>
    <w:p w14:paraId="32D48A35" w14:textId="50DC58C2" w:rsidR="006D3558" w:rsidRPr="007F1C29" w:rsidRDefault="009B6C40" w:rsidP="00456A9A">
      <w:pPr>
        <w:tabs>
          <w:tab w:val="left" w:pos="426"/>
        </w:tabs>
        <w:spacing w:before="120" w:after="120" w:line="276" w:lineRule="auto"/>
        <w:jc w:val="both"/>
        <w:rPr>
          <w:rFonts w:ascii="Arial" w:eastAsia="Calibri" w:hAnsi="Arial" w:cs="Arial"/>
          <w:bCs/>
          <w:color w:val="000000" w:themeColor="text1"/>
          <w:sz w:val="22"/>
          <w:lang w:val="es-ES_tradnl"/>
        </w:rPr>
      </w:pPr>
      <w:r w:rsidRPr="007F1C29">
        <w:rPr>
          <w:rFonts w:ascii="Arial" w:eastAsia="Calibri" w:hAnsi="Arial" w:cs="Arial"/>
          <w:bCs/>
          <w:color w:val="000000" w:themeColor="text1"/>
          <w:sz w:val="22"/>
          <w:szCs w:val="22"/>
          <w:lang w:val="es-ES_tradnl"/>
        </w:rPr>
        <w:tab/>
      </w:r>
      <w:r w:rsidRPr="007F1C29">
        <w:rPr>
          <w:rFonts w:ascii="Arial" w:eastAsia="Calibri" w:hAnsi="Arial" w:cs="Arial"/>
          <w:bCs/>
          <w:color w:val="000000" w:themeColor="text1"/>
          <w:sz w:val="22"/>
          <w:szCs w:val="22"/>
          <w:lang w:val="es-ES_tradnl"/>
        </w:rPr>
        <w:tab/>
        <w:t xml:space="preserve">Finalmente, </w:t>
      </w:r>
      <w:r w:rsidR="00613E8F" w:rsidRPr="007F1C29">
        <w:rPr>
          <w:rFonts w:ascii="Arial" w:hAnsi="Arial" w:cs="Arial"/>
          <w:sz w:val="22"/>
          <w:szCs w:val="22"/>
        </w:rPr>
        <w:t xml:space="preserve">le recordamos que el Manual para manejo de los Acuerdos Comerciales en Procesos de Contratación expedido por la Agencia Nacional de Contratación Pública – Colombia Compra Eficiente, constituye una </w:t>
      </w:r>
      <w:r w:rsidR="00613E8F" w:rsidRPr="007F1C29">
        <w:rPr>
          <w:rFonts w:ascii="Arial" w:eastAsia="Calibri" w:hAnsi="Arial" w:cs="Arial"/>
          <w:bCs/>
          <w:color w:val="000000" w:themeColor="text1"/>
          <w:sz w:val="22"/>
          <w:lang w:val="es-ES_tradnl"/>
        </w:rPr>
        <w:t>herramienta orientadora para conocer la cobertura, excepciones y los plazos correspondientes contemplados en los acuerdos comerciales</w:t>
      </w:r>
      <w:r w:rsidR="003443C4" w:rsidRPr="007F1C29">
        <w:rPr>
          <w:rFonts w:ascii="Arial" w:eastAsia="Calibri" w:hAnsi="Arial" w:cs="Arial"/>
          <w:bCs/>
          <w:color w:val="000000" w:themeColor="text1"/>
          <w:sz w:val="22"/>
          <w:lang w:val="es-ES_tradnl"/>
        </w:rPr>
        <w:t xml:space="preserve">, y, por tanto, su </w:t>
      </w:r>
      <w:r w:rsidR="00613E8F" w:rsidRPr="007F1C29">
        <w:rPr>
          <w:rFonts w:ascii="Arial" w:eastAsia="Calibri" w:hAnsi="Arial" w:cs="Arial"/>
          <w:bCs/>
          <w:color w:val="000000" w:themeColor="text1"/>
          <w:sz w:val="22"/>
          <w:lang w:val="es-ES_tradnl"/>
        </w:rPr>
        <w:t xml:space="preserve">uso no exime a la entidad del deber de conocer y aplicar cada </w:t>
      </w:r>
      <w:r w:rsidR="00613E8F" w:rsidRPr="007F1C29">
        <w:rPr>
          <w:rFonts w:ascii="Arial" w:eastAsia="Calibri" w:hAnsi="Arial" w:cs="Arial"/>
          <w:bCs/>
          <w:color w:val="000000" w:themeColor="text1"/>
          <w:sz w:val="22"/>
          <w:lang w:val="es-ES_tradnl"/>
        </w:rPr>
        <w:lastRenderedPageBreak/>
        <w:t xml:space="preserve">acuerdo comercial. </w:t>
      </w:r>
      <w:r w:rsidR="00456A9A" w:rsidRPr="007F1C29">
        <w:rPr>
          <w:rFonts w:ascii="Arial" w:eastAsia="Calibri" w:hAnsi="Arial" w:cs="Arial"/>
          <w:bCs/>
          <w:color w:val="000000" w:themeColor="text1"/>
          <w:sz w:val="22"/>
          <w:lang w:val="es-ES_tradnl"/>
        </w:rPr>
        <w:t xml:space="preserve">Así, el Manual </w:t>
      </w:r>
      <w:r w:rsidR="006D3558" w:rsidRPr="007F1C29">
        <w:rPr>
          <w:rFonts w:ascii="Arial" w:eastAsia="Calibri" w:hAnsi="Arial" w:cs="Arial"/>
          <w:bCs/>
          <w:color w:val="000000" w:themeColor="text1"/>
          <w:sz w:val="22"/>
          <w:szCs w:val="22"/>
          <w:lang w:val="es-ES_tradnl"/>
        </w:rPr>
        <w:t xml:space="preserve">no determina la obligatoriedad o no de realizar el análisis de aplicabilidad de los </w:t>
      </w:r>
      <w:r w:rsidRPr="007F1C29">
        <w:rPr>
          <w:rFonts w:ascii="Arial" w:eastAsia="Calibri" w:hAnsi="Arial" w:cs="Arial"/>
          <w:bCs/>
          <w:color w:val="000000" w:themeColor="text1"/>
          <w:sz w:val="22"/>
          <w:szCs w:val="22"/>
          <w:lang w:val="es-ES_tradnl"/>
        </w:rPr>
        <w:t>Acuerdos Comerciales</w:t>
      </w:r>
      <w:r w:rsidR="006D3558" w:rsidRPr="007F1C29">
        <w:rPr>
          <w:rFonts w:ascii="Arial" w:eastAsia="Calibri" w:hAnsi="Arial" w:cs="Arial"/>
          <w:bCs/>
          <w:color w:val="000000" w:themeColor="text1"/>
          <w:sz w:val="22"/>
          <w:szCs w:val="22"/>
          <w:lang w:val="es-ES_tradnl"/>
        </w:rPr>
        <w:t xml:space="preserve"> a las diferentes modalidades de contratación, pues dicha obligatoriedad deriva de la normativa</w:t>
      </w:r>
      <w:r w:rsidR="00456A9A" w:rsidRPr="007F1C29">
        <w:rPr>
          <w:rFonts w:ascii="Arial" w:eastAsia="Calibri" w:hAnsi="Arial" w:cs="Arial"/>
          <w:bCs/>
          <w:color w:val="000000" w:themeColor="text1"/>
          <w:sz w:val="22"/>
          <w:szCs w:val="22"/>
          <w:lang w:val="es-ES_tradnl"/>
        </w:rPr>
        <w:t xml:space="preserve"> interna y </w:t>
      </w:r>
      <w:r w:rsidR="00A47F8A" w:rsidRPr="007F1C29">
        <w:rPr>
          <w:rFonts w:ascii="Arial" w:eastAsia="Calibri" w:hAnsi="Arial" w:cs="Arial"/>
          <w:bCs/>
          <w:color w:val="000000" w:themeColor="text1"/>
          <w:sz w:val="22"/>
          <w:szCs w:val="22"/>
          <w:lang w:val="es-ES_tradnl"/>
        </w:rPr>
        <w:t>del contenido propio de los acuerdos comerciales</w:t>
      </w:r>
      <w:r w:rsidR="006D3558" w:rsidRPr="007F1C29">
        <w:rPr>
          <w:rFonts w:ascii="Arial" w:eastAsia="Calibri" w:hAnsi="Arial" w:cs="Arial"/>
          <w:bCs/>
          <w:color w:val="000000" w:themeColor="text1"/>
          <w:sz w:val="22"/>
          <w:szCs w:val="22"/>
          <w:lang w:val="es-ES_tradnl"/>
        </w:rPr>
        <w:t xml:space="preserve">.  </w:t>
      </w:r>
    </w:p>
    <w:p w14:paraId="56301D3C" w14:textId="77777777" w:rsidR="003443C4" w:rsidRPr="007F1C29" w:rsidRDefault="003443C4" w:rsidP="009B6C40">
      <w:pPr>
        <w:pStyle w:val="Textoindependiente"/>
        <w:jc w:val="both"/>
        <w:rPr>
          <w:rFonts w:ascii="Arial" w:eastAsia="Calibri" w:hAnsi="Arial" w:cs="Arial"/>
          <w:bCs/>
          <w:color w:val="000000" w:themeColor="text1"/>
          <w:lang w:val="es-ES_tradnl" w:eastAsia="es-ES_tradnl"/>
        </w:rPr>
      </w:pPr>
    </w:p>
    <w:p w14:paraId="1EC6D9B0" w14:textId="4D768098" w:rsidR="006D3558" w:rsidRPr="007F1C29" w:rsidRDefault="006D3558" w:rsidP="009B6C40">
      <w:pPr>
        <w:pStyle w:val="Textoindependiente"/>
        <w:jc w:val="both"/>
        <w:rPr>
          <w:rFonts w:ascii="Arial" w:eastAsia="Calibri" w:hAnsi="Arial" w:cs="Arial"/>
          <w:bCs/>
          <w:color w:val="000000" w:themeColor="text1"/>
          <w:lang w:val="es-ES_tradnl" w:eastAsia="es-ES_tradnl"/>
        </w:rPr>
      </w:pPr>
      <w:r w:rsidRPr="007F1C29">
        <w:rPr>
          <w:rFonts w:ascii="Arial" w:eastAsia="Calibri" w:hAnsi="Arial" w:cs="Arial"/>
          <w:bCs/>
          <w:color w:val="000000" w:themeColor="text1"/>
          <w:lang w:val="es-ES_tradnl" w:eastAsia="es-ES_tradnl"/>
        </w:rPr>
        <w:t>Este concepto tiene el alcance previsto en el artículo 28 del Código de Procedimiento Administrativo y de lo Contencioso Administrativo.</w:t>
      </w:r>
    </w:p>
    <w:p w14:paraId="4D9A04E3" w14:textId="77777777" w:rsidR="006D3558" w:rsidRPr="007F1C29" w:rsidRDefault="006D3558" w:rsidP="006E60F0">
      <w:pPr>
        <w:pStyle w:val="Textoindependiente"/>
        <w:jc w:val="both"/>
        <w:rPr>
          <w:rFonts w:ascii="Arial" w:eastAsia="Calibri" w:hAnsi="Arial" w:cs="Arial"/>
          <w:bCs/>
          <w:color w:val="000000" w:themeColor="text1"/>
          <w:lang w:val="es-ES_tradnl" w:eastAsia="es-ES_tradnl"/>
        </w:rPr>
      </w:pPr>
    </w:p>
    <w:p w14:paraId="28BA4B0A" w14:textId="3DDC5A79" w:rsidR="006D3558" w:rsidRPr="007F1C29" w:rsidRDefault="006D3558" w:rsidP="006E60F0">
      <w:pPr>
        <w:pStyle w:val="Textoindependiente"/>
        <w:jc w:val="both"/>
        <w:rPr>
          <w:rFonts w:ascii="Arial" w:eastAsia="Calibri" w:hAnsi="Arial" w:cs="Arial"/>
          <w:bCs/>
          <w:color w:val="000000" w:themeColor="text1"/>
          <w:lang w:val="es-ES_tradnl" w:eastAsia="es-ES_tradnl"/>
        </w:rPr>
      </w:pPr>
      <w:r w:rsidRPr="007F1C29">
        <w:rPr>
          <w:rFonts w:ascii="Arial" w:eastAsia="Calibri" w:hAnsi="Arial" w:cs="Arial"/>
          <w:bCs/>
          <w:color w:val="000000" w:themeColor="text1"/>
          <w:lang w:val="es-ES_tradnl" w:eastAsia="es-ES_tradnl"/>
        </w:rPr>
        <w:t>Atentamente,</w:t>
      </w:r>
    </w:p>
    <w:p w14:paraId="43D6E30C" w14:textId="32F69A65" w:rsidR="006D3558" w:rsidRPr="007F1C29" w:rsidRDefault="000F5C61" w:rsidP="006E60F0">
      <w:pPr>
        <w:pStyle w:val="Textoindependiente"/>
        <w:jc w:val="center"/>
        <w:rPr>
          <w:sz w:val="24"/>
        </w:rPr>
      </w:pPr>
      <w:r>
        <w:rPr>
          <w:noProof/>
        </w:rPr>
        <w:drawing>
          <wp:inline distT="0" distB="0" distL="0" distR="0" wp14:anchorId="7B16750E" wp14:editId="2FDC56B1">
            <wp:extent cx="2171700" cy="9239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tbl>
      <w:tblPr>
        <w:tblStyle w:val="Tablaconcuadrcula"/>
        <w:tblpPr w:leftFromText="141" w:rightFromText="141" w:vertAnchor="text" w:horzAnchor="margin" w:tblpY="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3558" w:rsidRPr="007F1C29" w14:paraId="327BEF0A" w14:textId="77777777" w:rsidTr="009340C9">
        <w:trPr>
          <w:trHeight w:val="315"/>
        </w:trPr>
        <w:tc>
          <w:tcPr>
            <w:tcW w:w="812" w:type="dxa"/>
            <w:vAlign w:val="center"/>
            <w:hideMark/>
          </w:tcPr>
          <w:p w14:paraId="25D11329" w14:textId="77777777" w:rsidR="006D3558" w:rsidRPr="007F1C29" w:rsidRDefault="006D3558" w:rsidP="009340C9">
            <w:pPr>
              <w:rPr>
                <w:rFonts w:ascii="Arial" w:hAnsi="Arial" w:cs="Arial"/>
                <w:sz w:val="16"/>
                <w:szCs w:val="16"/>
                <w:lang w:eastAsia="es-ES"/>
              </w:rPr>
            </w:pPr>
            <w:r w:rsidRPr="007F1C29">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0D8D087" w14:textId="77777777" w:rsidR="006D3558" w:rsidRPr="007F1C29" w:rsidRDefault="006D3558" w:rsidP="009340C9">
            <w:pPr>
              <w:rPr>
                <w:rFonts w:ascii="Arial" w:hAnsi="Arial" w:cs="Arial"/>
                <w:sz w:val="16"/>
                <w:szCs w:val="16"/>
                <w:lang w:eastAsia="es-ES"/>
              </w:rPr>
            </w:pPr>
          </w:p>
          <w:p w14:paraId="78C4B391" w14:textId="77777777" w:rsidR="006D3558" w:rsidRPr="007F1C29" w:rsidRDefault="006D3558" w:rsidP="009340C9">
            <w:pPr>
              <w:rPr>
                <w:rFonts w:ascii="Arial" w:hAnsi="Arial" w:cs="Arial"/>
                <w:sz w:val="16"/>
                <w:szCs w:val="16"/>
                <w:lang w:eastAsia="es-ES"/>
              </w:rPr>
            </w:pPr>
            <w:r w:rsidRPr="007F1C29">
              <w:rPr>
                <w:rFonts w:ascii="Arial" w:hAnsi="Arial" w:cs="Arial"/>
                <w:sz w:val="16"/>
                <w:szCs w:val="16"/>
                <w:lang w:eastAsia="es-ES"/>
              </w:rPr>
              <w:t xml:space="preserve">Nathalia Urrego </w:t>
            </w:r>
          </w:p>
          <w:p w14:paraId="2D29AA6D" w14:textId="77777777" w:rsidR="006D3558" w:rsidRPr="007F1C29" w:rsidRDefault="006D3558" w:rsidP="009340C9">
            <w:pPr>
              <w:rPr>
                <w:rFonts w:ascii="Arial" w:hAnsi="Arial" w:cs="Arial"/>
                <w:sz w:val="16"/>
                <w:szCs w:val="16"/>
                <w:lang w:eastAsia="es-ES"/>
              </w:rPr>
            </w:pPr>
            <w:r w:rsidRPr="007F1C29">
              <w:rPr>
                <w:rFonts w:ascii="Arial" w:hAnsi="Arial" w:cs="Arial"/>
                <w:sz w:val="16"/>
                <w:szCs w:val="16"/>
                <w:lang w:eastAsia="es-ES"/>
              </w:rPr>
              <w:t>Contratista de la Subdirección de Gestión Contractual</w:t>
            </w:r>
          </w:p>
        </w:tc>
      </w:tr>
      <w:tr w:rsidR="006D3558" w:rsidRPr="007F1C29" w14:paraId="478D8F54" w14:textId="77777777" w:rsidTr="009340C9">
        <w:trPr>
          <w:trHeight w:val="330"/>
        </w:trPr>
        <w:tc>
          <w:tcPr>
            <w:tcW w:w="812" w:type="dxa"/>
            <w:vAlign w:val="center"/>
            <w:hideMark/>
          </w:tcPr>
          <w:p w14:paraId="578E2B7F" w14:textId="77777777" w:rsidR="006D3558" w:rsidRPr="007F1C29" w:rsidRDefault="006D3558" w:rsidP="009340C9">
            <w:pPr>
              <w:rPr>
                <w:rFonts w:ascii="Arial" w:hAnsi="Arial" w:cs="Arial"/>
                <w:sz w:val="16"/>
                <w:szCs w:val="16"/>
                <w:lang w:eastAsia="es-ES"/>
              </w:rPr>
            </w:pPr>
            <w:r w:rsidRPr="007F1C29">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279150" w14:textId="77777777" w:rsidR="006D3558" w:rsidRPr="007F1C29" w:rsidRDefault="006D3558" w:rsidP="009340C9">
            <w:pPr>
              <w:rPr>
                <w:rFonts w:ascii="Arial" w:hAnsi="Arial" w:cs="Arial"/>
                <w:sz w:val="16"/>
                <w:szCs w:val="16"/>
                <w:lang w:eastAsia="es-ES"/>
              </w:rPr>
            </w:pPr>
            <w:proofErr w:type="spellStart"/>
            <w:r w:rsidRPr="007F1C29">
              <w:rPr>
                <w:rFonts w:ascii="Arial" w:hAnsi="Arial" w:cs="Arial"/>
                <w:sz w:val="16"/>
                <w:szCs w:val="16"/>
                <w:lang w:eastAsia="es-ES"/>
              </w:rPr>
              <w:t>Sebastian</w:t>
            </w:r>
            <w:proofErr w:type="spellEnd"/>
            <w:r w:rsidRPr="007F1C29">
              <w:rPr>
                <w:rFonts w:ascii="Arial" w:hAnsi="Arial" w:cs="Arial"/>
                <w:sz w:val="16"/>
                <w:szCs w:val="16"/>
                <w:lang w:eastAsia="es-ES"/>
              </w:rPr>
              <w:t xml:space="preserve"> Ramírez Grisales</w:t>
            </w:r>
          </w:p>
          <w:p w14:paraId="7CFE6C4C" w14:textId="77777777" w:rsidR="006D3558" w:rsidRPr="007F1C29" w:rsidRDefault="006D3558" w:rsidP="009340C9">
            <w:pPr>
              <w:rPr>
                <w:rFonts w:ascii="Arial" w:hAnsi="Arial" w:cs="Arial"/>
                <w:sz w:val="16"/>
                <w:szCs w:val="16"/>
                <w:lang w:eastAsia="es-ES"/>
              </w:rPr>
            </w:pPr>
            <w:r w:rsidRPr="007F1C29">
              <w:rPr>
                <w:rFonts w:ascii="Arial" w:hAnsi="Arial" w:cs="Arial"/>
                <w:sz w:val="16"/>
                <w:szCs w:val="16"/>
                <w:lang w:eastAsia="es-ES"/>
              </w:rPr>
              <w:t>Contratista de la Subdirección de Gestión Contractual</w:t>
            </w:r>
          </w:p>
        </w:tc>
      </w:tr>
      <w:tr w:rsidR="006D3558" w:rsidRPr="0022320F" w14:paraId="3953B289" w14:textId="77777777" w:rsidTr="009340C9">
        <w:trPr>
          <w:trHeight w:val="300"/>
        </w:trPr>
        <w:tc>
          <w:tcPr>
            <w:tcW w:w="812" w:type="dxa"/>
            <w:vAlign w:val="center"/>
            <w:hideMark/>
          </w:tcPr>
          <w:p w14:paraId="1CC05CC3" w14:textId="77777777" w:rsidR="006D3558" w:rsidRPr="007F1C29" w:rsidRDefault="006D3558" w:rsidP="009340C9">
            <w:pPr>
              <w:rPr>
                <w:rFonts w:ascii="Arial" w:hAnsi="Arial" w:cs="Arial"/>
                <w:sz w:val="16"/>
                <w:szCs w:val="16"/>
                <w:lang w:eastAsia="es-ES"/>
              </w:rPr>
            </w:pPr>
            <w:r w:rsidRPr="007F1C29">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C75B39" w14:textId="77777777" w:rsidR="00C43C7B" w:rsidRPr="007F1C29" w:rsidRDefault="00C43C7B" w:rsidP="00C43C7B">
            <w:pPr>
              <w:rPr>
                <w:rFonts w:ascii="Arial" w:hAnsi="Arial" w:cs="Arial"/>
                <w:color w:val="000000"/>
                <w:sz w:val="16"/>
                <w:szCs w:val="16"/>
                <w:lang w:val="es-ES_tradnl" w:eastAsia="es-ES"/>
              </w:rPr>
            </w:pPr>
            <w:r w:rsidRPr="007F1C29">
              <w:rPr>
                <w:rFonts w:ascii="Arial" w:hAnsi="Arial" w:cs="Arial"/>
                <w:color w:val="000000"/>
                <w:sz w:val="16"/>
                <w:szCs w:val="16"/>
                <w:lang w:val="es-ES_tradnl" w:eastAsia="es-ES"/>
              </w:rPr>
              <w:t>Andrés Ricardo Mancipe González</w:t>
            </w:r>
          </w:p>
          <w:p w14:paraId="71ED57F1" w14:textId="14F76076" w:rsidR="006D3558" w:rsidRPr="0022320F" w:rsidRDefault="00C43C7B" w:rsidP="009340C9">
            <w:pPr>
              <w:rPr>
                <w:rFonts w:ascii="Arial" w:hAnsi="Arial" w:cs="Arial"/>
                <w:sz w:val="16"/>
                <w:szCs w:val="16"/>
                <w:lang w:eastAsia="es-ES"/>
              </w:rPr>
            </w:pPr>
            <w:r w:rsidRPr="007F1C29">
              <w:rPr>
                <w:rFonts w:ascii="Arial" w:hAnsi="Arial" w:cs="Arial"/>
                <w:color w:val="000000"/>
                <w:sz w:val="16"/>
                <w:szCs w:val="16"/>
                <w:lang w:val="es-ES_tradnl" w:eastAsia="es-ES"/>
              </w:rPr>
              <w:t>Subdirector de Gestión Contractual (E)</w:t>
            </w:r>
          </w:p>
        </w:tc>
      </w:tr>
    </w:tbl>
    <w:p w14:paraId="353D05CB" w14:textId="77777777" w:rsidR="0080376A" w:rsidRPr="00DC78F6" w:rsidRDefault="0080376A" w:rsidP="00DC78F6">
      <w:pPr>
        <w:spacing w:after="18"/>
        <w:jc w:val="center"/>
        <w:rPr>
          <w:rFonts w:ascii="Arial" w:hAnsi="Arial" w:cs="Arial"/>
          <w:lang w:eastAsia="es-CO"/>
        </w:rPr>
      </w:pPr>
    </w:p>
    <w:p w14:paraId="5D4CDD3F" w14:textId="77777777" w:rsidR="0080376A" w:rsidRPr="00EF00EF" w:rsidRDefault="0080376A" w:rsidP="00DC78F6">
      <w:pPr>
        <w:rPr>
          <w:rFonts w:ascii="Arial" w:hAnsi="Arial" w:cs="Arial"/>
          <w:lang w:eastAsia="es-ES"/>
        </w:rPr>
      </w:pPr>
    </w:p>
    <w:bookmarkEnd w:id="2"/>
    <w:p w14:paraId="35B56F46" w14:textId="68D0B3F1" w:rsidR="00746E08" w:rsidRPr="00EF00EF" w:rsidRDefault="00746E08" w:rsidP="00DC78F6">
      <w:pPr>
        <w:spacing w:line="276" w:lineRule="auto"/>
        <w:jc w:val="both"/>
        <w:rPr>
          <w:rFonts w:ascii="Arial" w:hAnsi="Arial" w:cs="Arial"/>
          <w:lang w:val="es-ES_tradnl"/>
        </w:rPr>
      </w:pPr>
    </w:p>
    <w:sectPr w:rsidR="00746E08" w:rsidRPr="00EF00EF" w:rsidSect="00593504">
      <w:headerReference w:type="default" r:id="rId14"/>
      <w:footerReference w:type="default" r:id="rId15"/>
      <w:pgSz w:w="12240" w:h="15840"/>
      <w:pgMar w:top="1985"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E892" w14:textId="77777777" w:rsidR="00500FA7" w:rsidRDefault="00500FA7">
      <w:r>
        <w:separator/>
      </w:r>
    </w:p>
  </w:endnote>
  <w:endnote w:type="continuationSeparator" w:id="0">
    <w:p w14:paraId="4512CE46" w14:textId="77777777" w:rsidR="00500FA7" w:rsidRDefault="00500FA7">
      <w:r>
        <w:continuationSeparator/>
      </w:r>
    </w:p>
  </w:endnote>
  <w:endnote w:type="continuationNotice" w:id="1">
    <w:p w14:paraId="396C80B4" w14:textId="77777777" w:rsidR="00500FA7" w:rsidRDefault="00500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3BC" w14:textId="77777777" w:rsidR="00500FA7" w:rsidRDefault="00500FA7">
      <w:r>
        <w:separator/>
      </w:r>
    </w:p>
  </w:footnote>
  <w:footnote w:type="continuationSeparator" w:id="0">
    <w:p w14:paraId="44572A33" w14:textId="77777777" w:rsidR="00500FA7" w:rsidRDefault="00500FA7">
      <w:r>
        <w:continuationSeparator/>
      </w:r>
    </w:p>
  </w:footnote>
  <w:footnote w:type="continuationNotice" w:id="1">
    <w:p w14:paraId="546DAAEC" w14:textId="77777777" w:rsidR="00500FA7" w:rsidRDefault="00500FA7"/>
  </w:footnote>
  <w:footnote w:id="2">
    <w:p w14:paraId="077DF7A4" w14:textId="77777777" w:rsidR="006D3558" w:rsidRPr="006E60F0" w:rsidRDefault="006D3558" w:rsidP="004C46F4">
      <w:pPr>
        <w:pStyle w:val="Textonotapie"/>
        <w:ind w:right="64" w:firstLine="708"/>
        <w:jc w:val="both"/>
        <w:rPr>
          <w:rFonts w:ascii="Arial" w:hAnsi="Arial" w:cs="Arial"/>
          <w:sz w:val="19"/>
          <w:szCs w:val="19"/>
        </w:rPr>
      </w:pPr>
      <w:r w:rsidRPr="006E60F0">
        <w:rPr>
          <w:rStyle w:val="Refdenotaalpie"/>
          <w:rFonts w:ascii="Arial" w:hAnsi="Arial" w:cs="Arial"/>
          <w:sz w:val="19"/>
          <w:szCs w:val="19"/>
        </w:rPr>
        <w:footnoteRef/>
      </w:r>
      <w:r w:rsidRPr="006E60F0">
        <w:rPr>
          <w:rFonts w:ascii="Arial" w:hAnsi="Arial" w:cs="Arial"/>
          <w:sz w:val="19"/>
          <w:szCs w:val="19"/>
        </w:rPr>
        <w:t xml:space="preserve"> Ley 80 de 1993: «Artículo 2. De la definición de entidades, servidores y servicios públicos. Para los solos efectos de esta ley:</w:t>
      </w:r>
    </w:p>
    <w:p w14:paraId="06920A73" w14:textId="77777777" w:rsidR="006D3558" w:rsidRPr="006E60F0" w:rsidRDefault="006D3558" w:rsidP="004C46F4">
      <w:pPr>
        <w:pStyle w:val="Textonotapie"/>
        <w:ind w:right="64" w:firstLine="708"/>
        <w:jc w:val="both"/>
        <w:rPr>
          <w:rFonts w:ascii="Arial" w:hAnsi="Arial" w:cs="Arial"/>
          <w:sz w:val="19"/>
          <w:szCs w:val="19"/>
        </w:rPr>
      </w:pPr>
      <w:r w:rsidRPr="006E60F0">
        <w:rPr>
          <w:rFonts w:ascii="Arial" w:hAnsi="Arial" w:cs="Arial"/>
          <w:sz w:val="19"/>
          <w:szCs w:val="19"/>
        </w:rPr>
        <w:t>»1. Se denominan entidades estatales:</w:t>
      </w:r>
    </w:p>
    <w:p w14:paraId="2BA79646" w14:textId="77777777" w:rsidR="006D3558" w:rsidRPr="006E60F0" w:rsidRDefault="006D3558" w:rsidP="004C46F4">
      <w:pPr>
        <w:pStyle w:val="Textonotapie"/>
        <w:ind w:right="64" w:firstLine="708"/>
        <w:jc w:val="both"/>
        <w:rPr>
          <w:rFonts w:ascii="Arial" w:hAnsi="Arial" w:cs="Arial"/>
          <w:sz w:val="19"/>
          <w:szCs w:val="19"/>
        </w:rPr>
      </w:pPr>
      <w:r w:rsidRPr="006E60F0">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73CD39F" w14:textId="77777777" w:rsidR="006D3558" w:rsidRPr="006E60F0" w:rsidRDefault="006D3558" w:rsidP="004C46F4">
      <w:pPr>
        <w:pStyle w:val="Textonotapie"/>
        <w:ind w:right="64" w:firstLine="708"/>
        <w:jc w:val="both"/>
        <w:rPr>
          <w:rFonts w:ascii="Arial" w:hAnsi="Arial" w:cs="Arial"/>
          <w:sz w:val="19"/>
          <w:szCs w:val="19"/>
        </w:rPr>
      </w:pPr>
      <w:r w:rsidRPr="006E60F0">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538F4C95" w14:textId="77777777" w:rsidR="006D3558" w:rsidRPr="006E60F0" w:rsidRDefault="006D3558" w:rsidP="004C46F4">
      <w:pPr>
        <w:pStyle w:val="Textonotapie"/>
        <w:ind w:right="64" w:firstLine="708"/>
        <w:jc w:val="both"/>
        <w:rPr>
          <w:rFonts w:ascii="Arial" w:hAnsi="Arial" w:cs="Arial"/>
          <w:sz w:val="19"/>
          <w:szCs w:val="19"/>
        </w:rPr>
      </w:pPr>
      <w:r w:rsidRPr="006E60F0">
        <w:rPr>
          <w:rFonts w:ascii="Arial" w:hAnsi="Arial" w:cs="Arial"/>
          <w:sz w:val="19"/>
          <w:szCs w:val="19"/>
        </w:rPr>
        <w:t>»[...]».</w:t>
      </w:r>
    </w:p>
    <w:p w14:paraId="3B79D775" w14:textId="77777777" w:rsidR="006D3558" w:rsidRPr="006E60F0" w:rsidRDefault="006D3558" w:rsidP="004C46F4">
      <w:pPr>
        <w:pStyle w:val="Textonotapie"/>
        <w:ind w:right="64"/>
        <w:jc w:val="both"/>
        <w:rPr>
          <w:rFonts w:ascii="Arial" w:hAnsi="Arial" w:cs="Arial"/>
          <w:sz w:val="19"/>
          <w:szCs w:val="19"/>
        </w:rPr>
      </w:pPr>
    </w:p>
  </w:footnote>
  <w:footnote w:id="3">
    <w:p w14:paraId="728EAADF" w14:textId="77777777" w:rsidR="00E22EB9" w:rsidRPr="001D5737" w:rsidRDefault="00E22EB9" w:rsidP="006E60F0">
      <w:pPr>
        <w:pStyle w:val="Textonotapie"/>
        <w:ind w:firstLine="709"/>
        <w:jc w:val="both"/>
        <w:rPr>
          <w:rFonts w:ascii="Arial" w:hAnsi="Arial" w:cs="Arial"/>
          <w:color w:val="000000"/>
          <w:sz w:val="19"/>
          <w:szCs w:val="19"/>
          <w:lang w:val="es-ES_tradnl"/>
        </w:rPr>
      </w:pPr>
      <w:r w:rsidRPr="001D5737">
        <w:rPr>
          <w:rStyle w:val="Refdenotaalpie"/>
          <w:rFonts w:ascii="Arial" w:hAnsi="Arial" w:cs="Arial"/>
          <w:color w:val="000000"/>
          <w:sz w:val="19"/>
          <w:szCs w:val="19"/>
          <w:lang w:val="es-ES_tradnl"/>
        </w:rPr>
        <w:footnoteRef/>
      </w:r>
      <w:r w:rsidRPr="001D5737">
        <w:rPr>
          <w:rFonts w:ascii="Arial" w:hAnsi="Arial" w:cs="Arial"/>
          <w:color w:val="000000"/>
          <w:sz w:val="19"/>
          <w:szCs w:val="19"/>
          <w:lang w:val="es-ES_tradnl"/>
        </w:rPr>
        <w:t xml:space="preserve"> En efecto, este artículo dispuso: «Adiciónese al artículo 2o de la Ley 1150 de 2007 el siguiente numeral.</w:t>
      </w:r>
    </w:p>
    <w:p w14:paraId="663E1E9A"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»La</w:t>
      </w:r>
      <w:proofErr w:type="gramEnd"/>
      <w:r w:rsidRPr="001D5737">
        <w:rPr>
          <w:rFonts w:ascii="Arial" w:hAnsi="Arial" w:cs="Arial"/>
          <w:color w:val="000000"/>
          <w:sz w:val="19"/>
          <w:szCs w:val="19"/>
          <w:lang w:val="es-ES_tradnl"/>
        </w:rPr>
        <w:t xml:space="preserve"> contratación cuyo valor no excede del 10 por ciento de la menor cuantía de la entidad independientemente de su objeto, se efectuará de conformidad con las siguientes reglas:</w:t>
      </w:r>
    </w:p>
    <w:p w14:paraId="7828E1DE"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»a</w:t>
      </w:r>
      <w:proofErr w:type="gramEnd"/>
      <w:r w:rsidRPr="001D5737">
        <w:rPr>
          <w:rFonts w:ascii="Arial" w:hAnsi="Arial" w:cs="Arial"/>
          <w:color w:val="000000"/>
          <w:sz w:val="19"/>
          <w:szCs w:val="19"/>
          <w:lang w:val="es-ES_tradnl"/>
        </w:rPr>
        <w:t>) Se publicará una invitación, por un término no inferior a un día hábil, en la cual se señalará el objeto a contratar, el presupuesto destinado para tal fin, así como las condiciones técnicas exigidas;</w:t>
      </w:r>
    </w:p>
    <w:p w14:paraId="536DFF61"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»b</w:t>
      </w:r>
      <w:proofErr w:type="gramEnd"/>
      <w:r w:rsidRPr="001D5737">
        <w:rPr>
          <w:rFonts w:ascii="Arial" w:hAnsi="Arial" w:cs="Arial"/>
          <w:color w:val="000000"/>
          <w:sz w:val="19"/>
          <w:szCs w:val="19"/>
          <w:lang w:val="es-ES_tradnl"/>
        </w:rPr>
        <w:t>) El término previsto en la invitación para presentar la oferta no podrá ser inferior a un día hábil;</w:t>
      </w:r>
    </w:p>
    <w:p w14:paraId="3DEAFE49" w14:textId="77777777" w:rsidR="00E22EB9" w:rsidRPr="001D5737" w:rsidRDefault="00E22EB9" w:rsidP="006E60F0">
      <w:pPr>
        <w:pStyle w:val="Textonotapie"/>
        <w:ind w:firstLine="709"/>
        <w:jc w:val="both"/>
        <w:rPr>
          <w:rFonts w:ascii="Arial" w:hAnsi="Arial" w:cs="Arial"/>
          <w:color w:val="000000"/>
          <w:sz w:val="19"/>
          <w:szCs w:val="19"/>
          <w:lang w:val="es-ES_tradnl"/>
        </w:rPr>
      </w:pPr>
      <w:r w:rsidRPr="001D5737">
        <w:rPr>
          <w:rFonts w:ascii="Arial" w:hAnsi="Arial" w:cs="Arial"/>
          <w:color w:val="000000"/>
          <w:sz w:val="19"/>
          <w:szCs w:val="19"/>
          <w:lang w:val="es-ES_tradnl"/>
        </w:rPr>
        <w:t>»c) La entidad seleccionará, mediante comunicación de aceptación de la oferta, la propuesta con el menor precio, siempre y cuando cumpla con las condiciones exigidas;</w:t>
      </w:r>
    </w:p>
    <w:p w14:paraId="7B2A0C62"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»d</w:t>
      </w:r>
      <w:proofErr w:type="gramEnd"/>
      <w:r w:rsidRPr="001D5737">
        <w:rPr>
          <w:rFonts w:ascii="Arial" w:hAnsi="Arial" w:cs="Arial"/>
          <w:color w:val="000000"/>
          <w:sz w:val="19"/>
          <w:szCs w:val="19"/>
          <w:lang w:val="es-ES_tradnl"/>
        </w:rPr>
        <w:t>) La comunicación de aceptación junto con la oferta constituyen para todos los efectos el contrato celebrado, con base en lo cual se efectuará el respectivo registro presupuestal.</w:t>
      </w:r>
    </w:p>
    <w:p w14:paraId="172A11F3"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»PARÁGRAFO</w:t>
      </w:r>
      <w:proofErr w:type="gramEnd"/>
      <w:r w:rsidRPr="001D5737">
        <w:rPr>
          <w:rFonts w:ascii="Arial" w:hAnsi="Arial" w:cs="Arial"/>
          <w:color w:val="000000"/>
          <w:sz w:val="19"/>
          <w:szCs w:val="19"/>
          <w:lang w:val="es-ES_tradnl"/>
        </w:rPr>
        <w:t xml:space="preserve">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43FF64FA"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»PARÁGRAFO</w:t>
      </w:r>
      <w:proofErr w:type="gramEnd"/>
      <w:r w:rsidRPr="001D5737">
        <w:rPr>
          <w:rFonts w:ascii="Arial" w:hAnsi="Arial" w:cs="Arial"/>
          <w:color w:val="000000"/>
          <w:sz w:val="19"/>
          <w:szCs w:val="19"/>
          <w:lang w:val="es-ES_tradnl"/>
        </w:rPr>
        <w:t xml:space="preserve"> 2o. La contratación a que se refiere el presente artículo se realizará exclusivamente con las reglas en él contempladas y en su reglamentación. En particular no se aplicará lo previsto en la Ley 816 de 2003, ni en el artículo 12 de la Ley 1150 de 2007».</w:t>
      </w:r>
    </w:p>
  </w:footnote>
  <w:footnote w:id="4">
    <w:p w14:paraId="37D1B286" w14:textId="77777777" w:rsidR="00E22EB9" w:rsidRPr="001D5737" w:rsidRDefault="00E22EB9" w:rsidP="006E60F0">
      <w:pPr>
        <w:pStyle w:val="Textonotapie"/>
        <w:ind w:firstLine="709"/>
        <w:jc w:val="both"/>
        <w:rPr>
          <w:rFonts w:ascii="Arial" w:hAnsi="Arial" w:cs="Arial"/>
          <w:color w:val="000000"/>
          <w:sz w:val="19"/>
          <w:szCs w:val="19"/>
          <w:lang w:val="es-ES_tradnl"/>
        </w:rPr>
      </w:pPr>
      <w:r w:rsidRPr="001D5737">
        <w:rPr>
          <w:rStyle w:val="Refdenotaalpie"/>
          <w:rFonts w:ascii="Arial" w:hAnsi="Arial" w:cs="Arial"/>
          <w:color w:val="000000"/>
          <w:sz w:val="19"/>
          <w:szCs w:val="19"/>
          <w:lang w:val="es-ES_tradnl"/>
        </w:rPr>
        <w:footnoteRef/>
      </w:r>
      <w:r w:rsidRPr="001D5737">
        <w:rPr>
          <w:rFonts w:ascii="Arial" w:hAnsi="Arial" w:cs="Arial"/>
          <w:color w:val="000000"/>
          <w:sz w:val="19"/>
          <w:szCs w:val="19"/>
          <w:lang w:val="es-ES_tradnl"/>
        </w:rPr>
        <w:t xml:space="preserve"> Esto lo ratifica el artículo 2.2.1.2.1.5.2. del Decreto 1082 de 2015.</w:t>
      </w:r>
    </w:p>
  </w:footnote>
  <w:footnote w:id="5">
    <w:p w14:paraId="02BA8125" w14:textId="77777777" w:rsidR="00E22EB9" w:rsidRPr="001D5737" w:rsidRDefault="00E22EB9" w:rsidP="006E60F0">
      <w:pPr>
        <w:pStyle w:val="Textonotapie"/>
        <w:ind w:firstLine="709"/>
        <w:jc w:val="both"/>
        <w:rPr>
          <w:rFonts w:ascii="Arial" w:hAnsi="Arial" w:cs="Arial"/>
          <w:color w:val="000000"/>
          <w:sz w:val="19"/>
          <w:szCs w:val="19"/>
          <w:lang w:val="es-ES_tradnl"/>
        </w:rPr>
      </w:pPr>
      <w:r w:rsidRPr="001D5737">
        <w:rPr>
          <w:rStyle w:val="Refdenotaalpie"/>
          <w:rFonts w:ascii="Arial" w:hAnsi="Arial" w:cs="Arial"/>
          <w:color w:val="000000"/>
          <w:sz w:val="19"/>
          <w:szCs w:val="19"/>
          <w:lang w:val="es-ES_tradnl"/>
        </w:rPr>
        <w:footnoteRef/>
      </w:r>
      <w:r w:rsidRPr="001D5737">
        <w:rPr>
          <w:rFonts w:ascii="Arial" w:hAnsi="Arial" w:cs="Arial"/>
          <w:color w:val="000000"/>
          <w:sz w:val="19"/>
          <w:szCs w:val="19"/>
          <w:lang w:val="es-ES_tradnl"/>
        </w:rPr>
        <w:t xml:space="preserve"> DÁVILA VINUEZA, Luis Guillermo. Régimen jurídico de la contratación estatal. 3ª ed. Bogotá: Legis, 2016. p. 463.</w:t>
      </w:r>
    </w:p>
  </w:footnote>
  <w:footnote w:id="6">
    <w:p w14:paraId="47F92056" w14:textId="77777777" w:rsidR="00E22EB9" w:rsidRPr="001D5737" w:rsidRDefault="00E22EB9" w:rsidP="006E60F0">
      <w:pPr>
        <w:pStyle w:val="Textonotapie"/>
        <w:ind w:firstLine="709"/>
        <w:jc w:val="both"/>
        <w:rPr>
          <w:rFonts w:ascii="Arial" w:hAnsi="Arial" w:cs="Arial"/>
          <w:color w:val="000000"/>
          <w:sz w:val="19"/>
          <w:szCs w:val="19"/>
          <w:lang w:val="es-ES_tradnl"/>
        </w:rPr>
      </w:pPr>
      <w:r w:rsidRPr="001D5737">
        <w:rPr>
          <w:rStyle w:val="Refdenotaalpie"/>
          <w:rFonts w:ascii="Arial" w:hAnsi="Arial" w:cs="Arial"/>
          <w:color w:val="000000"/>
          <w:sz w:val="19"/>
          <w:szCs w:val="19"/>
          <w:lang w:val="es-ES_tradnl"/>
        </w:rPr>
        <w:footnoteRef/>
      </w:r>
      <w:r w:rsidRPr="001D5737">
        <w:rPr>
          <w:rFonts w:ascii="Arial" w:hAnsi="Arial" w:cs="Arial"/>
          <w:color w:val="000000"/>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3B5A706A"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»Para</w:t>
      </w:r>
      <w:proofErr w:type="gramEnd"/>
      <w:r w:rsidRPr="001D5737">
        <w:rPr>
          <w:rFonts w:ascii="Arial" w:hAnsi="Arial" w:cs="Arial"/>
          <w:color w:val="000000"/>
          <w:sz w:val="19"/>
          <w:szCs w:val="19"/>
          <w:lang w:val="es-ES_tradnl"/>
        </w:rPr>
        <w:t xml:space="preserve"> las entidades que tengan un presupuesto anual superior o igual a 1.200.000 salarios mínimos legales mensuales, la menor cuantía será hasta 1.000 salarios mínimos legales mensuales.</w:t>
      </w:r>
    </w:p>
    <w:p w14:paraId="179775F1"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»Las</w:t>
      </w:r>
      <w:proofErr w:type="gramEnd"/>
      <w:r w:rsidRPr="001D5737">
        <w:rPr>
          <w:rFonts w:ascii="Arial" w:hAnsi="Arial" w:cs="Arial"/>
          <w:color w:val="000000"/>
          <w:sz w:val="19"/>
          <w:szCs w:val="19"/>
          <w:lang w:val="es-ES_tradnl"/>
        </w:rPr>
        <w:t xml:space="preserve"> que tengan un presupuesto anual superior o igual a 850.000 salarios mínimos legales mensuales e inferiores a 1.200.000 salarios mínimos legales mensuales, la menor cuantía será hasta 850 salarios mínimos legales mensuales.</w:t>
      </w:r>
    </w:p>
    <w:p w14:paraId="28945374"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»Las</w:t>
      </w:r>
      <w:proofErr w:type="gramEnd"/>
      <w:r w:rsidRPr="001D5737">
        <w:rPr>
          <w:rFonts w:ascii="Arial" w:hAnsi="Arial" w:cs="Arial"/>
          <w:color w:val="000000"/>
          <w:sz w:val="19"/>
          <w:szCs w:val="19"/>
          <w:lang w:val="es-ES_tradnl"/>
        </w:rPr>
        <w:t xml:space="preserve"> que tengan un presupuesto anual superior o igual a 400.000 salarios mínimos legales mensuales e inferior a 850.000 salarios mínimos legales mensuales, la menor cuantía será hasta 650 salarios mínimos legales mensuales.</w:t>
      </w:r>
    </w:p>
    <w:p w14:paraId="5D5245C2"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»Las</w:t>
      </w:r>
      <w:proofErr w:type="gramEnd"/>
      <w:r w:rsidRPr="001D5737">
        <w:rPr>
          <w:rFonts w:ascii="Arial" w:hAnsi="Arial" w:cs="Arial"/>
          <w:color w:val="000000"/>
          <w:sz w:val="19"/>
          <w:szCs w:val="19"/>
          <w:lang w:val="es-ES_tradnl"/>
        </w:rPr>
        <w:t xml:space="preserve"> que tengan un presupuesto anual superior o igual a 120.000 salarios mínimos legales mensuales e inferior a 400.000 salarios mínimos legales mensuales, la menor cuantía será hasta 450 salarios mínimos legales mensuales.</w:t>
      </w:r>
    </w:p>
    <w:p w14:paraId="384AFB4B" w14:textId="77777777" w:rsidR="00E22EB9" w:rsidRPr="001D5737" w:rsidRDefault="00E22EB9" w:rsidP="006E60F0">
      <w:pPr>
        <w:pStyle w:val="Textonotapie"/>
        <w:ind w:firstLine="709"/>
        <w:jc w:val="both"/>
        <w:rPr>
          <w:rFonts w:ascii="Arial" w:hAnsi="Arial" w:cs="Arial"/>
          <w:color w:val="000000"/>
          <w:sz w:val="19"/>
          <w:szCs w:val="19"/>
          <w:lang w:val="es-ES_tradnl"/>
        </w:rPr>
      </w:pPr>
      <w:proofErr w:type="gramStart"/>
      <w:r w:rsidRPr="001D5737">
        <w:rPr>
          <w:rFonts w:ascii="Arial" w:hAnsi="Arial" w:cs="Arial"/>
          <w:color w:val="000000"/>
          <w:sz w:val="19"/>
          <w:szCs w:val="19"/>
          <w:lang w:val="es-ES_tradnl"/>
        </w:rPr>
        <w:t>»Las</w:t>
      </w:r>
      <w:proofErr w:type="gramEnd"/>
      <w:r w:rsidRPr="001D5737">
        <w:rPr>
          <w:rFonts w:ascii="Arial" w:hAnsi="Arial" w:cs="Arial"/>
          <w:color w:val="000000"/>
          <w:sz w:val="19"/>
          <w:szCs w:val="19"/>
          <w:lang w:val="es-ES_tradnl"/>
        </w:rPr>
        <w:t xml:space="preserve"> que tengan un presupuesto anual inferior a 120.000 salarios mínimos legales mensuales, la menor cuantía será hasta 280 salarios mínimos legales mensuales».</w:t>
      </w:r>
    </w:p>
  </w:footnote>
  <w:footnote w:id="7">
    <w:p w14:paraId="4D959E3C" w14:textId="77777777" w:rsidR="00CC564A" w:rsidRPr="006E60F0" w:rsidRDefault="00CC564A">
      <w:pPr>
        <w:pStyle w:val="Textonotapie"/>
        <w:ind w:firstLine="708"/>
        <w:jc w:val="both"/>
        <w:rPr>
          <w:rFonts w:ascii="Arial" w:hAnsi="Arial" w:cs="Arial"/>
          <w:sz w:val="19"/>
          <w:szCs w:val="19"/>
          <w:lang w:val="en-US"/>
        </w:rPr>
      </w:pPr>
      <w:r w:rsidRPr="006E60F0">
        <w:rPr>
          <w:rStyle w:val="Refdenotaalpie"/>
          <w:rFonts w:ascii="Arial" w:hAnsi="Arial" w:cs="Arial"/>
          <w:sz w:val="19"/>
          <w:szCs w:val="19"/>
        </w:rPr>
        <w:footnoteRef/>
      </w:r>
      <w:r w:rsidRPr="006E60F0">
        <w:rPr>
          <w:rFonts w:ascii="Arial" w:hAnsi="Arial" w:cs="Arial"/>
          <w:sz w:val="19"/>
          <w:szCs w:val="19"/>
          <w:lang w:val="en-US"/>
        </w:rPr>
        <w:t xml:space="preserve"> DON WALLACE. </w:t>
      </w:r>
      <w:r w:rsidRPr="006E60F0">
        <w:rPr>
          <w:rFonts w:ascii="Arial" w:hAnsi="Arial" w:cs="Arial"/>
          <w:i/>
          <w:iCs/>
          <w:sz w:val="19"/>
          <w:szCs w:val="19"/>
          <w:lang w:val="en-US"/>
        </w:rPr>
        <w:t>The changing world of national procurement systems: global reformation.</w:t>
      </w:r>
      <w:r w:rsidRPr="006E60F0">
        <w:rPr>
          <w:rFonts w:ascii="Arial" w:hAnsi="Arial" w:cs="Arial"/>
          <w:sz w:val="19"/>
          <w:szCs w:val="19"/>
          <w:lang w:val="en-US"/>
        </w:rPr>
        <w:t xml:space="preserve"> Public procurement law review 4.2, 1995: 57-62.</w:t>
      </w:r>
    </w:p>
    <w:p w14:paraId="7FE435B1" w14:textId="77777777" w:rsidR="00CC564A" w:rsidRPr="006E60F0" w:rsidRDefault="00CC564A">
      <w:pPr>
        <w:pStyle w:val="Textonotapie"/>
        <w:jc w:val="both"/>
        <w:rPr>
          <w:rFonts w:ascii="Arial" w:hAnsi="Arial" w:cs="Arial"/>
          <w:sz w:val="19"/>
          <w:szCs w:val="19"/>
          <w:lang w:val="en-US"/>
        </w:rPr>
      </w:pPr>
    </w:p>
  </w:footnote>
  <w:footnote w:id="8">
    <w:p w14:paraId="70ECB598" w14:textId="77777777" w:rsidR="00CC564A" w:rsidRPr="006E60F0" w:rsidRDefault="00CC564A">
      <w:pPr>
        <w:pStyle w:val="Textonotapie"/>
        <w:ind w:firstLine="708"/>
        <w:jc w:val="both"/>
        <w:rPr>
          <w:rFonts w:ascii="Arial" w:hAnsi="Arial" w:cs="Arial"/>
          <w:sz w:val="19"/>
          <w:szCs w:val="19"/>
          <w:lang w:val="en-US"/>
        </w:rPr>
      </w:pPr>
      <w:r w:rsidRPr="006E60F0">
        <w:rPr>
          <w:rStyle w:val="Refdenotaalpie"/>
          <w:rFonts w:ascii="Arial" w:hAnsi="Arial" w:cs="Arial"/>
          <w:sz w:val="19"/>
          <w:szCs w:val="19"/>
        </w:rPr>
        <w:footnoteRef/>
      </w:r>
      <w:r w:rsidRPr="006E60F0">
        <w:rPr>
          <w:rFonts w:ascii="Arial" w:hAnsi="Arial" w:cs="Arial"/>
          <w:sz w:val="19"/>
          <w:szCs w:val="19"/>
          <w:lang w:val="en-US"/>
        </w:rPr>
        <w:t xml:space="preserve"> SUE ARROWSMITH; LINARELLI, John; WALLACE, Don. Regulation public procurement-national and international perspectives. Kluwer Law International BV, 2000.</w:t>
      </w:r>
    </w:p>
    <w:p w14:paraId="43FF7072" w14:textId="77777777" w:rsidR="00CC564A" w:rsidRPr="006E60F0" w:rsidRDefault="00CC564A">
      <w:pPr>
        <w:pStyle w:val="Textonotapie"/>
        <w:ind w:firstLine="708"/>
        <w:jc w:val="both"/>
        <w:rPr>
          <w:rFonts w:ascii="Arial" w:hAnsi="Arial" w:cs="Arial"/>
          <w:sz w:val="19"/>
          <w:szCs w:val="19"/>
          <w:lang w:val="en-US"/>
        </w:rPr>
      </w:pPr>
    </w:p>
  </w:footnote>
  <w:footnote w:id="9">
    <w:p w14:paraId="3989925E" w14:textId="77777777" w:rsidR="00CC564A" w:rsidRPr="006E60F0" w:rsidRDefault="00CC564A">
      <w:pPr>
        <w:pStyle w:val="Textonotapie"/>
        <w:ind w:firstLine="708"/>
        <w:jc w:val="both"/>
        <w:rPr>
          <w:rFonts w:ascii="Arial" w:hAnsi="Arial" w:cs="Arial"/>
          <w:sz w:val="19"/>
          <w:szCs w:val="19"/>
          <w:lang w:val="en-US"/>
        </w:rPr>
      </w:pPr>
      <w:r w:rsidRPr="006E60F0">
        <w:rPr>
          <w:rStyle w:val="Refdenotaalpie"/>
          <w:rFonts w:ascii="Arial" w:hAnsi="Arial" w:cs="Arial"/>
          <w:sz w:val="19"/>
          <w:szCs w:val="19"/>
        </w:rPr>
        <w:footnoteRef/>
      </w:r>
      <w:r w:rsidRPr="006E60F0">
        <w:rPr>
          <w:rFonts w:ascii="Arial" w:hAnsi="Arial" w:cs="Arial"/>
          <w:sz w:val="19"/>
          <w:szCs w:val="19"/>
          <w:lang w:val="en-US"/>
        </w:rPr>
        <w:t xml:space="preserve"> SUE ARROWSMITH. Public procurement: An appraisal of the UNCITRAL model law as a global standard. </w:t>
      </w:r>
      <w:r w:rsidRPr="006E60F0">
        <w:rPr>
          <w:rFonts w:ascii="Arial" w:hAnsi="Arial" w:cs="Arial"/>
          <w:i/>
          <w:iCs/>
          <w:sz w:val="19"/>
          <w:szCs w:val="19"/>
          <w:lang w:val="en-US"/>
        </w:rPr>
        <w:t>International &amp; Comparative Law Quarterly</w:t>
      </w:r>
      <w:r w:rsidRPr="006E60F0">
        <w:rPr>
          <w:rFonts w:ascii="Arial" w:hAnsi="Arial" w:cs="Arial"/>
          <w:sz w:val="19"/>
          <w:szCs w:val="19"/>
          <w:lang w:val="en-US"/>
        </w:rPr>
        <w:t>, 2004, vol. 53, no 1, p. 17-46.</w:t>
      </w:r>
    </w:p>
    <w:p w14:paraId="6DC0E887" w14:textId="77777777" w:rsidR="00CC564A" w:rsidRPr="006E60F0" w:rsidRDefault="00CC564A">
      <w:pPr>
        <w:pStyle w:val="Textonotapie"/>
        <w:ind w:firstLine="708"/>
        <w:jc w:val="both"/>
        <w:rPr>
          <w:rFonts w:ascii="Arial" w:hAnsi="Arial" w:cs="Arial"/>
          <w:sz w:val="19"/>
          <w:szCs w:val="19"/>
          <w:lang w:val="en-US"/>
        </w:rPr>
      </w:pPr>
    </w:p>
  </w:footnote>
  <w:footnote w:id="10">
    <w:p w14:paraId="1CA56EB8" w14:textId="77777777" w:rsidR="00CC564A" w:rsidRPr="006E60F0" w:rsidRDefault="00CC564A">
      <w:pPr>
        <w:pStyle w:val="Textonotapie"/>
        <w:ind w:firstLine="708"/>
        <w:jc w:val="both"/>
        <w:rPr>
          <w:rFonts w:ascii="Arial" w:hAnsi="Arial" w:cs="Arial"/>
          <w:sz w:val="19"/>
          <w:szCs w:val="19"/>
          <w:lang w:val="es-ES"/>
        </w:rPr>
      </w:pPr>
      <w:r w:rsidRPr="006E60F0">
        <w:rPr>
          <w:rStyle w:val="Refdenotaalpie"/>
          <w:rFonts w:ascii="Arial" w:hAnsi="Arial" w:cs="Arial"/>
          <w:sz w:val="19"/>
          <w:szCs w:val="19"/>
        </w:rPr>
        <w:footnoteRef/>
      </w:r>
      <w:r w:rsidRPr="006E60F0">
        <w:rPr>
          <w:rFonts w:ascii="Arial" w:hAnsi="Arial" w:cs="Arial"/>
          <w:sz w:val="19"/>
          <w:szCs w:val="19"/>
          <w:lang w:val="en-US"/>
        </w:rPr>
        <w:t xml:space="preserve"> SOPE WILLIAMS-ELEGBE. The World Bank's influence on procurement reform in Africa. </w:t>
      </w:r>
      <w:r w:rsidRPr="006E60F0">
        <w:rPr>
          <w:rFonts w:ascii="Arial" w:hAnsi="Arial" w:cs="Arial"/>
          <w:i/>
          <w:iCs/>
          <w:sz w:val="19"/>
          <w:szCs w:val="19"/>
          <w:lang w:val="en-US"/>
        </w:rPr>
        <w:t>African Journal of International and Comparative Law</w:t>
      </w:r>
      <w:r w:rsidRPr="006E60F0">
        <w:rPr>
          <w:rFonts w:ascii="Arial" w:hAnsi="Arial" w:cs="Arial"/>
          <w:sz w:val="19"/>
          <w:szCs w:val="19"/>
          <w:lang w:val="en-US"/>
        </w:rPr>
        <w:t xml:space="preserve">, 2013, vol. 21, no 1, p. 95-119; SOPE WILLIAMS-ELEGBE. Public Procurement and Multilateral Development Banks: Law, Practice and Problems. </w:t>
      </w:r>
      <w:proofErr w:type="spellStart"/>
      <w:r w:rsidRPr="006E60F0">
        <w:rPr>
          <w:rFonts w:ascii="Arial" w:hAnsi="Arial" w:cs="Arial"/>
          <w:sz w:val="19"/>
          <w:szCs w:val="19"/>
          <w:lang w:val="es-ES"/>
        </w:rPr>
        <w:t>Bloomsbury</w:t>
      </w:r>
      <w:proofErr w:type="spellEnd"/>
      <w:r w:rsidRPr="006E60F0">
        <w:rPr>
          <w:rFonts w:ascii="Arial" w:hAnsi="Arial" w:cs="Arial"/>
          <w:sz w:val="19"/>
          <w:szCs w:val="19"/>
          <w:lang w:val="es-ES"/>
        </w:rPr>
        <w:t xml:space="preserve"> Publishing, 2017.</w:t>
      </w:r>
    </w:p>
    <w:p w14:paraId="11953D12" w14:textId="77777777" w:rsidR="00CC564A" w:rsidRPr="006E60F0" w:rsidRDefault="00CC564A">
      <w:pPr>
        <w:pStyle w:val="Textonotapie"/>
        <w:ind w:firstLine="708"/>
        <w:jc w:val="both"/>
        <w:rPr>
          <w:rFonts w:ascii="Arial" w:hAnsi="Arial" w:cs="Arial"/>
          <w:sz w:val="19"/>
          <w:szCs w:val="19"/>
          <w:lang w:val="es-ES"/>
        </w:rPr>
      </w:pPr>
    </w:p>
  </w:footnote>
  <w:footnote w:id="11">
    <w:p w14:paraId="2554A62B" w14:textId="77777777" w:rsidR="00CC564A" w:rsidRPr="006E60F0" w:rsidRDefault="00CC564A">
      <w:pPr>
        <w:pStyle w:val="Textonotapie"/>
        <w:ind w:firstLine="709"/>
        <w:jc w:val="both"/>
        <w:rPr>
          <w:rFonts w:ascii="Arial" w:hAnsi="Arial" w:cs="Arial"/>
          <w:color w:val="000000" w:themeColor="text1"/>
          <w:sz w:val="19"/>
          <w:szCs w:val="19"/>
        </w:rPr>
      </w:pPr>
      <w:r w:rsidRPr="006E60F0">
        <w:rPr>
          <w:rStyle w:val="Refdenotaalpie"/>
          <w:rFonts w:ascii="Arial" w:hAnsi="Arial" w:cs="Arial"/>
          <w:color w:val="000000" w:themeColor="text1"/>
          <w:sz w:val="19"/>
          <w:szCs w:val="19"/>
        </w:rPr>
        <w:footnoteRef/>
      </w:r>
      <w:r w:rsidRPr="006E60F0">
        <w:rPr>
          <w:rFonts w:ascii="Arial" w:hAnsi="Arial" w:cs="Arial"/>
          <w:color w:val="000000" w:themeColor="text1"/>
          <w:sz w:val="19"/>
          <w:szCs w:val="19"/>
        </w:rPr>
        <w:t xml:space="preserve"> La </w:t>
      </w:r>
      <w:proofErr w:type="spellStart"/>
      <w:r w:rsidRPr="006E60F0">
        <w:rPr>
          <w:rFonts w:ascii="Arial" w:hAnsi="Arial" w:cs="Arial"/>
          <w:color w:val="000000" w:themeColor="text1"/>
          <w:sz w:val="19"/>
          <w:szCs w:val="19"/>
        </w:rPr>
        <w:t>Constitución</w:t>
      </w:r>
      <w:proofErr w:type="spellEnd"/>
      <w:r w:rsidRPr="006E60F0">
        <w:rPr>
          <w:rFonts w:ascii="Arial" w:hAnsi="Arial" w:cs="Arial"/>
          <w:color w:val="000000" w:themeColor="text1"/>
          <w:sz w:val="19"/>
          <w:szCs w:val="19"/>
        </w:rPr>
        <w:t xml:space="preserve"> </w:t>
      </w:r>
      <w:proofErr w:type="spellStart"/>
      <w:r w:rsidRPr="006E60F0">
        <w:rPr>
          <w:rFonts w:ascii="Arial" w:hAnsi="Arial" w:cs="Arial"/>
          <w:color w:val="000000" w:themeColor="text1"/>
          <w:sz w:val="19"/>
          <w:szCs w:val="19"/>
        </w:rPr>
        <w:t>Política</w:t>
      </w:r>
      <w:proofErr w:type="spellEnd"/>
      <w:r w:rsidRPr="006E60F0">
        <w:rPr>
          <w:rFonts w:ascii="Arial" w:hAnsi="Arial" w:cs="Arial"/>
          <w:color w:val="000000" w:themeColor="text1"/>
          <w:sz w:val="19"/>
          <w:szCs w:val="19"/>
        </w:rPr>
        <w:t xml:space="preserve">, en el </w:t>
      </w:r>
      <w:proofErr w:type="spellStart"/>
      <w:r w:rsidRPr="006E60F0">
        <w:rPr>
          <w:rFonts w:ascii="Arial" w:hAnsi="Arial" w:cs="Arial"/>
          <w:color w:val="000000" w:themeColor="text1"/>
          <w:sz w:val="19"/>
          <w:szCs w:val="19"/>
        </w:rPr>
        <w:t>artículo</w:t>
      </w:r>
      <w:proofErr w:type="spellEnd"/>
      <w:r w:rsidRPr="006E60F0">
        <w:rPr>
          <w:rFonts w:ascii="Arial" w:hAnsi="Arial" w:cs="Arial"/>
          <w:color w:val="000000" w:themeColor="text1"/>
          <w:sz w:val="19"/>
          <w:szCs w:val="19"/>
        </w:rPr>
        <w:t xml:space="preserve"> 189, numeral 2, dispone que el </w:t>
      </w:r>
      <w:proofErr w:type="gramStart"/>
      <w:r w:rsidRPr="006E60F0">
        <w:rPr>
          <w:rFonts w:ascii="Arial" w:hAnsi="Arial" w:cs="Arial"/>
          <w:color w:val="000000" w:themeColor="text1"/>
          <w:sz w:val="19"/>
          <w:szCs w:val="19"/>
        </w:rPr>
        <w:t>Presidente</w:t>
      </w:r>
      <w:proofErr w:type="gramEnd"/>
      <w:r w:rsidRPr="006E60F0">
        <w:rPr>
          <w:rFonts w:ascii="Arial" w:hAnsi="Arial" w:cs="Arial"/>
          <w:color w:val="000000" w:themeColor="text1"/>
          <w:sz w:val="19"/>
          <w:szCs w:val="19"/>
        </w:rPr>
        <w:t xml:space="preserve"> de la </w:t>
      </w:r>
      <w:proofErr w:type="spellStart"/>
      <w:r w:rsidRPr="006E60F0">
        <w:rPr>
          <w:rFonts w:ascii="Arial" w:hAnsi="Arial" w:cs="Arial"/>
          <w:color w:val="000000" w:themeColor="text1"/>
          <w:sz w:val="19"/>
          <w:szCs w:val="19"/>
        </w:rPr>
        <w:t>República</w:t>
      </w:r>
      <w:proofErr w:type="spellEnd"/>
      <w:r w:rsidRPr="006E60F0">
        <w:rPr>
          <w:rFonts w:ascii="Arial" w:hAnsi="Arial" w:cs="Arial"/>
          <w:color w:val="000000" w:themeColor="text1"/>
          <w:sz w:val="19"/>
          <w:szCs w:val="19"/>
        </w:rPr>
        <w:t xml:space="preserve"> debe: «Dirigir las relaciones internacionales. Nombrar a los agentes </w:t>
      </w:r>
      <w:proofErr w:type="spellStart"/>
      <w:r w:rsidRPr="006E60F0">
        <w:rPr>
          <w:rFonts w:ascii="Arial" w:hAnsi="Arial" w:cs="Arial"/>
          <w:color w:val="000000" w:themeColor="text1"/>
          <w:sz w:val="19"/>
          <w:szCs w:val="19"/>
        </w:rPr>
        <w:t>diplomáticos</w:t>
      </w:r>
      <w:proofErr w:type="spellEnd"/>
      <w:r w:rsidRPr="006E60F0">
        <w:rPr>
          <w:rFonts w:ascii="Arial" w:hAnsi="Arial" w:cs="Arial"/>
          <w:color w:val="000000" w:themeColor="text1"/>
          <w:sz w:val="19"/>
          <w:szCs w:val="19"/>
        </w:rPr>
        <w:t xml:space="preserve"> y consulares, recibir a los agentes respectivos y celebrar con otros Estados y entidades de derecho internacional tratados o convenios que se </w:t>
      </w:r>
      <w:proofErr w:type="spellStart"/>
      <w:r w:rsidRPr="006E60F0">
        <w:rPr>
          <w:rFonts w:ascii="Arial" w:hAnsi="Arial" w:cs="Arial"/>
          <w:color w:val="000000" w:themeColor="text1"/>
          <w:sz w:val="19"/>
          <w:szCs w:val="19"/>
        </w:rPr>
        <w:t>someterán</w:t>
      </w:r>
      <w:proofErr w:type="spellEnd"/>
      <w:r w:rsidRPr="006E60F0">
        <w:rPr>
          <w:rFonts w:ascii="Arial" w:hAnsi="Arial" w:cs="Arial"/>
          <w:color w:val="000000" w:themeColor="text1"/>
          <w:sz w:val="19"/>
          <w:szCs w:val="19"/>
        </w:rPr>
        <w:t xml:space="preserve"> a la </w:t>
      </w:r>
      <w:proofErr w:type="spellStart"/>
      <w:r w:rsidRPr="006E60F0">
        <w:rPr>
          <w:rFonts w:ascii="Arial" w:hAnsi="Arial" w:cs="Arial"/>
          <w:color w:val="000000" w:themeColor="text1"/>
          <w:sz w:val="19"/>
          <w:szCs w:val="19"/>
        </w:rPr>
        <w:t>aprobación</w:t>
      </w:r>
      <w:proofErr w:type="spellEnd"/>
      <w:r w:rsidRPr="006E60F0">
        <w:rPr>
          <w:rFonts w:ascii="Arial" w:hAnsi="Arial" w:cs="Arial"/>
          <w:color w:val="000000" w:themeColor="text1"/>
          <w:sz w:val="19"/>
          <w:szCs w:val="19"/>
        </w:rPr>
        <w:t xml:space="preserve"> del Congreso». </w:t>
      </w:r>
      <w:proofErr w:type="spellStart"/>
      <w:r w:rsidRPr="006E60F0">
        <w:rPr>
          <w:rFonts w:ascii="Arial" w:hAnsi="Arial" w:cs="Arial"/>
          <w:color w:val="000000" w:themeColor="text1"/>
          <w:sz w:val="19"/>
          <w:szCs w:val="19"/>
        </w:rPr>
        <w:t>Asi</w:t>
      </w:r>
      <w:proofErr w:type="spellEnd"/>
      <w:r w:rsidRPr="006E60F0">
        <w:rPr>
          <w:rFonts w:ascii="Arial" w:hAnsi="Arial" w:cs="Arial"/>
          <w:color w:val="000000" w:themeColor="text1"/>
          <w:sz w:val="19"/>
          <w:szCs w:val="19"/>
        </w:rPr>
        <w:t xml:space="preserve">́ mismo, en el </w:t>
      </w:r>
      <w:proofErr w:type="spellStart"/>
      <w:r w:rsidRPr="006E60F0">
        <w:rPr>
          <w:rFonts w:ascii="Arial" w:hAnsi="Arial" w:cs="Arial"/>
          <w:color w:val="000000" w:themeColor="text1"/>
          <w:sz w:val="19"/>
          <w:szCs w:val="19"/>
        </w:rPr>
        <w:t>artículo</w:t>
      </w:r>
      <w:proofErr w:type="spellEnd"/>
      <w:r w:rsidRPr="006E60F0">
        <w:rPr>
          <w:rFonts w:ascii="Arial" w:hAnsi="Arial" w:cs="Arial"/>
          <w:color w:val="000000" w:themeColor="text1"/>
          <w:sz w:val="19"/>
          <w:szCs w:val="19"/>
        </w:rPr>
        <w:t xml:space="preserve"> 150, numeral 16, establece que el Congreso de la </w:t>
      </w:r>
      <w:proofErr w:type="spellStart"/>
      <w:r w:rsidRPr="006E60F0">
        <w:rPr>
          <w:rFonts w:ascii="Arial" w:hAnsi="Arial" w:cs="Arial"/>
          <w:color w:val="000000" w:themeColor="text1"/>
          <w:sz w:val="19"/>
          <w:szCs w:val="19"/>
        </w:rPr>
        <w:t>República</w:t>
      </w:r>
      <w:proofErr w:type="spellEnd"/>
      <w:r w:rsidRPr="006E60F0">
        <w:rPr>
          <w:rFonts w:ascii="Arial" w:hAnsi="Arial" w:cs="Arial"/>
          <w:color w:val="000000" w:themeColor="text1"/>
          <w:sz w:val="19"/>
          <w:szCs w:val="19"/>
        </w:rPr>
        <w:t xml:space="preserve"> debe: «Aprobar o improbar los tratados que el Gobierno celebre con otros Estados o con entidades de derecho internacional. Por medio de dichos tratados </w:t>
      </w:r>
      <w:proofErr w:type="spellStart"/>
      <w:r w:rsidRPr="006E60F0">
        <w:rPr>
          <w:rFonts w:ascii="Arial" w:hAnsi="Arial" w:cs="Arial"/>
          <w:color w:val="000000" w:themeColor="text1"/>
          <w:sz w:val="19"/>
          <w:szCs w:val="19"/>
        </w:rPr>
        <w:t>podra</w:t>
      </w:r>
      <w:proofErr w:type="spellEnd"/>
      <w:r w:rsidRPr="006E60F0">
        <w:rPr>
          <w:rFonts w:ascii="Arial" w:hAnsi="Arial" w:cs="Arial"/>
          <w:color w:val="000000" w:themeColor="text1"/>
          <w:sz w:val="19"/>
          <w:szCs w:val="19"/>
        </w:rPr>
        <w:t xml:space="preserve">́ el Estado, sobre bases de equidad, reciprocidad y conveniencia nacional, transferir parcialmente determinadas atribuciones a organismos internacionales, que tengan por objeto promover o consolidar la </w:t>
      </w:r>
      <w:proofErr w:type="spellStart"/>
      <w:r w:rsidRPr="006E60F0">
        <w:rPr>
          <w:rFonts w:ascii="Arial" w:hAnsi="Arial" w:cs="Arial"/>
          <w:color w:val="000000" w:themeColor="text1"/>
          <w:sz w:val="19"/>
          <w:szCs w:val="19"/>
        </w:rPr>
        <w:t>integración</w:t>
      </w:r>
      <w:proofErr w:type="spellEnd"/>
      <w:r w:rsidRPr="006E60F0">
        <w:rPr>
          <w:rFonts w:ascii="Arial" w:hAnsi="Arial" w:cs="Arial"/>
          <w:color w:val="000000" w:themeColor="text1"/>
          <w:sz w:val="19"/>
          <w:szCs w:val="19"/>
        </w:rPr>
        <w:t xml:space="preserve"> </w:t>
      </w:r>
      <w:proofErr w:type="spellStart"/>
      <w:r w:rsidRPr="006E60F0">
        <w:rPr>
          <w:rFonts w:ascii="Arial" w:hAnsi="Arial" w:cs="Arial"/>
          <w:color w:val="000000" w:themeColor="text1"/>
          <w:sz w:val="19"/>
          <w:szCs w:val="19"/>
        </w:rPr>
        <w:t>económica</w:t>
      </w:r>
      <w:proofErr w:type="spellEnd"/>
      <w:r w:rsidRPr="006E60F0">
        <w:rPr>
          <w:rFonts w:ascii="Arial" w:hAnsi="Arial" w:cs="Arial"/>
          <w:color w:val="000000" w:themeColor="text1"/>
          <w:sz w:val="19"/>
          <w:szCs w:val="19"/>
        </w:rPr>
        <w:t xml:space="preserve"> con otros Estados».</w:t>
      </w:r>
    </w:p>
    <w:p w14:paraId="3B77962A" w14:textId="77777777" w:rsidR="00CC564A" w:rsidRPr="006E60F0" w:rsidRDefault="00CC564A">
      <w:pPr>
        <w:pStyle w:val="Textonotapie"/>
        <w:ind w:firstLine="709"/>
        <w:jc w:val="both"/>
        <w:rPr>
          <w:rFonts w:ascii="Arial" w:hAnsi="Arial" w:cs="Arial"/>
          <w:color w:val="000000" w:themeColor="text1"/>
          <w:sz w:val="19"/>
          <w:szCs w:val="19"/>
        </w:rPr>
      </w:pPr>
    </w:p>
  </w:footnote>
  <w:footnote w:id="12">
    <w:p w14:paraId="307594A8" w14:textId="77777777" w:rsidR="001D5737" w:rsidRPr="005C5767" w:rsidRDefault="001D5737" w:rsidP="001D5737">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8"/>
          <w:szCs w:val="18"/>
        </w:rPr>
      </w:pPr>
      <w:r w:rsidRPr="005C5767">
        <w:rPr>
          <w:rStyle w:val="Refdenotaalpie"/>
          <w:rFonts w:ascii="Arial" w:hAnsi="Arial" w:cs="Arial"/>
          <w:sz w:val="18"/>
          <w:szCs w:val="18"/>
        </w:rPr>
        <w:footnoteRef/>
      </w:r>
      <w:r w:rsidRPr="005C5767">
        <w:rPr>
          <w:rFonts w:ascii="Arial" w:hAnsi="Arial" w:cs="Arial"/>
          <w:sz w:val="18"/>
          <w:szCs w:val="18"/>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5C5767">
        <w:rPr>
          <w:rFonts w:ascii="Arial" w:hAnsi="Arial" w:cs="Arial"/>
          <w:sz w:val="18"/>
          <w:szCs w:val="18"/>
        </w:rPr>
        <w:tab/>
        <w:t>relacionada con los procedimientos de la entidad»: https://www.colciencias.gov.co/sites/default/files/ckeditor_files/G102PR01-procedimiento-elaboracion- control.pdf</w:t>
      </w:r>
    </w:p>
    <w:p w14:paraId="29D4C301" w14:textId="77777777" w:rsidR="001D5737" w:rsidRPr="005C5767" w:rsidRDefault="001D5737" w:rsidP="001D5737">
      <w:pPr>
        <w:ind w:firstLine="408"/>
        <w:jc w:val="both"/>
        <w:rPr>
          <w:rFonts w:ascii="Arial" w:hAnsi="Arial" w:cs="Arial"/>
          <w:sz w:val="18"/>
          <w:szCs w:val="18"/>
        </w:rPr>
      </w:pPr>
      <w:r w:rsidRPr="001D5737">
        <w:rPr>
          <w:rFonts w:ascii="Arial" w:hAnsi="Arial" w:cs="Arial"/>
          <w:sz w:val="18"/>
          <w:szCs w:val="18"/>
          <w:lang w:eastAsia="es-CO"/>
        </w:rPr>
        <w:tab/>
      </w:r>
      <w:r w:rsidRPr="005C5767">
        <w:rPr>
          <w:rFonts w:ascii="Arial" w:hAnsi="Arial" w:cs="Arial"/>
          <w:sz w:val="18"/>
          <w:szCs w:val="18"/>
        </w:rPr>
        <w:t xml:space="preserve">Para la Autoridad Nacional de Licencias Ambientales los manuales y guías </w:t>
      </w:r>
      <w:r w:rsidRPr="005C5767">
        <w:rPr>
          <w:rFonts w:ascii="Arial" w:hAnsi="Arial" w:cs="Arial"/>
          <w:sz w:val="18"/>
          <w:szCs w:val="18"/>
          <w:lang w:val="es-MX"/>
        </w:rPr>
        <w:t>«</w:t>
      </w:r>
      <w:r w:rsidRPr="005C5767">
        <w:rPr>
          <w:rFonts w:ascii="Arial" w:hAnsi="Arial" w:cs="Arial"/>
          <w:sz w:val="18"/>
          <w:szCs w:val="18"/>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5C5767">
          <w:rPr>
            <w:rFonts w:ascii="Arial" w:hAnsi="Arial" w:cs="Arial"/>
            <w:sz w:val="18"/>
            <w:szCs w:val="18"/>
          </w:rPr>
          <w:t>http://portal.anla.gov.co/manuales-y-guias</w:t>
        </w:r>
      </w:hyperlink>
    </w:p>
    <w:p w14:paraId="6249CC43" w14:textId="77777777" w:rsidR="001D5737" w:rsidRPr="005C5767" w:rsidRDefault="001D5737" w:rsidP="001D5737">
      <w:pPr>
        <w:pStyle w:val="Textonotapie"/>
        <w:jc w:val="both"/>
        <w:rPr>
          <w:rFonts w:ascii="Arial" w:hAnsi="Arial" w:cs="Arial"/>
          <w:sz w:val="18"/>
          <w:szCs w:val="18"/>
        </w:rPr>
      </w:pPr>
    </w:p>
  </w:footnote>
  <w:footnote w:id="13">
    <w:p w14:paraId="442E0A72" w14:textId="77777777" w:rsidR="001D5737" w:rsidRPr="005C5767" w:rsidRDefault="001D5737" w:rsidP="001D5737">
      <w:pPr>
        <w:tabs>
          <w:tab w:val="left" w:pos="4805"/>
          <w:tab w:val="left" w:pos="8980"/>
        </w:tabs>
        <w:ind w:firstLine="707"/>
        <w:jc w:val="both"/>
        <w:rPr>
          <w:rFonts w:ascii="Arial" w:hAnsi="Arial" w:cs="Arial"/>
          <w:sz w:val="18"/>
          <w:szCs w:val="18"/>
        </w:rPr>
      </w:pPr>
      <w:r w:rsidRPr="005C5767">
        <w:rPr>
          <w:rStyle w:val="Refdenotaalpie"/>
          <w:rFonts w:ascii="Arial" w:hAnsi="Arial" w:cs="Arial"/>
          <w:sz w:val="18"/>
          <w:szCs w:val="18"/>
        </w:rPr>
        <w:footnoteRef/>
      </w:r>
      <w:r w:rsidRPr="005C5767">
        <w:rPr>
          <w:rFonts w:ascii="Arial" w:hAnsi="Arial" w:cs="Arial"/>
          <w:sz w:val="18"/>
          <w:szCs w:val="18"/>
        </w:rPr>
        <w:t xml:space="preserve"> La Circular Externa Única de Colombia Compra Eficiente señala: </w:t>
      </w:r>
      <w:r>
        <w:rPr>
          <w:rFonts w:ascii="Arial" w:hAnsi="Arial" w:cs="Arial"/>
          <w:sz w:val="18"/>
          <w:szCs w:val="18"/>
        </w:rPr>
        <w:t>«</w:t>
      </w:r>
      <w:r w:rsidRPr="005C5767">
        <w:rPr>
          <w:rFonts w:ascii="Arial" w:hAnsi="Arial" w:cs="Arial"/>
          <w:sz w:val="18"/>
          <w:szCs w:val="18"/>
        </w:rPr>
        <w:t>Las circulares externas proferidas por Colombia Compra Eficiente son actos administrativos que contienen mandatos, orientaciones e instrucciones que van dirigidas a las Entidades Estatales y al público en general y son de obligatorio cumplimiento</w:t>
      </w:r>
      <w:r>
        <w:rPr>
          <w:rFonts w:ascii="Arial" w:hAnsi="Arial" w:cs="Arial"/>
          <w:sz w:val="18"/>
          <w:szCs w:val="18"/>
        </w:rPr>
        <w:t>»</w:t>
      </w:r>
      <w:r w:rsidRPr="005C5767">
        <w:rPr>
          <w:rFonts w:ascii="Arial" w:hAnsi="Arial" w:cs="Arial"/>
          <w:sz w:val="18"/>
          <w:szCs w:val="18"/>
        </w:rPr>
        <w:t>.</w:t>
      </w:r>
      <w:r w:rsidRPr="005C5767">
        <w:rPr>
          <w:rFonts w:ascii="Arial" w:hAnsi="Arial" w:cs="Arial"/>
          <w:sz w:val="18"/>
          <w:szCs w:val="18"/>
        </w:rPr>
        <w:tab/>
        <w:t>Disponible</w:t>
      </w:r>
      <w:r w:rsidRPr="005C5767">
        <w:rPr>
          <w:rFonts w:ascii="Arial" w:hAnsi="Arial" w:cs="Arial"/>
          <w:sz w:val="18"/>
          <w:szCs w:val="18"/>
        </w:rPr>
        <w:tab/>
      </w:r>
      <w:r w:rsidRPr="005C5767">
        <w:rPr>
          <w:rFonts w:ascii="Arial" w:hAnsi="Arial" w:cs="Arial"/>
          <w:spacing w:val="-6"/>
          <w:sz w:val="18"/>
          <w:szCs w:val="18"/>
        </w:rPr>
        <w:t xml:space="preserve">en: </w:t>
      </w:r>
      <w:hyperlink r:id="rId2">
        <w:r w:rsidRPr="005C5767">
          <w:rPr>
            <w:rFonts w:ascii="Arial" w:hAnsi="Arial" w:cs="Arial"/>
            <w:sz w:val="18"/>
            <w:szCs w:val="18"/>
          </w:rPr>
          <w:t>https://www.colombiacompra.gov.co/sites/cce_public/files/cce_circulares/cce_circular_unica.pdf</w:t>
        </w:r>
      </w:hyperlink>
    </w:p>
    <w:p w14:paraId="355384AB" w14:textId="77777777" w:rsidR="001D5737" w:rsidRPr="005C5767" w:rsidRDefault="001D5737" w:rsidP="001D5737">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8F5"/>
    <w:multiLevelType w:val="multilevel"/>
    <w:tmpl w:val="FBC68F98"/>
    <w:lvl w:ilvl="0">
      <w:start w:val="1"/>
      <w:numFmt w:val="decimal"/>
      <w:lvlText w:val="%1."/>
      <w:lvlJc w:val="left"/>
      <w:pPr>
        <w:ind w:left="344"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0" w:hanging="507"/>
        <w:jc w:val="right"/>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073" w:hanging="222"/>
      </w:pPr>
      <w:rPr>
        <w:rFonts w:ascii="Arial MT" w:eastAsia="Arial MT" w:hAnsi="Arial MT" w:cs="Arial MT" w:hint="default"/>
        <w:spacing w:val="-1"/>
        <w:w w:val="100"/>
        <w:sz w:val="22"/>
        <w:szCs w:val="22"/>
        <w:lang w:val="es-ES" w:eastAsia="en-US" w:bidi="ar-SA"/>
      </w:rPr>
    </w:lvl>
    <w:lvl w:ilvl="3">
      <w:numFmt w:val="bullet"/>
      <w:lvlText w:val="•"/>
      <w:lvlJc w:val="left"/>
      <w:pPr>
        <w:ind w:left="2357" w:hanging="222"/>
      </w:pPr>
      <w:rPr>
        <w:rFonts w:hint="default"/>
        <w:lang w:val="es-ES" w:eastAsia="en-US" w:bidi="ar-SA"/>
      </w:rPr>
    </w:lvl>
    <w:lvl w:ilvl="4">
      <w:numFmt w:val="bullet"/>
      <w:lvlText w:val="•"/>
      <w:lvlJc w:val="left"/>
      <w:pPr>
        <w:ind w:left="3366" w:hanging="222"/>
      </w:pPr>
      <w:rPr>
        <w:rFonts w:hint="default"/>
        <w:lang w:val="es-ES" w:eastAsia="en-US" w:bidi="ar-SA"/>
      </w:rPr>
    </w:lvl>
    <w:lvl w:ilvl="5">
      <w:numFmt w:val="bullet"/>
      <w:lvlText w:val="•"/>
      <w:lvlJc w:val="left"/>
      <w:pPr>
        <w:ind w:left="4375" w:hanging="222"/>
      </w:pPr>
      <w:rPr>
        <w:rFonts w:hint="default"/>
        <w:lang w:val="es-ES" w:eastAsia="en-US" w:bidi="ar-SA"/>
      </w:rPr>
    </w:lvl>
    <w:lvl w:ilvl="6">
      <w:numFmt w:val="bullet"/>
      <w:lvlText w:val="•"/>
      <w:lvlJc w:val="left"/>
      <w:pPr>
        <w:ind w:left="5384" w:hanging="222"/>
      </w:pPr>
      <w:rPr>
        <w:rFonts w:hint="default"/>
        <w:lang w:val="es-ES" w:eastAsia="en-US" w:bidi="ar-SA"/>
      </w:rPr>
    </w:lvl>
    <w:lvl w:ilvl="7">
      <w:numFmt w:val="bullet"/>
      <w:lvlText w:val="•"/>
      <w:lvlJc w:val="left"/>
      <w:pPr>
        <w:ind w:left="6393" w:hanging="222"/>
      </w:pPr>
      <w:rPr>
        <w:rFonts w:hint="default"/>
        <w:lang w:val="es-ES" w:eastAsia="en-US" w:bidi="ar-SA"/>
      </w:rPr>
    </w:lvl>
    <w:lvl w:ilvl="8">
      <w:numFmt w:val="bullet"/>
      <w:lvlText w:val="•"/>
      <w:lvlJc w:val="left"/>
      <w:pPr>
        <w:ind w:left="7402" w:hanging="222"/>
      </w:pPr>
      <w:rPr>
        <w:rFonts w:hint="default"/>
        <w:lang w:val="es-ES" w:eastAsia="en-US" w:bidi="ar-SA"/>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3D6A3F77"/>
    <w:multiLevelType w:val="hybridMultilevel"/>
    <w:tmpl w:val="002293A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A8C5942"/>
    <w:multiLevelType w:val="hybridMultilevel"/>
    <w:tmpl w:val="2564E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53199061">
    <w:abstractNumId w:val="9"/>
  </w:num>
  <w:num w:numId="2" w16cid:durableId="142698596">
    <w:abstractNumId w:val="7"/>
  </w:num>
  <w:num w:numId="3" w16cid:durableId="500395258">
    <w:abstractNumId w:val="14"/>
  </w:num>
  <w:num w:numId="4" w16cid:durableId="279454617">
    <w:abstractNumId w:val="17"/>
  </w:num>
  <w:num w:numId="5" w16cid:durableId="1975871061">
    <w:abstractNumId w:val="22"/>
  </w:num>
  <w:num w:numId="6" w16cid:durableId="173855620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405480">
    <w:abstractNumId w:val="19"/>
  </w:num>
  <w:num w:numId="8" w16cid:durableId="991567225">
    <w:abstractNumId w:val="0"/>
  </w:num>
  <w:num w:numId="9" w16cid:durableId="567611012">
    <w:abstractNumId w:val="3"/>
  </w:num>
  <w:num w:numId="10" w16cid:durableId="1465194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500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0784998">
    <w:abstractNumId w:val="8"/>
  </w:num>
  <w:num w:numId="13" w16cid:durableId="1480464980">
    <w:abstractNumId w:val="13"/>
  </w:num>
  <w:num w:numId="14" w16cid:durableId="1836874269">
    <w:abstractNumId w:val="6"/>
  </w:num>
  <w:num w:numId="15" w16cid:durableId="8077497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82815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978828">
    <w:abstractNumId w:val="24"/>
  </w:num>
  <w:num w:numId="18" w16cid:durableId="1351832796">
    <w:abstractNumId w:val="15"/>
  </w:num>
  <w:num w:numId="19" w16cid:durableId="1734815746">
    <w:abstractNumId w:val="2"/>
  </w:num>
  <w:num w:numId="20" w16cid:durableId="839462725">
    <w:abstractNumId w:val="25"/>
  </w:num>
  <w:num w:numId="21" w16cid:durableId="1853716800">
    <w:abstractNumId w:val="16"/>
  </w:num>
  <w:num w:numId="22" w16cid:durableId="492334936">
    <w:abstractNumId w:val="5"/>
  </w:num>
  <w:num w:numId="23" w16cid:durableId="1914199315">
    <w:abstractNumId w:val="4"/>
  </w:num>
  <w:num w:numId="24" w16cid:durableId="1522091257">
    <w:abstractNumId w:val="23"/>
  </w:num>
  <w:num w:numId="25" w16cid:durableId="1801915591">
    <w:abstractNumId w:val="18"/>
  </w:num>
  <w:num w:numId="26" w16cid:durableId="1544444182">
    <w:abstractNumId w:val="10"/>
  </w:num>
  <w:num w:numId="27" w16cid:durableId="252784758">
    <w:abstractNumId w:val="21"/>
  </w:num>
  <w:num w:numId="28" w16cid:durableId="1222444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B10"/>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581"/>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5D7A"/>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444"/>
    <w:rsid w:val="00026608"/>
    <w:rsid w:val="00027787"/>
    <w:rsid w:val="000278D2"/>
    <w:rsid w:val="00030B30"/>
    <w:rsid w:val="00030DFB"/>
    <w:rsid w:val="00031364"/>
    <w:rsid w:val="000315E1"/>
    <w:rsid w:val="0003236E"/>
    <w:rsid w:val="000323C6"/>
    <w:rsid w:val="00032689"/>
    <w:rsid w:val="0003339A"/>
    <w:rsid w:val="000341F2"/>
    <w:rsid w:val="000345DC"/>
    <w:rsid w:val="00034F40"/>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06FC"/>
    <w:rsid w:val="00050ABA"/>
    <w:rsid w:val="00051074"/>
    <w:rsid w:val="000526F0"/>
    <w:rsid w:val="0005273D"/>
    <w:rsid w:val="00052B79"/>
    <w:rsid w:val="00052E4B"/>
    <w:rsid w:val="00052EA0"/>
    <w:rsid w:val="000536A7"/>
    <w:rsid w:val="000536E3"/>
    <w:rsid w:val="00053896"/>
    <w:rsid w:val="00053A00"/>
    <w:rsid w:val="0005474D"/>
    <w:rsid w:val="00054ACA"/>
    <w:rsid w:val="0005561B"/>
    <w:rsid w:val="00055A41"/>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0F3"/>
    <w:rsid w:val="0006626E"/>
    <w:rsid w:val="00066A7F"/>
    <w:rsid w:val="00070AF1"/>
    <w:rsid w:val="000714DE"/>
    <w:rsid w:val="0007254F"/>
    <w:rsid w:val="0007357C"/>
    <w:rsid w:val="00073C30"/>
    <w:rsid w:val="00074305"/>
    <w:rsid w:val="000744D0"/>
    <w:rsid w:val="00074B2A"/>
    <w:rsid w:val="00074E6F"/>
    <w:rsid w:val="00074EEE"/>
    <w:rsid w:val="000753D5"/>
    <w:rsid w:val="00075B3E"/>
    <w:rsid w:val="00076456"/>
    <w:rsid w:val="0007779B"/>
    <w:rsid w:val="000777E7"/>
    <w:rsid w:val="0007790A"/>
    <w:rsid w:val="000779F2"/>
    <w:rsid w:val="0008017B"/>
    <w:rsid w:val="0008049A"/>
    <w:rsid w:val="000808BF"/>
    <w:rsid w:val="00080ACD"/>
    <w:rsid w:val="00080D4C"/>
    <w:rsid w:val="000811ED"/>
    <w:rsid w:val="00081D62"/>
    <w:rsid w:val="00082B74"/>
    <w:rsid w:val="00083099"/>
    <w:rsid w:val="00083EDC"/>
    <w:rsid w:val="00084B97"/>
    <w:rsid w:val="00084F87"/>
    <w:rsid w:val="00085033"/>
    <w:rsid w:val="0008510E"/>
    <w:rsid w:val="000855B5"/>
    <w:rsid w:val="000856DE"/>
    <w:rsid w:val="00085F17"/>
    <w:rsid w:val="00085FB0"/>
    <w:rsid w:val="00085FB3"/>
    <w:rsid w:val="0008686B"/>
    <w:rsid w:val="00086B2A"/>
    <w:rsid w:val="00086ED2"/>
    <w:rsid w:val="0008756A"/>
    <w:rsid w:val="00087A64"/>
    <w:rsid w:val="000901A0"/>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97F53"/>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4A1"/>
    <w:rsid w:val="000A7EF4"/>
    <w:rsid w:val="000B046C"/>
    <w:rsid w:val="000B0A15"/>
    <w:rsid w:val="000B103F"/>
    <w:rsid w:val="000B1437"/>
    <w:rsid w:val="000B1470"/>
    <w:rsid w:val="000B244D"/>
    <w:rsid w:val="000B26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6FA4"/>
    <w:rsid w:val="000C7476"/>
    <w:rsid w:val="000C7480"/>
    <w:rsid w:val="000C7711"/>
    <w:rsid w:val="000C7AA2"/>
    <w:rsid w:val="000D0462"/>
    <w:rsid w:val="000D053D"/>
    <w:rsid w:val="000D0ED2"/>
    <w:rsid w:val="000D107D"/>
    <w:rsid w:val="000D13FD"/>
    <w:rsid w:val="000D1CEB"/>
    <w:rsid w:val="000D2563"/>
    <w:rsid w:val="000D25BF"/>
    <w:rsid w:val="000D2FE4"/>
    <w:rsid w:val="000D34DB"/>
    <w:rsid w:val="000D3FDC"/>
    <w:rsid w:val="000D490B"/>
    <w:rsid w:val="000D4BE6"/>
    <w:rsid w:val="000D4E38"/>
    <w:rsid w:val="000D50C8"/>
    <w:rsid w:val="000D50DB"/>
    <w:rsid w:val="000D6288"/>
    <w:rsid w:val="000D6C10"/>
    <w:rsid w:val="000D728B"/>
    <w:rsid w:val="000D7541"/>
    <w:rsid w:val="000D75E1"/>
    <w:rsid w:val="000E004D"/>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060"/>
    <w:rsid w:val="000F0136"/>
    <w:rsid w:val="000F078A"/>
    <w:rsid w:val="000F122D"/>
    <w:rsid w:val="000F1450"/>
    <w:rsid w:val="000F14E8"/>
    <w:rsid w:val="000F1BBD"/>
    <w:rsid w:val="000F290F"/>
    <w:rsid w:val="000F4403"/>
    <w:rsid w:val="000F47F3"/>
    <w:rsid w:val="000F480B"/>
    <w:rsid w:val="000F4A7F"/>
    <w:rsid w:val="000F4AA8"/>
    <w:rsid w:val="000F4E17"/>
    <w:rsid w:val="000F55A8"/>
    <w:rsid w:val="000F5615"/>
    <w:rsid w:val="000F5973"/>
    <w:rsid w:val="000F5C61"/>
    <w:rsid w:val="000F6578"/>
    <w:rsid w:val="000F6F92"/>
    <w:rsid w:val="000F7E8F"/>
    <w:rsid w:val="000F7FBB"/>
    <w:rsid w:val="001000FB"/>
    <w:rsid w:val="00100A9E"/>
    <w:rsid w:val="00100F6A"/>
    <w:rsid w:val="00101E8E"/>
    <w:rsid w:val="00102605"/>
    <w:rsid w:val="00102686"/>
    <w:rsid w:val="00102745"/>
    <w:rsid w:val="00102D62"/>
    <w:rsid w:val="00103795"/>
    <w:rsid w:val="00103915"/>
    <w:rsid w:val="001039AA"/>
    <w:rsid w:val="00103EA0"/>
    <w:rsid w:val="00104149"/>
    <w:rsid w:val="00104F1C"/>
    <w:rsid w:val="001051E5"/>
    <w:rsid w:val="00105A74"/>
    <w:rsid w:val="00105ACB"/>
    <w:rsid w:val="00105AEF"/>
    <w:rsid w:val="00105B76"/>
    <w:rsid w:val="00106259"/>
    <w:rsid w:val="001068EB"/>
    <w:rsid w:val="00107007"/>
    <w:rsid w:val="001078CE"/>
    <w:rsid w:val="00110F61"/>
    <w:rsid w:val="00111034"/>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3AC"/>
    <w:rsid w:val="001156A7"/>
    <w:rsid w:val="00115C37"/>
    <w:rsid w:val="00116328"/>
    <w:rsid w:val="001163CF"/>
    <w:rsid w:val="00116EC5"/>
    <w:rsid w:val="001174C9"/>
    <w:rsid w:val="001177FE"/>
    <w:rsid w:val="00117E69"/>
    <w:rsid w:val="00117F58"/>
    <w:rsid w:val="00121103"/>
    <w:rsid w:val="00121B78"/>
    <w:rsid w:val="00121BAB"/>
    <w:rsid w:val="00121E3C"/>
    <w:rsid w:val="00122B23"/>
    <w:rsid w:val="00122B7E"/>
    <w:rsid w:val="00122EFA"/>
    <w:rsid w:val="00123E27"/>
    <w:rsid w:val="00123FB5"/>
    <w:rsid w:val="0012400F"/>
    <w:rsid w:val="0012416F"/>
    <w:rsid w:val="001249DC"/>
    <w:rsid w:val="00124D24"/>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9E"/>
    <w:rsid w:val="001329BC"/>
    <w:rsid w:val="00132C30"/>
    <w:rsid w:val="00132EFD"/>
    <w:rsid w:val="00133AED"/>
    <w:rsid w:val="00133F1B"/>
    <w:rsid w:val="00134BCD"/>
    <w:rsid w:val="00134E09"/>
    <w:rsid w:val="001350AB"/>
    <w:rsid w:val="00135DB9"/>
    <w:rsid w:val="00135E5D"/>
    <w:rsid w:val="0013695C"/>
    <w:rsid w:val="00136BF7"/>
    <w:rsid w:val="00136C78"/>
    <w:rsid w:val="00137440"/>
    <w:rsid w:val="001378B9"/>
    <w:rsid w:val="00137FFA"/>
    <w:rsid w:val="00140109"/>
    <w:rsid w:val="0014029B"/>
    <w:rsid w:val="0014040B"/>
    <w:rsid w:val="00140464"/>
    <w:rsid w:val="00140A4F"/>
    <w:rsid w:val="00140D18"/>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02E1"/>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6BF"/>
    <w:rsid w:val="00161DDA"/>
    <w:rsid w:val="00161E62"/>
    <w:rsid w:val="00161F1C"/>
    <w:rsid w:val="0016200B"/>
    <w:rsid w:val="0016204B"/>
    <w:rsid w:val="0016306A"/>
    <w:rsid w:val="00163D7A"/>
    <w:rsid w:val="00164281"/>
    <w:rsid w:val="00164CF5"/>
    <w:rsid w:val="0016543F"/>
    <w:rsid w:val="00165703"/>
    <w:rsid w:val="00165E5C"/>
    <w:rsid w:val="00166204"/>
    <w:rsid w:val="00166797"/>
    <w:rsid w:val="0016685F"/>
    <w:rsid w:val="0016712F"/>
    <w:rsid w:val="00167503"/>
    <w:rsid w:val="001676A9"/>
    <w:rsid w:val="00167A15"/>
    <w:rsid w:val="00167A50"/>
    <w:rsid w:val="00167D1A"/>
    <w:rsid w:val="00167DF5"/>
    <w:rsid w:val="00170001"/>
    <w:rsid w:val="001719FE"/>
    <w:rsid w:val="00172198"/>
    <w:rsid w:val="001723AB"/>
    <w:rsid w:val="00172612"/>
    <w:rsid w:val="00172817"/>
    <w:rsid w:val="00172BDD"/>
    <w:rsid w:val="001734E3"/>
    <w:rsid w:val="001742BF"/>
    <w:rsid w:val="001742E1"/>
    <w:rsid w:val="00175E49"/>
    <w:rsid w:val="0017649F"/>
    <w:rsid w:val="0017655B"/>
    <w:rsid w:val="00177EAA"/>
    <w:rsid w:val="001805C1"/>
    <w:rsid w:val="00180733"/>
    <w:rsid w:val="00180A2E"/>
    <w:rsid w:val="00180F75"/>
    <w:rsid w:val="001813AF"/>
    <w:rsid w:val="001826C9"/>
    <w:rsid w:val="001829CD"/>
    <w:rsid w:val="00182F01"/>
    <w:rsid w:val="00183AEE"/>
    <w:rsid w:val="00183CD2"/>
    <w:rsid w:val="00184219"/>
    <w:rsid w:val="00184F27"/>
    <w:rsid w:val="0018519B"/>
    <w:rsid w:val="001858C9"/>
    <w:rsid w:val="00185966"/>
    <w:rsid w:val="00185A2D"/>
    <w:rsid w:val="00185AFE"/>
    <w:rsid w:val="00185E78"/>
    <w:rsid w:val="001868D9"/>
    <w:rsid w:val="00187177"/>
    <w:rsid w:val="0018775F"/>
    <w:rsid w:val="00187ABD"/>
    <w:rsid w:val="001904E3"/>
    <w:rsid w:val="0019087A"/>
    <w:rsid w:val="00191C5A"/>
    <w:rsid w:val="00191CEB"/>
    <w:rsid w:val="00191E63"/>
    <w:rsid w:val="00192D68"/>
    <w:rsid w:val="0019388B"/>
    <w:rsid w:val="00193ADE"/>
    <w:rsid w:val="00193B9A"/>
    <w:rsid w:val="00193FA3"/>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60A"/>
    <w:rsid w:val="001A3011"/>
    <w:rsid w:val="001A3078"/>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76B"/>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5E58"/>
    <w:rsid w:val="001C600B"/>
    <w:rsid w:val="001C6898"/>
    <w:rsid w:val="001C6DD8"/>
    <w:rsid w:val="001C76FA"/>
    <w:rsid w:val="001C79A4"/>
    <w:rsid w:val="001C7C7B"/>
    <w:rsid w:val="001D068D"/>
    <w:rsid w:val="001D0CBD"/>
    <w:rsid w:val="001D12D1"/>
    <w:rsid w:val="001D15DF"/>
    <w:rsid w:val="001D2552"/>
    <w:rsid w:val="001D2EEE"/>
    <w:rsid w:val="001D30F3"/>
    <w:rsid w:val="001D31A0"/>
    <w:rsid w:val="001D338E"/>
    <w:rsid w:val="001D4562"/>
    <w:rsid w:val="001D5202"/>
    <w:rsid w:val="001D56E9"/>
    <w:rsid w:val="001D5737"/>
    <w:rsid w:val="001D6944"/>
    <w:rsid w:val="001D6CD2"/>
    <w:rsid w:val="001D796A"/>
    <w:rsid w:val="001D7A84"/>
    <w:rsid w:val="001D7C79"/>
    <w:rsid w:val="001E003B"/>
    <w:rsid w:val="001E1CC4"/>
    <w:rsid w:val="001E1D38"/>
    <w:rsid w:val="001E28A0"/>
    <w:rsid w:val="001E3712"/>
    <w:rsid w:val="001E3FFE"/>
    <w:rsid w:val="001E4258"/>
    <w:rsid w:val="001E5140"/>
    <w:rsid w:val="001E5D6A"/>
    <w:rsid w:val="001E6A94"/>
    <w:rsid w:val="001E70FB"/>
    <w:rsid w:val="001E780A"/>
    <w:rsid w:val="001F0325"/>
    <w:rsid w:val="001F0806"/>
    <w:rsid w:val="001F0D15"/>
    <w:rsid w:val="001F0FA0"/>
    <w:rsid w:val="001F1349"/>
    <w:rsid w:val="001F1863"/>
    <w:rsid w:val="001F22B7"/>
    <w:rsid w:val="001F2356"/>
    <w:rsid w:val="001F2462"/>
    <w:rsid w:val="001F2A68"/>
    <w:rsid w:val="001F2C47"/>
    <w:rsid w:val="001F4773"/>
    <w:rsid w:val="001F4DC8"/>
    <w:rsid w:val="001F5008"/>
    <w:rsid w:val="001F56AA"/>
    <w:rsid w:val="001F57EB"/>
    <w:rsid w:val="001F58AA"/>
    <w:rsid w:val="001F5A4E"/>
    <w:rsid w:val="001F5EF6"/>
    <w:rsid w:val="001F6538"/>
    <w:rsid w:val="001F657F"/>
    <w:rsid w:val="001F6FB6"/>
    <w:rsid w:val="001F72BB"/>
    <w:rsid w:val="001F793C"/>
    <w:rsid w:val="001F7978"/>
    <w:rsid w:val="001F7A0E"/>
    <w:rsid w:val="001F7A4B"/>
    <w:rsid w:val="001F7BB3"/>
    <w:rsid w:val="0020022E"/>
    <w:rsid w:val="0020054E"/>
    <w:rsid w:val="00200A27"/>
    <w:rsid w:val="00201508"/>
    <w:rsid w:val="00201AC4"/>
    <w:rsid w:val="00201F1E"/>
    <w:rsid w:val="00202761"/>
    <w:rsid w:val="0020299B"/>
    <w:rsid w:val="00202B2A"/>
    <w:rsid w:val="00202E44"/>
    <w:rsid w:val="002037AA"/>
    <w:rsid w:val="00203FE3"/>
    <w:rsid w:val="002042D8"/>
    <w:rsid w:val="00204515"/>
    <w:rsid w:val="0020492B"/>
    <w:rsid w:val="00204BF5"/>
    <w:rsid w:val="00204E6B"/>
    <w:rsid w:val="002053EF"/>
    <w:rsid w:val="002058D4"/>
    <w:rsid w:val="0020632A"/>
    <w:rsid w:val="0020697F"/>
    <w:rsid w:val="00206F4D"/>
    <w:rsid w:val="0020726E"/>
    <w:rsid w:val="00207389"/>
    <w:rsid w:val="002074B4"/>
    <w:rsid w:val="00207718"/>
    <w:rsid w:val="00207831"/>
    <w:rsid w:val="00207DF6"/>
    <w:rsid w:val="002110EB"/>
    <w:rsid w:val="00211338"/>
    <w:rsid w:val="00211388"/>
    <w:rsid w:val="0021148C"/>
    <w:rsid w:val="00211694"/>
    <w:rsid w:val="0021201A"/>
    <w:rsid w:val="00212545"/>
    <w:rsid w:val="002138FE"/>
    <w:rsid w:val="00213A1F"/>
    <w:rsid w:val="00213C63"/>
    <w:rsid w:val="00214502"/>
    <w:rsid w:val="00214741"/>
    <w:rsid w:val="00214938"/>
    <w:rsid w:val="00214B7E"/>
    <w:rsid w:val="00214BDE"/>
    <w:rsid w:val="0021539A"/>
    <w:rsid w:val="00215852"/>
    <w:rsid w:val="00215B01"/>
    <w:rsid w:val="00215B8E"/>
    <w:rsid w:val="00216264"/>
    <w:rsid w:val="00216561"/>
    <w:rsid w:val="002169A0"/>
    <w:rsid w:val="002176B6"/>
    <w:rsid w:val="0021792D"/>
    <w:rsid w:val="00217D55"/>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91D"/>
    <w:rsid w:val="00232E15"/>
    <w:rsid w:val="00233079"/>
    <w:rsid w:val="002330DB"/>
    <w:rsid w:val="00233189"/>
    <w:rsid w:val="0023382C"/>
    <w:rsid w:val="00233977"/>
    <w:rsid w:val="00233C58"/>
    <w:rsid w:val="00233C71"/>
    <w:rsid w:val="002345B6"/>
    <w:rsid w:val="002347A6"/>
    <w:rsid w:val="00234B84"/>
    <w:rsid w:val="00236016"/>
    <w:rsid w:val="00236229"/>
    <w:rsid w:val="00237065"/>
    <w:rsid w:val="00237589"/>
    <w:rsid w:val="0023758D"/>
    <w:rsid w:val="002375A7"/>
    <w:rsid w:val="0024019A"/>
    <w:rsid w:val="00240DA2"/>
    <w:rsid w:val="00240EC1"/>
    <w:rsid w:val="0024120F"/>
    <w:rsid w:val="0024131D"/>
    <w:rsid w:val="002415B8"/>
    <w:rsid w:val="00241B82"/>
    <w:rsid w:val="00242D5F"/>
    <w:rsid w:val="00242D62"/>
    <w:rsid w:val="002430D0"/>
    <w:rsid w:val="002431D7"/>
    <w:rsid w:val="00244058"/>
    <w:rsid w:val="0024451A"/>
    <w:rsid w:val="00244FC3"/>
    <w:rsid w:val="0024564A"/>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723"/>
    <w:rsid w:val="00253A02"/>
    <w:rsid w:val="00253B81"/>
    <w:rsid w:val="00253CB3"/>
    <w:rsid w:val="00254AE9"/>
    <w:rsid w:val="002554DE"/>
    <w:rsid w:val="00255575"/>
    <w:rsid w:val="00255AD7"/>
    <w:rsid w:val="00255E11"/>
    <w:rsid w:val="002564B7"/>
    <w:rsid w:val="00256835"/>
    <w:rsid w:val="002569F0"/>
    <w:rsid w:val="00256A1A"/>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8D1"/>
    <w:rsid w:val="00277933"/>
    <w:rsid w:val="00277F8D"/>
    <w:rsid w:val="00277FA7"/>
    <w:rsid w:val="00280046"/>
    <w:rsid w:val="002809B4"/>
    <w:rsid w:val="00280B4F"/>
    <w:rsid w:val="00280F3D"/>
    <w:rsid w:val="0028106A"/>
    <w:rsid w:val="00281E35"/>
    <w:rsid w:val="00281EB4"/>
    <w:rsid w:val="00282E03"/>
    <w:rsid w:val="0028308E"/>
    <w:rsid w:val="002834E9"/>
    <w:rsid w:val="002837BA"/>
    <w:rsid w:val="00283A52"/>
    <w:rsid w:val="00283AEC"/>
    <w:rsid w:val="00283C5E"/>
    <w:rsid w:val="00283E26"/>
    <w:rsid w:val="0028428F"/>
    <w:rsid w:val="002842F0"/>
    <w:rsid w:val="00284CFC"/>
    <w:rsid w:val="00285832"/>
    <w:rsid w:val="00285969"/>
    <w:rsid w:val="0028599C"/>
    <w:rsid w:val="0028663B"/>
    <w:rsid w:val="00286CEC"/>
    <w:rsid w:val="002870F9"/>
    <w:rsid w:val="002871A9"/>
    <w:rsid w:val="00287505"/>
    <w:rsid w:val="00287BDB"/>
    <w:rsid w:val="00290781"/>
    <w:rsid w:val="0029121A"/>
    <w:rsid w:val="00291784"/>
    <w:rsid w:val="002920DF"/>
    <w:rsid w:val="002928A3"/>
    <w:rsid w:val="002929BB"/>
    <w:rsid w:val="00292A27"/>
    <w:rsid w:val="002933BB"/>
    <w:rsid w:val="00294368"/>
    <w:rsid w:val="00294B78"/>
    <w:rsid w:val="00295416"/>
    <w:rsid w:val="00295949"/>
    <w:rsid w:val="00295D7C"/>
    <w:rsid w:val="0029624A"/>
    <w:rsid w:val="00296922"/>
    <w:rsid w:val="00297098"/>
    <w:rsid w:val="00297E4C"/>
    <w:rsid w:val="002A05D4"/>
    <w:rsid w:val="002A06DB"/>
    <w:rsid w:val="002A09FF"/>
    <w:rsid w:val="002A0E60"/>
    <w:rsid w:val="002A1A58"/>
    <w:rsid w:val="002A1B02"/>
    <w:rsid w:val="002A1C53"/>
    <w:rsid w:val="002A1F84"/>
    <w:rsid w:val="002A244B"/>
    <w:rsid w:val="002A28FC"/>
    <w:rsid w:val="002A2B44"/>
    <w:rsid w:val="002A2EA5"/>
    <w:rsid w:val="002A301E"/>
    <w:rsid w:val="002A3376"/>
    <w:rsid w:val="002A3555"/>
    <w:rsid w:val="002A3D94"/>
    <w:rsid w:val="002A3F66"/>
    <w:rsid w:val="002A4313"/>
    <w:rsid w:val="002A4736"/>
    <w:rsid w:val="002A4B1C"/>
    <w:rsid w:val="002A4CA6"/>
    <w:rsid w:val="002A55FE"/>
    <w:rsid w:val="002A625C"/>
    <w:rsid w:val="002A6AFB"/>
    <w:rsid w:val="002A733D"/>
    <w:rsid w:val="002A774A"/>
    <w:rsid w:val="002A7840"/>
    <w:rsid w:val="002A78F3"/>
    <w:rsid w:val="002A7AAD"/>
    <w:rsid w:val="002A7D84"/>
    <w:rsid w:val="002A7E5C"/>
    <w:rsid w:val="002A7F6D"/>
    <w:rsid w:val="002B0CB6"/>
    <w:rsid w:val="002B0D83"/>
    <w:rsid w:val="002B1342"/>
    <w:rsid w:val="002B1C73"/>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39A"/>
    <w:rsid w:val="002C0589"/>
    <w:rsid w:val="002C0CF3"/>
    <w:rsid w:val="002C1EE4"/>
    <w:rsid w:val="002C24B4"/>
    <w:rsid w:val="002C2B3A"/>
    <w:rsid w:val="002C2B87"/>
    <w:rsid w:val="002C3CF4"/>
    <w:rsid w:val="002C4356"/>
    <w:rsid w:val="002C441A"/>
    <w:rsid w:val="002C4A2B"/>
    <w:rsid w:val="002C4A73"/>
    <w:rsid w:val="002C4B84"/>
    <w:rsid w:val="002C4C0C"/>
    <w:rsid w:val="002C5016"/>
    <w:rsid w:val="002C5C2F"/>
    <w:rsid w:val="002C5D0F"/>
    <w:rsid w:val="002C5F2E"/>
    <w:rsid w:val="002C60B9"/>
    <w:rsid w:val="002C6F77"/>
    <w:rsid w:val="002C704D"/>
    <w:rsid w:val="002C7092"/>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492"/>
    <w:rsid w:val="002E635A"/>
    <w:rsid w:val="002E648E"/>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3A2"/>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497"/>
    <w:rsid w:val="0032078D"/>
    <w:rsid w:val="00320ADF"/>
    <w:rsid w:val="0032137B"/>
    <w:rsid w:val="003214BE"/>
    <w:rsid w:val="00321A70"/>
    <w:rsid w:val="00321BD6"/>
    <w:rsid w:val="00321FA3"/>
    <w:rsid w:val="003227D3"/>
    <w:rsid w:val="00322937"/>
    <w:rsid w:val="00322942"/>
    <w:rsid w:val="00323059"/>
    <w:rsid w:val="00323881"/>
    <w:rsid w:val="00324885"/>
    <w:rsid w:val="003251A8"/>
    <w:rsid w:val="003254B1"/>
    <w:rsid w:val="00325AD9"/>
    <w:rsid w:val="00325D79"/>
    <w:rsid w:val="00325D98"/>
    <w:rsid w:val="0032682A"/>
    <w:rsid w:val="00327163"/>
    <w:rsid w:val="00327843"/>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170"/>
    <w:rsid w:val="00340BE1"/>
    <w:rsid w:val="00340D3F"/>
    <w:rsid w:val="0034174B"/>
    <w:rsid w:val="0034177C"/>
    <w:rsid w:val="003420E9"/>
    <w:rsid w:val="00342118"/>
    <w:rsid w:val="00342345"/>
    <w:rsid w:val="00342C27"/>
    <w:rsid w:val="003430C8"/>
    <w:rsid w:val="003432C8"/>
    <w:rsid w:val="003434B3"/>
    <w:rsid w:val="00343536"/>
    <w:rsid w:val="00343EFB"/>
    <w:rsid w:val="003443C4"/>
    <w:rsid w:val="00344760"/>
    <w:rsid w:val="003454E8"/>
    <w:rsid w:val="00345574"/>
    <w:rsid w:val="0034567E"/>
    <w:rsid w:val="00345965"/>
    <w:rsid w:val="0034680A"/>
    <w:rsid w:val="00346C62"/>
    <w:rsid w:val="0034713F"/>
    <w:rsid w:val="00347202"/>
    <w:rsid w:val="0034778E"/>
    <w:rsid w:val="00347A5A"/>
    <w:rsid w:val="003501E2"/>
    <w:rsid w:val="003514B8"/>
    <w:rsid w:val="00351E10"/>
    <w:rsid w:val="003533F4"/>
    <w:rsid w:val="003536F6"/>
    <w:rsid w:val="00353DD5"/>
    <w:rsid w:val="00353F36"/>
    <w:rsid w:val="00355111"/>
    <w:rsid w:val="00355131"/>
    <w:rsid w:val="00355F4A"/>
    <w:rsid w:val="00355F74"/>
    <w:rsid w:val="003560DB"/>
    <w:rsid w:val="003564DB"/>
    <w:rsid w:val="00356F87"/>
    <w:rsid w:val="00357E83"/>
    <w:rsid w:val="00360CF3"/>
    <w:rsid w:val="00361A59"/>
    <w:rsid w:val="00363348"/>
    <w:rsid w:val="00363857"/>
    <w:rsid w:val="00363A24"/>
    <w:rsid w:val="00363D59"/>
    <w:rsid w:val="00363F08"/>
    <w:rsid w:val="003640F7"/>
    <w:rsid w:val="0036594A"/>
    <w:rsid w:val="00365AE5"/>
    <w:rsid w:val="00365D3A"/>
    <w:rsid w:val="00365D64"/>
    <w:rsid w:val="003664FF"/>
    <w:rsid w:val="00366BD2"/>
    <w:rsid w:val="003670B8"/>
    <w:rsid w:val="003704A3"/>
    <w:rsid w:val="003706F2"/>
    <w:rsid w:val="003709E8"/>
    <w:rsid w:val="00370CB6"/>
    <w:rsid w:val="0037124F"/>
    <w:rsid w:val="00373827"/>
    <w:rsid w:val="00373ABE"/>
    <w:rsid w:val="0037401C"/>
    <w:rsid w:val="0037507B"/>
    <w:rsid w:val="00375C7C"/>
    <w:rsid w:val="00376C33"/>
    <w:rsid w:val="00377027"/>
    <w:rsid w:val="00377135"/>
    <w:rsid w:val="00380272"/>
    <w:rsid w:val="003805DB"/>
    <w:rsid w:val="003811B7"/>
    <w:rsid w:val="0038152A"/>
    <w:rsid w:val="0038245D"/>
    <w:rsid w:val="00382BAD"/>
    <w:rsid w:val="003835FD"/>
    <w:rsid w:val="00383DE4"/>
    <w:rsid w:val="00383EDF"/>
    <w:rsid w:val="00384494"/>
    <w:rsid w:val="0038484C"/>
    <w:rsid w:val="00384C5E"/>
    <w:rsid w:val="00384DF1"/>
    <w:rsid w:val="00384F1A"/>
    <w:rsid w:val="00384FF3"/>
    <w:rsid w:val="00386456"/>
    <w:rsid w:val="003865A9"/>
    <w:rsid w:val="0039047D"/>
    <w:rsid w:val="003906FD"/>
    <w:rsid w:val="0039092B"/>
    <w:rsid w:val="00390BD9"/>
    <w:rsid w:val="00390F32"/>
    <w:rsid w:val="0039135E"/>
    <w:rsid w:val="00391867"/>
    <w:rsid w:val="0039285D"/>
    <w:rsid w:val="00392FE8"/>
    <w:rsid w:val="0039319C"/>
    <w:rsid w:val="00393577"/>
    <w:rsid w:val="00393CAE"/>
    <w:rsid w:val="003945F4"/>
    <w:rsid w:val="00394EB5"/>
    <w:rsid w:val="003953B4"/>
    <w:rsid w:val="00395558"/>
    <w:rsid w:val="0039615F"/>
    <w:rsid w:val="003966A0"/>
    <w:rsid w:val="00396A29"/>
    <w:rsid w:val="00397FF0"/>
    <w:rsid w:val="003A058E"/>
    <w:rsid w:val="003A0878"/>
    <w:rsid w:val="003A132A"/>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043E"/>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5F"/>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857"/>
    <w:rsid w:val="003C7CFB"/>
    <w:rsid w:val="003D02F3"/>
    <w:rsid w:val="003D050B"/>
    <w:rsid w:val="003D0B98"/>
    <w:rsid w:val="003D0C3C"/>
    <w:rsid w:val="003D0DE5"/>
    <w:rsid w:val="003D1351"/>
    <w:rsid w:val="003D21C1"/>
    <w:rsid w:val="003D3B15"/>
    <w:rsid w:val="003D3B2E"/>
    <w:rsid w:val="003D3E4D"/>
    <w:rsid w:val="003D3F28"/>
    <w:rsid w:val="003D4101"/>
    <w:rsid w:val="003D47EF"/>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530"/>
    <w:rsid w:val="003E5780"/>
    <w:rsid w:val="003E5B31"/>
    <w:rsid w:val="003E5B9F"/>
    <w:rsid w:val="003E5DA4"/>
    <w:rsid w:val="003E6072"/>
    <w:rsid w:val="003E60D6"/>
    <w:rsid w:val="003E68E8"/>
    <w:rsid w:val="003E6AB6"/>
    <w:rsid w:val="003E6E0B"/>
    <w:rsid w:val="003E71CD"/>
    <w:rsid w:val="003E78DA"/>
    <w:rsid w:val="003E7A8B"/>
    <w:rsid w:val="003F02A2"/>
    <w:rsid w:val="003F060E"/>
    <w:rsid w:val="003F0F7F"/>
    <w:rsid w:val="003F115C"/>
    <w:rsid w:val="003F153A"/>
    <w:rsid w:val="003F1F5B"/>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576"/>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A41"/>
    <w:rsid w:val="00415B88"/>
    <w:rsid w:val="00415D32"/>
    <w:rsid w:val="004160A2"/>
    <w:rsid w:val="0041674B"/>
    <w:rsid w:val="004170D7"/>
    <w:rsid w:val="004175CE"/>
    <w:rsid w:val="004177A6"/>
    <w:rsid w:val="00417C23"/>
    <w:rsid w:val="00417EFD"/>
    <w:rsid w:val="004200EE"/>
    <w:rsid w:val="00420786"/>
    <w:rsid w:val="004207F3"/>
    <w:rsid w:val="0042095B"/>
    <w:rsid w:val="004209D2"/>
    <w:rsid w:val="00420BBA"/>
    <w:rsid w:val="00420D6E"/>
    <w:rsid w:val="00420F50"/>
    <w:rsid w:val="0042158C"/>
    <w:rsid w:val="00421617"/>
    <w:rsid w:val="004217A7"/>
    <w:rsid w:val="00421BD2"/>
    <w:rsid w:val="00421E00"/>
    <w:rsid w:val="00421FCB"/>
    <w:rsid w:val="0042226E"/>
    <w:rsid w:val="0042253F"/>
    <w:rsid w:val="00422DCA"/>
    <w:rsid w:val="004232C0"/>
    <w:rsid w:val="00423D04"/>
    <w:rsid w:val="00423F9F"/>
    <w:rsid w:val="00425B2E"/>
    <w:rsid w:val="00425C43"/>
    <w:rsid w:val="004273FA"/>
    <w:rsid w:val="004275A7"/>
    <w:rsid w:val="004278D8"/>
    <w:rsid w:val="00430186"/>
    <w:rsid w:val="00430D44"/>
    <w:rsid w:val="00430DD2"/>
    <w:rsid w:val="00430F17"/>
    <w:rsid w:val="00431CC7"/>
    <w:rsid w:val="0043260C"/>
    <w:rsid w:val="0043269A"/>
    <w:rsid w:val="00432E92"/>
    <w:rsid w:val="004333C2"/>
    <w:rsid w:val="00434787"/>
    <w:rsid w:val="00434C13"/>
    <w:rsid w:val="00434D8B"/>
    <w:rsid w:val="00435294"/>
    <w:rsid w:val="00435703"/>
    <w:rsid w:val="00435BD5"/>
    <w:rsid w:val="0043622D"/>
    <w:rsid w:val="00436323"/>
    <w:rsid w:val="0043683F"/>
    <w:rsid w:val="00436F40"/>
    <w:rsid w:val="00436F56"/>
    <w:rsid w:val="004370FA"/>
    <w:rsid w:val="0043741B"/>
    <w:rsid w:val="00440096"/>
    <w:rsid w:val="004403DD"/>
    <w:rsid w:val="00440CF3"/>
    <w:rsid w:val="00440DB0"/>
    <w:rsid w:val="00440DDC"/>
    <w:rsid w:val="00440FAD"/>
    <w:rsid w:val="00441291"/>
    <w:rsid w:val="00441C1A"/>
    <w:rsid w:val="00441E04"/>
    <w:rsid w:val="004420AB"/>
    <w:rsid w:val="004422D6"/>
    <w:rsid w:val="004427AC"/>
    <w:rsid w:val="00442C7D"/>
    <w:rsid w:val="00442D13"/>
    <w:rsid w:val="00442D4D"/>
    <w:rsid w:val="0044361F"/>
    <w:rsid w:val="0044374D"/>
    <w:rsid w:val="00443B55"/>
    <w:rsid w:val="00443D27"/>
    <w:rsid w:val="00444D7D"/>
    <w:rsid w:val="00444EB4"/>
    <w:rsid w:val="0044500B"/>
    <w:rsid w:val="004451C5"/>
    <w:rsid w:val="00445DA9"/>
    <w:rsid w:val="00446037"/>
    <w:rsid w:val="00446270"/>
    <w:rsid w:val="0044642F"/>
    <w:rsid w:val="00446709"/>
    <w:rsid w:val="00446741"/>
    <w:rsid w:val="00446751"/>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4E1E"/>
    <w:rsid w:val="00455004"/>
    <w:rsid w:val="00455047"/>
    <w:rsid w:val="00455354"/>
    <w:rsid w:val="0045558D"/>
    <w:rsid w:val="00455BD3"/>
    <w:rsid w:val="00456666"/>
    <w:rsid w:val="004567DA"/>
    <w:rsid w:val="00456970"/>
    <w:rsid w:val="00456A9A"/>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59"/>
    <w:rsid w:val="004647F8"/>
    <w:rsid w:val="004647FB"/>
    <w:rsid w:val="00464BAB"/>
    <w:rsid w:val="00465347"/>
    <w:rsid w:val="00465677"/>
    <w:rsid w:val="00466616"/>
    <w:rsid w:val="00466A0C"/>
    <w:rsid w:val="00466A53"/>
    <w:rsid w:val="00470A6A"/>
    <w:rsid w:val="00470D73"/>
    <w:rsid w:val="00470D92"/>
    <w:rsid w:val="00471DF7"/>
    <w:rsid w:val="00471E30"/>
    <w:rsid w:val="004727B1"/>
    <w:rsid w:val="004734CF"/>
    <w:rsid w:val="00473F33"/>
    <w:rsid w:val="00474213"/>
    <w:rsid w:val="0047480D"/>
    <w:rsid w:val="0047586C"/>
    <w:rsid w:val="00475C5A"/>
    <w:rsid w:val="00475C9C"/>
    <w:rsid w:val="0047676B"/>
    <w:rsid w:val="004774C3"/>
    <w:rsid w:val="0047773C"/>
    <w:rsid w:val="00477C5F"/>
    <w:rsid w:val="00480050"/>
    <w:rsid w:val="0048011C"/>
    <w:rsid w:val="004808DE"/>
    <w:rsid w:val="00480F9A"/>
    <w:rsid w:val="00481912"/>
    <w:rsid w:val="00481AC4"/>
    <w:rsid w:val="00481DC1"/>
    <w:rsid w:val="00482507"/>
    <w:rsid w:val="0048268A"/>
    <w:rsid w:val="00482A64"/>
    <w:rsid w:val="00482FA4"/>
    <w:rsid w:val="004835CA"/>
    <w:rsid w:val="004836F8"/>
    <w:rsid w:val="004836FE"/>
    <w:rsid w:val="004837B8"/>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34"/>
    <w:rsid w:val="004A08D1"/>
    <w:rsid w:val="004A0CC8"/>
    <w:rsid w:val="004A0FA9"/>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43D4"/>
    <w:rsid w:val="004B50CB"/>
    <w:rsid w:val="004B578D"/>
    <w:rsid w:val="004B5BE7"/>
    <w:rsid w:val="004B5E2D"/>
    <w:rsid w:val="004B65D9"/>
    <w:rsid w:val="004B6C07"/>
    <w:rsid w:val="004B74D3"/>
    <w:rsid w:val="004B755E"/>
    <w:rsid w:val="004B788E"/>
    <w:rsid w:val="004B7E5D"/>
    <w:rsid w:val="004C1051"/>
    <w:rsid w:val="004C1198"/>
    <w:rsid w:val="004C22F7"/>
    <w:rsid w:val="004C2A3B"/>
    <w:rsid w:val="004C2B27"/>
    <w:rsid w:val="004C3929"/>
    <w:rsid w:val="004C4160"/>
    <w:rsid w:val="004C46F4"/>
    <w:rsid w:val="004C5212"/>
    <w:rsid w:val="004C5EF0"/>
    <w:rsid w:val="004C64C9"/>
    <w:rsid w:val="004C7226"/>
    <w:rsid w:val="004C74C9"/>
    <w:rsid w:val="004C76C4"/>
    <w:rsid w:val="004C7915"/>
    <w:rsid w:val="004C7D70"/>
    <w:rsid w:val="004D02F9"/>
    <w:rsid w:val="004D03FE"/>
    <w:rsid w:val="004D0446"/>
    <w:rsid w:val="004D06A3"/>
    <w:rsid w:val="004D080C"/>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47C8"/>
    <w:rsid w:val="004F5180"/>
    <w:rsid w:val="004F57C9"/>
    <w:rsid w:val="004F5930"/>
    <w:rsid w:val="004F5970"/>
    <w:rsid w:val="004F5B69"/>
    <w:rsid w:val="004F5F0C"/>
    <w:rsid w:val="004F6121"/>
    <w:rsid w:val="004F6161"/>
    <w:rsid w:val="004F66BC"/>
    <w:rsid w:val="004F6C26"/>
    <w:rsid w:val="004F7AC9"/>
    <w:rsid w:val="0050062F"/>
    <w:rsid w:val="00500E74"/>
    <w:rsid w:val="00500FA7"/>
    <w:rsid w:val="0050160F"/>
    <w:rsid w:val="00501974"/>
    <w:rsid w:val="0050284E"/>
    <w:rsid w:val="0050306F"/>
    <w:rsid w:val="00503534"/>
    <w:rsid w:val="00503648"/>
    <w:rsid w:val="00503A17"/>
    <w:rsid w:val="005042E8"/>
    <w:rsid w:val="00505892"/>
    <w:rsid w:val="00505DCB"/>
    <w:rsid w:val="0050674C"/>
    <w:rsid w:val="0050681A"/>
    <w:rsid w:val="00507066"/>
    <w:rsid w:val="005075CA"/>
    <w:rsid w:val="005077C3"/>
    <w:rsid w:val="00507B06"/>
    <w:rsid w:val="00507BF1"/>
    <w:rsid w:val="0051074C"/>
    <w:rsid w:val="00510DE9"/>
    <w:rsid w:val="005111E2"/>
    <w:rsid w:val="00511231"/>
    <w:rsid w:val="00511741"/>
    <w:rsid w:val="00512C4F"/>
    <w:rsid w:val="00513042"/>
    <w:rsid w:val="0051334F"/>
    <w:rsid w:val="00513399"/>
    <w:rsid w:val="00513AF2"/>
    <w:rsid w:val="00514534"/>
    <w:rsid w:val="00514575"/>
    <w:rsid w:val="00514C03"/>
    <w:rsid w:val="00514D67"/>
    <w:rsid w:val="0051522A"/>
    <w:rsid w:val="00515515"/>
    <w:rsid w:val="00515A4B"/>
    <w:rsid w:val="0051635C"/>
    <w:rsid w:val="00516C5B"/>
    <w:rsid w:val="00517612"/>
    <w:rsid w:val="00517CFB"/>
    <w:rsid w:val="00517F85"/>
    <w:rsid w:val="0052002F"/>
    <w:rsid w:val="00520235"/>
    <w:rsid w:val="00520899"/>
    <w:rsid w:val="00520922"/>
    <w:rsid w:val="005209FC"/>
    <w:rsid w:val="00520C09"/>
    <w:rsid w:val="00520EC1"/>
    <w:rsid w:val="0052177A"/>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69A"/>
    <w:rsid w:val="0053086F"/>
    <w:rsid w:val="00530CBA"/>
    <w:rsid w:val="00530F38"/>
    <w:rsid w:val="00531F26"/>
    <w:rsid w:val="00532501"/>
    <w:rsid w:val="0053277C"/>
    <w:rsid w:val="005327C0"/>
    <w:rsid w:val="00533101"/>
    <w:rsid w:val="00533CA9"/>
    <w:rsid w:val="005346AD"/>
    <w:rsid w:val="00534B1C"/>
    <w:rsid w:val="00534EFB"/>
    <w:rsid w:val="00534F60"/>
    <w:rsid w:val="005357F1"/>
    <w:rsid w:val="00535ACE"/>
    <w:rsid w:val="00535C73"/>
    <w:rsid w:val="00535D15"/>
    <w:rsid w:val="00536053"/>
    <w:rsid w:val="005363C6"/>
    <w:rsid w:val="005367B6"/>
    <w:rsid w:val="005369E6"/>
    <w:rsid w:val="00536DFC"/>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722"/>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3E5A"/>
    <w:rsid w:val="00574708"/>
    <w:rsid w:val="00574D81"/>
    <w:rsid w:val="005756AA"/>
    <w:rsid w:val="00575D9E"/>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8D9"/>
    <w:rsid w:val="00591C03"/>
    <w:rsid w:val="00591E2A"/>
    <w:rsid w:val="005923C4"/>
    <w:rsid w:val="00593105"/>
    <w:rsid w:val="00593504"/>
    <w:rsid w:val="0059397D"/>
    <w:rsid w:val="00593EA2"/>
    <w:rsid w:val="00593F75"/>
    <w:rsid w:val="005940A0"/>
    <w:rsid w:val="0059429A"/>
    <w:rsid w:val="00594CBE"/>
    <w:rsid w:val="00595197"/>
    <w:rsid w:val="00595561"/>
    <w:rsid w:val="00596AF7"/>
    <w:rsid w:val="00596CCE"/>
    <w:rsid w:val="00597516"/>
    <w:rsid w:val="005A0E88"/>
    <w:rsid w:val="005A1976"/>
    <w:rsid w:val="005A1BD2"/>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57"/>
    <w:rsid w:val="005C6186"/>
    <w:rsid w:val="005C6397"/>
    <w:rsid w:val="005C6CF7"/>
    <w:rsid w:val="005C6D19"/>
    <w:rsid w:val="005C6D3F"/>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9BB"/>
    <w:rsid w:val="005D3B32"/>
    <w:rsid w:val="005D464B"/>
    <w:rsid w:val="005D466F"/>
    <w:rsid w:val="005D49F0"/>
    <w:rsid w:val="005D51F7"/>
    <w:rsid w:val="005D51FA"/>
    <w:rsid w:val="005D53E8"/>
    <w:rsid w:val="005D5A9D"/>
    <w:rsid w:val="005D5D15"/>
    <w:rsid w:val="005D5FB4"/>
    <w:rsid w:val="005D6651"/>
    <w:rsid w:val="005D691D"/>
    <w:rsid w:val="005D6A72"/>
    <w:rsid w:val="005D6F38"/>
    <w:rsid w:val="005D791B"/>
    <w:rsid w:val="005D7CF2"/>
    <w:rsid w:val="005D7F92"/>
    <w:rsid w:val="005E062C"/>
    <w:rsid w:val="005E0C1F"/>
    <w:rsid w:val="005E0D7B"/>
    <w:rsid w:val="005E1595"/>
    <w:rsid w:val="005E1F1D"/>
    <w:rsid w:val="005E273D"/>
    <w:rsid w:val="005E3278"/>
    <w:rsid w:val="005E363B"/>
    <w:rsid w:val="005E3736"/>
    <w:rsid w:val="005E4B72"/>
    <w:rsid w:val="005E52C9"/>
    <w:rsid w:val="005E65F8"/>
    <w:rsid w:val="005E665F"/>
    <w:rsid w:val="005E781C"/>
    <w:rsid w:val="005F0B10"/>
    <w:rsid w:val="005F2263"/>
    <w:rsid w:val="005F2629"/>
    <w:rsid w:val="005F2D8B"/>
    <w:rsid w:val="005F305B"/>
    <w:rsid w:val="005F3361"/>
    <w:rsid w:val="005F361A"/>
    <w:rsid w:val="005F3B47"/>
    <w:rsid w:val="005F4481"/>
    <w:rsid w:val="005F47AC"/>
    <w:rsid w:val="005F49AF"/>
    <w:rsid w:val="005F4A58"/>
    <w:rsid w:val="005F54DF"/>
    <w:rsid w:val="005F57AB"/>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31B"/>
    <w:rsid w:val="00605AC3"/>
    <w:rsid w:val="00606908"/>
    <w:rsid w:val="00607860"/>
    <w:rsid w:val="00607996"/>
    <w:rsid w:val="00607A37"/>
    <w:rsid w:val="00607E9F"/>
    <w:rsid w:val="00610528"/>
    <w:rsid w:val="0061085E"/>
    <w:rsid w:val="006112A7"/>
    <w:rsid w:val="00611398"/>
    <w:rsid w:val="006113B4"/>
    <w:rsid w:val="0061186D"/>
    <w:rsid w:val="00612322"/>
    <w:rsid w:val="006123C0"/>
    <w:rsid w:val="006129AB"/>
    <w:rsid w:val="00612F13"/>
    <w:rsid w:val="00613191"/>
    <w:rsid w:val="006133F9"/>
    <w:rsid w:val="006134B3"/>
    <w:rsid w:val="00613DE1"/>
    <w:rsid w:val="00613E8F"/>
    <w:rsid w:val="0061401F"/>
    <w:rsid w:val="00614166"/>
    <w:rsid w:val="006143D7"/>
    <w:rsid w:val="00614817"/>
    <w:rsid w:val="006149CC"/>
    <w:rsid w:val="006157A9"/>
    <w:rsid w:val="0061591D"/>
    <w:rsid w:val="00615ED0"/>
    <w:rsid w:val="00615F67"/>
    <w:rsid w:val="0061604C"/>
    <w:rsid w:val="00616C2B"/>
    <w:rsid w:val="00616D7F"/>
    <w:rsid w:val="00617823"/>
    <w:rsid w:val="006178D1"/>
    <w:rsid w:val="0062032D"/>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49F"/>
    <w:rsid w:val="006365DE"/>
    <w:rsid w:val="00636BE4"/>
    <w:rsid w:val="00636C0C"/>
    <w:rsid w:val="00636F88"/>
    <w:rsid w:val="0063732C"/>
    <w:rsid w:val="00637802"/>
    <w:rsid w:val="00637836"/>
    <w:rsid w:val="00637C26"/>
    <w:rsid w:val="00637F44"/>
    <w:rsid w:val="00640680"/>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20C"/>
    <w:rsid w:val="0065081D"/>
    <w:rsid w:val="00650E89"/>
    <w:rsid w:val="006516E6"/>
    <w:rsid w:val="00651B9C"/>
    <w:rsid w:val="00651C47"/>
    <w:rsid w:val="00652B39"/>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7FF"/>
    <w:rsid w:val="00661A38"/>
    <w:rsid w:val="0066272D"/>
    <w:rsid w:val="00662E58"/>
    <w:rsid w:val="00662F39"/>
    <w:rsid w:val="0066352A"/>
    <w:rsid w:val="006635A0"/>
    <w:rsid w:val="00663D26"/>
    <w:rsid w:val="00664351"/>
    <w:rsid w:val="00664389"/>
    <w:rsid w:val="00665968"/>
    <w:rsid w:val="00665BF7"/>
    <w:rsid w:val="00665E65"/>
    <w:rsid w:val="006660F0"/>
    <w:rsid w:val="00666178"/>
    <w:rsid w:val="0066639E"/>
    <w:rsid w:val="00666473"/>
    <w:rsid w:val="00666B49"/>
    <w:rsid w:val="00666C72"/>
    <w:rsid w:val="00666E6C"/>
    <w:rsid w:val="0066707F"/>
    <w:rsid w:val="00667A95"/>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646"/>
    <w:rsid w:val="00680A86"/>
    <w:rsid w:val="00680FBE"/>
    <w:rsid w:val="006811C9"/>
    <w:rsid w:val="006812CE"/>
    <w:rsid w:val="006826C1"/>
    <w:rsid w:val="00682C89"/>
    <w:rsid w:val="006832B8"/>
    <w:rsid w:val="00683329"/>
    <w:rsid w:val="006837B2"/>
    <w:rsid w:val="00683800"/>
    <w:rsid w:val="00683C81"/>
    <w:rsid w:val="00683E0B"/>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7C2"/>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876"/>
    <w:rsid w:val="006A2A43"/>
    <w:rsid w:val="006A2BF1"/>
    <w:rsid w:val="006A2F9A"/>
    <w:rsid w:val="006A34E4"/>
    <w:rsid w:val="006A35AC"/>
    <w:rsid w:val="006A3A5A"/>
    <w:rsid w:val="006A3D16"/>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27E"/>
    <w:rsid w:val="006B04DB"/>
    <w:rsid w:val="006B08ED"/>
    <w:rsid w:val="006B19BC"/>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17E"/>
    <w:rsid w:val="006C107C"/>
    <w:rsid w:val="006C189C"/>
    <w:rsid w:val="006C2454"/>
    <w:rsid w:val="006C2551"/>
    <w:rsid w:val="006C27B9"/>
    <w:rsid w:val="006C2CC0"/>
    <w:rsid w:val="006C32CF"/>
    <w:rsid w:val="006C37CA"/>
    <w:rsid w:val="006C39AE"/>
    <w:rsid w:val="006C40D2"/>
    <w:rsid w:val="006C4B85"/>
    <w:rsid w:val="006C4BBD"/>
    <w:rsid w:val="006C551E"/>
    <w:rsid w:val="006C5B15"/>
    <w:rsid w:val="006C5D32"/>
    <w:rsid w:val="006C5DCB"/>
    <w:rsid w:val="006C5FF6"/>
    <w:rsid w:val="006C6475"/>
    <w:rsid w:val="006C6899"/>
    <w:rsid w:val="006C70C4"/>
    <w:rsid w:val="006C741F"/>
    <w:rsid w:val="006D04DA"/>
    <w:rsid w:val="006D10F6"/>
    <w:rsid w:val="006D1544"/>
    <w:rsid w:val="006D1688"/>
    <w:rsid w:val="006D1BE1"/>
    <w:rsid w:val="006D1DD3"/>
    <w:rsid w:val="006D1FF3"/>
    <w:rsid w:val="006D2C65"/>
    <w:rsid w:val="006D32C6"/>
    <w:rsid w:val="006D34DD"/>
    <w:rsid w:val="006D3558"/>
    <w:rsid w:val="006D360E"/>
    <w:rsid w:val="006D3697"/>
    <w:rsid w:val="006D39D2"/>
    <w:rsid w:val="006D3A94"/>
    <w:rsid w:val="006D3F2A"/>
    <w:rsid w:val="006D4370"/>
    <w:rsid w:val="006D46A3"/>
    <w:rsid w:val="006D58F2"/>
    <w:rsid w:val="006D5DCB"/>
    <w:rsid w:val="006D62D9"/>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804"/>
    <w:rsid w:val="006E4D5B"/>
    <w:rsid w:val="006E5FB4"/>
    <w:rsid w:val="006E602F"/>
    <w:rsid w:val="006E60F0"/>
    <w:rsid w:val="006E610B"/>
    <w:rsid w:val="006E6720"/>
    <w:rsid w:val="006E7275"/>
    <w:rsid w:val="006E77B8"/>
    <w:rsid w:val="006E7AAF"/>
    <w:rsid w:val="006F0F74"/>
    <w:rsid w:val="006F13BA"/>
    <w:rsid w:val="006F15CC"/>
    <w:rsid w:val="006F15F6"/>
    <w:rsid w:val="006F36EA"/>
    <w:rsid w:val="006F4147"/>
    <w:rsid w:val="006F4315"/>
    <w:rsid w:val="006F468E"/>
    <w:rsid w:val="006F47A7"/>
    <w:rsid w:val="006F4CB0"/>
    <w:rsid w:val="006F4F78"/>
    <w:rsid w:val="006F50C2"/>
    <w:rsid w:val="006F5389"/>
    <w:rsid w:val="006F547E"/>
    <w:rsid w:val="006F5CCF"/>
    <w:rsid w:val="006F6F04"/>
    <w:rsid w:val="006F716B"/>
    <w:rsid w:val="006F71F5"/>
    <w:rsid w:val="006F72A8"/>
    <w:rsid w:val="006F79BB"/>
    <w:rsid w:val="006F7E16"/>
    <w:rsid w:val="007000A6"/>
    <w:rsid w:val="00700610"/>
    <w:rsid w:val="0070138A"/>
    <w:rsid w:val="0070157E"/>
    <w:rsid w:val="0070283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B7B"/>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AD2"/>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278"/>
    <w:rsid w:val="00732A7B"/>
    <w:rsid w:val="00732EBC"/>
    <w:rsid w:val="00733458"/>
    <w:rsid w:val="00734952"/>
    <w:rsid w:val="00734987"/>
    <w:rsid w:val="00734990"/>
    <w:rsid w:val="00734DE6"/>
    <w:rsid w:val="00734FF5"/>
    <w:rsid w:val="00735B78"/>
    <w:rsid w:val="00735CA5"/>
    <w:rsid w:val="00735DA7"/>
    <w:rsid w:val="0073604C"/>
    <w:rsid w:val="00736700"/>
    <w:rsid w:val="007368B4"/>
    <w:rsid w:val="007378E0"/>
    <w:rsid w:val="0074040E"/>
    <w:rsid w:val="00740529"/>
    <w:rsid w:val="00740876"/>
    <w:rsid w:val="00741358"/>
    <w:rsid w:val="00741626"/>
    <w:rsid w:val="00741B0C"/>
    <w:rsid w:val="00742332"/>
    <w:rsid w:val="00742886"/>
    <w:rsid w:val="00742A3A"/>
    <w:rsid w:val="00742DD2"/>
    <w:rsid w:val="00742E7E"/>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EC5"/>
    <w:rsid w:val="007651EF"/>
    <w:rsid w:val="007656E3"/>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56"/>
    <w:rsid w:val="0077466F"/>
    <w:rsid w:val="007752B7"/>
    <w:rsid w:val="007759A8"/>
    <w:rsid w:val="00775C27"/>
    <w:rsid w:val="00775D98"/>
    <w:rsid w:val="007761A4"/>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1F6"/>
    <w:rsid w:val="0078347A"/>
    <w:rsid w:val="0078410A"/>
    <w:rsid w:val="007845A2"/>
    <w:rsid w:val="00784938"/>
    <w:rsid w:val="00784FC4"/>
    <w:rsid w:val="00785BBB"/>
    <w:rsid w:val="00785FB2"/>
    <w:rsid w:val="00786937"/>
    <w:rsid w:val="00786FAD"/>
    <w:rsid w:val="00787298"/>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2F2"/>
    <w:rsid w:val="007A5947"/>
    <w:rsid w:val="007A717B"/>
    <w:rsid w:val="007A7714"/>
    <w:rsid w:val="007A7775"/>
    <w:rsid w:val="007A7CE1"/>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6F8"/>
    <w:rsid w:val="007B59B7"/>
    <w:rsid w:val="007B6C64"/>
    <w:rsid w:val="007B6EC8"/>
    <w:rsid w:val="007B6F81"/>
    <w:rsid w:val="007B7EA2"/>
    <w:rsid w:val="007C097D"/>
    <w:rsid w:val="007C0AF2"/>
    <w:rsid w:val="007C1672"/>
    <w:rsid w:val="007C17AE"/>
    <w:rsid w:val="007C21E1"/>
    <w:rsid w:val="007C227C"/>
    <w:rsid w:val="007C24EE"/>
    <w:rsid w:val="007C30F2"/>
    <w:rsid w:val="007C312A"/>
    <w:rsid w:val="007C3538"/>
    <w:rsid w:val="007C3570"/>
    <w:rsid w:val="007C3F3B"/>
    <w:rsid w:val="007C4097"/>
    <w:rsid w:val="007C4241"/>
    <w:rsid w:val="007C425E"/>
    <w:rsid w:val="007C55FF"/>
    <w:rsid w:val="007C5E83"/>
    <w:rsid w:val="007C6339"/>
    <w:rsid w:val="007C753F"/>
    <w:rsid w:val="007C7C43"/>
    <w:rsid w:val="007C7E15"/>
    <w:rsid w:val="007C7F0D"/>
    <w:rsid w:val="007D06E3"/>
    <w:rsid w:val="007D09E4"/>
    <w:rsid w:val="007D1134"/>
    <w:rsid w:val="007D231B"/>
    <w:rsid w:val="007D23F7"/>
    <w:rsid w:val="007D2566"/>
    <w:rsid w:val="007D25FE"/>
    <w:rsid w:val="007D2C18"/>
    <w:rsid w:val="007D2D74"/>
    <w:rsid w:val="007D3099"/>
    <w:rsid w:val="007D3693"/>
    <w:rsid w:val="007D3C6D"/>
    <w:rsid w:val="007D3E64"/>
    <w:rsid w:val="007D481A"/>
    <w:rsid w:val="007D4B96"/>
    <w:rsid w:val="007D4ED0"/>
    <w:rsid w:val="007D5648"/>
    <w:rsid w:val="007D56A5"/>
    <w:rsid w:val="007D58C5"/>
    <w:rsid w:val="007D5DE8"/>
    <w:rsid w:val="007D7CFC"/>
    <w:rsid w:val="007E0812"/>
    <w:rsid w:val="007E0825"/>
    <w:rsid w:val="007E0E8B"/>
    <w:rsid w:val="007E18DF"/>
    <w:rsid w:val="007E1E45"/>
    <w:rsid w:val="007E214A"/>
    <w:rsid w:val="007E238D"/>
    <w:rsid w:val="007E2C36"/>
    <w:rsid w:val="007E350D"/>
    <w:rsid w:val="007E3ACA"/>
    <w:rsid w:val="007E3E92"/>
    <w:rsid w:val="007E3F4A"/>
    <w:rsid w:val="007E564D"/>
    <w:rsid w:val="007E5B56"/>
    <w:rsid w:val="007E5C4A"/>
    <w:rsid w:val="007E64D4"/>
    <w:rsid w:val="007E66E9"/>
    <w:rsid w:val="007E69F2"/>
    <w:rsid w:val="007E7432"/>
    <w:rsid w:val="007E74BF"/>
    <w:rsid w:val="007E7657"/>
    <w:rsid w:val="007E7B55"/>
    <w:rsid w:val="007E7D2E"/>
    <w:rsid w:val="007E7E80"/>
    <w:rsid w:val="007F14D3"/>
    <w:rsid w:val="007F1655"/>
    <w:rsid w:val="007F1814"/>
    <w:rsid w:val="007F1C29"/>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664"/>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76A"/>
    <w:rsid w:val="00803D9D"/>
    <w:rsid w:val="008059C6"/>
    <w:rsid w:val="00805AD7"/>
    <w:rsid w:val="00805BD6"/>
    <w:rsid w:val="00805DE3"/>
    <w:rsid w:val="00806257"/>
    <w:rsid w:val="008079CB"/>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2F4B"/>
    <w:rsid w:val="0082348D"/>
    <w:rsid w:val="008236BE"/>
    <w:rsid w:val="008241CE"/>
    <w:rsid w:val="0082520B"/>
    <w:rsid w:val="00825240"/>
    <w:rsid w:val="00825B43"/>
    <w:rsid w:val="00826F71"/>
    <w:rsid w:val="008273EC"/>
    <w:rsid w:val="00827CC0"/>
    <w:rsid w:val="008306AB"/>
    <w:rsid w:val="00831026"/>
    <w:rsid w:val="0083119B"/>
    <w:rsid w:val="00831BAE"/>
    <w:rsid w:val="00832216"/>
    <w:rsid w:val="00832513"/>
    <w:rsid w:val="00832CD0"/>
    <w:rsid w:val="00833219"/>
    <w:rsid w:val="00833430"/>
    <w:rsid w:val="00833708"/>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515"/>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1D77"/>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2E04"/>
    <w:rsid w:val="00862FB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0D0C"/>
    <w:rsid w:val="008715ED"/>
    <w:rsid w:val="008717D8"/>
    <w:rsid w:val="00871E3C"/>
    <w:rsid w:val="00872F97"/>
    <w:rsid w:val="0087416A"/>
    <w:rsid w:val="00874607"/>
    <w:rsid w:val="008747E9"/>
    <w:rsid w:val="00874915"/>
    <w:rsid w:val="00874B89"/>
    <w:rsid w:val="00875403"/>
    <w:rsid w:val="00875434"/>
    <w:rsid w:val="00875C1F"/>
    <w:rsid w:val="00876215"/>
    <w:rsid w:val="0087646C"/>
    <w:rsid w:val="0087649F"/>
    <w:rsid w:val="00876815"/>
    <w:rsid w:val="00877932"/>
    <w:rsid w:val="008808C7"/>
    <w:rsid w:val="0088106B"/>
    <w:rsid w:val="0088107D"/>
    <w:rsid w:val="0088187A"/>
    <w:rsid w:val="00881E64"/>
    <w:rsid w:val="00882E39"/>
    <w:rsid w:val="00883559"/>
    <w:rsid w:val="00884D21"/>
    <w:rsid w:val="008850EB"/>
    <w:rsid w:val="00885228"/>
    <w:rsid w:val="008857E3"/>
    <w:rsid w:val="008861D4"/>
    <w:rsid w:val="00886DF2"/>
    <w:rsid w:val="00886FB9"/>
    <w:rsid w:val="00887057"/>
    <w:rsid w:val="00887080"/>
    <w:rsid w:val="00887C79"/>
    <w:rsid w:val="008908DC"/>
    <w:rsid w:val="00890CA4"/>
    <w:rsid w:val="0089107B"/>
    <w:rsid w:val="008913CC"/>
    <w:rsid w:val="008914AE"/>
    <w:rsid w:val="008919CF"/>
    <w:rsid w:val="00891F84"/>
    <w:rsid w:val="00891FC3"/>
    <w:rsid w:val="008928EC"/>
    <w:rsid w:val="00892A15"/>
    <w:rsid w:val="00892E5D"/>
    <w:rsid w:val="008935CF"/>
    <w:rsid w:val="00894021"/>
    <w:rsid w:val="0089436B"/>
    <w:rsid w:val="00894436"/>
    <w:rsid w:val="00894BB1"/>
    <w:rsid w:val="008951D0"/>
    <w:rsid w:val="00895442"/>
    <w:rsid w:val="0089582D"/>
    <w:rsid w:val="008959C6"/>
    <w:rsid w:val="0089606D"/>
    <w:rsid w:val="00896129"/>
    <w:rsid w:val="00896316"/>
    <w:rsid w:val="00896B51"/>
    <w:rsid w:val="0089774F"/>
    <w:rsid w:val="00897875"/>
    <w:rsid w:val="00897B8F"/>
    <w:rsid w:val="008A00D9"/>
    <w:rsid w:val="008A07D5"/>
    <w:rsid w:val="008A0FAB"/>
    <w:rsid w:val="008A1C96"/>
    <w:rsid w:val="008A1FB7"/>
    <w:rsid w:val="008A229A"/>
    <w:rsid w:val="008A2A23"/>
    <w:rsid w:val="008A2AF5"/>
    <w:rsid w:val="008A2B5A"/>
    <w:rsid w:val="008A3973"/>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B7937"/>
    <w:rsid w:val="008C065F"/>
    <w:rsid w:val="008C0743"/>
    <w:rsid w:val="008C0B4C"/>
    <w:rsid w:val="008C11F0"/>
    <w:rsid w:val="008C1918"/>
    <w:rsid w:val="008C1B72"/>
    <w:rsid w:val="008C1DBA"/>
    <w:rsid w:val="008C24E7"/>
    <w:rsid w:val="008C2500"/>
    <w:rsid w:val="008C2CAC"/>
    <w:rsid w:val="008C3C57"/>
    <w:rsid w:val="008C3E2A"/>
    <w:rsid w:val="008C4011"/>
    <w:rsid w:val="008C45BD"/>
    <w:rsid w:val="008C4B19"/>
    <w:rsid w:val="008C5983"/>
    <w:rsid w:val="008C60CD"/>
    <w:rsid w:val="008C62D4"/>
    <w:rsid w:val="008C6B89"/>
    <w:rsid w:val="008C6B97"/>
    <w:rsid w:val="008C7548"/>
    <w:rsid w:val="008C7EF7"/>
    <w:rsid w:val="008C7F13"/>
    <w:rsid w:val="008C7FF3"/>
    <w:rsid w:val="008D06F4"/>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A33"/>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327"/>
    <w:rsid w:val="008F2E8D"/>
    <w:rsid w:val="008F361D"/>
    <w:rsid w:val="008F387B"/>
    <w:rsid w:val="008F3DD9"/>
    <w:rsid w:val="008F40DC"/>
    <w:rsid w:val="008F4163"/>
    <w:rsid w:val="008F479E"/>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060FE"/>
    <w:rsid w:val="0090639B"/>
    <w:rsid w:val="00906840"/>
    <w:rsid w:val="009100A1"/>
    <w:rsid w:val="0091064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0D0"/>
    <w:rsid w:val="00923396"/>
    <w:rsid w:val="00923F56"/>
    <w:rsid w:val="009242A6"/>
    <w:rsid w:val="00924770"/>
    <w:rsid w:val="00925346"/>
    <w:rsid w:val="00925743"/>
    <w:rsid w:val="0092579F"/>
    <w:rsid w:val="00926E1A"/>
    <w:rsid w:val="009271DA"/>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7EB"/>
    <w:rsid w:val="00935E70"/>
    <w:rsid w:val="0093609A"/>
    <w:rsid w:val="00936619"/>
    <w:rsid w:val="00937401"/>
    <w:rsid w:val="009376FB"/>
    <w:rsid w:val="00937D6B"/>
    <w:rsid w:val="00940207"/>
    <w:rsid w:val="00940477"/>
    <w:rsid w:val="00940876"/>
    <w:rsid w:val="00940A53"/>
    <w:rsid w:val="00940F3C"/>
    <w:rsid w:val="009410E0"/>
    <w:rsid w:val="00941FA9"/>
    <w:rsid w:val="0094353E"/>
    <w:rsid w:val="009439B6"/>
    <w:rsid w:val="009444B4"/>
    <w:rsid w:val="00944644"/>
    <w:rsid w:val="00946A24"/>
    <w:rsid w:val="009470D4"/>
    <w:rsid w:val="00947337"/>
    <w:rsid w:val="009477BD"/>
    <w:rsid w:val="00947E6E"/>
    <w:rsid w:val="009512FA"/>
    <w:rsid w:val="009516A9"/>
    <w:rsid w:val="00951E57"/>
    <w:rsid w:val="00952350"/>
    <w:rsid w:val="00952505"/>
    <w:rsid w:val="00952AFE"/>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15C"/>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3EA3"/>
    <w:rsid w:val="0097494E"/>
    <w:rsid w:val="00974999"/>
    <w:rsid w:val="00974B58"/>
    <w:rsid w:val="00974B5B"/>
    <w:rsid w:val="00974CBD"/>
    <w:rsid w:val="00975445"/>
    <w:rsid w:val="009761ED"/>
    <w:rsid w:val="00977F52"/>
    <w:rsid w:val="0098022F"/>
    <w:rsid w:val="00980C2C"/>
    <w:rsid w:val="009810DE"/>
    <w:rsid w:val="0098143D"/>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B16"/>
    <w:rsid w:val="00987C77"/>
    <w:rsid w:val="00987FED"/>
    <w:rsid w:val="00990345"/>
    <w:rsid w:val="00990701"/>
    <w:rsid w:val="0099119C"/>
    <w:rsid w:val="0099137A"/>
    <w:rsid w:val="00991BCE"/>
    <w:rsid w:val="0099211C"/>
    <w:rsid w:val="00993013"/>
    <w:rsid w:val="009930AB"/>
    <w:rsid w:val="00993125"/>
    <w:rsid w:val="00993B78"/>
    <w:rsid w:val="00994444"/>
    <w:rsid w:val="00994F3F"/>
    <w:rsid w:val="00995119"/>
    <w:rsid w:val="0099531F"/>
    <w:rsid w:val="009953AD"/>
    <w:rsid w:val="009957D2"/>
    <w:rsid w:val="009957D7"/>
    <w:rsid w:val="0099583D"/>
    <w:rsid w:val="00996020"/>
    <w:rsid w:val="0099629E"/>
    <w:rsid w:val="00996992"/>
    <w:rsid w:val="00996E1E"/>
    <w:rsid w:val="00997148"/>
    <w:rsid w:val="00997392"/>
    <w:rsid w:val="0099747C"/>
    <w:rsid w:val="00997707"/>
    <w:rsid w:val="0099771C"/>
    <w:rsid w:val="00997BDA"/>
    <w:rsid w:val="009A01E4"/>
    <w:rsid w:val="009A0917"/>
    <w:rsid w:val="009A0A33"/>
    <w:rsid w:val="009A10B2"/>
    <w:rsid w:val="009A1351"/>
    <w:rsid w:val="009A2041"/>
    <w:rsid w:val="009A2435"/>
    <w:rsid w:val="009A2B47"/>
    <w:rsid w:val="009A2B60"/>
    <w:rsid w:val="009A2D3B"/>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0C1D"/>
    <w:rsid w:val="009B2374"/>
    <w:rsid w:val="009B28D0"/>
    <w:rsid w:val="009B28D6"/>
    <w:rsid w:val="009B2E29"/>
    <w:rsid w:val="009B3163"/>
    <w:rsid w:val="009B422F"/>
    <w:rsid w:val="009B46BC"/>
    <w:rsid w:val="009B4D1A"/>
    <w:rsid w:val="009B519D"/>
    <w:rsid w:val="009B52C4"/>
    <w:rsid w:val="009B558B"/>
    <w:rsid w:val="009B663F"/>
    <w:rsid w:val="009B6B45"/>
    <w:rsid w:val="009B6C40"/>
    <w:rsid w:val="009B6D21"/>
    <w:rsid w:val="009B78ED"/>
    <w:rsid w:val="009C0DB6"/>
    <w:rsid w:val="009C181C"/>
    <w:rsid w:val="009C1A44"/>
    <w:rsid w:val="009C1C7F"/>
    <w:rsid w:val="009C1EC7"/>
    <w:rsid w:val="009C2210"/>
    <w:rsid w:val="009C28A2"/>
    <w:rsid w:val="009C2ABF"/>
    <w:rsid w:val="009C3239"/>
    <w:rsid w:val="009C3828"/>
    <w:rsid w:val="009C3AD3"/>
    <w:rsid w:val="009C3AF4"/>
    <w:rsid w:val="009C3D2C"/>
    <w:rsid w:val="009C46E3"/>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866"/>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DBD"/>
    <w:rsid w:val="009F1EAE"/>
    <w:rsid w:val="009F210A"/>
    <w:rsid w:val="009F257E"/>
    <w:rsid w:val="009F2732"/>
    <w:rsid w:val="009F2848"/>
    <w:rsid w:val="009F369D"/>
    <w:rsid w:val="009F36FE"/>
    <w:rsid w:val="009F419D"/>
    <w:rsid w:val="009F4990"/>
    <w:rsid w:val="009F4F25"/>
    <w:rsid w:val="009F59C2"/>
    <w:rsid w:val="009F6DD3"/>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2EF9"/>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BB9"/>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2CED"/>
    <w:rsid w:val="00A13CF5"/>
    <w:rsid w:val="00A143EC"/>
    <w:rsid w:val="00A149E8"/>
    <w:rsid w:val="00A1500F"/>
    <w:rsid w:val="00A15621"/>
    <w:rsid w:val="00A15670"/>
    <w:rsid w:val="00A157A0"/>
    <w:rsid w:val="00A1585B"/>
    <w:rsid w:val="00A158A6"/>
    <w:rsid w:val="00A15C19"/>
    <w:rsid w:val="00A15FE9"/>
    <w:rsid w:val="00A16809"/>
    <w:rsid w:val="00A17584"/>
    <w:rsid w:val="00A17769"/>
    <w:rsid w:val="00A17EA2"/>
    <w:rsid w:val="00A20264"/>
    <w:rsid w:val="00A2082A"/>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4BF"/>
    <w:rsid w:val="00A30E02"/>
    <w:rsid w:val="00A30F6A"/>
    <w:rsid w:val="00A31060"/>
    <w:rsid w:val="00A31C3E"/>
    <w:rsid w:val="00A32850"/>
    <w:rsid w:val="00A33ECC"/>
    <w:rsid w:val="00A34538"/>
    <w:rsid w:val="00A34677"/>
    <w:rsid w:val="00A3540F"/>
    <w:rsid w:val="00A35630"/>
    <w:rsid w:val="00A35914"/>
    <w:rsid w:val="00A36189"/>
    <w:rsid w:val="00A3677A"/>
    <w:rsid w:val="00A37E73"/>
    <w:rsid w:val="00A37FB6"/>
    <w:rsid w:val="00A409E2"/>
    <w:rsid w:val="00A40D79"/>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4E1"/>
    <w:rsid w:val="00A45F9B"/>
    <w:rsid w:val="00A46574"/>
    <w:rsid w:val="00A46A5F"/>
    <w:rsid w:val="00A47701"/>
    <w:rsid w:val="00A47849"/>
    <w:rsid w:val="00A47F8A"/>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2E9"/>
    <w:rsid w:val="00A6144B"/>
    <w:rsid w:val="00A61C60"/>
    <w:rsid w:val="00A62589"/>
    <w:rsid w:val="00A62AD0"/>
    <w:rsid w:val="00A62C3A"/>
    <w:rsid w:val="00A6319C"/>
    <w:rsid w:val="00A63812"/>
    <w:rsid w:val="00A63DF7"/>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DEB"/>
    <w:rsid w:val="00A77168"/>
    <w:rsid w:val="00A7723B"/>
    <w:rsid w:val="00A773C3"/>
    <w:rsid w:val="00A7755E"/>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62"/>
    <w:rsid w:val="00A849A3"/>
    <w:rsid w:val="00A84A0E"/>
    <w:rsid w:val="00A8575D"/>
    <w:rsid w:val="00A861F4"/>
    <w:rsid w:val="00A86E0B"/>
    <w:rsid w:val="00A906CC"/>
    <w:rsid w:val="00A90F12"/>
    <w:rsid w:val="00A912C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19F9"/>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191"/>
    <w:rsid w:val="00AD455D"/>
    <w:rsid w:val="00AD463C"/>
    <w:rsid w:val="00AD4F60"/>
    <w:rsid w:val="00AD5044"/>
    <w:rsid w:val="00AD5114"/>
    <w:rsid w:val="00AD5740"/>
    <w:rsid w:val="00AD6236"/>
    <w:rsid w:val="00AD69D5"/>
    <w:rsid w:val="00AD7566"/>
    <w:rsid w:val="00AD7619"/>
    <w:rsid w:val="00AD7770"/>
    <w:rsid w:val="00AE060B"/>
    <w:rsid w:val="00AE1713"/>
    <w:rsid w:val="00AE1772"/>
    <w:rsid w:val="00AE1990"/>
    <w:rsid w:val="00AE25E8"/>
    <w:rsid w:val="00AE2AD4"/>
    <w:rsid w:val="00AE2CA7"/>
    <w:rsid w:val="00AE2F1D"/>
    <w:rsid w:val="00AE4C81"/>
    <w:rsid w:val="00AE586F"/>
    <w:rsid w:val="00AE62FE"/>
    <w:rsid w:val="00AE635C"/>
    <w:rsid w:val="00AE6582"/>
    <w:rsid w:val="00AE6DC5"/>
    <w:rsid w:val="00AE7686"/>
    <w:rsid w:val="00AE799A"/>
    <w:rsid w:val="00AF0E81"/>
    <w:rsid w:val="00AF117A"/>
    <w:rsid w:val="00AF134E"/>
    <w:rsid w:val="00AF16CA"/>
    <w:rsid w:val="00AF186E"/>
    <w:rsid w:val="00AF19DF"/>
    <w:rsid w:val="00AF1D41"/>
    <w:rsid w:val="00AF26CF"/>
    <w:rsid w:val="00AF2941"/>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0629"/>
    <w:rsid w:val="00B011A9"/>
    <w:rsid w:val="00B01BAF"/>
    <w:rsid w:val="00B024ED"/>
    <w:rsid w:val="00B026B8"/>
    <w:rsid w:val="00B02EB3"/>
    <w:rsid w:val="00B02F7C"/>
    <w:rsid w:val="00B02FCB"/>
    <w:rsid w:val="00B033F8"/>
    <w:rsid w:val="00B0343B"/>
    <w:rsid w:val="00B03C1E"/>
    <w:rsid w:val="00B04400"/>
    <w:rsid w:val="00B04835"/>
    <w:rsid w:val="00B0572A"/>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8B"/>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628"/>
    <w:rsid w:val="00B2692F"/>
    <w:rsid w:val="00B27875"/>
    <w:rsid w:val="00B3008D"/>
    <w:rsid w:val="00B30702"/>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92A"/>
    <w:rsid w:val="00B36D2B"/>
    <w:rsid w:val="00B37199"/>
    <w:rsid w:val="00B37657"/>
    <w:rsid w:val="00B37AFD"/>
    <w:rsid w:val="00B37B07"/>
    <w:rsid w:val="00B4046F"/>
    <w:rsid w:val="00B406B3"/>
    <w:rsid w:val="00B40A36"/>
    <w:rsid w:val="00B41903"/>
    <w:rsid w:val="00B41BCA"/>
    <w:rsid w:val="00B41D39"/>
    <w:rsid w:val="00B41E2B"/>
    <w:rsid w:val="00B422C0"/>
    <w:rsid w:val="00B426CA"/>
    <w:rsid w:val="00B426E1"/>
    <w:rsid w:val="00B434C1"/>
    <w:rsid w:val="00B43718"/>
    <w:rsid w:val="00B4387A"/>
    <w:rsid w:val="00B43A29"/>
    <w:rsid w:val="00B44746"/>
    <w:rsid w:val="00B44854"/>
    <w:rsid w:val="00B44BA5"/>
    <w:rsid w:val="00B4538A"/>
    <w:rsid w:val="00B45710"/>
    <w:rsid w:val="00B458D0"/>
    <w:rsid w:val="00B461A7"/>
    <w:rsid w:val="00B4792C"/>
    <w:rsid w:val="00B50CAE"/>
    <w:rsid w:val="00B50FCE"/>
    <w:rsid w:val="00B512AD"/>
    <w:rsid w:val="00B5196C"/>
    <w:rsid w:val="00B525CB"/>
    <w:rsid w:val="00B52697"/>
    <w:rsid w:val="00B53607"/>
    <w:rsid w:val="00B53D1A"/>
    <w:rsid w:val="00B54215"/>
    <w:rsid w:val="00B54D8F"/>
    <w:rsid w:val="00B55857"/>
    <w:rsid w:val="00B55C69"/>
    <w:rsid w:val="00B56851"/>
    <w:rsid w:val="00B56D6E"/>
    <w:rsid w:val="00B572F7"/>
    <w:rsid w:val="00B57B9D"/>
    <w:rsid w:val="00B57DAF"/>
    <w:rsid w:val="00B60094"/>
    <w:rsid w:val="00B6022C"/>
    <w:rsid w:val="00B6040C"/>
    <w:rsid w:val="00B60C25"/>
    <w:rsid w:val="00B614F8"/>
    <w:rsid w:val="00B61994"/>
    <w:rsid w:val="00B61B18"/>
    <w:rsid w:val="00B61FD4"/>
    <w:rsid w:val="00B6235B"/>
    <w:rsid w:val="00B623F4"/>
    <w:rsid w:val="00B62880"/>
    <w:rsid w:val="00B62B19"/>
    <w:rsid w:val="00B63872"/>
    <w:rsid w:val="00B63CB2"/>
    <w:rsid w:val="00B64246"/>
    <w:rsid w:val="00B64488"/>
    <w:rsid w:val="00B64EDB"/>
    <w:rsid w:val="00B65938"/>
    <w:rsid w:val="00B65C8A"/>
    <w:rsid w:val="00B65CE2"/>
    <w:rsid w:val="00B660AD"/>
    <w:rsid w:val="00B66109"/>
    <w:rsid w:val="00B66349"/>
    <w:rsid w:val="00B669B3"/>
    <w:rsid w:val="00B67E1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5912"/>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42B"/>
    <w:rsid w:val="00B92531"/>
    <w:rsid w:val="00B92618"/>
    <w:rsid w:val="00B92751"/>
    <w:rsid w:val="00B92B69"/>
    <w:rsid w:val="00B92CC6"/>
    <w:rsid w:val="00B932E9"/>
    <w:rsid w:val="00B935C9"/>
    <w:rsid w:val="00B93E3D"/>
    <w:rsid w:val="00B94124"/>
    <w:rsid w:val="00B95464"/>
    <w:rsid w:val="00B95C30"/>
    <w:rsid w:val="00B95E3D"/>
    <w:rsid w:val="00B963B5"/>
    <w:rsid w:val="00B96721"/>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2841"/>
    <w:rsid w:val="00BB2C55"/>
    <w:rsid w:val="00BB300F"/>
    <w:rsid w:val="00BB32C9"/>
    <w:rsid w:val="00BB35C5"/>
    <w:rsid w:val="00BB4048"/>
    <w:rsid w:val="00BB4C8E"/>
    <w:rsid w:val="00BB5324"/>
    <w:rsid w:val="00BB57ED"/>
    <w:rsid w:val="00BB5A2D"/>
    <w:rsid w:val="00BB5CA3"/>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2B"/>
    <w:rsid w:val="00BC2BB1"/>
    <w:rsid w:val="00BC30B3"/>
    <w:rsid w:val="00BC34A3"/>
    <w:rsid w:val="00BC3DD4"/>
    <w:rsid w:val="00BC3FF9"/>
    <w:rsid w:val="00BC440F"/>
    <w:rsid w:val="00BC4783"/>
    <w:rsid w:val="00BC4834"/>
    <w:rsid w:val="00BC4A97"/>
    <w:rsid w:val="00BC5179"/>
    <w:rsid w:val="00BC5A25"/>
    <w:rsid w:val="00BC5FDD"/>
    <w:rsid w:val="00BC64D1"/>
    <w:rsid w:val="00BC68B4"/>
    <w:rsid w:val="00BC7277"/>
    <w:rsid w:val="00BD0140"/>
    <w:rsid w:val="00BD02CC"/>
    <w:rsid w:val="00BD088E"/>
    <w:rsid w:val="00BD0F18"/>
    <w:rsid w:val="00BD15A6"/>
    <w:rsid w:val="00BD182E"/>
    <w:rsid w:val="00BD2063"/>
    <w:rsid w:val="00BD2950"/>
    <w:rsid w:val="00BD337A"/>
    <w:rsid w:val="00BD33D9"/>
    <w:rsid w:val="00BD38C5"/>
    <w:rsid w:val="00BD3A6D"/>
    <w:rsid w:val="00BD3AF1"/>
    <w:rsid w:val="00BD3DEA"/>
    <w:rsid w:val="00BD3E97"/>
    <w:rsid w:val="00BD40E4"/>
    <w:rsid w:val="00BD52FE"/>
    <w:rsid w:val="00BD578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7C1"/>
    <w:rsid w:val="00BE6D73"/>
    <w:rsid w:val="00BE7257"/>
    <w:rsid w:val="00BE7F71"/>
    <w:rsid w:val="00BF020D"/>
    <w:rsid w:val="00BF0532"/>
    <w:rsid w:val="00BF0609"/>
    <w:rsid w:val="00BF067A"/>
    <w:rsid w:val="00BF0B32"/>
    <w:rsid w:val="00BF0EE8"/>
    <w:rsid w:val="00BF10ED"/>
    <w:rsid w:val="00BF1DD2"/>
    <w:rsid w:val="00BF23A3"/>
    <w:rsid w:val="00BF2A7E"/>
    <w:rsid w:val="00BF3331"/>
    <w:rsid w:val="00BF3A45"/>
    <w:rsid w:val="00BF436F"/>
    <w:rsid w:val="00BF4E1E"/>
    <w:rsid w:val="00BF58A6"/>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6BF"/>
    <w:rsid w:val="00C03738"/>
    <w:rsid w:val="00C037A6"/>
    <w:rsid w:val="00C04221"/>
    <w:rsid w:val="00C043F5"/>
    <w:rsid w:val="00C044E3"/>
    <w:rsid w:val="00C04607"/>
    <w:rsid w:val="00C04BDB"/>
    <w:rsid w:val="00C04F1B"/>
    <w:rsid w:val="00C052C6"/>
    <w:rsid w:val="00C05A61"/>
    <w:rsid w:val="00C05FBA"/>
    <w:rsid w:val="00C05FEE"/>
    <w:rsid w:val="00C066B4"/>
    <w:rsid w:val="00C06878"/>
    <w:rsid w:val="00C06CCF"/>
    <w:rsid w:val="00C0794D"/>
    <w:rsid w:val="00C1096E"/>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0BA"/>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0C7"/>
    <w:rsid w:val="00C26C71"/>
    <w:rsid w:val="00C27143"/>
    <w:rsid w:val="00C27490"/>
    <w:rsid w:val="00C27D37"/>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1FB4"/>
    <w:rsid w:val="00C42245"/>
    <w:rsid w:val="00C42247"/>
    <w:rsid w:val="00C428E7"/>
    <w:rsid w:val="00C4317B"/>
    <w:rsid w:val="00C438A2"/>
    <w:rsid w:val="00C439BE"/>
    <w:rsid w:val="00C43C7B"/>
    <w:rsid w:val="00C43E53"/>
    <w:rsid w:val="00C451B2"/>
    <w:rsid w:val="00C4539B"/>
    <w:rsid w:val="00C45466"/>
    <w:rsid w:val="00C455C1"/>
    <w:rsid w:val="00C4581D"/>
    <w:rsid w:val="00C46579"/>
    <w:rsid w:val="00C47472"/>
    <w:rsid w:val="00C47F18"/>
    <w:rsid w:val="00C500F0"/>
    <w:rsid w:val="00C504A7"/>
    <w:rsid w:val="00C506C9"/>
    <w:rsid w:val="00C50A16"/>
    <w:rsid w:val="00C51C9A"/>
    <w:rsid w:val="00C52185"/>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0D6A"/>
    <w:rsid w:val="00C612C4"/>
    <w:rsid w:val="00C619A1"/>
    <w:rsid w:val="00C62370"/>
    <w:rsid w:val="00C62BBB"/>
    <w:rsid w:val="00C6305F"/>
    <w:rsid w:val="00C6325B"/>
    <w:rsid w:val="00C63589"/>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576"/>
    <w:rsid w:val="00C67B0B"/>
    <w:rsid w:val="00C67C0E"/>
    <w:rsid w:val="00C70012"/>
    <w:rsid w:val="00C71E2A"/>
    <w:rsid w:val="00C733BA"/>
    <w:rsid w:val="00C742F6"/>
    <w:rsid w:val="00C760DC"/>
    <w:rsid w:val="00C77777"/>
    <w:rsid w:val="00C77D00"/>
    <w:rsid w:val="00C8082B"/>
    <w:rsid w:val="00C80C6B"/>
    <w:rsid w:val="00C80E86"/>
    <w:rsid w:val="00C81A88"/>
    <w:rsid w:val="00C81D46"/>
    <w:rsid w:val="00C82298"/>
    <w:rsid w:val="00C82DC7"/>
    <w:rsid w:val="00C8331F"/>
    <w:rsid w:val="00C833B4"/>
    <w:rsid w:val="00C84284"/>
    <w:rsid w:val="00C84541"/>
    <w:rsid w:val="00C84E33"/>
    <w:rsid w:val="00C85528"/>
    <w:rsid w:val="00C85F57"/>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6F84"/>
    <w:rsid w:val="00C97106"/>
    <w:rsid w:val="00C975AA"/>
    <w:rsid w:val="00C976EB"/>
    <w:rsid w:val="00C978D4"/>
    <w:rsid w:val="00CA0031"/>
    <w:rsid w:val="00CA0413"/>
    <w:rsid w:val="00CA043A"/>
    <w:rsid w:val="00CA0E51"/>
    <w:rsid w:val="00CA1691"/>
    <w:rsid w:val="00CA41E7"/>
    <w:rsid w:val="00CA4A99"/>
    <w:rsid w:val="00CA4CCC"/>
    <w:rsid w:val="00CA4E88"/>
    <w:rsid w:val="00CA5520"/>
    <w:rsid w:val="00CA5812"/>
    <w:rsid w:val="00CA5984"/>
    <w:rsid w:val="00CA5BD4"/>
    <w:rsid w:val="00CA5C14"/>
    <w:rsid w:val="00CA5D56"/>
    <w:rsid w:val="00CA7019"/>
    <w:rsid w:val="00CA76FC"/>
    <w:rsid w:val="00CA7E7B"/>
    <w:rsid w:val="00CB0236"/>
    <w:rsid w:val="00CB0CB1"/>
    <w:rsid w:val="00CB137C"/>
    <w:rsid w:val="00CB1881"/>
    <w:rsid w:val="00CB1969"/>
    <w:rsid w:val="00CB19E3"/>
    <w:rsid w:val="00CB2C3A"/>
    <w:rsid w:val="00CB2D38"/>
    <w:rsid w:val="00CB2F5E"/>
    <w:rsid w:val="00CB4137"/>
    <w:rsid w:val="00CB4378"/>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D63"/>
    <w:rsid w:val="00CC0E68"/>
    <w:rsid w:val="00CC1780"/>
    <w:rsid w:val="00CC194E"/>
    <w:rsid w:val="00CC1BA4"/>
    <w:rsid w:val="00CC21AC"/>
    <w:rsid w:val="00CC232E"/>
    <w:rsid w:val="00CC2514"/>
    <w:rsid w:val="00CC2D34"/>
    <w:rsid w:val="00CC2F69"/>
    <w:rsid w:val="00CC315F"/>
    <w:rsid w:val="00CC3C41"/>
    <w:rsid w:val="00CC3D38"/>
    <w:rsid w:val="00CC3F2F"/>
    <w:rsid w:val="00CC40C3"/>
    <w:rsid w:val="00CC45A5"/>
    <w:rsid w:val="00CC4CB4"/>
    <w:rsid w:val="00CC4E5D"/>
    <w:rsid w:val="00CC4EF4"/>
    <w:rsid w:val="00CC50AE"/>
    <w:rsid w:val="00CC534D"/>
    <w:rsid w:val="00CC564A"/>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35A"/>
    <w:rsid w:val="00CE0566"/>
    <w:rsid w:val="00CE1966"/>
    <w:rsid w:val="00CE1CD4"/>
    <w:rsid w:val="00CE2761"/>
    <w:rsid w:val="00CE28FC"/>
    <w:rsid w:val="00CE314E"/>
    <w:rsid w:val="00CE3A85"/>
    <w:rsid w:val="00CE3CB5"/>
    <w:rsid w:val="00CE3D5C"/>
    <w:rsid w:val="00CE3E09"/>
    <w:rsid w:val="00CE3E14"/>
    <w:rsid w:val="00CE44C7"/>
    <w:rsid w:val="00CE4868"/>
    <w:rsid w:val="00CE53CC"/>
    <w:rsid w:val="00CE5F60"/>
    <w:rsid w:val="00CE65A7"/>
    <w:rsid w:val="00CE68FE"/>
    <w:rsid w:val="00CE69CC"/>
    <w:rsid w:val="00CE6EC4"/>
    <w:rsid w:val="00CE7F26"/>
    <w:rsid w:val="00CF1226"/>
    <w:rsid w:val="00CF1ABB"/>
    <w:rsid w:val="00CF1BB8"/>
    <w:rsid w:val="00CF1E1D"/>
    <w:rsid w:val="00CF24FE"/>
    <w:rsid w:val="00CF287F"/>
    <w:rsid w:val="00CF35D0"/>
    <w:rsid w:val="00CF3B57"/>
    <w:rsid w:val="00CF3DD5"/>
    <w:rsid w:val="00CF3E2D"/>
    <w:rsid w:val="00CF43E7"/>
    <w:rsid w:val="00CF4AF7"/>
    <w:rsid w:val="00CF4D20"/>
    <w:rsid w:val="00CF66D3"/>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E7C"/>
    <w:rsid w:val="00D10509"/>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7FB"/>
    <w:rsid w:val="00D16A8B"/>
    <w:rsid w:val="00D16E39"/>
    <w:rsid w:val="00D171DE"/>
    <w:rsid w:val="00D172A4"/>
    <w:rsid w:val="00D175B2"/>
    <w:rsid w:val="00D17951"/>
    <w:rsid w:val="00D17AD8"/>
    <w:rsid w:val="00D209BE"/>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00E2"/>
    <w:rsid w:val="00D30616"/>
    <w:rsid w:val="00D312DC"/>
    <w:rsid w:val="00D31B84"/>
    <w:rsid w:val="00D31C6A"/>
    <w:rsid w:val="00D31EDF"/>
    <w:rsid w:val="00D31FF9"/>
    <w:rsid w:val="00D32149"/>
    <w:rsid w:val="00D32256"/>
    <w:rsid w:val="00D32A27"/>
    <w:rsid w:val="00D32ABC"/>
    <w:rsid w:val="00D33FA4"/>
    <w:rsid w:val="00D34B25"/>
    <w:rsid w:val="00D34C7F"/>
    <w:rsid w:val="00D34F4E"/>
    <w:rsid w:val="00D3523D"/>
    <w:rsid w:val="00D357F3"/>
    <w:rsid w:val="00D35C0E"/>
    <w:rsid w:val="00D36FBF"/>
    <w:rsid w:val="00D373A8"/>
    <w:rsid w:val="00D379A5"/>
    <w:rsid w:val="00D37BB3"/>
    <w:rsid w:val="00D401BE"/>
    <w:rsid w:val="00D4043A"/>
    <w:rsid w:val="00D40DB0"/>
    <w:rsid w:val="00D41093"/>
    <w:rsid w:val="00D410E0"/>
    <w:rsid w:val="00D41858"/>
    <w:rsid w:val="00D41EEB"/>
    <w:rsid w:val="00D422DB"/>
    <w:rsid w:val="00D42AC2"/>
    <w:rsid w:val="00D4498E"/>
    <w:rsid w:val="00D4515F"/>
    <w:rsid w:val="00D451E8"/>
    <w:rsid w:val="00D466C9"/>
    <w:rsid w:val="00D47275"/>
    <w:rsid w:val="00D47295"/>
    <w:rsid w:val="00D500ED"/>
    <w:rsid w:val="00D5054C"/>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38"/>
    <w:rsid w:val="00D63359"/>
    <w:rsid w:val="00D63766"/>
    <w:rsid w:val="00D63912"/>
    <w:rsid w:val="00D63923"/>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0DDD"/>
    <w:rsid w:val="00D80E69"/>
    <w:rsid w:val="00D8184D"/>
    <w:rsid w:val="00D81A7B"/>
    <w:rsid w:val="00D8223C"/>
    <w:rsid w:val="00D825C2"/>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12"/>
    <w:rsid w:val="00D96EE0"/>
    <w:rsid w:val="00D97BD1"/>
    <w:rsid w:val="00D97DF4"/>
    <w:rsid w:val="00D97EF0"/>
    <w:rsid w:val="00DA00C3"/>
    <w:rsid w:val="00DA01E9"/>
    <w:rsid w:val="00DA06B8"/>
    <w:rsid w:val="00DA0A16"/>
    <w:rsid w:val="00DA14A9"/>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6C8E"/>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39DE"/>
    <w:rsid w:val="00DB4292"/>
    <w:rsid w:val="00DB4DF0"/>
    <w:rsid w:val="00DB5023"/>
    <w:rsid w:val="00DB5B4B"/>
    <w:rsid w:val="00DB6E46"/>
    <w:rsid w:val="00DB7117"/>
    <w:rsid w:val="00DB7760"/>
    <w:rsid w:val="00DB79D9"/>
    <w:rsid w:val="00DB7ABC"/>
    <w:rsid w:val="00DB7DD4"/>
    <w:rsid w:val="00DC00B4"/>
    <w:rsid w:val="00DC0954"/>
    <w:rsid w:val="00DC0DF8"/>
    <w:rsid w:val="00DC15BA"/>
    <w:rsid w:val="00DC18CD"/>
    <w:rsid w:val="00DC1A68"/>
    <w:rsid w:val="00DC30B8"/>
    <w:rsid w:val="00DC478F"/>
    <w:rsid w:val="00DC50AA"/>
    <w:rsid w:val="00DC5841"/>
    <w:rsid w:val="00DC61AC"/>
    <w:rsid w:val="00DC62E5"/>
    <w:rsid w:val="00DC6BCA"/>
    <w:rsid w:val="00DC6D70"/>
    <w:rsid w:val="00DC6DAA"/>
    <w:rsid w:val="00DC6F33"/>
    <w:rsid w:val="00DC7349"/>
    <w:rsid w:val="00DC7389"/>
    <w:rsid w:val="00DC78F6"/>
    <w:rsid w:val="00DD0EA9"/>
    <w:rsid w:val="00DD14D8"/>
    <w:rsid w:val="00DD1599"/>
    <w:rsid w:val="00DD16F1"/>
    <w:rsid w:val="00DD1B03"/>
    <w:rsid w:val="00DD1E43"/>
    <w:rsid w:val="00DD1EDF"/>
    <w:rsid w:val="00DD1FF6"/>
    <w:rsid w:val="00DD2A62"/>
    <w:rsid w:val="00DD2F2F"/>
    <w:rsid w:val="00DD2F7A"/>
    <w:rsid w:val="00DD30C9"/>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0910"/>
    <w:rsid w:val="00DE1410"/>
    <w:rsid w:val="00DE1DEA"/>
    <w:rsid w:val="00DE20C6"/>
    <w:rsid w:val="00DE221E"/>
    <w:rsid w:val="00DE3119"/>
    <w:rsid w:val="00DE35AD"/>
    <w:rsid w:val="00DE3C24"/>
    <w:rsid w:val="00DE3FF0"/>
    <w:rsid w:val="00DE4105"/>
    <w:rsid w:val="00DE4BEA"/>
    <w:rsid w:val="00DE4E67"/>
    <w:rsid w:val="00DE5189"/>
    <w:rsid w:val="00DE7108"/>
    <w:rsid w:val="00DE78D1"/>
    <w:rsid w:val="00DE78FF"/>
    <w:rsid w:val="00DE7C6E"/>
    <w:rsid w:val="00DF002F"/>
    <w:rsid w:val="00DF0263"/>
    <w:rsid w:val="00DF0EB4"/>
    <w:rsid w:val="00DF158B"/>
    <w:rsid w:val="00DF170E"/>
    <w:rsid w:val="00DF193C"/>
    <w:rsid w:val="00DF1E36"/>
    <w:rsid w:val="00DF236B"/>
    <w:rsid w:val="00DF258A"/>
    <w:rsid w:val="00DF2677"/>
    <w:rsid w:val="00DF2A91"/>
    <w:rsid w:val="00DF2EA7"/>
    <w:rsid w:val="00DF3889"/>
    <w:rsid w:val="00DF3CC9"/>
    <w:rsid w:val="00DF3F9B"/>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9D"/>
    <w:rsid w:val="00E114CA"/>
    <w:rsid w:val="00E127D1"/>
    <w:rsid w:val="00E13867"/>
    <w:rsid w:val="00E1397F"/>
    <w:rsid w:val="00E13AB8"/>
    <w:rsid w:val="00E1482E"/>
    <w:rsid w:val="00E16382"/>
    <w:rsid w:val="00E1699C"/>
    <w:rsid w:val="00E16E75"/>
    <w:rsid w:val="00E1746D"/>
    <w:rsid w:val="00E17CAC"/>
    <w:rsid w:val="00E2012A"/>
    <w:rsid w:val="00E205A2"/>
    <w:rsid w:val="00E20BA4"/>
    <w:rsid w:val="00E20D94"/>
    <w:rsid w:val="00E210D0"/>
    <w:rsid w:val="00E21887"/>
    <w:rsid w:val="00E21CC0"/>
    <w:rsid w:val="00E228D0"/>
    <w:rsid w:val="00E22EB9"/>
    <w:rsid w:val="00E23137"/>
    <w:rsid w:val="00E23980"/>
    <w:rsid w:val="00E23AB0"/>
    <w:rsid w:val="00E241E9"/>
    <w:rsid w:val="00E257C3"/>
    <w:rsid w:val="00E25CB3"/>
    <w:rsid w:val="00E25DA4"/>
    <w:rsid w:val="00E25F9C"/>
    <w:rsid w:val="00E26237"/>
    <w:rsid w:val="00E2628C"/>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C35"/>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8F9"/>
    <w:rsid w:val="00E57FB0"/>
    <w:rsid w:val="00E601BE"/>
    <w:rsid w:val="00E60A44"/>
    <w:rsid w:val="00E60B5F"/>
    <w:rsid w:val="00E613AE"/>
    <w:rsid w:val="00E61429"/>
    <w:rsid w:val="00E61ABB"/>
    <w:rsid w:val="00E61FD7"/>
    <w:rsid w:val="00E623E6"/>
    <w:rsid w:val="00E62586"/>
    <w:rsid w:val="00E62BBF"/>
    <w:rsid w:val="00E62C76"/>
    <w:rsid w:val="00E62E3A"/>
    <w:rsid w:val="00E630A2"/>
    <w:rsid w:val="00E630C0"/>
    <w:rsid w:val="00E63107"/>
    <w:rsid w:val="00E6312C"/>
    <w:rsid w:val="00E634E6"/>
    <w:rsid w:val="00E63793"/>
    <w:rsid w:val="00E63DCE"/>
    <w:rsid w:val="00E642EF"/>
    <w:rsid w:val="00E645CF"/>
    <w:rsid w:val="00E64700"/>
    <w:rsid w:val="00E65074"/>
    <w:rsid w:val="00E65857"/>
    <w:rsid w:val="00E65E70"/>
    <w:rsid w:val="00E66087"/>
    <w:rsid w:val="00E6654C"/>
    <w:rsid w:val="00E66D79"/>
    <w:rsid w:val="00E66FF9"/>
    <w:rsid w:val="00E6706F"/>
    <w:rsid w:val="00E673A2"/>
    <w:rsid w:val="00E67856"/>
    <w:rsid w:val="00E679C8"/>
    <w:rsid w:val="00E70314"/>
    <w:rsid w:val="00E7175B"/>
    <w:rsid w:val="00E724E7"/>
    <w:rsid w:val="00E72698"/>
    <w:rsid w:val="00E726D5"/>
    <w:rsid w:val="00E72B41"/>
    <w:rsid w:val="00E7347B"/>
    <w:rsid w:val="00E73792"/>
    <w:rsid w:val="00E73D03"/>
    <w:rsid w:val="00E74055"/>
    <w:rsid w:val="00E7471C"/>
    <w:rsid w:val="00E7498A"/>
    <w:rsid w:val="00E74A15"/>
    <w:rsid w:val="00E7514E"/>
    <w:rsid w:val="00E76537"/>
    <w:rsid w:val="00E77784"/>
    <w:rsid w:val="00E77AF5"/>
    <w:rsid w:val="00E77DC8"/>
    <w:rsid w:val="00E8035B"/>
    <w:rsid w:val="00E820F4"/>
    <w:rsid w:val="00E82263"/>
    <w:rsid w:val="00E823F9"/>
    <w:rsid w:val="00E82C1F"/>
    <w:rsid w:val="00E83671"/>
    <w:rsid w:val="00E83D1E"/>
    <w:rsid w:val="00E840EE"/>
    <w:rsid w:val="00E84314"/>
    <w:rsid w:val="00E849CA"/>
    <w:rsid w:val="00E84A71"/>
    <w:rsid w:val="00E853F3"/>
    <w:rsid w:val="00E8556F"/>
    <w:rsid w:val="00E85D0A"/>
    <w:rsid w:val="00E86556"/>
    <w:rsid w:val="00E86D35"/>
    <w:rsid w:val="00E86DC2"/>
    <w:rsid w:val="00E86E32"/>
    <w:rsid w:val="00E86F2E"/>
    <w:rsid w:val="00E8732E"/>
    <w:rsid w:val="00E879C7"/>
    <w:rsid w:val="00E90067"/>
    <w:rsid w:val="00E9011F"/>
    <w:rsid w:val="00E906A1"/>
    <w:rsid w:val="00E906EB"/>
    <w:rsid w:val="00E90CE2"/>
    <w:rsid w:val="00E9170E"/>
    <w:rsid w:val="00E919FB"/>
    <w:rsid w:val="00E9203F"/>
    <w:rsid w:val="00E9241E"/>
    <w:rsid w:val="00E92460"/>
    <w:rsid w:val="00E92E62"/>
    <w:rsid w:val="00E93804"/>
    <w:rsid w:val="00E9429D"/>
    <w:rsid w:val="00E95434"/>
    <w:rsid w:val="00E96467"/>
    <w:rsid w:val="00E966DA"/>
    <w:rsid w:val="00E96948"/>
    <w:rsid w:val="00E9737B"/>
    <w:rsid w:val="00E97A3F"/>
    <w:rsid w:val="00E97ECF"/>
    <w:rsid w:val="00E97F0A"/>
    <w:rsid w:val="00EA0100"/>
    <w:rsid w:val="00EA0455"/>
    <w:rsid w:val="00EA0BCE"/>
    <w:rsid w:val="00EA10E4"/>
    <w:rsid w:val="00EA17BC"/>
    <w:rsid w:val="00EA1EE9"/>
    <w:rsid w:val="00EA2744"/>
    <w:rsid w:val="00EA2AD6"/>
    <w:rsid w:val="00EA37B9"/>
    <w:rsid w:val="00EA39F7"/>
    <w:rsid w:val="00EA3DC2"/>
    <w:rsid w:val="00EA41F5"/>
    <w:rsid w:val="00EA4220"/>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1CC"/>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33A8"/>
    <w:rsid w:val="00EC3ABE"/>
    <w:rsid w:val="00EC3BA2"/>
    <w:rsid w:val="00EC3C89"/>
    <w:rsid w:val="00EC3C94"/>
    <w:rsid w:val="00EC44DF"/>
    <w:rsid w:val="00EC4FB9"/>
    <w:rsid w:val="00EC5393"/>
    <w:rsid w:val="00EC5741"/>
    <w:rsid w:val="00EC5DA3"/>
    <w:rsid w:val="00EC6014"/>
    <w:rsid w:val="00EC6565"/>
    <w:rsid w:val="00EC6B3E"/>
    <w:rsid w:val="00EC70AD"/>
    <w:rsid w:val="00EC73DE"/>
    <w:rsid w:val="00EC7552"/>
    <w:rsid w:val="00EC7637"/>
    <w:rsid w:val="00EC7C07"/>
    <w:rsid w:val="00EC7CF2"/>
    <w:rsid w:val="00ED046C"/>
    <w:rsid w:val="00ED053A"/>
    <w:rsid w:val="00ED1509"/>
    <w:rsid w:val="00ED1F03"/>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0476"/>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B54"/>
    <w:rsid w:val="00EE7C47"/>
    <w:rsid w:val="00EE7C88"/>
    <w:rsid w:val="00EE7C8B"/>
    <w:rsid w:val="00EF00EF"/>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07"/>
    <w:rsid w:val="00EF4944"/>
    <w:rsid w:val="00EF4952"/>
    <w:rsid w:val="00EF498F"/>
    <w:rsid w:val="00EF4A42"/>
    <w:rsid w:val="00EF50A6"/>
    <w:rsid w:val="00EF510C"/>
    <w:rsid w:val="00EF5498"/>
    <w:rsid w:val="00EF55C4"/>
    <w:rsid w:val="00EF57BC"/>
    <w:rsid w:val="00EF5CA8"/>
    <w:rsid w:val="00EF62BD"/>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17D"/>
    <w:rsid w:val="00F0435D"/>
    <w:rsid w:val="00F04580"/>
    <w:rsid w:val="00F04861"/>
    <w:rsid w:val="00F04986"/>
    <w:rsid w:val="00F04ECA"/>
    <w:rsid w:val="00F04F8B"/>
    <w:rsid w:val="00F06CA4"/>
    <w:rsid w:val="00F06E19"/>
    <w:rsid w:val="00F06F84"/>
    <w:rsid w:val="00F0749E"/>
    <w:rsid w:val="00F076E7"/>
    <w:rsid w:val="00F07A86"/>
    <w:rsid w:val="00F07AA1"/>
    <w:rsid w:val="00F105AE"/>
    <w:rsid w:val="00F10618"/>
    <w:rsid w:val="00F10DDB"/>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4FBA"/>
    <w:rsid w:val="00F15505"/>
    <w:rsid w:val="00F15BFF"/>
    <w:rsid w:val="00F1634B"/>
    <w:rsid w:val="00F16E4F"/>
    <w:rsid w:val="00F171B2"/>
    <w:rsid w:val="00F17244"/>
    <w:rsid w:val="00F20931"/>
    <w:rsid w:val="00F20ECE"/>
    <w:rsid w:val="00F213A0"/>
    <w:rsid w:val="00F21D54"/>
    <w:rsid w:val="00F21EF4"/>
    <w:rsid w:val="00F221A2"/>
    <w:rsid w:val="00F229C4"/>
    <w:rsid w:val="00F23113"/>
    <w:rsid w:val="00F23255"/>
    <w:rsid w:val="00F23393"/>
    <w:rsid w:val="00F23759"/>
    <w:rsid w:val="00F24644"/>
    <w:rsid w:val="00F24BB1"/>
    <w:rsid w:val="00F25707"/>
    <w:rsid w:val="00F25947"/>
    <w:rsid w:val="00F262D6"/>
    <w:rsid w:val="00F26F33"/>
    <w:rsid w:val="00F273D5"/>
    <w:rsid w:val="00F2748A"/>
    <w:rsid w:val="00F2786C"/>
    <w:rsid w:val="00F300A8"/>
    <w:rsid w:val="00F302C6"/>
    <w:rsid w:val="00F30400"/>
    <w:rsid w:val="00F3079E"/>
    <w:rsid w:val="00F31289"/>
    <w:rsid w:val="00F3232D"/>
    <w:rsid w:val="00F32356"/>
    <w:rsid w:val="00F32F80"/>
    <w:rsid w:val="00F3399B"/>
    <w:rsid w:val="00F339FC"/>
    <w:rsid w:val="00F33D24"/>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510"/>
    <w:rsid w:val="00F428B1"/>
    <w:rsid w:val="00F428B4"/>
    <w:rsid w:val="00F4345D"/>
    <w:rsid w:val="00F4387B"/>
    <w:rsid w:val="00F45921"/>
    <w:rsid w:val="00F45B91"/>
    <w:rsid w:val="00F46639"/>
    <w:rsid w:val="00F47026"/>
    <w:rsid w:val="00F476FD"/>
    <w:rsid w:val="00F50183"/>
    <w:rsid w:val="00F50D92"/>
    <w:rsid w:val="00F51389"/>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09D"/>
    <w:rsid w:val="00F66282"/>
    <w:rsid w:val="00F6639E"/>
    <w:rsid w:val="00F670E9"/>
    <w:rsid w:val="00F6749F"/>
    <w:rsid w:val="00F67AF1"/>
    <w:rsid w:val="00F67D8B"/>
    <w:rsid w:val="00F700CD"/>
    <w:rsid w:val="00F701C5"/>
    <w:rsid w:val="00F702CA"/>
    <w:rsid w:val="00F70961"/>
    <w:rsid w:val="00F70A8F"/>
    <w:rsid w:val="00F70C4B"/>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B65"/>
    <w:rsid w:val="00F82E28"/>
    <w:rsid w:val="00F83B33"/>
    <w:rsid w:val="00F83CAE"/>
    <w:rsid w:val="00F840BF"/>
    <w:rsid w:val="00F8427A"/>
    <w:rsid w:val="00F843DF"/>
    <w:rsid w:val="00F84646"/>
    <w:rsid w:val="00F84899"/>
    <w:rsid w:val="00F85585"/>
    <w:rsid w:val="00F859F0"/>
    <w:rsid w:val="00F85CC1"/>
    <w:rsid w:val="00F8658F"/>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994"/>
    <w:rsid w:val="00F92FC1"/>
    <w:rsid w:val="00F932D1"/>
    <w:rsid w:val="00F93DBC"/>
    <w:rsid w:val="00F93E41"/>
    <w:rsid w:val="00F94644"/>
    <w:rsid w:val="00F952E4"/>
    <w:rsid w:val="00F9537B"/>
    <w:rsid w:val="00F96079"/>
    <w:rsid w:val="00F963FC"/>
    <w:rsid w:val="00F966F3"/>
    <w:rsid w:val="00F975B1"/>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088"/>
    <w:rsid w:val="00FA727C"/>
    <w:rsid w:val="00FA7A30"/>
    <w:rsid w:val="00FB033F"/>
    <w:rsid w:val="00FB0880"/>
    <w:rsid w:val="00FB12E3"/>
    <w:rsid w:val="00FB1570"/>
    <w:rsid w:val="00FB193B"/>
    <w:rsid w:val="00FB1BC6"/>
    <w:rsid w:val="00FB1FBC"/>
    <w:rsid w:val="00FB27B7"/>
    <w:rsid w:val="00FB35E3"/>
    <w:rsid w:val="00FB4743"/>
    <w:rsid w:val="00FB4C98"/>
    <w:rsid w:val="00FB4CE3"/>
    <w:rsid w:val="00FB583C"/>
    <w:rsid w:val="00FB630E"/>
    <w:rsid w:val="00FB6738"/>
    <w:rsid w:val="00FB691B"/>
    <w:rsid w:val="00FB6BE6"/>
    <w:rsid w:val="00FB7013"/>
    <w:rsid w:val="00FB731C"/>
    <w:rsid w:val="00FB7628"/>
    <w:rsid w:val="00FC0363"/>
    <w:rsid w:val="00FC05A0"/>
    <w:rsid w:val="00FC0811"/>
    <w:rsid w:val="00FC09B3"/>
    <w:rsid w:val="00FC1196"/>
    <w:rsid w:val="00FC15EB"/>
    <w:rsid w:val="00FC162C"/>
    <w:rsid w:val="00FC18DC"/>
    <w:rsid w:val="00FC2477"/>
    <w:rsid w:val="00FC2822"/>
    <w:rsid w:val="00FC2AC4"/>
    <w:rsid w:val="00FC2D17"/>
    <w:rsid w:val="00FC2F73"/>
    <w:rsid w:val="00FC3A9B"/>
    <w:rsid w:val="00FC3AE1"/>
    <w:rsid w:val="00FC3DFC"/>
    <w:rsid w:val="00FC3EF4"/>
    <w:rsid w:val="00FC40AE"/>
    <w:rsid w:val="00FC431B"/>
    <w:rsid w:val="00FC434C"/>
    <w:rsid w:val="00FC472C"/>
    <w:rsid w:val="00FC4FDF"/>
    <w:rsid w:val="00FC5A33"/>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1C"/>
    <w:rsid w:val="00FF045F"/>
    <w:rsid w:val="00FF0816"/>
    <w:rsid w:val="00FF13D4"/>
    <w:rsid w:val="00FF2053"/>
    <w:rsid w:val="00FF22B2"/>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styleId="Hipervnculovisitado">
    <w:name w:val="FollowedHyperlink"/>
    <w:basedOn w:val="Fuentedeprrafopredeter"/>
    <w:uiPriority w:val="99"/>
    <w:semiHidden/>
    <w:unhideWhenUsed/>
    <w:rsid w:val="00CA4E88"/>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971">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12643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439295">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972854">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3655023">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078684">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ombiacompra.gov.co/compradores/acuerdos-comerciales-y-trato-nacional-por-reciprocid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FFCCCED-A1F3-4F10-837C-91B75AE3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1105</TotalTime>
  <Pages>1</Pages>
  <Words>4872</Words>
  <Characters>26802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11</cp:revision>
  <cp:lastPrinted>2020-01-30T15:05:00Z</cp:lastPrinted>
  <dcterms:created xsi:type="dcterms:W3CDTF">2022-04-14T16:02:00Z</dcterms:created>
  <dcterms:modified xsi:type="dcterms:W3CDTF">2022-05-24T22:09:00Z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