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1B4E" w14:textId="77777777" w:rsidR="0074242A" w:rsidRPr="0074242A" w:rsidRDefault="0074242A" w:rsidP="0074242A">
      <w:pPr>
        <w:spacing w:after="0" w:line="240" w:lineRule="auto"/>
        <w:contextualSpacing/>
        <w:jc w:val="both"/>
        <w:rPr>
          <w:rFonts w:ascii="Arial" w:eastAsia="Calibri" w:hAnsi="Arial" w:cs="Arial"/>
          <w:b/>
          <w:bCs/>
          <w:lang w:val="es-ES_tradnl"/>
        </w:rPr>
      </w:pPr>
      <w:bookmarkStart w:id="0" w:name="_Hlk96417464"/>
      <w:bookmarkStart w:id="1" w:name="_Hlk100170951"/>
      <w:bookmarkStart w:id="2" w:name="_Hlk57650395"/>
      <w:r w:rsidRPr="0074242A">
        <w:rPr>
          <w:rFonts w:ascii="Arial" w:eastAsia="Calibri" w:hAnsi="Arial" w:cs="Arial"/>
          <w:b/>
          <w:bCs/>
          <w:lang w:val="es-ES_tradnl"/>
        </w:rPr>
        <w:t>CLÁUSULAS EXCEPCIONALES – Concepto – Marco jurídico</w:t>
      </w:r>
    </w:p>
    <w:p w14:paraId="314A3DAD"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082CF47C" w14:textId="77777777" w:rsidR="0074242A" w:rsidRPr="00401563" w:rsidRDefault="0074242A" w:rsidP="0074242A">
      <w:pPr>
        <w:spacing w:after="0" w:line="240" w:lineRule="auto"/>
        <w:contextualSpacing/>
        <w:jc w:val="both"/>
        <w:rPr>
          <w:rFonts w:ascii="Arial" w:eastAsia="Calibri" w:hAnsi="Arial" w:cs="Arial"/>
          <w:sz w:val="20"/>
          <w:szCs w:val="20"/>
        </w:rPr>
      </w:pPr>
      <w:r w:rsidRPr="00401563">
        <w:rPr>
          <w:rFonts w:ascii="Arial" w:hAnsi="Arial" w:cs="Arial"/>
          <w:iCs/>
          <w:sz w:val="20"/>
          <w:szCs w:val="20"/>
          <w:lang w:val="es-ES_tradnl"/>
        </w:rPr>
        <w:t xml:space="preserve">[…] las cláusulas excepcionales del artículo 14 de la Ley 80 de 1993, </w:t>
      </w:r>
      <w:r w:rsidRPr="00401563">
        <w:rPr>
          <w:rFonts w:ascii="Arial" w:eastAsia="Calibri" w:hAnsi="Arial" w:cs="Arial"/>
          <w:sz w:val="20"/>
          <w:szCs w:val="20"/>
        </w:rPr>
        <w:t xml:space="preserve">también se les conoce como «exorbitantes». Etimológicamente, esta palabra viene del latín: se compone del prefijo </w:t>
      </w:r>
      <w:r w:rsidRPr="00401563">
        <w:rPr>
          <w:rFonts w:ascii="Arial" w:eastAsia="Calibri" w:hAnsi="Arial" w:cs="Arial"/>
          <w:i/>
          <w:iCs/>
          <w:sz w:val="20"/>
          <w:szCs w:val="20"/>
        </w:rPr>
        <w:t>ex</w:t>
      </w:r>
      <w:r w:rsidRPr="00401563">
        <w:rPr>
          <w:rFonts w:ascii="Arial" w:eastAsia="Calibri" w:hAnsi="Arial" w:cs="Arial"/>
          <w:sz w:val="20"/>
          <w:szCs w:val="20"/>
        </w:rPr>
        <w:t xml:space="preserve">, que indica separación o movimiento de salida, y la raíz de la palabra </w:t>
      </w:r>
      <w:r w:rsidRPr="00401563">
        <w:rPr>
          <w:rFonts w:ascii="Arial" w:eastAsia="Calibri" w:hAnsi="Arial" w:cs="Arial"/>
          <w:i/>
          <w:iCs/>
          <w:sz w:val="20"/>
          <w:szCs w:val="20"/>
        </w:rPr>
        <w:t>orbita</w:t>
      </w:r>
      <w:r w:rsidRPr="00401563">
        <w:rPr>
          <w:rFonts w:ascii="Arial" w:eastAsia="Calibri" w:hAnsi="Arial" w:cs="Arial"/>
          <w:sz w:val="20"/>
          <w:szCs w:val="20"/>
        </w:rPr>
        <w:t xml:space="preserve">, relacionado con el curso de los astros, un derivado de la palabra </w:t>
      </w:r>
      <w:r w:rsidRPr="00401563">
        <w:rPr>
          <w:rFonts w:ascii="Arial" w:eastAsia="Calibri" w:hAnsi="Arial" w:cs="Arial"/>
          <w:i/>
          <w:iCs/>
          <w:sz w:val="20"/>
          <w:szCs w:val="20"/>
        </w:rPr>
        <w:t>orbis</w:t>
      </w:r>
      <w:r w:rsidRPr="00401563">
        <w:rPr>
          <w:rFonts w:ascii="Arial" w:eastAsia="Calibri" w:hAnsi="Arial" w:cs="Arial"/>
          <w:sz w:val="20"/>
          <w:szCs w:val="20"/>
        </w:rPr>
        <w:t xml:space="preserve">, que significa circunferencia. En esta medida, lo exorbitante es lo que se sale excesivamente de su ritmo o medida habitual. Para la doctrina, estas cláusulas son exorbitantes bien porque son poco habituales en los contratos entre particulares o porque, pactadas en los mismos, están viciadas de nulidad. Por ejemplo, las cláusulas de caducidad, interpretación unilateral, modificación unilateral, etc. están prohibidas en contratos sometidos al derecho privado, ya que no derogan las leyes de orden público –artículo 16 del Código Civil–, existe objeto ilícito en todo lo que contraviene el derecho público de la nación –artículo 1519 del Código Civil– y, por tanto, están viciadas de nulidad absoluta –artículo 1741 del Código Civil–. En este sentido, las cláusulas exorbitantes se reservan a los contratos autorizados por la ley, pues son poderes derogatorios del derecho común y requieren una norma excepcional como la citada </w:t>
      </w:r>
      <w:r w:rsidRPr="00401563">
        <w:rPr>
          <w:rFonts w:ascii="Arial" w:eastAsia="Calibri" w:hAnsi="Arial" w:cs="Arial"/>
          <w:i/>
          <w:iCs/>
          <w:sz w:val="20"/>
          <w:szCs w:val="20"/>
        </w:rPr>
        <w:t>ut supra</w:t>
      </w:r>
      <w:r w:rsidRPr="00401563">
        <w:rPr>
          <w:rFonts w:ascii="Arial" w:eastAsia="Calibri" w:hAnsi="Arial" w:cs="Arial"/>
          <w:sz w:val="20"/>
          <w:szCs w:val="20"/>
        </w:rPr>
        <w:t>.</w:t>
      </w:r>
    </w:p>
    <w:p w14:paraId="3FABFC55" w14:textId="77777777" w:rsidR="0074242A" w:rsidRPr="00401563" w:rsidRDefault="0074242A" w:rsidP="0074242A">
      <w:pPr>
        <w:spacing w:after="0" w:line="240" w:lineRule="auto"/>
        <w:contextualSpacing/>
        <w:jc w:val="both"/>
        <w:rPr>
          <w:rFonts w:ascii="Arial" w:hAnsi="Arial" w:cs="Arial"/>
          <w:sz w:val="20"/>
          <w:szCs w:val="20"/>
        </w:rPr>
      </w:pPr>
    </w:p>
    <w:p w14:paraId="43FC2710" w14:textId="77777777" w:rsidR="0074242A" w:rsidRPr="0074242A" w:rsidRDefault="0074242A" w:rsidP="0074242A">
      <w:pPr>
        <w:spacing w:after="0" w:line="240" w:lineRule="auto"/>
        <w:contextualSpacing/>
        <w:jc w:val="both"/>
        <w:rPr>
          <w:rFonts w:ascii="Arial" w:hAnsi="Arial" w:cs="Arial"/>
          <w:b/>
          <w:bCs/>
        </w:rPr>
      </w:pPr>
      <w:r w:rsidRPr="0074242A">
        <w:rPr>
          <w:rFonts w:ascii="Arial" w:hAnsi="Arial" w:cs="Arial"/>
          <w:b/>
          <w:bCs/>
        </w:rPr>
        <w:t xml:space="preserve">CADUCIDAD – Presupuestos – Consecuencias </w:t>
      </w:r>
    </w:p>
    <w:p w14:paraId="3B737704" w14:textId="77777777" w:rsidR="0074242A" w:rsidRPr="00401563" w:rsidRDefault="0074242A" w:rsidP="0074242A">
      <w:pPr>
        <w:spacing w:after="0" w:line="240" w:lineRule="auto"/>
        <w:contextualSpacing/>
        <w:jc w:val="both"/>
        <w:rPr>
          <w:rFonts w:ascii="Arial" w:hAnsi="Arial" w:cs="Arial"/>
          <w:sz w:val="20"/>
          <w:szCs w:val="20"/>
        </w:rPr>
      </w:pPr>
    </w:p>
    <w:p w14:paraId="57A9A500"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 xml:space="preserve">[…] cláusula excepcional de caducidad, pues es la sanción más severa que existe en la contratación estatal. Esta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del contrato por otros medios, señalados en el artículo 18 de la Ley 80 de 1993. </w:t>
      </w:r>
    </w:p>
    <w:p w14:paraId="222BD4F5"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06957A52"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w:t>
      </w:r>
    </w:p>
    <w:p w14:paraId="2F8261EC"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37F3752C"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Las consecuencias jurídicas que se generan con la caducidad son: i) la terminación del contrato, ii) la iniciación del trámite de liquidación bilateral –y unilateral, si fracasa la bilateral–, iii) la inhabilidad sobreviniente por cinco (5) años, iv) la efectividad de la garantía única de cumplimiento y v) el reporte en el SECOP, a la Procuraduría General de la Nación y a la Cámara de Comercio donde el contratista esté inscrito con el propósito de incluir la anotación en el Registro Único de Proponentes (RUP).</w:t>
      </w:r>
    </w:p>
    <w:p w14:paraId="11E2FC0B"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4BEBEA6B" w14:textId="77777777" w:rsidR="0074242A" w:rsidRPr="0074242A" w:rsidRDefault="0074242A" w:rsidP="0074242A">
      <w:pPr>
        <w:spacing w:after="0" w:line="240" w:lineRule="auto"/>
        <w:contextualSpacing/>
        <w:jc w:val="both"/>
        <w:rPr>
          <w:rFonts w:ascii="Arial" w:hAnsi="Arial" w:cs="Arial"/>
          <w:b/>
          <w:bCs/>
        </w:rPr>
      </w:pPr>
      <w:r w:rsidRPr="0074242A">
        <w:rPr>
          <w:rFonts w:ascii="Arial" w:hAnsi="Arial" w:cs="Arial"/>
          <w:b/>
          <w:bCs/>
        </w:rPr>
        <w:t xml:space="preserve">TERMINACIÓN UNILATERAL – Presupuestos  </w:t>
      </w:r>
    </w:p>
    <w:p w14:paraId="348CDC18"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1AE45AAA"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 xml:space="preserve">[…] la terminación unilateral anticipada del contrato puede decretarse ante la ocurrencia de alguno de los supuestos fácticos del artículo 17 de la misma Ley. Estos supuestos son: i) razones de servicio público o de orden público,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p w14:paraId="4576EC59"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7E55DBD5"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ii) cuando el contrato se haya perfeccionado contraviniendo una prohibición legal o con desviación de poder y iii) cuando se declare la nulidad de los actos administrativos en los que se fundamente la celebración del contrato.</w:t>
      </w:r>
    </w:p>
    <w:p w14:paraId="3EDF81DA" w14:textId="77777777" w:rsidR="0074242A" w:rsidRPr="00401563" w:rsidRDefault="0074242A" w:rsidP="0074242A">
      <w:pPr>
        <w:spacing w:after="0" w:line="240" w:lineRule="auto"/>
        <w:contextualSpacing/>
        <w:jc w:val="both"/>
        <w:rPr>
          <w:rFonts w:ascii="Arial" w:hAnsi="Arial" w:cs="Arial"/>
          <w:b/>
          <w:bCs/>
          <w:sz w:val="20"/>
          <w:szCs w:val="20"/>
        </w:rPr>
      </w:pPr>
    </w:p>
    <w:p w14:paraId="1F854B42" w14:textId="77777777" w:rsidR="0074242A" w:rsidRPr="0074242A" w:rsidRDefault="0074242A" w:rsidP="0074242A">
      <w:pPr>
        <w:spacing w:after="0" w:line="240" w:lineRule="auto"/>
        <w:contextualSpacing/>
        <w:jc w:val="both"/>
        <w:rPr>
          <w:rFonts w:ascii="Arial" w:hAnsi="Arial" w:cs="Arial"/>
          <w:b/>
          <w:bCs/>
        </w:rPr>
      </w:pPr>
      <w:r w:rsidRPr="0074242A">
        <w:rPr>
          <w:rFonts w:ascii="Arial" w:hAnsi="Arial" w:cs="Arial"/>
          <w:b/>
          <w:bCs/>
        </w:rPr>
        <w:t xml:space="preserve">IMPOSICIÓN DE MULTAS – Concepto </w:t>
      </w:r>
    </w:p>
    <w:p w14:paraId="57A4EC41" w14:textId="77777777" w:rsidR="0074242A" w:rsidRPr="00401563" w:rsidRDefault="0074242A" w:rsidP="0074242A">
      <w:pPr>
        <w:spacing w:after="0" w:line="240" w:lineRule="auto"/>
        <w:contextualSpacing/>
        <w:jc w:val="both"/>
        <w:rPr>
          <w:rFonts w:ascii="Arial" w:hAnsi="Arial" w:cs="Arial"/>
          <w:sz w:val="20"/>
          <w:szCs w:val="20"/>
        </w:rPr>
      </w:pPr>
    </w:p>
    <w:p w14:paraId="6D086C2D"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lastRenderedPageBreak/>
        <w:t>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772AF022"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454B36DF"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w:t>
      </w:r>
    </w:p>
    <w:p w14:paraId="7184DFDA"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118C9C0B"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 en relación con las diferencias entre las multas y la cláusula penal, esto es: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5A4B108F"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0CC7317E" w14:textId="77777777" w:rsidR="0074242A" w:rsidRPr="0074242A" w:rsidRDefault="0074242A" w:rsidP="0074242A">
      <w:pPr>
        <w:spacing w:after="0" w:line="240" w:lineRule="auto"/>
        <w:contextualSpacing/>
        <w:jc w:val="both"/>
        <w:rPr>
          <w:rFonts w:ascii="Arial" w:eastAsia="Calibri" w:hAnsi="Arial" w:cs="Arial"/>
          <w:b/>
          <w:bCs/>
          <w:lang w:val="es-ES_tradnl"/>
        </w:rPr>
      </w:pPr>
      <w:r w:rsidRPr="0074242A">
        <w:rPr>
          <w:rFonts w:ascii="Arial" w:eastAsia="Calibri" w:hAnsi="Arial" w:cs="Arial"/>
          <w:b/>
          <w:bCs/>
          <w:lang w:val="es-ES_tradnl"/>
        </w:rPr>
        <w:t xml:space="preserve">PROCEDIMIENTO ADMINISTRATIVO SANCIONATORIO CONTRACTUAL </w:t>
      </w:r>
      <w:r w:rsidRPr="0074242A">
        <w:rPr>
          <w:rFonts w:ascii="Arial" w:hAnsi="Arial" w:cs="Arial"/>
          <w:b/>
          <w:bCs/>
        </w:rPr>
        <w:t>–</w:t>
      </w:r>
      <w:r w:rsidRPr="0074242A">
        <w:rPr>
          <w:rFonts w:ascii="Arial" w:eastAsia="Calibri" w:hAnsi="Arial" w:cs="Arial"/>
          <w:b/>
          <w:bCs/>
          <w:lang w:val="es-ES_tradnl"/>
        </w:rPr>
        <w:t xml:space="preserve"> Artículo 86 de la Ley 1474 de 2011</w:t>
      </w:r>
    </w:p>
    <w:p w14:paraId="50C265B2" w14:textId="77777777" w:rsidR="0074242A" w:rsidRPr="00401563" w:rsidRDefault="0074242A" w:rsidP="0074242A">
      <w:pPr>
        <w:spacing w:after="0" w:line="240" w:lineRule="auto"/>
        <w:contextualSpacing/>
        <w:jc w:val="both"/>
        <w:rPr>
          <w:rFonts w:ascii="Arial" w:hAnsi="Arial" w:cs="Arial"/>
          <w:sz w:val="20"/>
          <w:szCs w:val="20"/>
        </w:rPr>
      </w:pPr>
    </w:p>
    <w:p w14:paraId="4CC43CF9" w14:textId="77777777" w:rsidR="0074242A" w:rsidRPr="00401563" w:rsidRDefault="0074242A" w:rsidP="0074242A">
      <w:pPr>
        <w:spacing w:after="0" w:line="240" w:lineRule="auto"/>
        <w:contextualSpacing/>
        <w:jc w:val="both"/>
        <w:rPr>
          <w:rFonts w:ascii="Arial" w:hAnsi="Arial" w:cs="Arial"/>
          <w:iCs/>
          <w:sz w:val="20"/>
          <w:szCs w:val="20"/>
          <w:lang w:val="es-ES_tradnl"/>
        </w:rPr>
      </w:pPr>
      <w:r w:rsidRPr="00401563">
        <w:rPr>
          <w:rFonts w:ascii="Arial" w:hAnsi="Arial" w:cs="Arial"/>
          <w:iCs/>
          <w:sz w:val="20"/>
          <w:szCs w:val="20"/>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1F63F819" w14:textId="77777777" w:rsidR="0074242A" w:rsidRPr="00401563" w:rsidRDefault="0074242A" w:rsidP="0074242A">
      <w:pPr>
        <w:spacing w:after="0" w:line="240" w:lineRule="auto"/>
        <w:contextualSpacing/>
        <w:jc w:val="both"/>
        <w:rPr>
          <w:rFonts w:ascii="Arial" w:hAnsi="Arial" w:cs="Arial"/>
          <w:iCs/>
          <w:sz w:val="20"/>
          <w:szCs w:val="20"/>
          <w:lang w:val="es-ES_tradnl"/>
        </w:rPr>
      </w:pPr>
    </w:p>
    <w:p w14:paraId="5931902D" w14:textId="77777777" w:rsidR="0074242A" w:rsidRPr="00401563" w:rsidRDefault="0074242A" w:rsidP="0074242A">
      <w:pPr>
        <w:spacing w:after="0" w:line="240" w:lineRule="auto"/>
        <w:contextualSpacing/>
        <w:jc w:val="both"/>
        <w:rPr>
          <w:rFonts w:ascii="Arial" w:hAnsi="Arial" w:cs="Arial"/>
          <w:iCs/>
          <w:sz w:val="20"/>
          <w:szCs w:val="20"/>
        </w:rPr>
      </w:pPr>
      <w:r w:rsidRPr="00401563">
        <w:rPr>
          <w:rFonts w:ascii="Arial" w:hAnsi="Arial" w:cs="Arial"/>
          <w:iCs/>
          <w:sz w:val="20"/>
          <w:szCs w:val="20"/>
          <w:lang w:val="es-ES_tradnl"/>
        </w:rPr>
        <w:t xml:space="preserve">De conformidad con lo anterior, el artículo 86 de la Ley 1474 de 2011 establece las etapas del procedimiento que se deben seguir, las cuales se sintetizan, de forma esquemática, así: </w:t>
      </w:r>
      <w:r w:rsidRPr="00401563">
        <w:rPr>
          <w:rFonts w:ascii="Arial" w:hAnsi="Arial" w:cs="Arial"/>
          <w:iCs/>
          <w:sz w:val="20"/>
          <w:szCs w:val="20"/>
        </w:rPr>
        <w:t xml:space="preserve">i) </w:t>
      </w:r>
      <w:r w:rsidRPr="00401563">
        <w:rPr>
          <w:rFonts w:ascii="Arial" w:hAnsi="Arial" w:cs="Arial"/>
          <w:i/>
          <w:sz w:val="20"/>
          <w:szCs w:val="20"/>
        </w:rPr>
        <w:t>c</w:t>
      </w:r>
      <w:r w:rsidRPr="00401563">
        <w:rPr>
          <w:rFonts w:ascii="Arial" w:hAnsi="Arial" w:cs="Arial"/>
          <w:i/>
          <w:iCs/>
          <w:sz w:val="20"/>
          <w:szCs w:val="20"/>
        </w:rPr>
        <w:t>itación a audiencia</w:t>
      </w:r>
      <w:r w:rsidRPr="00401563">
        <w:rPr>
          <w:rFonts w:ascii="Arial" w:hAnsi="Arial" w:cs="Arial"/>
          <w:iCs/>
          <w:sz w:val="20"/>
          <w:szCs w:val="20"/>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ii) </w:t>
      </w:r>
      <w:r w:rsidRPr="00401563">
        <w:rPr>
          <w:rFonts w:ascii="Arial" w:hAnsi="Arial" w:cs="Arial"/>
          <w:i/>
          <w:iCs/>
          <w:sz w:val="20"/>
          <w:szCs w:val="20"/>
        </w:rPr>
        <w:t>Audiencia</w:t>
      </w:r>
      <w:r w:rsidRPr="00401563">
        <w:rPr>
          <w:rFonts w:ascii="Arial" w:hAnsi="Arial" w:cs="Arial"/>
          <w:iCs/>
          <w:sz w:val="20"/>
          <w:szCs w:val="20"/>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401563">
        <w:rPr>
          <w:rFonts w:ascii="Arial" w:hAnsi="Arial" w:cs="Arial"/>
          <w:i/>
          <w:iCs/>
          <w:sz w:val="20"/>
          <w:szCs w:val="20"/>
        </w:rPr>
        <w:t>Decisión</w:t>
      </w:r>
      <w:r w:rsidRPr="00401563">
        <w:rPr>
          <w:rFonts w:ascii="Arial" w:hAnsi="Arial" w:cs="Arial"/>
          <w:iCs/>
          <w:sz w:val="20"/>
          <w:szCs w:val="20"/>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5D74F7EC" w14:textId="77777777" w:rsidR="0074242A" w:rsidRPr="00401563" w:rsidRDefault="0074242A" w:rsidP="0074242A">
      <w:pPr>
        <w:spacing w:after="0" w:line="240" w:lineRule="auto"/>
        <w:contextualSpacing/>
        <w:jc w:val="both"/>
        <w:rPr>
          <w:rFonts w:ascii="Arial" w:hAnsi="Arial" w:cs="Arial"/>
          <w:iCs/>
          <w:sz w:val="20"/>
          <w:szCs w:val="20"/>
        </w:rPr>
      </w:pPr>
    </w:p>
    <w:p w14:paraId="6B57EFF3" w14:textId="77777777" w:rsidR="0074242A" w:rsidRPr="0074242A" w:rsidRDefault="0074242A" w:rsidP="0074242A">
      <w:pPr>
        <w:spacing w:after="0" w:line="240" w:lineRule="auto"/>
        <w:contextualSpacing/>
        <w:jc w:val="both"/>
        <w:rPr>
          <w:rFonts w:ascii="Arial" w:eastAsia="Calibri" w:hAnsi="Arial" w:cs="Arial"/>
          <w:b/>
          <w:lang w:val="es-ES_tradnl"/>
        </w:rPr>
      </w:pPr>
      <w:r w:rsidRPr="0074242A">
        <w:rPr>
          <w:rFonts w:ascii="Arial" w:eastAsia="Calibri" w:hAnsi="Arial" w:cs="Arial"/>
          <w:b/>
          <w:lang w:val="es-ES_tradnl"/>
        </w:rPr>
        <w:lastRenderedPageBreak/>
        <w:t xml:space="preserve">MODALIDAD DE SELECCIÓN DE MÍNIMA CUANTÍA </w:t>
      </w:r>
      <w:r w:rsidRPr="0074242A">
        <w:rPr>
          <w:rFonts w:ascii="Arial" w:hAnsi="Arial" w:cs="Arial"/>
          <w:b/>
          <w:bCs/>
        </w:rPr>
        <w:t>–</w:t>
      </w:r>
      <w:r w:rsidRPr="0074242A">
        <w:rPr>
          <w:rFonts w:ascii="Arial" w:eastAsia="Calibri" w:hAnsi="Arial" w:cs="Arial"/>
          <w:b/>
          <w:lang w:val="es-ES_tradnl"/>
        </w:rPr>
        <w:t xml:space="preserve"> Características del procedimiento de selección</w:t>
      </w:r>
    </w:p>
    <w:p w14:paraId="279D279A" w14:textId="77777777" w:rsidR="0074242A" w:rsidRPr="00401563" w:rsidRDefault="0074242A" w:rsidP="0074242A">
      <w:pPr>
        <w:spacing w:after="0" w:line="240" w:lineRule="auto"/>
        <w:contextualSpacing/>
        <w:jc w:val="both"/>
        <w:rPr>
          <w:rFonts w:ascii="Arial" w:eastAsia="Calibri" w:hAnsi="Arial" w:cs="Arial"/>
          <w:b/>
          <w:sz w:val="20"/>
          <w:szCs w:val="20"/>
          <w:lang w:val="es-ES_tradnl"/>
        </w:rPr>
      </w:pPr>
    </w:p>
    <w:p w14:paraId="53050F31" w14:textId="77777777" w:rsidR="0074242A" w:rsidRPr="00401563" w:rsidRDefault="0074242A" w:rsidP="0074242A">
      <w:pPr>
        <w:spacing w:after="0" w:line="240" w:lineRule="auto"/>
        <w:contextualSpacing/>
        <w:jc w:val="both"/>
        <w:rPr>
          <w:rFonts w:ascii="Arial" w:eastAsia="Calibri" w:hAnsi="Arial" w:cs="Arial"/>
          <w:sz w:val="20"/>
          <w:szCs w:val="20"/>
          <w:lang w:val="es-ES_tradnl"/>
        </w:rPr>
      </w:pPr>
      <w:r w:rsidRPr="00401563">
        <w:rPr>
          <w:rFonts w:ascii="Arial" w:eastAsia="Calibri" w:hAnsi="Arial" w:cs="Arial"/>
          <w:sz w:val="20"/>
          <w:szCs w:val="20"/>
          <w:lang w:val="es-ES_tradnl"/>
        </w:rPr>
        <w:t xml:space="preserve">La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 – que adicionó el numeral 5º al artículo 2 de la Ley 1150 de 2007–, estableciendo que el factor determinante para llevar a cabo tal procedimiento es la cuantía –calculada como presupuesto oficial a partir del estudio del sector–, «independientemente de su objeto». </w:t>
      </w:r>
    </w:p>
    <w:p w14:paraId="0424B940" w14:textId="77777777" w:rsidR="0074242A" w:rsidRPr="00401563" w:rsidRDefault="0074242A" w:rsidP="0074242A">
      <w:pPr>
        <w:spacing w:after="0" w:line="240" w:lineRule="auto"/>
        <w:contextualSpacing/>
        <w:jc w:val="both"/>
        <w:rPr>
          <w:rFonts w:ascii="Arial" w:eastAsia="Calibri" w:hAnsi="Arial" w:cs="Arial"/>
          <w:b/>
          <w:sz w:val="20"/>
          <w:szCs w:val="20"/>
          <w:lang w:val="es-ES_tradnl"/>
        </w:rPr>
      </w:pPr>
    </w:p>
    <w:p w14:paraId="0FE375B0" w14:textId="77777777" w:rsidR="0074242A" w:rsidRPr="0074242A" w:rsidRDefault="0074242A" w:rsidP="0074242A">
      <w:pPr>
        <w:spacing w:after="0" w:line="240" w:lineRule="auto"/>
        <w:contextualSpacing/>
        <w:jc w:val="both"/>
        <w:rPr>
          <w:rFonts w:ascii="Arial" w:eastAsia="Calibri" w:hAnsi="Arial" w:cs="Arial"/>
          <w:b/>
          <w:lang w:val="es-ES_tradnl"/>
        </w:rPr>
      </w:pPr>
      <w:r w:rsidRPr="0074242A">
        <w:rPr>
          <w:rFonts w:ascii="Arial" w:eastAsia="Calibri" w:hAnsi="Arial" w:cs="Arial"/>
          <w:b/>
          <w:lang w:val="es-ES_tradnl"/>
        </w:rPr>
        <w:t>MODALIDAD DE SELECCIÓN DE MÍNIMA CUANTÍA – Ley 2069 de 2020</w:t>
      </w:r>
    </w:p>
    <w:p w14:paraId="2426A593" w14:textId="77777777" w:rsidR="0074242A" w:rsidRPr="00401563" w:rsidRDefault="0074242A" w:rsidP="0074242A">
      <w:pPr>
        <w:spacing w:after="0" w:line="240" w:lineRule="auto"/>
        <w:contextualSpacing/>
        <w:jc w:val="both"/>
        <w:rPr>
          <w:rFonts w:ascii="Arial" w:eastAsia="Calibri" w:hAnsi="Arial" w:cs="Arial"/>
          <w:b/>
          <w:sz w:val="20"/>
          <w:szCs w:val="20"/>
          <w:lang w:val="es-ES_tradnl"/>
        </w:rPr>
      </w:pPr>
    </w:p>
    <w:p w14:paraId="79AABA90" w14:textId="77777777" w:rsidR="0074242A" w:rsidRPr="00401563" w:rsidRDefault="0074242A" w:rsidP="0074242A">
      <w:pPr>
        <w:spacing w:after="0" w:line="240" w:lineRule="auto"/>
        <w:contextualSpacing/>
        <w:jc w:val="both"/>
        <w:rPr>
          <w:rFonts w:ascii="Arial" w:eastAsia="Calibri" w:hAnsi="Arial" w:cs="Arial"/>
          <w:sz w:val="20"/>
          <w:szCs w:val="20"/>
          <w:lang w:val="es-ES_tradnl"/>
        </w:rPr>
      </w:pPr>
      <w:r w:rsidRPr="00401563">
        <w:rPr>
          <w:rFonts w:ascii="Arial" w:eastAsia="Calibri" w:hAnsi="Arial" w:cs="Arial"/>
          <w:sz w:val="20"/>
          <w:szCs w:val="20"/>
          <w:lang w:val="es-ES_tradnl"/>
        </w:rPr>
        <w:t xml:space="preserve">[…] el artículo 30 de la Ley 2069 de 2020, «Por medio de la cual se impulsa el emprendimiento en Colombia» modificó el numeral 5 del artículo 2 de la Ley 1150 de 2007. En esencia, esta disposición conserva a grandes rasgos el procedimiento previsto en el derogado artículo 94 de la Ley 1474 de 2011, definiendo aspectos tales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w:t>
      </w:r>
    </w:p>
    <w:p w14:paraId="25C40F10" w14:textId="77777777" w:rsidR="0074242A" w:rsidRPr="00401563" w:rsidRDefault="0074242A" w:rsidP="0074242A">
      <w:pPr>
        <w:pStyle w:val="Textoindependiente"/>
        <w:ind w:left="0"/>
        <w:contextualSpacing/>
        <w:jc w:val="both"/>
        <w:rPr>
          <w:rFonts w:ascii="Arial" w:eastAsia="Calibri" w:hAnsi="Arial" w:cs="Arial"/>
          <w:sz w:val="20"/>
          <w:szCs w:val="20"/>
          <w:lang w:val="es-ES_tradnl"/>
        </w:rPr>
      </w:pPr>
    </w:p>
    <w:p w14:paraId="6D82B040" w14:textId="77777777" w:rsidR="0074242A" w:rsidRPr="00401563" w:rsidRDefault="0074242A" w:rsidP="0074242A">
      <w:pPr>
        <w:pStyle w:val="Textoindependiente"/>
        <w:ind w:left="0"/>
        <w:contextualSpacing/>
        <w:jc w:val="both"/>
        <w:rPr>
          <w:rFonts w:ascii="Arial" w:eastAsia="Calibri" w:hAnsi="Arial" w:cs="Arial"/>
          <w:sz w:val="20"/>
          <w:szCs w:val="20"/>
          <w:lang w:val="es-ES_tradnl"/>
        </w:rPr>
      </w:pPr>
      <w:r w:rsidRPr="00401563">
        <w:rPr>
          <w:rFonts w:ascii="Arial" w:eastAsia="Calibri" w:hAnsi="Arial" w:cs="Arial"/>
          <w:sz w:val="20"/>
          <w:szCs w:val="20"/>
          <w:lang w:val="es-ES_tradnl"/>
        </w:rPr>
        <w:t xml:space="preserve">En este sentido, el artículo 30 de la Ley 2069 de 2020, </w:t>
      </w:r>
      <w:r w:rsidRPr="00401563">
        <w:rPr>
          <w:rFonts w:ascii="Arial" w:hAnsi="Arial" w:cs="Arial"/>
          <w:sz w:val="20"/>
          <w:szCs w:val="20"/>
        </w:rPr>
        <w:t>«Por</w:t>
      </w:r>
      <w:r w:rsidRPr="00401563">
        <w:rPr>
          <w:rFonts w:ascii="Arial" w:hAnsi="Arial" w:cs="Arial"/>
          <w:spacing w:val="-3"/>
          <w:sz w:val="20"/>
          <w:szCs w:val="20"/>
        </w:rPr>
        <w:t xml:space="preserve"> </w:t>
      </w:r>
      <w:r w:rsidRPr="00401563">
        <w:rPr>
          <w:rFonts w:ascii="Arial" w:hAnsi="Arial" w:cs="Arial"/>
          <w:sz w:val="20"/>
          <w:szCs w:val="20"/>
        </w:rPr>
        <w:t>medio</w:t>
      </w:r>
      <w:r w:rsidRPr="00401563">
        <w:rPr>
          <w:rFonts w:ascii="Arial" w:hAnsi="Arial" w:cs="Arial"/>
          <w:spacing w:val="-3"/>
          <w:sz w:val="20"/>
          <w:szCs w:val="20"/>
        </w:rPr>
        <w:t xml:space="preserve"> </w:t>
      </w:r>
      <w:r w:rsidRPr="00401563">
        <w:rPr>
          <w:rFonts w:ascii="Arial" w:hAnsi="Arial" w:cs="Arial"/>
          <w:sz w:val="20"/>
          <w:szCs w:val="20"/>
        </w:rPr>
        <w:t>de</w:t>
      </w:r>
      <w:r w:rsidRPr="00401563">
        <w:rPr>
          <w:rFonts w:ascii="Arial" w:hAnsi="Arial" w:cs="Arial"/>
          <w:spacing w:val="-4"/>
          <w:sz w:val="20"/>
          <w:szCs w:val="20"/>
        </w:rPr>
        <w:t xml:space="preserve"> </w:t>
      </w:r>
      <w:r w:rsidRPr="00401563">
        <w:rPr>
          <w:rFonts w:ascii="Arial" w:hAnsi="Arial" w:cs="Arial"/>
          <w:sz w:val="20"/>
          <w:szCs w:val="20"/>
        </w:rPr>
        <w:t>la</w:t>
      </w:r>
      <w:r w:rsidRPr="00401563">
        <w:rPr>
          <w:rFonts w:ascii="Arial" w:hAnsi="Arial" w:cs="Arial"/>
          <w:spacing w:val="-3"/>
          <w:sz w:val="20"/>
          <w:szCs w:val="20"/>
        </w:rPr>
        <w:t xml:space="preserve"> </w:t>
      </w:r>
      <w:r w:rsidRPr="00401563">
        <w:rPr>
          <w:rFonts w:ascii="Arial" w:hAnsi="Arial" w:cs="Arial"/>
          <w:sz w:val="20"/>
          <w:szCs w:val="20"/>
        </w:rPr>
        <w:t>cual</w:t>
      </w:r>
      <w:r w:rsidRPr="00401563">
        <w:rPr>
          <w:rFonts w:ascii="Arial" w:hAnsi="Arial" w:cs="Arial"/>
          <w:spacing w:val="-3"/>
          <w:sz w:val="20"/>
          <w:szCs w:val="20"/>
        </w:rPr>
        <w:t xml:space="preserve"> </w:t>
      </w:r>
      <w:r w:rsidRPr="00401563">
        <w:rPr>
          <w:rFonts w:ascii="Arial" w:hAnsi="Arial" w:cs="Arial"/>
          <w:sz w:val="20"/>
          <w:szCs w:val="20"/>
        </w:rPr>
        <w:t>se</w:t>
      </w:r>
      <w:r w:rsidRPr="00401563">
        <w:rPr>
          <w:rFonts w:ascii="Arial" w:hAnsi="Arial" w:cs="Arial"/>
          <w:spacing w:val="-3"/>
          <w:sz w:val="20"/>
          <w:szCs w:val="20"/>
        </w:rPr>
        <w:t xml:space="preserve"> </w:t>
      </w:r>
      <w:r w:rsidRPr="00401563">
        <w:rPr>
          <w:rFonts w:ascii="Arial" w:hAnsi="Arial" w:cs="Arial"/>
          <w:sz w:val="20"/>
          <w:szCs w:val="20"/>
        </w:rPr>
        <w:t xml:space="preserve">impulsa el </w:t>
      </w:r>
      <w:r w:rsidRPr="00401563">
        <w:rPr>
          <w:rFonts w:ascii="Arial" w:hAnsi="Arial" w:cs="Arial"/>
          <w:spacing w:val="-59"/>
          <w:sz w:val="20"/>
          <w:szCs w:val="20"/>
        </w:rPr>
        <w:t xml:space="preserve">  </w:t>
      </w:r>
      <w:r w:rsidRPr="00401563">
        <w:rPr>
          <w:rFonts w:ascii="Arial" w:hAnsi="Arial" w:cs="Arial"/>
          <w:sz w:val="20"/>
          <w:szCs w:val="20"/>
        </w:rPr>
        <w:t>emprendimiento en Colombia»,</w:t>
      </w:r>
      <w:r w:rsidRPr="00401563">
        <w:rPr>
          <w:rFonts w:ascii="Arial" w:eastAsia="Calibri" w:hAnsi="Arial" w:cs="Arial"/>
          <w:sz w:val="20"/>
          <w:szCs w:val="20"/>
          <w:lang w:val="es-ES_tradnl"/>
        </w:rPr>
        <w:t xml:space="preserve"> modificó el numeral 5 del artículo 2 de la Ley 1150 de 2007. En esencia, esta disposición conserva a grandes rasgos el procedimiento previsto en el derogado artículo 94 de la Ley 1474 de 2011, definiendo aspectos tales como</w:t>
      </w:r>
      <w:r w:rsidRPr="00401563">
        <w:rPr>
          <w:rFonts w:ascii="Arial" w:hAnsi="Arial" w:cs="Arial"/>
          <w:sz w:val="20"/>
          <w:szCs w:val="20"/>
        </w:rPr>
        <w:t>: i) el término mínimo para publicar la</w:t>
      </w:r>
      <w:r w:rsidRPr="00401563">
        <w:rPr>
          <w:rFonts w:ascii="Arial" w:hAnsi="Arial" w:cs="Arial"/>
          <w:spacing w:val="1"/>
          <w:sz w:val="20"/>
          <w:szCs w:val="20"/>
        </w:rPr>
        <w:t xml:space="preserve"> </w:t>
      </w:r>
      <w:r w:rsidRPr="00401563">
        <w:rPr>
          <w:rFonts w:ascii="Arial" w:hAnsi="Arial" w:cs="Arial"/>
          <w:sz w:val="20"/>
          <w:szCs w:val="20"/>
        </w:rPr>
        <w:t>invitación,</w:t>
      </w:r>
      <w:r w:rsidRPr="00401563">
        <w:rPr>
          <w:rFonts w:ascii="Arial" w:hAnsi="Arial" w:cs="Arial"/>
          <w:spacing w:val="-7"/>
          <w:sz w:val="20"/>
          <w:szCs w:val="20"/>
        </w:rPr>
        <w:t xml:space="preserve"> </w:t>
      </w:r>
      <w:r w:rsidRPr="00401563">
        <w:rPr>
          <w:rFonts w:ascii="Arial" w:hAnsi="Arial" w:cs="Arial"/>
          <w:sz w:val="20"/>
          <w:szCs w:val="20"/>
        </w:rPr>
        <w:t>ii)</w:t>
      </w:r>
      <w:r w:rsidRPr="00401563">
        <w:rPr>
          <w:rFonts w:ascii="Arial" w:hAnsi="Arial" w:cs="Arial"/>
          <w:spacing w:val="-6"/>
          <w:sz w:val="20"/>
          <w:szCs w:val="20"/>
        </w:rPr>
        <w:t xml:space="preserve"> </w:t>
      </w:r>
      <w:r w:rsidRPr="00401563">
        <w:rPr>
          <w:rFonts w:ascii="Arial" w:hAnsi="Arial" w:cs="Arial"/>
          <w:sz w:val="20"/>
          <w:szCs w:val="20"/>
        </w:rPr>
        <w:t>el</w:t>
      </w:r>
      <w:r w:rsidRPr="00401563">
        <w:rPr>
          <w:rFonts w:ascii="Arial" w:hAnsi="Arial" w:cs="Arial"/>
          <w:spacing w:val="-6"/>
          <w:sz w:val="20"/>
          <w:szCs w:val="20"/>
        </w:rPr>
        <w:t xml:space="preserve"> </w:t>
      </w:r>
      <w:r w:rsidRPr="00401563">
        <w:rPr>
          <w:rFonts w:ascii="Arial" w:hAnsi="Arial" w:cs="Arial"/>
          <w:sz w:val="20"/>
          <w:szCs w:val="20"/>
        </w:rPr>
        <w:t>plazo</w:t>
      </w:r>
      <w:r w:rsidRPr="00401563">
        <w:rPr>
          <w:rFonts w:ascii="Arial" w:hAnsi="Arial" w:cs="Arial"/>
          <w:spacing w:val="-6"/>
          <w:sz w:val="20"/>
          <w:szCs w:val="20"/>
        </w:rPr>
        <w:t xml:space="preserve"> </w:t>
      </w:r>
      <w:r w:rsidRPr="00401563">
        <w:rPr>
          <w:rFonts w:ascii="Arial" w:hAnsi="Arial" w:cs="Arial"/>
          <w:sz w:val="20"/>
          <w:szCs w:val="20"/>
        </w:rPr>
        <w:t>mínimo</w:t>
      </w:r>
      <w:r w:rsidRPr="00401563">
        <w:rPr>
          <w:rFonts w:ascii="Arial" w:hAnsi="Arial" w:cs="Arial"/>
          <w:spacing w:val="-6"/>
          <w:sz w:val="20"/>
          <w:szCs w:val="20"/>
        </w:rPr>
        <w:t xml:space="preserve"> </w:t>
      </w:r>
      <w:r w:rsidRPr="00401563">
        <w:rPr>
          <w:rFonts w:ascii="Arial" w:hAnsi="Arial" w:cs="Arial"/>
          <w:sz w:val="20"/>
          <w:szCs w:val="20"/>
        </w:rPr>
        <w:t>de</w:t>
      </w:r>
      <w:r w:rsidRPr="00401563">
        <w:rPr>
          <w:rFonts w:ascii="Arial" w:hAnsi="Arial" w:cs="Arial"/>
          <w:spacing w:val="-6"/>
          <w:sz w:val="20"/>
          <w:szCs w:val="20"/>
        </w:rPr>
        <w:t xml:space="preserve"> </w:t>
      </w:r>
      <w:r w:rsidRPr="00401563">
        <w:rPr>
          <w:rFonts w:ascii="Arial" w:hAnsi="Arial" w:cs="Arial"/>
          <w:sz w:val="20"/>
          <w:szCs w:val="20"/>
        </w:rPr>
        <w:t>recepción</w:t>
      </w:r>
      <w:r w:rsidRPr="00401563">
        <w:rPr>
          <w:rFonts w:ascii="Arial" w:hAnsi="Arial" w:cs="Arial"/>
          <w:spacing w:val="-6"/>
          <w:sz w:val="20"/>
          <w:szCs w:val="20"/>
        </w:rPr>
        <w:t xml:space="preserve"> </w:t>
      </w:r>
      <w:r w:rsidRPr="00401563">
        <w:rPr>
          <w:rFonts w:ascii="Arial" w:hAnsi="Arial" w:cs="Arial"/>
          <w:sz w:val="20"/>
          <w:szCs w:val="20"/>
        </w:rPr>
        <w:t>de</w:t>
      </w:r>
      <w:r w:rsidRPr="00401563">
        <w:rPr>
          <w:rFonts w:ascii="Arial" w:hAnsi="Arial" w:cs="Arial"/>
          <w:spacing w:val="-6"/>
          <w:sz w:val="20"/>
          <w:szCs w:val="20"/>
        </w:rPr>
        <w:t xml:space="preserve"> </w:t>
      </w:r>
      <w:r w:rsidRPr="00401563">
        <w:rPr>
          <w:rFonts w:ascii="Arial" w:hAnsi="Arial" w:cs="Arial"/>
          <w:sz w:val="20"/>
          <w:szCs w:val="20"/>
        </w:rPr>
        <w:t>las</w:t>
      </w:r>
      <w:r w:rsidRPr="00401563">
        <w:rPr>
          <w:rFonts w:ascii="Arial" w:hAnsi="Arial" w:cs="Arial"/>
          <w:spacing w:val="-6"/>
          <w:sz w:val="20"/>
          <w:szCs w:val="20"/>
        </w:rPr>
        <w:t xml:space="preserve"> </w:t>
      </w:r>
      <w:r w:rsidRPr="00401563">
        <w:rPr>
          <w:rFonts w:ascii="Arial" w:hAnsi="Arial" w:cs="Arial"/>
          <w:sz w:val="20"/>
          <w:szCs w:val="20"/>
        </w:rPr>
        <w:t>ofertas,</w:t>
      </w:r>
      <w:r w:rsidRPr="00401563">
        <w:rPr>
          <w:rFonts w:ascii="Arial" w:hAnsi="Arial" w:cs="Arial"/>
          <w:spacing w:val="-6"/>
          <w:sz w:val="20"/>
          <w:szCs w:val="20"/>
        </w:rPr>
        <w:t xml:space="preserve"> </w:t>
      </w:r>
      <w:r w:rsidRPr="00401563">
        <w:rPr>
          <w:rFonts w:ascii="Arial" w:hAnsi="Arial" w:cs="Arial"/>
          <w:sz w:val="20"/>
          <w:szCs w:val="20"/>
        </w:rPr>
        <w:t>iii)</w:t>
      </w:r>
      <w:r w:rsidRPr="00401563">
        <w:rPr>
          <w:rFonts w:ascii="Arial" w:hAnsi="Arial" w:cs="Arial"/>
          <w:spacing w:val="-6"/>
          <w:sz w:val="20"/>
          <w:szCs w:val="20"/>
        </w:rPr>
        <w:t xml:space="preserve"> </w:t>
      </w:r>
      <w:r w:rsidRPr="00401563">
        <w:rPr>
          <w:rFonts w:ascii="Arial" w:hAnsi="Arial" w:cs="Arial"/>
          <w:sz w:val="20"/>
          <w:szCs w:val="20"/>
        </w:rPr>
        <w:t>el</w:t>
      </w:r>
      <w:r w:rsidRPr="00401563">
        <w:rPr>
          <w:rFonts w:ascii="Arial" w:hAnsi="Arial" w:cs="Arial"/>
          <w:spacing w:val="-6"/>
          <w:sz w:val="20"/>
          <w:szCs w:val="20"/>
        </w:rPr>
        <w:t xml:space="preserve"> </w:t>
      </w:r>
      <w:r w:rsidRPr="00401563">
        <w:rPr>
          <w:rFonts w:ascii="Arial" w:hAnsi="Arial" w:cs="Arial"/>
          <w:sz w:val="20"/>
          <w:szCs w:val="20"/>
        </w:rPr>
        <w:t>factor</w:t>
      </w:r>
      <w:r w:rsidRPr="00401563">
        <w:rPr>
          <w:rFonts w:ascii="Arial" w:hAnsi="Arial" w:cs="Arial"/>
          <w:spacing w:val="-5"/>
          <w:sz w:val="20"/>
          <w:szCs w:val="20"/>
        </w:rPr>
        <w:t xml:space="preserve"> </w:t>
      </w:r>
      <w:r w:rsidRPr="00401563">
        <w:rPr>
          <w:rFonts w:ascii="Arial" w:hAnsi="Arial" w:cs="Arial"/>
          <w:sz w:val="20"/>
          <w:szCs w:val="20"/>
        </w:rPr>
        <w:t>de</w:t>
      </w:r>
      <w:r w:rsidRPr="00401563">
        <w:rPr>
          <w:rFonts w:ascii="Arial" w:hAnsi="Arial" w:cs="Arial"/>
          <w:spacing w:val="-6"/>
          <w:sz w:val="20"/>
          <w:szCs w:val="20"/>
        </w:rPr>
        <w:t xml:space="preserve"> </w:t>
      </w:r>
      <w:r w:rsidRPr="00401563">
        <w:rPr>
          <w:rFonts w:ascii="Arial" w:hAnsi="Arial" w:cs="Arial"/>
          <w:sz w:val="20"/>
          <w:szCs w:val="20"/>
        </w:rPr>
        <w:t>evaluación</w:t>
      </w:r>
      <w:r w:rsidRPr="00401563">
        <w:rPr>
          <w:rFonts w:ascii="Arial" w:hAnsi="Arial" w:cs="Arial"/>
          <w:spacing w:val="-6"/>
          <w:sz w:val="20"/>
          <w:szCs w:val="20"/>
        </w:rPr>
        <w:t xml:space="preserve"> </w:t>
      </w:r>
      <w:r w:rsidRPr="00401563">
        <w:rPr>
          <w:rFonts w:ascii="Arial" w:hAnsi="Arial" w:cs="Arial"/>
          <w:sz w:val="20"/>
          <w:szCs w:val="20"/>
        </w:rPr>
        <w:t>que define</w:t>
      </w:r>
      <w:r w:rsidRPr="00401563">
        <w:rPr>
          <w:rFonts w:ascii="Arial" w:hAnsi="Arial" w:cs="Arial"/>
          <w:spacing w:val="-6"/>
          <w:sz w:val="20"/>
          <w:szCs w:val="20"/>
        </w:rPr>
        <w:t xml:space="preserve"> </w:t>
      </w:r>
      <w:r w:rsidRPr="00401563">
        <w:rPr>
          <w:rFonts w:ascii="Arial" w:hAnsi="Arial" w:cs="Arial"/>
          <w:sz w:val="20"/>
          <w:szCs w:val="20"/>
        </w:rPr>
        <w:t>la</w:t>
      </w:r>
      <w:r w:rsidRPr="00401563">
        <w:rPr>
          <w:rFonts w:ascii="Arial" w:hAnsi="Arial" w:cs="Arial"/>
          <w:spacing w:val="-6"/>
          <w:sz w:val="20"/>
          <w:szCs w:val="20"/>
        </w:rPr>
        <w:t xml:space="preserve"> </w:t>
      </w:r>
      <w:r w:rsidRPr="00401563">
        <w:rPr>
          <w:rFonts w:ascii="Arial" w:hAnsi="Arial" w:cs="Arial"/>
          <w:sz w:val="20"/>
          <w:szCs w:val="20"/>
        </w:rPr>
        <w:t>selección</w:t>
      </w:r>
      <w:r w:rsidRPr="00401563">
        <w:rPr>
          <w:rFonts w:ascii="Arial" w:hAnsi="Arial" w:cs="Arial"/>
          <w:spacing w:val="-6"/>
          <w:sz w:val="20"/>
          <w:szCs w:val="20"/>
        </w:rPr>
        <w:t xml:space="preserve"> </w:t>
      </w:r>
      <w:r w:rsidRPr="00401563">
        <w:rPr>
          <w:rFonts w:ascii="Arial" w:hAnsi="Arial" w:cs="Arial"/>
          <w:sz w:val="20"/>
          <w:szCs w:val="20"/>
        </w:rPr>
        <w:t>del</w:t>
      </w:r>
      <w:r w:rsidRPr="00401563">
        <w:rPr>
          <w:rFonts w:ascii="Arial" w:hAnsi="Arial" w:cs="Arial"/>
          <w:spacing w:val="-5"/>
          <w:sz w:val="20"/>
          <w:szCs w:val="20"/>
        </w:rPr>
        <w:t xml:space="preserve"> </w:t>
      </w:r>
      <w:r w:rsidRPr="00401563">
        <w:rPr>
          <w:rFonts w:ascii="Arial" w:hAnsi="Arial" w:cs="Arial"/>
          <w:sz w:val="20"/>
          <w:szCs w:val="20"/>
        </w:rPr>
        <w:t>proponente</w:t>
      </w:r>
      <w:r w:rsidRPr="00401563">
        <w:rPr>
          <w:rFonts w:ascii="Arial" w:hAnsi="Arial" w:cs="Arial"/>
          <w:spacing w:val="-6"/>
          <w:sz w:val="20"/>
          <w:szCs w:val="20"/>
        </w:rPr>
        <w:t xml:space="preserve"> </w:t>
      </w:r>
      <w:r w:rsidRPr="00401563">
        <w:rPr>
          <w:rFonts w:ascii="Arial" w:hAnsi="Arial" w:cs="Arial"/>
          <w:sz w:val="20"/>
          <w:szCs w:val="20"/>
        </w:rPr>
        <w:t>y</w:t>
      </w:r>
      <w:r w:rsidRPr="00401563">
        <w:rPr>
          <w:rFonts w:ascii="Arial" w:hAnsi="Arial" w:cs="Arial"/>
          <w:spacing w:val="-6"/>
          <w:sz w:val="20"/>
          <w:szCs w:val="20"/>
        </w:rPr>
        <w:t xml:space="preserve"> </w:t>
      </w:r>
      <w:r w:rsidRPr="00401563">
        <w:rPr>
          <w:rFonts w:ascii="Arial" w:hAnsi="Arial" w:cs="Arial"/>
          <w:sz w:val="20"/>
          <w:szCs w:val="20"/>
        </w:rPr>
        <w:t>iv)</w:t>
      </w:r>
      <w:r w:rsidRPr="00401563">
        <w:rPr>
          <w:rFonts w:ascii="Arial" w:hAnsi="Arial" w:cs="Arial"/>
          <w:spacing w:val="-5"/>
          <w:sz w:val="20"/>
          <w:szCs w:val="20"/>
        </w:rPr>
        <w:t xml:space="preserve"> </w:t>
      </w:r>
      <w:r w:rsidRPr="00401563">
        <w:rPr>
          <w:rFonts w:ascii="Arial" w:hAnsi="Arial" w:cs="Arial"/>
          <w:sz w:val="20"/>
          <w:szCs w:val="20"/>
        </w:rPr>
        <w:t>el</w:t>
      </w:r>
      <w:r w:rsidRPr="00401563">
        <w:rPr>
          <w:rFonts w:ascii="Arial" w:hAnsi="Arial" w:cs="Arial"/>
          <w:spacing w:val="-6"/>
          <w:sz w:val="20"/>
          <w:szCs w:val="20"/>
        </w:rPr>
        <w:t xml:space="preserve"> </w:t>
      </w:r>
      <w:r w:rsidRPr="00401563">
        <w:rPr>
          <w:rFonts w:ascii="Arial" w:hAnsi="Arial" w:cs="Arial"/>
          <w:sz w:val="20"/>
          <w:szCs w:val="20"/>
        </w:rPr>
        <w:t>perfeccionamiento</w:t>
      </w:r>
      <w:r w:rsidRPr="00401563">
        <w:rPr>
          <w:rFonts w:ascii="Arial" w:hAnsi="Arial" w:cs="Arial"/>
          <w:spacing w:val="-6"/>
          <w:sz w:val="20"/>
          <w:szCs w:val="20"/>
        </w:rPr>
        <w:t xml:space="preserve"> </w:t>
      </w:r>
      <w:r w:rsidRPr="00401563">
        <w:rPr>
          <w:rFonts w:ascii="Arial" w:hAnsi="Arial" w:cs="Arial"/>
          <w:sz w:val="20"/>
          <w:szCs w:val="20"/>
        </w:rPr>
        <w:t>del</w:t>
      </w:r>
      <w:r w:rsidRPr="00401563">
        <w:rPr>
          <w:rFonts w:ascii="Arial" w:hAnsi="Arial" w:cs="Arial"/>
          <w:spacing w:val="-6"/>
          <w:sz w:val="20"/>
          <w:szCs w:val="20"/>
        </w:rPr>
        <w:t xml:space="preserve"> </w:t>
      </w:r>
      <w:r w:rsidRPr="00401563">
        <w:rPr>
          <w:rFonts w:ascii="Arial" w:hAnsi="Arial" w:cs="Arial"/>
          <w:sz w:val="20"/>
          <w:szCs w:val="20"/>
        </w:rPr>
        <w:t>contrato. De tal manera,</w:t>
      </w:r>
      <w:r w:rsidRPr="00401563">
        <w:rPr>
          <w:rFonts w:ascii="Arial" w:hAnsi="Arial" w:cs="Arial"/>
          <w:spacing w:val="-5"/>
          <w:sz w:val="20"/>
          <w:szCs w:val="20"/>
        </w:rPr>
        <w:t xml:space="preserve"> l</w:t>
      </w:r>
      <w:r w:rsidRPr="00401563">
        <w:rPr>
          <w:rFonts w:ascii="Arial" w:hAnsi="Arial" w:cs="Arial"/>
          <w:sz w:val="20"/>
          <w:szCs w:val="20"/>
        </w:rPr>
        <w:t>as</w:t>
      </w:r>
      <w:r w:rsidRPr="00401563">
        <w:rPr>
          <w:rFonts w:ascii="Arial" w:hAnsi="Arial" w:cs="Arial"/>
          <w:spacing w:val="-6"/>
          <w:sz w:val="20"/>
          <w:szCs w:val="20"/>
        </w:rPr>
        <w:t xml:space="preserve"> </w:t>
      </w:r>
      <w:r w:rsidRPr="00401563">
        <w:rPr>
          <w:rFonts w:ascii="Arial" w:hAnsi="Arial" w:cs="Arial"/>
          <w:sz w:val="20"/>
          <w:szCs w:val="20"/>
        </w:rPr>
        <w:t>entidades deban estructurar</w:t>
      </w:r>
      <w:r w:rsidRPr="00401563">
        <w:rPr>
          <w:rFonts w:ascii="Arial" w:hAnsi="Arial" w:cs="Arial"/>
          <w:spacing w:val="9"/>
          <w:sz w:val="20"/>
          <w:szCs w:val="20"/>
        </w:rPr>
        <w:t xml:space="preserve"> </w:t>
      </w:r>
      <w:r w:rsidRPr="00401563">
        <w:rPr>
          <w:rFonts w:ascii="Arial" w:hAnsi="Arial" w:cs="Arial"/>
          <w:sz w:val="20"/>
          <w:szCs w:val="20"/>
        </w:rPr>
        <w:t>sus</w:t>
      </w:r>
      <w:r w:rsidRPr="00401563">
        <w:rPr>
          <w:rFonts w:ascii="Arial" w:hAnsi="Arial" w:cs="Arial"/>
          <w:spacing w:val="9"/>
          <w:sz w:val="20"/>
          <w:szCs w:val="20"/>
        </w:rPr>
        <w:t xml:space="preserve"> </w:t>
      </w:r>
      <w:r w:rsidRPr="00401563">
        <w:rPr>
          <w:rFonts w:ascii="Arial" w:hAnsi="Arial" w:cs="Arial"/>
          <w:sz w:val="20"/>
          <w:szCs w:val="20"/>
        </w:rPr>
        <w:t>procedimientos</w:t>
      </w:r>
      <w:r w:rsidRPr="00401563">
        <w:rPr>
          <w:rFonts w:ascii="Arial" w:hAnsi="Arial" w:cs="Arial"/>
          <w:spacing w:val="9"/>
          <w:sz w:val="20"/>
          <w:szCs w:val="20"/>
        </w:rPr>
        <w:t xml:space="preserve"> </w:t>
      </w:r>
      <w:r w:rsidRPr="00401563">
        <w:rPr>
          <w:rFonts w:ascii="Arial" w:hAnsi="Arial" w:cs="Arial"/>
          <w:sz w:val="20"/>
          <w:szCs w:val="20"/>
        </w:rPr>
        <w:t>de</w:t>
      </w:r>
      <w:r w:rsidRPr="00401563">
        <w:rPr>
          <w:rFonts w:ascii="Arial" w:hAnsi="Arial" w:cs="Arial"/>
          <w:spacing w:val="8"/>
          <w:sz w:val="20"/>
          <w:szCs w:val="20"/>
        </w:rPr>
        <w:t xml:space="preserve"> </w:t>
      </w:r>
      <w:r w:rsidRPr="00401563">
        <w:rPr>
          <w:rFonts w:ascii="Arial" w:hAnsi="Arial" w:cs="Arial"/>
          <w:sz w:val="20"/>
          <w:szCs w:val="20"/>
        </w:rPr>
        <w:t>selección</w:t>
      </w:r>
      <w:r w:rsidRPr="00401563">
        <w:rPr>
          <w:rFonts w:ascii="Arial" w:hAnsi="Arial" w:cs="Arial"/>
          <w:spacing w:val="9"/>
          <w:sz w:val="20"/>
          <w:szCs w:val="20"/>
        </w:rPr>
        <w:t xml:space="preserve"> </w:t>
      </w:r>
      <w:r w:rsidRPr="00401563">
        <w:rPr>
          <w:rFonts w:ascii="Arial" w:hAnsi="Arial" w:cs="Arial"/>
          <w:sz w:val="20"/>
          <w:szCs w:val="20"/>
        </w:rPr>
        <w:t>de</w:t>
      </w:r>
      <w:r w:rsidRPr="00401563">
        <w:rPr>
          <w:rFonts w:ascii="Arial" w:hAnsi="Arial" w:cs="Arial"/>
          <w:spacing w:val="8"/>
          <w:sz w:val="20"/>
          <w:szCs w:val="20"/>
        </w:rPr>
        <w:t xml:space="preserve"> </w:t>
      </w:r>
      <w:r w:rsidRPr="00401563">
        <w:rPr>
          <w:rFonts w:ascii="Arial" w:hAnsi="Arial" w:cs="Arial"/>
          <w:sz w:val="20"/>
          <w:szCs w:val="20"/>
        </w:rPr>
        <w:t>acuerdo</w:t>
      </w:r>
      <w:r w:rsidRPr="00401563">
        <w:rPr>
          <w:rFonts w:ascii="Arial" w:hAnsi="Arial" w:cs="Arial"/>
          <w:spacing w:val="9"/>
          <w:sz w:val="20"/>
          <w:szCs w:val="20"/>
        </w:rPr>
        <w:t xml:space="preserve"> </w:t>
      </w:r>
      <w:r w:rsidRPr="00401563">
        <w:rPr>
          <w:rFonts w:ascii="Arial" w:hAnsi="Arial" w:cs="Arial"/>
          <w:sz w:val="20"/>
          <w:szCs w:val="20"/>
        </w:rPr>
        <w:t>con</w:t>
      </w:r>
      <w:r w:rsidRPr="00401563">
        <w:rPr>
          <w:rFonts w:ascii="Arial" w:hAnsi="Arial" w:cs="Arial"/>
          <w:spacing w:val="9"/>
          <w:sz w:val="20"/>
          <w:szCs w:val="20"/>
        </w:rPr>
        <w:t xml:space="preserve"> </w:t>
      </w:r>
      <w:r w:rsidRPr="00401563">
        <w:rPr>
          <w:rFonts w:ascii="Arial" w:hAnsi="Arial" w:cs="Arial"/>
          <w:sz w:val="20"/>
          <w:szCs w:val="20"/>
        </w:rPr>
        <w:t>estos</w:t>
      </w:r>
      <w:r w:rsidRPr="00401563">
        <w:rPr>
          <w:rFonts w:ascii="Arial" w:hAnsi="Arial" w:cs="Arial"/>
          <w:spacing w:val="9"/>
          <w:sz w:val="20"/>
          <w:szCs w:val="20"/>
        </w:rPr>
        <w:t xml:space="preserve"> </w:t>
      </w:r>
      <w:r w:rsidRPr="00401563">
        <w:rPr>
          <w:rFonts w:ascii="Arial" w:hAnsi="Arial" w:cs="Arial"/>
          <w:sz w:val="20"/>
          <w:szCs w:val="20"/>
        </w:rPr>
        <w:t xml:space="preserve">parámetros. </w:t>
      </w:r>
    </w:p>
    <w:p w14:paraId="49B0867A" w14:textId="77777777" w:rsidR="0074242A" w:rsidRPr="00401563" w:rsidRDefault="0074242A" w:rsidP="0074242A">
      <w:pPr>
        <w:pStyle w:val="Textoindependiente"/>
        <w:ind w:left="0"/>
        <w:contextualSpacing/>
        <w:jc w:val="both"/>
        <w:rPr>
          <w:rFonts w:ascii="Arial" w:eastAsia="Calibri" w:hAnsi="Arial" w:cs="Arial"/>
          <w:sz w:val="20"/>
          <w:szCs w:val="20"/>
          <w:lang w:val="es-ES_tradnl"/>
        </w:rPr>
      </w:pPr>
    </w:p>
    <w:p w14:paraId="1423E0A6" w14:textId="77777777" w:rsidR="0074242A" w:rsidRPr="00401563" w:rsidRDefault="0074242A" w:rsidP="0074242A">
      <w:pPr>
        <w:pStyle w:val="Textoindependiente"/>
        <w:ind w:left="0"/>
        <w:contextualSpacing/>
        <w:jc w:val="both"/>
        <w:rPr>
          <w:rFonts w:ascii="Arial" w:hAnsi="Arial" w:cs="Arial"/>
          <w:sz w:val="20"/>
          <w:szCs w:val="20"/>
        </w:rPr>
      </w:pPr>
      <w:r w:rsidRPr="00401563">
        <w:rPr>
          <w:rFonts w:ascii="Arial" w:eastAsia="Calibri" w:hAnsi="Arial" w:cs="Arial"/>
          <w:sz w:val="20"/>
          <w:szCs w:val="20"/>
          <w:lang w:val="es-ES_tradnl"/>
        </w:rPr>
        <w:t xml:space="preserve">Aludiendo expresamente al desarrollo reglamentario, el parágrafo primero introduce el siguiente cambio: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(Énfasis fuera de texto). </w:t>
      </w:r>
      <w:r w:rsidRPr="00401563">
        <w:rPr>
          <w:rFonts w:ascii="Arial" w:hAnsi="Arial" w:cs="Arial"/>
          <w:sz w:val="20"/>
          <w:szCs w:val="20"/>
        </w:rPr>
        <w:t>Como se observa, este parágrafo dispone que el reglamento es importante para regular: i) las «particularidades del procedimiento</w:t>
      </w:r>
      <w:r w:rsidRPr="00401563">
        <w:rPr>
          <w:rFonts w:ascii="Arial" w:hAnsi="Arial" w:cs="Arial"/>
          <w:spacing w:val="-59"/>
          <w:sz w:val="20"/>
          <w:szCs w:val="20"/>
        </w:rPr>
        <w:t xml:space="preserve"> </w:t>
      </w:r>
      <w:r w:rsidRPr="00401563">
        <w:rPr>
          <w:rFonts w:ascii="Arial" w:hAnsi="Arial" w:cs="Arial"/>
          <w:sz w:val="20"/>
          <w:szCs w:val="20"/>
        </w:rPr>
        <w:t>de</w:t>
      </w:r>
      <w:r w:rsidRPr="00401563">
        <w:rPr>
          <w:rFonts w:ascii="Arial" w:hAnsi="Arial" w:cs="Arial"/>
          <w:spacing w:val="1"/>
          <w:sz w:val="20"/>
          <w:szCs w:val="20"/>
        </w:rPr>
        <w:t xml:space="preserve"> </w:t>
      </w:r>
      <w:r w:rsidRPr="00401563">
        <w:rPr>
          <w:rFonts w:ascii="Arial" w:hAnsi="Arial" w:cs="Arial"/>
          <w:sz w:val="20"/>
          <w:szCs w:val="20"/>
        </w:rPr>
        <w:t>selección»</w:t>
      </w:r>
      <w:r w:rsidRPr="00401563">
        <w:rPr>
          <w:rFonts w:ascii="Arial" w:hAnsi="Arial" w:cs="Arial"/>
          <w:spacing w:val="1"/>
          <w:sz w:val="20"/>
          <w:szCs w:val="20"/>
        </w:rPr>
        <w:t xml:space="preserve"> </w:t>
      </w:r>
      <w:r w:rsidRPr="00401563">
        <w:rPr>
          <w:rFonts w:ascii="Arial" w:hAnsi="Arial" w:cs="Arial"/>
          <w:sz w:val="20"/>
          <w:szCs w:val="20"/>
        </w:rPr>
        <w:t>y</w:t>
      </w:r>
      <w:r w:rsidRPr="00401563">
        <w:rPr>
          <w:rFonts w:ascii="Arial" w:hAnsi="Arial" w:cs="Arial"/>
          <w:spacing w:val="1"/>
          <w:sz w:val="20"/>
          <w:szCs w:val="20"/>
        </w:rPr>
        <w:t xml:space="preserve"> </w:t>
      </w:r>
      <w:r w:rsidRPr="00401563">
        <w:rPr>
          <w:rFonts w:ascii="Arial" w:hAnsi="Arial" w:cs="Arial"/>
          <w:sz w:val="20"/>
          <w:szCs w:val="20"/>
        </w:rPr>
        <w:t>ii)</w:t>
      </w:r>
      <w:r w:rsidRPr="00401563">
        <w:rPr>
          <w:rFonts w:ascii="Arial" w:hAnsi="Arial" w:cs="Arial"/>
          <w:spacing w:val="1"/>
          <w:sz w:val="20"/>
          <w:szCs w:val="20"/>
        </w:rPr>
        <w:t xml:space="preserve"> </w:t>
      </w:r>
      <w:r w:rsidRPr="00401563">
        <w:rPr>
          <w:rFonts w:ascii="Arial" w:hAnsi="Arial" w:cs="Arial"/>
          <w:sz w:val="20"/>
          <w:szCs w:val="20"/>
        </w:rPr>
        <w:t>la</w:t>
      </w:r>
      <w:r w:rsidRPr="00401563">
        <w:rPr>
          <w:rFonts w:ascii="Arial" w:hAnsi="Arial" w:cs="Arial"/>
          <w:spacing w:val="1"/>
          <w:sz w:val="20"/>
          <w:szCs w:val="20"/>
        </w:rPr>
        <w:t xml:space="preserve"> </w:t>
      </w:r>
      <w:r w:rsidRPr="00401563">
        <w:rPr>
          <w:rFonts w:ascii="Arial" w:hAnsi="Arial" w:cs="Arial"/>
          <w:sz w:val="20"/>
          <w:szCs w:val="20"/>
        </w:rPr>
        <w:t>posibilidad</w:t>
      </w:r>
      <w:r w:rsidRPr="00401563">
        <w:rPr>
          <w:rFonts w:ascii="Arial" w:hAnsi="Arial" w:cs="Arial"/>
          <w:spacing w:val="1"/>
          <w:sz w:val="20"/>
          <w:szCs w:val="20"/>
        </w:rPr>
        <w:t xml:space="preserve"> </w:t>
      </w:r>
      <w:r w:rsidRPr="00401563">
        <w:rPr>
          <w:rFonts w:ascii="Arial" w:hAnsi="Arial" w:cs="Arial"/>
          <w:sz w:val="20"/>
          <w:szCs w:val="20"/>
        </w:rPr>
        <w:t>de</w:t>
      </w:r>
      <w:r w:rsidRPr="00401563">
        <w:rPr>
          <w:rFonts w:ascii="Arial" w:hAnsi="Arial" w:cs="Arial"/>
          <w:spacing w:val="1"/>
          <w:sz w:val="20"/>
          <w:szCs w:val="20"/>
        </w:rPr>
        <w:t xml:space="preserve"> </w:t>
      </w:r>
      <w:r w:rsidRPr="00401563">
        <w:rPr>
          <w:rFonts w:ascii="Arial" w:hAnsi="Arial" w:cs="Arial"/>
          <w:sz w:val="20"/>
          <w:szCs w:val="20"/>
        </w:rPr>
        <w:t>realizar</w:t>
      </w:r>
      <w:r w:rsidRPr="00401563">
        <w:rPr>
          <w:rFonts w:ascii="Arial" w:hAnsi="Arial" w:cs="Arial"/>
          <w:spacing w:val="1"/>
          <w:sz w:val="20"/>
          <w:szCs w:val="20"/>
        </w:rPr>
        <w:t xml:space="preserve"> </w:t>
      </w:r>
      <w:r w:rsidRPr="00401563">
        <w:rPr>
          <w:rFonts w:ascii="Arial" w:hAnsi="Arial" w:cs="Arial"/>
          <w:sz w:val="20"/>
          <w:szCs w:val="20"/>
        </w:rPr>
        <w:t>estas</w:t>
      </w:r>
      <w:r w:rsidRPr="00401563">
        <w:rPr>
          <w:rFonts w:ascii="Arial" w:hAnsi="Arial" w:cs="Arial"/>
          <w:spacing w:val="1"/>
          <w:sz w:val="20"/>
          <w:szCs w:val="20"/>
        </w:rPr>
        <w:t xml:space="preserve"> </w:t>
      </w:r>
      <w:r w:rsidRPr="00401563">
        <w:rPr>
          <w:rFonts w:ascii="Arial" w:hAnsi="Arial" w:cs="Arial"/>
          <w:sz w:val="20"/>
          <w:szCs w:val="20"/>
        </w:rPr>
        <w:t>adquisiciones</w:t>
      </w:r>
      <w:r w:rsidRPr="00401563">
        <w:rPr>
          <w:rFonts w:ascii="Arial" w:hAnsi="Arial" w:cs="Arial"/>
          <w:spacing w:val="1"/>
          <w:sz w:val="20"/>
          <w:szCs w:val="20"/>
        </w:rPr>
        <w:t xml:space="preserve"> </w:t>
      </w:r>
      <w:r w:rsidRPr="00401563">
        <w:rPr>
          <w:rFonts w:ascii="Arial" w:hAnsi="Arial" w:cs="Arial"/>
          <w:sz w:val="20"/>
          <w:szCs w:val="20"/>
        </w:rPr>
        <w:t>a</w:t>
      </w:r>
      <w:r w:rsidRPr="00401563">
        <w:rPr>
          <w:rFonts w:ascii="Arial" w:hAnsi="Arial" w:cs="Arial"/>
          <w:spacing w:val="1"/>
          <w:sz w:val="20"/>
          <w:szCs w:val="20"/>
        </w:rPr>
        <w:t xml:space="preserve"> </w:t>
      </w:r>
      <w:r w:rsidRPr="00401563">
        <w:rPr>
          <w:rFonts w:ascii="Arial" w:hAnsi="Arial" w:cs="Arial"/>
          <w:sz w:val="20"/>
          <w:szCs w:val="20"/>
        </w:rPr>
        <w:t>Mipymes</w:t>
      </w:r>
      <w:r w:rsidRPr="00401563">
        <w:rPr>
          <w:rFonts w:ascii="Arial" w:hAnsi="Arial" w:cs="Arial"/>
          <w:spacing w:val="1"/>
          <w:sz w:val="20"/>
          <w:szCs w:val="20"/>
        </w:rPr>
        <w:t xml:space="preserve"> </w:t>
      </w:r>
      <w:r w:rsidRPr="00401563">
        <w:rPr>
          <w:rFonts w:ascii="Arial" w:hAnsi="Arial" w:cs="Arial"/>
          <w:sz w:val="20"/>
          <w:szCs w:val="20"/>
        </w:rPr>
        <w:t>o</w:t>
      </w:r>
      <w:r w:rsidRPr="00401563">
        <w:rPr>
          <w:rFonts w:ascii="Arial" w:hAnsi="Arial" w:cs="Arial"/>
          <w:spacing w:val="1"/>
          <w:sz w:val="20"/>
          <w:szCs w:val="20"/>
        </w:rPr>
        <w:t xml:space="preserve"> </w:t>
      </w:r>
      <w:r w:rsidRPr="00401563">
        <w:rPr>
          <w:rFonts w:ascii="Arial" w:hAnsi="Arial" w:cs="Arial"/>
          <w:sz w:val="20"/>
          <w:szCs w:val="20"/>
        </w:rPr>
        <w:t>establecimientos que correspondan a la definición de «gran almacén». En concordancia con lo anterior el parágrafo segundo señala que la contratación a la que se refiere el artículo 30 se realizará exclusivamente con las reglas contempladas en el mismo y en su reglamentación. La reglamentación a la cual se refieren las disposiciones estudiadas fue realizada mediante el Decreto 1860 del 24 de diciembre de 2021 –que modificó el Decreto 1082 de 2015–, pero solo</w:t>
      </w:r>
      <w:r w:rsidRPr="00401563">
        <w:rPr>
          <w:rFonts w:ascii="Arial" w:hAnsi="Arial" w:cs="Arial"/>
          <w:spacing w:val="1"/>
          <w:sz w:val="20"/>
          <w:szCs w:val="20"/>
        </w:rPr>
        <w:t xml:space="preserve"> </w:t>
      </w:r>
      <w:r w:rsidRPr="00401563">
        <w:rPr>
          <w:rFonts w:ascii="Arial" w:hAnsi="Arial" w:cs="Arial"/>
          <w:sz w:val="20"/>
          <w:szCs w:val="20"/>
        </w:rPr>
        <w:t>resulta aplicable para los procesos de mínima cuantía cuya invitación se publique a los tres (3)</w:t>
      </w:r>
      <w:r w:rsidRPr="00401563">
        <w:rPr>
          <w:rFonts w:ascii="Arial" w:hAnsi="Arial" w:cs="Arial"/>
          <w:spacing w:val="1"/>
          <w:sz w:val="20"/>
          <w:szCs w:val="20"/>
        </w:rPr>
        <w:t xml:space="preserve"> </w:t>
      </w:r>
      <w:r w:rsidRPr="00401563">
        <w:rPr>
          <w:rFonts w:ascii="Arial" w:hAnsi="Arial" w:cs="Arial"/>
          <w:sz w:val="20"/>
          <w:szCs w:val="20"/>
        </w:rPr>
        <w:t>meses contados a partir de su expedición, es decir, a</w:t>
      </w:r>
      <w:r w:rsidRPr="00401563">
        <w:rPr>
          <w:rFonts w:ascii="Arial" w:hAnsi="Arial" w:cs="Arial"/>
          <w:spacing w:val="1"/>
          <w:sz w:val="20"/>
          <w:szCs w:val="20"/>
        </w:rPr>
        <w:t xml:space="preserve"> </w:t>
      </w:r>
      <w:r w:rsidRPr="00401563">
        <w:rPr>
          <w:rFonts w:ascii="Arial" w:hAnsi="Arial" w:cs="Arial"/>
          <w:spacing w:val="-1"/>
          <w:sz w:val="20"/>
          <w:szCs w:val="20"/>
        </w:rPr>
        <w:t>partir</w:t>
      </w:r>
      <w:r w:rsidRPr="00401563">
        <w:rPr>
          <w:rFonts w:ascii="Arial" w:hAnsi="Arial" w:cs="Arial"/>
          <w:spacing w:val="-15"/>
          <w:sz w:val="20"/>
          <w:szCs w:val="20"/>
        </w:rPr>
        <w:t xml:space="preserve"> </w:t>
      </w:r>
      <w:r w:rsidRPr="00401563">
        <w:rPr>
          <w:rFonts w:ascii="Arial" w:hAnsi="Arial" w:cs="Arial"/>
          <w:spacing w:val="-1"/>
          <w:sz w:val="20"/>
          <w:szCs w:val="20"/>
        </w:rPr>
        <w:t>del</w:t>
      </w:r>
      <w:r w:rsidRPr="00401563">
        <w:rPr>
          <w:rFonts w:ascii="Arial" w:hAnsi="Arial" w:cs="Arial"/>
          <w:spacing w:val="-14"/>
          <w:sz w:val="20"/>
          <w:szCs w:val="20"/>
        </w:rPr>
        <w:t xml:space="preserve"> </w:t>
      </w:r>
      <w:r w:rsidRPr="00401563">
        <w:rPr>
          <w:rFonts w:ascii="Arial" w:hAnsi="Arial" w:cs="Arial"/>
          <w:spacing w:val="-1"/>
          <w:sz w:val="20"/>
          <w:szCs w:val="20"/>
        </w:rPr>
        <w:t>24</w:t>
      </w:r>
      <w:r w:rsidRPr="00401563">
        <w:rPr>
          <w:rFonts w:ascii="Arial" w:hAnsi="Arial" w:cs="Arial"/>
          <w:spacing w:val="-14"/>
          <w:sz w:val="20"/>
          <w:szCs w:val="20"/>
        </w:rPr>
        <w:t xml:space="preserve"> </w:t>
      </w:r>
      <w:r w:rsidRPr="00401563">
        <w:rPr>
          <w:rFonts w:ascii="Arial" w:hAnsi="Arial" w:cs="Arial"/>
          <w:spacing w:val="-1"/>
          <w:sz w:val="20"/>
          <w:szCs w:val="20"/>
        </w:rPr>
        <w:t>de</w:t>
      </w:r>
      <w:r w:rsidRPr="00401563">
        <w:rPr>
          <w:rFonts w:ascii="Arial" w:hAnsi="Arial" w:cs="Arial"/>
          <w:spacing w:val="-14"/>
          <w:sz w:val="20"/>
          <w:szCs w:val="20"/>
        </w:rPr>
        <w:t xml:space="preserve"> </w:t>
      </w:r>
      <w:r w:rsidRPr="00401563">
        <w:rPr>
          <w:rFonts w:ascii="Arial" w:hAnsi="Arial" w:cs="Arial"/>
          <w:spacing w:val="-1"/>
          <w:sz w:val="20"/>
          <w:szCs w:val="20"/>
        </w:rPr>
        <w:t>marzo</w:t>
      </w:r>
      <w:r w:rsidRPr="00401563">
        <w:rPr>
          <w:rFonts w:ascii="Arial" w:hAnsi="Arial" w:cs="Arial"/>
          <w:spacing w:val="-14"/>
          <w:sz w:val="20"/>
          <w:szCs w:val="20"/>
        </w:rPr>
        <w:t xml:space="preserve"> </w:t>
      </w:r>
      <w:r w:rsidRPr="00401563">
        <w:rPr>
          <w:rFonts w:ascii="Arial" w:hAnsi="Arial" w:cs="Arial"/>
          <w:spacing w:val="-1"/>
          <w:sz w:val="20"/>
          <w:szCs w:val="20"/>
        </w:rPr>
        <w:t>de</w:t>
      </w:r>
      <w:r w:rsidRPr="00401563">
        <w:rPr>
          <w:rFonts w:ascii="Arial" w:hAnsi="Arial" w:cs="Arial"/>
          <w:spacing w:val="-14"/>
          <w:sz w:val="20"/>
          <w:szCs w:val="20"/>
        </w:rPr>
        <w:t xml:space="preserve"> </w:t>
      </w:r>
      <w:r w:rsidRPr="00401563">
        <w:rPr>
          <w:rFonts w:ascii="Arial" w:hAnsi="Arial" w:cs="Arial"/>
          <w:spacing w:val="-1"/>
          <w:sz w:val="20"/>
          <w:szCs w:val="20"/>
        </w:rPr>
        <w:t>2022, teniendo en cuenta la vigencia fijada en el</w:t>
      </w:r>
      <w:r w:rsidRPr="00401563">
        <w:rPr>
          <w:rFonts w:ascii="Arial" w:hAnsi="Arial" w:cs="Arial"/>
          <w:sz w:val="20"/>
          <w:szCs w:val="20"/>
        </w:rPr>
        <w:t xml:space="preserve"> artículo 8 del Decreto citado.</w:t>
      </w:r>
    </w:p>
    <w:p w14:paraId="3F6DEA1D" w14:textId="77777777" w:rsidR="0074242A" w:rsidRPr="00401563" w:rsidRDefault="0074242A" w:rsidP="0074242A">
      <w:pPr>
        <w:spacing w:after="0" w:line="240" w:lineRule="auto"/>
        <w:contextualSpacing/>
        <w:jc w:val="both"/>
        <w:rPr>
          <w:rFonts w:ascii="Arial" w:hAnsi="Arial" w:cs="Arial"/>
          <w:sz w:val="20"/>
          <w:szCs w:val="20"/>
        </w:rPr>
      </w:pPr>
    </w:p>
    <w:p w14:paraId="76BB4202" w14:textId="77777777" w:rsidR="0074242A" w:rsidRPr="0074242A" w:rsidRDefault="0074242A" w:rsidP="0074242A">
      <w:pPr>
        <w:spacing w:after="0" w:line="240" w:lineRule="auto"/>
        <w:contextualSpacing/>
        <w:jc w:val="both"/>
        <w:rPr>
          <w:rFonts w:ascii="Arial" w:eastAsia="Calibri" w:hAnsi="Arial" w:cs="Arial"/>
          <w:b/>
          <w:lang w:val="es-ES_tradnl"/>
        </w:rPr>
      </w:pPr>
      <w:r w:rsidRPr="0074242A">
        <w:rPr>
          <w:rFonts w:ascii="Arial" w:eastAsia="Calibri" w:hAnsi="Arial" w:cs="Arial"/>
          <w:b/>
          <w:lang w:val="es-ES_tradnl"/>
        </w:rPr>
        <w:t xml:space="preserve">MODALIDAD DE SELECCIÓN DE MÍNIMA CUANTÍA – Ley 2069 de 2020 – parágrafo 1 y 2 del artículo 30 </w:t>
      </w:r>
    </w:p>
    <w:p w14:paraId="08E04103" w14:textId="77777777" w:rsidR="0074242A" w:rsidRPr="00401563" w:rsidRDefault="0074242A" w:rsidP="0074242A">
      <w:pPr>
        <w:pStyle w:val="Textoindependiente"/>
        <w:ind w:left="0"/>
        <w:contextualSpacing/>
        <w:jc w:val="both"/>
        <w:rPr>
          <w:rFonts w:ascii="Arial" w:eastAsia="Calibri" w:hAnsi="Arial" w:cs="Arial"/>
          <w:sz w:val="20"/>
          <w:szCs w:val="20"/>
          <w:lang w:val="es-ES_tradnl"/>
        </w:rPr>
      </w:pPr>
    </w:p>
    <w:p w14:paraId="1E2AD45A" w14:textId="77777777" w:rsidR="0074242A" w:rsidRPr="00401563" w:rsidRDefault="0074242A" w:rsidP="0074242A">
      <w:pPr>
        <w:pStyle w:val="Textoindependiente"/>
        <w:ind w:left="0"/>
        <w:contextualSpacing/>
        <w:jc w:val="both"/>
        <w:rPr>
          <w:rFonts w:ascii="Arial" w:hAnsi="Arial" w:cs="Arial"/>
          <w:sz w:val="20"/>
          <w:szCs w:val="20"/>
        </w:rPr>
      </w:pPr>
      <w:r w:rsidRPr="00401563">
        <w:rPr>
          <w:rFonts w:ascii="Arial" w:eastAsia="Calibri" w:hAnsi="Arial" w:cs="Arial"/>
          <w:sz w:val="20"/>
          <w:szCs w:val="20"/>
          <w:lang w:val="es-ES_tradnl"/>
        </w:rPr>
        <w:t xml:space="preserve">Aludiendo expresamente al desarrollo reglamentario, el parágrafo primero introduce el siguiente cambio: «Las particularidades del procedimiento aquí previsto, así como la posibilidad que tengan las entidades de realizar estas adquisiciones a Mipymes o establecimientos que correspondan a la </w:t>
      </w:r>
      <w:r w:rsidRPr="00401563">
        <w:rPr>
          <w:rFonts w:ascii="Arial" w:eastAsia="Calibri" w:hAnsi="Arial" w:cs="Arial"/>
          <w:sz w:val="20"/>
          <w:szCs w:val="20"/>
          <w:lang w:val="es-ES_tradnl"/>
        </w:rPr>
        <w:lastRenderedPageBreak/>
        <w:t xml:space="preserve">definición de "gran almacén" señalada por la Superintendencia de Industria y Comercio, se determinarán en el reglamento que para el efecto expida el Gobierno Nacional» (Énfasis fuera de texto). </w:t>
      </w:r>
      <w:r w:rsidRPr="00401563">
        <w:rPr>
          <w:rFonts w:ascii="Arial" w:hAnsi="Arial" w:cs="Arial"/>
          <w:sz w:val="20"/>
          <w:szCs w:val="20"/>
        </w:rPr>
        <w:t>Como se observa, este parágrafo dispone que el reglamento es importante para regular: i) las «particularidades del procedimiento</w:t>
      </w:r>
      <w:r w:rsidRPr="00401563">
        <w:rPr>
          <w:rFonts w:ascii="Arial" w:hAnsi="Arial" w:cs="Arial"/>
          <w:spacing w:val="-59"/>
          <w:sz w:val="20"/>
          <w:szCs w:val="20"/>
        </w:rPr>
        <w:t xml:space="preserve"> </w:t>
      </w:r>
      <w:r w:rsidRPr="00401563">
        <w:rPr>
          <w:rFonts w:ascii="Arial" w:hAnsi="Arial" w:cs="Arial"/>
          <w:sz w:val="20"/>
          <w:szCs w:val="20"/>
        </w:rPr>
        <w:t>de</w:t>
      </w:r>
      <w:r w:rsidRPr="00401563">
        <w:rPr>
          <w:rFonts w:ascii="Arial" w:hAnsi="Arial" w:cs="Arial"/>
          <w:spacing w:val="1"/>
          <w:sz w:val="20"/>
          <w:szCs w:val="20"/>
        </w:rPr>
        <w:t xml:space="preserve"> </w:t>
      </w:r>
      <w:r w:rsidRPr="00401563">
        <w:rPr>
          <w:rFonts w:ascii="Arial" w:hAnsi="Arial" w:cs="Arial"/>
          <w:sz w:val="20"/>
          <w:szCs w:val="20"/>
        </w:rPr>
        <w:t>selección»</w:t>
      </w:r>
      <w:r w:rsidRPr="00401563">
        <w:rPr>
          <w:rFonts w:ascii="Arial" w:hAnsi="Arial" w:cs="Arial"/>
          <w:spacing w:val="1"/>
          <w:sz w:val="20"/>
          <w:szCs w:val="20"/>
        </w:rPr>
        <w:t xml:space="preserve"> </w:t>
      </w:r>
      <w:r w:rsidRPr="00401563">
        <w:rPr>
          <w:rFonts w:ascii="Arial" w:hAnsi="Arial" w:cs="Arial"/>
          <w:sz w:val="20"/>
          <w:szCs w:val="20"/>
        </w:rPr>
        <w:t>y</w:t>
      </w:r>
      <w:r w:rsidRPr="00401563">
        <w:rPr>
          <w:rFonts w:ascii="Arial" w:hAnsi="Arial" w:cs="Arial"/>
          <w:spacing w:val="1"/>
          <w:sz w:val="20"/>
          <w:szCs w:val="20"/>
        </w:rPr>
        <w:t xml:space="preserve"> </w:t>
      </w:r>
      <w:r w:rsidRPr="00401563">
        <w:rPr>
          <w:rFonts w:ascii="Arial" w:hAnsi="Arial" w:cs="Arial"/>
          <w:sz w:val="20"/>
          <w:szCs w:val="20"/>
        </w:rPr>
        <w:t>ii)</w:t>
      </w:r>
      <w:r w:rsidRPr="00401563">
        <w:rPr>
          <w:rFonts w:ascii="Arial" w:hAnsi="Arial" w:cs="Arial"/>
          <w:spacing w:val="1"/>
          <w:sz w:val="20"/>
          <w:szCs w:val="20"/>
        </w:rPr>
        <w:t xml:space="preserve"> </w:t>
      </w:r>
      <w:r w:rsidRPr="00401563">
        <w:rPr>
          <w:rFonts w:ascii="Arial" w:hAnsi="Arial" w:cs="Arial"/>
          <w:sz w:val="20"/>
          <w:szCs w:val="20"/>
        </w:rPr>
        <w:t>la</w:t>
      </w:r>
      <w:r w:rsidRPr="00401563">
        <w:rPr>
          <w:rFonts w:ascii="Arial" w:hAnsi="Arial" w:cs="Arial"/>
          <w:spacing w:val="1"/>
          <w:sz w:val="20"/>
          <w:szCs w:val="20"/>
        </w:rPr>
        <w:t xml:space="preserve"> </w:t>
      </w:r>
      <w:r w:rsidRPr="00401563">
        <w:rPr>
          <w:rFonts w:ascii="Arial" w:hAnsi="Arial" w:cs="Arial"/>
          <w:sz w:val="20"/>
          <w:szCs w:val="20"/>
        </w:rPr>
        <w:t>posibilidad</w:t>
      </w:r>
      <w:r w:rsidRPr="00401563">
        <w:rPr>
          <w:rFonts w:ascii="Arial" w:hAnsi="Arial" w:cs="Arial"/>
          <w:spacing w:val="1"/>
          <w:sz w:val="20"/>
          <w:szCs w:val="20"/>
        </w:rPr>
        <w:t xml:space="preserve"> </w:t>
      </w:r>
      <w:r w:rsidRPr="00401563">
        <w:rPr>
          <w:rFonts w:ascii="Arial" w:hAnsi="Arial" w:cs="Arial"/>
          <w:sz w:val="20"/>
          <w:szCs w:val="20"/>
        </w:rPr>
        <w:t>de</w:t>
      </w:r>
      <w:r w:rsidRPr="00401563">
        <w:rPr>
          <w:rFonts w:ascii="Arial" w:hAnsi="Arial" w:cs="Arial"/>
          <w:spacing w:val="1"/>
          <w:sz w:val="20"/>
          <w:szCs w:val="20"/>
        </w:rPr>
        <w:t xml:space="preserve"> </w:t>
      </w:r>
      <w:r w:rsidRPr="00401563">
        <w:rPr>
          <w:rFonts w:ascii="Arial" w:hAnsi="Arial" w:cs="Arial"/>
          <w:sz w:val="20"/>
          <w:szCs w:val="20"/>
        </w:rPr>
        <w:t>realizar</w:t>
      </w:r>
      <w:r w:rsidRPr="00401563">
        <w:rPr>
          <w:rFonts w:ascii="Arial" w:hAnsi="Arial" w:cs="Arial"/>
          <w:spacing w:val="1"/>
          <w:sz w:val="20"/>
          <w:szCs w:val="20"/>
        </w:rPr>
        <w:t xml:space="preserve"> </w:t>
      </w:r>
      <w:r w:rsidRPr="00401563">
        <w:rPr>
          <w:rFonts w:ascii="Arial" w:hAnsi="Arial" w:cs="Arial"/>
          <w:sz w:val="20"/>
          <w:szCs w:val="20"/>
        </w:rPr>
        <w:t>estas</w:t>
      </w:r>
      <w:r w:rsidRPr="00401563">
        <w:rPr>
          <w:rFonts w:ascii="Arial" w:hAnsi="Arial" w:cs="Arial"/>
          <w:spacing w:val="1"/>
          <w:sz w:val="20"/>
          <w:szCs w:val="20"/>
        </w:rPr>
        <w:t xml:space="preserve"> </w:t>
      </w:r>
      <w:r w:rsidRPr="00401563">
        <w:rPr>
          <w:rFonts w:ascii="Arial" w:hAnsi="Arial" w:cs="Arial"/>
          <w:sz w:val="20"/>
          <w:szCs w:val="20"/>
        </w:rPr>
        <w:t>adquisiciones</w:t>
      </w:r>
      <w:r w:rsidRPr="00401563">
        <w:rPr>
          <w:rFonts w:ascii="Arial" w:hAnsi="Arial" w:cs="Arial"/>
          <w:spacing w:val="1"/>
          <w:sz w:val="20"/>
          <w:szCs w:val="20"/>
        </w:rPr>
        <w:t xml:space="preserve"> </w:t>
      </w:r>
      <w:r w:rsidRPr="00401563">
        <w:rPr>
          <w:rFonts w:ascii="Arial" w:hAnsi="Arial" w:cs="Arial"/>
          <w:sz w:val="20"/>
          <w:szCs w:val="20"/>
        </w:rPr>
        <w:t>a</w:t>
      </w:r>
      <w:r w:rsidRPr="00401563">
        <w:rPr>
          <w:rFonts w:ascii="Arial" w:hAnsi="Arial" w:cs="Arial"/>
          <w:spacing w:val="1"/>
          <w:sz w:val="20"/>
          <w:szCs w:val="20"/>
        </w:rPr>
        <w:t xml:space="preserve"> </w:t>
      </w:r>
      <w:r w:rsidRPr="00401563">
        <w:rPr>
          <w:rFonts w:ascii="Arial" w:hAnsi="Arial" w:cs="Arial"/>
          <w:sz w:val="20"/>
          <w:szCs w:val="20"/>
        </w:rPr>
        <w:t>Mipymes</w:t>
      </w:r>
      <w:r w:rsidRPr="00401563">
        <w:rPr>
          <w:rFonts w:ascii="Arial" w:hAnsi="Arial" w:cs="Arial"/>
          <w:spacing w:val="1"/>
          <w:sz w:val="20"/>
          <w:szCs w:val="20"/>
        </w:rPr>
        <w:t xml:space="preserve"> </w:t>
      </w:r>
      <w:r w:rsidRPr="00401563">
        <w:rPr>
          <w:rFonts w:ascii="Arial" w:hAnsi="Arial" w:cs="Arial"/>
          <w:sz w:val="20"/>
          <w:szCs w:val="20"/>
        </w:rPr>
        <w:t>o</w:t>
      </w:r>
      <w:r w:rsidRPr="00401563">
        <w:rPr>
          <w:rFonts w:ascii="Arial" w:hAnsi="Arial" w:cs="Arial"/>
          <w:spacing w:val="1"/>
          <w:sz w:val="20"/>
          <w:szCs w:val="20"/>
        </w:rPr>
        <w:t xml:space="preserve"> </w:t>
      </w:r>
      <w:r w:rsidRPr="00401563">
        <w:rPr>
          <w:rFonts w:ascii="Arial" w:hAnsi="Arial" w:cs="Arial"/>
          <w:sz w:val="20"/>
          <w:szCs w:val="20"/>
        </w:rPr>
        <w:t>establecimientos que correspondan a la definición de «gran almacén». En concordancia con lo anterior el parágrafo segundo señala que la contratación a la que se refiere el artículo 30 se realizará exclusivamente con las reglas contempladas en el mismo y en su reglamentación. La reglamentación a la cual se refieren las disposiciones estudiadas fue realizada mediante el Decreto 1860 del 24 de diciembre de 2021 –que modificó el Decreto 1082 de 2015–, pero solo</w:t>
      </w:r>
      <w:r w:rsidRPr="00401563">
        <w:rPr>
          <w:rFonts w:ascii="Arial" w:hAnsi="Arial" w:cs="Arial"/>
          <w:spacing w:val="1"/>
          <w:sz w:val="20"/>
          <w:szCs w:val="20"/>
        </w:rPr>
        <w:t xml:space="preserve"> </w:t>
      </w:r>
      <w:r w:rsidRPr="00401563">
        <w:rPr>
          <w:rFonts w:ascii="Arial" w:hAnsi="Arial" w:cs="Arial"/>
          <w:sz w:val="20"/>
          <w:szCs w:val="20"/>
        </w:rPr>
        <w:t>resulta aplicable para los procesos de mínima cuantía cuya invitación se publique a los tres (3)</w:t>
      </w:r>
      <w:r w:rsidRPr="00401563">
        <w:rPr>
          <w:rFonts w:ascii="Arial" w:hAnsi="Arial" w:cs="Arial"/>
          <w:spacing w:val="1"/>
          <w:sz w:val="20"/>
          <w:szCs w:val="20"/>
        </w:rPr>
        <w:t xml:space="preserve"> </w:t>
      </w:r>
      <w:r w:rsidRPr="00401563">
        <w:rPr>
          <w:rFonts w:ascii="Arial" w:hAnsi="Arial" w:cs="Arial"/>
          <w:sz w:val="20"/>
          <w:szCs w:val="20"/>
        </w:rPr>
        <w:t>meses contados a partir de su expedición, es decir, a</w:t>
      </w:r>
      <w:r w:rsidRPr="00401563">
        <w:rPr>
          <w:rFonts w:ascii="Arial" w:hAnsi="Arial" w:cs="Arial"/>
          <w:spacing w:val="1"/>
          <w:sz w:val="20"/>
          <w:szCs w:val="20"/>
        </w:rPr>
        <w:t xml:space="preserve"> </w:t>
      </w:r>
      <w:r w:rsidRPr="00401563">
        <w:rPr>
          <w:rFonts w:ascii="Arial" w:hAnsi="Arial" w:cs="Arial"/>
          <w:spacing w:val="-1"/>
          <w:sz w:val="20"/>
          <w:szCs w:val="20"/>
        </w:rPr>
        <w:t>partir</w:t>
      </w:r>
      <w:r w:rsidRPr="00401563">
        <w:rPr>
          <w:rFonts w:ascii="Arial" w:hAnsi="Arial" w:cs="Arial"/>
          <w:spacing w:val="-15"/>
          <w:sz w:val="20"/>
          <w:szCs w:val="20"/>
        </w:rPr>
        <w:t xml:space="preserve"> </w:t>
      </w:r>
      <w:r w:rsidRPr="00401563">
        <w:rPr>
          <w:rFonts w:ascii="Arial" w:hAnsi="Arial" w:cs="Arial"/>
          <w:spacing w:val="-1"/>
          <w:sz w:val="20"/>
          <w:szCs w:val="20"/>
        </w:rPr>
        <w:t>del</w:t>
      </w:r>
      <w:r w:rsidRPr="00401563">
        <w:rPr>
          <w:rFonts w:ascii="Arial" w:hAnsi="Arial" w:cs="Arial"/>
          <w:spacing w:val="-14"/>
          <w:sz w:val="20"/>
          <w:szCs w:val="20"/>
        </w:rPr>
        <w:t xml:space="preserve"> </w:t>
      </w:r>
      <w:r w:rsidRPr="00401563">
        <w:rPr>
          <w:rFonts w:ascii="Arial" w:hAnsi="Arial" w:cs="Arial"/>
          <w:spacing w:val="-1"/>
          <w:sz w:val="20"/>
          <w:szCs w:val="20"/>
        </w:rPr>
        <w:t>24</w:t>
      </w:r>
      <w:r w:rsidRPr="00401563">
        <w:rPr>
          <w:rFonts w:ascii="Arial" w:hAnsi="Arial" w:cs="Arial"/>
          <w:spacing w:val="-14"/>
          <w:sz w:val="20"/>
          <w:szCs w:val="20"/>
        </w:rPr>
        <w:t xml:space="preserve"> </w:t>
      </w:r>
      <w:r w:rsidRPr="00401563">
        <w:rPr>
          <w:rFonts w:ascii="Arial" w:hAnsi="Arial" w:cs="Arial"/>
          <w:spacing w:val="-1"/>
          <w:sz w:val="20"/>
          <w:szCs w:val="20"/>
        </w:rPr>
        <w:t>de</w:t>
      </w:r>
      <w:r w:rsidRPr="00401563">
        <w:rPr>
          <w:rFonts w:ascii="Arial" w:hAnsi="Arial" w:cs="Arial"/>
          <w:spacing w:val="-14"/>
          <w:sz w:val="20"/>
          <w:szCs w:val="20"/>
        </w:rPr>
        <w:t xml:space="preserve"> </w:t>
      </w:r>
      <w:r w:rsidRPr="00401563">
        <w:rPr>
          <w:rFonts w:ascii="Arial" w:hAnsi="Arial" w:cs="Arial"/>
          <w:spacing w:val="-1"/>
          <w:sz w:val="20"/>
          <w:szCs w:val="20"/>
        </w:rPr>
        <w:t>marzo</w:t>
      </w:r>
      <w:r w:rsidRPr="00401563">
        <w:rPr>
          <w:rFonts w:ascii="Arial" w:hAnsi="Arial" w:cs="Arial"/>
          <w:spacing w:val="-14"/>
          <w:sz w:val="20"/>
          <w:szCs w:val="20"/>
        </w:rPr>
        <w:t xml:space="preserve"> </w:t>
      </w:r>
      <w:r w:rsidRPr="00401563">
        <w:rPr>
          <w:rFonts w:ascii="Arial" w:hAnsi="Arial" w:cs="Arial"/>
          <w:spacing w:val="-1"/>
          <w:sz w:val="20"/>
          <w:szCs w:val="20"/>
        </w:rPr>
        <w:t>de</w:t>
      </w:r>
      <w:r w:rsidRPr="00401563">
        <w:rPr>
          <w:rFonts w:ascii="Arial" w:hAnsi="Arial" w:cs="Arial"/>
          <w:spacing w:val="-14"/>
          <w:sz w:val="20"/>
          <w:szCs w:val="20"/>
        </w:rPr>
        <w:t xml:space="preserve"> </w:t>
      </w:r>
      <w:r w:rsidRPr="00401563">
        <w:rPr>
          <w:rFonts w:ascii="Arial" w:hAnsi="Arial" w:cs="Arial"/>
          <w:spacing w:val="-1"/>
          <w:sz w:val="20"/>
          <w:szCs w:val="20"/>
        </w:rPr>
        <w:t>2022, teniendo en cuenta la vigencia fijada en el</w:t>
      </w:r>
      <w:r w:rsidRPr="00401563">
        <w:rPr>
          <w:rFonts w:ascii="Arial" w:hAnsi="Arial" w:cs="Arial"/>
          <w:sz w:val="20"/>
          <w:szCs w:val="20"/>
        </w:rPr>
        <w:t xml:space="preserve"> artículo 8 del Decreto citado.</w:t>
      </w:r>
    </w:p>
    <w:p w14:paraId="6C214660" w14:textId="77777777" w:rsidR="0074242A" w:rsidRPr="00401563" w:rsidRDefault="0074242A" w:rsidP="0074242A">
      <w:pPr>
        <w:pStyle w:val="Textoindependiente"/>
        <w:ind w:left="0"/>
        <w:contextualSpacing/>
        <w:jc w:val="both"/>
        <w:rPr>
          <w:rFonts w:ascii="Arial" w:hAnsi="Arial" w:cs="Arial"/>
          <w:sz w:val="20"/>
          <w:szCs w:val="20"/>
        </w:rPr>
      </w:pPr>
    </w:p>
    <w:p w14:paraId="5395CE3B" w14:textId="77777777" w:rsidR="0074242A" w:rsidRPr="00401563" w:rsidRDefault="0074242A" w:rsidP="0074242A">
      <w:pPr>
        <w:pStyle w:val="Textoindependiente"/>
        <w:ind w:left="0"/>
        <w:contextualSpacing/>
        <w:jc w:val="both"/>
        <w:rPr>
          <w:rFonts w:ascii="Arial" w:hAnsi="Arial" w:cs="Arial"/>
          <w:sz w:val="20"/>
          <w:szCs w:val="20"/>
        </w:rPr>
      </w:pPr>
      <w:r w:rsidRPr="00401563">
        <w:rPr>
          <w:rFonts w:ascii="Arial" w:hAnsi="Arial" w:cs="Arial"/>
          <w:sz w:val="20"/>
          <w:szCs w:val="20"/>
        </w:rPr>
        <w:t xml:space="preserve">Esta Subdirección considera que si bien las disposiciones contenidas en los parágrafos primero y segundo del artículo 30 de la Ley 2069 de 2020 establecen una sujeción de los procesos de selección que se adelanten bajo la modalidad de mínima cuantía a las normas que se definan en el reglamento que para el efecto expida el Gobierno Nacional –en este caso el Decreto 1860 de 2021–, esta sujeción al procedimiento definido en el reglamento no equivale a una exclusión de las demás reglas aplicables de forma transversal a todos los procesos de selección o que exceptúen las normas generales que rigen en la ejecución de los contratos estatales. Al respecto, cabe resaltar que los dos parágrafos remiten al reglamento en lo concerniente al procedimiento a seguir, pero nada se señala respecto de las normas sustantivas aplicables al contrato. </w:t>
      </w:r>
    </w:p>
    <w:p w14:paraId="64F2EE41" w14:textId="77777777" w:rsidR="004263E5" w:rsidRPr="0074242A" w:rsidRDefault="004263E5" w:rsidP="004263E5">
      <w:pPr>
        <w:spacing w:after="0" w:line="240" w:lineRule="auto"/>
        <w:contextualSpacing/>
        <w:jc w:val="both"/>
        <w:rPr>
          <w:rFonts w:ascii="Arial" w:hAnsi="Arial" w:cs="Arial"/>
          <w:sz w:val="20"/>
          <w:szCs w:val="20"/>
        </w:rPr>
      </w:pPr>
    </w:p>
    <w:p w14:paraId="60738600" w14:textId="77777777" w:rsidR="004263E5" w:rsidRPr="0074242A" w:rsidRDefault="004263E5">
      <w:pPr>
        <w:rPr>
          <w:rFonts w:ascii="Arial" w:hAnsi="Arial" w:cs="Arial"/>
          <w:noProof/>
          <w:lang w:val="es-ES_tradnl"/>
        </w:rPr>
      </w:pPr>
      <w:r w:rsidRPr="0074242A">
        <w:rPr>
          <w:rFonts w:ascii="Arial" w:hAnsi="Arial" w:cs="Arial"/>
          <w:noProof/>
          <w:lang w:val="es-ES_tradnl"/>
        </w:rPr>
        <w:br w:type="page"/>
      </w:r>
    </w:p>
    <w:p w14:paraId="13D0CB22" w14:textId="521F644D" w:rsidR="000E568B" w:rsidRDefault="000E568B" w:rsidP="000E568B">
      <w:pPr>
        <w:spacing w:after="0" w:line="276" w:lineRule="auto"/>
        <w:contextualSpacing/>
        <w:jc w:val="right"/>
        <w:rPr>
          <w:rFonts w:ascii="Arial" w:hAnsi="Arial" w:cs="Arial"/>
          <w:noProof/>
          <w:lang w:val="es-ES_tradnl"/>
        </w:rPr>
      </w:pPr>
      <w:r>
        <w:rPr>
          <w:noProof/>
        </w:rPr>
        <w:lastRenderedPageBreak/>
        <w:drawing>
          <wp:inline distT="0" distB="0" distL="0" distR="0" wp14:anchorId="7649BA07" wp14:editId="0E803785">
            <wp:extent cx="3388813" cy="765544"/>
            <wp:effectExtent l="0" t="0" r="2540" b="0"/>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451844" cy="779783"/>
                    </a:xfrm>
                    <a:prstGeom prst="rect">
                      <a:avLst/>
                    </a:prstGeom>
                  </pic:spPr>
                </pic:pic>
              </a:graphicData>
            </a:graphic>
          </wp:inline>
        </w:drawing>
      </w:r>
    </w:p>
    <w:p w14:paraId="6CC26758" w14:textId="7C5441C4" w:rsidR="000E568B" w:rsidRDefault="000E568B" w:rsidP="000E568B">
      <w:pPr>
        <w:spacing w:after="0" w:line="276" w:lineRule="auto"/>
        <w:contextualSpacing/>
        <w:jc w:val="right"/>
        <w:rPr>
          <w:rFonts w:ascii="Arial" w:hAnsi="Arial" w:cs="Arial"/>
          <w:noProof/>
          <w:lang w:val="es-ES_tradnl"/>
        </w:rPr>
      </w:pPr>
      <w:r>
        <w:rPr>
          <w:noProof/>
        </w:rPr>
        <w:drawing>
          <wp:inline distT="0" distB="0" distL="0" distR="0" wp14:anchorId="476BE3D4" wp14:editId="0C640723">
            <wp:extent cx="3209152" cy="85649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39" t="4292" r="1245" b="10911"/>
                    <a:stretch/>
                  </pic:blipFill>
                  <pic:spPr bwMode="auto">
                    <a:xfrm>
                      <a:off x="0" y="0"/>
                      <a:ext cx="3240307" cy="864811"/>
                    </a:xfrm>
                    <a:prstGeom prst="rect">
                      <a:avLst/>
                    </a:prstGeom>
                    <a:ln>
                      <a:noFill/>
                    </a:ln>
                    <a:extLst>
                      <a:ext uri="{53640926-AAD7-44D8-BBD7-CCE9431645EC}">
                        <a14:shadowObscured xmlns:a14="http://schemas.microsoft.com/office/drawing/2010/main"/>
                      </a:ext>
                    </a:extLst>
                  </pic:spPr>
                </pic:pic>
              </a:graphicData>
            </a:graphic>
          </wp:inline>
        </w:drawing>
      </w:r>
    </w:p>
    <w:p w14:paraId="18EF098C" w14:textId="77777777" w:rsidR="000E568B" w:rsidRDefault="000E568B" w:rsidP="00526D95">
      <w:pPr>
        <w:spacing w:after="0" w:line="276" w:lineRule="auto"/>
        <w:contextualSpacing/>
        <w:jc w:val="both"/>
        <w:rPr>
          <w:rFonts w:ascii="Arial" w:hAnsi="Arial" w:cs="Arial"/>
          <w:noProof/>
          <w:lang w:val="es-ES_tradnl"/>
        </w:rPr>
      </w:pPr>
    </w:p>
    <w:p w14:paraId="2BA3AF26" w14:textId="77777777" w:rsidR="000E568B" w:rsidRDefault="000E568B" w:rsidP="00526D95">
      <w:pPr>
        <w:spacing w:after="0" w:line="276" w:lineRule="auto"/>
        <w:contextualSpacing/>
        <w:jc w:val="both"/>
        <w:rPr>
          <w:rFonts w:ascii="Arial" w:hAnsi="Arial" w:cs="Arial"/>
          <w:noProof/>
          <w:lang w:val="es-ES_tradnl"/>
        </w:rPr>
      </w:pPr>
    </w:p>
    <w:p w14:paraId="0A3BE338" w14:textId="19275DE7" w:rsidR="00473BF3" w:rsidRPr="0074242A" w:rsidRDefault="00473BF3" w:rsidP="00526D95">
      <w:pPr>
        <w:spacing w:after="0" w:line="276" w:lineRule="auto"/>
        <w:contextualSpacing/>
        <w:jc w:val="both"/>
        <w:rPr>
          <w:rFonts w:ascii="Arial" w:hAnsi="Arial" w:cs="Arial"/>
          <w:b/>
          <w:lang w:val="es-ES_tradnl"/>
        </w:rPr>
      </w:pPr>
      <w:r w:rsidRPr="0074242A">
        <w:rPr>
          <w:rFonts w:ascii="Arial" w:hAnsi="Arial" w:cs="Arial"/>
          <w:noProof/>
          <w:lang w:val="es-ES_tradnl"/>
        </w:rPr>
        <w:t xml:space="preserve">Bogotá D.C., </w:t>
      </w:r>
      <w:r w:rsidR="000E568B">
        <w:rPr>
          <w:rFonts w:ascii="Arial" w:hAnsi="Arial" w:cs="Arial"/>
          <w:noProof/>
          <w:lang w:val="es-ES_tradnl"/>
        </w:rPr>
        <w:t>12 de abril de 2022</w:t>
      </w:r>
    </w:p>
    <w:p w14:paraId="3688847B" w14:textId="77777777" w:rsidR="00473BF3" w:rsidRPr="0074242A" w:rsidRDefault="00473BF3" w:rsidP="00526D95">
      <w:pPr>
        <w:spacing w:after="0" w:line="276" w:lineRule="auto"/>
        <w:contextualSpacing/>
        <w:jc w:val="both"/>
        <w:rPr>
          <w:rFonts w:ascii="Arial" w:eastAsia="Calibri" w:hAnsi="Arial" w:cs="Arial"/>
          <w:noProof/>
          <w:lang w:val="es-ES_tradnl"/>
        </w:rPr>
      </w:pPr>
    </w:p>
    <w:p w14:paraId="2E4F31CF" w14:textId="77777777" w:rsidR="00473BF3" w:rsidRPr="0074242A" w:rsidRDefault="00473BF3" w:rsidP="00526D95">
      <w:pPr>
        <w:spacing w:after="0" w:line="276" w:lineRule="auto"/>
        <w:contextualSpacing/>
        <w:jc w:val="both"/>
        <w:rPr>
          <w:rFonts w:ascii="Arial" w:hAnsi="Arial" w:cs="Arial"/>
          <w:bCs/>
          <w:lang w:val="es-ES_tradnl"/>
        </w:rPr>
      </w:pPr>
    </w:p>
    <w:p w14:paraId="5E5ED9B8" w14:textId="77777777" w:rsidR="00473BF3" w:rsidRPr="0074242A" w:rsidRDefault="00473BF3" w:rsidP="00526D95">
      <w:pPr>
        <w:spacing w:after="0" w:line="276" w:lineRule="auto"/>
        <w:contextualSpacing/>
        <w:jc w:val="both"/>
        <w:rPr>
          <w:rFonts w:ascii="Arial" w:eastAsia="Calibri" w:hAnsi="Arial" w:cs="Arial"/>
          <w:lang w:val="es-ES_tradnl"/>
        </w:rPr>
      </w:pPr>
      <w:r w:rsidRPr="0074242A">
        <w:rPr>
          <w:rFonts w:ascii="Arial" w:eastAsia="Calibri" w:hAnsi="Arial" w:cs="Arial"/>
          <w:lang w:val="es-ES_tradnl"/>
        </w:rPr>
        <w:t>Doctor</w:t>
      </w:r>
    </w:p>
    <w:p w14:paraId="77D34D38" w14:textId="03534929" w:rsidR="00473BF3" w:rsidRPr="0074242A" w:rsidRDefault="00473BF3" w:rsidP="00526D95">
      <w:pPr>
        <w:spacing w:after="0" w:line="276" w:lineRule="auto"/>
        <w:contextualSpacing/>
        <w:jc w:val="both"/>
        <w:rPr>
          <w:rFonts w:ascii="Arial" w:eastAsia="Calibri" w:hAnsi="Arial" w:cs="Arial"/>
          <w:b/>
          <w:lang w:val="es-ES_tradnl"/>
        </w:rPr>
      </w:pPr>
      <w:r w:rsidRPr="0074242A">
        <w:rPr>
          <w:rFonts w:ascii="Arial" w:eastAsia="Calibri" w:hAnsi="Arial" w:cs="Arial"/>
          <w:b/>
          <w:lang w:val="es-ES_tradnl"/>
        </w:rPr>
        <w:t>C</w:t>
      </w:r>
      <w:r w:rsidR="00FC7C84" w:rsidRPr="0074242A">
        <w:rPr>
          <w:rFonts w:ascii="Arial" w:eastAsia="Calibri" w:hAnsi="Arial" w:cs="Arial"/>
          <w:b/>
          <w:lang w:val="es-ES_tradnl"/>
        </w:rPr>
        <w:t>é</w:t>
      </w:r>
      <w:r w:rsidRPr="0074242A">
        <w:rPr>
          <w:rFonts w:ascii="Arial" w:eastAsia="Calibri" w:hAnsi="Arial" w:cs="Arial"/>
          <w:b/>
          <w:lang w:val="es-ES_tradnl"/>
        </w:rPr>
        <w:t>sar Augusto Sánchez Garc</w:t>
      </w:r>
      <w:r w:rsidR="00FC7C84" w:rsidRPr="0074242A">
        <w:rPr>
          <w:rFonts w:ascii="Arial" w:eastAsia="Calibri" w:hAnsi="Arial" w:cs="Arial"/>
          <w:b/>
          <w:lang w:val="es-ES_tradnl"/>
        </w:rPr>
        <w:t>í</w:t>
      </w:r>
      <w:r w:rsidRPr="0074242A">
        <w:rPr>
          <w:rFonts w:ascii="Arial" w:eastAsia="Calibri" w:hAnsi="Arial" w:cs="Arial"/>
          <w:b/>
          <w:lang w:val="es-ES_tradnl"/>
        </w:rPr>
        <w:t>a</w:t>
      </w:r>
    </w:p>
    <w:p w14:paraId="00465456" w14:textId="2D2A4937" w:rsidR="00473BF3" w:rsidRPr="0074242A" w:rsidRDefault="00473BF3" w:rsidP="00526D95">
      <w:pPr>
        <w:spacing w:after="0" w:line="276" w:lineRule="auto"/>
        <w:contextualSpacing/>
        <w:jc w:val="both"/>
        <w:rPr>
          <w:rFonts w:ascii="Arial" w:eastAsia="Calibri" w:hAnsi="Arial" w:cs="Arial"/>
          <w:lang w:val="es-ES_tradnl"/>
        </w:rPr>
      </w:pPr>
      <w:r w:rsidRPr="0074242A">
        <w:rPr>
          <w:rFonts w:ascii="Arial" w:eastAsia="Calibri" w:hAnsi="Arial" w:cs="Arial"/>
          <w:lang w:val="es-ES_tradnl"/>
        </w:rPr>
        <w:t xml:space="preserve">Tocaima – Cundinamarca </w:t>
      </w:r>
    </w:p>
    <w:p w14:paraId="251E0571" w14:textId="77777777" w:rsidR="00473BF3" w:rsidRPr="0074242A" w:rsidRDefault="00473BF3" w:rsidP="00526D95">
      <w:pPr>
        <w:spacing w:after="0" w:line="276" w:lineRule="auto"/>
        <w:contextualSpacing/>
        <w:jc w:val="both"/>
        <w:rPr>
          <w:rFonts w:ascii="Arial" w:eastAsia="Calibri" w:hAnsi="Arial" w:cs="Arial"/>
          <w:lang w:val="es-ES_tradnl"/>
        </w:rPr>
      </w:pPr>
    </w:p>
    <w:p w14:paraId="3CDBBC22" w14:textId="77777777" w:rsidR="00474A7D" w:rsidRPr="0074242A" w:rsidRDefault="00474A7D" w:rsidP="00526D95">
      <w:pPr>
        <w:spacing w:after="0" w:line="276" w:lineRule="auto"/>
        <w:contextualSpacing/>
        <w:rPr>
          <w:rFonts w:ascii="Arial" w:eastAsia="Calibri" w:hAnsi="Arial" w:cs="Arial"/>
          <w:b/>
          <w:bCs/>
          <w:lang w:val="es-ES_tradnl"/>
        </w:rPr>
      </w:pPr>
    </w:p>
    <w:p w14:paraId="655BF4C7" w14:textId="73EF429F" w:rsidR="00473BF3" w:rsidRPr="0074242A" w:rsidRDefault="00473BF3" w:rsidP="00526D95">
      <w:pPr>
        <w:spacing w:after="0" w:line="276" w:lineRule="auto"/>
        <w:contextualSpacing/>
        <w:rPr>
          <w:rFonts w:ascii="Arial" w:eastAsia="Calibri" w:hAnsi="Arial" w:cs="Arial"/>
          <w:b/>
          <w:bCs/>
          <w:lang w:val="es-ES_tradnl"/>
        </w:rPr>
      </w:pPr>
      <w:r w:rsidRPr="0074242A">
        <w:rPr>
          <w:rFonts w:ascii="Arial" w:eastAsia="Calibri" w:hAnsi="Arial" w:cs="Arial"/>
          <w:b/>
          <w:bCs/>
          <w:lang w:val="es-ES_tradnl"/>
        </w:rPr>
        <w:t xml:space="preserve">                                            Concepto C ‒ 195 de 2022</w:t>
      </w:r>
    </w:p>
    <w:p w14:paraId="13CA6EC8" w14:textId="77777777" w:rsidR="00473BF3" w:rsidRPr="0074242A" w:rsidRDefault="00473BF3" w:rsidP="00526D95">
      <w:pPr>
        <w:spacing w:after="0" w:line="276" w:lineRule="auto"/>
        <w:contextualSpacing/>
        <w:jc w:val="both"/>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3BF3" w:rsidRPr="0074242A" w14:paraId="30AD7F32" w14:textId="77777777" w:rsidTr="00B05909">
        <w:tc>
          <w:tcPr>
            <w:tcW w:w="2689" w:type="dxa"/>
          </w:tcPr>
          <w:p w14:paraId="5808A521" w14:textId="77777777" w:rsidR="00473BF3" w:rsidRPr="0074242A" w:rsidRDefault="00473BF3" w:rsidP="00526D95">
            <w:pPr>
              <w:spacing w:line="276" w:lineRule="auto"/>
              <w:contextualSpacing/>
              <w:rPr>
                <w:rFonts w:ascii="Arial" w:eastAsia="Calibri" w:hAnsi="Arial" w:cs="Arial"/>
                <w:lang w:val="es-ES_tradnl"/>
              </w:rPr>
            </w:pPr>
            <w:r w:rsidRPr="0074242A">
              <w:rPr>
                <w:rFonts w:ascii="Arial" w:eastAsia="Calibri" w:hAnsi="Arial" w:cs="Arial"/>
                <w:b/>
                <w:lang w:val="es-ES_tradnl"/>
              </w:rPr>
              <w:t>Temas:</w:t>
            </w:r>
            <w:r w:rsidRPr="0074242A">
              <w:rPr>
                <w:rFonts w:ascii="Arial" w:eastAsia="Calibri" w:hAnsi="Arial" w:cs="Arial"/>
                <w:lang w:val="es-ES_tradnl"/>
              </w:rPr>
              <w:t xml:space="preserve">                                      </w:t>
            </w:r>
          </w:p>
        </w:tc>
        <w:tc>
          <w:tcPr>
            <w:tcW w:w="6237" w:type="dxa"/>
          </w:tcPr>
          <w:p w14:paraId="5EB3BED9" w14:textId="7D2BF3C6" w:rsidR="00473BF3" w:rsidRPr="0074242A" w:rsidRDefault="004263E5" w:rsidP="004263E5">
            <w:pPr>
              <w:contextualSpacing/>
              <w:rPr>
                <w:rFonts w:ascii="Arial" w:eastAsia="Calibri" w:hAnsi="Arial" w:cs="Arial"/>
                <w:lang w:val="es-ES_tradnl"/>
              </w:rPr>
            </w:pPr>
            <w:r w:rsidRPr="0074242A">
              <w:rPr>
                <w:rFonts w:ascii="Arial" w:eastAsia="Calibri" w:hAnsi="Arial" w:cs="Arial"/>
                <w:lang w:val="es-ES_tradnl"/>
              </w:rPr>
              <w:t xml:space="preserve">CLÁUSULAS EXCEPCIONALES – Concepto – Marco jurídico / </w:t>
            </w:r>
            <w:r w:rsidRPr="0074242A">
              <w:rPr>
                <w:rFonts w:ascii="Arial" w:hAnsi="Arial" w:cs="Arial"/>
              </w:rPr>
              <w:t xml:space="preserve">CADUCIDAD – Consecuencias – Presupuestos / TERMINACIÓN UNILATERAL – Presupuestos / IMPOSICIÓN DE MULTAS – Concepto / </w:t>
            </w:r>
            <w:r w:rsidRPr="0074242A">
              <w:rPr>
                <w:rFonts w:ascii="Arial" w:eastAsia="Calibri" w:hAnsi="Arial" w:cs="Arial"/>
                <w:lang w:val="es-ES_tradnl"/>
              </w:rPr>
              <w:t>PROCEDIMIENTO ADMINISTRATIVO SANCIONATORIO CONTRACTUAL - Artículo 86 de la Ley 1474 de 2011 / MODALIDAD DE SELECCIÓN DE MÍNIMA CUANTÍA – Ley 2069 de</w:t>
            </w:r>
            <w:r w:rsidRPr="0074242A">
              <w:rPr>
                <w:rFonts w:ascii="Arial" w:eastAsia="Calibri" w:hAnsi="Arial" w:cs="Arial"/>
                <w:sz w:val="20"/>
                <w:szCs w:val="20"/>
                <w:lang w:val="es-ES_tradnl"/>
              </w:rPr>
              <w:t xml:space="preserve"> 2020 / </w:t>
            </w:r>
            <w:r w:rsidRPr="0074242A">
              <w:rPr>
                <w:rFonts w:ascii="Arial" w:eastAsia="Calibri" w:hAnsi="Arial" w:cs="Arial"/>
                <w:lang w:val="es-ES_tradnl"/>
              </w:rPr>
              <w:t>MODALIDAD DE SELECCIÓN DE MÍNIMA CUANTÍA – Ley 2069 de 2020 – parágrafo 1 y 2</w:t>
            </w:r>
          </w:p>
        </w:tc>
      </w:tr>
      <w:tr w:rsidR="00473BF3" w:rsidRPr="0074242A" w14:paraId="7A20FD1E" w14:textId="77777777" w:rsidTr="00B05909">
        <w:tc>
          <w:tcPr>
            <w:tcW w:w="2689" w:type="dxa"/>
          </w:tcPr>
          <w:p w14:paraId="0AF57E61" w14:textId="77777777" w:rsidR="00473BF3" w:rsidRPr="0074242A" w:rsidRDefault="00473BF3" w:rsidP="00526D95">
            <w:pPr>
              <w:spacing w:line="276" w:lineRule="auto"/>
              <w:contextualSpacing/>
              <w:rPr>
                <w:rFonts w:ascii="Arial" w:eastAsia="Calibri" w:hAnsi="Arial" w:cs="Arial"/>
                <w:b/>
                <w:lang w:val="es-ES_tradnl"/>
              </w:rPr>
            </w:pPr>
          </w:p>
          <w:p w14:paraId="06FE0138" w14:textId="77777777" w:rsidR="00473BF3" w:rsidRPr="0074242A" w:rsidRDefault="00473BF3" w:rsidP="00526D95">
            <w:pPr>
              <w:spacing w:line="276" w:lineRule="auto"/>
              <w:contextualSpacing/>
              <w:rPr>
                <w:rFonts w:ascii="Arial" w:eastAsia="Calibri" w:hAnsi="Arial" w:cs="Arial"/>
                <w:b/>
                <w:lang w:val="es-ES_tradnl"/>
              </w:rPr>
            </w:pPr>
            <w:r w:rsidRPr="0074242A">
              <w:rPr>
                <w:rFonts w:ascii="Arial" w:eastAsia="Calibri" w:hAnsi="Arial" w:cs="Arial"/>
                <w:b/>
                <w:lang w:val="es-ES_tradnl"/>
              </w:rPr>
              <w:t>Radicación:</w:t>
            </w:r>
            <w:r w:rsidRPr="0074242A">
              <w:rPr>
                <w:rFonts w:ascii="Arial" w:eastAsia="Calibri" w:hAnsi="Arial" w:cs="Arial"/>
                <w:lang w:val="es-ES_tradnl"/>
              </w:rPr>
              <w:t xml:space="preserve">                              </w:t>
            </w:r>
          </w:p>
        </w:tc>
        <w:tc>
          <w:tcPr>
            <w:tcW w:w="6237" w:type="dxa"/>
          </w:tcPr>
          <w:p w14:paraId="59817ABD" w14:textId="77777777" w:rsidR="00473BF3" w:rsidRPr="0074242A" w:rsidRDefault="00473BF3" w:rsidP="00526D95">
            <w:pPr>
              <w:spacing w:line="276" w:lineRule="auto"/>
              <w:contextualSpacing/>
              <w:rPr>
                <w:rFonts w:ascii="Arial" w:eastAsia="Calibri" w:hAnsi="Arial" w:cs="Arial"/>
                <w:lang w:val="es-ES_tradnl"/>
              </w:rPr>
            </w:pPr>
          </w:p>
          <w:p w14:paraId="574E83BE" w14:textId="77777777" w:rsidR="00473BF3" w:rsidRPr="0074242A" w:rsidRDefault="00473BF3" w:rsidP="00526D95">
            <w:pPr>
              <w:spacing w:line="276" w:lineRule="auto"/>
              <w:contextualSpacing/>
              <w:rPr>
                <w:rFonts w:ascii="Arial" w:eastAsia="Calibri" w:hAnsi="Arial" w:cs="Arial"/>
                <w:lang w:val="es-ES_tradnl"/>
              </w:rPr>
            </w:pPr>
            <w:r w:rsidRPr="0074242A">
              <w:rPr>
                <w:rFonts w:ascii="Arial" w:eastAsia="Calibri" w:hAnsi="Arial" w:cs="Arial"/>
                <w:lang w:val="es-ES_tradnl"/>
              </w:rPr>
              <w:t>Respuesta a consulta # P20220228001964</w:t>
            </w:r>
          </w:p>
        </w:tc>
      </w:tr>
    </w:tbl>
    <w:p w14:paraId="5E9B53B8" w14:textId="77777777" w:rsidR="00473BF3" w:rsidRPr="0074242A" w:rsidRDefault="00473BF3" w:rsidP="00526D95">
      <w:pPr>
        <w:spacing w:after="0" w:line="276" w:lineRule="auto"/>
        <w:contextualSpacing/>
        <w:jc w:val="both"/>
        <w:rPr>
          <w:rFonts w:ascii="Arial" w:eastAsia="Calibri" w:hAnsi="Arial" w:cs="Arial"/>
          <w:lang w:val="es-ES_tradnl"/>
        </w:rPr>
      </w:pPr>
    </w:p>
    <w:p w14:paraId="07E7A25F" w14:textId="77777777" w:rsidR="00473BF3" w:rsidRPr="0074242A" w:rsidRDefault="00473BF3" w:rsidP="00526D95">
      <w:pPr>
        <w:spacing w:after="0" w:line="276" w:lineRule="auto"/>
        <w:contextualSpacing/>
        <w:jc w:val="both"/>
        <w:rPr>
          <w:rFonts w:ascii="Arial" w:eastAsia="Calibri" w:hAnsi="Arial" w:cs="Arial"/>
          <w:lang w:val="es-ES_tradnl"/>
        </w:rPr>
      </w:pPr>
    </w:p>
    <w:p w14:paraId="5C4CD8E6" w14:textId="77777777" w:rsidR="00473BF3" w:rsidRPr="0074242A" w:rsidRDefault="00473BF3" w:rsidP="00526D95">
      <w:pPr>
        <w:spacing w:after="0" w:line="276" w:lineRule="auto"/>
        <w:contextualSpacing/>
        <w:jc w:val="both"/>
        <w:rPr>
          <w:rFonts w:ascii="Arial" w:eastAsia="Calibri" w:hAnsi="Arial" w:cs="Arial"/>
          <w:lang w:val="es-ES_tradnl"/>
        </w:rPr>
      </w:pPr>
      <w:r w:rsidRPr="0074242A">
        <w:rPr>
          <w:rFonts w:ascii="Arial" w:eastAsia="Calibri" w:hAnsi="Arial" w:cs="Arial"/>
          <w:lang w:val="es-ES_tradnl"/>
        </w:rPr>
        <w:t>Estimado señor Sánchez:</w:t>
      </w:r>
    </w:p>
    <w:p w14:paraId="0B29C6DA" w14:textId="77777777" w:rsidR="00473BF3" w:rsidRPr="0074242A" w:rsidRDefault="00473BF3" w:rsidP="00526D95">
      <w:pPr>
        <w:spacing w:after="0" w:line="276" w:lineRule="auto"/>
        <w:contextualSpacing/>
        <w:jc w:val="both"/>
        <w:rPr>
          <w:rFonts w:ascii="Arial" w:eastAsia="Calibri" w:hAnsi="Arial" w:cs="Arial"/>
          <w:lang w:val="es-ES_tradnl"/>
        </w:rPr>
      </w:pPr>
    </w:p>
    <w:p w14:paraId="5CBE3DC2" w14:textId="77777777" w:rsidR="00473BF3" w:rsidRPr="0074242A" w:rsidRDefault="00473BF3" w:rsidP="00526D95">
      <w:pPr>
        <w:spacing w:after="0" w:line="276" w:lineRule="auto"/>
        <w:contextualSpacing/>
        <w:jc w:val="both"/>
        <w:rPr>
          <w:rFonts w:ascii="Arial" w:eastAsia="Calibri" w:hAnsi="Arial" w:cs="Arial"/>
          <w:lang w:val="es-ES_tradnl"/>
        </w:rPr>
      </w:pPr>
      <w:r w:rsidRPr="0074242A">
        <w:rPr>
          <w:rFonts w:ascii="Arial" w:eastAsia="Calibri" w:hAnsi="Arial" w:cs="Arial"/>
          <w:lang w:val="es-ES_tradnl"/>
        </w:rPr>
        <w:t>En ejercicio de la competencia otorgada por el numeral 8 del artículo 11 y el numeral 5 del artículo 3 del Decreto Ley 4170 de 2011, la Agencia Nacional de Contratación Pública ― Colombia Compra Eficiente responde su consulta del 28 de febrero del 2022.</w:t>
      </w:r>
    </w:p>
    <w:p w14:paraId="09542DE5" w14:textId="77777777" w:rsidR="00473BF3" w:rsidRPr="0074242A" w:rsidRDefault="00473BF3" w:rsidP="00526D95">
      <w:pPr>
        <w:spacing w:after="0" w:line="276" w:lineRule="auto"/>
        <w:contextualSpacing/>
        <w:jc w:val="both"/>
        <w:rPr>
          <w:rFonts w:ascii="Arial" w:eastAsia="Calibri" w:hAnsi="Arial" w:cs="Arial"/>
          <w:b/>
          <w:lang w:val="es-ES_tradnl"/>
        </w:rPr>
      </w:pPr>
    </w:p>
    <w:p w14:paraId="7D716BAD" w14:textId="77777777" w:rsidR="00473BF3" w:rsidRPr="0074242A" w:rsidRDefault="00473BF3" w:rsidP="00526D95">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4242A">
        <w:rPr>
          <w:rFonts w:ascii="Arial" w:eastAsia="Calibri" w:hAnsi="Arial" w:cs="Arial"/>
          <w:b/>
          <w:sz w:val="22"/>
          <w:lang w:val="es-ES_tradnl"/>
        </w:rPr>
        <w:t xml:space="preserve">Problema planteado </w:t>
      </w:r>
    </w:p>
    <w:p w14:paraId="033CC29D" w14:textId="77777777" w:rsidR="00473BF3" w:rsidRPr="0074242A" w:rsidRDefault="00473BF3" w:rsidP="00526D95">
      <w:pPr>
        <w:tabs>
          <w:tab w:val="left" w:pos="426"/>
        </w:tabs>
        <w:spacing w:after="0" w:line="276" w:lineRule="auto"/>
        <w:contextualSpacing/>
        <w:jc w:val="both"/>
        <w:rPr>
          <w:rFonts w:ascii="Arial" w:eastAsia="Calibri" w:hAnsi="Arial" w:cs="Arial"/>
          <w:b/>
          <w:lang w:val="es-ES_tradnl"/>
        </w:rPr>
      </w:pPr>
    </w:p>
    <w:p w14:paraId="4D02B0C4" w14:textId="37EAD1E1" w:rsidR="00473BF3" w:rsidRPr="0074242A" w:rsidRDefault="00473BF3" w:rsidP="00526D95">
      <w:pPr>
        <w:spacing w:after="0" w:line="276" w:lineRule="auto"/>
        <w:contextualSpacing/>
        <w:jc w:val="both"/>
        <w:rPr>
          <w:rFonts w:ascii="Arial" w:hAnsi="Arial" w:cs="Arial"/>
          <w:lang w:val="es-ES_tradnl"/>
        </w:rPr>
      </w:pPr>
      <w:r w:rsidRPr="0074242A">
        <w:rPr>
          <w:rFonts w:ascii="Arial" w:hAnsi="Arial" w:cs="Arial"/>
          <w:lang w:val="es-ES_tradnl"/>
        </w:rPr>
        <w:lastRenderedPageBreak/>
        <w:t>En relación con</w:t>
      </w:r>
      <w:r w:rsidR="00600075" w:rsidRPr="0074242A">
        <w:rPr>
          <w:rFonts w:ascii="Arial" w:hAnsi="Arial" w:cs="Arial"/>
          <w:lang w:val="es-ES_tradnl"/>
        </w:rPr>
        <w:t xml:space="preserve"> los procesos de mínima cuantía y la aplicación de </w:t>
      </w:r>
      <w:r w:rsidRPr="0074242A">
        <w:rPr>
          <w:rFonts w:ascii="Arial" w:hAnsi="Arial" w:cs="Arial"/>
          <w:lang w:val="es-ES_tradnl"/>
        </w:rPr>
        <w:t xml:space="preserve">las cláusulas excepcionales contempladas en el artículo 14 de la Ley </w:t>
      </w:r>
      <w:r w:rsidR="00FC7C84" w:rsidRPr="0074242A">
        <w:rPr>
          <w:rFonts w:ascii="Arial" w:hAnsi="Arial" w:cs="Arial"/>
          <w:lang w:val="es-ES_tradnl"/>
        </w:rPr>
        <w:t xml:space="preserve">80 de 1993 </w:t>
      </w:r>
      <w:r w:rsidR="00600075" w:rsidRPr="0074242A">
        <w:rPr>
          <w:rFonts w:ascii="Arial" w:hAnsi="Arial" w:cs="Arial"/>
          <w:lang w:val="es-ES_tradnl"/>
        </w:rPr>
        <w:t>y</w:t>
      </w:r>
      <w:r w:rsidRPr="0074242A">
        <w:rPr>
          <w:rFonts w:ascii="Arial" w:hAnsi="Arial" w:cs="Arial"/>
          <w:lang w:val="es-ES_tradnl"/>
        </w:rPr>
        <w:t xml:space="preserve"> </w:t>
      </w:r>
      <w:r w:rsidR="00600075" w:rsidRPr="0074242A">
        <w:rPr>
          <w:rFonts w:ascii="Arial" w:hAnsi="Arial" w:cs="Arial"/>
          <w:lang w:val="es-ES_tradnl"/>
        </w:rPr>
        <w:t>d</w:t>
      </w:r>
      <w:r w:rsidRPr="0074242A">
        <w:rPr>
          <w:rFonts w:ascii="Arial" w:hAnsi="Arial" w:cs="Arial"/>
          <w:lang w:val="es-ES_tradnl"/>
        </w:rPr>
        <w:t>el procedimiento de imposición de multas, sanciones y declaratorias de incumplimiento</w:t>
      </w:r>
      <w:r w:rsidR="00600075" w:rsidRPr="0074242A">
        <w:rPr>
          <w:rFonts w:ascii="Arial" w:hAnsi="Arial" w:cs="Arial"/>
          <w:lang w:val="es-ES_tradnl"/>
        </w:rPr>
        <w:t xml:space="preserve"> regulado en el artículo 86 de la Ley 1474 de 2011</w:t>
      </w:r>
      <w:r w:rsidRPr="0074242A">
        <w:rPr>
          <w:rFonts w:ascii="Arial" w:hAnsi="Arial" w:cs="Arial"/>
          <w:lang w:val="es-ES_tradnl"/>
        </w:rPr>
        <w:t xml:space="preserve">, usted formula la siguiente consulta: </w:t>
      </w:r>
    </w:p>
    <w:p w14:paraId="7B441DBA" w14:textId="77777777" w:rsidR="00473BF3" w:rsidRPr="0074242A" w:rsidRDefault="00473BF3" w:rsidP="00B92EA6">
      <w:pPr>
        <w:spacing w:after="0"/>
        <w:contextualSpacing/>
        <w:jc w:val="both"/>
        <w:rPr>
          <w:rFonts w:ascii="Arial" w:hAnsi="Arial" w:cs="Arial"/>
          <w:color w:val="FF0000"/>
          <w:lang w:val="es-ES_tradnl"/>
        </w:rPr>
      </w:pPr>
    </w:p>
    <w:p w14:paraId="7F356732" w14:textId="77777777" w:rsidR="00473BF3" w:rsidRPr="0074242A" w:rsidRDefault="00473BF3" w:rsidP="00B92EA6">
      <w:pPr>
        <w:pStyle w:val="Default"/>
        <w:ind w:left="709" w:right="709"/>
        <w:contextualSpacing/>
        <w:jc w:val="both"/>
        <w:rPr>
          <w:rFonts w:eastAsia="Calibri"/>
          <w:color w:val="auto"/>
          <w:sz w:val="21"/>
          <w:szCs w:val="21"/>
        </w:rPr>
      </w:pPr>
      <w:r w:rsidRPr="0074242A">
        <w:rPr>
          <w:rFonts w:eastAsia="Calibri"/>
          <w:color w:val="auto"/>
          <w:sz w:val="21"/>
          <w:szCs w:val="21"/>
        </w:rPr>
        <w:t xml:space="preserve">«1). ¿Las normas de carácter general relacionadas con las cláusulas excepcionales al derecho común (Art 14.2 Ley 80 de 1993), aplican en un contrato de mínima cuantía? </w:t>
      </w:r>
    </w:p>
    <w:p w14:paraId="3EC4E878" w14:textId="77777777" w:rsidR="00473BF3" w:rsidRPr="0074242A" w:rsidRDefault="00473BF3" w:rsidP="00B92EA6">
      <w:pPr>
        <w:pStyle w:val="Default"/>
        <w:ind w:left="709" w:right="709"/>
        <w:contextualSpacing/>
        <w:jc w:val="both"/>
        <w:rPr>
          <w:rFonts w:eastAsia="Calibri"/>
          <w:color w:val="auto"/>
          <w:sz w:val="21"/>
          <w:szCs w:val="21"/>
        </w:rPr>
      </w:pPr>
    </w:p>
    <w:p w14:paraId="23170E73" w14:textId="77777777" w:rsidR="00473BF3" w:rsidRPr="0074242A" w:rsidRDefault="00473BF3" w:rsidP="00B92EA6">
      <w:pPr>
        <w:pStyle w:val="Default"/>
        <w:ind w:left="709" w:right="709"/>
        <w:contextualSpacing/>
        <w:jc w:val="both"/>
        <w:rPr>
          <w:rFonts w:eastAsia="Calibri"/>
          <w:color w:val="auto"/>
          <w:sz w:val="21"/>
          <w:szCs w:val="21"/>
        </w:rPr>
      </w:pPr>
      <w:r w:rsidRPr="0074242A">
        <w:rPr>
          <w:rFonts w:eastAsia="Calibri"/>
          <w:color w:val="auto"/>
          <w:sz w:val="21"/>
          <w:szCs w:val="21"/>
        </w:rPr>
        <w:t xml:space="preserve">2). ¿Las normas de carácter general relacionadas con la imposición de multas, sanciones y declaratorias de incumplimiento (Art 86 Ley 1474 de 2011), aplican en un contrato de mínima cuantía? </w:t>
      </w:r>
    </w:p>
    <w:p w14:paraId="469216DC" w14:textId="77777777" w:rsidR="00473BF3" w:rsidRPr="0074242A" w:rsidRDefault="00473BF3" w:rsidP="00B92EA6">
      <w:pPr>
        <w:pStyle w:val="Default"/>
        <w:ind w:left="709" w:right="709"/>
        <w:contextualSpacing/>
        <w:jc w:val="both"/>
        <w:rPr>
          <w:rFonts w:eastAsia="Calibri"/>
          <w:color w:val="auto"/>
          <w:sz w:val="21"/>
          <w:szCs w:val="21"/>
        </w:rPr>
      </w:pPr>
    </w:p>
    <w:p w14:paraId="6D83E1E4" w14:textId="77777777" w:rsidR="00473BF3" w:rsidRPr="0074242A" w:rsidRDefault="00473BF3" w:rsidP="00B92EA6">
      <w:pPr>
        <w:pStyle w:val="Default"/>
        <w:ind w:left="709" w:right="709"/>
        <w:contextualSpacing/>
        <w:jc w:val="both"/>
        <w:rPr>
          <w:rFonts w:eastAsia="Calibri"/>
          <w:color w:val="auto"/>
          <w:sz w:val="21"/>
          <w:szCs w:val="21"/>
        </w:rPr>
      </w:pPr>
      <w:r w:rsidRPr="0074242A">
        <w:rPr>
          <w:rFonts w:eastAsia="Calibri"/>
          <w:color w:val="auto"/>
          <w:sz w:val="21"/>
          <w:szCs w:val="21"/>
        </w:rPr>
        <w:t xml:space="preserve">3). ¿Las normas de carácter general relacionadas con la cláusula excepcional de “ CADUCIDAD” (Art 14.2 Ley 80 de 1993), aplican en un contrato de mínima cuantía? </w:t>
      </w:r>
    </w:p>
    <w:p w14:paraId="777DDE36" w14:textId="77777777" w:rsidR="00473BF3" w:rsidRPr="0074242A" w:rsidRDefault="00473BF3" w:rsidP="00B92EA6">
      <w:pPr>
        <w:pStyle w:val="Default"/>
        <w:ind w:left="709" w:right="709"/>
        <w:contextualSpacing/>
        <w:jc w:val="both"/>
        <w:rPr>
          <w:rFonts w:eastAsia="Calibri"/>
          <w:color w:val="auto"/>
          <w:sz w:val="21"/>
          <w:szCs w:val="21"/>
        </w:rPr>
      </w:pPr>
    </w:p>
    <w:p w14:paraId="32C2BD85" w14:textId="77777777" w:rsidR="00473BF3" w:rsidRPr="0074242A" w:rsidRDefault="00473BF3" w:rsidP="00B92EA6">
      <w:pPr>
        <w:pStyle w:val="Default"/>
        <w:ind w:left="709" w:right="709"/>
        <w:contextualSpacing/>
        <w:jc w:val="both"/>
        <w:rPr>
          <w:rFonts w:eastAsia="Calibri"/>
          <w:color w:val="auto"/>
          <w:sz w:val="21"/>
          <w:szCs w:val="21"/>
        </w:rPr>
      </w:pPr>
      <w:r w:rsidRPr="0074242A">
        <w:rPr>
          <w:rFonts w:eastAsia="Calibri"/>
          <w:color w:val="auto"/>
          <w:sz w:val="21"/>
          <w:szCs w:val="21"/>
        </w:rPr>
        <w:t>4). ¿Cuáles son los efectos de las normas de carácter general relacionadas con las cláusulas excepcionales al derecho común (Art 14.2 Ley 80 de 1993), en un contrato de mínima cuantía?</w:t>
      </w:r>
    </w:p>
    <w:p w14:paraId="73ED738D" w14:textId="77777777" w:rsidR="00473BF3" w:rsidRPr="0074242A" w:rsidRDefault="00473BF3" w:rsidP="00B92EA6">
      <w:pPr>
        <w:pStyle w:val="Default"/>
        <w:ind w:left="709" w:right="709"/>
        <w:contextualSpacing/>
        <w:jc w:val="both"/>
        <w:rPr>
          <w:rFonts w:eastAsia="Calibri"/>
          <w:color w:val="auto"/>
          <w:sz w:val="21"/>
          <w:szCs w:val="21"/>
        </w:rPr>
      </w:pPr>
    </w:p>
    <w:p w14:paraId="7776D910" w14:textId="77777777" w:rsidR="00473BF3" w:rsidRPr="0074242A" w:rsidRDefault="00473BF3" w:rsidP="00B92EA6">
      <w:pPr>
        <w:pStyle w:val="Default"/>
        <w:ind w:left="709" w:right="709"/>
        <w:contextualSpacing/>
        <w:jc w:val="both"/>
        <w:rPr>
          <w:rFonts w:eastAsia="Calibri"/>
          <w:color w:val="auto"/>
          <w:sz w:val="21"/>
          <w:szCs w:val="21"/>
        </w:rPr>
      </w:pPr>
      <w:r w:rsidRPr="0074242A">
        <w:rPr>
          <w:rFonts w:eastAsia="Calibri"/>
          <w:color w:val="auto"/>
          <w:sz w:val="21"/>
          <w:szCs w:val="21"/>
        </w:rPr>
        <w:t xml:space="preserve">5). ¿Cuáles son los efectos de las normas de carácter general relacionadas con la imposición de multas, sanciones y declaratorias de incumplimiento (Art 86 Ley 1474 de 2011), en un contrato de mínima cuantía? </w:t>
      </w:r>
    </w:p>
    <w:p w14:paraId="257229EF" w14:textId="77777777" w:rsidR="00473BF3" w:rsidRPr="0074242A" w:rsidRDefault="00473BF3" w:rsidP="00B92EA6">
      <w:pPr>
        <w:pStyle w:val="Default"/>
        <w:ind w:left="709" w:right="709"/>
        <w:contextualSpacing/>
        <w:jc w:val="both"/>
        <w:rPr>
          <w:rFonts w:eastAsia="Calibri"/>
          <w:color w:val="auto"/>
          <w:sz w:val="21"/>
          <w:szCs w:val="21"/>
        </w:rPr>
      </w:pPr>
    </w:p>
    <w:p w14:paraId="27BF77B0" w14:textId="77777777" w:rsidR="00473BF3" w:rsidRPr="0074242A" w:rsidRDefault="00473BF3" w:rsidP="00B92EA6">
      <w:pPr>
        <w:pStyle w:val="Default"/>
        <w:ind w:left="709" w:right="709"/>
        <w:contextualSpacing/>
        <w:jc w:val="both"/>
        <w:rPr>
          <w:rFonts w:eastAsia="Calibri"/>
          <w:color w:val="auto"/>
          <w:sz w:val="21"/>
          <w:szCs w:val="21"/>
        </w:rPr>
      </w:pPr>
      <w:r w:rsidRPr="0074242A">
        <w:rPr>
          <w:rFonts w:eastAsia="Calibri"/>
          <w:color w:val="auto"/>
          <w:sz w:val="21"/>
          <w:szCs w:val="21"/>
        </w:rPr>
        <w:t>6). ¿Cuáles son los efectos de las normas de carácter general relacionadas con la cláusula excepcional de “ CADUCIDAD” (Art 14.2 Ley 80 de 1993), en un contrato de mínima cuantía?». (SIC)</w:t>
      </w:r>
    </w:p>
    <w:p w14:paraId="21B1FFF3" w14:textId="77777777" w:rsidR="00B92EA6" w:rsidRPr="0074242A" w:rsidRDefault="00B92EA6" w:rsidP="00B92EA6">
      <w:pPr>
        <w:pStyle w:val="Prrafodelista"/>
        <w:tabs>
          <w:tab w:val="left" w:pos="0"/>
          <w:tab w:val="left" w:pos="284"/>
        </w:tabs>
        <w:spacing w:line="276" w:lineRule="auto"/>
        <w:ind w:left="0"/>
        <w:jc w:val="both"/>
        <w:rPr>
          <w:rFonts w:ascii="Arial" w:eastAsia="Calibri" w:hAnsi="Arial" w:cs="Arial"/>
          <w:b/>
          <w:color w:val="FF0000"/>
          <w:sz w:val="22"/>
          <w:lang w:val="es-ES_tradnl"/>
        </w:rPr>
      </w:pPr>
    </w:p>
    <w:p w14:paraId="44B4CB18" w14:textId="77777777" w:rsidR="00B92EA6" w:rsidRPr="0074242A" w:rsidRDefault="00B92EA6" w:rsidP="00AC2936">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4242A">
        <w:rPr>
          <w:rFonts w:ascii="Arial" w:eastAsia="Calibri" w:hAnsi="Arial" w:cs="Arial"/>
          <w:b/>
          <w:sz w:val="22"/>
          <w:lang w:val="es-ES_tradnl"/>
        </w:rPr>
        <w:t>Consideraciones</w:t>
      </w:r>
    </w:p>
    <w:p w14:paraId="66E02BF0" w14:textId="77777777" w:rsidR="00B92EA6" w:rsidRPr="0074242A" w:rsidRDefault="00B92EA6" w:rsidP="00B92EA6">
      <w:pPr>
        <w:spacing w:after="0" w:line="276" w:lineRule="auto"/>
        <w:contextualSpacing/>
        <w:jc w:val="both"/>
        <w:rPr>
          <w:rFonts w:ascii="Arial" w:eastAsia="Calibri" w:hAnsi="Arial" w:cs="Arial"/>
          <w:lang w:val="es-ES_tradnl"/>
        </w:rPr>
      </w:pPr>
    </w:p>
    <w:p w14:paraId="41027652" w14:textId="00BA408C" w:rsidR="00B92EA6" w:rsidRPr="0074242A" w:rsidRDefault="00B92EA6" w:rsidP="00B92EA6">
      <w:pPr>
        <w:spacing w:after="120" w:line="276" w:lineRule="auto"/>
        <w:jc w:val="both"/>
        <w:rPr>
          <w:rFonts w:ascii="Arial" w:hAnsi="Arial" w:cs="Arial"/>
          <w:lang w:val="es-ES_tradnl"/>
        </w:rPr>
      </w:pPr>
      <w:r w:rsidRPr="0074242A">
        <w:rPr>
          <w:rFonts w:ascii="Arial" w:hAnsi="Arial" w:cs="Arial"/>
          <w:lang w:val="es-ES_tradnl"/>
        </w:rPr>
        <w:t>Con el fin de resolver su consulta, se analizarán los siguientes temas: i) las potestades excepcionales de las entidades en el marco del Estatuto General de Contratación de la Administración Pública, ii) procedimiento administrativo sancionatorio contractual previsto en el artículo 86 de la Ley 1474 de 2011 y iii) el procedimiento de selección de mínima cuantía</w:t>
      </w:r>
      <w:r w:rsidR="00534601" w:rsidRPr="0074242A">
        <w:rPr>
          <w:rFonts w:ascii="Arial" w:hAnsi="Arial" w:cs="Arial"/>
          <w:lang w:val="es-ES_tradnl"/>
        </w:rPr>
        <w:t xml:space="preserve"> y los cambios introducidos por la Ley 2069 de 2020</w:t>
      </w:r>
      <w:r w:rsidRPr="0074242A">
        <w:rPr>
          <w:rFonts w:ascii="Arial" w:hAnsi="Arial" w:cs="Arial"/>
          <w:lang w:val="es-ES_tradnl"/>
        </w:rPr>
        <w:t xml:space="preserve">. </w:t>
      </w:r>
    </w:p>
    <w:p w14:paraId="1682035B" w14:textId="46827835" w:rsidR="00B92EA6" w:rsidRPr="0074242A" w:rsidRDefault="00B92EA6" w:rsidP="00F2469E">
      <w:pPr>
        <w:spacing w:after="0" w:line="276" w:lineRule="auto"/>
        <w:ind w:firstLine="708"/>
        <w:contextualSpacing/>
        <w:jc w:val="both"/>
        <w:rPr>
          <w:rFonts w:ascii="Arial" w:hAnsi="Arial" w:cs="Arial"/>
          <w:color w:val="FF0000"/>
          <w:lang w:val="es-ES_tradnl"/>
        </w:rPr>
      </w:pPr>
      <w:r w:rsidRPr="0074242A">
        <w:rPr>
          <w:rFonts w:ascii="Arial" w:hAnsi="Arial" w:cs="Arial"/>
          <w:lang w:val="es-ES_tradnl"/>
        </w:rPr>
        <w:t>La Agencia Nacional de Contratación Pública – Colombia Compra Eficiente, en los conceptos C-147 del 17 de marzo de 2020, C-219 del 29 de abril de 2020, C-434 del 29 de julio de 2020, C-569 del 31 de agosto de 2020, C-641 del 4 de noviembre de 2020, C-060 del 8 de marzo de 2021</w:t>
      </w:r>
      <w:r w:rsidR="00534601" w:rsidRPr="0074242A">
        <w:rPr>
          <w:rFonts w:ascii="Arial" w:hAnsi="Arial" w:cs="Arial"/>
          <w:lang w:val="es-ES_tradnl"/>
        </w:rPr>
        <w:t>,</w:t>
      </w:r>
      <w:r w:rsidRPr="0074242A">
        <w:rPr>
          <w:rFonts w:ascii="Arial" w:hAnsi="Arial" w:cs="Arial"/>
          <w:lang w:val="es-ES_tradnl"/>
        </w:rPr>
        <w:t xml:space="preserve"> C-528 del 5 de abril de 2021, </w:t>
      </w:r>
      <w:r w:rsidR="00534601" w:rsidRPr="0074242A">
        <w:rPr>
          <w:rFonts w:ascii="Arial" w:hAnsi="Arial" w:cs="Arial"/>
          <w:lang w:val="es-ES_tradnl"/>
        </w:rPr>
        <w:t xml:space="preserve">C-035 y C-040 del 2 de marzo de 2022 y C-061 del 8 de marzo de 2022 </w:t>
      </w:r>
      <w:r w:rsidRPr="0074242A">
        <w:rPr>
          <w:rFonts w:ascii="Arial" w:hAnsi="Arial" w:cs="Arial"/>
          <w:lang w:val="es-ES_tradnl"/>
        </w:rPr>
        <w:t>estudió la potestad sancionatoria de las entidades estatales y el procedimiento administrativo que deben efectuar para declarar el incumplimiento y aplicar las sanciones correspondientes, destacando la necesidad de garantizar el debido proceso.</w:t>
      </w:r>
      <w:r w:rsidR="00534601" w:rsidRPr="0074242A">
        <w:rPr>
          <w:rFonts w:ascii="Arial" w:hAnsi="Arial" w:cs="Arial"/>
          <w:lang w:val="es-ES_tradnl"/>
        </w:rPr>
        <w:t xml:space="preserve"> Así mismo, los conceptos C-005 del 16 de febrero de 2021, C-037 del 26 de febrero de 2021, C-035 del 02 de marzo de 2021, C-126 del 06 de abril de </w:t>
      </w:r>
      <w:r w:rsidR="00534601" w:rsidRPr="0074242A">
        <w:rPr>
          <w:rFonts w:ascii="Arial" w:hAnsi="Arial" w:cs="Arial"/>
          <w:lang w:val="es-ES_tradnl"/>
        </w:rPr>
        <w:lastRenderedPageBreak/>
        <w:t xml:space="preserve">2021, C-127 del 06 de abril de 2021, C-144 del 07 de abril de 2021, C-141 del 08 de abril de 2021, C-163 y C-164 del 19 de abril de 2021, C-242 del 25 de mayo de 2021, C-496 del 14 de septiembre de 2021 y C- 573 de 13 de octubre de 2021, se analizó el alcance del artículo 30 de la Ley 2069 de 2020. </w:t>
      </w:r>
      <w:r w:rsidRPr="0074242A">
        <w:rPr>
          <w:rFonts w:ascii="Arial" w:hAnsi="Arial" w:cs="Arial"/>
          <w:lang w:val="es-ES_tradnl"/>
        </w:rPr>
        <w:t xml:space="preserve">Las ideas expuestas en dichas oportunidades se reiteran a continuación, complementándolas con </w:t>
      </w:r>
      <w:r w:rsidR="00534601" w:rsidRPr="0074242A">
        <w:rPr>
          <w:rFonts w:ascii="Arial" w:hAnsi="Arial" w:cs="Arial"/>
          <w:lang w:val="es-ES_tradnl"/>
        </w:rPr>
        <w:t xml:space="preserve">algunas ideas relativas a la consulta realizada. </w:t>
      </w:r>
    </w:p>
    <w:p w14:paraId="35582529" w14:textId="77777777" w:rsidR="00164AAE" w:rsidRPr="0074242A" w:rsidRDefault="00164AAE" w:rsidP="00534601">
      <w:pPr>
        <w:spacing w:after="0" w:line="276" w:lineRule="auto"/>
        <w:ind w:firstLine="709"/>
        <w:contextualSpacing/>
        <w:jc w:val="both"/>
        <w:rPr>
          <w:rFonts w:ascii="Arial" w:hAnsi="Arial" w:cs="Arial"/>
          <w:color w:val="FF0000"/>
          <w:lang w:val="es-ES_tradnl"/>
        </w:rPr>
      </w:pPr>
    </w:p>
    <w:p w14:paraId="58907E79" w14:textId="77777777" w:rsidR="00C25AE7" w:rsidRPr="0074242A" w:rsidRDefault="00C25AE7" w:rsidP="00534601">
      <w:pPr>
        <w:spacing w:after="0" w:line="276" w:lineRule="auto"/>
        <w:contextualSpacing/>
        <w:jc w:val="both"/>
        <w:rPr>
          <w:rFonts w:ascii="Arial" w:eastAsia="Calibri" w:hAnsi="Arial" w:cs="Arial"/>
          <w:b/>
          <w:bCs/>
        </w:rPr>
      </w:pPr>
      <w:r w:rsidRPr="0074242A">
        <w:rPr>
          <w:rFonts w:ascii="Arial" w:eastAsia="Calibri" w:hAnsi="Arial" w:cs="Arial"/>
          <w:b/>
          <w:bCs/>
          <w:lang w:val="es-ES_tradnl"/>
        </w:rPr>
        <w:t xml:space="preserve">2.1. </w:t>
      </w:r>
      <w:bookmarkStart w:id="3" w:name="_Hlk41479721"/>
      <w:r w:rsidRPr="0074242A">
        <w:rPr>
          <w:rFonts w:ascii="Arial" w:eastAsia="Calibri" w:hAnsi="Arial" w:cs="Arial"/>
          <w:b/>
          <w:bCs/>
        </w:rPr>
        <w:t>Las potestades excepcionales de las entidades estatales en el marco del Estatuto General de Contratación de la Administración Pública. Artículo 14 de la Ley 80 de 1993</w:t>
      </w:r>
    </w:p>
    <w:bookmarkEnd w:id="3"/>
    <w:p w14:paraId="3A50C817" w14:textId="4DC9BA67" w:rsidR="00C25AE7" w:rsidRPr="0074242A" w:rsidRDefault="00F42F38" w:rsidP="00534601">
      <w:pPr>
        <w:spacing w:after="0" w:line="276" w:lineRule="auto"/>
        <w:contextualSpacing/>
        <w:jc w:val="both"/>
        <w:rPr>
          <w:rFonts w:ascii="Arial" w:eastAsia="Calibri" w:hAnsi="Arial" w:cs="Arial"/>
          <w:b/>
          <w:bCs/>
          <w:lang w:val="es-ES_tradnl"/>
        </w:rPr>
      </w:pPr>
      <w:r w:rsidRPr="0074242A">
        <w:rPr>
          <w:rFonts w:ascii="Arial" w:eastAsia="Calibri" w:hAnsi="Arial" w:cs="Arial"/>
          <w:b/>
          <w:bCs/>
          <w:lang w:val="es-ES_tradnl"/>
        </w:rPr>
        <w:t xml:space="preserve">                                                                                                                                                                                                                                                                                                                                                                                                                                                                                                                                                                                                                                                                                                                                                                                                                                                                                                                                                                                                                                                                                                                                                                                                                                                                                                                                                                                                                                                                                                                                                                                                                                                                                                                                                                                                                                                                                                                                                                                                                                                                                                                                                                                                                                                                                                                                                                                                                                                                                                                                                                                                                                                                                                                                                                                                                                                                                                                                                                                                                                                                                                                                                                                                                                                                                                                                                                                                                                                                                                                                                                                                                                                                                                                                                                                                                                                                                                                                                                                                                                                                                                                                                                                                                                                                                                                                                                                                                                                                                                                                                                                                                                                                                                                                                                                                                                                                                                                                                                                                                                                                                                                                                                                                                                                                                                                                                                                                                                                                                                                                           </w:t>
      </w:r>
    </w:p>
    <w:p w14:paraId="4818F5EB" w14:textId="77777777" w:rsidR="00C25AE7" w:rsidRPr="0074242A" w:rsidRDefault="00C25AE7" w:rsidP="00C25AE7">
      <w:pPr>
        <w:spacing w:after="120" w:line="276" w:lineRule="auto"/>
        <w:jc w:val="both"/>
        <w:rPr>
          <w:rFonts w:ascii="Arial" w:hAnsi="Arial" w:cs="Arial"/>
          <w:iCs/>
        </w:rPr>
      </w:pPr>
      <w:r w:rsidRPr="0074242A">
        <w:rPr>
          <w:rFonts w:ascii="Arial" w:hAnsi="Arial" w:cs="Arial"/>
          <w:iCs/>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consagradas en el artículo 14 de la Ley 80 de 1993, en las cuales se incluye la terminación unilateral, la interpretación unilateral, la modificación unilateral, la caducidad y la reversión, desarrolladas en los artículos 15 a 19 </w:t>
      </w:r>
      <w:r w:rsidRPr="0074242A">
        <w:rPr>
          <w:rFonts w:ascii="Arial" w:hAnsi="Arial" w:cs="Arial"/>
          <w:i/>
          <w:lang w:val="es-ES_tradnl"/>
        </w:rPr>
        <w:t>ibidem</w:t>
      </w:r>
      <w:r w:rsidRPr="0074242A">
        <w:rPr>
          <w:rFonts w:ascii="Arial" w:hAnsi="Arial" w:cs="Arial"/>
          <w:iCs/>
        </w:rPr>
        <w:t xml:space="preserve">; ii) las previstas en los artículos 11 y 7 de la Ley 1150 de 2007, relacionadas con la liquidación unilateral y la declaratoria unilateral del siniestro; y iii) las dispuestas en el artículo 17 de la Ley 1150 de 2007 respecto a la </w:t>
      </w:r>
      <w:r w:rsidRPr="0074242A">
        <w:rPr>
          <w:rFonts w:ascii="Arial" w:hAnsi="Arial" w:cs="Arial"/>
          <w:i/>
        </w:rPr>
        <w:t>imposición unilateral</w:t>
      </w:r>
      <w:r w:rsidRPr="0074242A">
        <w:rPr>
          <w:rFonts w:ascii="Arial" w:hAnsi="Arial" w:cs="Arial"/>
          <w:iCs/>
        </w:rPr>
        <w:t xml:space="preserve"> de las cláusulas penales y de multas, aclarando que su exorbitancia se refiere a su imposición unilateral, especialmente, cuando es posible pactar estas cláusulas en virtud de las normas civiles y comerciales.</w:t>
      </w:r>
    </w:p>
    <w:p w14:paraId="7156B59D" w14:textId="331292C7" w:rsidR="00C25AE7" w:rsidRPr="0074242A" w:rsidRDefault="00C25AE7" w:rsidP="00C25AE7">
      <w:pPr>
        <w:spacing w:after="120" w:line="276" w:lineRule="auto"/>
        <w:ind w:firstLine="709"/>
        <w:jc w:val="both"/>
        <w:rPr>
          <w:rFonts w:ascii="Arial" w:eastAsia="Calibri" w:hAnsi="Arial" w:cs="Arial"/>
        </w:rPr>
      </w:pPr>
      <w:r w:rsidRPr="0074242A">
        <w:rPr>
          <w:rFonts w:ascii="Arial" w:hAnsi="Arial" w:cs="Arial"/>
          <w:iCs/>
          <w:lang w:val="es-ES_tradnl"/>
        </w:rPr>
        <w:t>Las primeras</w:t>
      </w:r>
      <w:r w:rsidR="00807531" w:rsidRPr="0074242A">
        <w:rPr>
          <w:rFonts w:ascii="Arial" w:hAnsi="Arial" w:cs="Arial"/>
          <w:iCs/>
          <w:lang w:val="es-ES_tradnl"/>
        </w:rPr>
        <w:t xml:space="preserve"> potestades</w:t>
      </w:r>
      <w:r w:rsidRPr="0074242A">
        <w:rPr>
          <w:rFonts w:ascii="Arial" w:hAnsi="Arial" w:cs="Arial"/>
          <w:iCs/>
          <w:lang w:val="es-ES_tradnl"/>
        </w:rPr>
        <w:t xml:space="preserve">, esto es, </w:t>
      </w:r>
      <w:bookmarkStart w:id="4" w:name="_Hlk100670162"/>
      <w:bookmarkStart w:id="5" w:name="_Hlk100311569"/>
      <w:r w:rsidRPr="0074242A">
        <w:rPr>
          <w:rFonts w:ascii="Arial" w:hAnsi="Arial" w:cs="Arial"/>
          <w:iCs/>
          <w:lang w:val="es-ES_tradnl"/>
        </w:rPr>
        <w:t xml:space="preserve">las cláusulas excepcionales del artículo 14 de la Ley 80 de 1993, </w:t>
      </w:r>
      <w:r w:rsidRPr="0074242A">
        <w:rPr>
          <w:rFonts w:ascii="Arial" w:eastAsia="Calibri" w:hAnsi="Arial" w:cs="Arial"/>
        </w:rPr>
        <w:t xml:space="preserve">también se les conoce como «exorbitantes». Etimológicamente, esta palabra viene del latín: se compone del prefijo </w:t>
      </w:r>
      <w:r w:rsidRPr="0074242A">
        <w:rPr>
          <w:rFonts w:ascii="Arial" w:eastAsia="Calibri" w:hAnsi="Arial" w:cs="Arial"/>
          <w:i/>
          <w:iCs/>
        </w:rPr>
        <w:t>ex</w:t>
      </w:r>
      <w:r w:rsidRPr="0074242A">
        <w:rPr>
          <w:rFonts w:ascii="Arial" w:eastAsia="Calibri" w:hAnsi="Arial" w:cs="Arial"/>
        </w:rPr>
        <w:t xml:space="preserve">, que indica separación o movimiento de salida, y la raíz de la palabra </w:t>
      </w:r>
      <w:r w:rsidRPr="0074242A">
        <w:rPr>
          <w:rFonts w:ascii="Arial" w:eastAsia="Calibri" w:hAnsi="Arial" w:cs="Arial"/>
          <w:i/>
          <w:iCs/>
        </w:rPr>
        <w:t>orbita</w:t>
      </w:r>
      <w:r w:rsidRPr="0074242A">
        <w:rPr>
          <w:rFonts w:ascii="Arial" w:eastAsia="Calibri" w:hAnsi="Arial" w:cs="Arial"/>
        </w:rPr>
        <w:t xml:space="preserve">, relacionado con el curso de los astros, un derivado de la palabra </w:t>
      </w:r>
      <w:r w:rsidRPr="0074242A">
        <w:rPr>
          <w:rFonts w:ascii="Arial" w:eastAsia="Calibri" w:hAnsi="Arial" w:cs="Arial"/>
          <w:i/>
          <w:iCs/>
        </w:rPr>
        <w:t>orbis</w:t>
      </w:r>
      <w:r w:rsidRPr="0074242A">
        <w:rPr>
          <w:rFonts w:ascii="Arial" w:eastAsia="Calibri" w:hAnsi="Arial" w:cs="Arial"/>
        </w:rPr>
        <w:t>, que significa circunferencia. En esta medida, lo exorbitante es lo que se sale excesivamente de su ritmo o medida habitual</w:t>
      </w:r>
      <w:r w:rsidRPr="0074242A">
        <w:rPr>
          <w:rStyle w:val="Refdenotaalpie"/>
          <w:rFonts w:ascii="Arial" w:eastAsia="Calibri" w:hAnsi="Arial" w:cs="Arial"/>
        </w:rPr>
        <w:footnoteReference w:id="1"/>
      </w:r>
      <w:r w:rsidRPr="0074242A">
        <w:rPr>
          <w:rFonts w:ascii="Arial" w:eastAsia="Calibri" w:hAnsi="Arial" w:cs="Arial"/>
        </w:rPr>
        <w:t>. Para la doctrina, estas cláusulas son exorbitantes bien porque son poco habituales en los contratos entre particulares o porque, pactadas en los mismos, están viciadas de nulidad</w:t>
      </w:r>
      <w:r w:rsidRPr="0074242A">
        <w:rPr>
          <w:rStyle w:val="Refdenotaalpie"/>
          <w:rFonts w:ascii="Arial" w:eastAsia="Calibri" w:hAnsi="Arial" w:cs="Arial"/>
        </w:rPr>
        <w:footnoteReference w:id="2"/>
      </w:r>
      <w:r w:rsidRPr="0074242A">
        <w:rPr>
          <w:rFonts w:ascii="Arial" w:eastAsia="Calibri" w:hAnsi="Arial" w:cs="Arial"/>
        </w:rPr>
        <w:t>.</w:t>
      </w:r>
      <w:r w:rsidR="00353AFB" w:rsidRPr="0074242A">
        <w:rPr>
          <w:rFonts w:ascii="Arial" w:eastAsia="Calibri" w:hAnsi="Arial" w:cs="Arial"/>
        </w:rPr>
        <w:t xml:space="preserve"> Por ejemplo</w:t>
      </w:r>
      <w:r w:rsidRPr="0074242A">
        <w:rPr>
          <w:rFonts w:ascii="Arial" w:eastAsia="Calibri" w:hAnsi="Arial" w:cs="Arial"/>
        </w:rPr>
        <w:t xml:space="preserve">, las cláusulas de caducidad, interpretación unilateral, </w:t>
      </w:r>
      <w:r w:rsidR="00FC7C84" w:rsidRPr="0074242A">
        <w:rPr>
          <w:rFonts w:ascii="Arial" w:eastAsia="Calibri" w:hAnsi="Arial" w:cs="Arial"/>
        </w:rPr>
        <w:t>modificación unilateral</w:t>
      </w:r>
      <w:r w:rsidRPr="0074242A">
        <w:rPr>
          <w:rFonts w:ascii="Arial" w:eastAsia="Calibri" w:hAnsi="Arial" w:cs="Arial"/>
        </w:rPr>
        <w:t>, etc. están prohibidas en contratos sometidos al derecho privado, ya que no derogan las leyes de orden público –</w:t>
      </w:r>
      <w:r w:rsidRPr="0074242A">
        <w:rPr>
          <w:rFonts w:ascii="Arial" w:eastAsia="Calibri" w:hAnsi="Arial" w:cs="Arial"/>
        </w:rPr>
        <w:lastRenderedPageBreak/>
        <w:t>art</w:t>
      </w:r>
      <w:r w:rsidR="00B86435" w:rsidRPr="0074242A">
        <w:rPr>
          <w:rFonts w:ascii="Arial" w:eastAsia="Calibri" w:hAnsi="Arial" w:cs="Arial"/>
        </w:rPr>
        <w:t>ículo</w:t>
      </w:r>
      <w:r w:rsidRPr="0074242A">
        <w:rPr>
          <w:rFonts w:ascii="Arial" w:eastAsia="Calibri" w:hAnsi="Arial" w:cs="Arial"/>
        </w:rPr>
        <w:t xml:space="preserve"> 16 del Código Civil–, existe objeto ilícito en todo lo que contraviene el derecho público de la nación –art</w:t>
      </w:r>
      <w:r w:rsidR="00B86435" w:rsidRPr="0074242A">
        <w:rPr>
          <w:rFonts w:ascii="Arial" w:eastAsia="Calibri" w:hAnsi="Arial" w:cs="Arial"/>
        </w:rPr>
        <w:t>ículo</w:t>
      </w:r>
      <w:r w:rsidRPr="0074242A">
        <w:rPr>
          <w:rFonts w:ascii="Arial" w:eastAsia="Calibri" w:hAnsi="Arial" w:cs="Arial"/>
        </w:rPr>
        <w:t xml:space="preserve"> 1519 del Código Civil– y, por tanto, están viciadas de nulidad absoluta –art</w:t>
      </w:r>
      <w:r w:rsidR="00B86435" w:rsidRPr="0074242A">
        <w:rPr>
          <w:rFonts w:ascii="Arial" w:eastAsia="Calibri" w:hAnsi="Arial" w:cs="Arial"/>
        </w:rPr>
        <w:t>ículo</w:t>
      </w:r>
      <w:r w:rsidRPr="0074242A">
        <w:rPr>
          <w:rFonts w:ascii="Arial" w:eastAsia="Calibri" w:hAnsi="Arial" w:cs="Arial"/>
        </w:rPr>
        <w:t xml:space="preserve"> 1741 del Código Civil–. En este sentido, las cláusulas exorbitantes se reservan a los contratos autorizados por la ley, pues son poderes derogatorios del derecho común y requieren una norma excepcional como la citada </w:t>
      </w:r>
      <w:r w:rsidRPr="0074242A">
        <w:rPr>
          <w:rFonts w:ascii="Arial" w:eastAsia="Calibri" w:hAnsi="Arial" w:cs="Arial"/>
          <w:i/>
          <w:iCs/>
        </w:rPr>
        <w:t>ut supra</w:t>
      </w:r>
      <w:r w:rsidRPr="0074242A">
        <w:rPr>
          <w:rFonts w:ascii="Arial" w:eastAsia="Calibri" w:hAnsi="Arial" w:cs="Arial"/>
        </w:rPr>
        <w:t xml:space="preserve">. </w:t>
      </w:r>
      <w:bookmarkEnd w:id="4"/>
    </w:p>
    <w:bookmarkEnd w:id="5"/>
    <w:p w14:paraId="2682453E" w14:textId="160BBE7A" w:rsidR="00C25AE7" w:rsidRPr="0074242A" w:rsidRDefault="00C25AE7" w:rsidP="00C25AE7">
      <w:pPr>
        <w:spacing w:after="120" w:line="276" w:lineRule="auto"/>
        <w:ind w:firstLine="709"/>
        <w:jc w:val="both"/>
        <w:rPr>
          <w:rFonts w:ascii="Arial" w:eastAsia="Calibri" w:hAnsi="Arial" w:cs="Arial"/>
        </w:rPr>
      </w:pPr>
      <w:r w:rsidRPr="0074242A">
        <w:rPr>
          <w:rFonts w:ascii="Arial" w:eastAsia="Calibri" w:hAnsi="Arial" w:cs="Arial"/>
        </w:rPr>
        <w:t xml:space="preserve">Como </w:t>
      </w:r>
      <w:r w:rsidR="00B86435" w:rsidRPr="0074242A">
        <w:rPr>
          <w:rFonts w:ascii="Arial" w:eastAsia="Calibri" w:hAnsi="Arial" w:cs="Arial"/>
        </w:rPr>
        <w:t xml:space="preserve">lo </w:t>
      </w:r>
      <w:r w:rsidRPr="0074242A">
        <w:rPr>
          <w:rFonts w:ascii="Arial" w:eastAsia="Calibri" w:hAnsi="Arial" w:cs="Arial"/>
        </w:rPr>
        <w:t>explica la jurisprudencia, el artículo 14 de la Ley 80 de 1993 dispone cuatro (4) grupos de contratos en los cuales es diferente el régimen de estas facultades</w:t>
      </w:r>
      <w:r w:rsidRPr="0074242A">
        <w:rPr>
          <w:rStyle w:val="Refdenotaalpie"/>
          <w:rFonts w:ascii="Arial" w:eastAsia="Calibri" w:hAnsi="Arial" w:cs="Arial"/>
        </w:rPr>
        <w:footnoteReference w:id="3"/>
      </w:r>
      <w:r w:rsidRPr="0074242A">
        <w:rPr>
          <w:rFonts w:ascii="Arial" w:eastAsia="Calibri" w:hAnsi="Arial" w:cs="Arial"/>
        </w:rPr>
        <w:t xml:space="preserve">. El </w:t>
      </w:r>
      <w:r w:rsidRPr="0074242A">
        <w:rPr>
          <w:rFonts w:ascii="Arial" w:eastAsia="Calibri" w:hAnsi="Arial" w:cs="Arial"/>
          <w:i/>
          <w:iCs/>
        </w:rPr>
        <w:t>primer grupo</w:t>
      </w:r>
      <w:r w:rsidRPr="0074242A">
        <w:rPr>
          <w:rFonts w:ascii="Arial" w:eastAsia="Calibri" w:hAnsi="Arial" w:cs="Arial"/>
        </w:rPr>
        <w:t xml:space="preserve"> corresponde a </w:t>
      </w:r>
      <w:r w:rsidR="00305AF2" w:rsidRPr="0074242A">
        <w:rPr>
          <w:rFonts w:ascii="Arial" w:eastAsia="Calibri" w:hAnsi="Arial" w:cs="Arial"/>
        </w:rPr>
        <w:t>los contratos</w:t>
      </w:r>
      <w:r w:rsidRPr="0074242A">
        <w:rPr>
          <w:rFonts w:ascii="Arial" w:eastAsia="Calibri" w:hAnsi="Arial" w:cs="Arial"/>
        </w:rPr>
        <w:t xml:space="preserve"> en los que es obligatorio incluir poderes exorbitantes</w:t>
      </w:r>
      <w:r w:rsidR="00305AF2" w:rsidRPr="0074242A">
        <w:rPr>
          <w:rFonts w:ascii="Arial" w:eastAsia="Calibri" w:hAnsi="Arial" w:cs="Arial"/>
        </w:rPr>
        <w:t xml:space="preserve"> y está </w:t>
      </w:r>
      <w:r w:rsidRPr="0074242A">
        <w:rPr>
          <w:rFonts w:ascii="Arial" w:eastAsia="Calibri" w:hAnsi="Arial" w:cs="Arial"/>
        </w:rPr>
        <w:t xml:space="preserve">formado por aquellos que tengan por </w:t>
      </w:r>
      <w:r w:rsidR="006C3599" w:rsidRPr="0074242A">
        <w:rPr>
          <w:rFonts w:ascii="Arial" w:eastAsia="Calibri" w:hAnsi="Arial" w:cs="Arial"/>
        </w:rPr>
        <w:t>objeto el ejercicio de una actividad que constituya monopolio estatal, la prestación de servicios públicos, los contratos relacionados con el programa de alimentación escolar o la explotación y concesión de bienes del Estado, así como en los contratos de obra</w:t>
      </w:r>
      <w:r w:rsidR="006C3599" w:rsidRPr="0074242A">
        <w:rPr>
          <w:rStyle w:val="Refdenotaalpie"/>
          <w:rFonts w:ascii="Arial" w:eastAsia="Calibri" w:hAnsi="Arial" w:cs="Arial"/>
        </w:rPr>
        <w:footnoteReference w:id="4"/>
      </w:r>
      <w:r w:rsidRPr="0074242A">
        <w:rPr>
          <w:rFonts w:ascii="Arial" w:eastAsia="Calibri" w:hAnsi="Arial" w:cs="Arial"/>
        </w:rPr>
        <w:t xml:space="preserve">. En estas tipologías, conforme a la clasificación </w:t>
      </w:r>
      <w:bookmarkStart w:id="6" w:name="_Hlk41077919"/>
      <w:r w:rsidRPr="0074242A">
        <w:rPr>
          <w:rFonts w:ascii="Arial" w:eastAsia="Calibri" w:hAnsi="Arial" w:cs="Arial"/>
        </w:rPr>
        <w:t>del artículo 1501 del Código Civil</w:t>
      </w:r>
      <w:bookmarkEnd w:id="6"/>
      <w:r w:rsidRPr="0074242A">
        <w:rPr>
          <w:rFonts w:ascii="Arial" w:eastAsia="Calibri" w:hAnsi="Arial" w:cs="Arial"/>
        </w:rPr>
        <w:t xml:space="preserve">, los poderes corresponden a cláusulas de </w:t>
      </w:r>
      <w:r w:rsidR="00FC7C84" w:rsidRPr="0074242A">
        <w:rPr>
          <w:rFonts w:ascii="Arial" w:eastAsia="Calibri" w:hAnsi="Arial" w:cs="Arial"/>
        </w:rPr>
        <w:t xml:space="preserve">la </w:t>
      </w:r>
      <w:r w:rsidRPr="0074242A">
        <w:rPr>
          <w:rFonts w:ascii="Arial" w:eastAsia="Calibri" w:hAnsi="Arial" w:cs="Arial"/>
        </w:rPr>
        <w:t>naturaleza, es decir, aquellas que –frente al silencio del pliego de condiciones o del contrato– forman parte del negocio en virtud de la ley</w:t>
      </w:r>
      <w:r w:rsidRPr="0074242A">
        <w:rPr>
          <w:rStyle w:val="Refdenotaalpie"/>
          <w:rFonts w:ascii="Arial" w:eastAsia="Calibri" w:hAnsi="Arial" w:cs="Arial"/>
        </w:rPr>
        <w:footnoteReference w:id="5"/>
      </w:r>
      <w:r w:rsidR="00EE607A" w:rsidRPr="0074242A">
        <w:rPr>
          <w:rFonts w:ascii="Arial" w:eastAsia="Calibri" w:hAnsi="Arial" w:cs="Arial"/>
        </w:rPr>
        <w:t>, c</w:t>
      </w:r>
      <w:r w:rsidRPr="0074242A">
        <w:rPr>
          <w:rFonts w:ascii="Arial" w:eastAsia="Calibri" w:hAnsi="Arial" w:cs="Arial"/>
        </w:rPr>
        <w:t xml:space="preserve">onsiderando la relación directa de estos contratos con la eficiente prestación de los servicios públicos, los poderes exorbitantes de este grupo son irrenunciables. </w:t>
      </w:r>
    </w:p>
    <w:p w14:paraId="6EA72E9E" w14:textId="43EB209C" w:rsidR="00C25AE7" w:rsidRPr="0074242A" w:rsidRDefault="00C25AE7" w:rsidP="00C25AE7">
      <w:pPr>
        <w:spacing w:after="120" w:line="276" w:lineRule="auto"/>
        <w:ind w:firstLine="709"/>
        <w:jc w:val="both"/>
        <w:rPr>
          <w:rFonts w:ascii="Arial" w:eastAsia="Calibri" w:hAnsi="Arial" w:cs="Arial"/>
        </w:rPr>
      </w:pPr>
      <w:r w:rsidRPr="0074242A">
        <w:rPr>
          <w:rFonts w:ascii="Arial" w:eastAsia="Calibri" w:hAnsi="Arial" w:cs="Arial"/>
        </w:rPr>
        <w:t xml:space="preserve">El </w:t>
      </w:r>
      <w:r w:rsidRPr="0074242A">
        <w:rPr>
          <w:rFonts w:ascii="Arial" w:eastAsia="Calibri" w:hAnsi="Arial" w:cs="Arial"/>
          <w:i/>
          <w:iCs/>
        </w:rPr>
        <w:t>segundo grupo</w:t>
      </w:r>
      <w:r w:rsidRPr="0074242A">
        <w:rPr>
          <w:rFonts w:ascii="Arial" w:eastAsia="Calibri" w:hAnsi="Arial" w:cs="Arial"/>
        </w:rPr>
        <w:t xml:space="preserve"> está conformado por los contratos en que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cláusulas no son obligatorias. En este grupo, la ley no suple el silencio del pliego de condiciones o del contrato, pues –conforme al artículo 1501 del Código Civil– son elementos accidentales que requieren pacto expreso. </w:t>
      </w:r>
      <w:r w:rsidR="00EE607A" w:rsidRPr="0074242A">
        <w:rPr>
          <w:rFonts w:ascii="Arial" w:eastAsia="Calibri" w:hAnsi="Arial" w:cs="Arial"/>
        </w:rPr>
        <w:t xml:space="preserve">Así las cosas, en caso de no </w:t>
      </w:r>
      <w:r w:rsidR="00DF3BFF" w:rsidRPr="0074242A">
        <w:rPr>
          <w:rFonts w:ascii="Arial" w:eastAsia="Calibri" w:hAnsi="Arial" w:cs="Arial"/>
        </w:rPr>
        <w:t xml:space="preserve">se entenderán incluidas.  </w:t>
      </w:r>
    </w:p>
    <w:p w14:paraId="1EB44E19" w14:textId="3756FC1D" w:rsidR="00C25AE7" w:rsidRPr="0074242A" w:rsidRDefault="00C25AE7" w:rsidP="00C25AE7">
      <w:pPr>
        <w:spacing w:after="120" w:line="276" w:lineRule="auto"/>
        <w:ind w:firstLine="709"/>
        <w:jc w:val="both"/>
        <w:rPr>
          <w:rFonts w:ascii="Arial" w:eastAsia="Calibri" w:hAnsi="Arial" w:cs="Arial"/>
        </w:rPr>
      </w:pPr>
      <w:r w:rsidRPr="0074242A">
        <w:rPr>
          <w:rFonts w:ascii="Arial" w:eastAsia="Calibri" w:hAnsi="Arial" w:cs="Arial"/>
        </w:rPr>
        <w:t xml:space="preserve">El </w:t>
      </w:r>
      <w:r w:rsidRPr="0074242A">
        <w:rPr>
          <w:rFonts w:ascii="Arial" w:eastAsia="Calibri" w:hAnsi="Arial" w:cs="Arial"/>
          <w:i/>
          <w:iCs/>
        </w:rPr>
        <w:t>tercer grupo</w:t>
      </w:r>
      <w:r w:rsidRPr="0074242A">
        <w:rPr>
          <w:rFonts w:ascii="Arial" w:eastAsia="Calibri" w:hAnsi="Arial" w:cs="Arial"/>
        </w:rPr>
        <w:t xml:space="preserve"> corresponde a los contratos del parágrafo del artículo 14 del Estatuto General donde la ley prohíbe pactar de estos poderes, so pena de nulidad absoluta por objeto ilícito, como es el caso de los contratos</w:t>
      </w:r>
      <w:r w:rsidRPr="0074242A">
        <w:rPr>
          <w:rFonts w:ascii="Arial" w:hAnsi="Arial" w:cs="Arial"/>
          <w:shd w:val="clear" w:color="auto" w:fill="FFFFFF"/>
        </w:rPr>
        <w:t xml:space="preserve"> con personas públicas internacionales, o de </w:t>
      </w:r>
      <w:r w:rsidRPr="0074242A">
        <w:rPr>
          <w:rFonts w:ascii="Arial" w:hAnsi="Arial" w:cs="Arial"/>
          <w:shd w:val="clear" w:color="auto" w:fill="FFFFFF"/>
        </w:rPr>
        <w:lastRenderedPageBreak/>
        <w:t>cooperación, ayuda o asistencia; interadministrativos, en los de empréstito, donación y arrendamiento y en los que tengan por objeto actividades comerciales o industriales de las entidades estatales que no corresponden a las señaladas en el numeral 2° del artículo 14 de la Ley 80</w:t>
      </w:r>
      <w:r w:rsidR="00B86435" w:rsidRPr="0074242A">
        <w:rPr>
          <w:rFonts w:ascii="Arial" w:hAnsi="Arial" w:cs="Arial"/>
          <w:shd w:val="clear" w:color="auto" w:fill="FFFFFF"/>
        </w:rPr>
        <w:t xml:space="preserve"> de 19</w:t>
      </w:r>
      <w:r w:rsidRPr="0074242A">
        <w:rPr>
          <w:rFonts w:ascii="Arial" w:hAnsi="Arial" w:cs="Arial"/>
          <w:shd w:val="clear" w:color="auto" w:fill="FFFFFF"/>
        </w:rPr>
        <w:t>93, o que tengan por objeto el desarrollo directo de actividades científicas o tecnológicas, así como los contratos de seguro tomados por las entidades estatales.</w:t>
      </w:r>
    </w:p>
    <w:p w14:paraId="0624E1BD" w14:textId="67AD7B6D" w:rsidR="00C25AE7" w:rsidRPr="0074242A" w:rsidRDefault="00C25AE7" w:rsidP="00C25AE7">
      <w:pPr>
        <w:spacing w:line="276" w:lineRule="auto"/>
        <w:ind w:firstLine="709"/>
        <w:contextualSpacing/>
        <w:jc w:val="both"/>
        <w:rPr>
          <w:rFonts w:ascii="Arial" w:eastAsia="Calibri" w:hAnsi="Arial" w:cs="Arial"/>
        </w:rPr>
      </w:pPr>
      <w:r w:rsidRPr="0074242A">
        <w:rPr>
          <w:rFonts w:ascii="Arial" w:eastAsia="Calibri" w:hAnsi="Arial" w:cs="Arial"/>
        </w:rPr>
        <w:t xml:space="preserve">Finalmente, el </w:t>
      </w:r>
      <w:r w:rsidRPr="0074242A">
        <w:rPr>
          <w:rFonts w:ascii="Arial" w:eastAsia="Calibri" w:hAnsi="Arial" w:cs="Arial"/>
          <w:i/>
          <w:iCs/>
        </w:rPr>
        <w:t>cuarto grupo</w:t>
      </w:r>
      <w:r w:rsidRPr="0074242A">
        <w:rPr>
          <w:rFonts w:ascii="Arial" w:eastAsia="Calibri" w:hAnsi="Arial" w:cs="Arial"/>
        </w:rPr>
        <w:t xml:space="preserve"> está conformado por las tipologías que no se encuentran en alguno de los tres (3) grupos anteriormente comentados. Dado que la ley autoriza su ejercicio, no es posible fundamentar estos poderes en la autonomía de la voluntad. Por tanto, se entiende </w:t>
      </w:r>
      <w:r w:rsidR="000E7F39" w:rsidRPr="0074242A">
        <w:rPr>
          <w:rFonts w:ascii="Arial" w:eastAsia="Calibri" w:hAnsi="Arial" w:cs="Arial"/>
        </w:rPr>
        <w:t xml:space="preserve">que </w:t>
      </w:r>
      <w:r w:rsidRPr="0074242A">
        <w:rPr>
          <w:rFonts w:ascii="Arial" w:eastAsia="Calibri" w:hAnsi="Arial" w:cs="Arial"/>
        </w:rPr>
        <w:t xml:space="preserve">también están prohibidos en este último grupo, ya que:    </w:t>
      </w:r>
    </w:p>
    <w:p w14:paraId="4FF4BC2B" w14:textId="77777777" w:rsidR="00C25AE7" w:rsidRPr="0074242A" w:rsidRDefault="00C25AE7" w:rsidP="00B86435">
      <w:pPr>
        <w:spacing w:after="0" w:line="276" w:lineRule="auto"/>
        <w:ind w:firstLine="709"/>
        <w:contextualSpacing/>
        <w:jc w:val="both"/>
        <w:rPr>
          <w:rFonts w:ascii="Arial" w:eastAsia="Calibri" w:hAnsi="Arial" w:cs="Arial"/>
        </w:rPr>
      </w:pPr>
    </w:p>
    <w:p w14:paraId="7AE39369" w14:textId="77777777" w:rsidR="00C25AE7" w:rsidRPr="0074242A" w:rsidRDefault="00C25AE7" w:rsidP="00B86435">
      <w:pPr>
        <w:spacing w:after="0" w:line="240" w:lineRule="auto"/>
        <w:ind w:left="709" w:right="709"/>
        <w:contextualSpacing/>
        <w:jc w:val="both"/>
        <w:rPr>
          <w:rFonts w:ascii="Arial" w:eastAsia="Calibri" w:hAnsi="Arial" w:cs="Arial"/>
          <w:sz w:val="21"/>
          <w:szCs w:val="21"/>
        </w:rPr>
      </w:pPr>
      <w:r w:rsidRPr="0074242A">
        <w:rPr>
          <w:rFonts w:ascii="Arial" w:eastAsia="Calibri" w:hAnsi="Arial" w:cs="Arial"/>
          <w:sz w:val="21"/>
          <w:szCs w:val="21"/>
        </w:rPr>
        <w:t>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competencias para la expedición de actos administrativos en desarrollo de los contratos estatales, actos que, como es sabido, constituyen el mecanismo de ejercicio de las exorbitancias contractuales</w:t>
      </w:r>
      <w:r w:rsidRPr="0074242A">
        <w:rPr>
          <w:rStyle w:val="Refdenotaalpie"/>
          <w:rFonts w:ascii="Arial" w:eastAsia="Calibri" w:hAnsi="Arial" w:cs="Arial"/>
          <w:sz w:val="21"/>
          <w:szCs w:val="21"/>
        </w:rPr>
        <w:footnoteReference w:id="6"/>
      </w:r>
      <w:r w:rsidRPr="0074242A">
        <w:rPr>
          <w:rFonts w:ascii="Arial" w:eastAsia="Calibri" w:hAnsi="Arial" w:cs="Arial"/>
          <w:sz w:val="21"/>
          <w:szCs w:val="21"/>
        </w:rPr>
        <w:t>.</w:t>
      </w:r>
    </w:p>
    <w:p w14:paraId="079B2287" w14:textId="77777777" w:rsidR="00C25AE7" w:rsidRPr="0074242A" w:rsidRDefault="00C25AE7" w:rsidP="00B86435">
      <w:pPr>
        <w:spacing w:after="0" w:line="276" w:lineRule="auto"/>
        <w:ind w:left="709" w:right="709"/>
        <w:contextualSpacing/>
        <w:jc w:val="both"/>
        <w:rPr>
          <w:rFonts w:ascii="Arial" w:eastAsia="Calibri" w:hAnsi="Arial" w:cs="Arial"/>
        </w:rPr>
      </w:pPr>
    </w:p>
    <w:p w14:paraId="6588406D" w14:textId="030AA698" w:rsidR="00C25AE7" w:rsidRPr="0074242A" w:rsidRDefault="00C25AE7" w:rsidP="00C25AE7">
      <w:pPr>
        <w:spacing w:line="276" w:lineRule="auto"/>
        <w:ind w:firstLine="709"/>
        <w:contextualSpacing/>
        <w:jc w:val="both"/>
        <w:rPr>
          <w:rFonts w:ascii="Arial" w:hAnsi="Arial" w:cs="Arial"/>
          <w:iCs/>
          <w:lang w:val="es-ES_tradnl"/>
        </w:rPr>
      </w:pPr>
      <w:r w:rsidRPr="0074242A">
        <w:rPr>
          <w:rFonts w:ascii="Arial" w:hAnsi="Arial" w:cs="Arial"/>
          <w:iCs/>
          <w:lang w:val="es-ES_tradnl"/>
        </w:rPr>
        <w:t xml:space="preserve">En relación con dichas cláusulas, al analizarse el régimen sancionatorio contractual, se destaca la </w:t>
      </w:r>
      <w:bookmarkStart w:id="7" w:name="_Hlk100670321"/>
      <w:r w:rsidRPr="0074242A">
        <w:rPr>
          <w:rFonts w:ascii="Arial" w:hAnsi="Arial" w:cs="Arial"/>
          <w:iCs/>
          <w:lang w:val="es-ES_tradnl"/>
        </w:rPr>
        <w:t xml:space="preserve">cláusula excepcional de </w:t>
      </w:r>
      <w:bookmarkStart w:id="8" w:name="_Hlk100311858"/>
      <w:r w:rsidRPr="0074242A">
        <w:rPr>
          <w:rFonts w:ascii="Arial" w:hAnsi="Arial" w:cs="Arial"/>
          <w:iCs/>
          <w:lang w:val="es-ES_tradnl"/>
        </w:rPr>
        <w:t>caducidad, pues es la sanción más severa que existe en la contratación estatal</w:t>
      </w:r>
      <w:r w:rsidR="00406045" w:rsidRPr="0074242A">
        <w:rPr>
          <w:rFonts w:ascii="Arial" w:hAnsi="Arial" w:cs="Arial"/>
          <w:iCs/>
          <w:lang w:val="es-ES_tradnl"/>
        </w:rPr>
        <w:t>. Esta</w:t>
      </w:r>
      <w:r w:rsidRPr="0074242A">
        <w:rPr>
          <w:rFonts w:ascii="Arial" w:hAnsi="Arial" w:cs="Arial"/>
          <w:iCs/>
          <w:lang w:val="es-ES_tradnl"/>
        </w:rPr>
        <w:t xml:space="preserve">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w:t>
      </w:r>
      <w:r w:rsidR="00406045" w:rsidRPr="0074242A">
        <w:rPr>
          <w:rFonts w:ascii="Arial" w:hAnsi="Arial" w:cs="Arial"/>
          <w:iCs/>
          <w:lang w:val="es-ES_tradnl"/>
        </w:rPr>
        <w:t xml:space="preserve"> del contrato</w:t>
      </w:r>
      <w:r w:rsidRPr="0074242A">
        <w:rPr>
          <w:rFonts w:ascii="Arial" w:hAnsi="Arial" w:cs="Arial"/>
          <w:iCs/>
          <w:lang w:val="es-ES_tradnl"/>
        </w:rPr>
        <w:t xml:space="preserve"> por otros medios, señalados en el artículo 18 de la Ley 80 de 1993. </w:t>
      </w:r>
      <w:bookmarkEnd w:id="8"/>
      <w:bookmarkEnd w:id="7"/>
      <w:r w:rsidRPr="0074242A">
        <w:rPr>
          <w:rFonts w:ascii="Arial" w:hAnsi="Arial" w:cs="Arial"/>
          <w:iCs/>
          <w:lang w:val="es-ES_tradnl"/>
        </w:rPr>
        <w:t>En cuanto a la oportunidad para su imposición, el Consejo de Estado precisó:</w:t>
      </w:r>
    </w:p>
    <w:p w14:paraId="371C75F5" w14:textId="77777777" w:rsidR="00C25AE7" w:rsidRPr="0074242A" w:rsidRDefault="00C25AE7" w:rsidP="00406045">
      <w:pPr>
        <w:spacing w:after="0" w:line="276" w:lineRule="auto"/>
        <w:contextualSpacing/>
        <w:jc w:val="both"/>
        <w:rPr>
          <w:rFonts w:ascii="Arial" w:hAnsi="Arial" w:cs="Arial"/>
          <w:iCs/>
          <w:lang w:val="es-ES_tradnl"/>
        </w:rPr>
      </w:pPr>
    </w:p>
    <w:p w14:paraId="59E6021B" w14:textId="77777777" w:rsidR="00C25AE7" w:rsidRPr="0074242A" w:rsidRDefault="00C25AE7" w:rsidP="00406045">
      <w:pPr>
        <w:spacing w:after="0" w:line="240" w:lineRule="auto"/>
        <w:ind w:left="709" w:right="709"/>
        <w:contextualSpacing/>
        <w:jc w:val="both"/>
        <w:rPr>
          <w:rFonts w:ascii="Arial" w:hAnsi="Arial" w:cs="Arial"/>
          <w:iCs/>
          <w:sz w:val="21"/>
          <w:szCs w:val="21"/>
          <w:lang w:val="es-ES_tradnl"/>
        </w:rPr>
      </w:pPr>
      <w:r w:rsidRPr="0074242A">
        <w:rPr>
          <w:rFonts w:ascii="Arial" w:hAnsi="Arial" w:cs="Arial"/>
          <w:iCs/>
          <w:sz w:val="21"/>
          <w:szCs w:val="21"/>
          <w:lang w:val="es-ES_tradnl"/>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Pr="0074242A">
        <w:rPr>
          <w:rStyle w:val="Refdenotaalpie"/>
          <w:rFonts w:ascii="Arial" w:hAnsi="Arial" w:cs="Arial"/>
          <w:sz w:val="21"/>
          <w:szCs w:val="21"/>
        </w:rPr>
        <w:footnoteReference w:id="7"/>
      </w:r>
      <w:r w:rsidRPr="0074242A">
        <w:rPr>
          <w:rFonts w:ascii="Arial" w:hAnsi="Arial" w:cs="Arial"/>
          <w:iCs/>
          <w:sz w:val="21"/>
          <w:szCs w:val="21"/>
          <w:lang w:val="es-ES_tradnl"/>
        </w:rPr>
        <w:t xml:space="preserve">. </w:t>
      </w:r>
    </w:p>
    <w:p w14:paraId="67EBB84C" w14:textId="77777777" w:rsidR="00C25AE7" w:rsidRPr="0074242A" w:rsidRDefault="00C25AE7" w:rsidP="00406045">
      <w:pPr>
        <w:spacing w:after="0" w:line="276" w:lineRule="auto"/>
        <w:contextualSpacing/>
        <w:jc w:val="both"/>
        <w:rPr>
          <w:rFonts w:ascii="Arial" w:hAnsi="Arial" w:cs="Arial"/>
          <w:iCs/>
          <w:lang w:val="es-ES_tradnl"/>
        </w:rPr>
      </w:pPr>
    </w:p>
    <w:p w14:paraId="590A2A6D" w14:textId="4EA9FDCE" w:rsidR="00C25AE7" w:rsidRPr="0074242A" w:rsidRDefault="00C25AE7" w:rsidP="006B72B8">
      <w:pPr>
        <w:spacing w:after="120" w:line="276" w:lineRule="auto"/>
        <w:ind w:firstLine="709"/>
        <w:jc w:val="both"/>
        <w:rPr>
          <w:rFonts w:ascii="Arial" w:hAnsi="Arial" w:cs="Arial"/>
          <w:iCs/>
          <w:lang w:val="es-ES_tradnl"/>
        </w:rPr>
      </w:pPr>
      <w:bookmarkStart w:id="9" w:name="_Hlk100311881"/>
      <w:r w:rsidRPr="0074242A">
        <w:rPr>
          <w:rFonts w:ascii="Arial" w:hAnsi="Arial" w:cs="Arial"/>
          <w:iCs/>
          <w:lang w:val="es-ES_tradnl"/>
        </w:rPr>
        <w:lastRenderedPageBreak/>
        <w:t xml:space="preserve">Las consecuencias jurídicas que se generan con la caducidad son: i) la terminación del contrato, ii) la iniciación del trámite de liquidación bilateral –y unilateral, si fracasa la bilateral–, iii) la inhabilidad sobreviniente por cinco </w:t>
      </w:r>
      <w:r w:rsidR="00115A48" w:rsidRPr="0074242A">
        <w:rPr>
          <w:rFonts w:ascii="Arial" w:hAnsi="Arial" w:cs="Arial"/>
          <w:iCs/>
          <w:lang w:val="es-ES_tradnl"/>
        </w:rPr>
        <w:t xml:space="preserve">(5) </w:t>
      </w:r>
      <w:r w:rsidRPr="0074242A">
        <w:rPr>
          <w:rFonts w:ascii="Arial" w:hAnsi="Arial" w:cs="Arial"/>
          <w:iCs/>
          <w:lang w:val="es-ES_tradnl"/>
        </w:rPr>
        <w:t>años, iv) la efectividad de la garantía única de cumplimiento y v) el reporte en el SECOP, a la Procuraduría General de la Nación y a la Cámara de Comercio donde el contratista esté inscrito con el propósito de incluir la anotación en el Registro Único de Proponentes</w:t>
      </w:r>
      <w:r w:rsidR="00115A48" w:rsidRPr="0074242A">
        <w:rPr>
          <w:rFonts w:ascii="Arial" w:hAnsi="Arial" w:cs="Arial"/>
          <w:iCs/>
          <w:lang w:val="es-ES_tradnl"/>
        </w:rPr>
        <w:t xml:space="preserve"> (RUP)</w:t>
      </w:r>
      <w:r w:rsidRPr="0074242A">
        <w:rPr>
          <w:rFonts w:ascii="Arial" w:hAnsi="Arial" w:cs="Arial"/>
          <w:iCs/>
          <w:lang w:val="es-ES_tradnl"/>
        </w:rPr>
        <w:t>.</w:t>
      </w:r>
    </w:p>
    <w:bookmarkEnd w:id="9"/>
    <w:p w14:paraId="0D661C8E" w14:textId="348AEC8C" w:rsidR="00C25AE7" w:rsidRPr="0074242A" w:rsidRDefault="00AB3C2B" w:rsidP="006B72B8">
      <w:pPr>
        <w:spacing w:after="120" w:line="276" w:lineRule="auto"/>
        <w:ind w:firstLine="709"/>
        <w:jc w:val="both"/>
        <w:rPr>
          <w:rFonts w:ascii="Arial" w:hAnsi="Arial" w:cs="Arial"/>
          <w:iCs/>
          <w:lang w:val="es-ES_tradnl"/>
        </w:rPr>
      </w:pPr>
      <w:r w:rsidRPr="0074242A">
        <w:rPr>
          <w:rFonts w:ascii="Arial" w:hAnsi="Arial" w:cs="Arial"/>
          <w:iCs/>
          <w:lang w:val="es-ES_tradnl"/>
        </w:rPr>
        <w:t xml:space="preserve"> </w:t>
      </w:r>
      <w:r w:rsidR="00C25AE7" w:rsidRPr="0074242A">
        <w:rPr>
          <w:rFonts w:ascii="Arial" w:hAnsi="Arial" w:cs="Arial"/>
          <w:iCs/>
          <w:lang w:val="es-ES_tradnl"/>
        </w:rPr>
        <w:t xml:space="preserve">Así, dentro de los requisitos de orden legal que deben cumplirse para decretar la caducidad no hay uno que exija a las entidades estatales imponer multas previas al contratista, como condición </w:t>
      </w:r>
      <w:r w:rsidR="00C25AE7" w:rsidRPr="0074242A">
        <w:rPr>
          <w:rFonts w:ascii="Arial" w:hAnsi="Arial" w:cs="Arial"/>
          <w:i/>
          <w:lang w:val="es-ES_tradnl"/>
        </w:rPr>
        <w:t>sine qua non</w:t>
      </w:r>
      <w:r w:rsidR="00C25AE7" w:rsidRPr="0074242A">
        <w:rPr>
          <w:rFonts w:ascii="Arial" w:hAnsi="Arial" w:cs="Arial"/>
          <w:iCs/>
          <w:lang w:val="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w:t>
      </w:r>
      <w:r w:rsidR="00406045" w:rsidRPr="0074242A">
        <w:rPr>
          <w:rFonts w:ascii="Arial" w:hAnsi="Arial" w:cs="Arial"/>
          <w:iCs/>
          <w:lang w:val="es-ES_tradnl"/>
        </w:rPr>
        <w:t>para declarar la</w:t>
      </w:r>
      <w:r w:rsidR="00C25AE7" w:rsidRPr="0074242A">
        <w:rPr>
          <w:rFonts w:ascii="Arial" w:hAnsi="Arial" w:cs="Arial"/>
          <w:iCs/>
          <w:lang w:val="es-ES_tradnl"/>
        </w:rPr>
        <w:t xml:space="preserve"> caducidad la imposición previa de una multa, pues además de que el incumplimiento grave del contrato –que es presupuesto de la caducidad– puede presentarse </w:t>
      </w:r>
      <w:r w:rsidR="00C25AE7" w:rsidRPr="0074242A">
        <w:rPr>
          <w:rFonts w:ascii="Arial" w:hAnsi="Arial" w:cs="Arial"/>
          <w:i/>
          <w:lang w:val="es-ES_tradnl"/>
        </w:rPr>
        <w:t>ipso facto</w:t>
      </w:r>
      <w:r w:rsidR="00C25AE7" w:rsidRPr="0074242A">
        <w:rPr>
          <w:rFonts w:ascii="Arial" w:hAnsi="Arial" w:cs="Arial"/>
          <w:iCs/>
          <w:lang w:val="es-ES_tradnl"/>
        </w:rPr>
        <w:t>, es decir, sin que se evidencien antecedentes de incumplimientos parciales, el Estatuto General de Contratación de la Administración Pública permite decretar directamente esta cláusula excepcional, respetando el debido proceso.</w:t>
      </w:r>
    </w:p>
    <w:p w14:paraId="216237B3" w14:textId="5B9707B7" w:rsidR="00C25AE7" w:rsidRPr="0074242A" w:rsidRDefault="00C25AE7" w:rsidP="006B72B8">
      <w:pPr>
        <w:spacing w:before="120" w:after="120" w:line="276" w:lineRule="auto"/>
        <w:ind w:firstLine="709"/>
        <w:jc w:val="both"/>
        <w:rPr>
          <w:rFonts w:ascii="Arial" w:hAnsi="Arial" w:cs="Arial"/>
          <w:iCs/>
          <w:lang w:val="es-ES_tradnl"/>
        </w:rPr>
      </w:pPr>
      <w:r w:rsidRPr="0074242A">
        <w:rPr>
          <w:rFonts w:ascii="Arial" w:hAnsi="Arial" w:cs="Arial"/>
          <w:iCs/>
          <w:lang w:val="es-ES_tradnl"/>
        </w:rPr>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74242A">
        <w:rPr>
          <w:rFonts w:ascii="Arial" w:hAnsi="Arial" w:cs="Arial"/>
          <w:i/>
          <w:lang w:val="es-ES_tradnl"/>
        </w:rPr>
        <w:t>sanción</w:t>
      </w:r>
      <w:r w:rsidRPr="0074242A">
        <w:rPr>
          <w:rFonts w:ascii="Arial" w:hAnsi="Arial" w:cs="Arial"/>
          <w:iCs/>
          <w:lang w:val="es-ES_tradnl"/>
        </w:rPr>
        <w:t xml:space="preserve"> que solo procede «</w:t>
      </w:r>
      <w:r w:rsidRPr="0074242A">
        <w:rPr>
          <w:rFonts w:ascii="Arial" w:hAnsi="Arial" w:cs="Arial"/>
          <w:lang w:val="es-ES_tradnl"/>
        </w:rPr>
        <w:t xml:space="preserve">[…] </w:t>
      </w:r>
      <w:r w:rsidRPr="0074242A">
        <w:rPr>
          <w:rFonts w:ascii="Arial" w:hAnsi="Arial" w:cs="Arial"/>
          <w:iCs/>
          <w:lang w:val="es-ES_tradnl"/>
        </w:rPr>
        <w:t>si se presenta alguno de los hechos constitutivos de incumplimiento de las obligaciones a cargo del contratista, que afecte de manera grave y directa la ejecución del contrato y evidencie que puede conducir a su paralización» y que genera una inhabilidad para contratar con un</w:t>
      </w:r>
      <w:r w:rsidR="002D3B14" w:rsidRPr="0074242A">
        <w:rPr>
          <w:rFonts w:ascii="Arial" w:hAnsi="Arial" w:cs="Arial"/>
          <w:iCs/>
          <w:lang w:val="es-ES_tradnl"/>
        </w:rPr>
        <w:t xml:space="preserve"> término</w:t>
      </w:r>
      <w:r w:rsidRPr="0074242A">
        <w:rPr>
          <w:rFonts w:ascii="Arial" w:hAnsi="Arial" w:cs="Arial"/>
          <w:iCs/>
          <w:lang w:val="es-ES_tradnl"/>
        </w:rPr>
        <w:t xml:space="preserve"> de cinco (5) años, de acuerdo con el artículo 8, numeral 1, literal c) de la Ley 80 de 1993. En cambio, </w:t>
      </w:r>
      <w:bookmarkStart w:id="10" w:name="_Hlk100670541"/>
      <w:r w:rsidRPr="0074242A">
        <w:rPr>
          <w:rFonts w:ascii="Arial" w:hAnsi="Arial" w:cs="Arial"/>
          <w:iCs/>
          <w:lang w:val="es-ES_tradnl"/>
        </w:rPr>
        <w:t xml:space="preserve">la terminación unilateral anticipada del contrato puede decretarse ante la ocurrencia de alguno de los supuestos fácticos del artículo 17 de la misma Ley. Estos supuestos son: i) razones de servicio público o de orden público,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p w14:paraId="4FFF85C6" w14:textId="77777777" w:rsidR="00C25AE7" w:rsidRPr="0074242A" w:rsidRDefault="00C25AE7" w:rsidP="006B72B8">
      <w:pPr>
        <w:spacing w:before="120" w:after="120" w:line="276" w:lineRule="auto"/>
        <w:ind w:firstLine="709"/>
        <w:jc w:val="both"/>
        <w:rPr>
          <w:rFonts w:ascii="Arial" w:hAnsi="Arial" w:cs="Arial"/>
          <w:iCs/>
          <w:lang w:val="es-ES_tradnl"/>
        </w:rPr>
      </w:pPr>
      <w:bookmarkStart w:id="11" w:name="_Hlk100670556"/>
      <w:bookmarkEnd w:id="10"/>
      <w:r w:rsidRPr="0074242A">
        <w:rPr>
          <w:rFonts w:ascii="Arial" w:hAnsi="Arial" w:cs="Arial"/>
          <w:iCs/>
          <w:lang w:val="es-ES_tradnl"/>
        </w:rPr>
        <w:t xml:space="preserve">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ii) cuando el contrato se haya perfeccionado </w:t>
      </w:r>
      <w:r w:rsidRPr="0074242A">
        <w:rPr>
          <w:rFonts w:ascii="Arial" w:hAnsi="Arial" w:cs="Arial"/>
          <w:iCs/>
          <w:lang w:val="es-ES_tradnl"/>
        </w:rPr>
        <w:lastRenderedPageBreak/>
        <w:t>contraviniendo una prohibición legal o con desviación de poder y iii) cuando se declare la nulidad de los actos administrativos en los que se fundamente la celebración del contrato.</w:t>
      </w:r>
    </w:p>
    <w:bookmarkEnd w:id="11"/>
    <w:p w14:paraId="18BBDC2B" w14:textId="480A4941" w:rsidR="00C25AE7" w:rsidRPr="0074242A" w:rsidRDefault="00C25AE7" w:rsidP="006B72B8">
      <w:pPr>
        <w:spacing w:before="120" w:after="120" w:line="276" w:lineRule="auto"/>
        <w:ind w:firstLine="709"/>
        <w:jc w:val="both"/>
        <w:rPr>
          <w:rFonts w:ascii="Arial" w:hAnsi="Arial" w:cs="Arial"/>
          <w:iCs/>
          <w:lang w:val="es-ES_tradnl"/>
        </w:rPr>
      </w:pPr>
      <w:r w:rsidRPr="0074242A">
        <w:rPr>
          <w:rFonts w:ascii="Arial" w:hAnsi="Arial" w:cs="Arial"/>
          <w:iCs/>
          <w:lang w:val="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del contrato estatal, sino que se trata de una cláusula excepcional que les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79FA0BEC" w14:textId="711E9BF0" w:rsidR="00C25AE7" w:rsidRPr="0074242A" w:rsidRDefault="00330D90" w:rsidP="006B72B8">
      <w:pPr>
        <w:spacing w:before="120" w:after="120" w:line="276" w:lineRule="auto"/>
        <w:ind w:firstLine="709"/>
        <w:jc w:val="both"/>
        <w:rPr>
          <w:rFonts w:ascii="Arial" w:hAnsi="Arial" w:cs="Arial"/>
          <w:iCs/>
          <w:lang w:val="es-ES_tradnl"/>
        </w:rPr>
      </w:pPr>
      <w:r w:rsidRPr="0074242A">
        <w:rPr>
          <w:rFonts w:ascii="Arial" w:hAnsi="Arial" w:cs="Arial"/>
          <w:iCs/>
          <w:lang w:val="es-ES_tradnl"/>
        </w:rPr>
        <w:t>D</w:t>
      </w:r>
      <w:r w:rsidR="00C25AE7" w:rsidRPr="0074242A">
        <w:rPr>
          <w:rFonts w:ascii="Arial" w:hAnsi="Arial" w:cs="Arial"/>
          <w:iCs/>
          <w:lang w:val="es-ES_tradnl"/>
        </w:rPr>
        <w:t xml:space="preserve">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w:t>
      </w:r>
      <w:r w:rsidRPr="0074242A">
        <w:rPr>
          <w:rFonts w:ascii="Arial" w:hAnsi="Arial" w:cs="Arial"/>
          <w:iCs/>
          <w:lang w:val="es-ES_tradnl"/>
        </w:rPr>
        <w:t>del mencionado artículo</w:t>
      </w:r>
      <w:r w:rsidR="00C25AE7" w:rsidRPr="0074242A">
        <w:rPr>
          <w:rFonts w:ascii="Arial" w:hAnsi="Arial" w:cs="Arial"/>
          <w:iCs/>
          <w:lang w:val="es-ES_tradnl"/>
        </w:rPr>
        <w:t>.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00C25AE7" w:rsidRPr="0074242A">
        <w:rPr>
          <w:rFonts w:ascii="Arial" w:hAnsi="Arial" w:cs="Arial"/>
          <w:lang w:val="es-ES_tradnl"/>
        </w:rPr>
        <w:t xml:space="preserve">[…] </w:t>
      </w:r>
      <w:r w:rsidR="00C25AE7" w:rsidRPr="0074242A">
        <w:rPr>
          <w:rFonts w:ascii="Arial" w:hAnsi="Arial" w:cs="Arial"/>
          <w:iCs/>
          <w:lang w:val="es-ES_tradnl"/>
        </w:rPr>
        <w:t xml:space="preserve">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 </w:t>
      </w:r>
    </w:p>
    <w:p w14:paraId="08A866AE" w14:textId="4F1E0147" w:rsidR="00C25AE7" w:rsidRPr="0074242A" w:rsidRDefault="00C25AE7" w:rsidP="006B72B8">
      <w:pPr>
        <w:spacing w:before="120" w:after="120" w:line="276" w:lineRule="auto"/>
        <w:ind w:firstLine="709"/>
        <w:jc w:val="both"/>
        <w:rPr>
          <w:rFonts w:ascii="Arial" w:hAnsi="Arial" w:cs="Arial"/>
          <w:iCs/>
          <w:lang w:val="es-ES_tradnl"/>
        </w:rPr>
      </w:pPr>
      <w:bookmarkStart w:id="12" w:name="_Hlk100670667"/>
      <w:r w:rsidRPr="0074242A">
        <w:rPr>
          <w:rFonts w:ascii="Arial" w:hAnsi="Arial" w:cs="Arial"/>
          <w:iCs/>
          <w:lang w:val="es-ES_tradnl"/>
        </w:rPr>
        <w:t>El último grupo de potestades excepcionales –imposición unilateral de la multa o la cláusula penal–</w:t>
      </w:r>
      <w:r w:rsidR="00AC18EB" w:rsidRPr="0074242A">
        <w:rPr>
          <w:rFonts w:ascii="Arial" w:hAnsi="Arial" w:cs="Arial"/>
          <w:iCs/>
          <w:lang w:val="es-ES_tradnl"/>
        </w:rPr>
        <w:t>;</w:t>
      </w:r>
      <w:r w:rsidRPr="0074242A">
        <w:rPr>
          <w:rFonts w:ascii="Arial" w:hAnsi="Arial" w:cs="Arial"/>
          <w:iCs/>
          <w:lang w:val="es-ES_tradnl"/>
        </w:rPr>
        <w:t xml:space="preserve">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74242A">
        <w:rPr>
          <w:rStyle w:val="Refdenotaalpie"/>
          <w:rFonts w:ascii="Arial" w:hAnsi="Arial" w:cs="Arial"/>
        </w:rPr>
        <w:footnoteReference w:id="8"/>
      </w:r>
      <w:r w:rsidRPr="0074242A">
        <w:rPr>
          <w:rFonts w:ascii="Arial" w:hAnsi="Arial" w:cs="Arial"/>
          <w:iCs/>
          <w:lang w:val="es-ES_tradnl"/>
        </w:rPr>
        <w:t xml:space="preserve">.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w:t>
      </w:r>
      <w:r w:rsidRPr="0074242A">
        <w:rPr>
          <w:rFonts w:ascii="Arial" w:hAnsi="Arial" w:cs="Arial"/>
          <w:iCs/>
          <w:lang w:val="es-ES_tradnl"/>
        </w:rPr>
        <w:lastRenderedPageBreak/>
        <w:t>Esto último en la medida que dichas cláusulas son posibles y pueden pactarse en virtud de las normas civiles y comerciales.</w:t>
      </w:r>
    </w:p>
    <w:bookmarkEnd w:id="12"/>
    <w:p w14:paraId="3F77E41F" w14:textId="77777777" w:rsidR="00C25AE7" w:rsidRPr="0074242A" w:rsidRDefault="00C25AE7" w:rsidP="006B72B8">
      <w:pPr>
        <w:spacing w:before="120" w:after="0" w:line="276" w:lineRule="auto"/>
        <w:ind w:firstLine="709"/>
        <w:contextualSpacing/>
        <w:jc w:val="both"/>
        <w:rPr>
          <w:rFonts w:ascii="Arial" w:hAnsi="Arial" w:cs="Arial"/>
          <w:iCs/>
          <w:lang w:val="es-ES_tradnl"/>
        </w:rPr>
      </w:pPr>
      <w:r w:rsidRPr="0074242A">
        <w:rPr>
          <w:rFonts w:ascii="Arial" w:hAnsi="Arial" w:cs="Arial"/>
          <w:iCs/>
          <w:lang w:val="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75775AF7" w14:textId="77777777" w:rsidR="00C25AE7" w:rsidRPr="0074242A" w:rsidRDefault="00C25AE7" w:rsidP="006B72B8">
      <w:pPr>
        <w:pStyle w:val="Prrafodelista"/>
        <w:spacing w:line="276" w:lineRule="auto"/>
        <w:ind w:right="-425"/>
        <w:jc w:val="both"/>
        <w:rPr>
          <w:rFonts w:ascii="Arial" w:hAnsi="Arial" w:cs="Arial"/>
          <w:iCs/>
          <w:sz w:val="22"/>
          <w:lang w:val="es-ES_tradnl"/>
        </w:rPr>
      </w:pPr>
    </w:p>
    <w:p w14:paraId="7EE9B089" w14:textId="77777777" w:rsidR="00C25AE7" w:rsidRPr="0074242A" w:rsidRDefault="00C25AE7" w:rsidP="00134BDB">
      <w:pPr>
        <w:pStyle w:val="Prrafodelista"/>
        <w:ind w:left="709" w:right="709"/>
        <w:jc w:val="both"/>
        <w:rPr>
          <w:rFonts w:ascii="Arial" w:hAnsi="Arial" w:cs="Arial"/>
          <w:iCs/>
          <w:sz w:val="21"/>
          <w:szCs w:val="21"/>
          <w:lang w:val="es-ES_tradnl"/>
        </w:rPr>
      </w:pPr>
      <w:r w:rsidRPr="0074242A">
        <w:rPr>
          <w:rFonts w:ascii="Arial" w:hAnsi="Arial" w:cs="Arial"/>
          <w:iCs/>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74242A">
        <w:rPr>
          <w:rStyle w:val="Refdenotaalpie"/>
          <w:rFonts w:ascii="Arial" w:hAnsi="Arial" w:cs="Arial"/>
        </w:rPr>
        <w:footnoteReference w:id="9"/>
      </w:r>
      <w:r w:rsidRPr="0074242A">
        <w:rPr>
          <w:rFonts w:ascii="Arial" w:hAnsi="Arial" w:cs="Arial"/>
          <w:iCs/>
          <w:sz w:val="21"/>
          <w:szCs w:val="21"/>
          <w:lang w:val="es-ES_tradnl"/>
        </w:rPr>
        <w:t xml:space="preserve">. </w:t>
      </w:r>
    </w:p>
    <w:p w14:paraId="66266CE1" w14:textId="77777777" w:rsidR="00C25AE7" w:rsidRPr="0074242A" w:rsidRDefault="00C25AE7" w:rsidP="00EC1725">
      <w:pPr>
        <w:spacing w:after="0"/>
        <w:ind w:left="709" w:right="758"/>
        <w:contextualSpacing/>
        <w:jc w:val="both"/>
        <w:rPr>
          <w:rFonts w:ascii="Arial" w:hAnsi="Arial" w:cs="Arial"/>
          <w:iCs/>
          <w:sz w:val="21"/>
          <w:szCs w:val="21"/>
          <w:lang w:val="es-ES_tradnl"/>
        </w:rPr>
      </w:pPr>
    </w:p>
    <w:p w14:paraId="6B2BF057" w14:textId="77777777" w:rsidR="00C25AE7" w:rsidRPr="0074242A" w:rsidRDefault="00C25AE7" w:rsidP="00EC1725">
      <w:pPr>
        <w:spacing w:after="120" w:line="276" w:lineRule="auto"/>
        <w:ind w:firstLine="709"/>
        <w:jc w:val="both"/>
        <w:rPr>
          <w:rFonts w:ascii="Arial" w:hAnsi="Arial" w:cs="Arial"/>
          <w:iCs/>
          <w:lang w:val="es-ES_tradnl"/>
        </w:rPr>
      </w:pPr>
      <w:r w:rsidRPr="0074242A">
        <w:rPr>
          <w:rFonts w:ascii="Arial" w:hAnsi="Arial" w:cs="Arial"/>
          <w:iCs/>
          <w:lang w:val="es-ES_tradnl"/>
        </w:rPr>
        <w:t>De igual forma, en otra oportunidad el Consejo de Estado indicó que «el núcleo mínimo de este derecho exige que una norma –legal o contractual– contemple la falta y la sanción. Si ni siquiera lo hace el contrato, la Administración no puede imponer sanciones, so pena de violar el debido proceso»</w:t>
      </w:r>
      <w:r w:rsidRPr="0074242A">
        <w:rPr>
          <w:rStyle w:val="Refdenotaalpie"/>
          <w:rFonts w:ascii="Arial" w:hAnsi="Arial" w:cs="Arial"/>
        </w:rPr>
        <w:footnoteReference w:id="10"/>
      </w:r>
      <w:r w:rsidRPr="0074242A">
        <w:rPr>
          <w:rFonts w:ascii="Arial" w:hAnsi="Arial" w:cs="Arial"/>
          <w:iCs/>
          <w:lang w:val="es-ES_tradnl"/>
        </w:rPr>
        <w:t>. De otro lado, la Corte Constitucional</w:t>
      </w:r>
      <w:r w:rsidRPr="0074242A">
        <w:rPr>
          <w:rStyle w:val="Refdenotaalpie"/>
          <w:rFonts w:ascii="Arial" w:hAnsi="Arial" w:cs="Arial"/>
        </w:rPr>
        <w:footnoteReference w:id="11"/>
      </w:r>
      <w:r w:rsidRPr="0074242A">
        <w:rPr>
          <w:rFonts w:ascii="Arial" w:hAnsi="Arial" w:cs="Arial"/>
          <w:iCs/>
          <w:lang w:val="es-ES_tradnl"/>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0FB03C6F" w14:textId="77777777" w:rsidR="00C25AE7" w:rsidRPr="0074242A" w:rsidRDefault="00C25AE7" w:rsidP="00EC1725">
      <w:pPr>
        <w:spacing w:before="120" w:after="120" w:line="276" w:lineRule="auto"/>
        <w:ind w:firstLine="709"/>
        <w:jc w:val="both"/>
        <w:rPr>
          <w:rFonts w:ascii="Arial" w:hAnsi="Arial" w:cs="Arial"/>
          <w:iCs/>
          <w:lang w:val="es-ES_tradnl"/>
        </w:rPr>
      </w:pPr>
      <w:bookmarkStart w:id="13" w:name="_Hlk100670714"/>
      <w:r w:rsidRPr="0074242A">
        <w:rPr>
          <w:rFonts w:ascii="Arial" w:hAnsi="Arial" w:cs="Arial"/>
          <w:iCs/>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74242A">
        <w:rPr>
          <w:rStyle w:val="Refdenotaalpie"/>
          <w:rFonts w:ascii="Arial" w:hAnsi="Arial" w:cs="Arial"/>
        </w:rPr>
        <w:footnoteReference w:id="12"/>
      </w:r>
      <w:r w:rsidRPr="0074242A">
        <w:rPr>
          <w:rFonts w:ascii="Arial" w:hAnsi="Arial" w:cs="Arial"/>
          <w:iCs/>
          <w:lang w:val="es-ES_tradnl"/>
        </w:rPr>
        <w:t xml:space="preserve">, en relación con las diferencias entre las multas y la cláusula penal, esto es: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w:t>
      </w:r>
      <w:r w:rsidRPr="0074242A">
        <w:rPr>
          <w:rFonts w:ascii="Arial" w:hAnsi="Arial" w:cs="Arial"/>
          <w:iCs/>
          <w:lang w:val="es-ES_tradnl"/>
        </w:rPr>
        <w:lastRenderedPageBreak/>
        <w:t>incumplimientos parciales; la cláusula penal constituye en principio una tasación anticipada de perjuicios, a raíz de la declaratoria de caducidad o del incumplimiento definitivo del contrato»</w:t>
      </w:r>
      <w:r w:rsidRPr="0074242A">
        <w:rPr>
          <w:rStyle w:val="Refdenotaalpie"/>
          <w:rFonts w:ascii="Arial" w:hAnsi="Arial" w:cs="Arial"/>
        </w:rPr>
        <w:footnoteReference w:id="13"/>
      </w:r>
      <w:r w:rsidRPr="0074242A">
        <w:rPr>
          <w:rFonts w:ascii="Arial" w:hAnsi="Arial" w:cs="Arial"/>
          <w:iCs/>
          <w:lang w:val="es-ES_tradnl"/>
        </w:rPr>
        <w:t>.</w:t>
      </w:r>
    </w:p>
    <w:bookmarkEnd w:id="13"/>
    <w:p w14:paraId="770B277E" w14:textId="48B24675" w:rsidR="00C25AE7" w:rsidRPr="0074242A" w:rsidRDefault="00C25AE7" w:rsidP="00EC1725">
      <w:pPr>
        <w:spacing w:after="0" w:line="276" w:lineRule="auto"/>
        <w:ind w:firstLine="709"/>
        <w:contextualSpacing/>
        <w:jc w:val="both"/>
        <w:rPr>
          <w:rFonts w:ascii="Arial" w:hAnsi="Arial" w:cs="Arial"/>
          <w:iCs/>
          <w:lang w:val="es-ES_tradnl"/>
        </w:rPr>
      </w:pPr>
      <w:r w:rsidRPr="0074242A">
        <w:rPr>
          <w:rFonts w:ascii="Arial" w:hAnsi="Arial" w:cs="Arial"/>
          <w:iCs/>
          <w:lang w:val="es-ES_tradnl"/>
        </w:rPr>
        <w:t xml:space="preserve">Estudiadas </w:t>
      </w:r>
      <w:r w:rsidR="004555EB" w:rsidRPr="0074242A">
        <w:rPr>
          <w:rFonts w:ascii="Arial" w:hAnsi="Arial" w:cs="Arial"/>
          <w:iCs/>
          <w:lang w:val="es-ES_tradnl"/>
        </w:rPr>
        <w:t xml:space="preserve">en términos generales </w:t>
      </w:r>
      <w:r w:rsidRPr="0074242A">
        <w:rPr>
          <w:rFonts w:ascii="Arial" w:hAnsi="Arial" w:cs="Arial"/>
          <w:iCs/>
          <w:lang w:val="es-ES_tradnl"/>
        </w:rPr>
        <w:t xml:space="preserve">las cláusulas excepcionales, </w:t>
      </w:r>
      <w:r w:rsidR="004555EB" w:rsidRPr="0074242A">
        <w:rPr>
          <w:rFonts w:ascii="Arial" w:hAnsi="Arial" w:cs="Arial"/>
          <w:iCs/>
          <w:lang w:val="es-ES_tradnl"/>
        </w:rPr>
        <w:t xml:space="preserve">incluyendo las regidas por el artículo 17 de la Ley 1150 de 2007, esto es, </w:t>
      </w:r>
      <w:r w:rsidRPr="0074242A">
        <w:rPr>
          <w:rFonts w:ascii="Arial" w:hAnsi="Arial" w:cs="Arial"/>
          <w:iCs/>
          <w:lang w:val="es-ES_tradnl"/>
        </w:rPr>
        <w:t xml:space="preserve">la potestad de </w:t>
      </w:r>
      <w:r w:rsidRPr="0074242A">
        <w:rPr>
          <w:rFonts w:ascii="Arial" w:hAnsi="Arial" w:cs="Arial"/>
          <w:i/>
          <w:lang w:val="es-ES_tradnl"/>
        </w:rPr>
        <w:t xml:space="preserve">imposición unilateral </w:t>
      </w:r>
      <w:r w:rsidRPr="0074242A">
        <w:rPr>
          <w:rFonts w:ascii="Arial" w:hAnsi="Arial" w:cs="Arial"/>
          <w:iCs/>
          <w:lang w:val="es-ES_tradnl"/>
        </w:rPr>
        <w:t>de multas y la cláusula penal, corresponde analizar algunos aspectos del procedimiento administrativo sancionatorio contractual establecido en el artículo 86 de la Ley 1474 de 2011.</w:t>
      </w:r>
    </w:p>
    <w:p w14:paraId="0D71AE20" w14:textId="77777777" w:rsidR="00134BDB" w:rsidRPr="0074242A" w:rsidRDefault="00134BDB" w:rsidP="00EC1725">
      <w:pPr>
        <w:spacing w:after="0" w:line="276" w:lineRule="auto"/>
        <w:ind w:firstLine="709"/>
        <w:contextualSpacing/>
        <w:jc w:val="both"/>
        <w:rPr>
          <w:rFonts w:ascii="Arial" w:hAnsi="Arial" w:cs="Arial"/>
          <w:iCs/>
          <w:lang w:val="es-ES_tradnl"/>
        </w:rPr>
      </w:pPr>
    </w:p>
    <w:p w14:paraId="3E1F8CFD" w14:textId="77777777" w:rsidR="00EC1725" w:rsidRPr="0074242A" w:rsidRDefault="00EC1725" w:rsidP="00EC1725">
      <w:pPr>
        <w:spacing w:after="0" w:line="276" w:lineRule="auto"/>
        <w:contextualSpacing/>
        <w:jc w:val="both"/>
        <w:rPr>
          <w:rFonts w:ascii="Arial" w:eastAsia="Calibri" w:hAnsi="Arial" w:cs="Arial"/>
          <w:b/>
          <w:bCs/>
          <w:lang w:val="es-ES_tradnl"/>
        </w:rPr>
      </w:pPr>
      <w:r w:rsidRPr="0074242A">
        <w:rPr>
          <w:rFonts w:ascii="Arial" w:eastAsia="Calibri" w:hAnsi="Arial" w:cs="Arial"/>
          <w:b/>
          <w:bCs/>
          <w:lang w:val="es-ES_tradnl"/>
        </w:rPr>
        <w:t>2.2. Procedimiento administrativo sancionatorio contractual. Artículo 86 de la Ley 1474 de 2011</w:t>
      </w:r>
    </w:p>
    <w:p w14:paraId="5B70AAFD" w14:textId="77777777" w:rsidR="00EC1725" w:rsidRPr="0074242A" w:rsidRDefault="00EC1725" w:rsidP="00EC1725">
      <w:pPr>
        <w:spacing w:after="0" w:line="276" w:lineRule="auto"/>
        <w:ind w:firstLine="709"/>
        <w:contextualSpacing/>
        <w:jc w:val="both"/>
        <w:rPr>
          <w:rFonts w:ascii="Arial" w:hAnsi="Arial" w:cs="Arial"/>
          <w:b/>
          <w:bCs/>
          <w:iCs/>
          <w:lang w:val="es-ES_tradnl"/>
        </w:rPr>
      </w:pPr>
    </w:p>
    <w:p w14:paraId="54B4C639" w14:textId="26F918C8" w:rsidR="00EC1725" w:rsidRPr="0074242A" w:rsidRDefault="00EC1725" w:rsidP="00F9049B">
      <w:pPr>
        <w:spacing w:after="120" w:line="276" w:lineRule="auto"/>
        <w:jc w:val="both"/>
        <w:rPr>
          <w:rFonts w:ascii="Arial" w:hAnsi="Arial" w:cs="Arial"/>
          <w:iCs/>
          <w:lang w:val="es-ES_tradnl"/>
        </w:rPr>
      </w:pPr>
      <w:r w:rsidRPr="0074242A">
        <w:rPr>
          <w:rFonts w:ascii="Arial" w:hAnsi="Arial" w:cs="Arial"/>
          <w:iCs/>
        </w:rPr>
        <w:t xml:space="preserve">La Ley 1474 de 2011 contempla la posibilidad de declarar el incumplimiento cuantificando los perjuicios del mismo, claro está, previa citación del contratista y respetando el debido proceso. </w:t>
      </w:r>
      <w:r w:rsidRPr="0074242A">
        <w:rPr>
          <w:rFonts w:ascii="Arial" w:hAnsi="Arial" w:cs="Arial"/>
          <w:iCs/>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362558C4" w14:textId="77777777" w:rsidR="00EC1725" w:rsidRPr="0074242A" w:rsidRDefault="00EC1725" w:rsidP="00EC1725">
      <w:pPr>
        <w:spacing w:after="120" w:line="276" w:lineRule="auto"/>
        <w:ind w:firstLine="709"/>
        <w:jc w:val="both"/>
        <w:rPr>
          <w:rFonts w:ascii="Arial" w:hAnsi="Arial" w:cs="Arial"/>
          <w:iCs/>
          <w:lang w:val="es-ES_tradnl"/>
        </w:rPr>
      </w:pPr>
      <w:r w:rsidRPr="0074242A">
        <w:rPr>
          <w:rFonts w:ascii="Arial" w:hAnsi="Arial" w:cs="Arial"/>
          <w:iCs/>
          <w:lang w:val="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74242A">
        <w:rPr>
          <w:rStyle w:val="Refdenotaalpie"/>
          <w:rFonts w:ascii="Arial" w:hAnsi="Arial" w:cs="Arial"/>
        </w:rPr>
        <w:footnoteReference w:id="14"/>
      </w:r>
      <w:r w:rsidRPr="0074242A">
        <w:rPr>
          <w:rFonts w:ascii="Arial" w:hAnsi="Arial" w:cs="Arial"/>
          <w:iCs/>
          <w:lang w:val="es-ES_tradnl"/>
        </w:rPr>
        <w:t xml:space="preserve">. A la misma conclusión se llega si se tiene en consideración la necesidad de respetar el debido proceso en «todas las actuaciones administrativas» como lo ordena el artículo 29 superior. </w:t>
      </w:r>
    </w:p>
    <w:p w14:paraId="51CB2BCC" w14:textId="77777777" w:rsidR="00EC1725" w:rsidRPr="0074242A" w:rsidRDefault="00EC1725" w:rsidP="00EC1725">
      <w:pPr>
        <w:spacing w:after="120" w:line="276" w:lineRule="auto"/>
        <w:ind w:firstLine="709"/>
        <w:jc w:val="both"/>
        <w:rPr>
          <w:rFonts w:ascii="Arial" w:hAnsi="Arial" w:cs="Arial"/>
          <w:iCs/>
        </w:rPr>
      </w:pPr>
      <w:bookmarkStart w:id="14" w:name="_Hlk100670920"/>
      <w:r w:rsidRPr="0074242A">
        <w:rPr>
          <w:rFonts w:ascii="Arial" w:hAnsi="Arial" w:cs="Arial"/>
          <w:iCs/>
          <w:lang w:val="es-ES_tradnl"/>
        </w:rPr>
        <w:t xml:space="preserve">De conformidad con lo anterior, el artículo 86 de la Ley 1474 de 2011 establece las etapas del procedimiento que se deben seguir, las cuales se sintetizan, de forma esquemática, así: </w:t>
      </w:r>
      <w:r w:rsidRPr="0074242A">
        <w:rPr>
          <w:rFonts w:ascii="Arial" w:hAnsi="Arial" w:cs="Arial"/>
          <w:iCs/>
        </w:rPr>
        <w:t xml:space="preserve">i) </w:t>
      </w:r>
      <w:r w:rsidRPr="0074242A">
        <w:rPr>
          <w:rFonts w:ascii="Arial" w:hAnsi="Arial" w:cs="Arial"/>
          <w:i/>
        </w:rPr>
        <w:t>c</w:t>
      </w:r>
      <w:r w:rsidRPr="0074242A">
        <w:rPr>
          <w:rFonts w:ascii="Arial" w:hAnsi="Arial" w:cs="Arial"/>
          <w:i/>
          <w:iCs/>
        </w:rPr>
        <w:t>itación a audiencia</w:t>
      </w:r>
      <w:r w:rsidRPr="0074242A">
        <w:rPr>
          <w:rFonts w:ascii="Arial" w:hAnsi="Arial" w:cs="Arial"/>
          <w:iCs/>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ii) </w:t>
      </w:r>
      <w:r w:rsidRPr="0074242A">
        <w:rPr>
          <w:rFonts w:ascii="Arial" w:hAnsi="Arial" w:cs="Arial"/>
          <w:i/>
          <w:iCs/>
        </w:rPr>
        <w:t>Audiencia</w:t>
      </w:r>
      <w:r w:rsidRPr="0074242A">
        <w:rPr>
          <w:rFonts w:ascii="Arial" w:hAnsi="Arial" w:cs="Arial"/>
          <w:iCs/>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w:t>
      </w:r>
      <w:r w:rsidRPr="0074242A">
        <w:rPr>
          <w:rFonts w:ascii="Arial" w:hAnsi="Arial" w:cs="Arial"/>
          <w:iCs/>
        </w:rPr>
        <w:lastRenderedPageBreak/>
        <w:t xml:space="preserve">caso; y iii) </w:t>
      </w:r>
      <w:r w:rsidRPr="0074242A">
        <w:rPr>
          <w:rFonts w:ascii="Arial" w:hAnsi="Arial" w:cs="Arial"/>
          <w:i/>
          <w:iCs/>
        </w:rPr>
        <w:t>Decisión</w:t>
      </w:r>
      <w:r w:rsidRPr="0074242A">
        <w:rPr>
          <w:rFonts w:ascii="Arial" w:hAnsi="Arial" w:cs="Arial"/>
          <w:iCs/>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bookmarkEnd w:id="14"/>
    <w:p w14:paraId="7A5C0DB8" w14:textId="77777777" w:rsidR="00EC1725" w:rsidRPr="0074242A" w:rsidRDefault="00EC1725" w:rsidP="00EC1725">
      <w:pPr>
        <w:spacing w:after="120" w:line="276" w:lineRule="auto"/>
        <w:ind w:firstLine="709"/>
        <w:jc w:val="both"/>
        <w:rPr>
          <w:rFonts w:ascii="Arial" w:hAnsi="Arial" w:cs="Arial"/>
          <w:iCs/>
        </w:rPr>
      </w:pPr>
      <w:r w:rsidRPr="0074242A">
        <w:rPr>
          <w:rFonts w:ascii="Arial" w:hAnsi="Arial" w:cs="Arial"/>
          <w:iCs/>
        </w:rPr>
        <w:t>En este sentido, la entidad está facultada para cuantificar los perjuicios causados por el incumplimiento del contratista, previa declaración del mismo y luego de haberse surtido el trámite antes referido. Esta facultad, en palabras de la Corte Constitucional, «[…] está reglada y se ejerce conforme a un procedimiento administrativo, del que debe darse cuenta en un acto administrativo motivado, de tal suerte que la cuantificación de los perjuicios no obedece a la mera discrecionalidad de la entidad estatal, ni es fruto de su capricho […]»</w:t>
      </w:r>
      <w:r w:rsidRPr="0074242A">
        <w:rPr>
          <w:rStyle w:val="Refdenotaalpie"/>
          <w:rFonts w:ascii="Arial" w:hAnsi="Arial" w:cs="Arial"/>
          <w:iCs/>
        </w:rPr>
        <w:footnoteReference w:id="15"/>
      </w:r>
      <w:r w:rsidRPr="0074242A">
        <w:rPr>
          <w:rFonts w:ascii="Arial" w:hAnsi="Arial" w:cs="Arial"/>
          <w:iCs/>
        </w:rPr>
        <w:t>.</w:t>
      </w:r>
    </w:p>
    <w:p w14:paraId="3887392A" w14:textId="26729A86" w:rsidR="00EC1725" w:rsidRPr="0074242A" w:rsidRDefault="00EC1725" w:rsidP="009A63CC">
      <w:pPr>
        <w:spacing w:after="0" w:line="276" w:lineRule="auto"/>
        <w:ind w:firstLine="709"/>
        <w:contextualSpacing/>
        <w:jc w:val="both"/>
        <w:rPr>
          <w:rFonts w:ascii="Arial" w:eastAsia="Calibri" w:hAnsi="Arial" w:cs="Arial"/>
          <w:lang w:val="es-ES_tradnl"/>
        </w:rPr>
      </w:pPr>
      <w:r w:rsidRPr="0074242A">
        <w:rPr>
          <w:rFonts w:ascii="Arial" w:hAnsi="Arial" w:cs="Arial"/>
          <w:iCs/>
          <w:lang w:val="es-ES_tradnl"/>
        </w:rPr>
        <w:t>Como precisión, vale la pena aclarar que e</w:t>
      </w:r>
      <w:r w:rsidRPr="0074242A">
        <w:rPr>
          <w:rFonts w:ascii="Arial" w:eastAsia="Calibri" w:hAnsi="Arial" w:cs="Arial"/>
          <w:lang w:val="es-ES_tradnl"/>
        </w:rPr>
        <w:t>l artículo 86 de la Ley 1474 de 2011 regula un procedimiento administrativo sancionatorio dirigido a sujetos específicos: las entidades sometidas al Estatuto General de Contratación de la Administración Pública</w:t>
      </w:r>
      <w:r w:rsidRPr="0074242A">
        <w:rPr>
          <w:rStyle w:val="Refdenotaalpie"/>
          <w:rFonts w:ascii="Arial" w:eastAsia="Calibri" w:hAnsi="Arial" w:cs="Arial"/>
        </w:rPr>
        <w:footnoteReference w:id="16"/>
      </w:r>
      <w:r w:rsidRPr="0074242A">
        <w:rPr>
          <w:rFonts w:ascii="Arial" w:eastAsia="Calibri" w:hAnsi="Arial" w:cs="Arial"/>
          <w:lang w:val="es-ES_tradnl"/>
        </w:rPr>
        <w:t xml:space="preserve">. De ahí que las entidades de </w:t>
      </w:r>
      <w:r w:rsidRPr="0074242A">
        <w:rPr>
          <w:rFonts w:ascii="Arial" w:eastAsia="Calibri" w:hAnsi="Arial" w:cs="Arial"/>
          <w:i/>
          <w:iCs/>
          <w:lang w:val="es-ES_tradnl"/>
        </w:rPr>
        <w:t>régimen especial</w:t>
      </w:r>
      <w:r w:rsidRPr="0074242A">
        <w:rPr>
          <w:rStyle w:val="Refdenotaalpie"/>
          <w:rFonts w:ascii="Arial" w:eastAsia="Calibri" w:hAnsi="Arial" w:cs="Arial"/>
        </w:rPr>
        <w:footnoteReference w:id="17"/>
      </w:r>
      <w:r w:rsidRPr="0074242A">
        <w:rPr>
          <w:rFonts w:ascii="Arial" w:eastAsia="Calibri" w:hAnsi="Arial" w:cs="Arial"/>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74242A">
        <w:rPr>
          <w:rStyle w:val="Refdenotaalpie"/>
          <w:rFonts w:ascii="Arial" w:eastAsia="Calibri" w:hAnsi="Arial" w:cs="Arial"/>
        </w:rPr>
        <w:footnoteReference w:id="18"/>
      </w:r>
      <w:r w:rsidRPr="0074242A">
        <w:rPr>
          <w:rFonts w:ascii="Arial" w:eastAsia="Calibri" w:hAnsi="Arial" w:cs="Arial"/>
          <w:lang w:val="es-ES_tradnl"/>
        </w:rPr>
        <w:t>. La norma indicada desarrolla el procedimiento de la siguiente manera:</w:t>
      </w:r>
    </w:p>
    <w:p w14:paraId="36A8DAB2" w14:textId="77777777" w:rsidR="00EC1725" w:rsidRPr="0074242A" w:rsidRDefault="00EC1725" w:rsidP="009A63CC">
      <w:pPr>
        <w:spacing w:after="0" w:line="276" w:lineRule="auto"/>
        <w:ind w:right="142" w:firstLine="709"/>
        <w:contextualSpacing/>
        <w:jc w:val="both"/>
        <w:rPr>
          <w:rFonts w:ascii="Arial" w:eastAsia="Calibri" w:hAnsi="Arial" w:cs="Arial"/>
          <w:lang w:val="es-ES_tradnl"/>
        </w:rPr>
      </w:pPr>
    </w:p>
    <w:p w14:paraId="06DAC1B9" w14:textId="77777777" w:rsidR="00EC1725" w:rsidRPr="0074242A" w:rsidRDefault="00EC1725" w:rsidP="009A63CC">
      <w:pPr>
        <w:pStyle w:val="Prrafodelista"/>
        <w:ind w:left="709" w:right="709"/>
        <w:jc w:val="both"/>
        <w:rPr>
          <w:rFonts w:ascii="Arial" w:hAnsi="Arial" w:cs="Arial"/>
          <w:iCs/>
          <w:sz w:val="21"/>
          <w:szCs w:val="21"/>
          <w:lang w:val="es-ES_tradnl"/>
        </w:rPr>
      </w:pPr>
      <w:bookmarkStart w:id="15" w:name="86"/>
      <w:r w:rsidRPr="0074242A">
        <w:rPr>
          <w:rFonts w:ascii="Arial" w:hAnsi="Arial" w:cs="Arial"/>
          <w:iCs/>
          <w:sz w:val="21"/>
          <w:szCs w:val="21"/>
          <w:lang w:val="es-ES_tradnl"/>
        </w:rPr>
        <w:t>Artículo 86. Imposición de multas, sanciones y declaratorias de incumplimiento.</w:t>
      </w:r>
      <w:bookmarkEnd w:id="15"/>
      <w:r w:rsidRPr="0074242A">
        <w:rPr>
          <w:rFonts w:ascii="Arial" w:hAnsi="Arial" w:cs="Arial"/>
          <w:iCs/>
          <w:sz w:val="21"/>
          <w:szCs w:val="21"/>
          <w:lang w:val="es-ES_tradnl"/>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11468EA2" w14:textId="77777777" w:rsidR="00EC1725" w:rsidRPr="0074242A" w:rsidRDefault="00EC1725" w:rsidP="009A63CC">
      <w:pPr>
        <w:pStyle w:val="Prrafodelista"/>
        <w:ind w:left="709" w:right="709"/>
        <w:jc w:val="both"/>
        <w:rPr>
          <w:rFonts w:ascii="Arial" w:hAnsi="Arial" w:cs="Arial"/>
          <w:sz w:val="12"/>
          <w:szCs w:val="12"/>
        </w:rPr>
      </w:pPr>
    </w:p>
    <w:p w14:paraId="5ADA87B6" w14:textId="77777777" w:rsidR="00EC1725" w:rsidRPr="0074242A" w:rsidRDefault="00EC1725" w:rsidP="009A63CC">
      <w:pPr>
        <w:pStyle w:val="Prrafodelista"/>
        <w:ind w:left="709" w:right="709"/>
        <w:jc w:val="both"/>
        <w:rPr>
          <w:rFonts w:ascii="Arial" w:hAnsi="Arial" w:cs="Arial"/>
          <w:iCs/>
          <w:sz w:val="21"/>
          <w:szCs w:val="21"/>
          <w:lang w:val="es-ES_tradnl"/>
        </w:rPr>
      </w:pPr>
      <w:r w:rsidRPr="0074242A">
        <w:rPr>
          <w:rFonts w:ascii="Arial" w:hAnsi="Arial" w:cs="Arial"/>
          <w:iCs/>
          <w:sz w:val="21"/>
          <w:szCs w:val="21"/>
          <w:lang w:val="es-ES_tradnl"/>
        </w:rPr>
        <w:t xml:space="preserve">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w:t>
      </w:r>
      <w:r w:rsidRPr="0074242A">
        <w:rPr>
          <w:rFonts w:ascii="Arial" w:hAnsi="Arial" w:cs="Arial"/>
          <w:iCs/>
          <w:sz w:val="21"/>
          <w:szCs w:val="21"/>
          <w:lang w:val="es-ES_tradnl"/>
        </w:rPr>
        <w:lastRenderedPageBreak/>
        <w:t>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0C952710" w14:textId="77777777" w:rsidR="00EC1725" w:rsidRPr="0074242A" w:rsidRDefault="00EC1725" w:rsidP="009A63CC">
      <w:pPr>
        <w:pStyle w:val="Prrafodelista"/>
        <w:ind w:left="709" w:right="709"/>
        <w:jc w:val="both"/>
        <w:rPr>
          <w:rFonts w:ascii="Arial" w:hAnsi="Arial" w:cs="Arial"/>
          <w:sz w:val="12"/>
          <w:szCs w:val="12"/>
        </w:rPr>
      </w:pPr>
    </w:p>
    <w:p w14:paraId="51085166" w14:textId="77777777" w:rsidR="00EC1725" w:rsidRPr="0074242A" w:rsidRDefault="00EC1725" w:rsidP="009A63CC">
      <w:pPr>
        <w:pStyle w:val="Prrafodelista"/>
        <w:ind w:left="709" w:right="709"/>
        <w:jc w:val="both"/>
        <w:rPr>
          <w:rFonts w:ascii="Arial" w:hAnsi="Arial" w:cs="Arial"/>
          <w:iCs/>
          <w:sz w:val="21"/>
          <w:szCs w:val="21"/>
          <w:lang w:val="es-ES_tradnl"/>
        </w:rPr>
      </w:pPr>
      <w:r w:rsidRPr="0074242A">
        <w:rPr>
          <w:rFonts w:ascii="Arial" w:hAnsi="Arial" w:cs="Arial"/>
          <w:iCs/>
          <w:sz w:val="21"/>
          <w:szCs w:val="21"/>
          <w:lang w:val="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4727A5EC" w14:textId="77777777" w:rsidR="00EC1725" w:rsidRPr="0074242A" w:rsidRDefault="00EC1725" w:rsidP="009A63CC">
      <w:pPr>
        <w:pStyle w:val="Prrafodelista"/>
        <w:ind w:left="709" w:right="709"/>
        <w:jc w:val="both"/>
        <w:rPr>
          <w:rFonts w:ascii="Arial" w:hAnsi="Arial" w:cs="Arial"/>
          <w:sz w:val="12"/>
          <w:szCs w:val="12"/>
        </w:rPr>
      </w:pPr>
    </w:p>
    <w:p w14:paraId="57152FD7" w14:textId="77777777" w:rsidR="00EC1725" w:rsidRPr="0074242A" w:rsidRDefault="00EC1725" w:rsidP="009A63CC">
      <w:pPr>
        <w:pStyle w:val="Prrafodelista"/>
        <w:ind w:left="709" w:right="709"/>
        <w:jc w:val="both"/>
        <w:rPr>
          <w:rFonts w:ascii="Arial" w:hAnsi="Arial" w:cs="Arial"/>
          <w:iCs/>
          <w:sz w:val="21"/>
          <w:szCs w:val="21"/>
          <w:lang w:val="es-ES_tradnl"/>
        </w:rPr>
      </w:pPr>
      <w:r w:rsidRPr="0074242A">
        <w:rPr>
          <w:rFonts w:ascii="Arial" w:hAnsi="Arial" w:cs="Arial"/>
          <w:iCs/>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62D93487" w14:textId="77777777" w:rsidR="00EC1725" w:rsidRPr="0074242A" w:rsidRDefault="00EC1725" w:rsidP="009A63CC">
      <w:pPr>
        <w:pStyle w:val="Prrafodelista"/>
        <w:ind w:left="709" w:right="709"/>
        <w:jc w:val="both"/>
        <w:rPr>
          <w:rFonts w:ascii="Arial" w:hAnsi="Arial" w:cs="Arial"/>
          <w:sz w:val="12"/>
          <w:szCs w:val="12"/>
        </w:rPr>
      </w:pPr>
    </w:p>
    <w:p w14:paraId="41C10EB0" w14:textId="77777777" w:rsidR="00EC1725" w:rsidRPr="0074242A" w:rsidRDefault="00EC1725" w:rsidP="009A63CC">
      <w:pPr>
        <w:pStyle w:val="Prrafodelista"/>
        <w:ind w:left="709" w:right="709"/>
        <w:jc w:val="both"/>
        <w:rPr>
          <w:rFonts w:ascii="Arial" w:hAnsi="Arial" w:cs="Arial"/>
          <w:iCs/>
          <w:sz w:val="21"/>
          <w:szCs w:val="21"/>
          <w:lang w:val="es-ES_tradnl"/>
        </w:rPr>
      </w:pPr>
      <w:r w:rsidRPr="0074242A">
        <w:rPr>
          <w:rFonts w:ascii="Arial" w:hAnsi="Arial" w:cs="Arial"/>
          <w:iCs/>
          <w:sz w:val="21"/>
          <w:szCs w:val="21"/>
          <w:lang w:val="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265D4224" w14:textId="77777777" w:rsidR="00EC1725" w:rsidRPr="0074242A" w:rsidRDefault="00EC1725" w:rsidP="009A63CC">
      <w:pPr>
        <w:spacing w:after="0" w:line="276" w:lineRule="auto"/>
        <w:ind w:right="142"/>
        <w:contextualSpacing/>
        <w:jc w:val="both"/>
        <w:rPr>
          <w:rFonts w:ascii="Arial" w:eastAsia="Calibri" w:hAnsi="Arial" w:cs="Arial"/>
          <w:lang w:val="es-ES_tradnl"/>
        </w:rPr>
      </w:pPr>
    </w:p>
    <w:p w14:paraId="62BF2E80" w14:textId="77777777" w:rsidR="00EC1725" w:rsidRPr="0074242A" w:rsidRDefault="00EC1725" w:rsidP="00EC1725">
      <w:pPr>
        <w:spacing w:after="120" w:line="276" w:lineRule="auto"/>
        <w:ind w:firstLine="709"/>
        <w:jc w:val="both"/>
        <w:rPr>
          <w:rFonts w:ascii="Arial" w:eastAsia="Calibri" w:hAnsi="Arial" w:cs="Arial"/>
          <w:lang w:val="es-ES_tradnl"/>
        </w:rPr>
      </w:pPr>
      <w:r w:rsidRPr="0074242A">
        <w:rPr>
          <w:rFonts w:ascii="Arial" w:eastAsia="Calibri" w:hAnsi="Arial" w:cs="Arial"/>
          <w:lang w:val="es-ES_tradnl"/>
        </w:rPr>
        <w:t xml:space="preserve">Como se observa, la citación a la audiencia debe cumplir mínimamente los siguientes aspectos: i) señalar los </w:t>
      </w:r>
      <w:r w:rsidRPr="0074242A">
        <w:rPr>
          <w:rFonts w:ascii="Arial" w:eastAsia="Calibri" w:hAnsi="Arial" w:cs="Arial"/>
          <w:i/>
          <w:iCs/>
          <w:lang w:val="es-ES_tradnl"/>
        </w:rPr>
        <w:t>hechos</w:t>
      </w:r>
      <w:r w:rsidRPr="0074242A">
        <w:rPr>
          <w:rFonts w:ascii="Arial" w:eastAsia="Calibri" w:hAnsi="Arial" w:cs="Arial"/>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w:t>
      </w:r>
      <w:r w:rsidRPr="0074242A">
        <w:rPr>
          <w:rFonts w:ascii="Arial" w:eastAsia="Calibri" w:hAnsi="Arial" w:cs="Arial"/>
          <w:lang w:val="es-ES_tradnl"/>
        </w:rPr>
        <w:lastRenderedPageBreak/>
        <w:t>indicar el lugar, fecha y hora para la realización de la audiencia, sin perjuicio de que esta se pueda efectuar por medios electrónicos</w:t>
      </w:r>
      <w:r w:rsidRPr="0074242A">
        <w:rPr>
          <w:rStyle w:val="Refdenotaalpie"/>
          <w:rFonts w:ascii="Arial" w:eastAsia="Calibri" w:hAnsi="Arial" w:cs="Arial"/>
        </w:rPr>
        <w:footnoteReference w:id="19"/>
      </w:r>
      <w:r w:rsidRPr="0074242A">
        <w:rPr>
          <w:rFonts w:ascii="Arial" w:eastAsia="Calibri" w:hAnsi="Arial" w:cs="Arial"/>
          <w:lang w:val="es-ES_tradnl"/>
        </w:rPr>
        <w:t>.</w:t>
      </w:r>
    </w:p>
    <w:p w14:paraId="5B67D305" w14:textId="77777777" w:rsidR="00EC1725" w:rsidRPr="0074242A" w:rsidRDefault="00EC1725" w:rsidP="00C916C5">
      <w:pPr>
        <w:spacing w:after="0" w:line="276" w:lineRule="auto"/>
        <w:ind w:firstLine="709"/>
        <w:jc w:val="both"/>
        <w:rPr>
          <w:rFonts w:ascii="Arial" w:eastAsia="Calibri" w:hAnsi="Arial" w:cs="Arial"/>
          <w:lang w:val="es-ES_tradnl"/>
        </w:rPr>
      </w:pPr>
      <w:r w:rsidRPr="0074242A">
        <w:rPr>
          <w:rFonts w:ascii="Arial" w:eastAsia="Calibri" w:hAnsi="Arial" w:cs="Arial"/>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74242A">
        <w:rPr>
          <w:rStyle w:val="Refdenotaalpie"/>
          <w:rFonts w:ascii="Arial" w:eastAsia="Calibri" w:hAnsi="Arial" w:cs="Arial"/>
        </w:rPr>
        <w:footnoteReference w:id="20"/>
      </w:r>
      <w:r w:rsidRPr="0074242A">
        <w:rPr>
          <w:rFonts w:ascii="Arial" w:eastAsia="Calibri" w:hAnsi="Arial" w:cs="Arial"/>
          <w:lang w:val="es-ES_tradnl"/>
        </w:rPr>
        <w:t>.</w:t>
      </w:r>
    </w:p>
    <w:p w14:paraId="5246BCD7" w14:textId="7EC76296" w:rsidR="00FB6186" w:rsidRPr="0074242A" w:rsidRDefault="00FB6186" w:rsidP="00AE2805">
      <w:pPr>
        <w:spacing w:after="0" w:line="276" w:lineRule="auto"/>
        <w:contextualSpacing/>
        <w:jc w:val="both"/>
        <w:rPr>
          <w:rFonts w:ascii="Arial" w:eastAsia="Calibri" w:hAnsi="Arial" w:cs="Arial"/>
        </w:rPr>
      </w:pPr>
    </w:p>
    <w:p w14:paraId="24688DE6" w14:textId="3D3882A1" w:rsidR="00FB6186" w:rsidRPr="0074242A" w:rsidRDefault="00134BDB" w:rsidP="00AE2805">
      <w:pPr>
        <w:spacing w:after="0" w:line="276" w:lineRule="auto"/>
        <w:contextualSpacing/>
        <w:jc w:val="both"/>
        <w:rPr>
          <w:rFonts w:ascii="Arial" w:eastAsia="Calibri" w:hAnsi="Arial" w:cs="Arial"/>
          <w:b/>
          <w:bCs/>
          <w:lang w:val="es-ES_tradnl"/>
        </w:rPr>
      </w:pPr>
      <w:r w:rsidRPr="0074242A">
        <w:rPr>
          <w:rFonts w:ascii="Arial" w:eastAsia="Calibri" w:hAnsi="Arial" w:cs="Arial"/>
          <w:b/>
          <w:bCs/>
          <w:lang w:val="es-ES_tradnl"/>
        </w:rPr>
        <w:t>2.3</w:t>
      </w:r>
      <w:bookmarkStart w:id="16" w:name="_Hlk100313721"/>
      <w:r w:rsidRPr="0074242A">
        <w:rPr>
          <w:rFonts w:ascii="Arial" w:eastAsia="Calibri" w:hAnsi="Arial" w:cs="Arial"/>
          <w:b/>
          <w:bCs/>
          <w:lang w:val="es-ES_tradnl"/>
        </w:rPr>
        <w:t xml:space="preserve">. </w:t>
      </w:r>
      <w:r w:rsidRPr="0074242A">
        <w:rPr>
          <w:rFonts w:ascii="Arial" w:eastAsia="Calibri" w:hAnsi="Arial" w:cs="Arial"/>
          <w:b/>
          <w:lang w:val="es-ES_tradnl"/>
        </w:rPr>
        <w:t>Modalidad de selección de mínima cuantía</w:t>
      </w:r>
      <w:r w:rsidR="00E510F6" w:rsidRPr="0074242A">
        <w:rPr>
          <w:rFonts w:ascii="Arial" w:eastAsia="Calibri" w:hAnsi="Arial" w:cs="Arial"/>
          <w:b/>
          <w:lang w:val="es-ES_tradnl"/>
        </w:rPr>
        <w:t xml:space="preserve">. </w:t>
      </w:r>
      <w:bookmarkEnd w:id="16"/>
      <w:r w:rsidR="00F339A9" w:rsidRPr="0074242A">
        <w:rPr>
          <w:rFonts w:ascii="Arial" w:eastAsia="Calibri" w:hAnsi="Arial" w:cs="Arial"/>
          <w:b/>
          <w:lang w:val="es-ES_tradnl"/>
        </w:rPr>
        <w:t>Cambios introducidos</w:t>
      </w:r>
      <w:r w:rsidR="00E510F6" w:rsidRPr="0074242A">
        <w:rPr>
          <w:rFonts w:ascii="Arial" w:eastAsia="Calibri" w:hAnsi="Arial" w:cs="Arial"/>
          <w:b/>
          <w:lang w:val="es-ES_tradnl"/>
        </w:rPr>
        <w:t xml:space="preserve"> por la </w:t>
      </w:r>
      <w:r w:rsidRPr="0074242A">
        <w:rPr>
          <w:rFonts w:ascii="Arial" w:eastAsia="Calibri" w:hAnsi="Arial" w:cs="Arial"/>
          <w:b/>
          <w:lang w:val="es-ES_tradnl"/>
        </w:rPr>
        <w:t xml:space="preserve">Ley 2069 y </w:t>
      </w:r>
      <w:r w:rsidR="000A6F05" w:rsidRPr="0074242A">
        <w:rPr>
          <w:rFonts w:ascii="Arial" w:eastAsia="Calibri" w:hAnsi="Arial" w:cs="Arial"/>
          <w:b/>
          <w:lang w:val="es-ES_tradnl"/>
        </w:rPr>
        <w:t xml:space="preserve">el </w:t>
      </w:r>
      <w:r w:rsidRPr="0074242A">
        <w:rPr>
          <w:rFonts w:ascii="Arial" w:eastAsia="Calibri" w:hAnsi="Arial" w:cs="Arial"/>
          <w:b/>
          <w:lang w:val="es-ES_tradnl"/>
        </w:rPr>
        <w:t>Decreto 1860</w:t>
      </w:r>
      <w:r w:rsidR="000A6F05" w:rsidRPr="0074242A">
        <w:rPr>
          <w:rFonts w:ascii="Arial" w:eastAsia="Calibri" w:hAnsi="Arial" w:cs="Arial"/>
          <w:b/>
          <w:lang w:val="es-ES_tradnl"/>
        </w:rPr>
        <w:t xml:space="preserve"> de 2021</w:t>
      </w:r>
    </w:p>
    <w:p w14:paraId="421E1691" w14:textId="77777777" w:rsidR="00FB6186" w:rsidRPr="0074242A" w:rsidRDefault="00FB6186" w:rsidP="00AE2805">
      <w:pPr>
        <w:spacing w:after="0" w:line="276" w:lineRule="auto"/>
        <w:contextualSpacing/>
        <w:jc w:val="both"/>
        <w:rPr>
          <w:rFonts w:ascii="Arial" w:eastAsia="Calibri" w:hAnsi="Arial" w:cs="Arial"/>
        </w:rPr>
      </w:pPr>
    </w:p>
    <w:p w14:paraId="50D0C862" w14:textId="358BB140" w:rsidR="00134BDB" w:rsidRPr="0074242A" w:rsidRDefault="00134BDB" w:rsidP="005034C6">
      <w:pPr>
        <w:spacing w:after="120" w:line="276" w:lineRule="auto"/>
        <w:jc w:val="both"/>
        <w:rPr>
          <w:rFonts w:ascii="Arial" w:eastAsia="Calibri" w:hAnsi="Arial" w:cs="Arial"/>
          <w:lang w:val="es-ES_tradnl"/>
        </w:rPr>
      </w:pPr>
      <w:bookmarkStart w:id="17" w:name="_Hlk100313785"/>
      <w:bookmarkStart w:id="18" w:name="_Hlk100568085"/>
      <w:r w:rsidRPr="0074242A">
        <w:rPr>
          <w:rFonts w:ascii="Arial" w:eastAsia="Calibri" w:hAnsi="Arial" w:cs="Arial"/>
          <w:lang w:val="es-ES_tradnl"/>
        </w:rPr>
        <w:t>La mínima cuantía es una modalidad de selección en virtud de la cual la entidad estatal realiza una convocatoria pública para recibir ofertas de bienes</w:t>
      </w:r>
      <w:r w:rsidR="00D3698B" w:rsidRPr="0074242A">
        <w:rPr>
          <w:rFonts w:ascii="Arial" w:eastAsia="Calibri" w:hAnsi="Arial" w:cs="Arial"/>
          <w:lang w:val="es-ES_tradnl"/>
        </w:rPr>
        <w:t>, obras o</w:t>
      </w:r>
      <w:r w:rsidRPr="0074242A">
        <w:rPr>
          <w:rFonts w:ascii="Arial" w:eastAsia="Calibri" w:hAnsi="Arial" w:cs="Arial"/>
          <w:lang w:val="es-ES_tradnl"/>
        </w:rPr>
        <w:t xml:space="preserve"> servicios cuyo valor no excede el diez por ciento (10%) de la menor cuantía. </w:t>
      </w:r>
      <w:r w:rsidR="00CB71B2" w:rsidRPr="0074242A">
        <w:rPr>
          <w:rFonts w:ascii="Arial" w:eastAsia="Calibri" w:hAnsi="Arial" w:cs="Arial"/>
          <w:lang w:val="es-ES_tradnl"/>
        </w:rPr>
        <w:t>Esta modalidad de selección f</w:t>
      </w:r>
      <w:r w:rsidRPr="0074242A">
        <w:rPr>
          <w:rFonts w:ascii="Arial" w:eastAsia="Calibri" w:hAnsi="Arial" w:cs="Arial"/>
          <w:lang w:val="es-ES_tradnl"/>
        </w:rPr>
        <w:t xml:space="preserve">ue creada </w:t>
      </w:r>
      <w:r w:rsidR="00C76724" w:rsidRPr="0074242A">
        <w:rPr>
          <w:rFonts w:ascii="Arial" w:eastAsia="Calibri" w:hAnsi="Arial" w:cs="Arial"/>
          <w:lang w:val="es-ES_tradnl"/>
        </w:rPr>
        <w:t xml:space="preserve">en el 2011 por la Ley 1450, modificada por </w:t>
      </w:r>
      <w:r w:rsidRPr="0074242A">
        <w:rPr>
          <w:rFonts w:ascii="Arial" w:eastAsia="Calibri" w:hAnsi="Arial" w:cs="Arial"/>
          <w:lang w:val="es-ES_tradnl"/>
        </w:rPr>
        <w:t>el artículo 94 de la Ley 1474 de 2011</w:t>
      </w:r>
      <w:r w:rsidRPr="0074242A">
        <w:rPr>
          <w:rStyle w:val="Refdenotaalpie"/>
          <w:rFonts w:ascii="Arial" w:eastAsia="Calibri" w:hAnsi="Arial" w:cs="Arial"/>
          <w:lang w:val="es-ES_tradnl"/>
        </w:rPr>
        <w:footnoteReference w:id="21"/>
      </w:r>
      <w:r w:rsidRPr="0074242A">
        <w:rPr>
          <w:rFonts w:ascii="Arial" w:eastAsia="Calibri" w:hAnsi="Arial" w:cs="Arial"/>
          <w:lang w:val="es-ES_tradnl"/>
        </w:rPr>
        <w:t xml:space="preserve"> –</w:t>
      </w:r>
      <w:r w:rsidRPr="0074242A">
        <w:rPr>
          <w:rFonts w:ascii="Arial" w:eastAsia="Calibri" w:hAnsi="Arial" w:cs="Arial"/>
          <w:lang w:val="es-ES_tradnl"/>
        </w:rPr>
        <w:lastRenderedPageBreak/>
        <w:t>que adicionó el numeral 5º al artículo 2 de la Ley 1150 de 2007–, estableciendo que el factor determinante para llevar a cabo tal procedimiento es la cuantía –calculada como presupuesto oficial a partir del estudio del sector–, «independientemente de su objeto»</w:t>
      </w:r>
      <w:r w:rsidRPr="0074242A">
        <w:rPr>
          <w:rStyle w:val="Refdenotaalpie"/>
          <w:rFonts w:ascii="Arial" w:eastAsia="Calibri" w:hAnsi="Arial" w:cs="Arial"/>
          <w:lang w:val="es-ES_tradnl"/>
        </w:rPr>
        <w:footnoteReference w:id="22"/>
      </w:r>
      <w:r w:rsidRPr="0074242A">
        <w:rPr>
          <w:rFonts w:ascii="Arial" w:eastAsia="Calibri" w:hAnsi="Arial" w:cs="Arial"/>
          <w:lang w:val="es-ES_tradnl"/>
        </w:rPr>
        <w:t xml:space="preserve">. </w:t>
      </w:r>
    </w:p>
    <w:bookmarkEnd w:id="17"/>
    <w:p w14:paraId="12FF7F32" w14:textId="50D679EB" w:rsidR="00134BDB" w:rsidRPr="0074242A" w:rsidRDefault="00134BDB" w:rsidP="00AC12B7">
      <w:pPr>
        <w:spacing w:after="120" w:line="276" w:lineRule="auto"/>
        <w:ind w:firstLine="709"/>
        <w:jc w:val="both"/>
        <w:rPr>
          <w:rFonts w:ascii="Arial" w:eastAsia="Calibri" w:hAnsi="Arial" w:cs="Arial"/>
          <w:lang w:val="es-ES_tradnl"/>
        </w:rPr>
      </w:pPr>
      <w:r w:rsidRPr="0074242A">
        <w:rPr>
          <w:rFonts w:ascii="Arial" w:eastAsia="Calibri" w:hAnsi="Arial" w:cs="Arial"/>
          <w:lang w:val="es-ES_tradnl"/>
        </w:rPr>
        <w:t>Dicho de otro modo, la mínima cuantía es un procedimiento de selección excepcional</w:t>
      </w:r>
      <w:r w:rsidRPr="0074242A">
        <w:rPr>
          <w:rStyle w:val="Refdenotaalpie"/>
          <w:rFonts w:ascii="Arial" w:eastAsia="Calibri" w:hAnsi="Arial" w:cs="Arial"/>
          <w:lang w:val="es-ES_tradnl"/>
        </w:rPr>
        <w:footnoteReference w:id="23"/>
      </w:r>
      <w:r w:rsidRPr="0074242A">
        <w:rPr>
          <w:rFonts w:ascii="Arial" w:eastAsia="Calibri" w:hAnsi="Arial" w:cs="Arial"/>
          <w:lang w:val="es-ES_tradnl"/>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74242A">
        <w:rPr>
          <w:rStyle w:val="Refdenotaalpie"/>
          <w:rFonts w:ascii="Arial" w:eastAsia="Calibri" w:hAnsi="Arial" w:cs="Arial"/>
          <w:lang w:val="es-ES_tradnl"/>
        </w:rPr>
        <w:footnoteReference w:id="24"/>
      </w:r>
      <w:r w:rsidRPr="0074242A">
        <w:rPr>
          <w:rFonts w:ascii="Arial" w:eastAsia="Calibri" w:hAnsi="Arial" w:cs="Arial"/>
          <w:lang w:val="es-ES_tradnl"/>
        </w:rPr>
        <w:t xml:space="preserve">, y lo segundo, porque sus requisitos, etapas y términos son peculiares. </w:t>
      </w:r>
      <w:r w:rsidR="00C76724" w:rsidRPr="0074242A">
        <w:rPr>
          <w:rFonts w:ascii="Arial" w:eastAsia="Calibri" w:hAnsi="Arial" w:cs="Arial"/>
          <w:lang w:val="es-ES_tradnl"/>
        </w:rPr>
        <w:t xml:space="preserve">Cabe precisar que la disposición indicada en el párrafo anterior fue modificada por el artículo 42 de la Ley 1955 de 2019; sin embargo, la norma vigente que fundamenta la modalidad de mínima cuantía </w:t>
      </w:r>
      <w:r w:rsidR="00D3698B" w:rsidRPr="0074242A">
        <w:rPr>
          <w:rFonts w:ascii="Arial" w:eastAsia="Calibri" w:hAnsi="Arial" w:cs="Arial"/>
          <w:lang w:val="es-ES_tradnl"/>
        </w:rPr>
        <w:t xml:space="preserve">actualmente </w:t>
      </w:r>
      <w:r w:rsidR="00C76724" w:rsidRPr="0074242A">
        <w:rPr>
          <w:rFonts w:ascii="Arial" w:eastAsia="Calibri" w:hAnsi="Arial" w:cs="Arial"/>
          <w:lang w:val="es-ES_tradnl"/>
        </w:rPr>
        <w:t>es el artículo 30 de la Ley 2069 de 2020, como se procederá a explicar.</w:t>
      </w:r>
    </w:p>
    <w:p w14:paraId="3A41A92B" w14:textId="04DED336" w:rsidR="003C1EB1" w:rsidRPr="0074242A" w:rsidRDefault="00CC09DE" w:rsidP="0087295D">
      <w:pPr>
        <w:pStyle w:val="Textoindependiente"/>
        <w:spacing w:before="120" w:after="120" w:line="276" w:lineRule="auto"/>
        <w:ind w:left="0" w:firstLine="709"/>
        <w:jc w:val="both"/>
        <w:rPr>
          <w:rFonts w:ascii="Arial" w:eastAsia="Calibri" w:hAnsi="Arial" w:cs="Arial"/>
          <w:lang w:val="es-ES_tradnl"/>
        </w:rPr>
      </w:pPr>
      <w:bookmarkStart w:id="19" w:name="_Hlk100671515"/>
      <w:r w:rsidRPr="0074242A">
        <w:rPr>
          <w:rFonts w:ascii="Arial" w:eastAsia="Calibri" w:hAnsi="Arial" w:cs="Arial"/>
          <w:lang w:val="es-ES_tradnl"/>
        </w:rPr>
        <w:t>En este sentido</w:t>
      </w:r>
      <w:r w:rsidR="00D43071" w:rsidRPr="0074242A">
        <w:rPr>
          <w:rFonts w:ascii="Arial" w:eastAsia="Calibri" w:hAnsi="Arial" w:cs="Arial"/>
          <w:lang w:val="es-ES_tradnl"/>
        </w:rPr>
        <w:t>, el artículo 30 de la Ley 2069 de 2020</w:t>
      </w:r>
      <w:r w:rsidR="003C1EB1" w:rsidRPr="0074242A">
        <w:rPr>
          <w:rFonts w:ascii="Arial" w:eastAsia="Calibri" w:hAnsi="Arial" w:cs="Arial"/>
          <w:lang w:val="es-ES_tradnl"/>
        </w:rPr>
        <w:t xml:space="preserve">, </w:t>
      </w:r>
      <w:r w:rsidR="003C1EB1" w:rsidRPr="0074242A">
        <w:t>«Por</w:t>
      </w:r>
      <w:r w:rsidR="003C1EB1" w:rsidRPr="0074242A">
        <w:rPr>
          <w:spacing w:val="-3"/>
        </w:rPr>
        <w:t xml:space="preserve"> </w:t>
      </w:r>
      <w:r w:rsidR="003C1EB1" w:rsidRPr="0074242A">
        <w:t>medio</w:t>
      </w:r>
      <w:r w:rsidR="003C1EB1" w:rsidRPr="0074242A">
        <w:rPr>
          <w:spacing w:val="-3"/>
        </w:rPr>
        <w:t xml:space="preserve"> </w:t>
      </w:r>
      <w:r w:rsidR="003C1EB1" w:rsidRPr="0074242A">
        <w:t>de</w:t>
      </w:r>
      <w:r w:rsidR="003C1EB1" w:rsidRPr="0074242A">
        <w:rPr>
          <w:spacing w:val="-4"/>
        </w:rPr>
        <w:t xml:space="preserve"> </w:t>
      </w:r>
      <w:r w:rsidR="003C1EB1" w:rsidRPr="0074242A">
        <w:t>la</w:t>
      </w:r>
      <w:r w:rsidR="003C1EB1" w:rsidRPr="0074242A">
        <w:rPr>
          <w:spacing w:val="-3"/>
        </w:rPr>
        <w:t xml:space="preserve"> </w:t>
      </w:r>
      <w:r w:rsidR="003C1EB1" w:rsidRPr="0074242A">
        <w:t>cual</w:t>
      </w:r>
      <w:r w:rsidR="003C1EB1" w:rsidRPr="0074242A">
        <w:rPr>
          <w:spacing w:val="-3"/>
        </w:rPr>
        <w:t xml:space="preserve"> </w:t>
      </w:r>
      <w:r w:rsidR="003C1EB1" w:rsidRPr="0074242A">
        <w:t>se</w:t>
      </w:r>
      <w:r w:rsidR="003C1EB1" w:rsidRPr="0074242A">
        <w:rPr>
          <w:spacing w:val="-3"/>
        </w:rPr>
        <w:t xml:space="preserve"> </w:t>
      </w:r>
      <w:r w:rsidR="00934E3C" w:rsidRPr="0074242A">
        <w:t xml:space="preserve">impulsa el </w:t>
      </w:r>
      <w:r w:rsidR="00934E3C" w:rsidRPr="0074242A">
        <w:rPr>
          <w:spacing w:val="-59"/>
        </w:rPr>
        <w:t xml:space="preserve">  </w:t>
      </w:r>
      <w:r w:rsidR="003C1EB1" w:rsidRPr="0074242A">
        <w:t>emprendimiento en Colombia»</w:t>
      </w:r>
      <w:r w:rsidRPr="0074242A">
        <w:t>,</w:t>
      </w:r>
      <w:r w:rsidR="00D43071" w:rsidRPr="0074242A">
        <w:rPr>
          <w:rFonts w:ascii="Arial" w:eastAsia="Calibri" w:hAnsi="Arial" w:cs="Arial"/>
          <w:lang w:val="es-ES_tradnl"/>
        </w:rPr>
        <w:t xml:space="preserve"> modific</w:t>
      </w:r>
      <w:r w:rsidR="003C1EB1" w:rsidRPr="0074242A">
        <w:rPr>
          <w:rFonts w:ascii="Arial" w:eastAsia="Calibri" w:hAnsi="Arial" w:cs="Arial"/>
          <w:lang w:val="es-ES_tradnl"/>
        </w:rPr>
        <w:t>ó</w:t>
      </w:r>
      <w:r w:rsidR="00D43071" w:rsidRPr="0074242A">
        <w:rPr>
          <w:rFonts w:ascii="Arial" w:eastAsia="Calibri" w:hAnsi="Arial" w:cs="Arial"/>
          <w:lang w:val="es-ES_tradnl"/>
        </w:rPr>
        <w:t xml:space="preserve"> el numeral 5 del artículo 2 de la Ley 1150 de 2007</w:t>
      </w:r>
      <w:r w:rsidR="0057481B" w:rsidRPr="0074242A">
        <w:rPr>
          <w:rFonts w:ascii="Arial" w:eastAsia="Calibri" w:hAnsi="Arial" w:cs="Arial"/>
          <w:lang w:val="es-ES_tradnl"/>
        </w:rPr>
        <w:t xml:space="preserve">. </w:t>
      </w:r>
      <w:r w:rsidR="00D261A1" w:rsidRPr="0074242A">
        <w:rPr>
          <w:rFonts w:ascii="Arial" w:eastAsia="Calibri" w:hAnsi="Arial" w:cs="Arial"/>
          <w:lang w:val="es-ES_tradnl"/>
        </w:rPr>
        <w:t xml:space="preserve">En esencia, </w:t>
      </w:r>
      <w:r w:rsidR="0087295D" w:rsidRPr="0074242A">
        <w:rPr>
          <w:rFonts w:ascii="Arial" w:eastAsia="Calibri" w:hAnsi="Arial" w:cs="Arial"/>
          <w:lang w:val="es-ES_tradnl"/>
        </w:rPr>
        <w:t>esta disposición</w:t>
      </w:r>
      <w:r w:rsidR="00D261A1" w:rsidRPr="0074242A">
        <w:rPr>
          <w:rFonts w:ascii="Arial" w:eastAsia="Calibri" w:hAnsi="Arial" w:cs="Arial"/>
          <w:lang w:val="es-ES_tradnl"/>
        </w:rPr>
        <w:t xml:space="preserve"> conserva a grandes rasgos el procedimiento previsto en el derogado artículo 94 de la Ley 1474 de 2011, defin</w:t>
      </w:r>
      <w:r w:rsidR="0087295D" w:rsidRPr="0074242A">
        <w:rPr>
          <w:rFonts w:ascii="Arial" w:eastAsia="Calibri" w:hAnsi="Arial" w:cs="Arial"/>
          <w:lang w:val="es-ES_tradnl"/>
        </w:rPr>
        <w:t>iendo aspectos tales como</w:t>
      </w:r>
      <w:r w:rsidR="0087295D" w:rsidRPr="0074242A">
        <w:t xml:space="preserve">: </w:t>
      </w:r>
      <w:r w:rsidR="003C1EB1" w:rsidRPr="0074242A">
        <w:t xml:space="preserve">i) el </w:t>
      </w:r>
      <w:r w:rsidR="003C1EB1" w:rsidRPr="0074242A">
        <w:lastRenderedPageBreak/>
        <w:t>término mínimo para publicar la</w:t>
      </w:r>
      <w:r w:rsidR="003C1EB1" w:rsidRPr="0074242A">
        <w:rPr>
          <w:spacing w:val="1"/>
        </w:rPr>
        <w:t xml:space="preserve"> </w:t>
      </w:r>
      <w:r w:rsidR="003C1EB1" w:rsidRPr="0074242A">
        <w:t>invitación,</w:t>
      </w:r>
      <w:r w:rsidR="003C1EB1" w:rsidRPr="0074242A">
        <w:rPr>
          <w:spacing w:val="-7"/>
        </w:rPr>
        <w:t xml:space="preserve"> </w:t>
      </w:r>
      <w:r w:rsidR="003C1EB1" w:rsidRPr="0074242A">
        <w:t>ii)</w:t>
      </w:r>
      <w:r w:rsidR="003C1EB1" w:rsidRPr="0074242A">
        <w:rPr>
          <w:spacing w:val="-6"/>
        </w:rPr>
        <w:t xml:space="preserve"> </w:t>
      </w:r>
      <w:r w:rsidR="003C1EB1" w:rsidRPr="0074242A">
        <w:t>el</w:t>
      </w:r>
      <w:r w:rsidR="003C1EB1" w:rsidRPr="0074242A">
        <w:rPr>
          <w:spacing w:val="-6"/>
        </w:rPr>
        <w:t xml:space="preserve"> </w:t>
      </w:r>
      <w:r w:rsidR="003C1EB1" w:rsidRPr="0074242A">
        <w:t>plazo</w:t>
      </w:r>
      <w:r w:rsidR="003C1EB1" w:rsidRPr="0074242A">
        <w:rPr>
          <w:spacing w:val="-6"/>
        </w:rPr>
        <w:t xml:space="preserve"> </w:t>
      </w:r>
      <w:r w:rsidR="003C1EB1" w:rsidRPr="0074242A">
        <w:t>mínimo</w:t>
      </w:r>
      <w:r w:rsidR="003C1EB1" w:rsidRPr="0074242A">
        <w:rPr>
          <w:spacing w:val="-6"/>
        </w:rPr>
        <w:t xml:space="preserve"> </w:t>
      </w:r>
      <w:r w:rsidR="003C1EB1" w:rsidRPr="0074242A">
        <w:t>de</w:t>
      </w:r>
      <w:r w:rsidR="003C1EB1" w:rsidRPr="0074242A">
        <w:rPr>
          <w:spacing w:val="-6"/>
        </w:rPr>
        <w:t xml:space="preserve"> </w:t>
      </w:r>
      <w:r w:rsidR="003C1EB1" w:rsidRPr="0074242A">
        <w:t>recepción</w:t>
      </w:r>
      <w:r w:rsidR="003C1EB1" w:rsidRPr="0074242A">
        <w:rPr>
          <w:spacing w:val="-6"/>
        </w:rPr>
        <w:t xml:space="preserve"> </w:t>
      </w:r>
      <w:r w:rsidR="003C1EB1" w:rsidRPr="0074242A">
        <w:t>de</w:t>
      </w:r>
      <w:r w:rsidR="003C1EB1" w:rsidRPr="0074242A">
        <w:rPr>
          <w:spacing w:val="-6"/>
        </w:rPr>
        <w:t xml:space="preserve"> </w:t>
      </w:r>
      <w:r w:rsidR="003C1EB1" w:rsidRPr="0074242A">
        <w:t>las</w:t>
      </w:r>
      <w:r w:rsidR="003C1EB1" w:rsidRPr="0074242A">
        <w:rPr>
          <w:spacing w:val="-6"/>
        </w:rPr>
        <w:t xml:space="preserve"> </w:t>
      </w:r>
      <w:r w:rsidR="003C1EB1" w:rsidRPr="0074242A">
        <w:t>ofertas,</w:t>
      </w:r>
      <w:r w:rsidR="003C1EB1" w:rsidRPr="0074242A">
        <w:rPr>
          <w:spacing w:val="-6"/>
        </w:rPr>
        <w:t xml:space="preserve"> </w:t>
      </w:r>
      <w:r w:rsidR="003C1EB1" w:rsidRPr="0074242A">
        <w:t>iii)</w:t>
      </w:r>
      <w:r w:rsidR="003C1EB1" w:rsidRPr="0074242A">
        <w:rPr>
          <w:spacing w:val="-6"/>
        </w:rPr>
        <w:t xml:space="preserve"> </w:t>
      </w:r>
      <w:r w:rsidR="003C1EB1" w:rsidRPr="0074242A">
        <w:t>el</w:t>
      </w:r>
      <w:r w:rsidR="003C1EB1" w:rsidRPr="0074242A">
        <w:rPr>
          <w:spacing w:val="-6"/>
        </w:rPr>
        <w:t xml:space="preserve"> </w:t>
      </w:r>
      <w:r w:rsidR="003C1EB1" w:rsidRPr="0074242A">
        <w:t>factor</w:t>
      </w:r>
      <w:r w:rsidR="003C1EB1" w:rsidRPr="0074242A">
        <w:rPr>
          <w:spacing w:val="-5"/>
        </w:rPr>
        <w:t xml:space="preserve"> </w:t>
      </w:r>
      <w:r w:rsidR="003C1EB1" w:rsidRPr="0074242A">
        <w:t>de</w:t>
      </w:r>
      <w:r w:rsidR="003C1EB1" w:rsidRPr="0074242A">
        <w:rPr>
          <w:spacing w:val="-6"/>
        </w:rPr>
        <w:t xml:space="preserve"> </w:t>
      </w:r>
      <w:r w:rsidR="003C1EB1" w:rsidRPr="0074242A">
        <w:t>evaluación</w:t>
      </w:r>
      <w:r w:rsidR="003C1EB1" w:rsidRPr="0074242A">
        <w:rPr>
          <w:spacing w:val="-6"/>
        </w:rPr>
        <w:t xml:space="preserve"> </w:t>
      </w:r>
      <w:r w:rsidR="003C1EB1" w:rsidRPr="0074242A">
        <w:t>que define</w:t>
      </w:r>
      <w:r w:rsidR="003C1EB1" w:rsidRPr="0074242A">
        <w:rPr>
          <w:spacing w:val="-6"/>
        </w:rPr>
        <w:t xml:space="preserve"> </w:t>
      </w:r>
      <w:r w:rsidR="003C1EB1" w:rsidRPr="0074242A">
        <w:t>la</w:t>
      </w:r>
      <w:r w:rsidR="003C1EB1" w:rsidRPr="0074242A">
        <w:rPr>
          <w:spacing w:val="-6"/>
        </w:rPr>
        <w:t xml:space="preserve"> </w:t>
      </w:r>
      <w:r w:rsidR="003C1EB1" w:rsidRPr="0074242A">
        <w:t>selección</w:t>
      </w:r>
      <w:r w:rsidR="003C1EB1" w:rsidRPr="0074242A">
        <w:rPr>
          <w:spacing w:val="-6"/>
        </w:rPr>
        <w:t xml:space="preserve"> </w:t>
      </w:r>
      <w:r w:rsidR="003C1EB1" w:rsidRPr="0074242A">
        <w:t>del</w:t>
      </w:r>
      <w:r w:rsidR="003C1EB1" w:rsidRPr="0074242A">
        <w:rPr>
          <w:spacing w:val="-5"/>
        </w:rPr>
        <w:t xml:space="preserve"> </w:t>
      </w:r>
      <w:r w:rsidR="003C1EB1" w:rsidRPr="0074242A">
        <w:t>proponente</w:t>
      </w:r>
      <w:r w:rsidR="003C1EB1" w:rsidRPr="0074242A">
        <w:rPr>
          <w:spacing w:val="-6"/>
        </w:rPr>
        <w:t xml:space="preserve"> </w:t>
      </w:r>
      <w:r w:rsidR="003C1EB1" w:rsidRPr="0074242A">
        <w:t>y</w:t>
      </w:r>
      <w:r w:rsidR="003C1EB1" w:rsidRPr="0074242A">
        <w:rPr>
          <w:spacing w:val="-6"/>
        </w:rPr>
        <w:t xml:space="preserve"> </w:t>
      </w:r>
      <w:r w:rsidR="003C1EB1" w:rsidRPr="0074242A">
        <w:t>iv)</w:t>
      </w:r>
      <w:r w:rsidR="003C1EB1" w:rsidRPr="0074242A">
        <w:rPr>
          <w:spacing w:val="-5"/>
        </w:rPr>
        <w:t xml:space="preserve"> </w:t>
      </w:r>
      <w:r w:rsidR="003C1EB1" w:rsidRPr="0074242A">
        <w:t>el</w:t>
      </w:r>
      <w:r w:rsidR="003C1EB1" w:rsidRPr="0074242A">
        <w:rPr>
          <w:spacing w:val="-6"/>
        </w:rPr>
        <w:t xml:space="preserve"> </w:t>
      </w:r>
      <w:r w:rsidR="003C1EB1" w:rsidRPr="0074242A">
        <w:t>perfeccionamiento</w:t>
      </w:r>
      <w:r w:rsidR="003C1EB1" w:rsidRPr="0074242A">
        <w:rPr>
          <w:spacing w:val="-6"/>
        </w:rPr>
        <w:t xml:space="preserve"> </w:t>
      </w:r>
      <w:r w:rsidR="003C1EB1" w:rsidRPr="0074242A">
        <w:t>del</w:t>
      </w:r>
      <w:r w:rsidR="003C1EB1" w:rsidRPr="0074242A">
        <w:rPr>
          <w:spacing w:val="-6"/>
        </w:rPr>
        <w:t xml:space="preserve"> </w:t>
      </w:r>
      <w:r w:rsidR="003C1EB1" w:rsidRPr="0074242A">
        <w:t>contrato</w:t>
      </w:r>
      <w:r w:rsidRPr="0074242A">
        <w:t>. De tal manera,</w:t>
      </w:r>
      <w:r w:rsidR="003C1EB1" w:rsidRPr="0074242A">
        <w:rPr>
          <w:spacing w:val="-5"/>
        </w:rPr>
        <w:t xml:space="preserve"> </w:t>
      </w:r>
      <w:r w:rsidRPr="0074242A">
        <w:rPr>
          <w:spacing w:val="-5"/>
        </w:rPr>
        <w:t>l</w:t>
      </w:r>
      <w:r w:rsidR="003C1EB1" w:rsidRPr="0074242A">
        <w:t>as</w:t>
      </w:r>
      <w:r w:rsidR="003C1EB1" w:rsidRPr="0074242A">
        <w:rPr>
          <w:spacing w:val="-6"/>
        </w:rPr>
        <w:t xml:space="preserve"> </w:t>
      </w:r>
      <w:r w:rsidR="00934E3C" w:rsidRPr="0074242A">
        <w:t xml:space="preserve">entidades </w:t>
      </w:r>
      <w:r w:rsidR="00934E3C" w:rsidRPr="0074242A">
        <w:rPr>
          <w:spacing w:val="-59"/>
        </w:rPr>
        <w:t>deben</w:t>
      </w:r>
      <w:r w:rsidR="003C1EB1" w:rsidRPr="0074242A">
        <w:rPr>
          <w:spacing w:val="9"/>
        </w:rPr>
        <w:t xml:space="preserve"> </w:t>
      </w:r>
      <w:r w:rsidR="003C1EB1" w:rsidRPr="0074242A">
        <w:t>estructurar</w:t>
      </w:r>
      <w:r w:rsidR="003C1EB1" w:rsidRPr="0074242A">
        <w:rPr>
          <w:spacing w:val="9"/>
        </w:rPr>
        <w:t xml:space="preserve"> </w:t>
      </w:r>
      <w:r w:rsidR="003C1EB1" w:rsidRPr="0074242A">
        <w:t>sus</w:t>
      </w:r>
      <w:r w:rsidR="003C1EB1" w:rsidRPr="0074242A">
        <w:rPr>
          <w:spacing w:val="9"/>
        </w:rPr>
        <w:t xml:space="preserve"> </w:t>
      </w:r>
      <w:r w:rsidR="003C1EB1" w:rsidRPr="0074242A">
        <w:t>procedimientos</w:t>
      </w:r>
      <w:r w:rsidR="003C1EB1" w:rsidRPr="0074242A">
        <w:rPr>
          <w:spacing w:val="9"/>
        </w:rPr>
        <w:t xml:space="preserve"> </w:t>
      </w:r>
      <w:r w:rsidR="003C1EB1" w:rsidRPr="0074242A">
        <w:t>de</w:t>
      </w:r>
      <w:r w:rsidR="003C1EB1" w:rsidRPr="0074242A">
        <w:rPr>
          <w:spacing w:val="8"/>
        </w:rPr>
        <w:t xml:space="preserve"> </w:t>
      </w:r>
      <w:r w:rsidR="003C1EB1" w:rsidRPr="0074242A">
        <w:t>selección</w:t>
      </w:r>
      <w:r w:rsidR="003C1EB1" w:rsidRPr="0074242A">
        <w:rPr>
          <w:spacing w:val="9"/>
        </w:rPr>
        <w:t xml:space="preserve"> </w:t>
      </w:r>
      <w:r w:rsidR="003C1EB1" w:rsidRPr="0074242A">
        <w:t>de</w:t>
      </w:r>
      <w:r w:rsidR="003C1EB1" w:rsidRPr="0074242A">
        <w:rPr>
          <w:spacing w:val="8"/>
        </w:rPr>
        <w:t xml:space="preserve"> </w:t>
      </w:r>
      <w:r w:rsidR="003C1EB1" w:rsidRPr="0074242A">
        <w:t>acuerdo</w:t>
      </w:r>
      <w:r w:rsidR="003C1EB1" w:rsidRPr="0074242A">
        <w:rPr>
          <w:spacing w:val="9"/>
        </w:rPr>
        <w:t xml:space="preserve"> </w:t>
      </w:r>
      <w:r w:rsidR="003C1EB1" w:rsidRPr="0074242A">
        <w:t>con</w:t>
      </w:r>
      <w:r w:rsidR="003C1EB1" w:rsidRPr="0074242A">
        <w:rPr>
          <w:spacing w:val="9"/>
        </w:rPr>
        <w:t xml:space="preserve"> </w:t>
      </w:r>
      <w:r w:rsidR="003C1EB1" w:rsidRPr="0074242A">
        <w:t>estos</w:t>
      </w:r>
      <w:r w:rsidR="003C1EB1" w:rsidRPr="0074242A">
        <w:rPr>
          <w:spacing w:val="9"/>
        </w:rPr>
        <w:t xml:space="preserve"> </w:t>
      </w:r>
      <w:r w:rsidR="003C1EB1" w:rsidRPr="0074242A">
        <w:t>parámetros</w:t>
      </w:r>
      <w:r w:rsidR="00742E0E" w:rsidRPr="0074242A">
        <w:t xml:space="preserve">. </w:t>
      </w:r>
    </w:p>
    <w:p w14:paraId="4967D9D6" w14:textId="07621B40" w:rsidR="003E6643" w:rsidRPr="0074242A" w:rsidRDefault="003E6643" w:rsidP="003E6643">
      <w:pPr>
        <w:pStyle w:val="Textoindependiente"/>
        <w:spacing w:before="120" w:after="120" w:line="276" w:lineRule="auto"/>
        <w:ind w:left="0" w:firstLine="709"/>
        <w:jc w:val="both"/>
        <w:rPr>
          <w:rFonts w:ascii="Arial" w:hAnsi="Arial" w:cs="Arial"/>
        </w:rPr>
      </w:pPr>
      <w:bookmarkStart w:id="20" w:name="_Hlk100671855"/>
      <w:r w:rsidRPr="0074242A">
        <w:rPr>
          <w:rFonts w:ascii="Arial" w:eastAsia="Calibri" w:hAnsi="Arial" w:cs="Arial"/>
          <w:lang w:val="es-ES_tradnl"/>
        </w:rPr>
        <w:t>A</w:t>
      </w:r>
      <w:r w:rsidR="00D261A1" w:rsidRPr="0074242A">
        <w:rPr>
          <w:rFonts w:ascii="Arial" w:eastAsia="Calibri" w:hAnsi="Arial" w:cs="Arial"/>
          <w:lang w:val="es-ES_tradnl"/>
        </w:rPr>
        <w:t>ludiendo expresamente al desarrollo reglamentario, el parágrafo primero introduce el siguiente cambio: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(Énfasis fuera de texto</w:t>
      </w:r>
      <w:r w:rsidRPr="0074242A">
        <w:rPr>
          <w:rFonts w:ascii="Arial" w:eastAsia="Calibri" w:hAnsi="Arial" w:cs="Arial"/>
          <w:lang w:val="es-ES_tradnl"/>
        </w:rPr>
        <w:t xml:space="preserve">). </w:t>
      </w:r>
      <w:r w:rsidR="00AE2805" w:rsidRPr="0074242A">
        <w:rPr>
          <w:rFonts w:ascii="Arial" w:hAnsi="Arial" w:cs="Arial"/>
        </w:rPr>
        <w:t>Como se observa, e</w:t>
      </w:r>
      <w:r w:rsidR="00E510F6" w:rsidRPr="0074242A">
        <w:rPr>
          <w:rFonts w:ascii="Arial" w:hAnsi="Arial" w:cs="Arial"/>
        </w:rPr>
        <w:t xml:space="preserve">ste </w:t>
      </w:r>
      <w:r w:rsidR="00AE2805" w:rsidRPr="0074242A">
        <w:rPr>
          <w:rFonts w:ascii="Arial" w:hAnsi="Arial" w:cs="Arial"/>
        </w:rPr>
        <w:t>parágrafo</w:t>
      </w:r>
      <w:r w:rsidR="00E510F6" w:rsidRPr="0074242A">
        <w:rPr>
          <w:rFonts w:ascii="Arial" w:hAnsi="Arial" w:cs="Arial"/>
        </w:rPr>
        <w:t xml:space="preserve"> dispone que </w:t>
      </w:r>
      <w:r w:rsidR="00AE2805" w:rsidRPr="0074242A">
        <w:rPr>
          <w:rFonts w:ascii="Arial" w:hAnsi="Arial" w:cs="Arial"/>
        </w:rPr>
        <w:t>el reglamento es importante para regular: i) las «particularidades del procedimiento</w:t>
      </w:r>
      <w:r w:rsidR="00AE2805" w:rsidRPr="0074242A">
        <w:rPr>
          <w:rFonts w:ascii="Arial" w:hAnsi="Arial" w:cs="Arial"/>
          <w:spacing w:val="-59"/>
        </w:rPr>
        <w:t xml:space="preserve"> </w:t>
      </w:r>
      <w:r w:rsidR="00AE2805" w:rsidRPr="0074242A">
        <w:rPr>
          <w:rFonts w:ascii="Arial" w:hAnsi="Arial" w:cs="Arial"/>
        </w:rPr>
        <w:t>de</w:t>
      </w:r>
      <w:r w:rsidR="00AE2805" w:rsidRPr="0074242A">
        <w:rPr>
          <w:rFonts w:ascii="Arial" w:hAnsi="Arial" w:cs="Arial"/>
          <w:spacing w:val="1"/>
        </w:rPr>
        <w:t xml:space="preserve"> </w:t>
      </w:r>
      <w:r w:rsidR="00AE2805" w:rsidRPr="0074242A">
        <w:rPr>
          <w:rFonts w:ascii="Arial" w:hAnsi="Arial" w:cs="Arial"/>
        </w:rPr>
        <w:t>selección»</w:t>
      </w:r>
      <w:r w:rsidR="00AE2805" w:rsidRPr="0074242A">
        <w:rPr>
          <w:rFonts w:ascii="Arial" w:hAnsi="Arial" w:cs="Arial"/>
          <w:spacing w:val="1"/>
        </w:rPr>
        <w:t xml:space="preserve"> </w:t>
      </w:r>
      <w:r w:rsidR="00AE2805" w:rsidRPr="0074242A">
        <w:rPr>
          <w:rFonts w:ascii="Arial" w:hAnsi="Arial" w:cs="Arial"/>
        </w:rPr>
        <w:t>y</w:t>
      </w:r>
      <w:r w:rsidR="00AE2805" w:rsidRPr="0074242A">
        <w:rPr>
          <w:rFonts w:ascii="Arial" w:hAnsi="Arial" w:cs="Arial"/>
          <w:spacing w:val="1"/>
        </w:rPr>
        <w:t xml:space="preserve"> </w:t>
      </w:r>
      <w:r w:rsidR="00AE2805" w:rsidRPr="0074242A">
        <w:rPr>
          <w:rFonts w:ascii="Arial" w:hAnsi="Arial" w:cs="Arial"/>
        </w:rPr>
        <w:t>ii)</w:t>
      </w:r>
      <w:r w:rsidR="00AE2805" w:rsidRPr="0074242A">
        <w:rPr>
          <w:rFonts w:ascii="Arial" w:hAnsi="Arial" w:cs="Arial"/>
          <w:spacing w:val="1"/>
        </w:rPr>
        <w:t xml:space="preserve"> </w:t>
      </w:r>
      <w:r w:rsidR="00AE2805" w:rsidRPr="0074242A">
        <w:rPr>
          <w:rFonts w:ascii="Arial" w:hAnsi="Arial" w:cs="Arial"/>
        </w:rPr>
        <w:t>la</w:t>
      </w:r>
      <w:r w:rsidR="00AE2805" w:rsidRPr="0074242A">
        <w:rPr>
          <w:rFonts w:ascii="Arial" w:hAnsi="Arial" w:cs="Arial"/>
          <w:spacing w:val="1"/>
        </w:rPr>
        <w:t xml:space="preserve"> </w:t>
      </w:r>
      <w:r w:rsidR="00AE2805" w:rsidRPr="0074242A">
        <w:rPr>
          <w:rFonts w:ascii="Arial" w:hAnsi="Arial" w:cs="Arial"/>
        </w:rPr>
        <w:t>posibilidad</w:t>
      </w:r>
      <w:r w:rsidR="00AE2805" w:rsidRPr="0074242A">
        <w:rPr>
          <w:rFonts w:ascii="Arial" w:hAnsi="Arial" w:cs="Arial"/>
          <w:spacing w:val="1"/>
        </w:rPr>
        <w:t xml:space="preserve"> </w:t>
      </w:r>
      <w:r w:rsidR="00AE2805" w:rsidRPr="0074242A">
        <w:rPr>
          <w:rFonts w:ascii="Arial" w:hAnsi="Arial" w:cs="Arial"/>
        </w:rPr>
        <w:t>de</w:t>
      </w:r>
      <w:r w:rsidR="00AE2805" w:rsidRPr="0074242A">
        <w:rPr>
          <w:rFonts w:ascii="Arial" w:hAnsi="Arial" w:cs="Arial"/>
          <w:spacing w:val="1"/>
        </w:rPr>
        <w:t xml:space="preserve"> </w:t>
      </w:r>
      <w:r w:rsidR="00AE2805" w:rsidRPr="0074242A">
        <w:rPr>
          <w:rFonts w:ascii="Arial" w:hAnsi="Arial" w:cs="Arial"/>
        </w:rPr>
        <w:t>realizar</w:t>
      </w:r>
      <w:r w:rsidR="00AE2805" w:rsidRPr="0074242A">
        <w:rPr>
          <w:rFonts w:ascii="Arial" w:hAnsi="Arial" w:cs="Arial"/>
          <w:spacing w:val="1"/>
        </w:rPr>
        <w:t xml:space="preserve"> </w:t>
      </w:r>
      <w:r w:rsidR="00AE2805" w:rsidRPr="0074242A">
        <w:rPr>
          <w:rFonts w:ascii="Arial" w:hAnsi="Arial" w:cs="Arial"/>
        </w:rPr>
        <w:t>estas</w:t>
      </w:r>
      <w:r w:rsidR="00AE2805" w:rsidRPr="0074242A">
        <w:rPr>
          <w:rFonts w:ascii="Arial" w:hAnsi="Arial" w:cs="Arial"/>
          <w:spacing w:val="1"/>
        </w:rPr>
        <w:t xml:space="preserve"> </w:t>
      </w:r>
      <w:r w:rsidR="00AE2805" w:rsidRPr="0074242A">
        <w:rPr>
          <w:rFonts w:ascii="Arial" w:hAnsi="Arial" w:cs="Arial"/>
        </w:rPr>
        <w:t>adquisiciones</w:t>
      </w:r>
      <w:r w:rsidR="00AE2805" w:rsidRPr="0074242A">
        <w:rPr>
          <w:rFonts w:ascii="Arial" w:hAnsi="Arial" w:cs="Arial"/>
          <w:spacing w:val="1"/>
        </w:rPr>
        <w:t xml:space="preserve"> </w:t>
      </w:r>
      <w:r w:rsidR="00AE2805" w:rsidRPr="0074242A">
        <w:rPr>
          <w:rFonts w:ascii="Arial" w:hAnsi="Arial" w:cs="Arial"/>
        </w:rPr>
        <w:t>a</w:t>
      </w:r>
      <w:r w:rsidR="00AE2805" w:rsidRPr="0074242A">
        <w:rPr>
          <w:rFonts w:ascii="Arial" w:hAnsi="Arial" w:cs="Arial"/>
          <w:spacing w:val="1"/>
        </w:rPr>
        <w:t xml:space="preserve"> </w:t>
      </w:r>
      <w:r w:rsidR="00E510F6" w:rsidRPr="0074242A">
        <w:rPr>
          <w:rFonts w:ascii="Arial" w:hAnsi="Arial" w:cs="Arial"/>
        </w:rPr>
        <w:t>Mipymes</w:t>
      </w:r>
      <w:r w:rsidR="00E510F6" w:rsidRPr="0074242A">
        <w:rPr>
          <w:rFonts w:ascii="Arial" w:hAnsi="Arial" w:cs="Arial"/>
          <w:spacing w:val="1"/>
        </w:rPr>
        <w:t xml:space="preserve"> </w:t>
      </w:r>
      <w:r w:rsidR="00AE2805" w:rsidRPr="0074242A">
        <w:rPr>
          <w:rFonts w:ascii="Arial" w:hAnsi="Arial" w:cs="Arial"/>
        </w:rPr>
        <w:t>o</w:t>
      </w:r>
      <w:r w:rsidR="00AE2805" w:rsidRPr="0074242A">
        <w:rPr>
          <w:rFonts w:ascii="Arial" w:hAnsi="Arial" w:cs="Arial"/>
          <w:spacing w:val="1"/>
        </w:rPr>
        <w:t xml:space="preserve"> </w:t>
      </w:r>
      <w:r w:rsidR="00AE2805" w:rsidRPr="0074242A">
        <w:rPr>
          <w:rFonts w:ascii="Arial" w:hAnsi="Arial" w:cs="Arial"/>
        </w:rPr>
        <w:t>establecimientos que correspondan a la definición de «gran almacén»</w:t>
      </w:r>
      <w:r w:rsidR="00E510F6" w:rsidRPr="0074242A">
        <w:rPr>
          <w:rFonts w:ascii="Arial" w:hAnsi="Arial" w:cs="Arial"/>
        </w:rPr>
        <w:t xml:space="preserve">. </w:t>
      </w:r>
      <w:r w:rsidR="005C26DC" w:rsidRPr="0074242A">
        <w:rPr>
          <w:rFonts w:ascii="Arial" w:hAnsi="Arial" w:cs="Arial"/>
        </w:rPr>
        <w:t xml:space="preserve">En concordancia con lo anterior el parágrafo segundo señala que la contratación a la que se refiere el artículo 30 se realizará exclusivamente con las reglas contempladas en el mismo y en su reglamentación. </w:t>
      </w:r>
      <w:r w:rsidR="00E510F6" w:rsidRPr="0074242A">
        <w:rPr>
          <w:rFonts w:ascii="Arial" w:hAnsi="Arial" w:cs="Arial"/>
        </w:rPr>
        <w:t>La reglamentación a la cual se refiere</w:t>
      </w:r>
      <w:r w:rsidR="005C26DC" w:rsidRPr="0074242A">
        <w:rPr>
          <w:rFonts w:ascii="Arial" w:hAnsi="Arial" w:cs="Arial"/>
        </w:rPr>
        <w:t>n</w:t>
      </w:r>
      <w:r w:rsidR="00E510F6" w:rsidRPr="0074242A">
        <w:rPr>
          <w:rFonts w:ascii="Arial" w:hAnsi="Arial" w:cs="Arial"/>
        </w:rPr>
        <w:t xml:space="preserve"> la</w:t>
      </w:r>
      <w:r w:rsidR="005C26DC" w:rsidRPr="0074242A">
        <w:rPr>
          <w:rFonts w:ascii="Arial" w:hAnsi="Arial" w:cs="Arial"/>
        </w:rPr>
        <w:t>s</w:t>
      </w:r>
      <w:r w:rsidR="00E510F6" w:rsidRPr="0074242A">
        <w:rPr>
          <w:rFonts w:ascii="Arial" w:hAnsi="Arial" w:cs="Arial"/>
        </w:rPr>
        <w:t xml:space="preserve"> disposici</w:t>
      </w:r>
      <w:r w:rsidR="005C26DC" w:rsidRPr="0074242A">
        <w:rPr>
          <w:rFonts w:ascii="Arial" w:hAnsi="Arial" w:cs="Arial"/>
        </w:rPr>
        <w:t>o</w:t>
      </w:r>
      <w:r w:rsidR="00E510F6" w:rsidRPr="0074242A">
        <w:rPr>
          <w:rFonts w:ascii="Arial" w:hAnsi="Arial" w:cs="Arial"/>
        </w:rPr>
        <w:t>n</w:t>
      </w:r>
      <w:r w:rsidR="005C26DC" w:rsidRPr="0074242A">
        <w:rPr>
          <w:rFonts w:ascii="Arial" w:hAnsi="Arial" w:cs="Arial"/>
        </w:rPr>
        <w:t>es</w:t>
      </w:r>
      <w:r w:rsidR="00E510F6" w:rsidRPr="0074242A">
        <w:rPr>
          <w:rFonts w:ascii="Arial" w:hAnsi="Arial" w:cs="Arial"/>
        </w:rPr>
        <w:t xml:space="preserve"> estudiada</w:t>
      </w:r>
      <w:r w:rsidR="005C26DC" w:rsidRPr="0074242A">
        <w:rPr>
          <w:rFonts w:ascii="Arial" w:hAnsi="Arial" w:cs="Arial"/>
        </w:rPr>
        <w:t>s</w:t>
      </w:r>
      <w:r w:rsidR="00E510F6" w:rsidRPr="0074242A">
        <w:rPr>
          <w:rFonts w:ascii="Arial" w:hAnsi="Arial" w:cs="Arial"/>
        </w:rPr>
        <w:t xml:space="preserve"> fue realizada </w:t>
      </w:r>
      <w:r w:rsidR="00AE2805" w:rsidRPr="0074242A">
        <w:rPr>
          <w:rFonts w:ascii="Arial" w:hAnsi="Arial" w:cs="Arial"/>
        </w:rPr>
        <w:t>mediante el Decreto 1860 del 24 de diciembre de 2021</w:t>
      </w:r>
      <w:r w:rsidR="00371C33" w:rsidRPr="0074242A">
        <w:rPr>
          <w:rFonts w:ascii="Arial" w:hAnsi="Arial" w:cs="Arial"/>
        </w:rPr>
        <w:t xml:space="preserve"> –que modificó el Decreto 1082 de 2015–,</w:t>
      </w:r>
      <w:r w:rsidR="00AE2805" w:rsidRPr="0074242A">
        <w:rPr>
          <w:rFonts w:ascii="Arial" w:hAnsi="Arial" w:cs="Arial"/>
        </w:rPr>
        <w:t xml:space="preserve"> pero solo</w:t>
      </w:r>
      <w:r w:rsidR="00AE2805" w:rsidRPr="0074242A">
        <w:rPr>
          <w:rFonts w:ascii="Arial" w:hAnsi="Arial" w:cs="Arial"/>
          <w:spacing w:val="1"/>
        </w:rPr>
        <w:t xml:space="preserve"> </w:t>
      </w:r>
      <w:r w:rsidR="00AE2805" w:rsidRPr="0074242A">
        <w:rPr>
          <w:rFonts w:ascii="Arial" w:hAnsi="Arial" w:cs="Arial"/>
        </w:rPr>
        <w:t xml:space="preserve">resulta aplicable para los procesos de mínima cuantía cuya invitación </w:t>
      </w:r>
      <w:r w:rsidR="00E510F6" w:rsidRPr="0074242A">
        <w:t>se publique a los tres (3)</w:t>
      </w:r>
      <w:r w:rsidR="00E510F6" w:rsidRPr="0074242A">
        <w:rPr>
          <w:spacing w:val="1"/>
        </w:rPr>
        <w:t xml:space="preserve"> </w:t>
      </w:r>
      <w:r w:rsidR="00E510F6" w:rsidRPr="0074242A">
        <w:t xml:space="preserve">meses contados a partir de su expedición, </w:t>
      </w:r>
      <w:r w:rsidR="00E510F6" w:rsidRPr="0074242A">
        <w:rPr>
          <w:rFonts w:ascii="Arial" w:hAnsi="Arial" w:cs="Arial"/>
        </w:rPr>
        <w:t>es decir</w:t>
      </w:r>
      <w:r w:rsidR="00CC09DE" w:rsidRPr="0074242A">
        <w:rPr>
          <w:rFonts w:ascii="Arial" w:hAnsi="Arial" w:cs="Arial"/>
        </w:rPr>
        <w:t>,</w:t>
      </w:r>
      <w:r w:rsidR="00AE2805" w:rsidRPr="0074242A">
        <w:rPr>
          <w:rFonts w:ascii="Arial" w:hAnsi="Arial" w:cs="Arial"/>
        </w:rPr>
        <w:t xml:space="preserve"> a</w:t>
      </w:r>
      <w:r w:rsidR="00AE2805" w:rsidRPr="0074242A">
        <w:rPr>
          <w:rFonts w:ascii="Arial" w:hAnsi="Arial" w:cs="Arial"/>
          <w:spacing w:val="1"/>
        </w:rPr>
        <w:t xml:space="preserve"> </w:t>
      </w:r>
      <w:r w:rsidR="00AE2805" w:rsidRPr="0074242A">
        <w:rPr>
          <w:rFonts w:ascii="Arial" w:hAnsi="Arial" w:cs="Arial"/>
          <w:spacing w:val="-1"/>
        </w:rPr>
        <w:t>partir</w:t>
      </w:r>
      <w:r w:rsidR="00AE2805" w:rsidRPr="0074242A">
        <w:rPr>
          <w:rFonts w:ascii="Arial" w:hAnsi="Arial" w:cs="Arial"/>
          <w:spacing w:val="-15"/>
        </w:rPr>
        <w:t xml:space="preserve"> </w:t>
      </w:r>
      <w:r w:rsidR="00AE2805" w:rsidRPr="0074242A">
        <w:rPr>
          <w:rFonts w:ascii="Arial" w:hAnsi="Arial" w:cs="Arial"/>
          <w:spacing w:val="-1"/>
        </w:rPr>
        <w:t>del</w:t>
      </w:r>
      <w:r w:rsidR="00AE2805" w:rsidRPr="0074242A">
        <w:rPr>
          <w:rFonts w:ascii="Arial" w:hAnsi="Arial" w:cs="Arial"/>
          <w:spacing w:val="-14"/>
        </w:rPr>
        <w:t xml:space="preserve"> </w:t>
      </w:r>
      <w:r w:rsidR="00AE2805" w:rsidRPr="0074242A">
        <w:rPr>
          <w:rFonts w:ascii="Arial" w:hAnsi="Arial" w:cs="Arial"/>
          <w:spacing w:val="-1"/>
        </w:rPr>
        <w:t>24</w:t>
      </w:r>
      <w:r w:rsidR="00AE2805" w:rsidRPr="0074242A">
        <w:rPr>
          <w:rFonts w:ascii="Arial" w:hAnsi="Arial" w:cs="Arial"/>
          <w:spacing w:val="-14"/>
        </w:rPr>
        <w:t xml:space="preserve"> </w:t>
      </w:r>
      <w:r w:rsidR="00AE2805" w:rsidRPr="0074242A">
        <w:rPr>
          <w:rFonts w:ascii="Arial" w:hAnsi="Arial" w:cs="Arial"/>
          <w:spacing w:val="-1"/>
        </w:rPr>
        <w:t>de</w:t>
      </w:r>
      <w:r w:rsidR="00AE2805" w:rsidRPr="0074242A">
        <w:rPr>
          <w:rFonts w:ascii="Arial" w:hAnsi="Arial" w:cs="Arial"/>
          <w:spacing w:val="-14"/>
        </w:rPr>
        <w:t xml:space="preserve"> </w:t>
      </w:r>
      <w:r w:rsidR="00AE2805" w:rsidRPr="0074242A">
        <w:rPr>
          <w:rFonts w:ascii="Arial" w:hAnsi="Arial" w:cs="Arial"/>
          <w:spacing w:val="-1"/>
        </w:rPr>
        <w:t>marzo</w:t>
      </w:r>
      <w:r w:rsidR="00AE2805" w:rsidRPr="0074242A">
        <w:rPr>
          <w:rFonts w:ascii="Arial" w:hAnsi="Arial" w:cs="Arial"/>
          <w:spacing w:val="-14"/>
        </w:rPr>
        <w:t xml:space="preserve"> </w:t>
      </w:r>
      <w:r w:rsidR="00AE2805" w:rsidRPr="0074242A">
        <w:rPr>
          <w:rFonts w:ascii="Arial" w:hAnsi="Arial" w:cs="Arial"/>
          <w:spacing w:val="-1"/>
        </w:rPr>
        <w:t>de</w:t>
      </w:r>
      <w:r w:rsidR="00AE2805" w:rsidRPr="0074242A">
        <w:rPr>
          <w:rFonts w:ascii="Arial" w:hAnsi="Arial" w:cs="Arial"/>
          <w:spacing w:val="-14"/>
        </w:rPr>
        <w:t xml:space="preserve"> </w:t>
      </w:r>
      <w:r w:rsidR="00AE2805" w:rsidRPr="0074242A">
        <w:rPr>
          <w:rFonts w:ascii="Arial" w:hAnsi="Arial" w:cs="Arial"/>
          <w:spacing w:val="-1"/>
        </w:rPr>
        <w:t>2022</w:t>
      </w:r>
      <w:r w:rsidR="00E510F6" w:rsidRPr="0074242A">
        <w:rPr>
          <w:rFonts w:ascii="Arial" w:hAnsi="Arial" w:cs="Arial"/>
          <w:spacing w:val="-1"/>
        </w:rPr>
        <w:t xml:space="preserve">, teniendo en cuenta la vigencia fijada </w:t>
      </w:r>
      <w:r w:rsidR="00CC09DE" w:rsidRPr="0074242A">
        <w:rPr>
          <w:rFonts w:ascii="Arial" w:hAnsi="Arial" w:cs="Arial"/>
          <w:spacing w:val="-1"/>
        </w:rPr>
        <w:t>en el</w:t>
      </w:r>
      <w:r w:rsidR="00CC09DE" w:rsidRPr="0074242A">
        <w:t xml:space="preserve"> </w:t>
      </w:r>
      <w:r w:rsidRPr="0074242A">
        <w:t>artículo</w:t>
      </w:r>
      <w:r w:rsidR="00CC09DE" w:rsidRPr="0074242A">
        <w:t xml:space="preserve"> 8 del Decreto citado</w:t>
      </w:r>
      <w:r w:rsidR="00E510F6" w:rsidRPr="0074242A">
        <w:t>.</w:t>
      </w:r>
    </w:p>
    <w:bookmarkEnd w:id="18"/>
    <w:bookmarkEnd w:id="19"/>
    <w:p w14:paraId="15899E43" w14:textId="05CF6062" w:rsidR="005C26DC" w:rsidRPr="0074242A" w:rsidRDefault="005C26DC" w:rsidP="00531641">
      <w:pPr>
        <w:pStyle w:val="Textoindependiente"/>
        <w:spacing w:before="120" w:after="120" w:line="276" w:lineRule="auto"/>
        <w:ind w:left="0" w:firstLine="708"/>
        <w:jc w:val="both"/>
        <w:rPr>
          <w:rFonts w:ascii="Arial" w:hAnsi="Arial" w:cs="Arial"/>
        </w:rPr>
      </w:pPr>
      <w:r w:rsidRPr="0074242A">
        <w:rPr>
          <w:rFonts w:ascii="Arial" w:hAnsi="Arial" w:cs="Arial"/>
        </w:rPr>
        <w:t>E</w:t>
      </w:r>
      <w:r w:rsidR="00AE4FBA" w:rsidRPr="0074242A">
        <w:rPr>
          <w:rFonts w:ascii="Arial" w:hAnsi="Arial" w:cs="Arial"/>
        </w:rPr>
        <w:t xml:space="preserve">sta Subdirección considera que si bien las </w:t>
      </w:r>
      <w:r w:rsidR="003B16F6" w:rsidRPr="0074242A">
        <w:rPr>
          <w:rFonts w:ascii="Arial" w:hAnsi="Arial" w:cs="Arial"/>
        </w:rPr>
        <w:t>disposiciones contenidas en los parágrafos primero y segundo</w:t>
      </w:r>
      <w:r w:rsidR="00AE4FBA" w:rsidRPr="0074242A">
        <w:rPr>
          <w:rFonts w:ascii="Arial" w:hAnsi="Arial" w:cs="Arial"/>
        </w:rPr>
        <w:t xml:space="preserve"> </w:t>
      </w:r>
      <w:r w:rsidR="00D3698B" w:rsidRPr="0074242A">
        <w:rPr>
          <w:rFonts w:ascii="Arial" w:hAnsi="Arial" w:cs="Arial"/>
        </w:rPr>
        <w:t xml:space="preserve">del artículo 30 de la Ley 2069 de 2020 </w:t>
      </w:r>
      <w:r w:rsidR="003B16F6" w:rsidRPr="0074242A">
        <w:rPr>
          <w:rFonts w:ascii="Arial" w:hAnsi="Arial" w:cs="Arial"/>
        </w:rPr>
        <w:t>establecen una sujeción de los procesos de selección que se adelanten bajo la modalidad de mínima cuantía a las normas que se definan en el</w:t>
      </w:r>
      <w:r w:rsidR="00AE4FBA" w:rsidRPr="0074242A">
        <w:rPr>
          <w:rFonts w:ascii="Arial" w:hAnsi="Arial" w:cs="Arial"/>
        </w:rPr>
        <w:t xml:space="preserve"> reglamento que </w:t>
      </w:r>
      <w:r w:rsidR="003B16F6" w:rsidRPr="0074242A">
        <w:rPr>
          <w:rFonts w:ascii="Arial" w:hAnsi="Arial" w:cs="Arial"/>
        </w:rPr>
        <w:t>p</w:t>
      </w:r>
      <w:r w:rsidR="00AE4FBA" w:rsidRPr="0074242A">
        <w:rPr>
          <w:rFonts w:ascii="Arial" w:hAnsi="Arial" w:cs="Arial"/>
        </w:rPr>
        <w:t xml:space="preserve">ara el efecto </w:t>
      </w:r>
      <w:r w:rsidR="003B16F6" w:rsidRPr="0074242A">
        <w:rPr>
          <w:rFonts w:ascii="Arial" w:hAnsi="Arial" w:cs="Arial"/>
        </w:rPr>
        <w:t>expida</w:t>
      </w:r>
      <w:r w:rsidR="00AE4FBA" w:rsidRPr="0074242A">
        <w:rPr>
          <w:rFonts w:ascii="Arial" w:hAnsi="Arial" w:cs="Arial"/>
        </w:rPr>
        <w:t xml:space="preserve"> el </w:t>
      </w:r>
      <w:r w:rsidR="003B16F6" w:rsidRPr="0074242A">
        <w:rPr>
          <w:rFonts w:ascii="Arial" w:hAnsi="Arial" w:cs="Arial"/>
        </w:rPr>
        <w:t>Gobierno Nacional –</w:t>
      </w:r>
      <w:r w:rsidR="005848D5" w:rsidRPr="0074242A">
        <w:rPr>
          <w:rFonts w:ascii="Arial" w:hAnsi="Arial" w:cs="Arial"/>
        </w:rPr>
        <w:t xml:space="preserve">en </w:t>
      </w:r>
      <w:r w:rsidR="003B16F6" w:rsidRPr="0074242A">
        <w:rPr>
          <w:rFonts w:ascii="Arial" w:hAnsi="Arial" w:cs="Arial"/>
        </w:rPr>
        <w:t>e</w:t>
      </w:r>
      <w:r w:rsidR="005848D5" w:rsidRPr="0074242A">
        <w:rPr>
          <w:rFonts w:ascii="Arial" w:hAnsi="Arial" w:cs="Arial"/>
        </w:rPr>
        <w:t>ste</w:t>
      </w:r>
      <w:r w:rsidR="003B16F6" w:rsidRPr="0074242A">
        <w:rPr>
          <w:rFonts w:ascii="Arial" w:hAnsi="Arial" w:cs="Arial"/>
        </w:rPr>
        <w:t xml:space="preserve"> caso el Decreto 1860 de 2021</w:t>
      </w:r>
      <w:r w:rsidR="001B0E96" w:rsidRPr="0074242A">
        <w:rPr>
          <w:rFonts w:ascii="Arial" w:hAnsi="Arial" w:cs="Arial"/>
        </w:rPr>
        <w:t>–</w:t>
      </w:r>
      <w:r w:rsidR="003B16F6" w:rsidRPr="0074242A">
        <w:rPr>
          <w:rFonts w:ascii="Arial" w:hAnsi="Arial" w:cs="Arial"/>
        </w:rPr>
        <w:t xml:space="preserve">, </w:t>
      </w:r>
      <w:r w:rsidR="005848D5" w:rsidRPr="0074242A">
        <w:rPr>
          <w:rFonts w:ascii="Arial" w:hAnsi="Arial" w:cs="Arial"/>
        </w:rPr>
        <w:t xml:space="preserve">esta sujeción al procedimiento definido en el </w:t>
      </w:r>
      <w:r w:rsidR="00171EAF" w:rsidRPr="0074242A">
        <w:rPr>
          <w:rFonts w:ascii="Arial" w:hAnsi="Arial" w:cs="Arial"/>
        </w:rPr>
        <w:t>reglamento</w:t>
      </w:r>
      <w:r w:rsidR="005848D5" w:rsidRPr="0074242A">
        <w:rPr>
          <w:rFonts w:ascii="Arial" w:hAnsi="Arial" w:cs="Arial"/>
        </w:rPr>
        <w:t xml:space="preserve"> no equivale a una exclusión </w:t>
      </w:r>
      <w:r w:rsidR="003B16F6" w:rsidRPr="0074242A">
        <w:rPr>
          <w:rFonts w:ascii="Arial" w:hAnsi="Arial" w:cs="Arial"/>
        </w:rPr>
        <w:t>de</w:t>
      </w:r>
      <w:r w:rsidR="00AE4FBA" w:rsidRPr="0074242A">
        <w:rPr>
          <w:rFonts w:ascii="Arial" w:hAnsi="Arial" w:cs="Arial"/>
        </w:rPr>
        <w:t xml:space="preserve"> las demás reglas aplicables de forma transversal a todos los procesos de selección o que </w:t>
      </w:r>
      <w:r w:rsidR="00171EAF" w:rsidRPr="0074242A">
        <w:rPr>
          <w:rFonts w:ascii="Arial" w:hAnsi="Arial" w:cs="Arial"/>
        </w:rPr>
        <w:t>exceptúen</w:t>
      </w:r>
      <w:r w:rsidR="00AE4FBA" w:rsidRPr="0074242A">
        <w:rPr>
          <w:rFonts w:ascii="Arial" w:hAnsi="Arial" w:cs="Arial"/>
        </w:rPr>
        <w:t xml:space="preserve"> las normas</w:t>
      </w:r>
      <w:r w:rsidR="00171EAF" w:rsidRPr="0074242A">
        <w:rPr>
          <w:rFonts w:ascii="Arial" w:hAnsi="Arial" w:cs="Arial"/>
        </w:rPr>
        <w:t xml:space="preserve"> generales</w:t>
      </w:r>
      <w:r w:rsidR="00AE4FBA" w:rsidRPr="0074242A">
        <w:rPr>
          <w:rFonts w:ascii="Arial" w:hAnsi="Arial" w:cs="Arial"/>
        </w:rPr>
        <w:t xml:space="preserve"> que rigen en la ejecución de los contratos </w:t>
      </w:r>
      <w:r w:rsidR="00171EAF" w:rsidRPr="0074242A">
        <w:rPr>
          <w:rFonts w:ascii="Arial" w:hAnsi="Arial" w:cs="Arial"/>
        </w:rPr>
        <w:t>estatales</w:t>
      </w:r>
      <w:r w:rsidR="00AE4FBA" w:rsidRPr="0074242A">
        <w:rPr>
          <w:rFonts w:ascii="Arial" w:hAnsi="Arial" w:cs="Arial"/>
        </w:rPr>
        <w:t>. Al respecto, cabe resaltar que l</w:t>
      </w:r>
      <w:r w:rsidRPr="0074242A">
        <w:rPr>
          <w:rFonts w:ascii="Arial" w:hAnsi="Arial" w:cs="Arial"/>
        </w:rPr>
        <w:t xml:space="preserve">os dos parágrafos </w:t>
      </w:r>
      <w:r w:rsidR="00551A32" w:rsidRPr="0074242A">
        <w:rPr>
          <w:rFonts w:ascii="Arial" w:hAnsi="Arial" w:cs="Arial"/>
        </w:rPr>
        <w:t>remiten al reglamento en lo concerniente al procedimiento a seguir, pero nada se señala respecto de las normas</w:t>
      </w:r>
      <w:r w:rsidR="00DA0192" w:rsidRPr="0074242A">
        <w:rPr>
          <w:rFonts w:ascii="Arial" w:hAnsi="Arial" w:cs="Arial"/>
        </w:rPr>
        <w:t xml:space="preserve"> sustantivas</w:t>
      </w:r>
      <w:r w:rsidR="00551A32" w:rsidRPr="0074242A">
        <w:rPr>
          <w:rFonts w:ascii="Arial" w:hAnsi="Arial" w:cs="Arial"/>
        </w:rPr>
        <w:t xml:space="preserve"> </w:t>
      </w:r>
      <w:r w:rsidR="00D3698B" w:rsidRPr="0074242A">
        <w:rPr>
          <w:rFonts w:ascii="Arial" w:hAnsi="Arial" w:cs="Arial"/>
        </w:rPr>
        <w:t>aplicables al</w:t>
      </w:r>
      <w:r w:rsidR="00551A32" w:rsidRPr="0074242A">
        <w:rPr>
          <w:rFonts w:ascii="Arial" w:hAnsi="Arial" w:cs="Arial"/>
        </w:rPr>
        <w:t xml:space="preserve"> </w:t>
      </w:r>
      <w:r w:rsidR="00D3698B" w:rsidRPr="0074242A">
        <w:rPr>
          <w:rFonts w:ascii="Arial" w:hAnsi="Arial" w:cs="Arial"/>
        </w:rPr>
        <w:t>contrato</w:t>
      </w:r>
      <w:r w:rsidR="00551A32" w:rsidRPr="0074242A">
        <w:rPr>
          <w:rFonts w:ascii="Arial" w:hAnsi="Arial" w:cs="Arial"/>
        </w:rPr>
        <w:t xml:space="preserve">. </w:t>
      </w:r>
    </w:p>
    <w:bookmarkEnd w:id="20"/>
    <w:p w14:paraId="7C0DD48B" w14:textId="02024783" w:rsidR="00DA0192" w:rsidRPr="0074242A" w:rsidRDefault="00DA0192" w:rsidP="00DA0192">
      <w:pPr>
        <w:pStyle w:val="Textoindependiente"/>
        <w:spacing w:before="120" w:after="120" w:line="276" w:lineRule="auto"/>
        <w:ind w:left="0" w:firstLine="708"/>
        <w:jc w:val="both"/>
        <w:rPr>
          <w:rFonts w:ascii="Arial" w:hAnsi="Arial" w:cs="Arial"/>
        </w:rPr>
      </w:pPr>
      <w:r w:rsidRPr="0074242A">
        <w:rPr>
          <w:rFonts w:ascii="Arial" w:hAnsi="Arial" w:cs="Arial"/>
        </w:rPr>
        <w:t xml:space="preserve">Así las cosas, esta Agencia </w:t>
      </w:r>
      <w:r w:rsidR="001B0E96" w:rsidRPr="0074242A">
        <w:rPr>
          <w:rFonts w:ascii="Arial" w:hAnsi="Arial" w:cs="Arial"/>
        </w:rPr>
        <w:t>considera del</w:t>
      </w:r>
      <w:r w:rsidRPr="0074242A">
        <w:rPr>
          <w:rFonts w:ascii="Arial" w:hAnsi="Arial" w:cs="Arial"/>
        </w:rPr>
        <w:t xml:space="preserve"> análisis de los parágrafos primero y segundo del artículo 30 de la Ley 2069 de 2020 que las disposiciones contenidas en el Estatuto General de Contratación </w:t>
      </w:r>
      <w:r w:rsidR="001B0E96" w:rsidRPr="0074242A">
        <w:rPr>
          <w:rFonts w:ascii="Arial" w:hAnsi="Arial" w:cs="Arial"/>
        </w:rPr>
        <w:t xml:space="preserve">de la Administración Pública </w:t>
      </w:r>
      <w:r w:rsidRPr="0074242A">
        <w:rPr>
          <w:rFonts w:ascii="Arial" w:hAnsi="Arial" w:cs="Arial"/>
        </w:rPr>
        <w:t xml:space="preserve">son aplicables a los procesos de mínima cuantía y a los contratos que se deriven de dichos procesos de selección aun cuando existan unas normas procedimentales </w:t>
      </w:r>
      <w:r w:rsidR="001B0E96" w:rsidRPr="0074242A">
        <w:rPr>
          <w:rFonts w:ascii="Arial" w:hAnsi="Arial" w:cs="Arial"/>
        </w:rPr>
        <w:t>que deben observarse de forma preferente establecidas en el artículo 30 citado y en su reglamentación</w:t>
      </w:r>
      <w:r w:rsidRPr="0074242A">
        <w:rPr>
          <w:rFonts w:ascii="Arial" w:hAnsi="Arial" w:cs="Arial"/>
        </w:rPr>
        <w:t xml:space="preserve">. </w:t>
      </w:r>
      <w:r w:rsidR="005F5454" w:rsidRPr="0074242A">
        <w:rPr>
          <w:rFonts w:ascii="Arial" w:hAnsi="Arial" w:cs="Arial"/>
        </w:rPr>
        <w:t>En efecto</w:t>
      </w:r>
      <w:r w:rsidRPr="0074242A">
        <w:rPr>
          <w:rFonts w:ascii="Arial" w:hAnsi="Arial" w:cs="Arial"/>
        </w:rPr>
        <w:t xml:space="preserve">, una interpretación exegética de los parágrafos 1 y 2 del artículo 30, en la cual se entendiera que en virtud de </w:t>
      </w:r>
      <w:r w:rsidR="007C2A51" w:rsidRPr="0074242A">
        <w:rPr>
          <w:rFonts w:ascii="Arial" w:hAnsi="Arial" w:cs="Arial"/>
        </w:rPr>
        <w:t>esta disposición</w:t>
      </w:r>
      <w:r w:rsidRPr="0074242A">
        <w:rPr>
          <w:rFonts w:ascii="Arial" w:hAnsi="Arial" w:cs="Arial"/>
        </w:rPr>
        <w:t xml:space="preserve"> se excluye la aplicación de las normas sustantivas aplicables a todos los contratos llevaría a la existencia</w:t>
      </w:r>
      <w:r w:rsidR="00500576" w:rsidRPr="0074242A">
        <w:rPr>
          <w:rFonts w:ascii="Arial" w:hAnsi="Arial" w:cs="Arial"/>
        </w:rPr>
        <w:t xml:space="preserve"> de</w:t>
      </w:r>
      <w:r w:rsidRPr="0074242A">
        <w:rPr>
          <w:rFonts w:ascii="Arial" w:hAnsi="Arial" w:cs="Arial"/>
        </w:rPr>
        <w:t xml:space="preserve"> una serie de vacíos respecto de </w:t>
      </w:r>
      <w:r w:rsidR="00D12DE9" w:rsidRPr="0074242A">
        <w:rPr>
          <w:rFonts w:ascii="Arial" w:hAnsi="Arial" w:cs="Arial"/>
        </w:rPr>
        <w:t xml:space="preserve">diversas temáticas, en </w:t>
      </w:r>
      <w:r w:rsidR="00D12DE9" w:rsidRPr="0074242A">
        <w:rPr>
          <w:rFonts w:ascii="Arial" w:hAnsi="Arial" w:cs="Arial"/>
        </w:rPr>
        <w:lastRenderedPageBreak/>
        <w:t xml:space="preserve">las que se incluye a modo de ejemplo y dado el objeto de la consulta </w:t>
      </w:r>
      <w:r w:rsidR="007C2A51" w:rsidRPr="0074242A">
        <w:rPr>
          <w:rFonts w:ascii="Arial" w:hAnsi="Arial" w:cs="Arial"/>
        </w:rPr>
        <w:t>los requisitos de ejecución</w:t>
      </w:r>
      <w:r w:rsidR="00893E5C" w:rsidRPr="0074242A">
        <w:rPr>
          <w:rFonts w:ascii="Arial" w:hAnsi="Arial" w:cs="Arial"/>
        </w:rPr>
        <w:t xml:space="preserve"> del contrato</w:t>
      </w:r>
      <w:r w:rsidR="007C2A51" w:rsidRPr="0074242A">
        <w:rPr>
          <w:rFonts w:ascii="Arial" w:hAnsi="Arial" w:cs="Arial"/>
        </w:rPr>
        <w:t xml:space="preserve">, </w:t>
      </w:r>
      <w:r w:rsidR="00893E5C" w:rsidRPr="0074242A">
        <w:rPr>
          <w:rFonts w:ascii="Arial" w:hAnsi="Arial" w:cs="Arial"/>
        </w:rPr>
        <w:t xml:space="preserve">la </w:t>
      </w:r>
      <w:r w:rsidR="007C2A51" w:rsidRPr="0074242A">
        <w:rPr>
          <w:rFonts w:ascii="Arial" w:hAnsi="Arial" w:cs="Arial"/>
        </w:rPr>
        <w:t>supervisión o interventoría del contrato o la aplicación de cl</w:t>
      </w:r>
      <w:r w:rsidR="005F5454" w:rsidRPr="0074242A">
        <w:rPr>
          <w:rFonts w:ascii="Arial" w:hAnsi="Arial" w:cs="Arial"/>
        </w:rPr>
        <w:t>á</w:t>
      </w:r>
      <w:r w:rsidR="007C2A51" w:rsidRPr="0074242A">
        <w:rPr>
          <w:rFonts w:ascii="Arial" w:hAnsi="Arial" w:cs="Arial"/>
        </w:rPr>
        <w:t>usulas excepcionales</w:t>
      </w:r>
      <w:r w:rsidR="005F5454" w:rsidRPr="0074242A">
        <w:rPr>
          <w:rFonts w:ascii="Arial" w:hAnsi="Arial" w:cs="Arial"/>
        </w:rPr>
        <w:t>, que esta Agencia considera que también se integran a los contratos derivados de los procesos de selección de mínima cuantía</w:t>
      </w:r>
      <w:r w:rsidR="00893E5C" w:rsidRPr="0074242A">
        <w:rPr>
          <w:rFonts w:ascii="Arial" w:hAnsi="Arial" w:cs="Arial"/>
        </w:rPr>
        <w:t>, de acuerdo con las normas que regulan estos contenidos en el EGCAP. Lo anterior, sin perjuicio de que existan reglas aplicables a procedimientos de selección específicos que, por tanto, no resultarían aplicables a los procesos de mínima cuantía o cuando se excluyen ciertos contenidos a procedimientos de selección o contratos celebrados bajo la modalidad de mínima cuantía; además, teniendo en cuenta que resulta prevalente la aplicación del artículo 30 de la Ley 2069 de 2020 y de su reglamentación, como lo establece el legislador en aquella disposición.</w:t>
      </w:r>
    </w:p>
    <w:p w14:paraId="399FC179" w14:textId="43E4D32F" w:rsidR="00DA0192" w:rsidRPr="0074242A" w:rsidRDefault="00893E5C" w:rsidP="00DC46A0">
      <w:pPr>
        <w:pStyle w:val="Textoindependiente"/>
        <w:spacing w:line="276" w:lineRule="auto"/>
        <w:ind w:left="0" w:firstLine="708"/>
        <w:contextualSpacing/>
        <w:jc w:val="both"/>
        <w:rPr>
          <w:rFonts w:ascii="Arial" w:hAnsi="Arial" w:cs="Arial"/>
        </w:rPr>
      </w:pPr>
      <w:r w:rsidRPr="0074242A">
        <w:rPr>
          <w:rFonts w:ascii="Arial" w:hAnsi="Arial" w:cs="Arial"/>
        </w:rPr>
        <w:t>En efecto, t</w:t>
      </w:r>
      <w:r w:rsidR="007C2A51" w:rsidRPr="0074242A">
        <w:rPr>
          <w:rFonts w:ascii="Arial" w:hAnsi="Arial" w:cs="Arial"/>
        </w:rPr>
        <w:t>eniendo en cuenta que</w:t>
      </w:r>
      <w:r w:rsidR="00DA0192" w:rsidRPr="0074242A">
        <w:rPr>
          <w:rFonts w:ascii="Arial" w:hAnsi="Arial" w:cs="Arial"/>
        </w:rPr>
        <w:t xml:space="preserve"> los parágrafos </w:t>
      </w:r>
      <w:r w:rsidR="007C2A51" w:rsidRPr="0074242A">
        <w:rPr>
          <w:rFonts w:ascii="Arial" w:hAnsi="Arial" w:cs="Arial"/>
        </w:rPr>
        <w:t xml:space="preserve">primero y segundo del artículo 30 consagran una primacía </w:t>
      </w:r>
      <w:r w:rsidR="00DC46A0" w:rsidRPr="0074242A">
        <w:rPr>
          <w:rFonts w:ascii="Arial" w:hAnsi="Arial" w:cs="Arial"/>
        </w:rPr>
        <w:t>de la aplicación del reglamento –Decreto 1860 del 2021– en los aspectos procedimentales, a los contratos celebrados como consecuencia de una proceso de selección de mínima cuantía les son aplicables</w:t>
      </w:r>
      <w:r w:rsidR="00DA0192" w:rsidRPr="0074242A">
        <w:rPr>
          <w:rFonts w:ascii="Arial" w:hAnsi="Arial" w:cs="Arial"/>
        </w:rPr>
        <w:t xml:space="preserve"> las cláusulas ex</w:t>
      </w:r>
      <w:r w:rsidR="00DC46A0" w:rsidRPr="0074242A">
        <w:rPr>
          <w:rFonts w:ascii="Arial" w:hAnsi="Arial" w:cs="Arial"/>
        </w:rPr>
        <w:t xml:space="preserve">cepcionales </w:t>
      </w:r>
      <w:r w:rsidR="00DA0192" w:rsidRPr="0074242A">
        <w:rPr>
          <w:rFonts w:ascii="Arial" w:hAnsi="Arial" w:cs="Arial"/>
        </w:rPr>
        <w:t>consagradas en el artículo 14 de la Ley 80 de 1993</w:t>
      </w:r>
      <w:r w:rsidR="00DC46A0" w:rsidRPr="0074242A">
        <w:rPr>
          <w:rFonts w:ascii="Arial" w:hAnsi="Arial" w:cs="Arial"/>
        </w:rPr>
        <w:t>, en el caso de que estas sean obligatorias</w:t>
      </w:r>
      <w:r w:rsidR="00DD7138" w:rsidRPr="0074242A">
        <w:rPr>
          <w:rFonts w:ascii="Arial" w:hAnsi="Arial" w:cs="Arial"/>
        </w:rPr>
        <w:t>,</w:t>
      </w:r>
      <w:r w:rsidR="00DC46A0" w:rsidRPr="0074242A">
        <w:rPr>
          <w:rFonts w:ascii="Arial" w:hAnsi="Arial" w:cs="Arial"/>
        </w:rPr>
        <w:t xml:space="preserve"> </w:t>
      </w:r>
      <w:r w:rsidR="00DD7138" w:rsidRPr="0074242A">
        <w:rPr>
          <w:rFonts w:ascii="Arial" w:hAnsi="Arial" w:cs="Arial"/>
        </w:rPr>
        <w:t>facultativas o prohibidas</w:t>
      </w:r>
      <w:r w:rsidR="00DC46A0" w:rsidRPr="0074242A">
        <w:rPr>
          <w:rFonts w:ascii="Arial" w:hAnsi="Arial" w:cs="Arial"/>
        </w:rPr>
        <w:t xml:space="preserve">, de acuerdo con el objeto del contrato, </w:t>
      </w:r>
      <w:r w:rsidR="00DD7138" w:rsidRPr="0074242A">
        <w:rPr>
          <w:rFonts w:ascii="Arial" w:hAnsi="Arial" w:cs="Arial"/>
        </w:rPr>
        <w:t>como se explicó en los acápites precedentes. El mismo razonamiento aplica en relación con el</w:t>
      </w:r>
      <w:r w:rsidR="00DA0192" w:rsidRPr="0074242A">
        <w:rPr>
          <w:rFonts w:ascii="Arial" w:hAnsi="Arial" w:cs="Arial"/>
        </w:rPr>
        <w:t xml:space="preserve"> procedimiento de imposición de multas, sanciones y declaratorias de incumplimiento regulado en el artículo 86 de la Ley 1474 de 2011</w:t>
      </w:r>
      <w:r w:rsidR="00DD7138" w:rsidRPr="0074242A">
        <w:rPr>
          <w:rFonts w:ascii="Arial" w:hAnsi="Arial" w:cs="Arial"/>
        </w:rPr>
        <w:t xml:space="preserve">, en el sentido de que su aplicación no resulta </w:t>
      </w:r>
      <w:r w:rsidR="00500576" w:rsidRPr="0074242A">
        <w:rPr>
          <w:rFonts w:ascii="Arial" w:hAnsi="Arial" w:cs="Arial"/>
        </w:rPr>
        <w:t>afectada</w:t>
      </w:r>
      <w:r w:rsidR="00DD7138" w:rsidRPr="0074242A">
        <w:rPr>
          <w:rFonts w:ascii="Arial" w:hAnsi="Arial" w:cs="Arial"/>
        </w:rPr>
        <w:t xml:space="preserve"> por el procedimiento de selección aplicado para la elección del contratista. En conclusión, lo explicado en los numerales 2.1 y 2.2 de este concepto aplica con independencia de que el contrato se hubiera celebrado con fundamento en un proceso de mínima cuantía.</w:t>
      </w:r>
    </w:p>
    <w:p w14:paraId="23390AA0" w14:textId="77777777" w:rsidR="00AC2936" w:rsidRPr="0074242A" w:rsidRDefault="00AC2936" w:rsidP="00DC46A0">
      <w:pPr>
        <w:pStyle w:val="Textoindependiente"/>
        <w:spacing w:line="276" w:lineRule="auto"/>
        <w:ind w:left="708"/>
        <w:contextualSpacing/>
        <w:jc w:val="both"/>
        <w:rPr>
          <w:rFonts w:ascii="Arial" w:hAnsi="Arial" w:cs="Arial"/>
        </w:rPr>
      </w:pPr>
    </w:p>
    <w:p w14:paraId="75B7A06E" w14:textId="77777777" w:rsidR="006929C8" w:rsidRPr="0074242A" w:rsidRDefault="006929C8" w:rsidP="00AC2936">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4242A">
        <w:rPr>
          <w:rFonts w:ascii="Arial" w:eastAsia="Calibri" w:hAnsi="Arial" w:cs="Arial"/>
          <w:b/>
          <w:sz w:val="22"/>
          <w:lang w:val="es-ES_tradnl"/>
        </w:rPr>
        <w:t xml:space="preserve">Respuestas: </w:t>
      </w:r>
    </w:p>
    <w:p w14:paraId="20928A42" w14:textId="34B5863D" w:rsidR="006929C8" w:rsidRPr="0074242A" w:rsidRDefault="006929C8" w:rsidP="001B5AF0">
      <w:pPr>
        <w:autoSpaceDE w:val="0"/>
        <w:autoSpaceDN w:val="0"/>
        <w:adjustRightInd w:val="0"/>
        <w:spacing w:after="0"/>
        <w:contextualSpacing/>
        <w:rPr>
          <w:rFonts w:ascii="Arial" w:hAnsi="Arial" w:cs="Arial"/>
          <w:color w:val="000000"/>
        </w:rPr>
      </w:pPr>
      <w:bookmarkStart w:id="21" w:name="_Hlk100244026"/>
    </w:p>
    <w:p w14:paraId="15075B20" w14:textId="77777777" w:rsidR="002D25D0" w:rsidRPr="0074242A" w:rsidRDefault="002D25D0" w:rsidP="002D25D0">
      <w:pPr>
        <w:pStyle w:val="Default"/>
        <w:ind w:left="709" w:right="709"/>
        <w:contextualSpacing/>
        <w:jc w:val="both"/>
        <w:rPr>
          <w:rFonts w:eastAsia="Calibri"/>
          <w:color w:val="auto"/>
          <w:sz w:val="21"/>
          <w:szCs w:val="21"/>
        </w:rPr>
      </w:pPr>
      <w:r w:rsidRPr="0074242A">
        <w:rPr>
          <w:rFonts w:eastAsia="Calibri"/>
          <w:color w:val="auto"/>
          <w:sz w:val="21"/>
          <w:szCs w:val="21"/>
        </w:rPr>
        <w:t xml:space="preserve">«1). ¿Las normas de carácter general relacionadas con las cláusulas excepcionales al derecho común (Art 14.2 Ley 80 de 1993), aplican en un contrato de mínima cuantía? </w:t>
      </w:r>
    </w:p>
    <w:p w14:paraId="563F943E" w14:textId="77777777" w:rsidR="002D25D0" w:rsidRPr="0074242A" w:rsidRDefault="002D25D0" w:rsidP="002D25D0">
      <w:pPr>
        <w:pStyle w:val="Default"/>
        <w:ind w:left="709" w:right="709"/>
        <w:contextualSpacing/>
        <w:jc w:val="both"/>
        <w:rPr>
          <w:rFonts w:eastAsia="Calibri"/>
          <w:color w:val="auto"/>
          <w:sz w:val="21"/>
          <w:szCs w:val="21"/>
        </w:rPr>
      </w:pPr>
    </w:p>
    <w:p w14:paraId="60270283" w14:textId="77777777" w:rsidR="002D25D0" w:rsidRPr="0074242A" w:rsidRDefault="002D25D0" w:rsidP="002D25D0">
      <w:pPr>
        <w:pStyle w:val="Default"/>
        <w:ind w:left="709" w:right="709"/>
        <w:contextualSpacing/>
        <w:jc w:val="both"/>
        <w:rPr>
          <w:rFonts w:eastAsia="Calibri"/>
          <w:color w:val="auto"/>
          <w:sz w:val="21"/>
          <w:szCs w:val="21"/>
        </w:rPr>
      </w:pPr>
      <w:r w:rsidRPr="0074242A">
        <w:rPr>
          <w:rFonts w:eastAsia="Calibri"/>
          <w:color w:val="auto"/>
          <w:sz w:val="21"/>
          <w:szCs w:val="21"/>
        </w:rPr>
        <w:t xml:space="preserve">2). ¿Las normas de carácter general relacionadas con la imposición de multas, sanciones y declaratorias de incumplimiento (Art 86 Ley 1474 de 2011), aplican en un contrato de mínima cuantía? </w:t>
      </w:r>
    </w:p>
    <w:p w14:paraId="53983C52" w14:textId="77777777" w:rsidR="002D25D0" w:rsidRPr="0074242A" w:rsidRDefault="002D25D0" w:rsidP="002D25D0">
      <w:pPr>
        <w:pStyle w:val="Default"/>
        <w:ind w:left="709" w:right="709"/>
        <w:contextualSpacing/>
        <w:jc w:val="both"/>
        <w:rPr>
          <w:rFonts w:eastAsia="Calibri"/>
          <w:color w:val="auto"/>
          <w:sz w:val="21"/>
          <w:szCs w:val="21"/>
        </w:rPr>
      </w:pPr>
    </w:p>
    <w:p w14:paraId="124F02BD" w14:textId="77777777" w:rsidR="002D25D0" w:rsidRPr="0074242A" w:rsidRDefault="002D25D0" w:rsidP="002D25D0">
      <w:pPr>
        <w:pStyle w:val="Default"/>
        <w:ind w:left="709" w:right="709"/>
        <w:contextualSpacing/>
        <w:jc w:val="both"/>
        <w:rPr>
          <w:rFonts w:eastAsia="Calibri"/>
          <w:color w:val="auto"/>
          <w:sz w:val="21"/>
          <w:szCs w:val="21"/>
        </w:rPr>
      </w:pPr>
      <w:r w:rsidRPr="0074242A">
        <w:rPr>
          <w:rFonts w:eastAsia="Calibri"/>
          <w:color w:val="auto"/>
          <w:sz w:val="21"/>
          <w:szCs w:val="21"/>
        </w:rPr>
        <w:t xml:space="preserve">3). ¿Las normas de carácter general relacionadas con la cláusula excepcional de “ CADUCIDAD” (Art 14.2 Ley 80 de 1993), aplican en un contrato de mínima cuantía? </w:t>
      </w:r>
    </w:p>
    <w:p w14:paraId="7C28C42E" w14:textId="77777777" w:rsidR="002D25D0" w:rsidRPr="0074242A" w:rsidRDefault="002D25D0" w:rsidP="002D25D0">
      <w:pPr>
        <w:pStyle w:val="Default"/>
        <w:ind w:left="709" w:right="709"/>
        <w:contextualSpacing/>
        <w:jc w:val="both"/>
        <w:rPr>
          <w:rFonts w:eastAsia="Calibri"/>
          <w:color w:val="auto"/>
          <w:sz w:val="21"/>
          <w:szCs w:val="21"/>
        </w:rPr>
      </w:pPr>
    </w:p>
    <w:p w14:paraId="42FB0967" w14:textId="77777777" w:rsidR="002D25D0" w:rsidRPr="0074242A" w:rsidRDefault="002D25D0" w:rsidP="002D25D0">
      <w:pPr>
        <w:pStyle w:val="Default"/>
        <w:ind w:left="709" w:right="709"/>
        <w:contextualSpacing/>
        <w:jc w:val="both"/>
        <w:rPr>
          <w:rFonts w:eastAsia="Calibri"/>
          <w:color w:val="auto"/>
          <w:sz w:val="21"/>
          <w:szCs w:val="21"/>
        </w:rPr>
      </w:pPr>
      <w:r w:rsidRPr="0074242A">
        <w:rPr>
          <w:rFonts w:eastAsia="Calibri"/>
          <w:color w:val="auto"/>
          <w:sz w:val="21"/>
          <w:szCs w:val="21"/>
        </w:rPr>
        <w:t>4). ¿Cuáles son los efectos de las normas de carácter general relacionadas con las cláusulas excepcionales al derecho común (Art 14.2 Ley 80 de 1993), en un contrato de mínima cuantía?</w:t>
      </w:r>
    </w:p>
    <w:p w14:paraId="33A49574" w14:textId="77777777" w:rsidR="002D25D0" w:rsidRPr="0074242A" w:rsidRDefault="002D25D0" w:rsidP="002D25D0">
      <w:pPr>
        <w:pStyle w:val="Default"/>
        <w:ind w:left="709" w:right="709"/>
        <w:contextualSpacing/>
        <w:jc w:val="both"/>
        <w:rPr>
          <w:rFonts w:eastAsia="Calibri"/>
          <w:color w:val="auto"/>
          <w:sz w:val="21"/>
          <w:szCs w:val="21"/>
        </w:rPr>
      </w:pPr>
    </w:p>
    <w:p w14:paraId="4C063F3C" w14:textId="77777777" w:rsidR="002D25D0" w:rsidRPr="0074242A" w:rsidRDefault="002D25D0" w:rsidP="002D25D0">
      <w:pPr>
        <w:pStyle w:val="Default"/>
        <w:ind w:left="709" w:right="709"/>
        <w:contextualSpacing/>
        <w:jc w:val="both"/>
        <w:rPr>
          <w:rFonts w:eastAsia="Calibri"/>
          <w:color w:val="auto"/>
          <w:sz w:val="21"/>
          <w:szCs w:val="21"/>
        </w:rPr>
      </w:pPr>
      <w:r w:rsidRPr="0074242A">
        <w:rPr>
          <w:rFonts w:eastAsia="Calibri"/>
          <w:color w:val="auto"/>
          <w:sz w:val="21"/>
          <w:szCs w:val="21"/>
        </w:rPr>
        <w:t xml:space="preserve">5). ¿Cuáles son los efectos de las normas de carácter general relacionadas con la imposición de multas, sanciones y declaratorias de incumplimiento (Art 86 Ley 1474 de 2011), en un contrato de mínima cuantía? </w:t>
      </w:r>
    </w:p>
    <w:p w14:paraId="26B4AE33" w14:textId="77777777" w:rsidR="002D25D0" w:rsidRPr="0074242A" w:rsidRDefault="002D25D0" w:rsidP="002D25D0">
      <w:pPr>
        <w:pStyle w:val="Default"/>
        <w:ind w:left="709" w:right="709"/>
        <w:contextualSpacing/>
        <w:jc w:val="both"/>
        <w:rPr>
          <w:rFonts w:eastAsia="Calibri"/>
          <w:color w:val="auto"/>
          <w:sz w:val="21"/>
          <w:szCs w:val="21"/>
        </w:rPr>
      </w:pPr>
    </w:p>
    <w:p w14:paraId="7C8BA65A" w14:textId="77777777" w:rsidR="002D25D0" w:rsidRPr="0074242A" w:rsidRDefault="002D25D0" w:rsidP="002D25D0">
      <w:pPr>
        <w:pStyle w:val="Default"/>
        <w:ind w:left="709" w:right="709"/>
        <w:contextualSpacing/>
        <w:jc w:val="both"/>
        <w:rPr>
          <w:rFonts w:eastAsia="Calibri"/>
          <w:color w:val="auto"/>
          <w:sz w:val="21"/>
          <w:szCs w:val="21"/>
        </w:rPr>
      </w:pPr>
      <w:r w:rsidRPr="0074242A">
        <w:rPr>
          <w:rFonts w:eastAsia="Calibri"/>
          <w:color w:val="auto"/>
          <w:sz w:val="21"/>
          <w:szCs w:val="21"/>
        </w:rPr>
        <w:t>6). ¿Cuáles son los efectos de las normas de carácter general relacionadas con la cláusula excepcional de “ CADUCIDAD” (Art 14.2 Ley 80 de 1993), en un contrato de mínima cuantía?». (SIC)</w:t>
      </w:r>
    </w:p>
    <w:p w14:paraId="07D54FFC" w14:textId="77777777" w:rsidR="006929C8" w:rsidRPr="0074242A" w:rsidRDefault="006929C8" w:rsidP="001B5AF0">
      <w:pPr>
        <w:shd w:val="clear" w:color="auto" w:fill="FFFFFF"/>
        <w:spacing w:after="0" w:line="276" w:lineRule="auto"/>
        <w:contextualSpacing/>
        <w:jc w:val="both"/>
        <w:rPr>
          <w:rFonts w:ascii="Arial" w:eastAsia="Calibri" w:hAnsi="Arial" w:cs="Arial"/>
          <w:lang w:val="es-ES_tradnl"/>
        </w:rPr>
      </w:pPr>
    </w:p>
    <w:p w14:paraId="1D6A37F6" w14:textId="40E61A36" w:rsidR="006929C8" w:rsidRPr="0074242A" w:rsidRDefault="00A23C35" w:rsidP="00546444">
      <w:pPr>
        <w:spacing w:after="120" w:line="276" w:lineRule="auto"/>
        <w:jc w:val="both"/>
        <w:rPr>
          <w:rFonts w:ascii="Arial" w:hAnsi="Arial" w:cs="Arial"/>
          <w:iCs/>
          <w:lang w:val="es-ES_tradnl"/>
        </w:rPr>
      </w:pPr>
      <w:r w:rsidRPr="0074242A">
        <w:rPr>
          <w:rFonts w:ascii="Arial" w:hAnsi="Arial" w:cs="Arial"/>
          <w:iCs/>
          <w:lang w:val="es-ES_tradnl"/>
        </w:rPr>
        <w:t xml:space="preserve">Dada la unidad temática de las preguntas, estas se responderán en bloque, de acuerdo con las consideraciones desarrolladas en este concepto. En este sentido, </w:t>
      </w:r>
      <w:r w:rsidR="006929C8" w:rsidRPr="0074242A">
        <w:rPr>
          <w:rFonts w:ascii="Arial" w:hAnsi="Arial" w:cs="Arial"/>
          <w:iCs/>
          <w:lang w:val="es-ES_tradnl"/>
        </w:rPr>
        <w:t xml:space="preserve">la posibilidad </w:t>
      </w:r>
      <w:r w:rsidR="00F97BE1" w:rsidRPr="0074242A">
        <w:rPr>
          <w:rFonts w:ascii="Arial" w:hAnsi="Arial" w:cs="Arial"/>
          <w:iCs/>
          <w:lang w:val="es-ES_tradnl"/>
        </w:rPr>
        <w:t xml:space="preserve">o la prohibición </w:t>
      </w:r>
      <w:r w:rsidR="006929C8" w:rsidRPr="0074242A">
        <w:rPr>
          <w:rFonts w:ascii="Arial" w:hAnsi="Arial" w:cs="Arial"/>
          <w:iCs/>
          <w:lang w:val="es-ES_tradnl"/>
        </w:rPr>
        <w:t>de incluir</w:t>
      </w:r>
      <w:r w:rsidR="00B77F8C" w:rsidRPr="0074242A">
        <w:rPr>
          <w:rFonts w:ascii="Arial" w:hAnsi="Arial" w:cs="Arial"/>
          <w:iCs/>
          <w:lang w:val="es-ES_tradnl"/>
        </w:rPr>
        <w:t xml:space="preserve"> en los contratos estatales</w:t>
      </w:r>
      <w:r w:rsidR="006929C8" w:rsidRPr="0074242A">
        <w:rPr>
          <w:rFonts w:ascii="Arial" w:hAnsi="Arial" w:cs="Arial"/>
          <w:iCs/>
          <w:lang w:val="es-ES_tradnl"/>
        </w:rPr>
        <w:t xml:space="preserve"> las cláusulas excepcionales consagradas en el artículo 14</w:t>
      </w:r>
      <w:r w:rsidR="00B77F8C" w:rsidRPr="0074242A">
        <w:rPr>
          <w:rFonts w:ascii="Arial" w:hAnsi="Arial" w:cs="Arial"/>
          <w:iCs/>
          <w:lang w:val="es-ES_tradnl"/>
        </w:rPr>
        <w:t xml:space="preserve"> de la Ley 80 de 1993</w:t>
      </w:r>
      <w:r w:rsidR="006929C8" w:rsidRPr="0074242A">
        <w:rPr>
          <w:rFonts w:ascii="Arial" w:hAnsi="Arial" w:cs="Arial"/>
          <w:iCs/>
          <w:lang w:val="es-ES_tradnl"/>
        </w:rPr>
        <w:t>, entre ellas</w:t>
      </w:r>
      <w:r w:rsidR="002D25D0" w:rsidRPr="0074242A">
        <w:rPr>
          <w:rFonts w:ascii="Arial" w:hAnsi="Arial" w:cs="Arial"/>
          <w:iCs/>
          <w:lang w:val="es-ES_tradnl"/>
        </w:rPr>
        <w:t xml:space="preserve"> la </w:t>
      </w:r>
      <w:r w:rsidR="00F97BE1" w:rsidRPr="0074242A">
        <w:rPr>
          <w:rFonts w:ascii="Arial" w:hAnsi="Arial" w:cs="Arial"/>
          <w:iCs/>
          <w:lang w:val="es-ES_tradnl"/>
        </w:rPr>
        <w:t>interpretación, modificación y terminación unilaterales o la caducidad del contrato</w:t>
      </w:r>
      <w:r w:rsidR="006929C8" w:rsidRPr="0074242A">
        <w:rPr>
          <w:rFonts w:ascii="Arial" w:hAnsi="Arial" w:cs="Arial"/>
          <w:iCs/>
          <w:lang w:val="es-ES_tradnl"/>
        </w:rPr>
        <w:t>, dependen del objeto contractual</w:t>
      </w:r>
      <w:r w:rsidR="00F97BE1" w:rsidRPr="0074242A">
        <w:rPr>
          <w:rFonts w:ascii="Arial" w:hAnsi="Arial" w:cs="Arial"/>
          <w:iCs/>
          <w:lang w:val="es-ES_tradnl"/>
        </w:rPr>
        <w:t>, en los términos explicados en el numeral 2.1. de este concepto</w:t>
      </w:r>
      <w:r w:rsidR="006929C8" w:rsidRPr="0074242A">
        <w:rPr>
          <w:rFonts w:ascii="Arial" w:hAnsi="Arial" w:cs="Arial"/>
          <w:iCs/>
          <w:lang w:val="es-ES_tradnl"/>
        </w:rPr>
        <w:t xml:space="preserve"> y no de la modalidad de selección del contratista</w:t>
      </w:r>
      <w:r w:rsidR="00F97BE1" w:rsidRPr="0074242A">
        <w:rPr>
          <w:rFonts w:ascii="Arial" w:hAnsi="Arial" w:cs="Arial"/>
          <w:iCs/>
          <w:lang w:val="es-ES_tradnl"/>
        </w:rPr>
        <w:t>, por lo que también procederían en dichos términos frente a los contratos celebrados con fundamento en un proceso de mínima cuantía</w:t>
      </w:r>
      <w:r w:rsidR="006929C8" w:rsidRPr="0074242A">
        <w:rPr>
          <w:rFonts w:ascii="Arial" w:hAnsi="Arial" w:cs="Arial"/>
          <w:iCs/>
          <w:lang w:val="es-ES_tradnl"/>
        </w:rPr>
        <w:t xml:space="preserve">. </w:t>
      </w:r>
      <w:r w:rsidR="00B77F8C" w:rsidRPr="0074242A">
        <w:rPr>
          <w:rFonts w:ascii="Arial" w:hAnsi="Arial" w:cs="Arial"/>
          <w:iCs/>
          <w:lang w:val="es-ES_tradnl"/>
        </w:rPr>
        <w:t>Conforme lo expuesto</w:t>
      </w:r>
      <w:r w:rsidR="006929C8" w:rsidRPr="0074242A">
        <w:rPr>
          <w:rFonts w:ascii="Arial" w:hAnsi="Arial" w:cs="Arial"/>
          <w:iCs/>
          <w:lang w:val="es-ES_tradnl"/>
        </w:rPr>
        <w:t>,</w:t>
      </w:r>
      <w:r w:rsidR="00B77F8C" w:rsidRPr="0074242A">
        <w:rPr>
          <w:rFonts w:ascii="Arial" w:hAnsi="Arial" w:cs="Arial"/>
          <w:iCs/>
          <w:lang w:val="es-ES_tradnl"/>
        </w:rPr>
        <w:t xml:space="preserve"> en </w:t>
      </w:r>
      <w:r w:rsidR="006929C8" w:rsidRPr="0074242A">
        <w:rPr>
          <w:rFonts w:ascii="Arial" w:hAnsi="Arial" w:cs="Arial"/>
          <w:iCs/>
          <w:lang w:val="es-ES_tradnl"/>
        </w:rPr>
        <w:t xml:space="preserve">el artículo 14 de la Ley 80 de 1993 </w:t>
      </w:r>
      <w:r w:rsidR="00B77F8C" w:rsidRPr="0074242A">
        <w:rPr>
          <w:rFonts w:ascii="Arial" w:hAnsi="Arial" w:cs="Arial"/>
          <w:iCs/>
          <w:lang w:val="es-ES_tradnl"/>
        </w:rPr>
        <w:t>se pueden identificar</w:t>
      </w:r>
      <w:r w:rsidR="006929C8" w:rsidRPr="0074242A">
        <w:rPr>
          <w:rFonts w:ascii="Arial" w:hAnsi="Arial" w:cs="Arial"/>
          <w:iCs/>
          <w:lang w:val="es-ES_tradnl"/>
        </w:rPr>
        <w:t xml:space="preserve"> cuatro (4) grupos de contratos en los cuales es diferente el régimen de estas facultades: El primer grupo corresponde a aquellos en los que es obligatorio incluir poderes exorbitantes, formado por</w:t>
      </w:r>
      <w:r w:rsidR="00F97BE1" w:rsidRPr="0074242A">
        <w:rPr>
          <w:rFonts w:ascii="Arial" w:hAnsi="Arial" w:cs="Arial"/>
          <w:iCs/>
          <w:lang w:val="es-ES_tradnl"/>
        </w:rPr>
        <w:t xml:space="preserve"> </w:t>
      </w:r>
      <w:r w:rsidR="00F97BE1" w:rsidRPr="0074242A">
        <w:rPr>
          <w:rFonts w:ascii="Arial" w:eastAsia="Calibri" w:hAnsi="Arial" w:cs="Arial"/>
        </w:rPr>
        <w:t>aquellos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w:t>
      </w:r>
      <w:r w:rsidR="006929C8" w:rsidRPr="0074242A">
        <w:rPr>
          <w:rFonts w:ascii="Arial" w:hAnsi="Arial" w:cs="Arial"/>
          <w:iCs/>
          <w:lang w:val="es-ES_tradnl"/>
        </w:rPr>
        <w:t xml:space="preserve">. El segundo grupo está conformado por los contratos en que </w:t>
      </w:r>
      <w:r w:rsidR="00F97BE1" w:rsidRPr="0074242A">
        <w:rPr>
          <w:rFonts w:ascii="Arial" w:hAnsi="Arial" w:cs="Arial"/>
          <w:iCs/>
          <w:lang w:val="es-ES_tradnl"/>
        </w:rPr>
        <w:t>la inclusión de estas potestades es facultativo</w:t>
      </w:r>
      <w:r w:rsidR="006929C8" w:rsidRPr="0074242A">
        <w:rPr>
          <w:rFonts w:ascii="Arial" w:hAnsi="Arial" w:cs="Arial"/>
          <w:iCs/>
          <w:lang w:val="es-ES_tradnl"/>
        </w:rPr>
        <w:t xml:space="preserve">, lo cual aplica a los contratos de suministro y de prestación de servicios. El tercer grupo corresponde a los contratos del parágrafo del artículo 14 del Estatuto General donde la ley prohíbe pactar de estos poderes, como es el caso de los contratos </w:t>
      </w:r>
      <w:r w:rsidR="00301175" w:rsidRPr="0074242A">
        <w:rPr>
          <w:rFonts w:ascii="Arial" w:hAnsi="Arial" w:cs="Arial"/>
          <w:iCs/>
          <w:lang w:val="es-ES_tradnl"/>
        </w:rPr>
        <w:t xml:space="preserve">celebrados </w:t>
      </w:r>
      <w:r w:rsidR="006929C8" w:rsidRPr="0074242A">
        <w:rPr>
          <w:rFonts w:ascii="Arial" w:hAnsi="Arial" w:cs="Arial"/>
          <w:iCs/>
          <w:lang w:val="es-ES_tradnl"/>
        </w:rPr>
        <w:t xml:space="preserve">con personas públicas internacionales, o de cooperación, ayuda o asistencia; interadministrativos, en los de empréstito, donación y arrendamiento y en los que tengan por objeto actividades comerciales o industriales de las entidades estatales que no corresponden a las señaladas en el numeral 2° del artículo 14 de la Ley 80, o que tengan por objeto el desarrollo directo de actividades científicas o tecnológicas, así como los contratos de seguro tomados por las entidades estatales. Finalmente, el cuarto grupo está conformado por todos los demás contratos estatales no previstos ni contemplados en alguno de los grupos anteriormente </w:t>
      </w:r>
      <w:r w:rsidR="00301175" w:rsidRPr="0074242A">
        <w:rPr>
          <w:rFonts w:ascii="Arial" w:hAnsi="Arial" w:cs="Arial"/>
          <w:iCs/>
          <w:lang w:val="es-ES_tradnl"/>
        </w:rPr>
        <w:t>señalados</w:t>
      </w:r>
      <w:r w:rsidR="006929C8" w:rsidRPr="0074242A">
        <w:rPr>
          <w:rFonts w:ascii="Arial" w:hAnsi="Arial" w:cs="Arial"/>
          <w:iCs/>
          <w:lang w:val="es-ES_tradnl"/>
        </w:rPr>
        <w:t xml:space="preserve">, en los cuales tampoco hay lugar a la inclusión </w:t>
      </w:r>
      <w:r w:rsidR="00301175" w:rsidRPr="0074242A">
        <w:rPr>
          <w:rFonts w:ascii="Arial" w:hAnsi="Arial" w:cs="Arial"/>
          <w:iCs/>
          <w:lang w:val="es-ES_tradnl"/>
        </w:rPr>
        <w:t>o el</w:t>
      </w:r>
      <w:r w:rsidR="006929C8" w:rsidRPr="0074242A">
        <w:rPr>
          <w:rFonts w:ascii="Arial" w:hAnsi="Arial" w:cs="Arial"/>
          <w:iCs/>
          <w:lang w:val="es-ES_tradnl"/>
        </w:rPr>
        <w:t xml:space="preserve"> ejercicio de tales potestades excepcionales.</w:t>
      </w:r>
      <w:r w:rsidR="00B77F8C" w:rsidRPr="0074242A">
        <w:rPr>
          <w:rFonts w:ascii="Arial" w:hAnsi="Arial" w:cs="Arial"/>
          <w:iCs/>
          <w:lang w:val="es-ES_tradnl"/>
        </w:rPr>
        <w:t xml:space="preserve"> Así las cosas, cada entidad estatal, previo estudio de las características y particularidades del contrato a celebrar deberán establecer si, de acuerdo con el objeto, es obligatorio incluir este tipo de cláusulas, </w:t>
      </w:r>
      <w:r w:rsidR="00301175" w:rsidRPr="0074242A">
        <w:rPr>
          <w:rFonts w:ascii="Arial" w:hAnsi="Arial" w:cs="Arial"/>
          <w:iCs/>
          <w:lang w:val="es-ES_tradnl"/>
        </w:rPr>
        <w:t>le</w:t>
      </w:r>
      <w:r w:rsidR="00B77F8C" w:rsidRPr="0074242A">
        <w:rPr>
          <w:rFonts w:ascii="Arial" w:hAnsi="Arial" w:cs="Arial"/>
          <w:iCs/>
          <w:lang w:val="es-ES_tradnl"/>
        </w:rPr>
        <w:t xml:space="preserve"> </w:t>
      </w:r>
      <w:r w:rsidR="00301175" w:rsidRPr="0074242A">
        <w:rPr>
          <w:rFonts w:ascii="Arial" w:hAnsi="Arial" w:cs="Arial"/>
          <w:iCs/>
          <w:lang w:val="es-ES_tradnl"/>
        </w:rPr>
        <w:t>e</w:t>
      </w:r>
      <w:r w:rsidR="00B77F8C" w:rsidRPr="0074242A">
        <w:rPr>
          <w:rFonts w:ascii="Arial" w:hAnsi="Arial" w:cs="Arial"/>
          <w:iCs/>
          <w:lang w:val="es-ES_tradnl"/>
        </w:rPr>
        <w:t xml:space="preserve">s facultativo o le está prohibido. </w:t>
      </w:r>
    </w:p>
    <w:p w14:paraId="7F85823A" w14:textId="09DF1073" w:rsidR="006929C8" w:rsidRPr="0074242A" w:rsidRDefault="00B77F8C" w:rsidP="00546444">
      <w:pPr>
        <w:spacing w:after="120" w:line="276" w:lineRule="auto"/>
        <w:ind w:firstLine="708"/>
        <w:jc w:val="both"/>
        <w:rPr>
          <w:rFonts w:ascii="Arial" w:hAnsi="Arial" w:cs="Arial"/>
          <w:iCs/>
          <w:lang w:val="es-ES_tradnl"/>
        </w:rPr>
      </w:pPr>
      <w:r w:rsidRPr="0074242A">
        <w:rPr>
          <w:rFonts w:ascii="Arial" w:hAnsi="Arial" w:cs="Arial"/>
          <w:iCs/>
          <w:lang w:val="es-ES_tradnl"/>
        </w:rPr>
        <w:t xml:space="preserve">Ahora bien, frente al </w:t>
      </w:r>
      <w:r w:rsidR="006929C8" w:rsidRPr="0074242A">
        <w:rPr>
          <w:rFonts w:ascii="Arial" w:hAnsi="Arial" w:cs="Arial"/>
          <w:iCs/>
          <w:lang w:val="es-ES_tradnl"/>
        </w:rPr>
        <w:t>procedimiento administrativo sancionatorio</w:t>
      </w:r>
      <w:r w:rsidR="00104B8D" w:rsidRPr="0074242A">
        <w:rPr>
          <w:rFonts w:ascii="Arial" w:hAnsi="Arial" w:cs="Arial"/>
          <w:iCs/>
          <w:lang w:val="es-ES_tradnl"/>
        </w:rPr>
        <w:t xml:space="preserve"> regulado en el </w:t>
      </w:r>
      <w:r w:rsidRPr="0074242A">
        <w:rPr>
          <w:rFonts w:ascii="Arial" w:hAnsi="Arial" w:cs="Arial"/>
          <w:iCs/>
          <w:lang w:val="es-ES_tradnl"/>
        </w:rPr>
        <w:t>artículo 86 de la Ley 1474 de 2011</w:t>
      </w:r>
      <w:r w:rsidR="00104B8D" w:rsidRPr="0074242A">
        <w:rPr>
          <w:rFonts w:ascii="Arial" w:hAnsi="Arial" w:cs="Arial"/>
          <w:iCs/>
          <w:lang w:val="es-ES_tradnl"/>
        </w:rPr>
        <w:t>, debe señalarse que este está</w:t>
      </w:r>
      <w:r w:rsidR="006929C8" w:rsidRPr="0074242A">
        <w:rPr>
          <w:rFonts w:ascii="Arial" w:hAnsi="Arial" w:cs="Arial"/>
          <w:iCs/>
          <w:lang w:val="es-ES_tradnl"/>
        </w:rPr>
        <w:t xml:space="preserve"> dirigido a sujetos específicos: las entidades sometidas al Estatuto General de Contratación de la Administración Pública. De ahí que las entidades de régimen especial en materia contractual no pueden aplicar el procedimiento administrativo sancionatorio regulado en el artículo 86 de la Ley 1474 de 2011, al no ser entidades sometidas al EGCAP. </w:t>
      </w:r>
      <w:r w:rsidR="00104B8D" w:rsidRPr="0074242A">
        <w:rPr>
          <w:rFonts w:ascii="Arial" w:hAnsi="Arial" w:cs="Arial"/>
          <w:iCs/>
          <w:lang w:val="es-ES_tradnl"/>
        </w:rPr>
        <w:t>En consecuencia</w:t>
      </w:r>
      <w:r w:rsidR="006929C8" w:rsidRPr="0074242A">
        <w:rPr>
          <w:rFonts w:ascii="Arial" w:hAnsi="Arial" w:cs="Arial"/>
          <w:iCs/>
          <w:lang w:val="es-ES_tradnl"/>
        </w:rPr>
        <w:t xml:space="preserve">, lo que define la posibilidad de aplicación del procedimiento sancionatorio contractual para la </w:t>
      </w:r>
      <w:r w:rsidR="006929C8" w:rsidRPr="0074242A">
        <w:rPr>
          <w:rFonts w:ascii="Arial" w:hAnsi="Arial" w:cs="Arial"/>
          <w:iCs/>
          <w:lang w:val="es-ES_tradnl"/>
        </w:rPr>
        <w:lastRenderedPageBreak/>
        <w:t xml:space="preserve">imposición de multas, sanciones y declaratorias de incumplimiento consagrado en el artículo 86 de la referida ley no es la modalidad de selección del contratista, como es la mínima cuantía, sino </w:t>
      </w:r>
      <w:r w:rsidR="00301175" w:rsidRPr="0074242A">
        <w:rPr>
          <w:rFonts w:ascii="Arial" w:hAnsi="Arial" w:cs="Arial"/>
          <w:iCs/>
          <w:lang w:val="es-ES_tradnl"/>
        </w:rPr>
        <w:t>que el régimen aplicable al contrato sea el</w:t>
      </w:r>
      <w:r w:rsidR="006929C8" w:rsidRPr="0074242A">
        <w:rPr>
          <w:rFonts w:ascii="Arial" w:hAnsi="Arial" w:cs="Arial"/>
          <w:iCs/>
          <w:lang w:val="es-ES_tradnl"/>
        </w:rPr>
        <w:t xml:space="preserve"> Estatuto General de Contratación de la Administración Públic</w:t>
      </w:r>
      <w:r w:rsidR="00301175" w:rsidRPr="0074242A">
        <w:rPr>
          <w:rFonts w:ascii="Arial" w:hAnsi="Arial" w:cs="Arial"/>
          <w:iCs/>
          <w:lang w:val="es-ES_tradnl"/>
        </w:rPr>
        <w:t>a</w:t>
      </w:r>
      <w:r w:rsidR="006929C8" w:rsidRPr="0074242A">
        <w:rPr>
          <w:rFonts w:ascii="Arial" w:hAnsi="Arial" w:cs="Arial"/>
          <w:iCs/>
          <w:lang w:val="es-ES_tradnl"/>
        </w:rPr>
        <w:t>.</w:t>
      </w:r>
      <w:r w:rsidR="00301175" w:rsidRPr="0074242A">
        <w:rPr>
          <w:rFonts w:ascii="Arial" w:hAnsi="Arial" w:cs="Arial"/>
          <w:iCs/>
          <w:lang w:val="es-ES_tradnl"/>
        </w:rPr>
        <w:t xml:space="preserve"> Ahora bien, la posibilidad de imponer unilateralmente multas o hacer efectiva la cláusula penal procederá en los términos analizados en el numeral 2.1. de este concepto, por lo que se podrá realizar en los términos establecidos en el artículo 17 de la Ley 1150 de 2007, siguiendo el procedimiento establecido en el artículo 86 de la Ley 1474 de 2011; sin que su aplicación resulte afectada por el hecho de que el contrato se celebre luego de surtir un procedimiento de selección de mínima cuantía.</w:t>
      </w:r>
    </w:p>
    <w:p w14:paraId="2E2AFF1A" w14:textId="77777777" w:rsidR="00A23C35" w:rsidRPr="0074242A" w:rsidRDefault="00A23C35" w:rsidP="00546444">
      <w:pPr>
        <w:spacing w:after="120" w:line="276" w:lineRule="auto"/>
        <w:ind w:firstLine="708"/>
        <w:jc w:val="both"/>
        <w:rPr>
          <w:rFonts w:ascii="Arial" w:hAnsi="Arial" w:cs="Arial"/>
          <w:iCs/>
          <w:lang w:val="es-ES_tradnl"/>
        </w:rPr>
      </w:pPr>
    </w:p>
    <w:bookmarkEnd w:id="21"/>
    <w:p w14:paraId="7982AD3D" w14:textId="030B1B92" w:rsidR="00977331" w:rsidRPr="0074242A" w:rsidRDefault="00977331" w:rsidP="00977331">
      <w:pPr>
        <w:spacing w:after="0" w:line="276" w:lineRule="auto"/>
        <w:jc w:val="both"/>
        <w:rPr>
          <w:rFonts w:ascii="Arial" w:eastAsia="Times New Roman" w:hAnsi="Arial" w:cs="Arial"/>
          <w:sz w:val="24"/>
          <w:szCs w:val="24"/>
          <w:lang w:eastAsia="es-ES_tradnl"/>
        </w:rPr>
      </w:pPr>
      <w:r w:rsidRPr="0074242A">
        <w:rPr>
          <w:rFonts w:ascii="Arial" w:eastAsia="Calibri" w:hAnsi="Arial" w:cs="Arial"/>
        </w:rPr>
        <w:t>Este concepto tiene el alcance previsto en el artículo 28 del Código de Procedimiento Administrativo y de lo Contencioso Administrativo.</w:t>
      </w:r>
      <w:r w:rsidR="005F2743" w:rsidRPr="0074242A">
        <w:rPr>
          <w:rFonts w:ascii="Arial" w:hAnsi="Arial" w:cs="Arial"/>
          <w:noProof/>
        </w:rPr>
        <mc:AlternateContent>
          <mc:Choice Requires="wps">
            <w:drawing>
              <wp:anchor distT="4294967295" distB="4294967295" distL="114300" distR="114300" simplePos="0" relativeHeight="251659264" behindDoc="0" locked="0" layoutInCell="1" allowOverlap="1" wp14:anchorId="66F8160C" wp14:editId="38006AB9">
                <wp:simplePos x="0" y="0"/>
                <wp:positionH relativeFrom="page">
                  <wp:posOffset>1514475</wp:posOffset>
                </wp:positionH>
                <wp:positionV relativeFrom="paragraph">
                  <wp:posOffset>10159</wp:posOffset>
                </wp:positionV>
                <wp:extent cx="4686300"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1BDA8A" id="Conector recto 10"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" strokecolor="#dbdbdb">
                <o:lock v:ext="edit" shapetype="f"/>
                <w10:wrap anchorx="page"/>
              </v:line>
            </w:pict>
          </mc:Fallback>
        </mc:AlternateContent>
      </w:r>
    </w:p>
    <w:p w14:paraId="253CE649" w14:textId="77777777" w:rsidR="00977331" w:rsidRPr="0074242A" w:rsidRDefault="00977331" w:rsidP="00977331">
      <w:pPr>
        <w:spacing w:after="0" w:line="276" w:lineRule="auto"/>
        <w:jc w:val="both"/>
        <w:rPr>
          <w:rFonts w:ascii="Arial" w:eastAsia="Times New Roman" w:hAnsi="Arial" w:cs="Arial"/>
          <w:sz w:val="24"/>
          <w:szCs w:val="24"/>
          <w:lang w:eastAsia="es-ES_tradnl"/>
        </w:rPr>
      </w:pPr>
    </w:p>
    <w:p w14:paraId="2C5B525E" w14:textId="05B10653" w:rsidR="00977331" w:rsidRPr="0074242A" w:rsidRDefault="00977331" w:rsidP="00977331">
      <w:pPr>
        <w:spacing w:after="200" w:line="276" w:lineRule="auto"/>
        <w:jc w:val="both"/>
        <w:rPr>
          <w:rFonts w:ascii="Arial" w:eastAsia="Times New Roman" w:hAnsi="Arial" w:cs="Arial"/>
          <w:lang w:eastAsia="es-CO"/>
        </w:rPr>
      </w:pPr>
      <w:r w:rsidRPr="0074242A">
        <w:rPr>
          <w:rFonts w:ascii="Arial" w:eastAsia="Times New Roman" w:hAnsi="Arial" w:cs="Arial"/>
          <w:lang w:eastAsia="es-CO"/>
        </w:rPr>
        <w:t>Atentamente,</w:t>
      </w:r>
    </w:p>
    <w:p w14:paraId="46739D71" w14:textId="586F9083" w:rsidR="00977331" w:rsidRPr="0074242A" w:rsidRDefault="00E309E8" w:rsidP="00035B43">
      <w:pPr>
        <w:spacing w:after="200" w:line="276" w:lineRule="auto"/>
        <w:ind w:left="708" w:hanging="708"/>
        <w:jc w:val="center"/>
        <w:rPr>
          <w:rFonts w:ascii="Arial" w:eastAsia="Times New Roman" w:hAnsi="Arial" w:cs="Arial"/>
          <w:sz w:val="18"/>
          <w:szCs w:val="20"/>
          <w:lang w:val="es-MX" w:eastAsia="es-CO"/>
        </w:rPr>
      </w:pPr>
      <w:r w:rsidRPr="009942C8">
        <w:rPr>
          <w:rFonts w:ascii="Arial" w:hAnsi="Arial" w:cs="Arial"/>
          <w:noProof/>
          <w:color w:val="000000" w:themeColor="text1"/>
          <w:lang w:val="es-ES_tradnl"/>
        </w:rPr>
        <w:drawing>
          <wp:inline distT="0" distB="0" distL="0" distR="0" wp14:anchorId="4B07C8A8" wp14:editId="04A9B16C">
            <wp:extent cx="2409825" cy="1025233"/>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422103" cy="1030457"/>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977331" w:rsidRPr="0074242A" w14:paraId="4D6369A9" w14:textId="77777777" w:rsidTr="00B05909">
        <w:trPr>
          <w:trHeight w:val="315"/>
        </w:trPr>
        <w:tc>
          <w:tcPr>
            <w:tcW w:w="812" w:type="dxa"/>
            <w:vAlign w:val="center"/>
            <w:hideMark/>
          </w:tcPr>
          <w:p w14:paraId="5C6BC1DB" w14:textId="77777777" w:rsidR="00977331" w:rsidRPr="0074242A" w:rsidRDefault="00977331" w:rsidP="00B05909">
            <w:pPr>
              <w:rPr>
                <w:rFonts w:ascii="Arial" w:eastAsia="Times New Roman" w:hAnsi="Arial" w:cs="Arial"/>
                <w:sz w:val="16"/>
                <w:szCs w:val="16"/>
                <w:lang w:eastAsia="es-ES"/>
              </w:rPr>
            </w:pPr>
            <w:r w:rsidRPr="0074242A">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2CF8C52D" w14:textId="77777777" w:rsidR="00977331" w:rsidRPr="0074242A" w:rsidRDefault="00977331" w:rsidP="00B05909">
            <w:pPr>
              <w:rPr>
                <w:rFonts w:ascii="Arial" w:eastAsia="Times New Roman" w:hAnsi="Arial" w:cs="Arial"/>
                <w:sz w:val="16"/>
                <w:szCs w:val="16"/>
                <w:lang w:eastAsia="es-ES"/>
              </w:rPr>
            </w:pPr>
            <w:r w:rsidRPr="0074242A">
              <w:rPr>
                <w:rFonts w:ascii="Arial" w:eastAsia="Times New Roman" w:hAnsi="Arial" w:cs="Arial"/>
                <w:sz w:val="16"/>
                <w:szCs w:val="16"/>
                <w:lang w:eastAsia="es-ES"/>
              </w:rPr>
              <w:t>Diana Lucia Saavedra Castañeda</w:t>
            </w:r>
          </w:p>
          <w:p w14:paraId="5EB12849" w14:textId="77777777" w:rsidR="00977331" w:rsidRPr="0074242A" w:rsidRDefault="00977331" w:rsidP="00B05909">
            <w:pPr>
              <w:rPr>
                <w:rFonts w:ascii="Arial" w:eastAsia="Times New Roman" w:hAnsi="Arial" w:cs="Arial"/>
                <w:sz w:val="16"/>
                <w:szCs w:val="16"/>
                <w:lang w:eastAsia="es-ES"/>
              </w:rPr>
            </w:pPr>
            <w:r w:rsidRPr="0074242A">
              <w:rPr>
                <w:rFonts w:ascii="Arial" w:eastAsia="Times New Roman" w:hAnsi="Arial" w:cs="Arial"/>
                <w:sz w:val="16"/>
                <w:szCs w:val="16"/>
                <w:lang w:eastAsia="es-ES"/>
              </w:rPr>
              <w:t>Contratista de la Subdirección de Gestión Contractual</w:t>
            </w:r>
          </w:p>
        </w:tc>
      </w:tr>
      <w:tr w:rsidR="00977331" w:rsidRPr="0074242A" w14:paraId="6B733390" w14:textId="77777777" w:rsidTr="00B05909">
        <w:trPr>
          <w:trHeight w:val="330"/>
        </w:trPr>
        <w:tc>
          <w:tcPr>
            <w:tcW w:w="812" w:type="dxa"/>
            <w:vAlign w:val="center"/>
            <w:hideMark/>
          </w:tcPr>
          <w:p w14:paraId="79D95CDF" w14:textId="77777777" w:rsidR="00977331" w:rsidRPr="0074242A" w:rsidRDefault="00977331" w:rsidP="00B05909">
            <w:pPr>
              <w:rPr>
                <w:rFonts w:ascii="Arial" w:eastAsia="Times New Roman" w:hAnsi="Arial" w:cs="Arial"/>
                <w:sz w:val="16"/>
                <w:szCs w:val="16"/>
                <w:lang w:eastAsia="es-ES"/>
              </w:rPr>
            </w:pPr>
            <w:r w:rsidRPr="0074242A">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22CCC71B" w14:textId="778CB385" w:rsidR="00977331" w:rsidRPr="0074242A" w:rsidRDefault="00474A7D" w:rsidP="00B05909">
            <w:pPr>
              <w:rPr>
                <w:rFonts w:ascii="Arial" w:eastAsia="Times New Roman" w:hAnsi="Arial" w:cs="Arial"/>
                <w:sz w:val="16"/>
                <w:szCs w:val="16"/>
                <w:lang w:eastAsia="es-ES"/>
              </w:rPr>
            </w:pPr>
            <w:r w:rsidRPr="0074242A">
              <w:rPr>
                <w:rFonts w:ascii="Arial" w:eastAsia="Times New Roman" w:hAnsi="Arial" w:cs="Arial"/>
                <w:sz w:val="16"/>
                <w:szCs w:val="16"/>
                <w:lang w:eastAsia="es-ES"/>
              </w:rPr>
              <w:t xml:space="preserve">Sebastián Ramírez Grisales </w:t>
            </w:r>
          </w:p>
          <w:p w14:paraId="24FF2676" w14:textId="3F21288C" w:rsidR="00977331" w:rsidRPr="0074242A" w:rsidRDefault="00474A7D" w:rsidP="00B05909">
            <w:pPr>
              <w:rPr>
                <w:rFonts w:ascii="Arial" w:eastAsia="Times New Roman" w:hAnsi="Arial" w:cs="Arial"/>
                <w:sz w:val="16"/>
                <w:szCs w:val="16"/>
                <w:lang w:eastAsia="es-ES"/>
              </w:rPr>
            </w:pPr>
            <w:r w:rsidRPr="0074242A">
              <w:rPr>
                <w:rFonts w:ascii="Arial" w:eastAsia="Times New Roman" w:hAnsi="Arial" w:cs="Arial"/>
                <w:sz w:val="16"/>
                <w:szCs w:val="16"/>
                <w:lang w:eastAsia="es-ES"/>
              </w:rPr>
              <w:t>Contratista de la Subdirección de Gestión Contractual</w:t>
            </w:r>
          </w:p>
        </w:tc>
      </w:tr>
      <w:tr w:rsidR="00977331" w:rsidRPr="006929C8" w14:paraId="341CC54D" w14:textId="77777777" w:rsidTr="00B05909">
        <w:trPr>
          <w:trHeight w:val="300"/>
        </w:trPr>
        <w:tc>
          <w:tcPr>
            <w:tcW w:w="812" w:type="dxa"/>
            <w:vAlign w:val="center"/>
            <w:hideMark/>
          </w:tcPr>
          <w:p w14:paraId="3D8E0C14" w14:textId="77777777" w:rsidR="00977331" w:rsidRPr="0074242A" w:rsidRDefault="00977331" w:rsidP="00B05909">
            <w:pPr>
              <w:rPr>
                <w:rFonts w:ascii="Arial" w:eastAsia="Times New Roman" w:hAnsi="Arial" w:cs="Arial"/>
                <w:sz w:val="16"/>
                <w:szCs w:val="16"/>
                <w:lang w:eastAsia="es-ES"/>
              </w:rPr>
            </w:pPr>
            <w:r w:rsidRPr="0074242A">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0D724358" w14:textId="77777777" w:rsidR="00977331" w:rsidRPr="0074242A" w:rsidRDefault="00977331" w:rsidP="00B05909">
            <w:pPr>
              <w:rPr>
                <w:rFonts w:ascii="Arial" w:eastAsia="Times New Roman" w:hAnsi="Arial" w:cs="Arial"/>
                <w:sz w:val="16"/>
                <w:szCs w:val="16"/>
                <w:lang w:val="es-ES" w:eastAsia="es-ES"/>
              </w:rPr>
            </w:pPr>
            <w:r w:rsidRPr="0074242A">
              <w:rPr>
                <w:rFonts w:ascii="Arial" w:eastAsia="Times New Roman" w:hAnsi="Arial" w:cs="Arial"/>
                <w:sz w:val="16"/>
                <w:szCs w:val="16"/>
                <w:lang w:val="es-ES" w:eastAsia="es-ES"/>
              </w:rPr>
              <w:t>Andrés Ricardo Mancipe González</w:t>
            </w:r>
          </w:p>
          <w:p w14:paraId="738E45E8" w14:textId="77777777" w:rsidR="00977331" w:rsidRPr="006929C8" w:rsidRDefault="00977331" w:rsidP="00B05909">
            <w:pPr>
              <w:rPr>
                <w:rFonts w:ascii="Arial" w:eastAsia="Times New Roman" w:hAnsi="Arial" w:cs="Arial"/>
                <w:sz w:val="16"/>
                <w:szCs w:val="16"/>
                <w:lang w:eastAsia="es-ES"/>
              </w:rPr>
            </w:pPr>
            <w:r w:rsidRPr="0074242A">
              <w:rPr>
                <w:rFonts w:ascii="Arial" w:eastAsia="Times New Roman" w:hAnsi="Arial" w:cs="Arial"/>
                <w:sz w:val="16"/>
                <w:szCs w:val="16"/>
                <w:lang w:val="es-ES" w:eastAsia="es-ES"/>
              </w:rPr>
              <w:t>Subdirector de Gestión Contractual (E)</w:t>
            </w:r>
          </w:p>
        </w:tc>
      </w:tr>
      <w:bookmarkEnd w:id="0"/>
      <w:bookmarkEnd w:id="1"/>
      <w:bookmarkEnd w:id="2"/>
    </w:tbl>
    <w:p w14:paraId="7E4934EF" w14:textId="77777777" w:rsidR="00DB3462" w:rsidRPr="006929C8" w:rsidRDefault="00DB3462">
      <w:pPr>
        <w:rPr>
          <w:rFonts w:ascii="Arial" w:hAnsi="Arial" w:cs="Arial"/>
        </w:rPr>
      </w:pPr>
    </w:p>
    <w:sectPr w:rsidR="00DB3462" w:rsidRPr="006929C8" w:rsidSect="00B05909">
      <w:headerReference w:type="default" r:id="rId11"/>
      <w:footerReference w:type="default" r:id="rId12"/>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CC7C" w14:textId="77777777" w:rsidR="00B95EDA" w:rsidRDefault="00B95EDA" w:rsidP="00977331">
      <w:pPr>
        <w:spacing w:after="0" w:line="240" w:lineRule="auto"/>
      </w:pPr>
      <w:r>
        <w:separator/>
      </w:r>
    </w:p>
  </w:endnote>
  <w:endnote w:type="continuationSeparator" w:id="0">
    <w:p w14:paraId="1BBF7AAB" w14:textId="77777777" w:rsidR="00B95EDA" w:rsidRDefault="00B95EDA" w:rsidP="0097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7E44" w14:textId="77777777" w:rsidR="00B05909" w:rsidRDefault="00B05909" w:rsidP="00B05909">
    <w:pPr>
      <w:pStyle w:val="Sinespaciado"/>
      <w:rPr>
        <w:rFonts w:ascii="Arial" w:hAnsi="Arial" w:cs="Arial"/>
        <w:sz w:val="18"/>
        <w:szCs w:val="18"/>
      </w:rPr>
    </w:pPr>
  </w:p>
  <w:p w14:paraId="65E3A613" w14:textId="77777777" w:rsidR="00B05909" w:rsidRPr="00883C23" w:rsidRDefault="00B05909" w:rsidP="00B05909">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69670875" w14:textId="77777777" w:rsidR="00B05909" w:rsidRDefault="00B05909" w:rsidP="00B05909">
    <w:pPr>
      <w:pStyle w:val="Piedepgina"/>
      <w:jc w:val="center"/>
      <w:rPr>
        <w:lang w:val="es-ES"/>
      </w:rPr>
    </w:pPr>
    <w:r>
      <w:rPr>
        <w:noProof/>
        <w:lang w:val="es-CO" w:eastAsia="es-CO"/>
      </w:rPr>
      <w:drawing>
        <wp:inline distT="0" distB="0" distL="0" distR="0" wp14:anchorId="778BCAB5" wp14:editId="48EC7212">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B4F8" w14:textId="77777777" w:rsidR="00B95EDA" w:rsidRDefault="00B95EDA" w:rsidP="00977331">
      <w:pPr>
        <w:spacing w:after="0" w:line="240" w:lineRule="auto"/>
      </w:pPr>
      <w:r>
        <w:separator/>
      </w:r>
    </w:p>
  </w:footnote>
  <w:footnote w:type="continuationSeparator" w:id="0">
    <w:p w14:paraId="21110E6B" w14:textId="77777777" w:rsidR="00B95EDA" w:rsidRDefault="00B95EDA" w:rsidP="00977331">
      <w:pPr>
        <w:spacing w:after="0" w:line="240" w:lineRule="auto"/>
      </w:pPr>
      <w:r>
        <w:continuationSeparator/>
      </w:r>
    </w:p>
  </w:footnote>
  <w:footnote w:id="1">
    <w:p w14:paraId="01F6FD52" w14:textId="77777777" w:rsidR="00C25AE7" w:rsidRPr="0074242A" w:rsidRDefault="00C25AE7" w:rsidP="00C139E0">
      <w:pPr>
        <w:pStyle w:val="Textonotapie"/>
        <w:spacing w:after="0" w:line="240" w:lineRule="auto"/>
        <w:ind w:firstLine="708"/>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Cfr. </w:t>
      </w:r>
      <w:hyperlink r:id="rId1" w:history="1">
        <w:r w:rsidRPr="0074242A">
          <w:rPr>
            <w:rStyle w:val="Hipervnculo"/>
            <w:rFonts w:ascii="Arial" w:hAnsi="Arial" w:cs="Arial"/>
            <w:sz w:val="19"/>
            <w:szCs w:val="19"/>
          </w:rPr>
          <w:t>http://etimologias.dechile.net/?exorbitante</w:t>
        </w:r>
      </w:hyperlink>
      <w:r w:rsidRPr="0074242A">
        <w:rPr>
          <w:rFonts w:ascii="Arial" w:hAnsi="Arial" w:cs="Arial"/>
          <w:sz w:val="19"/>
          <w:szCs w:val="19"/>
        </w:rPr>
        <w:t>. Consultado el 15 de mayo de 2020.</w:t>
      </w:r>
    </w:p>
  </w:footnote>
  <w:footnote w:id="2">
    <w:p w14:paraId="7B60DFAB" w14:textId="77777777" w:rsidR="00C25AE7" w:rsidRPr="0074242A" w:rsidRDefault="00C25AE7" w:rsidP="0074242A">
      <w:pPr>
        <w:pStyle w:val="Textonotapie"/>
        <w:spacing w:after="0" w:line="240" w:lineRule="auto"/>
        <w:ind w:firstLine="708"/>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En efecto, «Se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 (DÍEZ, Manuel María. Manual de derecho administrativo. Tomo I. Décima Edición. Buenos Aires: Editorial Plus Ultra. p. 293. En el mismo sentido, RIVERÓ, Jean. Derecho Administrativo. Caracas: Universidad Central de Venezuela, 1984. pp. 128-129. VEDEL, George. Derecho administrativo. Madrid: Editorial Aguilar, 1980. p. 191). </w:t>
      </w:r>
    </w:p>
  </w:footnote>
  <w:footnote w:id="3">
    <w:p w14:paraId="4E719BC2" w14:textId="77777777" w:rsidR="00C25AE7" w:rsidRPr="0074242A" w:rsidRDefault="00C25AE7" w:rsidP="0074242A">
      <w:pPr>
        <w:pStyle w:val="Textonotapie"/>
        <w:spacing w:after="0" w:line="240" w:lineRule="auto"/>
        <w:ind w:firstLine="708"/>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CONSEJO DE ESTADO. Sección Tercera. Sentencia del 30 de noviembre de 2006. Exp. 30.832. C.P. Alier Eduardo Hernández Enríquez. Idea reiterada en la Subsección A. Sentencia del 16 de agosto de 2012. Exp. 22.822. C.P. Mauricio Fajardo Gómez; Subsección A. Sentencia del 12 de noviembre de 2014. Exp. 30.251. C.P. Hernán Andrade Rincón; Subsección C. Sentencia del 13 de mayo de 2015. Exp. 32.492. C.P. Olga Mélida Valle de De La Hoz (E), entre otras. </w:t>
      </w:r>
    </w:p>
  </w:footnote>
  <w:footnote w:id="4">
    <w:p w14:paraId="7470AAC2" w14:textId="52617C71" w:rsidR="006C3599" w:rsidRPr="0074242A" w:rsidRDefault="006C3599" w:rsidP="0074242A">
      <w:pPr>
        <w:pStyle w:val="Textonotapie"/>
        <w:spacing w:after="0" w:line="240" w:lineRule="auto"/>
        <w:ind w:firstLine="709"/>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Cabe precisar que la inclusión de los contratos relacionados con el programa de alimentación escolar se realizó mediante el artículo 52 de la Ley 2195 de 2022, que modificó el numeral 2 del artículo 14 de la Ley 80 de 1993.</w:t>
      </w:r>
    </w:p>
  </w:footnote>
  <w:footnote w:id="5">
    <w:p w14:paraId="4E3CA140" w14:textId="52E821A1" w:rsidR="00C25AE7" w:rsidRPr="0074242A" w:rsidRDefault="00C25AE7" w:rsidP="00C139E0">
      <w:pPr>
        <w:pStyle w:val="Textonotapie"/>
        <w:spacing w:after="0" w:line="240" w:lineRule="auto"/>
        <w:ind w:firstLine="708"/>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w:t>
      </w:r>
      <w:r w:rsidRPr="0074242A">
        <w:rPr>
          <w:rFonts w:ascii="Arial" w:hAnsi="Arial" w:cs="Arial"/>
          <w:i/>
          <w:iCs/>
          <w:sz w:val="19"/>
          <w:szCs w:val="19"/>
        </w:rPr>
        <w:t>son de la naturaleza de un contrato las que no siendo esenciales en él, se entienden pertenecerle, sin necesidad de una cláusula especial</w:t>
      </w:r>
      <w:r w:rsidRPr="0074242A">
        <w:rPr>
          <w:rFonts w:ascii="Arial" w:hAnsi="Arial" w:cs="Arial"/>
          <w:sz w:val="19"/>
          <w:szCs w:val="19"/>
        </w:rPr>
        <w:t>; y son accidentales a un contrato aquellas que ni esencial ni naturalmente le pertenecen, y que se le agregan por medio de cláusulas especiales» (Énfasis fuera de texto).</w:t>
      </w:r>
    </w:p>
  </w:footnote>
  <w:footnote w:id="6">
    <w:p w14:paraId="07030612" w14:textId="77777777" w:rsidR="00C25AE7" w:rsidRPr="0074242A" w:rsidRDefault="00C25AE7" w:rsidP="00C139E0">
      <w:pPr>
        <w:pStyle w:val="Textonotapie"/>
        <w:spacing w:after="0" w:line="240" w:lineRule="auto"/>
        <w:ind w:firstLine="708"/>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CONSEJO DE ESTADO. Sección Tercera. Sentencia del 30 de noviembre de 2006. Exp. 30.832. C.P. Alier Eduardo Hernández Enríquez.</w:t>
      </w:r>
    </w:p>
  </w:footnote>
  <w:footnote w:id="7">
    <w:p w14:paraId="6F15D4F1" w14:textId="2FB53F8B" w:rsidR="00C25AE7" w:rsidRPr="0074242A" w:rsidRDefault="00C25AE7" w:rsidP="00C139E0">
      <w:pPr>
        <w:pStyle w:val="Textonotapie"/>
        <w:spacing w:after="0" w:line="240" w:lineRule="auto"/>
        <w:ind w:firstLine="709"/>
        <w:rPr>
          <w:rFonts w:ascii="Arial" w:hAnsi="Arial" w:cs="Arial"/>
          <w:iCs/>
          <w:color w:val="000000" w:themeColor="text1"/>
          <w:sz w:val="19"/>
          <w:szCs w:val="19"/>
        </w:rPr>
      </w:pPr>
      <w:r w:rsidRPr="0074242A">
        <w:rPr>
          <w:rStyle w:val="Refdenotaalpie"/>
          <w:rFonts w:ascii="Arial" w:hAnsi="Arial" w:cs="Arial"/>
          <w:sz w:val="19"/>
          <w:szCs w:val="19"/>
        </w:rPr>
        <w:footnoteRef/>
      </w:r>
      <w:r w:rsidRPr="0074242A">
        <w:rPr>
          <w:rFonts w:ascii="Arial" w:hAnsi="Arial" w:cs="Arial"/>
          <w:iCs/>
          <w:color w:val="000000" w:themeColor="text1"/>
          <w:sz w:val="19"/>
          <w:szCs w:val="19"/>
        </w:rPr>
        <w:t xml:space="preserve"> Consejo de Estado. Sección Tercera. Sentencia del 12 de julio de 2012. Danilo Rojas Betancourth. Exp. 15.024. C.P.</w:t>
      </w:r>
    </w:p>
  </w:footnote>
  <w:footnote w:id="8">
    <w:p w14:paraId="46F1268E" w14:textId="06A2BDC9" w:rsidR="00C25AE7" w:rsidRPr="0074242A" w:rsidRDefault="00C25AE7" w:rsidP="0074242A">
      <w:pPr>
        <w:pStyle w:val="Textonotapie"/>
        <w:spacing w:after="0" w:line="240" w:lineRule="auto"/>
        <w:ind w:firstLine="709"/>
        <w:rPr>
          <w:rFonts w:ascii="Arial" w:hAnsi="Arial" w:cs="Arial"/>
          <w:color w:val="000000" w:themeColor="text1"/>
          <w:sz w:val="19"/>
          <w:szCs w:val="19"/>
        </w:rPr>
      </w:pPr>
      <w:r w:rsidRPr="0074242A">
        <w:rPr>
          <w:rStyle w:val="Refdenotaalpie"/>
          <w:rFonts w:ascii="Arial" w:hAnsi="Arial" w:cs="Arial"/>
          <w:sz w:val="19"/>
          <w:szCs w:val="19"/>
        </w:rPr>
        <w:footnoteRef/>
      </w:r>
      <w:r w:rsidRPr="0074242A">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footnote>
  <w:footnote w:id="9">
    <w:p w14:paraId="1C7229EC" w14:textId="1C73E3EE" w:rsidR="00C25AE7" w:rsidRPr="0074242A" w:rsidRDefault="00C25AE7" w:rsidP="0074242A">
      <w:pPr>
        <w:pStyle w:val="Textonotapie"/>
        <w:spacing w:after="0" w:line="240" w:lineRule="auto"/>
        <w:ind w:firstLine="709"/>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CONSEJO DE ESTADO. Sección Tercera. Sentencia del 15 de noviembre de 2011. Consejera Ponente: Olga Mélida Valle de De La Hoz. Expediente: 20.916.</w:t>
      </w:r>
    </w:p>
  </w:footnote>
  <w:footnote w:id="10">
    <w:p w14:paraId="52E42832" w14:textId="2200A2D0" w:rsidR="00C25AE7" w:rsidRPr="0074242A" w:rsidRDefault="00C25AE7" w:rsidP="0074242A">
      <w:pPr>
        <w:pStyle w:val="Textonotapie"/>
        <w:spacing w:after="0" w:line="240" w:lineRule="auto"/>
        <w:ind w:firstLine="709"/>
        <w:rPr>
          <w:rFonts w:ascii="Arial" w:hAnsi="Arial" w:cs="Arial"/>
          <w:color w:val="000000" w:themeColor="text1"/>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w:t>
      </w:r>
      <w:r w:rsidRPr="0074242A">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74242A">
        <w:rPr>
          <w:rFonts w:ascii="Arial" w:hAnsi="Arial" w:cs="Arial"/>
          <w:color w:val="000000" w:themeColor="text1"/>
          <w:sz w:val="19"/>
          <w:szCs w:val="19"/>
        </w:rPr>
        <w:t>CONSEJO DE ESTADO. Sección Tercera. Sentencia del 13 de noviembre de 2008. Consejero Ponente: Enrique Gil Botero.Expediente: 17.009.</w:t>
      </w:r>
    </w:p>
  </w:footnote>
  <w:footnote w:id="11">
    <w:p w14:paraId="53AE093C" w14:textId="23C046EC" w:rsidR="00C25AE7" w:rsidRPr="0074242A" w:rsidRDefault="00C25AE7" w:rsidP="0074242A">
      <w:pPr>
        <w:pStyle w:val="Textonotapie"/>
        <w:spacing w:after="0" w:line="240" w:lineRule="auto"/>
        <w:ind w:firstLine="709"/>
        <w:rPr>
          <w:rFonts w:ascii="Arial" w:hAnsi="Arial" w:cs="Arial"/>
          <w:color w:val="000000" w:themeColor="text1"/>
          <w:sz w:val="19"/>
          <w:szCs w:val="19"/>
        </w:rPr>
      </w:pPr>
      <w:r w:rsidRPr="0074242A">
        <w:rPr>
          <w:rStyle w:val="Refdenotaalpie"/>
          <w:rFonts w:ascii="Arial" w:hAnsi="Arial" w:cs="Arial"/>
          <w:sz w:val="19"/>
          <w:szCs w:val="19"/>
        </w:rPr>
        <w:footnoteRef/>
      </w:r>
      <w:r w:rsidRPr="0074242A">
        <w:rPr>
          <w:rFonts w:ascii="Arial" w:hAnsi="Arial" w:cs="Arial"/>
          <w:color w:val="000000" w:themeColor="text1"/>
          <w:sz w:val="19"/>
          <w:szCs w:val="19"/>
        </w:rPr>
        <w:t xml:space="preserve"> CORTE CONSTITUCIONAL. Sentencia C-827 de 2001. M.P. Álvaro Tafur Galvis.</w:t>
      </w:r>
    </w:p>
  </w:footnote>
  <w:footnote w:id="12">
    <w:p w14:paraId="18DDB8A8" w14:textId="60D1B747" w:rsidR="00C25AE7" w:rsidRPr="0074242A" w:rsidRDefault="00C25AE7" w:rsidP="0074242A">
      <w:pPr>
        <w:pStyle w:val="Textonotapie"/>
        <w:spacing w:after="0" w:line="240" w:lineRule="auto"/>
        <w:ind w:firstLine="709"/>
        <w:rPr>
          <w:rFonts w:ascii="Arial" w:hAnsi="Arial" w:cs="Arial"/>
          <w:color w:val="000000" w:themeColor="text1"/>
          <w:sz w:val="19"/>
          <w:szCs w:val="19"/>
        </w:rPr>
      </w:pPr>
      <w:r w:rsidRPr="0074242A">
        <w:rPr>
          <w:rStyle w:val="Refdenotaalpie"/>
          <w:rFonts w:ascii="Arial" w:hAnsi="Arial" w:cs="Arial"/>
          <w:sz w:val="19"/>
          <w:szCs w:val="19"/>
        </w:rPr>
        <w:footnoteRef/>
      </w:r>
      <w:r w:rsidRPr="0074242A">
        <w:rPr>
          <w:rFonts w:ascii="Arial" w:hAnsi="Arial" w:cs="Arial"/>
          <w:color w:val="000000" w:themeColor="text1"/>
          <w:sz w:val="19"/>
          <w:szCs w:val="19"/>
          <w:vertAlign w:val="superscript"/>
        </w:rPr>
        <w:t xml:space="preserve"> </w:t>
      </w:r>
      <w:r w:rsidRPr="0074242A">
        <w:rPr>
          <w:rFonts w:ascii="Arial" w:hAnsi="Arial" w:cs="Arial"/>
          <w:color w:val="000000" w:themeColor="text1"/>
          <w:sz w:val="19"/>
          <w:szCs w:val="19"/>
        </w:rPr>
        <w:t>CONSEJO DE ESTADO. Sección Tercera. Sentencia del 13 de noviembre de 2008. Exp. 17.009. C.P. Enrique Gil Botero.</w:t>
      </w:r>
    </w:p>
  </w:footnote>
  <w:footnote w:id="13">
    <w:p w14:paraId="15274F60" w14:textId="1F8C9009" w:rsidR="00C25AE7" w:rsidRPr="0074242A" w:rsidRDefault="00C25AE7" w:rsidP="0074242A">
      <w:pPr>
        <w:pStyle w:val="Textonotapie"/>
        <w:spacing w:after="0" w:line="240" w:lineRule="auto"/>
        <w:ind w:firstLine="709"/>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Ibídem.</w:t>
      </w:r>
    </w:p>
  </w:footnote>
  <w:footnote w:id="14">
    <w:p w14:paraId="3D15E96E" w14:textId="01AFAE93" w:rsidR="00EC1725" w:rsidRPr="0074242A" w:rsidRDefault="00EC1725" w:rsidP="0074242A">
      <w:pPr>
        <w:pStyle w:val="Textonotapie"/>
        <w:spacing w:after="0" w:line="240" w:lineRule="auto"/>
        <w:ind w:firstLine="709"/>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Corte Constitucional. Sentencia C-317 de 2012. M.P. María Victoria Calle Correa. </w:t>
      </w:r>
    </w:p>
  </w:footnote>
  <w:footnote w:id="15">
    <w:p w14:paraId="46FB5B0E" w14:textId="3946A984" w:rsidR="00EC1725" w:rsidRPr="0074242A" w:rsidRDefault="00EC1725" w:rsidP="0074242A">
      <w:pPr>
        <w:pStyle w:val="Textonotapie"/>
        <w:spacing w:after="0" w:line="240" w:lineRule="auto"/>
        <w:ind w:firstLine="708"/>
        <w:rPr>
          <w:rFonts w:ascii="Arial" w:hAnsi="Arial" w:cs="Arial"/>
          <w:color w:val="000000" w:themeColor="text1"/>
          <w:sz w:val="19"/>
          <w:szCs w:val="19"/>
          <w:lang w:val="es-CO"/>
        </w:rPr>
      </w:pPr>
      <w:r w:rsidRPr="0074242A">
        <w:rPr>
          <w:rStyle w:val="Refdenotaalpie"/>
          <w:rFonts w:ascii="Arial" w:hAnsi="Arial" w:cs="Arial"/>
          <w:color w:val="000000" w:themeColor="text1"/>
          <w:sz w:val="19"/>
          <w:szCs w:val="19"/>
          <w:lang w:val="es-CO"/>
        </w:rPr>
        <w:footnoteRef/>
      </w:r>
      <w:r w:rsidRPr="0074242A">
        <w:rPr>
          <w:rFonts w:ascii="Arial" w:hAnsi="Arial" w:cs="Arial"/>
          <w:color w:val="000000" w:themeColor="text1"/>
          <w:sz w:val="19"/>
          <w:szCs w:val="19"/>
          <w:lang w:val="es-CO"/>
        </w:rPr>
        <w:t xml:space="preserve"> Corte Constitucional. Sentencia C-499 de 2015. M.P. Mauricio González Cuervo.</w:t>
      </w:r>
    </w:p>
  </w:footnote>
  <w:footnote w:id="16">
    <w:p w14:paraId="58226924" w14:textId="651F5D2B" w:rsidR="00EC1725" w:rsidRPr="0074242A" w:rsidRDefault="00EC1725" w:rsidP="0074242A">
      <w:pPr>
        <w:pStyle w:val="Textonotapie"/>
        <w:spacing w:after="0" w:line="240" w:lineRule="auto"/>
        <w:ind w:firstLine="709"/>
        <w:rPr>
          <w:rFonts w:ascii="Arial" w:hAnsi="Arial" w:cs="Arial"/>
          <w:color w:val="000000" w:themeColor="text1"/>
          <w:sz w:val="19"/>
          <w:szCs w:val="19"/>
        </w:rPr>
      </w:pPr>
      <w:r w:rsidRPr="0074242A">
        <w:rPr>
          <w:rStyle w:val="Refdenotaalpie"/>
          <w:rFonts w:ascii="Arial" w:hAnsi="Arial" w:cs="Arial"/>
          <w:sz w:val="19"/>
          <w:szCs w:val="19"/>
        </w:rPr>
        <w:footnoteRef/>
      </w:r>
      <w:r w:rsidRPr="0074242A">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footnote>
  <w:footnote w:id="17">
    <w:p w14:paraId="1AD83A27" w14:textId="6B2C4756" w:rsidR="00EC1725" w:rsidRPr="0074242A" w:rsidRDefault="00EC1725" w:rsidP="0074242A">
      <w:pPr>
        <w:pStyle w:val="Textonotapie"/>
        <w:spacing w:after="0" w:line="240" w:lineRule="auto"/>
        <w:ind w:firstLine="709"/>
        <w:rPr>
          <w:rFonts w:ascii="Arial" w:hAnsi="Arial" w:cs="Arial"/>
          <w:color w:val="000000" w:themeColor="text1"/>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w:t>
      </w:r>
      <w:r w:rsidRPr="0074242A">
        <w:rPr>
          <w:rFonts w:ascii="Arial" w:hAnsi="Arial" w:cs="Arial"/>
          <w:color w:val="000000" w:themeColor="text1"/>
          <w:sz w:val="19"/>
          <w:szCs w:val="19"/>
        </w:rPr>
        <w:t xml:space="preserve">Se entiende por entidades de </w:t>
      </w:r>
      <w:r w:rsidRPr="0074242A">
        <w:rPr>
          <w:rFonts w:ascii="Arial" w:hAnsi="Arial" w:cs="Arial"/>
          <w:i/>
          <w:iCs/>
          <w:color w:val="000000" w:themeColor="text1"/>
          <w:sz w:val="19"/>
          <w:szCs w:val="19"/>
        </w:rPr>
        <w:t xml:space="preserve">régimen especial </w:t>
      </w:r>
      <w:r w:rsidRPr="0074242A">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footnote>
  <w:footnote w:id="18">
    <w:p w14:paraId="743BB159" w14:textId="77777777" w:rsidR="00EC1725" w:rsidRPr="0074242A" w:rsidRDefault="00EC1725" w:rsidP="0074242A">
      <w:pPr>
        <w:pStyle w:val="Textonotapie"/>
        <w:spacing w:after="0" w:line="240" w:lineRule="auto"/>
        <w:ind w:firstLine="709"/>
        <w:rPr>
          <w:rFonts w:ascii="Arial" w:hAnsi="Arial" w:cs="Arial"/>
          <w:sz w:val="19"/>
          <w:szCs w:val="19"/>
          <w:lang w:val="es-CO"/>
        </w:rPr>
      </w:pPr>
      <w:r w:rsidRPr="0074242A">
        <w:rPr>
          <w:rStyle w:val="Refdenotaalpie"/>
          <w:rFonts w:ascii="Arial" w:hAnsi="Arial" w:cs="Arial"/>
          <w:sz w:val="19"/>
          <w:szCs w:val="19"/>
        </w:rPr>
        <w:footnoteRef/>
      </w:r>
      <w:r w:rsidRPr="0074242A">
        <w:rPr>
          <w:rFonts w:ascii="Arial" w:hAnsi="Arial" w:cs="Arial"/>
          <w:sz w:val="19"/>
          <w:szCs w:val="19"/>
        </w:rPr>
        <w:t xml:space="preserve"> </w:t>
      </w:r>
      <w:r w:rsidRPr="0074242A">
        <w:rPr>
          <w:rFonts w:ascii="Arial" w:hAnsi="Arial" w:cs="Arial"/>
          <w:color w:val="000000" w:themeColor="text1"/>
          <w:sz w:val="19"/>
          <w:szCs w:val="19"/>
        </w:rPr>
        <w:t>Esto se ha señalado en distintos conceptos de esta Subdirección, como el C-219 del 29 de abril de 2020, el C-280 del 6 de julio de 2020 y el C–434 del 29 de julio de 2020.</w:t>
      </w:r>
    </w:p>
  </w:footnote>
  <w:footnote w:id="19">
    <w:p w14:paraId="310F929A" w14:textId="77777777" w:rsidR="00EC1725" w:rsidRPr="0074242A" w:rsidRDefault="00EC1725" w:rsidP="0074242A">
      <w:pPr>
        <w:pStyle w:val="Textonotapie"/>
        <w:spacing w:after="0" w:line="240" w:lineRule="auto"/>
        <w:ind w:firstLine="709"/>
        <w:rPr>
          <w:rFonts w:ascii="Arial" w:hAnsi="Arial" w:cs="Arial"/>
          <w:sz w:val="19"/>
          <w:szCs w:val="19"/>
        </w:rPr>
      </w:pPr>
      <w:r w:rsidRPr="0074242A">
        <w:rPr>
          <w:rStyle w:val="Refdenotaalpie"/>
          <w:rFonts w:ascii="Arial" w:hAnsi="Arial" w:cs="Arial"/>
          <w:sz w:val="19"/>
          <w:szCs w:val="19"/>
        </w:rPr>
        <w:footnoteRef/>
      </w:r>
      <w:r w:rsidRPr="0074242A">
        <w:rPr>
          <w:rFonts w:ascii="Arial" w:hAnsi="Arial" w:cs="Arial"/>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3D77EDBF" w14:textId="77777777" w:rsidR="00EC1725" w:rsidRPr="0074242A" w:rsidRDefault="00EC1725" w:rsidP="0074242A">
      <w:pPr>
        <w:pStyle w:val="Textonotapie"/>
        <w:spacing w:after="0" w:line="240" w:lineRule="auto"/>
        <w:ind w:firstLine="709"/>
        <w:rPr>
          <w:rFonts w:ascii="Arial" w:hAnsi="Arial" w:cs="Arial"/>
          <w:sz w:val="19"/>
          <w:szCs w:val="19"/>
        </w:rPr>
      </w:pPr>
      <w:r w:rsidRPr="0074242A">
        <w:rPr>
          <w:rFonts w:ascii="Arial" w:hAnsi="Arial" w:cs="Arial"/>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3CE87D06" w14:textId="77777777" w:rsidR="00EC1725" w:rsidRPr="0074242A" w:rsidRDefault="00EC1725" w:rsidP="0074242A">
      <w:pPr>
        <w:pStyle w:val="Textonotapie"/>
        <w:spacing w:after="0" w:line="240" w:lineRule="auto"/>
        <w:ind w:firstLine="709"/>
        <w:rPr>
          <w:rFonts w:ascii="Arial" w:hAnsi="Arial" w:cs="Arial"/>
          <w:sz w:val="19"/>
          <w:szCs w:val="19"/>
        </w:rPr>
      </w:pPr>
      <w:r w:rsidRPr="0074242A">
        <w:rPr>
          <w:rFonts w:ascii="Arial" w:hAnsi="Arial" w:cs="Arial"/>
          <w:sz w:val="19"/>
          <w:szCs w:val="19"/>
        </w:rPr>
        <w:t>»La entidad estatal debe elegir y garantizar los medios electrónicos y de comunicación que utilizará, así como los mecanismos para el registro de la Información generada.</w:t>
      </w:r>
    </w:p>
    <w:p w14:paraId="2FD31F5B" w14:textId="09616B73" w:rsidR="00EC1725" w:rsidRPr="0074242A" w:rsidRDefault="00EC1725" w:rsidP="0074242A">
      <w:pPr>
        <w:pStyle w:val="Textonotapie"/>
        <w:spacing w:after="0" w:line="240" w:lineRule="auto"/>
        <w:ind w:firstLine="709"/>
        <w:rPr>
          <w:rFonts w:ascii="Arial" w:hAnsi="Arial" w:cs="Arial"/>
          <w:sz w:val="19"/>
          <w:szCs w:val="19"/>
        </w:rPr>
      </w:pPr>
      <w:r w:rsidRPr="0074242A">
        <w:rPr>
          <w:rFonts w:ascii="Arial" w:hAnsi="Arial" w:cs="Arial"/>
          <w:sz w:val="19"/>
          <w:szCs w:val="19"/>
        </w:rPr>
        <w:t>»Sin perjuicio de lo anterior, el ordenador del gasto o funcionario competente podrá decretar la suspensión de términos, inclusive los iniciados con anterioridad a la vigencia de este Decreto».</w:t>
      </w:r>
    </w:p>
  </w:footnote>
  <w:footnote w:id="20">
    <w:p w14:paraId="5166BD59" w14:textId="77777777" w:rsidR="00EC1725" w:rsidRPr="0074242A" w:rsidRDefault="00EC1725" w:rsidP="0074242A">
      <w:pPr>
        <w:pStyle w:val="Textonotapie"/>
        <w:spacing w:after="0" w:line="240" w:lineRule="auto"/>
        <w:ind w:firstLine="709"/>
        <w:rPr>
          <w:rFonts w:ascii="Arial" w:hAnsi="Arial" w:cs="Arial"/>
          <w:sz w:val="19"/>
          <w:szCs w:val="19"/>
          <w:lang w:val="es-CO"/>
        </w:rPr>
      </w:pPr>
      <w:r w:rsidRPr="0074242A">
        <w:rPr>
          <w:rStyle w:val="Refdenotaalpie"/>
          <w:rFonts w:ascii="Arial" w:hAnsi="Arial" w:cs="Arial"/>
          <w:sz w:val="19"/>
          <w:szCs w:val="19"/>
        </w:rPr>
        <w:footnoteRef/>
      </w:r>
      <w:r w:rsidRPr="0074242A">
        <w:rPr>
          <w:rFonts w:ascii="Arial" w:hAnsi="Arial" w:cs="Arial"/>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21">
    <w:p w14:paraId="6EBF4EB8" w14:textId="0DD13A29"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Style w:val="Refdenotaalpie"/>
          <w:rFonts w:ascii="Arial" w:hAnsi="Arial" w:cs="Arial"/>
          <w:color w:val="000000" w:themeColor="text1"/>
          <w:sz w:val="19"/>
          <w:szCs w:val="19"/>
          <w:lang w:val="es-ES_tradnl"/>
        </w:rPr>
        <w:footnoteRef/>
      </w:r>
      <w:r w:rsidRPr="0074242A">
        <w:rPr>
          <w:rFonts w:ascii="Arial" w:hAnsi="Arial" w:cs="Arial"/>
          <w:color w:val="000000" w:themeColor="text1"/>
          <w:sz w:val="19"/>
          <w:szCs w:val="19"/>
          <w:lang w:val="es-ES_tradnl"/>
        </w:rPr>
        <w:t xml:space="preserve"> En efecto, este artículo dispuso: «Adiciónese al artículo 2o de la Ley 1150 de 2007 el siguiente numeral.</w:t>
      </w:r>
    </w:p>
    <w:p w14:paraId="3C3BD378"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»La contratación cuyo valor no excede del 10 por ciento de la menor cuantía de la entidad independientemente de su objeto, se efectuará de conformidad con las siguientes reglas:</w:t>
      </w:r>
    </w:p>
    <w:p w14:paraId="5E2C685A"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»a) Se publicará una invitación, por un término no inferior a un día hábil, en la cual se señalará el objeto a contratar, el presupuesto destinado para tal fin, así como las condiciones técnicas exigidas;</w:t>
      </w:r>
    </w:p>
    <w:p w14:paraId="68AC22A7"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»b) El término previsto en la invitación para presentar la oferta no podrá ser inferior a un día hábil;</w:t>
      </w:r>
    </w:p>
    <w:p w14:paraId="2EBA5854"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»c) La entidad seleccionará, mediante comunicación de aceptación de la oferta, la propuesta con el menor precio, siempre y cuando cumpla con las condiciones exigidas;</w:t>
      </w:r>
    </w:p>
    <w:p w14:paraId="3DDB6B6D"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»d) La comunicación de aceptación junto con la oferta constituyen para todos los efectos el contrato celebrado, con base en lo cual se efectuará el respectivo registro presupuestal.</w:t>
      </w:r>
    </w:p>
    <w:p w14:paraId="25B5176E"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2F50A0D7"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22">
    <w:p w14:paraId="433735B1"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Style w:val="Refdenotaalpie"/>
          <w:rFonts w:ascii="Arial" w:hAnsi="Arial" w:cs="Arial"/>
          <w:color w:val="000000" w:themeColor="text1"/>
          <w:sz w:val="19"/>
          <w:szCs w:val="19"/>
          <w:lang w:val="es-ES_tradnl"/>
        </w:rPr>
        <w:footnoteRef/>
      </w:r>
      <w:r w:rsidRPr="0074242A">
        <w:rPr>
          <w:rFonts w:ascii="Arial" w:hAnsi="Arial" w:cs="Arial"/>
          <w:color w:val="000000" w:themeColor="text1"/>
          <w:sz w:val="19"/>
          <w:szCs w:val="19"/>
          <w:lang w:val="es-ES_tradnl"/>
        </w:rPr>
        <w:t xml:space="preserve"> Esto lo ratifica el artículo 2.2.1.2.1.5.2. del Decreto 1082 de 2015.</w:t>
      </w:r>
    </w:p>
  </w:footnote>
  <w:footnote w:id="23">
    <w:p w14:paraId="38139C1F"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Style w:val="Refdenotaalpie"/>
          <w:rFonts w:ascii="Arial" w:hAnsi="Arial" w:cs="Arial"/>
          <w:color w:val="000000" w:themeColor="text1"/>
          <w:sz w:val="19"/>
          <w:szCs w:val="19"/>
          <w:lang w:val="es-ES_tradnl"/>
        </w:rPr>
        <w:footnoteRef/>
      </w:r>
      <w:r w:rsidRPr="0074242A">
        <w:rPr>
          <w:rFonts w:ascii="Arial" w:hAnsi="Arial" w:cs="Arial"/>
          <w:color w:val="000000" w:themeColor="text1"/>
          <w:sz w:val="19"/>
          <w:szCs w:val="19"/>
          <w:lang w:val="es-ES_tradnl"/>
        </w:rPr>
        <w:t xml:space="preserve"> DÁVILA VINUEZA, Luis Guillermo. Régimen jurídico de la contratación estatal. 3ª ed. Bogotá: Legis, 2016. p. 463.</w:t>
      </w:r>
    </w:p>
  </w:footnote>
  <w:footnote w:id="24">
    <w:p w14:paraId="63591C6A"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Style w:val="Refdenotaalpie"/>
          <w:rFonts w:ascii="Arial" w:hAnsi="Arial" w:cs="Arial"/>
          <w:color w:val="000000" w:themeColor="text1"/>
          <w:sz w:val="19"/>
          <w:szCs w:val="19"/>
          <w:lang w:val="es-ES_tradnl"/>
        </w:rPr>
        <w:footnoteRef/>
      </w:r>
      <w:r w:rsidRPr="0074242A">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6CA3EF76"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682683B7"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2897FB71"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6995F078" w14:textId="777777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36788FB7" w14:textId="41150C77" w:rsidR="00134BDB" w:rsidRPr="0074242A" w:rsidRDefault="00134BDB" w:rsidP="0074242A">
      <w:pPr>
        <w:pStyle w:val="Textonotapie"/>
        <w:spacing w:after="0" w:line="240" w:lineRule="auto"/>
        <w:ind w:firstLine="709"/>
        <w:rPr>
          <w:rFonts w:ascii="Arial" w:hAnsi="Arial" w:cs="Arial"/>
          <w:color w:val="000000" w:themeColor="text1"/>
          <w:sz w:val="19"/>
          <w:szCs w:val="19"/>
          <w:lang w:val="es-ES_tradnl"/>
        </w:rPr>
      </w:pPr>
      <w:r w:rsidRPr="0074242A">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43D" w14:textId="77777777" w:rsidR="00B05909" w:rsidRDefault="00B05909">
    <w:pPr>
      <w:pStyle w:val="Encabezado"/>
    </w:pPr>
    <w:r>
      <w:rPr>
        <w:noProof/>
        <w:lang w:val="es-CO" w:eastAsia="es-CO"/>
      </w:rPr>
      <w:drawing>
        <wp:anchor distT="0" distB="0" distL="114300" distR="114300" simplePos="0" relativeHeight="251658240" behindDoc="1" locked="0" layoutInCell="1" allowOverlap="1" wp14:anchorId="102F02D3" wp14:editId="768C1843">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A96538" w14:textId="77777777" w:rsidR="00B05909" w:rsidRDefault="00B05909" w:rsidP="00B05909">
    <w:pPr>
      <w:pStyle w:val="Encabezado"/>
      <w:spacing w:after="0"/>
    </w:pPr>
  </w:p>
  <w:p w14:paraId="7E9D061B" w14:textId="77777777" w:rsidR="00B05909" w:rsidRDefault="00B05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EF56D1"/>
    <w:multiLevelType w:val="multilevel"/>
    <w:tmpl w:val="7564F17C"/>
    <w:lvl w:ilvl="0">
      <w:start w:val="1"/>
      <w:numFmt w:val="decimal"/>
      <w:lvlText w:val="%1."/>
      <w:lvlJc w:val="left"/>
      <w:pPr>
        <w:ind w:left="36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2" w15:restartNumberingAfterBreak="0">
    <w:nsid w:val="511A21C7"/>
    <w:multiLevelType w:val="multilevel"/>
    <w:tmpl w:val="F5B01A8C"/>
    <w:lvl w:ilvl="0">
      <w:start w:val="1"/>
      <w:numFmt w:val="decimal"/>
      <w:lvlText w:val="%1."/>
      <w:lvlJc w:val="left"/>
      <w:pPr>
        <w:ind w:left="365"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21" w:hanging="461"/>
      </w:pPr>
      <w:rPr>
        <w:rFonts w:ascii="Arial" w:eastAsia="Arial" w:hAnsi="Arial" w:cs="Arial" w:hint="default"/>
        <w:b/>
        <w:bCs/>
        <w:spacing w:val="-1"/>
        <w:w w:val="100"/>
        <w:sz w:val="22"/>
        <w:szCs w:val="22"/>
        <w:lang w:val="es-ES" w:eastAsia="en-US" w:bidi="ar-SA"/>
      </w:rPr>
    </w:lvl>
    <w:lvl w:ilvl="2">
      <w:numFmt w:val="bullet"/>
      <w:lvlText w:val="•"/>
      <w:lvlJc w:val="left"/>
      <w:pPr>
        <w:ind w:left="1337" w:hanging="461"/>
      </w:pPr>
      <w:rPr>
        <w:rFonts w:hint="default"/>
        <w:lang w:val="es-ES" w:eastAsia="en-US" w:bidi="ar-SA"/>
      </w:rPr>
    </w:lvl>
    <w:lvl w:ilvl="3">
      <w:numFmt w:val="bullet"/>
      <w:lvlText w:val="•"/>
      <w:lvlJc w:val="left"/>
      <w:pPr>
        <w:ind w:left="2315" w:hanging="461"/>
      </w:pPr>
      <w:rPr>
        <w:rFonts w:hint="default"/>
        <w:lang w:val="es-ES" w:eastAsia="en-US" w:bidi="ar-SA"/>
      </w:rPr>
    </w:lvl>
    <w:lvl w:ilvl="4">
      <w:numFmt w:val="bullet"/>
      <w:lvlText w:val="•"/>
      <w:lvlJc w:val="left"/>
      <w:pPr>
        <w:ind w:left="3293" w:hanging="461"/>
      </w:pPr>
      <w:rPr>
        <w:rFonts w:hint="default"/>
        <w:lang w:val="es-ES" w:eastAsia="en-US" w:bidi="ar-SA"/>
      </w:rPr>
    </w:lvl>
    <w:lvl w:ilvl="5">
      <w:numFmt w:val="bullet"/>
      <w:lvlText w:val="•"/>
      <w:lvlJc w:val="left"/>
      <w:pPr>
        <w:ind w:left="4271" w:hanging="461"/>
      </w:pPr>
      <w:rPr>
        <w:rFonts w:hint="default"/>
        <w:lang w:val="es-ES" w:eastAsia="en-US" w:bidi="ar-SA"/>
      </w:rPr>
    </w:lvl>
    <w:lvl w:ilvl="6">
      <w:numFmt w:val="bullet"/>
      <w:lvlText w:val="•"/>
      <w:lvlJc w:val="left"/>
      <w:pPr>
        <w:ind w:left="5248" w:hanging="461"/>
      </w:pPr>
      <w:rPr>
        <w:rFonts w:hint="default"/>
        <w:lang w:val="es-ES" w:eastAsia="en-US" w:bidi="ar-SA"/>
      </w:rPr>
    </w:lvl>
    <w:lvl w:ilvl="7">
      <w:numFmt w:val="bullet"/>
      <w:lvlText w:val="•"/>
      <w:lvlJc w:val="left"/>
      <w:pPr>
        <w:ind w:left="6226" w:hanging="461"/>
      </w:pPr>
      <w:rPr>
        <w:rFonts w:hint="default"/>
        <w:lang w:val="es-ES" w:eastAsia="en-US" w:bidi="ar-SA"/>
      </w:rPr>
    </w:lvl>
    <w:lvl w:ilvl="8">
      <w:numFmt w:val="bullet"/>
      <w:lvlText w:val="•"/>
      <w:lvlJc w:val="left"/>
      <w:pPr>
        <w:ind w:left="7204" w:hanging="461"/>
      </w:pPr>
      <w:rPr>
        <w:rFonts w:hint="default"/>
        <w:lang w:val="es-ES" w:eastAsia="en-US" w:bidi="ar-SA"/>
      </w:rPr>
    </w:lvl>
  </w:abstractNum>
  <w:num w:numId="1" w16cid:durableId="2002657822">
    <w:abstractNumId w:val="0"/>
  </w:num>
  <w:num w:numId="2" w16cid:durableId="411203419">
    <w:abstractNumId w:val="2"/>
  </w:num>
  <w:num w:numId="3" w16cid:durableId="2964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31"/>
    <w:rsid w:val="00035B43"/>
    <w:rsid w:val="00064175"/>
    <w:rsid w:val="000A6F05"/>
    <w:rsid w:val="000E568B"/>
    <w:rsid w:val="000E7F39"/>
    <w:rsid w:val="00104B8D"/>
    <w:rsid w:val="00115A48"/>
    <w:rsid w:val="00134BDB"/>
    <w:rsid w:val="001440E3"/>
    <w:rsid w:val="00164AAE"/>
    <w:rsid w:val="00171EAF"/>
    <w:rsid w:val="001B0E96"/>
    <w:rsid w:val="001B5AF0"/>
    <w:rsid w:val="002175C2"/>
    <w:rsid w:val="00243F43"/>
    <w:rsid w:val="002D25D0"/>
    <w:rsid w:val="002D3B14"/>
    <w:rsid w:val="00301175"/>
    <w:rsid w:val="00305AF2"/>
    <w:rsid w:val="00330D90"/>
    <w:rsid w:val="00345984"/>
    <w:rsid w:val="00353AFB"/>
    <w:rsid w:val="00371C33"/>
    <w:rsid w:val="003B16F6"/>
    <w:rsid w:val="003C1EB1"/>
    <w:rsid w:val="003E4D8F"/>
    <w:rsid w:val="003E6643"/>
    <w:rsid w:val="00406045"/>
    <w:rsid w:val="0042327C"/>
    <w:rsid w:val="004263E5"/>
    <w:rsid w:val="004555EB"/>
    <w:rsid w:val="00473BF3"/>
    <w:rsid w:val="00474A7D"/>
    <w:rsid w:val="004842DA"/>
    <w:rsid w:val="00500576"/>
    <w:rsid w:val="005034C6"/>
    <w:rsid w:val="00526D95"/>
    <w:rsid w:val="00531641"/>
    <w:rsid w:val="00534601"/>
    <w:rsid w:val="00546444"/>
    <w:rsid w:val="00551A32"/>
    <w:rsid w:val="00574738"/>
    <w:rsid w:val="0057481B"/>
    <w:rsid w:val="00583ED2"/>
    <w:rsid w:val="005848D5"/>
    <w:rsid w:val="005C26DC"/>
    <w:rsid w:val="005F2743"/>
    <w:rsid w:val="005F5454"/>
    <w:rsid w:val="00600075"/>
    <w:rsid w:val="00664999"/>
    <w:rsid w:val="006929C8"/>
    <w:rsid w:val="006A5B06"/>
    <w:rsid w:val="006B72B8"/>
    <w:rsid w:val="006C3599"/>
    <w:rsid w:val="0074242A"/>
    <w:rsid w:val="00742E0E"/>
    <w:rsid w:val="007C2A51"/>
    <w:rsid w:val="00807531"/>
    <w:rsid w:val="008614BE"/>
    <w:rsid w:val="0087295D"/>
    <w:rsid w:val="00873568"/>
    <w:rsid w:val="00876A56"/>
    <w:rsid w:val="00893E5C"/>
    <w:rsid w:val="0091371D"/>
    <w:rsid w:val="00934E3C"/>
    <w:rsid w:val="00977331"/>
    <w:rsid w:val="009A63CC"/>
    <w:rsid w:val="009B3AAE"/>
    <w:rsid w:val="00A23C35"/>
    <w:rsid w:val="00AA4A73"/>
    <w:rsid w:val="00AB3C2B"/>
    <w:rsid w:val="00AC12B7"/>
    <w:rsid w:val="00AC18EB"/>
    <w:rsid w:val="00AC2936"/>
    <w:rsid w:val="00AE2805"/>
    <w:rsid w:val="00AE4FBA"/>
    <w:rsid w:val="00B05909"/>
    <w:rsid w:val="00B51348"/>
    <w:rsid w:val="00B669D3"/>
    <w:rsid w:val="00B70DD6"/>
    <w:rsid w:val="00B77F8C"/>
    <w:rsid w:val="00B86435"/>
    <w:rsid w:val="00B92EA6"/>
    <w:rsid w:val="00B95EDA"/>
    <w:rsid w:val="00BC542C"/>
    <w:rsid w:val="00C139E0"/>
    <w:rsid w:val="00C15990"/>
    <w:rsid w:val="00C25AE7"/>
    <w:rsid w:val="00C76724"/>
    <w:rsid w:val="00C915D4"/>
    <w:rsid w:val="00C916C5"/>
    <w:rsid w:val="00CA2DE6"/>
    <w:rsid w:val="00CB71B2"/>
    <w:rsid w:val="00CC09DE"/>
    <w:rsid w:val="00CE4618"/>
    <w:rsid w:val="00D12DE9"/>
    <w:rsid w:val="00D12EA5"/>
    <w:rsid w:val="00D261A1"/>
    <w:rsid w:val="00D3698B"/>
    <w:rsid w:val="00D43071"/>
    <w:rsid w:val="00DA0192"/>
    <w:rsid w:val="00DB3462"/>
    <w:rsid w:val="00DC46A0"/>
    <w:rsid w:val="00DD7138"/>
    <w:rsid w:val="00DF3BFF"/>
    <w:rsid w:val="00E309E8"/>
    <w:rsid w:val="00E510F6"/>
    <w:rsid w:val="00EC04D2"/>
    <w:rsid w:val="00EC1725"/>
    <w:rsid w:val="00EE607A"/>
    <w:rsid w:val="00F00BE6"/>
    <w:rsid w:val="00F03A6D"/>
    <w:rsid w:val="00F2469E"/>
    <w:rsid w:val="00F339A9"/>
    <w:rsid w:val="00F42F38"/>
    <w:rsid w:val="00F9049B"/>
    <w:rsid w:val="00F97BE1"/>
    <w:rsid w:val="00FB6186"/>
    <w:rsid w:val="00FC7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F09F3"/>
  <w15:docId w15:val="{7B510A37-BFAD-4198-9306-3743E384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31"/>
  </w:style>
  <w:style w:type="paragraph" w:styleId="Ttulo1">
    <w:name w:val="heading 1"/>
    <w:basedOn w:val="Normal"/>
    <w:link w:val="Ttulo1Car"/>
    <w:uiPriority w:val="9"/>
    <w:qFormat/>
    <w:rsid w:val="00FB6186"/>
    <w:pPr>
      <w:widowControl w:val="0"/>
      <w:autoSpaceDE w:val="0"/>
      <w:autoSpaceDN w:val="0"/>
      <w:spacing w:after="0" w:line="240" w:lineRule="auto"/>
      <w:ind w:left="12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77331"/>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977331"/>
    <w:rPr>
      <w:sz w:val="24"/>
      <w:lang w:val="es-MX"/>
    </w:rPr>
  </w:style>
  <w:style w:type="paragraph" w:styleId="Encabezado">
    <w:name w:val="header"/>
    <w:basedOn w:val="Normal"/>
    <w:link w:val="EncabezadoCar"/>
    <w:uiPriority w:val="99"/>
    <w:unhideWhenUsed/>
    <w:rsid w:val="00977331"/>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977331"/>
    <w:rPr>
      <w:sz w:val="24"/>
      <w:lang w:val="es-MX"/>
    </w:rPr>
  </w:style>
  <w:style w:type="table" w:styleId="Tablaconcuadrcula">
    <w:name w:val="Table Grid"/>
    <w:basedOn w:val="Tablanormal"/>
    <w:uiPriority w:val="59"/>
    <w:rsid w:val="0097733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77331"/>
    <w:rPr>
      <w:sz w:val="16"/>
      <w:szCs w:val="16"/>
    </w:rPr>
  </w:style>
  <w:style w:type="paragraph" w:styleId="Textocomentario">
    <w:name w:val="annotation text"/>
    <w:basedOn w:val="Normal"/>
    <w:link w:val="TextocomentarioCar"/>
    <w:uiPriority w:val="99"/>
    <w:unhideWhenUsed/>
    <w:rsid w:val="00977331"/>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977331"/>
    <w:rPr>
      <w:sz w:val="20"/>
      <w:szCs w:val="20"/>
      <w:lang w:val="es-MX"/>
    </w:rPr>
  </w:style>
  <w:style w:type="paragraph" w:styleId="NormalWeb">
    <w:name w:val="Normal (Web)"/>
    <w:basedOn w:val="Normal"/>
    <w:link w:val="NormalWebCar"/>
    <w:uiPriority w:val="99"/>
    <w:unhideWhenUsed/>
    <w:rsid w:val="00977331"/>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977331"/>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7733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977331"/>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97733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977331"/>
    <w:rPr>
      <w:vertAlign w:val="superscript"/>
    </w:rPr>
  </w:style>
  <w:style w:type="paragraph" w:customStyle="1" w:styleId="Appelnotedebasde">
    <w:name w:val="Appel note de bas de..."/>
    <w:basedOn w:val="Normal"/>
    <w:link w:val="Refdenotaalpie"/>
    <w:uiPriority w:val="99"/>
    <w:rsid w:val="00977331"/>
    <w:pPr>
      <w:spacing w:line="240" w:lineRule="exact"/>
      <w:jc w:val="both"/>
    </w:pPr>
    <w:rPr>
      <w:vertAlign w:val="superscript"/>
    </w:rPr>
  </w:style>
  <w:style w:type="character" w:customStyle="1" w:styleId="NormalWebCar">
    <w:name w:val="Normal (Web) Car"/>
    <w:link w:val="NormalWeb"/>
    <w:uiPriority w:val="99"/>
    <w:locked/>
    <w:rsid w:val="00977331"/>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97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77331"/>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73BF3"/>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73BF3"/>
    <w:rPr>
      <w:sz w:val="24"/>
      <w:lang w:val="es-MX"/>
    </w:rPr>
  </w:style>
  <w:style w:type="paragraph" w:customStyle="1" w:styleId="Default">
    <w:name w:val="Default"/>
    <w:rsid w:val="00473B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25AE7"/>
    <w:rPr>
      <w:color w:val="0563C1" w:themeColor="hyperlink"/>
      <w:u w:val="single"/>
    </w:rPr>
  </w:style>
  <w:style w:type="character" w:customStyle="1" w:styleId="Ttulo1Car">
    <w:name w:val="Título 1 Car"/>
    <w:basedOn w:val="Fuentedeprrafopredeter"/>
    <w:link w:val="Ttulo1"/>
    <w:uiPriority w:val="9"/>
    <w:rsid w:val="00FB6186"/>
    <w:rPr>
      <w:rFonts w:ascii="Arial" w:eastAsia="Arial" w:hAnsi="Arial" w:cs="Arial"/>
      <w:b/>
      <w:bCs/>
      <w:lang w:val="es-ES"/>
    </w:rPr>
  </w:style>
  <w:style w:type="paragraph" w:styleId="Textoindependiente">
    <w:name w:val="Body Text"/>
    <w:basedOn w:val="Normal"/>
    <w:link w:val="TextoindependienteCar"/>
    <w:uiPriority w:val="1"/>
    <w:qFormat/>
    <w:rsid w:val="00D43071"/>
    <w:pPr>
      <w:widowControl w:val="0"/>
      <w:autoSpaceDE w:val="0"/>
      <w:autoSpaceDN w:val="0"/>
      <w:spacing w:after="0" w:line="240" w:lineRule="auto"/>
      <w:ind w:left="12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43071"/>
    <w:rPr>
      <w:rFonts w:ascii="Arial MT" w:eastAsia="Arial MT" w:hAnsi="Arial MT" w:cs="Arial MT"/>
      <w:lang w:val="es-ES"/>
    </w:rPr>
  </w:style>
  <w:style w:type="paragraph" w:styleId="Asuntodelcomentario">
    <w:name w:val="annotation subject"/>
    <w:basedOn w:val="Textocomentario"/>
    <w:next w:val="Textocomentario"/>
    <w:link w:val="AsuntodelcomentarioCar"/>
    <w:uiPriority w:val="99"/>
    <w:semiHidden/>
    <w:unhideWhenUsed/>
    <w:rsid w:val="00F03A6D"/>
    <w:pPr>
      <w:spacing w:after="160" w:line="240" w:lineRule="auto"/>
      <w:jc w:val="left"/>
    </w:pPr>
    <w:rPr>
      <w:b/>
      <w:bCs/>
      <w:lang w:val="es-CO"/>
    </w:rPr>
  </w:style>
  <w:style w:type="character" w:customStyle="1" w:styleId="AsuntodelcomentarioCar">
    <w:name w:val="Asunto del comentario Car"/>
    <w:basedOn w:val="TextocomentarioCar"/>
    <w:link w:val="Asuntodelcomentario"/>
    <w:uiPriority w:val="99"/>
    <w:semiHidden/>
    <w:rsid w:val="00F03A6D"/>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2132943-A227-49E1-A2F8-91320FA04C39}">
  <ds:schemaRefs>
    <ds:schemaRef ds:uri="http://schemas.openxmlformats.org/officeDocument/2006/bibliography"/>
  </ds:schemaRefs>
</ds:datastoreItem>
</file>

<file path=customXml/itemProps2.xml><?xml version="1.0" encoding="utf-8"?>
<ds:datastoreItem xmlns:ds="http://schemas.openxmlformats.org/officeDocument/2006/customXml" ds:itemID="{F5AEED5B-DC5C-487B-BD9F-2C54DA3BC94B}"/>
</file>

<file path=customXml/itemProps3.xml><?xml version="1.0" encoding="utf-8"?>
<ds:datastoreItem xmlns:ds="http://schemas.openxmlformats.org/officeDocument/2006/customXml" ds:itemID="{656FC5B5-919C-4C97-9C13-EA0DAD43D338}"/>
</file>

<file path=customXml/itemProps4.xml><?xml version="1.0" encoding="utf-8"?>
<ds:datastoreItem xmlns:ds="http://schemas.openxmlformats.org/officeDocument/2006/customXml" ds:itemID="{313BC618-84B6-4757-A469-C72E47F1AD93}"/>
</file>

<file path=docProps/app.xml><?xml version="1.0" encoding="utf-8"?>
<Properties xmlns="http://schemas.openxmlformats.org/officeDocument/2006/extended-properties" xmlns:vt="http://schemas.openxmlformats.org/officeDocument/2006/docPropsVTypes">
  <Template>Normal</Template>
  <TotalTime>8</TotalTime>
  <Pages>21</Pages>
  <Words>9516</Words>
  <Characters>52343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4</cp:revision>
  <dcterms:created xsi:type="dcterms:W3CDTF">2022-04-12T21:06:00Z</dcterms:created>
  <dcterms:modified xsi:type="dcterms:W3CDTF">2022-04-12T22:02:00Z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