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F8758" w14:textId="77777777" w:rsidR="00F56E41" w:rsidRPr="00CA6B65" w:rsidRDefault="00F56E41" w:rsidP="004F13BC">
      <w:pPr>
        <w:spacing w:line="276" w:lineRule="auto"/>
        <w:jc w:val="both"/>
        <w:rPr>
          <w:rFonts w:ascii="Arial" w:hAnsi="Arial" w:cs="Arial"/>
          <w:b/>
          <w:bCs/>
          <w:sz w:val="16"/>
          <w:szCs w:val="16"/>
          <w:lang w:val="es-ES_tradnl" w:eastAsia="es-ES"/>
        </w:rPr>
      </w:pPr>
      <w:bookmarkStart w:id="0" w:name="_Hlk28946138"/>
      <w:bookmarkStart w:id="1" w:name="_Hlk29548183"/>
    </w:p>
    <w:p w14:paraId="2F751A70" w14:textId="019B28EC" w:rsidR="00450F40" w:rsidRPr="00CA6B65" w:rsidRDefault="00927A0B" w:rsidP="00450F40">
      <w:pPr>
        <w:jc w:val="both"/>
        <w:rPr>
          <w:rFonts w:ascii="Arial" w:hAnsi="Arial" w:cs="Arial"/>
          <w:b/>
          <w:bCs/>
          <w:color w:val="000000" w:themeColor="text1"/>
          <w:sz w:val="22"/>
          <w:lang w:val="es-ES"/>
        </w:rPr>
      </w:pPr>
      <w:r w:rsidRPr="00CA6B65">
        <w:rPr>
          <w:rFonts w:ascii="Arial" w:eastAsia="Calibri" w:hAnsi="Arial" w:cs="Arial"/>
          <w:b/>
          <w:sz w:val="22"/>
          <w:lang w:val="es-CO"/>
        </w:rPr>
        <w:t xml:space="preserve">DOCUMENTOS TIPO </w:t>
      </w:r>
      <w:r w:rsidR="002D7D0D" w:rsidRPr="00CA6B65">
        <w:rPr>
          <w:rFonts w:ascii="Arial" w:eastAsia="Calibri" w:hAnsi="Arial" w:cs="Arial"/>
          <w:b/>
          <w:sz w:val="22"/>
          <w:lang w:val="es-CO"/>
        </w:rPr>
        <w:t>– Fundamento normativo</w:t>
      </w:r>
      <w:r w:rsidR="00CA6B65">
        <w:rPr>
          <w:rFonts w:ascii="Arial" w:eastAsia="Calibri" w:hAnsi="Arial" w:cs="Arial"/>
          <w:b/>
          <w:sz w:val="22"/>
          <w:lang w:val="es-CO"/>
        </w:rPr>
        <w:t xml:space="preserve"> – </w:t>
      </w:r>
      <w:r w:rsidR="00CA6B65" w:rsidRPr="00CA6B65">
        <w:rPr>
          <w:rFonts w:ascii="Arial" w:eastAsia="Calibri" w:hAnsi="Arial" w:cs="Arial"/>
          <w:b/>
          <w:sz w:val="22"/>
          <w:lang w:val="es-CO"/>
        </w:rPr>
        <w:t>Agua potable y saneamiento básico</w:t>
      </w:r>
    </w:p>
    <w:p w14:paraId="3A83FB20" w14:textId="77777777" w:rsidR="00450F40" w:rsidRPr="00CA6B65" w:rsidRDefault="00450F40" w:rsidP="00450F40">
      <w:pPr>
        <w:jc w:val="both"/>
        <w:rPr>
          <w:rFonts w:ascii="Arial" w:hAnsi="Arial" w:cs="Arial"/>
          <w:color w:val="000000" w:themeColor="text1"/>
          <w:sz w:val="22"/>
          <w:u w:val="single"/>
          <w:lang w:val="es-ES"/>
        </w:rPr>
      </w:pPr>
      <w:bookmarkStart w:id="2" w:name="_Hlk74591616"/>
    </w:p>
    <w:p w14:paraId="0B9C9AE5" w14:textId="77777777" w:rsidR="00CA6B65" w:rsidRPr="00CA6B65" w:rsidRDefault="00CA6B65" w:rsidP="00CA6B65">
      <w:pPr>
        <w:jc w:val="both"/>
        <w:rPr>
          <w:rFonts w:ascii="Arial" w:eastAsia="Times New Roman" w:hAnsi="Arial" w:cs="Arial"/>
          <w:bCs/>
          <w:color w:val="000000" w:themeColor="text1"/>
          <w:sz w:val="20"/>
          <w:szCs w:val="20"/>
          <w:lang w:eastAsia="es-ES_tradnl"/>
        </w:rPr>
      </w:pPr>
      <w:r w:rsidRPr="00CA6B65">
        <w:rPr>
          <w:rFonts w:ascii="Arial" w:eastAsia="Times New Roman" w:hAnsi="Arial" w:cs="Arial"/>
          <w:bCs/>
          <w:color w:val="000000" w:themeColor="text1"/>
          <w:sz w:val="20"/>
          <w:szCs w:val="20"/>
          <w:lang w:eastAsia="es-ES_tradnl"/>
        </w:rPr>
        <w:t xml:space="preserve">Así, en desarrollo de la Ley 2022 de 2020, la Agencia Nacional de Contratación Pública expidió las Resoluciones 248 y 249 del 1° de diciembre de 2020. Mediante dichos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 </w:t>
      </w:r>
    </w:p>
    <w:p w14:paraId="059297AD" w14:textId="77777777" w:rsidR="00127BF8" w:rsidRPr="007456EE" w:rsidRDefault="00127BF8" w:rsidP="00450F40">
      <w:pPr>
        <w:jc w:val="both"/>
        <w:rPr>
          <w:rFonts w:ascii="Arial" w:eastAsia="Times New Roman" w:hAnsi="Arial" w:cs="Arial"/>
          <w:bCs/>
          <w:color w:val="000000" w:themeColor="text1"/>
          <w:sz w:val="20"/>
          <w:szCs w:val="20"/>
          <w:lang w:val="es-ES" w:eastAsia="es-ES_tradnl"/>
        </w:rPr>
      </w:pPr>
    </w:p>
    <w:bookmarkEnd w:id="2"/>
    <w:p w14:paraId="730B2B08" w14:textId="47E2CD8B" w:rsidR="00450F40" w:rsidRPr="007456EE" w:rsidRDefault="00045497" w:rsidP="00450F40">
      <w:pPr>
        <w:jc w:val="both"/>
        <w:rPr>
          <w:rFonts w:ascii="Arial" w:eastAsia="Calibri" w:hAnsi="Arial" w:cs="Arial"/>
          <w:b/>
          <w:bCs/>
          <w:sz w:val="22"/>
          <w:lang w:val="es-CO"/>
        </w:rPr>
      </w:pPr>
      <w:r w:rsidRPr="007456EE">
        <w:rPr>
          <w:rFonts w:ascii="Arial" w:eastAsia="Calibri" w:hAnsi="Arial" w:cs="Arial"/>
          <w:b/>
          <w:bCs/>
          <w:sz w:val="22"/>
          <w:lang w:val="es-CO"/>
        </w:rPr>
        <w:t>DOCUMENTOS TI</w:t>
      </w:r>
      <w:r w:rsidR="00C5015F" w:rsidRPr="007456EE">
        <w:rPr>
          <w:rFonts w:ascii="Arial" w:eastAsia="Calibri" w:hAnsi="Arial" w:cs="Arial"/>
          <w:b/>
          <w:bCs/>
          <w:sz w:val="22"/>
          <w:lang w:val="es-CO"/>
        </w:rPr>
        <w:t xml:space="preserve">PO – Método de ponderación de </w:t>
      </w:r>
      <w:r w:rsidR="00C52671" w:rsidRPr="007456EE">
        <w:rPr>
          <w:rFonts w:ascii="Arial" w:eastAsia="Calibri" w:hAnsi="Arial" w:cs="Arial"/>
          <w:b/>
          <w:bCs/>
          <w:sz w:val="22"/>
          <w:lang w:val="es-CO"/>
        </w:rPr>
        <w:t xml:space="preserve">la </w:t>
      </w:r>
      <w:r w:rsidR="00C5015F" w:rsidRPr="007456EE">
        <w:rPr>
          <w:rFonts w:ascii="Arial" w:eastAsia="Calibri" w:hAnsi="Arial" w:cs="Arial"/>
          <w:b/>
          <w:bCs/>
          <w:sz w:val="22"/>
          <w:lang w:val="es-CO"/>
        </w:rPr>
        <w:t>oferta económica – Definición del método</w:t>
      </w:r>
    </w:p>
    <w:p w14:paraId="0E7ECCDE" w14:textId="77777777" w:rsidR="00450F40" w:rsidRPr="007456EE" w:rsidRDefault="00450F40" w:rsidP="00450F40">
      <w:pPr>
        <w:jc w:val="both"/>
        <w:rPr>
          <w:rFonts w:ascii="Arial" w:eastAsia="Calibri" w:hAnsi="Arial" w:cs="Arial"/>
          <w:b/>
          <w:bCs/>
          <w:sz w:val="22"/>
          <w:lang w:val="es-CO"/>
        </w:rPr>
      </w:pPr>
    </w:p>
    <w:p w14:paraId="6701846C" w14:textId="3E576F9E" w:rsidR="00CB629E" w:rsidRDefault="006372AA" w:rsidP="007A18F9">
      <w:pPr>
        <w:jc w:val="both"/>
        <w:rPr>
          <w:rFonts w:ascii="Arial" w:eastAsia="Times New Roman" w:hAnsi="Arial" w:cs="Arial"/>
          <w:bCs/>
          <w:color w:val="000000" w:themeColor="text1"/>
          <w:sz w:val="20"/>
          <w:szCs w:val="20"/>
          <w:lang w:eastAsia="es-ES_tradnl"/>
        </w:rPr>
      </w:pPr>
      <w:r w:rsidRPr="006372AA">
        <w:rPr>
          <w:rFonts w:ascii="Arial" w:eastAsia="Times New Roman" w:hAnsi="Arial" w:cs="Arial"/>
          <w:bCs/>
          <w:color w:val="000000" w:themeColor="text1"/>
          <w:sz w:val="20"/>
          <w:szCs w:val="20"/>
          <w:lang w:eastAsia="es-ES_tradnl"/>
        </w:rPr>
        <w:t xml:space="preserve">El numeral 4.1.4 del Documento Base de licitación de obra pública de infraestructura de agua potable y saneamiento básico, señala los métodos de ponderación de la experiencia del proponente presentando cuatro (4) alternativas: i) mediana con valor absoluto, ii) media geométrica, </w:t>
      </w:r>
      <w:proofErr w:type="spellStart"/>
      <w:r w:rsidRPr="006372AA">
        <w:rPr>
          <w:rFonts w:ascii="Arial" w:eastAsia="Times New Roman" w:hAnsi="Arial" w:cs="Arial"/>
          <w:bCs/>
          <w:color w:val="000000" w:themeColor="text1"/>
          <w:sz w:val="20"/>
          <w:szCs w:val="20"/>
          <w:lang w:eastAsia="es-ES_tradnl"/>
        </w:rPr>
        <w:t>iii</w:t>
      </w:r>
      <w:proofErr w:type="spellEnd"/>
      <w:r w:rsidRPr="006372AA">
        <w:rPr>
          <w:rFonts w:ascii="Arial" w:eastAsia="Times New Roman" w:hAnsi="Arial" w:cs="Arial"/>
          <w:bCs/>
          <w:color w:val="000000" w:themeColor="text1"/>
          <w:sz w:val="20"/>
          <w:szCs w:val="20"/>
          <w:lang w:eastAsia="es-ES_tradnl"/>
        </w:rPr>
        <w:t xml:space="preserve">) media aritmética baja y </w:t>
      </w:r>
      <w:proofErr w:type="spellStart"/>
      <w:r w:rsidRPr="006372AA">
        <w:rPr>
          <w:rFonts w:ascii="Arial" w:eastAsia="Times New Roman" w:hAnsi="Arial" w:cs="Arial"/>
          <w:bCs/>
          <w:color w:val="000000" w:themeColor="text1"/>
          <w:sz w:val="20"/>
          <w:szCs w:val="20"/>
          <w:lang w:eastAsia="es-ES_tradnl"/>
        </w:rPr>
        <w:t>iv</w:t>
      </w:r>
      <w:proofErr w:type="spellEnd"/>
      <w:r w:rsidRPr="006372AA">
        <w:rPr>
          <w:rFonts w:ascii="Arial" w:eastAsia="Times New Roman" w:hAnsi="Arial" w:cs="Arial"/>
          <w:bCs/>
          <w:color w:val="000000" w:themeColor="text1"/>
          <w:sz w:val="20"/>
          <w:szCs w:val="20"/>
          <w:lang w:eastAsia="es-ES_tradnl"/>
        </w:rPr>
        <w:t>) menor valor</w:t>
      </w:r>
      <w:r>
        <w:rPr>
          <w:rFonts w:ascii="Arial" w:eastAsia="Times New Roman" w:hAnsi="Arial" w:cs="Arial"/>
          <w:bCs/>
          <w:color w:val="000000" w:themeColor="text1"/>
          <w:sz w:val="20"/>
          <w:szCs w:val="20"/>
          <w:lang w:eastAsia="es-ES_tradnl"/>
        </w:rPr>
        <w:t>.</w:t>
      </w:r>
    </w:p>
    <w:p w14:paraId="3B61C3D6" w14:textId="77777777" w:rsidR="006372AA" w:rsidRPr="009D4A00" w:rsidRDefault="006372AA" w:rsidP="007A18F9">
      <w:pPr>
        <w:jc w:val="both"/>
        <w:rPr>
          <w:rFonts w:ascii="Arial" w:eastAsia="Times New Roman" w:hAnsi="Arial" w:cs="Arial"/>
          <w:bCs/>
          <w:color w:val="000000" w:themeColor="text1"/>
          <w:sz w:val="20"/>
          <w:szCs w:val="20"/>
          <w:lang w:eastAsia="es-ES_tradnl"/>
        </w:rPr>
      </w:pPr>
    </w:p>
    <w:p w14:paraId="37EA3A7A" w14:textId="00B9866C" w:rsidR="004910D5" w:rsidRDefault="004910D5" w:rsidP="004910D5">
      <w:pPr>
        <w:jc w:val="both"/>
        <w:rPr>
          <w:rFonts w:ascii="Arial" w:eastAsia="Times New Roman" w:hAnsi="Arial" w:cs="Arial"/>
          <w:bCs/>
          <w:color w:val="000000" w:themeColor="text1"/>
          <w:sz w:val="20"/>
          <w:szCs w:val="20"/>
          <w:lang w:val="es-ES_tradnl" w:eastAsia="es-ES_tradnl"/>
        </w:rPr>
      </w:pPr>
      <w:r w:rsidRPr="004910D5">
        <w:rPr>
          <w:rFonts w:ascii="Arial" w:eastAsia="Times New Roman" w:hAnsi="Arial" w:cs="Arial"/>
          <w:bCs/>
          <w:color w:val="000000" w:themeColor="text1"/>
          <w:sz w:val="20"/>
          <w:szCs w:val="20"/>
          <w:lang w:val="es-ES_tradnl" w:eastAsia="es-ES_tradnl"/>
        </w:rPr>
        <w:t>La Tasa de Cambio Representativa del Mercado – TRM «</w:t>
      </w:r>
      <w:r w:rsidRPr="004910D5">
        <w:rPr>
          <w:rFonts w:ascii="Arial" w:eastAsia="Times New Roman" w:hAnsi="Arial" w:cs="Arial"/>
          <w:bCs/>
          <w:color w:val="000000" w:themeColor="text1"/>
          <w:sz w:val="20"/>
          <w:szCs w:val="20"/>
          <w:lang w:eastAsia="es-ES_tradnl"/>
        </w:rPr>
        <w:t>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(IMC) entre las 7:30 a.m. y la 1:00 p.m.</w:t>
      </w:r>
      <w:r w:rsidRPr="004910D5">
        <w:rPr>
          <w:rFonts w:ascii="Arial" w:eastAsia="Times New Roman" w:hAnsi="Arial" w:cs="Arial"/>
          <w:bCs/>
          <w:color w:val="000000" w:themeColor="text1"/>
          <w:sz w:val="20"/>
          <w:szCs w:val="20"/>
          <w:lang w:val="es-ES_tradnl" w:eastAsia="es-ES_tradnl"/>
        </w:rPr>
        <w:t xml:space="preserve">», definida por la Superintendencia Financiera, es decir, denota la relación entre la moneda colombiana y el dólar. Por su parte, el Banco de la República ha definido la tasa de cambio representativa del mercado como «la cantidad de pesos colombianos por un dólar de los Estados Unidos», de donde se desprende que la TRM es un valor que se origina en la fluctuación del mercado. </w:t>
      </w:r>
    </w:p>
    <w:p w14:paraId="5A6AD362" w14:textId="77777777" w:rsidR="004910D5" w:rsidRPr="004910D5" w:rsidRDefault="004910D5" w:rsidP="004910D5">
      <w:pPr>
        <w:jc w:val="both"/>
        <w:rPr>
          <w:rFonts w:ascii="Arial" w:eastAsia="Times New Roman" w:hAnsi="Arial" w:cs="Arial"/>
          <w:bCs/>
          <w:color w:val="000000" w:themeColor="text1"/>
          <w:sz w:val="20"/>
          <w:szCs w:val="20"/>
          <w:lang w:val="es-ES_tradnl" w:eastAsia="es-ES_tradnl"/>
        </w:rPr>
      </w:pPr>
    </w:p>
    <w:p w14:paraId="514DAF0E" w14:textId="155FA263" w:rsidR="00D22E46" w:rsidRPr="004910D5" w:rsidRDefault="004910D5" w:rsidP="004910D5">
      <w:pPr>
        <w:jc w:val="both"/>
        <w:rPr>
          <w:rFonts w:ascii="Arial" w:eastAsia="Times New Roman" w:hAnsi="Arial" w:cs="Arial"/>
          <w:bCs/>
          <w:color w:val="000000" w:themeColor="text1"/>
          <w:sz w:val="20"/>
          <w:szCs w:val="20"/>
          <w:lang w:val="es-CO" w:eastAsia="es-ES_tradnl"/>
        </w:rPr>
      </w:pPr>
      <w:r w:rsidRPr="004910D5">
        <w:rPr>
          <w:rFonts w:ascii="Arial" w:eastAsia="Times New Roman" w:hAnsi="Arial" w:cs="Arial"/>
          <w:bCs/>
          <w:color w:val="000000" w:themeColor="text1"/>
          <w:sz w:val="20"/>
          <w:szCs w:val="20"/>
          <w:lang w:eastAsia="es-ES_tradnl"/>
        </w:rPr>
        <w:t>La TRM que la entidad usará para el método de ponderación será la que aplique en el día hábil siguiente del día en que efectivamente sea la apertura del segundo sobre, según la publicación hecha por la Superintendencia en horas de la tarde el día de la apertura del segundo sobre</w:t>
      </w:r>
      <w:r w:rsidRPr="004910D5">
        <w:rPr>
          <w:rFonts w:ascii="Arial" w:eastAsia="Times New Roman" w:hAnsi="Arial" w:cs="Arial"/>
          <w:bCs/>
          <w:color w:val="000000" w:themeColor="text1"/>
          <w:sz w:val="20"/>
          <w:szCs w:val="20"/>
          <w:lang w:val="es-CO" w:eastAsia="es-ES_tradnl"/>
        </w:rPr>
        <w:t xml:space="preserve">. Por ejemplo, </w:t>
      </w:r>
      <w:r w:rsidRPr="004910D5">
        <w:rPr>
          <w:rFonts w:ascii="Arial" w:eastAsia="Times New Roman" w:hAnsi="Arial" w:cs="Arial"/>
          <w:bCs/>
          <w:color w:val="000000" w:themeColor="text1"/>
          <w:sz w:val="20"/>
          <w:szCs w:val="20"/>
          <w:lang w:eastAsia="es-ES_tradnl"/>
        </w:rPr>
        <w:t>si la audiencia de adjudicación se realiza el 10 de febrero de 2020 y ese mismo día se abre el segundo sobre, la TRM que se usará para determinar el método de evaluación será la del 11 de febrero de 2020, que se publica en la tarde del 10 de febrero de 2020</w:t>
      </w:r>
      <w:r w:rsidRPr="004910D5">
        <w:rPr>
          <w:rFonts w:ascii="Arial" w:eastAsia="Times New Roman" w:hAnsi="Arial" w:cs="Arial"/>
          <w:bCs/>
          <w:color w:val="000000" w:themeColor="text1"/>
          <w:sz w:val="20"/>
          <w:szCs w:val="20"/>
          <w:lang w:val="es-CO" w:eastAsia="es-ES_tradnl"/>
        </w:rPr>
        <w:t>.</w:t>
      </w:r>
    </w:p>
    <w:p w14:paraId="10E56D2F" w14:textId="77777777" w:rsidR="004910D5" w:rsidRPr="00273721" w:rsidRDefault="004910D5" w:rsidP="004910D5">
      <w:pPr>
        <w:jc w:val="both"/>
        <w:rPr>
          <w:rFonts w:ascii="Arial" w:eastAsia="Times New Roman" w:hAnsi="Arial" w:cs="Arial"/>
          <w:bCs/>
          <w:color w:val="000000" w:themeColor="text1"/>
          <w:sz w:val="20"/>
          <w:szCs w:val="20"/>
          <w:highlight w:val="yellow"/>
          <w:lang w:val="es-ES" w:eastAsia="es-ES_tradnl"/>
        </w:rPr>
      </w:pPr>
    </w:p>
    <w:p w14:paraId="4F8C5932" w14:textId="485D6666" w:rsidR="00D22E46" w:rsidRPr="008D71FB" w:rsidRDefault="00D22E46" w:rsidP="00D22E46">
      <w:pPr>
        <w:jc w:val="both"/>
        <w:rPr>
          <w:rFonts w:ascii="Arial" w:hAnsi="Arial" w:cs="Arial"/>
          <w:b/>
          <w:bCs/>
          <w:color w:val="000000" w:themeColor="text1"/>
          <w:sz w:val="22"/>
          <w:lang w:val="es-ES"/>
        </w:rPr>
      </w:pPr>
      <w:r w:rsidRPr="008D71FB">
        <w:rPr>
          <w:rFonts w:ascii="Arial" w:hAnsi="Arial" w:cs="Arial"/>
          <w:b/>
          <w:bCs/>
          <w:color w:val="000000" w:themeColor="text1"/>
          <w:sz w:val="22"/>
          <w:lang w:val="es-ES"/>
        </w:rPr>
        <w:t xml:space="preserve">MÉTODO DE PONDERACIÓN DE </w:t>
      </w:r>
      <w:r w:rsidR="005D0468">
        <w:rPr>
          <w:rFonts w:ascii="Arial" w:hAnsi="Arial" w:cs="Arial"/>
          <w:b/>
          <w:bCs/>
          <w:color w:val="000000" w:themeColor="text1"/>
          <w:sz w:val="22"/>
          <w:lang w:val="es-ES"/>
        </w:rPr>
        <w:t xml:space="preserve">LA </w:t>
      </w:r>
      <w:r w:rsidRPr="008D71FB">
        <w:rPr>
          <w:rFonts w:ascii="Arial" w:hAnsi="Arial" w:cs="Arial"/>
          <w:b/>
          <w:bCs/>
          <w:color w:val="000000" w:themeColor="text1"/>
          <w:sz w:val="22"/>
          <w:lang w:val="es-ES"/>
        </w:rPr>
        <w:t xml:space="preserve">OFERTA ECONÓMICA </w:t>
      </w:r>
      <w:r w:rsidR="00202F36" w:rsidRPr="008D71FB">
        <w:rPr>
          <w:rFonts w:ascii="Arial" w:hAnsi="Arial" w:cs="Arial"/>
          <w:b/>
          <w:bCs/>
          <w:color w:val="000000" w:themeColor="text1"/>
          <w:sz w:val="22"/>
          <w:lang w:val="es-ES"/>
        </w:rPr>
        <w:t xml:space="preserve">– </w:t>
      </w:r>
      <w:r w:rsidRPr="008D71FB">
        <w:rPr>
          <w:rFonts w:ascii="Arial" w:hAnsi="Arial" w:cs="Arial"/>
          <w:b/>
          <w:bCs/>
          <w:color w:val="000000" w:themeColor="text1"/>
          <w:sz w:val="22"/>
          <w:lang w:val="es-ES"/>
        </w:rPr>
        <w:t>TRM</w:t>
      </w:r>
      <w:r w:rsidR="00202F36" w:rsidRPr="008D71FB">
        <w:rPr>
          <w:rFonts w:ascii="Arial" w:hAnsi="Arial" w:cs="Arial"/>
          <w:b/>
          <w:bCs/>
          <w:color w:val="000000" w:themeColor="text1"/>
          <w:sz w:val="22"/>
          <w:lang w:val="es-ES"/>
        </w:rPr>
        <w:t xml:space="preserve"> aplicable</w:t>
      </w:r>
      <w:r w:rsidRPr="008D71FB">
        <w:rPr>
          <w:rFonts w:ascii="Arial" w:hAnsi="Arial" w:cs="Arial"/>
          <w:b/>
          <w:bCs/>
          <w:color w:val="000000" w:themeColor="text1"/>
          <w:sz w:val="22"/>
          <w:lang w:val="es-ES"/>
        </w:rPr>
        <w:t xml:space="preserve"> – </w:t>
      </w:r>
      <w:r w:rsidR="00202F36" w:rsidRPr="008D71FB">
        <w:rPr>
          <w:rFonts w:ascii="Arial" w:hAnsi="Arial" w:cs="Arial"/>
          <w:b/>
          <w:bCs/>
          <w:color w:val="000000" w:themeColor="text1"/>
          <w:sz w:val="22"/>
          <w:lang w:val="es-ES"/>
        </w:rPr>
        <w:t>Regla prevalente</w:t>
      </w:r>
    </w:p>
    <w:p w14:paraId="5646B9E4" w14:textId="77777777" w:rsidR="00D22E46" w:rsidRPr="008D71FB" w:rsidRDefault="00D22E46" w:rsidP="00D22E46">
      <w:pPr>
        <w:jc w:val="both"/>
        <w:rPr>
          <w:rFonts w:ascii="Arial" w:eastAsia="Times New Roman" w:hAnsi="Arial" w:cs="Arial"/>
          <w:bCs/>
          <w:color w:val="000000" w:themeColor="text1"/>
          <w:sz w:val="22"/>
          <w:lang w:val="es-ES" w:eastAsia="es-ES_tradnl"/>
        </w:rPr>
      </w:pPr>
    </w:p>
    <w:p w14:paraId="6926E9BA" w14:textId="77777777" w:rsidR="00551D21" w:rsidRPr="00551D21" w:rsidRDefault="00D22E46" w:rsidP="00551D21">
      <w:pPr>
        <w:jc w:val="both"/>
        <w:rPr>
          <w:rFonts w:ascii="Arial" w:eastAsia="Times New Roman" w:hAnsi="Arial" w:cs="Arial"/>
          <w:bCs/>
          <w:color w:val="000000" w:themeColor="text1"/>
          <w:sz w:val="20"/>
          <w:szCs w:val="20"/>
          <w:lang w:val="es-CO" w:eastAsia="es-ES_tradnl"/>
        </w:rPr>
      </w:pPr>
      <w:r w:rsidRPr="008D71FB">
        <w:rPr>
          <w:rFonts w:ascii="Arial" w:eastAsia="Times New Roman" w:hAnsi="Arial" w:cs="Arial"/>
          <w:bCs/>
          <w:color w:val="000000" w:themeColor="text1"/>
          <w:sz w:val="20"/>
          <w:szCs w:val="20"/>
          <w:lang w:val="es-ES" w:eastAsia="es-ES_tradnl"/>
        </w:rPr>
        <w:t xml:space="preserve">[…] </w:t>
      </w:r>
      <w:r w:rsidR="00551D21" w:rsidRPr="00551D21">
        <w:rPr>
          <w:rFonts w:ascii="Arial" w:eastAsia="Times New Roman" w:hAnsi="Arial" w:cs="Arial"/>
          <w:bCs/>
          <w:color w:val="000000" w:themeColor="text1"/>
          <w:sz w:val="20"/>
          <w:szCs w:val="20"/>
          <w:lang w:eastAsia="es-ES_tradnl"/>
        </w:rPr>
        <w:t>el numeral 4.1.4 del pliego de condiciones de los documentos tipo de licitación para obra pública de agua potable y saneamiento básico establece que «la entidad debe finalizar la apertura de los sobres económicos hasta antes de las 3:00 pm», de tal manera que «la entidad no podrá abrir los sobres económicos teniendo conocimiento de la TRM que regirá al día hábil siguiente». Lo anterior indica que, en lo relativo a la apertura de los sobres contentivos de la oferta económica, el Documento Base mantiene la obligación de iniciar y finalizar la apertura de los sobres en un mismo día, en el que también deberá definirse el método de ponderación, pero estableciendo además que ello deberá llevarse a cabo antes de las 3:00 pm del respectivo día. </w:t>
      </w:r>
      <w:r w:rsidR="00551D21" w:rsidRPr="00551D21">
        <w:rPr>
          <w:rFonts w:ascii="Arial" w:eastAsia="Times New Roman" w:hAnsi="Arial" w:cs="Arial"/>
          <w:bCs/>
          <w:color w:val="000000" w:themeColor="text1"/>
          <w:sz w:val="20"/>
          <w:szCs w:val="20"/>
          <w:lang w:val="es-CO" w:eastAsia="es-ES_tradnl"/>
        </w:rPr>
        <w:t> </w:t>
      </w:r>
    </w:p>
    <w:p w14:paraId="54AF31ED" w14:textId="77777777" w:rsidR="00551D21" w:rsidRDefault="00551D21" w:rsidP="00551D21">
      <w:pPr>
        <w:jc w:val="both"/>
        <w:rPr>
          <w:rFonts w:ascii="Arial" w:eastAsia="Times New Roman" w:hAnsi="Arial" w:cs="Arial"/>
          <w:bCs/>
          <w:color w:val="000000" w:themeColor="text1"/>
          <w:sz w:val="20"/>
          <w:szCs w:val="20"/>
          <w:lang w:val="es-CO" w:eastAsia="es-ES_tradnl"/>
        </w:rPr>
      </w:pPr>
    </w:p>
    <w:p w14:paraId="14E181EE" w14:textId="7B1A1A35" w:rsidR="00551D21" w:rsidRDefault="00551D21" w:rsidP="00551D21">
      <w:pPr>
        <w:jc w:val="both"/>
        <w:rPr>
          <w:rFonts w:ascii="Arial" w:eastAsia="Times New Roman" w:hAnsi="Arial" w:cs="Arial"/>
          <w:bCs/>
          <w:color w:val="000000" w:themeColor="text1"/>
          <w:sz w:val="20"/>
          <w:szCs w:val="20"/>
          <w:lang w:eastAsia="es-ES_tradnl"/>
        </w:rPr>
      </w:pPr>
      <w:r w:rsidRPr="00551D21">
        <w:rPr>
          <w:rFonts w:ascii="Arial" w:eastAsia="Times New Roman" w:hAnsi="Arial" w:cs="Arial"/>
          <w:bCs/>
          <w:color w:val="000000" w:themeColor="text1"/>
          <w:sz w:val="20"/>
          <w:szCs w:val="20"/>
          <w:lang w:val="es-CO" w:eastAsia="es-ES_tradnl"/>
        </w:rPr>
        <w:t xml:space="preserve">En este contexto, </w:t>
      </w:r>
      <w:r w:rsidRPr="00551D21">
        <w:rPr>
          <w:rFonts w:ascii="Arial" w:eastAsia="Times New Roman" w:hAnsi="Arial" w:cs="Arial"/>
          <w:bCs/>
          <w:color w:val="000000" w:themeColor="text1"/>
          <w:sz w:val="20"/>
          <w:szCs w:val="20"/>
          <w:lang w:eastAsia="es-ES_tradnl"/>
        </w:rPr>
        <w:t>la TRM que la entidad usará para el método de ponderación será la que aplique en el día hábil siguiente del día en que efectivamente sea la apertura del segundo sobre, según la publicación hecha por la Superintendencia en horas de la tarde el día de la apertura del segundo sobre</w:t>
      </w:r>
      <w:r w:rsidRPr="00551D21">
        <w:rPr>
          <w:rFonts w:ascii="Arial" w:eastAsia="Times New Roman" w:hAnsi="Arial" w:cs="Arial"/>
          <w:bCs/>
          <w:color w:val="000000" w:themeColor="text1"/>
          <w:sz w:val="20"/>
          <w:szCs w:val="20"/>
          <w:lang w:val="es-CO" w:eastAsia="es-ES_tradnl"/>
        </w:rPr>
        <w:t xml:space="preserve">. Por ejemplo, </w:t>
      </w:r>
      <w:r w:rsidRPr="00551D21">
        <w:rPr>
          <w:rFonts w:ascii="Arial" w:eastAsia="Times New Roman" w:hAnsi="Arial" w:cs="Arial"/>
          <w:bCs/>
          <w:color w:val="000000" w:themeColor="text1"/>
          <w:sz w:val="20"/>
          <w:szCs w:val="20"/>
          <w:lang w:eastAsia="es-ES_tradnl"/>
        </w:rPr>
        <w:t xml:space="preserve">si la audiencia de adjudicación se realiza el 10 de febrero de 2020 y ese mismo </w:t>
      </w:r>
      <w:r w:rsidRPr="00551D21">
        <w:rPr>
          <w:rFonts w:ascii="Arial" w:eastAsia="Times New Roman" w:hAnsi="Arial" w:cs="Arial"/>
          <w:bCs/>
          <w:color w:val="000000" w:themeColor="text1"/>
          <w:sz w:val="20"/>
          <w:szCs w:val="20"/>
          <w:lang w:eastAsia="es-ES_tradnl"/>
        </w:rPr>
        <w:lastRenderedPageBreak/>
        <w:t>día se abre el segundo sobre, la TRM que se usará para determinar el método de evaluación será la del 11 de febrero de 2020, que se publica en la tarde del 10 de febrero de 2020.</w:t>
      </w:r>
    </w:p>
    <w:p w14:paraId="336C5C6A" w14:textId="77777777" w:rsidR="009F4D34" w:rsidRPr="00551D21" w:rsidRDefault="009F4D34" w:rsidP="00551D21">
      <w:pPr>
        <w:jc w:val="both"/>
        <w:rPr>
          <w:rFonts w:ascii="Arial" w:eastAsia="Times New Roman" w:hAnsi="Arial" w:cs="Arial"/>
          <w:bCs/>
          <w:color w:val="000000" w:themeColor="text1"/>
          <w:sz w:val="20"/>
          <w:szCs w:val="20"/>
          <w:lang w:eastAsia="es-ES_tradnl"/>
        </w:rPr>
      </w:pPr>
    </w:p>
    <w:p w14:paraId="2A423684" w14:textId="77777777" w:rsidR="00551D21" w:rsidRPr="00551D21" w:rsidRDefault="00551D21" w:rsidP="00551D21">
      <w:pPr>
        <w:jc w:val="both"/>
        <w:rPr>
          <w:rFonts w:ascii="Arial" w:eastAsia="Times New Roman" w:hAnsi="Arial" w:cs="Arial"/>
          <w:bCs/>
          <w:color w:val="000000" w:themeColor="text1"/>
          <w:sz w:val="20"/>
          <w:szCs w:val="20"/>
          <w:lang w:eastAsia="es-ES_tradnl"/>
        </w:rPr>
      </w:pPr>
      <w:r w:rsidRPr="00551D21">
        <w:rPr>
          <w:rFonts w:ascii="Arial" w:eastAsia="Times New Roman" w:hAnsi="Arial" w:cs="Arial"/>
          <w:bCs/>
          <w:color w:val="000000" w:themeColor="text1"/>
          <w:sz w:val="20"/>
          <w:szCs w:val="20"/>
          <w:lang w:eastAsia="es-ES_tradnl"/>
        </w:rPr>
        <w:t>Así las cosas, el numeral 4.1.4 establece que, atendiendo a las particularidades de cada proceso, la entidad podrá suspender la audiencia y reiniciarla cuando lo estime conveniente, de modo que la apertura de las ofertas económicas y la determinación del método de ponderación ocurran un mismo día, culminando la apertura antes de las 3:00 pm. </w:t>
      </w:r>
      <w:r w:rsidRPr="00551D21">
        <w:rPr>
          <w:rFonts w:ascii="Arial" w:eastAsia="Times New Roman" w:hAnsi="Arial" w:cs="Arial"/>
          <w:bCs/>
          <w:color w:val="000000" w:themeColor="text1"/>
          <w:sz w:val="20"/>
          <w:szCs w:val="20"/>
          <w:lang w:val="es-CO" w:eastAsia="es-ES_tradnl"/>
        </w:rPr>
        <w:t> </w:t>
      </w:r>
      <w:r w:rsidRPr="00551D21">
        <w:rPr>
          <w:rFonts w:ascii="Arial" w:eastAsia="Times New Roman" w:hAnsi="Arial" w:cs="Arial"/>
          <w:bCs/>
          <w:color w:val="000000" w:themeColor="text1"/>
          <w:sz w:val="20"/>
          <w:szCs w:val="20"/>
          <w:lang w:eastAsia="es-ES_tradnl"/>
        </w:rPr>
        <w:t xml:space="preserve">Este mecanismo para definir de forma aleatoria el método de ponderación de las ofertas económicas garantiza mayor transparencia en la evaluación. Esto en la medida en que establecer una hora límite para la apertura de las ofertas busca impedir que las entidades estatales conozcan antes o durante la apertura de las ofertas la TRM que determinará el método de ponderación, comoquiera que esta sería publicada por la Superintendencia Financiera en un momento </w:t>
      </w:r>
      <w:r w:rsidRPr="00551D21">
        <w:rPr>
          <w:rFonts w:ascii="Arial" w:eastAsia="Times New Roman" w:hAnsi="Arial" w:cs="Arial"/>
          <w:bCs/>
          <w:i/>
          <w:iCs/>
          <w:color w:val="000000" w:themeColor="text1"/>
          <w:sz w:val="20"/>
          <w:szCs w:val="20"/>
          <w:lang w:eastAsia="es-ES_tradnl"/>
        </w:rPr>
        <w:t>posterior</w:t>
      </w:r>
      <w:r w:rsidRPr="00551D21">
        <w:rPr>
          <w:rFonts w:ascii="Arial" w:eastAsia="Times New Roman" w:hAnsi="Arial" w:cs="Arial"/>
          <w:bCs/>
          <w:color w:val="000000" w:themeColor="text1"/>
          <w:sz w:val="20"/>
          <w:szCs w:val="20"/>
          <w:lang w:eastAsia="es-ES_tradnl"/>
        </w:rPr>
        <w:t xml:space="preserve"> a la apertura de las ofertas económicas. </w:t>
      </w:r>
    </w:p>
    <w:p w14:paraId="3E72DD35" w14:textId="4932427D" w:rsidR="003546C6" w:rsidRPr="003546C6" w:rsidRDefault="003546C6" w:rsidP="003546C6">
      <w:pPr>
        <w:jc w:val="both"/>
        <w:rPr>
          <w:rFonts w:ascii="Arial" w:eastAsia="Times New Roman" w:hAnsi="Arial" w:cs="Arial"/>
          <w:bCs/>
          <w:color w:val="000000" w:themeColor="text1"/>
          <w:sz w:val="20"/>
          <w:szCs w:val="20"/>
          <w:lang w:val="es-CO" w:eastAsia="es-ES_tradnl"/>
        </w:rPr>
      </w:pPr>
    </w:p>
    <w:p w14:paraId="41232097" w14:textId="579D0EC6" w:rsidR="00942165" w:rsidRPr="0043701B" w:rsidRDefault="00942165" w:rsidP="003546C6">
      <w:pPr>
        <w:jc w:val="both"/>
        <w:rPr>
          <w:rFonts w:ascii="Arial" w:eastAsia="Times New Roman" w:hAnsi="Arial" w:cs="Arial"/>
          <w:bCs/>
          <w:color w:val="000000" w:themeColor="text1"/>
          <w:sz w:val="20"/>
          <w:szCs w:val="20"/>
          <w:lang w:val="es-ES" w:eastAsia="es-ES_tradnl"/>
        </w:rPr>
      </w:pPr>
    </w:p>
    <w:p w14:paraId="6EDECE02" w14:textId="388247D4" w:rsidR="00E35B0E" w:rsidRPr="009C7D09" w:rsidRDefault="007B65F8" w:rsidP="00E35B0E">
      <w:pPr>
        <w:outlineLvl w:val="0"/>
        <w:rPr>
          <w:rFonts w:ascii="ArialMT" w:hAnsi="ArialMT" w:cs="ArialMT"/>
          <w:sz w:val="22"/>
          <w:lang w:val="es-CO"/>
        </w:rPr>
      </w:pPr>
      <w:r>
        <w:rPr>
          <w:rFonts w:ascii="Arial" w:eastAsia="Calibri" w:hAnsi="Arial" w:cs="Arial"/>
          <w:color w:val="000000" w:themeColor="text1"/>
          <w:sz w:val="20"/>
          <w:szCs w:val="20"/>
          <w:lang w:val="es-ES_tradnl"/>
        </w:rPr>
        <w:br w:type="page"/>
      </w:r>
    </w:p>
    <w:p w14:paraId="156C00BE" w14:textId="7006C27A" w:rsidR="00E35B0E" w:rsidRDefault="00E35B0E" w:rsidP="00DC341B">
      <w:pPr>
        <w:jc w:val="right"/>
        <w:outlineLvl w:val="0"/>
        <w:rPr>
          <w:rFonts w:ascii="Arial" w:hAnsi="Arial" w:cs="Arial"/>
          <w:b/>
          <w:sz w:val="22"/>
          <w:lang w:val="es-ES"/>
        </w:rPr>
      </w:pPr>
    </w:p>
    <w:p w14:paraId="5A7F9DDF" w14:textId="19E1A475" w:rsidR="00DC341B" w:rsidRDefault="00DC341B" w:rsidP="00DC341B">
      <w:pPr>
        <w:jc w:val="right"/>
        <w:outlineLvl w:val="0"/>
        <w:rPr>
          <w:rFonts w:ascii="Arial-BoldMT" w:hAnsi="Arial-BoldMT" w:cs="Arial-BoldMT"/>
          <w:b/>
          <w:bCs/>
          <w:color w:val="595959"/>
          <w:sz w:val="18"/>
          <w:szCs w:val="18"/>
          <w:lang w:val="es-CO"/>
        </w:rPr>
      </w:pPr>
      <w:r>
        <w:rPr>
          <w:rFonts w:ascii="Arial-BoldMT" w:hAnsi="Arial-BoldMT" w:cs="Arial-BoldMT"/>
          <w:b/>
          <w:bCs/>
          <w:color w:val="595959"/>
          <w:sz w:val="18"/>
          <w:szCs w:val="18"/>
          <w:lang w:val="es-CO"/>
        </w:rPr>
        <w:t>CCE-DES-FM-17</w:t>
      </w:r>
    </w:p>
    <w:p w14:paraId="006ED920" w14:textId="2D12A7B5" w:rsidR="00551D21" w:rsidRDefault="00551D21" w:rsidP="00DC341B">
      <w:pPr>
        <w:jc w:val="right"/>
        <w:outlineLvl w:val="0"/>
        <w:rPr>
          <w:rFonts w:ascii="Arial-BoldMT" w:hAnsi="Arial-BoldMT" w:cs="Arial-BoldMT"/>
          <w:b/>
          <w:bCs/>
          <w:color w:val="595959"/>
          <w:sz w:val="18"/>
          <w:szCs w:val="18"/>
          <w:lang w:val="es-CO"/>
        </w:rPr>
      </w:pPr>
    </w:p>
    <w:p w14:paraId="3FB886D9" w14:textId="1A2DB716" w:rsidR="00551D21" w:rsidRDefault="00551D21" w:rsidP="00DC341B">
      <w:pPr>
        <w:jc w:val="right"/>
        <w:outlineLvl w:val="0"/>
        <w:rPr>
          <w:rFonts w:ascii="Arial" w:hAnsi="Arial" w:cs="Arial"/>
          <w:b/>
          <w:sz w:val="22"/>
          <w:lang w:val="es-ES"/>
        </w:rPr>
      </w:pPr>
      <w:r w:rsidRPr="00551D21">
        <w:rPr>
          <w:rFonts w:ascii="Arial" w:hAnsi="Arial" w:cs="Arial"/>
          <w:b/>
          <w:sz w:val="22"/>
          <w:lang w:val="es-ES"/>
        </w:rPr>
        <w:drawing>
          <wp:inline distT="0" distB="0" distL="0" distR="0" wp14:anchorId="6EAF0C15" wp14:editId="13EABBE2">
            <wp:extent cx="2497455" cy="666045"/>
            <wp:effectExtent l="0" t="0" r="0" b="127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538995" cy="677123"/>
                    </a:xfrm>
                    <a:prstGeom prst="rect">
                      <a:avLst/>
                    </a:prstGeom>
                  </pic:spPr>
                </pic:pic>
              </a:graphicData>
            </a:graphic>
          </wp:inline>
        </w:drawing>
      </w:r>
    </w:p>
    <w:p w14:paraId="66D57871" w14:textId="267A82C2" w:rsidR="00551D21" w:rsidRDefault="00551D21" w:rsidP="00DC341B">
      <w:pPr>
        <w:jc w:val="right"/>
        <w:outlineLvl w:val="0"/>
        <w:rPr>
          <w:rFonts w:ascii="Arial" w:hAnsi="Arial" w:cs="Arial"/>
          <w:b/>
          <w:sz w:val="22"/>
          <w:lang w:val="es-ES"/>
        </w:rPr>
      </w:pPr>
    </w:p>
    <w:p w14:paraId="57E1EA78" w14:textId="3576BCCB" w:rsidR="00551D21" w:rsidRPr="002B2DEE" w:rsidRDefault="00551D21" w:rsidP="00551D21">
      <w:pPr>
        <w:jc w:val="both"/>
        <w:outlineLvl w:val="0"/>
        <w:rPr>
          <w:rFonts w:ascii="Arial" w:eastAsia="Calibri" w:hAnsi="Arial" w:cs="Arial"/>
          <w:color w:val="7F7F7F" w:themeColor="text1" w:themeTint="80"/>
          <w:sz w:val="22"/>
          <w:lang w:val="es-ES"/>
        </w:rPr>
      </w:pPr>
      <w:r w:rsidRPr="002B2DEE">
        <w:rPr>
          <w:rFonts w:ascii="Arial" w:eastAsia="Calibri" w:hAnsi="Arial" w:cs="Arial"/>
          <w:color w:val="7F7F7F" w:themeColor="text1" w:themeTint="80"/>
          <w:sz w:val="22"/>
          <w:lang w:val="es-ES"/>
        </w:rPr>
        <w:t xml:space="preserve">Bogotá, </w:t>
      </w:r>
      <w:r>
        <w:rPr>
          <w:rFonts w:ascii="Arial" w:eastAsia="Calibri" w:hAnsi="Arial" w:cs="Arial"/>
          <w:color w:val="7F7F7F" w:themeColor="text1" w:themeTint="80"/>
          <w:sz w:val="22"/>
          <w:lang w:val="es-ES"/>
        </w:rPr>
        <w:t>19</w:t>
      </w:r>
      <w:r w:rsidRPr="002B2DEE">
        <w:rPr>
          <w:rFonts w:ascii="Arial" w:eastAsia="Calibri" w:hAnsi="Arial" w:cs="Arial"/>
          <w:color w:val="7F7F7F" w:themeColor="text1" w:themeTint="80"/>
          <w:sz w:val="22"/>
          <w:lang w:val="es-ES"/>
        </w:rPr>
        <w:t xml:space="preserve"> de </w:t>
      </w:r>
      <w:proofErr w:type="gramStart"/>
      <w:r w:rsidRPr="002B2DEE">
        <w:rPr>
          <w:rFonts w:ascii="Arial" w:eastAsia="Calibri" w:hAnsi="Arial" w:cs="Arial"/>
          <w:color w:val="7F7F7F" w:themeColor="text1" w:themeTint="80"/>
          <w:sz w:val="22"/>
          <w:lang w:val="es-ES"/>
        </w:rPr>
        <w:t>Abril</w:t>
      </w:r>
      <w:proofErr w:type="gramEnd"/>
      <w:r w:rsidRPr="002B2DEE">
        <w:rPr>
          <w:rFonts w:ascii="Arial" w:eastAsia="Calibri" w:hAnsi="Arial" w:cs="Arial"/>
          <w:color w:val="7F7F7F" w:themeColor="text1" w:themeTint="80"/>
          <w:sz w:val="22"/>
          <w:lang w:val="es-ES"/>
        </w:rPr>
        <w:t xml:space="preserve"> 2022</w:t>
      </w:r>
    </w:p>
    <w:p w14:paraId="44F7220B" w14:textId="77777777" w:rsidR="00551D21" w:rsidRPr="009C7D09" w:rsidRDefault="00551D21" w:rsidP="00551D21">
      <w:pPr>
        <w:outlineLvl w:val="0"/>
        <w:rPr>
          <w:rFonts w:ascii="Arial" w:hAnsi="Arial" w:cs="Arial"/>
          <w:b/>
          <w:sz w:val="22"/>
          <w:lang w:val="es-ES"/>
        </w:rPr>
      </w:pPr>
    </w:p>
    <w:p w14:paraId="0D92E5D4" w14:textId="77777777" w:rsidR="007268A5" w:rsidRDefault="007268A5" w:rsidP="00E35B0E">
      <w:pPr>
        <w:jc w:val="both"/>
        <w:outlineLvl w:val="0"/>
        <w:rPr>
          <w:rFonts w:ascii="Arial" w:eastAsia="Calibri" w:hAnsi="Arial" w:cs="Arial"/>
          <w:sz w:val="22"/>
          <w:lang w:val="es-ES"/>
        </w:rPr>
      </w:pPr>
    </w:p>
    <w:p w14:paraId="6B6535B7" w14:textId="549755B6" w:rsidR="00E35B0E" w:rsidRPr="009C7D09" w:rsidRDefault="00200477" w:rsidP="00E35B0E">
      <w:pPr>
        <w:jc w:val="both"/>
        <w:outlineLvl w:val="0"/>
        <w:rPr>
          <w:rFonts w:ascii="Arial" w:eastAsia="Calibri" w:hAnsi="Arial" w:cs="Arial"/>
          <w:sz w:val="22"/>
          <w:lang w:val="es-ES"/>
        </w:rPr>
      </w:pPr>
      <w:r w:rsidRPr="009C7D09">
        <w:rPr>
          <w:rFonts w:ascii="Arial" w:eastAsia="Calibri" w:hAnsi="Arial" w:cs="Arial"/>
          <w:sz w:val="22"/>
          <w:lang w:val="es-ES"/>
        </w:rPr>
        <w:t>Señor</w:t>
      </w:r>
    </w:p>
    <w:p w14:paraId="392214D9" w14:textId="53346656" w:rsidR="00B34542" w:rsidRPr="00CD50DF" w:rsidRDefault="00273721" w:rsidP="00E35B0E">
      <w:pPr>
        <w:jc w:val="both"/>
        <w:rPr>
          <w:rFonts w:ascii="Arial" w:hAnsi="Arial" w:cs="Arial"/>
          <w:b/>
          <w:bCs/>
          <w:sz w:val="22"/>
          <w:lang w:val="es-CO"/>
        </w:rPr>
      </w:pPr>
      <w:r>
        <w:rPr>
          <w:rFonts w:ascii="Arial" w:hAnsi="Arial" w:cs="Arial"/>
          <w:b/>
          <w:bCs/>
          <w:sz w:val="22"/>
          <w:lang w:val="es-CO"/>
        </w:rPr>
        <w:t>Guillermo Jiménez</w:t>
      </w:r>
    </w:p>
    <w:p w14:paraId="0973DE01" w14:textId="051F389B" w:rsidR="00E35B0E" w:rsidRPr="009C7D09" w:rsidRDefault="00273721" w:rsidP="00E35B0E">
      <w:pPr>
        <w:jc w:val="both"/>
        <w:rPr>
          <w:rFonts w:ascii="Arial" w:eastAsia="Calibri" w:hAnsi="Arial" w:cs="Arial"/>
          <w:sz w:val="22"/>
          <w:lang w:val="es-ES"/>
        </w:rPr>
      </w:pPr>
      <w:r>
        <w:rPr>
          <w:rFonts w:ascii="Arial" w:eastAsia="Calibri" w:hAnsi="Arial" w:cs="Arial"/>
          <w:sz w:val="22"/>
          <w:lang w:val="es-ES"/>
        </w:rPr>
        <w:t>Cumaribo, Vichada</w:t>
      </w:r>
    </w:p>
    <w:p w14:paraId="488BB72C" w14:textId="77777777" w:rsidR="00563FE8" w:rsidRPr="009C7D09" w:rsidRDefault="00563FE8" w:rsidP="00E35B0E">
      <w:pPr>
        <w:jc w:val="both"/>
        <w:rPr>
          <w:rFonts w:ascii="Arial" w:eastAsia="Calibri" w:hAnsi="Arial" w:cs="Arial"/>
          <w:sz w:val="22"/>
          <w:lang w:val="es-ES"/>
        </w:rPr>
      </w:pPr>
    </w:p>
    <w:p w14:paraId="3D1882E9" w14:textId="77777777" w:rsidR="00E35B0E" w:rsidRPr="009C7D09" w:rsidRDefault="00E35B0E" w:rsidP="00E35B0E">
      <w:pPr>
        <w:jc w:val="both"/>
        <w:rPr>
          <w:rFonts w:ascii="Arial" w:eastAsia="Calibri" w:hAnsi="Arial" w:cs="Arial"/>
          <w:sz w:val="22"/>
          <w:lang w:val="es-ES"/>
        </w:rPr>
      </w:pPr>
    </w:p>
    <w:p w14:paraId="70630779" w14:textId="77D1229B" w:rsidR="00E35B0E" w:rsidRPr="009C7D09" w:rsidRDefault="00E35B0E" w:rsidP="00E35B0E">
      <w:pPr>
        <w:ind w:firstLine="2694"/>
        <w:jc w:val="both"/>
        <w:outlineLvl w:val="0"/>
        <w:rPr>
          <w:rFonts w:ascii="Arial" w:eastAsia="Calibri" w:hAnsi="Arial" w:cs="Arial"/>
          <w:b/>
          <w:sz w:val="22"/>
          <w:lang w:val="es-ES"/>
        </w:rPr>
      </w:pPr>
      <w:r w:rsidRPr="009C7D09">
        <w:rPr>
          <w:rFonts w:ascii="Arial" w:eastAsia="Calibri" w:hAnsi="Arial" w:cs="Arial"/>
          <w:b/>
          <w:sz w:val="22"/>
          <w:lang w:val="es-ES"/>
        </w:rPr>
        <w:t xml:space="preserve">Concepto C – </w:t>
      </w:r>
      <w:r w:rsidR="00273721">
        <w:rPr>
          <w:rFonts w:ascii="Arial" w:eastAsia="Calibri" w:hAnsi="Arial" w:cs="Arial"/>
          <w:b/>
          <w:sz w:val="22"/>
          <w:lang w:val="es-ES"/>
        </w:rPr>
        <w:t>210</w:t>
      </w:r>
      <w:r w:rsidR="005A4BC5" w:rsidRPr="009C7D09">
        <w:rPr>
          <w:rFonts w:ascii="Arial" w:eastAsia="Calibri" w:hAnsi="Arial" w:cs="Arial"/>
          <w:b/>
          <w:sz w:val="22"/>
          <w:lang w:val="es-ES"/>
        </w:rPr>
        <w:t xml:space="preserve"> </w:t>
      </w:r>
      <w:r w:rsidRPr="009C7D09">
        <w:rPr>
          <w:rFonts w:ascii="Arial" w:eastAsia="Calibri" w:hAnsi="Arial" w:cs="Arial"/>
          <w:b/>
          <w:sz w:val="22"/>
          <w:lang w:val="es-ES"/>
        </w:rPr>
        <w:t>de 202</w:t>
      </w:r>
      <w:r w:rsidR="00273721">
        <w:rPr>
          <w:rFonts w:ascii="Arial" w:eastAsia="Calibri" w:hAnsi="Arial" w:cs="Arial"/>
          <w:b/>
          <w:sz w:val="22"/>
          <w:lang w:val="es-ES"/>
        </w:rPr>
        <w:t>2</w:t>
      </w:r>
    </w:p>
    <w:p w14:paraId="234727AD" w14:textId="77777777" w:rsidR="00BE1E33" w:rsidRPr="009C7D09" w:rsidRDefault="00BE1E33" w:rsidP="00BE1E33">
      <w:pPr>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85885" w:rsidRPr="009C7D09" w14:paraId="2553E4F3" w14:textId="77777777" w:rsidTr="00AC1BFA">
        <w:tc>
          <w:tcPr>
            <w:tcW w:w="2689" w:type="dxa"/>
            <w:hideMark/>
          </w:tcPr>
          <w:p w14:paraId="7BC9E971" w14:textId="264937DB" w:rsidR="00BE1E33" w:rsidRPr="009C7D09" w:rsidRDefault="00BE1E33" w:rsidP="00707C46">
            <w:pPr>
              <w:rPr>
                <w:rFonts w:ascii="Arial" w:eastAsia="Calibri" w:hAnsi="Arial" w:cs="Arial"/>
                <w:sz w:val="22"/>
                <w:lang w:val="es-ES_tradnl"/>
              </w:rPr>
            </w:pPr>
            <w:r w:rsidRPr="009C7D09">
              <w:rPr>
                <w:rFonts w:ascii="Arial" w:eastAsia="Calibri" w:hAnsi="Arial" w:cs="Arial"/>
                <w:b/>
                <w:sz w:val="22"/>
                <w:lang w:val="es-ES_tradnl"/>
              </w:rPr>
              <w:t>Temas:</w:t>
            </w:r>
            <w:r w:rsidR="000D6181">
              <w:rPr>
                <w:rFonts w:ascii="Arial" w:eastAsia="Calibri" w:hAnsi="Arial" w:cs="Arial"/>
                <w:sz w:val="22"/>
                <w:lang w:val="es-ES_tradnl"/>
              </w:rPr>
              <w:t xml:space="preserve">     </w:t>
            </w:r>
            <w:r w:rsidRPr="009C7D09">
              <w:rPr>
                <w:rFonts w:ascii="Arial" w:eastAsia="Calibri" w:hAnsi="Arial" w:cs="Arial"/>
                <w:sz w:val="22"/>
                <w:lang w:val="es-ES_tradnl"/>
              </w:rPr>
              <w:t xml:space="preserve"> </w:t>
            </w:r>
          </w:p>
          <w:p w14:paraId="0C0D8CD7" w14:textId="1478328B" w:rsidR="00BE1E33" w:rsidRPr="009C7D09" w:rsidRDefault="000D6181" w:rsidP="00707C46">
            <w:pPr>
              <w:rPr>
                <w:rFonts w:ascii="Arial" w:eastAsia="Calibri" w:hAnsi="Arial" w:cs="Arial"/>
                <w:sz w:val="22"/>
                <w:lang w:val="es-ES_tradnl"/>
              </w:rPr>
            </w:pPr>
            <w:r>
              <w:rPr>
                <w:rFonts w:ascii="Arial" w:eastAsia="Calibri" w:hAnsi="Arial" w:cs="Arial"/>
                <w:sz w:val="22"/>
                <w:lang w:val="es-ES_tradnl"/>
              </w:rPr>
              <w:t xml:space="preserve">             </w:t>
            </w:r>
            <w:r w:rsidR="00BE1E33" w:rsidRPr="009C7D09">
              <w:rPr>
                <w:rFonts w:ascii="Arial" w:eastAsia="Calibri" w:hAnsi="Arial" w:cs="Arial"/>
                <w:sz w:val="22"/>
                <w:lang w:val="es-ES_tradnl"/>
              </w:rPr>
              <w:t xml:space="preserve"> </w:t>
            </w:r>
          </w:p>
        </w:tc>
        <w:tc>
          <w:tcPr>
            <w:tcW w:w="6237" w:type="dxa"/>
            <w:hideMark/>
          </w:tcPr>
          <w:p w14:paraId="241ABC5E" w14:textId="1600B3BD" w:rsidR="002D7D0D" w:rsidRPr="002D7D0D" w:rsidRDefault="002D7D0D" w:rsidP="002D7D0D">
            <w:pPr>
              <w:jc w:val="both"/>
              <w:rPr>
                <w:rFonts w:ascii="Arial" w:hAnsi="Arial" w:cs="Arial"/>
                <w:bCs/>
                <w:color w:val="000000" w:themeColor="text1"/>
                <w:sz w:val="22"/>
                <w:lang w:val="es-ES"/>
              </w:rPr>
            </w:pPr>
            <w:r w:rsidRPr="002D7D0D">
              <w:rPr>
                <w:rFonts w:ascii="Arial" w:eastAsia="Calibri" w:hAnsi="Arial" w:cs="Arial"/>
                <w:bCs/>
                <w:sz w:val="22"/>
                <w:lang w:val="es-CO"/>
              </w:rPr>
              <w:t xml:space="preserve">DOCUMENTOS TIPO – Agua potable y saneamiento básico – Fundamento normativo / DOCUMENTOS TIPO – Método de ponderación de la oferta económica – Definición del método / </w:t>
            </w:r>
            <w:r w:rsidRPr="002D7D0D">
              <w:rPr>
                <w:rFonts w:ascii="Arial" w:hAnsi="Arial" w:cs="Arial"/>
                <w:bCs/>
                <w:color w:val="000000" w:themeColor="text1"/>
                <w:sz w:val="22"/>
                <w:lang w:val="es-ES"/>
              </w:rPr>
              <w:t xml:space="preserve">MÉTODO DE PONDERACIÓN DE </w:t>
            </w:r>
            <w:r w:rsidR="005D0468">
              <w:rPr>
                <w:rFonts w:ascii="Arial" w:hAnsi="Arial" w:cs="Arial"/>
                <w:bCs/>
                <w:color w:val="000000" w:themeColor="text1"/>
                <w:sz w:val="22"/>
                <w:lang w:val="es-ES"/>
              </w:rPr>
              <w:t xml:space="preserve">LA </w:t>
            </w:r>
            <w:r w:rsidRPr="002D7D0D">
              <w:rPr>
                <w:rFonts w:ascii="Arial" w:hAnsi="Arial" w:cs="Arial"/>
                <w:bCs/>
                <w:color w:val="000000" w:themeColor="text1"/>
                <w:sz w:val="22"/>
                <w:lang w:val="es-ES"/>
              </w:rPr>
              <w:t>OFERTA ECONÓMICA – TRM aplicable – Regla prevalente</w:t>
            </w:r>
          </w:p>
          <w:p w14:paraId="0F35FDBD" w14:textId="4CD1EF7F" w:rsidR="00BE1E33" w:rsidRPr="002D7D0D" w:rsidRDefault="00BE1E33" w:rsidP="00837991">
            <w:pPr>
              <w:jc w:val="both"/>
              <w:rPr>
                <w:rFonts w:ascii="Arial" w:hAnsi="Arial" w:cs="Arial"/>
                <w:bCs/>
                <w:color w:val="000000" w:themeColor="text1"/>
                <w:sz w:val="20"/>
                <w:szCs w:val="20"/>
                <w:lang w:val="es-ES_tradnl"/>
              </w:rPr>
            </w:pPr>
          </w:p>
        </w:tc>
      </w:tr>
      <w:tr w:rsidR="00985885" w:rsidRPr="009C7D09" w14:paraId="20F2A3B6" w14:textId="77777777" w:rsidTr="00AC1BFA">
        <w:tc>
          <w:tcPr>
            <w:tcW w:w="2689" w:type="dxa"/>
          </w:tcPr>
          <w:p w14:paraId="1E82F4FA" w14:textId="2113866A" w:rsidR="00BE1E33" w:rsidRPr="009C7D09" w:rsidRDefault="00BE1E33" w:rsidP="00707C46">
            <w:pPr>
              <w:spacing w:before="120"/>
              <w:rPr>
                <w:rFonts w:ascii="Arial" w:eastAsia="Calibri" w:hAnsi="Arial" w:cs="Arial"/>
                <w:b/>
                <w:sz w:val="22"/>
                <w:lang w:val="es-ES_tradnl"/>
              </w:rPr>
            </w:pPr>
            <w:r w:rsidRPr="009C7D09">
              <w:rPr>
                <w:rFonts w:ascii="Arial" w:eastAsia="Calibri" w:hAnsi="Arial" w:cs="Arial"/>
                <w:b/>
                <w:sz w:val="22"/>
                <w:lang w:val="es-ES_tradnl"/>
              </w:rPr>
              <w:t>Radicación:</w:t>
            </w:r>
            <w:r w:rsidR="000D6181">
              <w:rPr>
                <w:rFonts w:ascii="Arial" w:eastAsia="Calibri" w:hAnsi="Arial" w:cs="Arial"/>
                <w:sz w:val="22"/>
                <w:lang w:val="es-ES_tradnl"/>
              </w:rPr>
              <w:t xml:space="preserve">               </w:t>
            </w:r>
          </w:p>
        </w:tc>
        <w:tc>
          <w:tcPr>
            <w:tcW w:w="6237" w:type="dxa"/>
          </w:tcPr>
          <w:p w14:paraId="20FCE53A" w14:textId="26E8BB08" w:rsidR="00BE1E33" w:rsidRPr="009C7D09" w:rsidRDefault="00BE1E33" w:rsidP="00C570E4">
            <w:pPr>
              <w:spacing w:before="120"/>
              <w:jc w:val="both"/>
              <w:rPr>
                <w:rFonts w:ascii="Arial" w:eastAsia="Calibri" w:hAnsi="Arial" w:cs="Arial"/>
                <w:sz w:val="22"/>
                <w:lang w:val="es-ES_tradnl"/>
              </w:rPr>
            </w:pPr>
            <w:r w:rsidRPr="009C7D09">
              <w:rPr>
                <w:rFonts w:ascii="Arial" w:eastAsia="Calibri" w:hAnsi="Arial" w:cs="Arial"/>
                <w:sz w:val="22"/>
                <w:lang w:val="es-ES_tradnl"/>
              </w:rPr>
              <w:t>Respuesta a</w:t>
            </w:r>
            <w:r w:rsidR="00273721">
              <w:rPr>
                <w:rFonts w:ascii="Arial" w:eastAsia="Calibri" w:hAnsi="Arial" w:cs="Arial"/>
                <w:sz w:val="22"/>
                <w:lang w:val="es-ES_tradnl"/>
              </w:rPr>
              <w:t xml:space="preserve"> la</w:t>
            </w:r>
            <w:r w:rsidRPr="009C7D09">
              <w:rPr>
                <w:rFonts w:ascii="Arial" w:eastAsia="Calibri" w:hAnsi="Arial" w:cs="Arial"/>
                <w:sz w:val="22"/>
                <w:lang w:val="es-ES_tradnl"/>
              </w:rPr>
              <w:t xml:space="preserve"> consulta</w:t>
            </w:r>
            <w:r w:rsidR="00273721">
              <w:rPr>
                <w:rFonts w:ascii="Arial" w:eastAsia="Calibri" w:hAnsi="Arial" w:cs="Arial"/>
                <w:sz w:val="22"/>
                <w:lang w:val="es-ES_tradnl"/>
              </w:rPr>
              <w:t xml:space="preserve"> No.</w:t>
            </w:r>
            <w:r w:rsidRPr="009C7D09">
              <w:rPr>
                <w:rFonts w:ascii="Arial" w:eastAsia="Calibri" w:hAnsi="Arial" w:cs="Arial"/>
                <w:sz w:val="22"/>
                <w:lang w:val="es-ES_tradnl"/>
              </w:rPr>
              <w:t xml:space="preserve"> </w:t>
            </w:r>
            <w:r w:rsidR="00273721" w:rsidRPr="00273721">
              <w:rPr>
                <w:rFonts w:ascii="Arial" w:eastAsia="Calibri" w:hAnsi="Arial" w:cs="Arial"/>
                <w:sz w:val="22"/>
                <w:lang w:val="es-ES_tradnl"/>
              </w:rPr>
              <w:t>P20220304002155</w:t>
            </w:r>
          </w:p>
        </w:tc>
      </w:tr>
    </w:tbl>
    <w:p w14:paraId="06248123" w14:textId="655F4A7D" w:rsidR="00BE1E33" w:rsidRDefault="00BE1E33" w:rsidP="00BE1E33">
      <w:pPr>
        <w:jc w:val="both"/>
        <w:rPr>
          <w:rFonts w:ascii="Arial" w:eastAsia="Calibri" w:hAnsi="Arial" w:cs="Arial"/>
          <w:sz w:val="22"/>
          <w:lang w:val="es-ES_tradnl"/>
        </w:rPr>
      </w:pPr>
    </w:p>
    <w:p w14:paraId="13B9894F" w14:textId="77777777" w:rsidR="0009547D" w:rsidRPr="009C7D09" w:rsidRDefault="0009547D" w:rsidP="00BE1E33">
      <w:pPr>
        <w:jc w:val="both"/>
        <w:rPr>
          <w:rFonts w:ascii="Arial" w:eastAsia="Calibri" w:hAnsi="Arial" w:cs="Arial"/>
          <w:sz w:val="22"/>
          <w:lang w:val="es-ES_tradnl"/>
        </w:rPr>
      </w:pPr>
    </w:p>
    <w:p w14:paraId="417ABDA8" w14:textId="3BBDE9CD" w:rsidR="00BE1E33" w:rsidRPr="009C7D09" w:rsidRDefault="00C570E4" w:rsidP="00BE1E33">
      <w:pPr>
        <w:rPr>
          <w:rFonts w:ascii="Arial" w:eastAsia="Calibri" w:hAnsi="Arial" w:cs="Arial"/>
          <w:sz w:val="22"/>
          <w:lang w:val="es-ES_tradnl"/>
        </w:rPr>
      </w:pPr>
      <w:r w:rsidRPr="009C7D09">
        <w:rPr>
          <w:rFonts w:ascii="Arial" w:eastAsia="Calibri" w:hAnsi="Arial" w:cs="Arial"/>
          <w:sz w:val="22"/>
          <w:lang w:val="es-ES_tradnl"/>
        </w:rPr>
        <w:t>Estimad</w:t>
      </w:r>
      <w:r w:rsidR="00200477" w:rsidRPr="009C7D09">
        <w:rPr>
          <w:rFonts w:ascii="Arial" w:eastAsia="Calibri" w:hAnsi="Arial" w:cs="Arial"/>
          <w:sz w:val="22"/>
          <w:lang w:val="es-ES_tradnl"/>
        </w:rPr>
        <w:t xml:space="preserve">o </w:t>
      </w:r>
      <w:r w:rsidR="00390280">
        <w:rPr>
          <w:rFonts w:ascii="Arial" w:eastAsia="Calibri" w:hAnsi="Arial" w:cs="Arial"/>
          <w:sz w:val="22"/>
          <w:lang w:val="es-ES_tradnl"/>
        </w:rPr>
        <w:t>s</w:t>
      </w:r>
      <w:r w:rsidR="00200477" w:rsidRPr="009C7D09">
        <w:rPr>
          <w:rFonts w:ascii="Arial" w:eastAsia="Calibri" w:hAnsi="Arial" w:cs="Arial"/>
          <w:sz w:val="22"/>
          <w:lang w:val="es-ES_tradnl"/>
        </w:rPr>
        <w:t xml:space="preserve">eñor </w:t>
      </w:r>
      <w:r w:rsidR="00390280">
        <w:rPr>
          <w:rFonts w:ascii="Arial" w:eastAsia="Calibri" w:hAnsi="Arial" w:cs="Arial"/>
          <w:sz w:val="22"/>
          <w:lang w:val="es-ES_tradnl"/>
        </w:rPr>
        <w:t>Jiménez</w:t>
      </w:r>
      <w:r w:rsidR="00BE1E33" w:rsidRPr="009C7D09">
        <w:rPr>
          <w:rFonts w:ascii="Arial" w:eastAsia="Calibri" w:hAnsi="Arial" w:cs="Arial"/>
          <w:sz w:val="22"/>
          <w:lang w:val="es-ES_tradnl"/>
        </w:rPr>
        <w:t>:</w:t>
      </w:r>
    </w:p>
    <w:p w14:paraId="1CCABABD" w14:textId="77777777" w:rsidR="00BE1E33" w:rsidRPr="009C7D09" w:rsidRDefault="00BE1E33" w:rsidP="00BE1E33">
      <w:pPr>
        <w:rPr>
          <w:rFonts w:ascii="Arial" w:eastAsia="Calibri" w:hAnsi="Arial" w:cs="Arial"/>
          <w:sz w:val="22"/>
          <w:lang w:val="es-ES_tradnl"/>
        </w:rPr>
      </w:pPr>
    </w:p>
    <w:p w14:paraId="286A9CEF" w14:textId="7AEAFE63" w:rsidR="00BE1E33" w:rsidRPr="009C7D09" w:rsidRDefault="00BE1E33" w:rsidP="00BE1E33">
      <w:pPr>
        <w:spacing w:line="276" w:lineRule="auto"/>
        <w:jc w:val="both"/>
        <w:rPr>
          <w:rFonts w:ascii="Arial" w:eastAsia="Calibri" w:hAnsi="Arial" w:cs="Arial"/>
          <w:sz w:val="22"/>
          <w:lang w:val="es-ES_tradnl"/>
        </w:rPr>
      </w:pPr>
      <w:r w:rsidRPr="009C7D09">
        <w:rPr>
          <w:rFonts w:ascii="Arial" w:eastAsia="Calibri" w:hAnsi="Arial" w:cs="Arial"/>
          <w:sz w:val="22"/>
          <w:lang w:val="es-ES_tradnl"/>
        </w:rPr>
        <w:t xml:space="preserve">En ejercicio de la competencia otorgada por los artículos 11, numeral 8º, y 3º, numeral 5º, del Decreto Ley 4170 de 2011, la Agencia Nacional de Contratación Pública − Colombia Compra Eficiente responde su consulta del </w:t>
      </w:r>
      <w:r w:rsidR="00832FBE">
        <w:rPr>
          <w:rFonts w:ascii="Arial" w:eastAsia="Calibri" w:hAnsi="Arial" w:cs="Arial"/>
          <w:sz w:val="22"/>
          <w:lang w:val="es-ES_tradnl"/>
        </w:rPr>
        <w:t>3</w:t>
      </w:r>
      <w:r w:rsidR="00C570E4" w:rsidRPr="009C7D09">
        <w:rPr>
          <w:rFonts w:ascii="Arial" w:eastAsia="Calibri" w:hAnsi="Arial" w:cs="Arial"/>
          <w:sz w:val="22"/>
          <w:lang w:val="es-ES_tradnl"/>
        </w:rPr>
        <w:t xml:space="preserve"> de </w:t>
      </w:r>
      <w:r w:rsidR="00390280">
        <w:rPr>
          <w:rFonts w:ascii="Arial" w:eastAsia="Calibri" w:hAnsi="Arial" w:cs="Arial"/>
          <w:sz w:val="22"/>
          <w:lang w:val="es-ES_tradnl"/>
        </w:rPr>
        <w:t>marzo</w:t>
      </w:r>
      <w:r w:rsidR="00384629" w:rsidRPr="009C7D09">
        <w:rPr>
          <w:rFonts w:ascii="Arial" w:eastAsia="Calibri" w:hAnsi="Arial" w:cs="Arial"/>
          <w:sz w:val="22"/>
          <w:lang w:val="es-ES_tradnl"/>
        </w:rPr>
        <w:t xml:space="preserve"> de 202</w:t>
      </w:r>
      <w:r w:rsidR="00390280">
        <w:rPr>
          <w:rFonts w:ascii="Arial" w:eastAsia="Calibri" w:hAnsi="Arial" w:cs="Arial"/>
          <w:sz w:val="22"/>
          <w:lang w:val="es-ES_tradnl"/>
        </w:rPr>
        <w:t>2</w:t>
      </w:r>
      <w:r w:rsidRPr="009C7D09">
        <w:rPr>
          <w:rFonts w:ascii="Arial" w:eastAsia="Calibri" w:hAnsi="Arial" w:cs="Arial"/>
          <w:sz w:val="22"/>
          <w:lang w:val="es-ES_tradnl"/>
        </w:rPr>
        <w:t xml:space="preserve">. </w:t>
      </w:r>
    </w:p>
    <w:p w14:paraId="1D13401D" w14:textId="77777777" w:rsidR="00BE1E33" w:rsidRPr="009C7D09" w:rsidRDefault="00BE1E33" w:rsidP="00BE1E33">
      <w:pPr>
        <w:spacing w:line="276" w:lineRule="auto"/>
        <w:jc w:val="both"/>
        <w:rPr>
          <w:rFonts w:ascii="Arial" w:eastAsia="Calibri" w:hAnsi="Arial" w:cs="Arial"/>
          <w:sz w:val="22"/>
          <w:lang w:val="es-ES_tradnl"/>
        </w:rPr>
      </w:pPr>
    </w:p>
    <w:p w14:paraId="068F505C" w14:textId="734AEC94" w:rsidR="00BE1E33" w:rsidRPr="009C7D09" w:rsidRDefault="00563FE8" w:rsidP="00BE1E33">
      <w:pPr>
        <w:pStyle w:val="Prrafodelista"/>
        <w:numPr>
          <w:ilvl w:val="0"/>
          <w:numId w:val="1"/>
        </w:numPr>
        <w:tabs>
          <w:tab w:val="left" w:pos="284"/>
        </w:tabs>
        <w:spacing w:line="276" w:lineRule="auto"/>
        <w:ind w:left="0" w:firstLine="0"/>
        <w:jc w:val="both"/>
        <w:rPr>
          <w:rFonts w:ascii="Arial" w:eastAsia="Calibri" w:hAnsi="Arial" w:cs="Arial"/>
          <w:b/>
          <w:sz w:val="22"/>
          <w:lang w:val="es-ES_tradnl"/>
        </w:rPr>
      </w:pPr>
      <w:r w:rsidRPr="009C7D09">
        <w:rPr>
          <w:rFonts w:ascii="Arial" w:eastAsia="Calibri" w:hAnsi="Arial" w:cs="Arial"/>
          <w:b/>
          <w:sz w:val="22"/>
          <w:lang w:val="es-ES_tradnl"/>
        </w:rPr>
        <w:t>Problema planteado</w:t>
      </w:r>
      <w:r w:rsidR="00BE1E33" w:rsidRPr="009C7D09">
        <w:rPr>
          <w:rFonts w:ascii="Arial" w:eastAsia="Calibri" w:hAnsi="Arial" w:cs="Arial"/>
          <w:b/>
          <w:sz w:val="22"/>
          <w:lang w:val="es-ES_tradnl"/>
        </w:rPr>
        <w:t xml:space="preserve"> </w:t>
      </w:r>
    </w:p>
    <w:p w14:paraId="430A9943" w14:textId="77777777" w:rsidR="00BE1E33" w:rsidRPr="009C7D09" w:rsidRDefault="00BE1E33" w:rsidP="00BE1E33">
      <w:pPr>
        <w:tabs>
          <w:tab w:val="left" w:pos="426"/>
        </w:tabs>
        <w:spacing w:line="276" w:lineRule="auto"/>
        <w:jc w:val="both"/>
        <w:rPr>
          <w:rFonts w:ascii="Arial" w:eastAsia="Calibri" w:hAnsi="Arial" w:cs="Arial"/>
          <w:b/>
          <w:sz w:val="22"/>
          <w:lang w:val="es-ES_tradnl"/>
        </w:rPr>
      </w:pPr>
    </w:p>
    <w:p w14:paraId="0DDFA58D" w14:textId="14663DEA" w:rsidR="003E09D5" w:rsidRPr="000417DF" w:rsidRDefault="0045791E" w:rsidP="009401E0">
      <w:pPr>
        <w:autoSpaceDE w:val="0"/>
        <w:autoSpaceDN w:val="0"/>
        <w:adjustRightInd w:val="0"/>
        <w:spacing w:line="276" w:lineRule="auto"/>
        <w:jc w:val="both"/>
        <w:rPr>
          <w:rFonts w:ascii="Arial" w:eastAsia="Calibri" w:hAnsi="Arial" w:cs="Arial"/>
          <w:sz w:val="22"/>
          <w:lang w:val="es-ES"/>
        </w:rPr>
      </w:pPr>
      <w:r>
        <w:rPr>
          <w:rFonts w:ascii="Arial" w:hAnsi="Arial" w:cs="Arial"/>
          <w:color w:val="000000" w:themeColor="text1"/>
          <w:sz w:val="22"/>
          <w:lang w:val="es-ES_tradnl"/>
        </w:rPr>
        <w:t>E</w:t>
      </w:r>
      <w:r w:rsidR="00CB7F8D">
        <w:rPr>
          <w:rFonts w:ascii="Arial" w:hAnsi="Arial" w:cs="Arial"/>
          <w:color w:val="000000" w:themeColor="text1"/>
          <w:sz w:val="22"/>
          <w:lang w:val="es-ES_tradnl"/>
        </w:rPr>
        <w:t>n relación</w:t>
      </w:r>
      <w:r w:rsidR="00AC1BFA" w:rsidRPr="000417DF">
        <w:rPr>
          <w:rFonts w:ascii="Arial" w:hAnsi="Arial" w:cs="Arial"/>
          <w:color w:val="000000" w:themeColor="text1"/>
          <w:sz w:val="22"/>
          <w:lang w:val="es-ES_tradnl"/>
        </w:rPr>
        <w:t xml:space="preserve"> </w:t>
      </w:r>
      <w:r w:rsidR="0085033B">
        <w:rPr>
          <w:rFonts w:ascii="Arial" w:hAnsi="Arial" w:cs="Arial"/>
          <w:color w:val="000000" w:themeColor="text1"/>
          <w:sz w:val="22"/>
          <w:lang w:val="es-ES_tradnl"/>
        </w:rPr>
        <w:t xml:space="preserve">con </w:t>
      </w:r>
      <w:r w:rsidR="008D53EF">
        <w:rPr>
          <w:rFonts w:ascii="Arial" w:hAnsi="Arial" w:cs="Arial"/>
          <w:sz w:val="22"/>
          <w:lang w:val="es-CO"/>
        </w:rPr>
        <w:t xml:space="preserve">el método aplicable para la ponderación de las ofertas económicas, de acuerdo con la </w:t>
      </w:r>
      <w:r w:rsidR="0067077F" w:rsidRPr="000417DF">
        <w:rPr>
          <w:rFonts w:ascii="Arial" w:hAnsi="Arial" w:cs="Arial"/>
          <w:sz w:val="22"/>
          <w:lang w:val="es-CO"/>
        </w:rPr>
        <w:t xml:space="preserve">TRM certificada por la </w:t>
      </w:r>
      <w:r w:rsidR="000417DF" w:rsidRPr="000417DF">
        <w:rPr>
          <w:rFonts w:ascii="Arial" w:hAnsi="Arial" w:cs="Arial"/>
          <w:sz w:val="22"/>
          <w:lang w:val="es-CO"/>
        </w:rPr>
        <w:t xml:space="preserve">Superfinanciera, </w:t>
      </w:r>
      <w:r w:rsidR="00CB7F8D">
        <w:rPr>
          <w:rFonts w:ascii="Arial" w:hAnsi="Arial" w:cs="Arial"/>
          <w:sz w:val="22"/>
          <w:lang w:val="es-CO"/>
        </w:rPr>
        <w:t>tratándose de</w:t>
      </w:r>
      <w:r w:rsidR="008D53EF">
        <w:rPr>
          <w:rFonts w:ascii="Arial" w:hAnsi="Arial" w:cs="Arial"/>
          <w:sz w:val="22"/>
          <w:lang w:val="es-CO"/>
        </w:rPr>
        <w:t xml:space="preserve"> procedimientos de selección regidos por </w:t>
      </w:r>
      <w:r w:rsidR="00F239BB">
        <w:rPr>
          <w:rFonts w:ascii="Arial" w:hAnsi="Arial" w:cs="Arial"/>
          <w:sz w:val="22"/>
          <w:lang w:val="es-CO"/>
        </w:rPr>
        <w:t xml:space="preserve">los </w:t>
      </w:r>
      <w:r w:rsidR="008D53EF">
        <w:rPr>
          <w:rFonts w:ascii="Arial" w:hAnsi="Arial" w:cs="Arial"/>
          <w:sz w:val="22"/>
          <w:lang w:val="es-CO"/>
        </w:rPr>
        <w:t>documentos tipo</w:t>
      </w:r>
      <w:r w:rsidR="00F239BB">
        <w:rPr>
          <w:rFonts w:ascii="Arial" w:hAnsi="Arial" w:cs="Arial"/>
          <w:sz w:val="22"/>
          <w:lang w:val="es-CO"/>
        </w:rPr>
        <w:t xml:space="preserve"> para los procesos de licitación para obras de infraestructura de agua potable y saneamiento básico</w:t>
      </w:r>
      <w:r w:rsidR="00FE629D">
        <w:rPr>
          <w:rFonts w:ascii="Arial" w:hAnsi="Arial" w:cs="Arial"/>
          <w:sz w:val="22"/>
          <w:lang w:val="es-CO"/>
        </w:rPr>
        <w:t xml:space="preserve">, </w:t>
      </w:r>
      <w:r w:rsidR="00FE629D">
        <w:rPr>
          <w:rFonts w:ascii="Arial" w:hAnsi="Arial" w:cs="Arial"/>
          <w:color w:val="000000" w:themeColor="text1"/>
          <w:sz w:val="22"/>
          <w:lang w:val="es-CO"/>
        </w:rPr>
        <w:t>u</w:t>
      </w:r>
      <w:proofErr w:type="spellStart"/>
      <w:r w:rsidR="00FE629D" w:rsidRPr="000417DF">
        <w:rPr>
          <w:rFonts w:ascii="Arial" w:hAnsi="Arial" w:cs="Arial"/>
          <w:color w:val="000000" w:themeColor="text1"/>
          <w:sz w:val="22"/>
          <w:lang w:val="es-ES_tradnl"/>
        </w:rPr>
        <w:t>sted</w:t>
      </w:r>
      <w:proofErr w:type="spellEnd"/>
      <w:r w:rsidR="00FE629D" w:rsidRPr="000417DF">
        <w:rPr>
          <w:rFonts w:ascii="Arial" w:hAnsi="Arial" w:cs="Arial"/>
          <w:color w:val="000000" w:themeColor="text1"/>
          <w:sz w:val="22"/>
          <w:lang w:val="es-ES_tradnl"/>
        </w:rPr>
        <w:t xml:space="preserve"> pregunta lo siguiente</w:t>
      </w:r>
      <w:r w:rsidR="003E09D5" w:rsidRPr="000417DF">
        <w:rPr>
          <w:rFonts w:ascii="Arial" w:eastAsia="Calibri" w:hAnsi="Arial" w:cs="Arial"/>
          <w:sz w:val="22"/>
          <w:lang w:val="es-ES"/>
        </w:rPr>
        <w:t xml:space="preserve">: </w:t>
      </w:r>
    </w:p>
    <w:p w14:paraId="1350A7A7" w14:textId="77777777" w:rsidR="00AC1BFA" w:rsidRPr="009C7D09" w:rsidRDefault="00AC1BFA" w:rsidP="003E09D5">
      <w:pPr>
        <w:pStyle w:val="NormalWeb"/>
        <w:shd w:val="clear" w:color="auto" w:fill="FFFFFF"/>
        <w:spacing w:before="0" w:beforeAutospacing="0" w:after="0" w:afterAutospacing="0" w:line="276" w:lineRule="auto"/>
        <w:jc w:val="both"/>
        <w:rPr>
          <w:rFonts w:ascii="Arial" w:eastAsia="Calibri" w:hAnsi="Arial" w:cs="Arial"/>
          <w:sz w:val="21"/>
          <w:szCs w:val="21"/>
          <w:lang w:val="es-ES"/>
        </w:rPr>
      </w:pPr>
    </w:p>
    <w:p w14:paraId="3DCF1F08" w14:textId="26C5813D" w:rsidR="000D3473" w:rsidRDefault="000D3473" w:rsidP="000D3473">
      <w:pPr>
        <w:pStyle w:val="Prrafodelista"/>
        <w:ind w:left="709" w:right="709"/>
        <w:contextualSpacing w:val="0"/>
        <w:jc w:val="both"/>
        <w:rPr>
          <w:rFonts w:ascii="Arial" w:eastAsia="Times New Roman" w:hAnsi="Arial" w:cs="Arial"/>
          <w:color w:val="000000" w:themeColor="text1"/>
          <w:sz w:val="21"/>
          <w:szCs w:val="21"/>
          <w:lang w:val="es-ES" w:eastAsia="es-ES_tradnl"/>
        </w:rPr>
      </w:pPr>
      <w:r>
        <w:rPr>
          <w:rFonts w:ascii="Arial" w:eastAsia="Times New Roman" w:hAnsi="Arial" w:cs="Arial"/>
          <w:color w:val="000000" w:themeColor="text1"/>
          <w:sz w:val="21"/>
          <w:szCs w:val="21"/>
          <w:lang w:val="es-ES" w:eastAsia="es-ES_tradnl"/>
        </w:rPr>
        <w:t xml:space="preserve">En el pliego tipo de saneamiento y agua potable, ultima (sic) versión, la cual, entró a regir a partir de noviembre de 2021, se estableció que la entidad debe iniciar y agotar la apertura de los sobres económicos y la definición del método de ponderación en un mismo día hasta antes de las 3:00pm, comoquiera que  método de ponderación se establece con la TRM a regir del día siguiente, qué </w:t>
      </w:r>
      <w:r>
        <w:rPr>
          <w:rFonts w:ascii="Arial" w:eastAsia="Times New Roman" w:hAnsi="Arial" w:cs="Arial"/>
          <w:color w:val="000000" w:themeColor="text1"/>
          <w:sz w:val="21"/>
          <w:szCs w:val="21"/>
          <w:lang w:val="es-ES" w:eastAsia="es-ES_tradnl"/>
        </w:rPr>
        <w:lastRenderedPageBreak/>
        <w:t>se puede hacer cuando por varios días la TRM reportada por la Superintendencia Financiera ha sido publicada posterior a esa hora límite que establece el pliego? [¿] Se debe seguir aplazando la audiencia o suspendiendo hasta que se pueda encontrar en la página de la Superintendencia una TRM antes de esa hora?</w:t>
      </w:r>
    </w:p>
    <w:p w14:paraId="2D4D72F3" w14:textId="1E8C5742" w:rsidR="00BD66E3" w:rsidRPr="009401E0" w:rsidRDefault="00BD66E3" w:rsidP="000D3473">
      <w:pPr>
        <w:ind w:right="709"/>
        <w:jc w:val="both"/>
        <w:rPr>
          <w:rFonts w:ascii="Arial" w:eastAsia="Times New Roman" w:hAnsi="Arial" w:cs="Arial"/>
          <w:color w:val="000000" w:themeColor="text1"/>
          <w:sz w:val="21"/>
          <w:szCs w:val="21"/>
          <w:lang w:val="es-ES" w:eastAsia="es-ES_tradnl"/>
        </w:rPr>
      </w:pPr>
    </w:p>
    <w:p w14:paraId="5E30B64C" w14:textId="77777777" w:rsidR="00450F40" w:rsidRPr="00985885" w:rsidRDefault="00450F40" w:rsidP="00450F40">
      <w:pPr>
        <w:pStyle w:val="Prrafodelista"/>
        <w:numPr>
          <w:ilvl w:val="0"/>
          <w:numId w:val="1"/>
        </w:numPr>
        <w:tabs>
          <w:tab w:val="left" w:pos="426"/>
        </w:tabs>
        <w:spacing w:line="276" w:lineRule="auto"/>
        <w:ind w:left="284" w:hanging="284"/>
        <w:jc w:val="both"/>
        <w:rPr>
          <w:rFonts w:ascii="Arial" w:eastAsia="Calibri" w:hAnsi="Arial" w:cs="Arial"/>
          <w:b/>
          <w:sz w:val="22"/>
          <w:lang w:val="es-ES_tradnl"/>
        </w:rPr>
      </w:pPr>
      <w:r w:rsidRPr="00985885">
        <w:rPr>
          <w:rFonts w:ascii="Arial" w:eastAsia="Calibri" w:hAnsi="Arial" w:cs="Arial"/>
          <w:b/>
          <w:sz w:val="22"/>
          <w:lang w:val="es-ES_tradnl"/>
        </w:rPr>
        <w:t>Consideraciones</w:t>
      </w:r>
    </w:p>
    <w:p w14:paraId="552EBAD6" w14:textId="2AD42242" w:rsidR="000771C1" w:rsidRPr="00551D21" w:rsidRDefault="003637CD" w:rsidP="00551D21">
      <w:pPr>
        <w:spacing w:after="120" w:line="276" w:lineRule="auto"/>
        <w:jc w:val="both"/>
        <w:rPr>
          <w:rFonts w:ascii="Arial" w:hAnsi="Arial" w:cs="Arial"/>
          <w:bCs/>
          <w:sz w:val="22"/>
        </w:rPr>
      </w:pPr>
      <w:r w:rsidRPr="00162BC5">
        <w:rPr>
          <w:rFonts w:ascii="Arial" w:hAnsi="Arial" w:cs="Arial"/>
          <w:bCs/>
          <w:sz w:val="22"/>
        </w:rPr>
        <w:t xml:space="preserve">En ejercicio de las competencias </w:t>
      </w:r>
      <w:r>
        <w:rPr>
          <w:rFonts w:ascii="Arial" w:hAnsi="Arial" w:cs="Arial"/>
          <w:bCs/>
          <w:sz w:val="22"/>
        </w:rPr>
        <w:t>establecidas</w:t>
      </w:r>
      <w:r w:rsidRPr="00162BC5">
        <w:rPr>
          <w:rFonts w:ascii="Arial" w:hAnsi="Arial" w:cs="Arial"/>
          <w:bCs/>
          <w:sz w:val="22"/>
        </w:rPr>
        <w:t xml:space="preserve"> en los artículos 3</w:t>
      </w:r>
      <w:r>
        <w:rPr>
          <w:rFonts w:ascii="Arial" w:hAnsi="Arial" w:cs="Arial"/>
          <w:bCs/>
          <w:sz w:val="22"/>
        </w:rPr>
        <w:t>.</w:t>
      </w:r>
      <w:r w:rsidRPr="00162BC5">
        <w:rPr>
          <w:rFonts w:ascii="Arial" w:hAnsi="Arial" w:cs="Arial"/>
          <w:bCs/>
          <w:sz w:val="22"/>
        </w:rPr>
        <w:t>5</w:t>
      </w:r>
      <w:r>
        <w:rPr>
          <w:rFonts w:ascii="Arial" w:hAnsi="Arial" w:cs="Arial"/>
          <w:bCs/>
          <w:sz w:val="22"/>
        </w:rPr>
        <w:t xml:space="preserve"> y</w:t>
      </w:r>
      <w:r w:rsidRPr="00162BC5">
        <w:rPr>
          <w:rFonts w:ascii="Arial" w:hAnsi="Arial" w:cs="Arial"/>
          <w:bCs/>
          <w:sz w:val="22"/>
        </w:rPr>
        <w:t xml:space="preserve"> 11</w:t>
      </w:r>
      <w:r>
        <w:rPr>
          <w:rFonts w:ascii="Arial" w:hAnsi="Arial" w:cs="Arial"/>
          <w:bCs/>
          <w:sz w:val="22"/>
        </w:rPr>
        <w:t>.</w:t>
      </w:r>
      <w:r w:rsidRPr="00162BC5">
        <w:rPr>
          <w:rFonts w:ascii="Arial" w:hAnsi="Arial" w:cs="Arial"/>
          <w:bCs/>
          <w:sz w:val="22"/>
        </w:rPr>
        <w:t>8</w:t>
      </w:r>
      <w:r>
        <w:rPr>
          <w:rFonts w:ascii="Arial" w:hAnsi="Arial" w:cs="Arial"/>
          <w:bCs/>
          <w:sz w:val="22"/>
        </w:rPr>
        <w:t xml:space="preserve"> </w:t>
      </w:r>
      <w:r w:rsidRPr="00162BC5">
        <w:rPr>
          <w:rFonts w:ascii="Arial" w:hAnsi="Arial" w:cs="Arial"/>
          <w:bCs/>
          <w:sz w:val="22"/>
        </w:rPr>
        <w:t>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hAnsi="Arial" w:cs="Arial"/>
          <w:bCs/>
          <w:sz w:val="22"/>
        </w:rPr>
        <w:t>.</w:t>
      </w:r>
      <w:r w:rsidR="008E3BED">
        <w:rPr>
          <w:rFonts w:ascii="Arial" w:hAnsi="Arial" w:cs="Arial"/>
          <w:bCs/>
          <w:sz w:val="22"/>
        </w:rPr>
        <w:t xml:space="preserve"> </w:t>
      </w:r>
      <w:r w:rsidR="000771C1">
        <w:rPr>
          <w:rFonts w:ascii="Arial" w:hAnsi="Arial" w:cs="Arial"/>
          <w:sz w:val="22"/>
          <w:lang w:val="es-ES"/>
        </w:rPr>
        <w:t>E</w:t>
      </w:r>
      <w:r w:rsidR="000771C1" w:rsidRPr="00162BC5">
        <w:rPr>
          <w:rFonts w:ascii="Arial" w:hAnsi="Arial" w:cs="Arial"/>
          <w:sz w:val="22"/>
          <w:lang w:val="es-ES"/>
        </w:rPr>
        <w:t xml:space="preserve">s necesario tener en cuenta que esta </w:t>
      </w:r>
      <w:r w:rsidR="000771C1">
        <w:rPr>
          <w:rFonts w:ascii="Arial" w:hAnsi="Arial" w:cs="Arial"/>
          <w:sz w:val="22"/>
          <w:lang w:val="es-ES"/>
        </w:rPr>
        <w:t>e</w:t>
      </w:r>
      <w:r w:rsidR="000771C1" w:rsidRPr="00162BC5">
        <w:rPr>
          <w:rFonts w:ascii="Arial" w:hAnsi="Arial" w:cs="Arial"/>
          <w:sz w:val="22"/>
          <w:lang w:val="es-ES"/>
        </w:rPr>
        <w:t xml:space="preserve">ntidad solo </w:t>
      </w:r>
      <w:r w:rsidR="008E3BED">
        <w:rPr>
          <w:rFonts w:ascii="Arial" w:hAnsi="Arial" w:cs="Arial"/>
          <w:sz w:val="22"/>
          <w:lang w:val="es-ES"/>
        </w:rPr>
        <w:t>puede</w:t>
      </w:r>
      <w:r w:rsidR="000771C1" w:rsidRPr="00162BC5">
        <w:rPr>
          <w:rFonts w:ascii="Arial" w:hAnsi="Arial" w:cs="Arial"/>
          <w:sz w:val="22"/>
          <w:lang w:val="es-ES"/>
        </w:rPr>
        <w:t xml:space="preserve"> responder solicitudes sobre la aplicación de normas de carácter general en materia de compras y contratación pública. En ese sentido, resolver casos </w:t>
      </w:r>
      <w:r w:rsidR="006868F1">
        <w:rPr>
          <w:rFonts w:ascii="Arial" w:hAnsi="Arial" w:cs="Arial"/>
          <w:sz w:val="22"/>
          <w:lang w:val="es-ES"/>
        </w:rPr>
        <w:t>concretos</w:t>
      </w:r>
      <w:r w:rsidR="000771C1" w:rsidRPr="00162BC5">
        <w:rPr>
          <w:rFonts w:ascii="Arial" w:hAnsi="Arial" w:cs="Arial"/>
          <w:sz w:val="22"/>
          <w:lang w:val="es-ES"/>
        </w:rPr>
        <w:t xml:space="preserve"> desborda las atribuciones asignada</w:t>
      </w:r>
      <w:r w:rsidR="000771C1">
        <w:rPr>
          <w:rFonts w:ascii="Arial" w:hAnsi="Arial" w:cs="Arial"/>
          <w:sz w:val="22"/>
          <w:lang w:val="es-ES"/>
        </w:rPr>
        <w:t>s</w:t>
      </w:r>
      <w:r w:rsidR="000771C1" w:rsidRPr="00162BC5">
        <w:rPr>
          <w:rFonts w:ascii="Arial" w:hAnsi="Arial" w:cs="Arial"/>
          <w:sz w:val="22"/>
          <w:lang w:val="es-ES"/>
        </w:rPr>
        <w:t xml:space="preserve"> por el legislador extraordinario, que no concibió a Colombia Compra Eficiente como una autoridad para solucionar problemas jurídicos particulares</w:t>
      </w:r>
      <w:r w:rsidR="000771C1">
        <w:rPr>
          <w:rFonts w:ascii="Arial" w:hAnsi="Arial" w:cs="Arial"/>
          <w:bCs/>
          <w:sz w:val="22"/>
        </w:rPr>
        <w:t xml:space="preserve"> de todos los partícipes de la contratación estatal.</w:t>
      </w:r>
    </w:p>
    <w:p w14:paraId="45CF6E0D" w14:textId="74C20E54" w:rsidR="00A2342B" w:rsidRDefault="00A2342B" w:rsidP="00A2342B">
      <w:pPr>
        <w:spacing w:after="120" w:line="276" w:lineRule="auto"/>
        <w:ind w:firstLine="708"/>
        <w:jc w:val="both"/>
        <w:rPr>
          <w:rFonts w:ascii="Arial" w:hAnsi="Arial" w:cs="Arial"/>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1"/>
      </w:r>
      <w:r w:rsidRPr="00162BC5">
        <w:rPr>
          <w:rFonts w:ascii="Arial" w:hAnsi="Arial" w:cs="Arial"/>
          <w:sz w:val="22"/>
          <w:lang w:val="es-ES"/>
        </w:rPr>
        <w:t>. Esta competencia de interpretación de normas generales, por definición, no puede extenderse a la resolución de controversias, ni a brindar asesorías sobre casos puntuales</w:t>
      </w:r>
      <w:r>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p>
    <w:p w14:paraId="1689F997" w14:textId="2DDDF9F4" w:rsidR="00AF29A7" w:rsidRPr="00AF29A7" w:rsidRDefault="008F1C75" w:rsidP="00E66D85">
      <w:pPr>
        <w:spacing w:before="120" w:line="276" w:lineRule="auto"/>
        <w:ind w:firstLine="567"/>
        <w:jc w:val="both"/>
        <w:rPr>
          <w:rFonts w:ascii="Arial" w:eastAsia="Calibri" w:hAnsi="Arial" w:cs="Arial"/>
          <w:color w:val="000000" w:themeColor="text1"/>
          <w:sz w:val="22"/>
          <w:lang w:val="es-ES_tradnl"/>
        </w:rPr>
      </w:pPr>
      <w:r>
        <w:rPr>
          <w:rFonts w:ascii="Arial" w:eastAsia="Calibri" w:hAnsi="Arial" w:cs="Arial"/>
          <w:color w:val="000000" w:themeColor="text1"/>
          <w:sz w:val="22"/>
        </w:rPr>
        <w:t xml:space="preserve">Sin perjuicio de lo anterior, </w:t>
      </w:r>
      <w:r>
        <w:rPr>
          <w:rFonts w:ascii="Arial" w:eastAsia="Calibri" w:hAnsi="Arial" w:cs="Arial"/>
          <w:color w:val="000000" w:themeColor="text1"/>
          <w:sz w:val="22"/>
          <w:lang w:val="es-ES"/>
        </w:rPr>
        <w:t>la Subdirección –dentro de los límites de sus atribuciones, esto es, haciendo abstracción del caso particular expuesto por el peticionario– resolverá la consulta conforme a las normas generales en materia de contratación estatal. Con este objetivo se analizarán los siguientes temas:</w:t>
      </w:r>
      <w:r w:rsidR="002E3A71" w:rsidRPr="00AF465E">
        <w:rPr>
          <w:rFonts w:ascii="Arial" w:eastAsia="Calibri" w:hAnsi="Arial" w:cs="Arial"/>
          <w:bCs/>
          <w:sz w:val="22"/>
          <w:lang w:val="es-CO"/>
        </w:rPr>
        <w:t xml:space="preserve"> </w:t>
      </w:r>
      <w:r w:rsidR="002E3A71" w:rsidRPr="0016266F">
        <w:rPr>
          <w:rFonts w:ascii="Arial" w:eastAsia="Calibri" w:hAnsi="Arial" w:cs="Arial"/>
          <w:bCs/>
          <w:sz w:val="22"/>
          <w:lang w:val="es-CO"/>
        </w:rPr>
        <w:t xml:space="preserve">i) </w:t>
      </w:r>
      <w:r w:rsidR="001C44ED">
        <w:rPr>
          <w:rFonts w:ascii="Arial" w:eastAsia="Calibri" w:hAnsi="Arial" w:cs="Arial"/>
          <w:bCs/>
          <w:sz w:val="22"/>
          <w:lang w:val="es-CO"/>
        </w:rPr>
        <w:t>f</w:t>
      </w:r>
      <w:r w:rsidR="001C44ED" w:rsidRPr="001C44ED">
        <w:rPr>
          <w:rFonts w:ascii="Arial" w:eastAsia="Calibri" w:hAnsi="Arial" w:cs="Arial"/>
          <w:bCs/>
          <w:sz w:val="22"/>
          <w:lang w:val="es-CO"/>
        </w:rPr>
        <w:t>undamento normativo de los documentos tipo de licitación pública para obras de infraestructura de agua potable y saneamiento básico</w:t>
      </w:r>
      <w:r w:rsidR="008F0690">
        <w:rPr>
          <w:rFonts w:ascii="Arial" w:eastAsia="Calibri" w:hAnsi="Arial" w:cs="Arial"/>
          <w:color w:val="000000" w:themeColor="text1"/>
          <w:sz w:val="22"/>
          <w:lang w:val="es-ES_tradnl"/>
        </w:rPr>
        <w:t xml:space="preserve"> y</w:t>
      </w:r>
      <w:r w:rsidR="00AF29A7">
        <w:rPr>
          <w:rFonts w:ascii="Arial" w:eastAsia="Calibri" w:hAnsi="Arial" w:cs="Arial"/>
          <w:color w:val="000000" w:themeColor="text1"/>
          <w:sz w:val="22"/>
          <w:lang w:val="es-ES_tradnl"/>
        </w:rPr>
        <w:t xml:space="preserve"> ii)</w:t>
      </w:r>
      <w:r w:rsidR="00AF29A7" w:rsidRPr="009C7D09">
        <w:rPr>
          <w:rFonts w:ascii="Arial" w:eastAsia="Calibri" w:hAnsi="Arial" w:cs="Arial"/>
          <w:color w:val="000000" w:themeColor="text1"/>
          <w:sz w:val="22"/>
          <w:lang w:val="es-ES_tradnl"/>
        </w:rPr>
        <w:t xml:space="preserve"> </w:t>
      </w:r>
      <w:r w:rsidR="00CB7F8D">
        <w:rPr>
          <w:rFonts w:ascii="Arial" w:eastAsia="Calibri" w:hAnsi="Arial" w:cs="Arial"/>
          <w:color w:val="000000" w:themeColor="text1"/>
          <w:sz w:val="22"/>
          <w:lang w:val="es-ES_tradnl"/>
        </w:rPr>
        <w:t xml:space="preserve">la </w:t>
      </w:r>
      <w:r w:rsidR="001752FA">
        <w:rPr>
          <w:rFonts w:ascii="Arial" w:eastAsia="Calibri" w:hAnsi="Arial" w:cs="Arial"/>
          <w:color w:val="000000" w:themeColor="text1"/>
          <w:sz w:val="22"/>
          <w:lang w:val="es-ES_tradnl"/>
        </w:rPr>
        <w:t>d</w:t>
      </w:r>
      <w:r w:rsidR="001752FA" w:rsidRPr="001752FA">
        <w:rPr>
          <w:rFonts w:ascii="Arial" w:eastAsia="Calibri" w:hAnsi="Arial" w:cs="Arial"/>
          <w:color w:val="000000" w:themeColor="text1"/>
          <w:sz w:val="22"/>
          <w:lang w:val="es-ES_tradnl"/>
        </w:rPr>
        <w:t>efinición del método de ponderación de las ofertas económicas en los documentos tipo</w:t>
      </w:r>
      <w:r w:rsidR="008F0690">
        <w:rPr>
          <w:rFonts w:ascii="Arial" w:eastAsia="Calibri" w:hAnsi="Arial" w:cs="Arial"/>
          <w:color w:val="000000" w:themeColor="text1"/>
          <w:sz w:val="22"/>
          <w:lang w:val="es-ES_tradnl"/>
        </w:rPr>
        <w:t>.</w:t>
      </w:r>
    </w:p>
    <w:p w14:paraId="073A42B4" w14:textId="7B8ACF19" w:rsidR="00EC3201" w:rsidRPr="009C7D09" w:rsidRDefault="00F03734" w:rsidP="0067077F">
      <w:pPr>
        <w:spacing w:before="120" w:line="276" w:lineRule="auto"/>
        <w:ind w:firstLine="709"/>
        <w:jc w:val="both"/>
        <w:rPr>
          <w:rFonts w:ascii="Arial" w:eastAsia="Calibri" w:hAnsi="Arial" w:cs="Arial"/>
          <w:color w:val="000000" w:themeColor="text1"/>
          <w:sz w:val="22"/>
          <w:lang w:val="es-ES_tradnl"/>
        </w:rPr>
      </w:pPr>
      <w:r w:rsidRPr="009C7D09">
        <w:rPr>
          <w:rFonts w:ascii="Arial" w:eastAsia="Calibri" w:hAnsi="Arial" w:cs="Arial"/>
          <w:color w:val="000000" w:themeColor="text1"/>
          <w:sz w:val="22"/>
          <w:lang w:val="es-ES_tradnl"/>
        </w:rPr>
        <w:lastRenderedPageBreak/>
        <w:t>L</w:t>
      </w:r>
      <w:r w:rsidR="00AC1BFA" w:rsidRPr="009C7D09">
        <w:rPr>
          <w:rFonts w:ascii="Arial" w:eastAsia="Calibri" w:hAnsi="Arial" w:cs="Arial"/>
          <w:color w:val="000000" w:themeColor="text1"/>
          <w:sz w:val="22"/>
          <w:lang w:val="es-ES_tradnl"/>
        </w:rPr>
        <w:t>a Agencia Nacional de Contratación Pública – Colombia Compra Eficiente se pronunció</w:t>
      </w:r>
      <w:r w:rsidRPr="009C7D09">
        <w:rPr>
          <w:rFonts w:ascii="Arial" w:eastAsia="Calibri" w:hAnsi="Arial" w:cs="Arial"/>
          <w:color w:val="000000" w:themeColor="text1"/>
          <w:sz w:val="22"/>
          <w:lang w:val="es-ES_tradnl"/>
        </w:rPr>
        <w:t xml:space="preserve"> </w:t>
      </w:r>
      <w:r w:rsidR="00AC1BFA" w:rsidRPr="009C7D09">
        <w:rPr>
          <w:rFonts w:ascii="Arial" w:eastAsia="Calibri" w:hAnsi="Arial" w:cs="Arial"/>
          <w:color w:val="000000" w:themeColor="text1"/>
          <w:sz w:val="22"/>
          <w:lang w:val="es-ES_tradnl"/>
        </w:rPr>
        <w:t xml:space="preserve">sobre </w:t>
      </w:r>
      <w:r w:rsidR="003436AD" w:rsidRPr="009C7D09">
        <w:rPr>
          <w:rFonts w:ascii="Arial" w:eastAsia="Calibri" w:hAnsi="Arial" w:cs="Arial"/>
          <w:color w:val="000000" w:themeColor="text1"/>
          <w:sz w:val="22"/>
          <w:lang w:val="es-ES_tradnl"/>
        </w:rPr>
        <w:t>la regulación relacionada con la elección y aplicación de</w:t>
      </w:r>
      <w:r w:rsidR="009E1579" w:rsidRPr="009C7D09">
        <w:rPr>
          <w:rFonts w:ascii="Arial" w:eastAsia="Calibri" w:hAnsi="Arial" w:cs="Arial"/>
          <w:color w:val="000000" w:themeColor="text1"/>
          <w:sz w:val="22"/>
          <w:lang w:val="es-ES_tradnl"/>
        </w:rPr>
        <w:t xml:space="preserve">l método de ponderación en procesos contractuales regidos por documentos tipo </w:t>
      </w:r>
      <w:r w:rsidR="003436AD" w:rsidRPr="009C7D09">
        <w:rPr>
          <w:rFonts w:ascii="Arial" w:eastAsia="Calibri" w:hAnsi="Arial" w:cs="Arial"/>
          <w:color w:val="000000" w:themeColor="text1"/>
          <w:sz w:val="22"/>
          <w:lang w:val="es-ES_tradnl"/>
        </w:rPr>
        <w:t>mediante</w:t>
      </w:r>
      <w:r w:rsidR="00AC1BFA" w:rsidRPr="009C7D09">
        <w:rPr>
          <w:rFonts w:ascii="Arial" w:eastAsia="Calibri" w:hAnsi="Arial" w:cs="Arial"/>
          <w:color w:val="000000" w:themeColor="text1"/>
          <w:sz w:val="22"/>
          <w:lang w:val="es-ES_tradnl"/>
        </w:rPr>
        <w:t xml:space="preserve"> </w:t>
      </w:r>
      <w:r w:rsidR="00903BC9" w:rsidRPr="009C7D09">
        <w:rPr>
          <w:rFonts w:ascii="Arial" w:eastAsia="Calibri" w:hAnsi="Arial" w:cs="Arial"/>
          <w:color w:val="000000" w:themeColor="text1"/>
          <w:sz w:val="22"/>
          <w:lang w:val="es-ES_tradnl"/>
        </w:rPr>
        <w:t xml:space="preserve">los </w:t>
      </w:r>
      <w:r w:rsidR="00920DB9" w:rsidRPr="00EE1D98">
        <w:rPr>
          <w:rStyle w:val="normaltextrun"/>
          <w:rFonts w:ascii="Arial" w:hAnsi="Arial" w:cs="Arial"/>
          <w:color w:val="000000"/>
          <w:sz w:val="22"/>
          <w:shd w:val="clear" w:color="auto" w:fill="FFFFFF"/>
        </w:rPr>
        <w:t xml:space="preserve">conceptos C-193 del 6 de abril de 2020, C-224 del 21 de abril de 2020, C-279 del 18 de mayo de 2020, C-347 del 26 de mayo de 2020, C-412 del 17 de junio de 2020, C-349 del 23 de junio de 2020, C-423 del 23 de junio de 2020, C-424 del 23 de junio de 2020, </w:t>
      </w:r>
      <w:r w:rsidR="00920DB9" w:rsidRPr="00EE1D98">
        <w:rPr>
          <w:rFonts w:ascii="Arial" w:eastAsia="Calibri" w:hAnsi="Arial" w:cs="Arial"/>
          <w:color w:val="000000" w:themeColor="text1"/>
          <w:sz w:val="22"/>
          <w:lang w:val="es-ES_tradnl"/>
        </w:rPr>
        <w:t xml:space="preserve">C-431 del 9 de julio de 2020, </w:t>
      </w:r>
      <w:r w:rsidR="00920DB9" w:rsidRPr="00EE1D98">
        <w:rPr>
          <w:rStyle w:val="normaltextrun"/>
          <w:rFonts w:ascii="Arial" w:hAnsi="Arial" w:cs="Arial"/>
          <w:color w:val="000000"/>
          <w:sz w:val="22"/>
          <w:shd w:val="clear" w:color="auto" w:fill="FFFFFF"/>
        </w:rPr>
        <w:t xml:space="preserve">C-472 del 14 de julio de 2020, C-386 del 24 de julio de 2020, C-482 del 27 de julio de 2020, C-490 del 28 de julio de 2020, C−382 del 30 de julio de 2020, C−385 del 30 de julio de 2020, C−431 del 09 de julio de 2020, C–679 del 23 de noviembre de 2020 </w:t>
      </w:r>
      <w:r w:rsidR="00920DB9" w:rsidRPr="00EE1D98">
        <w:rPr>
          <w:rFonts w:ascii="Arial" w:eastAsia="Calibri" w:hAnsi="Arial" w:cs="Arial"/>
          <w:color w:val="000000" w:themeColor="text1"/>
          <w:sz w:val="22"/>
          <w:lang w:val="es-ES_tradnl"/>
        </w:rPr>
        <w:t>C</w:t>
      </w:r>
      <w:r w:rsidR="001840C4">
        <w:rPr>
          <w:rFonts w:ascii="Arial" w:eastAsia="Calibri" w:hAnsi="Arial" w:cs="Arial"/>
          <w:color w:val="000000" w:themeColor="text1"/>
          <w:sz w:val="22"/>
          <w:lang w:val="es-ES_tradnl"/>
        </w:rPr>
        <w:t>–</w:t>
      </w:r>
      <w:r w:rsidR="00920DB9" w:rsidRPr="00EE1D98">
        <w:rPr>
          <w:rFonts w:ascii="Arial" w:eastAsia="Calibri" w:hAnsi="Arial" w:cs="Arial"/>
          <w:color w:val="000000" w:themeColor="text1"/>
          <w:sz w:val="22"/>
          <w:lang w:val="es-ES_tradnl"/>
        </w:rPr>
        <w:t>793 del 20 de enero de 2021,</w:t>
      </w:r>
      <w:r w:rsidR="00920DB9" w:rsidRPr="00EE1D98">
        <w:rPr>
          <w:rStyle w:val="normaltextrun"/>
          <w:rFonts w:ascii="Arial" w:hAnsi="Arial" w:cs="Arial"/>
          <w:color w:val="000000"/>
          <w:sz w:val="22"/>
          <w:shd w:val="clear" w:color="auto" w:fill="FFFFFF"/>
        </w:rPr>
        <w:t> C</w:t>
      </w:r>
      <w:r w:rsidR="001840C4">
        <w:rPr>
          <w:rStyle w:val="normaltextrun"/>
          <w:rFonts w:ascii="Arial" w:hAnsi="Arial" w:cs="Arial"/>
          <w:color w:val="000000"/>
          <w:sz w:val="22"/>
          <w:shd w:val="clear" w:color="auto" w:fill="FFFFFF"/>
        </w:rPr>
        <w:t>–</w:t>
      </w:r>
      <w:r w:rsidR="00920DB9" w:rsidRPr="00EE1D98">
        <w:rPr>
          <w:rStyle w:val="normaltextrun"/>
          <w:rFonts w:ascii="Arial" w:hAnsi="Arial" w:cs="Arial"/>
          <w:color w:val="000000"/>
          <w:sz w:val="22"/>
          <w:shd w:val="clear" w:color="auto" w:fill="FFFFFF"/>
        </w:rPr>
        <w:t>810 del 8 de febrero de 2021</w:t>
      </w:r>
      <w:r w:rsidR="00A21B01" w:rsidRPr="00EE1D98">
        <w:rPr>
          <w:rFonts w:ascii="Arial" w:eastAsia="Calibri" w:hAnsi="Arial" w:cs="Arial"/>
          <w:color w:val="000000" w:themeColor="text1"/>
          <w:sz w:val="22"/>
          <w:lang w:val="es-ES_tradnl"/>
        </w:rPr>
        <w:t xml:space="preserve">, </w:t>
      </w:r>
      <w:r w:rsidR="00AC1BFA" w:rsidRPr="00EE1D98">
        <w:rPr>
          <w:rFonts w:ascii="Arial" w:eastAsia="Calibri" w:hAnsi="Arial" w:cs="Arial"/>
          <w:color w:val="000000" w:themeColor="text1"/>
          <w:sz w:val="22"/>
          <w:lang w:val="es-ES_tradnl"/>
        </w:rPr>
        <w:t>C</w:t>
      </w:r>
      <w:r w:rsidR="001840C4">
        <w:rPr>
          <w:rFonts w:ascii="Arial" w:eastAsia="Calibri" w:hAnsi="Arial" w:cs="Arial"/>
          <w:color w:val="000000" w:themeColor="text1"/>
          <w:sz w:val="22"/>
          <w:lang w:val="es-ES_tradnl"/>
        </w:rPr>
        <w:t>–</w:t>
      </w:r>
      <w:r w:rsidR="00AC1BFA" w:rsidRPr="00EE1D98">
        <w:rPr>
          <w:rFonts w:ascii="Arial" w:eastAsia="Calibri" w:hAnsi="Arial" w:cs="Arial"/>
          <w:color w:val="000000" w:themeColor="text1"/>
          <w:sz w:val="22"/>
          <w:lang w:val="es-ES_tradnl"/>
        </w:rPr>
        <w:t>011 de</w:t>
      </w:r>
      <w:r w:rsidR="0044209F" w:rsidRPr="00EE1D98">
        <w:rPr>
          <w:rFonts w:ascii="Arial" w:eastAsia="Calibri" w:hAnsi="Arial" w:cs="Arial"/>
          <w:color w:val="000000" w:themeColor="text1"/>
          <w:sz w:val="22"/>
          <w:lang w:val="es-ES_tradnl"/>
        </w:rPr>
        <w:t>l 1</w:t>
      </w:r>
      <w:r w:rsidR="007E36F1" w:rsidRPr="00EE1D98">
        <w:rPr>
          <w:rFonts w:ascii="Arial" w:eastAsia="Calibri" w:hAnsi="Arial" w:cs="Arial"/>
          <w:color w:val="000000" w:themeColor="text1"/>
          <w:sz w:val="22"/>
          <w:lang w:val="es-ES_tradnl"/>
        </w:rPr>
        <w:t>7</w:t>
      </w:r>
      <w:r w:rsidR="0044209F" w:rsidRPr="00EE1D98">
        <w:rPr>
          <w:rFonts w:ascii="Arial" w:eastAsia="Calibri" w:hAnsi="Arial" w:cs="Arial"/>
          <w:color w:val="000000" w:themeColor="text1"/>
          <w:sz w:val="22"/>
          <w:lang w:val="es-ES_tradnl"/>
        </w:rPr>
        <w:t xml:space="preserve"> de febrero de 2021</w:t>
      </w:r>
      <w:r w:rsidR="00794938" w:rsidRPr="00EE1D98">
        <w:rPr>
          <w:rFonts w:ascii="Arial" w:eastAsia="Calibri" w:hAnsi="Arial" w:cs="Arial"/>
          <w:color w:val="000000" w:themeColor="text1"/>
          <w:sz w:val="22"/>
          <w:lang w:val="es-ES_tradnl"/>
        </w:rPr>
        <w:t>,</w:t>
      </w:r>
      <w:r w:rsidR="005A4BC5" w:rsidRPr="00EE1D98">
        <w:rPr>
          <w:rFonts w:ascii="Arial" w:eastAsia="Calibri" w:hAnsi="Arial" w:cs="Arial"/>
          <w:color w:val="000000" w:themeColor="text1"/>
          <w:sz w:val="22"/>
          <w:lang w:val="es-ES_tradnl"/>
        </w:rPr>
        <w:t xml:space="preserve"> </w:t>
      </w:r>
      <w:r w:rsidR="0041050D" w:rsidRPr="00EE1D98">
        <w:rPr>
          <w:rFonts w:ascii="Arial" w:eastAsia="Calibri" w:hAnsi="Arial" w:cs="Arial"/>
          <w:color w:val="000000" w:themeColor="text1"/>
          <w:sz w:val="22"/>
          <w:lang w:val="es-ES_tradnl"/>
        </w:rPr>
        <w:t>C</w:t>
      </w:r>
      <w:r w:rsidR="001840C4">
        <w:rPr>
          <w:rFonts w:ascii="Arial" w:eastAsia="Calibri" w:hAnsi="Arial" w:cs="Arial"/>
          <w:color w:val="000000" w:themeColor="text1"/>
          <w:sz w:val="22"/>
          <w:lang w:val="es-ES_tradnl"/>
        </w:rPr>
        <w:t>–</w:t>
      </w:r>
      <w:r w:rsidR="0041050D" w:rsidRPr="00EE1D98">
        <w:rPr>
          <w:rFonts w:ascii="Arial" w:eastAsia="Calibri" w:hAnsi="Arial" w:cs="Arial"/>
          <w:color w:val="000000" w:themeColor="text1"/>
          <w:sz w:val="22"/>
          <w:lang w:val="es-ES_tradnl"/>
        </w:rPr>
        <w:t>042 de</w:t>
      </w:r>
      <w:r w:rsidR="002B38B0" w:rsidRPr="00EE1D98">
        <w:rPr>
          <w:rFonts w:ascii="Arial" w:eastAsia="Calibri" w:hAnsi="Arial" w:cs="Arial"/>
          <w:color w:val="000000" w:themeColor="text1"/>
          <w:sz w:val="22"/>
          <w:lang w:val="es-ES_tradnl"/>
        </w:rPr>
        <w:t xml:space="preserve">l 3 de marzo de </w:t>
      </w:r>
      <w:r w:rsidR="0041050D" w:rsidRPr="00EE1D98">
        <w:rPr>
          <w:rFonts w:ascii="Arial" w:eastAsia="Calibri" w:hAnsi="Arial" w:cs="Arial"/>
          <w:color w:val="000000" w:themeColor="text1"/>
          <w:sz w:val="22"/>
          <w:lang w:val="es-ES_tradnl"/>
        </w:rPr>
        <w:t>2021</w:t>
      </w:r>
      <w:r w:rsidR="00F13120">
        <w:rPr>
          <w:rFonts w:ascii="Arial" w:eastAsia="Calibri" w:hAnsi="Arial" w:cs="Arial"/>
          <w:color w:val="000000" w:themeColor="text1"/>
          <w:sz w:val="22"/>
          <w:lang w:val="es-ES_tradnl"/>
        </w:rPr>
        <w:t>,</w:t>
      </w:r>
      <w:r w:rsidR="005A4BC5" w:rsidRPr="009C7D09">
        <w:rPr>
          <w:rFonts w:ascii="Arial" w:eastAsia="Calibri" w:hAnsi="Arial" w:cs="Arial"/>
          <w:color w:val="000000" w:themeColor="text1"/>
          <w:sz w:val="22"/>
          <w:lang w:val="es-ES_tradnl"/>
        </w:rPr>
        <w:t xml:space="preserve"> C</w:t>
      </w:r>
      <w:r w:rsidR="001840C4">
        <w:rPr>
          <w:rFonts w:ascii="Arial" w:eastAsia="Calibri" w:hAnsi="Arial" w:cs="Arial"/>
          <w:color w:val="000000" w:themeColor="text1"/>
          <w:sz w:val="22"/>
          <w:lang w:val="es-ES_tradnl"/>
        </w:rPr>
        <w:t>–</w:t>
      </w:r>
      <w:r w:rsidR="005A4BC5" w:rsidRPr="009C7D09">
        <w:rPr>
          <w:rFonts w:ascii="Arial" w:eastAsia="Calibri" w:hAnsi="Arial" w:cs="Arial"/>
          <w:color w:val="000000" w:themeColor="text1"/>
          <w:sz w:val="22"/>
          <w:lang w:val="es-ES_tradnl"/>
        </w:rPr>
        <w:t xml:space="preserve">174 </w:t>
      </w:r>
      <w:r w:rsidR="00E32006" w:rsidRPr="009C7D09">
        <w:rPr>
          <w:rFonts w:ascii="Arial" w:eastAsia="Calibri" w:hAnsi="Arial" w:cs="Arial"/>
          <w:color w:val="000000" w:themeColor="text1"/>
          <w:sz w:val="22"/>
          <w:lang w:val="es-ES_tradnl"/>
        </w:rPr>
        <w:t xml:space="preserve">del 26 de abril </w:t>
      </w:r>
      <w:r w:rsidR="005A4BC5" w:rsidRPr="009C7D09">
        <w:rPr>
          <w:rFonts w:ascii="Arial" w:eastAsia="Calibri" w:hAnsi="Arial" w:cs="Arial"/>
          <w:color w:val="000000" w:themeColor="text1"/>
          <w:sz w:val="22"/>
          <w:lang w:val="es-ES_tradnl"/>
        </w:rPr>
        <w:t>de 2021</w:t>
      </w:r>
      <w:r w:rsidR="00F13120">
        <w:rPr>
          <w:rFonts w:ascii="Arial" w:eastAsia="Calibri" w:hAnsi="Arial" w:cs="Arial"/>
          <w:color w:val="000000" w:themeColor="text1"/>
          <w:sz w:val="22"/>
          <w:lang w:val="es-ES_tradnl"/>
        </w:rPr>
        <w:t>, C-332 del 7 de mayo de 2021, C-412 del 17 de agosto de 2021, C-402 del 19 de agosto de 2021, C-425 del 19 de agosto de 2021, C-632 del 19 de noviembre de 2021, C-680 del 9 de diciembre de 2021, C-722 del 20 de diciembre de 2021 y C-751 del 7 de febrero de 2022</w:t>
      </w:r>
      <w:r w:rsidR="00DD6DB9" w:rsidRPr="009C7D09">
        <w:rPr>
          <w:rFonts w:ascii="Arial" w:eastAsia="Calibri" w:hAnsi="Arial" w:cs="Arial"/>
          <w:color w:val="000000" w:themeColor="text1"/>
          <w:sz w:val="22"/>
          <w:lang w:val="es-ES_tradnl"/>
        </w:rPr>
        <w:t xml:space="preserve">. </w:t>
      </w:r>
      <w:r w:rsidRPr="009C7D09">
        <w:rPr>
          <w:rFonts w:ascii="Arial" w:eastAsia="Calibri" w:hAnsi="Arial" w:cs="Arial"/>
          <w:color w:val="000000" w:themeColor="text1"/>
          <w:sz w:val="22"/>
          <w:lang w:val="es-ES_tradnl"/>
        </w:rPr>
        <w:t>Las tesis expuestas en los anteriores conceptos se reiteran a continuación y se complementan en lo pertinente.</w:t>
      </w:r>
    </w:p>
    <w:p w14:paraId="3E0893AD" w14:textId="6A16188E" w:rsidR="00B34542" w:rsidRPr="00550130" w:rsidRDefault="00B34542" w:rsidP="00BE1E33">
      <w:pPr>
        <w:spacing w:line="276" w:lineRule="auto"/>
        <w:jc w:val="both"/>
        <w:rPr>
          <w:rFonts w:ascii="Arial" w:eastAsia="Calibri" w:hAnsi="Arial" w:cs="Arial"/>
          <w:b/>
          <w:bCs/>
          <w:sz w:val="22"/>
          <w:lang w:val="es-ES_tradnl"/>
        </w:rPr>
      </w:pPr>
    </w:p>
    <w:p w14:paraId="69A70D32" w14:textId="279E8A19" w:rsidR="00B34542" w:rsidRPr="00450F40" w:rsidRDefault="0012775A" w:rsidP="00B34542">
      <w:pPr>
        <w:jc w:val="both"/>
        <w:rPr>
          <w:rFonts w:ascii="Arial" w:hAnsi="Arial" w:cs="Arial"/>
          <w:b/>
          <w:bCs/>
          <w:color w:val="000000" w:themeColor="text1"/>
          <w:sz w:val="22"/>
          <w:lang w:val="es-ES"/>
        </w:rPr>
      </w:pPr>
      <w:r>
        <w:rPr>
          <w:rFonts w:ascii="Arial" w:hAnsi="Arial" w:cs="Arial"/>
          <w:b/>
          <w:bCs/>
          <w:color w:val="000000" w:themeColor="text1"/>
          <w:sz w:val="22"/>
          <w:lang w:val="es-ES"/>
        </w:rPr>
        <w:t xml:space="preserve">2.1 </w:t>
      </w:r>
      <w:r w:rsidR="00AD7B0E">
        <w:rPr>
          <w:rFonts w:ascii="Arial" w:hAnsi="Arial" w:cs="Arial"/>
          <w:b/>
          <w:bCs/>
          <w:color w:val="000000" w:themeColor="text1"/>
          <w:sz w:val="22"/>
          <w:lang w:val="es-ES"/>
        </w:rPr>
        <w:t xml:space="preserve">Fundamento normativo de los documentos tipo </w:t>
      </w:r>
      <w:r w:rsidR="00B256A0">
        <w:rPr>
          <w:rFonts w:ascii="Arial" w:hAnsi="Arial" w:cs="Arial"/>
          <w:b/>
          <w:bCs/>
          <w:color w:val="000000" w:themeColor="text1"/>
          <w:sz w:val="22"/>
          <w:lang w:val="es-ES"/>
        </w:rPr>
        <w:t>de licitación pública para obras de infraestructura de agua potable y saneamiento básico</w:t>
      </w:r>
    </w:p>
    <w:p w14:paraId="0CC0519A" w14:textId="77777777" w:rsidR="00792A39" w:rsidRDefault="00792A39" w:rsidP="00792A39">
      <w:pPr>
        <w:ind w:firstLine="705"/>
        <w:jc w:val="both"/>
        <w:rPr>
          <w:rFonts w:ascii="Arial" w:eastAsia="Times New Roman" w:hAnsi="Arial" w:cs="Arial"/>
          <w:bCs/>
          <w:color w:val="000000" w:themeColor="text1"/>
          <w:sz w:val="22"/>
          <w:lang w:val="es-ES" w:eastAsia="es-ES_tradnl"/>
        </w:rPr>
      </w:pPr>
    </w:p>
    <w:p w14:paraId="09255634" w14:textId="31B9133B" w:rsidR="00DE4EF6" w:rsidRPr="00DE4EF6" w:rsidRDefault="00DE4EF6" w:rsidP="00B84313">
      <w:pPr>
        <w:spacing w:before="120" w:after="120" w:line="276" w:lineRule="auto"/>
        <w:jc w:val="both"/>
        <w:rPr>
          <w:rFonts w:ascii="Arial" w:eastAsia="Calibri" w:hAnsi="Arial" w:cs="Arial"/>
          <w:color w:val="0D0D0D"/>
          <w:sz w:val="22"/>
        </w:rPr>
      </w:pPr>
      <w:r w:rsidRPr="00DE4EF6">
        <w:rPr>
          <w:rFonts w:ascii="Arial" w:eastAsia="Calibri" w:hAnsi="Arial" w:cs="Arial"/>
          <w:color w:val="000000"/>
          <w:sz w:val="22"/>
          <w:szCs w:val="24"/>
          <w:lang w:val="es-CO" w:eastAsia="es-ES_tradnl"/>
        </w:rPr>
        <w:t xml:space="preserve">El artículo 4 de la Ley 1882 de 2018 determinó la obligatoriedad por parte de todas las entidades públicas sometidas al estatuto general de contratación pública de aplicar los documentos tipo adoptados por el </w:t>
      </w:r>
      <w:r w:rsidR="00186B1E">
        <w:rPr>
          <w:rFonts w:ascii="Arial" w:eastAsia="Calibri" w:hAnsi="Arial" w:cs="Arial"/>
          <w:color w:val="000000"/>
          <w:sz w:val="22"/>
          <w:szCs w:val="24"/>
          <w:lang w:val="es-CO" w:eastAsia="es-ES_tradnl"/>
        </w:rPr>
        <w:t>G</w:t>
      </w:r>
      <w:r w:rsidRPr="00DE4EF6">
        <w:rPr>
          <w:rFonts w:ascii="Arial" w:eastAsia="Calibri" w:hAnsi="Arial" w:cs="Arial"/>
          <w:color w:val="000000"/>
          <w:sz w:val="22"/>
          <w:szCs w:val="24"/>
          <w:lang w:val="es-CO" w:eastAsia="es-ES_tradnl"/>
        </w:rPr>
        <w:t xml:space="preserve">obierno </w:t>
      </w:r>
      <w:r w:rsidR="00186B1E">
        <w:rPr>
          <w:rFonts w:ascii="Arial" w:eastAsia="Calibri" w:hAnsi="Arial" w:cs="Arial"/>
          <w:color w:val="000000"/>
          <w:sz w:val="22"/>
          <w:szCs w:val="24"/>
          <w:lang w:val="es-CO" w:eastAsia="es-ES_tradnl"/>
        </w:rPr>
        <w:t>N</w:t>
      </w:r>
      <w:r w:rsidRPr="00DE4EF6">
        <w:rPr>
          <w:rFonts w:ascii="Arial" w:eastAsia="Calibri" w:hAnsi="Arial" w:cs="Arial"/>
          <w:color w:val="000000"/>
          <w:sz w:val="22"/>
          <w:szCs w:val="24"/>
          <w:lang w:val="es-CO" w:eastAsia="es-ES_tradnl"/>
        </w:rPr>
        <w:t xml:space="preserve">acional. Esta norma establecía que el Gobierno </w:t>
      </w:r>
      <w:r w:rsidR="00186B1E">
        <w:rPr>
          <w:rFonts w:ascii="Arial" w:eastAsia="Calibri" w:hAnsi="Arial" w:cs="Arial"/>
          <w:color w:val="000000"/>
          <w:sz w:val="22"/>
          <w:szCs w:val="24"/>
          <w:lang w:val="es-CO" w:eastAsia="es-ES_tradnl"/>
        </w:rPr>
        <w:t>N</w:t>
      </w:r>
      <w:r w:rsidRPr="00DE4EF6">
        <w:rPr>
          <w:rFonts w:ascii="Arial" w:eastAsia="Calibri" w:hAnsi="Arial" w:cs="Arial"/>
          <w:color w:val="000000"/>
          <w:sz w:val="22"/>
          <w:szCs w:val="24"/>
          <w:lang w:val="es-CO" w:eastAsia="es-ES_tradnl"/>
        </w:rPr>
        <w:t>acional adoptaría los documentos tipo para los pliegos de condiciones de los procesos de selección de obras públicas, interventoría para las obras públicas, interventoría para consultoría de estudios y diseños para obras públicas, consultoría en ingeniería para obras, los cuales debían ser utilizados por todas las entidades sometidas al Estatuto General de la Contratación de la Administración Pública en los procesos de selección que adelantaran</w:t>
      </w:r>
      <w:r w:rsidRPr="00DE4EF6">
        <w:rPr>
          <w:rFonts w:ascii="Arial" w:eastAsia="Calibri" w:hAnsi="Arial" w:cs="Arial"/>
          <w:color w:val="000000"/>
          <w:sz w:val="22"/>
          <w:szCs w:val="24"/>
          <w:vertAlign w:val="superscript"/>
          <w:lang w:val="es-CO" w:eastAsia="es-ES_tradnl"/>
        </w:rPr>
        <w:footnoteReference w:id="2"/>
      </w:r>
      <w:r w:rsidRPr="00DE4EF6">
        <w:rPr>
          <w:rFonts w:ascii="Arial" w:eastAsia="Calibri" w:hAnsi="Arial" w:cs="Arial"/>
          <w:color w:val="000000"/>
          <w:sz w:val="22"/>
          <w:szCs w:val="24"/>
          <w:lang w:val="es-CO" w:eastAsia="es-ES_tradnl"/>
        </w:rPr>
        <w:t>.</w:t>
      </w:r>
      <w:r w:rsidRPr="00DE4EF6">
        <w:rPr>
          <w:rFonts w:ascii="Arial" w:eastAsia="Calibri" w:hAnsi="Arial" w:cs="Arial"/>
          <w:color w:val="0D0D0D"/>
          <w:sz w:val="22"/>
        </w:rPr>
        <w:t xml:space="preserve"> </w:t>
      </w:r>
    </w:p>
    <w:p w14:paraId="7868D10B" w14:textId="77777777" w:rsidR="00DE4EF6" w:rsidRPr="00DE4EF6" w:rsidRDefault="00DE4EF6" w:rsidP="00B84313">
      <w:pPr>
        <w:spacing w:before="120" w:after="120" w:line="276" w:lineRule="auto"/>
        <w:ind w:firstLine="708"/>
        <w:jc w:val="both"/>
        <w:rPr>
          <w:rFonts w:ascii="Arial" w:eastAsia="Calibri" w:hAnsi="Arial" w:cs="Arial"/>
          <w:color w:val="0D0D0D"/>
          <w:sz w:val="22"/>
        </w:rPr>
      </w:pPr>
      <w:r w:rsidRPr="00DE4EF6">
        <w:rPr>
          <w:rFonts w:ascii="Arial" w:eastAsia="Calibri" w:hAnsi="Arial" w:cs="Arial"/>
          <w:color w:val="0D0D0D"/>
          <w:sz w:val="22"/>
        </w:rPr>
        <w:lastRenderedPageBreak/>
        <w:t xml:space="preserve">Posteriormente, el 22 de julio de 2020, el Gobierno Nacional sancionó la Ley 2022,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w:t>
      </w:r>
      <w:proofErr w:type="spellStart"/>
      <w:r w:rsidRPr="00DE4EF6">
        <w:rPr>
          <w:rFonts w:ascii="Arial" w:eastAsia="Calibri" w:hAnsi="Arial" w:cs="Arial"/>
          <w:color w:val="0D0D0D"/>
          <w:sz w:val="22"/>
        </w:rPr>
        <w:t>iii</w:t>
      </w:r>
      <w:proofErr w:type="spellEnd"/>
      <w:r w:rsidRPr="00DE4EF6">
        <w:rPr>
          <w:rFonts w:ascii="Arial" w:eastAsia="Calibri" w:hAnsi="Arial" w:cs="Arial"/>
          <w:color w:val="0D0D0D"/>
          <w:sz w:val="22"/>
        </w:rPr>
        <w:t xml:space="preserve">) la implementación de procesos de capacitación en los municipios para la utilización de los documentos tipo buscando el desarrollo de la economía local; y </w:t>
      </w:r>
      <w:proofErr w:type="spellStart"/>
      <w:r w:rsidRPr="00DE4EF6">
        <w:rPr>
          <w:rFonts w:ascii="Arial" w:eastAsia="Calibri" w:hAnsi="Arial" w:cs="Arial"/>
          <w:color w:val="0D0D0D"/>
          <w:sz w:val="22"/>
        </w:rPr>
        <w:t>iv</w:t>
      </w:r>
      <w:proofErr w:type="spellEnd"/>
      <w:r w:rsidRPr="00DE4EF6">
        <w:rPr>
          <w:rFonts w:ascii="Arial" w:eastAsia="Calibri" w:hAnsi="Arial" w:cs="Arial"/>
          <w:color w:val="0D0D0D"/>
          <w:sz w:val="22"/>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DE4EF6">
        <w:rPr>
          <w:rFonts w:ascii="Arial" w:eastAsia="Calibri" w:hAnsi="Arial" w:cs="Arial"/>
          <w:color w:val="0D0D0D"/>
          <w:sz w:val="22"/>
          <w:vertAlign w:val="superscript"/>
        </w:rPr>
        <w:footnoteReference w:id="3"/>
      </w:r>
      <w:r w:rsidRPr="00DE4EF6">
        <w:rPr>
          <w:rFonts w:ascii="Arial" w:eastAsia="Calibri" w:hAnsi="Arial" w:cs="Arial"/>
          <w:color w:val="0D0D0D"/>
          <w:sz w:val="22"/>
        </w:rPr>
        <w:t xml:space="preserve">. </w:t>
      </w:r>
    </w:p>
    <w:p w14:paraId="68289020" w14:textId="77777777" w:rsidR="00DE4EF6" w:rsidRPr="00DE4EF6" w:rsidRDefault="00DE4EF6" w:rsidP="00B84313">
      <w:pPr>
        <w:spacing w:before="120" w:after="120" w:line="276" w:lineRule="auto"/>
        <w:ind w:firstLine="709"/>
        <w:jc w:val="both"/>
        <w:rPr>
          <w:rFonts w:ascii="Arial" w:eastAsia="Calibri" w:hAnsi="Arial" w:cs="Arial"/>
          <w:sz w:val="22"/>
        </w:rPr>
      </w:pPr>
      <w:r w:rsidRPr="00DE4EF6">
        <w:rPr>
          <w:rFonts w:ascii="Arial" w:eastAsia="Calibri" w:hAnsi="Arial" w:cs="Arial"/>
          <w:sz w:val="22"/>
        </w:rPr>
        <w:t xml:space="preserve">De conformidad con esta Ley, se otorgó a la Agencia Nacional de Contratación Pública – Colombia Compra Eficiente la competencia para adoptar los documentos tipo; entidad que para el cumplimiento de las funciones atribuidas por el Decreto Ley 4170 de </w:t>
      </w:r>
      <w:r w:rsidRPr="00DE4EF6">
        <w:rPr>
          <w:rFonts w:ascii="Arial" w:eastAsia="Calibri" w:hAnsi="Arial" w:cs="Arial"/>
          <w:sz w:val="22"/>
        </w:rPr>
        <w:lastRenderedPageBreak/>
        <w:t>2011, requiere la «coordinación con entidades técnicas o especializadas». Lo anterior con la finalidad de elaborar los cronogramas y procedimientos indispensables para implementarlos de forma estratégica en los distintos sectores de la economía, facilitando su incorporación en el sistema de compra pública.</w:t>
      </w:r>
    </w:p>
    <w:p w14:paraId="66B86B08" w14:textId="06824AB9" w:rsidR="002A6219" w:rsidRPr="00DE4EF6" w:rsidRDefault="00DE4EF6" w:rsidP="002A6219">
      <w:pPr>
        <w:tabs>
          <w:tab w:val="left" w:pos="0"/>
          <w:tab w:val="left" w:pos="284"/>
        </w:tabs>
        <w:spacing w:before="120" w:after="120" w:line="276" w:lineRule="auto"/>
        <w:ind w:firstLine="709"/>
        <w:jc w:val="both"/>
        <w:rPr>
          <w:rFonts w:ascii="Arial" w:eastAsia="Times New Roman" w:hAnsi="Arial" w:cs="Arial"/>
          <w:color w:val="000000"/>
          <w:sz w:val="22"/>
          <w:bdr w:val="none" w:sz="0" w:space="0" w:color="auto" w:frame="1"/>
          <w:lang w:val="es-CO" w:eastAsia="es-ES_tradnl"/>
        </w:rPr>
      </w:pPr>
      <w:r w:rsidRPr="00DE4EF6">
        <w:rPr>
          <w:rFonts w:ascii="Arial" w:eastAsia="Calibri" w:hAnsi="Arial" w:cs="Arial"/>
          <w:sz w:val="22"/>
        </w:rPr>
        <w:t>Además, por disposición expresa de la Ley 2022 de 2020, los «Documentos tipo» adoptados por la Agencia Nacional de Contratación Pública son de obligatorio cumplimiento por todas las entidades públicas, cuyo régimen de contratación está sometida al Estatuto General de la Contratación de la Administración Pública ‒EGCAP‒. Esta obligatoriedad implica que las autoridades deben implementar los documentos tipo que encuentren dentro de su ámbito de aplicación, sin perjuicio de su «inalterabilidad»</w:t>
      </w:r>
      <w:r w:rsidRPr="00DE4EF6">
        <w:rPr>
          <w:rFonts w:ascii="Arial" w:eastAsia="Times New Roman" w:hAnsi="Arial" w:cs="Arial"/>
          <w:color w:val="000000"/>
          <w:sz w:val="22"/>
          <w:bdr w:val="none" w:sz="0" w:space="0" w:color="auto" w:frame="1"/>
          <w:lang w:val="es-CO" w:eastAsia="es-ES_tradnl"/>
        </w:rPr>
        <w:t>. Lo anterior significa que las entidades públicas carecen de la facultad para modificarlos, con excepción de aquellos aspectos que pueden diligenciar, es decir, los espacios que están incluidos entre corchetes y resaltados en gris.</w:t>
      </w:r>
    </w:p>
    <w:p w14:paraId="3B289124" w14:textId="77777777" w:rsidR="00DE4EF6" w:rsidRPr="00DE4EF6" w:rsidRDefault="00DE4EF6" w:rsidP="002A6219">
      <w:pPr>
        <w:spacing w:before="120" w:after="120" w:line="276" w:lineRule="auto"/>
        <w:ind w:firstLine="709"/>
        <w:jc w:val="both"/>
        <w:rPr>
          <w:rFonts w:ascii="Arial" w:eastAsia="Calibri" w:hAnsi="Arial" w:cs="Arial"/>
          <w:sz w:val="22"/>
        </w:rPr>
      </w:pPr>
      <w:r w:rsidRPr="00DE4EF6">
        <w:rPr>
          <w:rFonts w:ascii="Arial" w:eastAsia="Calibri" w:hAnsi="Arial" w:cs="Arial"/>
          <w:sz w:val="22"/>
        </w:rPr>
        <w:t xml:space="preserve">Así, en desarrollo de la Ley 2022 de 2020, la Agencia Nacional de Contratación Pública expidió las Resoluciones 248 y 249 del 1° de diciembre de 2020. Mediante dichos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 </w:t>
      </w:r>
    </w:p>
    <w:p w14:paraId="1E54EF37" w14:textId="77777777" w:rsidR="00DE4EF6" w:rsidRPr="00DE4EF6" w:rsidRDefault="00DE4EF6" w:rsidP="00B84313">
      <w:pPr>
        <w:spacing w:before="120" w:after="120" w:line="276" w:lineRule="auto"/>
        <w:ind w:firstLine="709"/>
        <w:jc w:val="both"/>
        <w:rPr>
          <w:rFonts w:ascii="Arial" w:eastAsia="Calibri" w:hAnsi="Arial" w:cs="Arial"/>
          <w:bCs/>
          <w:sz w:val="22"/>
          <w:lang w:val="es-ES_tradnl"/>
        </w:rPr>
      </w:pPr>
      <w:r w:rsidRPr="00DE4EF6">
        <w:rPr>
          <w:rFonts w:ascii="Arial" w:eastAsia="Times New Roman" w:hAnsi="Arial" w:cs="Arial"/>
          <w:bCs/>
          <w:sz w:val="22"/>
          <w:szCs w:val="24"/>
          <w:lang w:val="es-CO" w:eastAsia="es-ES_tradnl"/>
        </w:rPr>
        <w:t xml:space="preserve">Estos documentos fueron modificados mediante la </w:t>
      </w:r>
      <w:r w:rsidRPr="00DE4EF6">
        <w:rPr>
          <w:rFonts w:ascii="Arial" w:eastAsia="Times New Roman" w:hAnsi="Arial" w:cs="Arial"/>
          <w:bCs/>
          <w:sz w:val="22"/>
          <w:szCs w:val="24"/>
          <w:lang w:eastAsia="es-ES_tradnl"/>
        </w:rPr>
        <w:t>Resolución 161 del 17 de junio de 2021</w:t>
      </w:r>
      <w:r w:rsidRPr="00DE4EF6">
        <w:rPr>
          <w:rFonts w:ascii="Arial" w:eastAsia="Times New Roman" w:hAnsi="Arial" w:cs="Arial"/>
          <w:bCs/>
          <w:sz w:val="22"/>
          <w:szCs w:val="24"/>
          <w:lang w:val="es-CO" w:eastAsia="es-ES_tradnl"/>
        </w:rPr>
        <w:t xml:space="preserve">. Con base en esta resolución se </w:t>
      </w:r>
      <w:r w:rsidRPr="00DE4EF6">
        <w:rPr>
          <w:rFonts w:ascii="Arial" w:eastAsia="Times New Roman" w:hAnsi="Arial" w:cs="Arial"/>
          <w:bCs/>
          <w:sz w:val="22"/>
          <w:szCs w:val="24"/>
          <w:lang w:val="es-ES_tradnl" w:eastAsia="es-ES_tradnl"/>
        </w:rPr>
        <w:t xml:space="preserve">estandarizó la acreditación de los factores de desempate del artículo 35 de la Ley 2069 de 2020, dirigido a los procesos de selección que deban adelantarse con documentos tipo y se realizaron modificaciones a los documentos base, formatos y anexos de los documentos tipo. </w:t>
      </w:r>
    </w:p>
    <w:p w14:paraId="3B69E25A" w14:textId="77777777" w:rsidR="00DE4EF6" w:rsidRPr="00DE4EF6" w:rsidRDefault="00DE4EF6" w:rsidP="00B84313">
      <w:pPr>
        <w:spacing w:before="120" w:after="120" w:line="276" w:lineRule="auto"/>
        <w:ind w:firstLine="709"/>
        <w:jc w:val="both"/>
        <w:rPr>
          <w:rFonts w:ascii="Arial" w:eastAsia="Calibri" w:hAnsi="Arial" w:cs="Arial"/>
          <w:color w:val="000000"/>
          <w:sz w:val="22"/>
          <w:lang w:val="es-ES_tradnl"/>
        </w:rPr>
      </w:pPr>
      <w:r w:rsidRPr="00DE4EF6">
        <w:rPr>
          <w:rFonts w:ascii="Arial" w:eastAsia="Calibri" w:hAnsi="Arial" w:cs="Arial"/>
          <w:bCs/>
          <w:sz w:val="22"/>
          <w:lang w:val="es-ES_tradnl"/>
        </w:rPr>
        <w:t xml:space="preserve">Posteriormente, se profirió la Resolución 173 del 30 de junio de 2021, </w:t>
      </w:r>
      <w:r w:rsidRPr="00DE4EF6">
        <w:rPr>
          <w:rFonts w:ascii="Arial" w:eastAsia="Calibri" w:hAnsi="Arial" w:cs="Arial"/>
          <w:sz w:val="22"/>
        </w:rPr>
        <w:t>«</w:t>
      </w:r>
      <w:r w:rsidRPr="00DE4EF6">
        <w:rPr>
          <w:rFonts w:ascii="Arial" w:eastAsia="Calibri" w:hAnsi="Arial" w:cs="Arial"/>
          <w:bCs/>
          <w:sz w:val="22"/>
          <w:lang w:val="es-CO"/>
        </w:rPr>
        <w:t>Por la cual se modifican los documentos tipo para los procesos de licitación pública para obras de infraestructura de agua potable y saneamiento básico adoptados por la Agencia Nacional de Contratación Pública – Colombia Compra Eficiente mediante las Resoluciones 248 y 249 del 1 de diciembre de 2020</w:t>
      </w:r>
      <w:r w:rsidRPr="00DE4EF6">
        <w:rPr>
          <w:rFonts w:ascii="Arial" w:eastAsia="Calibri" w:hAnsi="Arial" w:cs="Arial"/>
          <w:color w:val="0D0D0D"/>
          <w:sz w:val="22"/>
        </w:rPr>
        <w:t xml:space="preserve">». </w:t>
      </w:r>
      <w:r w:rsidRPr="00DE4EF6">
        <w:rPr>
          <w:rFonts w:ascii="Arial" w:eastAsia="Calibri" w:hAnsi="Arial" w:cs="Arial"/>
          <w:bCs/>
          <w:sz w:val="22"/>
          <w:lang w:val="es-CO"/>
        </w:rPr>
        <w:t xml:space="preserve">Su expedición se realizó debido a la necesidad de ajustar el contenido de la «Matriz 1 -Experiencia» en estos documentos tipo, en atención a las peticiones y observaciones realizadas por los ciudadanos y las entidades técnicas del sector que participaron en la construcción de estos documentos, que identificaron algunos aspectos en la «Matriz 1 – Experiencia» que debían modificarse. </w:t>
      </w:r>
      <w:r w:rsidRPr="00DE4EF6">
        <w:rPr>
          <w:rFonts w:ascii="Arial" w:eastAsia="Calibri" w:hAnsi="Arial" w:cs="Arial"/>
          <w:color w:val="000000"/>
          <w:sz w:val="22"/>
          <w:lang w:val="es-CO"/>
        </w:rPr>
        <w:t>D</w:t>
      </w:r>
      <w:r w:rsidRPr="00DE4EF6">
        <w:rPr>
          <w:rFonts w:ascii="Arial" w:eastAsia="Calibri" w:hAnsi="Arial" w:cs="Arial"/>
          <w:bCs/>
          <w:sz w:val="22"/>
          <w:lang w:val="es-CO"/>
        </w:rPr>
        <w:t>e conformidad con el artículo 3 de dicha resolución</w:t>
      </w:r>
      <w:r w:rsidRPr="00DE4EF6">
        <w:rPr>
          <w:rFonts w:ascii="Arial" w:eastAsia="Calibri" w:hAnsi="Arial" w:cs="Arial"/>
          <w:bCs/>
          <w:sz w:val="22"/>
          <w:lang w:val="es-ES_tradnl"/>
        </w:rPr>
        <w:t>, estas</w:t>
      </w:r>
      <w:r w:rsidRPr="00DE4EF6">
        <w:rPr>
          <w:rFonts w:ascii="Arial" w:eastAsia="Calibri" w:hAnsi="Arial" w:cs="Arial"/>
          <w:bCs/>
          <w:sz w:val="22"/>
          <w:lang w:val="es-CO"/>
        </w:rPr>
        <w:t xml:space="preserve"> modificaciones serán obligatorias en</w:t>
      </w:r>
      <w:r w:rsidRPr="00DE4EF6">
        <w:rPr>
          <w:rFonts w:ascii="Arial" w:eastAsia="Calibri" w:hAnsi="Arial" w:cs="Arial"/>
          <w:color w:val="000000"/>
          <w:sz w:val="22"/>
          <w:lang w:val="es-ES_tradnl"/>
        </w:rPr>
        <w:t xml:space="preserve"> los procesos de selección cuyo aviso de convocatoria se publiquen a partir del 12 de julio de 2021.</w:t>
      </w:r>
    </w:p>
    <w:p w14:paraId="681D7A93" w14:textId="77777777" w:rsidR="00DE4EF6" w:rsidRPr="00DE4EF6" w:rsidRDefault="00DE4EF6" w:rsidP="00551D21">
      <w:pPr>
        <w:spacing w:before="120" w:line="276" w:lineRule="auto"/>
        <w:ind w:firstLine="709"/>
        <w:jc w:val="both"/>
        <w:rPr>
          <w:rFonts w:ascii="Arial" w:eastAsia="Calibri" w:hAnsi="Arial" w:cs="Arial"/>
          <w:color w:val="000000"/>
          <w:sz w:val="22"/>
          <w:lang w:val="es-ES_tradnl" w:eastAsia="es-ES_tradnl"/>
        </w:rPr>
      </w:pPr>
      <w:r w:rsidRPr="00DE4EF6">
        <w:rPr>
          <w:rFonts w:ascii="Arial" w:eastAsia="Times New Roman" w:hAnsi="Arial" w:cs="Arial"/>
          <w:color w:val="0D0D0D"/>
          <w:sz w:val="22"/>
          <w:szCs w:val="24"/>
          <w:bdr w:val="none" w:sz="0" w:space="0" w:color="auto" w:frame="1"/>
          <w:lang w:val="es-ES_tradnl" w:eastAsia="es-CO"/>
        </w:rPr>
        <w:t xml:space="preserve">Por último, para ajustar el contenido a las normas de la regla de origen del Decreto 680 del 22 de junio de 2021, recientemente la Agencia modificó los documentos tipo mediante la Resolución 304 del 13 de octubre de 2021, la cual comenzó a regir para los </w:t>
      </w:r>
      <w:r w:rsidRPr="00DE4EF6">
        <w:rPr>
          <w:rFonts w:ascii="Arial" w:eastAsia="Times New Roman" w:hAnsi="Arial" w:cs="Arial"/>
          <w:color w:val="0D0D0D"/>
          <w:sz w:val="22"/>
          <w:szCs w:val="24"/>
          <w:bdr w:val="none" w:sz="0" w:space="0" w:color="auto" w:frame="1"/>
          <w:lang w:val="es-ES_tradnl" w:eastAsia="es-CO"/>
        </w:rPr>
        <w:lastRenderedPageBreak/>
        <w:t>procesos de contratación cuyo aviso de convocatoria se publique a partir del 2 de noviembre de 2021.</w:t>
      </w:r>
    </w:p>
    <w:p w14:paraId="30FBF7B6" w14:textId="77777777" w:rsidR="00792A39" w:rsidRPr="00450F40" w:rsidRDefault="00792A39" w:rsidP="00920DB9">
      <w:pPr>
        <w:ind w:firstLine="705"/>
        <w:jc w:val="both"/>
        <w:rPr>
          <w:rFonts w:ascii="Arial" w:eastAsia="Times New Roman" w:hAnsi="Arial" w:cs="Arial"/>
          <w:bCs/>
          <w:color w:val="000000" w:themeColor="text1"/>
          <w:sz w:val="22"/>
          <w:lang w:val="es-ES" w:eastAsia="es-ES_tradnl"/>
        </w:rPr>
      </w:pPr>
    </w:p>
    <w:p w14:paraId="0C8BE753" w14:textId="487947A7" w:rsidR="00B34542" w:rsidRDefault="00634DC4" w:rsidP="00B34542">
      <w:pPr>
        <w:jc w:val="both"/>
        <w:rPr>
          <w:rFonts w:ascii="Arial" w:hAnsi="Arial" w:cs="Arial"/>
          <w:b/>
          <w:bCs/>
          <w:color w:val="000000" w:themeColor="text1"/>
          <w:sz w:val="22"/>
          <w:lang w:val="es-ES"/>
        </w:rPr>
      </w:pPr>
      <w:r w:rsidRPr="00E66D85">
        <w:rPr>
          <w:rFonts w:ascii="Arial" w:hAnsi="Arial" w:cs="Arial"/>
          <w:b/>
          <w:bCs/>
          <w:color w:val="000000"/>
          <w:sz w:val="22"/>
        </w:rPr>
        <w:t xml:space="preserve">2.2 </w:t>
      </w:r>
      <w:bookmarkStart w:id="3" w:name="_Hlk99621423"/>
      <w:r w:rsidR="00B372B9" w:rsidRPr="00971AA6">
        <w:rPr>
          <w:rFonts w:ascii="Arial" w:hAnsi="Arial" w:cs="Arial"/>
          <w:b/>
          <w:bCs/>
          <w:color w:val="000000"/>
          <w:sz w:val="22"/>
        </w:rPr>
        <w:t>Definición</w:t>
      </w:r>
      <w:r w:rsidR="00B372B9" w:rsidRPr="00B372B9">
        <w:rPr>
          <w:rFonts w:ascii="Arial" w:hAnsi="Arial" w:cs="Arial"/>
          <w:b/>
          <w:bCs/>
          <w:color w:val="000000"/>
          <w:sz w:val="22"/>
        </w:rPr>
        <w:t xml:space="preserve"> del método de ponderación </w:t>
      </w:r>
      <w:r w:rsidR="00A707F2">
        <w:rPr>
          <w:rFonts w:ascii="Arial" w:hAnsi="Arial" w:cs="Arial"/>
          <w:b/>
          <w:bCs/>
          <w:color w:val="000000"/>
          <w:sz w:val="22"/>
        </w:rPr>
        <w:t xml:space="preserve">de las ofertas </w:t>
      </w:r>
      <w:r w:rsidR="00B372B9" w:rsidRPr="00B372B9">
        <w:rPr>
          <w:rFonts w:ascii="Arial" w:hAnsi="Arial" w:cs="Arial"/>
          <w:b/>
          <w:bCs/>
          <w:color w:val="000000"/>
          <w:sz w:val="22"/>
        </w:rPr>
        <w:t>económica</w:t>
      </w:r>
      <w:r w:rsidR="00A707F2">
        <w:rPr>
          <w:rFonts w:ascii="Arial" w:hAnsi="Arial" w:cs="Arial"/>
          <w:b/>
          <w:bCs/>
          <w:color w:val="000000"/>
          <w:sz w:val="22"/>
        </w:rPr>
        <w:t>s</w:t>
      </w:r>
      <w:r w:rsidR="00B372B9" w:rsidRPr="00B372B9">
        <w:rPr>
          <w:rFonts w:ascii="Arial" w:hAnsi="Arial" w:cs="Arial"/>
          <w:b/>
          <w:bCs/>
          <w:color w:val="000000"/>
          <w:sz w:val="22"/>
        </w:rPr>
        <w:t xml:space="preserve"> en los </w:t>
      </w:r>
      <w:r w:rsidR="00B372B9" w:rsidRPr="00B372B9">
        <w:rPr>
          <w:rFonts w:ascii="Arial" w:hAnsi="Arial" w:cs="Arial"/>
          <w:b/>
          <w:bCs/>
          <w:color w:val="000000" w:themeColor="text1"/>
          <w:sz w:val="22"/>
          <w:lang w:val="es-ES"/>
        </w:rPr>
        <w:t>documentos tipo</w:t>
      </w:r>
      <w:r w:rsidR="003A1A9F">
        <w:rPr>
          <w:rFonts w:ascii="Arial" w:hAnsi="Arial" w:cs="Arial"/>
          <w:b/>
          <w:bCs/>
          <w:color w:val="000000" w:themeColor="text1"/>
          <w:sz w:val="22"/>
          <w:lang w:val="es-ES"/>
        </w:rPr>
        <w:t xml:space="preserve"> </w:t>
      </w:r>
      <w:bookmarkEnd w:id="3"/>
      <w:r w:rsidR="00B22BA1">
        <w:rPr>
          <w:rFonts w:ascii="Arial" w:hAnsi="Arial" w:cs="Arial"/>
          <w:b/>
          <w:bCs/>
          <w:color w:val="000000" w:themeColor="text1"/>
          <w:sz w:val="22"/>
          <w:lang w:val="es-ES"/>
        </w:rPr>
        <w:t>de agua potable y saneamiento básico</w:t>
      </w:r>
    </w:p>
    <w:p w14:paraId="35D163DB" w14:textId="77777777" w:rsidR="009F202D" w:rsidRPr="00774793" w:rsidRDefault="009F202D" w:rsidP="00B34542">
      <w:pPr>
        <w:jc w:val="both"/>
        <w:rPr>
          <w:rFonts w:ascii="Arial" w:hAnsi="Arial" w:cs="Arial"/>
          <w:b/>
          <w:bCs/>
          <w:color w:val="000000" w:themeColor="text1"/>
          <w:sz w:val="22"/>
          <w:lang w:val="es-ES"/>
        </w:rPr>
      </w:pPr>
    </w:p>
    <w:p w14:paraId="2F2608E6" w14:textId="6FB7E3C8" w:rsidR="00B57623" w:rsidRDefault="00264977" w:rsidP="0037759E">
      <w:pPr>
        <w:spacing w:before="120" w:line="276" w:lineRule="auto"/>
        <w:jc w:val="both"/>
        <w:textAlignment w:val="baseline"/>
        <w:rPr>
          <w:rFonts w:ascii="Arial" w:eastAsia="Times New Roman" w:hAnsi="Arial" w:cs="Arial"/>
          <w:sz w:val="22"/>
          <w:lang w:eastAsia="es-CO"/>
        </w:rPr>
      </w:pPr>
      <w:r>
        <w:rPr>
          <w:rFonts w:ascii="Arial" w:eastAsia="Times New Roman" w:hAnsi="Arial" w:cs="Arial"/>
          <w:sz w:val="22"/>
          <w:lang w:eastAsia="es-CO"/>
        </w:rPr>
        <w:t>El</w:t>
      </w:r>
      <w:r w:rsidR="00C0790E" w:rsidRPr="00920DB9">
        <w:rPr>
          <w:rFonts w:ascii="Arial" w:eastAsia="Times New Roman" w:hAnsi="Arial" w:cs="Arial"/>
          <w:sz w:val="22"/>
          <w:lang w:eastAsia="es-CO"/>
        </w:rPr>
        <w:t xml:space="preserve"> numeral 4.1.4 </w:t>
      </w:r>
      <w:r w:rsidR="007C6C48">
        <w:rPr>
          <w:rFonts w:ascii="Arial" w:eastAsia="Times New Roman" w:hAnsi="Arial" w:cs="Arial"/>
          <w:sz w:val="22"/>
          <w:lang w:eastAsia="es-CO"/>
        </w:rPr>
        <w:t xml:space="preserve">del </w:t>
      </w:r>
      <w:r w:rsidR="009979BE">
        <w:rPr>
          <w:rFonts w:ascii="Arial" w:eastAsia="Times New Roman" w:hAnsi="Arial" w:cs="Arial"/>
          <w:sz w:val="22"/>
          <w:lang w:eastAsia="es-CO"/>
        </w:rPr>
        <w:t>D</w:t>
      </w:r>
      <w:r w:rsidR="007C6C48">
        <w:rPr>
          <w:rFonts w:ascii="Arial" w:eastAsia="Times New Roman" w:hAnsi="Arial" w:cs="Arial"/>
          <w:sz w:val="22"/>
          <w:lang w:eastAsia="es-CO"/>
        </w:rPr>
        <w:t xml:space="preserve">ocumento </w:t>
      </w:r>
      <w:r w:rsidR="0087467F">
        <w:rPr>
          <w:rFonts w:ascii="Arial" w:eastAsia="Times New Roman" w:hAnsi="Arial" w:cs="Arial"/>
          <w:sz w:val="22"/>
          <w:lang w:eastAsia="es-CO"/>
        </w:rPr>
        <w:t>B</w:t>
      </w:r>
      <w:r w:rsidR="007C6C48">
        <w:rPr>
          <w:rFonts w:ascii="Arial" w:eastAsia="Times New Roman" w:hAnsi="Arial" w:cs="Arial"/>
          <w:sz w:val="22"/>
          <w:lang w:eastAsia="es-CO"/>
        </w:rPr>
        <w:t xml:space="preserve">ase </w:t>
      </w:r>
      <w:r w:rsidR="00BD56BA">
        <w:rPr>
          <w:rFonts w:ascii="Arial" w:eastAsia="Times New Roman" w:hAnsi="Arial" w:cs="Arial"/>
          <w:sz w:val="22"/>
          <w:lang w:eastAsia="es-CO"/>
        </w:rPr>
        <w:t xml:space="preserve">de </w:t>
      </w:r>
      <w:r w:rsidR="009539F4">
        <w:rPr>
          <w:rFonts w:ascii="Arial" w:eastAsia="Times New Roman" w:hAnsi="Arial" w:cs="Arial"/>
          <w:sz w:val="22"/>
          <w:lang w:eastAsia="es-CO"/>
        </w:rPr>
        <w:t xml:space="preserve">licitación de obra pública de infraestructura de agua potable y saneamiento básico, </w:t>
      </w:r>
      <w:r w:rsidR="006C2947" w:rsidRPr="00FA347E">
        <w:rPr>
          <w:rFonts w:ascii="Arial" w:eastAsia="Calibri" w:hAnsi="Arial" w:cs="Arial"/>
          <w:sz w:val="22"/>
        </w:rPr>
        <w:t xml:space="preserve">señala los métodos de ponderación de la </w:t>
      </w:r>
      <w:r w:rsidR="006C2947">
        <w:rPr>
          <w:rFonts w:ascii="Arial" w:eastAsia="Calibri" w:hAnsi="Arial" w:cs="Arial"/>
          <w:sz w:val="22"/>
        </w:rPr>
        <w:t>experiencia del proponente</w:t>
      </w:r>
      <w:r w:rsidR="006C2947" w:rsidRPr="00FA347E">
        <w:rPr>
          <w:rFonts w:ascii="Arial" w:eastAsia="Calibri" w:hAnsi="Arial" w:cs="Arial"/>
          <w:sz w:val="22"/>
        </w:rPr>
        <w:t xml:space="preserve"> presentando </w:t>
      </w:r>
      <w:r w:rsidR="004C4855">
        <w:rPr>
          <w:rFonts w:ascii="Arial" w:eastAsia="Calibri" w:hAnsi="Arial" w:cs="Arial"/>
          <w:sz w:val="22"/>
        </w:rPr>
        <w:t>cuatro (</w:t>
      </w:r>
      <w:r w:rsidR="006C2947" w:rsidRPr="00FA347E">
        <w:rPr>
          <w:rFonts w:ascii="Arial" w:eastAsia="Calibri" w:hAnsi="Arial" w:cs="Arial"/>
          <w:sz w:val="22"/>
        </w:rPr>
        <w:t>4</w:t>
      </w:r>
      <w:r w:rsidR="004C4855">
        <w:rPr>
          <w:rFonts w:ascii="Arial" w:eastAsia="Calibri" w:hAnsi="Arial" w:cs="Arial"/>
          <w:sz w:val="22"/>
        </w:rPr>
        <w:t>)</w:t>
      </w:r>
      <w:r w:rsidR="006C2947" w:rsidRPr="00FA347E">
        <w:rPr>
          <w:rFonts w:ascii="Arial" w:eastAsia="Calibri" w:hAnsi="Arial" w:cs="Arial"/>
          <w:sz w:val="22"/>
        </w:rPr>
        <w:t xml:space="preserve"> alternativas: i) mediana con valor absoluto, ii) media geométrica, </w:t>
      </w:r>
      <w:proofErr w:type="spellStart"/>
      <w:r w:rsidR="006C2947" w:rsidRPr="00FA347E">
        <w:rPr>
          <w:rFonts w:ascii="Arial" w:eastAsia="Calibri" w:hAnsi="Arial" w:cs="Arial"/>
          <w:sz w:val="22"/>
        </w:rPr>
        <w:t>iii</w:t>
      </w:r>
      <w:proofErr w:type="spellEnd"/>
      <w:r w:rsidR="006C2947" w:rsidRPr="00FA347E">
        <w:rPr>
          <w:rFonts w:ascii="Arial" w:eastAsia="Calibri" w:hAnsi="Arial" w:cs="Arial"/>
          <w:sz w:val="22"/>
        </w:rPr>
        <w:t xml:space="preserve">) media aritmética baja y </w:t>
      </w:r>
      <w:proofErr w:type="spellStart"/>
      <w:r w:rsidR="006C2947" w:rsidRPr="00FA347E">
        <w:rPr>
          <w:rFonts w:ascii="Arial" w:eastAsia="Calibri" w:hAnsi="Arial" w:cs="Arial"/>
          <w:sz w:val="22"/>
        </w:rPr>
        <w:t>iv</w:t>
      </w:r>
      <w:proofErr w:type="spellEnd"/>
      <w:r w:rsidR="006C2947" w:rsidRPr="00FA347E">
        <w:rPr>
          <w:rFonts w:ascii="Arial" w:eastAsia="Calibri" w:hAnsi="Arial" w:cs="Arial"/>
          <w:sz w:val="22"/>
        </w:rPr>
        <w:t xml:space="preserve">) </w:t>
      </w:r>
      <w:r w:rsidR="00F15CF2">
        <w:rPr>
          <w:rFonts w:ascii="Arial" w:eastAsia="Calibri" w:hAnsi="Arial" w:cs="Arial"/>
          <w:sz w:val="22"/>
        </w:rPr>
        <w:t>menor valor</w:t>
      </w:r>
      <w:r w:rsidR="00561969">
        <w:rPr>
          <w:rFonts w:ascii="Arial" w:eastAsia="Times New Roman" w:hAnsi="Arial" w:cs="Arial"/>
          <w:sz w:val="22"/>
          <w:lang w:eastAsia="es-CO"/>
        </w:rPr>
        <w:t>. Estos métodos</w:t>
      </w:r>
      <w:r w:rsidR="00C0790E" w:rsidRPr="00920DB9">
        <w:rPr>
          <w:rFonts w:ascii="Arial" w:eastAsia="Times New Roman" w:hAnsi="Arial" w:cs="Arial"/>
          <w:sz w:val="22"/>
          <w:lang w:eastAsia="es-CO"/>
        </w:rPr>
        <w:t xml:space="preserve"> deben aplicarse de manera aleatoria según los centavos de la TRM publicada por la </w:t>
      </w:r>
      <w:r w:rsidR="00F30BC4" w:rsidRPr="00920DB9">
        <w:rPr>
          <w:rFonts w:ascii="Arial" w:eastAsia="Times New Roman" w:hAnsi="Arial" w:cs="Arial"/>
          <w:sz w:val="22"/>
          <w:lang w:eastAsia="es-CO"/>
        </w:rPr>
        <w:t>Super</w:t>
      </w:r>
      <w:r w:rsidR="00F30BC4">
        <w:rPr>
          <w:rFonts w:ascii="Arial" w:eastAsia="Times New Roman" w:hAnsi="Arial" w:cs="Arial"/>
          <w:sz w:val="22"/>
          <w:lang w:eastAsia="es-CO"/>
        </w:rPr>
        <w:t>intendencia F</w:t>
      </w:r>
      <w:r w:rsidR="00C0790E" w:rsidRPr="00920DB9">
        <w:rPr>
          <w:rFonts w:ascii="Arial" w:eastAsia="Times New Roman" w:hAnsi="Arial" w:cs="Arial"/>
          <w:sz w:val="22"/>
          <w:lang w:eastAsia="es-CO"/>
        </w:rPr>
        <w:t xml:space="preserve">inanciera. </w:t>
      </w:r>
      <w:r w:rsidR="00F30BC4">
        <w:rPr>
          <w:rFonts w:ascii="Arial" w:eastAsia="Times New Roman" w:hAnsi="Arial" w:cs="Arial"/>
          <w:sz w:val="22"/>
          <w:lang w:eastAsia="es-CO"/>
        </w:rPr>
        <w:t xml:space="preserve">Al respecto, </w:t>
      </w:r>
      <w:r w:rsidR="00EE2C9B">
        <w:rPr>
          <w:rFonts w:ascii="Arial" w:eastAsia="Times New Roman" w:hAnsi="Arial" w:cs="Arial"/>
          <w:sz w:val="22"/>
          <w:lang w:eastAsia="es-CO"/>
        </w:rPr>
        <w:t xml:space="preserve">el documento base señala lo siguiente: </w:t>
      </w:r>
    </w:p>
    <w:p w14:paraId="59C15F7A" w14:textId="77777777" w:rsidR="00BB23FA" w:rsidRDefault="00BB23FA" w:rsidP="00551D21">
      <w:pPr>
        <w:spacing w:line="276" w:lineRule="auto"/>
        <w:jc w:val="both"/>
        <w:textAlignment w:val="baseline"/>
        <w:rPr>
          <w:rFonts w:ascii="Arial" w:eastAsia="Times New Roman" w:hAnsi="Arial" w:cs="Arial"/>
          <w:sz w:val="22"/>
          <w:lang w:eastAsia="es-CO"/>
        </w:rPr>
      </w:pPr>
    </w:p>
    <w:p w14:paraId="06B8AD5D" w14:textId="4F00ADCB" w:rsidR="00A91479" w:rsidRPr="008821DA" w:rsidRDefault="00A91479" w:rsidP="00B41D9C">
      <w:pPr>
        <w:tabs>
          <w:tab w:val="left" w:pos="1860"/>
        </w:tabs>
        <w:spacing w:after="200"/>
        <w:ind w:left="709" w:right="709"/>
        <w:jc w:val="both"/>
        <w:rPr>
          <w:rFonts w:ascii="Arial" w:eastAsia="Arial,Calibri" w:hAnsi="Arial" w:cs="Arial"/>
          <w:sz w:val="21"/>
          <w:szCs w:val="21"/>
          <w:lang w:val="es-CO"/>
        </w:rPr>
      </w:pPr>
      <w:r w:rsidRPr="00A91479">
        <w:rPr>
          <w:rFonts w:ascii="Arial" w:hAnsi="Arial" w:cs="Arial"/>
          <w:sz w:val="21"/>
          <w:szCs w:val="21"/>
          <w:lang w:val="es-CO"/>
        </w:rPr>
        <w:t>La</w:t>
      </w:r>
      <w:r w:rsidRPr="00A91479">
        <w:rPr>
          <w:rFonts w:ascii="Arial" w:eastAsia="Arial,Calibri" w:hAnsi="Arial" w:cs="Arial"/>
          <w:sz w:val="21"/>
          <w:szCs w:val="21"/>
          <w:lang w:val="es-CO"/>
        </w:rPr>
        <w:t xml:space="preserve"> </w:t>
      </w:r>
      <w:r w:rsidRPr="00A91479">
        <w:rPr>
          <w:rFonts w:ascii="Arial" w:hAnsi="Arial" w:cs="Arial"/>
          <w:sz w:val="21"/>
          <w:szCs w:val="21"/>
          <w:lang w:val="es-CO"/>
        </w:rPr>
        <w:t>Entidad</w:t>
      </w:r>
      <w:r w:rsidRPr="00A91479">
        <w:rPr>
          <w:rFonts w:ascii="Arial" w:eastAsia="Arial,Calibri" w:hAnsi="Arial" w:cs="Arial"/>
          <w:sz w:val="21"/>
          <w:szCs w:val="21"/>
          <w:lang w:val="es-CO"/>
        </w:rPr>
        <w:t xml:space="preserve"> </w:t>
      </w:r>
      <w:r w:rsidRPr="00A91479">
        <w:rPr>
          <w:rFonts w:ascii="Arial" w:hAnsi="Arial" w:cs="Arial"/>
          <w:sz w:val="21"/>
          <w:szCs w:val="21"/>
          <w:lang w:val="es-CO"/>
        </w:rPr>
        <w:t>seleccionará</w:t>
      </w:r>
      <w:r w:rsidRPr="00A91479">
        <w:rPr>
          <w:rFonts w:ascii="Arial" w:eastAsia="Arial,Calibri" w:hAnsi="Arial" w:cs="Arial"/>
          <w:sz w:val="21"/>
          <w:szCs w:val="21"/>
          <w:lang w:val="es-CO"/>
        </w:rPr>
        <w:t xml:space="preserve"> </w:t>
      </w:r>
      <w:r w:rsidRPr="00A91479">
        <w:rPr>
          <w:rFonts w:ascii="Arial" w:hAnsi="Arial" w:cs="Arial"/>
          <w:sz w:val="21"/>
          <w:szCs w:val="21"/>
          <w:lang w:val="es-CO"/>
        </w:rPr>
        <w:t>el</w:t>
      </w:r>
      <w:r w:rsidRPr="00A91479">
        <w:rPr>
          <w:rFonts w:ascii="Arial" w:eastAsia="Arial,Calibri" w:hAnsi="Arial" w:cs="Arial"/>
          <w:sz w:val="21"/>
          <w:szCs w:val="21"/>
          <w:lang w:val="es-CO"/>
        </w:rPr>
        <w:t xml:space="preserve"> </w:t>
      </w:r>
      <w:r w:rsidRPr="00A91479">
        <w:rPr>
          <w:rFonts w:ascii="Arial" w:hAnsi="Arial" w:cs="Arial"/>
          <w:sz w:val="21"/>
          <w:szCs w:val="21"/>
          <w:lang w:val="es-CO"/>
        </w:rPr>
        <w:t>método</w:t>
      </w:r>
      <w:r w:rsidRPr="00A91479">
        <w:rPr>
          <w:rFonts w:ascii="Arial" w:eastAsia="Arial,Calibri" w:hAnsi="Arial" w:cs="Arial"/>
          <w:sz w:val="21"/>
          <w:szCs w:val="21"/>
          <w:lang w:val="es-CO"/>
        </w:rPr>
        <w:t xml:space="preserve"> </w:t>
      </w:r>
      <w:r w:rsidRPr="00A91479">
        <w:rPr>
          <w:rFonts w:ascii="Arial" w:hAnsi="Arial" w:cs="Arial"/>
          <w:sz w:val="21"/>
          <w:szCs w:val="21"/>
          <w:lang w:val="es-CO"/>
        </w:rPr>
        <w:t>de</w:t>
      </w:r>
      <w:r w:rsidRPr="00A91479">
        <w:rPr>
          <w:rFonts w:ascii="Arial" w:eastAsia="Arial,Calibri" w:hAnsi="Arial" w:cs="Arial"/>
          <w:sz w:val="21"/>
          <w:szCs w:val="21"/>
          <w:lang w:val="es-CO"/>
        </w:rPr>
        <w:t xml:space="preserve"> </w:t>
      </w:r>
      <w:r w:rsidRPr="00A91479">
        <w:rPr>
          <w:rFonts w:ascii="Arial" w:hAnsi="Arial" w:cs="Arial"/>
          <w:sz w:val="21"/>
          <w:szCs w:val="21"/>
          <w:lang w:val="es-CO"/>
        </w:rPr>
        <w:t>ponderación</w:t>
      </w:r>
      <w:r w:rsidRPr="00A91479">
        <w:rPr>
          <w:rFonts w:ascii="Arial" w:eastAsia="Arial,Calibri" w:hAnsi="Arial" w:cs="Arial"/>
          <w:sz w:val="21"/>
          <w:szCs w:val="21"/>
          <w:lang w:val="es-CO"/>
        </w:rPr>
        <w:t xml:space="preserve"> </w:t>
      </w:r>
      <w:r w:rsidRPr="00A91479">
        <w:rPr>
          <w:rFonts w:ascii="Arial" w:hAnsi="Arial" w:cs="Arial"/>
          <w:sz w:val="21"/>
          <w:szCs w:val="21"/>
          <w:lang w:val="es-CO"/>
        </w:rPr>
        <w:t>de</w:t>
      </w:r>
      <w:r w:rsidRPr="00A91479">
        <w:rPr>
          <w:rFonts w:ascii="Arial" w:eastAsia="Arial,Calibri" w:hAnsi="Arial" w:cs="Arial"/>
          <w:sz w:val="21"/>
          <w:szCs w:val="21"/>
          <w:lang w:val="es-CO"/>
        </w:rPr>
        <w:t xml:space="preserve"> </w:t>
      </w:r>
      <w:r w:rsidRPr="00A91479">
        <w:rPr>
          <w:rFonts w:ascii="Arial" w:hAnsi="Arial" w:cs="Arial"/>
          <w:sz w:val="21"/>
          <w:szCs w:val="21"/>
          <w:lang w:val="es-CO"/>
        </w:rPr>
        <w:t>la</w:t>
      </w:r>
      <w:r w:rsidRPr="00A91479">
        <w:rPr>
          <w:rFonts w:ascii="Arial" w:eastAsia="Arial,Calibri" w:hAnsi="Arial" w:cs="Arial"/>
          <w:sz w:val="21"/>
          <w:szCs w:val="21"/>
          <w:lang w:val="es-CO"/>
        </w:rPr>
        <w:t xml:space="preserve"> </w:t>
      </w:r>
      <w:r w:rsidRPr="00A91479">
        <w:rPr>
          <w:rFonts w:ascii="Arial" w:hAnsi="Arial" w:cs="Arial"/>
          <w:sz w:val="21"/>
          <w:szCs w:val="21"/>
          <w:lang w:val="es-CO"/>
        </w:rPr>
        <w:t>propuesta</w:t>
      </w:r>
      <w:r w:rsidRPr="00A91479">
        <w:rPr>
          <w:rFonts w:ascii="Arial" w:eastAsia="Arial,Calibri" w:hAnsi="Arial" w:cs="Arial"/>
          <w:sz w:val="21"/>
          <w:szCs w:val="21"/>
          <w:lang w:val="es-CO"/>
        </w:rPr>
        <w:t xml:space="preserve"> </w:t>
      </w:r>
      <w:r w:rsidRPr="00A91479">
        <w:rPr>
          <w:rFonts w:ascii="Arial" w:hAnsi="Arial" w:cs="Arial"/>
          <w:sz w:val="21"/>
          <w:szCs w:val="21"/>
          <w:lang w:val="es-CO"/>
        </w:rPr>
        <w:t>económica</w:t>
      </w:r>
      <w:r w:rsidRPr="00A91479">
        <w:rPr>
          <w:rFonts w:ascii="Arial" w:eastAsia="Arial,Calibri" w:hAnsi="Arial" w:cs="Arial"/>
          <w:sz w:val="21"/>
          <w:szCs w:val="21"/>
          <w:lang w:val="es-CO"/>
        </w:rPr>
        <w:t xml:space="preserve"> </w:t>
      </w:r>
      <w:r w:rsidRPr="00A91479">
        <w:rPr>
          <w:rFonts w:ascii="Arial" w:hAnsi="Arial" w:cs="Arial"/>
          <w:sz w:val="21"/>
          <w:szCs w:val="21"/>
          <w:lang w:val="es-CO"/>
        </w:rPr>
        <w:t>de</w:t>
      </w:r>
      <w:r w:rsidRPr="00A91479">
        <w:rPr>
          <w:rFonts w:ascii="Arial" w:eastAsia="Arial,Calibri" w:hAnsi="Arial" w:cs="Arial"/>
          <w:sz w:val="21"/>
          <w:szCs w:val="21"/>
          <w:lang w:val="es-CO"/>
        </w:rPr>
        <w:t xml:space="preserve"> </w:t>
      </w:r>
      <w:r w:rsidRPr="00A91479">
        <w:rPr>
          <w:rFonts w:ascii="Arial" w:hAnsi="Arial" w:cs="Arial"/>
          <w:sz w:val="21"/>
          <w:szCs w:val="21"/>
          <w:lang w:val="es-CO"/>
        </w:rPr>
        <w:t>acuerdo</w:t>
      </w:r>
      <w:r w:rsidRPr="00A91479">
        <w:rPr>
          <w:rFonts w:ascii="Arial" w:eastAsia="Arial,Calibri" w:hAnsi="Arial" w:cs="Arial"/>
          <w:sz w:val="21"/>
          <w:szCs w:val="21"/>
          <w:lang w:val="es-CO"/>
        </w:rPr>
        <w:t xml:space="preserve"> </w:t>
      </w:r>
      <w:r w:rsidRPr="00A91479">
        <w:rPr>
          <w:rFonts w:ascii="Arial" w:hAnsi="Arial" w:cs="Arial"/>
          <w:sz w:val="21"/>
          <w:szCs w:val="21"/>
          <w:lang w:val="es-CO"/>
        </w:rPr>
        <w:t>con</w:t>
      </w:r>
      <w:r w:rsidRPr="00A91479">
        <w:rPr>
          <w:rFonts w:ascii="Arial" w:eastAsia="Arial,Calibri" w:hAnsi="Arial" w:cs="Arial"/>
          <w:sz w:val="21"/>
          <w:szCs w:val="21"/>
          <w:lang w:val="es-CO"/>
        </w:rPr>
        <w:t xml:space="preserve"> </w:t>
      </w:r>
      <w:r w:rsidRPr="00A91479">
        <w:rPr>
          <w:rFonts w:ascii="Arial" w:hAnsi="Arial" w:cs="Arial"/>
          <w:sz w:val="21"/>
          <w:szCs w:val="21"/>
          <w:lang w:val="es-CO"/>
        </w:rPr>
        <w:t>las</w:t>
      </w:r>
      <w:r w:rsidRPr="00A91479">
        <w:rPr>
          <w:rFonts w:ascii="Arial" w:eastAsia="Arial,Calibri" w:hAnsi="Arial" w:cs="Arial"/>
          <w:sz w:val="21"/>
          <w:szCs w:val="21"/>
          <w:lang w:val="es-CO"/>
        </w:rPr>
        <w:t xml:space="preserve"> </w:t>
      </w:r>
      <w:r w:rsidRPr="00A91479">
        <w:rPr>
          <w:rFonts w:ascii="Arial" w:hAnsi="Arial" w:cs="Arial"/>
          <w:sz w:val="21"/>
          <w:szCs w:val="21"/>
          <w:lang w:val="es-CO"/>
        </w:rPr>
        <w:t>siguientes alternativas:</w:t>
      </w:r>
      <w:r w:rsidRPr="00A91479">
        <w:rPr>
          <w:rFonts w:ascii="Arial" w:eastAsia="Arial,Calibri" w:hAnsi="Arial" w:cs="Arial"/>
          <w:sz w:val="21"/>
          <w:szCs w:val="21"/>
          <w:lang w:val="es-CO"/>
        </w:rPr>
        <w:t xml:space="preserve"> </w:t>
      </w:r>
    </w:p>
    <w:tbl>
      <w:tblPr>
        <w:tblStyle w:val="Tablaconcuadrcula2"/>
        <w:tblW w:w="0" w:type="auto"/>
        <w:jc w:val="center"/>
        <w:tblLook w:val="04A0" w:firstRow="1" w:lastRow="0" w:firstColumn="1" w:lastColumn="0" w:noHBand="0" w:noVBand="1"/>
      </w:tblPr>
      <w:tblGrid>
        <w:gridCol w:w="1139"/>
        <w:gridCol w:w="2425"/>
      </w:tblGrid>
      <w:tr w:rsidR="008821DA" w:rsidRPr="008821DA" w14:paraId="5B6D3B56" w14:textId="77777777" w:rsidTr="00977182">
        <w:trPr>
          <w:trHeight w:val="20"/>
          <w:jc w:val="center"/>
        </w:trPr>
        <w:tc>
          <w:tcPr>
            <w:tcW w:w="1119"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29DDCE09" w14:textId="77777777" w:rsidR="008821DA" w:rsidRPr="008821DA" w:rsidRDefault="008821DA" w:rsidP="008821DA">
            <w:pPr>
              <w:spacing w:line="276" w:lineRule="auto"/>
              <w:jc w:val="center"/>
              <w:rPr>
                <w:rFonts w:ascii="Arial" w:hAnsi="Arial" w:cs="Arial"/>
                <w:b/>
                <w:bCs/>
                <w:color w:val="FFFFFF" w:themeColor="background1"/>
                <w:sz w:val="20"/>
                <w:szCs w:val="20"/>
                <w:lang w:val="es-CO"/>
              </w:rPr>
            </w:pPr>
            <w:bookmarkStart w:id="4" w:name="_Hlk511666058"/>
            <w:r w:rsidRPr="008821DA">
              <w:rPr>
                <w:rFonts w:ascii="Arial" w:hAnsi="Arial" w:cs="Arial"/>
                <w:b/>
                <w:bCs/>
                <w:color w:val="FFFFFF" w:themeColor="background1"/>
                <w:sz w:val="20"/>
                <w:szCs w:val="20"/>
                <w:lang w:val="es-CO"/>
              </w:rPr>
              <w:t>Concepto</w:t>
            </w:r>
          </w:p>
        </w:tc>
        <w:tc>
          <w:tcPr>
            <w:tcW w:w="2425"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3D35FE65" w14:textId="77777777" w:rsidR="008821DA" w:rsidRPr="008821DA" w:rsidRDefault="008821DA" w:rsidP="008821DA">
            <w:pPr>
              <w:spacing w:line="276" w:lineRule="auto"/>
              <w:jc w:val="center"/>
              <w:rPr>
                <w:rFonts w:ascii="Arial" w:hAnsi="Arial" w:cs="Arial"/>
                <w:b/>
                <w:bCs/>
                <w:color w:val="FFFFFF" w:themeColor="background1"/>
                <w:sz w:val="20"/>
                <w:szCs w:val="20"/>
                <w:lang w:val="es-CO"/>
              </w:rPr>
            </w:pPr>
            <w:r w:rsidRPr="008821DA">
              <w:rPr>
                <w:rFonts w:ascii="Arial" w:hAnsi="Arial" w:cs="Arial"/>
                <w:b/>
                <w:bCs/>
                <w:color w:val="FFFFFF" w:themeColor="background1"/>
                <w:sz w:val="20"/>
                <w:szCs w:val="20"/>
                <w:lang w:val="es-CO"/>
              </w:rPr>
              <w:t>Método</w:t>
            </w:r>
          </w:p>
        </w:tc>
      </w:tr>
      <w:tr w:rsidR="008821DA" w:rsidRPr="008821DA" w14:paraId="74C3B4CA" w14:textId="77777777" w:rsidTr="00977182">
        <w:trPr>
          <w:trHeight w:val="20"/>
          <w:jc w:val="center"/>
        </w:trPr>
        <w:tc>
          <w:tcPr>
            <w:tcW w:w="1119" w:type="dxa"/>
            <w:tcBorders>
              <w:top w:val="single" w:sz="4" w:space="0" w:color="auto"/>
              <w:left w:val="double" w:sz="4" w:space="0" w:color="auto"/>
              <w:bottom w:val="single" w:sz="4" w:space="0" w:color="auto"/>
              <w:right w:val="single" w:sz="4" w:space="0" w:color="auto"/>
            </w:tcBorders>
            <w:vAlign w:val="center"/>
            <w:hideMark/>
          </w:tcPr>
          <w:p w14:paraId="088A397F" w14:textId="77777777" w:rsidR="008821DA" w:rsidRPr="008821DA" w:rsidRDefault="008821DA" w:rsidP="008821DA">
            <w:pPr>
              <w:spacing w:line="276" w:lineRule="auto"/>
              <w:jc w:val="center"/>
              <w:rPr>
                <w:rFonts w:ascii="Arial" w:hAnsi="Arial" w:cs="Arial"/>
                <w:sz w:val="20"/>
                <w:szCs w:val="20"/>
                <w:lang w:val="es-ES"/>
              </w:rPr>
            </w:pPr>
            <w:r w:rsidRPr="008821DA">
              <w:rPr>
                <w:rFonts w:ascii="Arial" w:hAnsi="Arial" w:cs="Arial"/>
                <w:sz w:val="20"/>
                <w:szCs w:val="20"/>
                <w:lang w:val="es-ES"/>
              </w:rPr>
              <w:t>1</w:t>
            </w:r>
          </w:p>
        </w:tc>
        <w:tc>
          <w:tcPr>
            <w:tcW w:w="2425" w:type="dxa"/>
            <w:tcBorders>
              <w:top w:val="single" w:sz="4" w:space="0" w:color="auto"/>
              <w:left w:val="single" w:sz="4" w:space="0" w:color="auto"/>
              <w:bottom w:val="single" w:sz="4" w:space="0" w:color="auto"/>
              <w:right w:val="double" w:sz="4" w:space="0" w:color="auto"/>
            </w:tcBorders>
            <w:vAlign w:val="center"/>
            <w:hideMark/>
          </w:tcPr>
          <w:p w14:paraId="39CC7C27" w14:textId="77777777" w:rsidR="008821DA" w:rsidRPr="008821DA" w:rsidRDefault="008821DA" w:rsidP="008821DA">
            <w:pPr>
              <w:spacing w:line="276" w:lineRule="auto"/>
              <w:rPr>
                <w:rFonts w:ascii="Arial" w:hAnsi="Arial" w:cs="Arial"/>
                <w:sz w:val="20"/>
                <w:szCs w:val="20"/>
                <w:lang w:val="es-ES"/>
              </w:rPr>
            </w:pPr>
            <w:r w:rsidRPr="008821DA">
              <w:rPr>
                <w:rFonts w:ascii="Arial" w:hAnsi="Arial" w:cs="Arial"/>
                <w:sz w:val="20"/>
                <w:szCs w:val="20"/>
                <w:lang w:val="es-ES"/>
              </w:rPr>
              <w:t>Mediana con valor absoluto</w:t>
            </w:r>
          </w:p>
        </w:tc>
      </w:tr>
      <w:tr w:rsidR="008821DA" w:rsidRPr="008821DA" w14:paraId="286FD892" w14:textId="77777777" w:rsidTr="00977182">
        <w:trPr>
          <w:trHeight w:val="20"/>
          <w:jc w:val="center"/>
        </w:trPr>
        <w:tc>
          <w:tcPr>
            <w:tcW w:w="1119" w:type="dxa"/>
            <w:tcBorders>
              <w:top w:val="single" w:sz="4" w:space="0" w:color="auto"/>
              <w:left w:val="double" w:sz="4" w:space="0" w:color="auto"/>
              <w:bottom w:val="single" w:sz="4" w:space="0" w:color="auto"/>
              <w:right w:val="single" w:sz="4" w:space="0" w:color="auto"/>
            </w:tcBorders>
            <w:vAlign w:val="center"/>
            <w:hideMark/>
          </w:tcPr>
          <w:p w14:paraId="12FB944F" w14:textId="77777777" w:rsidR="008821DA" w:rsidRPr="008821DA" w:rsidRDefault="008821DA" w:rsidP="008821DA">
            <w:pPr>
              <w:spacing w:line="276" w:lineRule="auto"/>
              <w:jc w:val="center"/>
              <w:rPr>
                <w:rFonts w:ascii="Arial" w:hAnsi="Arial" w:cs="Arial"/>
                <w:sz w:val="20"/>
                <w:szCs w:val="20"/>
                <w:lang w:val="es-ES"/>
              </w:rPr>
            </w:pPr>
            <w:r w:rsidRPr="008821DA">
              <w:rPr>
                <w:rFonts w:ascii="Arial" w:hAnsi="Arial" w:cs="Arial"/>
                <w:sz w:val="20"/>
                <w:szCs w:val="20"/>
                <w:lang w:val="es-ES"/>
              </w:rPr>
              <w:t>2</w:t>
            </w:r>
          </w:p>
        </w:tc>
        <w:tc>
          <w:tcPr>
            <w:tcW w:w="2425" w:type="dxa"/>
            <w:tcBorders>
              <w:top w:val="single" w:sz="4" w:space="0" w:color="auto"/>
              <w:left w:val="single" w:sz="4" w:space="0" w:color="auto"/>
              <w:bottom w:val="single" w:sz="4" w:space="0" w:color="auto"/>
              <w:right w:val="double" w:sz="4" w:space="0" w:color="auto"/>
            </w:tcBorders>
            <w:vAlign w:val="center"/>
            <w:hideMark/>
          </w:tcPr>
          <w:p w14:paraId="587555F7" w14:textId="77777777" w:rsidR="008821DA" w:rsidRPr="008821DA" w:rsidRDefault="008821DA" w:rsidP="008821DA">
            <w:pPr>
              <w:spacing w:line="276" w:lineRule="auto"/>
              <w:rPr>
                <w:rFonts w:ascii="Arial" w:hAnsi="Arial" w:cs="Arial"/>
                <w:sz w:val="20"/>
                <w:szCs w:val="20"/>
                <w:lang w:val="es-ES"/>
              </w:rPr>
            </w:pPr>
            <w:r w:rsidRPr="008821DA">
              <w:rPr>
                <w:rFonts w:ascii="Arial" w:hAnsi="Arial" w:cs="Arial"/>
                <w:sz w:val="20"/>
                <w:szCs w:val="20"/>
                <w:lang w:val="es-ES"/>
              </w:rPr>
              <w:t>Media geométrica</w:t>
            </w:r>
          </w:p>
        </w:tc>
      </w:tr>
      <w:tr w:rsidR="008821DA" w:rsidRPr="008821DA" w14:paraId="5004BAD0" w14:textId="77777777" w:rsidTr="00977182">
        <w:trPr>
          <w:trHeight w:val="20"/>
          <w:jc w:val="center"/>
        </w:trPr>
        <w:tc>
          <w:tcPr>
            <w:tcW w:w="1119" w:type="dxa"/>
            <w:tcBorders>
              <w:top w:val="single" w:sz="4" w:space="0" w:color="auto"/>
              <w:left w:val="double" w:sz="4" w:space="0" w:color="auto"/>
              <w:bottom w:val="single" w:sz="4" w:space="0" w:color="auto"/>
              <w:right w:val="single" w:sz="4" w:space="0" w:color="auto"/>
            </w:tcBorders>
            <w:vAlign w:val="center"/>
          </w:tcPr>
          <w:p w14:paraId="65D42BD5" w14:textId="77777777" w:rsidR="008821DA" w:rsidRPr="008821DA" w:rsidRDefault="008821DA" w:rsidP="008821DA">
            <w:pPr>
              <w:spacing w:line="276" w:lineRule="auto"/>
              <w:jc w:val="center"/>
              <w:rPr>
                <w:rFonts w:ascii="Arial" w:hAnsi="Arial" w:cs="Arial"/>
                <w:sz w:val="20"/>
                <w:szCs w:val="20"/>
                <w:lang w:val="es-ES"/>
              </w:rPr>
            </w:pPr>
            <w:r w:rsidRPr="008821DA">
              <w:rPr>
                <w:rFonts w:ascii="Arial" w:hAnsi="Arial" w:cs="Arial"/>
                <w:sz w:val="20"/>
                <w:szCs w:val="20"/>
                <w:lang w:val="es-ES"/>
              </w:rPr>
              <w:t>3</w:t>
            </w:r>
          </w:p>
        </w:tc>
        <w:tc>
          <w:tcPr>
            <w:tcW w:w="2425" w:type="dxa"/>
            <w:tcBorders>
              <w:top w:val="single" w:sz="4" w:space="0" w:color="auto"/>
              <w:left w:val="single" w:sz="4" w:space="0" w:color="auto"/>
              <w:bottom w:val="single" w:sz="4" w:space="0" w:color="auto"/>
              <w:right w:val="double" w:sz="4" w:space="0" w:color="auto"/>
            </w:tcBorders>
            <w:vAlign w:val="center"/>
          </w:tcPr>
          <w:p w14:paraId="17A27F92" w14:textId="77777777" w:rsidR="008821DA" w:rsidRPr="008821DA" w:rsidRDefault="008821DA" w:rsidP="008821DA">
            <w:pPr>
              <w:spacing w:line="276" w:lineRule="auto"/>
              <w:rPr>
                <w:rFonts w:ascii="Arial" w:hAnsi="Arial" w:cs="Arial"/>
                <w:sz w:val="20"/>
                <w:szCs w:val="20"/>
                <w:lang w:val="es-ES"/>
              </w:rPr>
            </w:pPr>
            <w:r w:rsidRPr="008821DA">
              <w:rPr>
                <w:rFonts w:ascii="Arial" w:hAnsi="Arial" w:cs="Arial"/>
                <w:sz w:val="20"/>
                <w:szCs w:val="20"/>
                <w:lang w:val="es-ES"/>
              </w:rPr>
              <w:t>Media aritmética baja</w:t>
            </w:r>
          </w:p>
        </w:tc>
      </w:tr>
      <w:tr w:rsidR="008821DA" w:rsidRPr="008821DA" w14:paraId="188DBA1A" w14:textId="77777777" w:rsidTr="00977182">
        <w:trPr>
          <w:trHeight w:val="20"/>
          <w:jc w:val="center"/>
        </w:trPr>
        <w:tc>
          <w:tcPr>
            <w:tcW w:w="1119" w:type="dxa"/>
            <w:tcBorders>
              <w:top w:val="single" w:sz="4" w:space="0" w:color="auto"/>
              <w:left w:val="double" w:sz="4" w:space="0" w:color="auto"/>
              <w:bottom w:val="double" w:sz="4" w:space="0" w:color="auto"/>
              <w:right w:val="single" w:sz="4" w:space="0" w:color="auto"/>
            </w:tcBorders>
            <w:vAlign w:val="center"/>
          </w:tcPr>
          <w:p w14:paraId="607F8EEF" w14:textId="77777777" w:rsidR="008821DA" w:rsidRPr="008821DA" w:rsidRDefault="008821DA" w:rsidP="008821DA">
            <w:pPr>
              <w:spacing w:line="276" w:lineRule="auto"/>
              <w:jc w:val="center"/>
              <w:rPr>
                <w:rFonts w:ascii="Arial" w:hAnsi="Arial" w:cs="Arial"/>
                <w:sz w:val="20"/>
                <w:szCs w:val="20"/>
                <w:lang w:val="es-ES"/>
              </w:rPr>
            </w:pPr>
            <w:r w:rsidRPr="008821DA">
              <w:rPr>
                <w:rFonts w:ascii="Arial" w:hAnsi="Arial" w:cs="Arial"/>
                <w:sz w:val="20"/>
                <w:szCs w:val="20"/>
                <w:lang w:val="es-ES"/>
              </w:rPr>
              <w:t>4</w:t>
            </w:r>
          </w:p>
        </w:tc>
        <w:tc>
          <w:tcPr>
            <w:tcW w:w="2425" w:type="dxa"/>
            <w:tcBorders>
              <w:top w:val="single" w:sz="4" w:space="0" w:color="auto"/>
              <w:left w:val="single" w:sz="4" w:space="0" w:color="auto"/>
              <w:bottom w:val="double" w:sz="4" w:space="0" w:color="auto"/>
              <w:right w:val="double" w:sz="4" w:space="0" w:color="auto"/>
            </w:tcBorders>
            <w:vAlign w:val="center"/>
          </w:tcPr>
          <w:p w14:paraId="189B4AB5" w14:textId="77777777" w:rsidR="008821DA" w:rsidRPr="008821DA" w:rsidRDefault="008821DA" w:rsidP="008821DA">
            <w:pPr>
              <w:spacing w:line="276" w:lineRule="auto"/>
              <w:rPr>
                <w:rFonts w:ascii="Arial" w:hAnsi="Arial" w:cs="Arial"/>
                <w:sz w:val="20"/>
                <w:szCs w:val="20"/>
                <w:lang w:val="es-ES"/>
              </w:rPr>
            </w:pPr>
            <w:r w:rsidRPr="008821DA">
              <w:rPr>
                <w:rFonts w:ascii="Arial" w:hAnsi="Arial" w:cs="Arial"/>
                <w:sz w:val="20"/>
                <w:szCs w:val="20"/>
                <w:lang w:val="es-ES"/>
              </w:rPr>
              <w:t>Menor Valor</w:t>
            </w:r>
          </w:p>
        </w:tc>
      </w:tr>
      <w:bookmarkEnd w:id="4"/>
    </w:tbl>
    <w:p w14:paraId="68181E95" w14:textId="77777777" w:rsidR="00484BFE" w:rsidRDefault="00484BFE" w:rsidP="00551D21">
      <w:pPr>
        <w:tabs>
          <w:tab w:val="left" w:pos="1860"/>
        </w:tabs>
        <w:ind w:left="709" w:right="709"/>
        <w:jc w:val="both"/>
        <w:rPr>
          <w:rFonts w:ascii="Arial" w:eastAsia="Arial,Calibri" w:hAnsi="Arial" w:cs="Arial"/>
          <w:sz w:val="21"/>
          <w:szCs w:val="21"/>
          <w:lang w:val="es-CO"/>
        </w:rPr>
      </w:pPr>
    </w:p>
    <w:p w14:paraId="0EFFFCF7" w14:textId="57299CF3" w:rsidR="00A91479" w:rsidRDefault="00A91479" w:rsidP="00B41D9C">
      <w:pPr>
        <w:tabs>
          <w:tab w:val="left" w:pos="1860"/>
        </w:tabs>
        <w:spacing w:after="200"/>
        <w:ind w:left="709" w:right="709"/>
        <w:jc w:val="both"/>
        <w:rPr>
          <w:rFonts w:ascii="Arial" w:eastAsia="Arial,Calibri" w:hAnsi="Arial" w:cs="Arial"/>
          <w:sz w:val="21"/>
          <w:szCs w:val="21"/>
          <w:lang w:val="es-CO"/>
        </w:rPr>
      </w:pPr>
      <w:r w:rsidRPr="00A91479">
        <w:rPr>
          <w:rFonts w:ascii="Arial" w:hAnsi="Arial" w:cs="Arial"/>
          <w:sz w:val="21"/>
          <w:szCs w:val="21"/>
          <w:lang w:val="es-CO"/>
        </w:rPr>
        <w:t>Para</w:t>
      </w:r>
      <w:r w:rsidRPr="00A91479">
        <w:rPr>
          <w:rFonts w:ascii="Arial" w:eastAsia="Arial,Calibri" w:hAnsi="Arial" w:cs="Arial"/>
          <w:sz w:val="21"/>
          <w:szCs w:val="21"/>
          <w:lang w:val="es-CO"/>
        </w:rPr>
        <w:t xml:space="preserve"> </w:t>
      </w:r>
      <w:r w:rsidRPr="00A91479">
        <w:rPr>
          <w:rFonts w:ascii="Arial" w:hAnsi="Arial" w:cs="Arial"/>
          <w:sz w:val="21"/>
          <w:szCs w:val="21"/>
          <w:lang w:val="es-CO"/>
        </w:rPr>
        <w:t>determinar</w:t>
      </w:r>
      <w:r w:rsidRPr="00A91479">
        <w:rPr>
          <w:rFonts w:ascii="Arial" w:eastAsia="Arial,Calibri" w:hAnsi="Arial" w:cs="Arial"/>
          <w:sz w:val="21"/>
          <w:szCs w:val="21"/>
          <w:lang w:val="es-CO"/>
        </w:rPr>
        <w:t xml:space="preserve"> </w:t>
      </w:r>
      <w:r w:rsidRPr="00A91479">
        <w:rPr>
          <w:rFonts w:ascii="Arial" w:hAnsi="Arial" w:cs="Arial"/>
          <w:sz w:val="21"/>
          <w:szCs w:val="21"/>
          <w:lang w:val="es-CO"/>
        </w:rPr>
        <w:t>el</w:t>
      </w:r>
      <w:r w:rsidRPr="00A91479">
        <w:rPr>
          <w:rFonts w:ascii="Arial" w:eastAsia="Arial,Calibri" w:hAnsi="Arial" w:cs="Arial"/>
          <w:sz w:val="21"/>
          <w:szCs w:val="21"/>
          <w:lang w:val="es-CO"/>
        </w:rPr>
        <w:t xml:space="preserve"> </w:t>
      </w:r>
      <w:r w:rsidRPr="00A91479">
        <w:rPr>
          <w:rFonts w:ascii="Arial" w:hAnsi="Arial" w:cs="Arial"/>
          <w:sz w:val="21"/>
          <w:szCs w:val="21"/>
          <w:lang w:val="es-CO"/>
        </w:rPr>
        <w:t>método</w:t>
      </w:r>
      <w:r w:rsidRPr="00A91479">
        <w:rPr>
          <w:rFonts w:ascii="Arial" w:eastAsia="Arial,Calibri" w:hAnsi="Arial" w:cs="Arial"/>
          <w:sz w:val="21"/>
          <w:szCs w:val="21"/>
          <w:lang w:val="es-CO"/>
        </w:rPr>
        <w:t xml:space="preserve"> </w:t>
      </w:r>
      <w:r w:rsidRPr="00A91479">
        <w:rPr>
          <w:rFonts w:ascii="Arial" w:hAnsi="Arial" w:cs="Arial"/>
          <w:sz w:val="21"/>
          <w:szCs w:val="21"/>
          <w:lang w:val="es-CO"/>
        </w:rPr>
        <w:t>de</w:t>
      </w:r>
      <w:r w:rsidRPr="00A91479">
        <w:rPr>
          <w:rFonts w:ascii="Arial" w:eastAsia="Arial,Calibri" w:hAnsi="Arial" w:cs="Arial"/>
          <w:sz w:val="21"/>
          <w:szCs w:val="21"/>
          <w:lang w:val="es-CO"/>
        </w:rPr>
        <w:t xml:space="preserve"> </w:t>
      </w:r>
      <w:r w:rsidRPr="00A91479">
        <w:rPr>
          <w:rFonts w:ascii="Arial" w:hAnsi="Arial" w:cs="Arial"/>
          <w:sz w:val="21"/>
          <w:szCs w:val="21"/>
          <w:lang w:val="es-CO"/>
        </w:rPr>
        <w:t>ponderación,</w:t>
      </w:r>
      <w:r w:rsidRPr="00A91479">
        <w:rPr>
          <w:rFonts w:ascii="Arial" w:eastAsia="Arial,Calibri" w:hAnsi="Arial" w:cs="Arial"/>
          <w:sz w:val="21"/>
          <w:szCs w:val="21"/>
          <w:lang w:val="es-CO"/>
        </w:rPr>
        <w:t xml:space="preserve"> </w:t>
      </w:r>
      <w:r w:rsidRPr="00A91479">
        <w:rPr>
          <w:rFonts w:ascii="Arial" w:hAnsi="Arial" w:cs="Arial"/>
          <w:sz w:val="21"/>
          <w:szCs w:val="21"/>
          <w:lang w:val="es-CO"/>
        </w:rPr>
        <w:t>la</w:t>
      </w:r>
      <w:r w:rsidRPr="00A91479">
        <w:rPr>
          <w:rFonts w:ascii="Arial" w:eastAsia="Arial,Calibri" w:hAnsi="Arial" w:cs="Arial"/>
          <w:sz w:val="21"/>
          <w:szCs w:val="21"/>
          <w:lang w:val="es-CO"/>
        </w:rPr>
        <w:t xml:space="preserve"> </w:t>
      </w:r>
      <w:r w:rsidRPr="00A91479">
        <w:rPr>
          <w:rFonts w:ascii="Arial" w:hAnsi="Arial" w:cs="Arial"/>
          <w:sz w:val="21"/>
          <w:szCs w:val="21"/>
          <w:lang w:val="es-CO"/>
        </w:rPr>
        <w:t>Entidad</w:t>
      </w:r>
      <w:r w:rsidRPr="00A91479">
        <w:rPr>
          <w:rFonts w:ascii="Arial" w:eastAsia="Arial,Calibri" w:hAnsi="Arial" w:cs="Arial"/>
          <w:sz w:val="21"/>
          <w:szCs w:val="21"/>
          <w:lang w:val="es-CO"/>
        </w:rPr>
        <w:t xml:space="preserve"> </w:t>
      </w:r>
      <w:r w:rsidRPr="00A91479">
        <w:rPr>
          <w:rFonts w:ascii="Arial" w:hAnsi="Arial" w:cs="Arial"/>
          <w:sz w:val="21"/>
          <w:szCs w:val="21"/>
          <w:lang w:val="es-CO"/>
        </w:rPr>
        <w:t>tomará</w:t>
      </w:r>
      <w:r w:rsidRPr="00A91479">
        <w:rPr>
          <w:rFonts w:ascii="Arial" w:eastAsia="Arial,Calibri" w:hAnsi="Arial" w:cs="Arial"/>
          <w:sz w:val="21"/>
          <w:szCs w:val="21"/>
          <w:lang w:val="es-CO"/>
        </w:rPr>
        <w:t xml:space="preserve"> </w:t>
      </w:r>
      <w:r w:rsidRPr="00A91479">
        <w:rPr>
          <w:rFonts w:ascii="Arial" w:hAnsi="Arial" w:cs="Arial"/>
          <w:sz w:val="21"/>
          <w:szCs w:val="21"/>
          <w:lang w:val="es-CO"/>
        </w:rPr>
        <w:t>los centavos</w:t>
      </w:r>
      <w:r w:rsidRPr="00A91479">
        <w:rPr>
          <w:rFonts w:ascii="Arial" w:eastAsia="Arial,Calibri" w:hAnsi="Arial" w:cs="Arial"/>
          <w:sz w:val="21"/>
          <w:szCs w:val="21"/>
          <w:lang w:val="es-CO"/>
        </w:rPr>
        <w:t xml:space="preserve"> </w:t>
      </w:r>
      <w:r w:rsidRPr="00A91479">
        <w:rPr>
          <w:rFonts w:ascii="Arial" w:hAnsi="Arial" w:cs="Arial"/>
          <w:sz w:val="21"/>
          <w:szCs w:val="21"/>
          <w:lang w:val="es-CO"/>
        </w:rPr>
        <w:t>de</w:t>
      </w:r>
      <w:r w:rsidRPr="00A91479">
        <w:rPr>
          <w:rFonts w:ascii="Arial" w:eastAsia="Arial,Calibri" w:hAnsi="Arial" w:cs="Arial"/>
          <w:sz w:val="21"/>
          <w:szCs w:val="21"/>
          <w:lang w:val="es-CO"/>
        </w:rPr>
        <w:t xml:space="preserve"> </w:t>
      </w:r>
      <w:r w:rsidRPr="00A91479">
        <w:rPr>
          <w:rFonts w:ascii="Arial" w:hAnsi="Arial" w:cs="Arial"/>
          <w:sz w:val="21"/>
          <w:szCs w:val="21"/>
          <w:lang w:val="es-CO"/>
        </w:rPr>
        <w:t>la</w:t>
      </w:r>
      <w:r w:rsidRPr="00A91479">
        <w:rPr>
          <w:rFonts w:ascii="Arial" w:eastAsia="Arial,Calibri" w:hAnsi="Arial" w:cs="Arial"/>
          <w:sz w:val="21"/>
          <w:szCs w:val="21"/>
          <w:lang w:val="es-CO"/>
        </w:rPr>
        <w:t xml:space="preserve"> </w:t>
      </w:r>
      <w:r w:rsidRPr="00A91479">
        <w:rPr>
          <w:rFonts w:ascii="Arial" w:hAnsi="Arial" w:cs="Arial"/>
          <w:sz w:val="21"/>
          <w:szCs w:val="21"/>
          <w:lang w:val="es-CO"/>
        </w:rPr>
        <w:t>Tasa</w:t>
      </w:r>
      <w:r w:rsidRPr="00A91479">
        <w:rPr>
          <w:rFonts w:ascii="Arial" w:eastAsia="Arial,Calibri" w:hAnsi="Arial" w:cs="Arial"/>
          <w:sz w:val="21"/>
          <w:szCs w:val="21"/>
          <w:lang w:val="es-CO"/>
        </w:rPr>
        <w:t xml:space="preserve"> </w:t>
      </w:r>
      <w:r w:rsidRPr="00A91479">
        <w:rPr>
          <w:rFonts w:ascii="Arial" w:hAnsi="Arial" w:cs="Arial"/>
          <w:sz w:val="21"/>
          <w:szCs w:val="21"/>
          <w:lang w:val="es-CO"/>
        </w:rPr>
        <w:t>de</w:t>
      </w:r>
      <w:r w:rsidRPr="00A91479">
        <w:rPr>
          <w:rFonts w:ascii="Arial" w:eastAsia="Arial,Calibri" w:hAnsi="Arial" w:cs="Arial"/>
          <w:sz w:val="21"/>
          <w:szCs w:val="21"/>
          <w:lang w:val="es-CO"/>
        </w:rPr>
        <w:t xml:space="preserve"> </w:t>
      </w:r>
      <w:r w:rsidRPr="00A91479">
        <w:rPr>
          <w:rFonts w:ascii="Arial" w:hAnsi="Arial" w:cs="Arial"/>
          <w:sz w:val="21"/>
          <w:szCs w:val="21"/>
          <w:lang w:val="es-CO"/>
        </w:rPr>
        <w:t>Cambio</w:t>
      </w:r>
      <w:r w:rsidRPr="00A91479">
        <w:rPr>
          <w:rFonts w:ascii="Arial" w:eastAsia="Arial,Calibri" w:hAnsi="Arial" w:cs="Arial"/>
          <w:sz w:val="21"/>
          <w:szCs w:val="21"/>
          <w:lang w:val="es-CO"/>
        </w:rPr>
        <w:t xml:space="preserve"> </w:t>
      </w:r>
      <w:r w:rsidRPr="00A91479">
        <w:rPr>
          <w:rFonts w:ascii="Arial" w:hAnsi="Arial" w:cs="Arial"/>
          <w:sz w:val="21"/>
          <w:szCs w:val="21"/>
          <w:lang w:val="es-CO"/>
        </w:rPr>
        <w:t>Representativa</w:t>
      </w:r>
      <w:r w:rsidRPr="00A91479">
        <w:rPr>
          <w:rFonts w:ascii="Arial" w:eastAsia="Arial,Calibri" w:hAnsi="Arial" w:cs="Arial"/>
          <w:sz w:val="21"/>
          <w:szCs w:val="21"/>
          <w:lang w:val="es-CO"/>
        </w:rPr>
        <w:t xml:space="preserve"> </w:t>
      </w:r>
      <w:r w:rsidRPr="00A91479">
        <w:rPr>
          <w:rFonts w:ascii="Arial" w:hAnsi="Arial" w:cs="Arial"/>
          <w:sz w:val="21"/>
          <w:szCs w:val="21"/>
          <w:lang w:val="es-CO"/>
        </w:rPr>
        <w:t>del</w:t>
      </w:r>
      <w:r w:rsidRPr="00A91479">
        <w:rPr>
          <w:rFonts w:ascii="Arial" w:eastAsia="Arial,Calibri" w:hAnsi="Arial" w:cs="Arial"/>
          <w:sz w:val="21"/>
          <w:szCs w:val="21"/>
          <w:lang w:val="es-CO"/>
        </w:rPr>
        <w:t xml:space="preserve"> </w:t>
      </w:r>
      <w:r w:rsidRPr="00A91479">
        <w:rPr>
          <w:rFonts w:ascii="Arial" w:hAnsi="Arial" w:cs="Arial"/>
          <w:sz w:val="21"/>
          <w:szCs w:val="21"/>
          <w:lang w:val="es-CO"/>
        </w:rPr>
        <w:t>Mercado</w:t>
      </w:r>
      <w:r w:rsidRPr="00A91479">
        <w:rPr>
          <w:rFonts w:ascii="Arial" w:eastAsia="Arial,Calibri" w:hAnsi="Arial" w:cs="Arial"/>
          <w:sz w:val="21"/>
          <w:szCs w:val="21"/>
          <w:lang w:val="es-CO"/>
        </w:rPr>
        <w:t xml:space="preserve"> (</w:t>
      </w:r>
      <w:r w:rsidRPr="00A91479">
        <w:rPr>
          <w:rFonts w:ascii="Arial" w:hAnsi="Arial" w:cs="Arial"/>
          <w:sz w:val="21"/>
          <w:szCs w:val="21"/>
          <w:lang w:val="es-CO"/>
        </w:rPr>
        <w:t>TRM), certificada</w:t>
      </w:r>
      <w:r w:rsidRPr="00A91479">
        <w:rPr>
          <w:rFonts w:ascii="Arial" w:eastAsia="Arial,Calibri" w:hAnsi="Arial" w:cs="Arial"/>
          <w:sz w:val="21"/>
          <w:szCs w:val="21"/>
          <w:lang w:val="es-CO"/>
        </w:rPr>
        <w:t xml:space="preserve"> </w:t>
      </w:r>
      <w:r w:rsidRPr="00A91479">
        <w:rPr>
          <w:rFonts w:ascii="Arial" w:hAnsi="Arial" w:cs="Arial"/>
          <w:sz w:val="21"/>
          <w:szCs w:val="21"/>
          <w:lang w:val="es-CO"/>
        </w:rPr>
        <w:t>por</w:t>
      </w:r>
      <w:r w:rsidRPr="00A91479">
        <w:rPr>
          <w:rFonts w:ascii="Arial" w:eastAsia="Arial,Calibri" w:hAnsi="Arial" w:cs="Arial"/>
          <w:sz w:val="21"/>
          <w:szCs w:val="21"/>
          <w:lang w:val="es-CO"/>
        </w:rPr>
        <w:t xml:space="preserve"> </w:t>
      </w:r>
      <w:r w:rsidRPr="00A91479">
        <w:rPr>
          <w:rFonts w:ascii="Arial" w:hAnsi="Arial" w:cs="Arial"/>
          <w:sz w:val="21"/>
          <w:szCs w:val="21"/>
          <w:lang w:val="es-CO"/>
        </w:rPr>
        <w:t>la Superintendencia Financiera de Colombia</w:t>
      </w:r>
      <w:r w:rsidRPr="00A91479">
        <w:rPr>
          <w:rFonts w:ascii="Arial" w:eastAsia="Arial,Calibri" w:hAnsi="Arial" w:cs="Arial"/>
          <w:sz w:val="21"/>
          <w:szCs w:val="21"/>
          <w:lang w:val="es-CO"/>
        </w:rPr>
        <w:t xml:space="preserve"> (</w:t>
      </w:r>
      <w:r w:rsidRPr="00A91479">
        <w:rPr>
          <w:rFonts w:ascii="Arial" w:hAnsi="Arial" w:cs="Arial"/>
          <w:sz w:val="21"/>
          <w:szCs w:val="21"/>
          <w:lang w:val="es-CO"/>
        </w:rPr>
        <w:t>en</w:t>
      </w:r>
      <w:r w:rsidRPr="00A91479">
        <w:rPr>
          <w:rFonts w:ascii="Arial" w:eastAsia="Arial,Calibri" w:hAnsi="Arial" w:cs="Arial"/>
          <w:sz w:val="21"/>
          <w:szCs w:val="21"/>
          <w:lang w:val="es-CO"/>
        </w:rPr>
        <w:t xml:space="preserve"> </w:t>
      </w:r>
      <w:r w:rsidRPr="00A91479">
        <w:rPr>
          <w:rFonts w:ascii="Arial" w:hAnsi="Arial" w:cs="Arial"/>
          <w:sz w:val="21"/>
          <w:szCs w:val="21"/>
          <w:lang w:val="es-CO"/>
        </w:rPr>
        <w:t>su</w:t>
      </w:r>
      <w:r w:rsidRPr="00A91479">
        <w:rPr>
          <w:rFonts w:ascii="Arial" w:eastAsia="Arial,Calibri" w:hAnsi="Arial" w:cs="Arial"/>
          <w:sz w:val="21"/>
          <w:szCs w:val="21"/>
          <w:lang w:val="es-CO"/>
        </w:rPr>
        <w:t xml:space="preserve"> </w:t>
      </w:r>
      <w:r w:rsidRPr="00A91479">
        <w:rPr>
          <w:rFonts w:ascii="Arial" w:hAnsi="Arial" w:cs="Arial"/>
          <w:sz w:val="21"/>
          <w:szCs w:val="21"/>
          <w:lang w:val="es-CO"/>
        </w:rPr>
        <w:t xml:space="preserve">sitio web: </w:t>
      </w:r>
      <w:hyperlink r:id="rId12" w:history="1">
        <w:r w:rsidRPr="00A91479">
          <w:rPr>
            <w:rFonts w:ascii="Arial" w:hAnsi="Arial" w:cs="Arial"/>
            <w:sz w:val="21"/>
            <w:szCs w:val="21"/>
            <w:u w:val="single"/>
            <w:lang w:val="es-CO"/>
          </w:rPr>
          <w:t>https://www.superfinanciera.gov.co/publicacion/60819</w:t>
        </w:r>
      </w:hyperlink>
      <w:r w:rsidRPr="00A91479">
        <w:rPr>
          <w:rFonts w:ascii="Arial" w:eastAsia="Arial,Calibri" w:hAnsi="Arial" w:cs="Arial"/>
          <w:sz w:val="21"/>
          <w:szCs w:val="21"/>
          <w:lang w:val="es-CO"/>
        </w:rPr>
        <w:t>).</w:t>
      </w:r>
    </w:p>
    <w:p w14:paraId="112C94CF" w14:textId="661F6F5F" w:rsidR="004B163D" w:rsidRDefault="00EC4F9C" w:rsidP="00551D21">
      <w:pPr>
        <w:tabs>
          <w:tab w:val="left" w:pos="1860"/>
        </w:tabs>
        <w:spacing w:after="120"/>
        <w:ind w:left="709" w:right="709"/>
        <w:jc w:val="both"/>
        <w:rPr>
          <w:rFonts w:ascii="Arial" w:hAnsi="Arial" w:cs="Arial"/>
          <w:sz w:val="21"/>
          <w:szCs w:val="21"/>
          <w:lang w:val="es-CO"/>
        </w:rPr>
      </w:pPr>
      <w:r w:rsidRPr="00EC4F9C">
        <w:rPr>
          <w:rFonts w:ascii="Arial" w:hAnsi="Arial" w:cs="Arial"/>
          <w:sz w:val="21"/>
          <w:szCs w:val="21"/>
          <w:lang w:val="es-CO"/>
        </w:rPr>
        <w:t xml:space="preserve">El día de la audiencia efectiva de adjudicación, la entidad iniciará respondiendo y resolviendo las observaciones presentadas al informe de evaluación, de conformidad con el numeral 2.6. Acto seguido, la entidad iniciará la apertura de los sobres de las ofertas económicas y definirá el método de ponderación de las propuestas de acuerdo con </w:t>
      </w:r>
      <w:r w:rsidRPr="00EC4F9C">
        <w:rPr>
          <w:rFonts w:ascii="Arial" w:hAnsi="Arial" w:cs="Arial"/>
          <w:i/>
          <w:iCs/>
          <w:sz w:val="21"/>
          <w:szCs w:val="21"/>
          <w:lang w:val="es-CO"/>
        </w:rPr>
        <w:t>la TRM que rija al día hábil siguiente</w:t>
      </w:r>
      <w:r w:rsidRPr="00EC4F9C">
        <w:rPr>
          <w:rFonts w:ascii="Arial" w:hAnsi="Arial" w:cs="Arial"/>
          <w:sz w:val="21"/>
          <w:szCs w:val="21"/>
          <w:lang w:val="es-CO"/>
        </w:rPr>
        <w:t>; sin embargo, la entidad debe finalizar la apertura de los sobres económicos hasta antes de las 3:00 pm. De conformidad con lo anterior, la entidad no podrá abrir los sobres económicos teniendo conocimiento de la TRM que regirá al día hábil siguiente. En este sentido, atendiendo a las circunstancias anteriores y las particularidades de cada caso, la entidad podrá optar por suspender la audiencia y reiniciarla cuando lo considere conveniente, de manera que inicie y finalice la apertura de los sobres antes de las 3:00 pm del día respectivo.</w:t>
      </w:r>
    </w:p>
    <w:p w14:paraId="57D1EF70" w14:textId="77777777" w:rsidR="004B163D" w:rsidRPr="004B163D" w:rsidRDefault="004B163D" w:rsidP="00551D21">
      <w:pPr>
        <w:tabs>
          <w:tab w:val="left" w:pos="1860"/>
        </w:tabs>
        <w:spacing w:after="120"/>
        <w:ind w:left="709" w:right="709"/>
        <w:jc w:val="both"/>
        <w:rPr>
          <w:rFonts w:ascii="Arial" w:hAnsi="Arial" w:cs="Arial"/>
          <w:sz w:val="21"/>
          <w:szCs w:val="21"/>
          <w:lang w:val="es-CO"/>
        </w:rPr>
      </w:pPr>
      <w:r w:rsidRPr="004B163D">
        <w:rPr>
          <w:rFonts w:ascii="Arial" w:hAnsi="Arial" w:cs="Arial"/>
          <w:sz w:val="21"/>
          <w:szCs w:val="21"/>
          <w:lang w:val="es-CO"/>
        </w:rPr>
        <w:t xml:space="preserve">En el evento que la entidad deba suspender la audiencia por cualquier motivo, se tendrá como método de ponderación el que rija el día hábil siguiente del día en que efectivamente realice la apertura del segundo sobre. </w:t>
      </w:r>
    </w:p>
    <w:p w14:paraId="770CF606" w14:textId="7CAA6B5C" w:rsidR="00EC4F9C" w:rsidRPr="00EC4F9C" w:rsidRDefault="004B163D" w:rsidP="00551D21">
      <w:pPr>
        <w:tabs>
          <w:tab w:val="left" w:pos="1860"/>
        </w:tabs>
        <w:ind w:left="709" w:right="709"/>
        <w:jc w:val="both"/>
        <w:rPr>
          <w:rFonts w:ascii="Arial" w:hAnsi="Arial" w:cs="Arial"/>
          <w:sz w:val="21"/>
          <w:szCs w:val="21"/>
          <w:lang w:val="es-CO"/>
        </w:rPr>
      </w:pPr>
      <w:r w:rsidRPr="004B163D">
        <w:rPr>
          <w:rFonts w:ascii="Arial" w:hAnsi="Arial" w:cs="Arial"/>
          <w:sz w:val="21"/>
          <w:szCs w:val="21"/>
          <w:lang w:val="es-CO"/>
        </w:rPr>
        <w:lastRenderedPageBreak/>
        <w:t xml:space="preserve">En cualquiera de los supuestos señalados, la entidad debe iniciar y agotar la apertura de los sobres económicos y la definición del método de ponderación en un mismo día hasta antes de las 3:00 pm. Igualmente, el método definido el día de la apertura del sobre económico seguirá rigiendo aun cuando la entidad deba suspender la audiencia. </w:t>
      </w:r>
    </w:p>
    <w:p w14:paraId="66446862" w14:textId="27C0BB15" w:rsidR="00EC4F9C" w:rsidRDefault="00EC4F9C" w:rsidP="00551D21">
      <w:pPr>
        <w:tabs>
          <w:tab w:val="left" w:pos="1860"/>
        </w:tabs>
        <w:ind w:left="709" w:right="709"/>
        <w:jc w:val="both"/>
        <w:rPr>
          <w:rFonts w:ascii="Arial" w:eastAsia="Arial,Calibri" w:hAnsi="Arial" w:cs="Arial"/>
          <w:sz w:val="21"/>
          <w:szCs w:val="21"/>
          <w:lang w:val="es-CO"/>
        </w:rPr>
      </w:pPr>
      <w:r>
        <w:rPr>
          <w:rFonts w:ascii="Arial" w:eastAsia="Arial,Calibri" w:hAnsi="Arial" w:cs="Arial"/>
          <w:sz w:val="21"/>
          <w:szCs w:val="21"/>
          <w:lang w:val="es-CO"/>
        </w:rPr>
        <w:t xml:space="preserve">[…] </w:t>
      </w:r>
    </w:p>
    <w:p w14:paraId="27D5E6FA" w14:textId="77777777" w:rsidR="009A0567" w:rsidRPr="00551D21" w:rsidRDefault="009A0567" w:rsidP="00551D21">
      <w:pPr>
        <w:tabs>
          <w:tab w:val="left" w:pos="1860"/>
        </w:tabs>
        <w:spacing w:line="276" w:lineRule="auto"/>
        <w:ind w:left="709" w:right="709"/>
        <w:jc w:val="both"/>
        <w:rPr>
          <w:rFonts w:ascii="Arial" w:eastAsia="Arial,Calibri" w:hAnsi="Arial" w:cs="Arial"/>
          <w:sz w:val="22"/>
          <w:lang w:val="es-CO"/>
        </w:rPr>
      </w:pPr>
    </w:p>
    <w:p w14:paraId="20A2569A" w14:textId="041F44E8" w:rsidR="003A1F75" w:rsidRPr="00920084" w:rsidRDefault="003A1F75" w:rsidP="00551D21">
      <w:pPr>
        <w:spacing w:after="120" w:line="276" w:lineRule="auto"/>
        <w:ind w:firstLine="709"/>
        <w:jc w:val="both"/>
        <w:rPr>
          <w:rFonts w:ascii="Arial" w:eastAsia="Calibri" w:hAnsi="Arial" w:cs="Arial"/>
          <w:color w:val="000000"/>
          <w:sz w:val="22"/>
          <w:lang w:val="es-ES_tradnl"/>
        </w:rPr>
      </w:pPr>
      <w:r w:rsidRPr="00C15FEE">
        <w:rPr>
          <w:rFonts w:ascii="Arial" w:eastAsia="Calibri" w:hAnsi="Arial" w:cs="Arial"/>
          <w:color w:val="000000"/>
          <w:sz w:val="22"/>
          <w:lang w:val="es-ES_tradnl"/>
        </w:rPr>
        <w:t>La Tasa de Cambio Representativa del Mercado – TRM «</w:t>
      </w:r>
      <w:r w:rsidRPr="00C15FEE">
        <w:rPr>
          <w:rFonts w:ascii="Arial" w:eastAsia="Calibri" w:hAnsi="Arial" w:cs="Arial"/>
          <w:sz w:val="22"/>
        </w:rPr>
        <w:t>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(IMC) entre las 7:30 a.m. y la 1:00 p.m.</w:t>
      </w:r>
      <w:r w:rsidRPr="00C15FEE">
        <w:rPr>
          <w:rFonts w:ascii="Arial" w:eastAsia="Calibri" w:hAnsi="Arial" w:cs="Arial"/>
          <w:color w:val="000000"/>
          <w:sz w:val="22"/>
          <w:lang w:val="es-ES_tradnl"/>
        </w:rPr>
        <w:t>»</w:t>
      </w:r>
      <w:r w:rsidRPr="00C15FEE">
        <w:rPr>
          <w:rFonts w:ascii="Arial" w:eastAsia="Calibri" w:hAnsi="Arial" w:cs="Arial"/>
          <w:color w:val="000000"/>
          <w:sz w:val="22"/>
          <w:vertAlign w:val="superscript"/>
          <w:lang w:val="es-ES_tradnl"/>
        </w:rPr>
        <w:footnoteReference w:id="4"/>
      </w:r>
      <w:r w:rsidRPr="00C15FEE">
        <w:rPr>
          <w:rFonts w:ascii="Arial" w:eastAsia="Calibri" w:hAnsi="Arial" w:cs="Arial"/>
          <w:color w:val="000000"/>
          <w:sz w:val="22"/>
          <w:lang w:val="es-ES_tradnl"/>
        </w:rPr>
        <w:t>, definida por la Superintendencia Financiera, es decir, denota la relación entre la moneda colombiana y el dólar. Por su parte, el Banco de la República ha definido la tasa de cambio representativa del mercado como «la cantidad de pesos colombianos por un dólar de los Estados Unidos»</w:t>
      </w:r>
      <w:r w:rsidRPr="00C15FEE">
        <w:rPr>
          <w:rFonts w:ascii="Arial" w:eastAsia="Calibri" w:hAnsi="Arial" w:cs="Arial"/>
          <w:color w:val="000000"/>
          <w:sz w:val="22"/>
          <w:vertAlign w:val="superscript"/>
          <w:lang w:val="es-ES_tradnl"/>
        </w:rPr>
        <w:footnoteReference w:id="5"/>
      </w:r>
      <w:r w:rsidRPr="00C15FEE">
        <w:rPr>
          <w:rFonts w:ascii="Arial" w:eastAsia="Calibri" w:hAnsi="Arial" w:cs="Arial"/>
          <w:color w:val="000000"/>
          <w:sz w:val="22"/>
          <w:lang w:val="es-ES_tradnl"/>
        </w:rPr>
        <w:t xml:space="preserve">, de donde se desprende que la TRM es un valor que se origina en la fluctuación del mercado. </w:t>
      </w:r>
    </w:p>
    <w:p w14:paraId="595D602A" w14:textId="77777777" w:rsidR="00930B4B" w:rsidRPr="00C15FEE" w:rsidRDefault="00930B4B" w:rsidP="00551D21">
      <w:pPr>
        <w:spacing w:line="276" w:lineRule="auto"/>
        <w:ind w:firstLine="708"/>
        <w:jc w:val="both"/>
        <w:rPr>
          <w:rFonts w:ascii="Arial" w:eastAsia="Calibri" w:hAnsi="Arial" w:cs="Arial"/>
          <w:sz w:val="22"/>
        </w:rPr>
      </w:pPr>
      <w:r w:rsidRPr="00C15FEE">
        <w:rPr>
          <w:rFonts w:ascii="Arial" w:eastAsia="Calibri" w:hAnsi="Arial" w:cs="Arial"/>
          <w:sz w:val="22"/>
        </w:rPr>
        <w:t xml:space="preserve">La TRM que la entidad usará para el método de ponderación será la que aplique en el día hábil siguiente del día en que efectivamente sea la apertura del segundo sobre, según la publicación hecha por la Superintendencia </w:t>
      </w:r>
      <w:r w:rsidRPr="00C15FEE">
        <w:rPr>
          <w:rFonts w:ascii="Arial" w:eastAsia="Calibri" w:hAnsi="Arial" w:cs="Arial"/>
          <w:color w:val="000000"/>
          <w:sz w:val="22"/>
        </w:rPr>
        <w:t>en horas de la tarde el día de la apertura del segundo sobre</w:t>
      </w:r>
      <w:r w:rsidRPr="00C15FEE">
        <w:rPr>
          <w:rFonts w:ascii="Arial" w:eastAsia="Calibri" w:hAnsi="Arial" w:cs="Arial"/>
          <w:color w:val="000000"/>
          <w:sz w:val="22"/>
          <w:lang w:val="es-CO"/>
        </w:rPr>
        <w:t xml:space="preserve">. Por ejemplo, </w:t>
      </w:r>
      <w:r w:rsidRPr="00C15FEE">
        <w:rPr>
          <w:rFonts w:ascii="Arial" w:eastAsia="Calibri" w:hAnsi="Arial" w:cs="Arial"/>
          <w:color w:val="000000"/>
          <w:sz w:val="22"/>
        </w:rPr>
        <w:t>si la audiencia de adjudicación se realiza el 10 de febrero de 2020 y ese mismo día se abre el segundo sobre, la TRM que se usará para determinar el método de evaluación será la del 11 de febrero de 2020, que se publica en la tarde del 10 de febrero de 2020</w:t>
      </w:r>
      <w:r w:rsidRPr="00C15FEE">
        <w:rPr>
          <w:rFonts w:ascii="Arial" w:eastAsia="Calibri" w:hAnsi="Arial" w:cs="Arial"/>
          <w:color w:val="000000"/>
          <w:sz w:val="22"/>
          <w:lang w:val="es-CO"/>
        </w:rPr>
        <w:t>. De acuerdo con lo anterior, el método de ponderación se determinará con los rangos del siguiente cuadro</w:t>
      </w:r>
      <w:r w:rsidRPr="00C15FEE">
        <w:rPr>
          <w:rFonts w:ascii="Arial" w:eastAsia="Calibri" w:hAnsi="Arial" w:cs="Arial"/>
          <w:sz w:val="22"/>
        </w:rPr>
        <w:t xml:space="preserve">: </w:t>
      </w:r>
    </w:p>
    <w:p w14:paraId="6E3F064B" w14:textId="77777777" w:rsidR="00930B4B" w:rsidRPr="00C15FEE" w:rsidRDefault="00930B4B" w:rsidP="00551D21">
      <w:pPr>
        <w:spacing w:line="276" w:lineRule="auto"/>
        <w:jc w:val="both"/>
        <w:rPr>
          <w:rFonts w:ascii="Arial" w:eastAsia="Calibri"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972"/>
        <w:gridCol w:w="2503"/>
      </w:tblGrid>
      <w:tr w:rsidR="00930B4B" w:rsidRPr="00C15FEE" w14:paraId="4B0EE7CC" w14:textId="77777777" w:rsidTr="007D6B11">
        <w:trPr>
          <w:trHeight w:val="20"/>
          <w:tblHeader/>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vAlign w:val="center"/>
            <w:hideMark/>
          </w:tcPr>
          <w:p w14:paraId="02E15FB0" w14:textId="77777777" w:rsidR="00930B4B" w:rsidRPr="00C15FEE" w:rsidRDefault="00930B4B" w:rsidP="007D6B11">
            <w:pPr>
              <w:spacing w:line="276" w:lineRule="auto"/>
              <w:jc w:val="center"/>
              <w:rPr>
                <w:rFonts w:ascii="Arial" w:eastAsia="Arial,Calibri" w:hAnsi="Arial" w:cs="Arial"/>
                <w:b/>
                <w:bCs/>
                <w:color w:val="FFFFFF"/>
                <w:sz w:val="20"/>
                <w:szCs w:val="20"/>
                <w:lang w:val="es-CO"/>
              </w:rPr>
            </w:pPr>
            <w:r w:rsidRPr="00C15FEE">
              <w:rPr>
                <w:rFonts w:ascii="Arial" w:eastAsia="Calibri" w:hAnsi="Arial" w:cs="Arial"/>
                <w:b/>
                <w:bCs/>
                <w:color w:val="FFFFFF"/>
                <w:sz w:val="20"/>
                <w:szCs w:val="20"/>
                <w:lang w:val="es-CO"/>
              </w:rPr>
              <w:t>Rango</w:t>
            </w:r>
            <w:r w:rsidRPr="00C15FEE">
              <w:rPr>
                <w:rFonts w:ascii="Arial" w:eastAsia="Arial,Calibri" w:hAnsi="Arial" w:cs="Arial"/>
                <w:b/>
                <w:bCs/>
                <w:color w:val="FFFFFF"/>
                <w:sz w:val="20"/>
                <w:szCs w:val="20"/>
                <w:lang w:val="es-CO"/>
              </w:rPr>
              <w:t xml:space="preserve"> </w:t>
            </w:r>
            <w:r w:rsidRPr="00C15FEE">
              <w:rPr>
                <w:rFonts w:ascii="Arial" w:eastAsia="Calibri" w:hAnsi="Arial" w:cs="Arial"/>
                <w:b/>
                <w:bCs/>
                <w:color w:val="FFFFFF"/>
                <w:sz w:val="20"/>
                <w:szCs w:val="20"/>
                <w:lang w:val="es-CO"/>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vAlign w:val="center"/>
            <w:hideMark/>
          </w:tcPr>
          <w:p w14:paraId="1B20A0E8" w14:textId="77777777" w:rsidR="00930B4B" w:rsidRPr="00C15FEE" w:rsidRDefault="00930B4B" w:rsidP="007D6B11">
            <w:pPr>
              <w:spacing w:line="276" w:lineRule="auto"/>
              <w:jc w:val="center"/>
              <w:rPr>
                <w:rFonts w:ascii="Arial" w:eastAsia="Arial,Calibri" w:hAnsi="Arial" w:cs="Arial"/>
                <w:b/>
                <w:bCs/>
                <w:color w:val="FFFFFF"/>
                <w:sz w:val="20"/>
                <w:szCs w:val="20"/>
                <w:lang w:val="es-CO"/>
              </w:rPr>
            </w:pPr>
            <w:r w:rsidRPr="00C15FEE">
              <w:rPr>
                <w:rFonts w:ascii="Arial" w:eastAsia="Calibri" w:hAnsi="Arial" w:cs="Arial"/>
                <w:b/>
                <w:bCs/>
                <w:color w:val="FFFFFF"/>
                <w:sz w:val="20"/>
                <w:szCs w:val="20"/>
                <w:lang w:val="es-CO"/>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vAlign w:val="center"/>
            <w:hideMark/>
          </w:tcPr>
          <w:p w14:paraId="4DC9A013" w14:textId="77777777" w:rsidR="00930B4B" w:rsidRPr="00C15FEE" w:rsidRDefault="00930B4B" w:rsidP="007D6B11">
            <w:pPr>
              <w:spacing w:line="276" w:lineRule="auto"/>
              <w:jc w:val="center"/>
              <w:rPr>
                <w:rFonts w:ascii="Arial" w:eastAsia="Arial,Calibri" w:hAnsi="Arial" w:cs="Arial"/>
                <w:b/>
                <w:bCs/>
                <w:color w:val="FFFFFF"/>
                <w:sz w:val="20"/>
                <w:szCs w:val="20"/>
                <w:lang w:val="es-CO"/>
              </w:rPr>
            </w:pPr>
            <w:r w:rsidRPr="00C15FEE">
              <w:rPr>
                <w:rFonts w:ascii="Arial" w:eastAsia="Calibri" w:hAnsi="Arial" w:cs="Arial"/>
                <w:b/>
                <w:bCs/>
                <w:color w:val="FFFFFF"/>
                <w:sz w:val="20"/>
                <w:szCs w:val="20"/>
                <w:lang w:val="es-CO"/>
              </w:rPr>
              <w:t>Método</w:t>
            </w:r>
          </w:p>
        </w:tc>
      </w:tr>
      <w:tr w:rsidR="00930B4B" w:rsidRPr="00C15FEE" w14:paraId="2B853481" w14:textId="77777777" w:rsidTr="007D6B11">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15DF505C" w14:textId="77777777" w:rsidR="00930B4B" w:rsidRPr="00C15FEE" w:rsidRDefault="00930B4B" w:rsidP="007D6B11">
            <w:pPr>
              <w:spacing w:line="276" w:lineRule="auto"/>
              <w:jc w:val="center"/>
              <w:rPr>
                <w:rFonts w:ascii="Arial" w:eastAsia="Calibri" w:hAnsi="Arial" w:cs="Arial"/>
                <w:sz w:val="20"/>
                <w:szCs w:val="20"/>
                <w:lang w:val="es-ES" w:eastAsia="es-CO"/>
              </w:rPr>
            </w:pPr>
            <w:r w:rsidRPr="00C15FEE">
              <w:rPr>
                <w:rFonts w:ascii="Arial" w:eastAsia="Calibri" w:hAnsi="Arial" w:cs="Arial"/>
                <w:sz w:val="20"/>
                <w:szCs w:val="20"/>
                <w:lang w:val="es-ES"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331A8555" w14:textId="77777777" w:rsidR="00930B4B" w:rsidRPr="00C15FEE" w:rsidRDefault="00930B4B" w:rsidP="007D6B11">
            <w:pPr>
              <w:spacing w:line="276" w:lineRule="auto"/>
              <w:jc w:val="center"/>
              <w:rPr>
                <w:rFonts w:ascii="Arial" w:eastAsia="Arial,Times New Roman" w:hAnsi="Arial" w:cs="Arial"/>
                <w:sz w:val="20"/>
                <w:szCs w:val="20"/>
                <w:lang w:val="es-ES" w:eastAsia="es-CO"/>
              </w:rPr>
            </w:pPr>
            <w:r w:rsidRPr="00C15FEE">
              <w:rPr>
                <w:rFonts w:ascii="Arial" w:eastAsia="Calibri" w:hAnsi="Arial" w:cs="Arial"/>
                <w:sz w:val="20"/>
                <w:szCs w:val="20"/>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1B79D24A" w14:textId="77777777" w:rsidR="00930B4B" w:rsidRPr="00C15FEE" w:rsidRDefault="00930B4B" w:rsidP="007D6B11">
            <w:pPr>
              <w:spacing w:line="276" w:lineRule="auto"/>
              <w:jc w:val="center"/>
              <w:rPr>
                <w:rFonts w:ascii="Arial" w:eastAsia="Arial,Times New Roman" w:hAnsi="Arial" w:cs="Arial"/>
                <w:sz w:val="20"/>
                <w:szCs w:val="20"/>
                <w:lang w:val="es-ES" w:eastAsia="es-CO"/>
              </w:rPr>
            </w:pPr>
            <w:r w:rsidRPr="00C15FEE">
              <w:rPr>
                <w:rFonts w:ascii="Arial" w:eastAsia="Calibri" w:hAnsi="Arial" w:cs="Arial"/>
                <w:sz w:val="20"/>
                <w:szCs w:val="20"/>
                <w:lang w:val="es-ES" w:eastAsia="es-CO"/>
              </w:rPr>
              <w:t>Mediana con valor absoluto</w:t>
            </w:r>
          </w:p>
        </w:tc>
      </w:tr>
      <w:tr w:rsidR="00930B4B" w:rsidRPr="00C15FEE" w14:paraId="2833DB1C" w14:textId="77777777" w:rsidTr="007D6B11">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303C079D" w14:textId="77777777" w:rsidR="00930B4B" w:rsidRPr="00C15FEE" w:rsidRDefault="00930B4B" w:rsidP="007D6B11">
            <w:pPr>
              <w:spacing w:line="276" w:lineRule="auto"/>
              <w:jc w:val="center"/>
              <w:rPr>
                <w:rFonts w:ascii="Arial" w:eastAsia="Calibri" w:hAnsi="Arial" w:cs="Arial"/>
                <w:sz w:val="20"/>
                <w:szCs w:val="20"/>
                <w:lang w:val="es-ES" w:eastAsia="es-CO"/>
              </w:rPr>
            </w:pPr>
            <w:r w:rsidRPr="00C15FEE">
              <w:rPr>
                <w:rFonts w:ascii="Arial" w:eastAsia="Calibri" w:hAnsi="Arial" w:cs="Arial"/>
                <w:sz w:val="20"/>
                <w:szCs w:val="20"/>
                <w:lang w:val="es-ES"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09FCE835" w14:textId="77777777" w:rsidR="00930B4B" w:rsidRPr="00C15FEE" w:rsidRDefault="00930B4B" w:rsidP="007D6B11">
            <w:pPr>
              <w:spacing w:line="276" w:lineRule="auto"/>
              <w:jc w:val="center"/>
              <w:rPr>
                <w:rFonts w:ascii="Arial" w:eastAsia="Arial,Times New Roman" w:hAnsi="Arial" w:cs="Arial"/>
                <w:sz w:val="20"/>
                <w:szCs w:val="20"/>
                <w:lang w:val="es-ES" w:eastAsia="es-CO"/>
              </w:rPr>
            </w:pPr>
            <w:r w:rsidRPr="00C15FEE">
              <w:rPr>
                <w:rFonts w:ascii="Arial" w:eastAsia="Arial,Times New Roman" w:hAnsi="Arial" w:cs="Arial"/>
                <w:sz w:val="20"/>
                <w:szCs w:val="20"/>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4664E862" w14:textId="77777777" w:rsidR="00930B4B" w:rsidRPr="00C15FEE" w:rsidRDefault="00930B4B" w:rsidP="007D6B11">
            <w:pPr>
              <w:spacing w:line="276" w:lineRule="auto"/>
              <w:jc w:val="center"/>
              <w:rPr>
                <w:rFonts w:ascii="Arial" w:eastAsia="Arial,Times New Roman" w:hAnsi="Arial" w:cs="Arial"/>
                <w:sz w:val="20"/>
                <w:szCs w:val="20"/>
                <w:lang w:val="es-ES" w:eastAsia="es-CO"/>
              </w:rPr>
            </w:pPr>
            <w:r w:rsidRPr="00C15FEE">
              <w:rPr>
                <w:rFonts w:ascii="Arial" w:eastAsia="Calibri" w:hAnsi="Arial" w:cs="Arial"/>
                <w:sz w:val="20"/>
                <w:szCs w:val="20"/>
                <w:lang w:val="es-ES" w:eastAsia="es-CO"/>
              </w:rPr>
              <w:t>Media geométrica</w:t>
            </w:r>
          </w:p>
        </w:tc>
      </w:tr>
      <w:tr w:rsidR="00930B4B" w:rsidRPr="00C15FEE" w14:paraId="2193498E" w14:textId="77777777" w:rsidTr="007D6B11">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68697D0A" w14:textId="77777777" w:rsidR="00930B4B" w:rsidRPr="00C15FEE" w:rsidRDefault="00930B4B" w:rsidP="007D6B11">
            <w:pPr>
              <w:spacing w:line="276" w:lineRule="auto"/>
              <w:jc w:val="center"/>
              <w:rPr>
                <w:rFonts w:ascii="Arial" w:eastAsia="Calibri" w:hAnsi="Arial" w:cs="Arial"/>
                <w:sz w:val="20"/>
                <w:szCs w:val="20"/>
                <w:lang w:val="es-ES" w:eastAsia="es-CO"/>
              </w:rPr>
            </w:pPr>
            <w:r w:rsidRPr="00C15FEE">
              <w:rPr>
                <w:rFonts w:ascii="Arial" w:eastAsia="Calibri" w:hAnsi="Arial" w:cs="Arial"/>
                <w:sz w:val="20"/>
                <w:szCs w:val="20"/>
                <w:lang w:val="es-ES"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31EEC77E" w14:textId="77777777" w:rsidR="00930B4B" w:rsidRPr="00C15FEE" w:rsidRDefault="00930B4B" w:rsidP="007D6B11">
            <w:pPr>
              <w:spacing w:line="276" w:lineRule="auto"/>
              <w:jc w:val="center"/>
              <w:rPr>
                <w:rFonts w:ascii="Arial" w:eastAsia="Calibri" w:hAnsi="Arial" w:cs="Arial"/>
                <w:sz w:val="20"/>
                <w:szCs w:val="20"/>
                <w:lang w:val="es-ES" w:eastAsia="es-CO"/>
              </w:rPr>
            </w:pPr>
            <w:r w:rsidRPr="00C15FEE">
              <w:rPr>
                <w:rFonts w:ascii="Arial" w:eastAsia="Calibri" w:hAnsi="Arial" w:cs="Arial"/>
                <w:sz w:val="20"/>
                <w:szCs w:val="20"/>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306804F7" w14:textId="77777777" w:rsidR="00930B4B" w:rsidRPr="00C15FEE" w:rsidRDefault="00930B4B" w:rsidP="007D6B11">
            <w:pPr>
              <w:spacing w:line="276" w:lineRule="auto"/>
              <w:jc w:val="center"/>
              <w:rPr>
                <w:rFonts w:ascii="Arial" w:eastAsia="Calibri" w:hAnsi="Arial" w:cs="Arial"/>
                <w:sz w:val="20"/>
                <w:szCs w:val="20"/>
                <w:lang w:val="es-ES" w:eastAsia="es-CO"/>
              </w:rPr>
            </w:pPr>
            <w:r w:rsidRPr="00C15FEE">
              <w:rPr>
                <w:rFonts w:ascii="Arial" w:eastAsia="Calibri" w:hAnsi="Arial" w:cs="Arial"/>
                <w:sz w:val="20"/>
                <w:szCs w:val="20"/>
                <w:lang w:val="es-ES" w:eastAsia="es-CO"/>
              </w:rPr>
              <w:t>Media aritmética baja</w:t>
            </w:r>
          </w:p>
        </w:tc>
      </w:tr>
      <w:tr w:rsidR="00930B4B" w:rsidRPr="00C15FEE" w14:paraId="3571A069" w14:textId="77777777" w:rsidTr="007D6B11">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2A798D8D" w14:textId="77777777" w:rsidR="00930B4B" w:rsidRPr="00C15FEE" w:rsidRDefault="00930B4B" w:rsidP="007D6B11">
            <w:pPr>
              <w:spacing w:line="276" w:lineRule="auto"/>
              <w:jc w:val="center"/>
              <w:rPr>
                <w:rFonts w:ascii="Arial" w:eastAsia="Calibri" w:hAnsi="Arial" w:cs="Arial"/>
                <w:sz w:val="20"/>
                <w:szCs w:val="20"/>
                <w:lang w:val="es-ES" w:eastAsia="es-CO"/>
              </w:rPr>
            </w:pPr>
            <w:r w:rsidRPr="00C15FEE">
              <w:rPr>
                <w:rFonts w:ascii="Arial" w:eastAsia="Calibri" w:hAnsi="Arial" w:cs="Arial"/>
                <w:sz w:val="20"/>
                <w:szCs w:val="20"/>
                <w:lang w:val="es-ES"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14382035" w14:textId="77777777" w:rsidR="00930B4B" w:rsidRPr="00C15FEE" w:rsidRDefault="00930B4B" w:rsidP="007D6B11">
            <w:pPr>
              <w:spacing w:line="276" w:lineRule="auto"/>
              <w:jc w:val="center"/>
              <w:rPr>
                <w:rFonts w:ascii="Arial" w:eastAsia="Calibri" w:hAnsi="Arial" w:cs="Arial"/>
                <w:sz w:val="20"/>
                <w:szCs w:val="20"/>
                <w:lang w:val="es-ES" w:eastAsia="es-CO"/>
              </w:rPr>
            </w:pPr>
            <w:r w:rsidRPr="00C15FEE">
              <w:rPr>
                <w:rFonts w:ascii="Arial" w:eastAsia="Calibri" w:hAnsi="Arial" w:cs="Arial"/>
                <w:sz w:val="20"/>
                <w:szCs w:val="20"/>
                <w:lang w:val="es-ES"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48385DC1" w14:textId="77777777" w:rsidR="00930B4B" w:rsidRPr="00C15FEE" w:rsidRDefault="00930B4B" w:rsidP="007D6B11">
            <w:pPr>
              <w:spacing w:line="276" w:lineRule="auto"/>
              <w:jc w:val="center"/>
              <w:rPr>
                <w:rFonts w:ascii="Arial" w:eastAsia="Calibri" w:hAnsi="Arial" w:cs="Arial"/>
                <w:sz w:val="20"/>
                <w:szCs w:val="20"/>
                <w:lang w:val="es-ES" w:eastAsia="es-CO"/>
              </w:rPr>
            </w:pPr>
            <w:r w:rsidRPr="00C15FEE">
              <w:rPr>
                <w:rFonts w:ascii="Arial" w:eastAsia="Calibri" w:hAnsi="Arial" w:cs="Arial"/>
                <w:sz w:val="20"/>
                <w:szCs w:val="20"/>
                <w:lang w:val="es-ES" w:eastAsia="es-CO"/>
              </w:rPr>
              <w:t>Menor valor</w:t>
            </w:r>
          </w:p>
        </w:tc>
      </w:tr>
    </w:tbl>
    <w:p w14:paraId="6323BA2D" w14:textId="77777777" w:rsidR="00930B4B" w:rsidRPr="00C15FEE" w:rsidRDefault="00930B4B" w:rsidP="0037759E">
      <w:pPr>
        <w:spacing w:line="276" w:lineRule="auto"/>
        <w:ind w:firstLine="709"/>
        <w:jc w:val="both"/>
        <w:rPr>
          <w:rFonts w:ascii="Arial" w:hAnsi="Arial" w:cs="Arial"/>
          <w:color w:val="000000" w:themeColor="text1"/>
          <w:sz w:val="22"/>
        </w:rPr>
      </w:pPr>
    </w:p>
    <w:p w14:paraId="155D633B" w14:textId="62045F5D" w:rsidR="00770866" w:rsidRPr="00551D21" w:rsidRDefault="00930B4B" w:rsidP="00930B4B">
      <w:pPr>
        <w:spacing w:after="120" w:line="276" w:lineRule="auto"/>
        <w:ind w:firstLine="709"/>
        <w:jc w:val="both"/>
        <w:rPr>
          <w:rFonts w:ascii="Arial" w:eastAsia="Calibri" w:hAnsi="Arial" w:cs="Arial"/>
          <w:sz w:val="22"/>
        </w:rPr>
      </w:pPr>
      <w:r w:rsidRPr="00C15FEE">
        <w:rPr>
          <w:rFonts w:ascii="Arial" w:eastAsia="Calibri" w:hAnsi="Arial" w:cs="Arial"/>
          <w:sz w:val="22"/>
        </w:rPr>
        <w:lastRenderedPageBreak/>
        <w:t>Se advierte que el documento tipo acudió a este valor –TRM– como el criterio de escogencia del método aleatorio para evaluar la oferta económica, porque su definición no depende de la discrecionalidad de la administración pública en cualquiera de sus órdenes y niveles. Aunque se establece y certifica por parte de la Superintendencia Financiera, su determinación depende de las dinámicas del mercado de divisas, garantizando una elección aleatoria del método de ponderación aplicable para tal propósito, lo que dota de trans</w:t>
      </w:r>
      <w:r w:rsidRPr="00551D21">
        <w:rPr>
          <w:rFonts w:ascii="Arial" w:eastAsia="Calibri" w:hAnsi="Arial" w:cs="Arial"/>
          <w:sz w:val="22"/>
        </w:rPr>
        <w:t>parencia y selección objetiva la evaluación de las ofertas</w:t>
      </w:r>
      <w:r w:rsidR="00770866" w:rsidRPr="00551D21">
        <w:rPr>
          <w:rFonts w:ascii="Arial" w:eastAsia="Calibri" w:hAnsi="Arial" w:cs="Arial"/>
          <w:sz w:val="22"/>
        </w:rPr>
        <w:t>.</w:t>
      </w:r>
    </w:p>
    <w:p w14:paraId="0BA085A2" w14:textId="38C42351" w:rsidR="00C0790E" w:rsidRPr="00551D21" w:rsidRDefault="00085B53" w:rsidP="00551D21">
      <w:pPr>
        <w:spacing w:before="120" w:after="120" w:line="276" w:lineRule="auto"/>
        <w:ind w:firstLine="709"/>
        <w:jc w:val="both"/>
        <w:textAlignment w:val="baseline"/>
        <w:rPr>
          <w:rFonts w:ascii="Arial" w:eastAsia="Times New Roman" w:hAnsi="Arial" w:cs="Arial"/>
          <w:sz w:val="22"/>
          <w:lang w:val="es-CO" w:eastAsia="es-CO"/>
        </w:rPr>
      </w:pPr>
      <w:r w:rsidRPr="00551D21">
        <w:rPr>
          <w:rFonts w:ascii="Arial" w:eastAsia="Times New Roman" w:hAnsi="Arial" w:cs="Arial"/>
          <w:sz w:val="22"/>
          <w:lang w:eastAsia="es-CO"/>
        </w:rPr>
        <w:t xml:space="preserve">Para </w:t>
      </w:r>
      <w:r w:rsidR="001E628B" w:rsidRPr="00551D21">
        <w:rPr>
          <w:rFonts w:ascii="Arial" w:eastAsia="Times New Roman" w:hAnsi="Arial" w:cs="Arial"/>
          <w:sz w:val="22"/>
          <w:lang w:eastAsia="es-CO"/>
        </w:rPr>
        <w:t>efectos de la</w:t>
      </w:r>
      <w:r w:rsidRPr="00551D21">
        <w:rPr>
          <w:rFonts w:ascii="Arial" w:eastAsia="Times New Roman" w:hAnsi="Arial" w:cs="Arial"/>
          <w:sz w:val="22"/>
          <w:lang w:eastAsia="es-CO"/>
        </w:rPr>
        <w:t xml:space="preserve"> </w:t>
      </w:r>
      <w:r w:rsidR="00465EAC" w:rsidRPr="00551D21">
        <w:rPr>
          <w:rFonts w:ascii="Arial" w:eastAsia="Times New Roman" w:hAnsi="Arial" w:cs="Arial"/>
          <w:sz w:val="22"/>
          <w:lang w:eastAsia="es-CO"/>
        </w:rPr>
        <w:t>consulta</w:t>
      </w:r>
      <w:r w:rsidRPr="00551D21">
        <w:rPr>
          <w:rFonts w:ascii="Arial" w:eastAsia="Times New Roman" w:hAnsi="Arial" w:cs="Arial"/>
          <w:sz w:val="22"/>
          <w:lang w:eastAsia="es-CO"/>
        </w:rPr>
        <w:t xml:space="preserve">, </w:t>
      </w:r>
      <w:r w:rsidR="00435038" w:rsidRPr="00551D21">
        <w:rPr>
          <w:rFonts w:ascii="Arial" w:eastAsia="Times New Roman" w:hAnsi="Arial" w:cs="Arial"/>
          <w:sz w:val="22"/>
          <w:lang w:eastAsia="es-CO"/>
        </w:rPr>
        <w:t>debe advertirse</w:t>
      </w:r>
      <w:r w:rsidR="0058393C" w:rsidRPr="00551D21">
        <w:rPr>
          <w:rFonts w:ascii="Arial" w:eastAsia="Times New Roman" w:hAnsi="Arial" w:cs="Arial"/>
          <w:sz w:val="22"/>
          <w:lang w:eastAsia="es-CO"/>
        </w:rPr>
        <w:t xml:space="preserve"> </w:t>
      </w:r>
      <w:r w:rsidRPr="00551D21">
        <w:rPr>
          <w:rFonts w:ascii="Arial" w:eastAsia="Times New Roman" w:hAnsi="Arial" w:cs="Arial"/>
          <w:sz w:val="22"/>
          <w:lang w:eastAsia="es-CO"/>
        </w:rPr>
        <w:t>que</w:t>
      </w:r>
      <w:r w:rsidR="00C0790E" w:rsidRPr="00551D21">
        <w:rPr>
          <w:rFonts w:ascii="Arial" w:eastAsia="Times New Roman" w:hAnsi="Arial" w:cs="Arial"/>
          <w:sz w:val="22"/>
          <w:lang w:eastAsia="es-CO"/>
        </w:rPr>
        <w:t xml:space="preserve"> el numeral 4.1.4</w:t>
      </w:r>
      <w:r w:rsidR="0012093C" w:rsidRPr="00551D21">
        <w:rPr>
          <w:rFonts w:ascii="Arial" w:eastAsia="Times New Roman" w:hAnsi="Arial" w:cs="Arial"/>
          <w:sz w:val="22"/>
          <w:lang w:eastAsia="es-CO"/>
        </w:rPr>
        <w:t xml:space="preserve"> del pliego de condiciones</w:t>
      </w:r>
      <w:r w:rsidR="00C0790E" w:rsidRPr="00551D21">
        <w:rPr>
          <w:rFonts w:ascii="Arial" w:eastAsia="Times New Roman" w:hAnsi="Arial" w:cs="Arial"/>
          <w:sz w:val="22"/>
          <w:lang w:eastAsia="es-CO"/>
        </w:rPr>
        <w:t xml:space="preserve"> establece que «la entidad debe finalizar la apertura de los sobres económicos hasta antes de las 3:00 pm», de tal manera que «la entidad no podrá abrir los sobres económicos teniendo conocimiento de la TRM que regirá al día hábil siguiente».</w:t>
      </w:r>
      <w:r w:rsidR="003C6AF6" w:rsidRPr="00551D21">
        <w:rPr>
          <w:rFonts w:ascii="Arial" w:eastAsia="Times New Roman" w:hAnsi="Arial" w:cs="Arial"/>
          <w:sz w:val="22"/>
          <w:lang w:eastAsia="es-CO"/>
        </w:rPr>
        <w:t xml:space="preserve"> </w:t>
      </w:r>
      <w:r w:rsidR="00C0790E" w:rsidRPr="00551D21">
        <w:rPr>
          <w:rFonts w:ascii="Arial" w:eastAsia="Times New Roman" w:hAnsi="Arial" w:cs="Arial"/>
          <w:sz w:val="22"/>
          <w:lang w:eastAsia="es-CO"/>
        </w:rPr>
        <w:t xml:space="preserve">Lo anterior indica que, en lo relativo a la apertura de los sobres contentivos de la oferta económica, </w:t>
      </w:r>
      <w:r w:rsidR="002A6F1C" w:rsidRPr="00551D21">
        <w:rPr>
          <w:rFonts w:ascii="Arial" w:eastAsia="Times New Roman" w:hAnsi="Arial" w:cs="Arial"/>
          <w:sz w:val="22"/>
          <w:lang w:eastAsia="es-CO"/>
        </w:rPr>
        <w:t>el</w:t>
      </w:r>
      <w:r w:rsidR="00C0790E" w:rsidRPr="00551D21">
        <w:rPr>
          <w:rFonts w:ascii="Arial" w:eastAsia="Times New Roman" w:hAnsi="Arial" w:cs="Arial"/>
          <w:sz w:val="22"/>
          <w:lang w:eastAsia="es-CO"/>
        </w:rPr>
        <w:t xml:space="preserve"> </w:t>
      </w:r>
      <w:r w:rsidR="00057F41" w:rsidRPr="00551D21">
        <w:rPr>
          <w:rFonts w:ascii="Arial" w:eastAsia="Times New Roman" w:hAnsi="Arial" w:cs="Arial"/>
          <w:sz w:val="22"/>
          <w:lang w:eastAsia="es-CO"/>
        </w:rPr>
        <w:t>D</w:t>
      </w:r>
      <w:r w:rsidR="00C0790E" w:rsidRPr="00551D21">
        <w:rPr>
          <w:rFonts w:ascii="Arial" w:eastAsia="Times New Roman" w:hAnsi="Arial" w:cs="Arial"/>
          <w:sz w:val="22"/>
          <w:lang w:eastAsia="es-CO"/>
        </w:rPr>
        <w:t xml:space="preserve">ocumento </w:t>
      </w:r>
      <w:r w:rsidR="00057F41" w:rsidRPr="00551D21">
        <w:rPr>
          <w:rFonts w:ascii="Arial" w:eastAsia="Times New Roman" w:hAnsi="Arial" w:cs="Arial"/>
          <w:sz w:val="22"/>
          <w:lang w:eastAsia="es-CO"/>
        </w:rPr>
        <w:t>B</w:t>
      </w:r>
      <w:r w:rsidR="00C0790E" w:rsidRPr="00551D21">
        <w:rPr>
          <w:rFonts w:ascii="Arial" w:eastAsia="Times New Roman" w:hAnsi="Arial" w:cs="Arial"/>
          <w:sz w:val="22"/>
          <w:lang w:eastAsia="es-CO"/>
        </w:rPr>
        <w:t>ase mantiene la obligación de iniciar y finalizar la apertura de los sobres en un mismo día, en el que también deberá definirse el método de ponderación, pero estableciendo además que ello deberá llevarse a cabo antes de las 3:00 pm del respectivo día. </w:t>
      </w:r>
      <w:r w:rsidR="00C0790E" w:rsidRPr="00551D21">
        <w:rPr>
          <w:rFonts w:ascii="Arial" w:eastAsia="Times New Roman" w:hAnsi="Arial" w:cs="Arial"/>
          <w:sz w:val="22"/>
          <w:lang w:val="es-CO" w:eastAsia="es-CO"/>
        </w:rPr>
        <w:t> </w:t>
      </w:r>
    </w:p>
    <w:p w14:paraId="13307171" w14:textId="0D398131" w:rsidR="00C0790E" w:rsidRPr="00551D21" w:rsidRDefault="00BD0349" w:rsidP="000161A5">
      <w:pPr>
        <w:spacing w:before="120" w:after="120" w:line="276" w:lineRule="auto"/>
        <w:ind w:firstLine="705"/>
        <w:jc w:val="both"/>
        <w:textAlignment w:val="baseline"/>
        <w:rPr>
          <w:rFonts w:ascii="Arial" w:eastAsia="Times New Roman" w:hAnsi="Arial" w:cs="Arial"/>
          <w:sz w:val="22"/>
          <w:lang w:eastAsia="es-CO"/>
        </w:rPr>
      </w:pPr>
      <w:r w:rsidRPr="00551D21">
        <w:rPr>
          <w:rFonts w:ascii="Arial" w:eastAsia="Times New Roman" w:hAnsi="Arial" w:cs="Arial"/>
          <w:sz w:val="22"/>
          <w:lang w:eastAsia="es-CO"/>
        </w:rPr>
        <w:t>Así las cosas</w:t>
      </w:r>
      <w:r w:rsidR="00C0790E" w:rsidRPr="00551D21">
        <w:rPr>
          <w:rFonts w:ascii="Arial" w:eastAsia="Times New Roman" w:hAnsi="Arial" w:cs="Arial"/>
          <w:sz w:val="22"/>
          <w:lang w:eastAsia="es-CO"/>
        </w:rPr>
        <w:t xml:space="preserve">, el numeral 4.1.4 establece que, atendiendo a las particularidades de cada proceso, la entidad podrá suspender la audiencia y reiniciarla cuando </w:t>
      </w:r>
      <w:r w:rsidR="00ED182A" w:rsidRPr="00551D21">
        <w:rPr>
          <w:rFonts w:ascii="Arial" w:eastAsia="Times New Roman" w:hAnsi="Arial" w:cs="Arial"/>
          <w:sz w:val="22"/>
          <w:lang w:eastAsia="es-CO"/>
        </w:rPr>
        <w:t xml:space="preserve">lo </w:t>
      </w:r>
      <w:r w:rsidR="00C0790E" w:rsidRPr="00551D21">
        <w:rPr>
          <w:rFonts w:ascii="Arial" w:eastAsia="Times New Roman" w:hAnsi="Arial" w:cs="Arial"/>
          <w:sz w:val="22"/>
          <w:lang w:eastAsia="es-CO"/>
        </w:rPr>
        <w:t xml:space="preserve">estime conveniente, de </w:t>
      </w:r>
      <w:r w:rsidR="00B57623" w:rsidRPr="00551D21">
        <w:rPr>
          <w:rFonts w:ascii="Arial" w:eastAsia="Times New Roman" w:hAnsi="Arial" w:cs="Arial"/>
          <w:sz w:val="22"/>
          <w:lang w:eastAsia="es-CO"/>
        </w:rPr>
        <w:t>modo</w:t>
      </w:r>
      <w:r w:rsidR="00C0790E" w:rsidRPr="00551D21">
        <w:rPr>
          <w:rFonts w:ascii="Arial" w:eastAsia="Times New Roman" w:hAnsi="Arial" w:cs="Arial"/>
          <w:sz w:val="22"/>
          <w:lang w:eastAsia="es-CO"/>
        </w:rPr>
        <w:t xml:space="preserve"> que la apertura de las ofertas económicas y la determinación del método de ponderación ocurr</w:t>
      </w:r>
      <w:r w:rsidR="007B1074" w:rsidRPr="00551D21">
        <w:rPr>
          <w:rFonts w:ascii="Arial" w:eastAsia="Times New Roman" w:hAnsi="Arial" w:cs="Arial"/>
          <w:sz w:val="22"/>
          <w:lang w:eastAsia="es-CO"/>
        </w:rPr>
        <w:t>an</w:t>
      </w:r>
      <w:r w:rsidR="00C0790E" w:rsidRPr="00551D21">
        <w:rPr>
          <w:rFonts w:ascii="Arial" w:eastAsia="Times New Roman" w:hAnsi="Arial" w:cs="Arial"/>
          <w:sz w:val="22"/>
          <w:lang w:eastAsia="es-CO"/>
        </w:rPr>
        <w:t xml:space="preserve"> un mismo día, culminando la apertura antes de las 3:00 pm. </w:t>
      </w:r>
      <w:r w:rsidR="00C0790E" w:rsidRPr="00551D21">
        <w:rPr>
          <w:rFonts w:ascii="Arial" w:eastAsia="Times New Roman" w:hAnsi="Arial" w:cs="Arial"/>
          <w:sz w:val="22"/>
          <w:lang w:val="es-CO" w:eastAsia="es-CO"/>
        </w:rPr>
        <w:t> </w:t>
      </w:r>
      <w:r w:rsidR="00C0790E" w:rsidRPr="00551D21">
        <w:rPr>
          <w:rFonts w:ascii="Arial" w:eastAsia="Times New Roman" w:hAnsi="Arial" w:cs="Arial"/>
          <w:sz w:val="22"/>
          <w:lang w:eastAsia="es-CO"/>
        </w:rPr>
        <w:t>Est</w:t>
      </w:r>
      <w:r w:rsidR="003417AD" w:rsidRPr="00551D21">
        <w:rPr>
          <w:rFonts w:ascii="Arial" w:eastAsia="Times New Roman" w:hAnsi="Arial" w:cs="Arial"/>
          <w:sz w:val="22"/>
          <w:lang w:eastAsia="es-CO"/>
        </w:rPr>
        <w:t>e</w:t>
      </w:r>
      <w:r w:rsidR="00C0790E" w:rsidRPr="00551D21">
        <w:rPr>
          <w:rFonts w:ascii="Arial" w:eastAsia="Times New Roman" w:hAnsi="Arial" w:cs="Arial"/>
          <w:sz w:val="22"/>
          <w:lang w:eastAsia="es-CO"/>
        </w:rPr>
        <w:t xml:space="preserve"> mecanismo para definir de forma aleatoria el método de ponderación de las ofertas económicas garantiza mayor transparencia en la </w:t>
      </w:r>
      <w:r w:rsidR="001C30F2" w:rsidRPr="00551D21">
        <w:rPr>
          <w:rFonts w:ascii="Arial" w:eastAsia="Times New Roman" w:hAnsi="Arial" w:cs="Arial"/>
          <w:sz w:val="22"/>
          <w:lang w:eastAsia="es-CO"/>
        </w:rPr>
        <w:t>evaluación</w:t>
      </w:r>
      <w:r w:rsidR="00C0790E" w:rsidRPr="00551D21">
        <w:rPr>
          <w:rFonts w:ascii="Arial" w:eastAsia="Times New Roman" w:hAnsi="Arial" w:cs="Arial"/>
          <w:sz w:val="22"/>
          <w:lang w:eastAsia="es-CO"/>
        </w:rPr>
        <w:t xml:space="preserve">. Esto en la medida en que establecer una hora límite para la apertura de las ofertas </w:t>
      </w:r>
      <w:r w:rsidR="00ED182A" w:rsidRPr="00551D21">
        <w:rPr>
          <w:rFonts w:ascii="Arial" w:eastAsia="Times New Roman" w:hAnsi="Arial" w:cs="Arial"/>
          <w:sz w:val="22"/>
          <w:lang w:eastAsia="es-CO"/>
        </w:rPr>
        <w:t xml:space="preserve">busca impedir </w:t>
      </w:r>
      <w:r w:rsidR="00C0790E" w:rsidRPr="00551D21">
        <w:rPr>
          <w:rFonts w:ascii="Arial" w:eastAsia="Times New Roman" w:hAnsi="Arial" w:cs="Arial"/>
          <w:sz w:val="22"/>
          <w:lang w:eastAsia="es-CO"/>
        </w:rPr>
        <w:t>que las entidades estatales</w:t>
      </w:r>
      <w:r w:rsidR="00ED182A" w:rsidRPr="00551D21">
        <w:rPr>
          <w:rFonts w:ascii="Arial" w:eastAsia="Times New Roman" w:hAnsi="Arial" w:cs="Arial"/>
          <w:sz w:val="22"/>
          <w:lang w:eastAsia="es-CO"/>
        </w:rPr>
        <w:t xml:space="preserve"> conozcan </w:t>
      </w:r>
      <w:r w:rsidR="00C0790E" w:rsidRPr="00551D21">
        <w:rPr>
          <w:rFonts w:ascii="Arial" w:eastAsia="Times New Roman" w:hAnsi="Arial" w:cs="Arial"/>
          <w:sz w:val="22"/>
          <w:lang w:eastAsia="es-CO"/>
        </w:rPr>
        <w:t>antes o durante la apertura de las ofertas</w:t>
      </w:r>
      <w:r w:rsidR="00ED182A" w:rsidRPr="00551D21">
        <w:rPr>
          <w:rFonts w:ascii="Arial" w:eastAsia="Times New Roman" w:hAnsi="Arial" w:cs="Arial"/>
          <w:sz w:val="22"/>
          <w:lang w:eastAsia="es-CO"/>
        </w:rPr>
        <w:t xml:space="preserve"> </w:t>
      </w:r>
      <w:r w:rsidR="00C0790E" w:rsidRPr="00551D21">
        <w:rPr>
          <w:rFonts w:ascii="Arial" w:eastAsia="Times New Roman" w:hAnsi="Arial" w:cs="Arial"/>
          <w:sz w:val="22"/>
          <w:lang w:eastAsia="es-CO"/>
        </w:rPr>
        <w:t xml:space="preserve">la TRM que determinará el método de ponderación, comoquiera que esta sería publicada por la </w:t>
      </w:r>
      <w:r w:rsidR="00737511" w:rsidRPr="00551D21">
        <w:rPr>
          <w:rFonts w:ascii="Arial" w:eastAsia="Times New Roman" w:hAnsi="Arial" w:cs="Arial"/>
          <w:sz w:val="22"/>
          <w:lang w:eastAsia="es-CO"/>
        </w:rPr>
        <w:t>Superintendencia Financiera</w:t>
      </w:r>
      <w:r w:rsidR="00C0790E" w:rsidRPr="00551D21">
        <w:rPr>
          <w:rFonts w:ascii="Arial" w:eastAsia="Times New Roman" w:hAnsi="Arial" w:cs="Arial"/>
          <w:sz w:val="22"/>
          <w:lang w:eastAsia="es-CO"/>
        </w:rPr>
        <w:t xml:space="preserve"> en un momento </w:t>
      </w:r>
      <w:r w:rsidR="00C0790E" w:rsidRPr="00551D21">
        <w:rPr>
          <w:rFonts w:ascii="Arial" w:eastAsia="Times New Roman" w:hAnsi="Arial" w:cs="Arial"/>
          <w:i/>
          <w:iCs/>
          <w:sz w:val="22"/>
          <w:lang w:eastAsia="es-CO"/>
        </w:rPr>
        <w:t>posterior</w:t>
      </w:r>
      <w:r w:rsidR="00C0790E" w:rsidRPr="00551D21">
        <w:rPr>
          <w:rFonts w:ascii="Arial" w:eastAsia="Times New Roman" w:hAnsi="Arial" w:cs="Arial"/>
          <w:sz w:val="22"/>
          <w:lang w:eastAsia="es-CO"/>
        </w:rPr>
        <w:t xml:space="preserve"> a la apertura de las ofertas económicas. </w:t>
      </w:r>
    </w:p>
    <w:p w14:paraId="79402445" w14:textId="5AF71E33" w:rsidR="00467B80" w:rsidRPr="00551D21" w:rsidRDefault="00E062DE" w:rsidP="00551D21">
      <w:pPr>
        <w:spacing w:line="276" w:lineRule="auto"/>
        <w:ind w:firstLine="703"/>
        <w:jc w:val="both"/>
        <w:textAlignment w:val="baseline"/>
        <w:rPr>
          <w:rFonts w:ascii="Arial" w:hAnsi="Arial" w:cs="Arial"/>
          <w:sz w:val="22"/>
          <w:lang w:val="es-CO"/>
        </w:rPr>
      </w:pPr>
      <w:r w:rsidRPr="00551D21">
        <w:rPr>
          <w:rFonts w:ascii="Arial" w:eastAsia="Times New Roman" w:hAnsi="Arial" w:cs="Arial"/>
          <w:sz w:val="22"/>
          <w:lang w:val="es-CO" w:eastAsia="es-CO"/>
        </w:rPr>
        <w:t xml:space="preserve">Sin perjuicio de las consideraciones anteriores, el documento tipo establece que la TRM aplicable para definir el método de ponderación de las ofertas económicas será la </w:t>
      </w:r>
      <w:r w:rsidR="00314580" w:rsidRPr="00551D21">
        <w:rPr>
          <w:rFonts w:ascii="Arial" w:eastAsia="Times New Roman" w:hAnsi="Arial" w:cs="Arial"/>
          <w:sz w:val="22"/>
          <w:lang w:val="es-CO" w:eastAsia="es-CO"/>
        </w:rPr>
        <w:t xml:space="preserve">que </w:t>
      </w:r>
      <w:r w:rsidRPr="00551D21">
        <w:rPr>
          <w:rFonts w:ascii="Arial" w:eastAsia="Times New Roman" w:hAnsi="Arial" w:cs="Arial"/>
          <w:sz w:val="22"/>
          <w:lang w:val="es-CO" w:eastAsia="es-CO"/>
        </w:rPr>
        <w:t xml:space="preserve">rija el día hábil siguiente a la apertura del segundo sobre. En efecto, el numeral 4.1.4 del </w:t>
      </w:r>
      <w:r w:rsidR="00A36424" w:rsidRPr="00551D21">
        <w:rPr>
          <w:rFonts w:ascii="Arial" w:eastAsia="Times New Roman" w:hAnsi="Arial" w:cs="Arial"/>
          <w:sz w:val="22"/>
          <w:lang w:val="es-CO" w:eastAsia="es-CO"/>
        </w:rPr>
        <w:t>D</w:t>
      </w:r>
      <w:r w:rsidRPr="00551D21">
        <w:rPr>
          <w:rFonts w:ascii="Arial" w:eastAsia="Times New Roman" w:hAnsi="Arial" w:cs="Arial"/>
          <w:sz w:val="22"/>
          <w:lang w:val="es-CO" w:eastAsia="es-CO"/>
        </w:rPr>
        <w:t xml:space="preserve">ocumento </w:t>
      </w:r>
      <w:r w:rsidR="00A36424" w:rsidRPr="00551D21">
        <w:rPr>
          <w:rFonts w:ascii="Arial" w:eastAsia="Times New Roman" w:hAnsi="Arial" w:cs="Arial"/>
          <w:sz w:val="22"/>
          <w:lang w:val="es-CO" w:eastAsia="es-CO"/>
        </w:rPr>
        <w:t>B</w:t>
      </w:r>
      <w:r w:rsidRPr="00551D21">
        <w:rPr>
          <w:rFonts w:ascii="Arial" w:eastAsia="Times New Roman" w:hAnsi="Arial" w:cs="Arial"/>
          <w:sz w:val="22"/>
          <w:lang w:val="es-CO" w:eastAsia="es-CO"/>
        </w:rPr>
        <w:t xml:space="preserve">ase de licitación de obra pública de infraestructura de </w:t>
      </w:r>
      <w:r w:rsidR="00A36424" w:rsidRPr="00551D21">
        <w:rPr>
          <w:rFonts w:ascii="Arial" w:eastAsia="Times New Roman" w:hAnsi="Arial" w:cs="Arial"/>
          <w:sz w:val="22"/>
          <w:lang w:val="es-CO" w:eastAsia="es-CO"/>
        </w:rPr>
        <w:t>agua potable y saneamiento básico</w:t>
      </w:r>
      <w:r w:rsidR="005E03AC" w:rsidRPr="00551D21">
        <w:rPr>
          <w:rFonts w:ascii="Arial" w:eastAsia="Times New Roman" w:hAnsi="Arial" w:cs="Arial"/>
          <w:sz w:val="22"/>
          <w:lang w:val="es-CO" w:eastAsia="es-CO"/>
        </w:rPr>
        <w:t xml:space="preserve"> dispone</w:t>
      </w:r>
      <w:r w:rsidRPr="00551D21">
        <w:rPr>
          <w:rFonts w:ascii="Arial" w:eastAsia="Times New Roman" w:hAnsi="Arial" w:cs="Arial"/>
          <w:sz w:val="22"/>
          <w:lang w:val="es-CO" w:eastAsia="es-CO"/>
        </w:rPr>
        <w:t xml:space="preserve"> que «Para mayor claridad y, de acuerdo con lo indicado, la TRM que la entidad utilizará para determinar el método de ponderación será la que rija </w:t>
      </w:r>
      <w:r w:rsidRPr="00551D21">
        <w:rPr>
          <w:rFonts w:ascii="Arial" w:eastAsia="Times New Roman" w:hAnsi="Arial" w:cs="Arial"/>
          <w:i/>
          <w:iCs/>
          <w:sz w:val="22"/>
          <w:lang w:val="es-CO" w:eastAsia="es-CO"/>
        </w:rPr>
        <w:t xml:space="preserve">el día hábil siguiente </w:t>
      </w:r>
      <w:r w:rsidRPr="00551D21">
        <w:rPr>
          <w:rFonts w:ascii="Arial" w:eastAsia="Times New Roman" w:hAnsi="Arial" w:cs="Arial"/>
          <w:sz w:val="22"/>
          <w:lang w:val="es-CO" w:eastAsia="es-CO"/>
        </w:rPr>
        <w:t xml:space="preserve">del día en que efectivamente sea la apertura del segundo sobre». </w:t>
      </w:r>
    </w:p>
    <w:p w14:paraId="37FD60E8" w14:textId="5DB509D6" w:rsidR="00191B50" w:rsidRPr="00551D21" w:rsidRDefault="00191B50" w:rsidP="00390C07">
      <w:pPr>
        <w:spacing w:line="276" w:lineRule="auto"/>
        <w:ind w:firstLine="705"/>
        <w:jc w:val="both"/>
        <w:textAlignment w:val="baseline"/>
        <w:rPr>
          <w:rFonts w:ascii="Arial" w:hAnsi="Arial" w:cs="Arial"/>
          <w:color w:val="000000" w:themeColor="text1"/>
          <w:sz w:val="22"/>
          <w:lang w:val="es-ES_tradnl"/>
        </w:rPr>
      </w:pPr>
    </w:p>
    <w:p w14:paraId="32558D5D" w14:textId="637D173B" w:rsidR="00BD66E3" w:rsidRPr="00551D21" w:rsidRDefault="00BE1E33" w:rsidP="00390C07">
      <w:pPr>
        <w:pStyle w:val="Prrafodelista"/>
        <w:numPr>
          <w:ilvl w:val="0"/>
          <w:numId w:val="1"/>
        </w:numPr>
        <w:tabs>
          <w:tab w:val="left" w:pos="284"/>
        </w:tabs>
        <w:spacing w:line="276" w:lineRule="auto"/>
        <w:ind w:left="0" w:right="709" w:firstLine="0"/>
        <w:jc w:val="both"/>
        <w:rPr>
          <w:rFonts w:ascii="Arial" w:hAnsi="Arial" w:cs="Arial"/>
          <w:sz w:val="22"/>
          <w:lang w:val="es-ES_tradnl"/>
        </w:rPr>
      </w:pPr>
      <w:r w:rsidRPr="00551D21">
        <w:rPr>
          <w:rFonts w:ascii="Arial" w:hAnsi="Arial" w:cs="Arial"/>
          <w:b/>
          <w:bCs/>
          <w:sz w:val="22"/>
          <w:lang w:val="es-ES_tradnl"/>
        </w:rPr>
        <w:t xml:space="preserve">Respuesta </w:t>
      </w:r>
    </w:p>
    <w:p w14:paraId="50F1315D" w14:textId="77777777" w:rsidR="00AE2D81" w:rsidRPr="00551D21" w:rsidRDefault="00AE2D81" w:rsidP="00390C07">
      <w:pPr>
        <w:pStyle w:val="Prrafodelista"/>
        <w:tabs>
          <w:tab w:val="left" w:pos="284"/>
        </w:tabs>
        <w:spacing w:line="276" w:lineRule="auto"/>
        <w:ind w:left="0" w:right="709"/>
        <w:jc w:val="both"/>
        <w:rPr>
          <w:rFonts w:ascii="Arial" w:hAnsi="Arial" w:cs="Arial"/>
          <w:sz w:val="22"/>
          <w:lang w:val="es-ES_tradnl"/>
        </w:rPr>
      </w:pPr>
    </w:p>
    <w:p w14:paraId="734F2F98" w14:textId="2928E03A" w:rsidR="00824A66" w:rsidRPr="00551D21" w:rsidRDefault="000D3473" w:rsidP="00E66D85">
      <w:pPr>
        <w:pStyle w:val="Prrafodelista"/>
        <w:ind w:left="709" w:right="709"/>
        <w:contextualSpacing w:val="0"/>
        <w:jc w:val="both"/>
        <w:rPr>
          <w:rFonts w:ascii="Arial" w:eastAsia="Times New Roman" w:hAnsi="Arial" w:cs="Arial"/>
          <w:color w:val="000000" w:themeColor="text1"/>
          <w:sz w:val="21"/>
          <w:szCs w:val="21"/>
          <w:lang w:val="es-ES" w:eastAsia="es-ES_tradnl"/>
        </w:rPr>
      </w:pPr>
      <w:r w:rsidRPr="00551D21">
        <w:rPr>
          <w:rFonts w:ascii="Arial" w:eastAsia="Times New Roman" w:hAnsi="Arial" w:cs="Arial"/>
          <w:color w:val="000000" w:themeColor="text1"/>
          <w:sz w:val="21"/>
          <w:szCs w:val="21"/>
          <w:lang w:val="es-ES" w:eastAsia="es-ES_tradnl"/>
        </w:rPr>
        <w:t xml:space="preserve">«En el pliego tipo de saneamiento y agua potable, ultima (sic) versión, la cual, entró a regir a partir de noviembre de 2021, se estableció que la entidad debe </w:t>
      </w:r>
      <w:r w:rsidRPr="00551D21">
        <w:rPr>
          <w:rFonts w:ascii="Arial" w:eastAsia="Times New Roman" w:hAnsi="Arial" w:cs="Arial"/>
          <w:color w:val="000000" w:themeColor="text1"/>
          <w:sz w:val="21"/>
          <w:szCs w:val="21"/>
          <w:lang w:val="es-ES" w:eastAsia="es-ES_tradnl"/>
        </w:rPr>
        <w:lastRenderedPageBreak/>
        <w:t>iniciar y agotar la apertura de los sobres económicos y la definición del método de ponderación en un mismo día hasta antes de las 3:00pm, comoquiera que  método de ponderación se establece con la TRM a regir del día siguiente, qué se puede hacer cuando por varios días la TRM reportada por la Superintendencia Financiera ha sido publicada posterior a esa hora límite que establece el pliego? [¿] Se debe seguir aplazando la audiencia o suspendiendo hasta que se pueda encontrar en la página de la Superintendencia una TRM antes de esa hora?</w:t>
      </w:r>
      <w:r w:rsidRPr="00551D21">
        <w:rPr>
          <w:rFonts w:ascii="Arial" w:eastAsia="Calibri" w:hAnsi="Arial" w:cs="Arial"/>
          <w:sz w:val="21"/>
          <w:szCs w:val="21"/>
          <w:lang w:val="es-CO"/>
        </w:rPr>
        <w:t>»</w:t>
      </w:r>
      <w:r w:rsidRPr="00551D21">
        <w:rPr>
          <w:rFonts w:ascii="Arial" w:eastAsia="Times New Roman" w:hAnsi="Arial" w:cs="Arial"/>
          <w:color w:val="000000" w:themeColor="text1"/>
          <w:sz w:val="21"/>
          <w:szCs w:val="21"/>
          <w:lang w:val="es-ES" w:eastAsia="es-ES_tradnl"/>
        </w:rPr>
        <w:t>.</w:t>
      </w:r>
    </w:p>
    <w:p w14:paraId="202EE8E3" w14:textId="77777777" w:rsidR="000D3473" w:rsidRPr="00551D21" w:rsidRDefault="000D3473" w:rsidP="00551D21">
      <w:pPr>
        <w:pStyle w:val="Prrafodelista"/>
        <w:spacing w:line="276" w:lineRule="auto"/>
        <w:ind w:left="709" w:right="709"/>
        <w:contextualSpacing w:val="0"/>
        <w:jc w:val="both"/>
        <w:rPr>
          <w:rFonts w:ascii="Arial" w:eastAsia="Times New Roman" w:hAnsi="Arial" w:cs="Arial"/>
          <w:color w:val="000000" w:themeColor="text1"/>
          <w:sz w:val="22"/>
          <w:lang w:val="es-ES" w:eastAsia="es-ES_tradnl"/>
        </w:rPr>
      </w:pPr>
    </w:p>
    <w:p w14:paraId="282EE5BB" w14:textId="38115B4B" w:rsidR="002035E7" w:rsidRPr="00551D21" w:rsidRDefault="002035E7" w:rsidP="00551D21">
      <w:pPr>
        <w:spacing w:after="120" w:line="276" w:lineRule="auto"/>
        <w:jc w:val="both"/>
        <w:textAlignment w:val="baseline"/>
        <w:rPr>
          <w:rFonts w:ascii="Arial" w:eastAsia="Times New Roman" w:hAnsi="Arial" w:cs="Arial"/>
          <w:sz w:val="22"/>
          <w:lang w:val="es-CO" w:eastAsia="es-CO"/>
        </w:rPr>
      </w:pPr>
      <w:r w:rsidRPr="00551D21">
        <w:rPr>
          <w:rFonts w:ascii="Arial" w:eastAsia="Calibri" w:hAnsi="Arial" w:cs="Arial"/>
          <w:sz w:val="22"/>
        </w:rPr>
        <w:t xml:space="preserve">Conforme a la interpretación de las normas generales del sistema de compras y contratación pública, </w:t>
      </w:r>
      <w:r w:rsidRPr="00551D21">
        <w:rPr>
          <w:rFonts w:ascii="Arial" w:eastAsia="Times New Roman" w:hAnsi="Arial" w:cs="Arial"/>
          <w:sz w:val="22"/>
          <w:lang w:eastAsia="es-CO"/>
        </w:rPr>
        <w:t>el numeral 4.1.4 del pliego de condiciones</w:t>
      </w:r>
      <w:r w:rsidR="00724AD2" w:rsidRPr="00551D21">
        <w:rPr>
          <w:rFonts w:ascii="Arial" w:eastAsia="Times New Roman" w:hAnsi="Arial" w:cs="Arial"/>
          <w:sz w:val="22"/>
          <w:lang w:eastAsia="es-CO"/>
        </w:rPr>
        <w:t xml:space="preserve"> de los documentos</w:t>
      </w:r>
      <w:r w:rsidR="00D64081" w:rsidRPr="00551D21">
        <w:rPr>
          <w:rFonts w:ascii="Arial" w:eastAsia="Times New Roman" w:hAnsi="Arial" w:cs="Arial"/>
          <w:sz w:val="22"/>
          <w:lang w:eastAsia="es-CO"/>
        </w:rPr>
        <w:t xml:space="preserve"> tipo de licitación para</w:t>
      </w:r>
      <w:r w:rsidR="00724AD2" w:rsidRPr="00551D21">
        <w:rPr>
          <w:rFonts w:ascii="Arial" w:eastAsia="Times New Roman" w:hAnsi="Arial" w:cs="Arial"/>
          <w:sz w:val="22"/>
          <w:lang w:eastAsia="es-CO"/>
        </w:rPr>
        <w:t xml:space="preserve"> obra pública de agua potable y</w:t>
      </w:r>
      <w:r w:rsidR="00D64081" w:rsidRPr="00551D21">
        <w:rPr>
          <w:rFonts w:ascii="Arial" w:eastAsia="Times New Roman" w:hAnsi="Arial" w:cs="Arial"/>
          <w:sz w:val="22"/>
          <w:lang w:eastAsia="es-CO"/>
        </w:rPr>
        <w:t xml:space="preserve"> saneamiento básico</w:t>
      </w:r>
      <w:r w:rsidRPr="00551D21">
        <w:rPr>
          <w:rFonts w:ascii="Arial" w:eastAsia="Times New Roman" w:hAnsi="Arial" w:cs="Arial"/>
          <w:sz w:val="22"/>
          <w:lang w:eastAsia="es-CO"/>
        </w:rPr>
        <w:t xml:space="preserve"> establece que «la entidad debe finalizar la apertura de los sobres económicos hasta antes de las 3:00 pm», de tal manera que «la entidad no podrá abrir los sobres económicos teniendo conocimiento de la TRM que regirá al día hábil siguiente». Lo anterior indica que, en lo relativo a la apertura de los sobres contentivos de la oferta económica, el Documento Base mantiene la obligación de iniciar y finalizar la apertura de los sobres en un mismo día, en el que también deberá definirse el método de ponderación, pero estableciendo además que ello deberá llevarse a cabo antes de las 3:00 pm del respectivo día. </w:t>
      </w:r>
      <w:r w:rsidRPr="00551D21">
        <w:rPr>
          <w:rFonts w:ascii="Arial" w:eastAsia="Times New Roman" w:hAnsi="Arial" w:cs="Arial"/>
          <w:sz w:val="22"/>
          <w:lang w:val="es-CO" w:eastAsia="es-CO"/>
        </w:rPr>
        <w:t> </w:t>
      </w:r>
    </w:p>
    <w:p w14:paraId="0CE80EB6" w14:textId="158B919A" w:rsidR="00B64632" w:rsidRPr="00551D21" w:rsidRDefault="00B64632" w:rsidP="00724AD2">
      <w:pPr>
        <w:spacing w:before="120" w:after="120" w:line="276" w:lineRule="auto"/>
        <w:jc w:val="both"/>
        <w:textAlignment w:val="baseline"/>
        <w:rPr>
          <w:rFonts w:ascii="Arial" w:eastAsia="Calibri" w:hAnsi="Arial" w:cs="Arial"/>
          <w:color w:val="000000"/>
          <w:sz w:val="22"/>
        </w:rPr>
      </w:pPr>
      <w:r w:rsidRPr="00551D21">
        <w:rPr>
          <w:rFonts w:ascii="Arial" w:eastAsia="Times New Roman" w:hAnsi="Arial" w:cs="Arial"/>
          <w:sz w:val="22"/>
          <w:lang w:val="es-CO" w:eastAsia="es-CO"/>
        </w:rPr>
        <w:tab/>
        <w:t xml:space="preserve">En este contexto, </w:t>
      </w:r>
      <w:r w:rsidRPr="00551D21">
        <w:rPr>
          <w:rFonts w:ascii="Arial" w:eastAsia="Calibri" w:hAnsi="Arial" w:cs="Arial"/>
          <w:sz w:val="22"/>
        </w:rPr>
        <w:t xml:space="preserve">la TRM que la entidad usará para el método de ponderación será la que aplique en el día hábil siguiente del día en que efectivamente sea la apertura del segundo sobre, según la publicación hecha por la Superintendencia </w:t>
      </w:r>
      <w:r w:rsidRPr="00551D21">
        <w:rPr>
          <w:rFonts w:ascii="Arial" w:eastAsia="Calibri" w:hAnsi="Arial" w:cs="Arial"/>
          <w:color w:val="000000"/>
          <w:sz w:val="22"/>
        </w:rPr>
        <w:t>en horas de la tarde el día de la apertura del segundo sobre</w:t>
      </w:r>
      <w:r w:rsidRPr="00551D21">
        <w:rPr>
          <w:rFonts w:ascii="Arial" w:eastAsia="Calibri" w:hAnsi="Arial" w:cs="Arial"/>
          <w:color w:val="000000"/>
          <w:sz w:val="22"/>
          <w:lang w:val="es-CO"/>
        </w:rPr>
        <w:t xml:space="preserve">. Por ejemplo, </w:t>
      </w:r>
      <w:r w:rsidRPr="00551D21">
        <w:rPr>
          <w:rFonts w:ascii="Arial" w:eastAsia="Calibri" w:hAnsi="Arial" w:cs="Arial"/>
          <w:color w:val="000000"/>
          <w:sz w:val="22"/>
        </w:rPr>
        <w:t>si la audiencia de adjudicación se realiza el 10 de febrero de 2020 y ese mismo día se abre el segundo sobre, la TRM que se usará para determinar el método de evaluación será la del 11 de febrero de 2020, que se publica en la tarde del 10 de febrero de 2020</w:t>
      </w:r>
      <w:r w:rsidR="003B0EFF" w:rsidRPr="00551D21">
        <w:rPr>
          <w:rFonts w:ascii="Arial" w:eastAsia="Calibri" w:hAnsi="Arial" w:cs="Arial"/>
          <w:color w:val="000000"/>
          <w:sz w:val="22"/>
        </w:rPr>
        <w:t>.</w:t>
      </w:r>
    </w:p>
    <w:p w14:paraId="265D7339" w14:textId="0B23E719" w:rsidR="005943E0" w:rsidRPr="00551D21" w:rsidRDefault="00DF264E" w:rsidP="00551D21">
      <w:pPr>
        <w:spacing w:before="120" w:line="276" w:lineRule="auto"/>
        <w:ind w:firstLine="705"/>
        <w:jc w:val="both"/>
        <w:textAlignment w:val="baseline"/>
        <w:rPr>
          <w:rFonts w:ascii="Arial" w:eastAsia="Times New Roman" w:hAnsi="Arial" w:cs="Arial"/>
          <w:sz w:val="22"/>
          <w:lang w:eastAsia="es-CO"/>
        </w:rPr>
      </w:pPr>
      <w:r w:rsidRPr="00551D21">
        <w:rPr>
          <w:rFonts w:ascii="Arial" w:eastAsia="Times New Roman" w:hAnsi="Arial" w:cs="Arial"/>
          <w:sz w:val="22"/>
          <w:lang w:eastAsia="es-CO"/>
        </w:rPr>
        <w:t>Así las cosas</w:t>
      </w:r>
      <w:r w:rsidR="005943E0" w:rsidRPr="00551D21">
        <w:rPr>
          <w:rFonts w:ascii="Arial" w:eastAsia="Times New Roman" w:hAnsi="Arial" w:cs="Arial"/>
          <w:sz w:val="22"/>
          <w:lang w:eastAsia="es-CO"/>
        </w:rPr>
        <w:t>, el numeral 4.1.4 establece que, atendiendo a las particularidades de cada proceso, la entidad podrá suspender la audiencia y reiniciarla cuando lo estime conveniente, de modo que la apertura de las ofertas económicas y la determinación del método de ponderación ocurran un mismo día, culminando la apertura antes de las 3:00 pm. </w:t>
      </w:r>
      <w:r w:rsidR="005943E0" w:rsidRPr="00551D21">
        <w:rPr>
          <w:rFonts w:ascii="Arial" w:eastAsia="Times New Roman" w:hAnsi="Arial" w:cs="Arial"/>
          <w:sz w:val="22"/>
          <w:lang w:val="es-CO" w:eastAsia="es-CO"/>
        </w:rPr>
        <w:t> </w:t>
      </w:r>
      <w:r w:rsidR="005943E0" w:rsidRPr="00551D21">
        <w:rPr>
          <w:rFonts w:ascii="Arial" w:eastAsia="Times New Roman" w:hAnsi="Arial" w:cs="Arial"/>
          <w:sz w:val="22"/>
          <w:lang w:eastAsia="es-CO"/>
        </w:rPr>
        <w:t xml:space="preserve">Este mecanismo para definir de forma aleatoria el método de ponderación de las ofertas económicas garantiza mayor transparencia en la evaluación. Esto en la medida en que establecer una hora límite para la apertura de las ofertas busca impedir que las entidades estatales conozcan antes o durante la apertura de las ofertas la TRM que determinará el método de ponderación, comoquiera que esta sería publicada por la Superintendencia Financiera en un momento </w:t>
      </w:r>
      <w:r w:rsidR="005943E0" w:rsidRPr="00551D21">
        <w:rPr>
          <w:rFonts w:ascii="Arial" w:eastAsia="Times New Roman" w:hAnsi="Arial" w:cs="Arial"/>
          <w:i/>
          <w:iCs/>
          <w:sz w:val="22"/>
          <w:lang w:eastAsia="es-CO"/>
        </w:rPr>
        <w:t>posterior</w:t>
      </w:r>
      <w:r w:rsidR="005943E0" w:rsidRPr="00551D21">
        <w:rPr>
          <w:rFonts w:ascii="Arial" w:eastAsia="Times New Roman" w:hAnsi="Arial" w:cs="Arial"/>
          <w:sz w:val="22"/>
          <w:lang w:eastAsia="es-CO"/>
        </w:rPr>
        <w:t xml:space="preserve"> a la apertura de las ofertas económicas.</w:t>
      </w:r>
      <w:r w:rsidR="005943E0" w:rsidRPr="00920DB9">
        <w:rPr>
          <w:rFonts w:ascii="Arial" w:eastAsia="Times New Roman" w:hAnsi="Arial" w:cs="Arial"/>
          <w:sz w:val="22"/>
          <w:lang w:eastAsia="es-CO"/>
        </w:rPr>
        <w:t> </w:t>
      </w:r>
    </w:p>
    <w:p w14:paraId="4F6CCCA6" w14:textId="1BF3DB64" w:rsidR="00314580" w:rsidRDefault="00314580">
      <w:pPr>
        <w:spacing w:after="120" w:line="276" w:lineRule="auto"/>
        <w:jc w:val="both"/>
        <w:rPr>
          <w:rFonts w:ascii="Arial" w:eastAsia="Times New Roman" w:hAnsi="Arial" w:cs="Arial"/>
          <w:sz w:val="22"/>
          <w:lang w:val="es-ES" w:eastAsia="es-ES_tradnl"/>
        </w:rPr>
      </w:pPr>
    </w:p>
    <w:p w14:paraId="138D33A2" w14:textId="3DFCCA3E" w:rsidR="00BE1E33" w:rsidRPr="009C7D09" w:rsidRDefault="00BE1E33" w:rsidP="00390C07">
      <w:pPr>
        <w:spacing w:after="120" w:line="276" w:lineRule="auto"/>
        <w:ind w:right="51"/>
        <w:jc w:val="both"/>
        <w:rPr>
          <w:rFonts w:ascii="Arial" w:eastAsia="Times New Roman" w:hAnsi="Arial" w:cs="Arial"/>
          <w:sz w:val="22"/>
          <w:bdr w:val="none" w:sz="0" w:space="0" w:color="auto" w:frame="1"/>
          <w:shd w:val="clear" w:color="auto" w:fill="FFFFFF"/>
          <w:lang w:val="es-ES_tradnl" w:eastAsia="es-ES_tradnl"/>
        </w:rPr>
      </w:pPr>
      <w:r w:rsidRPr="002F2A79">
        <w:rPr>
          <w:rFonts w:ascii="Arial" w:eastAsia="Times New Roman" w:hAnsi="Arial" w:cs="Arial"/>
          <w:sz w:val="22"/>
          <w:bdr w:val="none" w:sz="0" w:space="0" w:color="auto" w:frame="1"/>
          <w:shd w:val="clear" w:color="auto" w:fill="FFFFFF"/>
          <w:lang w:val="es-ES_tradnl" w:eastAsia="es-ES_tradnl"/>
        </w:rPr>
        <w:t>Este concepto tiene el alcance previsto en el artículo 28 del Código de Procedimiento Administrativo y de lo Contencioso Administrativo</w:t>
      </w:r>
      <w:r w:rsidRPr="009C7D09">
        <w:rPr>
          <w:rFonts w:ascii="Arial" w:eastAsia="Times New Roman" w:hAnsi="Arial" w:cs="Arial"/>
          <w:sz w:val="22"/>
          <w:bdr w:val="none" w:sz="0" w:space="0" w:color="auto" w:frame="1"/>
          <w:shd w:val="clear" w:color="auto" w:fill="FFFFFF"/>
          <w:lang w:val="es-ES_tradnl" w:eastAsia="es-ES_tradnl"/>
        </w:rPr>
        <w:t>.</w:t>
      </w:r>
    </w:p>
    <w:p w14:paraId="728C0EEA" w14:textId="77777777" w:rsidR="00BD66E3" w:rsidRPr="009C7D09" w:rsidRDefault="00BD66E3" w:rsidP="00BD66E3">
      <w:pPr>
        <w:spacing w:after="120" w:line="276" w:lineRule="auto"/>
        <w:ind w:right="51"/>
        <w:jc w:val="both"/>
        <w:rPr>
          <w:rFonts w:ascii="Arial" w:eastAsia="Calibri" w:hAnsi="Arial" w:cs="Arial"/>
          <w:sz w:val="22"/>
          <w:lang w:val="es-ES_tradnl"/>
        </w:rPr>
      </w:pPr>
    </w:p>
    <w:p w14:paraId="2B02915D" w14:textId="77777777" w:rsidR="00BE1E33" w:rsidRPr="009C7D09" w:rsidRDefault="00BE1E33" w:rsidP="00BE1E33">
      <w:pPr>
        <w:jc w:val="both"/>
        <w:rPr>
          <w:rFonts w:ascii="Arial" w:eastAsia="Times New Roman" w:hAnsi="Arial" w:cs="Arial"/>
          <w:sz w:val="22"/>
          <w:lang w:val="es-ES_tradnl" w:eastAsia="es-CO"/>
        </w:rPr>
      </w:pPr>
      <w:r w:rsidRPr="009C7D09">
        <w:rPr>
          <w:rFonts w:ascii="Arial" w:eastAsia="Times New Roman" w:hAnsi="Arial" w:cs="Arial"/>
          <w:sz w:val="22"/>
          <w:lang w:val="es-ES_tradnl" w:eastAsia="es-CO"/>
        </w:rPr>
        <w:t>Atentamente,</w:t>
      </w:r>
    </w:p>
    <w:bookmarkEnd w:id="0"/>
    <w:bookmarkEnd w:id="1"/>
    <w:p w14:paraId="1C8F6984" w14:textId="266EAC9B" w:rsidR="00BE1E33" w:rsidRPr="00FB1DF4" w:rsidRDefault="00551D21" w:rsidP="00BE1E33">
      <w:pPr>
        <w:jc w:val="center"/>
        <w:rPr>
          <w:rFonts w:ascii="Arial" w:eastAsia="Times New Roman" w:hAnsi="Arial" w:cs="Arial"/>
          <w:sz w:val="22"/>
          <w:lang w:val="es-ES_tradnl" w:eastAsia="es-CO"/>
        </w:rPr>
      </w:pPr>
      <w:r w:rsidRPr="00B25B3D">
        <w:rPr>
          <w:rFonts w:ascii="Arial" w:hAnsi="Arial" w:cs="Arial"/>
          <w:noProof/>
          <w:sz w:val="18"/>
          <w:szCs w:val="20"/>
        </w:rPr>
        <w:drawing>
          <wp:inline distT="0" distB="0" distL="0" distR="0" wp14:anchorId="7EE08594" wp14:editId="067185B7">
            <wp:extent cx="2409825" cy="1064530"/>
            <wp:effectExtent l="0" t="0" r="0" b="2540"/>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6260" cy="1067373"/>
                    </a:xfrm>
                    <a:prstGeom prst="rect">
                      <a:avLst/>
                    </a:prstGeom>
                    <a:noFill/>
                    <a:ln>
                      <a:noFill/>
                    </a:ln>
                  </pic:spPr>
                </pic:pic>
              </a:graphicData>
            </a:graphic>
          </wp:inline>
        </w:drawing>
      </w:r>
    </w:p>
    <w:p w14:paraId="091B590C" w14:textId="208B1D7B" w:rsidR="00A2462A" w:rsidRPr="00FB1DF4" w:rsidRDefault="00A2462A" w:rsidP="00BE1E33">
      <w:pPr>
        <w:jc w:val="center"/>
        <w:rPr>
          <w:rFonts w:ascii="Arial" w:eastAsia="Times New Roman" w:hAnsi="Arial" w:cs="Arial"/>
          <w:sz w:val="22"/>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85885" w:rsidRPr="009C7D09" w14:paraId="7E5CB93D" w14:textId="77777777" w:rsidTr="00707C46">
        <w:trPr>
          <w:trHeight w:val="315"/>
        </w:trPr>
        <w:tc>
          <w:tcPr>
            <w:tcW w:w="812" w:type="dxa"/>
            <w:vAlign w:val="center"/>
            <w:hideMark/>
          </w:tcPr>
          <w:p w14:paraId="44CFA06E" w14:textId="77777777" w:rsidR="00BE1E33" w:rsidRPr="00CB2E46" w:rsidRDefault="00BE1E33" w:rsidP="00707C46">
            <w:pPr>
              <w:rPr>
                <w:rFonts w:ascii="Arial" w:eastAsia="Times New Roman" w:hAnsi="Arial" w:cs="Arial"/>
                <w:sz w:val="16"/>
                <w:lang w:val="es-ES_tradnl" w:eastAsia="es-ES"/>
              </w:rPr>
            </w:pPr>
            <w:r w:rsidRPr="004966EF">
              <w:rPr>
                <w:rFonts w:ascii="Arial" w:eastAsia="Times New Roman" w:hAnsi="Arial" w:cs="Arial"/>
                <w:sz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6D7561C" w14:textId="38E7947F" w:rsidR="00BE1E33" w:rsidRPr="009C7D09" w:rsidRDefault="00273721" w:rsidP="00707C46">
            <w:pPr>
              <w:rPr>
                <w:rFonts w:ascii="Arial" w:eastAsia="Times New Roman" w:hAnsi="Arial" w:cs="Arial"/>
                <w:sz w:val="16"/>
                <w:lang w:val="es-ES_tradnl" w:eastAsia="es-ES"/>
              </w:rPr>
            </w:pPr>
            <w:r>
              <w:rPr>
                <w:rFonts w:ascii="Arial" w:eastAsia="Times New Roman" w:hAnsi="Arial" w:cs="Arial"/>
                <w:sz w:val="16"/>
                <w:lang w:val="es-ES_tradnl" w:eastAsia="es-ES"/>
              </w:rPr>
              <w:t>Laura Alejandra Materón García</w:t>
            </w:r>
          </w:p>
          <w:p w14:paraId="6C4A6DA1" w14:textId="01349010" w:rsidR="00982E99" w:rsidRPr="009C7D09" w:rsidRDefault="00273721" w:rsidP="00707C46">
            <w:pPr>
              <w:rPr>
                <w:rFonts w:ascii="Arial" w:eastAsia="Times New Roman" w:hAnsi="Arial" w:cs="Arial"/>
                <w:sz w:val="16"/>
                <w:lang w:val="es-ES_tradnl" w:eastAsia="es-ES"/>
              </w:rPr>
            </w:pPr>
            <w:r>
              <w:rPr>
                <w:rFonts w:ascii="Arial" w:eastAsia="Times New Roman" w:hAnsi="Arial" w:cs="Arial"/>
                <w:sz w:val="16"/>
                <w:lang w:val="es-ES_tradnl" w:eastAsia="es-ES"/>
              </w:rPr>
              <w:t>Analista T2-01</w:t>
            </w:r>
            <w:r w:rsidR="00982E99" w:rsidRPr="009C7D09">
              <w:rPr>
                <w:rFonts w:ascii="Arial" w:eastAsia="Times New Roman" w:hAnsi="Arial" w:cs="Arial"/>
                <w:sz w:val="16"/>
                <w:lang w:val="es-ES_tradnl" w:eastAsia="es-ES"/>
              </w:rPr>
              <w:t xml:space="preserve"> de la Subdirección de Gestión Contractual</w:t>
            </w:r>
          </w:p>
        </w:tc>
      </w:tr>
      <w:tr w:rsidR="00985885" w:rsidRPr="009C7D09" w14:paraId="092BCD16" w14:textId="77777777" w:rsidTr="00707C46">
        <w:trPr>
          <w:trHeight w:val="330"/>
        </w:trPr>
        <w:tc>
          <w:tcPr>
            <w:tcW w:w="812" w:type="dxa"/>
            <w:vAlign w:val="center"/>
            <w:hideMark/>
          </w:tcPr>
          <w:p w14:paraId="463B4DD3" w14:textId="77777777" w:rsidR="00BE1E33" w:rsidRPr="009C7D09" w:rsidRDefault="00BE1E33" w:rsidP="00707C46">
            <w:pPr>
              <w:rPr>
                <w:rFonts w:ascii="Arial" w:eastAsia="Times New Roman" w:hAnsi="Arial" w:cs="Arial"/>
                <w:sz w:val="16"/>
                <w:lang w:val="es-ES_tradnl" w:eastAsia="es-ES"/>
              </w:rPr>
            </w:pPr>
            <w:r w:rsidRPr="009C7D09">
              <w:rPr>
                <w:rFonts w:ascii="Arial" w:eastAsia="Times New Roman" w:hAnsi="Arial" w:cs="Arial"/>
                <w:sz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1BC8980" w14:textId="595760E2" w:rsidR="00695109" w:rsidRPr="00F218E0" w:rsidRDefault="00273721" w:rsidP="00695109">
            <w:pPr>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 xml:space="preserve">Juan David Montoya Penagos </w:t>
            </w:r>
          </w:p>
          <w:p w14:paraId="72718C99" w14:textId="08F3AB1A" w:rsidR="00BE1E33" w:rsidRPr="00C04E06" w:rsidRDefault="00695109" w:rsidP="00695109">
            <w:pPr>
              <w:rPr>
                <w:rFonts w:ascii="Arial" w:eastAsia="Times New Roman" w:hAnsi="Arial" w:cs="Arial"/>
                <w:sz w:val="16"/>
                <w:lang w:val="es-ES_tradnl" w:eastAsia="es-ES"/>
              </w:rPr>
            </w:pPr>
            <w:r w:rsidRPr="009868CC">
              <w:rPr>
                <w:rFonts w:ascii="Arial" w:hAnsi="Arial" w:cs="Arial"/>
                <w:sz w:val="16"/>
                <w:szCs w:val="16"/>
                <w:lang w:val="es-ES_tradnl" w:eastAsia="es-ES"/>
              </w:rPr>
              <w:t>Gestor T1-15 de la Subdirección de Gestión Contractual</w:t>
            </w:r>
          </w:p>
        </w:tc>
      </w:tr>
      <w:tr w:rsidR="00985885" w:rsidRPr="00985885" w14:paraId="57DAFEF9" w14:textId="77777777" w:rsidTr="00707C46">
        <w:trPr>
          <w:trHeight w:val="300"/>
        </w:trPr>
        <w:tc>
          <w:tcPr>
            <w:tcW w:w="812" w:type="dxa"/>
            <w:vAlign w:val="center"/>
            <w:hideMark/>
          </w:tcPr>
          <w:p w14:paraId="70677013" w14:textId="77777777" w:rsidR="00BE1E33" w:rsidRPr="009C7D09" w:rsidRDefault="00BE1E33" w:rsidP="00707C46">
            <w:pPr>
              <w:rPr>
                <w:rFonts w:ascii="Arial" w:eastAsia="Times New Roman" w:hAnsi="Arial" w:cs="Arial"/>
                <w:sz w:val="16"/>
                <w:lang w:val="es-ES_tradnl" w:eastAsia="es-ES"/>
              </w:rPr>
            </w:pPr>
            <w:r w:rsidRPr="009C7D09">
              <w:rPr>
                <w:rFonts w:ascii="Arial" w:eastAsia="Times New Roman" w:hAnsi="Arial" w:cs="Arial"/>
                <w:sz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10E2AF5F" w:rsidR="00BE1E33" w:rsidRPr="009C7D09" w:rsidRDefault="00346F88" w:rsidP="00707C46">
            <w:pPr>
              <w:rPr>
                <w:rFonts w:ascii="Arial" w:eastAsia="Times New Roman" w:hAnsi="Arial" w:cs="Arial"/>
                <w:sz w:val="16"/>
                <w:lang w:val="es-ES_tradnl" w:eastAsia="es-ES"/>
              </w:rPr>
            </w:pPr>
            <w:r w:rsidRPr="009C7D09">
              <w:rPr>
                <w:rFonts w:ascii="Arial" w:eastAsia="Times New Roman" w:hAnsi="Arial" w:cs="Arial"/>
                <w:sz w:val="16"/>
                <w:lang w:val="es-ES_tradnl" w:eastAsia="es-ES"/>
              </w:rPr>
              <w:t>Jorge Augusto Tirado Navarro</w:t>
            </w:r>
          </w:p>
          <w:p w14:paraId="75BC677C" w14:textId="5ABD0507" w:rsidR="00BE1E33" w:rsidRPr="00A2462A" w:rsidRDefault="00346F88" w:rsidP="00707C46">
            <w:pPr>
              <w:rPr>
                <w:rFonts w:ascii="Arial" w:eastAsia="Times New Roman" w:hAnsi="Arial" w:cs="Arial"/>
                <w:sz w:val="16"/>
                <w:lang w:val="es-ES_tradnl" w:eastAsia="es-ES"/>
              </w:rPr>
            </w:pPr>
            <w:r w:rsidRPr="009C7D09">
              <w:rPr>
                <w:rFonts w:ascii="Arial" w:eastAsia="Times New Roman" w:hAnsi="Arial" w:cs="Arial"/>
                <w:sz w:val="16"/>
                <w:lang w:val="es-ES_tradnl" w:eastAsia="es-ES"/>
              </w:rPr>
              <w:t>Subdirector de Gestión Contractual</w:t>
            </w:r>
            <w:r w:rsidR="00ED2CB5">
              <w:rPr>
                <w:rFonts w:ascii="Arial" w:eastAsia="Times New Roman" w:hAnsi="Arial" w:cs="Arial"/>
                <w:sz w:val="16"/>
                <w:lang w:val="es-ES_tradnl" w:eastAsia="es-ES"/>
              </w:rPr>
              <w:t xml:space="preserve"> ANCP – CCE</w:t>
            </w:r>
          </w:p>
        </w:tc>
      </w:tr>
    </w:tbl>
    <w:p w14:paraId="085A31AB" w14:textId="2FC96352" w:rsidR="006C5955" w:rsidRDefault="006C5955" w:rsidP="00BD66E3">
      <w:pPr>
        <w:rPr>
          <w:sz w:val="22"/>
          <w:lang w:val="es-ES_tradnl"/>
        </w:rPr>
      </w:pPr>
    </w:p>
    <w:p w14:paraId="5BF41B87" w14:textId="3ED0E29C" w:rsidR="000C0909" w:rsidRDefault="000C0909" w:rsidP="00BD66E3">
      <w:pPr>
        <w:rPr>
          <w:sz w:val="22"/>
          <w:lang w:val="es-ES_tradnl"/>
        </w:rPr>
      </w:pPr>
    </w:p>
    <w:p w14:paraId="6E9248F8" w14:textId="7D064B2D" w:rsidR="000C0909" w:rsidRDefault="000C0909" w:rsidP="00BD66E3">
      <w:pPr>
        <w:rPr>
          <w:sz w:val="22"/>
          <w:lang w:val="es-ES_tradnl"/>
        </w:rPr>
      </w:pPr>
    </w:p>
    <w:p w14:paraId="58982299" w14:textId="5C655C62" w:rsidR="00147D40" w:rsidRDefault="00147D40" w:rsidP="00147D40">
      <w:pPr>
        <w:jc w:val="both"/>
        <w:rPr>
          <w:rFonts w:ascii="Arial" w:eastAsia="Calibri" w:hAnsi="Arial" w:cs="Arial"/>
          <w:b/>
          <w:sz w:val="22"/>
          <w:lang w:val="es-CO"/>
        </w:rPr>
      </w:pPr>
    </w:p>
    <w:p w14:paraId="0BDC1CAB" w14:textId="5F7424A4" w:rsidR="00357192" w:rsidRPr="00FB4853" w:rsidRDefault="00357192" w:rsidP="00357192">
      <w:pPr>
        <w:jc w:val="both"/>
        <w:rPr>
          <w:rFonts w:ascii="Arial" w:eastAsia="Calibri" w:hAnsi="Arial" w:cs="Arial"/>
          <w:b/>
          <w:sz w:val="22"/>
          <w:lang w:val="es-CO"/>
        </w:rPr>
      </w:pPr>
    </w:p>
    <w:p w14:paraId="757EEB90" w14:textId="16447350" w:rsidR="000C0909" w:rsidRPr="00357192" w:rsidRDefault="000C0909" w:rsidP="00BD66E3">
      <w:pPr>
        <w:rPr>
          <w:sz w:val="22"/>
          <w:lang w:val="es-CO"/>
        </w:rPr>
      </w:pPr>
    </w:p>
    <w:sectPr w:rsidR="000C0909" w:rsidRPr="00357192" w:rsidSect="00707C46">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28FA4" w14:textId="77777777" w:rsidR="001367AE" w:rsidRDefault="001367AE" w:rsidP="008C487C">
      <w:r>
        <w:separator/>
      </w:r>
    </w:p>
  </w:endnote>
  <w:endnote w:type="continuationSeparator" w:id="0">
    <w:p w14:paraId="45114B81" w14:textId="77777777" w:rsidR="001367AE" w:rsidRDefault="001367AE"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Calibri">
    <w:altName w:val="Arial"/>
    <w:charset w:val="00"/>
    <w:family w:val="roman"/>
    <w:pitch w:val="default"/>
  </w:font>
  <w:font w:name="Arial,Times New Roman">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707C46" w:rsidRDefault="00707C46" w:rsidP="00707C46">
    <w:pPr>
      <w:pStyle w:val="Sinespaciado"/>
      <w:jc w:val="right"/>
      <w:rPr>
        <w:rFonts w:ascii="Arial" w:hAnsi="Arial" w:cs="Arial"/>
        <w:sz w:val="18"/>
        <w:szCs w:val="18"/>
      </w:rPr>
    </w:pPr>
  </w:p>
  <w:p w14:paraId="709352A1" w14:textId="77777777" w:rsidR="00F501D2" w:rsidRDefault="00F501D2" w:rsidP="00707C46">
    <w:pPr>
      <w:pStyle w:val="Sinespaciado"/>
      <w:jc w:val="right"/>
      <w:rPr>
        <w:rFonts w:ascii="Arial" w:hAnsi="Arial" w:cs="Arial"/>
        <w:sz w:val="18"/>
        <w:szCs w:val="18"/>
      </w:rPr>
    </w:pPr>
  </w:p>
  <w:p w14:paraId="3D3EB348" w14:textId="72BF9432" w:rsidR="00707C46" w:rsidRPr="008217B7" w:rsidRDefault="008C487C" w:rsidP="00707C46">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D66E3">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D66E3">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29709EEF" w14:textId="77777777" w:rsidR="00707C46" w:rsidRDefault="008C487C" w:rsidP="00707C46">
    <w:pPr>
      <w:pStyle w:val="Piedepgina"/>
      <w:jc w:val="center"/>
      <w:rPr>
        <w:lang w:val="es-ES"/>
      </w:rPr>
    </w:pPr>
    <w:r>
      <w:rPr>
        <w:noProof/>
        <w:lang w:val="es-419" w:eastAsia="es-419"/>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707C46" w:rsidRPr="00E756AC" w:rsidRDefault="00707C46" w:rsidP="00707C46">
    <w:pPr>
      <w:pStyle w:val="Piedepgina"/>
      <w:jc w:val="center"/>
      <w:rPr>
        <w:sz w:val="18"/>
        <w:szCs w:val="18"/>
        <w:lang w:val="es-ES"/>
      </w:rPr>
    </w:pPr>
  </w:p>
  <w:p w14:paraId="428179B1" w14:textId="77777777" w:rsidR="00707C46" w:rsidRPr="00E756AC" w:rsidRDefault="00707C46" w:rsidP="00707C46">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A53B2" w14:textId="77777777" w:rsidR="001367AE" w:rsidRDefault="001367AE" w:rsidP="008C487C">
      <w:r>
        <w:separator/>
      </w:r>
    </w:p>
  </w:footnote>
  <w:footnote w:type="continuationSeparator" w:id="0">
    <w:p w14:paraId="5CAABA1A" w14:textId="77777777" w:rsidR="001367AE" w:rsidRDefault="001367AE" w:rsidP="008C487C">
      <w:r>
        <w:continuationSeparator/>
      </w:r>
    </w:p>
  </w:footnote>
  <w:footnote w:id="1">
    <w:p w14:paraId="41BDB7C6" w14:textId="77777777" w:rsidR="00A2342B" w:rsidRDefault="00A2342B" w:rsidP="00A2342B">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w:t>
      </w:r>
    </w:p>
  </w:footnote>
  <w:footnote w:id="2">
    <w:p w14:paraId="4DF4381C" w14:textId="77777777" w:rsidR="00DE4EF6" w:rsidRPr="0082639E" w:rsidRDefault="00DE4EF6" w:rsidP="00DE4EF6">
      <w:pPr>
        <w:pStyle w:val="Textonotapie"/>
        <w:ind w:firstLine="708"/>
        <w:jc w:val="both"/>
        <w:rPr>
          <w:rFonts w:ascii="Arial" w:hAnsi="Arial" w:cs="Arial"/>
          <w:sz w:val="19"/>
          <w:szCs w:val="19"/>
        </w:rPr>
      </w:pPr>
      <w:r>
        <w:rPr>
          <w:rStyle w:val="Refdenotaalpie"/>
        </w:rPr>
        <w:footnoteRef/>
      </w:r>
      <w:r>
        <w:t xml:space="preserve"> </w:t>
      </w:r>
      <w:r w:rsidRPr="0082639E">
        <w:rPr>
          <w:rFonts w:ascii="Arial" w:hAnsi="Arial" w:cs="Arial"/>
          <w:sz w:val="19"/>
          <w:szCs w:val="19"/>
          <w:lang w:val="es-CO"/>
        </w:rPr>
        <w:t xml:space="preserve">Ley 1882 de 2018: «Artículo 4. </w:t>
      </w:r>
      <w:r w:rsidRPr="0082639E">
        <w:rPr>
          <w:rFonts w:ascii="Arial" w:hAnsi="Arial" w:cs="Arial"/>
          <w:b/>
          <w:bCs/>
          <w:sz w:val="19"/>
          <w:szCs w:val="19"/>
        </w:rPr>
        <w:t> </w:t>
      </w:r>
      <w:r w:rsidRPr="0082639E">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2D197ACA" w14:textId="77777777" w:rsidR="00DE4EF6" w:rsidRPr="0082639E" w:rsidRDefault="00DE4EF6" w:rsidP="00DE4EF6">
      <w:pPr>
        <w:pStyle w:val="Textonotapie"/>
        <w:ind w:firstLine="708"/>
        <w:jc w:val="both"/>
        <w:rPr>
          <w:rFonts w:ascii="Arial" w:hAnsi="Arial" w:cs="Arial"/>
          <w:sz w:val="19"/>
          <w:szCs w:val="19"/>
          <w:lang w:val="es-CO"/>
        </w:rPr>
      </w:pPr>
      <w:proofErr w:type="gramStart"/>
      <w:r w:rsidRPr="0082639E">
        <w:rPr>
          <w:rFonts w:ascii="Arial" w:hAnsi="Arial" w:cs="Arial"/>
          <w:sz w:val="19"/>
          <w:szCs w:val="19"/>
          <w:lang w:val="es-CO"/>
        </w:rPr>
        <w:t>»La</w:t>
      </w:r>
      <w:proofErr w:type="gramEnd"/>
      <w:r w:rsidRPr="0082639E">
        <w:rPr>
          <w:rFonts w:ascii="Arial" w:hAnsi="Arial" w:cs="Arial"/>
          <w:sz w:val="19"/>
          <w:szCs w:val="19"/>
          <w:lang w:val="es-CO"/>
        </w:rPr>
        <w:t xml:space="preserve"> facultad de adoptar documentos tipo la tendrá el Gobierno nacional, cuando lo considere necesario, en relación con otros contratos o procesos de selección.</w:t>
      </w:r>
    </w:p>
    <w:p w14:paraId="45887172" w14:textId="77777777" w:rsidR="00DE4EF6" w:rsidRPr="0082639E" w:rsidRDefault="00DE4EF6" w:rsidP="00DE4EF6">
      <w:pPr>
        <w:pStyle w:val="Textonotapie"/>
        <w:ind w:firstLine="708"/>
        <w:jc w:val="both"/>
        <w:rPr>
          <w:rFonts w:ascii="Arial" w:hAnsi="Arial" w:cs="Arial"/>
          <w:sz w:val="19"/>
          <w:szCs w:val="19"/>
          <w:lang w:val="es-CO"/>
        </w:rPr>
      </w:pPr>
      <w:proofErr w:type="gramStart"/>
      <w:r>
        <w:rPr>
          <w:rFonts w:ascii="Arial" w:hAnsi="Arial" w:cs="Arial"/>
          <w:sz w:val="19"/>
          <w:szCs w:val="19"/>
          <w:lang w:val="es-CO"/>
        </w:rPr>
        <w:t>»</w:t>
      </w:r>
      <w:r w:rsidRPr="0082639E">
        <w:rPr>
          <w:rFonts w:ascii="Arial" w:hAnsi="Arial" w:cs="Arial"/>
          <w:sz w:val="19"/>
          <w:szCs w:val="19"/>
          <w:lang w:val="es-CO"/>
        </w:rPr>
        <w:t>Los</w:t>
      </w:r>
      <w:proofErr w:type="gramEnd"/>
      <w:r w:rsidRPr="0082639E">
        <w:rPr>
          <w:rFonts w:ascii="Arial" w:hAnsi="Arial" w:cs="Arial"/>
          <w:sz w:val="19"/>
          <w:szCs w:val="19"/>
          <w:lang w:val="es-CO"/>
        </w:rPr>
        <w:t xml:space="preserve"> pliegos tipo se adoptarán por categorías de acuerdo con la cuantía de la contratación, según la reglamentación que expida el Gobierno nacional</w:t>
      </w:r>
      <w:r>
        <w:rPr>
          <w:rFonts w:ascii="Arial" w:hAnsi="Arial" w:cs="Arial"/>
          <w:sz w:val="19"/>
          <w:szCs w:val="19"/>
          <w:lang w:val="es-CO"/>
        </w:rPr>
        <w:t>»</w:t>
      </w:r>
      <w:r w:rsidRPr="0082639E">
        <w:rPr>
          <w:rFonts w:ascii="Arial" w:hAnsi="Arial" w:cs="Arial"/>
          <w:sz w:val="19"/>
          <w:szCs w:val="19"/>
          <w:lang w:val="es-CO"/>
        </w:rPr>
        <w:t>.</w:t>
      </w:r>
    </w:p>
    <w:p w14:paraId="1E7508FE" w14:textId="77777777" w:rsidR="00DE4EF6" w:rsidRPr="0082639E" w:rsidRDefault="00DE4EF6" w:rsidP="00DE4EF6">
      <w:pPr>
        <w:pStyle w:val="Textonotapie"/>
        <w:jc w:val="both"/>
        <w:rPr>
          <w:sz w:val="19"/>
          <w:szCs w:val="19"/>
          <w:lang w:val="es-CO"/>
        </w:rPr>
      </w:pPr>
    </w:p>
  </w:footnote>
  <w:footnote w:id="3">
    <w:p w14:paraId="0AE6C54E" w14:textId="77777777" w:rsidR="00DE4EF6" w:rsidRPr="00270009" w:rsidRDefault="00DE4EF6" w:rsidP="00DE4EF6">
      <w:pPr>
        <w:pStyle w:val="Textonotapie"/>
        <w:ind w:firstLine="709"/>
        <w:jc w:val="both"/>
        <w:rPr>
          <w:rFonts w:ascii="Arial" w:hAnsi="Arial" w:cs="Arial"/>
          <w:sz w:val="19"/>
          <w:szCs w:val="19"/>
        </w:rPr>
      </w:pPr>
      <w:r w:rsidRPr="00270009">
        <w:rPr>
          <w:rStyle w:val="Refdenotaalpie"/>
          <w:rFonts w:ascii="Arial" w:hAnsi="Arial" w:cs="Arial"/>
          <w:sz w:val="19"/>
          <w:szCs w:val="19"/>
        </w:rPr>
        <w:footnoteRef/>
      </w:r>
      <w:r w:rsidRPr="00270009">
        <w:rPr>
          <w:rFonts w:ascii="Arial" w:hAnsi="Arial" w:cs="Arial"/>
          <w:sz w:val="19"/>
          <w:szCs w:val="19"/>
        </w:rP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522BEA52" w14:textId="77777777" w:rsidR="00DE4EF6" w:rsidRPr="00270009" w:rsidRDefault="00DE4EF6" w:rsidP="00DE4EF6">
      <w:pPr>
        <w:pStyle w:val="Textonotapie"/>
        <w:ind w:firstLine="709"/>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Dentro</w:t>
      </w:r>
      <w:proofErr w:type="gramEnd"/>
      <w:r w:rsidRPr="00270009">
        <w:rPr>
          <w:rFonts w:ascii="Arial" w:hAnsi="Arial" w:cs="Arial"/>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79C93356" w14:textId="77777777" w:rsidR="00DE4EF6" w:rsidRPr="00270009" w:rsidRDefault="00DE4EF6" w:rsidP="00DE4EF6">
      <w:pPr>
        <w:pStyle w:val="Textonotapie"/>
        <w:ind w:firstLine="709"/>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Con</w:t>
      </w:r>
      <w:proofErr w:type="gramEnd"/>
      <w:r w:rsidRPr="00270009">
        <w:rPr>
          <w:rFonts w:ascii="Arial" w:hAnsi="Arial" w:cs="Arial"/>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36C36B7F" w14:textId="77777777" w:rsidR="00DE4EF6" w:rsidRPr="00270009" w:rsidRDefault="00DE4EF6" w:rsidP="00DE4EF6">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01FFA75B" w14:textId="77777777" w:rsidR="00DE4EF6" w:rsidRPr="00146D26" w:rsidRDefault="00DE4EF6" w:rsidP="00DE4EF6">
      <w:pPr>
        <w:pStyle w:val="Textonotapie"/>
        <w:ind w:firstLine="708"/>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En</w:t>
      </w:r>
      <w:proofErr w:type="gramEnd"/>
      <w:r w:rsidRPr="00270009">
        <w:rPr>
          <w:rFonts w:ascii="Arial" w:hAnsi="Arial" w:cs="Arial"/>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4">
    <w:p w14:paraId="1A46271D" w14:textId="2B4AB356" w:rsidR="003A1F75" w:rsidRPr="005A5BF9" w:rsidRDefault="003A1F75" w:rsidP="003A1F75">
      <w:pPr>
        <w:pStyle w:val="Textonotapie"/>
        <w:ind w:firstLine="708"/>
        <w:jc w:val="both"/>
        <w:rPr>
          <w:rFonts w:ascii="Arial" w:hAnsi="Arial" w:cs="Arial"/>
          <w:color w:val="000000" w:themeColor="text1"/>
          <w:sz w:val="19"/>
          <w:szCs w:val="19"/>
        </w:rPr>
      </w:pPr>
      <w:r w:rsidRPr="005A0B35">
        <w:rPr>
          <w:rStyle w:val="Refdenotaalpie"/>
          <w:rFonts w:ascii="Arial" w:hAnsi="Arial" w:cs="Arial"/>
          <w:color w:val="000000" w:themeColor="text1"/>
          <w:sz w:val="19"/>
          <w:szCs w:val="19"/>
        </w:rPr>
        <w:footnoteRef/>
      </w:r>
      <w:r w:rsidRPr="005A0B35">
        <w:rPr>
          <w:rFonts w:ascii="Arial" w:hAnsi="Arial" w:cs="Arial"/>
          <w:color w:val="000000" w:themeColor="text1"/>
          <w:sz w:val="19"/>
          <w:szCs w:val="19"/>
        </w:rPr>
        <w:t xml:space="preserve"> </w:t>
      </w:r>
      <w:r w:rsidR="00B10457" w:rsidRPr="005A0B35">
        <w:rPr>
          <w:rFonts w:ascii="Arial" w:hAnsi="Arial" w:cs="Arial"/>
          <w:color w:val="000000" w:themeColor="text1"/>
          <w:sz w:val="19"/>
          <w:szCs w:val="19"/>
        </w:rPr>
        <w:t xml:space="preserve">Banco </w:t>
      </w:r>
      <w:r w:rsidR="00B10457">
        <w:rPr>
          <w:rFonts w:ascii="Arial" w:hAnsi="Arial" w:cs="Arial"/>
          <w:color w:val="000000" w:themeColor="text1"/>
          <w:sz w:val="19"/>
          <w:szCs w:val="19"/>
        </w:rPr>
        <w:t>d</w:t>
      </w:r>
      <w:r w:rsidR="00B10457" w:rsidRPr="005A0B35">
        <w:rPr>
          <w:rFonts w:ascii="Arial" w:hAnsi="Arial" w:cs="Arial"/>
          <w:color w:val="000000" w:themeColor="text1"/>
          <w:sz w:val="19"/>
          <w:szCs w:val="19"/>
        </w:rPr>
        <w:t xml:space="preserve">e </w:t>
      </w:r>
      <w:r w:rsidR="00B10457">
        <w:rPr>
          <w:rFonts w:ascii="Arial" w:hAnsi="Arial" w:cs="Arial"/>
          <w:color w:val="000000" w:themeColor="text1"/>
          <w:sz w:val="19"/>
          <w:szCs w:val="19"/>
        </w:rPr>
        <w:t>l</w:t>
      </w:r>
      <w:r w:rsidR="00B10457" w:rsidRPr="005A0B35">
        <w:rPr>
          <w:rFonts w:ascii="Arial" w:hAnsi="Arial" w:cs="Arial"/>
          <w:color w:val="000000" w:themeColor="text1"/>
          <w:sz w:val="19"/>
          <w:szCs w:val="19"/>
        </w:rPr>
        <w:t>a República</w:t>
      </w:r>
      <w:r w:rsidRPr="005A0B35">
        <w:rPr>
          <w:rFonts w:ascii="Arial" w:hAnsi="Arial" w:cs="Arial"/>
          <w:color w:val="000000" w:themeColor="text1"/>
          <w:sz w:val="19"/>
          <w:szCs w:val="19"/>
        </w:rPr>
        <w:t xml:space="preserve">. </w:t>
      </w:r>
      <w:r w:rsidRPr="00A2737D">
        <w:rPr>
          <w:rFonts w:ascii="Arial" w:hAnsi="Arial" w:cs="Arial"/>
          <w:color w:val="000000" w:themeColor="text1"/>
          <w:sz w:val="19"/>
          <w:szCs w:val="19"/>
        </w:rPr>
        <w:t>Circular Reglamentaria Externa – DOAM</w:t>
      </w:r>
      <w:r w:rsidRPr="002E0FAD">
        <w:rPr>
          <w:rFonts w:ascii="Arial" w:hAnsi="Arial" w:cs="Arial"/>
          <w:color w:val="000000" w:themeColor="text1"/>
          <w:sz w:val="19"/>
          <w:szCs w:val="19"/>
        </w:rPr>
        <w:t>- 146 de 4 de noviembre de 2020</w:t>
      </w:r>
      <w:r w:rsidRPr="005A5BF9">
        <w:rPr>
          <w:rFonts w:ascii="Arial" w:hAnsi="Arial" w:cs="Arial"/>
          <w:color w:val="000000" w:themeColor="text1"/>
          <w:sz w:val="19"/>
          <w:szCs w:val="19"/>
        </w:rPr>
        <w:t xml:space="preserve">. </w:t>
      </w:r>
    </w:p>
    <w:p w14:paraId="10574DF2" w14:textId="77777777" w:rsidR="003A1F75" w:rsidRPr="005A5BF9" w:rsidRDefault="003A1F75" w:rsidP="003A1F75">
      <w:pPr>
        <w:pStyle w:val="Textonotapie"/>
        <w:ind w:firstLine="708"/>
        <w:jc w:val="both"/>
        <w:rPr>
          <w:rFonts w:ascii="Arial" w:hAnsi="Arial" w:cs="Arial"/>
          <w:color w:val="000000" w:themeColor="text1"/>
          <w:sz w:val="19"/>
          <w:szCs w:val="19"/>
        </w:rPr>
      </w:pPr>
    </w:p>
  </w:footnote>
  <w:footnote w:id="5">
    <w:p w14:paraId="0055EF32" w14:textId="195FCCE9" w:rsidR="003A1F75" w:rsidRPr="002E0FAD" w:rsidRDefault="003A1F75" w:rsidP="003A1F75">
      <w:pPr>
        <w:pStyle w:val="Textonotapie"/>
        <w:ind w:firstLine="708"/>
        <w:jc w:val="both"/>
        <w:rPr>
          <w:rFonts w:ascii="Arial" w:hAnsi="Arial" w:cs="Arial"/>
          <w:color w:val="000000" w:themeColor="text1"/>
          <w:sz w:val="19"/>
          <w:szCs w:val="19"/>
        </w:rPr>
      </w:pPr>
      <w:r w:rsidRPr="005A0B35">
        <w:rPr>
          <w:rStyle w:val="Refdenotaalpie"/>
          <w:rFonts w:ascii="Arial" w:hAnsi="Arial" w:cs="Arial"/>
          <w:color w:val="000000" w:themeColor="text1"/>
          <w:sz w:val="19"/>
          <w:szCs w:val="19"/>
        </w:rPr>
        <w:footnoteRef/>
      </w:r>
      <w:r w:rsidRPr="005A0B35">
        <w:rPr>
          <w:rFonts w:ascii="Arial" w:hAnsi="Arial" w:cs="Arial"/>
          <w:color w:val="000000" w:themeColor="text1"/>
          <w:sz w:val="19"/>
          <w:szCs w:val="19"/>
        </w:rPr>
        <w:t xml:space="preserve"> </w:t>
      </w:r>
      <w:r w:rsidR="00B10457" w:rsidRPr="005A0B35">
        <w:rPr>
          <w:rFonts w:ascii="Arial" w:hAnsi="Arial" w:cs="Arial"/>
          <w:color w:val="000000" w:themeColor="text1"/>
          <w:sz w:val="19"/>
          <w:szCs w:val="19"/>
        </w:rPr>
        <w:t xml:space="preserve">Banco </w:t>
      </w:r>
      <w:r w:rsidR="00B10457">
        <w:rPr>
          <w:rFonts w:ascii="Arial" w:hAnsi="Arial" w:cs="Arial"/>
          <w:color w:val="000000" w:themeColor="text1"/>
          <w:sz w:val="19"/>
          <w:szCs w:val="19"/>
        </w:rPr>
        <w:t>d</w:t>
      </w:r>
      <w:r w:rsidR="00B10457" w:rsidRPr="005A0B35">
        <w:rPr>
          <w:rFonts w:ascii="Arial" w:hAnsi="Arial" w:cs="Arial"/>
          <w:color w:val="000000" w:themeColor="text1"/>
          <w:sz w:val="19"/>
          <w:szCs w:val="19"/>
        </w:rPr>
        <w:t xml:space="preserve">e </w:t>
      </w:r>
      <w:r w:rsidR="00B10457">
        <w:rPr>
          <w:rFonts w:ascii="Arial" w:hAnsi="Arial" w:cs="Arial"/>
          <w:color w:val="000000" w:themeColor="text1"/>
          <w:sz w:val="19"/>
          <w:szCs w:val="19"/>
        </w:rPr>
        <w:t>l</w:t>
      </w:r>
      <w:r w:rsidR="00B10457" w:rsidRPr="005A0B35">
        <w:rPr>
          <w:rFonts w:ascii="Arial" w:hAnsi="Arial" w:cs="Arial"/>
          <w:color w:val="000000" w:themeColor="text1"/>
          <w:sz w:val="19"/>
          <w:szCs w:val="19"/>
        </w:rPr>
        <w:t>a República</w:t>
      </w:r>
      <w:r w:rsidRPr="005A0B35">
        <w:rPr>
          <w:rFonts w:ascii="Arial" w:hAnsi="Arial" w:cs="Arial"/>
          <w:color w:val="000000" w:themeColor="text1"/>
          <w:sz w:val="19"/>
          <w:szCs w:val="19"/>
        </w:rPr>
        <w:t xml:space="preserve">. Disponible en línea: </w:t>
      </w:r>
      <w:hyperlink r:id="rId1" w:history="1">
        <w:r w:rsidRPr="005A5BF9">
          <w:rPr>
            <w:rStyle w:val="Hipervnculo"/>
            <w:rFonts w:ascii="Arial" w:hAnsi="Arial" w:cs="Arial"/>
            <w:color w:val="000000" w:themeColor="text1"/>
            <w:sz w:val="19"/>
            <w:szCs w:val="19"/>
          </w:rPr>
          <w:t>https://www.banrep.gov.co/es/estadisticas/trm</w:t>
        </w:r>
      </w:hyperlink>
      <w:r w:rsidRPr="005A0B35">
        <w:rPr>
          <w:rStyle w:val="Hipervnculo"/>
          <w:rFonts w:ascii="Arial" w:hAnsi="Arial" w:cs="Arial"/>
          <w:color w:val="000000" w:themeColor="text1"/>
          <w:sz w:val="19"/>
          <w:szCs w:val="19"/>
        </w:rPr>
        <w:t>. Consultado el 3 de diciembre de 2021.</w:t>
      </w:r>
      <w:r w:rsidRPr="00A2737D">
        <w:rPr>
          <w:rStyle w:val="Hipervnculo"/>
          <w:rFonts w:ascii="Arial" w:hAnsi="Arial" w:cs="Arial"/>
          <w:color w:val="000000" w:themeColor="text1"/>
          <w:sz w:val="19"/>
          <w:szCs w:val="19"/>
        </w:rPr>
        <w:t xml:space="preserve"> </w:t>
      </w:r>
      <w:r w:rsidRPr="002E0FAD">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707C46" w:rsidRDefault="008C487C">
    <w:pPr>
      <w:pStyle w:val="Encabezado"/>
    </w:pPr>
    <w:r>
      <w:rPr>
        <w:noProof/>
        <w:lang w:val="es-419" w:eastAsia="es-419"/>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B991D0A"/>
    <w:multiLevelType w:val="hybridMultilevel"/>
    <w:tmpl w:val="72BAC192"/>
    <w:lvl w:ilvl="0" w:tplc="AC744E9C">
      <w:start w:val="1"/>
      <w:numFmt w:val="decimal"/>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0E31214"/>
    <w:multiLevelType w:val="hybridMultilevel"/>
    <w:tmpl w:val="F06C22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4" w15:restartNumberingAfterBreak="0">
    <w:nsid w:val="24D06D10"/>
    <w:multiLevelType w:val="multilevel"/>
    <w:tmpl w:val="8D36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6A7E75"/>
    <w:multiLevelType w:val="multilevel"/>
    <w:tmpl w:val="238A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597592C"/>
    <w:multiLevelType w:val="hybridMultilevel"/>
    <w:tmpl w:val="1F8C8A0E"/>
    <w:lvl w:ilvl="0" w:tplc="9A58C80C">
      <w:start w:val="2"/>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78B3D84"/>
    <w:multiLevelType w:val="multilevel"/>
    <w:tmpl w:val="17FEB804"/>
    <w:lvl w:ilvl="0">
      <w:start w:val="1"/>
      <w:numFmt w:val="decimal"/>
      <w:lvlText w:val="%1."/>
      <w:lvlJc w:val="left"/>
      <w:pPr>
        <w:ind w:left="360" w:hanging="360"/>
      </w:pPr>
      <w:rPr>
        <w:rFonts w:hint="default"/>
      </w:rPr>
    </w:lvl>
    <w:lvl w:ilvl="1">
      <w:start w:val="1"/>
      <w:numFmt w:val="decimal"/>
      <w:pStyle w:val="Ttulo2"/>
      <w:lvlText w:val="%1.%2."/>
      <w:lvlJc w:val="left"/>
      <w:pPr>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7F507ED"/>
    <w:multiLevelType w:val="hybridMultilevel"/>
    <w:tmpl w:val="789EABC6"/>
    <w:lvl w:ilvl="0" w:tplc="1C008694">
      <w:start w:val="2"/>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9935E1"/>
    <w:multiLevelType w:val="hybridMultilevel"/>
    <w:tmpl w:val="9ADA0594"/>
    <w:lvl w:ilvl="0" w:tplc="81421E7A">
      <w:start w:val="1"/>
      <w:numFmt w:val="decimal"/>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69E130F"/>
    <w:multiLevelType w:val="multilevel"/>
    <w:tmpl w:val="72BAC192"/>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4"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16cid:durableId="54482778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0896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71578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3811565">
    <w:abstractNumId w:val="3"/>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40867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4957614">
    <w:abstractNumId w:val="15"/>
  </w:num>
  <w:num w:numId="7" w16cid:durableId="58091723">
    <w:abstractNumId w:val="14"/>
  </w:num>
  <w:num w:numId="8" w16cid:durableId="701129738">
    <w:abstractNumId w:val="9"/>
  </w:num>
  <w:num w:numId="9" w16cid:durableId="1952859999">
    <w:abstractNumId w:val="7"/>
  </w:num>
  <w:num w:numId="10" w16cid:durableId="395667830">
    <w:abstractNumId w:val="11"/>
  </w:num>
  <w:num w:numId="11" w16cid:durableId="2100174618">
    <w:abstractNumId w:val="5"/>
  </w:num>
  <w:num w:numId="12" w16cid:durableId="875698825">
    <w:abstractNumId w:val="4"/>
  </w:num>
  <w:num w:numId="13" w16cid:durableId="1123887351">
    <w:abstractNumId w:val="8"/>
  </w:num>
  <w:num w:numId="14" w16cid:durableId="970937944">
    <w:abstractNumId w:val="6"/>
  </w:num>
  <w:num w:numId="15" w16cid:durableId="613679728">
    <w:abstractNumId w:val="2"/>
  </w:num>
  <w:num w:numId="16" w16cid:durableId="2144081113">
    <w:abstractNumId w:val="1"/>
  </w:num>
  <w:num w:numId="17" w16cid:durableId="11443480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319"/>
    <w:rsid w:val="00007450"/>
    <w:rsid w:val="00010D30"/>
    <w:rsid w:val="000161A5"/>
    <w:rsid w:val="0001679C"/>
    <w:rsid w:val="00021E2C"/>
    <w:rsid w:val="00026940"/>
    <w:rsid w:val="00026F2E"/>
    <w:rsid w:val="0003091B"/>
    <w:rsid w:val="000309DE"/>
    <w:rsid w:val="00030A93"/>
    <w:rsid w:val="000333A2"/>
    <w:rsid w:val="000339FE"/>
    <w:rsid w:val="000376E6"/>
    <w:rsid w:val="00040C88"/>
    <w:rsid w:val="00040D6E"/>
    <w:rsid w:val="000415D2"/>
    <w:rsid w:val="00041660"/>
    <w:rsid w:val="000417DF"/>
    <w:rsid w:val="00042C0C"/>
    <w:rsid w:val="00044FF2"/>
    <w:rsid w:val="00045497"/>
    <w:rsid w:val="00051C22"/>
    <w:rsid w:val="0005212A"/>
    <w:rsid w:val="00055688"/>
    <w:rsid w:val="00057F41"/>
    <w:rsid w:val="00060575"/>
    <w:rsid w:val="00061E92"/>
    <w:rsid w:val="00061EE4"/>
    <w:rsid w:val="00062B0D"/>
    <w:rsid w:val="0006519B"/>
    <w:rsid w:val="0006747C"/>
    <w:rsid w:val="000707A0"/>
    <w:rsid w:val="0007303E"/>
    <w:rsid w:val="000771C1"/>
    <w:rsid w:val="00085142"/>
    <w:rsid w:val="00085B53"/>
    <w:rsid w:val="00086A16"/>
    <w:rsid w:val="0008755B"/>
    <w:rsid w:val="00091A17"/>
    <w:rsid w:val="00093069"/>
    <w:rsid w:val="0009547D"/>
    <w:rsid w:val="00095C58"/>
    <w:rsid w:val="00097CD6"/>
    <w:rsid w:val="000A0E3A"/>
    <w:rsid w:val="000A1DBA"/>
    <w:rsid w:val="000A2381"/>
    <w:rsid w:val="000A290A"/>
    <w:rsid w:val="000A4995"/>
    <w:rsid w:val="000A5B2B"/>
    <w:rsid w:val="000A6338"/>
    <w:rsid w:val="000A73F6"/>
    <w:rsid w:val="000B28A4"/>
    <w:rsid w:val="000B4552"/>
    <w:rsid w:val="000B4C69"/>
    <w:rsid w:val="000B4E6D"/>
    <w:rsid w:val="000C0909"/>
    <w:rsid w:val="000C0E39"/>
    <w:rsid w:val="000C2D3C"/>
    <w:rsid w:val="000D088F"/>
    <w:rsid w:val="000D10BD"/>
    <w:rsid w:val="000D2220"/>
    <w:rsid w:val="000D240E"/>
    <w:rsid w:val="000D3473"/>
    <w:rsid w:val="000D3A02"/>
    <w:rsid w:val="000D6181"/>
    <w:rsid w:val="000E09DC"/>
    <w:rsid w:val="000E1A28"/>
    <w:rsid w:val="000E2C90"/>
    <w:rsid w:val="000E44D0"/>
    <w:rsid w:val="000E4A3C"/>
    <w:rsid w:val="000E6867"/>
    <w:rsid w:val="000E6F5E"/>
    <w:rsid w:val="000F329F"/>
    <w:rsid w:val="000F49C4"/>
    <w:rsid w:val="000F5E7A"/>
    <w:rsid w:val="000F7D71"/>
    <w:rsid w:val="001056C0"/>
    <w:rsid w:val="00105F55"/>
    <w:rsid w:val="00107607"/>
    <w:rsid w:val="00112597"/>
    <w:rsid w:val="00114664"/>
    <w:rsid w:val="001148C6"/>
    <w:rsid w:val="00116557"/>
    <w:rsid w:val="0012093C"/>
    <w:rsid w:val="00124433"/>
    <w:rsid w:val="0012775A"/>
    <w:rsid w:val="00127BF8"/>
    <w:rsid w:val="0013205F"/>
    <w:rsid w:val="001321AB"/>
    <w:rsid w:val="00132F3A"/>
    <w:rsid w:val="001332C2"/>
    <w:rsid w:val="00135E98"/>
    <w:rsid w:val="001367AE"/>
    <w:rsid w:val="00137B0D"/>
    <w:rsid w:val="00137EA1"/>
    <w:rsid w:val="00140E57"/>
    <w:rsid w:val="00141C64"/>
    <w:rsid w:val="0014462B"/>
    <w:rsid w:val="00146064"/>
    <w:rsid w:val="00147D40"/>
    <w:rsid w:val="00147E4A"/>
    <w:rsid w:val="001500ED"/>
    <w:rsid w:val="0015311E"/>
    <w:rsid w:val="001540EC"/>
    <w:rsid w:val="00155F8F"/>
    <w:rsid w:val="001573A6"/>
    <w:rsid w:val="00160AB9"/>
    <w:rsid w:val="001610B4"/>
    <w:rsid w:val="00161EEA"/>
    <w:rsid w:val="0016200C"/>
    <w:rsid w:val="00164CEF"/>
    <w:rsid w:val="00164E79"/>
    <w:rsid w:val="00170631"/>
    <w:rsid w:val="00173047"/>
    <w:rsid w:val="001752FA"/>
    <w:rsid w:val="0017558C"/>
    <w:rsid w:val="00175DA1"/>
    <w:rsid w:val="0017603D"/>
    <w:rsid w:val="00177397"/>
    <w:rsid w:val="0018144F"/>
    <w:rsid w:val="00181A3E"/>
    <w:rsid w:val="00182BF2"/>
    <w:rsid w:val="001830A8"/>
    <w:rsid w:val="001840C4"/>
    <w:rsid w:val="00186B1E"/>
    <w:rsid w:val="00190B79"/>
    <w:rsid w:val="00190F15"/>
    <w:rsid w:val="00190F26"/>
    <w:rsid w:val="00191B50"/>
    <w:rsid w:val="00192084"/>
    <w:rsid w:val="00194C50"/>
    <w:rsid w:val="001969C6"/>
    <w:rsid w:val="001A0536"/>
    <w:rsid w:val="001A1740"/>
    <w:rsid w:val="001A428A"/>
    <w:rsid w:val="001A69E0"/>
    <w:rsid w:val="001A6A98"/>
    <w:rsid w:val="001B2E5D"/>
    <w:rsid w:val="001B5D63"/>
    <w:rsid w:val="001B67D2"/>
    <w:rsid w:val="001B6C66"/>
    <w:rsid w:val="001B79DF"/>
    <w:rsid w:val="001C30F2"/>
    <w:rsid w:val="001C44ED"/>
    <w:rsid w:val="001C4850"/>
    <w:rsid w:val="001C568D"/>
    <w:rsid w:val="001D189D"/>
    <w:rsid w:val="001D5143"/>
    <w:rsid w:val="001E4AEB"/>
    <w:rsid w:val="001E5DBB"/>
    <w:rsid w:val="001E628B"/>
    <w:rsid w:val="001F1051"/>
    <w:rsid w:val="001F24F8"/>
    <w:rsid w:val="001F3010"/>
    <w:rsid w:val="001F34A8"/>
    <w:rsid w:val="001F54C2"/>
    <w:rsid w:val="001F7297"/>
    <w:rsid w:val="00200477"/>
    <w:rsid w:val="00202B63"/>
    <w:rsid w:val="00202F36"/>
    <w:rsid w:val="002030C5"/>
    <w:rsid w:val="00203499"/>
    <w:rsid w:val="002034AD"/>
    <w:rsid w:val="002035E7"/>
    <w:rsid w:val="00204ECE"/>
    <w:rsid w:val="0020763B"/>
    <w:rsid w:val="00207991"/>
    <w:rsid w:val="00211BB8"/>
    <w:rsid w:val="00212C92"/>
    <w:rsid w:val="00214B14"/>
    <w:rsid w:val="00215A7D"/>
    <w:rsid w:val="002210AA"/>
    <w:rsid w:val="002218CE"/>
    <w:rsid w:val="002239B4"/>
    <w:rsid w:val="0022572D"/>
    <w:rsid w:val="00225C5F"/>
    <w:rsid w:val="00227257"/>
    <w:rsid w:val="0023180C"/>
    <w:rsid w:val="00231FA2"/>
    <w:rsid w:val="002337FE"/>
    <w:rsid w:val="00234921"/>
    <w:rsid w:val="00234C6C"/>
    <w:rsid w:val="00236C2A"/>
    <w:rsid w:val="0023774F"/>
    <w:rsid w:val="00240898"/>
    <w:rsid w:val="00245020"/>
    <w:rsid w:val="00245D50"/>
    <w:rsid w:val="002511E0"/>
    <w:rsid w:val="002516D4"/>
    <w:rsid w:val="00253D52"/>
    <w:rsid w:val="00255AF2"/>
    <w:rsid w:val="00264977"/>
    <w:rsid w:val="00265031"/>
    <w:rsid w:val="00266277"/>
    <w:rsid w:val="00272F63"/>
    <w:rsid w:val="0027329E"/>
    <w:rsid w:val="00273721"/>
    <w:rsid w:val="00273F37"/>
    <w:rsid w:val="00274370"/>
    <w:rsid w:val="00282D37"/>
    <w:rsid w:val="00284C12"/>
    <w:rsid w:val="00284D45"/>
    <w:rsid w:val="00284ECF"/>
    <w:rsid w:val="00286834"/>
    <w:rsid w:val="002928EE"/>
    <w:rsid w:val="00294C4A"/>
    <w:rsid w:val="002952E9"/>
    <w:rsid w:val="002959FA"/>
    <w:rsid w:val="0029654C"/>
    <w:rsid w:val="002972F3"/>
    <w:rsid w:val="00297F44"/>
    <w:rsid w:val="002A16AC"/>
    <w:rsid w:val="002A517F"/>
    <w:rsid w:val="002A6219"/>
    <w:rsid w:val="002A6F1C"/>
    <w:rsid w:val="002B1C56"/>
    <w:rsid w:val="002B282F"/>
    <w:rsid w:val="002B2F01"/>
    <w:rsid w:val="002B38B0"/>
    <w:rsid w:val="002B4B30"/>
    <w:rsid w:val="002C3B96"/>
    <w:rsid w:val="002C3E26"/>
    <w:rsid w:val="002C43E3"/>
    <w:rsid w:val="002C51DF"/>
    <w:rsid w:val="002D558B"/>
    <w:rsid w:val="002D7D0D"/>
    <w:rsid w:val="002E3A71"/>
    <w:rsid w:val="002E435D"/>
    <w:rsid w:val="002E6804"/>
    <w:rsid w:val="002E7390"/>
    <w:rsid w:val="002E7AC6"/>
    <w:rsid w:val="002E7BC2"/>
    <w:rsid w:val="002F00E6"/>
    <w:rsid w:val="002F2A79"/>
    <w:rsid w:val="002F2BF1"/>
    <w:rsid w:val="002F37AB"/>
    <w:rsid w:val="002F5479"/>
    <w:rsid w:val="002F63BB"/>
    <w:rsid w:val="002F701E"/>
    <w:rsid w:val="00302F9F"/>
    <w:rsid w:val="00303B05"/>
    <w:rsid w:val="00304386"/>
    <w:rsid w:val="00305C54"/>
    <w:rsid w:val="0030608A"/>
    <w:rsid w:val="00306B00"/>
    <w:rsid w:val="00307F32"/>
    <w:rsid w:val="00310303"/>
    <w:rsid w:val="00314580"/>
    <w:rsid w:val="00314F61"/>
    <w:rsid w:val="00325E03"/>
    <w:rsid w:val="00327BD4"/>
    <w:rsid w:val="00333A07"/>
    <w:rsid w:val="00336CE9"/>
    <w:rsid w:val="003401FE"/>
    <w:rsid w:val="00340A7A"/>
    <w:rsid w:val="003417AD"/>
    <w:rsid w:val="003436AD"/>
    <w:rsid w:val="00343715"/>
    <w:rsid w:val="00346D80"/>
    <w:rsid w:val="00346F88"/>
    <w:rsid w:val="00346F8E"/>
    <w:rsid w:val="00351536"/>
    <w:rsid w:val="00351846"/>
    <w:rsid w:val="003546C6"/>
    <w:rsid w:val="00355B95"/>
    <w:rsid w:val="00356C8E"/>
    <w:rsid w:val="00357192"/>
    <w:rsid w:val="00360470"/>
    <w:rsid w:val="00360F9A"/>
    <w:rsid w:val="003637CD"/>
    <w:rsid w:val="00363980"/>
    <w:rsid w:val="00365137"/>
    <w:rsid w:val="00371192"/>
    <w:rsid w:val="00371C10"/>
    <w:rsid w:val="003750DA"/>
    <w:rsid w:val="0037759E"/>
    <w:rsid w:val="0038145F"/>
    <w:rsid w:val="00383E39"/>
    <w:rsid w:val="00384629"/>
    <w:rsid w:val="00386246"/>
    <w:rsid w:val="00390280"/>
    <w:rsid w:val="00390C07"/>
    <w:rsid w:val="00390DCF"/>
    <w:rsid w:val="00390F13"/>
    <w:rsid w:val="00391CD4"/>
    <w:rsid w:val="00393E58"/>
    <w:rsid w:val="00396ED8"/>
    <w:rsid w:val="003A00DA"/>
    <w:rsid w:val="003A0C33"/>
    <w:rsid w:val="003A1A9F"/>
    <w:rsid w:val="003A1F75"/>
    <w:rsid w:val="003A2944"/>
    <w:rsid w:val="003A542F"/>
    <w:rsid w:val="003A5A5A"/>
    <w:rsid w:val="003B0DEF"/>
    <w:rsid w:val="003B0EFF"/>
    <w:rsid w:val="003B2FEA"/>
    <w:rsid w:val="003B3264"/>
    <w:rsid w:val="003B604C"/>
    <w:rsid w:val="003B60C9"/>
    <w:rsid w:val="003B7BC8"/>
    <w:rsid w:val="003C1597"/>
    <w:rsid w:val="003C2074"/>
    <w:rsid w:val="003C3ADB"/>
    <w:rsid w:val="003C5C2D"/>
    <w:rsid w:val="003C5E88"/>
    <w:rsid w:val="003C60C9"/>
    <w:rsid w:val="003C6AF6"/>
    <w:rsid w:val="003C6F11"/>
    <w:rsid w:val="003D11B5"/>
    <w:rsid w:val="003D134C"/>
    <w:rsid w:val="003D433A"/>
    <w:rsid w:val="003D4359"/>
    <w:rsid w:val="003D69A5"/>
    <w:rsid w:val="003E0079"/>
    <w:rsid w:val="003E09D5"/>
    <w:rsid w:val="003E10DC"/>
    <w:rsid w:val="003E13F5"/>
    <w:rsid w:val="003E14F9"/>
    <w:rsid w:val="003E33C1"/>
    <w:rsid w:val="003E5D11"/>
    <w:rsid w:val="003F3119"/>
    <w:rsid w:val="003F3C60"/>
    <w:rsid w:val="003F4D44"/>
    <w:rsid w:val="003F6D32"/>
    <w:rsid w:val="00405EC6"/>
    <w:rsid w:val="0041050D"/>
    <w:rsid w:val="00413598"/>
    <w:rsid w:val="004156EA"/>
    <w:rsid w:val="0042261E"/>
    <w:rsid w:val="004265FC"/>
    <w:rsid w:val="00430B5A"/>
    <w:rsid w:val="00433B17"/>
    <w:rsid w:val="00435038"/>
    <w:rsid w:val="004362BF"/>
    <w:rsid w:val="00436EB3"/>
    <w:rsid w:val="0043701B"/>
    <w:rsid w:val="00440F03"/>
    <w:rsid w:val="0044207D"/>
    <w:rsid w:val="0044209F"/>
    <w:rsid w:val="00443937"/>
    <w:rsid w:val="00445E6A"/>
    <w:rsid w:val="0044775D"/>
    <w:rsid w:val="00447FE5"/>
    <w:rsid w:val="00450F40"/>
    <w:rsid w:val="00453541"/>
    <w:rsid w:val="0045791E"/>
    <w:rsid w:val="004617B8"/>
    <w:rsid w:val="00463AB4"/>
    <w:rsid w:val="0046455A"/>
    <w:rsid w:val="0046504E"/>
    <w:rsid w:val="00465EAC"/>
    <w:rsid w:val="00467B80"/>
    <w:rsid w:val="00471FA5"/>
    <w:rsid w:val="00472F08"/>
    <w:rsid w:val="004730F3"/>
    <w:rsid w:val="004750C3"/>
    <w:rsid w:val="004758FE"/>
    <w:rsid w:val="00481DE3"/>
    <w:rsid w:val="004830C8"/>
    <w:rsid w:val="004837AB"/>
    <w:rsid w:val="00483A2F"/>
    <w:rsid w:val="00484BFE"/>
    <w:rsid w:val="00485F0E"/>
    <w:rsid w:val="00487ADF"/>
    <w:rsid w:val="00490DBF"/>
    <w:rsid w:val="004910D5"/>
    <w:rsid w:val="00491760"/>
    <w:rsid w:val="00493273"/>
    <w:rsid w:val="00494F12"/>
    <w:rsid w:val="004966EF"/>
    <w:rsid w:val="004A6E34"/>
    <w:rsid w:val="004A6EE1"/>
    <w:rsid w:val="004B0013"/>
    <w:rsid w:val="004B163D"/>
    <w:rsid w:val="004B1BEE"/>
    <w:rsid w:val="004B22E7"/>
    <w:rsid w:val="004B2AB8"/>
    <w:rsid w:val="004B782A"/>
    <w:rsid w:val="004C1BA6"/>
    <w:rsid w:val="004C4855"/>
    <w:rsid w:val="004D04EB"/>
    <w:rsid w:val="004D1DE8"/>
    <w:rsid w:val="004D4311"/>
    <w:rsid w:val="004D770C"/>
    <w:rsid w:val="004E0696"/>
    <w:rsid w:val="004E2CA1"/>
    <w:rsid w:val="004E3243"/>
    <w:rsid w:val="004E370E"/>
    <w:rsid w:val="004F13BC"/>
    <w:rsid w:val="004F407C"/>
    <w:rsid w:val="004F4387"/>
    <w:rsid w:val="004F66E7"/>
    <w:rsid w:val="004F7A45"/>
    <w:rsid w:val="00501AFE"/>
    <w:rsid w:val="005029C2"/>
    <w:rsid w:val="00503F97"/>
    <w:rsid w:val="005042D0"/>
    <w:rsid w:val="0050712C"/>
    <w:rsid w:val="005102CD"/>
    <w:rsid w:val="00510BF5"/>
    <w:rsid w:val="005135C7"/>
    <w:rsid w:val="0052096D"/>
    <w:rsid w:val="00521BA7"/>
    <w:rsid w:val="00522751"/>
    <w:rsid w:val="00523757"/>
    <w:rsid w:val="00525051"/>
    <w:rsid w:val="005252E2"/>
    <w:rsid w:val="00525E45"/>
    <w:rsid w:val="00526170"/>
    <w:rsid w:val="00535381"/>
    <w:rsid w:val="00536690"/>
    <w:rsid w:val="00536B34"/>
    <w:rsid w:val="00537C32"/>
    <w:rsid w:val="00542D21"/>
    <w:rsid w:val="005457A7"/>
    <w:rsid w:val="00546BE0"/>
    <w:rsid w:val="00550130"/>
    <w:rsid w:val="005511D5"/>
    <w:rsid w:val="00551564"/>
    <w:rsid w:val="005518D4"/>
    <w:rsid w:val="00551D21"/>
    <w:rsid w:val="00552CDC"/>
    <w:rsid w:val="00554E71"/>
    <w:rsid w:val="005618A7"/>
    <w:rsid w:val="00561969"/>
    <w:rsid w:val="005623C0"/>
    <w:rsid w:val="0056292A"/>
    <w:rsid w:val="00563FE8"/>
    <w:rsid w:val="00571BAA"/>
    <w:rsid w:val="00574912"/>
    <w:rsid w:val="005755DE"/>
    <w:rsid w:val="00575DC6"/>
    <w:rsid w:val="00581BDD"/>
    <w:rsid w:val="0058393C"/>
    <w:rsid w:val="005843FE"/>
    <w:rsid w:val="00585210"/>
    <w:rsid w:val="00585FB5"/>
    <w:rsid w:val="00591586"/>
    <w:rsid w:val="0059195A"/>
    <w:rsid w:val="005940B2"/>
    <w:rsid w:val="005943E0"/>
    <w:rsid w:val="00595776"/>
    <w:rsid w:val="005965D0"/>
    <w:rsid w:val="00597C16"/>
    <w:rsid w:val="005A0260"/>
    <w:rsid w:val="005A1143"/>
    <w:rsid w:val="005A14BC"/>
    <w:rsid w:val="005A3EDE"/>
    <w:rsid w:val="005A4BC5"/>
    <w:rsid w:val="005A5815"/>
    <w:rsid w:val="005A632F"/>
    <w:rsid w:val="005A77E1"/>
    <w:rsid w:val="005B6F36"/>
    <w:rsid w:val="005B774B"/>
    <w:rsid w:val="005C5A18"/>
    <w:rsid w:val="005C6115"/>
    <w:rsid w:val="005C659E"/>
    <w:rsid w:val="005D0468"/>
    <w:rsid w:val="005D3442"/>
    <w:rsid w:val="005E03AC"/>
    <w:rsid w:val="005E08D6"/>
    <w:rsid w:val="005E1DF6"/>
    <w:rsid w:val="005E1E1A"/>
    <w:rsid w:val="005E1ED6"/>
    <w:rsid w:val="005E3759"/>
    <w:rsid w:val="005F5D19"/>
    <w:rsid w:val="005F6CB7"/>
    <w:rsid w:val="005F6CBF"/>
    <w:rsid w:val="006062E0"/>
    <w:rsid w:val="00611CAA"/>
    <w:rsid w:val="0061332C"/>
    <w:rsid w:val="006135E6"/>
    <w:rsid w:val="00613633"/>
    <w:rsid w:val="00616FE1"/>
    <w:rsid w:val="0062105D"/>
    <w:rsid w:val="00621810"/>
    <w:rsid w:val="00621D0A"/>
    <w:rsid w:val="00622342"/>
    <w:rsid w:val="00624A85"/>
    <w:rsid w:val="00632EA5"/>
    <w:rsid w:val="00634DC4"/>
    <w:rsid w:val="00635C9D"/>
    <w:rsid w:val="006372AA"/>
    <w:rsid w:val="006373AA"/>
    <w:rsid w:val="00640F06"/>
    <w:rsid w:val="00641435"/>
    <w:rsid w:val="006471AC"/>
    <w:rsid w:val="0065068C"/>
    <w:rsid w:val="00654B11"/>
    <w:rsid w:val="006550F8"/>
    <w:rsid w:val="00655493"/>
    <w:rsid w:val="00655F8B"/>
    <w:rsid w:val="00656926"/>
    <w:rsid w:val="0065701C"/>
    <w:rsid w:val="00657A16"/>
    <w:rsid w:val="006613FF"/>
    <w:rsid w:val="00661CE0"/>
    <w:rsid w:val="00662792"/>
    <w:rsid w:val="00662B60"/>
    <w:rsid w:val="00666ED7"/>
    <w:rsid w:val="0067077F"/>
    <w:rsid w:val="006734CA"/>
    <w:rsid w:val="006818B6"/>
    <w:rsid w:val="006824B8"/>
    <w:rsid w:val="00682FA6"/>
    <w:rsid w:val="006834EE"/>
    <w:rsid w:val="00684080"/>
    <w:rsid w:val="0068439F"/>
    <w:rsid w:val="00685DAF"/>
    <w:rsid w:val="00686308"/>
    <w:rsid w:val="006868F1"/>
    <w:rsid w:val="006913C3"/>
    <w:rsid w:val="00692D8E"/>
    <w:rsid w:val="00695109"/>
    <w:rsid w:val="00696B41"/>
    <w:rsid w:val="006A3D8D"/>
    <w:rsid w:val="006A7743"/>
    <w:rsid w:val="006B6339"/>
    <w:rsid w:val="006B6C6A"/>
    <w:rsid w:val="006C15D5"/>
    <w:rsid w:val="006C1E1A"/>
    <w:rsid w:val="006C234F"/>
    <w:rsid w:val="006C2947"/>
    <w:rsid w:val="006C3D0C"/>
    <w:rsid w:val="006C5955"/>
    <w:rsid w:val="006C74AC"/>
    <w:rsid w:val="006D0FAB"/>
    <w:rsid w:val="006D2FAD"/>
    <w:rsid w:val="006D31E1"/>
    <w:rsid w:val="006D359C"/>
    <w:rsid w:val="006D519D"/>
    <w:rsid w:val="006E2B9C"/>
    <w:rsid w:val="006E63F1"/>
    <w:rsid w:val="006F14CE"/>
    <w:rsid w:val="006F2031"/>
    <w:rsid w:val="006F2ABF"/>
    <w:rsid w:val="006F39D0"/>
    <w:rsid w:val="006F49C7"/>
    <w:rsid w:val="006F5DB6"/>
    <w:rsid w:val="006F7746"/>
    <w:rsid w:val="00700DC6"/>
    <w:rsid w:val="00707C46"/>
    <w:rsid w:val="00710C2A"/>
    <w:rsid w:val="00711157"/>
    <w:rsid w:val="00715B7E"/>
    <w:rsid w:val="00717DC1"/>
    <w:rsid w:val="00724AD2"/>
    <w:rsid w:val="007268A5"/>
    <w:rsid w:val="00730CDB"/>
    <w:rsid w:val="00736C89"/>
    <w:rsid w:val="00737511"/>
    <w:rsid w:val="00743527"/>
    <w:rsid w:val="007456EE"/>
    <w:rsid w:val="00745744"/>
    <w:rsid w:val="007462F1"/>
    <w:rsid w:val="0074633B"/>
    <w:rsid w:val="0075032A"/>
    <w:rsid w:val="0076003D"/>
    <w:rsid w:val="00765E0C"/>
    <w:rsid w:val="00767111"/>
    <w:rsid w:val="00770866"/>
    <w:rsid w:val="007708B1"/>
    <w:rsid w:val="00770D7D"/>
    <w:rsid w:val="00772497"/>
    <w:rsid w:val="0077323F"/>
    <w:rsid w:val="00774793"/>
    <w:rsid w:val="00783398"/>
    <w:rsid w:val="00784474"/>
    <w:rsid w:val="00790B4C"/>
    <w:rsid w:val="00791377"/>
    <w:rsid w:val="007917E6"/>
    <w:rsid w:val="007928D4"/>
    <w:rsid w:val="00792A39"/>
    <w:rsid w:val="00794938"/>
    <w:rsid w:val="007A18F9"/>
    <w:rsid w:val="007A4D28"/>
    <w:rsid w:val="007B0A15"/>
    <w:rsid w:val="007B1074"/>
    <w:rsid w:val="007B286D"/>
    <w:rsid w:val="007B477E"/>
    <w:rsid w:val="007B59C2"/>
    <w:rsid w:val="007B65F8"/>
    <w:rsid w:val="007C417B"/>
    <w:rsid w:val="007C6C48"/>
    <w:rsid w:val="007D21E6"/>
    <w:rsid w:val="007D4444"/>
    <w:rsid w:val="007D62C7"/>
    <w:rsid w:val="007D70C3"/>
    <w:rsid w:val="007E10EB"/>
    <w:rsid w:val="007E12E8"/>
    <w:rsid w:val="007E1611"/>
    <w:rsid w:val="007E36EF"/>
    <w:rsid w:val="007E36F1"/>
    <w:rsid w:val="007E6A15"/>
    <w:rsid w:val="007F54FC"/>
    <w:rsid w:val="007F66C4"/>
    <w:rsid w:val="007F7AC6"/>
    <w:rsid w:val="00803061"/>
    <w:rsid w:val="00805A71"/>
    <w:rsid w:val="00807EEE"/>
    <w:rsid w:val="0081087D"/>
    <w:rsid w:val="008135F4"/>
    <w:rsid w:val="00813893"/>
    <w:rsid w:val="008149E7"/>
    <w:rsid w:val="008204FD"/>
    <w:rsid w:val="0082266E"/>
    <w:rsid w:val="008234E2"/>
    <w:rsid w:val="00823ED7"/>
    <w:rsid w:val="00824361"/>
    <w:rsid w:val="00824A66"/>
    <w:rsid w:val="00824AB4"/>
    <w:rsid w:val="008327EE"/>
    <w:rsid w:val="00832FBE"/>
    <w:rsid w:val="0083350D"/>
    <w:rsid w:val="00837991"/>
    <w:rsid w:val="00841FE3"/>
    <w:rsid w:val="00842A29"/>
    <w:rsid w:val="00842E74"/>
    <w:rsid w:val="00843BE5"/>
    <w:rsid w:val="008446D5"/>
    <w:rsid w:val="0084777B"/>
    <w:rsid w:val="0085033B"/>
    <w:rsid w:val="00850D11"/>
    <w:rsid w:val="00856B64"/>
    <w:rsid w:val="008602F0"/>
    <w:rsid w:val="0086337C"/>
    <w:rsid w:val="00863DD9"/>
    <w:rsid w:val="008646BA"/>
    <w:rsid w:val="00866446"/>
    <w:rsid w:val="0086741B"/>
    <w:rsid w:val="0087261A"/>
    <w:rsid w:val="0087467F"/>
    <w:rsid w:val="008748A4"/>
    <w:rsid w:val="008772E9"/>
    <w:rsid w:val="00880204"/>
    <w:rsid w:val="008821DA"/>
    <w:rsid w:val="008840CA"/>
    <w:rsid w:val="00884438"/>
    <w:rsid w:val="00884A9B"/>
    <w:rsid w:val="00884FE9"/>
    <w:rsid w:val="0088524F"/>
    <w:rsid w:val="0088677D"/>
    <w:rsid w:val="00886F29"/>
    <w:rsid w:val="00892517"/>
    <w:rsid w:val="00892A25"/>
    <w:rsid w:val="00897DAB"/>
    <w:rsid w:val="008A0633"/>
    <w:rsid w:val="008A1724"/>
    <w:rsid w:val="008A3386"/>
    <w:rsid w:val="008A37D8"/>
    <w:rsid w:val="008A53F2"/>
    <w:rsid w:val="008B0371"/>
    <w:rsid w:val="008B09B1"/>
    <w:rsid w:val="008B116C"/>
    <w:rsid w:val="008B44A7"/>
    <w:rsid w:val="008B5578"/>
    <w:rsid w:val="008C1CE8"/>
    <w:rsid w:val="008C24B6"/>
    <w:rsid w:val="008C487C"/>
    <w:rsid w:val="008C4C28"/>
    <w:rsid w:val="008C6566"/>
    <w:rsid w:val="008D2ED5"/>
    <w:rsid w:val="008D3D9F"/>
    <w:rsid w:val="008D53EF"/>
    <w:rsid w:val="008D71FB"/>
    <w:rsid w:val="008E08CB"/>
    <w:rsid w:val="008E0FCC"/>
    <w:rsid w:val="008E2766"/>
    <w:rsid w:val="008E2FE3"/>
    <w:rsid w:val="008E3BED"/>
    <w:rsid w:val="008E58C2"/>
    <w:rsid w:val="008E5F34"/>
    <w:rsid w:val="008E5FB4"/>
    <w:rsid w:val="008E6186"/>
    <w:rsid w:val="008F0690"/>
    <w:rsid w:val="008F1C75"/>
    <w:rsid w:val="008F2267"/>
    <w:rsid w:val="008F3EE2"/>
    <w:rsid w:val="008F5D30"/>
    <w:rsid w:val="008F6B23"/>
    <w:rsid w:val="00900177"/>
    <w:rsid w:val="00903BC9"/>
    <w:rsid w:val="00904303"/>
    <w:rsid w:val="00904598"/>
    <w:rsid w:val="00905CFA"/>
    <w:rsid w:val="00911243"/>
    <w:rsid w:val="0091226B"/>
    <w:rsid w:val="009139A4"/>
    <w:rsid w:val="0091627F"/>
    <w:rsid w:val="00916488"/>
    <w:rsid w:val="00917B19"/>
    <w:rsid w:val="00920084"/>
    <w:rsid w:val="00920DB9"/>
    <w:rsid w:val="00921A85"/>
    <w:rsid w:val="009231E0"/>
    <w:rsid w:val="00926E16"/>
    <w:rsid w:val="009270D2"/>
    <w:rsid w:val="00927A0B"/>
    <w:rsid w:val="00930B4B"/>
    <w:rsid w:val="00930FDC"/>
    <w:rsid w:val="0093566E"/>
    <w:rsid w:val="00935F01"/>
    <w:rsid w:val="009401E0"/>
    <w:rsid w:val="00940988"/>
    <w:rsid w:val="00941D37"/>
    <w:rsid w:val="00942165"/>
    <w:rsid w:val="0094508D"/>
    <w:rsid w:val="009476A9"/>
    <w:rsid w:val="00947D2E"/>
    <w:rsid w:val="009506A7"/>
    <w:rsid w:val="00951F3E"/>
    <w:rsid w:val="009539F4"/>
    <w:rsid w:val="009549DD"/>
    <w:rsid w:val="0095626E"/>
    <w:rsid w:val="0095686F"/>
    <w:rsid w:val="0095763F"/>
    <w:rsid w:val="00962D6C"/>
    <w:rsid w:val="0096606B"/>
    <w:rsid w:val="00967230"/>
    <w:rsid w:val="00971AA6"/>
    <w:rsid w:val="00972C13"/>
    <w:rsid w:val="00973A84"/>
    <w:rsid w:val="009742FF"/>
    <w:rsid w:val="009763C4"/>
    <w:rsid w:val="00976BDC"/>
    <w:rsid w:val="00976F3B"/>
    <w:rsid w:val="009803E2"/>
    <w:rsid w:val="009812D7"/>
    <w:rsid w:val="00982E99"/>
    <w:rsid w:val="00985885"/>
    <w:rsid w:val="00993BFE"/>
    <w:rsid w:val="009943D7"/>
    <w:rsid w:val="00995EBB"/>
    <w:rsid w:val="0099630F"/>
    <w:rsid w:val="009963CB"/>
    <w:rsid w:val="00996475"/>
    <w:rsid w:val="009979BE"/>
    <w:rsid w:val="009A0567"/>
    <w:rsid w:val="009A5714"/>
    <w:rsid w:val="009A5CC9"/>
    <w:rsid w:val="009A5DA7"/>
    <w:rsid w:val="009A6308"/>
    <w:rsid w:val="009B1AEC"/>
    <w:rsid w:val="009B4596"/>
    <w:rsid w:val="009C6F56"/>
    <w:rsid w:val="009C7D09"/>
    <w:rsid w:val="009D1D57"/>
    <w:rsid w:val="009D4A00"/>
    <w:rsid w:val="009D52B7"/>
    <w:rsid w:val="009D5F36"/>
    <w:rsid w:val="009E0591"/>
    <w:rsid w:val="009E1337"/>
    <w:rsid w:val="009E1579"/>
    <w:rsid w:val="009E2544"/>
    <w:rsid w:val="009E2770"/>
    <w:rsid w:val="009E2D72"/>
    <w:rsid w:val="009E41C2"/>
    <w:rsid w:val="009E4A43"/>
    <w:rsid w:val="009E4EB7"/>
    <w:rsid w:val="009E5B2B"/>
    <w:rsid w:val="009E678B"/>
    <w:rsid w:val="009E7631"/>
    <w:rsid w:val="009F202D"/>
    <w:rsid w:val="009F2261"/>
    <w:rsid w:val="009F3537"/>
    <w:rsid w:val="009F4D34"/>
    <w:rsid w:val="009F6C58"/>
    <w:rsid w:val="00A06DA1"/>
    <w:rsid w:val="00A10791"/>
    <w:rsid w:val="00A21B01"/>
    <w:rsid w:val="00A2342B"/>
    <w:rsid w:val="00A2462A"/>
    <w:rsid w:val="00A25657"/>
    <w:rsid w:val="00A27907"/>
    <w:rsid w:val="00A329B6"/>
    <w:rsid w:val="00A33045"/>
    <w:rsid w:val="00A3341C"/>
    <w:rsid w:val="00A3351D"/>
    <w:rsid w:val="00A34597"/>
    <w:rsid w:val="00A34D40"/>
    <w:rsid w:val="00A35A20"/>
    <w:rsid w:val="00A362A7"/>
    <w:rsid w:val="00A36424"/>
    <w:rsid w:val="00A367A1"/>
    <w:rsid w:val="00A415D2"/>
    <w:rsid w:val="00A45643"/>
    <w:rsid w:val="00A45CC6"/>
    <w:rsid w:val="00A46067"/>
    <w:rsid w:val="00A460BA"/>
    <w:rsid w:val="00A510F6"/>
    <w:rsid w:val="00A52170"/>
    <w:rsid w:val="00A56614"/>
    <w:rsid w:val="00A56F8C"/>
    <w:rsid w:val="00A651C9"/>
    <w:rsid w:val="00A707F2"/>
    <w:rsid w:val="00A74BD2"/>
    <w:rsid w:val="00A75B4C"/>
    <w:rsid w:val="00A75C39"/>
    <w:rsid w:val="00A80739"/>
    <w:rsid w:val="00A83456"/>
    <w:rsid w:val="00A83829"/>
    <w:rsid w:val="00A84672"/>
    <w:rsid w:val="00A85AFF"/>
    <w:rsid w:val="00A91479"/>
    <w:rsid w:val="00A927BA"/>
    <w:rsid w:val="00A95100"/>
    <w:rsid w:val="00A95BD9"/>
    <w:rsid w:val="00A96490"/>
    <w:rsid w:val="00AA2A39"/>
    <w:rsid w:val="00AA615B"/>
    <w:rsid w:val="00AA7209"/>
    <w:rsid w:val="00AB0DED"/>
    <w:rsid w:val="00AB3503"/>
    <w:rsid w:val="00AB604E"/>
    <w:rsid w:val="00AB6FCA"/>
    <w:rsid w:val="00AC09B0"/>
    <w:rsid w:val="00AC0C81"/>
    <w:rsid w:val="00AC1BFA"/>
    <w:rsid w:val="00AC3A0A"/>
    <w:rsid w:val="00AC3C72"/>
    <w:rsid w:val="00AC5FE7"/>
    <w:rsid w:val="00AD7725"/>
    <w:rsid w:val="00AD7B0E"/>
    <w:rsid w:val="00AE1CAD"/>
    <w:rsid w:val="00AE2D81"/>
    <w:rsid w:val="00AE668A"/>
    <w:rsid w:val="00AE6858"/>
    <w:rsid w:val="00AF14FA"/>
    <w:rsid w:val="00AF185A"/>
    <w:rsid w:val="00AF1AE0"/>
    <w:rsid w:val="00AF29A7"/>
    <w:rsid w:val="00AF4523"/>
    <w:rsid w:val="00AF496A"/>
    <w:rsid w:val="00AF5C62"/>
    <w:rsid w:val="00AF6B5C"/>
    <w:rsid w:val="00AF7270"/>
    <w:rsid w:val="00B01F20"/>
    <w:rsid w:val="00B021E7"/>
    <w:rsid w:val="00B03FDA"/>
    <w:rsid w:val="00B04B76"/>
    <w:rsid w:val="00B07694"/>
    <w:rsid w:val="00B100E5"/>
    <w:rsid w:val="00B10457"/>
    <w:rsid w:val="00B10DE4"/>
    <w:rsid w:val="00B11A7E"/>
    <w:rsid w:val="00B16535"/>
    <w:rsid w:val="00B17BC5"/>
    <w:rsid w:val="00B17FB1"/>
    <w:rsid w:val="00B20473"/>
    <w:rsid w:val="00B20FB9"/>
    <w:rsid w:val="00B2158C"/>
    <w:rsid w:val="00B21643"/>
    <w:rsid w:val="00B22A0F"/>
    <w:rsid w:val="00B22BA1"/>
    <w:rsid w:val="00B24E57"/>
    <w:rsid w:val="00B256A0"/>
    <w:rsid w:val="00B2594C"/>
    <w:rsid w:val="00B30582"/>
    <w:rsid w:val="00B30D96"/>
    <w:rsid w:val="00B32E79"/>
    <w:rsid w:val="00B34542"/>
    <w:rsid w:val="00B34CCC"/>
    <w:rsid w:val="00B372B9"/>
    <w:rsid w:val="00B40E65"/>
    <w:rsid w:val="00B41D9C"/>
    <w:rsid w:val="00B422E4"/>
    <w:rsid w:val="00B44EB3"/>
    <w:rsid w:val="00B46660"/>
    <w:rsid w:val="00B5123E"/>
    <w:rsid w:val="00B522C4"/>
    <w:rsid w:val="00B52B0E"/>
    <w:rsid w:val="00B5337D"/>
    <w:rsid w:val="00B57623"/>
    <w:rsid w:val="00B63A7D"/>
    <w:rsid w:val="00B64632"/>
    <w:rsid w:val="00B65290"/>
    <w:rsid w:val="00B65788"/>
    <w:rsid w:val="00B67827"/>
    <w:rsid w:val="00B70E26"/>
    <w:rsid w:val="00B71762"/>
    <w:rsid w:val="00B71C1B"/>
    <w:rsid w:val="00B77186"/>
    <w:rsid w:val="00B83879"/>
    <w:rsid w:val="00B84313"/>
    <w:rsid w:val="00B921F9"/>
    <w:rsid w:val="00B93871"/>
    <w:rsid w:val="00B97D95"/>
    <w:rsid w:val="00BA36EA"/>
    <w:rsid w:val="00BA7E78"/>
    <w:rsid w:val="00BB0DE6"/>
    <w:rsid w:val="00BB0EA7"/>
    <w:rsid w:val="00BB23FA"/>
    <w:rsid w:val="00BB3DBA"/>
    <w:rsid w:val="00BB59F9"/>
    <w:rsid w:val="00BC15B8"/>
    <w:rsid w:val="00BC277C"/>
    <w:rsid w:val="00BC5279"/>
    <w:rsid w:val="00BC5C59"/>
    <w:rsid w:val="00BC6C4E"/>
    <w:rsid w:val="00BD0349"/>
    <w:rsid w:val="00BD0A88"/>
    <w:rsid w:val="00BD3FF4"/>
    <w:rsid w:val="00BD5341"/>
    <w:rsid w:val="00BD56BA"/>
    <w:rsid w:val="00BD58A7"/>
    <w:rsid w:val="00BD66E3"/>
    <w:rsid w:val="00BE1E33"/>
    <w:rsid w:val="00BE2AD3"/>
    <w:rsid w:val="00BE2B56"/>
    <w:rsid w:val="00BE2BE3"/>
    <w:rsid w:val="00BE36F7"/>
    <w:rsid w:val="00BE4E4A"/>
    <w:rsid w:val="00BF1973"/>
    <w:rsid w:val="00BF2443"/>
    <w:rsid w:val="00BF3EC6"/>
    <w:rsid w:val="00BF414E"/>
    <w:rsid w:val="00BF691A"/>
    <w:rsid w:val="00C00831"/>
    <w:rsid w:val="00C00D11"/>
    <w:rsid w:val="00C02343"/>
    <w:rsid w:val="00C02D09"/>
    <w:rsid w:val="00C03689"/>
    <w:rsid w:val="00C04E06"/>
    <w:rsid w:val="00C0638E"/>
    <w:rsid w:val="00C0690F"/>
    <w:rsid w:val="00C069D0"/>
    <w:rsid w:val="00C0790E"/>
    <w:rsid w:val="00C10C8D"/>
    <w:rsid w:val="00C12201"/>
    <w:rsid w:val="00C138E3"/>
    <w:rsid w:val="00C1405A"/>
    <w:rsid w:val="00C17AED"/>
    <w:rsid w:val="00C202DD"/>
    <w:rsid w:val="00C22412"/>
    <w:rsid w:val="00C24EA3"/>
    <w:rsid w:val="00C25E14"/>
    <w:rsid w:val="00C3274A"/>
    <w:rsid w:val="00C35ADE"/>
    <w:rsid w:val="00C362AF"/>
    <w:rsid w:val="00C4526C"/>
    <w:rsid w:val="00C47F1E"/>
    <w:rsid w:val="00C5015F"/>
    <w:rsid w:val="00C50B1B"/>
    <w:rsid w:val="00C51BB8"/>
    <w:rsid w:val="00C52671"/>
    <w:rsid w:val="00C52801"/>
    <w:rsid w:val="00C570E4"/>
    <w:rsid w:val="00C6210F"/>
    <w:rsid w:val="00C628EE"/>
    <w:rsid w:val="00C64CEB"/>
    <w:rsid w:val="00C745C6"/>
    <w:rsid w:val="00C75DB8"/>
    <w:rsid w:val="00C76A82"/>
    <w:rsid w:val="00C8688B"/>
    <w:rsid w:val="00C9148A"/>
    <w:rsid w:val="00C94317"/>
    <w:rsid w:val="00C960CD"/>
    <w:rsid w:val="00C964DE"/>
    <w:rsid w:val="00C96C57"/>
    <w:rsid w:val="00C97F50"/>
    <w:rsid w:val="00CA3C3B"/>
    <w:rsid w:val="00CA5790"/>
    <w:rsid w:val="00CA634C"/>
    <w:rsid w:val="00CA6545"/>
    <w:rsid w:val="00CA6B65"/>
    <w:rsid w:val="00CB2E46"/>
    <w:rsid w:val="00CB30C7"/>
    <w:rsid w:val="00CB56B3"/>
    <w:rsid w:val="00CB629E"/>
    <w:rsid w:val="00CB6D5C"/>
    <w:rsid w:val="00CB7F8D"/>
    <w:rsid w:val="00CC08BB"/>
    <w:rsid w:val="00CC3C9A"/>
    <w:rsid w:val="00CC404A"/>
    <w:rsid w:val="00CC773C"/>
    <w:rsid w:val="00CD0097"/>
    <w:rsid w:val="00CD11FB"/>
    <w:rsid w:val="00CD2C22"/>
    <w:rsid w:val="00CD3A9D"/>
    <w:rsid w:val="00CD50DF"/>
    <w:rsid w:val="00CD6B00"/>
    <w:rsid w:val="00CE7C17"/>
    <w:rsid w:val="00CF18DD"/>
    <w:rsid w:val="00CF326B"/>
    <w:rsid w:val="00D05EAC"/>
    <w:rsid w:val="00D0763E"/>
    <w:rsid w:val="00D12644"/>
    <w:rsid w:val="00D13669"/>
    <w:rsid w:val="00D145A5"/>
    <w:rsid w:val="00D1531B"/>
    <w:rsid w:val="00D22E46"/>
    <w:rsid w:val="00D23FF3"/>
    <w:rsid w:val="00D24682"/>
    <w:rsid w:val="00D24F06"/>
    <w:rsid w:val="00D25AEF"/>
    <w:rsid w:val="00D349EE"/>
    <w:rsid w:val="00D34B70"/>
    <w:rsid w:val="00D365CF"/>
    <w:rsid w:val="00D4404B"/>
    <w:rsid w:val="00D44C9B"/>
    <w:rsid w:val="00D45171"/>
    <w:rsid w:val="00D47BD4"/>
    <w:rsid w:val="00D50C10"/>
    <w:rsid w:val="00D51A2F"/>
    <w:rsid w:val="00D527F4"/>
    <w:rsid w:val="00D54619"/>
    <w:rsid w:val="00D56432"/>
    <w:rsid w:val="00D56763"/>
    <w:rsid w:val="00D56D47"/>
    <w:rsid w:val="00D621D8"/>
    <w:rsid w:val="00D64081"/>
    <w:rsid w:val="00D644D8"/>
    <w:rsid w:val="00D6550B"/>
    <w:rsid w:val="00D670FF"/>
    <w:rsid w:val="00D70D9F"/>
    <w:rsid w:val="00D70FB4"/>
    <w:rsid w:val="00D7159C"/>
    <w:rsid w:val="00D74A1C"/>
    <w:rsid w:val="00D76E57"/>
    <w:rsid w:val="00D815C1"/>
    <w:rsid w:val="00D822D9"/>
    <w:rsid w:val="00D838D1"/>
    <w:rsid w:val="00D8431C"/>
    <w:rsid w:val="00D84DC5"/>
    <w:rsid w:val="00D85C85"/>
    <w:rsid w:val="00D92090"/>
    <w:rsid w:val="00D923D3"/>
    <w:rsid w:val="00D92F6C"/>
    <w:rsid w:val="00D93CB6"/>
    <w:rsid w:val="00D95879"/>
    <w:rsid w:val="00D95C0B"/>
    <w:rsid w:val="00D961FC"/>
    <w:rsid w:val="00D97A6B"/>
    <w:rsid w:val="00DA1F6A"/>
    <w:rsid w:val="00DA2FA3"/>
    <w:rsid w:val="00DA585A"/>
    <w:rsid w:val="00DB17C2"/>
    <w:rsid w:val="00DB2447"/>
    <w:rsid w:val="00DB253D"/>
    <w:rsid w:val="00DB2CEC"/>
    <w:rsid w:val="00DB3F57"/>
    <w:rsid w:val="00DB41BD"/>
    <w:rsid w:val="00DB751D"/>
    <w:rsid w:val="00DC0088"/>
    <w:rsid w:val="00DC0138"/>
    <w:rsid w:val="00DC22C6"/>
    <w:rsid w:val="00DC341B"/>
    <w:rsid w:val="00DC4F2E"/>
    <w:rsid w:val="00DC59FA"/>
    <w:rsid w:val="00DC654D"/>
    <w:rsid w:val="00DC679E"/>
    <w:rsid w:val="00DD0E98"/>
    <w:rsid w:val="00DD159A"/>
    <w:rsid w:val="00DD1A92"/>
    <w:rsid w:val="00DD265C"/>
    <w:rsid w:val="00DD558D"/>
    <w:rsid w:val="00DD6DB9"/>
    <w:rsid w:val="00DD6E28"/>
    <w:rsid w:val="00DD7CCE"/>
    <w:rsid w:val="00DE4565"/>
    <w:rsid w:val="00DE4EF6"/>
    <w:rsid w:val="00DE64DE"/>
    <w:rsid w:val="00DE7AB4"/>
    <w:rsid w:val="00DF264E"/>
    <w:rsid w:val="00DF2F9C"/>
    <w:rsid w:val="00DF4D86"/>
    <w:rsid w:val="00DF6042"/>
    <w:rsid w:val="00DF7C17"/>
    <w:rsid w:val="00E0053A"/>
    <w:rsid w:val="00E01D84"/>
    <w:rsid w:val="00E030B1"/>
    <w:rsid w:val="00E062DE"/>
    <w:rsid w:val="00E11260"/>
    <w:rsid w:val="00E137BB"/>
    <w:rsid w:val="00E1620A"/>
    <w:rsid w:val="00E17AA0"/>
    <w:rsid w:val="00E21351"/>
    <w:rsid w:val="00E2306B"/>
    <w:rsid w:val="00E269AA"/>
    <w:rsid w:val="00E3199C"/>
    <w:rsid w:val="00E32006"/>
    <w:rsid w:val="00E35B0E"/>
    <w:rsid w:val="00E42425"/>
    <w:rsid w:val="00E51495"/>
    <w:rsid w:val="00E56245"/>
    <w:rsid w:val="00E56991"/>
    <w:rsid w:val="00E64988"/>
    <w:rsid w:val="00E64A38"/>
    <w:rsid w:val="00E650D8"/>
    <w:rsid w:val="00E665E3"/>
    <w:rsid w:val="00E66D85"/>
    <w:rsid w:val="00E70D94"/>
    <w:rsid w:val="00E714FB"/>
    <w:rsid w:val="00E73203"/>
    <w:rsid w:val="00E74E2C"/>
    <w:rsid w:val="00E756AC"/>
    <w:rsid w:val="00E77085"/>
    <w:rsid w:val="00E81306"/>
    <w:rsid w:val="00E8381A"/>
    <w:rsid w:val="00E87596"/>
    <w:rsid w:val="00E87794"/>
    <w:rsid w:val="00E94150"/>
    <w:rsid w:val="00E95EAA"/>
    <w:rsid w:val="00E96422"/>
    <w:rsid w:val="00E96FE3"/>
    <w:rsid w:val="00EA5A59"/>
    <w:rsid w:val="00EB0B9E"/>
    <w:rsid w:val="00EB3D8F"/>
    <w:rsid w:val="00EC1E7B"/>
    <w:rsid w:val="00EC1F05"/>
    <w:rsid w:val="00EC2D8F"/>
    <w:rsid w:val="00EC3201"/>
    <w:rsid w:val="00EC3373"/>
    <w:rsid w:val="00EC432F"/>
    <w:rsid w:val="00EC4F9C"/>
    <w:rsid w:val="00EC56B2"/>
    <w:rsid w:val="00ED0FE3"/>
    <w:rsid w:val="00ED17B7"/>
    <w:rsid w:val="00ED182A"/>
    <w:rsid w:val="00ED2CB5"/>
    <w:rsid w:val="00ED3EF0"/>
    <w:rsid w:val="00ED57C2"/>
    <w:rsid w:val="00ED5E06"/>
    <w:rsid w:val="00EE0BD0"/>
    <w:rsid w:val="00EE121F"/>
    <w:rsid w:val="00EE1D98"/>
    <w:rsid w:val="00EE2450"/>
    <w:rsid w:val="00EE2707"/>
    <w:rsid w:val="00EE2C9B"/>
    <w:rsid w:val="00EF1C55"/>
    <w:rsid w:val="00EF2CA6"/>
    <w:rsid w:val="00EF79D9"/>
    <w:rsid w:val="00F017A9"/>
    <w:rsid w:val="00F03734"/>
    <w:rsid w:val="00F0422A"/>
    <w:rsid w:val="00F0523A"/>
    <w:rsid w:val="00F05A86"/>
    <w:rsid w:val="00F07A17"/>
    <w:rsid w:val="00F117B1"/>
    <w:rsid w:val="00F13120"/>
    <w:rsid w:val="00F134F9"/>
    <w:rsid w:val="00F1437C"/>
    <w:rsid w:val="00F15CF2"/>
    <w:rsid w:val="00F17041"/>
    <w:rsid w:val="00F218E0"/>
    <w:rsid w:val="00F22CF5"/>
    <w:rsid w:val="00F2346B"/>
    <w:rsid w:val="00F236D5"/>
    <w:rsid w:val="00F239BB"/>
    <w:rsid w:val="00F24C62"/>
    <w:rsid w:val="00F25723"/>
    <w:rsid w:val="00F26DB6"/>
    <w:rsid w:val="00F27497"/>
    <w:rsid w:val="00F30A67"/>
    <w:rsid w:val="00F30BC4"/>
    <w:rsid w:val="00F30E6B"/>
    <w:rsid w:val="00F32771"/>
    <w:rsid w:val="00F32D74"/>
    <w:rsid w:val="00F33F55"/>
    <w:rsid w:val="00F34138"/>
    <w:rsid w:val="00F342D4"/>
    <w:rsid w:val="00F3642B"/>
    <w:rsid w:val="00F379D7"/>
    <w:rsid w:val="00F4047E"/>
    <w:rsid w:val="00F4453E"/>
    <w:rsid w:val="00F47FCE"/>
    <w:rsid w:val="00F501C1"/>
    <w:rsid w:val="00F501D2"/>
    <w:rsid w:val="00F524A7"/>
    <w:rsid w:val="00F5266F"/>
    <w:rsid w:val="00F55AB2"/>
    <w:rsid w:val="00F55C60"/>
    <w:rsid w:val="00F55F83"/>
    <w:rsid w:val="00F56145"/>
    <w:rsid w:val="00F56447"/>
    <w:rsid w:val="00F56E41"/>
    <w:rsid w:val="00F57F91"/>
    <w:rsid w:val="00F64055"/>
    <w:rsid w:val="00F67011"/>
    <w:rsid w:val="00F710C6"/>
    <w:rsid w:val="00F7232B"/>
    <w:rsid w:val="00F745C3"/>
    <w:rsid w:val="00F77C39"/>
    <w:rsid w:val="00F863D0"/>
    <w:rsid w:val="00F87FD4"/>
    <w:rsid w:val="00F93537"/>
    <w:rsid w:val="00F9481A"/>
    <w:rsid w:val="00F95325"/>
    <w:rsid w:val="00F96AB1"/>
    <w:rsid w:val="00FA2523"/>
    <w:rsid w:val="00FA547C"/>
    <w:rsid w:val="00FA57A7"/>
    <w:rsid w:val="00FA7B7C"/>
    <w:rsid w:val="00FB1636"/>
    <w:rsid w:val="00FB1DF4"/>
    <w:rsid w:val="00FB46DD"/>
    <w:rsid w:val="00FB67AC"/>
    <w:rsid w:val="00FC4508"/>
    <w:rsid w:val="00FC55A0"/>
    <w:rsid w:val="00FC755D"/>
    <w:rsid w:val="00FD68FF"/>
    <w:rsid w:val="00FD6DAE"/>
    <w:rsid w:val="00FD724A"/>
    <w:rsid w:val="00FE3DBF"/>
    <w:rsid w:val="00FE3EED"/>
    <w:rsid w:val="00FE4EBF"/>
    <w:rsid w:val="00FE629D"/>
    <w:rsid w:val="00FF34F7"/>
    <w:rsid w:val="00FF351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docId w15:val="{256F3437-8D53-4196-9E70-19EA4DB0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paragraph" w:styleId="Ttulo1">
    <w:name w:val="heading 1"/>
    <w:basedOn w:val="Normal"/>
    <w:next w:val="Normal"/>
    <w:link w:val="Ttulo1Car"/>
    <w:uiPriority w:val="9"/>
    <w:qFormat/>
    <w:rsid w:val="00095C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5212A"/>
    <w:pPr>
      <w:keepNext/>
      <w:keepLines/>
      <w:numPr>
        <w:ilvl w:val="1"/>
        <w:numId w:val="13"/>
      </w:numPr>
      <w:spacing w:before="40" w:after="120" w:line="259" w:lineRule="auto"/>
      <w:ind w:left="357" w:hanging="357"/>
      <w:jc w:val="both"/>
      <w:outlineLvl w:val="1"/>
    </w:pPr>
    <w:rPr>
      <w:rFonts w:ascii="Arial" w:eastAsiaTheme="majorEastAsia" w:hAnsi="Arial" w:cstheme="majorBidi"/>
      <w:b/>
      <w:caps/>
      <w:color w:val="000000" w:themeColor="text1"/>
      <w:sz w:val="20"/>
      <w:szCs w:val="26"/>
    </w:rPr>
  </w:style>
  <w:style w:type="paragraph" w:styleId="Ttulo3">
    <w:name w:val="heading 3"/>
    <w:basedOn w:val="Normal"/>
    <w:next w:val="Normal"/>
    <w:link w:val="Ttulo3Car"/>
    <w:uiPriority w:val="9"/>
    <w:unhideWhenUsed/>
    <w:qFormat/>
    <w:rsid w:val="0005212A"/>
    <w:pPr>
      <w:keepNext/>
      <w:keepLines/>
      <w:numPr>
        <w:ilvl w:val="2"/>
        <w:numId w:val="13"/>
      </w:numPr>
      <w:spacing w:before="40" w:after="120" w:line="259" w:lineRule="auto"/>
      <w:jc w:val="both"/>
      <w:outlineLvl w:val="2"/>
    </w:pPr>
    <w:rPr>
      <w:rFonts w:ascii="Arial" w:eastAsiaTheme="majorEastAsia" w:hAnsi="Arial" w:cstheme="majorBidi"/>
      <w:b/>
      <w:caps/>
      <w:color w:val="000000" w:themeColor="text1"/>
      <w:sz w:val="20"/>
      <w:szCs w:val="24"/>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5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customStyle="1" w:styleId="Appelnotedebasde">
    <w:name w:val="Appel note de bas de..."/>
    <w:basedOn w:val="Normal"/>
    <w:link w:val="Refdenotaalpie"/>
    <w:uiPriority w:val="99"/>
    <w:rsid w:val="00CF18DD"/>
    <w:pPr>
      <w:spacing w:after="160" w:line="240" w:lineRule="exact"/>
    </w:pPr>
    <w:rPr>
      <w:sz w:val="22"/>
      <w:vertAlign w:val="superscript"/>
      <w:lang w:val="es-CO"/>
    </w:rPr>
  </w:style>
  <w:style w:type="paragraph" w:customStyle="1" w:styleId="Entidad-Capitulo">
    <w:name w:val="Entidad-Capitulo"/>
    <w:next w:val="Normal"/>
    <w:autoRedefine/>
    <w:uiPriority w:val="99"/>
    <w:qFormat/>
    <w:rsid w:val="004F13BC"/>
    <w:pPr>
      <w:keepNext/>
      <w:spacing w:before="240" w:after="0" w:line="276" w:lineRule="auto"/>
      <w:ind w:left="360"/>
      <w:jc w:val="center"/>
      <w:outlineLvl w:val="0"/>
    </w:pPr>
    <w:rPr>
      <w:rFonts w:ascii="Arial" w:eastAsia="Times New Roman" w:hAnsi="Arial" w:cs="Arial"/>
      <w:b/>
      <w:smallCaps/>
      <w:sz w:val="20"/>
      <w:szCs w:val="20"/>
      <w:lang w:eastAsia="es-ES"/>
    </w:rPr>
  </w:style>
  <w:style w:type="paragraph" w:styleId="Textoindependiente">
    <w:name w:val="Body Text"/>
    <w:basedOn w:val="Normal"/>
    <w:link w:val="TextoindependienteCar"/>
    <w:uiPriority w:val="99"/>
    <w:unhideWhenUsed/>
    <w:rsid w:val="001F54C2"/>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1F54C2"/>
    <w:rPr>
      <w:rFonts w:eastAsiaTheme="minorEastAsia"/>
      <w:lang w:eastAsia="es-CO"/>
    </w:rPr>
  </w:style>
  <w:style w:type="paragraph" w:customStyle="1" w:styleId="paragraph">
    <w:name w:val="paragraph"/>
    <w:basedOn w:val="Normal"/>
    <w:rsid w:val="00202B63"/>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202B63"/>
  </w:style>
  <w:style w:type="character" w:customStyle="1" w:styleId="eop">
    <w:name w:val="eop"/>
    <w:basedOn w:val="Fuentedeprrafopredeter"/>
    <w:rsid w:val="00202B63"/>
  </w:style>
  <w:style w:type="character" w:customStyle="1" w:styleId="superscript">
    <w:name w:val="superscript"/>
    <w:basedOn w:val="Fuentedeprrafopredeter"/>
    <w:rsid w:val="002C3B96"/>
  </w:style>
  <w:style w:type="character" w:customStyle="1" w:styleId="tabchar">
    <w:name w:val="tabchar"/>
    <w:basedOn w:val="Fuentedeprrafopredeter"/>
    <w:rsid w:val="00920DB9"/>
  </w:style>
  <w:style w:type="character" w:customStyle="1" w:styleId="equationplaceholdertext">
    <w:name w:val="equationplaceholdertext"/>
    <w:basedOn w:val="Fuentedeprrafopredeter"/>
    <w:rsid w:val="00634DC4"/>
  </w:style>
  <w:style w:type="character" w:styleId="Textoennegrita">
    <w:name w:val="Strong"/>
    <w:basedOn w:val="Fuentedeprrafopredeter"/>
    <w:uiPriority w:val="22"/>
    <w:qFormat/>
    <w:rsid w:val="00792A39"/>
    <w:rPr>
      <w:b/>
      <w:bCs/>
    </w:rPr>
  </w:style>
  <w:style w:type="paragraph" w:customStyle="1" w:styleId="Normal11pt">
    <w:name w:val="Normal + 11 pt"/>
    <w:aliases w:val="Negro,Justificado,Izquierda:  -0,95 cm,Derecha:  0,04 cm"/>
    <w:basedOn w:val="Normal"/>
    <w:uiPriority w:val="99"/>
    <w:rsid w:val="00842A29"/>
    <w:pPr>
      <w:ind w:left="-540"/>
      <w:jc w:val="both"/>
    </w:pPr>
    <w:rPr>
      <w:rFonts w:ascii="Arial" w:eastAsia="Times New Roman" w:hAnsi="Arial" w:cs="Arial"/>
      <w:color w:val="000000"/>
      <w:sz w:val="22"/>
      <w:lang w:val="es-ES_tradnl" w:eastAsia="es-ES"/>
    </w:rPr>
  </w:style>
  <w:style w:type="character" w:customStyle="1" w:styleId="Ttulo2Car">
    <w:name w:val="Título 2 Car"/>
    <w:basedOn w:val="Fuentedeprrafopredeter"/>
    <w:link w:val="Ttulo2"/>
    <w:uiPriority w:val="9"/>
    <w:rsid w:val="0005212A"/>
    <w:rPr>
      <w:rFonts w:ascii="Arial" w:eastAsiaTheme="majorEastAsia" w:hAnsi="Arial" w:cstheme="majorBidi"/>
      <w:b/>
      <w:caps/>
      <w:color w:val="000000" w:themeColor="text1"/>
      <w:sz w:val="20"/>
      <w:szCs w:val="26"/>
      <w:lang w:val="es-MX"/>
    </w:rPr>
  </w:style>
  <w:style w:type="character" w:customStyle="1" w:styleId="Ttulo3Car">
    <w:name w:val="Título 3 Car"/>
    <w:basedOn w:val="Fuentedeprrafopredeter"/>
    <w:link w:val="Ttulo3"/>
    <w:uiPriority w:val="9"/>
    <w:rsid w:val="0005212A"/>
    <w:rPr>
      <w:rFonts w:ascii="Arial" w:eastAsiaTheme="majorEastAsia" w:hAnsi="Arial" w:cstheme="majorBidi"/>
      <w:b/>
      <w:caps/>
      <w:color w:val="000000" w:themeColor="text1"/>
      <w:sz w:val="20"/>
      <w:szCs w:val="24"/>
    </w:rPr>
  </w:style>
  <w:style w:type="character" w:customStyle="1" w:styleId="Ttulo1Car">
    <w:name w:val="Título 1 Car"/>
    <w:basedOn w:val="Fuentedeprrafopredeter"/>
    <w:link w:val="Ttulo1"/>
    <w:uiPriority w:val="9"/>
    <w:rsid w:val="00095C58"/>
    <w:rPr>
      <w:rFonts w:asciiTheme="majorHAnsi" w:eastAsiaTheme="majorEastAsia" w:hAnsiTheme="majorHAnsi" w:cstheme="majorBidi"/>
      <w:color w:val="2F5496" w:themeColor="accent1" w:themeShade="BF"/>
      <w:sz w:val="32"/>
      <w:szCs w:val="32"/>
      <w:lang w:val="es-MX"/>
    </w:rPr>
  </w:style>
  <w:style w:type="character" w:styleId="Mencinsinresolver">
    <w:name w:val="Unresolved Mention"/>
    <w:basedOn w:val="Fuentedeprrafopredeter"/>
    <w:uiPriority w:val="99"/>
    <w:semiHidden/>
    <w:unhideWhenUsed/>
    <w:rsid w:val="00A91479"/>
    <w:rPr>
      <w:color w:val="605E5C"/>
      <w:shd w:val="clear" w:color="auto" w:fill="E1DFDD"/>
    </w:rPr>
  </w:style>
  <w:style w:type="table" w:customStyle="1" w:styleId="Tablaconcuadrcula1">
    <w:name w:val="Tabla con cuadrícula1"/>
    <w:basedOn w:val="Tablanormal"/>
    <w:next w:val="Tablaconcuadrcula"/>
    <w:uiPriority w:val="59"/>
    <w:rsid w:val="00A914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821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21384372">
      <w:bodyDiv w:val="1"/>
      <w:marLeft w:val="0"/>
      <w:marRight w:val="0"/>
      <w:marTop w:val="0"/>
      <w:marBottom w:val="0"/>
      <w:divBdr>
        <w:top w:val="none" w:sz="0" w:space="0" w:color="auto"/>
        <w:left w:val="none" w:sz="0" w:space="0" w:color="auto"/>
        <w:bottom w:val="none" w:sz="0" w:space="0" w:color="auto"/>
        <w:right w:val="none" w:sz="0" w:space="0" w:color="auto"/>
      </w:divBdr>
    </w:div>
    <w:div w:id="157772662">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402526769">
          <w:marLeft w:val="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71367">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2037461834">
              <w:marLeft w:val="0"/>
              <w:marRight w:val="0"/>
              <w:marTop w:val="0"/>
              <w:marBottom w:val="0"/>
              <w:divBdr>
                <w:top w:val="none" w:sz="0" w:space="0" w:color="auto"/>
                <w:left w:val="none" w:sz="0" w:space="0" w:color="auto"/>
                <w:bottom w:val="none" w:sz="0" w:space="0" w:color="auto"/>
                <w:right w:val="none" w:sz="0" w:space="0" w:color="auto"/>
              </w:divBdr>
            </w:div>
            <w:div w:id="2084179664">
              <w:marLeft w:val="0"/>
              <w:marRight w:val="0"/>
              <w:marTop w:val="0"/>
              <w:marBottom w:val="0"/>
              <w:divBdr>
                <w:top w:val="none" w:sz="0" w:space="0" w:color="auto"/>
                <w:left w:val="none" w:sz="0" w:space="0" w:color="auto"/>
                <w:bottom w:val="none" w:sz="0" w:space="0" w:color="auto"/>
                <w:right w:val="none" w:sz="0" w:space="0" w:color="auto"/>
              </w:divBdr>
            </w:div>
          </w:divsChild>
        </w:div>
        <w:div w:id="1200389164">
          <w:marLeft w:val="0"/>
          <w:marRight w:val="0"/>
          <w:marTop w:val="0"/>
          <w:marBottom w:val="0"/>
          <w:divBdr>
            <w:top w:val="none" w:sz="0" w:space="0" w:color="auto"/>
            <w:left w:val="none" w:sz="0" w:space="0" w:color="auto"/>
            <w:bottom w:val="none" w:sz="0" w:space="0" w:color="auto"/>
            <w:right w:val="none" w:sz="0" w:space="0" w:color="auto"/>
          </w:divBdr>
        </w:div>
        <w:div w:id="1202671293">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50225277">
      <w:bodyDiv w:val="1"/>
      <w:marLeft w:val="0"/>
      <w:marRight w:val="0"/>
      <w:marTop w:val="0"/>
      <w:marBottom w:val="0"/>
      <w:divBdr>
        <w:top w:val="none" w:sz="0" w:space="0" w:color="auto"/>
        <w:left w:val="none" w:sz="0" w:space="0" w:color="auto"/>
        <w:bottom w:val="none" w:sz="0" w:space="0" w:color="auto"/>
        <w:right w:val="none" w:sz="0" w:space="0" w:color="auto"/>
      </w:divBdr>
      <w:divsChild>
        <w:div w:id="87848512">
          <w:marLeft w:val="0"/>
          <w:marRight w:val="0"/>
          <w:marTop w:val="0"/>
          <w:marBottom w:val="0"/>
          <w:divBdr>
            <w:top w:val="none" w:sz="0" w:space="0" w:color="auto"/>
            <w:left w:val="none" w:sz="0" w:space="0" w:color="auto"/>
            <w:bottom w:val="none" w:sz="0" w:space="0" w:color="auto"/>
            <w:right w:val="none" w:sz="0" w:space="0" w:color="auto"/>
          </w:divBdr>
        </w:div>
        <w:div w:id="101269728">
          <w:marLeft w:val="0"/>
          <w:marRight w:val="0"/>
          <w:marTop w:val="0"/>
          <w:marBottom w:val="0"/>
          <w:divBdr>
            <w:top w:val="none" w:sz="0" w:space="0" w:color="auto"/>
            <w:left w:val="none" w:sz="0" w:space="0" w:color="auto"/>
            <w:bottom w:val="none" w:sz="0" w:space="0" w:color="auto"/>
            <w:right w:val="none" w:sz="0" w:space="0" w:color="auto"/>
          </w:divBdr>
        </w:div>
        <w:div w:id="214243733">
          <w:marLeft w:val="0"/>
          <w:marRight w:val="0"/>
          <w:marTop w:val="0"/>
          <w:marBottom w:val="0"/>
          <w:divBdr>
            <w:top w:val="none" w:sz="0" w:space="0" w:color="auto"/>
            <w:left w:val="none" w:sz="0" w:space="0" w:color="auto"/>
            <w:bottom w:val="none" w:sz="0" w:space="0" w:color="auto"/>
            <w:right w:val="none" w:sz="0" w:space="0" w:color="auto"/>
          </w:divBdr>
        </w:div>
        <w:div w:id="764573607">
          <w:marLeft w:val="0"/>
          <w:marRight w:val="0"/>
          <w:marTop w:val="0"/>
          <w:marBottom w:val="0"/>
          <w:divBdr>
            <w:top w:val="none" w:sz="0" w:space="0" w:color="auto"/>
            <w:left w:val="none" w:sz="0" w:space="0" w:color="auto"/>
            <w:bottom w:val="none" w:sz="0" w:space="0" w:color="auto"/>
            <w:right w:val="none" w:sz="0" w:space="0" w:color="auto"/>
          </w:divBdr>
        </w:div>
        <w:div w:id="885025752">
          <w:marLeft w:val="0"/>
          <w:marRight w:val="0"/>
          <w:marTop w:val="0"/>
          <w:marBottom w:val="0"/>
          <w:divBdr>
            <w:top w:val="none" w:sz="0" w:space="0" w:color="auto"/>
            <w:left w:val="none" w:sz="0" w:space="0" w:color="auto"/>
            <w:bottom w:val="none" w:sz="0" w:space="0" w:color="auto"/>
            <w:right w:val="none" w:sz="0" w:space="0" w:color="auto"/>
          </w:divBdr>
        </w:div>
        <w:div w:id="1304580930">
          <w:marLeft w:val="0"/>
          <w:marRight w:val="0"/>
          <w:marTop w:val="0"/>
          <w:marBottom w:val="0"/>
          <w:divBdr>
            <w:top w:val="none" w:sz="0" w:space="0" w:color="auto"/>
            <w:left w:val="none" w:sz="0" w:space="0" w:color="auto"/>
            <w:bottom w:val="none" w:sz="0" w:space="0" w:color="auto"/>
            <w:right w:val="none" w:sz="0" w:space="0" w:color="auto"/>
          </w:divBdr>
        </w:div>
        <w:div w:id="1833373861">
          <w:marLeft w:val="0"/>
          <w:marRight w:val="0"/>
          <w:marTop w:val="0"/>
          <w:marBottom w:val="0"/>
          <w:divBdr>
            <w:top w:val="none" w:sz="0" w:space="0" w:color="auto"/>
            <w:left w:val="none" w:sz="0" w:space="0" w:color="auto"/>
            <w:bottom w:val="none" w:sz="0" w:space="0" w:color="auto"/>
            <w:right w:val="none" w:sz="0" w:space="0" w:color="auto"/>
          </w:divBdr>
        </w:div>
        <w:div w:id="1867939375">
          <w:marLeft w:val="0"/>
          <w:marRight w:val="0"/>
          <w:marTop w:val="0"/>
          <w:marBottom w:val="0"/>
          <w:divBdr>
            <w:top w:val="none" w:sz="0" w:space="0" w:color="auto"/>
            <w:left w:val="none" w:sz="0" w:space="0" w:color="auto"/>
            <w:bottom w:val="none" w:sz="0" w:space="0" w:color="auto"/>
            <w:right w:val="none" w:sz="0" w:space="0" w:color="auto"/>
          </w:divBdr>
        </w:div>
        <w:div w:id="1934823486">
          <w:marLeft w:val="0"/>
          <w:marRight w:val="0"/>
          <w:marTop w:val="0"/>
          <w:marBottom w:val="0"/>
          <w:divBdr>
            <w:top w:val="none" w:sz="0" w:space="0" w:color="auto"/>
            <w:left w:val="none" w:sz="0" w:space="0" w:color="auto"/>
            <w:bottom w:val="none" w:sz="0" w:space="0" w:color="auto"/>
            <w:right w:val="none" w:sz="0" w:space="0" w:color="auto"/>
          </w:divBdr>
          <w:divsChild>
            <w:div w:id="2093813344">
              <w:marLeft w:val="-75"/>
              <w:marRight w:val="0"/>
              <w:marTop w:val="30"/>
              <w:marBottom w:val="30"/>
              <w:divBdr>
                <w:top w:val="none" w:sz="0" w:space="0" w:color="auto"/>
                <w:left w:val="none" w:sz="0" w:space="0" w:color="auto"/>
                <w:bottom w:val="none" w:sz="0" w:space="0" w:color="auto"/>
                <w:right w:val="none" w:sz="0" w:space="0" w:color="auto"/>
              </w:divBdr>
              <w:divsChild>
                <w:div w:id="165949399">
                  <w:marLeft w:val="0"/>
                  <w:marRight w:val="0"/>
                  <w:marTop w:val="0"/>
                  <w:marBottom w:val="0"/>
                  <w:divBdr>
                    <w:top w:val="none" w:sz="0" w:space="0" w:color="auto"/>
                    <w:left w:val="none" w:sz="0" w:space="0" w:color="auto"/>
                    <w:bottom w:val="none" w:sz="0" w:space="0" w:color="auto"/>
                    <w:right w:val="none" w:sz="0" w:space="0" w:color="auto"/>
                  </w:divBdr>
                  <w:divsChild>
                    <w:div w:id="2022388296">
                      <w:marLeft w:val="0"/>
                      <w:marRight w:val="0"/>
                      <w:marTop w:val="0"/>
                      <w:marBottom w:val="0"/>
                      <w:divBdr>
                        <w:top w:val="none" w:sz="0" w:space="0" w:color="auto"/>
                        <w:left w:val="none" w:sz="0" w:space="0" w:color="auto"/>
                        <w:bottom w:val="none" w:sz="0" w:space="0" w:color="auto"/>
                        <w:right w:val="none" w:sz="0" w:space="0" w:color="auto"/>
                      </w:divBdr>
                    </w:div>
                  </w:divsChild>
                </w:div>
                <w:div w:id="206138402">
                  <w:marLeft w:val="0"/>
                  <w:marRight w:val="0"/>
                  <w:marTop w:val="0"/>
                  <w:marBottom w:val="0"/>
                  <w:divBdr>
                    <w:top w:val="none" w:sz="0" w:space="0" w:color="auto"/>
                    <w:left w:val="none" w:sz="0" w:space="0" w:color="auto"/>
                    <w:bottom w:val="none" w:sz="0" w:space="0" w:color="auto"/>
                    <w:right w:val="none" w:sz="0" w:space="0" w:color="auto"/>
                  </w:divBdr>
                  <w:divsChild>
                    <w:div w:id="821897703">
                      <w:marLeft w:val="0"/>
                      <w:marRight w:val="0"/>
                      <w:marTop w:val="0"/>
                      <w:marBottom w:val="0"/>
                      <w:divBdr>
                        <w:top w:val="none" w:sz="0" w:space="0" w:color="auto"/>
                        <w:left w:val="none" w:sz="0" w:space="0" w:color="auto"/>
                        <w:bottom w:val="none" w:sz="0" w:space="0" w:color="auto"/>
                        <w:right w:val="none" w:sz="0" w:space="0" w:color="auto"/>
                      </w:divBdr>
                    </w:div>
                  </w:divsChild>
                </w:div>
                <w:div w:id="260799783">
                  <w:marLeft w:val="0"/>
                  <w:marRight w:val="0"/>
                  <w:marTop w:val="0"/>
                  <w:marBottom w:val="0"/>
                  <w:divBdr>
                    <w:top w:val="none" w:sz="0" w:space="0" w:color="auto"/>
                    <w:left w:val="none" w:sz="0" w:space="0" w:color="auto"/>
                    <w:bottom w:val="none" w:sz="0" w:space="0" w:color="auto"/>
                    <w:right w:val="none" w:sz="0" w:space="0" w:color="auto"/>
                  </w:divBdr>
                  <w:divsChild>
                    <w:div w:id="931007556">
                      <w:marLeft w:val="0"/>
                      <w:marRight w:val="0"/>
                      <w:marTop w:val="0"/>
                      <w:marBottom w:val="0"/>
                      <w:divBdr>
                        <w:top w:val="none" w:sz="0" w:space="0" w:color="auto"/>
                        <w:left w:val="none" w:sz="0" w:space="0" w:color="auto"/>
                        <w:bottom w:val="none" w:sz="0" w:space="0" w:color="auto"/>
                        <w:right w:val="none" w:sz="0" w:space="0" w:color="auto"/>
                      </w:divBdr>
                    </w:div>
                  </w:divsChild>
                </w:div>
                <w:div w:id="394013063">
                  <w:marLeft w:val="0"/>
                  <w:marRight w:val="0"/>
                  <w:marTop w:val="0"/>
                  <w:marBottom w:val="0"/>
                  <w:divBdr>
                    <w:top w:val="none" w:sz="0" w:space="0" w:color="auto"/>
                    <w:left w:val="none" w:sz="0" w:space="0" w:color="auto"/>
                    <w:bottom w:val="none" w:sz="0" w:space="0" w:color="auto"/>
                    <w:right w:val="none" w:sz="0" w:space="0" w:color="auto"/>
                  </w:divBdr>
                  <w:divsChild>
                    <w:div w:id="193272257">
                      <w:marLeft w:val="0"/>
                      <w:marRight w:val="0"/>
                      <w:marTop w:val="0"/>
                      <w:marBottom w:val="0"/>
                      <w:divBdr>
                        <w:top w:val="none" w:sz="0" w:space="0" w:color="auto"/>
                        <w:left w:val="none" w:sz="0" w:space="0" w:color="auto"/>
                        <w:bottom w:val="none" w:sz="0" w:space="0" w:color="auto"/>
                        <w:right w:val="none" w:sz="0" w:space="0" w:color="auto"/>
                      </w:divBdr>
                    </w:div>
                  </w:divsChild>
                </w:div>
                <w:div w:id="433786860">
                  <w:marLeft w:val="0"/>
                  <w:marRight w:val="0"/>
                  <w:marTop w:val="0"/>
                  <w:marBottom w:val="0"/>
                  <w:divBdr>
                    <w:top w:val="none" w:sz="0" w:space="0" w:color="auto"/>
                    <w:left w:val="none" w:sz="0" w:space="0" w:color="auto"/>
                    <w:bottom w:val="none" w:sz="0" w:space="0" w:color="auto"/>
                    <w:right w:val="none" w:sz="0" w:space="0" w:color="auto"/>
                  </w:divBdr>
                  <w:divsChild>
                    <w:div w:id="1732918363">
                      <w:marLeft w:val="0"/>
                      <w:marRight w:val="0"/>
                      <w:marTop w:val="0"/>
                      <w:marBottom w:val="0"/>
                      <w:divBdr>
                        <w:top w:val="none" w:sz="0" w:space="0" w:color="auto"/>
                        <w:left w:val="none" w:sz="0" w:space="0" w:color="auto"/>
                        <w:bottom w:val="none" w:sz="0" w:space="0" w:color="auto"/>
                        <w:right w:val="none" w:sz="0" w:space="0" w:color="auto"/>
                      </w:divBdr>
                    </w:div>
                  </w:divsChild>
                </w:div>
                <w:div w:id="560096429">
                  <w:marLeft w:val="0"/>
                  <w:marRight w:val="0"/>
                  <w:marTop w:val="0"/>
                  <w:marBottom w:val="0"/>
                  <w:divBdr>
                    <w:top w:val="none" w:sz="0" w:space="0" w:color="auto"/>
                    <w:left w:val="none" w:sz="0" w:space="0" w:color="auto"/>
                    <w:bottom w:val="none" w:sz="0" w:space="0" w:color="auto"/>
                    <w:right w:val="none" w:sz="0" w:space="0" w:color="auto"/>
                  </w:divBdr>
                  <w:divsChild>
                    <w:div w:id="1981956668">
                      <w:marLeft w:val="0"/>
                      <w:marRight w:val="0"/>
                      <w:marTop w:val="0"/>
                      <w:marBottom w:val="0"/>
                      <w:divBdr>
                        <w:top w:val="none" w:sz="0" w:space="0" w:color="auto"/>
                        <w:left w:val="none" w:sz="0" w:space="0" w:color="auto"/>
                        <w:bottom w:val="none" w:sz="0" w:space="0" w:color="auto"/>
                        <w:right w:val="none" w:sz="0" w:space="0" w:color="auto"/>
                      </w:divBdr>
                    </w:div>
                  </w:divsChild>
                </w:div>
                <w:div w:id="621420977">
                  <w:marLeft w:val="0"/>
                  <w:marRight w:val="0"/>
                  <w:marTop w:val="0"/>
                  <w:marBottom w:val="0"/>
                  <w:divBdr>
                    <w:top w:val="none" w:sz="0" w:space="0" w:color="auto"/>
                    <w:left w:val="none" w:sz="0" w:space="0" w:color="auto"/>
                    <w:bottom w:val="none" w:sz="0" w:space="0" w:color="auto"/>
                    <w:right w:val="none" w:sz="0" w:space="0" w:color="auto"/>
                  </w:divBdr>
                  <w:divsChild>
                    <w:div w:id="1696153872">
                      <w:marLeft w:val="0"/>
                      <w:marRight w:val="0"/>
                      <w:marTop w:val="0"/>
                      <w:marBottom w:val="0"/>
                      <w:divBdr>
                        <w:top w:val="none" w:sz="0" w:space="0" w:color="auto"/>
                        <w:left w:val="none" w:sz="0" w:space="0" w:color="auto"/>
                        <w:bottom w:val="none" w:sz="0" w:space="0" w:color="auto"/>
                        <w:right w:val="none" w:sz="0" w:space="0" w:color="auto"/>
                      </w:divBdr>
                    </w:div>
                  </w:divsChild>
                </w:div>
                <w:div w:id="622662054">
                  <w:marLeft w:val="0"/>
                  <w:marRight w:val="0"/>
                  <w:marTop w:val="0"/>
                  <w:marBottom w:val="0"/>
                  <w:divBdr>
                    <w:top w:val="none" w:sz="0" w:space="0" w:color="auto"/>
                    <w:left w:val="none" w:sz="0" w:space="0" w:color="auto"/>
                    <w:bottom w:val="none" w:sz="0" w:space="0" w:color="auto"/>
                    <w:right w:val="none" w:sz="0" w:space="0" w:color="auto"/>
                  </w:divBdr>
                  <w:divsChild>
                    <w:div w:id="58210853">
                      <w:marLeft w:val="0"/>
                      <w:marRight w:val="0"/>
                      <w:marTop w:val="0"/>
                      <w:marBottom w:val="0"/>
                      <w:divBdr>
                        <w:top w:val="none" w:sz="0" w:space="0" w:color="auto"/>
                        <w:left w:val="none" w:sz="0" w:space="0" w:color="auto"/>
                        <w:bottom w:val="none" w:sz="0" w:space="0" w:color="auto"/>
                        <w:right w:val="none" w:sz="0" w:space="0" w:color="auto"/>
                      </w:divBdr>
                    </w:div>
                  </w:divsChild>
                </w:div>
                <w:div w:id="699086711">
                  <w:marLeft w:val="0"/>
                  <w:marRight w:val="0"/>
                  <w:marTop w:val="0"/>
                  <w:marBottom w:val="0"/>
                  <w:divBdr>
                    <w:top w:val="none" w:sz="0" w:space="0" w:color="auto"/>
                    <w:left w:val="none" w:sz="0" w:space="0" w:color="auto"/>
                    <w:bottom w:val="none" w:sz="0" w:space="0" w:color="auto"/>
                    <w:right w:val="none" w:sz="0" w:space="0" w:color="auto"/>
                  </w:divBdr>
                  <w:divsChild>
                    <w:div w:id="1794784488">
                      <w:marLeft w:val="0"/>
                      <w:marRight w:val="0"/>
                      <w:marTop w:val="0"/>
                      <w:marBottom w:val="0"/>
                      <w:divBdr>
                        <w:top w:val="none" w:sz="0" w:space="0" w:color="auto"/>
                        <w:left w:val="none" w:sz="0" w:space="0" w:color="auto"/>
                        <w:bottom w:val="none" w:sz="0" w:space="0" w:color="auto"/>
                        <w:right w:val="none" w:sz="0" w:space="0" w:color="auto"/>
                      </w:divBdr>
                    </w:div>
                  </w:divsChild>
                </w:div>
                <w:div w:id="1263300479">
                  <w:marLeft w:val="0"/>
                  <w:marRight w:val="0"/>
                  <w:marTop w:val="0"/>
                  <w:marBottom w:val="0"/>
                  <w:divBdr>
                    <w:top w:val="none" w:sz="0" w:space="0" w:color="auto"/>
                    <w:left w:val="none" w:sz="0" w:space="0" w:color="auto"/>
                    <w:bottom w:val="none" w:sz="0" w:space="0" w:color="auto"/>
                    <w:right w:val="none" w:sz="0" w:space="0" w:color="auto"/>
                  </w:divBdr>
                  <w:divsChild>
                    <w:div w:id="772938092">
                      <w:marLeft w:val="0"/>
                      <w:marRight w:val="0"/>
                      <w:marTop w:val="0"/>
                      <w:marBottom w:val="0"/>
                      <w:divBdr>
                        <w:top w:val="none" w:sz="0" w:space="0" w:color="auto"/>
                        <w:left w:val="none" w:sz="0" w:space="0" w:color="auto"/>
                        <w:bottom w:val="none" w:sz="0" w:space="0" w:color="auto"/>
                        <w:right w:val="none" w:sz="0" w:space="0" w:color="auto"/>
                      </w:divBdr>
                    </w:div>
                  </w:divsChild>
                </w:div>
                <w:div w:id="1333148119">
                  <w:marLeft w:val="0"/>
                  <w:marRight w:val="0"/>
                  <w:marTop w:val="0"/>
                  <w:marBottom w:val="0"/>
                  <w:divBdr>
                    <w:top w:val="none" w:sz="0" w:space="0" w:color="auto"/>
                    <w:left w:val="none" w:sz="0" w:space="0" w:color="auto"/>
                    <w:bottom w:val="none" w:sz="0" w:space="0" w:color="auto"/>
                    <w:right w:val="none" w:sz="0" w:space="0" w:color="auto"/>
                  </w:divBdr>
                  <w:divsChild>
                    <w:div w:id="1463576015">
                      <w:marLeft w:val="0"/>
                      <w:marRight w:val="0"/>
                      <w:marTop w:val="0"/>
                      <w:marBottom w:val="0"/>
                      <w:divBdr>
                        <w:top w:val="none" w:sz="0" w:space="0" w:color="auto"/>
                        <w:left w:val="none" w:sz="0" w:space="0" w:color="auto"/>
                        <w:bottom w:val="none" w:sz="0" w:space="0" w:color="auto"/>
                        <w:right w:val="none" w:sz="0" w:space="0" w:color="auto"/>
                      </w:divBdr>
                    </w:div>
                  </w:divsChild>
                </w:div>
                <w:div w:id="1356661510">
                  <w:marLeft w:val="0"/>
                  <w:marRight w:val="0"/>
                  <w:marTop w:val="0"/>
                  <w:marBottom w:val="0"/>
                  <w:divBdr>
                    <w:top w:val="none" w:sz="0" w:space="0" w:color="auto"/>
                    <w:left w:val="none" w:sz="0" w:space="0" w:color="auto"/>
                    <w:bottom w:val="none" w:sz="0" w:space="0" w:color="auto"/>
                    <w:right w:val="none" w:sz="0" w:space="0" w:color="auto"/>
                  </w:divBdr>
                  <w:divsChild>
                    <w:div w:id="167716322">
                      <w:marLeft w:val="0"/>
                      <w:marRight w:val="0"/>
                      <w:marTop w:val="0"/>
                      <w:marBottom w:val="0"/>
                      <w:divBdr>
                        <w:top w:val="none" w:sz="0" w:space="0" w:color="auto"/>
                        <w:left w:val="none" w:sz="0" w:space="0" w:color="auto"/>
                        <w:bottom w:val="none" w:sz="0" w:space="0" w:color="auto"/>
                        <w:right w:val="none" w:sz="0" w:space="0" w:color="auto"/>
                      </w:divBdr>
                    </w:div>
                  </w:divsChild>
                </w:div>
                <w:div w:id="1484663265">
                  <w:marLeft w:val="0"/>
                  <w:marRight w:val="0"/>
                  <w:marTop w:val="0"/>
                  <w:marBottom w:val="0"/>
                  <w:divBdr>
                    <w:top w:val="none" w:sz="0" w:space="0" w:color="auto"/>
                    <w:left w:val="none" w:sz="0" w:space="0" w:color="auto"/>
                    <w:bottom w:val="none" w:sz="0" w:space="0" w:color="auto"/>
                    <w:right w:val="none" w:sz="0" w:space="0" w:color="auto"/>
                  </w:divBdr>
                  <w:divsChild>
                    <w:div w:id="1050690297">
                      <w:marLeft w:val="0"/>
                      <w:marRight w:val="0"/>
                      <w:marTop w:val="0"/>
                      <w:marBottom w:val="0"/>
                      <w:divBdr>
                        <w:top w:val="none" w:sz="0" w:space="0" w:color="auto"/>
                        <w:left w:val="none" w:sz="0" w:space="0" w:color="auto"/>
                        <w:bottom w:val="none" w:sz="0" w:space="0" w:color="auto"/>
                        <w:right w:val="none" w:sz="0" w:space="0" w:color="auto"/>
                      </w:divBdr>
                    </w:div>
                  </w:divsChild>
                </w:div>
                <w:div w:id="1509906523">
                  <w:marLeft w:val="0"/>
                  <w:marRight w:val="0"/>
                  <w:marTop w:val="0"/>
                  <w:marBottom w:val="0"/>
                  <w:divBdr>
                    <w:top w:val="none" w:sz="0" w:space="0" w:color="auto"/>
                    <w:left w:val="none" w:sz="0" w:space="0" w:color="auto"/>
                    <w:bottom w:val="none" w:sz="0" w:space="0" w:color="auto"/>
                    <w:right w:val="none" w:sz="0" w:space="0" w:color="auto"/>
                  </w:divBdr>
                  <w:divsChild>
                    <w:div w:id="1796563393">
                      <w:marLeft w:val="0"/>
                      <w:marRight w:val="0"/>
                      <w:marTop w:val="0"/>
                      <w:marBottom w:val="0"/>
                      <w:divBdr>
                        <w:top w:val="none" w:sz="0" w:space="0" w:color="auto"/>
                        <w:left w:val="none" w:sz="0" w:space="0" w:color="auto"/>
                        <w:bottom w:val="none" w:sz="0" w:space="0" w:color="auto"/>
                        <w:right w:val="none" w:sz="0" w:space="0" w:color="auto"/>
                      </w:divBdr>
                    </w:div>
                  </w:divsChild>
                </w:div>
                <w:div w:id="1939484426">
                  <w:marLeft w:val="0"/>
                  <w:marRight w:val="0"/>
                  <w:marTop w:val="0"/>
                  <w:marBottom w:val="0"/>
                  <w:divBdr>
                    <w:top w:val="none" w:sz="0" w:space="0" w:color="auto"/>
                    <w:left w:val="none" w:sz="0" w:space="0" w:color="auto"/>
                    <w:bottom w:val="none" w:sz="0" w:space="0" w:color="auto"/>
                    <w:right w:val="none" w:sz="0" w:space="0" w:color="auto"/>
                  </w:divBdr>
                  <w:divsChild>
                    <w:div w:id="6607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6746">
          <w:marLeft w:val="0"/>
          <w:marRight w:val="0"/>
          <w:marTop w:val="0"/>
          <w:marBottom w:val="0"/>
          <w:divBdr>
            <w:top w:val="none" w:sz="0" w:space="0" w:color="auto"/>
            <w:left w:val="none" w:sz="0" w:space="0" w:color="auto"/>
            <w:bottom w:val="none" w:sz="0" w:space="0" w:color="auto"/>
            <w:right w:val="none" w:sz="0" w:space="0" w:color="auto"/>
          </w:divBdr>
        </w:div>
        <w:div w:id="2061245103">
          <w:marLeft w:val="0"/>
          <w:marRight w:val="0"/>
          <w:marTop w:val="0"/>
          <w:marBottom w:val="0"/>
          <w:divBdr>
            <w:top w:val="none" w:sz="0" w:space="0" w:color="auto"/>
            <w:left w:val="none" w:sz="0" w:space="0" w:color="auto"/>
            <w:bottom w:val="none" w:sz="0" w:space="0" w:color="auto"/>
            <w:right w:val="none" w:sz="0" w:space="0" w:color="auto"/>
          </w:divBdr>
        </w:div>
        <w:div w:id="2138446877">
          <w:marLeft w:val="0"/>
          <w:marRight w:val="0"/>
          <w:marTop w:val="0"/>
          <w:marBottom w:val="0"/>
          <w:divBdr>
            <w:top w:val="none" w:sz="0" w:space="0" w:color="auto"/>
            <w:left w:val="none" w:sz="0" w:space="0" w:color="auto"/>
            <w:bottom w:val="none" w:sz="0" w:space="0" w:color="auto"/>
            <w:right w:val="none" w:sz="0" w:space="0" w:color="auto"/>
          </w:divBdr>
        </w:div>
      </w:divsChild>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580021064">
      <w:bodyDiv w:val="1"/>
      <w:marLeft w:val="0"/>
      <w:marRight w:val="0"/>
      <w:marTop w:val="0"/>
      <w:marBottom w:val="0"/>
      <w:divBdr>
        <w:top w:val="none" w:sz="0" w:space="0" w:color="auto"/>
        <w:left w:val="none" w:sz="0" w:space="0" w:color="auto"/>
        <w:bottom w:val="none" w:sz="0" w:space="0" w:color="auto"/>
        <w:right w:val="none" w:sz="0" w:space="0" w:color="auto"/>
      </w:divBdr>
      <w:divsChild>
        <w:div w:id="142939737">
          <w:marLeft w:val="0"/>
          <w:marRight w:val="0"/>
          <w:marTop w:val="0"/>
          <w:marBottom w:val="0"/>
          <w:divBdr>
            <w:top w:val="none" w:sz="0" w:space="0" w:color="auto"/>
            <w:left w:val="none" w:sz="0" w:space="0" w:color="auto"/>
            <w:bottom w:val="none" w:sz="0" w:space="0" w:color="auto"/>
            <w:right w:val="none" w:sz="0" w:space="0" w:color="auto"/>
          </w:divBdr>
          <w:divsChild>
            <w:div w:id="1619946160">
              <w:marLeft w:val="0"/>
              <w:marRight w:val="0"/>
              <w:marTop w:val="0"/>
              <w:marBottom w:val="0"/>
              <w:divBdr>
                <w:top w:val="none" w:sz="0" w:space="0" w:color="auto"/>
                <w:left w:val="none" w:sz="0" w:space="0" w:color="auto"/>
                <w:bottom w:val="none" w:sz="0" w:space="0" w:color="auto"/>
                <w:right w:val="none" w:sz="0" w:space="0" w:color="auto"/>
              </w:divBdr>
            </w:div>
          </w:divsChild>
        </w:div>
        <w:div w:id="185948216">
          <w:marLeft w:val="0"/>
          <w:marRight w:val="0"/>
          <w:marTop w:val="0"/>
          <w:marBottom w:val="0"/>
          <w:divBdr>
            <w:top w:val="none" w:sz="0" w:space="0" w:color="auto"/>
            <w:left w:val="none" w:sz="0" w:space="0" w:color="auto"/>
            <w:bottom w:val="none" w:sz="0" w:space="0" w:color="auto"/>
            <w:right w:val="none" w:sz="0" w:space="0" w:color="auto"/>
          </w:divBdr>
          <w:divsChild>
            <w:div w:id="1974825989">
              <w:marLeft w:val="0"/>
              <w:marRight w:val="0"/>
              <w:marTop w:val="0"/>
              <w:marBottom w:val="0"/>
              <w:divBdr>
                <w:top w:val="none" w:sz="0" w:space="0" w:color="auto"/>
                <w:left w:val="none" w:sz="0" w:space="0" w:color="auto"/>
                <w:bottom w:val="none" w:sz="0" w:space="0" w:color="auto"/>
                <w:right w:val="none" w:sz="0" w:space="0" w:color="auto"/>
              </w:divBdr>
            </w:div>
          </w:divsChild>
        </w:div>
        <w:div w:id="320162400">
          <w:marLeft w:val="0"/>
          <w:marRight w:val="0"/>
          <w:marTop w:val="0"/>
          <w:marBottom w:val="0"/>
          <w:divBdr>
            <w:top w:val="none" w:sz="0" w:space="0" w:color="auto"/>
            <w:left w:val="none" w:sz="0" w:space="0" w:color="auto"/>
            <w:bottom w:val="none" w:sz="0" w:space="0" w:color="auto"/>
            <w:right w:val="none" w:sz="0" w:space="0" w:color="auto"/>
          </w:divBdr>
          <w:divsChild>
            <w:div w:id="71317895">
              <w:marLeft w:val="0"/>
              <w:marRight w:val="0"/>
              <w:marTop w:val="0"/>
              <w:marBottom w:val="0"/>
              <w:divBdr>
                <w:top w:val="none" w:sz="0" w:space="0" w:color="auto"/>
                <w:left w:val="none" w:sz="0" w:space="0" w:color="auto"/>
                <w:bottom w:val="none" w:sz="0" w:space="0" w:color="auto"/>
                <w:right w:val="none" w:sz="0" w:space="0" w:color="auto"/>
              </w:divBdr>
            </w:div>
          </w:divsChild>
        </w:div>
        <w:div w:id="571505873">
          <w:marLeft w:val="0"/>
          <w:marRight w:val="0"/>
          <w:marTop w:val="0"/>
          <w:marBottom w:val="0"/>
          <w:divBdr>
            <w:top w:val="none" w:sz="0" w:space="0" w:color="auto"/>
            <w:left w:val="none" w:sz="0" w:space="0" w:color="auto"/>
            <w:bottom w:val="none" w:sz="0" w:space="0" w:color="auto"/>
            <w:right w:val="none" w:sz="0" w:space="0" w:color="auto"/>
          </w:divBdr>
          <w:divsChild>
            <w:div w:id="278688784">
              <w:marLeft w:val="0"/>
              <w:marRight w:val="0"/>
              <w:marTop w:val="0"/>
              <w:marBottom w:val="0"/>
              <w:divBdr>
                <w:top w:val="none" w:sz="0" w:space="0" w:color="auto"/>
                <w:left w:val="none" w:sz="0" w:space="0" w:color="auto"/>
                <w:bottom w:val="none" w:sz="0" w:space="0" w:color="auto"/>
                <w:right w:val="none" w:sz="0" w:space="0" w:color="auto"/>
              </w:divBdr>
            </w:div>
          </w:divsChild>
        </w:div>
        <w:div w:id="944966899">
          <w:marLeft w:val="0"/>
          <w:marRight w:val="0"/>
          <w:marTop w:val="0"/>
          <w:marBottom w:val="0"/>
          <w:divBdr>
            <w:top w:val="none" w:sz="0" w:space="0" w:color="auto"/>
            <w:left w:val="none" w:sz="0" w:space="0" w:color="auto"/>
            <w:bottom w:val="none" w:sz="0" w:space="0" w:color="auto"/>
            <w:right w:val="none" w:sz="0" w:space="0" w:color="auto"/>
          </w:divBdr>
          <w:divsChild>
            <w:div w:id="1827428920">
              <w:marLeft w:val="0"/>
              <w:marRight w:val="0"/>
              <w:marTop w:val="0"/>
              <w:marBottom w:val="0"/>
              <w:divBdr>
                <w:top w:val="none" w:sz="0" w:space="0" w:color="auto"/>
                <w:left w:val="none" w:sz="0" w:space="0" w:color="auto"/>
                <w:bottom w:val="none" w:sz="0" w:space="0" w:color="auto"/>
                <w:right w:val="none" w:sz="0" w:space="0" w:color="auto"/>
              </w:divBdr>
            </w:div>
          </w:divsChild>
        </w:div>
        <w:div w:id="1423917044">
          <w:marLeft w:val="0"/>
          <w:marRight w:val="0"/>
          <w:marTop w:val="0"/>
          <w:marBottom w:val="0"/>
          <w:divBdr>
            <w:top w:val="none" w:sz="0" w:space="0" w:color="auto"/>
            <w:left w:val="none" w:sz="0" w:space="0" w:color="auto"/>
            <w:bottom w:val="none" w:sz="0" w:space="0" w:color="auto"/>
            <w:right w:val="none" w:sz="0" w:space="0" w:color="auto"/>
          </w:divBdr>
          <w:divsChild>
            <w:div w:id="364452454">
              <w:marLeft w:val="0"/>
              <w:marRight w:val="0"/>
              <w:marTop w:val="0"/>
              <w:marBottom w:val="0"/>
              <w:divBdr>
                <w:top w:val="none" w:sz="0" w:space="0" w:color="auto"/>
                <w:left w:val="none" w:sz="0" w:space="0" w:color="auto"/>
                <w:bottom w:val="none" w:sz="0" w:space="0" w:color="auto"/>
                <w:right w:val="none" w:sz="0" w:space="0" w:color="auto"/>
              </w:divBdr>
            </w:div>
          </w:divsChild>
        </w:div>
        <w:div w:id="1448695043">
          <w:marLeft w:val="0"/>
          <w:marRight w:val="0"/>
          <w:marTop w:val="0"/>
          <w:marBottom w:val="0"/>
          <w:divBdr>
            <w:top w:val="none" w:sz="0" w:space="0" w:color="auto"/>
            <w:left w:val="none" w:sz="0" w:space="0" w:color="auto"/>
            <w:bottom w:val="none" w:sz="0" w:space="0" w:color="auto"/>
            <w:right w:val="none" w:sz="0" w:space="0" w:color="auto"/>
          </w:divBdr>
          <w:divsChild>
            <w:div w:id="1473520985">
              <w:marLeft w:val="0"/>
              <w:marRight w:val="0"/>
              <w:marTop w:val="0"/>
              <w:marBottom w:val="0"/>
              <w:divBdr>
                <w:top w:val="none" w:sz="0" w:space="0" w:color="auto"/>
                <w:left w:val="none" w:sz="0" w:space="0" w:color="auto"/>
                <w:bottom w:val="none" w:sz="0" w:space="0" w:color="auto"/>
                <w:right w:val="none" w:sz="0" w:space="0" w:color="auto"/>
              </w:divBdr>
            </w:div>
          </w:divsChild>
        </w:div>
        <w:div w:id="1733384281">
          <w:marLeft w:val="0"/>
          <w:marRight w:val="0"/>
          <w:marTop w:val="0"/>
          <w:marBottom w:val="0"/>
          <w:divBdr>
            <w:top w:val="none" w:sz="0" w:space="0" w:color="auto"/>
            <w:left w:val="none" w:sz="0" w:space="0" w:color="auto"/>
            <w:bottom w:val="none" w:sz="0" w:space="0" w:color="auto"/>
            <w:right w:val="none" w:sz="0" w:space="0" w:color="auto"/>
          </w:divBdr>
          <w:divsChild>
            <w:div w:id="1194614533">
              <w:marLeft w:val="0"/>
              <w:marRight w:val="0"/>
              <w:marTop w:val="0"/>
              <w:marBottom w:val="0"/>
              <w:divBdr>
                <w:top w:val="none" w:sz="0" w:space="0" w:color="auto"/>
                <w:left w:val="none" w:sz="0" w:space="0" w:color="auto"/>
                <w:bottom w:val="none" w:sz="0" w:space="0" w:color="auto"/>
                <w:right w:val="none" w:sz="0" w:space="0" w:color="auto"/>
              </w:divBdr>
            </w:div>
          </w:divsChild>
        </w:div>
        <w:div w:id="1735543825">
          <w:marLeft w:val="0"/>
          <w:marRight w:val="0"/>
          <w:marTop w:val="0"/>
          <w:marBottom w:val="0"/>
          <w:divBdr>
            <w:top w:val="none" w:sz="0" w:space="0" w:color="auto"/>
            <w:left w:val="none" w:sz="0" w:space="0" w:color="auto"/>
            <w:bottom w:val="none" w:sz="0" w:space="0" w:color="auto"/>
            <w:right w:val="none" w:sz="0" w:space="0" w:color="auto"/>
          </w:divBdr>
          <w:divsChild>
            <w:div w:id="1412239063">
              <w:marLeft w:val="0"/>
              <w:marRight w:val="0"/>
              <w:marTop w:val="0"/>
              <w:marBottom w:val="0"/>
              <w:divBdr>
                <w:top w:val="none" w:sz="0" w:space="0" w:color="auto"/>
                <w:left w:val="none" w:sz="0" w:space="0" w:color="auto"/>
                <w:bottom w:val="none" w:sz="0" w:space="0" w:color="auto"/>
                <w:right w:val="none" w:sz="0" w:space="0" w:color="auto"/>
              </w:divBdr>
            </w:div>
          </w:divsChild>
        </w:div>
        <w:div w:id="1756196981">
          <w:marLeft w:val="0"/>
          <w:marRight w:val="0"/>
          <w:marTop w:val="0"/>
          <w:marBottom w:val="0"/>
          <w:divBdr>
            <w:top w:val="none" w:sz="0" w:space="0" w:color="auto"/>
            <w:left w:val="none" w:sz="0" w:space="0" w:color="auto"/>
            <w:bottom w:val="none" w:sz="0" w:space="0" w:color="auto"/>
            <w:right w:val="none" w:sz="0" w:space="0" w:color="auto"/>
          </w:divBdr>
          <w:divsChild>
            <w:div w:id="188837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4274">
      <w:bodyDiv w:val="1"/>
      <w:marLeft w:val="0"/>
      <w:marRight w:val="0"/>
      <w:marTop w:val="0"/>
      <w:marBottom w:val="0"/>
      <w:divBdr>
        <w:top w:val="none" w:sz="0" w:space="0" w:color="auto"/>
        <w:left w:val="none" w:sz="0" w:space="0" w:color="auto"/>
        <w:bottom w:val="none" w:sz="0" w:space="0" w:color="auto"/>
        <w:right w:val="none" w:sz="0" w:space="0" w:color="auto"/>
      </w:divBdr>
      <w:divsChild>
        <w:div w:id="333536247">
          <w:marLeft w:val="0"/>
          <w:marRight w:val="0"/>
          <w:marTop w:val="0"/>
          <w:marBottom w:val="0"/>
          <w:divBdr>
            <w:top w:val="none" w:sz="0" w:space="0" w:color="auto"/>
            <w:left w:val="none" w:sz="0" w:space="0" w:color="auto"/>
            <w:bottom w:val="none" w:sz="0" w:space="0" w:color="auto"/>
            <w:right w:val="none" w:sz="0" w:space="0" w:color="auto"/>
          </w:divBdr>
          <w:divsChild>
            <w:div w:id="16010276">
              <w:marLeft w:val="0"/>
              <w:marRight w:val="0"/>
              <w:marTop w:val="30"/>
              <w:marBottom w:val="30"/>
              <w:divBdr>
                <w:top w:val="none" w:sz="0" w:space="0" w:color="auto"/>
                <w:left w:val="none" w:sz="0" w:space="0" w:color="auto"/>
                <w:bottom w:val="none" w:sz="0" w:space="0" w:color="auto"/>
                <w:right w:val="none" w:sz="0" w:space="0" w:color="auto"/>
              </w:divBdr>
              <w:divsChild>
                <w:div w:id="268467471">
                  <w:marLeft w:val="0"/>
                  <w:marRight w:val="0"/>
                  <w:marTop w:val="0"/>
                  <w:marBottom w:val="0"/>
                  <w:divBdr>
                    <w:top w:val="none" w:sz="0" w:space="0" w:color="auto"/>
                    <w:left w:val="none" w:sz="0" w:space="0" w:color="auto"/>
                    <w:bottom w:val="none" w:sz="0" w:space="0" w:color="auto"/>
                    <w:right w:val="none" w:sz="0" w:space="0" w:color="auto"/>
                  </w:divBdr>
                  <w:divsChild>
                    <w:div w:id="284234890">
                      <w:marLeft w:val="0"/>
                      <w:marRight w:val="0"/>
                      <w:marTop w:val="0"/>
                      <w:marBottom w:val="0"/>
                      <w:divBdr>
                        <w:top w:val="none" w:sz="0" w:space="0" w:color="auto"/>
                        <w:left w:val="none" w:sz="0" w:space="0" w:color="auto"/>
                        <w:bottom w:val="none" w:sz="0" w:space="0" w:color="auto"/>
                        <w:right w:val="none" w:sz="0" w:space="0" w:color="auto"/>
                      </w:divBdr>
                    </w:div>
                  </w:divsChild>
                </w:div>
                <w:div w:id="314141849">
                  <w:marLeft w:val="0"/>
                  <w:marRight w:val="0"/>
                  <w:marTop w:val="0"/>
                  <w:marBottom w:val="0"/>
                  <w:divBdr>
                    <w:top w:val="none" w:sz="0" w:space="0" w:color="auto"/>
                    <w:left w:val="none" w:sz="0" w:space="0" w:color="auto"/>
                    <w:bottom w:val="none" w:sz="0" w:space="0" w:color="auto"/>
                    <w:right w:val="none" w:sz="0" w:space="0" w:color="auto"/>
                  </w:divBdr>
                  <w:divsChild>
                    <w:div w:id="1713456520">
                      <w:marLeft w:val="0"/>
                      <w:marRight w:val="0"/>
                      <w:marTop w:val="0"/>
                      <w:marBottom w:val="0"/>
                      <w:divBdr>
                        <w:top w:val="none" w:sz="0" w:space="0" w:color="auto"/>
                        <w:left w:val="none" w:sz="0" w:space="0" w:color="auto"/>
                        <w:bottom w:val="none" w:sz="0" w:space="0" w:color="auto"/>
                        <w:right w:val="none" w:sz="0" w:space="0" w:color="auto"/>
                      </w:divBdr>
                    </w:div>
                  </w:divsChild>
                </w:div>
                <w:div w:id="320473122">
                  <w:marLeft w:val="0"/>
                  <w:marRight w:val="0"/>
                  <w:marTop w:val="0"/>
                  <w:marBottom w:val="0"/>
                  <w:divBdr>
                    <w:top w:val="none" w:sz="0" w:space="0" w:color="auto"/>
                    <w:left w:val="none" w:sz="0" w:space="0" w:color="auto"/>
                    <w:bottom w:val="none" w:sz="0" w:space="0" w:color="auto"/>
                    <w:right w:val="none" w:sz="0" w:space="0" w:color="auto"/>
                  </w:divBdr>
                  <w:divsChild>
                    <w:div w:id="1024600674">
                      <w:marLeft w:val="0"/>
                      <w:marRight w:val="0"/>
                      <w:marTop w:val="0"/>
                      <w:marBottom w:val="0"/>
                      <w:divBdr>
                        <w:top w:val="none" w:sz="0" w:space="0" w:color="auto"/>
                        <w:left w:val="none" w:sz="0" w:space="0" w:color="auto"/>
                        <w:bottom w:val="none" w:sz="0" w:space="0" w:color="auto"/>
                        <w:right w:val="none" w:sz="0" w:space="0" w:color="auto"/>
                      </w:divBdr>
                    </w:div>
                  </w:divsChild>
                </w:div>
                <w:div w:id="497886911">
                  <w:marLeft w:val="0"/>
                  <w:marRight w:val="0"/>
                  <w:marTop w:val="0"/>
                  <w:marBottom w:val="0"/>
                  <w:divBdr>
                    <w:top w:val="none" w:sz="0" w:space="0" w:color="auto"/>
                    <w:left w:val="none" w:sz="0" w:space="0" w:color="auto"/>
                    <w:bottom w:val="none" w:sz="0" w:space="0" w:color="auto"/>
                    <w:right w:val="none" w:sz="0" w:space="0" w:color="auto"/>
                  </w:divBdr>
                  <w:divsChild>
                    <w:div w:id="1238200168">
                      <w:marLeft w:val="0"/>
                      <w:marRight w:val="0"/>
                      <w:marTop w:val="0"/>
                      <w:marBottom w:val="0"/>
                      <w:divBdr>
                        <w:top w:val="none" w:sz="0" w:space="0" w:color="auto"/>
                        <w:left w:val="none" w:sz="0" w:space="0" w:color="auto"/>
                        <w:bottom w:val="none" w:sz="0" w:space="0" w:color="auto"/>
                        <w:right w:val="none" w:sz="0" w:space="0" w:color="auto"/>
                      </w:divBdr>
                    </w:div>
                  </w:divsChild>
                </w:div>
                <w:div w:id="508369466">
                  <w:marLeft w:val="0"/>
                  <w:marRight w:val="0"/>
                  <w:marTop w:val="0"/>
                  <w:marBottom w:val="0"/>
                  <w:divBdr>
                    <w:top w:val="none" w:sz="0" w:space="0" w:color="auto"/>
                    <w:left w:val="none" w:sz="0" w:space="0" w:color="auto"/>
                    <w:bottom w:val="none" w:sz="0" w:space="0" w:color="auto"/>
                    <w:right w:val="none" w:sz="0" w:space="0" w:color="auto"/>
                  </w:divBdr>
                  <w:divsChild>
                    <w:div w:id="1682971013">
                      <w:marLeft w:val="0"/>
                      <w:marRight w:val="0"/>
                      <w:marTop w:val="0"/>
                      <w:marBottom w:val="0"/>
                      <w:divBdr>
                        <w:top w:val="none" w:sz="0" w:space="0" w:color="auto"/>
                        <w:left w:val="none" w:sz="0" w:space="0" w:color="auto"/>
                        <w:bottom w:val="none" w:sz="0" w:space="0" w:color="auto"/>
                        <w:right w:val="none" w:sz="0" w:space="0" w:color="auto"/>
                      </w:divBdr>
                    </w:div>
                  </w:divsChild>
                </w:div>
                <w:div w:id="675423092">
                  <w:marLeft w:val="0"/>
                  <w:marRight w:val="0"/>
                  <w:marTop w:val="0"/>
                  <w:marBottom w:val="0"/>
                  <w:divBdr>
                    <w:top w:val="none" w:sz="0" w:space="0" w:color="auto"/>
                    <w:left w:val="none" w:sz="0" w:space="0" w:color="auto"/>
                    <w:bottom w:val="none" w:sz="0" w:space="0" w:color="auto"/>
                    <w:right w:val="none" w:sz="0" w:space="0" w:color="auto"/>
                  </w:divBdr>
                  <w:divsChild>
                    <w:div w:id="186913354">
                      <w:marLeft w:val="0"/>
                      <w:marRight w:val="0"/>
                      <w:marTop w:val="0"/>
                      <w:marBottom w:val="0"/>
                      <w:divBdr>
                        <w:top w:val="none" w:sz="0" w:space="0" w:color="auto"/>
                        <w:left w:val="none" w:sz="0" w:space="0" w:color="auto"/>
                        <w:bottom w:val="none" w:sz="0" w:space="0" w:color="auto"/>
                        <w:right w:val="none" w:sz="0" w:space="0" w:color="auto"/>
                      </w:divBdr>
                    </w:div>
                  </w:divsChild>
                </w:div>
                <w:div w:id="711074634">
                  <w:marLeft w:val="0"/>
                  <w:marRight w:val="0"/>
                  <w:marTop w:val="0"/>
                  <w:marBottom w:val="0"/>
                  <w:divBdr>
                    <w:top w:val="none" w:sz="0" w:space="0" w:color="auto"/>
                    <w:left w:val="none" w:sz="0" w:space="0" w:color="auto"/>
                    <w:bottom w:val="none" w:sz="0" w:space="0" w:color="auto"/>
                    <w:right w:val="none" w:sz="0" w:space="0" w:color="auto"/>
                  </w:divBdr>
                  <w:divsChild>
                    <w:div w:id="235287787">
                      <w:marLeft w:val="0"/>
                      <w:marRight w:val="0"/>
                      <w:marTop w:val="0"/>
                      <w:marBottom w:val="0"/>
                      <w:divBdr>
                        <w:top w:val="none" w:sz="0" w:space="0" w:color="auto"/>
                        <w:left w:val="none" w:sz="0" w:space="0" w:color="auto"/>
                        <w:bottom w:val="none" w:sz="0" w:space="0" w:color="auto"/>
                        <w:right w:val="none" w:sz="0" w:space="0" w:color="auto"/>
                      </w:divBdr>
                    </w:div>
                  </w:divsChild>
                </w:div>
                <w:div w:id="739866787">
                  <w:marLeft w:val="0"/>
                  <w:marRight w:val="0"/>
                  <w:marTop w:val="0"/>
                  <w:marBottom w:val="0"/>
                  <w:divBdr>
                    <w:top w:val="none" w:sz="0" w:space="0" w:color="auto"/>
                    <w:left w:val="none" w:sz="0" w:space="0" w:color="auto"/>
                    <w:bottom w:val="none" w:sz="0" w:space="0" w:color="auto"/>
                    <w:right w:val="none" w:sz="0" w:space="0" w:color="auto"/>
                  </w:divBdr>
                  <w:divsChild>
                    <w:div w:id="1203248565">
                      <w:marLeft w:val="0"/>
                      <w:marRight w:val="0"/>
                      <w:marTop w:val="0"/>
                      <w:marBottom w:val="0"/>
                      <w:divBdr>
                        <w:top w:val="none" w:sz="0" w:space="0" w:color="auto"/>
                        <w:left w:val="none" w:sz="0" w:space="0" w:color="auto"/>
                        <w:bottom w:val="none" w:sz="0" w:space="0" w:color="auto"/>
                        <w:right w:val="none" w:sz="0" w:space="0" w:color="auto"/>
                      </w:divBdr>
                    </w:div>
                  </w:divsChild>
                </w:div>
                <w:div w:id="1120344518">
                  <w:marLeft w:val="0"/>
                  <w:marRight w:val="0"/>
                  <w:marTop w:val="0"/>
                  <w:marBottom w:val="0"/>
                  <w:divBdr>
                    <w:top w:val="none" w:sz="0" w:space="0" w:color="auto"/>
                    <w:left w:val="none" w:sz="0" w:space="0" w:color="auto"/>
                    <w:bottom w:val="none" w:sz="0" w:space="0" w:color="auto"/>
                    <w:right w:val="none" w:sz="0" w:space="0" w:color="auto"/>
                  </w:divBdr>
                  <w:divsChild>
                    <w:div w:id="515656944">
                      <w:marLeft w:val="0"/>
                      <w:marRight w:val="0"/>
                      <w:marTop w:val="0"/>
                      <w:marBottom w:val="0"/>
                      <w:divBdr>
                        <w:top w:val="none" w:sz="0" w:space="0" w:color="auto"/>
                        <w:left w:val="none" w:sz="0" w:space="0" w:color="auto"/>
                        <w:bottom w:val="none" w:sz="0" w:space="0" w:color="auto"/>
                        <w:right w:val="none" w:sz="0" w:space="0" w:color="auto"/>
                      </w:divBdr>
                    </w:div>
                  </w:divsChild>
                </w:div>
                <w:div w:id="1616329780">
                  <w:marLeft w:val="0"/>
                  <w:marRight w:val="0"/>
                  <w:marTop w:val="0"/>
                  <w:marBottom w:val="0"/>
                  <w:divBdr>
                    <w:top w:val="none" w:sz="0" w:space="0" w:color="auto"/>
                    <w:left w:val="none" w:sz="0" w:space="0" w:color="auto"/>
                    <w:bottom w:val="none" w:sz="0" w:space="0" w:color="auto"/>
                    <w:right w:val="none" w:sz="0" w:space="0" w:color="auto"/>
                  </w:divBdr>
                  <w:divsChild>
                    <w:div w:id="814225559">
                      <w:marLeft w:val="0"/>
                      <w:marRight w:val="0"/>
                      <w:marTop w:val="0"/>
                      <w:marBottom w:val="0"/>
                      <w:divBdr>
                        <w:top w:val="none" w:sz="0" w:space="0" w:color="auto"/>
                        <w:left w:val="none" w:sz="0" w:space="0" w:color="auto"/>
                        <w:bottom w:val="none" w:sz="0" w:space="0" w:color="auto"/>
                        <w:right w:val="none" w:sz="0" w:space="0" w:color="auto"/>
                      </w:divBdr>
                    </w:div>
                  </w:divsChild>
                </w:div>
                <w:div w:id="1798136159">
                  <w:marLeft w:val="0"/>
                  <w:marRight w:val="0"/>
                  <w:marTop w:val="0"/>
                  <w:marBottom w:val="0"/>
                  <w:divBdr>
                    <w:top w:val="none" w:sz="0" w:space="0" w:color="auto"/>
                    <w:left w:val="none" w:sz="0" w:space="0" w:color="auto"/>
                    <w:bottom w:val="none" w:sz="0" w:space="0" w:color="auto"/>
                    <w:right w:val="none" w:sz="0" w:space="0" w:color="auto"/>
                  </w:divBdr>
                  <w:divsChild>
                    <w:div w:id="906106764">
                      <w:marLeft w:val="0"/>
                      <w:marRight w:val="0"/>
                      <w:marTop w:val="0"/>
                      <w:marBottom w:val="0"/>
                      <w:divBdr>
                        <w:top w:val="none" w:sz="0" w:space="0" w:color="auto"/>
                        <w:left w:val="none" w:sz="0" w:space="0" w:color="auto"/>
                        <w:bottom w:val="none" w:sz="0" w:space="0" w:color="auto"/>
                        <w:right w:val="none" w:sz="0" w:space="0" w:color="auto"/>
                      </w:divBdr>
                    </w:div>
                  </w:divsChild>
                </w:div>
                <w:div w:id="1958443195">
                  <w:marLeft w:val="0"/>
                  <w:marRight w:val="0"/>
                  <w:marTop w:val="0"/>
                  <w:marBottom w:val="0"/>
                  <w:divBdr>
                    <w:top w:val="none" w:sz="0" w:space="0" w:color="auto"/>
                    <w:left w:val="none" w:sz="0" w:space="0" w:color="auto"/>
                    <w:bottom w:val="none" w:sz="0" w:space="0" w:color="auto"/>
                    <w:right w:val="none" w:sz="0" w:space="0" w:color="auto"/>
                  </w:divBdr>
                  <w:divsChild>
                    <w:div w:id="117993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79696">
          <w:marLeft w:val="0"/>
          <w:marRight w:val="0"/>
          <w:marTop w:val="0"/>
          <w:marBottom w:val="0"/>
          <w:divBdr>
            <w:top w:val="none" w:sz="0" w:space="0" w:color="auto"/>
            <w:left w:val="none" w:sz="0" w:space="0" w:color="auto"/>
            <w:bottom w:val="none" w:sz="0" w:space="0" w:color="auto"/>
            <w:right w:val="none" w:sz="0" w:space="0" w:color="auto"/>
          </w:divBdr>
        </w:div>
      </w:divsChild>
    </w:div>
    <w:div w:id="868883761">
      <w:bodyDiv w:val="1"/>
      <w:marLeft w:val="0"/>
      <w:marRight w:val="0"/>
      <w:marTop w:val="0"/>
      <w:marBottom w:val="0"/>
      <w:divBdr>
        <w:top w:val="none" w:sz="0" w:space="0" w:color="auto"/>
        <w:left w:val="none" w:sz="0" w:space="0" w:color="auto"/>
        <w:bottom w:val="none" w:sz="0" w:space="0" w:color="auto"/>
        <w:right w:val="none" w:sz="0" w:space="0" w:color="auto"/>
      </w:divBdr>
    </w:div>
    <w:div w:id="1013803874">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584996800">
      <w:bodyDiv w:val="1"/>
      <w:marLeft w:val="0"/>
      <w:marRight w:val="0"/>
      <w:marTop w:val="0"/>
      <w:marBottom w:val="0"/>
      <w:divBdr>
        <w:top w:val="none" w:sz="0" w:space="0" w:color="auto"/>
        <w:left w:val="none" w:sz="0" w:space="0" w:color="auto"/>
        <w:bottom w:val="none" w:sz="0" w:space="0" w:color="auto"/>
        <w:right w:val="none" w:sz="0" w:space="0" w:color="auto"/>
      </w:divBdr>
    </w:div>
    <w:div w:id="1727529056">
      <w:bodyDiv w:val="1"/>
      <w:marLeft w:val="0"/>
      <w:marRight w:val="0"/>
      <w:marTop w:val="0"/>
      <w:marBottom w:val="0"/>
      <w:divBdr>
        <w:top w:val="none" w:sz="0" w:space="0" w:color="auto"/>
        <w:left w:val="none" w:sz="0" w:space="0" w:color="auto"/>
        <w:bottom w:val="none" w:sz="0" w:space="0" w:color="auto"/>
        <w:right w:val="none" w:sz="0" w:space="0" w:color="auto"/>
      </w:divBdr>
    </w:div>
    <w:div w:id="1823808597">
      <w:bodyDiv w:val="1"/>
      <w:marLeft w:val="0"/>
      <w:marRight w:val="0"/>
      <w:marTop w:val="0"/>
      <w:marBottom w:val="0"/>
      <w:divBdr>
        <w:top w:val="none" w:sz="0" w:space="0" w:color="auto"/>
        <w:left w:val="none" w:sz="0" w:space="0" w:color="auto"/>
        <w:bottom w:val="none" w:sz="0" w:space="0" w:color="auto"/>
        <w:right w:val="none" w:sz="0" w:space="0" w:color="auto"/>
      </w:divBdr>
      <w:divsChild>
        <w:div w:id="463160411">
          <w:marLeft w:val="0"/>
          <w:marRight w:val="0"/>
          <w:marTop w:val="0"/>
          <w:marBottom w:val="0"/>
          <w:divBdr>
            <w:top w:val="none" w:sz="0" w:space="0" w:color="auto"/>
            <w:left w:val="none" w:sz="0" w:space="0" w:color="auto"/>
            <w:bottom w:val="none" w:sz="0" w:space="0" w:color="auto"/>
            <w:right w:val="none" w:sz="0" w:space="0" w:color="auto"/>
          </w:divBdr>
        </w:div>
        <w:div w:id="536353640">
          <w:marLeft w:val="0"/>
          <w:marRight w:val="0"/>
          <w:marTop w:val="0"/>
          <w:marBottom w:val="0"/>
          <w:divBdr>
            <w:top w:val="none" w:sz="0" w:space="0" w:color="auto"/>
            <w:left w:val="none" w:sz="0" w:space="0" w:color="auto"/>
            <w:bottom w:val="none" w:sz="0" w:space="0" w:color="auto"/>
            <w:right w:val="none" w:sz="0" w:space="0" w:color="auto"/>
          </w:divBdr>
        </w:div>
        <w:div w:id="849368835">
          <w:marLeft w:val="0"/>
          <w:marRight w:val="0"/>
          <w:marTop w:val="0"/>
          <w:marBottom w:val="0"/>
          <w:divBdr>
            <w:top w:val="none" w:sz="0" w:space="0" w:color="auto"/>
            <w:left w:val="none" w:sz="0" w:space="0" w:color="auto"/>
            <w:bottom w:val="none" w:sz="0" w:space="0" w:color="auto"/>
            <w:right w:val="none" w:sz="0" w:space="0" w:color="auto"/>
          </w:divBdr>
        </w:div>
      </w:divsChild>
    </w:div>
    <w:div w:id="1883858473">
      <w:bodyDiv w:val="1"/>
      <w:marLeft w:val="0"/>
      <w:marRight w:val="0"/>
      <w:marTop w:val="0"/>
      <w:marBottom w:val="0"/>
      <w:divBdr>
        <w:top w:val="none" w:sz="0" w:space="0" w:color="auto"/>
        <w:left w:val="none" w:sz="0" w:space="0" w:color="auto"/>
        <w:bottom w:val="none" w:sz="0" w:space="0" w:color="auto"/>
        <w:right w:val="none" w:sz="0" w:space="0" w:color="auto"/>
      </w:divBdr>
      <w:divsChild>
        <w:div w:id="6447625">
          <w:marLeft w:val="0"/>
          <w:marRight w:val="0"/>
          <w:marTop w:val="0"/>
          <w:marBottom w:val="0"/>
          <w:divBdr>
            <w:top w:val="none" w:sz="0" w:space="0" w:color="auto"/>
            <w:left w:val="none" w:sz="0" w:space="0" w:color="auto"/>
            <w:bottom w:val="none" w:sz="0" w:space="0" w:color="auto"/>
            <w:right w:val="none" w:sz="0" w:space="0" w:color="auto"/>
          </w:divBdr>
        </w:div>
        <w:div w:id="106973305">
          <w:marLeft w:val="0"/>
          <w:marRight w:val="0"/>
          <w:marTop w:val="0"/>
          <w:marBottom w:val="0"/>
          <w:divBdr>
            <w:top w:val="none" w:sz="0" w:space="0" w:color="auto"/>
            <w:left w:val="none" w:sz="0" w:space="0" w:color="auto"/>
            <w:bottom w:val="none" w:sz="0" w:space="0" w:color="auto"/>
            <w:right w:val="none" w:sz="0" w:space="0" w:color="auto"/>
          </w:divBdr>
          <w:divsChild>
            <w:div w:id="1722172895">
              <w:marLeft w:val="-75"/>
              <w:marRight w:val="0"/>
              <w:marTop w:val="30"/>
              <w:marBottom w:val="30"/>
              <w:divBdr>
                <w:top w:val="none" w:sz="0" w:space="0" w:color="auto"/>
                <w:left w:val="none" w:sz="0" w:space="0" w:color="auto"/>
                <w:bottom w:val="none" w:sz="0" w:space="0" w:color="auto"/>
                <w:right w:val="none" w:sz="0" w:space="0" w:color="auto"/>
              </w:divBdr>
              <w:divsChild>
                <w:div w:id="372969989">
                  <w:marLeft w:val="0"/>
                  <w:marRight w:val="0"/>
                  <w:marTop w:val="0"/>
                  <w:marBottom w:val="0"/>
                  <w:divBdr>
                    <w:top w:val="none" w:sz="0" w:space="0" w:color="auto"/>
                    <w:left w:val="none" w:sz="0" w:space="0" w:color="auto"/>
                    <w:bottom w:val="none" w:sz="0" w:space="0" w:color="auto"/>
                    <w:right w:val="none" w:sz="0" w:space="0" w:color="auto"/>
                  </w:divBdr>
                  <w:divsChild>
                    <w:div w:id="828516409">
                      <w:marLeft w:val="0"/>
                      <w:marRight w:val="0"/>
                      <w:marTop w:val="0"/>
                      <w:marBottom w:val="0"/>
                      <w:divBdr>
                        <w:top w:val="none" w:sz="0" w:space="0" w:color="auto"/>
                        <w:left w:val="none" w:sz="0" w:space="0" w:color="auto"/>
                        <w:bottom w:val="none" w:sz="0" w:space="0" w:color="auto"/>
                        <w:right w:val="none" w:sz="0" w:space="0" w:color="auto"/>
                      </w:divBdr>
                    </w:div>
                  </w:divsChild>
                </w:div>
                <w:div w:id="374165033">
                  <w:marLeft w:val="0"/>
                  <w:marRight w:val="0"/>
                  <w:marTop w:val="0"/>
                  <w:marBottom w:val="0"/>
                  <w:divBdr>
                    <w:top w:val="none" w:sz="0" w:space="0" w:color="auto"/>
                    <w:left w:val="none" w:sz="0" w:space="0" w:color="auto"/>
                    <w:bottom w:val="none" w:sz="0" w:space="0" w:color="auto"/>
                    <w:right w:val="none" w:sz="0" w:space="0" w:color="auto"/>
                  </w:divBdr>
                  <w:divsChild>
                    <w:div w:id="1524904213">
                      <w:marLeft w:val="0"/>
                      <w:marRight w:val="0"/>
                      <w:marTop w:val="0"/>
                      <w:marBottom w:val="0"/>
                      <w:divBdr>
                        <w:top w:val="none" w:sz="0" w:space="0" w:color="auto"/>
                        <w:left w:val="none" w:sz="0" w:space="0" w:color="auto"/>
                        <w:bottom w:val="none" w:sz="0" w:space="0" w:color="auto"/>
                        <w:right w:val="none" w:sz="0" w:space="0" w:color="auto"/>
                      </w:divBdr>
                    </w:div>
                  </w:divsChild>
                </w:div>
                <w:div w:id="597568974">
                  <w:marLeft w:val="0"/>
                  <w:marRight w:val="0"/>
                  <w:marTop w:val="0"/>
                  <w:marBottom w:val="0"/>
                  <w:divBdr>
                    <w:top w:val="none" w:sz="0" w:space="0" w:color="auto"/>
                    <w:left w:val="none" w:sz="0" w:space="0" w:color="auto"/>
                    <w:bottom w:val="none" w:sz="0" w:space="0" w:color="auto"/>
                    <w:right w:val="none" w:sz="0" w:space="0" w:color="auto"/>
                  </w:divBdr>
                  <w:divsChild>
                    <w:div w:id="431628188">
                      <w:marLeft w:val="0"/>
                      <w:marRight w:val="0"/>
                      <w:marTop w:val="0"/>
                      <w:marBottom w:val="0"/>
                      <w:divBdr>
                        <w:top w:val="none" w:sz="0" w:space="0" w:color="auto"/>
                        <w:left w:val="none" w:sz="0" w:space="0" w:color="auto"/>
                        <w:bottom w:val="none" w:sz="0" w:space="0" w:color="auto"/>
                        <w:right w:val="none" w:sz="0" w:space="0" w:color="auto"/>
                      </w:divBdr>
                    </w:div>
                  </w:divsChild>
                </w:div>
                <w:div w:id="611212362">
                  <w:marLeft w:val="0"/>
                  <w:marRight w:val="0"/>
                  <w:marTop w:val="0"/>
                  <w:marBottom w:val="0"/>
                  <w:divBdr>
                    <w:top w:val="none" w:sz="0" w:space="0" w:color="auto"/>
                    <w:left w:val="none" w:sz="0" w:space="0" w:color="auto"/>
                    <w:bottom w:val="none" w:sz="0" w:space="0" w:color="auto"/>
                    <w:right w:val="none" w:sz="0" w:space="0" w:color="auto"/>
                  </w:divBdr>
                  <w:divsChild>
                    <w:div w:id="95827712">
                      <w:marLeft w:val="0"/>
                      <w:marRight w:val="0"/>
                      <w:marTop w:val="0"/>
                      <w:marBottom w:val="0"/>
                      <w:divBdr>
                        <w:top w:val="none" w:sz="0" w:space="0" w:color="auto"/>
                        <w:left w:val="none" w:sz="0" w:space="0" w:color="auto"/>
                        <w:bottom w:val="none" w:sz="0" w:space="0" w:color="auto"/>
                        <w:right w:val="none" w:sz="0" w:space="0" w:color="auto"/>
                      </w:divBdr>
                    </w:div>
                  </w:divsChild>
                </w:div>
                <w:div w:id="644508832">
                  <w:marLeft w:val="0"/>
                  <w:marRight w:val="0"/>
                  <w:marTop w:val="0"/>
                  <w:marBottom w:val="0"/>
                  <w:divBdr>
                    <w:top w:val="none" w:sz="0" w:space="0" w:color="auto"/>
                    <w:left w:val="none" w:sz="0" w:space="0" w:color="auto"/>
                    <w:bottom w:val="none" w:sz="0" w:space="0" w:color="auto"/>
                    <w:right w:val="none" w:sz="0" w:space="0" w:color="auto"/>
                  </w:divBdr>
                  <w:divsChild>
                    <w:div w:id="547298874">
                      <w:marLeft w:val="0"/>
                      <w:marRight w:val="0"/>
                      <w:marTop w:val="0"/>
                      <w:marBottom w:val="0"/>
                      <w:divBdr>
                        <w:top w:val="none" w:sz="0" w:space="0" w:color="auto"/>
                        <w:left w:val="none" w:sz="0" w:space="0" w:color="auto"/>
                        <w:bottom w:val="none" w:sz="0" w:space="0" w:color="auto"/>
                        <w:right w:val="none" w:sz="0" w:space="0" w:color="auto"/>
                      </w:divBdr>
                    </w:div>
                  </w:divsChild>
                </w:div>
                <w:div w:id="1050693824">
                  <w:marLeft w:val="0"/>
                  <w:marRight w:val="0"/>
                  <w:marTop w:val="0"/>
                  <w:marBottom w:val="0"/>
                  <w:divBdr>
                    <w:top w:val="none" w:sz="0" w:space="0" w:color="auto"/>
                    <w:left w:val="none" w:sz="0" w:space="0" w:color="auto"/>
                    <w:bottom w:val="none" w:sz="0" w:space="0" w:color="auto"/>
                    <w:right w:val="none" w:sz="0" w:space="0" w:color="auto"/>
                  </w:divBdr>
                  <w:divsChild>
                    <w:div w:id="1546716062">
                      <w:marLeft w:val="0"/>
                      <w:marRight w:val="0"/>
                      <w:marTop w:val="0"/>
                      <w:marBottom w:val="0"/>
                      <w:divBdr>
                        <w:top w:val="none" w:sz="0" w:space="0" w:color="auto"/>
                        <w:left w:val="none" w:sz="0" w:space="0" w:color="auto"/>
                        <w:bottom w:val="none" w:sz="0" w:space="0" w:color="auto"/>
                        <w:right w:val="none" w:sz="0" w:space="0" w:color="auto"/>
                      </w:divBdr>
                    </w:div>
                  </w:divsChild>
                </w:div>
                <w:div w:id="1123958642">
                  <w:marLeft w:val="0"/>
                  <w:marRight w:val="0"/>
                  <w:marTop w:val="0"/>
                  <w:marBottom w:val="0"/>
                  <w:divBdr>
                    <w:top w:val="none" w:sz="0" w:space="0" w:color="auto"/>
                    <w:left w:val="none" w:sz="0" w:space="0" w:color="auto"/>
                    <w:bottom w:val="none" w:sz="0" w:space="0" w:color="auto"/>
                    <w:right w:val="none" w:sz="0" w:space="0" w:color="auto"/>
                  </w:divBdr>
                  <w:divsChild>
                    <w:div w:id="304090418">
                      <w:marLeft w:val="0"/>
                      <w:marRight w:val="0"/>
                      <w:marTop w:val="0"/>
                      <w:marBottom w:val="0"/>
                      <w:divBdr>
                        <w:top w:val="none" w:sz="0" w:space="0" w:color="auto"/>
                        <w:left w:val="none" w:sz="0" w:space="0" w:color="auto"/>
                        <w:bottom w:val="none" w:sz="0" w:space="0" w:color="auto"/>
                        <w:right w:val="none" w:sz="0" w:space="0" w:color="auto"/>
                      </w:divBdr>
                    </w:div>
                  </w:divsChild>
                </w:div>
                <w:div w:id="1228957698">
                  <w:marLeft w:val="0"/>
                  <w:marRight w:val="0"/>
                  <w:marTop w:val="0"/>
                  <w:marBottom w:val="0"/>
                  <w:divBdr>
                    <w:top w:val="none" w:sz="0" w:space="0" w:color="auto"/>
                    <w:left w:val="none" w:sz="0" w:space="0" w:color="auto"/>
                    <w:bottom w:val="none" w:sz="0" w:space="0" w:color="auto"/>
                    <w:right w:val="none" w:sz="0" w:space="0" w:color="auto"/>
                  </w:divBdr>
                  <w:divsChild>
                    <w:div w:id="1515992900">
                      <w:marLeft w:val="0"/>
                      <w:marRight w:val="0"/>
                      <w:marTop w:val="0"/>
                      <w:marBottom w:val="0"/>
                      <w:divBdr>
                        <w:top w:val="none" w:sz="0" w:space="0" w:color="auto"/>
                        <w:left w:val="none" w:sz="0" w:space="0" w:color="auto"/>
                        <w:bottom w:val="none" w:sz="0" w:space="0" w:color="auto"/>
                        <w:right w:val="none" w:sz="0" w:space="0" w:color="auto"/>
                      </w:divBdr>
                    </w:div>
                  </w:divsChild>
                </w:div>
                <w:div w:id="1294561019">
                  <w:marLeft w:val="0"/>
                  <w:marRight w:val="0"/>
                  <w:marTop w:val="0"/>
                  <w:marBottom w:val="0"/>
                  <w:divBdr>
                    <w:top w:val="none" w:sz="0" w:space="0" w:color="auto"/>
                    <w:left w:val="none" w:sz="0" w:space="0" w:color="auto"/>
                    <w:bottom w:val="none" w:sz="0" w:space="0" w:color="auto"/>
                    <w:right w:val="none" w:sz="0" w:space="0" w:color="auto"/>
                  </w:divBdr>
                  <w:divsChild>
                    <w:div w:id="2047634208">
                      <w:marLeft w:val="0"/>
                      <w:marRight w:val="0"/>
                      <w:marTop w:val="0"/>
                      <w:marBottom w:val="0"/>
                      <w:divBdr>
                        <w:top w:val="none" w:sz="0" w:space="0" w:color="auto"/>
                        <w:left w:val="none" w:sz="0" w:space="0" w:color="auto"/>
                        <w:bottom w:val="none" w:sz="0" w:space="0" w:color="auto"/>
                        <w:right w:val="none" w:sz="0" w:space="0" w:color="auto"/>
                      </w:divBdr>
                    </w:div>
                  </w:divsChild>
                </w:div>
                <w:div w:id="1386876474">
                  <w:marLeft w:val="0"/>
                  <w:marRight w:val="0"/>
                  <w:marTop w:val="0"/>
                  <w:marBottom w:val="0"/>
                  <w:divBdr>
                    <w:top w:val="none" w:sz="0" w:space="0" w:color="auto"/>
                    <w:left w:val="none" w:sz="0" w:space="0" w:color="auto"/>
                    <w:bottom w:val="none" w:sz="0" w:space="0" w:color="auto"/>
                    <w:right w:val="none" w:sz="0" w:space="0" w:color="auto"/>
                  </w:divBdr>
                  <w:divsChild>
                    <w:div w:id="434711851">
                      <w:marLeft w:val="0"/>
                      <w:marRight w:val="0"/>
                      <w:marTop w:val="0"/>
                      <w:marBottom w:val="0"/>
                      <w:divBdr>
                        <w:top w:val="none" w:sz="0" w:space="0" w:color="auto"/>
                        <w:left w:val="none" w:sz="0" w:space="0" w:color="auto"/>
                        <w:bottom w:val="none" w:sz="0" w:space="0" w:color="auto"/>
                        <w:right w:val="none" w:sz="0" w:space="0" w:color="auto"/>
                      </w:divBdr>
                    </w:div>
                  </w:divsChild>
                </w:div>
                <w:div w:id="1488278011">
                  <w:marLeft w:val="0"/>
                  <w:marRight w:val="0"/>
                  <w:marTop w:val="0"/>
                  <w:marBottom w:val="0"/>
                  <w:divBdr>
                    <w:top w:val="none" w:sz="0" w:space="0" w:color="auto"/>
                    <w:left w:val="none" w:sz="0" w:space="0" w:color="auto"/>
                    <w:bottom w:val="none" w:sz="0" w:space="0" w:color="auto"/>
                    <w:right w:val="none" w:sz="0" w:space="0" w:color="auto"/>
                  </w:divBdr>
                  <w:divsChild>
                    <w:div w:id="1210460135">
                      <w:marLeft w:val="0"/>
                      <w:marRight w:val="0"/>
                      <w:marTop w:val="0"/>
                      <w:marBottom w:val="0"/>
                      <w:divBdr>
                        <w:top w:val="none" w:sz="0" w:space="0" w:color="auto"/>
                        <w:left w:val="none" w:sz="0" w:space="0" w:color="auto"/>
                        <w:bottom w:val="none" w:sz="0" w:space="0" w:color="auto"/>
                        <w:right w:val="none" w:sz="0" w:space="0" w:color="auto"/>
                      </w:divBdr>
                    </w:div>
                  </w:divsChild>
                </w:div>
                <w:div w:id="1524662178">
                  <w:marLeft w:val="0"/>
                  <w:marRight w:val="0"/>
                  <w:marTop w:val="0"/>
                  <w:marBottom w:val="0"/>
                  <w:divBdr>
                    <w:top w:val="none" w:sz="0" w:space="0" w:color="auto"/>
                    <w:left w:val="none" w:sz="0" w:space="0" w:color="auto"/>
                    <w:bottom w:val="none" w:sz="0" w:space="0" w:color="auto"/>
                    <w:right w:val="none" w:sz="0" w:space="0" w:color="auto"/>
                  </w:divBdr>
                  <w:divsChild>
                    <w:div w:id="888303062">
                      <w:marLeft w:val="0"/>
                      <w:marRight w:val="0"/>
                      <w:marTop w:val="0"/>
                      <w:marBottom w:val="0"/>
                      <w:divBdr>
                        <w:top w:val="none" w:sz="0" w:space="0" w:color="auto"/>
                        <w:left w:val="none" w:sz="0" w:space="0" w:color="auto"/>
                        <w:bottom w:val="none" w:sz="0" w:space="0" w:color="auto"/>
                        <w:right w:val="none" w:sz="0" w:space="0" w:color="auto"/>
                      </w:divBdr>
                    </w:div>
                  </w:divsChild>
                </w:div>
                <w:div w:id="1582566396">
                  <w:marLeft w:val="0"/>
                  <w:marRight w:val="0"/>
                  <w:marTop w:val="0"/>
                  <w:marBottom w:val="0"/>
                  <w:divBdr>
                    <w:top w:val="none" w:sz="0" w:space="0" w:color="auto"/>
                    <w:left w:val="none" w:sz="0" w:space="0" w:color="auto"/>
                    <w:bottom w:val="none" w:sz="0" w:space="0" w:color="auto"/>
                    <w:right w:val="none" w:sz="0" w:space="0" w:color="auto"/>
                  </w:divBdr>
                  <w:divsChild>
                    <w:div w:id="1399283704">
                      <w:marLeft w:val="0"/>
                      <w:marRight w:val="0"/>
                      <w:marTop w:val="0"/>
                      <w:marBottom w:val="0"/>
                      <w:divBdr>
                        <w:top w:val="none" w:sz="0" w:space="0" w:color="auto"/>
                        <w:left w:val="none" w:sz="0" w:space="0" w:color="auto"/>
                        <w:bottom w:val="none" w:sz="0" w:space="0" w:color="auto"/>
                        <w:right w:val="none" w:sz="0" w:space="0" w:color="auto"/>
                      </w:divBdr>
                    </w:div>
                  </w:divsChild>
                </w:div>
                <w:div w:id="1813012137">
                  <w:marLeft w:val="0"/>
                  <w:marRight w:val="0"/>
                  <w:marTop w:val="0"/>
                  <w:marBottom w:val="0"/>
                  <w:divBdr>
                    <w:top w:val="none" w:sz="0" w:space="0" w:color="auto"/>
                    <w:left w:val="none" w:sz="0" w:space="0" w:color="auto"/>
                    <w:bottom w:val="none" w:sz="0" w:space="0" w:color="auto"/>
                    <w:right w:val="none" w:sz="0" w:space="0" w:color="auto"/>
                  </w:divBdr>
                  <w:divsChild>
                    <w:div w:id="1365474499">
                      <w:marLeft w:val="0"/>
                      <w:marRight w:val="0"/>
                      <w:marTop w:val="0"/>
                      <w:marBottom w:val="0"/>
                      <w:divBdr>
                        <w:top w:val="none" w:sz="0" w:space="0" w:color="auto"/>
                        <w:left w:val="none" w:sz="0" w:space="0" w:color="auto"/>
                        <w:bottom w:val="none" w:sz="0" w:space="0" w:color="auto"/>
                        <w:right w:val="none" w:sz="0" w:space="0" w:color="auto"/>
                      </w:divBdr>
                    </w:div>
                  </w:divsChild>
                </w:div>
                <w:div w:id="1852259277">
                  <w:marLeft w:val="0"/>
                  <w:marRight w:val="0"/>
                  <w:marTop w:val="0"/>
                  <w:marBottom w:val="0"/>
                  <w:divBdr>
                    <w:top w:val="none" w:sz="0" w:space="0" w:color="auto"/>
                    <w:left w:val="none" w:sz="0" w:space="0" w:color="auto"/>
                    <w:bottom w:val="none" w:sz="0" w:space="0" w:color="auto"/>
                    <w:right w:val="none" w:sz="0" w:space="0" w:color="auto"/>
                  </w:divBdr>
                  <w:divsChild>
                    <w:div w:id="15394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37028">
          <w:marLeft w:val="0"/>
          <w:marRight w:val="0"/>
          <w:marTop w:val="0"/>
          <w:marBottom w:val="0"/>
          <w:divBdr>
            <w:top w:val="none" w:sz="0" w:space="0" w:color="auto"/>
            <w:left w:val="none" w:sz="0" w:space="0" w:color="auto"/>
            <w:bottom w:val="none" w:sz="0" w:space="0" w:color="auto"/>
            <w:right w:val="none" w:sz="0" w:space="0" w:color="auto"/>
          </w:divBdr>
        </w:div>
        <w:div w:id="317075894">
          <w:marLeft w:val="0"/>
          <w:marRight w:val="0"/>
          <w:marTop w:val="0"/>
          <w:marBottom w:val="0"/>
          <w:divBdr>
            <w:top w:val="none" w:sz="0" w:space="0" w:color="auto"/>
            <w:left w:val="none" w:sz="0" w:space="0" w:color="auto"/>
            <w:bottom w:val="none" w:sz="0" w:space="0" w:color="auto"/>
            <w:right w:val="none" w:sz="0" w:space="0" w:color="auto"/>
          </w:divBdr>
          <w:divsChild>
            <w:div w:id="206651648">
              <w:marLeft w:val="0"/>
              <w:marRight w:val="0"/>
              <w:marTop w:val="0"/>
              <w:marBottom w:val="0"/>
              <w:divBdr>
                <w:top w:val="none" w:sz="0" w:space="0" w:color="auto"/>
                <w:left w:val="none" w:sz="0" w:space="0" w:color="auto"/>
                <w:bottom w:val="none" w:sz="0" w:space="0" w:color="auto"/>
                <w:right w:val="none" w:sz="0" w:space="0" w:color="auto"/>
              </w:divBdr>
            </w:div>
            <w:div w:id="440029021">
              <w:marLeft w:val="0"/>
              <w:marRight w:val="0"/>
              <w:marTop w:val="0"/>
              <w:marBottom w:val="0"/>
              <w:divBdr>
                <w:top w:val="none" w:sz="0" w:space="0" w:color="auto"/>
                <w:left w:val="none" w:sz="0" w:space="0" w:color="auto"/>
                <w:bottom w:val="none" w:sz="0" w:space="0" w:color="auto"/>
                <w:right w:val="none" w:sz="0" w:space="0" w:color="auto"/>
              </w:divBdr>
            </w:div>
            <w:div w:id="1402871230">
              <w:marLeft w:val="0"/>
              <w:marRight w:val="0"/>
              <w:marTop w:val="0"/>
              <w:marBottom w:val="0"/>
              <w:divBdr>
                <w:top w:val="none" w:sz="0" w:space="0" w:color="auto"/>
                <w:left w:val="none" w:sz="0" w:space="0" w:color="auto"/>
                <w:bottom w:val="none" w:sz="0" w:space="0" w:color="auto"/>
                <w:right w:val="none" w:sz="0" w:space="0" w:color="auto"/>
              </w:divBdr>
            </w:div>
            <w:div w:id="1422213845">
              <w:marLeft w:val="0"/>
              <w:marRight w:val="0"/>
              <w:marTop w:val="0"/>
              <w:marBottom w:val="0"/>
              <w:divBdr>
                <w:top w:val="none" w:sz="0" w:space="0" w:color="auto"/>
                <w:left w:val="none" w:sz="0" w:space="0" w:color="auto"/>
                <w:bottom w:val="none" w:sz="0" w:space="0" w:color="auto"/>
                <w:right w:val="none" w:sz="0" w:space="0" w:color="auto"/>
              </w:divBdr>
            </w:div>
            <w:div w:id="1633753344">
              <w:marLeft w:val="0"/>
              <w:marRight w:val="0"/>
              <w:marTop w:val="0"/>
              <w:marBottom w:val="0"/>
              <w:divBdr>
                <w:top w:val="none" w:sz="0" w:space="0" w:color="auto"/>
                <w:left w:val="none" w:sz="0" w:space="0" w:color="auto"/>
                <w:bottom w:val="none" w:sz="0" w:space="0" w:color="auto"/>
                <w:right w:val="none" w:sz="0" w:space="0" w:color="auto"/>
              </w:divBdr>
            </w:div>
          </w:divsChild>
        </w:div>
        <w:div w:id="730423591">
          <w:marLeft w:val="0"/>
          <w:marRight w:val="0"/>
          <w:marTop w:val="0"/>
          <w:marBottom w:val="0"/>
          <w:divBdr>
            <w:top w:val="none" w:sz="0" w:space="0" w:color="auto"/>
            <w:left w:val="none" w:sz="0" w:space="0" w:color="auto"/>
            <w:bottom w:val="none" w:sz="0" w:space="0" w:color="auto"/>
            <w:right w:val="none" w:sz="0" w:space="0" w:color="auto"/>
          </w:divBdr>
        </w:div>
        <w:div w:id="751701731">
          <w:marLeft w:val="0"/>
          <w:marRight w:val="0"/>
          <w:marTop w:val="0"/>
          <w:marBottom w:val="0"/>
          <w:divBdr>
            <w:top w:val="none" w:sz="0" w:space="0" w:color="auto"/>
            <w:left w:val="none" w:sz="0" w:space="0" w:color="auto"/>
            <w:bottom w:val="none" w:sz="0" w:space="0" w:color="auto"/>
            <w:right w:val="none" w:sz="0" w:space="0" w:color="auto"/>
          </w:divBdr>
        </w:div>
        <w:div w:id="1047872015">
          <w:marLeft w:val="0"/>
          <w:marRight w:val="0"/>
          <w:marTop w:val="0"/>
          <w:marBottom w:val="0"/>
          <w:divBdr>
            <w:top w:val="none" w:sz="0" w:space="0" w:color="auto"/>
            <w:left w:val="none" w:sz="0" w:space="0" w:color="auto"/>
            <w:bottom w:val="none" w:sz="0" w:space="0" w:color="auto"/>
            <w:right w:val="none" w:sz="0" w:space="0" w:color="auto"/>
          </w:divBdr>
        </w:div>
        <w:div w:id="1566261119">
          <w:marLeft w:val="0"/>
          <w:marRight w:val="0"/>
          <w:marTop w:val="0"/>
          <w:marBottom w:val="0"/>
          <w:divBdr>
            <w:top w:val="none" w:sz="0" w:space="0" w:color="auto"/>
            <w:left w:val="none" w:sz="0" w:space="0" w:color="auto"/>
            <w:bottom w:val="none" w:sz="0" w:space="0" w:color="auto"/>
            <w:right w:val="none" w:sz="0" w:space="0" w:color="auto"/>
          </w:divBdr>
        </w:div>
        <w:div w:id="1583299558">
          <w:marLeft w:val="0"/>
          <w:marRight w:val="0"/>
          <w:marTop w:val="0"/>
          <w:marBottom w:val="0"/>
          <w:divBdr>
            <w:top w:val="none" w:sz="0" w:space="0" w:color="auto"/>
            <w:left w:val="none" w:sz="0" w:space="0" w:color="auto"/>
            <w:bottom w:val="none" w:sz="0" w:space="0" w:color="auto"/>
            <w:right w:val="none" w:sz="0" w:space="0" w:color="auto"/>
          </w:divBdr>
        </w:div>
        <w:div w:id="1640767526">
          <w:marLeft w:val="0"/>
          <w:marRight w:val="0"/>
          <w:marTop w:val="0"/>
          <w:marBottom w:val="0"/>
          <w:divBdr>
            <w:top w:val="none" w:sz="0" w:space="0" w:color="auto"/>
            <w:left w:val="none" w:sz="0" w:space="0" w:color="auto"/>
            <w:bottom w:val="none" w:sz="0" w:space="0" w:color="auto"/>
            <w:right w:val="none" w:sz="0" w:space="0" w:color="auto"/>
          </w:divBdr>
        </w:div>
        <w:div w:id="1730569183">
          <w:marLeft w:val="0"/>
          <w:marRight w:val="0"/>
          <w:marTop w:val="0"/>
          <w:marBottom w:val="0"/>
          <w:divBdr>
            <w:top w:val="none" w:sz="0" w:space="0" w:color="auto"/>
            <w:left w:val="none" w:sz="0" w:space="0" w:color="auto"/>
            <w:bottom w:val="none" w:sz="0" w:space="0" w:color="auto"/>
            <w:right w:val="none" w:sz="0" w:space="0" w:color="auto"/>
          </w:divBdr>
        </w:div>
        <w:div w:id="1896350708">
          <w:marLeft w:val="0"/>
          <w:marRight w:val="0"/>
          <w:marTop w:val="0"/>
          <w:marBottom w:val="0"/>
          <w:divBdr>
            <w:top w:val="none" w:sz="0" w:space="0" w:color="auto"/>
            <w:left w:val="none" w:sz="0" w:space="0" w:color="auto"/>
            <w:bottom w:val="none" w:sz="0" w:space="0" w:color="auto"/>
            <w:right w:val="none" w:sz="0" w:space="0" w:color="auto"/>
          </w:divBdr>
        </w:div>
        <w:div w:id="2080668937">
          <w:marLeft w:val="0"/>
          <w:marRight w:val="0"/>
          <w:marTop w:val="0"/>
          <w:marBottom w:val="0"/>
          <w:divBdr>
            <w:top w:val="none" w:sz="0" w:space="0" w:color="auto"/>
            <w:left w:val="none" w:sz="0" w:space="0" w:color="auto"/>
            <w:bottom w:val="none" w:sz="0" w:space="0" w:color="auto"/>
            <w:right w:val="none" w:sz="0" w:space="0" w:color="auto"/>
          </w:divBdr>
        </w:div>
        <w:div w:id="2094622793">
          <w:marLeft w:val="0"/>
          <w:marRight w:val="0"/>
          <w:marTop w:val="0"/>
          <w:marBottom w:val="0"/>
          <w:divBdr>
            <w:top w:val="none" w:sz="0" w:space="0" w:color="auto"/>
            <w:left w:val="none" w:sz="0" w:space="0" w:color="auto"/>
            <w:bottom w:val="none" w:sz="0" w:space="0" w:color="auto"/>
            <w:right w:val="none" w:sz="0" w:space="0" w:color="auto"/>
          </w:divBdr>
        </w:div>
        <w:div w:id="2134862228">
          <w:marLeft w:val="0"/>
          <w:marRight w:val="0"/>
          <w:marTop w:val="0"/>
          <w:marBottom w:val="0"/>
          <w:divBdr>
            <w:top w:val="none" w:sz="0" w:space="0" w:color="auto"/>
            <w:left w:val="none" w:sz="0" w:space="0" w:color="auto"/>
            <w:bottom w:val="none" w:sz="0" w:space="0" w:color="auto"/>
            <w:right w:val="none" w:sz="0" w:space="0" w:color="auto"/>
          </w:divBdr>
          <w:divsChild>
            <w:div w:id="611327315">
              <w:marLeft w:val="0"/>
              <w:marRight w:val="0"/>
              <w:marTop w:val="0"/>
              <w:marBottom w:val="0"/>
              <w:divBdr>
                <w:top w:val="none" w:sz="0" w:space="0" w:color="auto"/>
                <w:left w:val="none" w:sz="0" w:space="0" w:color="auto"/>
                <w:bottom w:val="none" w:sz="0" w:space="0" w:color="auto"/>
                <w:right w:val="none" w:sz="0" w:space="0" w:color="auto"/>
              </w:divBdr>
            </w:div>
            <w:div w:id="957300501">
              <w:marLeft w:val="0"/>
              <w:marRight w:val="0"/>
              <w:marTop w:val="0"/>
              <w:marBottom w:val="0"/>
              <w:divBdr>
                <w:top w:val="none" w:sz="0" w:space="0" w:color="auto"/>
                <w:left w:val="none" w:sz="0" w:space="0" w:color="auto"/>
                <w:bottom w:val="none" w:sz="0" w:space="0" w:color="auto"/>
                <w:right w:val="none" w:sz="0" w:space="0" w:color="auto"/>
              </w:divBdr>
            </w:div>
            <w:div w:id="10322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66809523">
      <w:bodyDiv w:val="1"/>
      <w:marLeft w:val="0"/>
      <w:marRight w:val="0"/>
      <w:marTop w:val="0"/>
      <w:marBottom w:val="0"/>
      <w:divBdr>
        <w:top w:val="none" w:sz="0" w:space="0" w:color="auto"/>
        <w:left w:val="none" w:sz="0" w:space="0" w:color="auto"/>
        <w:bottom w:val="none" w:sz="0" w:space="0" w:color="auto"/>
        <w:right w:val="none" w:sz="0" w:space="0" w:color="auto"/>
      </w:divBdr>
      <w:divsChild>
        <w:div w:id="115756253">
          <w:marLeft w:val="0"/>
          <w:marRight w:val="0"/>
          <w:marTop w:val="0"/>
          <w:marBottom w:val="0"/>
          <w:divBdr>
            <w:top w:val="none" w:sz="0" w:space="0" w:color="auto"/>
            <w:left w:val="none" w:sz="0" w:space="0" w:color="auto"/>
            <w:bottom w:val="none" w:sz="0" w:space="0" w:color="auto"/>
            <w:right w:val="none" w:sz="0" w:space="0" w:color="auto"/>
          </w:divBdr>
        </w:div>
        <w:div w:id="227886658">
          <w:marLeft w:val="0"/>
          <w:marRight w:val="0"/>
          <w:marTop w:val="0"/>
          <w:marBottom w:val="0"/>
          <w:divBdr>
            <w:top w:val="none" w:sz="0" w:space="0" w:color="auto"/>
            <w:left w:val="none" w:sz="0" w:space="0" w:color="auto"/>
            <w:bottom w:val="none" w:sz="0" w:space="0" w:color="auto"/>
            <w:right w:val="none" w:sz="0" w:space="0" w:color="auto"/>
          </w:divBdr>
        </w:div>
        <w:div w:id="237715927">
          <w:marLeft w:val="0"/>
          <w:marRight w:val="0"/>
          <w:marTop w:val="0"/>
          <w:marBottom w:val="0"/>
          <w:divBdr>
            <w:top w:val="none" w:sz="0" w:space="0" w:color="auto"/>
            <w:left w:val="none" w:sz="0" w:space="0" w:color="auto"/>
            <w:bottom w:val="none" w:sz="0" w:space="0" w:color="auto"/>
            <w:right w:val="none" w:sz="0" w:space="0" w:color="auto"/>
          </w:divBdr>
        </w:div>
        <w:div w:id="380056173">
          <w:marLeft w:val="0"/>
          <w:marRight w:val="0"/>
          <w:marTop w:val="0"/>
          <w:marBottom w:val="0"/>
          <w:divBdr>
            <w:top w:val="none" w:sz="0" w:space="0" w:color="auto"/>
            <w:left w:val="none" w:sz="0" w:space="0" w:color="auto"/>
            <w:bottom w:val="none" w:sz="0" w:space="0" w:color="auto"/>
            <w:right w:val="none" w:sz="0" w:space="0" w:color="auto"/>
          </w:divBdr>
        </w:div>
        <w:div w:id="439834195">
          <w:marLeft w:val="0"/>
          <w:marRight w:val="0"/>
          <w:marTop w:val="0"/>
          <w:marBottom w:val="0"/>
          <w:divBdr>
            <w:top w:val="none" w:sz="0" w:space="0" w:color="auto"/>
            <w:left w:val="none" w:sz="0" w:space="0" w:color="auto"/>
            <w:bottom w:val="none" w:sz="0" w:space="0" w:color="auto"/>
            <w:right w:val="none" w:sz="0" w:space="0" w:color="auto"/>
          </w:divBdr>
        </w:div>
        <w:div w:id="588270594">
          <w:marLeft w:val="0"/>
          <w:marRight w:val="0"/>
          <w:marTop w:val="0"/>
          <w:marBottom w:val="0"/>
          <w:divBdr>
            <w:top w:val="none" w:sz="0" w:space="0" w:color="auto"/>
            <w:left w:val="none" w:sz="0" w:space="0" w:color="auto"/>
            <w:bottom w:val="none" w:sz="0" w:space="0" w:color="auto"/>
            <w:right w:val="none" w:sz="0" w:space="0" w:color="auto"/>
          </w:divBdr>
        </w:div>
        <w:div w:id="643704432">
          <w:marLeft w:val="0"/>
          <w:marRight w:val="0"/>
          <w:marTop w:val="0"/>
          <w:marBottom w:val="0"/>
          <w:divBdr>
            <w:top w:val="none" w:sz="0" w:space="0" w:color="auto"/>
            <w:left w:val="none" w:sz="0" w:space="0" w:color="auto"/>
            <w:bottom w:val="none" w:sz="0" w:space="0" w:color="auto"/>
            <w:right w:val="none" w:sz="0" w:space="0" w:color="auto"/>
          </w:divBdr>
        </w:div>
        <w:div w:id="908999761">
          <w:marLeft w:val="0"/>
          <w:marRight w:val="0"/>
          <w:marTop w:val="0"/>
          <w:marBottom w:val="0"/>
          <w:divBdr>
            <w:top w:val="none" w:sz="0" w:space="0" w:color="auto"/>
            <w:left w:val="none" w:sz="0" w:space="0" w:color="auto"/>
            <w:bottom w:val="none" w:sz="0" w:space="0" w:color="auto"/>
            <w:right w:val="none" w:sz="0" w:space="0" w:color="auto"/>
          </w:divBdr>
        </w:div>
        <w:div w:id="972173036">
          <w:marLeft w:val="0"/>
          <w:marRight w:val="0"/>
          <w:marTop w:val="0"/>
          <w:marBottom w:val="0"/>
          <w:divBdr>
            <w:top w:val="none" w:sz="0" w:space="0" w:color="auto"/>
            <w:left w:val="none" w:sz="0" w:space="0" w:color="auto"/>
            <w:bottom w:val="none" w:sz="0" w:space="0" w:color="auto"/>
            <w:right w:val="none" w:sz="0" w:space="0" w:color="auto"/>
          </w:divBdr>
        </w:div>
        <w:div w:id="1306542218">
          <w:marLeft w:val="0"/>
          <w:marRight w:val="0"/>
          <w:marTop w:val="0"/>
          <w:marBottom w:val="0"/>
          <w:divBdr>
            <w:top w:val="none" w:sz="0" w:space="0" w:color="auto"/>
            <w:left w:val="none" w:sz="0" w:space="0" w:color="auto"/>
            <w:bottom w:val="none" w:sz="0" w:space="0" w:color="auto"/>
            <w:right w:val="none" w:sz="0" w:space="0" w:color="auto"/>
          </w:divBdr>
        </w:div>
        <w:div w:id="1433818238">
          <w:marLeft w:val="0"/>
          <w:marRight w:val="0"/>
          <w:marTop w:val="0"/>
          <w:marBottom w:val="0"/>
          <w:divBdr>
            <w:top w:val="none" w:sz="0" w:space="0" w:color="auto"/>
            <w:left w:val="none" w:sz="0" w:space="0" w:color="auto"/>
            <w:bottom w:val="none" w:sz="0" w:space="0" w:color="auto"/>
            <w:right w:val="none" w:sz="0" w:space="0" w:color="auto"/>
          </w:divBdr>
        </w:div>
        <w:div w:id="1682925548">
          <w:marLeft w:val="0"/>
          <w:marRight w:val="0"/>
          <w:marTop w:val="0"/>
          <w:marBottom w:val="0"/>
          <w:divBdr>
            <w:top w:val="none" w:sz="0" w:space="0" w:color="auto"/>
            <w:left w:val="none" w:sz="0" w:space="0" w:color="auto"/>
            <w:bottom w:val="none" w:sz="0" w:space="0" w:color="auto"/>
            <w:right w:val="none" w:sz="0" w:space="0" w:color="auto"/>
          </w:divBdr>
        </w:div>
        <w:div w:id="1761295713">
          <w:marLeft w:val="0"/>
          <w:marRight w:val="0"/>
          <w:marTop w:val="0"/>
          <w:marBottom w:val="0"/>
          <w:divBdr>
            <w:top w:val="none" w:sz="0" w:space="0" w:color="auto"/>
            <w:left w:val="none" w:sz="0" w:space="0" w:color="auto"/>
            <w:bottom w:val="none" w:sz="0" w:space="0" w:color="auto"/>
            <w:right w:val="none" w:sz="0" w:space="0" w:color="auto"/>
          </w:divBdr>
        </w:div>
        <w:div w:id="1990329659">
          <w:marLeft w:val="0"/>
          <w:marRight w:val="0"/>
          <w:marTop w:val="0"/>
          <w:marBottom w:val="0"/>
          <w:divBdr>
            <w:top w:val="none" w:sz="0" w:space="0" w:color="auto"/>
            <w:left w:val="none" w:sz="0" w:space="0" w:color="auto"/>
            <w:bottom w:val="none" w:sz="0" w:space="0" w:color="auto"/>
            <w:right w:val="none" w:sz="0" w:space="0" w:color="auto"/>
          </w:divBdr>
        </w:div>
        <w:div w:id="2050761540">
          <w:marLeft w:val="0"/>
          <w:marRight w:val="0"/>
          <w:marTop w:val="0"/>
          <w:marBottom w:val="0"/>
          <w:divBdr>
            <w:top w:val="none" w:sz="0" w:space="0" w:color="auto"/>
            <w:left w:val="none" w:sz="0" w:space="0" w:color="auto"/>
            <w:bottom w:val="none" w:sz="0" w:space="0" w:color="auto"/>
            <w:right w:val="none" w:sz="0" w:space="0" w:color="auto"/>
          </w:divBdr>
        </w:div>
        <w:div w:id="2051756875">
          <w:marLeft w:val="0"/>
          <w:marRight w:val="0"/>
          <w:marTop w:val="0"/>
          <w:marBottom w:val="0"/>
          <w:divBdr>
            <w:top w:val="none" w:sz="0" w:space="0" w:color="auto"/>
            <w:left w:val="none" w:sz="0" w:space="0" w:color="auto"/>
            <w:bottom w:val="none" w:sz="0" w:space="0" w:color="auto"/>
            <w:right w:val="none" w:sz="0" w:space="0" w:color="auto"/>
          </w:divBdr>
        </w:div>
        <w:div w:id="2136561998">
          <w:marLeft w:val="0"/>
          <w:marRight w:val="0"/>
          <w:marTop w:val="0"/>
          <w:marBottom w:val="0"/>
          <w:divBdr>
            <w:top w:val="none" w:sz="0" w:space="0" w:color="auto"/>
            <w:left w:val="none" w:sz="0" w:space="0" w:color="auto"/>
            <w:bottom w:val="none" w:sz="0" w:space="0" w:color="auto"/>
            <w:right w:val="none" w:sz="0" w:space="0" w:color="auto"/>
          </w:divBdr>
        </w:div>
      </w:divsChild>
    </w:div>
    <w:div w:id="205901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perfinanciera.gov.co/publicacion/608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8C1994-D22E-4E29-9D98-7C4233C74902}">
  <ds:schemaRefs>
    <ds:schemaRef ds:uri="http://schemas.openxmlformats.org/officeDocument/2006/bibliography"/>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F0B92CE-945D-4522-AA9E-586425E8F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7BBF3F-E837-4F88-BCB0-0E632895B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3941</Words>
  <Characters>21680</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Alejandra Materon Garcia</dc:creator>
  <cp:keywords/>
  <dc:description/>
  <cp:lastModifiedBy>Laura Alejandra Materon Garcia</cp:lastModifiedBy>
  <cp:revision>15</cp:revision>
  <cp:lastPrinted>2021-06-15T23:12:00Z</cp:lastPrinted>
  <dcterms:created xsi:type="dcterms:W3CDTF">2022-04-26T15:03:00Z</dcterms:created>
  <dcterms:modified xsi:type="dcterms:W3CDTF">2022-04-26T15:05:00Z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