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86E0" w14:textId="77777777" w:rsidR="0078349B" w:rsidRPr="00D1604E" w:rsidRDefault="0078349B" w:rsidP="0078349B">
      <w:pPr>
        <w:tabs>
          <w:tab w:val="left" w:pos="426"/>
        </w:tabs>
        <w:spacing w:after="0" w:line="240" w:lineRule="auto"/>
        <w:contextualSpacing/>
        <w:jc w:val="both"/>
        <w:rPr>
          <w:rFonts w:ascii="Arial" w:eastAsia="Calibri" w:hAnsi="Arial" w:cs="Arial"/>
          <w:b/>
          <w:bCs/>
          <w:lang w:val="es-ES_tradnl"/>
        </w:rPr>
      </w:pPr>
      <w:bookmarkStart w:id="0" w:name="_Hlk77165666"/>
      <w:r w:rsidRPr="00D1604E">
        <w:rPr>
          <w:rFonts w:ascii="Arial" w:eastAsia="Calibri" w:hAnsi="Arial" w:cs="Arial"/>
          <w:b/>
          <w:bCs/>
          <w:lang w:val="es-ES_tradnl"/>
        </w:rPr>
        <w:t xml:space="preserve">LEY DE GARANTÍAS ELECTORALES ─ </w:t>
      </w:r>
      <w:r w:rsidRPr="00D1604E">
        <w:rPr>
          <w:rFonts w:ascii="Arial" w:eastAsia="Calibri" w:hAnsi="Arial" w:cs="Arial"/>
          <w:b/>
          <w:bCs/>
          <w:color w:val="000000" w:themeColor="text1"/>
          <w:lang w:val="es-ES_tradnl"/>
        </w:rPr>
        <w:t>Finalidad</w:t>
      </w:r>
    </w:p>
    <w:p w14:paraId="6DC0226D" w14:textId="77777777" w:rsidR="0078349B" w:rsidRPr="00D1604E" w:rsidRDefault="0078349B" w:rsidP="0078349B">
      <w:pPr>
        <w:tabs>
          <w:tab w:val="left" w:pos="426"/>
        </w:tabs>
        <w:spacing w:after="0" w:line="240" w:lineRule="auto"/>
        <w:contextualSpacing/>
        <w:jc w:val="both"/>
        <w:rPr>
          <w:rFonts w:ascii="Arial" w:eastAsia="Calibri" w:hAnsi="Arial" w:cs="Arial"/>
          <w:b/>
          <w:bCs/>
          <w:sz w:val="20"/>
          <w:szCs w:val="20"/>
          <w:lang w:val="es-ES_tradnl"/>
        </w:rPr>
      </w:pPr>
    </w:p>
    <w:p w14:paraId="7EF5B4BE" w14:textId="77777777" w:rsidR="0078349B" w:rsidRPr="00D1604E" w:rsidRDefault="0078349B" w:rsidP="0078349B">
      <w:pPr>
        <w:spacing w:after="0" w:line="240" w:lineRule="auto"/>
        <w:contextualSpacing/>
        <w:jc w:val="both"/>
        <w:rPr>
          <w:rFonts w:ascii="Arial" w:eastAsia="Arial" w:hAnsi="Arial" w:cs="Arial"/>
          <w:sz w:val="20"/>
          <w:szCs w:val="20"/>
          <w:lang w:val="es-ES_tradnl" w:eastAsia="es-ES" w:bidi="es-ES"/>
        </w:rPr>
      </w:pPr>
      <w:r w:rsidRPr="00D1604E">
        <w:rPr>
          <w:rFonts w:ascii="Arial" w:eastAsia="Arial" w:hAnsi="Arial" w:cs="Arial"/>
          <w:sz w:val="20"/>
          <w:szCs w:val="20"/>
          <w:lang w:val="es-ES_tradnl" w:eastAsia="es-ES" w:bidi="es-ES"/>
        </w:rPr>
        <w:t>[…]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323D4AF" w14:textId="77777777" w:rsidR="0078349B" w:rsidRPr="00D1604E" w:rsidRDefault="0078349B" w:rsidP="0078349B">
      <w:pPr>
        <w:spacing w:after="0" w:line="240" w:lineRule="auto"/>
        <w:contextualSpacing/>
        <w:jc w:val="both"/>
        <w:rPr>
          <w:rFonts w:ascii="Arial" w:eastAsia="Arial" w:hAnsi="Arial" w:cs="Arial"/>
          <w:sz w:val="20"/>
          <w:szCs w:val="20"/>
          <w:lang w:val="es-ES_tradnl" w:eastAsia="es-ES" w:bidi="es-ES"/>
        </w:rPr>
      </w:pPr>
    </w:p>
    <w:p w14:paraId="00A31A90" w14:textId="77777777" w:rsidR="0078349B" w:rsidRPr="00D1604E" w:rsidRDefault="0078349B" w:rsidP="0078349B">
      <w:pPr>
        <w:tabs>
          <w:tab w:val="left" w:pos="426"/>
        </w:tabs>
        <w:spacing w:after="0" w:line="240" w:lineRule="auto"/>
        <w:contextualSpacing/>
        <w:jc w:val="both"/>
        <w:rPr>
          <w:rFonts w:ascii="Arial" w:eastAsia="Calibri" w:hAnsi="Arial" w:cs="Arial"/>
          <w:b/>
          <w:bCs/>
          <w:color w:val="000000" w:themeColor="text1"/>
          <w:lang w:val="es-ES_tradnl"/>
        </w:rPr>
      </w:pPr>
      <w:bookmarkStart w:id="1" w:name="_Hlk77152637"/>
      <w:r w:rsidRPr="00D1604E">
        <w:rPr>
          <w:rFonts w:ascii="Arial" w:eastAsia="Calibri" w:hAnsi="Arial" w:cs="Arial"/>
          <w:b/>
          <w:bCs/>
          <w:color w:val="000000" w:themeColor="text1"/>
          <w:lang w:val="es-ES_tradnl"/>
        </w:rPr>
        <w:t xml:space="preserve">LEY DE GARANTÍAS ELECTORALES </w:t>
      </w:r>
      <w:bookmarkEnd w:id="1"/>
      <w:r w:rsidRPr="00D1604E">
        <w:rPr>
          <w:rFonts w:ascii="Arial" w:eastAsia="Calibri" w:hAnsi="Arial" w:cs="Arial"/>
          <w:b/>
          <w:bCs/>
          <w:lang w:val="es-ES_tradnl"/>
        </w:rPr>
        <w:t>─</w:t>
      </w:r>
      <w:r w:rsidRPr="00D1604E">
        <w:rPr>
          <w:rFonts w:ascii="Arial" w:eastAsia="Calibri" w:hAnsi="Arial" w:cs="Arial"/>
          <w:b/>
          <w:bCs/>
          <w:color w:val="000000" w:themeColor="text1"/>
          <w:lang w:val="es-ES_tradnl"/>
        </w:rPr>
        <w:t xml:space="preserve"> Restricciones </w:t>
      </w:r>
      <w:bookmarkStart w:id="2" w:name="_Hlk77157034"/>
      <w:r w:rsidRPr="00D1604E">
        <w:rPr>
          <w:rFonts w:ascii="Arial" w:eastAsia="Calibri" w:hAnsi="Arial" w:cs="Arial"/>
          <w:b/>
          <w:bCs/>
          <w:lang w:val="es-ES_tradnl"/>
        </w:rPr>
        <w:t>─</w:t>
      </w:r>
      <w:r w:rsidRPr="00D1604E">
        <w:rPr>
          <w:rFonts w:ascii="Arial" w:eastAsia="Calibri" w:hAnsi="Arial" w:cs="Arial"/>
          <w:b/>
          <w:bCs/>
          <w:color w:val="000000" w:themeColor="text1"/>
          <w:lang w:val="es-ES_tradnl"/>
        </w:rPr>
        <w:t xml:space="preserve"> </w:t>
      </w:r>
      <w:bookmarkEnd w:id="2"/>
      <w:r w:rsidRPr="00D1604E">
        <w:rPr>
          <w:rFonts w:ascii="Arial" w:eastAsia="Calibri" w:hAnsi="Arial" w:cs="Arial"/>
          <w:b/>
          <w:bCs/>
          <w:color w:val="000000" w:themeColor="text1"/>
          <w:lang w:val="es-ES_tradnl"/>
        </w:rPr>
        <w:t>Contratación</w:t>
      </w:r>
      <w:bookmarkStart w:id="3" w:name="_Hlk77153098"/>
      <w:r w:rsidRPr="00D1604E">
        <w:rPr>
          <w:rFonts w:ascii="Arial" w:eastAsia="Calibri" w:hAnsi="Arial" w:cs="Arial"/>
          <w:b/>
          <w:bCs/>
          <w:color w:val="000000" w:themeColor="text1"/>
          <w:lang w:val="es-ES_tradnl"/>
        </w:rPr>
        <w:t xml:space="preserve"> </w:t>
      </w:r>
      <w:r w:rsidRPr="00D1604E">
        <w:rPr>
          <w:rFonts w:ascii="Arial" w:eastAsia="Calibri" w:hAnsi="Arial" w:cs="Arial"/>
          <w:b/>
          <w:bCs/>
          <w:lang w:val="es-ES_tradnl"/>
        </w:rPr>
        <w:t>─</w:t>
      </w:r>
      <w:r w:rsidRPr="00D1604E">
        <w:rPr>
          <w:rFonts w:ascii="Arial" w:eastAsia="Calibri" w:hAnsi="Arial" w:cs="Arial"/>
          <w:b/>
          <w:bCs/>
          <w:color w:val="000000" w:themeColor="text1"/>
          <w:lang w:val="es-ES_tradnl"/>
        </w:rPr>
        <w:t xml:space="preserve"> Tipos de elección</w:t>
      </w:r>
      <w:bookmarkEnd w:id="3"/>
      <w:r w:rsidRPr="00D1604E">
        <w:rPr>
          <w:rFonts w:ascii="Arial" w:eastAsia="Calibri" w:hAnsi="Arial" w:cs="Arial"/>
          <w:b/>
          <w:bCs/>
          <w:color w:val="000000" w:themeColor="text1"/>
          <w:lang w:val="es-ES_tradnl"/>
        </w:rPr>
        <w:t xml:space="preserve"> </w:t>
      </w:r>
    </w:p>
    <w:p w14:paraId="0C3EC9C0" w14:textId="77777777" w:rsidR="0078349B" w:rsidRPr="00D1604E" w:rsidRDefault="0078349B" w:rsidP="0078349B">
      <w:pPr>
        <w:spacing w:after="0" w:line="240" w:lineRule="auto"/>
        <w:contextualSpacing/>
        <w:jc w:val="both"/>
        <w:rPr>
          <w:rFonts w:ascii="Arial" w:eastAsia="Calibri" w:hAnsi="Arial" w:cs="Arial"/>
          <w:sz w:val="20"/>
          <w:szCs w:val="20"/>
          <w:lang w:val="es-ES_tradnl"/>
        </w:rPr>
      </w:pPr>
    </w:p>
    <w:p w14:paraId="5FCE9082" w14:textId="77777777" w:rsidR="0078349B" w:rsidRPr="00D1604E" w:rsidRDefault="0078349B" w:rsidP="0078349B">
      <w:pPr>
        <w:spacing w:after="0" w:line="240" w:lineRule="auto"/>
        <w:contextualSpacing/>
        <w:jc w:val="both"/>
        <w:rPr>
          <w:rFonts w:ascii="Arial" w:eastAsia="Calibri" w:hAnsi="Arial" w:cs="Arial"/>
          <w:sz w:val="20"/>
          <w:szCs w:val="20"/>
          <w:lang w:val="es-ES_tradnl"/>
        </w:rPr>
      </w:pPr>
      <w:r w:rsidRPr="00D1604E">
        <w:rPr>
          <w:rFonts w:ascii="Arial" w:eastAsia="Calibri" w:hAnsi="Arial" w:cs="Arial"/>
          <w:sz w:val="20"/>
          <w:szCs w:val="20"/>
          <w:lang w:val="es-ES_tradnl"/>
        </w:rPr>
        <w:t xml:space="preserve">Por un lado, el artículo 33 de la Ley 996 de 2005 prohíbe </w:t>
      </w:r>
      <w:r w:rsidRPr="00D1604E">
        <w:rPr>
          <w:rFonts w:ascii="Arial" w:eastAsia="Calibri" w:hAnsi="Arial" w:cs="Arial"/>
          <w:bCs/>
          <w:sz w:val="20"/>
          <w:szCs w:val="20"/>
          <w:lang w:val="es-ES_tradnl"/>
        </w:rPr>
        <w:t xml:space="preserve">«[…] </w:t>
      </w:r>
      <w:r w:rsidRPr="00D1604E">
        <w:rPr>
          <w:rFonts w:ascii="Arial" w:eastAsia="Calibri" w:hAnsi="Arial" w:cs="Arial"/>
          <w:sz w:val="20"/>
          <w:szCs w:val="20"/>
          <w:lang w:val="es-ES_tradnl"/>
        </w:rPr>
        <w:t>la contratación directa por parte de todos los entes del Estado</w:t>
      </w:r>
      <w:r w:rsidRPr="00D1604E">
        <w:rPr>
          <w:rFonts w:ascii="Arial" w:eastAsia="Calibri" w:hAnsi="Arial" w:cs="Arial"/>
          <w:bCs/>
          <w:sz w:val="20"/>
          <w:szCs w:val="20"/>
          <w:lang w:val="es-ES_tradnl"/>
        </w:rPr>
        <w:t>»</w:t>
      </w:r>
      <w:r w:rsidRPr="00D1604E">
        <w:rPr>
          <w:rFonts w:ascii="Arial" w:eastAsia="Calibri" w:hAnsi="Arial" w:cs="Arial"/>
          <w:sz w:val="20"/>
          <w:szCs w:val="20"/>
          <w:lang w:val="es-ES_tradnl"/>
        </w:rPr>
        <w:t xml:space="preserve"> durante los cuatro (4) meses anteriores a las elecciones presidenciales, salvo </w:t>
      </w:r>
      <w:r w:rsidRPr="00D1604E">
        <w:rPr>
          <w:rFonts w:ascii="Arial" w:eastAsia="Calibri" w:hAnsi="Arial" w:cs="Arial"/>
          <w:bCs/>
          <w:sz w:val="20"/>
          <w:szCs w:val="20"/>
          <w:lang w:val="es-ES_tradnl"/>
        </w:rPr>
        <w:t xml:space="preserve">«[…] </w:t>
      </w:r>
      <w:r w:rsidRPr="00D1604E">
        <w:rPr>
          <w:rFonts w:ascii="Arial" w:eastAsia="Calibri" w:hAnsi="Arial" w:cs="Arial"/>
          <w:sz w:val="20"/>
          <w:szCs w:val="20"/>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1604E">
        <w:rPr>
          <w:rFonts w:ascii="Arial" w:eastAsia="Calibri" w:hAnsi="Arial" w:cs="Arial"/>
          <w:bCs/>
          <w:sz w:val="20"/>
          <w:szCs w:val="20"/>
          <w:lang w:val="es-ES_tradnl"/>
        </w:rPr>
        <w:t>»</w:t>
      </w:r>
      <w:r w:rsidRPr="00D1604E">
        <w:rPr>
          <w:rFonts w:ascii="Arial" w:eastAsia="Calibri" w:hAnsi="Arial" w:cs="Arial"/>
          <w:sz w:val="20"/>
          <w:szCs w:val="20"/>
          <w:lang w:val="es-ES_tradnl"/>
        </w:rPr>
        <w:t>.</w:t>
      </w:r>
    </w:p>
    <w:p w14:paraId="128AB4B1" w14:textId="77777777" w:rsidR="0078349B" w:rsidRPr="00D1604E" w:rsidRDefault="0078349B" w:rsidP="0078349B">
      <w:pPr>
        <w:tabs>
          <w:tab w:val="left" w:pos="426"/>
        </w:tabs>
        <w:spacing w:after="0" w:line="240" w:lineRule="auto"/>
        <w:contextualSpacing/>
        <w:jc w:val="both"/>
        <w:rPr>
          <w:rFonts w:ascii="Arial" w:eastAsia="Calibri" w:hAnsi="Arial" w:cs="Arial"/>
          <w:b/>
          <w:bCs/>
          <w:sz w:val="20"/>
          <w:szCs w:val="20"/>
          <w:lang w:val="es-ES_tradnl"/>
        </w:rPr>
      </w:pPr>
      <w:r w:rsidRPr="00D1604E">
        <w:rPr>
          <w:rFonts w:ascii="Arial" w:eastAsia="Calibri" w:hAnsi="Arial" w:cs="Arial"/>
          <w:sz w:val="20"/>
          <w:szCs w:val="20"/>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D1604E">
        <w:rPr>
          <w:rFonts w:ascii="Arial" w:eastAsia="Calibri" w:hAnsi="Arial" w:cs="Arial"/>
          <w:bCs/>
          <w:sz w:val="20"/>
          <w:szCs w:val="20"/>
          <w:lang w:val="es-ES_tradnl"/>
        </w:rPr>
        <w:t xml:space="preserve">«[…] </w:t>
      </w:r>
      <w:r w:rsidRPr="00D1604E">
        <w:rPr>
          <w:rFonts w:ascii="Arial" w:eastAsia="Calibri" w:hAnsi="Arial" w:cs="Arial"/>
          <w:sz w:val="20"/>
          <w:szCs w:val="20"/>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1604E">
        <w:rPr>
          <w:rFonts w:ascii="Arial" w:eastAsia="Calibri" w:hAnsi="Arial" w:cs="Arial"/>
          <w:bCs/>
          <w:sz w:val="20"/>
          <w:szCs w:val="20"/>
          <w:lang w:val="es-ES_tradnl"/>
        </w:rPr>
        <w:t>»</w:t>
      </w:r>
      <w:r w:rsidRPr="00D1604E">
        <w:rPr>
          <w:rFonts w:ascii="Arial" w:eastAsia="Arial" w:hAnsi="Arial" w:cs="Arial"/>
          <w:sz w:val="20"/>
          <w:szCs w:val="20"/>
          <w:lang w:val="es-ES_tradnl" w:eastAsia="es-ES" w:bidi="es-ES"/>
        </w:rPr>
        <w:t xml:space="preserve"> […] </w:t>
      </w:r>
    </w:p>
    <w:p w14:paraId="6E42A3D8" w14:textId="77777777" w:rsidR="0078349B" w:rsidRPr="00D1604E" w:rsidRDefault="0078349B" w:rsidP="0078349B">
      <w:pPr>
        <w:spacing w:after="0" w:line="240" w:lineRule="auto"/>
        <w:contextualSpacing/>
        <w:jc w:val="both"/>
        <w:rPr>
          <w:rFonts w:ascii="Arial" w:eastAsia="Arial" w:hAnsi="Arial" w:cs="Arial"/>
          <w:sz w:val="20"/>
          <w:szCs w:val="20"/>
          <w:lang w:val="es-ES_tradnl" w:eastAsia="es-ES" w:bidi="es-ES"/>
        </w:rPr>
      </w:pPr>
    </w:p>
    <w:p w14:paraId="0D94827E" w14:textId="77777777" w:rsidR="0078349B" w:rsidRPr="00D1604E" w:rsidRDefault="0078349B" w:rsidP="0078349B">
      <w:pPr>
        <w:tabs>
          <w:tab w:val="left" w:pos="426"/>
        </w:tabs>
        <w:spacing w:after="0" w:line="240" w:lineRule="auto"/>
        <w:contextualSpacing/>
        <w:jc w:val="both"/>
        <w:rPr>
          <w:rFonts w:ascii="Arial" w:eastAsia="Calibri" w:hAnsi="Arial" w:cs="Arial"/>
          <w:b/>
          <w:bCs/>
          <w:lang w:val="es-ES_tradnl"/>
        </w:rPr>
      </w:pPr>
      <w:r w:rsidRPr="00D1604E">
        <w:rPr>
          <w:rFonts w:ascii="Arial" w:eastAsia="Calibri" w:hAnsi="Arial" w:cs="Arial"/>
          <w:b/>
          <w:bCs/>
          <w:color w:val="000000" w:themeColor="text1"/>
          <w:lang w:val="es-ES_tradnl"/>
        </w:rPr>
        <w:t xml:space="preserve">LEY DE GARANTÍAS ELECTORALES </w:t>
      </w:r>
      <w:r w:rsidRPr="00D1604E">
        <w:rPr>
          <w:rFonts w:ascii="Arial" w:eastAsia="Calibri" w:hAnsi="Arial" w:cs="Arial"/>
          <w:b/>
          <w:bCs/>
          <w:lang w:val="es-ES_tradnl"/>
        </w:rPr>
        <w:t>─</w:t>
      </w:r>
      <w:r>
        <w:rPr>
          <w:rFonts w:ascii="Arial" w:eastAsia="Calibri" w:hAnsi="Arial" w:cs="Arial"/>
          <w:b/>
          <w:bCs/>
          <w:lang w:val="es-ES_tradnl"/>
        </w:rPr>
        <w:t xml:space="preserve"> </w:t>
      </w:r>
      <w:r>
        <w:rPr>
          <w:rFonts w:ascii="Arial" w:eastAsia="Calibri" w:hAnsi="Arial" w:cs="Arial"/>
          <w:b/>
          <w:bCs/>
          <w:color w:val="000000" w:themeColor="text1"/>
          <w:lang w:val="es-ES_tradnl"/>
        </w:rPr>
        <w:t xml:space="preserve">Artículo 33 </w:t>
      </w:r>
      <w:r w:rsidRPr="00D1604E">
        <w:rPr>
          <w:rFonts w:ascii="Arial" w:eastAsia="Calibri" w:hAnsi="Arial" w:cs="Arial"/>
          <w:b/>
          <w:bCs/>
          <w:lang w:val="es-ES_tradnl"/>
        </w:rPr>
        <w:t xml:space="preserve">─ Prohibición ─ </w:t>
      </w:r>
      <w:bookmarkEnd w:id="0"/>
      <w:r w:rsidRPr="00D1604E">
        <w:rPr>
          <w:rFonts w:ascii="Arial" w:eastAsia="Calibri" w:hAnsi="Arial" w:cs="Arial"/>
          <w:b/>
          <w:bCs/>
          <w:lang w:val="es-ES_tradnl"/>
        </w:rPr>
        <w:t>Contratación directa ─ Alcance</w:t>
      </w:r>
    </w:p>
    <w:p w14:paraId="155EDA57" w14:textId="77777777" w:rsidR="0078349B" w:rsidRPr="00D1604E" w:rsidRDefault="0078349B" w:rsidP="0078349B">
      <w:pPr>
        <w:tabs>
          <w:tab w:val="left" w:pos="426"/>
        </w:tabs>
        <w:spacing w:after="0" w:line="240" w:lineRule="auto"/>
        <w:contextualSpacing/>
        <w:jc w:val="both"/>
        <w:rPr>
          <w:rFonts w:ascii="Arial" w:eastAsia="Calibri" w:hAnsi="Arial" w:cs="Arial"/>
          <w:noProof/>
          <w:sz w:val="20"/>
          <w:szCs w:val="20"/>
          <w:lang w:val="es-ES_tradnl"/>
        </w:rPr>
      </w:pPr>
    </w:p>
    <w:p w14:paraId="72EB08C7"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sz w:val="20"/>
          <w:szCs w:val="20"/>
          <w:lang w:val="es-ES_tradnl" w:eastAsia="x-none"/>
        </w:rPr>
      </w:pPr>
      <w:r w:rsidRPr="00D1604E">
        <w:rPr>
          <w:rFonts w:ascii="Arial" w:eastAsia="Calibri" w:hAnsi="Arial" w:cs="Arial"/>
          <w:noProof/>
          <w:sz w:val="20"/>
          <w:szCs w:val="20"/>
          <w:lang w:val="es-ES_tradnl"/>
        </w:rPr>
        <w:t xml:space="preserve">[…] </w:t>
      </w:r>
      <w:r w:rsidRPr="00D1604E">
        <w:rPr>
          <w:rFonts w:ascii="Arial" w:hAnsi="Arial" w:cs="Arial"/>
          <w:bCs/>
          <w:color w:val="000000" w:themeColor="text1"/>
          <w:sz w:val="20"/>
          <w:szCs w:val="20"/>
          <w:lang w:val="es-ES_tradnl" w:eastAsia="x-none"/>
        </w:rPr>
        <w:t xml:space="preserve">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14:paraId="3DBCBDF1"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sz w:val="20"/>
          <w:szCs w:val="20"/>
          <w:lang w:val="es-ES_tradnl" w:eastAsia="x-none"/>
        </w:rPr>
      </w:pPr>
    </w:p>
    <w:p w14:paraId="0CCFA5F0"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lang w:val="es-ES_tradnl" w:eastAsia="x-none"/>
        </w:rPr>
      </w:pPr>
      <w:r w:rsidRPr="00D1604E">
        <w:rPr>
          <w:rFonts w:ascii="Arial" w:eastAsia="Calibri" w:hAnsi="Arial" w:cs="Arial"/>
          <w:b/>
          <w:bCs/>
          <w:color w:val="000000" w:themeColor="text1"/>
          <w:lang w:val="es-ES_tradnl"/>
        </w:rPr>
        <w:t xml:space="preserve">LEY DE GARANTÍAS ELECTORALES </w:t>
      </w:r>
      <w:r w:rsidRPr="00D1604E">
        <w:rPr>
          <w:rFonts w:ascii="Arial" w:eastAsia="Calibri" w:hAnsi="Arial" w:cs="Arial"/>
          <w:b/>
          <w:bCs/>
          <w:lang w:val="es-ES_tradnl"/>
        </w:rPr>
        <w:t>─</w:t>
      </w:r>
      <w:r w:rsidRPr="00D1604E">
        <w:rPr>
          <w:rFonts w:ascii="Arial" w:eastAsia="Times New Roman" w:hAnsi="Arial" w:cs="Arial"/>
          <w:b/>
          <w:bCs/>
          <w:lang w:val="es-ES_tradnl" w:eastAsia="es-CO"/>
        </w:rPr>
        <w:t xml:space="preserve"> </w:t>
      </w:r>
      <w:r>
        <w:rPr>
          <w:rFonts w:ascii="Arial" w:eastAsia="Calibri" w:hAnsi="Arial" w:cs="Arial"/>
          <w:b/>
          <w:bCs/>
          <w:color w:val="000000" w:themeColor="text1"/>
          <w:lang w:val="es-ES_tradnl"/>
        </w:rPr>
        <w:t xml:space="preserve">Artículo 33 </w:t>
      </w:r>
      <w:r w:rsidRPr="00D1604E">
        <w:rPr>
          <w:rFonts w:ascii="Arial" w:eastAsia="Calibri" w:hAnsi="Arial" w:cs="Arial"/>
          <w:b/>
          <w:bCs/>
          <w:lang w:val="es-ES_tradnl"/>
        </w:rPr>
        <w:t xml:space="preserve">─ </w:t>
      </w:r>
      <w:r w:rsidRPr="00D1604E">
        <w:rPr>
          <w:rFonts w:ascii="Arial" w:eastAsia="Times New Roman" w:hAnsi="Arial" w:cs="Arial"/>
          <w:b/>
          <w:bCs/>
          <w:lang w:val="es-ES_tradnl" w:eastAsia="es-CO"/>
        </w:rPr>
        <w:t>Excepciones</w:t>
      </w:r>
      <w:r w:rsidRPr="00D1604E">
        <w:rPr>
          <w:rFonts w:ascii="Arial" w:eastAsia="Calibri" w:hAnsi="Arial" w:cs="Arial"/>
          <w:b/>
          <w:bCs/>
          <w:lang w:val="es-ES_tradnl"/>
        </w:rPr>
        <w:t xml:space="preserve"> </w:t>
      </w:r>
    </w:p>
    <w:p w14:paraId="151DA46F"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sz w:val="20"/>
          <w:szCs w:val="20"/>
          <w:lang w:val="es-ES_tradnl" w:eastAsia="x-none"/>
        </w:rPr>
      </w:pPr>
    </w:p>
    <w:p w14:paraId="2D39EB4D" w14:textId="77777777" w:rsidR="0078349B" w:rsidRPr="00D1604E" w:rsidRDefault="0078349B" w:rsidP="0078349B">
      <w:pPr>
        <w:spacing w:after="0" w:line="240" w:lineRule="auto"/>
        <w:contextualSpacing/>
        <w:jc w:val="both"/>
        <w:rPr>
          <w:rFonts w:ascii="Arial" w:hAnsi="Arial" w:cs="Arial"/>
          <w:bCs/>
          <w:color w:val="000000" w:themeColor="text1"/>
          <w:sz w:val="20"/>
          <w:szCs w:val="20"/>
          <w:lang w:val="es-ES_tradnl" w:eastAsia="es-CO"/>
        </w:rPr>
      </w:pPr>
      <w:r w:rsidRPr="00D1604E">
        <w:rPr>
          <w:rFonts w:ascii="Arial" w:hAnsi="Arial" w:cs="Arial"/>
          <w:bCs/>
          <w:color w:val="000000" w:themeColor="text1"/>
          <w:sz w:val="20"/>
          <w:szCs w:val="20"/>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D1604E">
        <w:rPr>
          <w:rFonts w:ascii="Arial" w:hAnsi="Arial" w:cs="Arial"/>
          <w:bCs/>
          <w:color w:val="000000" w:themeColor="text1"/>
          <w:sz w:val="20"/>
          <w:szCs w:val="20"/>
          <w:lang w:val="es-ES_tradnl" w:eastAsia="x-none"/>
        </w:rPr>
        <w:t>ii</w:t>
      </w:r>
      <w:proofErr w:type="spellEnd"/>
      <w:r w:rsidRPr="00D1604E">
        <w:rPr>
          <w:rFonts w:ascii="Arial" w:hAnsi="Arial" w:cs="Arial"/>
          <w:bCs/>
          <w:color w:val="000000" w:themeColor="text1"/>
          <w:sz w:val="20"/>
          <w:szCs w:val="20"/>
          <w:lang w:val="es-ES_tradnl" w:eastAsia="x-none"/>
        </w:rPr>
        <w:t xml:space="preserve">) los contratos de crédito público; </w:t>
      </w:r>
      <w:proofErr w:type="spellStart"/>
      <w:r w:rsidRPr="00D1604E">
        <w:rPr>
          <w:rFonts w:ascii="Arial" w:hAnsi="Arial" w:cs="Arial"/>
          <w:bCs/>
          <w:color w:val="000000" w:themeColor="text1"/>
          <w:sz w:val="20"/>
          <w:szCs w:val="20"/>
          <w:lang w:val="es-ES_tradnl" w:eastAsia="x-none"/>
        </w:rPr>
        <w:t>iii</w:t>
      </w:r>
      <w:proofErr w:type="spellEnd"/>
      <w:r w:rsidRPr="00D1604E">
        <w:rPr>
          <w:rFonts w:ascii="Arial" w:hAnsi="Arial" w:cs="Arial"/>
          <w:bCs/>
          <w:color w:val="000000" w:themeColor="text1"/>
          <w:sz w:val="20"/>
          <w:szCs w:val="20"/>
          <w:lang w:val="es-ES_tradnl" w:eastAsia="x-none"/>
        </w:rPr>
        <w:t xml:space="preserve">) los requeridos para cubrir las emergencias educativas, sanitarias y desastres; </w:t>
      </w:r>
      <w:proofErr w:type="spellStart"/>
      <w:r w:rsidRPr="00D1604E">
        <w:rPr>
          <w:rFonts w:ascii="Arial" w:hAnsi="Arial" w:cs="Arial"/>
          <w:bCs/>
          <w:color w:val="000000" w:themeColor="text1"/>
          <w:sz w:val="20"/>
          <w:szCs w:val="20"/>
          <w:lang w:val="es-ES_tradnl" w:eastAsia="x-none"/>
        </w:rPr>
        <w:t>iv</w:t>
      </w:r>
      <w:proofErr w:type="spellEnd"/>
      <w:r w:rsidRPr="00D1604E">
        <w:rPr>
          <w:rFonts w:ascii="Arial" w:hAnsi="Arial" w:cs="Arial"/>
          <w:bCs/>
          <w:color w:val="000000" w:themeColor="text1"/>
          <w:sz w:val="20"/>
          <w:szCs w:val="20"/>
          <w:lang w:val="es-ES_tradnl" w:eastAsia="x-none"/>
        </w:rPr>
        <w:t xml:space="preserve">) los utilizados para la reconstrucción de vías, puentes, carreteras, infraestructura energética y de comunicaciones, en caso de que hayan sido objeto de atentados, acciones terroristas, </w:t>
      </w:r>
      <w:r w:rsidRPr="00D1604E">
        <w:rPr>
          <w:rFonts w:ascii="Arial" w:hAnsi="Arial" w:cs="Arial"/>
          <w:bCs/>
          <w:color w:val="000000" w:themeColor="text1"/>
          <w:sz w:val="20"/>
          <w:szCs w:val="20"/>
          <w:lang w:val="es-ES_tradnl" w:eastAsia="x-none"/>
        </w:rPr>
        <w:lastRenderedPageBreak/>
        <w:t>desastres naturales o casos de fuerza mayor; y, v) los que deban realizar las entidades sanitarias y hospitalarias.</w:t>
      </w:r>
      <w:r w:rsidRPr="00D1604E">
        <w:rPr>
          <w:rFonts w:ascii="Arial" w:hAnsi="Arial" w:cs="Arial"/>
          <w:bCs/>
          <w:color w:val="000000" w:themeColor="text1"/>
          <w:sz w:val="20"/>
          <w:szCs w:val="20"/>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204AC8F" w14:textId="77777777" w:rsidR="0078349B" w:rsidRDefault="0078349B" w:rsidP="0078349B">
      <w:pPr>
        <w:tabs>
          <w:tab w:val="left" w:pos="426"/>
        </w:tabs>
        <w:spacing w:after="0" w:line="240" w:lineRule="auto"/>
        <w:contextualSpacing/>
        <w:jc w:val="both"/>
        <w:rPr>
          <w:rFonts w:ascii="Arial" w:eastAsia="Calibri" w:hAnsi="Arial" w:cs="Arial"/>
          <w:b/>
          <w:bCs/>
          <w:color w:val="000000" w:themeColor="text1"/>
          <w:sz w:val="20"/>
          <w:szCs w:val="20"/>
          <w:lang w:val="es-ES_tradnl"/>
        </w:rPr>
      </w:pPr>
    </w:p>
    <w:p w14:paraId="285CBDA5" w14:textId="77777777" w:rsidR="0078349B" w:rsidRPr="00D1604E" w:rsidRDefault="0078349B" w:rsidP="0078349B">
      <w:pPr>
        <w:tabs>
          <w:tab w:val="left" w:pos="426"/>
        </w:tabs>
        <w:spacing w:after="0" w:line="240" w:lineRule="auto"/>
        <w:contextualSpacing/>
        <w:jc w:val="both"/>
        <w:rPr>
          <w:rFonts w:ascii="Arial" w:eastAsia="Calibri" w:hAnsi="Arial" w:cs="Arial"/>
          <w:noProof/>
          <w:lang w:val="es-ES_tradnl"/>
        </w:rPr>
      </w:pPr>
      <w:r w:rsidRPr="00D1604E">
        <w:rPr>
          <w:rFonts w:ascii="Arial" w:eastAsia="Calibri" w:hAnsi="Arial" w:cs="Arial"/>
          <w:b/>
          <w:bCs/>
          <w:color w:val="000000" w:themeColor="text1"/>
          <w:lang w:val="es-ES_tradnl"/>
        </w:rPr>
        <w:t xml:space="preserve">LEY DE GARANTÍAS ELECTORALES </w:t>
      </w:r>
      <w:r w:rsidRPr="00D1604E">
        <w:rPr>
          <w:rFonts w:ascii="Arial" w:eastAsia="Calibri" w:hAnsi="Arial" w:cs="Arial"/>
          <w:b/>
          <w:bCs/>
          <w:lang w:val="es-ES_tradnl"/>
        </w:rPr>
        <w:t>─</w:t>
      </w:r>
      <w:r w:rsidRPr="00D1604E">
        <w:rPr>
          <w:rFonts w:ascii="Arial" w:eastAsia="Times New Roman" w:hAnsi="Arial" w:cs="Arial"/>
          <w:b/>
          <w:bCs/>
          <w:lang w:val="es-ES_tradnl" w:eastAsia="es-CO"/>
        </w:rPr>
        <w:t xml:space="preserve"> </w:t>
      </w:r>
      <w:r>
        <w:rPr>
          <w:rFonts w:ascii="Arial" w:eastAsia="Calibri" w:hAnsi="Arial" w:cs="Arial"/>
          <w:b/>
          <w:bCs/>
          <w:color w:val="000000" w:themeColor="text1"/>
          <w:lang w:val="es-ES_tradnl"/>
        </w:rPr>
        <w:t xml:space="preserve">Artículo 33 </w:t>
      </w:r>
      <w:r w:rsidRPr="00D1604E">
        <w:rPr>
          <w:rFonts w:ascii="Arial" w:eastAsia="Calibri" w:hAnsi="Arial" w:cs="Arial"/>
          <w:b/>
          <w:bCs/>
          <w:lang w:val="es-ES_tradnl"/>
        </w:rPr>
        <w:t>─ Destinatarios</w:t>
      </w:r>
    </w:p>
    <w:p w14:paraId="08E438AA" w14:textId="77777777" w:rsidR="0078349B" w:rsidRPr="00D1604E" w:rsidRDefault="0078349B" w:rsidP="0078349B">
      <w:pPr>
        <w:tabs>
          <w:tab w:val="left" w:pos="426"/>
        </w:tabs>
        <w:spacing w:after="0" w:line="240" w:lineRule="auto"/>
        <w:contextualSpacing/>
        <w:jc w:val="both"/>
        <w:rPr>
          <w:rFonts w:ascii="Arial" w:eastAsia="Calibri" w:hAnsi="Arial" w:cs="Arial"/>
          <w:noProof/>
          <w:sz w:val="20"/>
          <w:szCs w:val="20"/>
          <w:lang w:val="es-ES_tradnl"/>
        </w:rPr>
      </w:pPr>
    </w:p>
    <w:p w14:paraId="365E7D71"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sz w:val="20"/>
          <w:szCs w:val="20"/>
          <w:lang w:val="es-ES_tradnl" w:eastAsia="x-none"/>
        </w:rPr>
      </w:pPr>
      <w:r w:rsidRPr="00D1604E">
        <w:rPr>
          <w:rFonts w:ascii="Arial" w:eastAsia="Calibri" w:hAnsi="Arial" w:cs="Arial"/>
          <w:noProof/>
          <w:sz w:val="20"/>
          <w:szCs w:val="20"/>
          <w:lang w:val="es-ES_tradnl"/>
        </w:rPr>
        <w:t xml:space="preserve">[…] </w:t>
      </w:r>
      <w:r w:rsidRPr="00D1604E">
        <w:rPr>
          <w:rFonts w:ascii="Arial" w:hAnsi="Arial" w:cs="Arial"/>
          <w:bCs/>
          <w:color w:val="000000" w:themeColor="text1"/>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1604E">
        <w:rPr>
          <w:rFonts w:ascii="Arial" w:hAnsi="Arial" w:cs="Arial"/>
          <w:color w:val="000000" w:themeColor="text1"/>
          <w:sz w:val="20"/>
          <w:szCs w:val="20"/>
          <w:lang w:val="es-ES_tradnl"/>
        </w:rPr>
        <w:t xml:space="preserve"> </w:t>
      </w:r>
      <w:r w:rsidRPr="00D1604E">
        <w:rPr>
          <w:rFonts w:ascii="Arial" w:hAnsi="Arial" w:cs="Arial"/>
          <w:bCs/>
          <w:color w:val="000000" w:themeColor="text1"/>
          <w:sz w:val="20"/>
          <w:szCs w:val="20"/>
          <w:lang w:val="es-ES_tradnl" w:eastAsia="x-none"/>
        </w:rPr>
        <w:t>En efecto, tal como lo ha sostenido el Consejo de Estado, el vocablo «todos» utilizado por el legislador comprende</w:t>
      </w:r>
      <w:r w:rsidRPr="00D1604E">
        <w:rPr>
          <w:rFonts w:ascii="Arial" w:hAnsi="Arial" w:cs="Arial"/>
          <w:color w:val="000000" w:themeColor="text1"/>
          <w:sz w:val="20"/>
          <w:szCs w:val="20"/>
          <w:lang w:val="es-ES_tradnl"/>
        </w:rPr>
        <w:t xml:space="preserve"> </w:t>
      </w:r>
      <w:r w:rsidRPr="00D1604E">
        <w:rPr>
          <w:rFonts w:ascii="Arial" w:hAnsi="Arial" w:cs="Arial"/>
          <w:bCs/>
          <w:color w:val="000000" w:themeColor="text1"/>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1FF2DEB"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sz w:val="20"/>
          <w:szCs w:val="20"/>
          <w:lang w:val="es-ES_tradnl" w:eastAsia="x-none"/>
        </w:rPr>
      </w:pPr>
    </w:p>
    <w:p w14:paraId="1591705B"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lang w:val="es-ES_tradnl" w:eastAsia="x-none"/>
        </w:rPr>
      </w:pPr>
      <w:r w:rsidRPr="00D1604E">
        <w:rPr>
          <w:rFonts w:ascii="Arial" w:eastAsia="Calibri" w:hAnsi="Arial" w:cs="Arial"/>
          <w:b/>
          <w:lang w:val="es-MX"/>
        </w:rPr>
        <w:t xml:space="preserve">LEY DE GARANTÍAS ELECTORALES </w:t>
      </w:r>
      <w:r w:rsidRPr="00D1604E">
        <w:rPr>
          <w:rFonts w:ascii="Arial" w:eastAsia="Calibri" w:hAnsi="Arial" w:cs="Arial"/>
          <w:b/>
          <w:bCs/>
          <w:lang w:val="es-ES_tradnl"/>
        </w:rPr>
        <w:t>─</w:t>
      </w:r>
      <w:r w:rsidRPr="00D1604E">
        <w:rPr>
          <w:rFonts w:ascii="Arial" w:eastAsia="Calibri" w:hAnsi="Arial" w:cs="Arial"/>
          <w:b/>
          <w:lang w:val="es-MX"/>
        </w:rPr>
        <w:t xml:space="preserve"> </w:t>
      </w:r>
      <w:r w:rsidRPr="00D1604E">
        <w:rPr>
          <w:rFonts w:ascii="Arial" w:hAnsi="Arial" w:cs="Arial"/>
          <w:b/>
          <w:bCs/>
          <w:lang w:val="es-MX" w:eastAsia="es-CO"/>
        </w:rPr>
        <w:t xml:space="preserve">Contratos y convenios interadministrativos </w:t>
      </w:r>
      <w:r w:rsidRPr="00D1604E">
        <w:rPr>
          <w:rFonts w:ascii="Arial" w:eastAsia="Calibri" w:hAnsi="Arial" w:cs="Arial"/>
          <w:b/>
          <w:bCs/>
          <w:lang w:val="es-ES_tradnl"/>
        </w:rPr>
        <w:t xml:space="preserve">─ Prohibición </w:t>
      </w:r>
    </w:p>
    <w:p w14:paraId="079020B0" w14:textId="77777777" w:rsidR="0078349B" w:rsidRPr="00D1604E" w:rsidRDefault="0078349B" w:rsidP="0078349B">
      <w:pPr>
        <w:tabs>
          <w:tab w:val="left" w:pos="426"/>
        </w:tabs>
        <w:spacing w:after="0" w:line="240" w:lineRule="auto"/>
        <w:contextualSpacing/>
        <w:jc w:val="both"/>
        <w:rPr>
          <w:rFonts w:ascii="Arial" w:hAnsi="Arial" w:cs="Arial"/>
          <w:bCs/>
          <w:color w:val="000000" w:themeColor="text1"/>
          <w:sz w:val="20"/>
          <w:szCs w:val="20"/>
          <w:lang w:val="es-ES_tradnl" w:eastAsia="x-none"/>
        </w:rPr>
      </w:pPr>
    </w:p>
    <w:p w14:paraId="3F42BA4F" w14:textId="77777777" w:rsidR="0078349B" w:rsidRPr="00D1604E" w:rsidRDefault="0078349B" w:rsidP="0078349B">
      <w:pPr>
        <w:shd w:val="clear" w:color="auto" w:fill="FFFFFF" w:themeFill="background1"/>
        <w:tabs>
          <w:tab w:val="left" w:pos="426"/>
        </w:tabs>
        <w:spacing w:after="0" w:line="240" w:lineRule="auto"/>
        <w:contextualSpacing/>
        <w:jc w:val="both"/>
        <w:rPr>
          <w:rFonts w:ascii="Arial" w:eastAsia="Arial" w:hAnsi="Arial" w:cs="Arial"/>
          <w:sz w:val="20"/>
          <w:szCs w:val="20"/>
          <w:lang w:val="es-ES" w:eastAsia="es-ES" w:bidi="es-ES"/>
        </w:rPr>
      </w:pPr>
      <w:r w:rsidRPr="00D1604E">
        <w:rPr>
          <w:rFonts w:ascii="Arial" w:hAnsi="Arial" w:cs="Arial"/>
          <w:bCs/>
          <w:color w:val="000000" w:themeColor="text1"/>
          <w:sz w:val="20"/>
          <w:szCs w:val="20"/>
          <w:lang w:val="es-ES_tradnl" w:eastAsia="x-none"/>
        </w:rPr>
        <w:t xml:space="preserve">[…] </w:t>
      </w:r>
      <w:r w:rsidRPr="00D1604E">
        <w:rPr>
          <w:rFonts w:ascii="Arial" w:eastAsia="Arial" w:hAnsi="Arial" w:cs="Arial"/>
          <w:sz w:val="20"/>
          <w:szCs w:val="20"/>
          <w:lang w:val="es-ES" w:eastAsia="es-ES" w:bidi="es-ES"/>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4 meses anteriores a los comicios de cargos de elección popular. De esta manera, solo si una de las partes de la relación contractual es una entidad de aquellas descritas en el parágrafo ibidem, no se podrán celebrar tales convenios o contratos mientras rija la restricción del parágrafo indiciado, toda vez que la citada disposición hace referencia a dicha tipología contractual –contratos o convenios interadministrativos–, sin que el legislador hubiere contemplado excepción alguna frente a la modalidad de selección o naturaleza de su objeto. </w:t>
      </w:r>
    </w:p>
    <w:p w14:paraId="7DF22F47" w14:textId="77777777" w:rsidR="0078349B" w:rsidRPr="00D1604E" w:rsidRDefault="0078349B" w:rsidP="0078349B">
      <w:pPr>
        <w:shd w:val="clear" w:color="auto" w:fill="FFFFFF" w:themeFill="background1"/>
        <w:tabs>
          <w:tab w:val="left" w:pos="426"/>
        </w:tabs>
        <w:spacing w:after="0" w:line="240" w:lineRule="auto"/>
        <w:contextualSpacing/>
        <w:jc w:val="both"/>
        <w:rPr>
          <w:rFonts w:ascii="Arial" w:hAnsi="Arial" w:cs="Arial"/>
          <w:bCs/>
          <w:color w:val="000000" w:themeColor="text1"/>
          <w:sz w:val="20"/>
          <w:szCs w:val="20"/>
          <w:lang w:val="es-ES_tradnl" w:eastAsia="x-none"/>
        </w:rPr>
      </w:pPr>
    </w:p>
    <w:p w14:paraId="4F0CBB0A" w14:textId="77777777" w:rsidR="0078349B" w:rsidRPr="00D1604E" w:rsidRDefault="0078349B" w:rsidP="0078349B">
      <w:pPr>
        <w:spacing w:after="0" w:line="240" w:lineRule="auto"/>
        <w:contextualSpacing/>
        <w:jc w:val="both"/>
        <w:rPr>
          <w:rFonts w:ascii="Arial" w:eastAsia="Calibri" w:hAnsi="Arial" w:cs="Arial"/>
          <w:b/>
          <w:bCs/>
          <w:lang w:val="es-MX"/>
        </w:rPr>
      </w:pPr>
      <w:r w:rsidRPr="00D1604E">
        <w:rPr>
          <w:rFonts w:ascii="Arial" w:eastAsia="Calibri" w:hAnsi="Arial" w:cs="Arial"/>
          <w:b/>
          <w:bCs/>
          <w:lang w:val="es-MX"/>
        </w:rPr>
        <w:t>MODIFICACIÓN DE LA LEY 2159 DE 2021 – Ley Anual de Presupuesto – Parágrafo del artículo 38 Ley de Garantías – Transitoriedad</w:t>
      </w:r>
    </w:p>
    <w:p w14:paraId="36705F67" w14:textId="77777777" w:rsidR="0078349B" w:rsidRDefault="0078349B" w:rsidP="0078349B">
      <w:pPr>
        <w:tabs>
          <w:tab w:val="left" w:pos="426"/>
        </w:tabs>
        <w:spacing w:after="0" w:line="240" w:lineRule="auto"/>
        <w:contextualSpacing/>
        <w:jc w:val="both"/>
        <w:rPr>
          <w:rFonts w:ascii="Arial" w:eastAsia="Calibri" w:hAnsi="Arial" w:cs="Arial"/>
          <w:sz w:val="20"/>
          <w:szCs w:val="20"/>
          <w:lang w:val="es-MX"/>
        </w:rPr>
      </w:pPr>
    </w:p>
    <w:p w14:paraId="1008B40F" w14:textId="77777777" w:rsidR="0078349B" w:rsidRPr="00D1604E" w:rsidRDefault="0078349B" w:rsidP="0078349B">
      <w:pPr>
        <w:tabs>
          <w:tab w:val="left" w:pos="426"/>
        </w:tabs>
        <w:spacing w:after="0" w:line="240" w:lineRule="auto"/>
        <w:contextualSpacing/>
        <w:jc w:val="both"/>
        <w:rPr>
          <w:rFonts w:ascii="Arial" w:eastAsia="Arial" w:hAnsi="Arial" w:cs="Arial"/>
          <w:sz w:val="20"/>
          <w:szCs w:val="20"/>
          <w:lang w:val="es-ES" w:eastAsia="es-ES" w:bidi="es-ES"/>
        </w:rPr>
      </w:pPr>
      <w:r w:rsidRPr="00D1604E">
        <w:rPr>
          <w:rFonts w:ascii="Arial" w:eastAsia="Arial" w:hAnsi="Arial" w:cs="Arial"/>
          <w:sz w:val="20"/>
          <w:szCs w:val="20"/>
          <w:lang w:val="es-ES" w:eastAsia="es-ES" w:bidi="es-ES"/>
        </w:rPr>
        <w:t xml:space="preserve">Así mismo, se resalta que este parágrafo fue modificado parcial y transitoriamente por el artículo 124 de la Ley 2159 de 2021, estableciendo una excepción a la prohibición, según la cual a partir de la publicación de dicha ley y durante la vigencia fiscal 2022, la Nación podrá celebrar convenios interadministrativos con las entidades territoriales para ejecutar programas y proyectos correspondientes al Presupuesto General de la Nación. </w:t>
      </w:r>
      <w:r w:rsidRPr="00D1604E">
        <w:rPr>
          <w:rFonts w:ascii="Arial" w:eastAsia="Times New Roman" w:hAnsi="Arial" w:cs="Arial"/>
          <w:bCs/>
          <w:sz w:val="20"/>
          <w:szCs w:val="20"/>
          <w:lang w:val="es-MX" w:eastAsia="es-CO"/>
        </w:rPr>
        <w:t xml:space="preserve">En efecto, la modificación transitoria del artículo 124 de la Ley 2159 de 2021, </w:t>
      </w:r>
      <w:r w:rsidRPr="00D1604E">
        <w:rPr>
          <w:rFonts w:ascii="Arial" w:eastAsia="Times New Roman" w:hAnsi="Arial" w:cs="Arial"/>
          <w:bCs/>
          <w:sz w:val="20"/>
          <w:szCs w:val="20"/>
          <w:lang w:eastAsia="es-CO"/>
        </w:rPr>
        <w:t xml:space="preserve">fijó ciertas condiciones temporales, subjetivas y materiales o teleológicas para la celebración de los convenios interadministrativos: i) que sean celebrados a partir de la publicación de la Ley del Presupuesto en el Diario Oficial y hasta el término de la vigencia fiscal 2022, </w:t>
      </w:r>
      <w:proofErr w:type="spellStart"/>
      <w:r w:rsidRPr="00D1604E">
        <w:rPr>
          <w:rFonts w:ascii="Arial" w:eastAsia="Times New Roman" w:hAnsi="Arial" w:cs="Arial"/>
          <w:bCs/>
          <w:sz w:val="20"/>
          <w:szCs w:val="20"/>
          <w:lang w:eastAsia="es-CO"/>
        </w:rPr>
        <w:t>ii</w:t>
      </w:r>
      <w:proofErr w:type="spellEnd"/>
      <w:r w:rsidRPr="00D1604E">
        <w:rPr>
          <w:rFonts w:ascii="Arial" w:eastAsia="Times New Roman" w:hAnsi="Arial" w:cs="Arial"/>
          <w:bCs/>
          <w:sz w:val="20"/>
          <w:szCs w:val="20"/>
          <w:lang w:eastAsia="es-CO"/>
        </w:rPr>
        <w:t xml:space="preserve">) que sean celebrados entre la Nación, por una parte, y las entidades territoriales, por otra, y </w:t>
      </w:r>
      <w:proofErr w:type="spellStart"/>
      <w:r w:rsidRPr="00D1604E">
        <w:rPr>
          <w:rFonts w:ascii="Arial" w:eastAsia="Times New Roman" w:hAnsi="Arial" w:cs="Arial"/>
          <w:bCs/>
          <w:sz w:val="20"/>
          <w:szCs w:val="20"/>
          <w:lang w:eastAsia="es-CO"/>
        </w:rPr>
        <w:t>iii</w:t>
      </w:r>
      <w:proofErr w:type="spellEnd"/>
      <w:r w:rsidRPr="00D1604E">
        <w:rPr>
          <w:rFonts w:ascii="Arial" w:eastAsia="Times New Roman" w:hAnsi="Arial" w:cs="Arial"/>
          <w:bCs/>
          <w:sz w:val="20"/>
          <w:szCs w:val="20"/>
          <w:lang w:eastAsia="es-CO"/>
        </w:rPr>
        <w:t>) que los convenios sean celebrados con el fin de ejecutar programas o proyectos que correspondan al Presupuesto General de la Nación</w:t>
      </w:r>
      <w:r w:rsidRPr="00D1604E">
        <w:rPr>
          <w:rFonts w:ascii="Arial" w:eastAsia="Times New Roman" w:hAnsi="Arial" w:cs="Arial"/>
          <w:bCs/>
          <w:sz w:val="20"/>
          <w:szCs w:val="20"/>
          <w:lang w:val="es-MX" w:eastAsia="es-CO"/>
        </w:rPr>
        <w:t>. De acuerdo con esto, a los convenios interadministrativos no relacionados con la ejecución de recursos del Presupuesto General Nacional, les aplicaría la restricción del artículo 38, no estando cobijados por la habilitación transitoria dispuesta en el artículo 124 de la Ley 2159 de 2021, al no cumplirse los mencionados requisitos.</w:t>
      </w:r>
      <w:r w:rsidRPr="00D1604E">
        <w:rPr>
          <w:rFonts w:ascii="Arial" w:eastAsia="Times New Roman" w:hAnsi="Arial" w:cs="Arial"/>
          <w:bCs/>
          <w:sz w:val="20"/>
          <w:szCs w:val="20"/>
          <w:lang w:eastAsia="es-CO"/>
        </w:rPr>
        <w:t> </w:t>
      </w:r>
    </w:p>
    <w:p w14:paraId="38F05B6C" w14:textId="77777777" w:rsidR="0078349B" w:rsidRPr="00D1604E" w:rsidRDefault="0078349B" w:rsidP="0078349B">
      <w:pPr>
        <w:tabs>
          <w:tab w:val="left" w:pos="426"/>
        </w:tabs>
        <w:spacing w:after="0" w:line="240" w:lineRule="auto"/>
        <w:contextualSpacing/>
        <w:jc w:val="both"/>
        <w:rPr>
          <w:rFonts w:ascii="Arial" w:eastAsia="Calibri" w:hAnsi="Arial" w:cs="Arial"/>
          <w:noProof/>
          <w:sz w:val="20"/>
          <w:szCs w:val="20"/>
          <w:lang w:val="es-ES_tradnl"/>
        </w:rPr>
      </w:pPr>
    </w:p>
    <w:p w14:paraId="77F00C02" w14:textId="77777777" w:rsidR="0078349B" w:rsidRPr="00D1604E" w:rsidRDefault="0078349B" w:rsidP="0078349B">
      <w:pPr>
        <w:tabs>
          <w:tab w:val="left" w:pos="426"/>
        </w:tabs>
        <w:spacing w:after="0" w:line="240" w:lineRule="auto"/>
        <w:contextualSpacing/>
        <w:jc w:val="both"/>
        <w:rPr>
          <w:rFonts w:ascii="Arial" w:eastAsia="Calibri" w:hAnsi="Arial" w:cs="Arial"/>
          <w:b/>
          <w:bCs/>
          <w:noProof/>
          <w:lang w:val="es-ES_tradnl"/>
        </w:rPr>
      </w:pPr>
      <w:r w:rsidRPr="00D1604E">
        <w:rPr>
          <w:rFonts w:ascii="Arial" w:eastAsia="Calibri" w:hAnsi="Arial" w:cs="Arial"/>
          <w:b/>
          <w:bCs/>
          <w:noProof/>
          <w:lang w:val="es-ES_tradnl"/>
        </w:rPr>
        <w:t>LEY DE GARANTÍAS – Contratación con ESAL – Aplicación – Restricciones</w:t>
      </w:r>
    </w:p>
    <w:p w14:paraId="4F099765" w14:textId="77777777" w:rsidR="0078349B" w:rsidRPr="00D1604E" w:rsidRDefault="0078349B" w:rsidP="0078349B">
      <w:pPr>
        <w:tabs>
          <w:tab w:val="left" w:pos="426"/>
        </w:tabs>
        <w:spacing w:after="0" w:line="240" w:lineRule="auto"/>
        <w:contextualSpacing/>
        <w:jc w:val="both"/>
        <w:rPr>
          <w:rFonts w:ascii="Arial" w:eastAsia="Calibri" w:hAnsi="Arial" w:cs="Arial"/>
          <w:noProof/>
          <w:sz w:val="20"/>
          <w:szCs w:val="20"/>
          <w:lang w:val="es-ES_tradnl"/>
        </w:rPr>
      </w:pPr>
    </w:p>
    <w:p w14:paraId="3E01E278" w14:textId="77777777" w:rsidR="0078349B" w:rsidRPr="00D1604E" w:rsidRDefault="0078349B" w:rsidP="0078349B">
      <w:pPr>
        <w:spacing w:after="0" w:line="240" w:lineRule="auto"/>
        <w:contextualSpacing/>
        <w:jc w:val="both"/>
        <w:rPr>
          <w:rFonts w:ascii="Arial" w:eastAsia="Calibri" w:hAnsi="Arial" w:cs="Arial"/>
          <w:color w:val="000000"/>
          <w:sz w:val="20"/>
          <w:szCs w:val="20"/>
          <w:lang w:eastAsia="es-ES_tradnl"/>
        </w:rPr>
      </w:pPr>
      <w:r w:rsidRPr="00D1604E">
        <w:rPr>
          <w:rFonts w:ascii="Arial" w:eastAsia="Calibri" w:hAnsi="Arial" w:cs="Arial"/>
          <w:color w:val="000000"/>
          <w:sz w:val="20"/>
          <w:szCs w:val="20"/>
          <w:lang w:eastAsia="es-ES_tradnl"/>
        </w:rPr>
        <w:t>En contraste, la restricción citada no aplicaría a los convenios de asociación que celebren las entidades estatales y las ESAL bajo el procedimiento competitivo,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 Esto es congruente con el numeral 15.4 de la Circular Externa Única de Colombia Compra Eficiente, en el entendido que «Se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p>
    <w:p w14:paraId="17B8E6AE" w14:textId="4C8ABAED" w:rsidR="006F47F2" w:rsidRDefault="006F47F2">
      <w:pPr>
        <w:rPr>
          <w:rFonts w:ascii="Arial" w:eastAsia="Times New Roman" w:hAnsi="Arial" w:cs="Arial"/>
          <w:b/>
          <w:bCs/>
          <w:sz w:val="16"/>
          <w:szCs w:val="16"/>
          <w:lang w:eastAsia="es-ES"/>
        </w:rPr>
      </w:pPr>
      <w:r>
        <w:rPr>
          <w:rFonts w:ascii="Arial" w:eastAsia="Times New Roman" w:hAnsi="Arial" w:cs="Arial"/>
          <w:b/>
          <w:bCs/>
          <w:sz w:val="16"/>
          <w:szCs w:val="16"/>
          <w:lang w:eastAsia="es-ES"/>
        </w:rPr>
        <w:br w:type="page"/>
      </w:r>
    </w:p>
    <w:p w14:paraId="06063767" w14:textId="294AE62D" w:rsidR="00883C23" w:rsidRDefault="00883C23" w:rsidP="003471FF">
      <w:pPr>
        <w:spacing w:after="0" w:line="276" w:lineRule="auto"/>
        <w:contextualSpacing/>
        <w:jc w:val="right"/>
        <w:rPr>
          <w:rFonts w:ascii="Arial" w:eastAsia="Times New Roman" w:hAnsi="Arial" w:cs="Arial"/>
          <w:b/>
          <w:bCs/>
          <w:sz w:val="16"/>
          <w:szCs w:val="16"/>
          <w:lang w:eastAsia="es-ES"/>
        </w:rPr>
      </w:pPr>
      <w:r w:rsidRPr="00CB7E8C">
        <w:rPr>
          <w:rFonts w:ascii="Arial" w:eastAsia="Times New Roman" w:hAnsi="Arial" w:cs="Arial"/>
          <w:b/>
          <w:bCs/>
          <w:sz w:val="16"/>
          <w:szCs w:val="16"/>
          <w:lang w:eastAsia="es-ES"/>
        </w:rPr>
        <w:lastRenderedPageBreak/>
        <w:t>CCE-DES-FM-17</w:t>
      </w:r>
    </w:p>
    <w:p w14:paraId="396D1B2C" w14:textId="29B8441F" w:rsidR="00104E71" w:rsidRDefault="00104E71" w:rsidP="003471FF">
      <w:pPr>
        <w:spacing w:after="0" w:line="276" w:lineRule="auto"/>
        <w:contextualSpacing/>
        <w:jc w:val="right"/>
        <w:rPr>
          <w:rFonts w:ascii="Arial" w:eastAsia="Times New Roman" w:hAnsi="Arial" w:cs="Arial"/>
          <w:b/>
          <w:bCs/>
          <w:sz w:val="16"/>
          <w:szCs w:val="16"/>
          <w:lang w:eastAsia="es-ES"/>
        </w:rPr>
      </w:pPr>
      <w:r>
        <w:rPr>
          <w:noProof/>
        </w:rPr>
        <w:drawing>
          <wp:inline distT="0" distB="0" distL="0" distR="0" wp14:anchorId="1D1A2AA3" wp14:editId="57D35F6E">
            <wp:extent cx="2696796" cy="609214"/>
            <wp:effectExtent l="0" t="0" r="8890" b="635"/>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799453" cy="632404"/>
                    </a:xfrm>
                    <a:prstGeom prst="rect">
                      <a:avLst/>
                    </a:prstGeom>
                  </pic:spPr>
                </pic:pic>
              </a:graphicData>
            </a:graphic>
          </wp:inline>
        </w:drawing>
      </w:r>
    </w:p>
    <w:p w14:paraId="23FCB555" w14:textId="4CAB0893" w:rsidR="003A273F" w:rsidRPr="00CB7E8C" w:rsidRDefault="003A273F" w:rsidP="003471FF">
      <w:pPr>
        <w:spacing w:after="0" w:line="276" w:lineRule="auto"/>
        <w:contextualSpacing/>
        <w:jc w:val="right"/>
        <w:rPr>
          <w:rFonts w:ascii="Arial" w:eastAsia="Calibri" w:hAnsi="Arial" w:cs="Arial"/>
          <w:b/>
          <w:bCs/>
          <w:sz w:val="16"/>
          <w:szCs w:val="16"/>
        </w:rPr>
      </w:pPr>
      <w:r>
        <w:rPr>
          <w:noProof/>
        </w:rPr>
        <w:drawing>
          <wp:inline distT="0" distB="0" distL="0" distR="0" wp14:anchorId="5874D621" wp14:editId="2CB67413">
            <wp:extent cx="2648310" cy="65702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9"/>
                    <a:stretch>
                      <a:fillRect/>
                    </a:stretch>
                  </pic:blipFill>
                  <pic:spPr>
                    <a:xfrm>
                      <a:off x="0" y="0"/>
                      <a:ext cx="2684111" cy="665905"/>
                    </a:xfrm>
                    <a:prstGeom prst="rect">
                      <a:avLst/>
                    </a:prstGeom>
                  </pic:spPr>
                </pic:pic>
              </a:graphicData>
            </a:graphic>
          </wp:inline>
        </w:drawing>
      </w:r>
    </w:p>
    <w:p w14:paraId="5852481D" w14:textId="67A55D12" w:rsidR="003471FF" w:rsidRPr="00CB7E8C" w:rsidRDefault="003471FF" w:rsidP="003471FF">
      <w:pPr>
        <w:tabs>
          <w:tab w:val="left" w:pos="3374"/>
        </w:tabs>
        <w:spacing w:after="0" w:line="276" w:lineRule="auto"/>
        <w:contextualSpacing/>
        <w:rPr>
          <w:rFonts w:ascii="Arial" w:eastAsia="Calibri" w:hAnsi="Arial" w:cs="Arial"/>
          <w:lang w:val="es-MX"/>
        </w:rPr>
      </w:pPr>
    </w:p>
    <w:p w14:paraId="4DF061E4" w14:textId="18B843BA" w:rsidR="003471FF" w:rsidRDefault="00104E71" w:rsidP="00104E71">
      <w:pPr>
        <w:tabs>
          <w:tab w:val="left" w:pos="3374"/>
        </w:tabs>
        <w:spacing w:after="0" w:line="276" w:lineRule="auto"/>
        <w:contextualSpacing/>
        <w:rPr>
          <w:rFonts w:ascii="Arial" w:eastAsia="Calibri" w:hAnsi="Arial" w:cs="Arial"/>
          <w:lang w:val="es-MX"/>
        </w:rPr>
      </w:pPr>
      <w:r>
        <w:rPr>
          <w:rFonts w:ascii="Arial" w:eastAsia="Calibri" w:hAnsi="Arial" w:cs="Arial"/>
          <w:lang w:val="es-MX"/>
        </w:rPr>
        <w:t>Bogotá D.C., 25 de abril de 2022</w:t>
      </w:r>
    </w:p>
    <w:p w14:paraId="700AEBC4" w14:textId="77777777" w:rsidR="00104E71" w:rsidRPr="00CB7E8C" w:rsidRDefault="00104E71" w:rsidP="00104E71">
      <w:pPr>
        <w:tabs>
          <w:tab w:val="left" w:pos="3374"/>
        </w:tabs>
        <w:spacing w:after="0" w:line="276" w:lineRule="auto"/>
        <w:contextualSpacing/>
        <w:rPr>
          <w:rFonts w:ascii="Arial" w:eastAsia="Calibri" w:hAnsi="Arial" w:cs="Arial"/>
          <w:lang w:val="es-MX"/>
        </w:rPr>
      </w:pPr>
    </w:p>
    <w:p w14:paraId="706FBDFB" w14:textId="1950562B" w:rsidR="00883C23" w:rsidRPr="00CB7E8C" w:rsidRDefault="003471FF" w:rsidP="003471FF">
      <w:pPr>
        <w:spacing w:after="0" w:line="276" w:lineRule="auto"/>
        <w:contextualSpacing/>
        <w:jc w:val="both"/>
        <w:rPr>
          <w:rFonts w:ascii="Arial" w:eastAsia="Calibri" w:hAnsi="Arial" w:cs="Arial"/>
        </w:rPr>
      </w:pPr>
      <w:bookmarkStart w:id="4" w:name="_Hlk96417464"/>
      <w:r w:rsidRPr="00CB7E8C">
        <w:rPr>
          <w:rFonts w:ascii="Arial" w:eastAsia="Calibri" w:hAnsi="Arial" w:cs="Arial"/>
        </w:rPr>
        <w:t xml:space="preserve">Señor </w:t>
      </w:r>
    </w:p>
    <w:p w14:paraId="09D8468A" w14:textId="1AE44137" w:rsidR="00883C23" w:rsidRPr="00CB7E8C" w:rsidRDefault="003471FF" w:rsidP="003471FF">
      <w:pPr>
        <w:spacing w:after="0" w:line="276" w:lineRule="auto"/>
        <w:contextualSpacing/>
        <w:jc w:val="both"/>
        <w:rPr>
          <w:rFonts w:ascii="Arial" w:eastAsia="Calibri" w:hAnsi="Arial" w:cs="Arial"/>
          <w:b/>
        </w:rPr>
      </w:pPr>
      <w:proofErr w:type="spellStart"/>
      <w:r w:rsidRPr="00CB7E8C">
        <w:rPr>
          <w:rFonts w:ascii="Arial" w:eastAsia="Calibri" w:hAnsi="Arial" w:cs="Arial"/>
          <w:b/>
        </w:rPr>
        <w:t>Faiver</w:t>
      </w:r>
      <w:proofErr w:type="spellEnd"/>
      <w:r w:rsidRPr="00CB7E8C">
        <w:rPr>
          <w:rFonts w:ascii="Arial" w:eastAsia="Calibri" w:hAnsi="Arial" w:cs="Arial"/>
          <w:b/>
        </w:rPr>
        <w:t xml:space="preserve"> Hernán Garcia Romero</w:t>
      </w:r>
    </w:p>
    <w:p w14:paraId="4916D574" w14:textId="3782470C" w:rsidR="00883C23" w:rsidRPr="00CB7E8C" w:rsidRDefault="003471FF" w:rsidP="003471FF">
      <w:pPr>
        <w:spacing w:after="0" w:line="276" w:lineRule="auto"/>
        <w:contextualSpacing/>
        <w:jc w:val="both"/>
        <w:rPr>
          <w:rFonts w:ascii="Arial" w:eastAsia="Calibri" w:hAnsi="Arial" w:cs="Arial"/>
        </w:rPr>
      </w:pPr>
      <w:r w:rsidRPr="00CB7E8C">
        <w:rPr>
          <w:rFonts w:ascii="Arial" w:hAnsi="Arial" w:cs="Arial"/>
        </w:rPr>
        <w:t>Bogotá</w:t>
      </w:r>
    </w:p>
    <w:p w14:paraId="0C079B43" w14:textId="77777777" w:rsidR="00883C23" w:rsidRPr="00CB7E8C" w:rsidRDefault="00883C23" w:rsidP="003471FF">
      <w:pPr>
        <w:spacing w:after="0" w:line="276" w:lineRule="auto"/>
        <w:contextualSpacing/>
        <w:jc w:val="both"/>
        <w:rPr>
          <w:rFonts w:ascii="Arial" w:eastAsia="Calibri" w:hAnsi="Arial" w:cs="Arial"/>
        </w:rPr>
      </w:pPr>
    </w:p>
    <w:p w14:paraId="1ADBFDD5" w14:textId="77777777" w:rsidR="00883C23" w:rsidRPr="00CB7E8C" w:rsidRDefault="00883C23" w:rsidP="003471FF">
      <w:pPr>
        <w:spacing w:after="0" w:line="276" w:lineRule="auto"/>
        <w:contextualSpacing/>
        <w:jc w:val="both"/>
        <w:rPr>
          <w:rFonts w:ascii="Arial" w:eastAsia="Calibri" w:hAnsi="Arial" w:cs="Arial"/>
        </w:rPr>
      </w:pPr>
    </w:p>
    <w:p w14:paraId="04A59977" w14:textId="28E3FDC0" w:rsidR="00883C23" w:rsidRPr="00CB7E8C" w:rsidRDefault="00883C23" w:rsidP="003471FF">
      <w:pPr>
        <w:spacing w:after="0" w:line="276" w:lineRule="auto"/>
        <w:contextualSpacing/>
        <w:jc w:val="both"/>
        <w:rPr>
          <w:rFonts w:ascii="Arial" w:eastAsia="Calibri" w:hAnsi="Arial" w:cs="Arial"/>
        </w:rPr>
      </w:pPr>
      <w:r w:rsidRPr="00CB7E8C">
        <w:rPr>
          <w:rFonts w:ascii="Arial" w:eastAsia="Calibri" w:hAnsi="Arial" w:cs="Arial"/>
        </w:rPr>
        <w:t xml:space="preserve">                                            </w:t>
      </w:r>
      <w:r w:rsidRPr="00CB7E8C">
        <w:rPr>
          <w:rFonts w:ascii="Arial" w:eastAsia="Calibri" w:hAnsi="Arial" w:cs="Arial"/>
          <w:b/>
        </w:rPr>
        <w:t xml:space="preserve">Concepto C – </w:t>
      </w:r>
      <w:r w:rsidR="003471FF" w:rsidRPr="00CB7E8C">
        <w:rPr>
          <w:rFonts w:ascii="Arial" w:eastAsia="Calibri" w:hAnsi="Arial" w:cs="Arial"/>
          <w:b/>
        </w:rPr>
        <w:t>222</w:t>
      </w:r>
      <w:r w:rsidRPr="00CB7E8C">
        <w:rPr>
          <w:rFonts w:ascii="Arial" w:eastAsia="Calibri" w:hAnsi="Arial" w:cs="Arial"/>
          <w:b/>
        </w:rPr>
        <w:t xml:space="preserve"> de 2022</w:t>
      </w:r>
      <w:r w:rsidRPr="00CB7E8C">
        <w:rPr>
          <w:rFonts w:ascii="Arial" w:eastAsia="Calibri" w:hAnsi="Arial" w:cs="Arial"/>
        </w:rPr>
        <w:t xml:space="preserve"> </w:t>
      </w:r>
    </w:p>
    <w:p w14:paraId="5FFD2FD6" w14:textId="77777777" w:rsidR="00883C23" w:rsidRPr="00CB7E8C" w:rsidRDefault="00883C23" w:rsidP="003471FF">
      <w:pPr>
        <w:spacing w:after="0" w:line="276"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471FF" w:rsidRPr="00CB7E8C" w14:paraId="2218F9C4" w14:textId="77777777" w:rsidTr="00301B6D">
        <w:trPr>
          <w:trHeight w:val="485"/>
        </w:trPr>
        <w:tc>
          <w:tcPr>
            <w:tcW w:w="2689" w:type="dxa"/>
            <w:hideMark/>
          </w:tcPr>
          <w:p w14:paraId="0F211B22" w14:textId="77777777" w:rsidR="00883C23" w:rsidRPr="00CB7E8C" w:rsidRDefault="00883C23" w:rsidP="003471FF">
            <w:pPr>
              <w:spacing w:line="276" w:lineRule="auto"/>
              <w:contextualSpacing/>
              <w:rPr>
                <w:rFonts w:ascii="Arial" w:eastAsia="Calibri" w:hAnsi="Arial" w:cs="Arial"/>
                <w:noProof/>
                <w:lang w:val="es-ES_tradnl"/>
              </w:rPr>
            </w:pPr>
            <w:r w:rsidRPr="00CB7E8C">
              <w:rPr>
                <w:rFonts w:ascii="Arial" w:eastAsia="Calibri" w:hAnsi="Arial" w:cs="Arial"/>
                <w:b/>
                <w:noProof/>
                <w:lang w:val="es-ES_tradnl"/>
              </w:rPr>
              <w:t>Temas:</w:t>
            </w:r>
            <w:r w:rsidRPr="00CB7E8C">
              <w:rPr>
                <w:rFonts w:ascii="Arial" w:eastAsia="Calibri" w:hAnsi="Arial" w:cs="Arial"/>
                <w:noProof/>
                <w:lang w:val="es-ES_tradnl"/>
              </w:rPr>
              <w:t xml:space="preserve">        </w:t>
            </w:r>
          </w:p>
        </w:tc>
        <w:tc>
          <w:tcPr>
            <w:tcW w:w="6237" w:type="dxa"/>
            <w:hideMark/>
          </w:tcPr>
          <w:p w14:paraId="5C5D41F8" w14:textId="77777777" w:rsidR="0078349B" w:rsidRPr="00DC6C86" w:rsidRDefault="0078349B" w:rsidP="0078349B">
            <w:pPr>
              <w:tabs>
                <w:tab w:val="left" w:pos="426"/>
              </w:tabs>
              <w:contextualSpacing/>
              <w:jc w:val="both"/>
              <w:rPr>
                <w:rFonts w:ascii="Arial" w:eastAsia="Calibri" w:hAnsi="Arial" w:cs="Arial"/>
                <w:noProof/>
                <w:lang w:val="es-ES_tradnl"/>
              </w:rPr>
            </w:pPr>
            <w:r w:rsidRPr="00DC6C86">
              <w:rPr>
                <w:rFonts w:ascii="Arial" w:eastAsia="Calibri" w:hAnsi="Arial" w:cs="Arial"/>
                <w:lang w:val="es-ES_tradnl"/>
              </w:rPr>
              <w:t xml:space="preserve">LEY DE GARANTÍAS ELECTORALES ─ </w:t>
            </w:r>
            <w:r w:rsidRPr="00DC6C86">
              <w:rPr>
                <w:rFonts w:ascii="Arial" w:eastAsia="Calibri" w:hAnsi="Arial" w:cs="Arial"/>
                <w:color w:val="000000" w:themeColor="text1"/>
                <w:lang w:val="es-ES_tradnl"/>
              </w:rPr>
              <w:t xml:space="preserve">Finalidad / LEY DE GARANTÍAS ELECTORALES </w:t>
            </w:r>
            <w:r w:rsidRPr="00DC6C86">
              <w:rPr>
                <w:rFonts w:ascii="Arial" w:eastAsia="Calibri" w:hAnsi="Arial" w:cs="Arial"/>
                <w:lang w:val="es-ES_tradnl"/>
              </w:rPr>
              <w:t>─</w:t>
            </w:r>
            <w:r w:rsidRPr="00DC6C86">
              <w:rPr>
                <w:rFonts w:ascii="Arial" w:eastAsia="Calibri" w:hAnsi="Arial" w:cs="Arial"/>
                <w:color w:val="000000" w:themeColor="text1"/>
                <w:lang w:val="es-ES_tradnl"/>
              </w:rPr>
              <w:t xml:space="preserve"> Restricciones </w:t>
            </w:r>
            <w:r w:rsidRPr="00DC6C86">
              <w:rPr>
                <w:rFonts w:ascii="Arial" w:eastAsia="Calibri" w:hAnsi="Arial" w:cs="Arial"/>
                <w:lang w:val="es-ES_tradnl"/>
              </w:rPr>
              <w:t>─</w:t>
            </w:r>
            <w:r w:rsidRPr="00DC6C86">
              <w:rPr>
                <w:rFonts w:ascii="Arial" w:eastAsia="Calibri" w:hAnsi="Arial" w:cs="Arial"/>
                <w:color w:val="000000" w:themeColor="text1"/>
                <w:lang w:val="es-ES_tradnl"/>
              </w:rPr>
              <w:t xml:space="preserve"> Contratación </w:t>
            </w:r>
            <w:r w:rsidRPr="00DC6C86">
              <w:rPr>
                <w:rFonts w:ascii="Arial" w:eastAsia="Calibri" w:hAnsi="Arial" w:cs="Arial"/>
                <w:lang w:val="es-ES_tradnl"/>
              </w:rPr>
              <w:t>─</w:t>
            </w:r>
            <w:r w:rsidRPr="00DC6C86">
              <w:rPr>
                <w:rFonts w:ascii="Arial" w:eastAsia="Calibri" w:hAnsi="Arial" w:cs="Arial"/>
                <w:color w:val="000000" w:themeColor="text1"/>
                <w:lang w:val="es-ES_tradnl"/>
              </w:rPr>
              <w:t xml:space="preserve"> Tipos de elección / LEY DE GARANTÍAS ELECTORALES </w:t>
            </w:r>
            <w:r w:rsidRPr="00DC6C86">
              <w:rPr>
                <w:rFonts w:ascii="Arial" w:eastAsia="Calibri" w:hAnsi="Arial" w:cs="Arial"/>
                <w:lang w:val="es-ES_tradnl"/>
              </w:rPr>
              <w:t xml:space="preserve">─ </w:t>
            </w:r>
            <w:r w:rsidRPr="00DC6C86">
              <w:rPr>
                <w:rFonts w:ascii="Arial" w:eastAsia="Calibri" w:hAnsi="Arial" w:cs="Arial"/>
                <w:color w:val="000000" w:themeColor="text1"/>
                <w:lang w:val="es-ES_tradnl"/>
              </w:rPr>
              <w:t xml:space="preserve">Artículo 33 </w:t>
            </w:r>
            <w:r w:rsidRPr="00DC6C86">
              <w:rPr>
                <w:rFonts w:ascii="Arial" w:eastAsia="Calibri" w:hAnsi="Arial" w:cs="Arial"/>
                <w:lang w:val="es-ES_tradnl"/>
              </w:rPr>
              <w:t xml:space="preserve">─ Prohibición ─ Contratación directa ─ Alcance / </w:t>
            </w:r>
            <w:r w:rsidRPr="00DC6C86">
              <w:rPr>
                <w:rFonts w:ascii="Arial" w:eastAsia="Calibri" w:hAnsi="Arial" w:cs="Arial"/>
                <w:color w:val="000000" w:themeColor="text1"/>
                <w:lang w:val="es-ES_tradnl"/>
              </w:rPr>
              <w:t xml:space="preserve">LEY DE GARANTÍAS ELECTORALES </w:t>
            </w:r>
            <w:r w:rsidRPr="00DC6C86">
              <w:rPr>
                <w:rFonts w:ascii="Arial" w:eastAsia="Calibri" w:hAnsi="Arial" w:cs="Arial"/>
                <w:lang w:val="es-ES_tradnl"/>
              </w:rPr>
              <w:t>─</w:t>
            </w:r>
            <w:r w:rsidRPr="00DC6C86">
              <w:rPr>
                <w:rFonts w:ascii="Arial" w:eastAsia="Times New Roman" w:hAnsi="Arial" w:cs="Arial"/>
                <w:lang w:val="es-ES_tradnl" w:eastAsia="es-CO"/>
              </w:rPr>
              <w:t xml:space="preserve"> </w:t>
            </w:r>
            <w:r w:rsidRPr="00DC6C86">
              <w:rPr>
                <w:rFonts w:ascii="Arial" w:eastAsia="Calibri" w:hAnsi="Arial" w:cs="Arial"/>
                <w:color w:val="000000" w:themeColor="text1"/>
                <w:lang w:val="es-ES_tradnl"/>
              </w:rPr>
              <w:t xml:space="preserve">Artículo 33 </w:t>
            </w:r>
            <w:r w:rsidRPr="00DC6C86">
              <w:rPr>
                <w:rFonts w:ascii="Arial" w:eastAsia="Calibri" w:hAnsi="Arial" w:cs="Arial"/>
                <w:lang w:val="es-ES_tradnl"/>
              </w:rPr>
              <w:t xml:space="preserve">─ </w:t>
            </w:r>
            <w:r w:rsidRPr="00DC6C86">
              <w:rPr>
                <w:rFonts w:ascii="Arial" w:eastAsia="Times New Roman" w:hAnsi="Arial" w:cs="Arial"/>
                <w:lang w:val="es-ES_tradnl" w:eastAsia="es-CO"/>
              </w:rPr>
              <w:t>Excepciones</w:t>
            </w:r>
            <w:r w:rsidRPr="00DC6C86">
              <w:rPr>
                <w:rFonts w:ascii="Arial" w:eastAsia="Calibri" w:hAnsi="Arial" w:cs="Arial"/>
                <w:lang w:val="es-ES_tradnl"/>
              </w:rPr>
              <w:t xml:space="preserve"> / </w:t>
            </w:r>
            <w:r w:rsidRPr="00DC6C86">
              <w:rPr>
                <w:rFonts w:ascii="Arial" w:eastAsia="Calibri" w:hAnsi="Arial" w:cs="Arial"/>
                <w:color w:val="000000" w:themeColor="text1"/>
                <w:lang w:val="es-ES_tradnl"/>
              </w:rPr>
              <w:t xml:space="preserve">LEY DE GARANTÍAS ELECTORALES </w:t>
            </w:r>
            <w:r w:rsidRPr="00DC6C86">
              <w:rPr>
                <w:rFonts w:ascii="Arial" w:eastAsia="Calibri" w:hAnsi="Arial" w:cs="Arial"/>
                <w:lang w:val="es-ES_tradnl"/>
              </w:rPr>
              <w:t>─</w:t>
            </w:r>
            <w:r w:rsidRPr="00DC6C86">
              <w:rPr>
                <w:rFonts w:ascii="Arial" w:eastAsia="Times New Roman" w:hAnsi="Arial" w:cs="Arial"/>
                <w:lang w:val="es-ES_tradnl" w:eastAsia="es-CO"/>
              </w:rPr>
              <w:t xml:space="preserve"> </w:t>
            </w:r>
            <w:r w:rsidRPr="00DC6C86">
              <w:rPr>
                <w:rFonts w:ascii="Arial" w:eastAsia="Calibri" w:hAnsi="Arial" w:cs="Arial"/>
                <w:color w:val="000000" w:themeColor="text1"/>
                <w:lang w:val="es-ES_tradnl"/>
              </w:rPr>
              <w:t xml:space="preserve">Artículo 33 </w:t>
            </w:r>
            <w:r w:rsidRPr="00DC6C86">
              <w:rPr>
                <w:rFonts w:ascii="Arial" w:eastAsia="Calibri" w:hAnsi="Arial" w:cs="Arial"/>
                <w:lang w:val="es-ES_tradnl"/>
              </w:rPr>
              <w:t xml:space="preserve">─ Destinatarios / </w:t>
            </w:r>
            <w:r w:rsidRPr="00DC6C86">
              <w:rPr>
                <w:rFonts w:ascii="Arial" w:eastAsia="Calibri" w:hAnsi="Arial" w:cs="Arial"/>
                <w:lang w:val="es-MX"/>
              </w:rPr>
              <w:t xml:space="preserve">LEY DE GARANTÍAS ELECTORALES </w:t>
            </w:r>
            <w:r w:rsidRPr="00DC6C86">
              <w:rPr>
                <w:rFonts w:ascii="Arial" w:eastAsia="Calibri" w:hAnsi="Arial" w:cs="Arial"/>
                <w:lang w:val="es-ES_tradnl"/>
              </w:rPr>
              <w:t>─</w:t>
            </w:r>
            <w:r w:rsidRPr="00DC6C86">
              <w:rPr>
                <w:rFonts w:ascii="Arial" w:eastAsia="Calibri" w:hAnsi="Arial" w:cs="Arial"/>
                <w:lang w:val="es-MX"/>
              </w:rPr>
              <w:t xml:space="preserve"> </w:t>
            </w:r>
            <w:r w:rsidRPr="00DC6C86">
              <w:rPr>
                <w:rFonts w:ascii="Arial" w:hAnsi="Arial" w:cs="Arial"/>
                <w:lang w:val="es-MX" w:eastAsia="es-CO"/>
              </w:rPr>
              <w:t xml:space="preserve">Contratos y convenios interadministrativos </w:t>
            </w:r>
            <w:r w:rsidRPr="00DC6C86">
              <w:rPr>
                <w:rFonts w:ascii="Arial" w:eastAsia="Calibri" w:hAnsi="Arial" w:cs="Arial"/>
                <w:lang w:val="es-ES_tradnl"/>
              </w:rPr>
              <w:t xml:space="preserve">─ Prohibición / </w:t>
            </w:r>
            <w:r w:rsidRPr="00DC6C86">
              <w:rPr>
                <w:rFonts w:ascii="Arial" w:eastAsia="Calibri" w:hAnsi="Arial" w:cs="Arial"/>
                <w:lang w:val="es-MX"/>
              </w:rPr>
              <w:t xml:space="preserve">MODIFICACIÓN DE LA LEY 2159 DE 2021 – Ley Anual de Presupuesto – Parágrafo del artículo 38 Ley de Garantías – Transitoriedad / </w:t>
            </w:r>
            <w:r w:rsidRPr="00DC6C86">
              <w:rPr>
                <w:rFonts w:ascii="Arial" w:eastAsia="Calibri" w:hAnsi="Arial" w:cs="Arial"/>
                <w:noProof/>
                <w:lang w:val="es-ES_tradnl"/>
              </w:rPr>
              <w:t>LEY DE GARANTÍAS – Contratación con ESAL – Aplicación – Restricciones</w:t>
            </w:r>
          </w:p>
          <w:p w14:paraId="0BA70935" w14:textId="568FDB90" w:rsidR="003471FF" w:rsidRPr="00CB7E8C" w:rsidRDefault="003471FF" w:rsidP="003471FF">
            <w:pPr>
              <w:tabs>
                <w:tab w:val="left" w:pos="426"/>
              </w:tabs>
              <w:spacing w:line="276" w:lineRule="auto"/>
              <w:contextualSpacing/>
              <w:jc w:val="both"/>
              <w:rPr>
                <w:rFonts w:ascii="Arial" w:eastAsia="Calibri" w:hAnsi="Arial" w:cs="Arial"/>
                <w:lang w:val="es-MX"/>
              </w:rPr>
            </w:pPr>
          </w:p>
        </w:tc>
      </w:tr>
      <w:tr w:rsidR="003471FF" w:rsidRPr="00CB7E8C" w14:paraId="222FEFA6" w14:textId="77777777" w:rsidTr="00301B6D">
        <w:tc>
          <w:tcPr>
            <w:tcW w:w="2689" w:type="dxa"/>
          </w:tcPr>
          <w:p w14:paraId="3332A0EE" w14:textId="77777777" w:rsidR="00883C23" w:rsidRPr="00CB7E8C" w:rsidRDefault="00883C23" w:rsidP="003471FF">
            <w:pPr>
              <w:spacing w:line="276" w:lineRule="auto"/>
              <w:contextualSpacing/>
              <w:rPr>
                <w:rFonts w:ascii="Arial" w:eastAsia="Calibri" w:hAnsi="Arial" w:cs="Arial"/>
                <w:b/>
                <w:noProof/>
                <w:lang w:val="es-ES_tradnl"/>
              </w:rPr>
            </w:pPr>
            <w:r w:rsidRPr="00CB7E8C">
              <w:rPr>
                <w:rFonts w:ascii="Arial" w:eastAsia="Calibri" w:hAnsi="Arial" w:cs="Arial"/>
                <w:b/>
                <w:noProof/>
                <w:lang w:val="es-ES_tradnl"/>
              </w:rPr>
              <w:t>Radicación:</w:t>
            </w:r>
            <w:r w:rsidRPr="00CB7E8C">
              <w:rPr>
                <w:rFonts w:ascii="Arial" w:eastAsia="Calibri" w:hAnsi="Arial" w:cs="Arial"/>
                <w:noProof/>
                <w:lang w:val="es-ES_tradnl"/>
              </w:rPr>
              <w:t xml:space="preserve">                              </w:t>
            </w:r>
          </w:p>
        </w:tc>
        <w:tc>
          <w:tcPr>
            <w:tcW w:w="6237" w:type="dxa"/>
          </w:tcPr>
          <w:p w14:paraId="3854A44D" w14:textId="20F85174" w:rsidR="00883C23" w:rsidRPr="00CB7E8C" w:rsidRDefault="00883C23" w:rsidP="003471FF">
            <w:pPr>
              <w:spacing w:line="276" w:lineRule="auto"/>
              <w:contextualSpacing/>
              <w:jc w:val="both"/>
              <w:rPr>
                <w:rFonts w:ascii="Arial" w:eastAsia="Calibri" w:hAnsi="Arial" w:cs="Arial"/>
                <w:noProof/>
                <w:lang w:val="es-ES_tradnl"/>
              </w:rPr>
            </w:pPr>
            <w:r w:rsidRPr="00CB7E8C">
              <w:rPr>
                <w:rFonts w:ascii="Arial" w:eastAsia="Calibri" w:hAnsi="Arial" w:cs="Arial"/>
                <w:noProof/>
                <w:lang w:val="es-ES_tradnl"/>
              </w:rPr>
              <w:t xml:space="preserve">Respuesta a consulta </w:t>
            </w:r>
            <w:r w:rsidR="003471FF" w:rsidRPr="00CB7E8C">
              <w:rPr>
                <w:rFonts w:ascii="Arial" w:eastAsia="Calibri" w:hAnsi="Arial" w:cs="Arial"/>
                <w:noProof/>
                <w:lang w:val="es-ES_tradnl"/>
              </w:rPr>
              <w:t>P20220309002319</w:t>
            </w:r>
          </w:p>
        </w:tc>
      </w:tr>
    </w:tbl>
    <w:p w14:paraId="24096655" w14:textId="77777777" w:rsidR="00883C23" w:rsidRPr="00CB7E8C" w:rsidRDefault="00883C23" w:rsidP="003471FF">
      <w:pPr>
        <w:spacing w:after="0" w:line="276" w:lineRule="auto"/>
        <w:contextualSpacing/>
        <w:jc w:val="both"/>
        <w:rPr>
          <w:rFonts w:ascii="Arial" w:eastAsia="Calibri" w:hAnsi="Arial" w:cs="Arial"/>
        </w:rPr>
      </w:pPr>
    </w:p>
    <w:p w14:paraId="17A7991B" w14:textId="77777777" w:rsidR="00883C23" w:rsidRPr="00CB7E8C" w:rsidRDefault="00883C23" w:rsidP="003471FF">
      <w:pPr>
        <w:spacing w:after="0" w:line="276" w:lineRule="auto"/>
        <w:contextualSpacing/>
        <w:jc w:val="both"/>
        <w:rPr>
          <w:rFonts w:ascii="Arial" w:eastAsia="Calibri" w:hAnsi="Arial" w:cs="Arial"/>
        </w:rPr>
      </w:pPr>
    </w:p>
    <w:p w14:paraId="13A96C90" w14:textId="64D1F43E" w:rsidR="00883C23" w:rsidRPr="00CB7E8C" w:rsidRDefault="00883C23" w:rsidP="003471FF">
      <w:pPr>
        <w:spacing w:after="0" w:line="276" w:lineRule="auto"/>
        <w:contextualSpacing/>
        <w:jc w:val="both"/>
        <w:rPr>
          <w:rFonts w:ascii="Arial" w:eastAsia="Calibri" w:hAnsi="Arial" w:cs="Arial"/>
        </w:rPr>
      </w:pPr>
      <w:r w:rsidRPr="00CB7E8C">
        <w:rPr>
          <w:rFonts w:ascii="Arial" w:eastAsia="Calibri" w:hAnsi="Arial" w:cs="Arial"/>
        </w:rPr>
        <w:t>Estimad</w:t>
      </w:r>
      <w:r w:rsidR="000370B6" w:rsidRPr="00CB7E8C">
        <w:rPr>
          <w:rFonts w:ascii="Arial" w:eastAsia="Calibri" w:hAnsi="Arial" w:cs="Arial"/>
        </w:rPr>
        <w:t>o</w:t>
      </w:r>
      <w:r w:rsidRPr="00CB7E8C">
        <w:rPr>
          <w:rFonts w:ascii="Arial" w:eastAsia="Calibri" w:hAnsi="Arial" w:cs="Arial"/>
        </w:rPr>
        <w:t xml:space="preserve"> señor</w:t>
      </w:r>
      <w:r w:rsidR="000370B6" w:rsidRPr="00CB7E8C">
        <w:rPr>
          <w:rFonts w:ascii="Arial" w:eastAsia="Calibri" w:hAnsi="Arial" w:cs="Arial"/>
        </w:rPr>
        <w:t xml:space="preserve"> </w:t>
      </w:r>
      <w:r w:rsidR="003471FF" w:rsidRPr="00CB7E8C">
        <w:rPr>
          <w:rFonts w:ascii="Arial" w:eastAsia="Calibri" w:hAnsi="Arial" w:cs="Arial"/>
        </w:rPr>
        <w:t>Garcia</w:t>
      </w:r>
      <w:r w:rsidRPr="00CB7E8C">
        <w:rPr>
          <w:rFonts w:ascii="Arial" w:eastAsia="Calibri" w:hAnsi="Arial" w:cs="Arial"/>
        </w:rPr>
        <w:t>:</w:t>
      </w:r>
    </w:p>
    <w:p w14:paraId="65B69C4A" w14:textId="77777777" w:rsidR="00883C23" w:rsidRPr="00CB7E8C" w:rsidRDefault="00883C23" w:rsidP="003471FF">
      <w:pPr>
        <w:spacing w:after="0" w:line="276" w:lineRule="auto"/>
        <w:ind w:firstLine="709"/>
        <w:contextualSpacing/>
        <w:jc w:val="both"/>
        <w:rPr>
          <w:rFonts w:ascii="Arial" w:eastAsia="Calibri" w:hAnsi="Arial" w:cs="Arial"/>
        </w:rPr>
      </w:pPr>
    </w:p>
    <w:p w14:paraId="2996A3C4" w14:textId="65A40D3B" w:rsidR="00883C23" w:rsidRPr="00CB7E8C" w:rsidRDefault="00883C23" w:rsidP="003471FF">
      <w:pPr>
        <w:spacing w:after="0" w:line="276" w:lineRule="auto"/>
        <w:ind w:right="51"/>
        <w:contextualSpacing/>
        <w:jc w:val="both"/>
        <w:rPr>
          <w:rFonts w:ascii="Arial" w:eastAsia="Calibri" w:hAnsi="Arial" w:cs="Arial"/>
        </w:rPr>
      </w:pPr>
      <w:r w:rsidRPr="00CB7E8C">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3471FF" w:rsidRPr="00CB7E8C">
        <w:rPr>
          <w:rFonts w:ascii="Arial" w:eastAsia="Calibri" w:hAnsi="Arial" w:cs="Arial"/>
        </w:rPr>
        <w:t>9 de marzo</w:t>
      </w:r>
      <w:r w:rsidRPr="00CB7E8C">
        <w:rPr>
          <w:rFonts w:ascii="Arial" w:eastAsia="Calibri" w:hAnsi="Arial" w:cs="Arial"/>
        </w:rPr>
        <w:t xml:space="preserve"> de 2022. </w:t>
      </w:r>
    </w:p>
    <w:p w14:paraId="13156ABA" w14:textId="77777777" w:rsidR="00883C23" w:rsidRPr="00CB7E8C" w:rsidRDefault="00883C23" w:rsidP="003471FF">
      <w:pPr>
        <w:spacing w:after="0" w:line="276" w:lineRule="auto"/>
        <w:contextualSpacing/>
        <w:jc w:val="both"/>
        <w:rPr>
          <w:rFonts w:ascii="Arial" w:eastAsia="Calibri" w:hAnsi="Arial" w:cs="Arial"/>
        </w:rPr>
      </w:pPr>
    </w:p>
    <w:p w14:paraId="37AC10DA" w14:textId="77777777" w:rsidR="00883C23" w:rsidRPr="00CB7E8C" w:rsidRDefault="00883C23" w:rsidP="003471FF">
      <w:pPr>
        <w:tabs>
          <w:tab w:val="left" w:pos="284"/>
        </w:tabs>
        <w:spacing w:after="0" w:line="276" w:lineRule="auto"/>
        <w:contextualSpacing/>
        <w:jc w:val="both"/>
        <w:rPr>
          <w:rFonts w:ascii="Arial" w:eastAsia="Calibri" w:hAnsi="Arial" w:cs="Arial"/>
          <w:b/>
        </w:rPr>
      </w:pPr>
      <w:r w:rsidRPr="00CB7E8C">
        <w:rPr>
          <w:rFonts w:ascii="Arial" w:eastAsia="Calibri" w:hAnsi="Arial" w:cs="Arial"/>
          <w:b/>
        </w:rPr>
        <w:lastRenderedPageBreak/>
        <w:t xml:space="preserve">1. Problema planteado </w:t>
      </w:r>
    </w:p>
    <w:p w14:paraId="5F0F4646" w14:textId="77777777" w:rsidR="00883C23" w:rsidRPr="00CB7E8C" w:rsidRDefault="00883C23" w:rsidP="003471FF">
      <w:pPr>
        <w:tabs>
          <w:tab w:val="left" w:pos="284"/>
        </w:tabs>
        <w:spacing w:after="0" w:line="276" w:lineRule="auto"/>
        <w:ind w:firstLine="709"/>
        <w:contextualSpacing/>
        <w:jc w:val="both"/>
        <w:rPr>
          <w:rFonts w:ascii="Arial" w:eastAsia="Calibri" w:hAnsi="Arial" w:cs="Arial"/>
          <w:b/>
        </w:rPr>
      </w:pPr>
    </w:p>
    <w:p w14:paraId="6807C56B" w14:textId="18955498" w:rsidR="00883C23" w:rsidRPr="00CB7E8C" w:rsidRDefault="003471FF" w:rsidP="003471FF">
      <w:pPr>
        <w:spacing w:after="0" w:line="276" w:lineRule="auto"/>
        <w:contextualSpacing/>
        <w:jc w:val="both"/>
        <w:rPr>
          <w:rFonts w:ascii="Arial" w:eastAsia="Times New Roman" w:hAnsi="Arial" w:cs="Arial"/>
          <w:lang w:eastAsia="es-ES_tradnl"/>
        </w:rPr>
      </w:pPr>
      <w:bookmarkStart w:id="5" w:name="_Hlk58917991"/>
      <w:bookmarkStart w:id="6" w:name="_Hlk56103000"/>
      <w:r w:rsidRPr="00CB7E8C">
        <w:rPr>
          <w:rFonts w:ascii="Arial" w:eastAsia="Times New Roman" w:hAnsi="Arial" w:cs="Arial"/>
          <w:lang w:eastAsia="es-ES_tradnl"/>
        </w:rPr>
        <w:t>Respecto de la Ley de Garantías Electorales, u</w:t>
      </w:r>
      <w:r w:rsidR="00883C23" w:rsidRPr="00CB7E8C">
        <w:rPr>
          <w:rFonts w:ascii="Arial" w:eastAsia="Times New Roman" w:hAnsi="Arial" w:cs="Arial"/>
          <w:lang w:eastAsia="es-ES_tradnl"/>
        </w:rPr>
        <w:t xml:space="preserve">sted realiza la siguiente pregunta: </w:t>
      </w:r>
      <w:bookmarkStart w:id="7" w:name="_Hlk94514883"/>
      <w:r w:rsidR="00883C23" w:rsidRPr="00CB7E8C">
        <w:rPr>
          <w:rFonts w:ascii="Arial" w:eastAsia="Times New Roman" w:hAnsi="Arial" w:cs="Arial"/>
          <w:lang w:eastAsia="es-ES_tradnl"/>
        </w:rPr>
        <w:t>«</w:t>
      </w:r>
      <w:r w:rsidR="004B4CA2" w:rsidRPr="00CB7E8C">
        <w:rPr>
          <w:rFonts w:ascii="Arial" w:eastAsia="Times New Roman" w:hAnsi="Arial" w:cs="Arial"/>
          <w:lang w:eastAsia="es-ES_tradnl"/>
        </w:rPr>
        <w:t>[…]</w:t>
      </w:r>
      <w:r w:rsidRPr="00CB7E8C">
        <w:rPr>
          <w:rFonts w:ascii="Arial" w:eastAsia="Times New Roman" w:hAnsi="Arial" w:cs="Arial"/>
          <w:lang w:eastAsia="es-ES_tradnl"/>
        </w:rPr>
        <w:t xml:space="preserve"> ¿En el período de restricción de la Ley de Garantías Electorales es posible adelantar un proceso competitivo regulado por el Decreto 092 de </w:t>
      </w:r>
      <w:proofErr w:type="gramStart"/>
      <w:r w:rsidRPr="00CB7E8C">
        <w:rPr>
          <w:rFonts w:ascii="Arial" w:eastAsia="Times New Roman" w:hAnsi="Arial" w:cs="Arial"/>
          <w:lang w:eastAsia="es-ES_tradnl"/>
        </w:rPr>
        <w:t>2017?Como</w:t>
      </w:r>
      <w:proofErr w:type="gramEnd"/>
      <w:r w:rsidRPr="00CB7E8C">
        <w:rPr>
          <w:rFonts w:ascii="Arial" w:eastAsia="Times New Roman" w:hAnsi="Arial" w:cs="Arial"/>
          <w:lang w:eastAsia="es-ES_tradnl"/>
        </w:rPr>
        <w:t xml:space="preserve"> resultado de ese proceso de competitivo de selección en el marco del Decreto 092 de 2017, se deriva uno o varios convenios de asociación, ¿es posible celebrar ese o esos convenios de asociación estando en el período de restricción de la Ley de Garantías?</w:t>
      </w:r>
      <w:r w:rsidR="004B2675" w:rsidRPr="00CB7E8C">
        <w:rPr>
          <w:rFonts w:ascii="Arial" w:eastAsia="Times New Roman" w:hAnsi="Arial" w:cs="Arial"/>
          <w:lang w:eastAsia="es-ES_tradnl"/>
        </w:rPr>
        <w:t>»</w:t>
      </w:r>
      <w:r w:rsidRPr="00CB7E8C">
        <w:rPr>
          <w:rFonts w:ascii="Arial" w:eastAsia="Times New Roman" w:hAnsi="Arial" w:cs="Arial"/>
          <w:lang w:eastAsia="es-ES_tradnl"/>
        </w:rPr>
        <w:t xml:space="preserve"> (SIC)</w:t>
      </w:r>
      <w:r w:rsidR="004B2675" w:rsidRPr="00CB7E8C">
        <w:rPr>
          <w:rFonts w:ascii="Arial" w:eastAsia="Times New Roman" w:hAnsi="Arial" w:cs="Arial"/>
          <w:lang w:eastAsia="es-ES_tradnl"/>
        </w:rPr>
        <w:t>.</w:t>
      </w:r>
      <w:r w:rsidR="004B4CA2" w:rsidRPr="00CB7E8C">
        <w:rPr>
          <w:rFonts w:ascii="Arial" w:eastAsia="Times New Roman" w:hAnsi="Arial" w:cs="Arial"/>
          <w:lang w:eastAsia="es-ES_tradnl"/>
        </w:rPr>
        <w:t xml:space="preserve"> </w:t>
      </w:r>
      <w:bookmarkEnd w:id="7"/>
    </w:p>
    <w:p w14:paraId="0D2D797C" w14:textId="77777777" w:rsidR="00883C23" w:rsidRPr="00CB7E8C" w:rsidRDefault="00883C23" w:rsidP="003471FF">
      <w:pPr>
        <w:tabs>
          <w:tab w:val="left" w:pos="426"/>
        </w:tabs>
        <w:spacing w:after="0" w:line="276" w:lineRule="auto"/>
        <w:contextualSpacing/>
        <w:jc w:val="both"/>
        <w:rPr>
          <w:rFonts w:ascii="Arial" w:eastAsia="Calibri" w:hAnsi="Arial" w:cs="Arial"/>
        </w:rPr>
      </w:pPr>
    </w:p>
    <w:bookmarkEnd w:id="5"/>
    <w:bookmarkEnd w:id="6"/>
    <w:p w14:paraId="249A34D5" w14:textId="77777777" w:rsidR="00883C23" w:rsidRPr="00CB7E8C" w:rsidRDefault="00883C23" w:rsidP="003471FF">
      <w:pPr>
        <w:tabs>
          <w:tab w:val="left" w:pos="284"/>
        </w:tabs>
        <w:spacing w:after="0" w:line="276" w:lineRule="auto"/>
        <w:contextualSpacing/>
        <w:jc w:val="both"/>
        <w:rPr>
          <w:rFonts w:ascii="Arial" w:eastAsia="Calibri" w:hAnsi="Arial" w:cs="Arial"/>
          <w:b/>
        </w:rPr>
      </w:pPr>
      <w:r w:rsidRPr="00CB7E8C">
        <w:rPr>
          <w:rFonts w:ascii="Arial" w:eastAsia="Calibri" w:hAnsi="Arial" w:cs="Arial"/>
          <w:b/>
        </w:rPr>
        <w:t>2. Consideraciones</w:t>
      </w:r>
    </w:p>
    <w:p w14:paraId="4AE99E5A" w14:textId="77777777" w:rsidR="00883C23" w:rsidRPr="00CB7E8C" w:rsidRDefault="00883C23" w:rsidP="003471FF">
      <w:pPr>
        <w:tabs>
          <w:tab w:val="left" w:pos="426"/>
        </w:tabs>
        <w:spacing w:after="0" w:line="276" w:lineRule="auto"/>
        <w:ind w:firstLine="709"/>
        <w:contextualSpacing/>
        <w:jc w:val="both"/>
        <w:rPr>
          <w:rFonts w:ascii="Arial" w:eastAsia="Calibri" w:hAnsi="Arial" w:cs="Arial"/>
          <w:bCs/>
        </w:rPr>
      </w:pPr>
    </w:p>
    <w:p w14:paraId="59C15EEF" w14:textId="72EA2736" w:rsidR="00237B05" w:rsidRPr="00CB7E8C" w:rsidRDefault="00B173FA" w:rsidP="00B173FA">
      <w:pPr>
        <w:spacing w:after="120" w:line="276" w:lineRule="auto"/>
        <w:jc w:val="both"/>
        <w:rPr>
          <w:rFonts w:ascii="Arial" w:hAnsi="Arial" w:cs="Arial"/>
          <w:lang w:val="es-MX"/>
        </w:rPr>
      </w:pPr>
      <w:bookmarkStart w:id="8" w:name="_Hlk96420693"/>
      <w:r w:rsidRPr="00CB7E8C">
        <w:rPr>
          <w:rFonts w:ascii="Arial" w:eastAsia="Calibri" w:hAnsi="Arial" w:cs="Arial"/>
          <w:lang w:val="es-ES"/>
        </w:rPr>
        <w:t>Para resolver el interrogante planteado se analizarán los siguientes temas: i) definición y finalidad de la Ley de Garantías Electorales</w:t>
      </w:r>
      <w:r w:rsidR="000C04ED" w:rsidRPr="00CB7E8C">
        <w:rPr>
          <w:rFonts w:ascii="Arial" w:eastAsia="Calibri" w:hAnsi="Arial" w:cs="Arial"/>
          <w:lang w:val="es-ES"/>
        </w:rPr>
        <w:t>;</w:t>
      </w:r>
      <w:r w:rsidRPr="00CB7E8C">
        <w:rPr>
          <w:rFonts w:ascii="Arial" w:eastAsia="Calibri" w:hAnsi="Arial" w:cs="Arial"/>
          <w:lang w:val="es-ES"/>
        </w:rPr>
        <w:t xml:space="preserve"> </w:t>
      </w:r>
      <w:proofErr w:type="spellStart"/>
      <w:r w:rsidRPr="00CB7E8C">
        <w:rPr>
          <w:rFonts w:ascii="Arial" w:eastAsia="Calibri" w:hAnsi="Arial" w:cs="Arial"/>
          <w:lang w:val="es-ES"/>
        </w:rPr>
        <w:t>ii</w:t>
      </w:r>
      <w:proofErr w:type="spellEnd"/>
      <w:r w:rsidRPr="00CB7E8C">
        <w:rPr>
          <w:rFonts w:ascii="Arial" w:eastAsia="Calibri" w:hAnsi="Arial" w:cs="Arial"/>
          <w:lang w:val="es-ES"/>
        </w:rPr>
        <w:t>) restricciones para la suscripción de contratos de forma directa por parte de los entes del Estado –</w:t>
      </w:r>
      <w:r w:rsidR="00237B05" w:rsidRPr="00CB7E8C">
        <w:rPr>
          <w:rFonts w:ascii="Arial" w:eastAsia="Calibri" w:hAnsi="Arial" w:cs="Arial"/>
          <w:lang w:val="es-ES"/>
        </w:rPr>
        <w:t xml:space="preserve">Artículo </w:t>
      </w:r>
      <w:r w:rsidRPr="00CB7E8C">
        <w:rPr>
          <w:rFonts w:ascii="Arial" w:eastAsia="Calibri" w:hAnsi="Arial" w:cs="Arial"/>
          <w:lang w:val="es-ES"/>
        </w:rPr>
        <w:t>33 de la Ley 996 de 2005–</w:t>
      </w:r>
      <w:r w:rsidR="000C04ED" w:rsidRPr="00CB7E8C">
        <w:rPr>
          <w:rFonts w:ascii="Arial" w:eastAsia="Calibri" w:hAnsi="Arial" w:cs="Arial"/>
          <w:lang w:val="es-ES"/>
        </w:rPr>
        <w:t xml:space="preserve">; </w:t>
      </w:r>
      <w:proofErr w:type="spellStart"/>
      <w:r w:rsidRPr="00CB7E8C">
        <w:rPr>
          <w:rFonts w:ascii="Arial" w:eastAsia="Calibri" w:hAnsi="Arial" w:cs="Arial"/>
          <w:lang w:val="es-ES"/>
        </w:rPr>
        <w:t>iii</w:t>
      </w:r>
      <w:proofErr w:type="spellEnd"/>
      <w:r w:rsidRPr="00CB7E8C">
        <w:rPr>
          <w:rFonts w:ascii="Arial" w:eastAsia="Calibri" w:hAnsi="Arial" w:cs="Arial"/>
          <w:lang w:val="es-ES"/>
        </w:rPr>
        <w:t>) restricciones para la celebración de contratos y convenios interadministrativos en los comicios de cargos de elección popular</w:t>
      </w:r>
      <w:r w:rsidR="00237B05" w:rsidRPr="00CB7E8C">
        <w:rPr>
          <w:rFonts w:ascii="Arial" w:eastAsia="Calibri" w:hAnsi="Arial" w:cs="Arial"/>
          <w:lang w:val="es-ES"/>
        </w:rPr>
        <w:t xml:space="preserve"> –Artículo 38 de la Ley 966 de 2005–</w:t>
      </w:r>
      <w:r w:rsidRPr="00CB7E8C">
        <w:rPr>
          <w:rFonts w:ascii="Arial" w:eastAsia="Calibri" w:hAnsi="Arial" w:cs="Arial"/>
          <w:lang w:val="es-ES"/>
        </w:rPr>
        <w:t xml:space="preserve"> y</w:t>
      </w:r>
      <w:r w:rsidR="000C04ED" w:rsidRPr="00CB7E8C">
        <w:rPr>
          <w:rFonts w:ascii="Arial" w:eastAsia="Calibri" w:hAnsi="Arial" w:cs="Arial"/>
          <w:lang w:val="es-ES"/>
        </w:rPr>
        <w:t>;</w:t>
      </w:r>
      <w:r w:rsidRPr="00CB7E8C">
        <w:rPr>
          <w:rFonts w:ascii="Arial" w:eastAsia="Calibri" w:hAnsi="Arial" w:cs="Arial"/>
          <w:lang w:val="es-ES"/>
        </w:rPr>
        <w:t xml:space="preserve"> </w:t>
      </w:r>
      <w:proofErr w:type="spellStart"/>
      <w:r w:rsidR="000C04ED" w:rsidRPr="00CB7E8C">
        <w:rPr>
          <w:rFonts w:ascii="Arial" w:eastAsia="Calibri" w:hAnsi="Arial" w:cs="Arial"/>
          <w:lang w:val="es-ES"/>
        </w:rPr>
        <w:t>i</w:t>
      </w:r>
      <w:r w:rsidRPr="00CB7E8C">
        <w:rPr>
          <w:rFonts w:ascii="Arial" w:eastAsia="Calibri" w:hAnsi="Arial" w:cs="Arial"/>
          <w:lang w:val="es-ES"/>
        </w:rPr>
        <w:t>v</w:t>
      </w:r>
      <w:proofErr w:type="spellEnd"/>
      <w:r w:rsidRPr="00CB7E8C">
        <w:rPr>
          <w:rFonts w:ascii="Arial" w:eastAsia="Calibri" w:hAnsi="Arial" w:cs="Arial"/>
          <w:lang w:val="es-ES"/>
        </w:rPr>
        <w:t>) naturaleza jurídica de los convenios de asociación del artículo 355 de la Constitución Política, regulados por el Decreto 092 de 2017</w:t>
      </w:r>
      <w:bookmarkStart w:id="9" w:name="_Hlk76110351"/>
      <w:r w:rsidR="000C04ED" w:rsidRPr="00CB7E8C">
        <w:rPr>
          <w:rFonts w:ascii="Arial" w:eastAsia="Calibri" w:hAnsi="Arial" w:cs="Arial"/>
          <w:lang w:val="es-ES"/>
        </w:rPr>
        <w:t xml:space="preserve"> </w:t>
      </w:r>
      <w:r w:rsidR="00237B05" w:rsidRPr="00CB7E8C">
        <w:rPr>
          <w:rFonts w:ascii="Arial" w:eastAsia="Calibri" w:hAnsi="Arial" w:cs="Arial"/>
          <w:lang w:val="es-MX" w:bidi="es-ES"/>
        </w:rPr>
        <w:t>y restricciones de la Ley de Garantías Electorales</w:t>
      </w:r>
      <w:r w:rsidR="00237B05" w:rsidRPr="00CB7E8C">
        <w:rPr>
          <w:rFonts w:ascii="Arial" w:eastAsia="Calibri" w:hAnsi="Arial" w:cs="Arial"/>
          <w:lang w:val="es-MX"/>
        </w:rPr>
        <w:t>.</w:t>
      </w:r>
      <w:bookmarkEnd w:id="9"/>
      <w:r w:rsidR="00237B05" w:rsidRPr="00CB7E8C">
        <w:rPr>
          <w:rFonts w:ascii="Arial" w:eastAsia="Calibri" w:hAnsi="Arial" w:cs="Arial"/>
          <w:lang w:val="es-MX"/>
        </w:rPr>
        <w:t xml:space="preserve"> </w:t>
      </w:r>
      <w:r w:rsidR="00237B05" w:rsidRPr="00CB7E8C">
        <w:rPr>
          <w:rFonts w:ascii="Arial" w:eastAsia="Calibri" w:hAnsi="Arial" w:cs="Arial"/>
          <w:lang w:val="es-ES"/>
        </w:rPr>
        <w:t xml:space="preserve">  </w:t>
      </w:r>
    </w:p>
    <w:p w14:paraId="0E1300EA" w14:textId="394DEEB8" w:rsidR="00883C23" w:rsidRPr="00CB7E8C" w:rsidRDefault="00883C23" w:rsidP="003C4862">
      <w:pPr>
        <w:tabs>
          <w:tab w:val="left" w:pos="426"/>
        </w:tabs>
        <w:spacing w:after="0" w:line="276" w:lineRule="auto"/>
        <w:ind w:firstLine="709"/>
        <w:jc w:val="both"/>
        <w:rPr>
          <w:rFonts w:ascii="Arial" w:eastAsia="Times New Roman" w:hAnsi="Arial" w:cs="Arial"/>
          <w:lang w:eastAsia="es-CO"/>
        </w:rPr>
      </w:pPr>
      <w:r w:rsidRPr="00CB7E8C">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w:t>
      </w:r>
      <w:r w:rsidRPr="00CB7E8C">
        <w:rPr>
          <w:rFonts w:ascii="Arial" w:eastAsia="Calibri" w:hAnsi="Arial" w:cs="Arial"/>
          <w:bCs/>
        </w:rPr>
        <w:lastRenderedPageBreak/>
        <w:t>del 16 de noviembre de 2021, C-674 del 6 de diciembre de 2021, C-677 del 4 de diciembre de 2021, C-695 del 22 de diciembre de 2021, C-699 del 6 de enero de 2022, C-700 del 6 de enero de 2021, C-723 del 28 de diciembre de 2021, C-715 del 21 de enero de 2022, C-718 del 24 de enero de 2022</w:t>
      </w:r>
      <w:r w:rsidR="00B173FA" w:rsidRPr="00CB7E8C">
        <w:rPr>
          <w:rFonts w:ascii="Arial" w:eastAsia="Calibri" w:hAnsi="Arial" w:cs="Arial"/>
          <w:bCs/>
        </w:rPr>
        <w:t>,</w:t>
      </w:r>
      <w:r w:rsidRPr="00CB7E8C">
        <w:rPr>
          <w:rFonts w:ascii="Arial" w:eastAsia="Calibri" w:hAnsi="Arial" w:cs="Arial"/>
          <w:bCs/>
        </w:rPr>
        <w:t xml:space="preserve"> C-726 del 24 de enero de 2022</w:t>
      </w:r>
      <w:r w:rsidR="00B173FA" w:rsidRPr="00CB7E8C">
        <w:rPr>
          <w:rFonts w:ascii="Arial" w:eastAsia="Calibri" w:hAnsi="Arial" w:cs="Arial"/>
          <w:bCs/>
        </w:rPr>
        <w:t xml:space="preserve">, C-002 del 15 de febrero de 2022, C-003 del </w:t>
      </w:r>
      <w:r w:rsidR="00CC1518" w:rsidRPr="00CB7E8C">
        <w:rPr>
          <w:rFonts w:ascii="Arial" w:eastAsia="Calibri" w:hAnsi="Arial" w:cs="Arial"/>
          <w:bCs/>
        </w:rPr>
        <w:t>1</w:t>
      </w:r>
      <w:r w:rsidR="00B173FA" w:rsidRPr="00CB7E8C">
        <w:rPr>
          <w:rFonts w:ascii="Arial" w:eastAsia="Calibri" w:hAnsi="Arial" w:cs="Arial"/>
          <w:bCs/>
        </w:rPr>
        <w:t xml:space="preserve"> de abril de 2022, C-004 del </w:t>
      </w:r>
      <w:r w:rsidR="00CC1518" w:rsidRPr="00CB7E8C">
        <w:rPr>
          <w:rFonts w:ascii="Arial" w:eastAsia="Calibri" w:hAnsi="Arial" w:cs="Arial"/>
          <w:bCs/>
        </w:rPr>
        <w:t>1</w:t>
      </w:r>
      <w:r w:rsidR="00B173FA" w:rsidRPr="00CB7E8C">
        <w:rPr>
          <w:rFonts w:ascii="Arial" w:eastAsia="Calibri" w:hAnsi="Arial" w:cs="Arial"/>
          <w:bCs/>
        </w:rPr>
        <w:t xml:space="preserve"> de abril de 2022, C-005 del 1</w:t>
      </w:r>
      <w:r w:rsidR="00CC1518" w:rsidRPr="00CB7E8C">
        <w:rPr>
          <w:rFonts w:ascii="Arial" w:eastAsia="Calibri" w:hAnsi="Arial" w:cs="Arial"/>
          <w:bCs/>
        </w:rPr>
        <w:t>6</w:t>
      </w:r>
      <w:r w:rsidR="00B173FA" w:rsidRPr="00CB7E8C">
        <w:rPr>
          <w:rFonts w:ascii="Arial" w:eastAsia="Calibri" w:hAnsi="Arial" w:cs="Arial"/>
          <w:bCs/>
        </w:rPr>
        <w:t xml:space="preserve"> de febrero de 2022, C-009 del 1</w:t>
      </w:r>
      <w:r w:rsidR="00CC1518" w:rsidRPr="00CB7E8C">
        <w:rPr>
          <w:rFonts w:ascii="Arial" w:eastAsia="Calibri" w:hAnsi="Arial" w:cs="Arial"/>
          <w:bCs/>
        </w:rPr>
        <w:t>5</w:t>
      </w:r>
      <w:r w:rsidR="00B173FA" w:rsidRPr="00CB7E8C">
        <w:rPr>
          <w:rFonts w:ascii="Arial" w:eastAsia="Calibri" w:hAnsi="Arial" w:cs="Arial"/>
          <w:bCs/>
        </w:rPr>
        <w:t xml:space="preserve"> de febrero de 2022, C-014 del 18 de febrero de 2022, C-015 del 1</w:t>
      </w:r>
      <w:r w:rsidR="00CC1518" w:rsidRPr="00CB7E8C">
        <w:rPr>
          <w:rFonts w:ascii="Arial" w:eastAsia="Calibri" w:hAnsi="Arial" w:cs="Arial"/>
          <w:bCs/>
        </w:rPr>
        <w:t>2</w:t>
      </w:r>
      <w:r w:rsidR="00B173FA" w:rsidRPr="00CB7E8C">
        <w:rPr>
          <w:rFonts w:ascii="Arial" w:eastAsia="Calibri" w:hAnsi="Arial" w:cs="Arial"/>
          <w:bCs/>
        </w:rPr>
        <w:t xml:space="preserve"> de febrero de 2022, C-015 del 14 de febrero de 2022, C-022 del 21 de febrero de 2022, C-023 del 22 de febrero de 2022, C-008 del 2</w:t>
      </w:r>
      <w:r w:rsidR="00CC1518" w:rsidRPr="00CB7E8C">
        <w:rPr>
          <w:rFonts w:ascii="Arial" w:eastAsia="Calibri" w:hAnsi="Arial" w:cs="Arial"/>
          <w:bCs/>
        </w:rPr>
        <w:t>4</w:t>
      </w:r>
      <w:r w:rsidR="00B173FA" w:rsidRPr="00CB7E8C">
        <w:rPr>
          <w:rFonts w:ascii="Arial" w:eastAsia="Calibri" w:hAnsi="Arial" w:cs="Arial"/>
          <w:bCs/>
        </w:rPr>
        <w:t xml:space="preserve"> de febrero de 2022, C-042 del </w:t>
      </w:r>
      <w:r w:rsidR="00D477B7" w:rsidRPr="00CB7E8C">
        <w:rPr>
          <w:rFonts w:ascii="Arial" w:eastAsia="Calibri" w:hAnsi="Arial" w:cs="Arial"/>
          <w:bCs/>
        </w:rPr>
        <w:t>4</w:t>
      </w:r>
      <w:r w:rsidR="00DC10CE" w:rsidRPr="00CB7E8C">
        <w:rPr>
          <w:rFonts w:ascii="Arial" w:eastAsia="Calibri" w:hAnsi="Arial" w:cs="Arial"/>
          <w:bCs/>
        </w:rPr>
        <w:t xml:space="preserve"> de marzo de 2022, C-045 del 3 de marzo de 2022, C-054 del 7 de marzo de 2022, C-055 del 17 </w:t>
      </w:r>
      <w:r w:rsidR="002E41DE" w:rsidRPr="00CB7E8C">
        <w:rPr>
          <w:rFonts w:ascii="Arial" w:eastAsia="Calibri" w:hAnsi="Arial" w:cs="Arial"/>
          <w:bCs/>
        </w:rPr>
        <w:t>de febrero de 2022, C-064 del 8 de marzo de 2022, C-032 del 11 de marzo de 2022, C-072 del 11 de marzo de 2022, C-109 del 14 de marzo de 2022, C-073 del 14 de marzo de 2022, C-075 del 10 de marzo de 2022, C-076 del 15 de marzo de 2022, C-077</w:t>
      </w:r>
      <w:r w:rsidR="004B789A" w:rsidRPr="00CB7E8C">
        <w:rPr>
          <w:rFonts w:ascii="Arial" w:eastAsia="Calibri" w:hAnsi="Arial" w:cs="Arial"/>
          <w:bCs/>
        </w:rPr>
        <w:t xml:space="preserve"> del 17 de marzo de 2022, C-092 del 1</w:t>
      </w:r>
      <w:r w:rsidR="00D477B7" w:rsidRPr="00CB7E8C">
        <w:rPr>
          <w:rFonts w:ascii="Arial" w:eastAsia="Calibri" w:hAnsi="Arial" w:cs="Arial"/>
          <w:bCs/>
        </w:rPr>
        <w:t>6</w:t>
      </w:r>
      <w:r w:rsidR="004B789A" w:rsidRPr="00CB7E8C">
        <w:rPr>
          <w:rFonts w:ascii="Arial" w:eastAsia="Calibri" w:hAnsi="Arial" w:cs="Arial"/>
          <w:bCs/>
        </w:rPr>
        <w:t xml:space="preserve"> de marzo de 2022, C-094 del 1</w:t>
      </w:r>
      <w:r w:rsidR="00D477B7" w:rsidRPr="00CB7E8C">
        <w:rPr>
          <w:rFonts w:ascii="Arial" w:eastAsia="Calibri" w:hAnsi="Arial" w:cs="Arial"/>
          <w:bCs/>
        </w:rPr>
        <w:t>6</w:t>
      </w:r>
      <w:r w:rsidR="004B789A" w:rsidRPr="00CB7E8C">
        <w:rPr>
          <w:rFonts w:ascii="Arial" w:eastAsia="Calibri" w:hAnsi="Arial" w:cs="Arial"/>
          <w:bCs/>
        </w:rPr>
        <w:t xml:space="preserve"> de marzo de 2022, C-096 del </w:t>
      </w:r>
      <w:r w:rsidR="004E3692" w:rsidRPr="00CB7E8C">
        <w:rPr>
          <w:rFonts w:ascii="Arial" w:eastAsia="Calibri" w:hAnsi="Arial" w:cs="Arial"/>
          <w:bCs/>
        </w:rPr>
        <w:t xml:space="preserve">22 de marzo de 2022, C-097 del 18 de febrero de 2022, C-098 del </w:t>
      </w:r>
      <w:r w:rsidR="00C6686B" w:rsidRPr="00CB7E8C">
        <w:rPr>
          <w:rFonts w:ascii="Arial" w:eastAsia="Calibri" w:hAnsi="Arial" w:cs="Arial"/>
          <w:bCs/>
        </w:rPr>
        <w:t xml:space="preserve">9 de marzo de 2022, C-099 del 22 de marzo de 2022, </w:t>
      </w:r>
      <w:r w:rsidR="00AA7B58" w:rsidRPr="00CB7E8C">
        <w:rPr>
          <w:rFonts w:ascii="Arial" w:eastAsia="Calibri" w:hAnsi="Arial" w:cs="Arial"/>
          <w:bCs/>
        </w:rPr>
        <w:t>C-100 del 29 de marzo de 2022, C-102 del 22 de marzo de 2022,</w:t>
      </w:r>
      <w:r w:rsidR="00202154" w:rsidRPr="00CB7E8C">
        <w:rPr>
          <w:rFonts w:ascii="Arial" w:eastAsia="Calibri" w:hAnsi="Arial" w:cs="Arial"/>
          <w:bCs/>
        </w:rPr>
        <w:t xml:space="preserve"> C-103 del </w:t>
      </w:r>
      <w:r w:rsidR="00D477B7" w:rsidRPr="00CB7E8C">
        <w:rPr>
          <w:rFonts w:ascii="Arial" w:eastAsia="Calibri" w:hAnsi="Arial" w:cs="Arial"/>
          <w:bCs/>
        </w:rPr>
        <w:t>17</w:t>
      </w:r>
      <w:r w:rsidR="00202154" w:rsidRPr="00CB7E8C">
        <w:rPr>
          <w:rFonts w:ascii="Arial" w:eastAsia="Calibri" w:hAnsi="Arial" w:cs="Arial"/>
          <w:bCs/>
        </w:rPr>
        <w:t xml:space="preserve"> de marzo de 2022, </w:t>
      </w:r>
      <w:r w:rsidR="00AA7B58" w:rsidRPr="00CB7E8C">
        <w:rPr>
          <w:rFonts w:ascii="Arial" w:eastAsia="Calibri" w:hAnsi="Arial" w:cs="Arial"/>
          <w:bCs/>
        </w:rPr>
        <w:t xml:space="preserve"> </w:t>
      </w:r>
      <w:r w:rsidR="00C6686B" w:rsidRPr="00CB7E8C">
        <w:rPr>
          <w:rFonts w:ascii="Arial" w:eastAsia="Calibri" w:hAnsi="Arial" w:cs="Arial"/>
          <w:bCs/>
        </w:rPr>
        <w:t xml:space="preserve"> </w:t>
      </w:r>
      <w:r w:rsidR="00202154" w:rsidRPr="00202154">
        <w:rPr>
          <w:rFonts w:ascii="Arial" w:eastAsia="Times New Roman" w:hAnsi="Arial" w:cs="Arial"/>
          <w:lang w:eastAsia="es-CO"/>
        </w:rPr>
        <w:t>C-105</w:t>
      </w:r>
      <w:r w:rsidR="00202154" w:rsidRPr="00CB7E8C">
        <w:rPr>
          <w:rFonts w:ascii="Arial" w:eastAsia="Times New Roman" w:hAnsi="Arial" w:cs="Arial"/>
          <w:lang w:eastAsia="es-CO"/>
        </w:rPr>
        <w:t xml:space="preserve"> del </w:t>
      </w:r>
      <w:r w:rsidR="00D477B7" w:rsidRPr="00CB7E8C">
        <w:rPr>
          <w:rFonts w:ascii="Arial" w:eastAsia="Times New Roman" w:hAnsi="Arial" w:cs="Arial"/>
          <w:lang w:eastAsia="es-CO"/>
        </w:rPr>
        <w:t>18</w:t>
      </w:r>
      <w:r w:rsidR="00202154" w:rsidRPr="00CB7E8C">
        <w:rPr>
          <w:rFonts w:ascii="Arial" w:eastAsia="Times New Roman" w:hAnsi="Arial" w:cs="Arial"/>
          <w:lang w:eastAsia="es-CO"/>
        </w:rPr>
        <w:t xml:space="preserve"> de marzo de 2022, </w:t>
      </w:r>
      <w:r w:rsidR="00202154" w:rsidRPr="00202154">
        <w:rPr>
          <w:rFonts w:ascii="Arial" w:eastAsia="Times New Roman" w:hAnsi="Arial" w:cs="Arial"/>
          <w:lang w:eastAsia="es-CO"/>
        </w:rPr>
        <w:t>C-106</w:t>
      </w:r>
      <w:r w:rsidR="00202154" w:rsidRPr="00CB7E8C">
        <w:rPr>
          <w:rFonts w:ascii="Arial" w:eastAsia="Times New Roman" w:hAnsi="Arial" w:cs="Arial"/>
          <w:lang w:eastAsia="es-CO"/>
        </w:rPr>
        <w:t xml:space="preserve"> del 29 de marzo de 2022, </w:t>
      </w:r>
      <w:r w:rsidR="00202154" w:rsidRPr="00202154">
        <w:rPr>
          <w:rFonts w:ascii="Arial" w:eastAsia="Times New Roman" w:hAnsi="Arial" w:cs="Arial"/>
          <w:lang w:eastAsia="es-CO"/>
        </w:rPr>
        <w:t>C-107</w:t>
      </w:r>
      <w:r w:rsidR="00202154" w:rsidRPr="00CB7E8C">
        <w:rPr>
          <w:rFonts w:ascii="Arial" w:eastAsia="Times New Roman" w:hAnsi="Arial" w:cs="Arial"/>
          <w:lang w:eastAsia="es-CO"/>
        </w:rPr>
        <w:t xml:space="preserve"> del 18 de marzo de 2022, C-111 del 2</w:t>
      </w:r>
      <w:r w:rsidR="00D477B7" w:rsidRPr="00CB7E8C">
        <w:rPr>
          <w:rFonts w:ascii="Arial" w:eastAsia="Times New Roman" w:hAnsi="Arial" w:cs="Arial"/>
          <w:lang w:eastAsia="es-CO"/>
        </w:rPr>
        <w:t>2</w:t>
      </w:r>
      <w:r w:rsidR="00202154" w:rsidRPr="00CB7E8C">
        <w:rPr>
          <w:rFonts w:ascii="Arial" w:eastAsia="Times New Roman" w:hAnsi="Arial" w:cs="Arial"/>
          <w:lang w:eastAsia="es-CO"/>
        </w:rPr>
        <w:t xml:space="preserve"> de marzo de 2022, </w:t>
      </w:r>
      <w:r w:rsidR="00202154" w:rsidRPr="00202154">
        <w:rPr>
          <w:rFonts w:ascii="Arial" w:eastAsia="Times New Roman" w:hAnsi="Arial" w:cs="Arial"/>
          <w:lang w:eastAsia="es-CO"/>
        </w:rPr>
        <w:t>C-115</w:t>
      </w:r>
      <w:r w:rsidR="00202154" w:rsidRPr="00CB7E8C">
        <w:rPr>
          <w:rFonts w:ascii="Arial" w:eastAsia="Times New Roman" w:hAnsi="Arial" w:cs="Arial"/>
          <w:lang w:eastAsia="es-CO"/>
        </w:rPr>
        <w:t xml:space="preserve"> del 2</w:t>
      </w:r>
      <w:r w:rsidR="00D477B7" w:rsidRPr="00CB7E8C">
        <w:rPr>
          <w:rFonts w:ascii="Arial" w:eastAsia="Times New Roman" w:hAnsi="Arial" w:cs="Arial"/>
          <w:lang w:eastAsia="es-CO"/>
        </w:rPr>
        <w:t>2</w:t>
      </w:r>
      <w:r w:rsidR="00202154" w:rsidRPr="00CB7E8C">
        <w:rPr>
          <w:rFonts w:ascii="Arial" w:eastAsia="Times New Roman" w:hAnsi="Arial" w:cs="Arial"/>
          <w:lang w:eastAsia="es-CO"/>
        </w:rPr>
        <w:t xml:space="preserve"> de marzo de 2022, </w:t>
      </w:r>
      <w:r w:rsidR="00202154" w:rsidRPr="00202154">
        <w:rPr>
          <w:rFonts w:ascii="Arial" w:eastAsia="Times New Roman" w:hAnsi="Arial" w:cs="Arial"/>
          <w:lang w:eastAsia="es-CO"/>
        </w:rPr>
        <w:t>C-116</w:t>
      </w:r>
      <w:r w:rsidR="00202154" w:rsidRPr="00CB7E8C">
        <w:rPr>
          <w:rFonts w:ascii="Arial" w:eastAsia="Times New Roman" w:hAnsi="Arial" w:cs="Arial"/>
          <w:lang w:eastAsia="es-CO"/>
        </w:rPr>
        <w:t xml:space="preserve"> del </w:t>
      </w:r>
      <w:r w:rsidR="005D1DC0" w:rsidRPr="00CB7E8C">
        <w:rPr>
          <w:rFonts w:ascii="Arial" w:eastAsia="Times New Roman" w:hAnsi="Arial" w:cs="Arial"/>
          <w:lang w:eastAsia="es-CO"/>
        </w:rPr>
        <w:t>18</w:t>
      </w:r>
      <w:r w:rsidR="00202154" w:rsidRPr="00CB7E8C">
        <w:rPr>
          <w:rFonts w:ascii="Arial" w:eastAsia="Times New Roman" w:hAnsi="Arial" w:cs="Arial"/>
          <w:lang w:eastAsia="es-CO"/>
        </w:rPr>
        <w:t xml:space="preserve"> de marzo de 2022, </w:t>
      </w:r>
      <w:r w:rsidR="00202154" w:rsidRPr="00202154">
        <w:rPr>
          <w:rFonts w:ascii="Arial" w:eastAsia="Times New Roman" w:hAnsi="Arial" w:cs="Arial"/>
          <w:lang w:eastAsia="es-CO"/>
        </w:rPr>
        <w:t>C-122</w:t>
      </w:r>
      <w:r w:rsidR="00202154" w:rsidRPr="00CB7E8C">
        <w:rPr>
          <w:rFonts w:ascii="Arial" w:eastAsia="Times New Roman" w:hAnsi="Arial" w:cs="Arial"/>
          <w:lang w:eastAsia="es-CO"/>
        </w:rPr>
        <w:t xml:space="preserve"> del </w:t>
      </w:r>
      <w:r w:rsidR="005D1DC0" w:rsidRPr="00CB7E8C">
        <w:rPr>
          <w:rFonts w:ascii="Arial" w:eastAsia="Times New Roman" w:hAnsi="Arial" w:cs="Arial"/>
          <w:lang w:eastAsia="es-CO"/>
        </w:rPr>
        <w:t>18</w:t>
      </w:r>
      <w:r w:rsidR="00202154" w:rsidRPr="00CB7E8C">
        <w:rPr>
          <w:rFonts w:ascii="Arial" w:eastAsia="Times New Roman" w:hAnsi="Arial" w:cs="Arial"/>
          <w:lang w:eastAsia="es-CO"/>
        </w:rPr>
        <w:t xml:space="preserve"> de marzo de 2022,  </w:t>
      </w:r>
      <w:r w:rsidR="00202154" w:rsidRPr="00202154">
        <w:rPr>
          <w:rFonts w:ascii="Arial" w:eastAsia="Times New Roman" w:hAnsi="Arial" w:cs="Arial"/>
          <w:lang w:eastAsia="es-CO"/>
        </w:rPr>
        <w:t>C-127</w:t>
      </w:r>
      <w:r w:rsidR="00202154" w:rsidRPr="00CB7E8C">
        <w:rPr>
          <w:rFonts w:ascii="Arial" w:eastAsia="Times New Roman" w:hAnsi="Arial" w:cs="Arial"/>
          <w:lang w:eastAsia="es-CO"/>
        </w:rPr>
        <w:t xml:space="preserve"> del </w:t>
      </w:r>
      <w:r w:rsidR="005D1DC0" w:rsidRPr="00CB7E8C">
        <w:rPr>
          <w:rFonts w:ascii="Arial" w:eastAsia="Times New Roman" w:hAnsi="Arial" w:cs="Arial"/>
          <w:lang w:eastAsia="es-CO"/>
        </w:rPr>
        <w:t>22</w:t>
      </w:r>
      <w:r w:rsidR="00202154" w:rsidRPr="00CB7E8C">
        <w:rPr>
          <w:rFonts w:ascii="Arial" w:eastAsia="Times New Roman" w:hAnsi="Arial" w:cs="Arial"/>
          <w:lang w:eastAsia="es-CO"/>
        </w:rPr>
        <w:t xml:space="preserve"> de marzo de 2022, </w:t>
      </w:r>
      <w:r w:rsidR="00202154" w:rsidRPr="00202154">
        <w:rPr>
          <w:rFonts w:ascii="Arial" w:eastAsia="Times New Roman" w:hAnsi="Arial" w:cs="Arial"/>
          <w:lang w:eastAsia="es-CO"/>
        </w:rPr>
        <w:t>C-139</w:t>
      </w:r>
      <w:r w:rsidR="00202154" w:rsidRPr="00CB7E8C">
        <w:rPr>
          <w:rFonts w:ascii="Arial" w:eastAsia="Times New Roman" w:hAnsi="Arial" w:cs="Arial"/>
          <w:lang w:eastAsia="es-CO"/>
        </w:rPr>
        <w:t xml:space="preserve"> del 31 de marzo de 2022, </w:t>
      </w:r>
      <w:r w:rsidR="00202154" w:rsidRPr="00202154">
        <w:rPr>
          <w:rFonts w:ascii="Arial" w:eastAsia="Times New Roman" w:hAnsi="Arial" w:cs="Arial"/>
          <w:lang w:eastAsia="es-CO"/>
        </w:rPr>
        <w:t>C-145</w:t>
      </w:r>
      <w:r w:rsidR="00202154" w:rsidRPr="00CB7E8C">
        <w:rPr>
          <w:rFonts w:ascii="Arial" w:eastAsia="Times New Roman" w:hAnsi="Arial" w:cs="Arial"/>
          <w:lang w:eastAsia="es-CO"/>
        </w:rPr>
        <w:t xml:space="preserve"> del </w:t>
      </w:r>
      <w:r w:rsidR="005D1DC0" w:rsidRPr="00CB7E8C">
        <w:rPr>
          <w:rFonts w:ascii="Arial" w:eastAsia="Times New Roman" w:hAnsi="Arial" w:cs="Arial"/>
          <w:lang w:eastAsia="es-CO"/>
        </w:rPr>
        <w:t>28</w:t>
      </w:r>
      <w:r w:rsidR="00202154" w:rsidRPr="00CB7E8C">
        <w:rPr>
          <w:rFonts w:ascii="Arial" w:eastAsia="Times New Roman" w:hAnsi="Arial" w:cs="Arial"/>
          <w:lang w:eastAsia="es-CO"/>
        </w:rPr>
        <w:t xml:space="preserve"> de marzo de 2022, C-146 del </w:t>
      </w:r>
      <w:r w:rsidR="005D1DC0" w:rsidRPr="00CB7E8C">
        <w:rPr>
          <w:rFonts w:ascii="Arial" w:eastAsia="Times New Roman" w:hAnsi="Arial" w:cs="Arial"/>
          <w:lang w:eastAsia="es-CO"/>
        </w:rPr>
        <w:t>25 de marzo</w:t>
      </w:r>
      <w:r w:rsidR="00202154" w:rsidRPr="00CB7E8C">
        <w:rPr>
          <w:rFonts w:ascii="Arial" w:eastAsia="Times New Roman" w:hAnsi="Arial" w:cs="Arial"/>
          <w:lang w:eastAsia="es-CO"/>
        </w:rPr>
        <w:t xml:space="preserve"> de </w:t>
      </w:r>
      <w:r w:rsidR="00422F5C" w:rsidRPr="00CB7E8C">
        <w:rPr>
          <w:rFonts w:ascii="Arial" w:eastAsia="Times New Roman" w:hAnsi="Arial" w:cs="Arial"/>
          <w:lang w:eastAsia="es-CO"/>
        </w:rPr>
        <w:t xml:space="preserve">2022, </w:t>
      </w:r>
      <w:r w:rsidR="00422F5C" w:rsidRPr="00202154">
        <w:rPr>
          <w:rFonts w:ascii="Arial" w:eastAsia="Times New Roman" w:hAnsi="Arial" w:cs="Arial"/>
          <w:lang w:eastAsia="es-CO"/>
        </w:rPr>
        <w:t>C-147</w:t>
      </w:r>
      <w:r w:rsidR="00422F5C" w:rsidRPr="00CB7E8C">
        <w:rPr>
          <w:rFonts w:ascii="Arial" w:eastAsia="Times New Roman" w:hAnsi="Arial" w:cs="Arial"/>
          <w:lang w:eastAsia="es-CO"/>
        </w:rPr>
        <w:t xml:space="preserve"> del </w:t>
      </w:r>
      <w:r w:rsidR="005D1DC0" w:rsidRPr="00CB7E8C">
        <w:rPr>
          <w:rFonts w:ascii="Arial" w:eastAsia="Times New Roman" w:hAnsi="Arial" w:cs="Arial"/>
          <w:lang w:eastAsia="es-CO"/>
        </w:rPr>
        <w:t>4</w:t>
      </w:r>
      <w:r w:rsidR="00422F5C" w:rsidRPr="00CB7E8C">
        <w:rPr>
          <w:rFonts w:ascii="Arial" w:eastAsia="Times New Roman" w:hAnsi="Arial" w:cs="Arial"/>
          <w:lang w:eastAsia="es-CO"/>
        </w:rPr>
        <w:t xml:space="preserve"> de abril de 2022, </w:t>
      </w:r>
      <w:r w:rsidR="00422F5C" w:rsidRPr="00202154">
        <w:rPr>
          <w:rFonts w:ascii="Arial" w:eastAsia="Times New Roman" w:hAnsi="Arial" w:cs="Arial"/>
          <w:lang w:eastAsia="es-CO"/>
        </w:rPr>
        <w:t>C-148</w:t>
      </w:r>
      <w:r w:rsidR="00422F5C" w:rsidRPr="00CB7E8C">
        <w:rPr>
          <w:rFonts w:ascii="Arial" w:eastAsia="Times New Roman" w:hAnsi="Arial" w:cs="Arial"/>
          <w:lang w:eastAsia="es-CO"/>
        </w:rPr>
        <w:t xml:space="preserve"> del </w:t>
      </w:r>
      <w:r w:rsidR="005D1DC0" w:rsidRPr="00CB7E8C">
        <w:rPr>
          <w:rFonts w:ascii="Arial" w:eastAsia="Times New Roman" w:hAnsi="Arial" w:cs="Arial"/>
          <w:lang w:eastAsia="es-CO"/>
        </w:rPr>
        <w:t>29 de marzo</w:t>
      </w:r>
      <w:r w:rsidR="00422F5C" w:rsidRPr="00CB7E8C">
        <w:rPr>
          <w:rFonts w:ascii="Arial" w:eastAsia="Times New Roman" w:hAnsi="Arial" w:cs="Arial"/>
          <w:lang w:eastAsia="es-CO"/>
        </w:rPr>
        <w:t xml:space="preserve"> de 2022, </w:t>
      </w:r>
      <w:r w:rsidR="00422F5C" w:rsidRPr="00202154">
        <w:rPr>
          <w:rFonts w:ascii="Arial" w:eastAsia="Times New Roman" w:hAnsi="Arial" w:cs="Arial"/>
          <w:lang w:eastAsia="es-CO"/>
        </w:rPr>
        <w:t>C-150</w:t>
      </w:r>
      <w:r w:rsidR="00422F5C" w:rsidRPr="00CB7E8C">
        <w:rPr>
          <w:rFonts w:ascii="Arial" w:eastAsia="Times New Roman" w:hAnsi="Arial" w:cs="Arial"/>
          <w:lang w:eastAsia="es-CO"/>
        </w:rPr>
        <w:t xml:space="preserve"> del 3</w:t>
      </w:r>
      <w:r w:rsidR="00BD2FB0" w:rsidRPr="00CB7E8C">
        <w:rPr>
          <w:rFonts w:ascii="Arial" w:eastAsia="Times New Roman" w:hAnsi="Arial" w:cs="Arial"/>
          <w:lang w:eastAsia="es-CO"/>
        </w:rPr>
        <w:t>0</w:t>
      </w:r>
      <w:r w:rsidR="00422F5C" w:rsidRPr="00CB7E8C">
        <w:rPr>
          <w:rFonts w:ascii="Arial" w:eastAsia="Times New Roman" w:hAnsi="Arial" w:cs="Arial"/>
          <w:lang w:eastAsia="es-CO"/>
        </w:rPr>
        <w:t xml:space="preserve"> de marzo de 2022, </w:t>
      </w:r>
      <w:r w:rsidR="00422F5C" w:rsidRPr="00202154">
        <w:rPr>
          <w:rFonts w:ascii="Arial" w:eastAsia="Times New Roman" w:hAnsi="Arial" w:cs="Arial"/>
          <w:lang w:eastAsia="es-CO"/>
        </w:rPr>
        <w:t>C-151</w:t>
      </w:r>
      <w:r w:rsidR="00422F5C" w:rsidRPr="00CB7E8C">
        <w:rPr>
          <w:rFonts w:ascii="Arial" w:eastAsia="Times New Roman" w:hAnsi="Arial" w:cs="Arial"/>
          <w:lang w:eastAsia="es-CO"/>
        </w:rPr>
        <w:t xml:space="preserve"> del </w:t>
      </w:r>
      <w:r w:rsidR="00BD2FB0" w:rsidRPr="00CB7E8C">
        <w:rPr>
          <w:rFonts w:ascii="Arial" w:eastAsia="Times New Roman" w:hAnsi="Arial" w:cs="Arial"/>
          <w:lang w:eastAsia="es-CO"/>
        </w:rPr>
        <w:t>5</w:t>
      </w:r>
      <w:r w:rsidR="00422F5C" w:rsidRPr="00CB7E8C">
        <w:rPr>
          <w:rFonts w:ascii="Arial" w:eastAsia="Times New Roman" w:hAnsi="Arial" w:cs="Arial"/>
          <w:lang w:eastAsia="es-CO"/>
        </w:rPr>
        <w:t xml:space="preserve"> de abril de 2022, </w:t>
      </w:r>
      <w:r w:rsidR="00422F5C" w:rsidRPr="00202154">
        <w:rPr>
          <w:rFonts w:ascii="Arial" w:eastAsia="Times New Roman" w:hAnsi="Arial" w:cs="Arial"/>
          <w:lang w:eastAsia="es-CO"/>
        </w:rPr>
        <w:t>C-153</w:t>
      </w:r>
      <w:r w:rsidR="00422F5C" w:rsidRPr="00CB7E8C">
        <w:rPr>
          <w:rFonts w:ascii="Arial" w:eastAsia="Times New Roman" w:hAnsi="Arial" w:cs="Arial"/>
          <w:lang w:eastAsia="es-CO"/>
        </w:rPr>
        <w:t xml:space="preserve"> del </w:t>
      </w:r>
      <w:r w:rsidR="00BD2FB0" w:rsidRPr="00CB7E8C">
        <w:rPr>
          <w:rFonts w:ascii="Arial" w:eastAsia="Times New Roman" w:hAnsi="Arial" w:cs="Arial"/>
          <w:lang w:eastAsia="es-CO"/>
        </w:rPr>
        <w:t>25 de marzo</w:t>
      </w:r>
      <w:r w:rsidR="00422F5C" w:rsidRPr="00CB7E8C">
        <w:rPr>
          <w:rFonts w:ascii="Arial" w:eastAsia="Times New Roman" w:hAnsi="Arial" w:cs="Arial"/>
          <w:lang w:eastAsia="es-CO"/>
        </w:rPr>
        <w:t xml:space="preserve"> de 2022, </w:t>
      </w:r>
      <w:r w:rsidR="00422F5C" w:rsidRPr="00202154">
        <w:rPr>
          <w:rFonts w:ascii="Arial" w:eastAsia="Times New Roman" w:hAnsi="Arial" w:cs="Arial"/>
          <w:lang w:eastAsia="es-CO"/>
        </w:rPr>
        <w:t>C-155</w:t>
      </w:r>
      <w:r w:rsidR="00422F5C" w:rsidRPr="00CB7E8C">
        <w:rPr>
          <w:rFonts w:ascii="Arial" w:eastAsia="Times New Roman" w:hAnsi="Arial" w:cs="Arial"/>
          <w:lang w:eastAsia="es-CO"/>
        </w:rPr>
        <w:t xml:space="preserve"> del </w:t>
      </w:r>
      <w:r w:rsidR="00980622" w:rsidRPr="00CB7E8C">
        <w:rPr>
          <w:rFonts w:ascii="Arial" w:eastAsia="Times New Roman" w:hAnsi="Arial" w:cs="Arial"/>
          <w:lang w:eastAsia="es-CO"/>
        </w:rPr>
        <w:t>1</w:t>
      </w:r>
      <w:r w:rsidR="00422F5C" w:rsidRPr="00CB7E8C">
        <w:rPr>
          <w:rFonts w:ascii="Arial" w:eastAsia="Times New Roman" w:hAnsi="Arial" w:cs="Arial"/>
          <w:lang w:eastAsia="es-CO"/>
        </w:rPr>
        <w:t xml:space="preserve"> de abril de 2022, </w:t>
      </w:r>
      <w:r w:rsidR="00422F5C" w:rsidRPr="00202154">
        <w:rPr>
          <w:rFonts w:ascii="Arial" w:eastAsia="Times New Roman" w:hAnsi="Arial" w:cs="Arial"/>
          <w:lang w:eastAsia="es-CO"/>
        </w:rPr>
        <w:t>C-156</w:t>
      </w:r>
      <w:r w:rsidR="00422F5C" w:rsidRPr="00CB7E8C">
        <w:rPr>
          <w:rFonts w:ascii="Arial" w:eastAsia="Times New Roman" w:hAnsi="Arial" w:cs="Arial"/>
          <w:lang w:eastAsia="es-CO"/>
        </w:rPr>
        <w:t xml:space="preserve"> del </w:t>
      </w:r>
      <w:r w:rsidR="00980622" w:rsidRPr="00CB7E8C">
        <w:rPr>
          <w:rFonts w:ascii="Arial" w:eastAsia="Times New Roman" w:hAnsi="Arial" w:cs="Arial"/>
          <w:lang w:eastAsia="es-CO"/>
        </w:rPr>
        <w:t>28 de marzo</w:t>
      </w:r>
      <w:r w:rsidR="00422F5C" w:rsidRPr="00CB7E8C">
        <w:rPr>
          <w:rFonts w:ascii="Arial" w:eastAsia="Times New Roman" w:hAnsi="Arial" w:cs="Arial"/>
          <w:lang w:eastAsia="es-CO"/>
        </w:rPr>
        <w:t xml:space="preserve"> de 2022, </w:t>
      </w:r>
      <w:r w:rsidR="00422F5C" w:rsidRPr="00202154">
        <w:rPr>
          <w:rFonts w:ascii="Arial" w:eastAsia="Times New Roman" w:hAnsi="Arial" w:cs="Arial"/>
          <w:lang w:eastAsia="es-CO"/>
        </w:rPr>
        <w:t>C-157</w:t>
      </w:r>
      <w:r w:rsidR="00422F5C" w:rsidRPr="00CB7E8C">
        <w:rPr>
          <w:rFonts w:ascii="Arial" w:eastAsia="Times New Roman" w:hAnsi="Arial" w:cs="Arial"/>
          <w:lang w:eastAsia="es-CO"/>
        </w:rPr>
        <w:t xml:space="preserve"> del </w:t>
      </w:r>
      <w:r w:rsidR="00980622" w:rsidRPr="00CB7E8C">
        <w:rPr>
          <w:rFonts w:ascii="Arial" w:eastAsia="Times New Roman" w:hAnsi="Arial" w:cs="Arial"/>
          <w:lang w:eastAsia="es-CO"/>
        </w:rPr>
        <w:t>5</w:t>
      </w:r>
      <w:r w:rsidR="00422F5C" w:rsidRPr="00CB7E8C">
        <w:rPr>
          <w:rFonts w:ascii="Arial" w:eastAsia="Times New Roman" w:hAnsi="Arial" w:cs="Arial"/>
          <w:lang w:eastAsia="es-CO"/>
        </w:rPr>
        <w:t xml:space="preserve"> de abril de 2022, </w:t>
      </w:r>
      <w:r w:rsidR="00422F5C" w:rsidRPr="00202154">
        <w:rPr>
          <w:rFonts w:ascii="Arial" w:eastAsia="Times New Roman" w:hAnsi="Arial" w:cs="Arial"/>
          <w:lang w:eastAsia="es-CO"/>
        </w:rPr>
        <w:t>C-164</w:t>
      </w:r>
      <w:r w:rsidR="00422F5C" w:rsidRPr="00CB7E8C">
        <w:rPr>
          <w:rFonts w:ascii="Arial" w:eastAsia="Times New Roman" w:hAnsi="Arial" w:cs="Arial"/>
          <w:lang w:eastAsia="es-CO"/>
        </w:rPr>
        <w:t xml:space="preserve"> del </w:t>
      </w:r>
      <w:r w:rsidR="00980622" w:rsidRPr="00CB7E8C">
        <w:rPr>
          <w:rFonts w:ascii="Arial" w:eastAsia="Times New Roman" w:hAnsi="Arial" w:cs="Arial"/>
          <w:lang w:eastAsia="es-CO"/>
        </w:rPr>
        <w:t>22</w:t>
      </w:r>
      <w:r w:rsidR="00422F5C" w:rsidRPr="00CB7E8C">
        <w:rPr>
          <w:rFonts w:ascii="Arial" w:eastAsia="Times New Roman" w:hAnsi="Arial" w:cs="Arial"/>
          <w:lang w:eastAsia="es-CO"/>
        </w:rPr>
        <w:t xml:space="preserve"> de marzo de 2022, C-169 del </w:t>
      </w:r>
      <w:r w:rsidR="00980622" w:rsidRPr="00CB7E8C">
        <w:rPr>
          <w:rFonts w:ascii="Arial" w:eastAsia="Times New Roman" w:hAnsi="Arial" w:cs="Arial"/>
          <w:lang w:eastAsia="es-CO"/>
        </w:rPr>
        <w:t>7</w:t>
      </w:r>
      <w:r w:rsidR="00422F5C" w:rsidRPr="00CB7E8C">
        <w:rPr>
          <w:rFonts w:ascii="Arial" w:eastAsia="Times New Roman" w:hAnsi="Arial" w:cs="Arial"/>
          <w:lang w:eastAsia="es-CO"/>
        </w:rPr>
        <w:t xml:space="preserve"> de abril de 2022, C-171 del 6 de abril de 2022 y C-216 de</w:t>
      </w:r>
      <w:r w:rsidR="003C4862" w:rsidRPr="00CB7E8C">
        <w:rPr>
          <w:rFonts w:ascii="Arial" w:eastAsia="Times New Roman" w:hAnsi="Arial" w:cs="Arial"/>
          <w:lang w:eastAsia="es-CO"/>
        </w:rPr>
        <w:t xml:space="preserve">l </w:t>
      </w:r>
      <w:r w:rsidR="00980622" w:rsidRPr="00CB7E8C">
        <w:rPr>
          <w:rFonts w:ascii="Arial" w:eastAsia="Times New Roman" w:hAnsi="Arial" w:cs="Arial"/>
          <w:lang w:eastAsia="es-CO"/>
        </w:rPr>
        <w:t xml:space="preserve">9 </w:t>
      </w:r>
      <w:r w:rsidR="003C4862" w:rsidRPr="00CB7E8C">
        <w:rPr>
          <w:rFonts w:ascii="Arial" w:eastAsia="Times New Roman" w:hAnsi="Arial" w:cs="Arial"/>
          <w:lang w:eastAsia="es-CO"/>
        </w:rPr>
        <w:t>marzo de 2022.</w:t>
      </w:r>
      <w:r w:rsidRPr="00CB7E8C">
        <w:rPr>
          <w:rFonts w:ascii="Arial" w:eastAsia="Calibri" w:hAnsi="Arial" w:cs="Arial"/>
          <w:bCs/>
        </w:rPr>
        <w:t xml:space="preserve"> La tesis desarrollada en estos conceptos se reitera y complementa a continuación:</w:t>
      </w:r>
    </w:p>
    <w:bookmarkEnd w:id="8"/>
    <w:p w14:paraId="0A16D86B" w14:textId="160B7AC9" w:rsidR="00883C23" w:rsidRPr="00CB7E8C" w:rsidRDefault="00883C23" w:rsidP="00883C23">
      <w:pPr>
        <w:tabs>
          <w:tab w:val="left" w:pos="426"/>
        </w:tabs>
        <w:spacing w:after="0" w:line="276" w:lineRule="auto"/>
        <w:ind w:firstLine="709"/>
        <w:contextualSpacing/>
        <w:jc w:val="both"/>
        <w:rPr>
          <w:rFonts w:ascii="Arial" w:eastAsia="Calibri" w:hAnsi="Arial" w:cs="Arial"/>
          <w:b/>
          <w:bCs/>
        </w:rPr>
      </w:pPr>
    </w:p>
    <w:p w14:paraId="4ECC21B5" w14:textId="77777777" w:rsidR="00F8124A" w:rsidRPr="00F8124A" w:rsidRDefault="00F8124A" w:rsidP="00F8124A">
      <w:pPr>
        <w:tabs>
          <w:tab w:val="left" w:pos="426"/>
        </w:tabs>
        <w:spacing w:after="0" w:line="276" w:lineRule="auto"/>
        <w:contextualSpacing/>
        <w:jc w:val="both"/>
        <w:rPr>
          <w:rFonts w:ascii="Arial" w:eastAsia="Calibri" w:hAnsi="Arial" w:cs="Arial"/>
          <w:b/>
          <w:bCs/>
          <w:lang w:val="es-ES_tradnl"/>
        </w:rPr>
      </w:pPr>
      <w:r w:rsidRPr="00F8124A">
        <w:rPr>
          <w:rFonts w:ascii="Arial" w:eastAsia="Calibri" w:hAnsi="Arial" w:cs="Arial"/>
          <w:b/>
          <w:bCs/>
          <w:lang w:val="es-ES_tradnl"/>
        </w:rPr>
        <w:t>2.1. Definición y finalidad de la Ley de Garantías Electorales: alcance de las restricciones</w:t>
      </w:r>
    </w:p>
    <w:p w14:paraId="0835F10D" w14:textId="77777777" w:rsidR="00F8124A" w:rsidRPr="00F8124A" w:rsidRDefault="00F8124A" w:rsidP="00F8124A">
      <w:pPr>
        <w:tabs>
          <w:tab w:val="left" w:pos="426"/>
        </w:tabs>
        <w:spacing w:after="0" w:line="240" w:lineRule="auto"/>
        <w:ind w:firstLine="709"/>
        <w:jc w:val="both"/>
        <w:rPr>
          <w:rFonts w:ascii="Arial" w:eastAsia="Calibri" w:hAnsi="Arial" w:cs="Arial"/>
          <w:bCs/>
          <w:lang w:val="es-ES_tradnl"/>
        </w:rPr>
      </w:pPr>
    </w:p>
    <w:p w14:paraId="186D4077" w14:textId="77777777" w:rsidR="00F8124A" w:rsidRPr="00F8124A" w:rsidRDefault="00F8124A" w:rsidP="00F8124A">
      <w:pPr>
        <w:tabs>
          <w:tab w:val="left" w:pos="426"/>
        </w:tabs>
        <w:spacing w:after="120" w:line="276" w:lineRule="auto"/>
        <w:jc w:val="both"/>
        <w:rPr>
          <w:rFonts w:ascii="Arial" w:eastAsia="Times New Roman" w:hAnsi="Arial" w:cs="Arial"/>
          <w:bCs/>
          <w:lang w:val="es-ES_tradnl" w:eastAsia="es-CO"/>
        </w:rPr>
      </w:pPr>
      <w:r w:rsidRPr="00F8124A">
        <w:rPr>
          <w:rFonts w:ascii="Arial" w:eastAsia="Calibri" w:hAnsi="Arial" w:cs="Arial"/>
          <w:bCs/>
          <w:lang w:val="es-ES_tradnl"/>
        </w:rPr>
        <w:t>El ordenamiento jurídico colombiano contempla previsiones claras para evitar la obtención de beneficios personales en asuntos propios de la administración pública</w:t>
      </w:r>
      <w:r w:rsidRPr="00F8124A">
        <w:rPr>
          <w:rFonts w:ascii="Arial" w:eastAsia="Calibri" w:hAnsi="Arial" w:cs="Arial"/>
          <w:bCs/>
          <w:i/>
          <w:iCs/>
          <w:lang w:val="es-ES_tradnl"/>
        </w:rPr>
        <w:t xml:space="preserve">. </w:t>
      </w:r>
      <w:r w:rsidRPr="00F8124A">
        <w:rPr>
          <w:rFonts w:ascii="Arial" w:eastAsia="Calibri" w:hAnsi="Arial" w:cs="Arial"/>
          <w:bCs/>
          <w:lang w:val="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F8124A">
        <w:rPr>
          <w:rFonts w:ascii="Arial" w:eastAsia="Calibri" w:hAnsi="Arial" w:cs="Arial"/>
          <w:bCs/>
          <w:vertAlign w:val="superscript"/>
          <w:lang w:val="es-ES_tradnl"/>
        </w:rPr>
        <w:footnoteReference w:id="1"/>
      </w:r>
      <w:r w:rsidRPr="00F8124A">
        <w:rPr>
          <w:rFonts w:ascii="Arial" w:eastAsia="Calibri" w:hAnsi="Arial" w:cs="Arial"/>
          <w:bCs/>
          <w:lang w:val="es-ES_tradnl"/>
        </w:rPr>
        <w:t xml:space="preserve">. </w:t>
      </w:r>
    </w:p>
    <w:p w14:paraId="324EC64F" w14:textId="77777777" w:rsidR="00F8124A" w:rsidRPr="00F8124A" w:rsidRDefault="00F8124A" w:rsidP="00F8124A">
      <w:pPr>
        <w:tabs>
          <w:tab w:val="left" w:pos="426"/>
        </w:tabs>
        <w:spacing w:after="0" w:line="276" w:lineRule="auto"/>
        <w:ind w:firstLine="709"/>
        <w:jc w:val="both"/>
        <w:rPr>
          <w:rFonts w:ascii="Arial" w:eastAsia="Times New Roman" w:hAnsi="Arial" w:cs="Arial"/>
          <w:bCs/>
          <w:lang w:val="es-ES_tradnl" w:eastAsia="es-CO"/>
        </w:rPr>
      </w:pPr>
      <w:r w:rsidRPr="00F8124A">
        <w:rPr>
          <w:rFonts w:ascii="Arial" w:eastAsia="Times New Roman" w:hAnsi="Arial" w:cs="Arial"/>
          <w:bCs/>
          <w:lang w:val="es-ES_tradnl" w:eastAsia="es-CO"/>
        </w:rPr>
        <w:lastRenderedPageBreak/>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F8124A">
        <w:rPr>
          <w:rFonts w:ascii="Arial" w:eastAsia="Times New Roman" w:hAnsi="Arial" w:cs="Arial"/>
          <w:bCs/>
          <w:vertAlign w:val="superscript"/>
          <w:lang w:val="es-ES_tradnl" w:eastAsia="es-CO"/>
        </w:rPr>
        <w:footnoteReference w:id="2"/>
      </w:r>
      <w:r w:rsidRPr="00F8124A">
        <w:rPr>
          <w:rFonts w:ascii="Arial" w:eastAsia="Times New Roman" w:hAnsi="Arial" w:cs="Arial"/>
          <w:bCs/>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F8124A">
        <w:rPr>
          <w:rFonts w:ascii="Arial" w:eastAsia="Calibri" w:hAnsi="Arial" w:cs="Arial"/>
          <w:noProof/>
          <w:lang w:val="es-ES_tradnl"/>
        </w:rPr>
        <w:t xml:space="preserve"> </w:t>
      </w:r>
      <w:r w:rsidRPr="00F8124A">
        <w:rPr>
          <w:rFonts w:ascii="Arial" w:eastAsia="Times New Roman" w:hAnsi="Arial" w:cs="Arial"/>
          <w:bCs/>
          <w:lang w:val="es-ES_tradnl" w:eastAsia="es-CO"/>
        </w:rPr>
        <w:t>En armonía con lo anterior, la Corte Constitucional ha abordado la definición de la Ley de Garantías Electorales. De esta manera, explica que tiene como propósito:</w:t>
      </w:r>
    </w:p>
    <w:p w14:paraId="131A9D91" w14:textId="77777777" w:rsidR="00F8124A" w:rsidRPr="00F8124A" w:rsidRDefault="00F8124A" w:rsidP="00F8124A">
      <w:pPr>
        <w:spacing w:after="0" w:line="276" w:lineRule="auto"/>
        <w:ind w:right="709"/>
        <w:jc w:val="both"/>
        <w:rPr>
          <w:rFonts w:ascii="Arial" w:eastAsia="Times New Roman" w:hAnsi="Arial" w:cs="Arial"/>
          <w:sz w:val="21"/>
          <w:szCs w:val="21"/>
          <w:lang w:val="es-ES_tradnl" w:eastAsia="es-CO"/>
        </w:rPr>
      </w:pPr>
    </w:p>
    <w:p w14:paraId="7F1B877B" w14:textId="418AE9B4" w:rsidR="00F8124A" w:rsidRPr="00CB7E8C" w:rsidRDefault="00F8124A" w:rsidP="00F8124A">
      <w:pPr>
        <w:spacing w:after="0" w:line="240" w:lineRule="auto"/>
        <w:ind w:left="709" w:right="709"/>
        <w:contextualSpacing/>
        <w:jc w:val="both"/>
        <w:rPr>
          <w:rFonts w:ascii="Arial" w:eastAsia="Times New Roman" w:hAnsi="Arial" w:cs="Arial"/>
          <w:bCs/>
          <w:sz w:val="21"/>
          <w:szCs w:val="21"/>
          <w:lang w:val="es-ES_tradnl" w:eastAsia="es-CO"/>
        </w:rPr>
      </w:pPr>
      <w:r w:rsidRPr="00F8124A">
        <w:rPr>
          <w:rFonts w:ascii="Arial" w:eastAsia="Times New Roman" w:hAnsi="Arial" w:cs="Arial"/>
          <w:sz w:val="21"/>
          <w:szCs w:val="21"/>
          <w:lang w:val="es-ES_tradnl" w:eastAsia="es-CO"/>
        </w:rPr>
        <w:t xml:space="preserve">[…] </w:t>
      </w:r>
      <w:r w:rsidRPr="00F8124A">
        <w:rPr>
          <w:rFonts w:ascii="Arial" w:eastAsia="Times New Roman"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093469C6" w14:textId="77777777" w:rsidR="00F8124A" w:rsidRPr="00F8124A" w:rsidRDefault="00F8124A" w:rsidP="00F8124A">
      <w:pPr>
        <w:spacing w:after="0" w:line="240" w:lineRule="auto"/>
        <w:ind w:left="709" w:right="709"/>
        <w:contextualSpacing/>
        <w:jc w:val="both"/>
        <w:rPr>
          <w:rFonts w:ascii="Arial" w:eastAsia="Times New Roman" w:hAnsi="Arial" w:cs="Arial"/>
          <w:bCs/>
          <w:sz w:val="21"/>
          <w:szCs w:val="21"/>
          <w:lang w:val="es-ES_tradnl" w:eastAsia="es-CO"/>
        </w:rPr>
      </w:pPr>
    </w:p>
    <w:p w14:paraId="5E2988A5" w14:textId="77777777" w:rsidR="00F8124A" w:rsidRPr="00F8124A" w:rsidRDefault="00F8124A" w:rsidP="00F8124A">
      <w:pPr>
        <w:spacing w:after="0" w:line="240" w:lineRule="auto"/>
        <w:ind w:left="709" w:right="709"/>
        <w:contextualSpacing/>
        <w:jc w:val="both"/>
        <w:rPr>
          <w:rFonts w:ascii="Arial" w:eastAsia="Times New Roman" w:hAnsi="Arial" w:cs="Arial"/>
          <w:bCs/>
          <w:sz w:val="21"/>
          <w:szCs w:val="21"/>
          <w:lang w:val="es-ES_tradnl" w:eastAsia="es-CO"/>
        </w:rPr>
      </w:pPr>
      <w:r w:rsidRPr="00F8124A">
        <w:rPr>
          <w:rFonts w:ascii="Arial" w:eastAsia="Times New Roman" w:hAnsi="Arial" w:cs="Arial"/>
          <w:bCs/>
          <w:sz w:val="21"/>
          <w:szCs w:val="21"/>
          <w:lang w:val="es-ES_tradnl" w:eastAsia="es-CO"/>
        </w:rPr>
        <w:t xml:space="preserve">[…] </w:t>
      </w:r>
    </w:p>
    <w:p w14:paraId="04B9AD4E" w14:textId="77777777" w:rsidR="00F8124A" w:rsidRPr="00CB7E8C" w:rsidRDefault="00F8124A" w:rsidP="00F8124A">
      <w:pPr>
        <w:spacing w:after="0" w:line="240" w:lineRule="auto"/>
        <w:ind w:left="709" w:right="709"/>
        <w:contextualSpacing/>
        <w:jc w:val="both"/>
        <w:rPr>
          <w:rFonts w:ascii="Arial" w:eastAsia="Times New Roman" w:hAnsi="Arial" w:cs="Arial"/>
          <w:bCs/>
          <w:sz w:val="21"/>
          <w:szCs w:val="21"/>
          <w:lang w:val="es-ES_tradnl" w:eastAsia="es-CO"/>
        </w:rPr>
      </w:pPr>
    </w:p>
    <w:p w14:paraId="7A6C11A8" w14:textId="3ACA7A11" w:rsidR="00F8124A" w:rsidRPr="00F8124A" w:rsidRDefault="00F8124A" w:rsidP="00F8124A">
      <w:pPr>
        <w:spacing w:after="0" w:line="240" w:lineRule="auto"/>
        <w:ind w:left="709" w:right="709"/>
        <w:contextualSpacing/>
        <w:jc w:val="both"/>
        <w:rPr>
          <w:rFonts w:ascii="Arial" w:eastAsia="Times New Roman" w:hAnsi="Arial" w:cs="Arial"/>
          <w:bCs/>
          <w:sz w:val="21"/>
          <w:szCs w:val="21"/>
          <w:lang w:val="es-ES_tradnl" w:eastAsia="es-CO"/>
        </w:rPr>
      </w:pPr>
      <w:r w:rsidRPr="00F8124A">
        <w:rPr>
          <w:rFonts w:ascii="Arial" w:eastAsia="Times New Roman"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F8124A">
        <w:rPr>
          <w:rFonts w:ascii="Arial" w:eastAsia="Calibri" w:hAnsi="Arial" w:cs="Arial"/>
          <w:sz w:val="20"/>
          <w:szCs w:val="20"/>
          <w:vertAlign w:val="superscript"/>
          <w:lang w:val="es-ES_tradnl"/>
        </w:rPr>
        <w:footnoteReference w:id="3"/>
      </w:r>
    </w:p>
    <w:p w14:paraId="1EEE5391" w14:textId="77777777" w:rsidR="00F8124A" w:rsidRPr="00F8124A" w:rsidRDefault="00F8124A" w:rsidP="00F8124A">
      <w:pPr>
        <w:spacing w:after="0" w:line="276" w:lineRule="auto"/>
        <w:ind w:left="709" w:right="709"/>
        <w:jc w:val="both"/>
        <w:rPr>
          <w:rFonts w:ascii="Arial" w:eastAsia="Times New Roman" w:hAnsi="Arial" w:cs="Arial"/>
          <w:bCs/>
          <w:sz w:val="21"/>
          <w:szCs w:val="21"/>
          <w:lang w:val="es-ES_tradnl" w:eastAsia="es-CO"/>
        </w:rPr>
      </w:pPr>
    </w:p>
    <w:p w14:paraId="3808AD21" w14:textId="77777777" w:rsidR="00F8124A" w:rsidRPr="00F8124A" w:rsidRDefault="00F8124A" w:rsidP="00F8124A">
      <w:pPr>
        <w:spacing w:after="0" w:line="276" w:lineRule="auto"/>
        <w:ind w:firstLine="709"/>
        <w:contextualSpacing/>
        <w:jc w:val="both"/>
        <w:rPr>
          <w:rFonts w:ascii="Arial" w:eastAsia="Times New Roman" w:hAnsi="Arial" w:cs="Arial"/>
          <w:bCs/>
          <w:lang w:val="es-ES_tradnl" w:eastAsia="es-CO"/>
        </w:rPr>
      </w:pPr>
      <w:bookmarkStart w:id="10" w:name="_Hlk78818186"/>
      <w:r w:rsidRPr="00F8124A">
        <w:rPr>
          <w:rFonts w:ascii="Arial" w:eastAsia="Times New Roman" w:hAnsi="Arial" w:cs="Arial"/>
          <w:bCs/>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w:t>
      </w:r>
      <w:r w:rsidRPr="00F8124A">
        <w:rPr>
          <w:rFonts w:ascii="Arial" w:eastAsia="Times New Roman" w:hAnsi="Arial" w:cs="Arial"/>
          <w:bCs/>
          <w:lang w:val="es-ES_tradnl" w:eastAsia="es-CO"/>
        </w:rPr>
        <w:lastRenderedPageBreak/>
        <w:t xml:space="preserve">públicos en aspiraciones electorales. </w:t>
      </w:r>
      <w:bookmarkEnd w:id="10"/>
      <w:r w:rsidRPr="00F8124A">
        <w:rPr>
          <w:rFonts w:ascii="Arial" w:eastAsia="Times New Roman" w:hAnsi="Arial" w:cs="Arial"/>
          <w:bCs/>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FE6A175" w14:textId="77777777" w:rsidR="00F8124A" w:rsidRPr="00F8124A" w:rsidRDefault="00F8124A" w:rsidP="00F8124A">
      <w:pPr>
        <w:spacing w:after="0" w:line="276" w:lineRule="auto"/>
        <w:ind w:firstLine="709"/>
        <w:jc w:val="both"/>
        <w:rPr>
          <w:rFonts w:ascii="Arial" w:eastAsia="Times New Roman" w:hAnsi="Arial" w:cs="Arial"/>
          <w:bCs/>
          <w:lang w:val="es-ES_tradnl" w:eastAsia="es-CO"/>
        </w:rPr>
      </w:pPr>
    </w:p>
    <w:p w14:paraId="0DCCD083" w14:textId="77777777" w:rsidR="00F8124A" w:rsidRPr="00F8124A" w:rsidRDefault="00F8124A" w:rsidP="00431104">
      <w:pPr>
        <w:spacing w:after="0" w:line="240" w:lineRule="auto"/>
        <w:ind w:left="709" w:right="709"/>
        <w:contextualSpacing/>
        <w:jc w:val="both"/>
        <w:rPr>
          <w:rFonts w:ascii="Arial" w:eastAsia="Times New Roman" w:hAnsi="Arial" w:cs="Arial"/>
          <w:bCs/>
          <w:sz w:val="21"/>
          <w:szCs w:val="21"/>
          <w:lang w:val="es-ES_tradnl" w:eastAsia="es-CO"/>
        </w:rPr>
      </w:pPr>
      <w:r w:rsidRPr="00F8124A">
        <w:rPr>
          <w:rFonts w:ascii="Arial" w:eastAsia="Times New Roman"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F8124A">
        <w:rPr>
          <w:rFonts w:ascii="Arial" w:eastAsia="Times New Roman" w:hAnsi="Arial" w:cs="Arial"/>
          <w:bCs/>
          <w:sz w:val="21"/>
          <w:szCs w:val="21"/>
          <w:lang w:val="es-ES_tradnl" w:eastAsia="es-CO"/>
        </w:rPr>
        <w:t>legis</w:t>
      </w:r>
      <w:proofErr w:type="spellEnd"/>
      <w:r w:rsidRPr="00F8124A">
        <w:rPr>
          <w:rFonts w:ascii="Arial" w:eastAsia="Times New Roman"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494B5D2" w14:textId="77777777" w:rsidR="00431104" w:rsidRPr="00CB7E8C" w:rsidRDefault="00431104" w:rsidP="00431104">
      <w:pPr>
        <w:spacing w:after="0" w:line="240" w:lineRule="auto"/>
        <w:ind w:left="709" w:right="709"/>
        <w:contextualSpacing/>
        <w:jc w:val="both"/>
        <w:rPr>
          <w:rFonts w:ascii="Arial" w:eastAsia="Times New Roman" w:hAnsi="Arial" w:cs="Arial"/>
          <w:bCs/>
          <w:sz w:val="21"/>
          <w:szCs w:val="21"/>
          <w:lang w:val="es-ES_tradnl" w:eastAsia="es-CO"/>
        </w:rPr>
      </w:pPr>
    </w:p>
    <w:p w14:paraId="0567DE40" w14:textId="6F5BECB4" w:rsidR="00F8124A" w:rsidRPr="00F8124A" w:rsidRDefault="00F8124A" w:rsidP="00431104">
      <w:pPr>
        <w:spacing w:after="0" w:line="240" w:lineRule="auto"/>
        <w:ind w:left="709" w:right="709"/>
        <w:contextualSpacing/>
        <w:jc w:val="both"/>
        <w:rPr>
          <w:rFonts w:ascii="Arial" w:eastAsia="Times New Roman" w:hAnsi="Arial" w:cs="Arial"/>
          <w:bCs/>
          <w:sz w:val="21"/>
          <w:szCs w:val="21"/>
          <w:lang w:val="es-ES_tradnl" w:eastAsia="es-CO"/>
        </w:rPr>
      </w:pPr>
      <w:r w:rsidRPr="00F8124A">
        <w:rPr>
          <w:rFonts w:ascii="Arial" w:eastAsia="Times New Roman" w:hAnsi="Arial" w:cs="Arial"/>
          <w:bCs/>
          <w:sz w:val="21"/>
          <w:szCs w:val="21"/>
          <w:lang w:val="es-ES_tradnl" w:eastAsia="es-CO"/>
        </w:rPr>
        <w:t>La jurisprudencia de la Corte Constitucional</w:t>
      </w:r>
      <w:r w:rsidRPr="00F8124A">
        <w:rPr>
          <w:rFonts w:ascii="Arial" w:eastAsia="Times New Roman" w:hAnsi="Arial" w:cs="Arial"/>
          <w:bCs/>
          <w:sz w:val="21"/>
          <w:szCs w:val="21"/>
          <w:vertAlign w:val="superscript"/>
          <w:lang w:val="es-ES_tradnl" w:eastAsia="es-CO"/>
        </w:rPr>
        <w:footnoteReference w:id="4"/>
      </w:r>
      <w:r w:rsidRPr="00F8124A">
        <w:rPr>
          <w:rFonts w:ascii="Arial" w:eastAsia="Times New Roman" w:hAnsi="Arial" w:cs="Arial"/>
          <w:bCs/>
          <w:sz w:val="21"/>
          <w:szCs w:val="21"/>
          <w:lang w:val="es-ES_tradnl" w:eastAsia="es-CO"/>
        </w:rPr>
        <w:t> y del Consejo de Estado</w:t>
      </w:r>
      <w:r w:rsidRPr="00F8124A">
        <w:rPr>
          <w:rFonts w:ascii="Arial" w:eastAsia="Times New Roman" w:hAnsi="Arial" w:cs="Arial"/>
          <w:bCs/>
          <w:sz w:val="21"/>
          <w:szCs w:val="21"/>
          <w:vertAlign w:val="superscript"/>
          <w:lang w:val="es-ES_tradnl" w:eastAsia="es-CO"/>
        </w:rPr>
        <w:footnoteReference w:id="5"/>
      </w:r>
      <w:r w:rsidRPr="00F8124A">
        <w:rPr>
          <w:rFonts w:ascii="Arial" w:eastAsia="Times New Roman"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8124A">
        <w:rPr>
          <w:rFonts w:ascii="Arial" w:eastAsia="Times New Roman" w:hAnsi="Arial" w:cs="Arial"/>
          <w:bCs/>
          <w:vertAlign w:val="superscript"/>
          <w:lang w:val="es-ES_tradnl" w:eastAsia="es-CO"/>
        </w:rPr>
        <w:footnoteReference w:id="6"/>
      </w:r>
      <w:r w:rsidRPr="00F8124A">
        <w:rPr>
          <w:rFonts w:ascii="Arial" w:eastAsia="Times New Roman" w:hAnsi="Arial" w:cs="Arial"/>
          <w:bCs/>
          <w:sz w:val="21"/>
          <w:szCs w:val="21"/>
          <w:lang w:val="es-ES_tradnl" w:eastAsia="es-CO"/>
        </w:rPr>
        <w:t>.</w:t>
      </w:r>
    </w:p>
    <w:p w14:paraId="7CC5FA9D" w14:textId="77777777" w:rsidR="00F8124A" w:rsidRPr="00F8124A" w:rsidRDefault="00F8124A" w:rsidP="00F8124A">
      <w:pPr>
        <w:spacing w:after="0" w:line="276" w:lineRule="auto"/>
        <w:ind w:right="709"/>
        <w:jc w:val="both"/>
        <w:rPr>
          <w:rFonts w:ascii="Arial" w:eastAsia="Times New Roman" w:hAnsi="Arial" w:cs="Arial"/>
          <w:bCs/>
          <w:sz w:val="21"/>
          <w:szCs w:val="21"/>
          <w:lang w:val="es-ES_tradnl" w:eastAsia="es-CO"/>
        </w:rPr>
      </w:pPr>
    </w:p>
    <w:p w14:paraId="522C502C" w14:textId="77777777" w:rsidR="00F8124A" w:rsidRPr="00F8124A" w:rsidRDefault="00F8124A" w:rsidP="00F8124A">
      <w:pPr>
        <w:spacing w:after="120" w:line="276" w:lineRule="auto"/>
        <w:jc w:val="both"/>
        <w:rPr>
          <w:rFonts w:ascii="Arial" w:eastAsia="Arial" w:hAnsi="Arial" w:cs="Arial"/>
          <w:lang w:val="es-ES_tradnl" w:eastAsia="es-ES" w:bidi="es-ES"/>
        </w:rPr>
      </w:pPr>
      <w:r w:rsidRPr="00F8124A">
        <w:rPr>
          <w:rFonts w:ascii="Arial" w:eastAsia="Times New Roman" w:hAnsi="Arial" w:cs="Arial"/>
          <w:bCs/>
          <w:lang w:val="es-ES_tradnl" w:eastAsia="es-CO"/>
        </w:rPr>
        <w:tab/>
        <w:t>De</w:t>
      </w:r>
      <w:r w:rsidRPr="00F8124A">
        <w:rPr>
          <w:rFonts w:ascii="Arial" w:eastAsia="Arial" w:hAnsi="Arial" w:cs="Arial"/>
          <w:lang w:val="es-ES_tradnl" w:eastAsia="es-ES" w:bidi="es-ES"/>
        </w:rPr>
        <w:t xml:space="preserve"> conformidad con lo anterior, </w:t>
      </w:r>
      <w:bookmarkStart w:id="11" w:name="_Hlk77236098"/>
      <w:bookmarkStart w:id="12" w:name="_Hlk101791494"/>
      <w:r w:rsidRPr="00F8124A">
        <w:rPr>
          <w:rFonts w:ascii="Arial" w:eastAsia="Arial" w:hAnsi="Arial" w:cs="Arial"/>
          <w:lang w:val="es-ES_tradnl"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w:t>
      </w:r>
      <w:r w:rsidRPr="00F8124A">
        <w:rPr>
          <w:rFonts w:ascii="Arial" w:eastAsia="Arial" w:hAnsi="Arial" w:cs="Arial"/>
          <w:lang w:val="es-ES_tradnl" w:eastAsia="es-ES" w:bidi="es-ES"/>
        </w:rPr>
        <w:lastRenderedPageBreak/>
        <w:t>dos (2) tipos de campañas electorales claramente diferenciadas: las presidenciales y las demás que se adelanten para la elección de los demás cargos de elección popular, tanto a nivel nacional como a nivel territorial.</w:t>
      </w:r>
      <w:bookmarkEnd w:id="11"/>
    </w:p>
    <w:p w14:paraId="090C7AA2" w14:textId="77777777" w:rsidR="00F8124A" w:rsidRPr="00F8124A" w:rsidRDefault="00F8124A" w:rsidP="00F8124A">
      <w:pPr>
        <w:spacing w:after="120" w:line="276" w:lineRule="auto"/>
        <w:ind w:firstLine="708"/>
        <w:jc w:val="both"/>
        <w:rPr>
          <w:rFonts w:ascii="Arial" w:eastAsia="Calibri" w:hAnsi="Arial" w:cs="Arial"/>
          <w:lang w:val="es-ES_tradnl"/>
        </w:rPr>
      </w:pPr>
      <w:bookmarkStart w:id="13" w:name="_Hlk101791535"/>
      <w:bookmarkEnd w:id="12"/>
      <w:r w:rsidRPr="00F8124A">
        <w:rPr>
          <w:rFonts w:ascii="Arial" w:eastAsia="Calibri" w:hAnsi="Arial" w:cs="Arial"/>
          <w:lang w:val="es-ES_tradnl"/>
        </w:rPr>
        <w:t xml:space="preserve">Por un lado, el artículo 33 de la Ley 996 de 2005 prohíbe </w:t>
      </w:r>
      <w:r w:rsidRPr="00F8124A">
        <w:rPr>
          <w:rFonts w:ascii="Arial" w:eastAsia="Calibri" w:hAnsi="Arial" w:cs="Arial"/>
          <w:bCs/>
          <w:lang w:val="es-ES_tradnl"/>
        </w:rPr>
        <w:t xml:space="preserve">«[…] </w:t>
      </w:r>
      <w:r w:rsidRPr="00F8124A">
        <w:rPr>
          <w:rFonts w:ascii="Arial" w:eastAsia="Calibri" w:hAnsi="Arial" w:cs="Arial"/>
          <w:lang w:val="es-ES_tradnl"/>
        </w:rPr>
        <w:t>la contratación directa por parte de todos los entes del Estado</w:t>
      </w:r>
      <w:r w:rsidRPr="00F8124A">
        <w:rPr>
          <w:rFonts w:ascii="Arial" w:eastAsia="Calibri" w:hAnsi="Arial" w:cs="Arial"/>
          <w:bCs/>
          <w:lang w:val="es-ES_tradnl"/>
        </w:rPr>
        <w:t>»</w:t>
      </w:r>
      <w:r w:rsidRPr="00F8124A">
        <w:rPr>
          <w:rFonts w:ascii="Arial" w:eastAsia="Calibri" w:hAnsi="Arial" w:cs="Arial"/>
          <w:lang w:val="es-ES_tradnl"/>
        </w:rPr>
        <w:t xml:space="preserve"> durante los cuatro (4) meses anteriores a las elecciones presidenciales, salvo </w:t>
      </w:r>
      <w:r w:rsidRPr="00F8124A">
        <w:rPr>
          <w:rFonts w:ascii="Arial" w:eastAsia="Calibri" w:hAnsi="Arial" w:cs="Arial"/>
          <w:bCs/>
          <w:lang w:val="es-ES_tradnl"/>
        </w:rPr>
        <w:t xml:space="preserve">«[…] </w:t>
      </w:r>
      <w:r w:rsidRPr="00F8124A">
        <w:rPr>
          <w:rFonts w:ascii="Arial" w:eastAsia="Calibri" w:hAnsi="Arial" w:cs="Arial"/>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8124A">
        <w:rPr>
          <w:rFonts w:ascii="Arial" w:eastAsia="Calibri" w:hAnsi="Arial" w:cs="Arial"/>
          <w:bCs/>
          <w:lang w:val="es-ES_tradnl"/>
        </w:rPr>
        <w:t>»</w:t>
      </w:r>
      <w:r w:rsidRPr="00F8124A">
        <w:rPr>
          <w:rFonts w:ascii="Arial" w:eastAsia="Calibri" w:hAnsi="Arial" w:cs="Arial"/>
          <w:bCs/>
          <w:vertAlign w:val="superscript"/>
          <w:lang w:val="es-ES_tradnl"/>
        </w:rPr>
        <w:footnoteReference w:id="7"/>
      </w:r>
      <w:r w:rsidRPr="00F8124A">
        <w:rPr>
          <w:rFonts w:ascii="Arial" w:eastAsia="Calibri" w:hAnsi="Arial" w:cs="Arial"/>
          <w:lang w:val="es-ES_tradnl"/>
        </w:rPr>
        <w:t>.</w:t>
      </w:r>
    </w:p>
    <w:p w14:paraId="3EC959BD" w14:textId="77777777" w:rsidR="00F8124A" w:rsidRPr="00F8124A" w:rsidRDefault="00F8124A" w:rsidP="00AC3C47">
      <w:pPr>
        <w:widowControl w:val="0"/>
        <w:autoSpaceDE w:val="0"/>
        <w:autoSpaceDN w:val="0"/>
        <w:spacing w:after="0" w:line="276" w:lineRule="auto"/>
        <w:ind w:right="113" w:firstLine="708"/>
        <w:contextualSpacing/>
        <w:jc w:val="both"/>
        <w:rPr>
          <w:rFonts w:ascii="Arial" w:eastAsia="Arial" w:hAnsi="Arial" w:cs="Arial"/>
          <w:lang w:val="es-ES_tradnl" w:eastAsia="es-ES" w:bidi="es-ES"/>
        </w:rPr>
      </w:pPr>
      <w:r w:rsidRPr="00F8124A">
        <w:rPr>
          <w:rFonts w:ascii="Arial" w:eastAsia="Calibri" w:hAnsi="Arial" w:cs="Arial"/>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8124A">
        <w:rPr>
          <w:rFonts w:ascii="Arial" w:eastAsia="Calibri" w:hAnsi="Arial" w:cs="Arial"/>
          <w:bCs/>
          <w:lang w:val="es-ES_tradnl"/>
        </w:rPr>
        <w:t xml:space="preserve">«[…] </w:t>
      </w:r>
      <w:r w:rsidRPr="00F8124A">
        <w:rPr>
          <w:rFonts w:ascii="Arial" w:eastAsia="Calibri" w:hAnsi="Arial" w:cs="Arial"/>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8124A">
        <w:rPr>
          <w:rFonts w:ascii="Arial" w:eastAsia="Calibri" w:hAnsi="Arial" w:cs="Arial"/>
          <w:bCs/>
          <w:sz w:val="19"/>
          <w:szCs w:val="19"/>
          <w:lang w:val="es-ES_tradnl"/>
        </w:rPr>
        <w:t>»</w:t>
      </w:r>
      <w:bookmarkEnd w:id="13"/>
      <w:r w:rsidRPr="00F8124A">
        <w:rPr>
          <w:rFonts w:ascii="Arial" w:eastAsia="Calibri" w:hAnsi="Arial" w:cs="Arial"/>
          <w:bCs/>
          <w:sz w:val="19"/>
          <w:szCs w:val="19"/>
          <w:vertAlign w:val="superscript"/>
          <w:lang w:val="es-ES_tradnl"/>
        </w:rPr>
        <w:footnoteReference w:id="8"/>
      </w:r>
      <w:r w:rsidRPr="00F8124A">
        <w:rPr>
          <w:rFonts w:ascii="Arial" w:eastAsia="Calibri" w:hAnsi="Arial" w:cs="Arial"/>
          <w:lang w:val="es-ES_tradnl"/>
        </w:rPr>
        <w:t>.</w:t>
      </w:r>
      <w:r w:rsidRPr="00F8124A">
        <w:rPr>
          <w:rFonts w:ascii="Arial" w:eastAsia="Arial" w:hAnsi="Arial" w:cs="Arial"/>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D848D0A" w14:textId="77777777" w:rsidR="00F8124A" w:rsidRPr="00F8124A" w:rsidRDefault="00F8124A" w:rsidP="00AC3C47">
      <w:pPr>
        <w:widowControl w:val="0"/>
        <w:autoSpaceDE w:val="0"/>
        <w:autoSpaceDN w:val="0"/>
        <w:spacing w:after="0" w:line="276" w:lineRule="auto"/>
        <w:ind w:left="805" w:right="812"/>
        <w:contextualSpacing/>
        <w:jc w:val="both"/>
        <w:rPr>
          <w:rFonts w:ascii="Arial" w:eastAsia="Arial" w:hAnsi="Arial" w:cs="Arial"/>
          <w:lang w:val="es-ES_tradnl" w:eastAsia="es-ES" w:bidi="es-ES"/>
        </w:rPr>
      </w:pPr>
    </w:p>
    <w:p w14:paraId="71238941" w14:textId="77777777" w:rsidR="00F8124A" w:rsidRPr="00F8124A" w:rsidRDefault="00F8124A" w:rsidP="00AC3C47">
      <w:pPr>
        <w:widowControl w:val="0"/>
        <w:autoSpaceDE w:val="0"/>
        <w:autoSpaceDN w:val="0"/>
        <w:spacing w:after="0" w:line="240" w:lineRule="auto"/>
        <w:ind w:left="709" w:right="709"/>
        <w:contextualSpacing/>
        <w:jc w:val="both"/>
        <w:rPr>
          <w:rFonts w:ascii="Arial" w:eastAsia="Arial" w:hAnsi="Arial" w:cs="Arial"/>
          <w:sz w:val="21"/>
          <w:szCs w:val="21"/>
          <w:lang w:val="es-ES_tradnl" w:eastAsia="es-ES" w:bidi="es-ES"/>
        </w:rPr>
      </w:pPr>
      <w:r w:rsidRPr="00F8124A">
        <w:rPr>
          <w:rFonts w:ascii="Arial" w:eastAsia="Arial" w:hAnsi="Arial" w:cs="Arial"/>
          <w:sz w:val="21"/>
          <w:szCs w:val="21"/>
          <w:lang w:val="es-ES_tradnl" w:eastAsia="es-ES" w:bidi="es-ES"/>
        </w:rPr>
        <w:lastRenderedPageBreak/>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F8124A">
        <w:rPr>
          <w:rFonts w:ascii="Arial" w:eastAsia="Arial" w:hAnsi="Arial" w:cs="Arial"/>
          <w:sz w:val="21"/>
          <w:szCs w:val="21"/>
          <w:lang w:val="es-ES_tradnl" w:eastAsia="es-ES" w:bidi="es-ES"/>
        </w:rPr>
        <w:t>se integran parcialmente</w:t>
      </w:r>
      <w:bookmarkEnd w:id="16"/>
      <w:r w:rsidRPr="00F8124A">
        <w:rPr>
          <w:rFonts w:ascii="Arial" w:eastAsia="Arial" w:hAnsi="Arial" w:cs="Arial"/>
          <w:sz w:val="21"/>
          <w:szCs w:val="21"/>
          <w:lang w:val="es-ES_tradnl"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8124A">
        <w:rPr>
          <w:rFonts w:ascii="Arial" w:eastAsia="Arial" w:hAnsi="Arial" w:cs="Arial"/>
          <w:bCs/>
          <w:sz w:val="21"/>
          <w:szCs w:val="21"/>
          <w:lang w:val="es-ES_tradnl" w:eastAsia="es-ES" w:bidi="es-ES"/>
        </w:rPr>
        <w:t xml:space="preserve">En cambio, para elecciones en general, excluyendo las correspondientes a </w:t>
      </w:r>
      <w:proofErr w:type="gramStart"/>
      <w:r w:rsidRPr="00F8124A">
        <w:rPr>
          <w:rFonts w:ascii="Arial" w:eastAsia="Arial" w:hAnsi="Arial" w:cs="Arial"/>
          <w:bCs/>
          <w:sz w:val="21"/>
          <w:szCs w:val="21"/>
          <w:lang w:val="es-ES_tradnl" w:eastAsia="es-ES" w:bidi="es-ES"/>
        </w:rPr>
        <w:t>Presidente</w:t>
      </w:r>
      <w:proofErr w:type="gramEnd"/>
      <w:r w:rsidRPr="00F8124A">
        <w:rPr>
          <w:rFonts w:ascii="Arial" w:eastAsia="Arial" w:hAnsi="Arial" w:cs="Arial"/>
          <w:bCs/>
          <w:sz w:val="21"/>
          <w:szCs w:val="21"/>
          <w:lang w:val="es-ES_tradnl" w:eastAsia="es-ES" w:bidi="es-ES"/>
        </w:rPr>
        <w:t xml:space="preserve"> de la República, a las autoridades territoriales allí mencionadas sólo se aplican las restricciones contenidas en el parágrafo del artículo 38</w:t>
      </w:r>
      <w:r w:rsidRPr="00F8124A">
        <w:rPr>
          <w:rFonts w:ascii="Arial" w:eastAsia="Arial" w:hAnsi="Arial" w:cs="Arial"/>
          <w:sz w:val="21"/>
          <w:szCs w:val="21"/>
          <w:lang w:val="es-ES_tradnl" w:eastAsia="es-ES" w:bidi="es-ES"/>
        </w:rPr>
        <w:t>.</w:t>
      </w:r>
      <w:r w:rsidRPr="00F8124A">
        <w:rPr>
          <w:rFonts w:ascii="Arial" w:eastAsia="Arial" w:hAnsi="Arial" w:cs="Arial"/>
          <w:sz w:val="21"/>
          <w:szCs w:val="21"/>
          <w:vertAlign w:val="superscript"/>
          <w:lang w:val="es-ES_tradnl" w:eastAsia="es-ES" w:bidi="es-ES"/>
        </w:rPr>
        <w:footnoteReference w:id="9"/>
      </w:r>
    </w:p>
    <w:p w14:paraId="7B556D88" w14:textId="77777777" w:rsidR="00F8124A" w:rsidRPr="00F8124A" w:rsidRDefault="00F8124A" w:rsidP="00AC3C47">
      <w:pPr>
        <w:widowControl w:val="0"/>
        <w:autoSpaceDE w:val="0"/>
        <w:autoSpaceDN w:val="0"/>
        <w:spacing w:after="0" w:line="276" w:lineRule="auto"/>
        <w:contextualSpacing/>
        <w:rPr>
          <w:rFonts w:ascii="Arial" w:eastAsia="Arial" w:hAnsi="Arial" w:cs="Arial"/>
          <w:lang w:val="es-ES_tradnl" w:eastAsia="es-ES" w:bidi="es-ES"/>
        </w:rPr>
      </w:pPr>
    </w:p>
    <w:p w14:paraId="17580267" w14:textId="77777777" w:rsidR="00F8124A" w:rsidRPr="00F8124A" w:rsidRDefault="00F8124A" w:rsidP="00F8124A">
      <w:pPr>
        <w:spacing w:after="120" w:line="276" w:lineRule="auto"/>
        <w:ind w:firstLine="709"/>
        <w:jc w:val="both"/>
        <w:rPr>
          <w:rFonts w:ascii="Arial" w:eastAsia="Arial" w:hAnsi="Arial" w:cs="Arial"/>
          <w:lang w:val="es-ES_tradnl" w:eastAsia="es-ES" w:bidi="es-ES"/>
        </w:rPr>
      </w:pPr>
      <w:r w:rsidRPr="00F8124A">
        <w:rPr>
          <w:rFonts w:ascii="Arial" w:eastAsia="Arial" w:hAnsi="Arial" w:cs="Arial"/>
          <w:lang w:val="es-ES_tradnl" w:eastAsia="es-ES" w:bidi="es-ES"/>
        </w:rPr>
        <w:t xml:space="preserve">De conformidad con lo anterior, </w:t>
      </w:r>
      <w:bookmarkStart w:id="17" w:name="_Hlk77236420"/>
      <w:bookmarkStart w:id="18" w:name="_Hlk78818435"/>
      <w:bookmarkStart w:id="19" w:name="_Hlk75780333"/>
      <w:r w:rsidRPr="00F8124A">
        <w:rPr>
          <w:rFonts w:ascii="Arial" w:eastAsia="Arial" w:hAnsi="Arial" w:cs="Arial"/>
          <w:lang w:val="es-ES_tradnl" w:eastAsia="es-ES" w:bidi="es-ES"/>
        </w:rPr>
        <w:t xml:space="preserve">la Ley 996 de 2005 establece dos (2) tipos de restricciones en materia de contratación, las cuales coinciden parcialmente. </w:t>
      </w:r>
      <w:r w:rsidRPr="00F8124A">
        <w:rPr>
          <w:rFonts w:ascii="Arial" w:eastAsia="Arial" w:hAnsi="Arial" w:cs="Arial"/>
          <w:i/>
          <w:iCs/>
          <w:lang w:val="es-ES_tradnl" w:eastAsia="es-ES" w:bidi="es-ES"/>
        </w:rPr>
        <w:t>En primer lugar</w:t>
      </w:r>
      <w:r w:rsidRPr="00F8124A">
        <w:rPr>
          <w:rFonts w:ascii="Arial" w:eastAsia="Arial" w:hAnsi="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8124A">
        <w:rPr>
          <w:rFonts w:ascii="Arial" w:eastAsia="Arial" w:hAnsi="Arial" w:cs="Arial"/>
          <w:i/>
          <w:iCs/>
          <w:lang w:val="es-ES_tradnl" w:eastAsia="es-ES" w:bidi="es-ES"/>
        </w:rPr>
        <w:t>En segundo lugar</w:t>
      </w:r>
      <w:r w:rsidRPr="00F8124A">
        <w:rPr>
          <w:rFonts w:ascii="Arial" w:eastAsia="Arial" w:hAnsi="Arial" w:cs="Arial"/>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7"/>
    </w:p>
    <w:bookmarkEnd w:id="18"/>
    <w:p w14:paraId="2660F6F8" w14:textId="77777777" w:rsidR="00F8124A" w:rsidRPr="00F8124A" w:rsidRDefault="00F8124A" w:rsidP="00F8124A">
      <w:pPr>
        <w:spacing w:after="120" w:line="276" w:lineRule="auto"/>
        <w:ind w:firstLine="709"/>
        <w:jc w:val="both"/>
        <w:rPr>
          <w:rFonts w:ascii="Arial" w:eastAsia="Arial" w:hAnsi="Arial" w:cs="Arial"/>
          <w:lang w:val="es-ES_tradnl" w:eastAsia="es-ES" w:bidi="es-ES"/>
        </w:rPr>
      </w:pPr>
      <w:r w:rsidRPr="00F8124A">
        <w:rPr>
          <w:rFonts w:ascii="Arial" w:eastAsia="Arial" w:hAnsi="Arial" w:cs="Arial"/>
          <w:lang w:val="es-ES_tradnl" w:eastAsia="es-ES" w:bidi="es-ES"/>
        </w:rPr>
        <w:t xml:space="preserve">Ambas restricciones no son excluyentes, lo que permite concluir que en el período preelectoral para elección de </w:t>
      </w:r>
      <w:proofErr w:type="gramStart"/>
      <w:r w:rsidRPr="00F8124A">
        <w:rPr>
          <w:rFonts w:ascii="Arial" w:eastAsia="Arial" w:hAnsi="Arial" w:cs="Arial"/>
          <w:lang w:val="es-ES_tradnl" w:eastAsia="es-ES" w:bidi="es-ES"/>
        </w:rPr>
        <w:t>Presidente</w:t>
      </w:r>
      <w:proofErr w:type="gramEnd"/>
      <w:r w:rsidRPr="00F8124A">
        <w:rPr>
          <w:rFonts w:ascii="Arial" w:eastAsia="Arial" w:hAnsi="Arial" w:cs="Arial"/>
          <w:lang w:val="es-ES_tradnl"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F8124A">
        <w:rPr>
          <w:rFonts w:ascii="Arial" w:eastAsia="Arial" w:hAnsi="Arial" w:cs="Arial"/>
          <w:lang w:val="es-ES_tradnl" w:eastAsia="es-ES" w:bidi="es-ES"/>
        </w:rPr>
        <w:t>Presidente</w:t>
      </w:r>
      <w:proofErr w:type="gramEnd"/>
      <w:r w:rsidRPr="00F8124A">
        <w:rPr>
          <w:rFonts w:ascii="Arial" w:eastAsia="Arial" w:hAnsi="Arial" w:cs="Arial"/>
          <w:lang w:val="es-ES_tradnl" w:eastAsia="es-ES" w:bidi="es-ES"/>
        </w:rPr>
        <w:t xml:space="preserve"> de la República, las autoridades allí mencionadas sólo deben aplicar las restricciones contenidas en el parágrafo del artículo 38.</w:t>
      </w:r>
    </w:p>
    <w:bookmarkEnd w:id="19"/>
    <w:p w14:paraId="70EF61DB" w14:textId="704BB1D7" w:rsidR="00F8124A" w:rsidRPr="00CB7E8C" w:rsidRDefault="00F8124A" w:rsidP="00AC3C47">
      <w:pPr>
        <w:spacing w:after="0" w:line="276" w:lineRule="auto"/>
        <w:ind w:firstLine="709"/>
        <w:contextualSpacing/>
        <w:jc w:val="both"/>
        <w:rPr>
          <w:rFonts w:ascii="Arial" w:eastAsia="Arial" w:hAnsi="Arial" w:cs="Arial"/>
          <w:lang w:val="es-ES_tradnl" w:eastAsia="es-ES" w:bidi="es-ES"/>
        </w:rPr>
      </w:pPr>
      <w:r w:rsidRPr="00F8124A">
        <w:rPr>
          <w:rFonts w:ascii="Arial" w:eastAsia="Arial" w:hAnsi="Arial" w:cs="Arial"/>
          <w:lang w:val="es-ES_tradnl" w:eastAsia="es-ES" w:bidi="es-ES"/>
        </w:rPr>
        <w:lastRenderedPageBreak/>
        <w:t xml:space="preserve">La Corte Constitucional, en la Sentencia C-1153 del 11 de noviembre de 2005, señaló que, para que la garantía sea plena, era necesario que la prohibición se aplicara para el </w:t>
      </w:r>
      <w:proofErr w:type="gramStart"/>
      <w:r w:rsidRPr="00F8124A">
        <w:rPr>
          <w:rFonts w:ascii="Arial" w:eastAsia="Arial" w:hAnsi="Arial" w:cs="Arial"/>
          <w:lang w:val="es-ES_tradnl" w:eastAsia="es-ES" w:bidi="es-ES"/>
        </w:rPr>
        <w:t>Presidente</w:t>
      </w:r>
      <w:proofErr w:type="gramEnd"/>
      <w:r w:rsidRPr="00F8124A">
        <w:rPr>
          <w:rFonts w:ascii="Arial" w:eastAsia="Arial" w:hAnsi="Arial" w:cs="Arial"/>
          <w:lang w:val="es-ES_tradnl"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22F27739" w14:textId="77777777" w:rsidR="00AC3C47" w:rsidRPr="00CB7E8C" w:rsidRDefault="00AC3C47" w:rsidP="00AC3C47">
      <w:pPr>
        <w:spacing w:after="0" w:line="276" w:lineRule="auto"/>
        <w:ind w:firstLine="709"/>
        <w:contextualSpacing/>
        <w:jc w:val="both"/>
        <w:rPr>
          <w:rFonts w:ascii="Arial" w:eastAsia="Arial" w:hAnsi="Arial" w:cs="Arial"/>
          <w:lang w:val="es-ES_tradnl" w:eastAsia="es-ES" w:bidi="es-ES"/>
        </w:rPr>
      </w:pPr>
    </w:p>
    <w:p w14:paraId="095166DB" w14:textId="77777777" w:rsidR="00AC3C47" w:rsidRPr="00CB7E8C" w:rsidRDefault="00AC3C47" w:rsidP="00AC3C47">
      <w:pPr>
        <w:spacing w:after="0" w:line="276" w:lineRule="auto"/>
        <w:contextualSpacing/>
        <w:jc w:val="both"/>
        <w:rPr>
          <w:rFonts w:ascii="Arial" w:hAnsi="Arial" w:cs="Arial"/>
          <w:b/>
          <w:color w:val="000000" w:themeColor="text1"/>
          <w:lang w:val="es-ES_tradnl" w:eastAsia="es-CO"/>
        </w:rPr>
      </w:pPr>
      <w:r w:rsidRPr="00CB7E8C">
        <w:rPr>
          <w:rFonts w:ascii="Arial" w:hAnsi="Arial" w:cs="Arial"/>
          <w:b/>
          <w:color w:val="000000" w:themeColor="text1"/>
          <w:lang w:val="es-ES_tradnl" w:eastAsia="es-CO"/>
        </w:rPr>
        <w:t xml:space="preserve">2.2. </w:t>
      </w:r>
      <w:r w:rsidRPr="00CB7E8C">
        <w:rPr>
          <w:rFonts w:ascii="Arial" w:hAnsi="Arial" w:cs="Arial"/>
          <w:b/>
          <w:bCs/>
          <w:color w:val="000000" w:themeColor="text1"/>
          <w:lang w:val="es-ES_tradnl" w:eastAsia="es-CO"/>
        </w:rPr>
        <w:t>Restricciones en elecciones presidenciales: prohibición del artículo 33 de la Ley 996 de 2005</w:t>
      </w:r>
    </w:p>
    <w:p w14:paraId="12E3A46C" w14:textId="77777777" w:rsidR="00AC3C47" w:rsidRPr="00CB7E8C" w:rsidRDefault="00AC3C47" w:rsidP="00AC3C47">
      <w:pPr>
        <w:spacing w:after="0" w:line="276" w:lineRule="auto"/>
        <w:contextualSpacing/>
        <w:jc w:val="both"/>
        <w:rPr>
          <w:rFonts w:ascii="Arial" w:hAnsi="Arial" w:cs="Arial"/>
          <w:bCs/>
          <w:color w:val="000000" w:themeColor="text1"/>
          <w:lang w:val="es-ES_tradnl" w:eastAsia="x-none"/>
        </w:rPr>
      </w:pPr>
    </w:p>
    <w:p w14:paraId="422773F0" w14:textId="77777777" w:rsidR="00AC3C47" w:rsidRPr="00CB7E8C" w:rsidRDefault="00AC3C47" w:rsidP="00AC3C47">
      <w:pPr>
        <w:spacing w:after="0" w:line="276" w:lineRule="auto"/>
        <w:contextualSpacing/>
        <w:jc w:val="both"/>
        <w:rPr>
          <w:rFonts w:ascii="Arial" w:hAnsi="Arial" w:cs="Arial"/>
          <w:bCs/>
          <w:color w:val="000000" w:themeColor="text1"/>
          <w:lang w:val="es-ES_tradnl" w:eastAsia="es-CO"/>
        </w:rPr>
      </w:pPr>
      <w:r w:rsidRPr="00CB7E8C">
        <w:rPr>
          <w:rFonts w:ascii="Arial" w:hAnsi="Arial" w:cs="Arial"/>
          <w:bCs/>
          <w:color w:val="000000" w:themeColor="text1"/>
          <w:lang w:val="es-ES_tradnl" w:eastAsia="x-none"/>
        </w:rPr>
        <w:t xml:space="preserve">El ámbito material de la prohibición contenida en el artículo 33 de la ley 996 de 2005 está delimitado por la expresión </w:t>
      </w:r>
      <w:r w:rsidRPr="00CB7E8C">
        <w:rPr>
          <w:rFonts w:ascii="Arial" w:eastAsia="Calibri" w:hAnsi="Arial" w:cs="Arial"/>
          <w:bCs/>
          <w:color w:val="000000" w:themeColor="text1"/>
          <w:sz w:val="20"/>
          <w:szCs w:val="20"/>
          <w:lang w:val="es-ES_tradnl"/>
        </w:rPr>
        <w:t>«</w:t>
      </w:r>
      <w:r w:rsidRPr="00CB7E8C">
        <w:rPr>
          <w:rFonts w:ascii="Arial" w:hAnsi="Arial" w:cs="Arial"/>
          <w:bCs/>
          <w:color w:val="000000" w:themeColor="text1"/>
          <w:lang w:val="es-ES_tradnl" w:eastAsia="x-none"/>
        </w:rPr>
        <w:t>queda prohibida la contratación directa</w:t>
      </w:r>
      <w:r w:rsidRPr="00CB7E8C">
        <w:rPr>
          <w:rFonts w:ascii="Arial" w:hAnsi="Arial" w:cs="Arial"/>
          <w:color w:val="000000" w:themeColor="text1"/>
          <w:sz w:val="20"/>
          <w:szCs w:val="20"/>
          <w:lang w:val="es-ES_tradnl"/>
        </w:rPr>
        <w:t>»</w:t>
      </w:r>
      <w:r w:rsidRPr="00CB7E8C">
        <w:rPr>
          <w:rFonts w:ascii="Arial" w:hAnsi="Arial" w:cs="Arial"/>
          <w:bCs/>
          <w:color w:val="000000" w:themeColor="text1"/>
          <w:lang w:val="es-ES_tradnl" w:eastAsia="x-none"/>
        </w:rPr>
        <w:t xml:space="preserve">. </w:t>
      </w:r>
      <w:r w:rsidRPr="00CB7E8C">
        <w:rPr>
          <w:rFonts w:ascii="Arial" w:hAnsi="Arial" w:cs="Arial"/>
          <w:color w:val="000000" w:themeColor="text1"/>
          <w:lang w:val="es-ES_tradnl" w:eastAsia="es-CO"/>
        </w:rPr>
        <w:t xml:space="preserve"> A propósito de esta restricción de la Ley de Garantías Electorales, la Sala de Consulta y Servicio Civil del Consejo de Estado ha considerado que:</w:t>
      </w:r>
    </w:p>
    <w:p w14:paraId="7E979A92" w14:textId="77777777" w:rsidR="00AC3C47" w:rsidRPr="00CB7E8C" w:rsidRDefault="00AC3C47" w:rsidP="00AC3C47">
      <w:pPr>
        <w:spacing w:after="0"/>
        <w:ind w:left="708" w:right="709"/>
        <w:contextualSpacing/>
        <w:jc w:val="both"/>
        <w:rPr>
          <w:rFonts w:ascii="Arial" w:hAnsi="Arial" w:cs="Arial"/>
          <w:color w:val="000000" w:themeColor="text1"/>
          <w:sz w:val="21"/>
          <w:szCs w:val="21"/>
          <w:lang w:val="es-ES_tradnl"/>
        </w:rPr>
      </w:pPr>
    </w:p>
    <w:p w14:paraId="1911D1D2" w14:textId="4C2CD55C" w:rsidR="00AC3C47" w:rsidRPr="00CB7E8C" w:rsidRDefault="00AC3C47" w:rsidP="00AC3C47">
      <w:pPr>
        <w:spacing w:after="0"/>
        <w:ind w:left="709" w:right="709"/>
        <w:contextualSpacing/>
        <w:jc w:val="both"/>
        <w:rPr>
          <w:rFonts w:ascii="Arial" w:hAnsi="Arial" w:cs="Arial"/>
          <w:color w:val="000000" w:themeColor="text1"/>
          <w:sz w:val="21"/>
          <w:szCs w:val="21"/>
          <w:lang w:val="es-ES_tradnl"/>
        </w:rPr>
      </w:pPr>
      <w:r w:rsidRPr="00CB7E8C">
        <w:rPr>
          <w:rFonts w:ascii="Arial" w:hAnsi="Arial" w:cs="Arial"/>
          <w:color w:val="000000" w:themeColor="text1"/>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B7E8C">
        <w:rPr>
          <w:rStyle w:val="Refdenotaalpie"/>
          <w:rFonts w:ascii="Arial" w:hAnsi="Arial" w:cs="Arial"/>
          <w:color w:val="000000" w:themeColor="text1"/>
        </w:rPr>
        <w:footnoteReference w:id="10"/>
      </w:r>
      <w:r w:rsidRPr="00CB7E8C">
        <w:rPr>
          <w:rFonts w:ascii="Arial" w:hAnsi="Arial" w:cs="Arial"/>
          <w:color w:val="000000" w:themeColor="text1"/>
          <w:sz w:val="21"/>
          <w:szCs w:val="21"/>
          <w:lang w:val="es-ES_tradnl"/>
        </w:rPr>
        <w:t>.</w:t>
      </w:r>
    </w:p>
    <w:p w14:paraId="6F021365" w14:textId="77777777" w:rsidR="00AC3C47" w:rsidRPr="00CB7E8C" w:rsidRDefault="00AC3C47" w:rsidP="00AC3C47">
      <w:pPr>
        <w:spacing w:after="0"/>
        <w:ind w:left="709" w:right="709"/>
        <w:contextualSpacing/>
        <w:jc w:val="both"/>
        <w:rPr>
          <w:rFonts w:ascii="Arial" w:hAnsi="Arial" w:cs="Arial"/>
          <w:color w:val="000000" w:themeColor="text1"/>
          <w:sz w:val="21"/>
          <w:szCs w:val="21"/>
          <w:lang w:val="es-ES_tradnl"/>
        </w:rPr>
      </w:pPr>
    </w:p>
    <w:p w14:paraId="5BAB25A7" w14:textId="77777777" w:rsidR="00AC3C47" w:rsidRPr="00CB7E8C" w:rsidRDefault="00AC3C47" w:rsidP="00AA1627">
      <w:pPr>
        <w:spacing w:after="0"/>
        <w:ind w:left="709" w:right="709"/>
        <w:contextualSpacing/>
        <w:jc w:val="both"/>
        <w:rPr>
          <w:rFonts w:ascii="Arial" w:hAnsi="Arial" w:cs="Arial"/>
          <w:color w:val="000000" w:themeColor="text1"/>
          <w:sz w:val="21"/>
          <w:szCs w:val="21"/>
          <w:lang w:val="es-ES_tradnl"/>
        </w:rPr>
      </w:pPr>
      <w:r w:rsidRPr="00CB7E8C">
        <w:rPr>
          <w:rFonts w:ascii="Arial" w:hAnsi="Arial" w:cs="Arial"/>
          <w:color w:val="000000" w:themeColor="text1"/>
          <w:sz w:val="21"/>
          <w:szCs w:val="21"/>
          <w:lang w:val="es-ES_tradnl"/>
        </w:rPr>
        <w:t xml:space="preserve">Esta Sala ha entendido </w:t>
      </w:r>
      <w:proofErr w:type="gramStart"/>
      <w:r w:rsidRPr="00CB7E8C">
        <w:rPr>
          <w:rFonts w:ascii="Arial" w:hAnsi="Arial" w:cs="Arial"/>
          <w:color w:val="000000" w:themeColor="text1"/>
          <w:sz w:val="21"/>
          <w:szCs w:val="21"/>
          <w:lang w:val="es-ES_tradnl"/>
        </w:rPr>
        <w:t>que</w:t>
      </w:r>
      <w:proofErr w:type="gramEnd"/>
      <w:r w:rsidRPr="00CB7E8C">
        <w:rPr>
          <w:rFonts w:ascii="Arial" w:hAnsi="Arial" w:cs="Arial"/>
          <w:color w:val="000000" w:themeColor="text1"/>
          <w:sz w:val="21"/>
          <w:szCs w:val="21"/>
          <w:lang w:val="es-ES_tradnl"/>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B7E8C">
        <w:rPr>
          <w:rStyle w:val="Refdenotaalpie"/>
          <w:rFonts w:ascii="Arial" w:hAnsi="Arial" w:cs="Arial"/>
          <w:color w:val="000000" w:themeColor="text1"/>
        </w:rPr>
        <w:footnoteReference w:id="11"/>
      </w:r>
      <w:r w:rsidRPr="00CB7E8C">
        <w:rPr>
          <w:rFonts w:ascii="Arial" w:hAnsi="Arial" w:cs="Arial"/>
          <w:color w:val="000000" w:themeColor="text1"/>
          <w:sz w:val="21"/>
          <w:szCs w:val="21"/>
          <w:vertAlign w:val="superscript"/>
          <w:lang w:val="es-ES_tradnl"/>
        </w:rPr>
        <w:t>.</w:t>
      </w:r>
      <w:r w:rsidRPr="00CB7E8C">
        <w:rPr>
          <w:rFonts w:ascii="Arial" w:hAnsi="Arial" w:cs="Arial"/>
          <w:color w:val="000000" w:themeColor="text1"/>
          <w:sz w:val="21"/>
          <w:szCs w:val="21"/>
          <w:lang w:val="es-ES_tradnl"/>
        </w:rPr>
        <w:t xml:space="preserve"> Por tanto, no son materia de la </w:t>
      </w:r>
      <w:r w:rsidRPr="00CB7E8C">
        <w:rPr>
          <w:rFonts w:ascii="Arial" w:hAnsi="Arial" w:cs="Arial"/>
          <w:color w:val="000000" w:themeColor="text1"/>
          <w:sz w:val="21"/>
          <w:szCs w:val="21"/>
          <w:lang w:val="es-ES_tradnl"/>
        </w:rPr>
        <w:lastRenderedPageBreak/>
        <w:t>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CB7E8C">
        <w:rPr>
          <w:rStyle w:val="Refdenotaalpie"/>
          <w:rFonts w:ascii="Arial" w:hAnsi="Arial" w:cs="Arial"/>
          <w:color w:val="000000" w:themeColor="text1"/>
        </w:rPr>
        <w:footnoteReference w:id="12"/>
      </w:r>
      <w:r w:rsidRPr="00CB7E8C">
        <w:rPr>
          <w:rFonts w:ascii="Arial" w:hAnsi="Arial" w:cs="Arial"/>
          <w:color w:val="000000" w:themeColor="text1"/>
          <w:sz w:val="21"/>
          <w:szCs w:val="21"/>
          <w:lang w:val="es-ES_tradnl"/>
        </w:rPr>
        <w:t xml:space="preserve"> .</w:t>
      </w:r>
    </w:p>
    <w:p w14:paraId="4FD052A1" w14:textId="77777777" w:rsidR="00AC3C47" w:rsidRPr="00CB7E8C" w:rsidRDefault="00AC3C47" w:rsidP="00AC3C47">
      <w:pPr>
        <w:shd w:val="clear" w:color="auto" w:fill="FFFFFF"/>
        <w:spacing w:after="0" w:line="276" w:lineRule="auto"/>
        <w:ind w:firstLine="709"/>
        <w:contextualSpacing/>
        <w:jc w:val="both"/>
        <w:rPr>
          <w:rFonts w:ascii="Arial" w:hAnsi="Arial" w:cs="Arial"/>
          <w:color w:val="000000" w:themeColor="text1"/>
          <w:lang w:val="es-ES_tradnl" w:eastAsia="x-none"/>
        </w:rPr>
      </w:pPr>
    </w:p>
    <w:p w14:paraId="05FED7F6"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x-none"/>
        </w:rPr>
      </w:pPr>
      <w:r w:rsidRPr="00CB7E8C">
        <w:rPr>
          <w:rFonts w:ascii="Arial" w:hAnsi="Arial" w:cs="Arial"/>
          <w:color w:val="000000" w:themeColor="text1"/>
          <w:lang w:val="es-ES_tradnl" w:eastAsia="x-none"/>
        </w:rPr>
        <w:t xml:space="preserve">De acuerdo con el citado concepto, la prohibición del artículo 33 de la Ley de Garantías Electorales se refiere a </w:t>
      </w:r>
      <w:r w:rsidRPr="00CB7E8C">
        <w:rPr>
          <w:rFonts w:ascii="Arial" w:hAnsi="Arial" w:cs="Arial"/>
          <w:color w:val="000000" w:themeColor="text1"/>
          <w:sz w:val="19"/>
          <w:szCs w:val="19"/>
          <w:lang w:val="es-ES_tradnl" w:eastAsia="en-GB"/>
        </w:rPr>
        <w:t>«</w:t>
      </w:r>
      <w:r w:rsidRPr="00CB7E8C">
        <w:rPr>
          <w:rFonts w:ascii="Arial" w:hAnsi="Arial" w:cs="Arial"/>
          <w:color w:val="000000" w:themeColor="text1"/>
          <w:lang w:val="es-ES_tradnl" w:eastAsia="x-none"/>
        </w:rPr>
        <w:t>cualquier sistema que no implique convocatoria pública y posibilidad de pluralidad de oferentes</w:t>
      </w:r>
      <w:r w:rsidRPr="00CB7E8C">
        <w:rPr>
          <w:rFonts w:ascii="Arial" w:hAnsi="Arial" w:cs="Arial"/>
          <w:color w:val="000000" w:themeColor="text1"/>
          <w:lang w:val="es-ES_tradnl" w:eastAsia="en-GB"/>
        </w:rPr>
        <w:t>»</w:t>
      </w:r>
      <w:r w:rsidRPr="00CB7E8C">
        <w:rPr>
          <w:rFonts w:ascii="Arial" w:hAnsi="Arial" w:cs="Arial"/>
          <w:color w:val="000000" w:themeColor="text1"/>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CB7E8C">
        <w:rPr>
          <w:rStyle w:val="Refdenotaalpie"/>
          <w:rFonts w:ascii="Arial" w:hAnsi="Arial" w:cs="Arial"/>
          <w:color w:val="000000" w:themeColor="text1"/>
        </w:rPr>
        <w:footnoteReference w:id="13"/>
      </w:r>
      <w:r w:rsidRPr="00CB7E8C">
        <w:rPr>
          <w:rFonts w:ascii="Arial" w:hAnsi="Arial" w:cs="Arial"/>
          <w:color w:val="000000" w:themeColor="text1"/>
          <w:lang w:val="es-ES_tradnl" w:eastAsia="x-none"/>
        </w:rPr>
        <w:t xml:space="preserve"> y sistematizó las causales de contratación directa</w:t>
      </w:r>
      <w:r w:rsidRPr="00CB7E8C">
        <w:rPr>
          <w:rStyle w:val="Refdenotaalpie"/>
          <w:rFonts w:ascii="Arial" w:hAnsi="Arial" w:cs="Arial"/>
          <w:color w:val="000000" w:themeColor="text1"/>
        </w:rPr>
        <w:footnoteReference w:id="14"/>
      </w:r>
      <w:r w:rsidRPr="00CB7E8C">
        <w:rPr>
          <w:rFonts w:ascii="Arial" w:hAnsi="Arial" w:cs="Arial"/>
          <w:color w:val="000000" w:themeColor="text1"/>
          <w:lang w:val="es-ES_tradnl" w:eastAsia="x-none"/>
        </w:rPr>
        <w:t xml:space="preserve">, </w:t>
      </w:r>
      <w:r w:rsidRPr="00CB7E8C">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p>
    <w:p w14:paraId="1CAFBA4E" w14:textId="77777777" w:rsidR="00AC3C47" w:rsidRPr="00CB7E8C" w:rsidRDefault="00AC3C47" w:rsidP="00AA1627">
      <w:pPr>
        <w:spacing w:after="120" w:line="276" w:lineRule="auto"/>
        <w:ind w:firstLine="709"/>
        <w:jc w:val="both"/>
        <w:rPr>
          <w:rFonts w:ascii="Arial" w:hAnsi="Arial" w:cs="Arial"/>
          <w:color w:val="000000" w:themeColor="text1"/>
          <w:lang w:val="es-ES_tradnl" w:eastAsia="x-none"/>
        </w:rPr>
      </w:pPr>
      <w:r w:rsidRPr="00CB7E8C">
        <w:rPr>
          <w:rFonts w:ascii="Arial" w:hAnsi="Arial" w:cs="Arial"/>
          <w:color w:val="000000" w:themeColor="text1"/>
          <w:lang w:val="es-ES_tradnl" w:eastAsia="x-none"/>
        </w:rPr>
        <w:t xml:space="preserve">De esta forma, con fundamento en la evolución de la normativa sobre la contratación pública, se ha depurado la noción de </w:t>
      </w:r>
      <w:r w:rsidRPr="00CB7E8C">
        <w:rPr>
          <w:rFonts w:ascii="Arial" w:hAnsi="Arial" w:cs="Arial"/>
          <w:color w:val="000000" w:themeColor="text1"/>
          <w:sz w:val="19"/>
          <w:szCs w:val="19"/>
          <w:lang w:val="es-ES_tradnl" w:eastAsia="en-GB"/>
        </w:rPr>
        <w:t>«</w:t>
      </w:r>
      <w:r w:rsidRPr="00CB7E8C">
        <w:rPr>
          <w:rFonts w:ascii="Arial" w:hAnsi="Arial" w:cs="Arial"/>
          <w:color w:val="000000" w:themeColor="text1"/>
          <w:lang w:val="es-ES_tradnl" w:eastAsia="x-none"/>
        </w:rPr>
        <w:t>contratación directa</w:t>
      </w:r>
      <w:r w:rsidRPr="00CB7E8C">
        <w:rPr>
          <w:rFonts w:ascii="Arial" w:hAnsi="Arial" w:cs="Arial"/>
          <w:color w:val="000000" w:themeColor="text1"/>
          <w:lang w:val="es-ES_tradnl" w:eastAsia="en-GB"/>
        </w:rPr>
        <w:t>»</w:t>
      </w:r>
      <w:r w:rsidRPr="00CB7E8C">
        <w:rPr>
          <w:rFonts w:ascii="Arial" w:hAnsi="Arial" w:cs="Arial"/>
          <w:color w:val="000000" w:themeColor="text1"/>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B7E8C">
        <w:rPr>
          <w:rStyle w:val="Refdenotaalpie"/>
          <w:rFonts w:ascii="Arial" w:hAnsi="Arial" w:cs="Arial"/>
          <w:color w:val="000000" w:themeColor="text1"/>
        </w:rPr>
        <w:footnoteReference w:id="15"/>
      </w:r>
      <w:r w:rsidRPr="00CB7E8C">
        <w:rPr>
          <w:rFonts w:ascii="Arial" w:hAnsi="Arial" w:cs="Arial"/>
          <w:color w:val="000000" w:themeColor="text1"/>
          <w:lang w:val="es-ES_tradnl" w:eastAsia="x-none"/>
        </w:rPr>
        <w:t>, han establecido sistemas de contratación que implican convocatoria pública y participación de varios oferentes</w:t>
      </w:r>
      <w:r w:rsidRPr="00CB7E8C">
        <w:rPr>
          <w:rFonts w:ascii="Arial" w:hAnsi="Arial" w:cs="Arial"/>
          <w:color w:val="000000" w:themeColor="text1"/>
          <w:lang w:val="es-ES_tradnl" w:eastAsia="en-GB"/>
        </w:rPr>
        <w:t>»</w:t>
      </w:r>
      <w:r w:rsidRPr="00CB7E8C">
        <w:rPr>
          <w:rFonts w:ascii="Arial" w:hAnsi="Arial" w:cs="Arial"/>
          <w:color w:val="000000" w:themeColor="text1"/>
          <w:lang w:val="es-ES_tradnl" w:eastAsia="x-none"/>
        </w:rPr>
        <w:t xml:space="preserve">. </w:t>
      </w:r>
    </w:p>
    <w:p w14:paraId="1C8B162F"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es-CO"/>
        </w:rPr>
      </w:pPr>
      <w:r w:rsidRPr="00CB7E8C">
        <w:rPr>
          <w:rFonts w:ascii="Arial" w:hAnsi="Arial" w:cs="Arial"/>
          <w:bCs/>
          <w:color w:val="000000" w:themeColor="text1"/>
          <w:lang w:val="es-ES_tradnl" w:eastAsia="x-none"/>
        </w:rPr>
        <w:t>E</w:t>
      </w:r>
      <w:r w:rsidRPr="00CB7E8C">
        <w:rPr>
          <w:rFonts w:ascii="Arial" w:hAnsi="Arial" w:cs="Arial"/>
          <w:color w:val="000000" w:themeColor="text1"/>
          <w:lang w:val="es-ES_tradnl"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w:t>
      </w:r>
      <w:r w:rsidRPr="00CB7E8C">
        <w:rPr>
          <w:rFonts w:ascii="Arial" w:hAnsi="Arial" w:cs="Arial"/>
          <w:color w:val="000000" w:themeColor="text1"/>
          <w:lang w:val="es-ES_tradnl" w:eastAsia="x-none"/>
        </w:rPr>
        <w:lastRenderedPageBreak/>
        <w:t>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CB7E8C">
        <w:rPr>
          <w:rStyle w:val="Refdenotaalpie"/>
          <w:rFonts w:ascii="Arial" w:hAnsi="Arial" w:cs="Arial"/>
          <w:color w:val="000000" w:themeColor="text1"/>
        </w:rPr>
        <w:footnoteReference w:id="16"/>
      </w:r>
      <w:r w:rsidRPr="00CB7E8C">
        <w:rPr>
          <w:rFonts w:ascii="Arial" w:hAnsi="Arial" w:cs="Arial"/>
          <w:color w:val="000000" w:themeColor="text1"/>
          <w:lang w:val="es-ES_tradnl" w:eastAsia="x-none"/>
        </w:rPr>
        <w:t xml:space="preserve">. </w:t>
      </w:r>
    </w:p>
    <w:p w14:paraId="1EDEC65E"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es-CO"/>
        </w:rPr>
      </w:pPr>
      <w:r w:rsidRPr="00CB7E8C">
        <w:rPr>
          <w:rFonts w:ascii="Arial" w:hAnsi="Arial" w:cs="Arial"/>
          <w:bCs/>
          <w:color w:val="000000" w:themeColor="text1"/>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36CCDF3"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x-none"/>
        </w:rPr>
      </w:pPr>
      <w:r w:rsidRPr="00CB7E8C">
        <w:rPr>
          <w:rFonts w:ascii="Arial" w:hAnsi="Arial" w:cs="Arial"/>
          <w:bCs/>
          <w:color w:val="000000" w:themeColor="text1"/>
          <w:lang w:val="es-ES_tradnl" w:eastAsia="x-none"/>
        </w:rPr>
        <w:t xml:space="preserve"> </w:t>
      </w:r>
      <w:bookmarkStart w:id="20" w:name="_Hlk101791623"/>
      <w:r w:rsidRPr="00CB7E8C">
        <w:rPr>
          <w:rFonts w:ascii="Arial" w:hAnsi="Arial" w:cs="Arial"/>
          <w:bCs/>
          <w:color w:val="000000" w:themeColor="text1"/>
          <w:lang w:val="es-ES_tradnl" w:eastAsia="x-none"/>
        </w:rPr>
        <w:t xml:space="preserve">Así las cosas, ha de entenderse que, </w:t>
      </w:r>
      <w:bookmarkStart w:id="21" w:name="_Hlk100592654"/>
      <w:r w:rsidRPr="00CB7E8C">
        <w:rPr>
          <w:rFonts w:ascii="Arial" w:hAnsi="Arial" w:cs="Arial"/>
          <w:bCs/>
          <w:color w:val="000000" w:themeColor="text1"/>
          <w:lang w:val="es-ES_tradnl"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20"/>
      <w:bookmarkEnd w:id="21"/>
      <w:r w:rsidRPr="00CB7E8C">
        <w:rPr>
          <w:rStyle w:val="Refdenotaalpie"/>
          <w:rFonts w:ascii="Arial" w:hAnsi="Arial" w:cs="Arial"/>
          <w:color w:val="000000" w:themeColor="text1"/>
        </w:rPr>
        <w:footnoteReference w:id="17"/>
      </w:r>
      <w:r w:rsidRPr="00CB7E8C">
        <w:rPr>
          <w:rFonts w:ascii="Arial" w:hAnsi="Arial" w:cs="Arial"/>
          <w:bCs/>
          <w:color w:val="000000" w:themeColor="text1"/>
          <w:lang w:val="es-ES_tradnl" w:eastAsia="x-none"/>
        </w:rPr>
        <w:t>.</w:t>
      </w:r>
      <w:r w:rsidRPr="00CB7E8C">
        <w:rPr>
          <w:rFonts w:ascii="Arial" w:hAnsi="Arial" w:cs="Arial"/>
          <w:color w:val="000000" w:themeColor="text1"/>
          <w:vertAlign w:val="superscript"/>
          <w:lang w:val="es-ES_tradnl" w:eastAsia="x-none"/>
        </w:rPr>
        <w:t xml:space="preserve"> </w:t>
      </w:r>
    </w:p>
    <w:p w14:paraId="6025E042" w14:textId="7C15ACB6" w:rsidR="00AC3C47" w:rsidRPr="00CB7E8C" w:rsidRDefault="00AC3C47" w:rsidP="00AA1627">
      <w:pPr>
        <w:spacing w:after="120" w:line="276" w:lineRule="auto"/>
        <w:ind w:firstLine="709"/>
        <w:jc w:val="both"/>
        <w:rPr>
          <w:rFonts w:ascii="Arial" w:hAnsi="Arial" w:cs="Arial"/>
          <w:color w:val="000000" w:themeColor="text1"/>
          <w:lang w:val="es-ES_tradnl" w:eastAsia="x-none"/>
        </w:rPr>
      </w:pPr>
      <w:r w:rsidRPr="00CB7E8C">
        <w:rPr>
          <w:rFonts w:ascii="Arial" w:hAnsi="Arial" w:cs="Arial"/>
          <w:bCs/>
          <w:color w:val="000000" w:themeColor="text1"/>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CB7E8C">
        <w:rPr>
          <w:rFonts w:ascii="Arial" w:hAnsi="Arial" w:cs="Arial"/>
          <w:color w:val="000000" w:themeColor="text1"/>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w:t>
      </w:r>
      <w:r w:rsidR="00AA1627" w:rsidRPr="00CB7E8C">
        <w:rPr>
          <w:rFonts w:ascii="Arial" w:hAnsi="Arial" w:cs="Arial"/>
          <w:color w:val="000000" w:themeColor="text1"/>
          <w:lang w:val="es-ES_tradnl" w:eastAsia="x-none"/>
        </w:rPr>
        <w:t xml:space="preserve">pueden </w:t>
      </w:r>
      <w:r w:rsidRPr="00CB7E8C">
        <w:rPr>
          <w:rFonts w:ascii="Arial" w:hAnsi="Arial" w:cs="Arial"/>
          <w:color w:val="000000" w:themeColor="text1"/>
          <w:lang w:val="es-ES_tradnl" w:eastAsia="x-none"/>
        </w:rPr>
        <w:t>seguir contratando bajo estos procedimientos.</w:t>
      </w:r>
    </w:p>
    <w:p w14:paraId="28191CEB"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x-none"/>
        </w:rPr>
      </w:pPr>
      <w:r w:rsidRPr="00CB7E8C">
        <w:rPr>
          <w:rFonts w:ascii="Arial" w:hAnsi="Arial" w:cs="Arial"/>
          <w:bCs/>
          <w:color w:val="000000" w:themeColor="text1"/>
          <w:lang w:val="es-ES_tradnl" w:eastAsia="es-CO"/>
        </w:rPr>
        <w:t xml:space="preserve">Como en otras oportunidades lo ha manifestado esta Agencia, las prórrogas, modificaciones o adiciones de los contratos suscritos antes de la </w:t>
      </w:r>
      <w:proofErr w:type="gramStart"/>
      <w:r w:rsidRPr="00CB7E8C">
        <w:rPr>
          <w:rFonts w:ascii="Arial" w:hAnsi="Arial" w:cs="Arial"/>
          <w:bCs/>
          <w:color w:val="000000" w:themeColor="text1"/>
          <w:lang w:val="es-ES_tradnl" w:eastAsia="es-CO"/>
        </w:rPr>
        <w:t>entrada en vigencia</w:t>
      </w:r>
      <w:proofErr w:type="gramEnd"/>
      <w:r w:rsidRPr="00CB7E8C">
        <w:rPr>
          <w:rFonts w:ascii="Arial" w:hAnsi="Arial" w:cs="Arial"/>
          <w:bCs/>
          <w:color w:val="000000" w:themeColor="text1"/>
          <w:lang w:val="es-ES_tradnl" w:eastAsia="es-CO"/>
        </w:rPr>
        <w:t xml:space="preserve"> de las prohibiciones anotadas, así como la cesión de los mismos, pueden tener lugar en el período de aplicación de la Ley de Garantías</w:t>
      </w:r>
      <w:r w:rsidRPr="00CB7E8C">
        <w:rPr>
          <w:rStyle w:val="Refdenotaalpie"/>
          <w:rFonts w:ascii="Arial" w:hAnsi="Arial" w:cs="Arial"/>
          <w:color w:val="000000" w:themeColor="text1"/>
        </w:rPr>
        <w:footnoteReference w:id="18"/>
      </w:r>
      <w:r w:rsidRPr="00CB7E8C">
        <w:rPr>
          <w:rFonts w:ascii="Arial" w:hAnsi="Arial" w:cs="Arial"/>
          <w:bCs/>
          <w:color w:val="000000" w:themeColor="text1"/>
          <w:lang w:val="es-ES_tradnl" w:eastAsia="es-CO"/>
        </w:rPr>
        <w:t xml:space="preserve">. Esto sin que ello haga nugatoria la restricción de la </w:t>
      </w:r>
      <w:r w:rsidRPr="00CB7E8C">
        <w:rPr>
          <w:rFonts w:ascii="Arial" w:hAnsi="Arial" w:cs="Arial"/>
          <w:bCs/>
          <w:color w:val="000000" w:themeColor="text1"/>
          <w:lang w:val="es-ES_tradnl" w:eastAsia="es-CO"/>
        </w:rPr>
        <w:lastRenderedPageBreak/>
        <w:t>contratación directa y siempre que cumplan los principios de planeación, transparencia y responsabilidad.</w:t>
      </w:r>
    </w:p>
    <w:p w14:paraId="66772E26"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es-CO"/>
        </w:rPr>
      </w:pPr>
      <w:bookmarkStart w:id="22" w:name="_Hlk100592684"/>
      <w:r w:rsidRPr="00CB7E8C">
        <w:rPr>
          <w:rFonts w:ascii="Arial" w:hAnsi="Arial" w:cs="Arial"/>
          <w:bCs/>
          <w:color w:val="000000" w:themeColor="text1"/>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CB7E8C">
        <w:rPr>
          <w:rFonts w:ascii="Arial" w:hAnsi="Arial" w:cs="Arial"/>
          <w:bCs/>
          <w:color w:val="000000" w:themeColor="text1"/>
          <w:lang w:val="es-ES_tradnl" w:eastAsia="x-none"/>
        </w:rPr>
        <w:t>ii</w:t>
      </w:r>
      <w:proofErr w:type="spellEnd"/>
      <w:r w:rsidRPr="00CB7E8C">
        <w:rPr>
          <w:rFonts w:ascii="Arial" w:hAnsi="Arial" w:cs="Arial"/>
          <w:bCs/>
          <w:color w:val="000000" w:themeColor="text1"/>
          <w:lang w:val="es-ES_tradnl" w:eastAsia="x-none"/>
        </w:rPr>
        <w:t xml:space="preserve">) los contratos de crédito público; </w:t>
      </w:r>
      <w:proofErr w:type="spellStart"/>
      <w:r w:rsidRPr="00CB7E8C">
        <w:rPr>
          <w:rFonts w:ascii="Arial" w:hAnsi="Arial" w:cs="Arial"/>
          <w:bCs/>
          <w:color w:val="000000" w:themeColor="text1"/>
          <w:lang w:val="es-ES_tradnl" w:eastAsia="x-none"/>
        </w:rPr>
        <w:t>iii</w:t>
      </w:r>
      <w:proofErr w:type="spellEnd"/>
      <w:r w:rsidRPr="00CB7E8C">
        <w:rPr>
          <w:rFonts w:ascii="Arial" w:hAnsi="Arial" w:cs="Arial"/>
          <w:bCs/>
          <w:color w:val="000000" w:themeColor="text1"/>
          <w:lang w:val="es-ES_tradnl" w:eastAsia="x-none"/>
        </w:rPr>
        <w:t xml:space="preserve">) los requeridos para cubrir las emergencias educativas, sanitarias y desastres; </w:t>
      </w:r>
      <w:proofErr w:type="spellStart"/>
      <w:r w:rsidRPr="00CB7E8C">
        <w:rPr>
          <w:rFonts w:ascii="Arial" w:hAnsi="Arial" w:cs="Arial"/>
          <w:bCs/>
          <w:color w:val="000000" w:themeColor="text1"/>
          <w:lang w:val="es-ES_tradnl" w:eastAsia="x-none"/>
        </w:rPr>
        <w:t>iv</w:t>
      </w:r>
      <w:proofErr w:type="spellEnd"/>
      <w:r w:rsidRPr="00CB7E8C">
        <w:rPr>
          <w:rFonts w:ascii="Arial" w:hAnsi="Arial" w:cs="Arial"/>
          <w:bCs/>
          <w:color w:val="000000" w:themeColor="text1"/>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B7E8C">
        <w:rPr>
          <w:rFonts w:ascii="Arial" w:hAnsi="Arial" w:cs="Arial"/>
          <w:bCs/>
          <w:color w:val="000000" w:themeColor="text1"/>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22"/>
    <w:p w14:paraId="05324C4A" w14:textId="77777777" w:rsidR="00AC3C47" w:rsidRPr="00CB7E8C" w:rsidRDefault="00AC3C47" w:rsidP="00AA1627">
      <w:pPr>
        <w:spacing w:after="120" w:line="276" w:lineRule="auto"/>
        <w:ind w:firstLine="709"/>
        <w:jc w:val="both"/>
        <w:rPr>
          <w:rFonts w:ascii="Arial" w:hAnsi="Arial" w:cs="Arial"/>
          <w:bCs/>
          <w:color w:val="000000" w:themeColor="text1"/>
          <w:lang w:val="es-ES_tradnl" w:eastAsia="x-none"/>
        </w:rPr>
      </w:pPr>
      <w:r w:rsidRPr="00CB7E8C">
        <w:rPr>
          <w:rFonts w:ascii="Arial" w:hAnsi="Arial" w:cs="Arial"/>
          <w:bCs/>
          <w:color w:val="000000" w:themeColor="text1"/>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CB7E8C">
        <w:rPr>
          <w:rStyle w:val="Refdenotaalpie"/>
          <w:rFonts w:ascii="Arial" w:hAnsi="Arial" w:cs="Arial"/>
          <w:color w:val="000000" w:themeColor="text1"/>
        </w:rPr>
        <w:footnoteReference w:id="19"/>
      </w:r>
      <w:r w:rsidRPr="00CB7E8C">
        <w:rPr>
          <w:rFonts w:ascii="Arial" w:hAnsi="Arial" w:cs="Arial"/>
          <w:bCs/>
          <w:color w:val="000000" w:themeColor="text1"/>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62EAA4E6" w14:textId="12D502F9" w:rsidR="00AC3C47" w:rsidRPr="00CB7E8C" w:rsidRDefault="00AC3C47" w:rsidP="001A4526">
      <w:pPr>
        <w:spacing w:before="120" w:after="0" w:line="276" w:lineRule="auto"/>
        <w:ind w:firstLine="709"/>
        <w:contextualSpacing/>
        <w:jc w:val="both"/>
        <w:rPr>
          <w:rFonts w:ascii="Arial" w:hAnsi="Arial" w:cs="Arial"/>
          <w:bCs/>
          <w:color w:val="000000" w:themeColor="text1"/>
          <w:lang w:val="es-ES_tradnl" w:eastAsia="x-none"/>
        </w:rPr>
      </w:pPr>
      <w:bookmarkStart w:id="23" w:name="_Hlk100592713"/>
      <w:r w:rsidRPr="00CB7E8C">
        <w:rPr>
          <w:rFonts w:ascii="Arial" w:hAnsi="Arial" w:cs="Arial"/>
          <w:bCs/>
          <w:color w:val="000000" w:themeColor="text1"/>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B7E8C">
        <w:rPr>
          <w:rFonts w:ascii="Arial" w:hAnsi="Arial" w:cs="Arial"/>
          <w:color w:val="000000" w:themeColor="text1"/>
          <w:lang w:val="es-ES_tradnl"/>
        </w:rPr>
        <w:t xml:space="preserve"> </w:t>
      </w:r>
      <w:r w:rsidRPr="00CB7E8C">
        <w:rPr>
          <w:rFonts w:ascii="Arial" w:hAnsi="Arial" w:cs="Arial"/>
          <w:bCs/>
          <w:color w:val="000000" w:themeColor="text1"/>
          <w:lang w:val="es-ES_tradnl" w:eastAsia="x-none"/>
        </w:rPr>
        <w:t>En efecto, tal como lo ha sostenido el Consejo de Estado, el vocablo «todos» utilizado por el legislador comprende</w:t>
      </w:r>
      <w:r w:rsidRPr="00CB7E8C">
        <w:rPr>
          <w:rFonts w:ascii="Arial" w:hAnsi="Arial" w:cs="Arial"/>
          <w:color w:val="000000" w:themeColor="text1"/>
          <w:lang w:val="es-ES_tradnl"/>
        </w:rPr>
        <w:t xml:space="preserve"> </w:t>
      </w:r>
      <w:r w:rsidRPr="00CB7E8C">
        <w:rPr>
          <w:rFonts w:ascii="Arial" w:hAnsi="Arial" w:cs="Arial"/>
          <w:bCs/>
          <w:color w:val="000000" w:themeColor="text1"/>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w:t>
      </w:r>
      <w:r w:rsidRPr="00CB7E8C">
        <w:rPr>
          <w:rFonts w:ascii="Arial" w:hAnsi="Arial" w:cs="Arial"/>
          <w:bCs/>
          <w:color w:val="000000" w:themeColor="text1"/>
          <w:lang w:val="es-ES_tradnl" w:eastAsia="x-none"/>
        </w:rPr>
        <w:lastRenderedPageBreak/>
        <w:t>contratación y están exceptuadas del ámbito de aplicación del Estatuto General de Contratación de la Administración Pública.</w:t>
      </w:r>
      <w:bookmarkEnd w:id="23"/>
      <w:r w:rsidRPr="00CB7E8C">
        <w:rPr>
          <w:rFonts w:ascii="Arial" w:hAnsi="Arial" w:cs="Arial"/>
          <w:bCs/>
          <w:color w:val="000000" w:themeColor="text1"/>
          <w:lang w:val="es-ES_tradnl" w:eastAsia="x-none"/>
        </w:rPr>
        <w:t xml:space="preserve"> La Sala de Consulta y Servicio Civil del Consejo de Estado, en Concepto 1727 de fecha 20 de febrero de 2006, consideró que: </w:t>
      </w:r>
    </w:p>
    <w:p w14:paraId="38EB6C45" w14:textId="77777777" w:rsidR="001A4526" w:rsidRPr="00CB7E8C" w:rsidRDefault="001A4526" w:rsidP="001A4526">
      <w:pPr>
        <w:spacing w:after="0"/>
        <w:ind w:left="708" w:right="709"/>
        <w:contextualSpacing/>
        <w:jc w:val="both"/>
        <w:rPr>
          <w:rFonts w:ascii="Arial" w:hAnsi="Arial" w:cs="Arial"/>
          <w:bCs/>
          <w:color w:val="000000" w:themeColor="text1"/>
          <w:sz w:val="21"/>
          <w:szCs w:val="21"/>
          <w:lang w:val="es-ES_tradnl" w:eastAsia="x-none"/>
        </w:rPr>
      </w:pPr>
    </w:p>
    <w:p w14:paraId="5EC4E8B0" w14:textId="52379211" w:rsidR="00AC3C47" w:rsidRPr="00CB7E8C" w:rsidRDefault="00AC3C47" w:rsidP="001A4526">
      <w:pPr>
        <w:spacing w:after="0"/>
        <w:ind w:left="708" w:right="709"/>
        <w:contextualSpacing/>
        <w:jc w:val="both"/>
        <w:rPr>
          <w:rFonts w:ascii="Arial" w:hAnsi="Arial" w:cs="Arial"/>
          <w:bCs/>
          <w:color w:val="000000" w:themeColor="text1"/>
          <w:sz w:val="21"/>
          <w:szCs w:val="21"/>
          <w:lang w:val="es-ES_tradnl" w:eastAsia="es-CO"/>
        </w:rPr>
      </w:pPr>
      <w:r w:rsidRPr="00CB7E8C">
        <w:rPr>
          <w:rFonts w:ascii="Arial" w:hAnsi="Arial" w:cs="Arial"/>
          <w:bCs/>
          <w:color w:val="000000" w:themeColor="text1"/>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B7E8C">
        <w:rPr>
          <w:rStyle w:val="Refdenotaalpie"/>
          <w:rFonts w:ascii="Arial" w:hAnsi="Arial" w:cs="Arial"/>
          <w:color w:val="000000" w:themeColor="text1"/>
        </w:rPr>
        <w:footnoteReference w:id="20"/>
      </w:r>
      <w:r w:rsidRPr="00CB7E8C">
        <w:rPr>
          <w:rFonts w:ascii="Arial" w:hAnsi="Arial" w:cs="Arial"/>
          <w:bCs/>
          <w:color w:val="000000" w:themeColor="text1"/>
          <w:sz w:val="21"/>
          <w:szCs w:val="21"/>
          <w:lang w:val="es-ES_tradnl" w:eastAsia="x-none"/>
        </w:rPr>
        <w:t>.</w:t>
      </w:r>
      <w:r w:rsidRPr="00CB7E8C">
        <w:rPr>
          <w:rFonts w:ascii="Arial" w:hAnsi="Arial" w:cs="Arial"/>
          <w:bCs/>
          <w:color w:val="000000" w:themeColor="text1"/>
          <w:sz w:val="21"/>
          <w:szCs w:val="21"/>
          <w:lang w:val="es-ES_tradnl" w:eastAsia="es-CO"/>
        </w:rPr>
        <w:t xml:space="preserve"> </w:t>
      </w:r>
    </w:p>
    <w:p w14:paraId="431F9FAC" w14:textId="77777777" w:rsidR="00AC3C47" w:rsidRPr="00CB7E8C" w:rsidRDefault="00AC3C47" w:rsidP="001A4526">
      <w:pPr>
        <w:spacing w:after="0" w:line="276" w:lineRule="auto"/>
        <w:ind w:firstLine="708"/>
        <w:contextualSpacing/>
        <w:jc w:val="both"/>
        <w:rPr>
          <w:rFonts w:ascii="Arial" w:hAnsi="Arial" w:cs="Arial"/>
          <w:bCs/>
          <w:color w:val="000000" w:themeColor="text1"/>
          <w:lang w:val="es-ES_tradnl" w:eastAsia="es-CO"/>
        </w:rPr>
      </w:pPr>
    </w:p>
    <w:p w14:paraId="2F3D6D5D" w14:textId="10A70CF3" w:rsidR="00AC3C47" w:rsidRPr="00CB7E8C" w:rsidRDefault="00AC3C47" w:rsidP="00CC1950">
      <w:pPr>
        <w:spacing w:after="0" w:line="276" w:lineRule="auto"/>
        <w:ind w:firstLine="708"/>
        <w:contextualSpacing/>
        <w:jc w:val="both"/>
        <w:rPr>
          <w:rFonts w:ascii="Arial" w:hAnsi="Arial" w:cs="Arial"/>
          <w:bCs/>
          <w:color w:val="000000" w:themeColor="text1"/>
          <w:lang w:val="es-ES_tradnl" w:eastAsia="x-none"/>
        </w:rPr>
      </w:pPr>
      <w:r w:rsidRPr="00CB7E8C">
        <w:rPr>
          <w:rFonts w:ascii="Arial" w:hAnsi="Arial" w:cs="Arial"/>
          <w:color w:val="000000" w:themeColor="text1"/>
          <w:lang w:val="es-ES_tradnl"/>
        </w:rPr>
        <w:t xml:space="preserve">Por lo tanto, la restricción prevista en la Ley 996 de 2005, </w:t>
      </w:r>
      <w:r w:rsidRPr="00CB7E8C">
        <w:rPr>
          <w:rFonts w:ascii="Arial" w:hAnsi="Arial" w:cs="Arial"/>
          <w:bCs/>
          <w:color w:val="000000" w:themeColor="text1"/>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73A87DDF" w14:textId="77777777" w:rsidR="00CC1950" w:rsidRPr="00CB7E8C" w:rsidRDefault="00CC1950" w:rsidP="00E93A6A">
      <w:pPr>
        <w:spacing w:after="0" w:line="276" w:lineRule="auto"/>
        <w:ind w:firstLine="708"/>
        <w:contextualSpacing/>
        <w:jc w:val="both"/>
        <w:rPr>
          <w:rFonts w:ascii="Arial" w:hAnsi="Arial" w:cs="Arial"/>
          <w:bCs/>
          <w:color w:val="000000" w:themeColor="text1"/>
          <w:lang w:val="es-ES_tradnl" w:eastAsia="x-none"/>
        </w:rPr>
      </w:pPr>
    </w:p>
    <w:p w14:paraId="0DA2BE8D" w14:textId="364B91C8" w:rsidR="00CC1950" w:rsidRPr="00CC1950" w:rsidRDefault="00CC1950" w:rsidP="00E93A6A">
      <w:pPr>
        <w:spacing w:after="0" w:line="276" w:lineRule="auto"/>
        <w:contextualSpacing/>
        <w:jc w:val="both"/>
        <w:rPr>
          <w:rFonts w:ascii="Arial" w:hAnsi="Arial" w:cs="Arial"/>
          <w:b/>
          <w:bCs/>
          <w:lang w:val="es-MX" w:eastAsia="es-CO"/>
        </w:rPr>
      </w:pPr>
      <w:bookmarkStart w:id="24" w:name="_Hlk77237229"/>
      <w:bookmarkStart w:id="25" w:name="_Hlk75741539"/>
      <w:r w:rsidRPr="00CB7E8C">
        <w:rPr>
          <w:rFonts w:ascii="Arial" w:hAnsi="Arial" w:cs="Arial"/>
          <w:b/>
          <w:bCs/>
          <w:lang w:val="es-MX" w:eastAsia="es-CO"/>
        </w:rPr>
        <w:t>2.3.</w:t>
      </w:r>
      <w:r w:rsidRPr="00CC1950">
        <w:rPr>
          <w:rFonts w:ascii="Arial" w:hAnsi="Arial" w:cs="Arial"/>
          <w:b/>
          <w:bCs/>
          <w:lang w:val="es-MX" w:eastAsia="es-CO"/>
        </w:rPr>
        <w:t xml:space="preserve"> Restricciones </w:t>
      </w:r>
      <w:bookmarkStart w:id="26" w:name="_Hlk75643279"/>
      <w:r w:rsidRPr="00CC1950">
        <w:rPr>
          <w:rFonts w:ascii="Arial" w:hAnsi="Arial" w:cs="Arial"/>
          <w:b/>
          <w:bCs/>
          <w:lang w:val="es-MX" w:eastAsia="es-CO"/>
        </w:rPr>
        <w:t xml:space="preserve">para la celebración de contratos y convenios interadministrativos en los comicios de cargos de elección popular </w:t>
      </w:r>
    </w:p>
    <w:p w14:paraId="3774EF9B" w14:textId="77777777" w:rsidR="00CC1950" w:rsidRPr="00CC1950" w:rsidRDefault="00CC1950" w:rsidP="00E93A6A">
      <w:pPr>
        <w:spacing w:after="0" w:line="276" w:lineRule="auto"/>
        <w:contextualSpacing/>
        <w:jc w:val="both"/>
        <w:rPr>
          <w:rFonts w:ascii="Arial" w:hAnsi="Arial" w:cs="Arial"/>
          <w:b/>
          <w:bCs/>
          <w:lang w:val="es-MX"/>
        </w:rPr>
      </w:pPr>
    </w:p>
    <w:bookmarkEnd w:id="26"/>
    <w:p w14:paraId="1C18D29F" w14:textId="77777777" w:rsidR="00CC1950" w:rsidRPr="00CC1950" w:rsidRDefault="00CC1950" w:rsidP="00CC1950">
      <w:pPr>
        <w:tabs>
          <w:tab w:val="left" w:pos="426"/>
        </w:tabs>
        <w:spacing w:after="120" w:line="276" w:lineRule="auto"/>
        <w:jc w:val="both"/>
        <w:rPr>
          <w:rFonts w:ascii="Arial" w:eastAsia="Calibri" w:hAnsi="Arial" w:cs="Arial"/>
          <w:bCs/>
        </w:rPr>
      </w:pPr>
      <w:r w:rsidRPr="00CC1950">
        <w:rPr>
          <w:rFonts w:ascii="Arial" w:eastAsia="Calibri" w:hAnsi="Arial" w:cs="Arial"/>
          <w:bCs/>
        </w:rPr>
        <w:t xml:space="preserve">El parágrafo del artículo 38 de la Ley 996 de 2005 dispone que «[l]os Gobernadores, </w:t>
      </w:r>
      <w:proofErr w:type="gramStart"/>
      <w:r w:rsidRPr="00CC1950">
        <w:rPr>
          <w:rFonts w:ascii="Arial" w:eastAsia="Calibri" w:hAnsi="Arial" w:cs="Arial"/>
          <w:bCs/>
        </w:rPr>
        <w:t>Alcaldes</w:t>
      </w:r>
      <w:proofErr w:type="gramEnd"/>
      <w:r w:rsidRPr="00CC1950">
        <w:rPr>
          <w:rFonts w:ascii="Arial" w:eastAsia="Calibri" w:hAnsi="Arial"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C1950">
        <w:rPr>
          <w:rFonts w:ascii="Arial" w:hAnsi="Arial" w:cs="Arial"/>
          <w:bCs/>
          <w:iCs/>
          <w:lang w:val="es-MX" w:eastAsia="x-none"/>
        </w:rPr>
        <w:t xml:space="preserve"> Los convenios o contratos interadministrativos que se restringen en el parágrafo del artículo 38 de la Ley 996 de 2005, son únicamente aquellos </w:t>
      </w:r>
      <w:r w:rsidRPr="00CC1950">
        <w:rPr>
          <w:rFonts w:ascii="Arial" w:hAnsi="Arial" w:cs="Arial"/>
          <w:bCs/>
          <w:iCs/>
          <w:lang w:val="es-MX" w:eastAsia="x-none"/>
        </w:rPr>
        <w:lastRenderedPageBreak/>
        <w:t>en que se dispone la ejecución de recursos públicos, para evitar que mediante la suscripción de estos se comprometa el erario con fines políticos o partidistas</w:t>
      </w:r>
      <w:r w:rsidRPr="00CC1950">
        <w:rPr>
          <w:rFonts w:ascii="Arial" w:hAnsi="Arial" w:cs="Arial"/>
          <w:bCs/>
          <w:iCs/>
          <w:vertAlign w:val="superscript"/>
          <w:lang w:val="es-MX" w:eastAsia="x-none"/>
        </w:rPr>
        <w:footnoteReference w:id="21"/>
      </w:r>
      <w:r w:rsidRPr="00CC1950">
        <w:rPr>
          <w:rFonts w:ascii="Arial" w:hAnsi="Arial" w:cs="Arial"/>
          <w:bCs/>
          <w:iCs/>
          <w:lang w:val="es-MX" w:eastAsia="x-none"/>
        </w:rPr>
        <w:t>.</w:t>
      </w:r>
      <w:r w:rsidRPr="00CC1950">
        <w:rPr>
          <w:rFonts w:ascii="Arial" w:hAnsi="Arial" w:cs="Arial"/>
          <w:sz w:val="24"/>
          <w:lang w:val="es-MX"/>
        </w:rPr>
        <w:t xml:space="preserve"> </w:t>
      </w:r>
    </w:p>
    <w:p w14:paraId="7F54D1E9" w14:textId="77777777" w:rsidR="00CC1950" w:rsidRPr="00CC1950" w:rsidRDefault="00CC1950" w:rsidP="00CC1950">
      <w:pPr>
        <w:widowControl w:val="0"/>
        <w:autoSpaceDE w:val="0"/>
        <w:autoSpaceDN w:val="0"/>
        <w:spacing w:after="120" w:line="276" w:lineRule="auto"/>
        <w:ind w:firstLine="707"/>
        <w:jc w:val="both"/>
        <w:rPr>
          <w:rFonts w:ascii="Arial" w:eastAsia="Arial" w:hAnsi="Arial" w:cs="Arial"/>
          <w:lang w:val="es-ES" w:eastAsia="es-ES" w:bidi="es-ES"/>
        </w:rPr>
      </w:pPr>
      <w:r w:rsidRPr="00CC1950">
        <w:rPr>
          <w:rFonts w:ascii="Arial" w:eastAsia="Calibri" w:hAnsi="Arial" w:cs="Arial"/>
          <w:bCs/>
          <w:lang w:eastAsia="es-ES" w:bidi="es-ES"/>
        </w:rPr>
        <w:t xml:space="preserve">Ahora bien, </w:t>
      </w:r>
      <w:bookmarkStart w:id="27" w:name="_Hlk78820161"/>
      <w:r w:rsidRPr="00CC1950">
        <w:rPr>
          <w:rFonts w:ascii="Arial" w:eastAsia="Calibri" w:hAnsi="Arial" w:cs="Arial"/>
          <w:bCs/>
          <w:lang w:eastAsia="es-ES" w:bidi="es-ES"/>
        </w:rPr>
        <w:t xml:space="preserve">para determinar el alcance de esta prohibición consagrada por la Ley de Garantías Electorales, conviene precisar la tipología de convenios o contratos interadministrativos. </w:t>
      </w:r>
      <w:r w:rsidRPr="00CC1950">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CC1950">
        <w:rPr>
          <w:rFonts w:ascii="Arial" w:eastAsia="Arial" w:hAnsi="Arial" w:cs="Arial"/>
          <w:vertAlign w:val="superscript"/>
          <w:lang w:val="es-ES" w:eastAsia="es-ES" w:bidi="es-ES"/>
        </w:rPr>
        <w:footnoteReference w:id="22"/>
      </w:r>
      <w:r w:rsidRPr="00CC1950">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C1950">
        <w:rPr>
          <w:rFonts w:ascii="Arial" w:eastAsia="Arial" w:hAnsi="Arial" w:cs="Arial"/>
          <w:spacing w:val="-6"/>
          <w:lang w:val="es-ES" w:eastAsia="es-ES" w:bidi="es-ES"/>
        </w:rPr>
        <w:t xml:space="preserve"> </w:t>
      </w:r>
      <w:r w:rsidRPr="00CC1950">
        <w:rPr>
          <w:rFonts w:ascii="Arial" w:eastAsia="Arial" w:hAnsi="Arial" w:cs="Arial"/>
          <w:lang w:val="es-ES" w:eastAsia="es-ES" w:bidi="es-ES"/>
        </w:rPr>
        <w:t>estatales.</w:t>
      </w:r>
    </w:p>
    <w:p w14:paraId="7405C1AA" w14:textId="77777777" w:rsidR="00CC1950" w:rsidRPr="00CC1950" w:rsidRDefault="00CC1950" w:rsidP="00CC1950">
      <w:pPr>
        <w:widowControl w:val="0"/>
        <w:autoSpaceDE w:val="0"/>
        <w:autoSpaceDN w:val="0"/>
        <w:spacing w:before="117" w:after="120" w:line="276" w:lineRule="auto"/>
        <w:ind w:firstLine="707"/>
        <w:jc w:val="both"/>
        <w:rPr>
          <w:rFonts w:ascii="Arial" w:eastAsia="Arial" w:hAnsi="Arial" w:cs="Arial"/>
          <w:lang w:val="es-ES" w:eastAsia="es-ES" w:bidi="es-ES"/>
        </w:rPr>
      </w:pPr>
      <w:bookmarkStart w:id="28" w:name="_Hlk78820654"/>
      <w:bookmarkEnd w:id="27"/>
      <w:r w:rsidRPr="00CC1950">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8"/>
    <w:p w14:paraId="1BE397DD" w14:textId="77777777" w:rsidR="00CC1950" w:rsidRPr="00CC1950" w:rsidRDefault="00CC1950" w:rsidP="00CC1950">
      <w:pPr>
        <w:widowControl w:val="0"/>
        <w:autoSpaceDE w:val="0"/>
        <w:autoSpaceDN w:val="0"/>
        <w:spacing w:before="121" w:after="120" w:line="276" w:lineRule="auto"/>
        <w:ind w:firstLine="707"/>
        <w:jc w:val="both"/>
        <w:rPr>
          <w:rFonts w:ascii="Arial" w:eastAsia="Arial" w:hAnsi="Arial" w:cs="Arial"/>
          <w:lang w:val="es-ES" w:eastAsia="es-ES" w:bidi="es-ES"/>
        </w:rPr>
      </w:pPr>
      <w:r w:rsidRPr="00CC1950">
        <w:rPr>
          <w:rFonts w:ascii="Arial" w:eastAsia="Arial" w:hAnsi="Arial" w:cs="Arial"/>
          <w:lang w:val="es-ES" w:eastAsia="es-ES" w:bidi="es-ES"/>
        </w:rPr>
        <w:t>Entonces,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C1950">
        <w:rPr>
          <w:rFonts w:ascii="Arial" w:eastAsia="Arial" w:hAnsi="Arial" w:cs="Arial"/>
          <w:vertAlign w:val="superscript"/>
          <w:lang w:val="es-ES" w:eastAsia="es-ES" w:bidi="es-ES"/>
        </w:rPr>
        <w:footnoteReference w:id="23"/>
      </w:r>
      <w:r w:rsidRPr="00CC1950">
        <w:rPr>
          <w:rFonts w:ascii="Arial" w:eastAsia="Arial" w:hAnsi="Arial" w:cs="Arial"/>
          <w:lang w:val="es-ES" w:eastAsia="es-ES" w:bidi="es-ES"/>
        </w:rPr>
        <w:t xml:space="preserve">. Nótese que, en este caso, lo que cambia es la </w:t>
      </w:r>
      <w:r w:rsidRPr="00CC1950">
        <w:rPr>
          <w:rFonts w:ascii="Arial" w:eastAsia="Arial" w:hAnsi="Arial" w:cs="Arial"/>
          <w:lang w:val="es-ES" w:eastAsia="es-ES" w:bidi="es-ES"/>
        </w:rPr>
        <w:lastRenderedPageBreak/>
        <w:t>modalidad de selección y no la naturaleza de contrato</w:t>
      </w:r>
      <w:r w:rsidRPr="00CC1950">
        <w:rPr>
          <w:rFonts w:ascii="Arial" w:eastAsia="Arial" w:hAnsi="Arial" w:cs="Arial"/>
          <w:spacing w:val="-18"/>
          <w:lang w:val="es-ES" w:eastAsia="es-ES" w:bidi="es-ES"/>
        </w:rPr>
        <w:t xml:space="preserve"> </w:t>
      </w:r>
      <w:r w:rsidRPr="00CC1950">
        <w:rPr>
          <w:rFonts w:ascii="Arial" w:eastAsia="Arial" w:hAnsi="Arial" w:cs="Arial"/>
          <w:lang w:val="es-ES" w:eastAsia="es-ES" w:bidi="es-ES"/>
        </w:rPr>
        <w:t>interadministrativo.</w:t>
      </w:r>
    </w:p>
    <w:p w14:paraId="0545AB91" w14:textId="77777777" w:rsidR="00CC1950" w:rsidRPr="00CC1950" w:rsidRDefault="00CC1950" w:rsidP="00CC1950">
      <w:pPr>
        <w:widowControl w:val="0"/>
        <w:autoSpaceDE w:val="0"/>
        <w:autoSpaceDN w:val="0"/>
        <w:spacing w:before="114" w:after="0" w:line="276" w:lineRule="auto"/>
        <w:ind w:firstLine="707"/>
        <w:contextualSpacing/>
        <w:jc w:val="both"/>
        <w:rPr>
          <w:rFonts w:ascii="Arial" w:eastAsia="Arial" w:hAnsi="Arial" w:cs="Arial"/>
          <w:lang w:val="es-ES" w:eastAsia="es-ES" w:bidi="es-ES"/>
        </w:rPr>
      </w:pPr>
      <w:r w:rsidRPr="00CC1950">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C1950">
        <w:rPr>
          <w:rFonts w:ascii="Arial" w:eastAsia="Arial" w:hAnsi="Arial" w:cs="Arial"/>
          <w:spacing w:val="-13"/>
          <w:lang w:val="es-ES" w:eastAsia="es-ES" w:bidi="es-ES"/>
        </w:rPr>
        <w:t xml:space="preserve"> </w:t>
      </w:r>
      <w:r w:rsidRPr="00CC1950">
        <w:rPr>
          <w:rFonts w:ascii="Arial" w:eastAsia="Arial" w:hAnsi="Arial" w:cs="Arial"/>
          <w:lang w:val="es-ES" w:eastAsia="es-ES" w:bidi="es-ES"/>
        </w:rPr>
        <w:t>que:</w:t>
      </w:r>
    </w:p>
    <w:p w14:paraId="5CD38894" w14:textId="77777777" w:rsidR="00CC1950" w:rsidRPr="00CC1950" w:rsidRDefault="00CC1950" w:rsidP="00CC1950">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3A2B8ABB" w14:textId="77777777" w:rsidR="00CC1950" w:rsidRPr="00CC1950" w:rsidRDefault="00CC1950" w:rsidP="00CC1950">
      <w:pPr>
        <w:spacing w:after="0" w:line="240" w:lineRule="auto"/>
        <w:ind w:left="709" w:right="709"/>
        <w:contextualSpacing/>
        <w:jc w:val="both"/>
        <w:rPr>
          <w:rFonts w:ascii="Arial" w:hAnsi="Arial" w:cs="Arial"/>
          <w:sz w:val="21"/>
          <w:lang w:val="es-MX"/>
        </w:rPr>
      </w:pPr>
      <w:r w:rsidRPr="00CC1950">
        <w:rPr>
          <w:rFonts w:ascii="Arial" w:eastAsia="Calibri" w:hAnsi="Arial" w:cs="Arial"/>
          <w:sz w:val="21"/>
          <w:szCs w:val="21"/>
          <w:lang w:val="es-ES"/>
        </w:rPr>
        <w:t>«</w:t>
      </w:r>
      <w:r w:rsidRPr="00CC1950">
        <w:rPr>
          <w:rFonts w:ascii="Arial"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CC1950">
        <w:rPr>
          <w:rFonts w:ascii="Arial" w:hAnsi="Arial" w:cs="Arial"/>
          <w:sz w:val="21"/>
          <w:lang w:val="es-MX"/>
        </w:rPr>
        <w:t>ii</w:t>
      </w:r>
      <w:proofErr w:type="spellEnd"/>
      <w:r w:rsidRPr="00CC1950">
        <w:rPr>
          <w:rFonts w:ascii="Arial" w:hAnsi="Arial" w:cs="Arial"/>
          <w:sz w:val="21"/>
          <w:lang w:val="es-MX"/>
        </w:rPr>
        <w:t>) tienen como fuente la autonomía contractual; (</w:t>
      </w:r>
      <w:proofErr w:type="spellStart"/>
      <w:r w:rsidRPr="00CC1950">
        <w:rPr>
          <w:rFonts w:ascii="Arial" w:hAnsi="Arial" w:cs="Arial"/>
          <w:sz w:val="21"/>
          <w:lang w:val="es-MX"/>
        </w:rPr>
        <w:t>iii</w:t>
      </w:r>
      <w:proofErr w:type="spellEnd"/>
      <w:r w:rsidRPr="00CC1950">
        <w:rPr>
          <w:rFonts w:ascii="Arial" w:hAnsi="Arial" w:cs="Arial"/>
          <w:sz w:val="21"/>
          <w:lang w:val="es-MX"/>
        </w:rPr>
        <w:t>) son contratos nominados puesto que están mencionados en la ley; (</w:t>
      </w:r>
      <w:proofErr w:type="spellStart"/>
      <w:r w:rsidRPr="00CC1950">
        <w:rPr>
          <w:rFonts w:ascii="Arial" w:hAnsi="Arial" w:cs="Arial"/>
          <w:sz w:val="21"/>
          <w:lang w:val="es-MX"/>
        </w:rPr>
        <w:t>iv</w:t>
      </w:r>
      <w:proofErr w:type="spellEnd"/>
      <w:r w:rsidRPr="00CC1950">
        <w:rPr>
          <w:rFonts w:ascii="Arial"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CC1950">
        <w:rPr>
          <w:rFonts w:ascii="Arial" w:hAnsi="Arial" w:cs="Arial"/>
          <w:sz w:val="21"/>
          <w:lang w:val="es-MX"/>
        </w:rPr>
        <w:t>vii</w:t>
      </w:r>
      <w:proofErr w:type="spellEnd"/>
      <w:r w:rsidRPr="00CC1950">
        <w:rPr>
          <w:rFonts w:ascii="Arial" w:hAnsi="Arial" w:cs="Arial"/>
          <w:sz w:val="21"/>
          <w:lang w:val="es-MX"/>
        </w:rPr>
        <w:t>) persiguen  una finalidad común a través de la realización de intereses compartidos entre las entidades vinculadas; (</w:t>
      </w:r>
      <w:proofErr w:type="spellStart"/>
      <w:r w:rsidRPr="00CC1950">
        <w:rPr>
          <w:rFonts w:ascii="Arial" w:hAnsi="Arial" w:cs="Arial"/>
          <w:sz w:val="21"/>
          <w:lang w:val="es-MX"/>
        </w:rPr>
        <w:t>viii</w:t>
      </w:r>
      <w:proofErr w:type="spellEnd"/>
      <w:r w:rsidRPr="00CC1950">
        <w:rPr>
          <w:rFonts w:ascii="Arial" w:hAnsi="Arial" w:cs="Arial"/>
          <w:sz w:val="21"/>
          <w:lang w:val="es-MX"/>
        </w:rPr>
        <w:t>) la acción mediante la cual se deben ventilar las diferencias que sobre el particular surjan es la de controversias contractuales.</w:t>
      </w:r>
      <w:r w:rsidRPr="00CC1950">
        <w:rPr>
          <w:rFonts w:ascii="Arial" w:hAnsi="Arial" w:cs="Arial"/>
          <w:sz w:val="21"/>
          <w:szCs w:val="21"/>
          <w:lang w:val="es-ES"/>
        </w:rPr>
        <w:t>»</w:t>
      </w:r>
      <w:r w:rsidRPr="00CC1950">
        <w:rPr>
          <w:rFonts w:ascii="Arial" w:hAnsi="Arial" w:cs="Arial"/>
          <w:sz w:val="21"/>
          <w:vertAlign w:val="superscript"/>
          <w:lang w:val="es-MX"/>
        </w:rPr>
        <w:footnoteReference w:id="24"/>
      </w:r>
    </w:p>
    <w:p w14:paraId="3375F02A" w14:textId="77777777" w:rsidR="00CC1950" w:rsidRPr="00CC1950" w:rsidRDefault="00CC1950" w:rsidP="00CC1950">
      <w:pPr>
        <w:spacing w:after="0" w:line="276" w:lineRule="auto"/>
        <w:ind w:left="709" w:right="709"/>
        <w:contextualSpacing/>
        <w:jc w:val="both"/>
        <w:rPr>
          <w:lang w:val="es-MX"/>
        </w:rPr>
      </w:pPr>
    </w:p>
    <w:p w14:paraId="4E8B58FE" w14:textId="77777777" w:rsidR="00CC1950" w:rsidRPr="00CC1950" w:rsidRDefault="00CC1950" w:rsidP="00CC1950">
      <w:pPr>
        <w:widowControl w:val="0"/>
        <w:autoSpaceDE w:val="0"/>
        <w:autoSpaceDN w:val="0"/>
        <w:spacing w:after="120" w:line="276" w:lineRule="auto"/>
        <w:ind w:firstLine="707"/>
        <w:jc w:val="both"/>
        <w:rPr>
          <w:rFonts w:ascii="Arial" w:eastAsia="Arial" w:hAnsi="Arial" w:cs="Arial"/>
          <w:lang w:val="es-ES" w:eastAsia="es-ES" w:bidi="es-ES"/>
        </w:rPr>
      </w:pPr>
      <w:r w:rsidRPr="00CC1950">
        <w:rPr>
          <w:rFonts w:ascii="Arial" w:eastAsia="Arial" w:hAnsi="Arial"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w:t>
      </w:r>
      <w:r w:rsidRPr="00CC1950">
        <w:rPr>
          <w:rFonts w:ascii="Arial" w:eastAsia="Arial" w:hAnsi="Arial" w:cs="Arial"/>
          <w:lang w:val="es-ES" w:eastAsia="es-ES" w:bidi="es-ES"/>
        </w:rPr>
        <w:lastRenderedPageBreak/>
        <w:t>establece la contratación directa como la modalidad de selección aplicable, por regla general, a la celebración de los contratos interadministrativos.</w:t>
      </w:r>
    </w:p>
    <w:p w14:paraId="52E1EB07" w14:textId="77777777" w:rsidR="00CC1950" w:rsidRPr="00CC1950" w:rsidRDefault="00CC1950" w:rsidP="00CC1950">
      <w:pPr>
        <w:widowControl w:val="0"/>
        <w:autoSpaceDE w:val="0"/>
        <w:autoSpaceDN w:val="0"/>
        <w:spacing w:before="119" w:after="120" w:line="276" w:lineRule="auto"/>
        <w:ind w:firstLine="707"/>
        <w:jc w:val="both"/>
        <w:rPr>
          <w:rFonts w:ascii="Arial" w:eastAsia="Arial" w:hAnsi="Arial" w:cs="Arial"/>
          <w:lang w:val="es-ES" w:eastAsia="es-ES" w:bidi="es-ES"/>
        </w:rPr>
      </w:pPr>
      <w:r w:rsidRPr="00CC1950">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C1950">
        <w:rPr>
          <w:rFonts w:ascii="Arial" w:eastAsia="Arial" w:hAnsi="Arial" w:cs="Arial"/>
          <w:spacing w:val="-3"/>
          <w:lang w:val="es-ES" w:eastAsia="es-ES" w:bidi="es-ES"/>
        </w:rPr>
        <w:t xml:space="preserve"> </w:t>
      </w:r>
      <w:r w:rsidRPr="00CC1950">
        <w:rPr>
          <w:rFonts w:ascii="Arial" w:eastAsia="Arial" w:hAnsi="Arial" w:cs="Arial"/>
          <w:lang w:val="es-ES" w:eastAsia="es-ES" w:bidi="es-ES"/>
        </w:rPr>
        <w:t>estatales.</w:t>
      </w:r>
    </w:p>
    <w:p w14:paraId="400254D1" w14:textId="77777777" w:rsidR="00CC1950" w:rsidRPr="00CC1950" w:rsidRDefault="00CC1950" w:rsidP="00CC1950">
      <w:pPr>
        <w:widowControl w:val="0"/>
        <w:autoSpaceDE w:val="0"/>
        <w:autoSpaceDN w:val="0"/>
        <w:spacing w:before="120" w:after="0" w:line="276" w:lineRule="auto"/>
        <w:ind w:firstLine="709"/>
        <w:jc w:val="both"/>
        <w:rPr>
          <w:rFonts w:ascii="Arial" w:eastAsia="Arial" w:hAnsi="Arial" w:cs="Arial"/>
          <w:lang w:val="es-ES" w:eastAsia="es-ES" w:bidi="es-ES"/>
        </w:rPr>
      </w:pPr>
      <w:r w:rsidRPr="00CC1950">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C1950">
        <w:rPr>
          <w:rFonts w:ascii="Arial" w:eastAsia="Arial" w:hAnsi="Arial" w:cs="Arial"/>
          <w:spacing w:val="-4"/>
          <w:lang w:val="es-ES" w:eastAsia="es-ES" w:bidi="es-ES"/>
        </w:rPr>
        <w:t xml:space="preserve"> </w:t>
      </w:r>
      <w:r w:rsidRPr="00CC1950">
        <w:rPr>
          <w:rFonts w:ascii="Arial" w:eastAsia="Arial" w:hAnsi="Arial" w:cs="Arial"/>
          <w:lang w:val="es-ES" w:eastAsia="es-ES" w:bidi="es-ES"/>
        </w:rPr>
        <w:t>estatales.</w:t>
      </w:r>
    </w:p>
    <w:p w14:paraId="347CB7A2" w14:textId="77777777" w:rsidR="00CC1950" w:rsidRPr="00CC1950" w:rsidRDefault="00CC1950" w:rsidP="00CC1950">
      <w:pPr>
        <w:widowControl w:val="0"/>
        <w:autoSpaceDE w:val="0"/>
        <w:autoSpaceDN w:val="0"/>
        <w:spacing w:before="122" w:after="120" w:line="276" w:lineRule="auto"/>
        <w:ind w:firstLine="708"/>
        <w:jc w:val="both"/>
        <w:rPr>
          <w:rFonts w:ascii="Arial" w:eastAsia="Arial" w:hAnsi="Arial" w:cs="Arial"/>
          <w:lang w:val="es-ES" w:eastAsia="es-ES" w:bidi="es-ES"/>
        </w:rPr>
      </w:pPr>
      <w:r w:rsidRPr="00CC1950">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2F9D964C" w14:textId="77777777" w:rsidR="00CC1950" w:rsidRPr="00CC1950" w:rsidRDefault="00CC1950" w:rsidP="00E1537C">
      <w:pPr>
        <w:widowControl w:val="0"/>
        <w:autoSpaceDE w:val="0"/>
        <w:autoSpaceDN w:val="0"/>
        <w:spacing w:after="120" w:line="276" w:lineRule="auto"/>
        <w:ind w:firstLine="708"/>
        <w:jc w:val="both"/>
        <w:rPr>
          <w:rFonts w:ascii="Arial" w:eastAsia="Calibri" w:hAnsi="Arial" w:cs="Arial"/>
          <w:bCs/>
          <w:lang w:eastAsia="es-ES" w:bidi="es-ES"/>
        </w:rPr>
      </w:pPr>
      <w:r w:rsidRPr="00CC1950">
        <w:rPr>
          <w:rFonts w:ascii="Arial" w:eastAsia="Arial" w:hAnsi="Arial" w:cs="Arial"/>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w:t>
      </w:r>
      <w:r w:rsidRPr="00CC1950">
        <w:rPr>
          <w:rFonts w:ascii="Arial" w:eastAsia="Arial" w:hAnsi="Arial" w:cs="Arial"/>
          <w:lang w:val="es-ES" w:eastAsia="es-ES" w:bidi="es-ES"/>
        </w:rPr>
        <w:lastRenderedPageBreak/>
        <w:t>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C1950">
        <w:rPr>
          <w:rFonts w:ascii="Arial" w:eastAsia="Arial" w:hAnsi="Arial" w:cs="Arial"/>
          <w:spacing w:val="-4"/>
          <w:lang w:val="es-ES" w:eastAsia="es-ES" w:bidi="es-ES"/>
        </w:rPr>
        <w:t xml:space="preserve"> </w:t>
      </w:r>
      <w:r w:rsidRPr="00CC1950">
        <w:rPr>
          <w:rFonts w:ascii="Arial" w:eastAsia="Arial" w:hAnsi="Arial" w:cs="Arial"/>
          <w:lang w:val="es-ES" w:eastAsia="es-ES" w:bidi="es-ES"/>
        </w:rPr>
        <w:t>[…]»</w:t>
      </w:r>
      <w:r w:rsidRPr="00CC1950">
        <w:rPr>
          <w:rFonts w:ascii="Arial" w:eastAsia="Arial" w:hAnsi="Arial" w:cs="Arial"/>
          <w:vertAlign w:val="superscript"/>
          <w:lang w:val="es-ES" w:eastAsia="es-ES" w:bidi="es-ES"/>
        </w:rPr>
        <w:footnoteReference w:id="25"/>
      </w:r>
      <w:r w:rsidRPr="00CC1950">
        <w:rPr>
          <w:rFonts w:ascii="Arial" w:eastAsia="Arial" w:hAnsi="Arial" w:cs="Arial"/>
          <w:lang w:val="es-ES" w:eastAsia="es-ES" w:bidi="es-ES"/>
        </w:rPr>
        <w:t>.</w:t>
      </w:r>
      <w:bookmarkStart w:id="29" w:name="_Hlk77171241"/>
    </w:p>
    <w:p w14:paraId="4B9BB049" w14:textId="026FF834" w:rsidR="00CC1950" w:rsidRPr="00CB7E8C" w:rsidRDefault="00CC1950" w:rsidP="00E1537C">
      <w:pPr>
        <w:widowControl w:val="0"/>
        <w:autoSpaceDE w:val="0"/>
        <w:autoSpaceDN w:val="0"/>
        <w:spacing w:after="0" w:line="276" w:lineRule="auto"/>
        <w:ind w:firstLine="709"/>
        <w:jc w:val="both"/>
        <w:rPr>
          <w:rFonts w:ascii="Arial" w:eastAsia="Arial" w:hAnsi="Arial" w:cs="Arial"/>
          <w:lang w:val="es-ES" w:eastAsia="es-ES" w:bidi="es-ES"/>
        </w:rPr>
      </w:pPr>
      <w:r w:rsidRPr="00CC1950">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1C9194F2" w14:textId="77777777" w:rsidR="00E93A6A" w:rsidRPr="00CC1950" w:rsidRDefault="00E93A6A" w:rsidP="00E93A6A">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2EC6AFB8" w14:textId="77777777" w:rsidR="00CC1950" w:rsidRPr="00CC1950" w:rsidRDefault="00CC1950" w:rsidP="00E93A6A">
      <w:pPr>
        <w:spacing w:after="0" w:line="240" w:lineRule="auto"/>
        <w:ind w:left="709" w:right="709"/>
        <w:contextualSpacing/>
        <w:jc w:val="both"/>
        <w:rPr>
          <w:rFonts w:ascii="Arial" w:hAnsi="Arial" w:cs="Arial"/>
          <w:sz w:val="21"/>
          <w:szCs w:val="21"/>
          <w:lang w:val="es-ES_tradnl"/>
        </w:rPr>
      </w:pPr>
      <w:r w:rsidRPr="00CC1950">
        <w:rPr>
          <w:rFonts w:ascii="Arial" w:eastAsia="Calibri" w:hAnsi="Arial" w:cs="Arial"/>
          <w:sz w:val="21"/>
          <w:szCs w:val="21"/>
          <w:lang w:val="es-ES"/>
        </w:rPr>
        <w:t>«</w:t>
      </w:r>
      <w:r w:rsidRPr="00CC1950">
        <w:rPr>
          <w:rFonts w:ascii="Arial" w:hAnsi="Arial" w:cs="Arial"/>
          <w:sz w:val="21"/>
          <w:szCs w:val="21"/>
          <w:lang w:val="es-ES_tradnl"/>
        </w:rPr>
        <w:t>La Sala de Consulta y Servicio Civil</w:t>
      </w:r>
      <w:r w:rsidRPr="00CC1950">
        <w:rPr>
          <w:rFonts w:ascii="Arial" w:hAnsi="Arial" w:cs="Arial"/>
          <w:sz w:val="21"/>
          <w:szCs w:val="21"/>
          <w:vertAlign w:val="superscript"/>
          <w:lang w:val="es-ES_tradnl"/>
        </w:rPr>
        <w:footnoteReference w:id="26"/>
      </w:r>
      <w:r w:rsidRPr="00CC1950">
        <w:rPr>
          <w:rFonts w:ascii="Arial" w:hAnsi="Arial" w:cs="Arial"/>
          <w:sz w:val="21"/>
          <w:szCs w:val="21"/>
          <w:lang w:val="es-ES_tradnl"/>
        </w:rPr>
        <w:t xml:space="preserve"> de esta Corporación se ha referido a los </w:t>
      </w:r>
      <w:r w:rsidRPr="00CC1950">
        <w:rPr>
          <w:rFonts w:ascii="Arial" w:hAnsi="Arial" w:cs="Arial"/>
          <w:i/>
          <w:sz w:val="21"/>
          <w:szCs w:val="21"/>
          <w:lang w:val="es-ES_tradnl"/>
        </w:rPr>
        <w:t>“convenios interadministrativos”</w:t>
      </w:r>
      <w:r w:rsidRPr="00CC1950">
        <w:rPr>
          <w:rFonts w:ascii="Arial" w:hAnsi="Arial" w:cs="Arial"/>
          <w:sz w:val="21"/>
          <w:szCs w:val="21"/>
          <w:lang w:val="es-ES_tradnl"/>
        </w:rPr>
        <w:t xml:space="preserve"> a los cuales alude el artículo 95 de la Ley 489 de 1998, calificándolos de </w:t>
      </w:r>
      <w:r w:rsidRPr="00CC1950">
        <w:rPr>
          <w:rFonts w:ascii="Arial" w:hAnsi="Arial" w:cs="Arial"/>
          <w:i/>
          <w:sz w:val="21"/>
          <w:szCs w:val="21"/>
          <w:lang w:val="es-ES_tradnl"/>
        </w:rPr>
        <w:t xml:space="preserve">“puros” </w:t>
      </w:r>
      <w:r w:rsidRPr="00CC195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CC1950">
        <w:rPr>
          <w:rFonts w:ascii="Arial" w:hAnsi="Arial" w:cs="Arial"/>
          <w:i/>
          <w:sz w:val="21"/>
          <w:szCs w:val="21"/>
          <w:lang w:val="es-ES_tradnl"/>
        </w:rPr>
        <w:t>“intercambio patrimonial”</w:t>
      </w:r>
      <w:r w:rsidRPr="00CC1950">
        <w:rPr>
          <w:rFonts w:ascii="Arial" w:hAnsi="Arial" w:cs="Arial"/>
          <w:sz w:val="21"/>
          <w:szCs w:val="21"/>
          <w:lang w:val="es-ES_tradnl"/>
        </w:rPr>
        <w:t>. Sin perjuicio de lo anterior, en otra oportunidad, la misma Sala</w:t>
      </w:r>
      <w:r w:rsidRPr="00CC1950">
        <w:rPr>
          <w:rFonts w:ascii="Arial" w:hAnsi="Arial" w:cs="Arial"/>
          <w:sz w:val="21"/>
          <w:szCs w:val="21"/>
          <w:vertAlign w:val="superscript"/>
          <w:lang w:val="es-ES_tradnl"/>
        </w:rPr>
        <w:footnoteReference w:id="27"/>
      </w:r>
      <w:r w:rsidRPr="00CC1950">
        <w:rPr>
          <w:rFonts w:ascii="Arial" w:hAnsi="Arial" w:cs="Arial"/>
          <w:sz w:val="21"/>
          <w:szCs w:val="21"/>
          <w:lang w:val="es-ES_tradnl"/>
        </w:rPr>
        <w:t xml:space="preserve"> había indicado que, si bien en dichos convenios no se daba un </w:t>
      </w:r>
      <w:r w:rsidRPr="00CC1950">
        <w:rPr>
          <w:rFonts w:ascii="Arial" w:hAnsi="Arial" w:cs="Arial"/>
          <w:i/>
          <w:sz w:val="21"/>
          <w:szCs w:val="21"/>
          <w:lang w:val="es-ES_tradnl"/>
        </w:rPr>
        <w:t>“verdadero intercambio de bienes o servicios (contrato conmutativo)”</w:t>
      </w:r>
      <w:r w:rsidRPr="00CC1950">
        <w:rPr>
          <w:rFonts w:ascii="Arial" w:hAnsi="Arial" w:cs="Arial"/>
          <w:sz w:val="21"/>
          <w:szCs w:val="21"/>
          <w:lang w:val="es-ES_tradnl"/>
        </w:rPr>
        <w:t>, ello no impedía que se conviniera una remuneración a cargo de alguna(s) entidad(es).</w:t>
      </w:r>
    </w:p>
    <w:p w14:paraId="170F3DC3" w14:textId="77777777" w:rsidR="00E93A6A" w:rsidRPr="00CB7E8C" w:rsidRDefault="00E93A6A" w:rsidP="00E93A6A">
      <w:pPr>
        <w:widowControl w:val="0"/>
        <w:autoSpaceDE w:val="0"/>
        <w:autoSpaceDN w:val="0"/>
        <w:spacing w:after="0" w:line="240" w:lineRule="auto"/>
        <w:ind w:left="709" w:right="709"/>
        <w:contextualSpacing/>
        <w:jc w:val="both"/>
        <w:rPr>
          <w:rFonts w:ascii="Arial" w:eastAsia="Arial" w:hAnsi="Arial" w:cs="Arial"/>
          <w:sz w:val="21"/>
          <w:szCs w:val="21"/>
          <w:lang w:val="es-ES_tradnl" w:eastAsia="es-ES" w:bidi="es-ES"/>
        </w:rPr>
      </w:pPr>
    </w:p>
    <w:p w14:paraId="174FFF76" w14:textId="180BC848" w:rsidR="00CC1950" w:rsidRPr="00CC1950" w:rsidRDefault="00CC1950" w:rsidP="00E93A6A">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CC1950">
        <w:rPr>
          <w:rFonts w:ascii="Arial" w:eastAsia="Arial" w:hAnsi="Arial" w:cs="Arial"/>
          <w:sz w:val="21"/>
          <w:szCs w:val="21"/>
          <w:lang w:val="es-ES_tradnl" w:eastAsia="es-ES" w:bidi="es-ES"/>
        </w:rPr>
        <w:t xml:space="preserve">Lo expuesto evidencia que, en general, las interpretaciones en torno a los </w:t>
      </w:r>
      <w:r w:rsidRPr="00CC1950">
        <w:rPr>
          <w:rFonts w:ascii="Arial" w:eastAsia="Arial" w:hAnsi="Arial" w:cs="Arial"/>
          <w:i/>
          <w:sz w:val="21"/>
          <w:szCs w:val="21"/>
          <w:lang w:val="es-ES_tradnl" w:eastAsia="es-ES" w:bidi="es-ES"/>
        </w:rPr>
        <w:t>“convenios interadministrativos”</w:t>
      </w:r>
      <w:r w:rsidRPr="00CC195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C1950">
        <w:rPr>
          <w:rFonts w:ascii="Arial" w:hAnsi="Arial" w:cs="Arial"/>
          <w:sz w:val="21"/>
          <w:szCs w:val="21"/>
          <w:lang w:val="es-ES"/>
        </w:rPr>
        <w:t>»</w:t>
      </w:r>
      <w:r w:rsidRPr="00CC1950">
        <w:rPr>
          <w:rFonts w:ascii="Arial" w:eastAsia="Arial" w:hAnsi="Arial" w:cs="Arial"/>
          <w:sz w:val="21"/>
          <w:szCs w:val="21"/>
          <w:vertAlign w:val="superscript"/>
          <w:lang w:val="es-ES_tradnl" w:eastAsia="es-ES" w:bidi="es-ES"/>
        </w:rPr>
        <w:footnoteReference w:id="28"/>
      </w:r>
      <w:r w:rsidRPr="00CC1950">
        <w:rPr>
          <w:rFonts w:ascii="Arial" w:hAnsi="Arial" w:cs="Arial"/>
          <w:sz w:val="21"/>
          <w:szCs w:val="21"/>
          <w:vertAlign w:val="superscript"/>
          <w:lang w:val="es-ES"/>
        </w:rPr>
        <w:t>-</w:t>
      </w:r>
      <w:r w:rsidRPr="00CC1950">
        <w:rPr>
          <w:rFonts w:ascii="Arial" w:eastAsia="Arial" w:hAnsi="Arial" w:cs="Arial"/>
          <w:sz w:val="21"/>
          <w:szCs w:val="21"/>
          <w:vertAlign w:val="superscript"/>
          <w:lang w:val="es-ES_tradnl" w:eastAsia="es-ES" w:bidi="es-ES"/>
        </w:rPr>
        <w:lastRenderedPageBreak/>
        <w:footnoteReference w:id="29"/>
      </w:r>
    </w:p>
    <w:p w14:paraId="73080EA2" w14:textId="77777777" w:rsidR="00CC1950" w:rsidRPr="00CC1950" w:rsidRDefault="00CC1950" w:rsidP="00E93A6A">
      <w:pPr>
        <w:widowControl w:val="0"/>
        <w:autoSpaceDE w:val="0"/>
        <w:autoSpaceDN w:val="0"/>
        <w:spacing w:after="0" w:line="276" w:lineRule="auto"/>
        <w:contextualSpacing/>
        <w:jc w:val="both"/>
        <w:rPr>
          <w:rFonts w:ascii="Arial" w:eastAsia="Arial" w:hAnsi="Arial" w:cs="Arial"/>
          <w:lang w:val="es-ES" w:eastAsia="es-ES" w:bidi="es-ES"/>
        </w:rPr>
      </w:pPr>
    </w:p>
    <w:p w14:paraId="1726429B" w14:textId="77777777" w:rsidR="00CC1950" w:rsidRPr="00CC1950" w:rsidRDefault="00CC1950" w:rsidP="00CC1950">
      <w:pPr>
        <w:widowControl w:val="0"/>
        <w:autoSpaceDE w:val="0"/>
        <w:autoSpaceDN w:val="0"/>
        <w:spacing w:after="120" w:line="276" w:lineRule="auto"/>
        <w:jc w:val="both"/>
        <w:rPr>
          <w:rFonts w:ascii="Arial" w:eastAsia="Arial" w:hAnsi="Arial" w:cs="Arial"/>
          <w:lang w:val="es-ES" w:eastAsia="es-ES" w:bidi="es-ES"/>
        </w:rPr>
      </w:pPr>
      <w:r w:rsidRPr="00CC1950">
        <w:rPr>
          <w:rFonts w:ascii="Arial" w:eastAsia="Arial" w:hAnsi="Arial" w:cs="Arial"/>
          <w:lang w:val="es-ES" w:eastAsia="es-ES" w:bidi="es-ES"/>
        </w:rPr>
        <w:tab/>
      </w:r>
      <w:r w:rsidRPr="00CC1950">
        <w:rPr>
          <w:rFonts w:ascii="Arial" w:eastAsia="Arial" w:hAnsi="Arial" w:cs="Arial"/>
          <w:color w:val="000000"/>
        </w:rPr>
        <w:t xml:space="preserve">Sin perjuicio de lo indicado, conviene reiterar que el ordenamiento jurídico en distintas disposiciones utiliza de forma indistinta </w:t>
      </w:r>
      <w:r w:rsidRPr="00CC1950">
        <w:rPr>
          <w:rFonts w:ascii="Arial" w:eastAsia="Arial" w:hAnsi="Arial" w:cs="Arial"/>
          <w:lang w:val="es-ES" w:eastAsia="es-ES" w:bidi="es-ES"/>
        </w:rPr>
        <w:t>los conceptos de contrato o convenio para referirse a la misma institución jurídica</w:t>
      </w:r>
      <w:r w:rsidRPr="00CC1950">
        <w:rPr>
          <w:rFonts w:ascii="Arial" w:eastAsia="Arial" w:hAnsi="Arial" w:cs="Arial"/>
          <w:vertAlign w:val="superscript"/>
          <w:lang w:val="es-ES" w:eastAsia="es-ES" w:bidi="es-ES"/>
        </w:rPr>
        <w:footnoteReference w:id="30"/>
      </w:r>
      <w:r w:rsidRPr="00CC1950">
        <w:rPr>
          <w:rFonts w:ascii="Arial" w:eastAsia="Arial" w:hAnsi="Arial" w:cs="Arial"/>
          <w:lang w:val="es-ES" w:eastAsia="es-ES" w:bidi="es-ES"/>
        </w:rPr>
        <w:t>. Incluso la Corte Constitucional explica la posibilidad de celebrar convenios interadministrativos de forma directa, con fundamento en la causal establecida en la Ley 1150 de 2007 respecto a los contratos interadministrativos</w:t>
      </w:r>
      <w:r w:rsidRPr="00CC1950">
        <w:rPr>
          <w:rFonts w:ascii="Arial" w:eastAsia="Arial" w:hAnsi="Arial" w:cs="Arial"/>
          <w:vertAlign w:val="superscript"/>
          <w:lang w:val="es-ES" w:eastAsia="es-ES" w:bidi="es-ES"/>
        </w:rPr>
        <w:footnoteReference w:id="31"/>
      </w:r>
      <w:r w:rsidRPr="00CC1950">
        <w:rPr>
          <w:rFonts w:ascii="Arial" w:eastAsia="Arial" w:hAnsi="Arial" w:cs="Arial"/>
          <w:lang w:val="es-ES" w:eastAsia="es-ES" w:bidi="es-ES"/>
        </w:rPr>
        <w:t>.</w:t>
      </w:r>
    </w:p>
    <w:p w14:paraId="31D60190" w14:textId="77777777" w:rsidR="00CC1950" w:rsidRPr="00CC1950" w:rsidRDefault="00CC1950" w:rsidP="00E93A6A">
      <w:pPr>
        <w:widowControl w:val="0"/>
        <w:autoSpaceDE w:val="0"/>
        <w:autoSpaceDN w:val="0"/>
        <w:spacing w:after="0" w:line="276" w:lineRule="auto"/>
        <w:contextualSpacing/>
        <w:jc w:val="both"/>
        <w:rPr>
          <w:rFonts w:ascii="Arial" w:eastAsia="Arial" w:hAnsi="Arial" w:cs="Arial"/>
          <w:lang w:val="es-ES" w:eastAsia="es-ES" w:bidi="es-ES"/>
        </w:rPr>
      </w:pPr>
      <w:r w:rsidRPr="00CC1950">
        <w:rPr>
          <w:rFonts w:ascii="Arial" w:eastAsia="Arial" w:hAnsi="Arial" w:cs="Arial"/>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7A06AF33" w14:textId="77777777" w:rsidR="00CC1950" w:rsidRPr="00CC1950" w:rsidRDefault="00CC1950" w:rsidP="00E93A6A">
      <w:pPr>
        <w:widowControl w:val="0"/>
        <w:autoSpaceDE w:val="0"/>
        <w:autoSpaceDN w:val="0"/>
        <w:spacing w:after="0" w:line="276" w:lineRule="auto"/>
        <w:contextualSpacing/>
        <w:jc w:val="both"/>
        <w:rPr>
          <w:rFonts w:ascii="Arial" w:eastAsia="Arial" w:hAnsi="Arial" w:cs="Arial"/>
          <w:lang w:val="es-ES" w:eastAsia="es-ES" w:bidi="es-ES"/>
        </w:rPr>
      </w:pPr>
    </w:p>
    <w:p w14:paraId="6D7C3913" w14:textId="63AEC0C6" w:rsidR="00CC1950" w:rsidRPr="00CB7E8C" w:rsidRDefault="00CC1950" w:rsidP="00E93A6A">
      <w:pPr>
        <w:spacing w:after="0" w:line="240" w:lineRule="auto"/>
        <w:ind w:left="709" w:right="709"/>
        <w:contextualSpacing/>
        <w:jc w:val="both"/>
        <w:rPr>
          <w:rFonts w:ascii="Arial" w:hAnsi="Arial" w:cs="Arial"/>
          <w:sz w:val="21"/>
          <w:szCs w:val="21"/>
          <w:lang w:val="es-MX"/>
        </w:rPr>
      </w:pPr>
      <w:r w:rsidRPr="00CC1950">
        <w:rPr>
          <w:rFonts w:ascii="Arial" w:eastAsia="Calibri" w:hAnsi="Arial" w:cs="Arial"/>
          <w:sz w:val="21"/>
          <w:szCs w:val="21"/>
          <w:lang w:val="es-ES"/>
        </w:rPr>
        <w:lastRenderedPageBreak/>
        <w:t>«</w:t>
      </w:r>
      <w:r w:rsidRPr="00CC195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C1950">
        <w:rPr>
          <w:rFonts w:ascii="Arial" w:hAnsi="Arial" w:cs="Arial"/>
          <w:sz w:val="21"/>
          <w:szCs w:val="21"/>
          <w:lang w:val="es-MX"/>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2264C23" w14:textId="77777777" w:rsidR="00E93A6A" w:rsidRPr="00CC1950" w:rsidRDefault="00E93A6A" w:rsidP="00E93A6A">
      <w:pPr>
        <w:spacing w:after="0" w:line="240" w:lineRule="auto"/>
        <w:ind w:left="709" w:right="709"/>
        <w:contextualSpacing/>
        <w:jc w:val="both"/>
        <w:rPr>
          <w:rFonts w:ascii="Arial" w:hAnsi="Arial" w:cs="Arial"/>
          <w:sz w:val="21"/>
          <w:szCs w:val="21"/>
          <w:lang w:val="es-MX"/>
        </w:rPr>
      </w:pPr>
    </w:p>
    <w:p w14:paraId="51A6905A" w14:textId="77777777" w:rsidR="00CC1950" w:rsidRPr="00CC1950" w:rsidRDefault="00CC1950" w:rsidP="00E93A6A">
      <w:pPr>
        <w:spacing w:after="0" w:line="240" w:lineRule="auto"/>
        <w:ind w:left="709" w:right="709"/>
        <w:contextualSpacing/>
        <w:jc w:val="both"/>
        <w:rPr>
          <w:rFonts w:ascii="Arial" w:hAnsi="Arial" w:cs="Arial"/>
          <w:sz w:val="21"/>
          <w:szCs w:val="21"/>
          <w:lang w:val="es-MX"/>
        </w:rPr>
      </w:pPr>
      <w:r w:rsidRPr="00CC1950">
        <w:rPr>
          <w:rFonts w:ascii="Arial"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BBFEE42" w14:textId="77777777" w:rsidR="00E93A6A" w:rsidRPr="00CB7E8C" w:rsidRDefault="00E93A6A" w:rsidP="00E93A6A">
      <w:pPr>
        <w:spacing w:after="0" w:line="240" w:lineRule="auto"/>
        <w:ind w:left="709" w:right="709"/>
        <w:contextualSpacing/>
        <w:jc w:val="both"/>
        <w:rPr>
          <w:rFonts w:ascii="Arial" w:hAnsi="Arial" w:cs="Arial"/>
          <w:sz w:val="21"/>
          <w:szCs w:val="21"/>
          <w:lang w:val="es-MX"/>
        </w:rPr>
      </w:pPr>
    </w:p>
    <w:p w14:paraId="7DFCAFAC" w14:textId="5243BD3F" w:rsidR="00CC1950" w:rsidRPr="00CC1950" w:rsidRDefault="00CC1950" w:rsidP="00E93A6A">
      <w:pPr>
        <w:spacing w:after="0" w:line="240" w:lineRule="auto"/>
        <w:ind w:left="709" w:right="709"/>
        <w:contextualSpacing/>
        <w:jc w:val="both"/>
        <w:rPr>
          <w:sz w:val="24"/>
          <w:vertAlign w:val="superscript"/>
          <w:lang w:val="es-MX"/>
        </w:rPr>
      </w:pPr>
      <w:r w:rsidRPr="00CC1950">
        <w:rPr>
          <w:rFonts w:ascii="Arial"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Pr="00CC1950">
        <w:rPr>
          <w:rFonts w:ascii="Arial" w:hAnsi="Arial" w:cs="Arial"/>
          <w:sz w:val="21"/>
          <w:szCs w:val="21"/>
          <w:lang w:val="es-ES"/>
        </w:rPr>
        <w:t>»</w:t>
      </w:r>
    </w:p>
    <w:p w14:paraId="61EC57A9" w14:textId="77777777" w:rsidR="00CC1950" w:rsidRPr="00CC1950" w:rsidRDefault="00CC1950" w:rsidP="00F800DF">
      <w:pPr>
        <w:widowControl w:val="0"/>
        <w:autoSpaceDE w:val="0"/>
        <w:autoSpaceDN w:val="0"/>
        <w:spacing w:after="0" w:line="240" w:lineRule="auto"/>
        <w:contextualSpacing/>
        <w:jc w:val="both"/>
        <w:rPr>
          <w:rFonts w:ascii="Arial" w:eastAsia="Arial" w:hAnsi="Arial" w:cs="Arial"/>
          <w:sz w:val="25"/>
          <w:lang w:val="es-ES" w:eastAsia="es-ES" w:bidi="es-ES"/>
        </w:rPr>
      </w:pPr>
    </w:p>
    <w:p w14:paraId="42EBEA1A" w14:textId="77777777" w:rsidR="00CC1950" w:rsidRPr="00CC1950" w:rsidRDefault="00CC1950" w:rsidP="00CC1950">
      <w:pPr>
        <w:widowControl w:val="0"/>
        <w:shd w:val="clear" w:color="auto" w:fill="FFFFFF" w:themeFill="background1"/>
        <w:autoSpaceDE w:val="0"/>
        <w:autoSpaceDN w:val="0"/>
        <w:spacing w:after="120" w:line="276" w:lineRule="auto"/>
        <w:jc w:val="both"/>
        <w:rPr>
          <w:rFonts w:ascii="Arial" w:eastAsia="Calibri" w:hAnsi="Arial" w:cs="Arial"/>
          <w:bCs/>
          <w:lang w:eastAsia="es-ES" w:bidi="es-ES"/>
        </w:rPr>
      </w:pPr>
      <w:r w:rsidRPr="00CC1950">
        <w:rPr>
          <w:rFonts w:ascii="Arial" w:eastAsia="Arial" w:hAnsi="Arial" w:cs="Arial"/>
          <w:sz w:val="25"/>
          <w:lang w:val="es-ES" w:eastAsia="es-ES" w:bidi="es-ES"/>
        </w:rPr>
        <w:tab/>
      </w:r>
      <w:r w:rsidRPr="00CC1950">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9"/>
    </w:p>
    <w:p w14:paraId="6F80BD03" w14:textId="77777777" w:rsidR="00CC1950" w:rsidRPr="00CC1950" w:rsidRDefault="00CC1950" w:rsidP="00CC1950">
      <w:pPr>
        <w:shd w:val="clear" w:color="auto" w:fill="FFFFFF" w:themeFill="background1"/>
        <w:tabs>
          <w:tab w:val="left" w:pos="426"/>
        </w:tabs>
        <w:spacing w:after="120" w:line="276" w:lineRule="auto"/>
        <w:ind w:firstLine="709"/>
        <w:jc w:val="both"/>
        <w:rPr>
          <w:rFonts w:ascii="Arial" w:eastAsia="Arial" w:hAnsi="Arial" w:cs="Arial"/>
          <w:lang w:val="es-ES" w:eastAsia="es-ES" w:bidi="es-ES"/>
        </w:rPr>
      </w:pPr>
      <w:r w:rsidRPr="00CC1950">
        <w:rPr>
          <w:rFonts w:ascii="Arial" w:eastAsia="Arial" w:hAnsi="Arial" w:cs="Arial"/>
          <w:lang w:val="es-ES" w:eastAsia="es-ES" w:bidi="es-ES"/>
        </w:rPr>
        <w:t xml:space="preserve">Se observa entonces que </w:t>
      </w:r>
      <w:bookmarkStart w:id="30" w:name="_Hlk100593620"/>
      <w:r w:rsidRPr="00CC1950">
        <w:rPr>
          <w:rFonts w:ascii="Arial" w:eastAsia="Arial" w:hAnsi="Arial" w:cs="Arial"/>
          <w:lang w:val="es-ES" w:eastAsia="es-ES" w:bidi="es-ES"/>
        </w:rPr>
        <w:t xml:space="preserve">el parágrafo del artículo 38 de la Ley 996 de 2005 prohíbe a los alcaldes, gobernadores, secretarios, gerentes y directores de las entidades del orden municipal, departamental o distrital celebrar convenios y contratos interadministrativos para </w:t>
      </w:r>
      <w:r w:rsidRPr="00CC1950">
        <w:rPr>
          <w:rFonts w:ascii="Arial" w:eastAsia="Arial" w:hAnsi="Arial" w:cs="Arial"/>
          <w:lang w:val="es-ES" w:eastAsia="es-ES" w:bidi="es-ES"/>
        </w:rPr>
        <w:lastRenderedPageBreak/>
        <w:t xml:space="preserve">la ejecución de recursos públicos, dentro de los 4 meses anteriores a los comicios de cargos de elección popular. De esta manera, solo si una de las partes de la relación contractual es una entidad de aquellas descritas en el parágrafo ibidem, no se podrán celebrar tales convenios o contratos mientras rija la restricción del parágrafo indiciado, toda vez que la citada disposición hace referencia a dicha tipología contractual –contratos o convenios interadministrativos–, sin que el legislador hubiere contemplado excepción alguna frente a la modalidad de selección o naturaleza de su objeto. </w:t>
      </w:r>
    </w:p>
    <w:p w14:paraId="38BEC57A" w14:textId="22C3866F" w:rsidR="00E1537C" w:rsidRPr="00CB7E8C" w:rsidRDefault="00E1537C" w:rsidP="00E1537C">
      <w:pPr>
        <w:tabs>
          <w:tab w:val="left" w:pos="426"/>
        </w:tabs>
        <w:spacing w:after="120" w:line="276" w:lineRule="auto"/>
        <w:ind w:firstLine="709"/>
        <w:jc w:val="both"/>
        <w:rPr>
          <w:rFonts w:ascii="Arial" w:eastAsia="Arial" w:hAnsi="Arial" w:cs="Arial"/>
          <w:lang w:val="es-ES" w:eastAsia="es-ES" w:bidi="es-ES"/>
        </w:rPr>
      </w:pPr>
      <w:bookmarkStart w:id="31" w:name="_Hlk101791828"/>
      <w:bookmarkEnd w:id="30"/>
      <w:r w:rsidRPr="00CB7E8C">
        <w:rPr>
          <w:rFonts w:ascii="Arial" w:eastAsia="Arial" w:hAnsi="Arial" w:cs="Arial"/>
          <w:lang w:val="es-ES" w:eastAsia="es-ES" w:bidi="es-ES"/>
        </w:rPr>
        <w:t>Así mismo, se resalta que este parágrafo fue modificado parcial y transitoriamente por el artículo 124 de la Ley 2159 de 2021</w:t>
      </w:r>
      <w:r w:rsidRPr="00CB7E8C">
        <w:rPr>
          <w:rFonts w:ascii="Arial" w:eastAsia="Arial" w:hAnsi="Arial" w:cs="Arial"/>
          <w:vertAlign w:val="superscript"/>
          <w:lang w:val="es-ES" w:eastAsia="es-ES" w:bidi="es-ES"/>
        </w:rPr>
        <w:footnoteReference w:id="32"/>
      </w:r>
      <w:r w:rsidRPr="00CB7E8C">
        <w:rPr>
          <w:rFonts w:ascii="Arial" w:eastAsia="Arial" w:hAnsi="Arial" w:cs="Arial"/>
          <w:lang w:val="es-ES" w:eastAsia="es-ES" w:bidi="es-ES"/>
        </w:rPr>
        <w:t>, estableciendo una excepción a la prohibición, según la cual a partir de la publicación de dicha ley y durante la vigencia fiscal 2022, la Nación podrá celebrar convenios interadministrativos con las entidades territoriales para ejecutar programas y proyectos correspondientes al Presupuesto General de la Nación</w:t>
      </w:r>
      <w:r w:rsidRPr="00CB7E8C">
        <w:rPr>
          <w:rFonts w:ascii="Arial" w:eastAsia="Arial" w:hAnsi="Arial" w:cs="Arial"/>
          <w:vertAlign w:val="superscript"/>
          <w:lang w:val="es-ES" w:eastAsia="es-ES" w:bidi="es-ES"/>
        </w:rPr>
        <w:footnoteReference w:id="33"/>
      </w:r>
      <w:r w:rsidRPr="00CB7E8C">
        <w:rPr>
          <w:rFonts w:ascii="Arial" w:eastAsia="Arial" w:hAnsi="Arial" w:cs="Arial"/>
          <w:lang w:val="es-ES" w:eastAsia="es-ES" w:bidi="es-ES"/>
        </w:rPr>
        <w:t xml:space="preserve">. </w:t>
      </w:r>
      <w:r w:rsidRPr="00CB7E8C">
        <w:rPr>
          <w:rFonts w:ascii="Arial" w:eastAsia="Times New Roman" w:hAnsi="Arial" w:cs="Arial"/>
          <w:bCs/>
          <w:lang w:val="es-MX" w:eastAsia="es-CO"/>
        </w:rPr>
        <w:t xml:space="preserve">En efecto, la modificación transitoria del artículo 124 de la Ley 2159 de 2021, </w:t>
      </w:r>
      <w:r w:rsidRPr="00CB7E8C">
        <w:rPr>
          <w:rFonts w:ascii="Arial" w:eastAsia="Times New Roman" w:hAnsi="Arial" w:cs="Arial"/>
          <w:bCs/>
          <w:lang w:eastAsia="es-CO"/>
        </w:rPr>
        <w:t xml:space="preserve">fijó ciertas condiciones temporales, subjetivas y materiales o teleológicas para la celebración de los convenios interadministrativos: i) que sean celebrados a partir de la publicación de la Ley del Presupuesto en el Diario Oficial y hasta el término de la vigencia fiscal 2022, </w:t>
      </w:r>
      <w:proofErr w:type="spellStart"/>
      <w:r w:rsidRPr="00CB7E8C">
        <w:rPr>
          <w:rFonts w:ascii="Arial" w:eastAsia="Times New Roman" w:hAnsi="Arial" w:cs="Arial"/>
          <w:bCs/>
          <w:lang w:eastAsia="es-CO"/>
        </w:rPr>
        <w:t>ii</w:t>
      </w:r>
      <w:proofErr w:type="spellEnd"/>
      <w:r w:rsidRPr="00CB7E8C">
        <w:rPr>
          <w:rFonts w:ascii="Arial" w:eastAsia="Times New Roman" w:hAnsi="Arial" w:cs="Arial"/>
          <w:bCs/>
          <w:lang w:eastAsia="es-CO"/>
        </w:rPr>
        <w:t xml:space="preserve">) que sean celebrados entre la Nación, por una parte, y las entidades territoriales, por otra, y </w:t>
      </w:r>
      <w:proofErr w:type="spellStart"/>
      <w:r w:rsidRPr="00CB7E8C">
        <w:rPr>
          <w:rFonts w:ascii="Arial" w:eastAsia="Times New Roman" w:hAnsi="Arial" w:cs="Arial"/>
          <w:bCs/>
          <w:lang w:eastAsia="es-CO"/>
        </w:rPr>
        <w:t>iii</w:t>
      </w:r>
      <w:proofErr w:type="spellEnd"/>
      <w:r w:rsidRPr="00CB7E8C">
        <w:rPr>
          <w:rFonts w:ascii="Arial" w:eastAsia="Times New Roman" w:hAnsi="Arial" w:cs="Arial"/>
          <w:bCs/>
          <w:lang w:eastAsia="es-CO"/>
        </w:rPr>
        <w:t>) que los convenios sean celebrados con el fin de ejecutar programas o proyectos que correspondan al Presupuesto General de la Nación</w:t>
      </w:r>
      <w:r w:rsidRPr="00CB7E8C">
        <w:rPr>
          <w:rFonts w:ascii="Arial" w:eastAsia="Times New Roman" w:hAnsi="Arial" w:cs="Arial"/>
          <w:bCs/>
          <w:lang w:val="es-MX" w:eastAsia="es-CO"/>
        </w:rPr>
        <w:t>. De acuerdo con esto, a los convenios interadministrativos no relacionados con la ejecución de recursos del Presupuesto General Nacional, les aplicaría la restricción del artículo 38, no estando cobijados por la habilitación transitoria dispuesta en el artículo 124 de la Ley 2159 de 2021, al no cumplirse los mencionados requisitos.</w:t>
      </w:r>
      <w:r w:rsidRPr="00CB7E8C">
        <w:rPr>
          <w:rFonts w:ascii="Arial" w:eastAsia="Times New Roman" w:hAnsi="Arial" w:cs="Arial"/>
          <w:bCs/>
          <w:lang w:eastAsia="es-CO"/>
        </w:rPr>
        <w:t> </w:t>
      </w:r>
    </w:p>
    <w:p w14:paraId="09AA9C76" w14:textId="77777777" w:rsidR="00E1537C" w:rsidRPr="00CB7E8C" w:rsidRDefault="00E1537C" w:rsidP="00E1537C">
      <w:pPr>
        <w:widowControl w:val="0"/>
        <w:autoSpaceDE w:val="0"/>
        <w:autoSpaceDN w:val="0"/>
        <w:spacing w:after="0" w:line="276" w:lineRule="auto"/>
        <w:ind w:firstLine="709"/>
        <w:contextualSpacing/>
        <w:jc w:val="both"/>
        <w:rPr>
          <w:rFonts w:ascii="Arial" w:eastAsia="Calibri" w:hAnsi="Arial" w:cs="Arial"/>
          <w:lang w:eastAsia="es-ES" w:bidi="es-ES"/>
        </w:rPr>
      </w:pPr>
      <w:bookmarkStart w:id="32" w:name="_Hlk77154098"/>
      <w:bookmarkEnd w:id="31"/>
      <w:r w:rsidRPr="00CB7E8C">
        <w:rPr>
          <w:rFonts w:ascii="Arial" w:eastAsia="Times New Roman" w:hAnsi="Arial" w:cs="Arial"/>
          <w:bCs/>
          <w:lang w:val="es-ES" w:eastAsia="es-CO" w:bidi="es-ES"/>
        </w:rPr>
        <w:t>En todo caso</w:t>
      </w:r>
      <w:r w:rsidRPr="00CB7E8C">
        <w:rPr>
          <w:rFonts w:ascii="Arial" w:eastAsia="Arial" w:hAnsi="Arial" w:cs="Arial"/>
          <w:lang w:val="es-ES" w:eastAsia="es-ES" w:bidi="es-ES"/>
        </w:rPr>
        <w:t xml:space="preserve">, es importante resaltar que la Sala de Consulta y Servicio Civil del Consejo de Estado se ha pronunciado en el sentido de que </w:t>
      </w:r>
      <w:bookmarkStart w:id="33" w:name="_Hlk78820889"/>
      <w:r w:rsidRPr="00CB7E8C">
        <w:rPr>
          <w:rFonts w:ascii="Arial" w:eastAsia="Arial" w:hAnsi="Arial" w:cs="Arial"/>
          <w:lang w:val="es-ES" w:eastAsia="es-ES" w:bidi="es-ES"/>
        </w:rPr>
        <w:t xml:space="preserve">no se les aplica la restricción </w:t>
      </w:r>
      <w:r w:rsidRPr="00CB7E8C">
        <w:rPr>
          <w:rFonts w:ascii="Arial" w:eastAsia="Arial" w:hAnsi="Arial" w:cs="Arial"/>
          <w:lang w:val="es-ES" w:eastAsia="es-ES" w:bidi="es-ES"/>
        </w:rPr>
        <w:lastRenderedPageBreak/>
        <w:t>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3"/>
      <w:r w:rsidRPr="00CB7E8C">
        <w:rPr>
          <w:rFonts w:ascii="Arial" w:eastAsia="Arial" w:hAnsi="Arial" w:cs="Arial"/>
          <w:vertAlign w:val="superscript"/>
          <w:lang w:val="es-ES" w:eastAsia="es-ES" w:bidi="es-ES"/>
        </w:rPr>
        <w:footnoteReference w:id="34"/>
      </w:r>
      <w:r w:rsidRPr="00CB7E8C">
        <w:rPr>
          <w:rFonts w:ascii="Arial" w:eastAsia="Calibri" w:hAnsi="Arial" w:cs="Arial"/>
          <w:lang w:eastAsia="es-ES" w:bidi="es-ES"/>
        </w:rPr>
        <w:t>.</w:t>
      </w:r>
      <w:bookmarkEnd w:id="32"/>
    </w:p>
    <w:p w14:paraId="57D38D91" w14:textId="20625003" w:rsidR="00F8124A" w:rsidRPr="00F8124A" w:rsidRDefault="00F8124A" w:rsidP="00F8124A">
      <w:pPr>
        <w:spacing w:after="0" w:line="276" w:lineRule="auto"/>
        <w:contextualSpacing/>
        <w:jc w:val="both"/>
        <w:rPr>
          <w:rFonts w:ascii="Arial" w:hAnsi="Arial" w:cs="Arial"/>
          <w:b/>
          <w:bCs/>
          <w:lang w:val="es-MX"/>
        </w:rPr>
      </w:pPr>
      <w:r w:rsidRPr="00F8124A">
        <w:rPr>
          <w:rFonts w:ascii="Arial" w:hAnsi="Arial" w:cs="Arial"/>
          <w:b/>
          <w:bCs/>
          <w:lang w:val="es-MX"/>
        </w:rPr>
        <w:t>2.</w:t>
      </w:r>
      <w:r w:rsidR="002D4B8B" w:rsidRPr="00CB7E8C">
        <w:rPr>
          <w:rFonts w:ascii="Arial" w:hAnsi="Arial" w:cs="Arial"/>
          <w:b/>
          <w:bCs/>
          <w:lang w:val="es-MX"/>
        </w:rPr>
        <w:t>4</w:t>
      </w:r>
      <w:r w:rsidRPr="00F8124A">
        <w:rPr>
          <w:rFonts w:ascii="Arial" w:hAnsi="Arial" w:cs="Arial"/>
          <w:b/>
          <w:bCs/>
          <w:lang w:val="es-MX"/>
        </w:rPr>
        <w:t>. Contratación con ESAL y restricciones de la Ley de Garantías</w:t>
      </w:r>
    </w:p>
    <w:p w14:paraId="69EAD7DA" w14:textId="77777777" w:rsidR="00F8124A" w:rsidRPr="00F8124A" w:rsidRDefault="00F8124A" w:rsidP="00F8124A">
      <w:pPr>
        <w:spacing w:after="0" w:line="276" w:lineRule="auto"/>
        <w:contextualSpacing/>
        <w:jc w:val="both"/>
        <w:rPr>
          <w:rFonts w:ascii="Arial" w:hAnsi="Arial" w:cs="Arial"/>
          <w:lang w:val="es-MX"/>
        </w:rPr>
      </w:pPr>
    </w:p>
    <w:p w14:paraId="111E9A6C" w14:textId="77777777" w:rsidR="00415835" w:rsidRPr="00CB7E8C" w:rsidRDefault="00415835" w:rsidP="00415835">
      <w:pPr>
        <w:spacing w:after="120" w:line="276" w:lineRule="auto"/>
        <w:jc w:val="both"/>
        <w:rPr>
          <w:rFonts w:ascii="Arial" w:hAnsi="Arial" w:cs="Arial"/>
          <w:color w:val="000000" w:themeColor="text1"/>
          <w:lang w:val="es-MX"/>
        </w:rPr>
      </w:pPr>
      <w:r w:rsidRPr="00CB7E8C">
        <w:rPr>
          <w:rFonts w:ascii="Arial" w:hAnsi="Arial" w:cs="Arial"/>
          <w:color w:val="000000" w:themeColor="text1"/>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CB7E8C">
        <w:rPr>
          <w:rFonts w:ascii="Arial" w:hAnsi="Arial" w:cs="Arial"/>
          <w:color w:val="000000" w:themeColor="text1"/>
          <w:vertAlign w:val="superscript"/>
          <w:lang w:val="es-MX"/>
        </w:rPr>
        <w:footnoteReference w:id="35"/>
      </w:r>
      <w:r w:rsidRPr="00CB7E8C">
        <w:rPr>
          <w:rFonts w:ascii="Arial" w:hAnsi="Arial" w:cs="Arial"/>
          <w:color w:val="000000" w:themeColor="text1"/>
          <w:lang w:val="es-MX"/>
        </w:rPr>
        <w:t xml:space="preserve">. </w:t>
      </w:r>
      <w:r w:rsidRPr="00CB7E8C">
        <w:rPr>
          <w:rFonts w:ascii="Arial" w:eastAsia="Calibri" w:hAnsi="Arial" w:cs="Arial"/>
          <w:color w:val="000000" w:themeColor="text1"/>
          <w:lang w:val="es-MX"/>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CB7E8C">
        <w:rPr>
          <w:rFonts w:ascii="Arial" w:eastAsia="Calibri" w:hAnsi="Arial" w:cs="Arial"/>
          <w:color w:val="000000" w:themeColor="text1"/>
          <w:vertAlign w:val="superscript"/>
          <w:lang w:val="es-MX"/>
        </w:rPr>
        <w:footnoteReference w:id="36"/>
      </w:r>
      <w:r w:rsidRPr="00CB7E8C">
        <w:rPr>
          <w:rFonts w:ascii="Arial" w:eastAsia="Calibri" w:hAnsi="Arial" w:cs="Arial"/>
          <w:color w:val="000000" w:themeColor="text1"/>
          <w:lang w:val="es-MX"/>
        </w:rPr>
        <w:t>. Ambas figuras tienen como fin desarrollar conjuntamente actividades relacionadas con los cometidos y funciones legales asignadas a la entidad.</w:t>
      </w:r>
    </w:p>
    <w:p w14:paraId="33419B3C" w14:textId="690C106B" w:rsidR="00F8124A" w:rsidRPr="00F8124A" w:rsidRDefault="00F8124A" w:rsidP="002D4B8B">
      <w:pPr>
        <w:spacing w:before="120" w:after="120" w:line="276" w:lineRule="auto"/>
        <w:ind w:firstLine="708"/>
        <w:jc w:val="both"/>
        <w:rPr>
          <w:rFonts w:ascii="Arial" w:eastAsia="Calibri" w:hAnsi="Arial" w:cs="Arial"/>
          <w:lang w:val="es-MX"/>
        </w:rPr>
      </w:pPr>
      <w:bookmarkStart w:id="34" w:name="_Hlk101791857"/>
      <w:bookmarkStart w:id="35" w:name="_Hlk100594358"/>
      <w:r w:rsidRPr="00F8124A">
        <w:rPr>
          <w:rFonts w:ascii="Arial" w:hAnsi="Arial" w:cs="Arial"/>
          <w:lang w:val="es-MX"/>
        </w:rPr>
        <w:t xml:space="preserve">El Gobierno Nacional, en desarrollo del artículo 355 de la Constitución, </w:t>
      </w:r>
      <w:bookmarkStart w:id="36" w:name="_Hlk100594336"/>
      <w:r w:rsidRPr="00F8124A">
        <w:rPr>
          <w:rFonts w:ascii="Arial" w:hAnsi="Arial" w:cs="Arial"/>
          <w:lang w:val="es-MX"/>
        </w:rPr>
        <w:t>expidió el Decreto 092 de 2017, q</w:t>
      </w:r>
      <w:r w:rsidRPr="00F8124A">
        <w:rPr>
          <w:rFonts w:ascii="Arial" w:eastAsia="Calibri" w:hAnsi="Arial" w:cs="Arial"/>
          <w:lang w:val="es-MX"/>
        </w:rPr>
        <w:t xml:space="preserve">ue dispone las reglas para las contrataciones que realicen las entidades estatales con las ESAL. El Decreto regula dos [2] eventos: i) los contratos de colaboración o de interés público con el fin de impulsar programas y actividades de interés </w:t>
      </w:r>
      <w:r w:rsidRPr="00F8124A">
        <w:rPr>
          <w:rFonts w:ascii="Arial" w:eastAsia="Calibri" w:hAnsi="Arial" w:cs="Arial"/>
          <w:lang w:val="es-MX"/>
        </w:rPr>
        <w:lastRenderedPageBreak/>
        <w:t xml:space="preserve">público de acuerdo con el plan nacional o los planes seccionales de desarrollo, en los términos del artículo 355 de la Constitución Política, y </w:t>
      </w:r>
      <w:proofErr w:type="spellStart"/>
      <w:r w:rsidRPr="00F8124A">
        <w:rPr>
          <w:rFonts w:ascii="Arial" w:eastAsia="Calibri" w:hAnsi="Arial" w:cs="Arial"/>
          <w:lang w:val="es-MX"/>
        </w:rPr>
        <w:t>ii</w:t>
      </w:r>
      <w:proofErr w:type="spellEnd"/>
      <w:r w:rsidRPr="00F8124A">
        <w:rPr>
          <w:rFonts w:ascii="Arial" w:eastAsia="Calibri" w:hAnsi="Arial" w:cs="Arial"/>
          <w:lang w:val="es-MX"/>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w:t>
      </w:r>
      <w:r w:rsidRPr="00F8124A">
        <w:rPr>
          <w:rFonts w:ascii="Arial" w:eastAsia="Calibri" w:hAnsi="Arial" w:cs="Arial"/>
          <w:i/>
          <w:iCs/>
          <w:lang w:val="es-MX"/>
        </w:rPr>
        <w:t>ibidem</w:t>
      </w:r>
      <w:r w:rsidRPr="00F8124A">
        <w:rPr>
          <w:rFonts w:ascii="Arial" w:eastAsia="Calibri" w:hAnsi="Arial" w:cs="Arial"/>
          <w:lang w:val="es-MX"/>
        </w:rPr>
        <w:t xml:space="preserve">. Así, es posible diferenciar, los </w:t>
      </w:r>
      <w:r w:rsidRPr="00F8124A">
        <w:rPr>
          <w:rFonts w:ascii="Arial" w:eastAsia="Calibri" w:hAnsi="Arial" w:cs="Arial"/>
          <w:i/>
          <w:iCs/>
          <w:lang w:val="es-MX"/>
        </w:rPr>
        <w:t>convenios de asociación</w:t>
      </w:r>
      <w:r w:rsidRPr="00F8124A">
        <w:rPr>
          <w:rFonts w:ascii="Arial" w:eastAsia="Calibri" w:hAnsi="Arial" w:cs="Arial"/>
          <w:lang w:val="es-MX"/>
        </w:rPr>
        <w:t xml:space="preserve">, regulados en el artículo 5, de los </w:t>
      </w:r>
      <w:r w:rsidRPr="00F8124A">
        <w:rPr>
          <w:rFonts w:ascii="Arial" w:eastAsia="Calibri" w:hAnsi="Arial" w:cs="Arial"/>
          <w:i/>
          <w:iCs/>
          <w:lang w:val="es-MX"/>
        </w:rPr>
        <w:t>contratos de colaboración</w:t>
      </w:r>
      <w:r w:rsidRPr="00F8124A">
        <w:rPr>
          <w:rFonts w:ascii="Arial" w:eastAsia="Calibri" w:hAnsi="Arial" w:cs="Arial"/>
          <w:lang w:val="es-MX"/>
        </w:rPr>
        <w:t>, establecidos en el artículo 2 del Decreto 092 de 2017</w:t>
      </w:r>
      <w:bookmarkEnd w:id="34"/>
      <w:r w:rsidRPr="00F8124A">
        <w:rPr>
          <w:rFonts w:ascii="Arial" w:eastAsia="Calibri" w:hAnsi="Arial" w:cs="Arial"/>
          <w:vertAlign w:val="superscript"/>
          <w:lang w:val="es-MX"/>
        </w:rPr>
        <w:footnoteReference w:id="37"/>
      </w:r>
      <w:r w:rsidRPr="00F8124A">
        <w:rPr>
          <w:rFonts w:ascii="Arial" w:eastAsia="Calibri" w:hAnsi="Arial" w:cs="Arial"/>
          <w:lang w:val="es-MX"/>
        </w:rPr>
        <w:t>.</w:t>
      </w:r>
    </w:p>
    <w:bookmarkEnd w:id="35"/>
    <w:bookmarkEnd w:id="36"/>
    <w:p w14:paraId="76ED2C41" w14:textId="77777777" w:rsidR="00F8124A" w:rsidRPr="00F8124A" w:rsidRDefault="00F8124A" w:rsidP="002D4B8B">
      <w:pPr>
        <w:spacing w:before="120" w:after="120" w:line="276" w:lineRule="auto"/>
        <w:ind w:firstLine="708"/>
        <w:jc w:val="both"/>
        <w:rPr>
          <w:rFonts w:ascii="Arial" w:eastAsia="Calibri" w:hAnsi="Arial" w:cs="Arial"/>
          <w:lang w:val="es-MX"/>
        </w:rPr>
      </w:pPr>
      <w:r w:rsidRPr="00F8124A">
        <w:rPr>
          <w:rFonts w:ascii="Arial" w:eastAsia="Calibri" w:hAnsi="Arial" w:cs="Arial"/>
          <w:lang w:val="es-MX"/>
        </w:rPr>
        <w:t xml:space="preserve">De conformidad con el artículo 96 de la Ley 489 de 1996, los </w:t>
      </w:r>
      <w:r w:rsidRPr="00F8124A">
        <w:rPr>
          <w:rFonts w:ascii="Arial" w:eastAsia="Calibri" w:hAnsi="Arial" w:cs="Arial"/>
          <w:i/>
          <w:lang w:val="es-MX"/>
        </w:rPr>
        <w:t>convenios de asociación</w:t>
      </w:r>
      <w:r w:rsidRPr="00F8124A">
        <w:rPr>
          <w:rFonts w:ascii="Arial" w:eastAsia="Calibri" w:hAnsi="Arial" w:cs="Arial"/>
          <w:lang w:val="es-MX"/>
        </w:rPr>
        <w:t xml:space="preserve"> pueden ser celebrados por cualquier entidad estatal «cualquiera sea su naturaleza y orden administrativo», mientras que el artículo 355 Superior establece que los </w:t>
      </w:r>
      <w:r w:rsidRPr="00F8124A">
        <w:rPr>
          <w:rFonts w:ascii="Arial" w:eastAsia="Calibri" w:hAnsi="Arial" w:cs="Arial"/>
          <w:i/>
          <w:lang w:val="es-MX"/>
        </w:rPr>
        <w:t>contratos de colaboración</w:t>
      </w:r>
      <w:r w:rsidRPr="00F8124A">
        <w:rPr>
          <w:rFonts w:ascii="Arial" w:eastAsia="Calibri" w:hAnsi="Arial" w:cs="Arial"/>
          <w:lang w:val="es-MX"/>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F8124A">
        <w:rPr>
          <w:rFonts w:ascii="Arial" w:eastAsia="Calibri" w:hAnsi="Arial" w:cs="Arial"/>
          <w:lang w:val="es-MX"/>
        </w:rPr>
        <w:t>finalística</w:t>
      </w:r>
      <w:proofErr w:type="spellEnd"/>
      <w:r w:rsidRPr="00F8124A">
        <w:rPr>
          <w:rFonts w:ascii="Arial" w:eastAsia="Calibri" w:hAnsi="Arial" w:cs="Arial"/>
          <w:lang w:val="es-MX"/>
        </w:rPr>
        <w:t xml:space="preserve"> supone una lectura de la norma en sentido amplio, es decir, de tal forma que se entienda que todas las entidades que forman parte de la Rama Ejecutiva pueden celebrar contratos con ESAL para la ejecución de actividades de interés público»</w:t>
      </w:r>
      <w:r w:rsidRPr="00F8124A">
        <w:rPr>
          <w:rFonts w:ascii="Arial" w:eastAsia="Calibri" w:hAnsi="Arial" w:cs="Arial"/>
          <w:vertAlign w:val="superscript"/>
          <w:lang w:val="es-MX"/>
        </w:rPr>
        <w:footnoteReference w:id="38"/>
      </w:r>
      <w:r w:rsidRPr="00F8124A">
        <w:rPr>
          <w:rFonts w:ascii="Arial" w:eastAsia="Calibri" w:hAnsi="Arial" w:cs="Arial"/>
          <w:lang w:val="es-MX"/>
        </w:rPr>
        <w:t xml:space="preserve">.   </w:t>
      </w:r>
    </w:p>
    <w:p w14:paraId="03C7A331" w14:textId="77777777" w:rsidR="00F8124A" w:rsidRPr="00F8124A" w:rsidRDefault="00F8124A" w:rsidP="002D4B8B">
      <w:pPr>
        <w:spacing w:before="120" w:after="120" w:line="276" w:lineRule="auto"/>
        <w:ind w:firstLine="708"/>
        <w:jc w:val="both"/>
        <w:rPr>
          <w:rFonts w:ascii="Arial" w:eastAsia="Calibri" w:hAnsi="Arial" w:cs="Arial"/>
          <w:lang w:val="es-MX"/>
        </w:rPr>
      </w:pPr>
      <w:r w:rsidRPr="00F8124A">
        <w:rPr>
          <w:rFonts w:ascii="Arial" w:eastAsia="Calibri" w:hAnsi="Arial" w:cs="Arial"/>
          <w:lang w:val="es-MX"/>
        </w:rPr>
        <w:t xml:space="preserve">Los </w:t>
      </w:r>
      <w:r w:rsidRPr="00F8124A">
        <w:rPr>
          <w:rFonts w:ascii="Arial" w:eastAsia="Calibri" w:hAnsi="Arial" w:cs="Arial"/>
          <w:i/>
          <w:iCs/>
          <w:lang w:val="es-MX"/>
        </w:rPr>
        <w:t xml:space="preserve">contratos de colaboración </w:t>
      </w:r>
      <w:r w:rsidRPr="00F8124A">
        <w:rPr>
          <w:rFonts w:ascii="Arial" w:eastAsia="Calibri" w:hAnsi="Arial" w:cs="Arial"/>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Esto toda vez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 </w:t>
      </w:r>
    </w:p>
    <w:p w14:paraId="1CCC3FBB" w14:textId="77777777" w:rsidR="00F8124A" w:rsidRPr="00F8124A" w:rsidRDefault="00F8124A" w:rsidP="002D4B8B">
      <w:pPr>
        <w:spacing w:before="120" w:after="120" w:line="276" w:lineRule="auto"/>
        <w:ind w:firstLine="708"/>
        <w:jc w:val="both"/>
        <w:rPr>
          <w:rFonts w:ascii="Arial" w:eastAsia="Calibri" w:hAnsi="Arial" w:cs="Arial"/>
          <w:lang w:val="es-MX"/>
        </w:rPr>
      </w:pPr>
      <w:r w:rsidRPr="00F8124A">
        <w:rPr>
          <w:rFonts w:ascii="Arial" w:eastAsia="Calibri" w:hAnsi="Arial" w:cs="Arial"/>
          <w:lang w:val="es-MX"/>
        </w:rPr>
        <w:t xml:space="preserve">En particular, debe verificar el cumplimiento de los siguientes requisitos. Por un lado, que el objeto del contrato corresponda a programas y actividades de interés público acordes </w:t>
      </w:r>
      <w:r w:rsidRPr="00F8124A">
        <w:rPr>
          <w:rFonts w:ascii="Arial" w:eastAsia="Calibri" w:hAnsi="Arial" w:cs="Arial"/>
          <w:lang w:val="es-MX"/>
        </w:rPr>
        <w:lastRenderedPageBreak/>
        <w:t>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–EGCAP–. Por ello, solo cuando se reúnan estas condiciones, y se cuente con la autorización previa y escrita del representante legal de la entidad estatal, es procedente celebrar contratos de colaboración.</w:t>
      </w:r>
    </w:p>
    <w:p w14:paraId="62B5B3DC" w14:textId="77777777" w:rsidR="00F8124A" w:rsidRPr="00F8124A" w:rsidRDefault="00F8124A" w:rsidP="002D4B8B">
      <w:pPr>
        <w:spacing w:before="120" w:after="120" w:line="276" w:lineRule="auto"/>
        <w:ind w:firstLine="708"/>
        <w:jc w:val="both"/>
        <w:rPr>
          <w:rFonts w:ascii="Arial" w:hAnsi="Arial" w:cs="Arial"/>
          <w:lang w:val="es-MX"/>
        </w:rPr>
      </w:pPr>
      <w:r w:rsidRPr="00F8124A">
        <w:rPr>
          <w:rFonts w:ascii="Arial" w:hAnsi="Arial" w:cs="Arial"/>
          <w:lang w:val="es-MX"/>
        </w:rPr>
        <w:t xml:space="preserve">De otro lado, </w:t>
      </w:r>
      <w:bookmarkStart w:id="37" w:name="_Hlk90391817"/>
      <w:r w:rsidRPr="00F8124A">
        <w:rPr>
          <w:rFonts w:ascii="Arial" w:hAnsi="Arial" w:cs="Arial"/>
          <w:lang w:val="es-MX"/>
        </w:rPr>
        <w:t xml:space="preserve">los </w:t>
      </w:r>
      <w:r w:rsidRPr="00F8124A">
        <w:rPr>
          <w:rFonts w:ascii="Arial" w:hAnsi="Arial" w:cs="Arial"/>
          <w:i/>
          <w:iCs/>
          <w:lang w:val="es-MX"/>
        </w:rPr>
        <w:t>convenios de asociación</w:t>
      </w:r>
      <w:r w:rsidRPr="00F8124A">
        <w:rPr>
          <w:rFonts w:ascii="Arial" w:hAnsi="Arial" w:cs="Arial"/>
          <w:lang w:val="es-MX"/>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8124A">
        <w:rPr>
          <w:rFonts w:ascii="Arial" w:hAnsi="Arial" w:cs="Arial"/>
          <w:vertAlign w:val="superscript"/>
          <w:lang w:val="es-MX"/>
        </w:rPr>
        <w:footnoteReference w:id="39"/>
      </w:r>
      <w:r w:rsidRPr="00F8124A">
        <w:rPr>
          <w:rFonts w:ascii="Arial" w:hAnsi="Arial" w:cs="Arial"/>
          <w:lang w:val="es-MX"/>
        </w:rPr>
        <w:t xml:space="preserve">. En estos convenios no existe contraprestación o pago, sino aportes, los cuales están dirigidos, exclusivamente, a lograr la ejecución del convenio y no a remunerar la actividad o las actuaciones del asociado. De todos modos, la entidad debe adelantar un proceso competitivo, salvo cuando la ESAL comprometa recursos en dinero para la ejecución de estas actividades, en una proporción no inferior al 30% del valor total del convenio. </w:t>
      </w:r>
      <w:bookmarkEnd w:id="37"/>
    </w:p>
    <w:p w14:paraId="6FC1F156" w14:textId="77777777" w:rsidR="00F8124A" w:rsidRPr="00F8124A" w:rsidRDefault="00F8124A" w:rsidP="002D4B8B">
      <w:pPr>
        <w:spacing w:before="120" w:after="120" w:line="276" w:lineRule="auto"/>
        <w:ind w:firstLine="709"/>
        <w:jc w:val="both"/>
        <w:rPr>
          <w:rFonts w:ascii="Arial" w:hAnsi="Arial" w:cs="Arial"/>
          <w:lang w:val="es-MX"/>
        </w:rPr>
      </w:pPr>
      <w:r w:rsidRPr="00F8124A">
        <w:rPr>
          <w:rFonts w:ascii="Arial" w:hAnsi="Arial" w:cs="Arial"/>
          <w:lang w:val="es-MX"/>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7E545817" w14:textId="77777777" w:rsidR="00F8124A" w:rsidRPr="00F8124A" w:rsidRDefault="00F8124A" w:rsidP="002D4B8B">
      <w:pPr>
        <w:spacing w:before="120" w:after="120" w:line="276" w:lineRule="auto"/>
        <w:ind w:firstLine="708"/>
        <w:jc w:val="both"/>
        <w:rPr>
          <w:rFonts w:ascii="Arial" w:hAnsi="Arial" w:cs="Arial"/>
          <w:lang w:val="es-MX"/>
        </w:rPr>
      </w:pPr>
      <w:r w:rsidRPr="00F8124A">
        <w:rPr>
          <w:rFonts w:ascii="Arial" w:hAnsi="Arial" w:cs="Arial"/>
          <w:lang w:val="es-MX"/>
        </w:rPr>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 </w:t>
      </w:r>
    </w:p>
    <w:p w14:paraId="04C46145" w14:textId="77777777" w:rsidR="00F8124A" w:rsidRPr="00F8124A" w:rsidRDefault="00F8124A" w:rsidP="002D4B8B">
      <w:pPr>
        <w:spacing w:before="120" w:after="120" w:line="276" w:lineRule="auto"/>
        <w:ind w:firstLine="708"/>
        <w:jc w:val="both"/>
        <w:rPr>
          <w:rFonts w:ascii="Arial" w:hAnsi="Arial" w:cs="Arial"/>
          <w:lang w:val="es-MX"/>
        </w:rPr>
      </w:pPr>
      <w:r w:rsidRPr="00F8124A">
        <w:rPr>
          <w:rFonts w:ascii="Arial" w:hAnsi="Arial" w:cs="Arial"/>
          <w:lang w:val="es-MX"/>
        </w:rPr>
        <w:t xml:space="preserve">La normativa vigente no impide que varias entidades suscriban conjuntamente el convenio de asociación y tampoco que dos o más ESAL pueden hacerlo, a través de las </w:t>
      </w:r>
      <w:r w:rsidRPr="00F8124A">
        <w:rPr>
          <w:rFonts w:ascii="Arial" w:hAnsi="Arial" w:cs="Arial"/>
          <w:lang w:val="es-MX"/>
        </w:rPr>
        <w:lastRenderedPageBreak/>
        <w:t>figuras asociativas autorizadas por la ley, por ejemplo, la unión temporal o el consorcio</w:t>
      </w:r>
      <w:r w:rsidRPr="00F8124A">
        <w:rPr>
          <w:rFonts w:ascii="Arial" w:hAnsi="Arial" w:cs="Arial"/>
          <w:vertAlign w:val="superscript"/>
          <w:lang w:val="es-MX"/>
        </w:rPr>
        <w:footnoteReference w:id="40"/>
      </w:r>
      <w:r w:rsidRPr="00F8124A">
        <w:rPr>
          <w:rFonts w:ascii="Arial" w:hAnsi="Arial" w:cs="Arial"/>
          <w:lang w:val="es-MX"/>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celebrarse un proceso competitivo. </w:t>
      </w:r>
    </w:p>
    <w:p w14:paraId="7CD451BB" w14:textId="77777777" w:rsidR="00F8124A" w:rsidRPr="00F8124A" w:rsidRDefault="00F8124A" w:rsidP="002D4B8B">
      <w:pPr>
        <w:spacing w:before="120" w:after="120" w:line="276" w:lineRule="auto"/>
        <w:ind w:firstLine="708"/>
        <w:jc w:val="both"/>
        <w:rPr>
          <w:rFonts w:ascii="Arial" w:hAnsi="Arial" w:cs="Arial"/>
          <w:lang w:val="es-MX"/>
        </w:rPr>
      </w:pPr>
      <w:r w:rsidRPr="00F8124A">
        <w:rPr>
          <w:rFonts w:ascii="Arial" w:hAnsi="Arial" w:cs="Arial"/>
          <w:lang w:val="es-MX"/>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8124A">
        <w:rPr>
          <w:rFonts w:ascii="Arial" w:hAnsi="Arial" w:cs="Arial"/>
          <w:vertAlign w:val="superscript"/>
          <w:lang w:val="es-MX"/>
        </w:rPr>
        <w:footnoteReference w:id="41"/>
      </w:r>
      <w:r w:rsidRPr="00F8124A">
        <w:rPr>
          <w:rFonts w:ascii="Arial" w:hAnsi="Arial" w:cs="Arial"/>
          <w:lang w:val="es-MX"/>
        </w:rPr>
        <w:t>.</w:t>
      </w:r>
    </w:p>
    <w:p w14:paraId="78505F94" w14:textId="77777777" w:rsidR="00F8124A" w:rsidRPr="00F8124A" w:rsidRDefault="00F8124A" w:rsidP="002D4B8B">
      <w:pPr>
        <w:spacing w:before="120" w:after="120" w:line="276" w:lineRule="auto"/>
        <w:ind w:firstLine="708"/>
        <w:jc w:val="both"/>
        <w:rPr>
          <w:rFonts w:ascii="Arial" w:hAnsi="Arial" w:cs="Arial"/>
          <w:lang w:val="es-MX"/>
        </w:rPr>
      </w:pPr>
      <w:r w:rsidRPr="00F8124A">
        <w:rPr>
          <w:rFonts w:ascii="Arial" w:hAnsi="Arial" w:cs="Arial"/>
          <w:lang w:val="es-MX"/>
        </w:rPr>
        <w:t xml:space="preserve">La noción «seleccionar de forma objetiva», contenida en la disposición </w:t>
      </w:r>
      <w:r w:rsidRPr="00F8124A">
        <w:rPr>
          <w:rFonts w:ascii="Arial" w:hAnsi="Arial" w:cs="Arial"/>
          <w:i/>
          <w:iCs/>
          <w:lang w:val="es-MX"/>
        </w:rPr>
        <w:t xml:space="preserve">sub examine </w:t>
      </w:r>
      <w:r w:rsidRPr="00F8124A">
        <w:rPr>
          <w:rFonts w:ascii="Arial" w:hAnsi="Arial" w:cs="Arial"/>
          <w:lang w:val="es-MX"/>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3E6F994B" w14:textId="77777777" w:rsidR="00F8124A" w:rsidRPr="00F8124A" w:rsidRDefault="00F8124A" w:rsidP="002D4B8B">
      <w:pPr>
        <w:spacing w:before="120" w:after="120" w:line="276" w:lineRule="auto"/>
        <w:ind w:firstLine="708"/>
        <w:jc w:val="both"/>
        <w:textAlignment w:val="baseline"/>
        <w:rPr>
          <w:rFonts w:ascii="Arial" w:hAnsi="Arial" w:cs="Arial"/>
          <w:color w:val="000000" w:themeColor="text1"/>
        </w:rPr>
      </w:pPr>
      <w:r w:rsidRPr="00F8124A">
        <w:rPr>
          <w:rFonts w:ascii="Arial" w:eastAsia="Arial" w:hAnsi="Arial" w:cs="Arial"/>
          <w:color w:val="000000" w:themeColor="text1"/>
          <w:lang w:val="es-ES"/>
        </w:rPr>
        <w:lastRenderedPageBreak/>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F8124A">
        <w:rPr>
          <w:rFonts w:ascii="Arial" w:hAnsi="Arial" w:cs="Arial"/>
          <w:color w:val="000000" w:themeColor="text1"/>
        </w:rPr>
        <w:t>. </w:t>
      </w:r>
    </w:p>
    <w:p w14:paraId="5A5894B5" w14:textId="77777777" w:rsidR="00F8124A" w:rsidRPr="00F8124A" w:rsidRDefault="00F8124A" w:rsidP="00676BB4">
      <w:pPr>
        <w:spacing w:after="120" w:line="276" w:lineRule="auto"/>
        <w:ind w:firstLine="709"/>
        <w:jc w:val="both"/>
        <w:rPr>
          <w:rFonts w:ascii="Arial" w:eastAsia="Calibri" w:hAnsi="Arial" w:cs="Arial"/>
          <w:color w:val="000000" w:themeColor="text1"/>
        </w:rPr>
      </w:pPr>
      <w:r w:rsidRPr="00F8124A">
        <w:rPr>
          <w:rFonts w:ascii="Arial" w:hAnsi="Arial" w:cs="Arial"/>
          <w:color w:val="000000" w:themeColor="text1"/>
        </w:rPr>
        <w:t>Ahora bien, e</w:t>
      </w:r>
      <w:r w:rsidRPr="00F8124A">
        <w:rPr>
          <w:rFonts w:ascii="Arial" w:eastAsia="Calibri" w:hAnsi="Arial" w:cs="Arial"/>
          <w:color w:val="000000" w:themeColor="text1"/>
        </w:rPr>
        <w:t>l Consejo de Estado, en el Auto del 6 de agosto de 2019 de la Sección Tercera, Subsección A –</w:t>
      </w:r>
      <w:proofErr w:type="spellStart"/>
      <w:r w:rsidRPr="00F8124A">
        <w:rPr>
          <w:rFonts w:ascii="Arial" w:eastAsia="Calibri" w:hAnsi="Arial" w:cs="Arial"/>
          <w:color w:val="000000" w:themeColor="text1"/>
        </w:rPr>
        <w:t>Exp</w:t>
      </w:r>
      <w:proofErr w:type="spellEnd"/>
      <w:r w:rsidRPr="00F8124A">
        <w:rPr>
          <w:rFonts w:ascii="Arial" w:eastAsia="Calibri" w:hAnsi="Arial" w:cs="Arial"/>
          <w:color w:val="000000" w:themeColor="text1"/>
        </w:rPr>
        <w:t>. 62.003–, estudió la solicitud de suspensión provisional</w:t>
      </w:r>
      <w:r w:rsidRPr="00F8124A">
        <w:rPr>
          <w:rFonts w:ascii="Arial" w:eastAsia="Calibri" w:hAnsi="Arial" w:cs="Arial"/>
          <w:color w:val="000000" w:themeColor="text1"/>
          <w:vertAlign w:val="superscript"/>
        </w:rPr>
        <w:footnoteReference w:id="42"/>
      </w:r>
      <w:r w:rsidRPr="00F8124A">
        <w:rPr>
          <w:rFonts w:ascii="Arial" w:eastAsia="Calibri" w:hAnsi="Arial" w:cs="Arial"/>
          <w:color w:val="000000" w:themeColor="text1"/>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F8124A">
        <w:rPr>
          <w:rFonts w:ascii="Arial" w:eastAsia="Calibri" w:hAnsi="Arial" w:cs="Arial"/>
          <w:i/>
          <w:iCs/>
          <w:color w:val="000000" w:themeColor="text1"/>
        </w:rPr>
        <w:t>convenio de asociación</w:t>
      </w:r>
      <w:r w:rsidRPr="00F8124A">
        <w:rPr>
          <w:rFonts w:ascii="Arial" w:eastAsia="Calibri" w:hAnsi="Arial" w:cs="Arial"/>
          <w:color w:val="000000" w:themeColor="text1"/>
        </w:rPr>
        <w:t xml:space="preserve"> con ESAL de reconocida idoneidad para el cumplimiento de las funciones que la ley les asigna a las entidades públicas, debe aplicarse lo dispuesto en el artículo 5 del Decreto 092 de 2017. </w:t>
      </w:r>
    </w:p>
    <w:p w14:paraId="3C154E16" w14:textId="77777777" w:rsidR="00676BB4" w:rsidRPr="00CB7E8C" w:rsidRDefault="00F8124A" w:rsidP="00676BB4">
      <w:pPr>
        <w:spacing w:after="120" w:line="276" w:lineRule="auto"/>
        <w:ind w:firstLine="709"/>
        <w:jc w:val="both"/>
        <w:rPr>
          <w:rFonts w:ascii="Arial" w:eastAsia="Calibri" w:hAnsi="Arial" w:cs="Arial"/>
          <w:color w:val="000000" w:themeColor="text1"/>
        </w:rPr>
      </w:pPr>
      <w:r w:rsidRPr="00F8124A">
        <w:rPr>
          <w:rFonts w:ascii="Arial" w:eastAsia="Calibri" w:hAnsi="Arial" w:cs="Arial"/>
          <w:color w:val="000000" w:themeColor="text1"/>
        </w:rPr>
        <w:t xml:space="preserve">Para los convenios de asociación, como se explicó </w:t>
      </w:r>
      <w:r w:rsidRPr="00F8124A">
        <w:rPr>
          <w:rFonts w:ascii="Arial" w:eastAsia="Calibri" w:hAnsi="Arial" w:cs="Arial"/>
          <w:i/>
          <w:iCs/>
          <w:color w:val="000000" w:themeColor="text1"/>
        </w:rPr>
        <w:t>ut supra</w:t>
      </w:r>
      <w:r w:rsidRPr="00F8124A">
        <w:rPr>
          <w:rFonts w:ascii="Arial" w:eastAsia="Calibri" w:hAnsi="Arial" w:cs="Arial"/>
          <w:color w:val="000000" w:themeColor="text1"/>
        </w:rPr>
        <w:t>,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F8124A">
        <w:rPr>
          <w:rFonts w:ascii="Arial" w:hAnsi="Arial" w:cs="Arial"/>
          <w:color w:val="000000" w:themeColor="text1"/>
          <w:vertAlign w:val="superscript"/>
        </w:rPr>
        <w:footnoteReference w:id="43"/>
      </w:r>
      <w:r w:rsidRPr="00F8124A">
        <w:rPr>
          <w:rFonts w:ascii="Arial" w:eastAsia="Calibri" w:hAnsi="Arial" w:cs="Arial"/>
          <w:color w:val="000000" w:themeColor="text1"/>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solo indica que en esos casos la entidad estatal debe acudir al proceso </w:t>
      </w:r>
      <w:r w:rsidRPr="00F8124A">
        <w:rPr>
          <w:rFonts w:ascii="Arial" w:eastAsia="Calibri" w:hAnsi="Arial" w:cs="Arial"/>
          <w:color w:val="000000" w:themeColor="text1"/>
        </w:rPr>
        <w:lastRenderedPageBreak/>
        <w:t xml:space="preserve">competitivo para seleccionar a la entidad sin ánimo de lucro con la cual celebrará el respectivo convenio. </w:t>
      </w:r>
    </w:p>
    <w:p w14:paraId="134DC204" w14:textId="2BF04860" w:rsidR="00F8124A" w:rsidRPr="00F8124A" w:rsidRDefault="00F8124A" w:rsidP="00676BB4">
      <w:pPr>
        <w:spacing w:after="120" w:line="276" w:lineRule="auto"/>
        <w:ind w:firstLine="708"/>
        <w:jc w:val="both"/>
        <w:rPr>
          <w:rFonts w:ascii="Arial" w:eastAsia="Calibri" w:hAnsi="Arial" w:cs="Arial"/>
          <w:color w:val="000000" w:themeColor="text1"/>
        </w:rPr>
      </w:pPr>
      <w:r w:rsidRPr="00F8124A">
        <w:rPr>
          <w:rFonts w:ascii="Arial" w:eastAsia="Calibri" w:hAnsi="Arial" w:cs="Arial"/>
          <w:color w:val="000000"/>
          <w:szCs w:val="24"/>
          <w:lang w:eastAsia="es-ES_tradnl"/>
        </w:rPr>
        <w:t xml:space="preserve">Teniendo en cuenta lo anterior, y las consideraciones realizadas en los acápites previos, la prohibición de contratación directa del artículo 33 de la Ley de Garantías Electorales únicamente aplica frente a los procedimientos </w:t>
      </w:r>
      <w:r w:rsidRPr="00F8124A">
        <w:rPr>
          <w:rFonts w:ascii="Arial" w:eastAsia="Calibri" w:hAnsi="Arial" w:cs="Arial"/>
          <w:i/>
          <w:iCs/>
          <w:color w:val="000000"/>
          <w:szCs w:val="24"/>
          <w:lang w:eastAsia="es-ES_tradnl"/>
        </w:rPr>
        <w:t>no competitivos</w:t>
      </w:r>
      <w:r w:rsidRPr="00F8124A">
        <w:rPr>
          <w:rFonts w:ascii="Arial" w:eastAsia="Calibri" w:hAnsi="Arial" w:cs="Arial"/>
          <w:color w:val="000000"/>
          <w:szCs w:val="24"/>
          <w:lang w:eastAsia="es-ES_tradnl"/>
        </w:rPr>
        <w:t>, que son los que implican una contratación directa. Como explica la Sala de Consulta y Servicio Civil del Consejo de Estado:</w:t>
      </w:r>
    </w:p>
    <w:p w14:paraId="2918DA43" w14:textId="77777777" w:rsidR="00F8124A" w:rsidRPr="00F8124A" w:rsidRDefault="00F8124A" w:rsidP="00CB375E">
      <w:pPr>
        <w:spacing w:after="0" w:line="276" w:lineRule="auto"/>
        <w:ind w:firstLine="708"/>
        <w:contextualSpacing/>
        <w:jc w:val="both"/>
        <w:rPr>
          <w:rFonts w:ascii="Arial" w:eastAsia="Calibri" w:hAnsi="Arial" w:cs="Arial"/>
          <w:color w:val="000000"/>
          <w:szCs w:val="24"/>
          <w:lang w:eastAsia="es-ES_tradnl"/>
        </w:rPr>
      </w:pPr>
    </w:p>
    <w:p w14:paraId="397A08C4" w14:textId="77777777" w:rsidR="00F8124A" w:rsidRPr="00F8124A" w:rsidRDefault="00F8124A" w:rsidP="00CB375E">
      <w:pPr>
        <w:spacing w:after="0"/>
        <w:ind w:left="709" w:right="709"/>
        <w:contextualSpacing/>
        <w:jc w:val="both"/>
        <w:rPr>
          <w:rFonts w:ascii="Arial" w:eastAsia="Calibri" w:hAnsi="Arial" w:cs="Arial"/>
          <w:color w:val="000000"/>
          <w:sz w:val="21"/>
          <w:szCs w:val="21"/>
          <w:lang w:eastAsia="es-ES_tradnl"/>
        </w:rPr>
      </w:pPr>
      <w:r w:rsidRPr="00F8124A">
        <w:rPr>
          <w:rFonts w:ascii="Arial" w:eastAsia="Calibri" w:hAnsi="Arial" w:cs="Arial"/>
          <w:color w:val="000000"/>
          <w:sz w:val="21"/>
          <w:szCs w:val="21"/>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F8124A">
        <w:rPr>
          <w:rFonts w:ascii="Arial" w:eastAsia="Calibri" w:hAnsi="Arial" w:cs="Arial"/>
          <w:color w:val="000000"/>
          <w:sz w:val="21"/>
          <w:szCs w:val="21"/>
          <w:vertAlign w:val="superscript"/>
          <w:lang w:eastAsia="es-ES_tradnl"/>
        </w:rPr>
        <w:footnoteReference w:id="44"/>
      </w:r>
      <w:r w:rsidRPr="00F8124A">
        <w:rPr>
          <w:rFonts w:ascii="Arial" w:eastAsia="Calibri" w:hAnsi="Arial" w:cs="Arial"/>
          <w:color w:val="000000"/>
          <w:sz w:val="21"/>
          <w:szCs w:val="21"/>
          <w:lang w:eastAsia="es-ES_tradnl"/>
        </w:rPr>
        <w:t xml:space="preserve">. </w:t>
      </w:r>
    </w:p>
    <w:p w14:paraId="19AF2B89" w14:textId="77777777" w:rsidR="00F8124A" w:rsidRPr="00F8124A" w:rsidRDefault="00F8124A" w:rsidP="00CB375E">
      <w:pPr>
        <w:spacing w:after="0" w:line="276" w:lineRule="auto"/>
        <w:ind w:left="709" w:right="709"/>
        <w:contextualSpacing/>
        <w:jc w:val="both"/>
        <w:rPr>
          <w:rFonts w:ascii="Arial" w:eastAsia="Calibri" w:hAnsi="Arial" w:cs="Arial"/>
          <w:color w:val="000000"/>
          <w:szCs w:val="24"/>
          <w:lang w:eastAsia="es-ES_tradnl"/>
        </w:rPr>
      </w:pPr>
    </w:p>
    <w:p w14:paraId="2E276AE7" w14:textId="0A3F1BD6" w:rsidR="00201C55" w:rsidRPr="00CB7E8C" w:rsidRDefault="00F8124A" w:rsidP="00CE4870">
      <w:pPr>
        <w:spacing w:after="120" w:line="276" w:lineRule="auto"/>
        <w:ind w:firstLine="709"/>
        <w:jc w:val="both"/>
        <w:rPr>
          <w:rFonts w:ascii="Arial" w:eastAsia="Calibri" w:hAnsi="Arial" w:cs="Arial"/>
          <w:color w:val="000000"/>
          <w:szCs w:val="24"/>
          <w:lang w:eastAsia="es-ES_tradnl"/>
        </w:rPr>
      </w:pPr>
      <w:bookmarkStart w:id="38" w:name="_Hlk101791877"/>
      <w:r w:rsidRPr="00F8124A">
        <w:rPr>
          <w:rFonts w:ascii="Arial" w:eastAsia="Calibri" w:hAnsi="Arial" w:cs="Arial"/>
          <w:color w:val="000000"/>
          <w:szCs w:val="24"/>
          <w:lang w:eastAsia="es-ES_tradnl"/>
        </w:rPr>
        <w:t>En contraste, la restricción citada no aplicaría a los convenios de asociación que celebren las entidades estatales y las ESAL bajo el procedimiento competitivo,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w:t>
      </w:r>
      <w:r w:rsidR="00201C55" w:rsidRPr="00CB7E8C">
        <w:rPr>
          <w:rFonts w:ascii="Arial" w:eastAsia="Calibri" w:hAnsi="Arial" w:cs="Arial"/>
          <w:color w:val="000000"/>
          <w:szCs w:val="24"/>
          <w:lang w:eastAsia="es-ES_tradnl"/>
        </w:rPr>
        <w:t>. Esto es congruente con el numeral 15.4 de la Circular Externa Única de Colombia Compra Eficiente, en el entendido que «Se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p>
    <w:bookmarkEnd w:id="38"/>
    <w:p w14:paraId="174A5EEB" w14:textId="77777777" w:rsidR="00CE4870" w:rsidRPr="00CB7E8C" w:rsidRDefault="00CE4870" w:rsidP="00CE4870">
      <w:pPr>
        <w:spacing w:after="0" w:line="276" w:lineRule="auto"/>
        <w:ind w:firstLine="709"/>
        <w:contextualSpacing/>
        <w:jc w:val="both"/>
        <w:rPr>
          <w:rFonts w:ascii="Arial" w:eastAsia="Calibri" w:hAnsi="Arial" w:cs="Arial"/>
          <w:color w:val="000000" w:themeColor="text1"/>
          <w:lang w:val="es-MX"/>
        </w:rPr>
      </w:pPr>
      <w:r w:rsidRPr="00CB7E8C">
        <w:rPr>
          <w:rFonts w:ascii="Arial" w:eastAsia="Calibri" w:hAnsi="Arial" w:cs="Arial"/>
          <w:color w:val="000000" w:themeColor="text1"/>
          <w:lang w:val="es-MX"/>
        </w:rPr>
        <w:t>De otra parte, en cuanto a la restricción del parágrafo del artículo 38 de la Ley de 996 de 2005, conforme se en los considerandos anteriores</w:t>
      </w:r>
      <w:r w:rsidRPr="00CB7E8C">
        <w:rPr>
          <w:rFonts w:ascii="Arial" w:eastAsia="Calibri" w:hAnsi="Arial" w:cs="Arial"/>
          <w:i/>
          <w:iCs/>
          <w:color w:val="000000" w:themeColor="text1"/>
          <w:lang w:val="es-MX"/>
        </w:rPr>
        <w:t>,</w:t>
      </w:r>
      <w:r w:rsidRPr="00CB7E8C">
        <w:rPr>
          <w:rFonts w:ascii="Arial" w:eastAsia="Calibri" w:hAnsi="Arial" w:cs="Arial"/>
          <w:color w:val="000000" w:themeColor="text1"/>
          <w:lang w:val="es-MX"/>
        </w:rPr>
        <w:t xml:space="preserve"> esta solo aplica a convenios interadministrativos, es decir, a aquellos en los que ambos extremos de la relación contractual están conformados por entidades estatales. Esto significa que esta restricción no es aplicable a la celebración de contratos o convenios con ESAL, ya que este tipo de </w:t>
      </w:r>
      <w:r w:rsidRPr="00CB7E8C">
        <w:rPr>
          <w:rFonts w:ascii="Arial" w:eastAsia="Calibri" w:hAnsi="Arial" w:cs="Arial"/>
          <w:color w:val="000000" w:themeColor="text1"/>
          <w:lang w:val="es-MX"/>
        </w:rPr>
        <w:lastRenderedPageBreak/>
        <w:t>acuerdos son celebrados entre entidades estatales y entidades privadas sin ánimo de lucro. Es decir, no cumplen con el criterio orgánico que determina la calidad de interadministrativo.</w:t>
      </w:r>
    </w:p>
    <w:p w14:paraId="75E16769" w14:textId="132BEDB1" w:rsidR="00CE4870" w:rsidRPr="00CB7E8C" w:rsidRDefault="00CE4870" w:rsidP="00CE4870">
      <w:pPr>
        <w:spacing w:after="0" w:line="276" w:lineRule="auto"/>
        <w:ind w:firstLine="709"/>
        <w:contextualSpacing/>
        <w:jc w:val="both"/>
        <w:rPr>
          <w:rFonts w:ascii="Arial" w:eastAsia="Calibri" w:hAnsi="Arial" w:cs="Arial"/>
          <w:color w:val="000000" w:themeColor="text1"/>
        </w:rPr>
      </w:pPr>
      <w:r w:rsidRPr="00CB7E8C">
        <w:rPr>
          <w:rFonts w:ascii="Arial" w:eastAsia="Calibri" w:hAnsi="Arial" w:cs="Arial"/>
          <w:color w:val="000000" w:themeColor="text1"/>
          <w:lang w:val="es-MX"/>
        </w:rPr>
        <w:t> </w:t>
      </w:r>
      <w:r w:rsidRPr="00CB7E8C">
        <w:rPr>
          <w:rFonts w:ascii="Arial" w:eastAsia="Calibri" w:hAnsi="Arial" w:cs="Arial"/>
          <w:color w:val="000000" w:themeColor="text1"/>
        </w:rPr>
        <w:t> </w:t>
      </w:r>
    </w:p>
    <w:bookmarkEnd w:id="24"/>
    <w:bookmarkEnd w:id="25"/>
    <w:p w14:paraId="36365547" w14:textId="77777777" w:rsidR="00F8124A" w:rsidRPr="00F8124A" w:rsidRDefault="00F8124A" w:rsidP="00F8124A">
      <w:pPr>
        <w:spacing w:after="0" w:line="276" w:lineRule="auto"/>
        <w:jc w:val="both"/>
        <w:rPr>
          <w:rFonts w:ascii="Arial" w:eastAsia="Calibri" w:hAnsi="Arial" w:cs="Arial"/>
          <w:b/>
          <w:lang w:val="es-ES_tradnl"/>
        </w:rPr>
      </w:pPr>
      <w:r w:rsidRPr="00F8124A">
        <w:rPr>
          <w:rFonts w:ascii="Arial" w:eastAsia="Calibri" w:hAnsi="Arial" w:cs="Arial"/>
          <w:b/>
          <w:lang w:val="es-ES_tradnl"/>
        </w:rPr>
        <w:t>3. Respuesta</w:t>
      </w:r>
    </w:p>
    <w:p w14:paraId="5D725D48" w14:textId="77777777" w:rsidR="00F8124A" w:rsidRPr="00F8124A" w:rsidRDefault="00F8124A" w:rsidP="00F8124A">
      <w:pPr>
        <w:spacing w:after="0" w:line="240" w:lineRule="auto"/>
        <w:jc w:val="both"/>
        <w:rPr>
          <w:rFonts w:ascii="Arial" w:eastAsia="Calibri" w:hAnsi="Arial" w:cs="Arial"/>
          <w:bCs/>
          <w:lang w:val="es-ES_tradnl"/>
        </w:rPr>
      </w:pPr>
    </w:p>
    <w:p w14:paraId="1CF2D1E6" w14:textId="2A6B1A5B" w:rsidR="00CE4870" w:rsidRPr="00F8124A" w:rsidRDefault="00CE4870" w:rsidP="00F8124A">
      <w:pPr>
        <w:autoSpaceDE w:val="0"/>
        <w:autoSpaceDN w:val="0"/>
        <w:adjustRightInd w:val="0"/>
        <w:spacing w:after="0" w:line="240" w:lineRule="auto"/>
        <w:ind w:left="709" w:right="709"/>
        <w:jc w:val="both"/>
        <w:rPr>
          <w:rFonts w:ascii="Arial" w:eastAsia="Calibri" w:hAnsi="Arial" w:cs="Arial"/>
          <w:sz w:val="21"/>
          <w:szCs w:val="21"/>
          <w:lang w:val="es-ES_tradnl"/>
        </w:rPr>
      </w:pPr>
      <w:bookmarkStart w:id="39" w:name="_Hlk57650395"/>
      <w:r w:rsidRPr="00CB7E8C">
        <w:rPr>
          <w:rFonts w:ascii="Arial" w:eastAsia="Times New Roman" w:hAnsi="Arial" w:cs="Arial"/>
          <w:sz w:val="21"/>
          <w:szCs w:val="21"/>
          <w:lang w:eastAsia="es-ES_tradnl"/>
        </w:rPr>
        <w:t xml:space="preserve">«[…] ¿En el período de restricción de la Ley de Garantías Electorales es posible adelantar un proceso competitivo regulado por el Decreto 092 de </w:t>
      </w:r>
      <w:proofErr w:type="gramStart"/>
      <w:r w:rsidRPr="00CB7E8C">
        <w:rPr>
          <w:rFonts w:ascii="Arial" w:eastAsia="Times New Roman" w:hAnsi="Arial" w:cs="Arial"/>
          <w:sz w:val="21"/>
          <w:szCs w:val="21"/>
          <w:lang w:eastAsia="es-ES_tradnl"/>
        </w:rPr>
        <w:t>2017?Como</w:t>
      </w:r>
      <w:proofErr w:type="gramEnd"/>
      <w:r w:rsidRPr="00CB7E8C">
        <w:rPr>
          <w:rFonts w:ascii="Arial" w:eastAsia="Times New Roman" w:hAnsi="Arial" w:cs="Arial"/>
          <w:sz w:val="21"/>
          <w:szCs w:val="21"/>
          <w:lang w:eastAsia="es-ES_tradnl"/>
        </w:rPr>
        <w:t xml:space="preserve"> resultado de ese proceso de competitivo de selección en el marco del Decreto 092 de 2017, se deriva uno o varios convenios de asociación, ¿es posible celebrar ese o esos convenios de asociación estando en el período de restricción de la Ley de Garantías?» (SIC).</w:t>
      </w:r>
    </w:p>
    <w:p w14:paraId="2869020A" w14:textId="77777777" w:rsidR="00F8124A" w:rsidRPr="00F8124A" w:rsidRDefault="00F8124A" w:rsidP="00F8124A">
      <w:pPr>
        <w:spacing w:after="0" w:line="240" w:lineRule="auto"/>
        <w:ind w:right="709"/>
        <w:jc w:val="both"/>
        <w:rPr>
          <w:rFonts w:ascii="Arial" w:eastAsia="Times New Roman" w:hAnsi="Arial" w:cs="Arial"/>
          <w:lang w:val="es-ES_tradnl" w:eastAsia="es-ES_tradnl"/>
        </w:rPr>
      </w:pPr>
    </w:p>
    <w:p w14:paraId="6C5A2579" w14:textId="7F32E21E" w:rsidR="00CE4870" w:rsidRPr="00CB7E8C" w:rsidRDefault="00CE4870" w:rsidP="00CE4870">
      <w:pPr>
        <w:spacing w:after="120" w:line="276" w:lineRule="auto"/>
        <w:jc w:val="both"/>
        <w:rPr>
          <w:rFonts w:ascii="Arial" w:eastAsia="Calibri" w:hAnsi="Arial" w:cs="Arial"/>
          <w:bCs/>
          <w:lang w:val="es-ES_tradnl"/>
        </w:rPr>
      </w:pPr>
      <w:r w:rsidRPr="00CB7E8C">
        <w:rPr>
          <w:rFonts w:ascii="Arial" w:eastAsia="Times New Roman" w:hAnsi="Arial" w:cs="Arial"/>
          <w:bCs/>
          <w:lang w:val="es-MX" w:eastAsia="es-CO"/>
        </w:rPr>
        <w:t xml:space="preserve">De acuerdo con la interpretación de las normas generales del sistema de compras públicas, sin perjuicio de </w:t>
      </w:r>
      <w:r w:rsidRPr="00CB7E8C">
        <w:rPr>
          <w:rFonts w:ascii="Arial" w:eastAsia="Times New Roman" w:hAnsi="Arial" w:cs="Arial"/>
          <w:bCs/>
          <w:lang w:val="es-ES" w:eastAsia="es-CO"/>
        </w:rPr>
        <w:t>cada entidad defina la viabilidad técnica, jurídica y financiera de celebrar determinado contrato estatal en específico</w:t>
      </w:r>
      <w:r w:rsidRPr="00CB7E8C">
        <w:rPr>
          <w:rFonts w:ascii="Arial" w:eastAsia="Times New Roman" w:hAnsi="Arial" w:cs="Arial"/>
          <w:bCs/>
          <w:lang w:val="es-MX" w:eastAsia="es-CO"/>
        </w:rPr>
        <w:t>,</w:t>
      </w:r>
      <w:r w:rsidRPr="00CB7E8C" w:rsidDel="00BF36EC">
        <w:rPr>
          <w:rFonts w:ascii="Arial" w:eastAsia="Times New Roman" w:hAnsi="Arial" w:cs="Arial"/>
          <w:bCs/>
          <w:lang w:val="es-MX" w:eastAsia="es-CO"/>
        </w:rPr>
        <w:t xml:space="preserve"> </w:t>
      </w:r>
      <w:r w:rsidRPr="00CB7E8C">
        <w:rPr>
          <w:rFonts w:ascii="Arial" w:eastAsia="Calibri" w:hAnsi="Arial" w:cs="Arial"/>
          <w:bCs/>
          <w:lang w:val="es-ES_tradnl"/>
        </w:rPr>
        <w:t>el artículo 33 de la Ley 996 de 2005 establece una restricción en atención a la cual, durante los cuatro</w:t>
      </w:r>
      <w:r w:rsidR="00237B05" w:rsidRPr="00CB7E8C">
        <w:rPr>
          <w:rFonts w:ascii="Arial" w:eastAsia="Calibri" w:hAnsi="Arial" w:cs="Arial"/>
          <w:bCs/>
          <w:lang w:val="es-ES_tradnl"/>
        </w:rPr>
        <w:t xml:space="preserve"> (4)</w:t>
      </w:r>
      <w:r w:rsidRPr="00CB7E8C">
        <w:rPr>
          <w:rFonts w:ascii="Arial" w:eastAsia="Calibri" w:hAnsi="Arial" w:cs="Arial"/>
          <w:bCs/>
          <w:lang w:val="es-ES_tradnl"/>
        </w:rPr>
        <w:t xml:space="preserve"> meses anteriores a la elección presidencial y hasta la realización de la elección en la segunda vuelta, si fuere el caso, está prohibida la contratación directa por parte de todos las Entidades Estatales. </w:t>
      </w:r>
    </w:p>
    <w:p w14:paraId="595C879F" w14:textId="77777777" w:rsidR="00CE4870" w:rsidRPr="00CB7E8C" w:rsidRDefault="00CE4870" w:rsidP="00CE4870">
      <w:pPr>
        <w:spacing w:after="120" w:line="276" w:lineRule="auto"/>
        <w:ind w:firstLine="708"/>
        <w:jc w:val="both"/>
        <w:rPr>
          <w:rFonts w:ascii="Arial" w:eastAsia="Calibri" w:hAnsi="Arial" w:cs="Arial"/>
          <w:bCs/>
          <w:lang w:val="es-ES_tradnl"/>
        </w:rPr>
      </w:pPr>
      <w:r w:rsidRPr="00CB7E8C">
        <w:rPr>
          <w:rFonts w:ascii="Arial" w:eastAsia="Calibri" w:hAnsi="Arial" w:cs="Arial"/>
          <w:bCs/>
          <w:lang w:val="es-ES_tradnl"/>
        </w:rPr>
        <w:t xml:space="preserve">En cuanto a los convenios del Decreto 092 de 2017 con ESAL,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convenios que celebren las Entidades Estatales y entidades privadas sin ánimo de lucro bajo el procedimiento competitivo, pues este supone la pluralidad de oferentes y la selección objetiva del contratista.  </w:t>
      </w:r>
    </w:p>
    <w:p w14:paraId="4DCBB18F" w14:textId="2FEE50BE" w:rsidR="00CE4870" w:rsidRPr="00CB7E8C" w:rsidRDefault="00CE4870" w:rsidP="00CE4870">
      <w:pPr>
        <w:spacing w:after="120" w:line="276" w:lineRule="auto"/>
        <w:ind w:firstLine="708"/>
        <w:jc w:val="both"/>
        <w:rPr>
          <w:rFonts w:ascii="Arial" w:eastAsia="Calibri" w:hAnsi="Arial" w:cs="Arial"/>
          <w:bCs/>
        </w:rPr>
      </w:pPr>
      <w:r w:rsidRPr="00CB7E8C">
        <w:rPr>
          <w:rFonts w:ascii="Arial" w:eastAsia="Calibri" w:hAnsi="Arial" w:cs="Arial"/>
          <w:bCs/>
        </w:rPr>
        <w:t xml:space="preserve">De otro lado, </w:t>
      </w:r>
      <w:r w:rsidRPr="00CB7E8C">
        <w:rPr>
          <w:rFonts w:ascii="Arial" w:eastAsia="Calibri" w:hAnsi="Arial" w:cs="Arial"/>
          <w:bCs/>
          <w:lang w:val="es-MX"/>
        </w:rPr>
        <w:t xml:space="preserve">el parágrafo del artículo 38 de la Ley de Garantías Electorales, establece una restricción en virtud de la cual, durante el periodo de cuatro </w:t>
      </w:r>
      <w:r w:rsidR="00237B05" w:rsidRPr="00CB7E8C">
        <w:rPr>
          <w:rFonts w:ascii="Arial" w:eastAsia="Calibri" w:hAnsi="Arial" w:cs="Arial"/>
          <w:bCs/>
          <w:lang w:val="es-MX"/>
        </w:rPr>
        <w:t xml:space="preserve">(4) </w:t>
      </w:r>
      <w:r w:rsidRPr="00CB7E8C">
        <w:rPr>
          <w:rFonts w:ascii="Arial" w:eastAsia="Calibri" w:hAnsi="Arial" w:cs="Arial"/>
          <w:bCs/>
          <w:lang w:val="es-MX"/>
        </w:rPr>
        <w:t xml:space="preserve">meses anteriores a cualquier jornada de elecciones, las entidades territoriales no pueden suscribir convenios interadministrativos que impliquen la ejecución de recursos públicos. Sin embargo, la modificación transitoria del artículo 124 de la Ley 2159 de 2021, </w:t>
      </w:r>
      <w:r w:rsidRPr="00CB7E8C">
        <w:rPr>
          <w:rFonts w:ascii="Arial" w:eastAsia="Calibri" w:hAnsi="Arial" w:cs="Arial"/>
          <w:bCs/>
        </w:rPr>
        <w:t xml:space="preserve">fijó ciertas condiciones temporales, subjetivas y materiales o teleológicas para la celebración de los convenios interadministrativos: i) que sean celebrados a partir de la publicación de la Ley del Presupuesto en el Diario Oficial y hasta el término de la vigencia fiscal 2022, </w:t>
      </w:r>
      <w:proofErr w:type="spellStart"/>
      <w:r w:rsidRPr="00CB7E8C">
        <w:rPr>
          <w:rFonts w:ascii="Arial" w:eastAsia="Calibri" w:hAnsi="Arial" w:cs="Arial"/>
          <w:bCs/>
        </w:rPr>
        <w:t>ii</w:t>
      </w:r>
      <w:proofErr w:type="spellEnd"/>
      <w:r w:rsidRPr="00CB7E8C">
        <w:rPr>
          <w:rFonts w:ascii="Arial" w:eastAsia="Calibri" w:hAnsi="Arial" w:cs="Arial"/>
          <w:bCs/>
        </w:rPr>
        <w:t xml:space="preserve">) que sean celebrados entre la Nación, por una parte, y las entidades territoriales, por otra, y </w:t>
      </w:r>
      <w:proofErr w:type="spellStart"/>
      <w:r w:rsidRPr="00CB7E8C">
        <w:rPr>
          <w:rFonts w:ascii="Arial" w:eastAsia="Calibri" w:hAnsi="Arial" w:cs="Arial"/>
          <w:bCs/>
        </w:rPr>
        <w:t>iii</w:t>
      </w:r>
      <w:proofErr w:type="spellEnd"/>
      <w:r w:rsidRPr="00CB7E8C">
        <w:rPr>
          <w:rFonts w:ascii="Arial" w:eastAsia="Calibri" w:hAnsi="Arial" w:cs="Arial"/>
          <w:bCs/>
        </w:rPr>
        <w:t xml:space="preserve">) que los </w:t>
      </w:r>
      <w:r w:rsidRPr="00CB7E8C">
        <w:rPr>
          <w:rFonts w:ascii="Arial" w:eastAsia="Calibri" w:hAnsi="Arial" w:cs="Arial"/>
          <w:bCs/>
        </w:rPr>
        <w:lastRenderedPageBreak/>
        <w:t>convenios sean celebrados con el fin de ejecutar programas o proyectos que correspondan al Presupuesto General de la Nación</w:t>
      </w:r>
      <w:r w:rsidRPr="00CB7E8C">
        <w:rPr>
          <w:rFonts w:ascii="Arial" w:eastAsia="Calibri" w:hAnsi="Arial" w:cs="Arial"/>
          <w:bCs/>
          <w:lang w:val="es-MX"/>
        </w:rPr>
        <w:t>. De acuerdo con esto, a los convenios interadministrativos no relacionados con la ejecución de recursos del Presupuesto General Nacional, les aplicaría la restricción del artículo 38, no estando cobijados por la habilitación transitoria dispuesta en el artículo 124 de la Ley 2159 de 2021, al no cumplirse los mencionados requisitos.</w:t>
      </w:r>
      <w:r w:rsidRPr="00CB7E8C">
        <w:rPr>
          <w:rFonts w:ascii="Arial" w:eastAsia="Calibri" w:hAnsi="Arial" w:cs="Arial"/>
          <w:bCs/>
        </w:rPr>
        <w:t> </w:t>
      </w:r>
    </w:p>
    <w:p w14:paraId="1A6789C7" w14:textId="77777777" w:rsidR="00CE4870" w:rsidRPr="00CB7E8C" w:rsidRDefault="00CE4870" w:rsidP="00CE4870">
      <w:pPr>
        <w:spacing w:after="120" w:line="276" w:lineRule="auto"/>
        <w:ind w:firstLine="709"/>
        <w:jc w:val="both"/>
        <w:rPr>
          <w:rFonts w:ascii="Arial" w:eastAsia="Calibri" w:hAnsi="Arial" w:cs="Arial"/>
          <w:color w:val="000000" w:themeColor="text1"/>
        </w:rPr>
      </w:pPr>
      <w:r w:rsidRPr="00CB7E8C">
        <w:rPr>
          <w:rFonts w:ascii="Arial" w:eastAsia="Calibri" w:hAnsi="Arial" w:cs="Arial"/>
          <w:color w:val="000000" w:themeColor="text1"/>
        </w:rPr>
        <w:t>Por último, es preciso advertir que los contratos del Decreto 092 de 2017</w:t>
      </w:r>
      <w:r w:rsidRPr="00CB7E8C">
        <w:rPr>
          <w:rFonts w:ascii="Arial" w:eastAsia="Calibri" w:hAnsi="Arial" w:cs="Arial"/>
          <w:i/>
          <w:iCs/>
          <w:color w:val="000000" w:themeColor="text1"/>
        </w:rPr>
        <w:t xml:space="preserve"> </w:t>
      </w:r>
      <w:r w:rsidRPr="00CB7E8C">
        <w:rPr>
          <w:rFonts w:ascii="Arial" w:eastAsia="Calibri" w:hAnsi="Arial" w:cs="Arial"/>
          <w:color w:val="000000" w:themeColor="text1"/>
        </w:rPr>
        <w:t>no entran dentro del ámbito de aplicación de la restricción del parágrafo del artículo 38 de la Ley 996 de 2021, pues esta norma se refiere exclusivamente a convenios interadministrativos. Esto dado que los convenios</w:t>
      </w:r>
      <w:r w:rsidRPr="00CB7E8C">
        <w:rPr>
          <w:rFonts w:ascii="Arial" w:eastAsia="Calibri" w:hAnsi="Arial" w:cs="Arial"/>
          <w:i/>
          <w:iCs/>
          <w:color w:val="000000" w:themeColor="text1"/>
        </w:rPr>
        <w:t xml:space="preserve"> </w:t>
      </w:r>
      <w:r w:rsidRPr="00CB7E8C">
        <w:rPr>
          <w:rFonts w:ascii="Arial" w:eastAsia="Calibri" w:hAnsi="Arial" w:cs="Arial"/>
          <w:color w:val="000000" w:themeColor="text1"/>
        </w:rPr>
        <w:t>son celebrados por Entidades Estatales con entidades privadas sin ánimo de lucro, correspondiendo a una naturaleza jurídica distinta de los convenios interadministrativos, los cuales son determinados por un criterio orgánico que exige que ambos extremos de la relación contractual sean entidades públicas.  </w:t>
      </w:r>
    </w:p>
    <w:p w14:paraId="2C3CE82C" w14:textId="77777777" w:rsidR="00F8124A" w:rsidRPr="00F8124A" w:rsidRDefault="00F8124A" w:rsidP="00F8124A">
      <w:pPr>
        <w:spacing w:after="0" w:line="276" w:lineRule="auto"/>
        <w:jc w:val="both"/>
        <w:rPr>
          <w:rFonts w:ascii="Arial" w:eastAsia="Calibri" w:hAnsi="Arial" w:cs="Arial"/>
          <w:lang w:val="es-ES_tradnl"/>
        </w:rPr>
      </w:pPr>
    </w:p>
    <w:p w14:paraId="37A3AFDC" w14:textId="77777777" w:rsidR="00F8124A" w:rsidRPr="00F8124A" w:rsidRDefault="00F8124A" w:rsidP="00F8124A">
      <w:pPr>
        <w:spacing w:after="0" w:line="276" w:lineRule="auto"/>
        <w:jc w:val="both"/>
        <w:rPr>
          <w:rFonts w:ascii="Arial" w:eastAsia="Calibri" w:hAnsi="Arial" w:cs="Arial"/>
          <w:lang w:val="es-ES_tradnl"/>
        </w:rPr>
      </w:pPr>
      <w:r w:rsidRPr="00F8124A">
        <w:rPr>
          <w:rFonts w:ascii="Arial" w:eastAsia="Calibri" w:hAnsi="Arial" w:cs="Arial"/>
          <w:lang w:val="es-ES_tradnl"/>
        </w:rPr>
        <w:t>Este concepto tiene el alcance previsto en el artículo 28 del Código de Procedimiento Administrativo y de lo Contencioso Administrativo.</w:t>
      </w:r>
    </w:p>
    <w:p w14:paraId="1D9E5687" w14:textId="77777777" w:rsidR="00F8124A" w:rsidRPr="00F8124A" w:rsidRDefault="00F8124A" w:rsidP="00F8124A">
      <w:pPr>
        <w:spacing w:after="0" w:line="276" w:lineRule="auto"/>
        <w:jc w:val="both"/>
        <w:rPr>
          <w:rFonts w:ascii="Calibri" w:eastAsia="Calibri" w:hAnsi="Calibri" w:cs="Times New Roman"/>
          <w:noProof/>
          <w:sz w:val="24"/>
          <w:lang w:val="es-ES_tradnl"/>
        </w:rPr>
      </w:pPr>
    </w:p>
    <w:p w14:paraId="5E6A3715" w14:textId="77777777" w:rsidR="00F8124A" w:rsidRPr="00F8124A" w:rsidRDefault="00F8124A" w:rsidP="00F8124A">
      <w:pPr>
        <w:spacing w:after="200" w:line="276" w:lineRule="auto"/>
        <w:jc w:val="both"/>
        <w:rPr>
          <w:rFonts w:ascii="Arial" w:eastAsia="Times New Roman" w:hAnsi="Arial" w:cs="Arial"/>
          <w:lang w:val="es-ES_tradnl" w:eastAsia="es-CO"/>
        </w:rPr>
      </w:pPr>
      <w:r w:rsidRPr="00F8124A">
        <w:rPr>
          <w:rFonts w:ascii="Arial" w:eastAsia="Times New Roman" w:hAnsi="Arial" w:cs="Arial"/>
          <w:lang w:val="es-ES_tradnl" w:eastAsia="es-CO"/>
        </w:rPr>
        <w:t>Atentamente,</w:t>
      </w:r>
    </w:p>
    <w:p w14:paraId="2BD009C1" w14:textId="39324339" w:rsidR="00F8124A" w:rsidRPr="00F8124A" w:rsidRDefault="00BD443F" w:rsidP="00F8124A">
      <w:pPr>
        <w:spacing w:after="200" w:line="276" w:lineRule="auto"/>
        <w:jc w:val="center"/>
        <w:rPr>
          <w:rFonts w:ascii="Arial" w:eastAsia="Times New Roman" w:hAnsi="Arial" w:cs="Arial"/>
          <w:sz w:val="18"/>
          <w:szCs w:val="20"/>
          <w:lang w:val="es-ES_tradnl" w:eastAsia="es-CO"/>
        </w:rPr>
      </w:pPr>
      <w:r>
        <w:rPr>
          <w:noProof/>
        </w:rPr>
        <w:drawing>
          <wp:inline distT="0" distB="0" distL="0" distR="0" wp14:anchorId="5849C37D" wp14:editId="20DD6DD3">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8124A" w:rsidRPr="00F8124A" w14:paraId="2611B1F2" w14:textId="77777777" w:rsidTr="00AA7CBA">
        <w:trPr>
          <w:trHeight w:val="315"/>
        </w:trPr>
        <w:tc>
          <w:tcPr>
            <w:tcW w:w="812" w:type="dxa"/>
            <w:vAlign w:val="center"/>
            <w:hideMark/>
          </w:tcPr>
          <w:p w14:paraId="671304E2"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Elaboró:</w:t>
            </w:r>
          </w:p>
        </w:tc>
        <w:tc>
          <w:tcPr>
            <w:tcW w:w="4291" w:type="dxa"/>
            <w:tcBorders>
              <w:top w:val="nil"/>
              <w:left w:val="nil"/>
              <w:bottom w:val="dotted" w:sz="4" w:space="0" w:color="7F7F7F"/>
              <w:right w:val="nil"/>
            </w:tcBorders>
            <w:vAlign w:val="center"/>
            <w:hideMark/>
          </w:tcPr>
          <w:p w14:paraId="5FAF2EC9" w14:textId="4CC448AC" w:rsidR="00F8124A" w:rsidRPr="00F8124A" w:rsidRDefault="00237B05" w:rsidP="00F8124A">
            <w:pPr>
              <w:rPr>
                <w:rFonts w:ascii="Arial" w:eastAsia="Times New Roman" w:hAnsi="Arial" w:cs="Arial"/>
                <w:sz w:val="16"/>
                <w:szCs w:val="16"/>
                <w:lang w:val="es-ES_tradnl" w:eastAsia="es-ES"/>
              </w:rPr>
            </w:pPr>
            <w:r w:rsidRPr="00CB7E8C">
              <w:rPr>
                <w:rFonts w:ascii="Arial" w:eastAsia="Times New Roman" w:hAnsi="Arial" w:cs="Arial"/>
                <w:sz w:val="16"/>
                <w:szCs w:val="16"/>
                <w:lang w:val="es-ES_tradnl" w:eastAsia="es-ES"/>
              </w:rPr>
              <w:t xml:space="preserve">Diana Lucia Saavedra Castañeda </w:t>
            </w:r>
          </w:p>
          <w:p w14:paraId="5EA2C94F" w14:textId="3851FA2C" w:rsidR="00F8124A" w:rsidRPr="00F8124A" w:rsidRDefault="00237B05" w:rsidP="00F8124A">
            <w:pPr>
              <w:rPr>
                <w:rFonts w:ascii="Arial" w:eastAsia="Times New Roman" w:hAnsi="Arial" w:cs="Arial"/>
                <w:sz w:val="16"/>
                <w:szCs w:val="16"/>
                <w:lang w:val="es-ES_tradnl" w:eastAsia="es-ES"/>
              </w:rPr>
            </w:pPr>
            <w:r w:rsidRPr="00CB7E8C">
              <w:rPr>
                <w:rFonts w:ascii="Arial" w:eastAsia="Times New Roman" w:hAnsi="Arial" w:cs="Arial"/>
                <w:sz w:val="16"/>
                <w:szCs w:val="16"/>
                <w:lang w:val="es-ES_tradnl" w:eastAsia="es-ES"/>
              </w:rPr>
              <w:t>Contratista</w:t>
            </w:r>
            <w:r w:rsidR="00F8124A" w:rsidRPr="00F8124A">
              <w:rPr>
                <w:rFonts w:ascii="Arial" w:eastAsia="Times New Roman" w:hAnsi="Arial" w:cs="Arial"/>
                <w:sz w:val="16"/>
                <w:szCs w:val="16"/>
                <w:lang w:val="es-ES_tradnl" w:eastAsia="es-ES"/>
              </w:rPr>
              <w:t xml:space="preserve"> de la Subdirección de Gestión Contractual</w:t>
            </w:r>
          </w:p>
        </w:tc>
      </w:tr>
      <w:tr w:rsidR="00F8124A" w:rsidRPr="00F8124A" w14:paraId="7CEBA8A6" w14:textId="77777777" w:rsidTr="00AA7CBA">
        <w:trPr>
          <w:trHeight w:val="330"/>
        </w:trPr>
        <w:tc>
          <w:tcPr>
            <w:tcW w:w="812" w:type="dxa"/>
            <w:vAlign w:val="center"/>
            <w:hideMark/>
          </w:tcPr>
          <w:p w14:paraId="0FE44704"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Revisó:</w:t>
            </w:r>
          </w:p>
        </w:tc>
        <w:tc>
          <w:tcPr>
            <w:tcW w:w="4291" w:type="dxa"/>
            <w:tcBorders>
              <w:top w:val="dotted" w:sz="4" w:space="0" w:color="7F7F7F"/>
              <w:left w:val="nil"/>
              <w:bottom w:val="dotted" w:sz="4" w:space="0" w:color="7F7F7F"/>
              <w:right w:val="nil"/>
            </w:tcBorders>
            <w:vAlign w:val="center"/>
            <w:hideMark/>
          </w:tcPr>
          <w:p w14:paraId="43851D79"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Alejandro Sarmiento Cantillo</w:t>
            </w:r>
          </w:p>
          <w:p w14:paraId="64C88D90"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Gestor T1-11 de la Subdirección de Gestión Contractual</w:t>
            </w:r>
          </w:p>
        </w:tc>
      </w:tr>
      <w:tr w:rsidR="00F8124A" w:rsidRPr="00F8124A" w14:paraId="6E78FDA4" w14:textId="77777777" w:rsidTr="00AA7CBA">
        <w:trPr>
          <w:trHeight w:val="300"/>
        </w:trPr>
        <w:tc>
          <w:tcPr>
            <w:tcW w:w="812" w:type="dxa"/>
            <w:vAlign w:val="center"/>
            <w:hideMark/>
          </w:tcPr>
          <w:p w14:paraId="77B1D240"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Aprobó:</w:t>
            </w:r>
          </w:p>
        </w:tc>
        <w:tc>
          <w:tcPr>
            <w:tcW w:w="4291" w:type="dxa"/>
            <w:tcBorders>
              <w:top w:val="dotted" w:sz="4" w:space="0" w:color="7F7F7F"/>
              <w:left w:val="nil"/>
              <w:bottom w:val="dotted" w:sz="4" w:space="0" w:color="7F7F7F"/>
              <w:right w:val="nil"/>
            </w:tcBorders>
            <w:vAlign w:val="center"/>
            <w:hideMark/>
          </w:tcPr>
          <w:p w14:paraId="7BDBDB74"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Jorge Augusto Tirado Navarro</w:t>
            </w:r>
          </w:p>
          <w:p w14:paraId="3C7EFB3C" w14:textId="77777777" w:rsidR="00F8124A" w:rsidRPr="00F8124A" w:rsidRDefault="00F8124A" w:rsidP="00F8124A">
            <w:pPr>
              <w:rPr>
                <w:rFonts w:ascii="Arial" w:eastAsia="Times New Roman" w:hAnsi="Arial" w:cs="Arial"/>
                <w:sz w:val="16"/>
                <w:szCs w:val="16"/>
                <w:lang w:val="es-ES_tradnl" w:eastAsia="es-ES"/>
              </w:rPr>
            </w:pPr>
            <w:r w:rsidRPr="00F8124A">
              <w:rPr>
                <w:rFonts w:ascii="Arial" w:eastAsia="Times New Roman" w:hAnsi="Arial" w:cs="Arial"/>
                <w:sz w:val="16"/>
                <w:szCs w:val="16"/>
                <w:lang w:val="es-ES_tradnl" w:eastAsia="es-ES"/>
              </w:rPr>
              <w:t>Subdirector de Gestión Contractual ANCP – CCE</w:t>
            </w:r>
          </w:p>
        </w:tc>
      </w:tr>
      <w:bookmarkEnd w:id="4"/>
      <w:bookmarkEnd w:id="39"/>
    </w:tbl>
    <w:p w14:paraId="517221F2" w14:textId="77777777" w:rsidR="00F8124A" w:rsidRPr="00695447" w:rsidRDefault="00F8124A" w:rsidP="00883C23">
      <w:pPr>
        <w:tabs>
          <w:tab w:val="left" w:pos="426"/>
        </w:tabs>
        <w:spacing w:after="0" w:line="276" w:lineRule="auto"/>
        <w:ind w:firstLine="709"/>
        <w:contextualSpacing/>
        <w:jc w:val="both"/>
        <w:rPr>
          <w:rFonts w:ascii="Arial" w:eastAsia="Calibri" w:hAnsi="Arial" w:cs="Arial"/>
          <w:b/>
          <w:bCs/>
        </w:rPr>
      </w:pPr>
    </w:p>
    <w:sectPr w:rsidR="00F8124A" w:rsidRPr="00695447" w:rsidSect="0094721B">
      <w:headerReference w:type="default" r:id="rId11"/>
      <w:footerReference w:type="default" r:id="rId12"/>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39B2" w14:textId="77777777" w:rsidR="009657DB" w:rsidRDefault="009657DB" w:rsidP="00883C23">
      <w:pPr>
        <w:spacing w:after="0" w:line="240" w:lineRule="auto"/>
      </w:pPr>
      <w:r>
        <w:separator/>
      </w:r>
    </w:p>
  </w:endnote>
  <w:endnote w:type="continuationSeparator" w:id="0">
    <w:p w14:paraId="7DE38F88" w14:textId="77777777" w:rsidR="009657DB" w:rsidRDefault="009657DB" w:rsidP="0088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DF35" w14:textId="77777777" w:rsidR="00301B6D" w:rsidRDefault="00301B6D" w:rsidP="00301B6D">
    <w:pPr>
      <w:pStyle w:val="Sinespaciado"/>
      <w:rPr>
        <w:rFonts w:ascii="Arial" w:hAnsi="Arial" w:cs="Arial"/>
        <w:sz w:val="18"/>
        <w:szCs w:val="18"/>
      </w:rPr>
    </w:pPr>
  </w:p>
  <w:p w14:paraId="0D6BD032" w14:textId="77777777" w:rsidR="00301B6D" w:rsidRDefault="00301B6D" w:rsidP="00301B6D">
    <w:pPr>
      <w:pStyle w:val="Sinespaciado"/>
      <w:rPr>
        <w:rFonts w:ascii="Arial" w:hAnsi="Arial" w:cs="Arial"/>
        <w:sz w:val="18"/>
        <w:szCs w:val="18"/>
      </w:rPr>
    </w:pPr>
  </w:p>
  <w:p w14:paraId="7C1EBCC4" w14:textId="77777777" w:rsidR="00301B6D" w:rsidRPr="00883C23" w:rsidRDefault="00DB1FBD"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423CAAA8" w14:textId="77777777" w:rsidR="00301B6D" w:rsidRDefault="00DB1FBD" w:rsidP="00301B6D">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C6BC7D3" w14:textId="77777777" w:rsidR="00301B6D" w:rsidRDefault="00301B6D" w:rsidP="00301B6D">
    <w:pPr>
      <w:pStyle w:val="Piedepgina"/>
      <w:jc w:val="center"/>
      <w:rPr>
        <w:lang w:val="es-ES"/>
      </w:rPr>
    </w:pPr>
  </w:p>
  <w:p w14:paraId="3DDDA67F" w14:textId="77777777" w:rsidR="00301B6D" w:rsidRPr="007B0854" w:rsidRDefault="00301B6D"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C5ED" w14:textId="77777777" w:rsidR="009657DB" w:rsidRDefault="009657DB" w:rsidP="00883C23">
      <w:pPr>
        <w:spacing w:after="0" w:line="240" w:lineRule="auto"/>
      </w:pPr>
      <w:r>
        <w:separator/>
      </w:r>
    </w:p>
  </w:footnote>
  <w:footnote w:type="continuationSeparator" w:id="0">
    <w:p w14:paraId="6E9AF117" w14:textId="77777777" w:rsidR="009657DB" w:rsidRDefault="009657DB" w:rsidP="00883C23">
      <w:pPr>
        <w:spacing w:after="0" w:line="240" w:lineRule="auto"/>
      </w:pPr>
      <w:r>
        <w:continuationSeparator/>
      </w:r>
    </w:p>
  </w:footnote>
  <w:footnote w:id="1">
    <w:p w14:paraId="1C52DC32" w14:textId="77777777" w:rsidR="00F8124A" w:rsidRPr="00CB7E8C" w:rsidRDefault="00F8124A"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1D62E46" w14:textId="77777777" w:rsidR="00F8124A" w:rsidRPr="00CB7E8C" w:rsidRDefault="00F8124A" w:rsidP="00CB7E8C">
      <w:pPr>
        <w:pStyle w:val="Textonotapie"/>
        <w:spacing w:after="0" w:line="240" w:lineRule="auto"/>
        <w:ind w:firstLine="709"/>
        <w:contextualSpacing/>
        <w:rPr>
          <w:rFonts w:ascii="Arial" w:hAnsi="Arial" w:cs="Arial"/>
          <w:sz w:val="19"/>
          <w:szCs w:val="19"/>
        </w:rPr>
      </w:pPr>
      <w:proofErr w:type="gramStart"/>
      <w:r w:rsidRPr="00CB7E8C">
        <w:rPr>
          <w:rFonts w:ascii="Arial" w:hAnsi="Arial" w:cs="Arial"/>
          <w:sz w:val="19"/>
          <w:szCs w:val="19"/>
        </w:rPr>
        <w:t>»A</w:t>
      </w:r>
      <w:proofErr w:type="gramEnd"/>
      <w:r w:rsidRPr="00CB7E8C">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00BA118B" w14:textId="77777777" w:rsidR="00F8124A" w:rsidRPr="00CB7E8C" w:rsidRDefault="00F8124A" w:rsidP="00CB7E8C">
      <w:pPr>
        <w:pStyle w:val="Textonotapie"/>
        <w:spacing w:after="0" w:line="240" w:lineRule="auto"/>
        <w:ind w:firstLine="709"/>
        <w:contextualSpacing/>
        <w:rPr>
          <w:rFonts w:ascii="Arial" w:hAnsi="Arial" w:cs="Arial"/>
          <w:sz w:val="19"/>
          <w:szCs w:val="19"/>
        </w:rPr>
      </w:pPr>
    </w:p>
  </w:footnote>
  <w:footnote w:id="2">
    <w:p w14:paraId="7D3FBA5D" w14:textId="71931990" w:rsidR="00F8124A" w:rsidRDefault="00F8124A"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Gaceta del Congreso de la República No. 71 del 2005.</w:t>
      </w:r>
    </w:p>
    <w:p w14:paraId="33489642" w14:textId="77777777" w:rsidR="00CB7E8C" w:rsidRPr="00CB7E8C" w:rsidRDefault="00CB7E8C" w:rsidP="00CB7E8C">
      <w:pPr>
        <w:pStyle w:val="Textonotapie"/>
        <w:spacing w:after="0" w:line="240" w:lineRule="auto"/>
        <w:ind w:firstLine="709"/>
        <w:contextualSpacing/>
        <w:rPr>
          <w:rFonts w:ascii="Arial" w:hAnsi="Arial" w:cs="Arial"/>
          <w:sz w:val="19"/>
          <w:szCs w:val="19"/>
        </w:rPr>
      </w:pPr>
    </w:p>
  </w:footnote>
  <w:footnote w:id="3">
    <w:p w14:paraId="10DD7CD2" w14:textId="0FC3FADB" w:rsidR="00F8124A" w:rsidRDefault="00F8124A"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Corte Constitucional, Sentencia C- 1153 de 2005, M.P. Marco Gerardo Monroy Cabra.</w:t>
      </w:r>
    </w:p>
    <w:p w14:paraId="6C7B510A" w14:textId="77777777" w:rsidR="00CB7E8C" w:rsidRPr="00CB7E8C" w:rsidRDefault="00CB7E8C" w:rsidP="00CB7E8C">
      <w:pPr>
        <w:pStyle w:val="Textonotapie"/>
        <w:spacing w:after="0" w:line="240" w:lineRule="auto"/>
        <w:ind w:firstLine="709"/>
        <w:contextualSpacing/>
        <w:rPr>
          <w:rFonts w:ascii="Arial" w:hAnsi="Arial" w:cs="Arial"/>
          <w:sz w:val="19"/>
          <w:szCs w:val="19"/>
        </w:rPr>
      </w:pPr>
    </w:p>
  </w:footnote>
  <w:footnote w:id="4">
    <w:p w14:paraId="1C0A4D0C" w14:textId="77777777" w:rsidR="00F8124A" w:rsidRPr="00CB7E8C" w:rsidRDefault="00F8124A"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523A8725" w14:textId="77777777" w:rsidR="00F8124A" w:rsidRPr="00CB7E8C" w:rsidRDefault="00F8124A" w:rsidP="00CB7E8C">
      <w:pPr>
        <w:pStyle w:val="Textonotapie"/>
        <w:spacing w:after="0" w:line="240" w:lineRule="auto"/>
        <w:ind w:firstLine="709"/>
        <w:contextualSpacing/>
        <w:rPr>
          <w:rFonts w:ascii="Arial" w:hAnsi="Arial" w:cs="Arial"/>
          <w:sz w:val="19"/>
          <w:szCs w:val="19"/>
        </w:rPr>
      </w:pPr>
    </w:p>
  </w:footnote>
  <w:footnote w:id="5">
    <w:p w14:paraId="2A5F82B7" w14:textId="77777777" w:rsidR="00F8124A" w:rsidRPr="00CB7E8C" w:rsidRDefault="00F8124A" w:rsidP="00CB7E8C">
      <w:pPr>
        <w:pStyle w:val="Textonotapie"/>
        <w:spacing w:after="0" w:line="240" w:lineRule="auto"/>
        <w:ind w:firstLine="709"/>
        <w:contextualSpacing/>
        <w:rPr>
          <w:rFonts w:ascii="Arial" w:hAnsi="Arial" w:cs="Arial"/>
          <w:sz w:val="19"/>
          <w:szCs w:val="19"/>
          <w:lang w:val="es-CO"/>
        </w:rPr>
      </w:pPr>
      <w:r w:rsidRPr="00CB7E8C">
        <w:rPr>
          <w:rStyle w:val="Refdenotaalpie"/>
          <w:rFonts w:ascii="Arial" w:hAnsi="Arial" w:cs="Arial"/>
          <w:sz w:val="19"/>
          <w:szCs w:val="19"/>
        </w:rPr>
        <w:footnoteRef/>
      </w:r>
      <w:r w:rsidRPr="00CB7E8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D266C04" w14:textId="77777777" w:rsidR="00F8124A" w:rsidRPr="00CB7E8C" w:rsidRDefault="00F8124A" w:rsidP="00CB7E8C">
      <w:pPr>
        <w:pStyle w:val="Textonotapie"/>
        <w:spacing w:after="0" w:line="240" w:lineRule="auto"/>
        <w:ind w:firstLine="709"/>
        <w:contextualSpacing/>
        <w:rPr>
          <w:rFonts w:ascii="Arial" w:hAnsi="Arial" w:cs="Arial"/>
          <w:sz w:val="19"/>
          <w:szCs w:val="19"/>
        </w:rPr>
      </w:pPr>
    </w:p>
    <w:p w14:paraId="17D98B5C" w14:textId="0C248498" w:rsidR="00CB7E8C" w:rsidRPr="00CB7E8C" w:rsidRDefault="00F8124A"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de fecha 24 de julio de 2013, radicado 2166, </w:t>
      </w:r>
      <w:proofErr w:type="gramStart"/>
      <w:r w:rsidRPr="00CB7E8C">
        <w:rPr>
          <w:rFonts w:ascii="Arial" w:hAnsi="Arial" w:cs="Arial"/>
          <w:sz w:val="19"/>
          <w:szCs w:val="19"/>
        </w:rPr>
        <w:t>Consejero</w:t>
      </w:r>
      <w:proofErr w:type="gramEnd"/>
      <w:r w:rsidRPr="00CB7E8C">
        <w:rPr>
          <w:rFonts w:ascii="Arial" w:hAnsi="Arial" w:cs="Arial"/>
          <w:sz w:val="19"/>
          <w:szCs w:val="19"/>
        </w:rPr>
        <w:t xml:space="preserve"> Ponente: Álvaro </w:t>
      </w:r>
      <w:proofErr w:type="spellStart"/>
      <w:r w:rsidRPr="00CB7E8C">
        <w:rPr>
          <w:rFonts w:ascii="Arial" w:hAnsi="Arial" w:cs="Arial"/>
          <w:sz w:val="19"/>
          <w:szCs w:val="19"/>
        </w:rPr>
        <w:t>Namén</w:t>
      </w:r>
      <w:proofErr w:type="spellEnd"/>
      <w:r w:rsidRPr="00CB7E8C">
        <w:rPr>
          <w:rFonts w:ascii="Arial" w:hAnsi="Arial" w:cs="Arial"/>
          <w:sz w:val="19"/>
          <w:szCs w:val="19"/>
        </w:rPr>
        <w:t xml:space="preserve"> Vargas.  </w:t>
      </w:r>
    </w:p>
  </w:footnote>
  <w:footnote w:id="7">
    <w:p w14:paraId="506FBEE3" w14:textId="77777777" w:rsidR="00F8124A" w:rsidRPr="00CB7E8C" w:rsidRDefault="00F8124A" w:rsidP="00CB7E8C">
      <w:pPr>
        <w:spacing w:after="0" w:line="240" w:lineRule="auto"/>
        <w:ind w:firstLine="709"/>
        <w:contextualSpacing/>
        <w:jc w:val="both"/>
        <w:rPr>
          <w:rFonts w:ascii="Arial" w:eastAsia="Times New Roman"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w:t>
      </w:r>
      <w:bookmarkStart w:id="14" w:name="33"/>
      <w:r w:rsidRPr="00CB7E8C">
        <w:rPr>
          <w:rFonts w:ascii="Arial" w:eastAsia="Calibri" w:hAnsi="Arial" w:cs="Arial"/>
          <w:bCs/>
          <w:color w:val="000000"/>
          <w:sz w:val="19"/>
          <w:szCs w:val="19"/>
        </w:rPr>
        <w:t>«</w:t>
      </w:r>
      <w:r w:rsidRPr="00CB7E8C">
        <w:rPr>
          <w:rFonts w:ascii="Arial" w:eastAsia="Times New Roman" w:hAnsi="Arial" w:cs="Arial"/>
          <w:sz w:val="19"/>
          <w:szCs w:val="19"/>
        </w:rPr>
        <w:t>Artículo 33. Restricciones a la contratación pública.</w:t>
      </w:r>
      <w:bookmarkEnd w:id="14"/>
      <w:r w:rsidRPr="00CB7E8C">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596012A5" w14:textId="6247BE81" w:rsidR="00F8124A" w:rsidRPr="00CB7E8C" w:rsidRDefault="00F8124A" w:rsidP="00973515">
      <w:pPr>
        <w:spacing w:after="0" w:line="240" w:lineRule="auto"/>
        <w:ind w:firstLine="709"/>
        <w:contextualSpacing/>
        <w:jc w:val="both"/>
        <w:rPr>
          <w:rFonts w:ascii="Arial" w:eastAsia="Times New Roman" w:hAnsi="Arial" w:cs="Arial"/>
          <w:sz w:val="19"/>
          <w:szCs w:val="19"/>
        </w:rPr>
      </w:pPr>
      <w:r w:rsidRPr="00CB7E8C">
        <w:rPr>
          <w:rFonts w:ascii="Arial" w:eastAsia="Calibri" w:hAnsi="Arial" w:cs="Arial"/>
          <w:bCs/>
          <w:color w:val="000000"/>
          <w:sz w:val="19"/>
          <w:szCs w:val="19"/>
        </w:rPr>
        <w:t>»</w:t>
      </w:r>
      <w:r w:rsidRPr="00CB7E8C">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7E8C">
        <w:rPr>
          <w:rFonts w:ascii="Arial" w:eastAsia="Calibri" w:hAnsi="Arial" w:cs="Arial"/>
          <w:bCs/>
          <w:color w:val="000000"/>
          <w:sz w:val="19"/>
          <w:szCs w:val="19"/>
        </w:rPr>
        <w:t>»</w:t>
      </w:r>
      <w:r w:rsidRPr="00CB7E8C">
        <w:rPr>
          <w:rFonts w:ascii="Arial" w:eastAsia="Times New Roman" w:hAnsi="Arial" w:cs="Arial"/>
          <w:sz w:val="19"/>
          <w:szCs w:val="19"/>
        </w:rPr>
        <w:t>.</w:t>
      </w:r>
    </w:p>
  </w:footnote>
  <w:footnote w:id="8">
    <w:p w14:paraId="3CCC9815" w14:textId="77777777" w:rsidR="00E0769F" w:rsidRDefault="00E0769F" w:rsidP="00CB7E8C">
      <w:pPr>
        <w:pStyle w:val="NormalWeb"/>
        <w:spacing w:before="0" w:beforeAutospacing="0" w:after="0" w:afterAutospacing="0" w:line="240" w:lineRule="auto"/>
        <w:ind w:firstLine="709"/>
        <w:contextualSpacing/>
        <w:rPr>
          <w:rFonts w:ascii="Arial" w:hAnsi="Arial" w:cs="Arial"/>
          <w:sz w:val="19"/>
          <w:szCs w:val="19"/>
        </w:rPr>
      </w:pPr>
    </w:p>
    <w:p w14:paraId="55B82546" w14:textId="1026D52B" w:rsidR="00F8124A" w:rsidRPr="00CB7E8C" w:rsidRDefault="00F8124A" w:rsidP="00CB7E8C">
      <w:pPr>
        <w:pStyle w:val="NormalWeb"/>
        <w:spacing w:before="0" w:beforeAutospacing="0" w:after="0" w:afterAutospacing="0" w:line="240" w:lineRule="auto"/>
        <w:ind w:firstLine="709"/>
        <w:contextualSpacing/>
        <w:rPr>
          <w:rFonts w:ascii="Arial" w:hAnsi="Arial" w:cs="Arial"/>
          <w:sz w:val="19"/>
          <w:szCs w:val="19"/>
          <w:lang w:val="es-MX"/>
        </w:rPr>
      </w:pPr>
      <w:r w:rsidRPr="00CB7E8C">
        <w:rPr>
          <w:rStyle w:val="Refdenotaalpie"/>
          <w:rFonts w:ascii="Arial" w:hAnsi="Arial" w:cs="Arial"/>
          <w:sz w:val="19"/>
          <w:szCs w:val="19"/>
        </w:rPr>
        <w:footnoteRef/>
      </w:r>
      <w:r w:rsidRPr="00CB7E8C">
        <w:rPr>
          <w:rFonts w:ascii="Arial" w:hAnsi="Arial" w:cs="Arial"/>
          <w:sz w:val="19"/>
          <w:szCs w:val="19"/>
        </w:rPr>
        <w:t xml:space="preserve"> </w:t>
      </w:r>
      <w:bookmarkStart w:id="15" w:name="38"/>
      <w:r w:rsidRPr="00CB7E8C">
        <w:rPr>
          <w:rFonts w:ascii="Arial" w:eastAsia="Calibri" w:hAnsi="Arial" w:cs="Arial"/>
          <w:bCs/>
          <w:color w:val="000000"/>
          <w:sz w:val="19"/>
          <w:szCs w:val="19"/>
        </w:rPr>
        <w:t>«</w:t>
      </w:r>
      <w:r w:rsidRPr="00CB7E8C">
        <w:rPr>
          <w:rFonts w:ascii="Arial" w:hAnsi="Arial" w:cs="Arial"/>
          <w:sz w:val="19"/>
          <w:szCs w:val="19"/>
          <w:lang w:val="es-MX"/>
        </w:rPr>
        <w:t>Artículo 38. Prohibiciones para los servidores públicos. A los empleados del Estado les está prohibido:</w:t>
      </w:r>
      <w:bookmarkEnd w:id="15"/>
    </w:p>
    <w:p w14:paraId="147AC666" w14:textId="77777777" w:rsidR="00F8124A" w:rsidRPr="00CB7E8C" w:rsidRDefault="00F8124A" w:rsidP="00CB7E8C">
      <w:pPr>
        <w:pStyle w:val="NormalWeb"/>
        <w:spacing w:before="0" w:beforeAutospacing="0" w:after="0" w:afterAutospacing="0" w:line="240" w:lineRule="auto"/>
        <w:ind w:firstLine="709"/>
        <w:contextualSpacing/>
        <w:rPr>
          <w:rFonts w:ascii="Arial" w:hAnsi="Arial" w:cs="Arial"/>
          <w:sz w:val="19"/>
          <w:szCs w:val="19"/>
          <w:lang w:val="es-MX"/>
        </w:rPr>
      </w:pPr>
      <w:r w:rsidRPr="00CB7E8C">
        <w:rPr>
          <w:rFonts w:ascii="Arial" w:eastAsia="Calibri" w:hAnsi="Arial" w:cs="Arial"/>
          <w:bCs/>
          <w:color w:val="000000"/>
          <w:sz w:val="19"/>
          <w:szCs w:val="19"/>
        </w:rPr>
        <w:t>»</w:t>
      </w:r>
      <w:r w:rsidRPr="00CB7E8C">
        <w:rPr>
          <w:rFonts w:ascii="Arial" w:hAnsi="Arial" w:cs="Arial"/>
          <w:sz w:val="19"/>
          <w:szCs w:val="19"/>
          <w:lang w:val="es-MX"/>
        </w:rPr>
        <w:t xml:space="preserve"> […]</w:t>
      </w:r>
    </w:p>
    <w:p w14:paraId="4519F3F9" w14:textId="77777777" w:rsidR="00F8124A" w:rsidRPr="00CB7E8C" w:rsidRDefault="00F8124A" w:rsidP="00CB7E8C">
      <w:pPr>
        <w:pStyle w:val="NormalWeb"/>
        <w:spacing w:before="0" w:beforeAutospacing="0" w:after="0" w:afterAutospacing="0" w:line="240" w:lineRule="auto"/>
        <w:ind w:firstLine="709"/>
        <w:contextualSpacing/>
        <w:rPr>
          <w:rFonts w:ascii="Arial" w:hAnsi="Arial" w:cs="Arial"/>
          <w:sz w:val="19"/>
          <w:szCs w:val="19"/>
          <w:lang w:val="es-MX"/>
        </w:rPr>
      </w:pPr>
      <w:r w:rsidRPr="00CB7E8C">
        <w:rPr>
          <w:rFonts w:ascii="Arial" w:eastAsia="Calibri" w:hAnsi="Arial" w:cs="Arial"/>
          <w:bCs/>
          <w:color w:val="000000"/>
          <w:sz w:val="19"/>
          <w:szCs w:val="19"/>
        </w:rPr>
        <w:t>»</w:t>
      </w:r>
      <w:r w:rsidRPr="00CB7E8C">
        <w:rPr>
          <w:rStyle w:val="baj"/>
          <w:rFonts w:ascii="Arial" w:hAnsi="Arial" w:cs="Arial"/>
          <w:sz w:val="19"/>
          <w:szCs w:val="19"/>
          <w:lang w:val="es-MX"/>
        </w:rPr>
        <w:t xml:space="preserve"> Parágrafo.</w:t>
      </w:r>
      <w:r w:rsidRPr="00CB7E8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7E8C">
        <w:rPr>
          <w:rFonts w:ascii="Arial" w:eastAsia="Calibri" w:hAnsi="Arial" w:cs="Arial"/>
          <w:bCs/>
          <w:color w:val="000000"/>
          <w:sz w:val="19"/>
          <w:szCs w:val="19"/>
        </w:rPr>
        <w:t>»</w:t>
      </w:r>
      <w:r w:rsidRPr="00CB7E8C">
        <w:rPr>
          <w:rFonts w:ascii="Arial" w:hAnsi="Arial" w:cs="Arial"/>
          <w:sz w:val="19"/>
          <w:szCs w:val="19"/>
          <w:lang w:val="es-MX"/>
        </w:rPr>
        <w:t>.</w:t>
      </w:r>
    </w:p>
  </w:footnote>
  <w:footnote w:id="9">
    <w:p w14:paraId="0FB164C9" w14:textId="51E0D049" w:rsidR="00F8124A" w:rsidRDefault="00F8124A" w:rsidP="00CB7E8C">
      <w:pPr>
        <w:spacing w:after="0" w:line="240" w:lineRule="auto"/>
        <w:ind w:left="100" w:right="244" w:firstLine="709"/>
        <w:contextualSpacing/>
        <w:jc w:val="both"/>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Concepto del 17 de febrero de 2015. C.P. William Zambrano Cetina. Radicación No. 11001-03-06-000-2015-00164-00(2269).</w:t>
      </w:r>
    </w:p>
    <w:p w14:paraId="38A370D6" w14:textId="77777777" w:rsidR="00CB7E8C" w:rsidRPr="00CB7E8C" w:rsidRDefault="00CB7E8C" w:rsidP="00CB7E8C">
      <w:pPr>
        <w:spacing w:after="0" w:line="240" w:lineRule="auto"/>
        <w:ind w:left="100" w:right="244" w:firstLine="709"/>
        <w:contextualSpacing/>
        <w:jc w:val="both"/>
        <w:rPr>
          <w:rFonts w:ascii="Arial" w:hAnsi="Arial" w:cs="Arial"/>
          <w:sz w:val="19"/>
          <w:szCs w:val="19"/>
          <w:lang w:val="es-ES"/>
        </w:rPr>
      </w:pPr>
    </w:p>
  </w:footnote>
  <w:footnote w:id="10">
    <w:p w14:paraId="6299677E" w14:textId="77777777" w:rsidR="00AC3C47" w:rsidRPr="00CB7E8C" w:rsidRDefault="00AC3C47"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w:t>
      </w:r>
      <w:r w:rsidRPr="00CB7E8C">
        <w:rPr>
          <w:rFonts w:ascii="Arial" w:hAnsi="Arial" w:cs="Arial"/>
          <w:sz w:val="19"/>
          <w:szCs w:val="19"/>
          <w:lang w:val="es-ES"/>
        </w:rPr>
        <w:t xml:space="preserve">[25] </w:t>
      </w:r>
      <w:r w:rsidRPr="00CB7E8C">
        <w:rPr>
          <w:rFonts w:ascii="Arial" w:hAnsi="Arial" w:cs="Arial"/>
          <w:sz w:val="19"/>
          <w:szCs w:val="19"/>
        </w:rPr>
        <w:t>Cfr. Consejo de Estado. Sección Tercera. Sentencia de 3 de diciembre de 2007. Radicados: 24.715, 25.206, 25.409, 24.524, 27.834, 25.410, 26.105, 28.244, 31.447 -acumulados-».</w:t>
      </w:r>
    </w:p>
    <w:p w14:paraId="32243D64" w14:textId="77777777" w:rsidR="00AC3C47" w:rsidRPr="00CB7E8C" w:rsidRDefault="00AC3C47" w:rsidP="00CB7E8C">
      <w:pPr>
        <w:pStyle w:val="Textonotapie"/>
        <w:spacing w:after="0" w:line="240" w:lineRule="auto"/>
        <w:ind w:firstLine="709"/>
        <w:contextualSpacing/>
        <w:rPr>
          <w:rFonts w:ascii="Arial" w:hAnsi="Arial" w:cs="Arial"/>
          <w:sz w:val="19"/>
          <w:szCs w:val="19"/>
        </w:rPr>
      </w:pPr>
    </w:p>
  </w:footnote>
  <w:footnote w:id="11">
    <w:p w14:paraId="387985E8" w14:textId="712CA64B" w:rsidR="00AC3C47" w:rsidRDefault="00AC3C47"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w:t>
      </w:r>
      <w:r w:rsidRPr="00CB7E8C">
        <w:rPr>
          <w:rFonts w:ascii="Arial" w:hAnsi="Arial" w:cs="Arial"/>
          <w:sz w:val="19"/>
          <w:szCs w:val="19"/>
          <w:lang w:val="es-ES"/>
        </w:rPr>
        <w:t xml:space="preserve">[26] </w:t>
      </w:r>
      <w:r w:rsidRPr="00CB7E8C">
        <w:rPr>
          <w:rFonts w:ascii="Arial" w:hAnsi="Arial" w:cs="Arial"/>
          <w:sz w:val="19"/>
          <w:szCs w:val="19"/>
        </w:rPr>
        <w:t>Al respecto ver el concepto 1712 de 2 de febrero de 2006. Consejo de Estado Sala de Consulta y Servicio Civil».</w:t>
      </w:r>
    </w:p>
    <w:p w14:paraId="58F4824E" w14:textId="77777777" w:rsidR="00CB7E8C" w:rsidRPr="00CB7E8C" w:rsidRDefault="00CB7E8C" w:rsidP="00CB7E8C">
      <w:pPr>
        <w:pStyle w:val="Textonotapie"/>
        <w:spacing w:after="0" w:line="240" w:lineRule="auto"/>
        <w:ind w:firstLine="709"/>
        <w:contextualSpacing/>
        <w:rPr>
          <w:rFonts w:ascii="Arial" w:hAnsi="Arial" w:cs="Arial"/>
          <w:sz w:val="19"/>
          <w:szCs w:val="19"/>
        </w:rPr>
      </w:pPr>
    </w:p>
  </w:footnote>
  <w:footnote w:id="12">
    <w:p w14:paraId="750B5A60" w14:textId="6FFF7403" w:rsidR="00CB7E8C" w:rsidRPr="00CB7E8C" w:rsidRDefault="00AC3C47"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CB7E8C">
        <w:rPr>
          <w:rFonts w:ascii="Arial" w:hAnsi="Arial" w:cs="Arial"/>
          <w:sz w:val="19"/>
          <w:szCs w:val="19"/>
        </w:rPr>
        <w:t>Namén</w:t>
      </w:r>
      <w:proofErr w:type="spellEnd"/>
      <w:r w:rsidRPr="00CB7E8C">
        <w:rPr>
          <w:rFonts w:ascii="Arial" w:hAnsi="Arial" w:cs="Arial"/>
          <w:sz w:val="19"/>
          <w:szCs w:val="19"/>
        </w:rPr>
        <w:t xml:space="preserve"> Vargas.</w:t>
      </w:r>
    </w:p>
  </w:footnote>
  <w:footnote w:id="13">
    <w:p w14:paraId="44EF8C88" w14:textId="4F96FE00" w:rsidR="00AC3C47" w:rsidRDefault="00AC3C47" w:rsidP="00CB7E8C">
      <w:pPr>
        <w:pStyle w:val="Textonotapie"/>
        <w:spacing w:after="0" w:line="240" w:lineRule="auto"/>
        <w:ind w:firstLine="709"/>
        <w:contextualSpacing/>
        <w:rPr>
          <w:rFonts w:ascii="Arial" w:hAnsi="Arial" w:cs="Arial"/>
          <w:sz w:val="19"/>
          <w:szCs w:val="19"/>
          <w:lang w:val="es-ES"/>
        </w:rPr>
      </w:pPr>
      <w:r w:rsidRPr="00CB7E8C">
        <w:rPr>
          <w:rStyle w:val="Refdenotaalpie"/>
          <w:rFonts w:ascii="Arial" w:hAnsi="Arial" w:cs="Arial"/>
          <w:sz w:val="19"/>
          <w:szCs w:val="19"/>
        </w:rPr>
        <w:footnoteRef/>
      </w:r>
      <w:r w:rsidRPr="00CB7E8C">
        <w:rPr>
          <w:rFonts w:ascii="Arial" w:hAnsi="Arial" w:cs="Arial"/>
          <w:sz w:val="19"/>
          <w:szCs w:val="19"/>
        </w:rPr>
        <w:t xml:space="preserve"> </w:t>
      </w:r>
      <w:r w:rsidRPr="00CB7E8C">
        <w:rPr>
          <w:rFonts w:ascii="Arial" w:hAnsi="Arial" w:cs="Arial"/>
          <w:sz w:val="19"/>
          <w:szCs w:val="19"/>
          <w:lang w:val="es-ES"/>
        </w:rPr>
        <w:t xml:space="preserve">Artículo 2. </w:t>
      </w:r>
    </w:p>
    <w:p w14:paraId="6E9B19D8" w14:textId="77777777" w:rsidR="00CB7E8C" w:rsidRPr="00CB7E8C" w:rsidRDefault="00CB7E8C" w:rsidP="00CB7E8C">
      <w:pPr>
        <w:pStyle w:val="Textonotapie"/>
        <w:spacing w:after="0" w:line="240" w:lineRule="auto"/>
        <w:ind w:firstLine="709"/>
        <w:contextualSpacing/>
        <w:rPr>
          <w:rFonts w:ascii="Arial" w:hAnsi="Arial" w:cs="Arial"/>
          <w:sz w:val="19"/>
          <w:szCs w:val="19"/>
          <w:lang w:val="es-ES"/>
        </w:rPr>
      </w:pPr>
    </w:p>
  </w:footnote>
  <w:footnote w:id="14">
    <w:p w14:paraId="554167B4" w14:textId="4F3B571F" w:rsidR="00AC3C47" w:rsidRDefault="00AC3C47" w:rsidP="00CB7E8C">
      <w:pPr>
        <w:pStyle w:val="Textonotapie"/>
        <w:spacing w:after="0" w:line="240" w:lineRule="auto"/>
        <w:ind w:firstLine="709"/>
        <w:contextualSpacing/>
        <w:rPr>
          <w:rFonts w:ascii="Arial" w:hAnsi="Arial" w:cs="Arial"/>
          <w:sz w:val="19"/>
          <w:szCs w:val="19"/>
          <w:lang w:val="es-ES"/>
        </w:rPr>
      </w:pPr>
      <w:r w:rsidRPr="00CB7E8C">
        <w:rPr>
          <w:rStyle w:val="Refdenotaalpie"/>
          <w:rFonts w:ascii="Arial" w:hAnsi="Arial" w:cs="Arial"/>
          <w:sz w:val="19"/>
          <w:szCs w:val="19"/>
        </w:rPr>
        <w:footnoteRef/>
      </w:r>
      <w:r w:rsidRPr="00CB7E8C">
        <w:rPr>
          <w:rFonts w:ascii="Arial" w:hAnsi="Arial" w:cs="Arial"/>
          <w:sz w:val="19"/>
          <w:szCs w:val="19"/>
        </w:rPr>
        <w:t xml:space="preserve"> </w:t>
      </w:r>
      <w:r w:rsidRPr="00CB7E8C">
        <w:rPr>
          <w:rFonts w:ascii="Arial" w:hAnsi="Arial" w:cs="Arial"/>
          <w:i/>
          <w:sz w:val="19"/>
          <w:szCs w:val="19"/>
          <w:lang w:val="es-ES"/>
        </w:rPr>
        <w:t>Ídem</w:t>
      </w:r>
      <w:r w:rsidRPr="00CB7E8C">
        <w:rPr>
          <w:rFonts w:ascii="Arial" w:hAnsi="Arial" w:cs="Arial"/>
          <w:sz w:val="19"/>
          <w:szCs w:val="19"/>
          <w:lang w:val="es-ES"/>
        </w:rPr>
        <w:t>.</w:t>
      </w:r>
    </w:p>
    <w:p w14:paraId="328A3095" w14:textId="77777777" w:rsidR="00CB7E8C" w:rsidRPr="00CB7E8C" w:rsidRDefault="00CB7E8C" w:rsidP="00CB7E8C">
      <w:pPr>
        <w:pStyle w:val="Textonotapie"/>
        <w:spacing w:after="0" w:line="240" w:lineRule="auto"/>
        <w:ind w:firstLine="709"/>
        <w:contextualSpacing/>
        <w:rPr>
          <w:rFonts w:ascii="Arial" w:hAnsi="Arial" w:cs="Arial"/>
          <w:sz w:val="19"/>
          <w:szCs w:val="19"/>
          <w:lang w:val="es-ES"/>
        </w:rPr>
      </w:pPr>
    </w:p>
  </w:footnote>
  <w:footnote w:id="15">
    <w:p w14:paraId="734FDA18" w14:textId="7A768251" w:rsidR="00AC3C47" w:rsidRDefault="00AC3C47" w:rsidP="00CB7E8C">
      <w:pPr>
        <w:pStyle w:val="Textonotapie"/>
        <w:spacing w:after="0" w:line="240" w:lineRule="auto"/>
        <w:ind w:firstLine="709"/>
        <w:contextualSpacing/>
        <w:rPr>
          <w:rFonts w:ascii="Arial" w:hAnsi="Arial" w:cs="Arial"/>
          <w:sz w:val="19"/>
          <w:szCs w:val="19"/>
          <w:lang w:val="es-ES"/>
        </w:rPr>
      </w:pPr>
      <w:r w:rsidRPr="00CB7E8C">
        <w:rPr>
          <w:rStyle w:val="Refdenotaalpie"/>
          <w:rFonts w:ascii="Arial" w:hAnsi="Arial" w:cs="Arial"/>
          <w:sz w:val="19"/>
          <w:szCs w:val="19"/>
        </w:rPr>
        <w:footnoteRef/>
      </w:r>
      <w:r w:rsidRPr="00CB7E8C">
        <w:rPr>
          <w:rStyle w:val="Refdenotaalpie"/>
          <w:rFonts w:ascii="Arial" w:hAnsi="Arial" w:cs="Arial"/>
          <w:sz w:val="19"/>
          <w:szCs w:val="19"/>
        </w:rPr>
        <w:t xml:space="preserve"> </w:t>
      </w:r>
      <w:r w:rsidRPr="00CB7E8C">
        <w:rPr>
          <w:rFonts w:ascii="Arial" w:hAnsi="Arial" w:cs="Arial"/>
          <w:sz w:val="19"/>
          <w:szCs w:val="19"/>
          <w:lang w:val="es-ES"/>
        </w:rPr>
        <w:t xml:space="preserve">«[…] A este respecto, cabe recordar que el artículo 860 del Código de Comercio regula la licitación en el derecho privado». </w:t>
      </w:r>
    </w:p>
    <w:p w14:paraId="2F72547D" w14:textId="77777777" w:rsidR="00CB7E8C" w:rsidRPr="00CB7E8C" w:rsidRDefault="00CB7E8C" w:rsidP="00CB7E8C">
      <w:pPr>
        <w:pStyle w:val="Textonotapie"/>
        <w:spacing w:after="0" w:line="240" w:lineRule="auto"/>
        <w:ind w:firstLine="709"/>
        <w:contextualSpacing/>
        <w:rPr>
          <w:rFonts w:ascii="Arial" w:hAnsi="Arial" w:cs="Arial"/>
          <w:sz w:val="19"/>
          <w:szCs w:val="19"/>
          <w:lang w:val="es-ES"/>
        </w:rPr>
      </w:pPr>
    </w:p>
  </w:footnote>
  <w:footnote w:id="16">
    <w:p w14:paraId="596ECF7E" w14:textId="50200B03" w:rsidR="00AC3C47" w:rsidRDefault="00AC3C47" w:rsidP="00CB7E8C">
      <w:pPr>
        <w:shd w:val="clear" w:color="auto" w:fill="FFFFFF"/>
        <w:spacing w:after="0" w:line="240" w:lineRule="auto"/>
        <w:ind w:firstLine="709"/>
        <w:contextualSpacing/>
        <w:jc w:val="both"/>
        <w:rPr>
          <w:rFonts w:ascii="Arial" w:hAnsi="Arial" w:cs="Arial"/>
          <w:sz w:val="19"/>
          <w:szCs w:val="19"/>
          <w:lang w:val="es-ES"/>
        </w:rPr>
      </w:pPr>
      <w:r w:rsidRPr="00CB7E8C">
        <w:rPr>
          <w:rStyle w:val="Refdenotaalpie"/>
          <w:rFonts w:ascii="Arial" w:hAnsi="Arial" w:cs="Arial"/>
          <w:sz w:val="19"/>
          <w:szCs w:val="19"/>
        </w:rPr>
        <w:footnoteRef/>
      </w:r>
      <w:r w:rsidRPr="00CB7E8C">
        <w:rPr>
          <w:rStyle w:val="Refdenotaalpie"/>
          <w:rFonts w:ascii="Arial" w:hAnsi="Arial" w:cs="Arial"/>
          <w:sz w:val="19"/>
          <w:szCs w:val="19"/>
        </w:rPr>
        <w:t xml:space="preserve"> </w:t>
      </w:r>
      <w:r w:rsidRPr="00CB7E8C">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CB7E8C">
        <w:rPr>
          <w:rFonts w:ascii="Arial" w:hAnsi="Arial" w:cs="Arial"/>
          <w:sz w:val="19"/>
          <w:szCs w:val="19"/>
          <w:lang w:val="es-ES"/>
        </w:rPr>
        <w:t>Namén</w:t>
      </w:r>
      <w:proofErr w:type="spellEnd"/>
      <w:r w:rsidRPr="00CB7E8C">
        <w:rPr>
          <w:rFonts w:ascii="Arial" w:hAnsi="Arial" w:cs="Arial"/>
          <w:sz w:val="19"/>
          <w:szCs w:val="19"/>
          <w:lang w:val="es-ES"/>
        </w:rPr>
        <w:t xml:space="preserve"> Vargas.</w:t>
      </w:r>
    </w:p>
    <w:p w14:paraId="7853567E" w14:textId="77777777" w:rsidR="00CB7E8C" w:rsidRPr="00CB7E8C" w:rsidRDefault="00CB7E8C" w:rsidP="00CB7E8C">
      <w:pPr>
        <w:shd w:val="clear" w:color="auto" w:fill="FFFFFF"/>
        <w:spacing w:after="0" w:line="240" w:lineRule="auto"/>
        <w:ind w:firstLine="709"/>
        <w:contextualSpacing/>
        <w:jc w:val="both"/>
        <w:rPr>
          <w:rFonts w:ascii="Arial" w:hAnsi="Arial" w:cs="Arial"/>
          <w:sz w:val="19"/>
          <w:szCs w:val="19"/>
          <w:lang w:val="es-ES"/>
        </w:rPr>
      </w:pPr>
    </w:p>
  </w:footnote>
  <w:footnote w:id="17">
    <w:p w14:paraId="227D5781" w14:textId="302A08E6" w:rsidR="00AC3C47" w:rsidRDefault="00AC3C47"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Concepto del 08 de mayo de 2018. </w:t>
      </w:r>
      <w:proofErr w:type="spellStart"/>
      <w:r w:rsidRPr="00CB7E8C">
        <w:rPr>
          <w:rFonts w:ascii="Arial" w:hAnsi="Arial" w:cs="Arial"/>
          <w:sz w:val="19"/>
          <w:szCs w:val="19"/>
        </w:rPr>
        <w:t>Exp</w:t>
      </w:r>
      <w:proofErr w:type="spellEnd"/>
      <w:r w:rsidRPr="00CB7E8C">
        <w:rPr>
          <w:rFonts w:ascii="Arial" w:hAnsi="Arial" w:cs="Arial"/>
          <w:sz w:val="19"/>
          <w:szCs w:val="19"/>
        </w:rPr>
        <w:t xml:space="preserve">. 2.382. C.P. Álvaro </w:t>
      </w:r>
      <w:proofErr w:type="spellStart"/>
      <w:r w:rsidRPr="00CB7E8C">
        <w:rPr>
          <w:rFonts w:ascii="Arial" w:hAnsi="Arial" w:cs="Arial"/>
          <w:sz w:val="19"/>
          <w:szCs w:val="19"/>
        </w:rPr>
        <w:t>Namén</w:t>
      </w:r>
      <w:proofErr w:type="spellEnd"/>
      <w:r w:rsidRPr="00CB7E8C">
        <w:rPr>
          <w:rFonts w:ascii="Arial" w:hAnsi="Arial" w:cs="Arial"/>
          <w:sz w:val="19"/>
          <w:szCs w:val="19"/>
        </w:rPr>
        <w:t xml:space="preserve"> Vargas.</w:t>
      </w:r>
    </w:p>
    <w:p w14:paraId="57A43366" w14:textId="77777777" w:rsidR="00CB7E8C" w:rsidRPr="00CB7E8C" w:rsidRDefault="00CB7E8C" w:rsidP="00973515">
      <w:pPr>
        <w:pStyle w:val="Textonotapie"/>
        <w:spacing w:after="0" w:line="240" w:lineRule="auto"/>
        <w:contextualSpacing/>
        <w:rPr>
          <w:rFonts w:ascii="Arial" w:hAnsi="Arial" w:cs="Arial"/>
          <w:sz w:val="19"/>
          <w:szCs w:val="19"/>
        </w:rPr>
      </w:pPr>
    </w:p>
  </w:footnote>
  <w:footnote w:id="18">
    <w:p w14:paraId="3D92AE94" w14:textId="5154B3B5" w:rsidR="00AC3C47" w:rsidRDefault="00AC3C47"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Cfr. Concepto C-757 del 30 de diciembre de 2021.</w:t>
      </w:r>
    </w:p>
    <w:p w14:paraId="397F16EC" w14:textId="77777777" w:rsidR="00CB7E8C" w:rsidRPr="00CB7E8C" w:rsidRDefault="00CB7E8C" w:rsidP="00CB7E8C">
      <w:pPr>
        <w:pStyle w:val="Textonotapie"/>
        <w:spacing w:after="0" w:line="240" w:lineRule="auto"/>
        <w:ind w:firstLine="709"/>
        <w:contextualSpacing/>
        <w:rPr>
          <w:rFonts w:ascii="Arial" w:hAnsi="Arial" w:cs="Arial"/>
          <w:sz w:val="19"/>
          <w:szCs w:val="19"/>
        </w:rPr>
      </w:pPr>
    </w:p>
  </w:footnote>
  <w:footnote w:id="19">
    <w:p w14:paraId="1EB912C9" w14:textId="5B9F325A" w:rsidR="00AC3C47" w:rsidRDefault="00AC3C47"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CB7E8C">
        <w:rPr>
          <w:rFonts w:ascii="Arial" w:hAnsi="Arial" w:cs="Arial"/>
          <w:sz w:val="19"/>
          <w:szCs w:val="19"/>
        </w:rPr>
        <w:t>N°</w:t>
      </w:r>
      <w:proofErr w:type="spellEnd"/>
      <w:r w:rsidRPr="00CB7E8C">
        <w:rPr>
          <w:rFonts w:ascii="Arial" w:hAnsi="Arial" w:cs="Arial"/>
          <w:sz w:val="19"/>
          <w:szCs w:val="19"/>
        </w:rPr>
        <w:t xml:space="preserve"> 216/05 Senado, </w:t>
      </w:r>
      <w:proofErr w:type="spellStart"/>
      <w:r w:rsidRPr="00CB7E8C">
        <w:rPr>
          <w:rFonts w:ascii="Arial" w:hAnsi="Arial" w:cs="Arial"/>
          <w:sz w:val="19"/>
          <w:szCs w:val="19"/>
        </w:rPr>
        <w:t>N°</w:t>
      </w:r>
      <w:proofErr w:type="spellEnd"/>
      <w:r w:rsidRPr="00CB7E8C">
        <w:rPr>
          <w:rFonts w:ascii="Arial" w:hAnsi="Arial" w:cs="Arial"/>
          <w:sz w:val="19"/>
          <w:szCs w:val="19"/>
        </w:rPr>
        <w:t xml:space="preserve"> 235-Cámara que dio lugar a la Ley de Garantías Electorales.</w:t>
      </w:r>
    </w:p>
    <w:p w14:paraId="055B7FA4" w14:textId="77777777" w:rsidR="00CB7E8C" w:rsidRPr="00CB7E8C" w:rsidRDefault="00CB7E8C" w:rsidP="00CB7E8C">
      <w:pPr>
        <w:pStyle w:val="Textonotapie"/>
        <w:spacing w:after="0" w:line="240" w:lineRule="auto"/>
        <w:ind w:firstLine="709"/>
        <w:contextualSpacing/>
        <w:rPr>
          <w:rFonts w:ascii="Arial" w:hAnsi="Arial" w:cs="Arial"/>
          <w:sz w:val="19"/>
          <w:szCs w:val="19"/>
        </w:rPr>
      </w:pPr>
    </w:p>
  </w:footnote>
  <w:footnote w:id="20">
    <w:p w14:paraId="0561DB14" w14:textId="223C5AFF" w:rsidR="00AC3C47" w:rsidRDefault="00AC3C47" w:rsidP="00CB7E8C">
      <w:pPr>
        <w:spacing w:after="0" w:line="240" w:lineRule="auto"/>
        <w:ind w:firstLine="709"/>
        <w:contextualSpacing/>
        <w:jc w:val="both"/>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07BA6C2" w14:textId="77777777" w:rsidR="00CB7E8C" w:rsidRPr="00CB7E8C" w:rsidRDefault="00CB7E8C" w:rsidP="00CB7E8C">
      <w:pPr>
        <w:spacing w:after="0" w:line="240" w:lineRule="auto"/>
        <w:ind w:firstLine="709"/>
        <w:contextualSpacing/>
        <w:jc w:val="both"/>
        <w:rPr>
          <w:rFonts w:ascii="Arial" w:hAnsi="Arial" w:cs="Arial"/>
          <w:sz w:val="19"/>
          <w:szCs w:val="19"/>
        </w:rPr>
      </w:pPr>
    </w:p>
  </w:footnote>
  <w:footnote w:id="21">
    <w:p w14:paraId="0568A080" w14:textId="77777777" w:rsidR="00CC1950" w:rsidRPr="00CB7E8C" w:rsidRDefault="00CC1950"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19E20E57" w14:textId="77777777" w:rsidR="00CC1950" w:rsidRPr="00CB7E8C" w:rsidRDefault="00CC1950" w:rsidP="00CB7E8C">
      <w:pPr>
        <w:pStyle w:val="Textonotapie"/>
        <w:spacing w:after="0" w:line="240" w:lineRule="auto"/>
        <w:ind w:firstLine="709"/>
        <w:contextualSpacing/>
        <w:rPr>
          <w:rFonts w:ascii="Arial" w:hAnsi="Arial" w:cs="Arial"/>
          <w:sz w:val="19"/>
          <w:szCs w:val="19"/>
        </w:rPr>
      </w:pPr>
    </w:p>
  </w:footnote>
  <w:footnote w:id="22">
    <w:p w14:paraId="104CF028" w14:textId="77777777" w:rsidR="00CC1950" w:rsidRPr="00CB7E8C" w:rsidRDefault="00CC1950" w:rsidP="00CB7E8C">
      <w:pPr>
        <w:spacing w:after="0" w:line="240" w:lineRule="auto"/>
        <w:ind w:firstLine="709"/>
        <w:contextualSpacing/>
        <w:jc w:val="both"/>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CB7E8C">
        <w:rPr>
          <w:rFonts w:ascii="Arial" w:hAnsi="Arial" w:cs="Arial"/>
          <w:sz w:val="19"/>
          <w:szCs w:val="19"/>
        </w:rPr>
        <w:t>y</w:t>
      </w:r>
      <w:proofErr w:type="gramEnd"/>
      <w:r w:rsidRPr="00CB7E8C">
        <w:rPr>
          <w:rFonts w:ascii="Arial" w:hAnsi="Arial" w:cs="Arial"/>
          <w:sz w:val="19"/>
          <w:szCs w:val="19"/>
        </w:rPr>
        <w:t xml:space="preserve"> en consecuencia, le es aplicable lo establecido en el artículo 2.2.1.2.1.4.1 del presente decreto.</w:t>
      </w:r>
    </w:p>
    <w:p w14:paraId="72A5EC1F" w14:textId="77777777" w:rsidR="00CC1950" w:rsidRPr="00CB7E8C" w:rsidRDefault="00CC1950" w:rsidP="00CB7E8C">
      <w:pPr>
        <w:spacing w:after="0" w:line="240" w:lineRule="auto"/>
        <w:ind w:firstLine="709"/>
        <w:contextualSpacing/>
        <w:jc w:val="both"/>
        <w:rPr>
          <w:rFonts w:ascii="Arial" w:hAnsi="Arial" w:cs="Arial"/>
          <w:sz w:val="19"/>
          <w:szCs w:val="19"/>
        </w:rPr>
      </w:pPr>
      <w:proofErr w:type="gramStart"/>
      <w:r w:rsidRPr="00CB7E8C">
        <w:rPr>
          <w:rFonts w:ascii="Arial" w:hAnsi="Arial" w:cs="Arial"/>
          <w:sz w:val="19"/>
          <w:szCs w:val="19"/>
        </w:rPr>
        <w:t>»Cuando</w:t>
      </w:r>
      <w:proofErr w:type="gramEnd"/>
      <w:r w:rsidRPr="00CB7E8C">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B7E8C">
        <w:rPr>
          <w:rFonts w:ascii="Arial" w:hAnsi="Arial" w:cs="Arial"/>
          <w:spacing w:val="-1"/>
          <w:sz w:val="19"/>
          <w:szCs w:val="19"/>
        </w:rPr>
        <w:t xml:space="preserve"> </w:t>
      </w:r>
      <w:r w:rsidRPr="00CB7E8C">
        <w:rPr>
          <w:rFonts w:ascii="Arial" w:hAnsi="Arial" w:cs="Arial"/>
          <w:sz w:val="19"/>
          <w:szCs w:val="19"/>
        </w:rPr>
        <w:t>Estatales».</w:t>
      </w:r>
    </w:p>
  </w:footnote>
  <w:footnote w:id="23">
    <w:p w14:paraId="626046F0" w14:textId="77777777" w:rsidR="00CC1950" w:rsidRPr="00CB7E8C" w:rsidRDefault="00CC1950" w:rsidP="00CB7E8C">
      <w:pPr>
        <w:spacing w:after="0" w:line="240" w:lineRule="auto"/>
        <w:ind w:firstLine="709"/>
        <w:contextualSpacing/>
        <w:jc w:val="both"/>
        <w:rPr>
          <w:rFonts w:ascii="Arial" w:hAnsi="Arial" w:cs="Arial"/>
          <w:sz w:val="19"/>
          <w:szCs w:val="19"/>
        </w:rPr>
      </w:pPr>
    </w:p>
    <w:p w14:paraId="228E51C3" w14:textId="77777777" w:rsidR="00CC1950" w:rsidRPr="00CB7E8C" w:rsidRDefault="00CC1950" w:rsidP="00CB7E8C">
      <w:pPr>
        <w:spacing w:after="0" w:line="240" w:lineRule="auto"/>
        <w:ind w:firstLine="709"/>
        <w:contextualSpacing/>
        <w:jc w:val="both"/>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B7E8C">
        <w:rPr>
          <w:rFonts w:ascii="Arial" w:hAnsi="Arial" w:cs="Arial"/>
          <w:spacing w:val="-6"/>
          <w:sz w:val="19"/>
          <w:szCs w:val="19"/>
        </w:rPr>
        <w:t xml:space="preserve"> </w:t>
      </w:r>
      <w:r w:rsidRPr="00CB7E8C">
        <w:rPr>
          <w:rFonts w:ascii="Arial" w:hAnsi="Arial" w:cs="Arial"/>
          <w:sz w:val="19"/>
          <w:szCs w:val="19"/>
        </w:rPr>
        <w:t>artículo».</w:t>
      </w:r>
    </w:p>
  </w:footnote>
  <w:footnote w:id="24">
    <w:p w14:paraId="48E360E2" w14:textId="77777777" w:rsidR="00CC1950" w:rsidRPr="00CB7E8C" w:rsidRDefault="00CC1950" w:rsidP="00CB7E8C">
      <w:pPr>
        <w:spacing w:after="0" w:line="240" w:lineRule="auto"/>
        <w:ind w:firstLine="709"/>
        <w:contextualSpacing/>
        <w:jc w:val="both"/>
        <w:rPr>
          <w:rFonts w:ascii="Arial" w:hAnsi="Arial" w:cs="Arial"/>
          <w:position w:val="7"/>
          <w:sz w:val="19"/>
          <w:szCs w:val="19"/>
        </w:rPr>
      </w:pPr>
    </w:p>
    <w:p w14:paraId="56089D09" w14:textId="100731F4" w:rsidR="00CC1950" w:rsidRDefault="00CC1950" w:rsidP="00CB7E8C">
      <w:pPr>
        <w:spacing w:after="0" w:line="240" w:lineRule="auto"/>
        <w:ind w:firstLine="709"/>
        <w:contextualSpacing/>
        <w:jc w:val="both"/>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position w:val="7"/>
          <w:sz w:val="19"/>
          <w:szCs w:val="19"/>
        </w:rPr>
        <w:t xml:space="preserve"> </w:t>
      </w:r>
      <w:r w:rsidRPr="00CB7E8C">
        <w:rPr>
          <w:rFonts w:ascii="Arial" w:hAnsi="Arial" w:cs="Arial"/>
          <w:sz w:val="19"/>
          <w:szCs w:val="19"/>
        </w:rPr>
        <w:t>Consejo de Estado. Sección Tercera. Sentencia del 23 de junio de 2010. Radicación No. 66001-23-31-000-1998-00261-01(17.860). Consejero Ponente: Mauricio Fajardo Gómez.</w:t>
      </w:r>
    </w:p>
    <w:p w14:paraId="7F142831" w14:textId="77777777" w:rsidR="00175D93" w:rsidRPr="00CB7E8C" w:rsidRDefault="00175D93" w:rsidP="00CB7E8C">
      <w:pPr>
        <w:spacing w:after="0" w:line="240" w:lineRule="auto"/>
        <w:ind w:firstLine="709"/>
        <w:contextualSpacing/>
        <w:jc w:val="both"/>
        <w:rPr>
          <w:rFonts w:ascii="Arial" w:hAnsi="Arial" w:cs="Arial"/>
          <w:sz w:val="19"/>
          <w:szCs w:val="19"/>
        </w:rPr>
      </w:pPr>
    </w:p>
  </w:footnote>
  <w:footnote w:id="25">
    <w:p w14:paraId="237D416E" w14:textId="77777777" w:rsidR="00CC1950" w:rsidRPr="00CB7E8C" w:rsidRDefault="00CC1950" w:rsidP="00CB7E8C">
      <w:pPr>
        <w:spacing w:after="0" w:line="240" w:lineRule="auto"/>
        <w:ind w:firstLine="709"/>
        <w:contextualSpacing/>
        <w:jc w:val="both"/>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Sección Tercera. Subsección C. Sentencia del 11 de diciembre de 2019. </w:t>
      </w:r>
      <w:proofErr w:type="spellStart"/>
      <w:r w:rsidRPr="00CB7E8C">
        <w:rPr>
          <w:rFonts w:ascii="Arial" w:hAnsi="Arial" w:cs="Arial"/>
          <w:sz w:val="19"/>
          <w:szCs w:val="19"/>
        </w:rPr>
        <w:t>Exp</w:t>
      </w:r>
      <w:proofErr w:type="spellEnd"/>
      <w:r w:rsidRPr="00CB7E8C">
        <w:rPr>
          <w:rFonts w:ascii="Arial" w:hAnsi="Arial" w:cs="Arial"/>
          <w:sz w:val="19"/>
          <w:szCs w:val="19"/>
        </w:rPr>
        <w:t>. 46.986. C.P. Jaime Enrique Rodríguez Navas.</w:t>
      </w:r>
    </w:p>
    <w:p w14:paraId="1743E6AA" w14:textId="77777777" w:rsidR="00CC1950" w:rsidRPr="00CB7E8C" w:rsidRDefault="00CC1950" w:rsidP="00CB7E8C">
      <w:pPr>
        <w:spacing w:after="0" w:line="240" w:lineRule="auto"/>
        <w:ind w:firstLine="709"/>
        <w:contextualSpacing/>
        <w:jc w:val="both"/>
        <w:rPr>
          <w:rFonts w:ascii="Arial" w:hAnsi="Arial" w:cs="Arial"/>
          <w:sz w:val="19"/>
          <w:szCs w:val="19"/>
        </w:rPr>
      </w:pPr>
    </w:p>
  </w:footnote>
  <w:footnote w:id="26">
    <w:p w14:paraId="22F4C919" w14:textId="77777777" w:rsidR="00CC1950" w:rsidRPr="00CB7E8C" w:rsidRDefault="00CC1950" w:rsidP="00CB7E8C">
      <w:pPr>
        <w:pStyle w:val="Textonotapie"/>
        <w:spacing w:after="0" w:line="240" w:lineRule="auto"/>
        <w:ind w:firstLine="708"/>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[Referencia propia de la cita] «CE. SCSC. Concepto de 1 de noviembre de 2016 [Rad. 11001-03-06-000-2016-00125-00(2305)]. MP. Germán Alberto Bula Escobar».</w:t>
      </w:r>
    </w:p>
    <w:p w14:paraId="23D3868C" w14:textId="77777777" w:rsidR="00CC1950" w:rsidRPr="00CB7E8C" w:rsidRDefault="00CC1950" w:rsidP="00CB7E8C">
      <w:pPr>
        <w:pStyle w:val="Textonotapie"/>
        <w:spacing w:after="0" w:line="240" w:lineRule="auto"/>
        <w:ind w:firstLine="708"/>
        <w:contextualSpacing/>
        <w:rPr>
          <w:rFonts w:ascii="Arial" w:hAnsi="Arial" w:cs="Arial"/>
          <w:sz w:val="19"/>
          <w:szCs w:val="19"/>
        </w:rPr>
      </w:pPr>
    </w:p>
  </w:footnote>
  <w:footnote w:id="27">
    <w:p w14:paraId="04DD60C3" w14:textId="77777777" w:rsidR="00CC1950" w:rsidRPr="00CB7E8C" w:rsidRDefault="00CC1950" w:rsidP="00CB7E8C">
      <w:pPr>
        <w:pStyle w:val="Textonotapie"/>
        <w:spacing w:after="0" w:line="240" w:lineRule="auto"/>
        <w:ind w:firstLine="708"/>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CB7E8C">
        <w:rPr>
          <w:rFonts w:ascii="Arial" w:hAnsi="Arial" w:cs="Arial"/>
          <w:i/>
          <w:sz w:val="19"/>
          <w:szCs w:val="19"/>
        </w:rPr>
        <w:t>“obligacional”</w:t>
      </w:r>
      <w:r w:rsidRPr="00CB7E8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8">
    <w:p w14:paraId="3BD5B949" w14:textId="77777777" w:rsidR="00CC1950" w:rsidRPr="00CB7E8C" w:rsidRDefault="00CC1950" w:rsidP="00CB7E8C">
      <w:pPr>
        <w:pStyle w:val="Textonotapie"/>
        <w:spacing w:after="0" w:line="240" w:lineRule="auto"/>
        <w:ind w:firstLine="708"/>
        <w:contextualSpacing/>
        <w:rPr>
          <w:rFonts w:ascii="Arial" w:hAnsi="Arial" w:cs="Arial"/>
          <w:sz w:val="19"/>
          <w:szCs w:val="19"/>
        </w:rPr>
      </w:pPr>
    </w:p>
    <w:p w14:paraId="1131F1F3" w14:textId="77777777" w:rsidR="00CC1950" w:rsidRPr="00CB7E8C" w:rsidRDefault="00CC1950" w:rsidP="00CB7E8C">
      <w:pPr>
        <w:pStyle w:val="Textonotapie"/>
        <w:spacing w:after="0" w:line="240" w:lineRule="auto"/>
        <w:ind w:firstLine="708"/>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[Referencia propia de la cita] «La normativa vigente del EGCAP </w:t>
      </w:r>
      <w:r w:rsidRPr="00CB7E8C">
        <w:rPr>
          <w:rFonts w:ascii="Arial" w:hAnsi="Arial" w:cs="Arial"/>
          <w:i/>
          <w:sz w:val="19"/>
          <w:szCs w:val="19"/>
        </w:rPr>
        <w:t>[literal c) del numeral 4. del artículo 2 de la Ley 1150/07]</w:t>
      </w:r>
      <w:r w:rsidRPr="00CB7E8C">
        <w:rPr>
          <w:rFonts w:ascii="Arial" w:hAnsi="Arial" w:cs="Arial"/>
          <w:sz w:val="19"/>
          <w:szCs w:val="19"/>
        </w:rPr>
        <w:t xml:space="preserve"> se refiere a </w:t>
      </w:r>
      <w:r w:rsidRPr="00CB7E8C">
        <w:rPr>
          <w:rFonts w:ascii="Arial" w:hAnsi="Arial" w:cs="Arial"/>
          <w:i/>
          <w:sz w:val="19"/>
          <w:szCs w:val="19"/>
        </w:rPr>
        <w:t>“contratos interadministrativos”</w:t>
      </w:r>
      <w:r w:rsidRPr="00CB7E8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41BB53E" w14:textId="77777777" w:rsidR="00CC1950" w:rsidRPr="00CB7E8C" w:rsidRDefault="00CC1950" w:rsidP="00CB7E8C">
      <w:pPr>
        <w:pStyle w:val="Textonotapie"/>
        <w:spacing w:after="0" w:line="240" w:lineRule="auto"/>
        <w:ind w:firstLine="708"/>
        <w:contextualSpacing/>
        <w:rPr>
          <w:rFonts w:ascii="Arial" w:hAnsi="Arial" w:cs="Arial"/>
          <w:sz w:val="19"/>
          <w:szCs w:val="19"/>
        </w:rPr>
      </w:pPr>
    </w:p>
  </w:footnote>
  <w:footnote w:id="29">
    <w:p w14:paraId="7604EDAD" w14:textId="77777777" w:rsidR="00CC1950" w:rsidRPr="00CB7E8C" w:rsidRDefault="00CC1950" w:rsidP="00CB7E8C">
      <w:pPr>
        <w:pStyle w:val="Textonotapie"/>
        <w:spacing w:after="0" w:line="240" w:lineRule="auto"/>
        <w:ind w:firstLine="708"/>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CB7E8C">
        <w:rPr>
          <w:rFonts w:ascii="Arial" w:hAnsi="Arial" w:cs="Arial"/>
          <w:sz w:val="19"/>
          <w:szCs w:val="19"/>
        </w:rPr>
        <w:t>Exp</w:t>
      </w:r>
      <w:proofErr w:type="spellEnd"/>
      <w:r w:rsidRPr="00CB7E8C">
        <w:rPr>
          <w:rFonts w:ascii="Arial" w:hAnsi="Arial" w:cs="Arial"/>
          <w:sz w:val="19"/>
          <w:szCs w:val="19"/>
        </w:rPr>
        <w:t xml:space="preserve">. 2.257. M.P. Álvaro </w:t>
      </w:r>
      <w:proofErr w:type="spellStart"/>
      <w:r w:rsidRPr="00CB7E8C">
        <w:rPr>
          <w:rFonts w:ascii="Arial" w:hAnsi="Arial" w:cs="Arial"/>
          <w:sz w:val="19"/>
          <w:szCs w:val="19"/>
        </w:rPr>
        <w:t>Namén</w:t>
      </w:r>
      <w:proofErr w:type="spellEnd"/>
      <w:r w:rsidRPr="00CB7E8C">
        <w:rPr>
          <w:rFonts w:ascii="Arial" w:hAnsi="Arial" w:cs="Arial"/>
          <w:sz w:val="19"/>
          <w:szCs w:val="19"/>
        </w:rPr>
        <w:t xml:space="preserve"> Vargas).</w:t>
      </w:r>
    </w:p>
    <w:p w14:paraId="361F041A" w14:textId="77777777" w:rsidR="00CC1950" w:rsidRPr="00CB7E8C" w:rsidRDefault="00CC1950" w:rsidP="00CB7E8C">
      <w:pPr>
        <w:pStyle w:val="Textonotapie"/>
        <w:spacing w:after="0" w:line="240" w:lineRule="auto"/>
        <w:ind w:firstLine="708"/>
        <w:contextualSpacing/>
        <w:rPr>
          <w:rFonts w:ascii="Arial" w:hAnsi="Arial" w:cs="Arial"/>
          <w:sz w:val="19"/>
          <w:szCs w:val="19"/>
        </w:rPr>
      </w:pPr>
    </w:p>
  </w:footnote>
  <w:footnote w:id="30">
    <w:p w14:paraId="5EED35D5" w14:textId="77777777" w:rsidR="00CC1950" w:rsidRPr="00CB7E8C" w:rsidRDefault="00CC1950" w:rsidP="00CB7E8C">
      <w:pPr>
        <w:pStyle w:val="Textonotapie"/>
        <w:spacing w:after="0" w:line="240" w:lineRule="auto"/>
        <w:ind w:firstLine="708"/>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Es lo que sucede, por ejemplo, con el Decreto 092 de 2017, que en su desarrollo hace referencia tanto a los «contratos» como a los «convenios». </w:t>
      </w:r>
    </w:p>
    <w:p w14:paraId="4D3704CB" w14:textId="77777777" w:rsidR="00CC1950" w:rsidRPr="00CB7E8C" w:rsidRDefault="00CC1950" w:rsidP="00CB7E8C">
      <w:pPr>
        <w:pStyle w:val="Textonotapie"/>
        <w:spacing w:after="0" w:line="240" w:lineRule="auto"/>
        <w:ind w:firstLine="708"/>
        <w:contextualSpacing/>
        <w:rPr>
          <w:rFonts w:ascii="Arial" w:hAnsi="Arial" w:cs="Arial"/>
          <w:sz w:val="19"/>
          <w:szCs w:val="19"/>
          <w:lang w:val="es-CO"/>
        </w:rPr>
      </w:pPr>
    </w:p>
  </w:footnote>
  <w:footnote w:id="31">
    <w:p w14:paraId="755289E6" w14:textId="36128B28" w:rsidR="00175D93" w:rsidRPr="00CB7E8C" w:rsidRDefault="00CC1950" w:rsidP="00CB7E8C">
      <w:pPr>
        <w:pStyle w:val="Textonotapie"/>
        <w:spacing w:after="0" w:line="240" w:lineRule="auto"/>
        <w:ind w:firstLine="708"/>
        <w:contextualSpacing/>
        <w:rPr>
          <w:rFonts w:ascii="Arial" w:hAnsi="Arial" w:cs="Arial"/>
          <w:sz w:val="19"/>
          <w:szCs w:val="19"/>
          <w:lang w:val="es-CO"/>
        </w:rPr>
      </w:pPr>
      <w:r w:rsidRPr="00CB7E8C">
        <w:rPr>
          <w:rStyle w:val="Refdenotaalpie"/>
          <w:rFonts w:ascii="Arial" w:hAnsi="Arial" w:cs="Arial"/>
          <w:sz w:val="19"/>
          <w:szCs w:val="19"/>
        </w:rPr>
        <w:footnoteRef/>
      </w:r>
      <w:r w:rsidRPr="00CB7E8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2">
    <w:p w14:paraId="714104C0" w14:textId="77777777" w:rsidR="00E1537C" w:rsidRPr="00CB7E8C" w:rsidRDefault="00E1537C" w:rsidP="00CB7E8C">
      <w:pPr>
        <w:spacing w:after="0" w:line="240" w:lineRule="auto"/>
        <w:ind w:firstLine="708"/>
        <w:contextualSpacing/>
        <w:jc w:val="both"/>
        <w:rPr>
          <w:rFonts w:ascii="Arial" w:eastAsia="Calibri"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w:t>
      </w:r>
      <w:r w:rsidRPr="00CB7E8C">
        <w:rPr>
          <w:rFonts w:ascii="Arial" w:eastAsia="Calibri" w:hAnsi="Arial" w:cs="Arial"/>
          <w:color w:val="000000" w:themeColor="text1"/>
          <w:sz w:val="19"/>
          <w:szCs w:val="19"/>
        </w:rPr>
        <w:t xml:space="preserve">«ARTÍCULO 124. Con el propósito de promover la reactivación económica y la generación de empleo en las regiones, a partir de la publicación de la presente ley y durante la vigencia fiscal 2022, </w:t>
      </w:r>
      <w:r w:rsidRPr="00CB7E8C">
        <w:rPr>
          <w:rFonts w:ascii="Arial" w:eastAsia="Calibri" w:hAnsi="Arial" w:cs="Arial"/>
          <w:i/>
          <w:color w:val="000000" w:themeColor="text1"/>
          <w:sz w:val="19"/>
          <w:szCs w:val="19"/>
        </w:rPr>
        <w:t>la Nación podrá celebrar convenios interadministrativos con las entidades territoriales para ejecutar programas y proyectos correspondientes al Presupuesto General de la Nación.</w:t>
      </w:r>
    </w:p>
    <w:p w14:paraId="66602831" w14:textId="77777777" w:rsidR="00E1537C" w:rsidRPr="00CB7E8C" w:rsidRDefault="00E1537C" w:rsidP="00CB7E8C">
      <w:pPr>
        <w:spacing w:after="0" w:line="240" w:lineRule="auto"/>
        <w:ind w:firstLine="708"/>
        <w:contextualSpacing/>
        <w:jc w:val="both"/>
        <w:rPr>
          <w:rFonts w:ascii="Arial" w:eastAsia="Calibri" w:hAnsi="Arial" w:cs="Arial"/>
          <w:color w:val="000000" w:themeColor="text1"/>
          <w:sz w:val="19"/>
          <w:szCs w:val="19"/>
        </w:rPr>
      </w:pPr>
      <w:proofErr w:type="gramStart"/>
      <w:r w:rsidRPr="00CB7E8C">
        <w:rPr>
          <w:rFonts w:ascii="Arial" w:eastAsia="Calibri" w:hAnsi="Arial" w:cs="Arial"/>
          <w:color w:val="000000" w:themeColor="text1"/>
          <w:sz w:val="19"/>
          <w:szCs w:val="19"/>
        </w:rPr>
        <w:t>»La</w:t>
      </w:r>
      <w:proofErr w:type="gramEnd"/>
      <w:r w:rsidRPr="00CB7E8C">
        <w:rPr>
          <w:rFonts w:ascii="Arial" w:eastAsia="Calibri" w:hAnsi="Arial" w:cs="Arial"/>
          <w:color w:val="000000" w:themeColor="text1"/>
          <w:sz w:val="19"/>
          <w:szCs w:val="19"/>
        </w:rPr>
        <w:t xml:space="preserve"> presente disposición modifica únicamente en la parte pertinente el inciso primero del parágrafo del artículo 38 de la Ley 996 de 2005.</w:t>
      </w:r>
    </w:p>
    <w:p w14:paraId="11F2D61E" w14:textId="7A813F60" w:rsidR="00E1537C" w:rsidRDefault="00E1537C" w:rsidP="00CB7E8C">
      <w:pPr>
        <w:pStyle w:val="Textonotapie"/>
        <w:spacing w:after="0" w:line="240" w:lineRule="auto"/>
        <w:ind w:firstLine="708"/>
        <w:contextualSpacing/>
        <w:rPr>
          <w:rFonts w:ascii="Arial" w:eastAsia="Calibri" w:hAnsi="Arial" w:cs="Arial"/>
          <w:color w:val="000000" w:themeColor="text1"/>
          <w:sz w:val="19"/>
          <w:szCs w:val="19"/>
        </w:rPr>
      </w:pPr>
      <w:proofErr w:type="gramStart"/>
      <w:r w:rsidRPr="00CB7E8C">
        <w:rPr>
          <w:rFonts w:ascii="Arial" w:eastAsia="Calibri" w:hAnsi="Arial" w:cs="Arial"/>
          <w:color w:val="000000" w:themeColor="text1"/>
          <w:sz w:val="19"/>
          <w:szCs w:val="19"/>
        </w:rPr>
        <w:t>»PARÁGRAFO</w:t>
      </w:r>
      <w:proofErr w:type="gramEnd"/>
      <w:r w:rsidRPr="00CB7E8C">
        <w:rPr>
          <w:rFonts w:ascii="Arial" w:eastAsia="Calibri" w:hAnsi="Arial" w:cs="Arial"/>
          <w:color w:val="000000" w:themeColor="text1"/>
          <w:sz w:val="19"/>
          <w:szCs w:val="19"/>
        </w:rPr>
        <w:t>.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 (</w:t>
      </w:r>
      <w:r w:rsidRPr="00CB7E8C">
        <w:rPr>
          <w:rFonts w:ascii="Arial" w:eastAsia="Calibri" w:hAnsi="Arial" w:cs="Arial"/>
          <w:color w:val="000000" w:themeColor="text1"/>
          <w:sz w:val="19"/>
          <w:szCs w:val="19"/>
          <w:lang w:val="es-CO"/>
        </w:rPr>
        <w:t>Cursiva</w:t>
      </w:r>
      <w:r w:rsidRPr="00CB7E8C">
        <w:rPr>
          <w:rFonts w:ascii="Arial" w:eastAsia="Calibri" w:hAnsi="Arial" w:cs="Arial"/>
          <w:color w:val="000000" w:themeColor="text1"/>
          <w:sz w:val="19"/>
          <w:szCs w:val="19"/>
        </w:rPr>
        <w:t xml:space="preserve"> fuera de texto).</w:t>
      </w:r>
    </w:p>
    <w:p w14:paraId="4B694BC6" w14:textId="77777777" w:rsidR="00175D93" w:rsidRPr="00CB7E8C" w:rsidRDefault="00175D93" w:rsidP="00CB7E8C">
      <w:pPr>
        <w:pStyle w:val="Textonotapie"/>
        <w:spacing w:after="0" w:line="240" w:lineRule="auto"/>
        <w:ind w:firstLine="708"/>
        <w:contextualSpacing/>
        <w:rPr>
          <w:rFonts w:ascii="Arial" w:hAnsi="Arial" w:cs="Arial"/>
          <w:color w:val="000000" w:themeColor="text1"/>
          <w:sz w:val="19"/>
          <w:szCs w:val="19"/>
          <w:lang w:val="es-ES"/>
        </w:rPr>
      </w:pPr>
    </w:p>
  </w:footnote>
  <w:footnote w:id="33">
    <w:p w14:paraId="2C0CE91C" w14:textId="218CB530" w:rsidR="00E1537C" w:rsidRDefault="00E1537C"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En relación con el alcance del artículo 124 de la Ley 2195 de 2022, se pueden consultar, entre otros, los conceptos C-736 del 31 de enero de 2022.</w:t>
      </w:r>
    </w:p>
    <w:p w14:paraId="2E0FA624" w14:textId="77777777" w:rsidR="00175D93" w:rsidRPr="00CB7E8C" w:rsidRDefault="00175D93" w:rsidP="00CB7E8C">
      <w:pPr>
        <w:pStyle w:val="Textonotapie"/>
        <w:spacing w:after="0" w:line="240" w:lineRule="auto"/>
        <w:ind w:firstLine="708"/>
        <w:contextualSpacing/>
        <w:rPr>
          <w:rFonts w:ascii="Arial" w:hAnsi="Arial" w:cs="Arial"/>
          <w:color w:val="000000" w:themeColor="text1"/>
          <w:sz w:val="19"/>
          <w:szCs w:val="19"/>
        </w:rPr>
      </w:pPr>
    </w:p>
  </w:footnote>
  <w:footnote w:id="34">
    <w:p w14:paraId="06579118" w14:textId="2965734B" w:rsidR="00E1537C" w:rsidRDefault="00E1537C" w:rsidP="00CB7E8C">
      <w:pPr>
        <w:pStyle w:val="Textonotapie"/>
        <w:spacing w:after="0" w:line="240" w:lineRule="auto"/>
        <w:ind w:firstLine="709"/>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3404D146" w14:textId="77777777" w:rsidR="00175D93" w:rsidRPr="00CB7E8C" w:rsidRDefault="00175D93" w:rsidP="00CB7E8C">
      <w:pPr>
        <w:pStyle w:val="Textonotapie"/>
        <w:spacing w:after="0" w:line="240" w:lineRule="auto"/>
        <w:ind w:firstLine="709"/>
        <w:contextualSpacing/>
        <w:rPr>
          <w:rFonts w:ascii="Arial" w:hAnsi="Arial" w:cs="Arial"/>
          <w:sz w:val="19"/>
          <w:szCs w:val="19"/>
        </w:rPr>
      </w:pPr>
    </w:p>
  </w:footnote>
  <w:footnote w:id="35">
    <w:p w14:paraId="5E16CF8A" w14:textId="37DD39C8" w:rsidR="00415835" w:rsidRDefault="00415835"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3CFE6ED8" w14:textId="77777777" w:rsidR="00175D93" w:rsidRPr="00CB7E8C" w:rsidRDefault="00175D93" w:rsidP="00CB7E8C">
      <w:pPr>
        <w:pStyle w:val="Textonotapie"/>
        <w:spacing w:after="0" w:line="240" w:lineRule="auto"/>
        <w:ind w:firstLine="708"/>
        <w:contextualSpacing/>
        <w:rPr>
          <w:rFonts w:ascii="Arial" w:hAnsi="Arial" w:cs="Arial"/>
          <w:color w:val="000000" w:themeColor="text1"/>
          <w:sz w:val="19"/>
          <w:szCs w:val="19"/>
        </w:rPr>
      </w:pPr>
    </w:p>
  </w:footnote>
  <w:footnote w:id="36">
    <w:p w14:paraId="2C24C4B7" w14:textId="77777777" w:rsidR="00415835" w:rsidRPr="00CB7E8C" w:rsidRDefault="00415835"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99B6352" w14:textId="07EF2F5C" w:rsidR="00415835" w:rsidRDefault="00415835" w:rsidP="00CB7E8C">
      <w:pPr>
        <w:pStyle w:val="Textonotapie"/>
        <w:spacing w:after="0" w:line="240" w:lineRule="auto"/>
        <w:ind w:firstLine="708"/>
        <w:contextualSpacing/>
        <w:rPr>
          <w:rFonts w:ascii="Arial" w:hAnsi="Arial" w:cs="Arial"/>
          <w:color w:val="000000" w:themeColor="text1"/>
          <w:sz w:val="19"/>
          <w:szCs w:val="19"/>
        </w:rPr>
      </w:pPr>
      <w:r w:rsidRPr="00CB7E8C">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DF89C8F" w14:textId="77777777" w:rsidR="00175D93" w:rsidRPr="00CB7E8C" w:rsidRDefault="00175D93" w:rsidP="00CB7E8C">
      <w:pPr>
        <w:pStyle w:val="Textonotapie"/>
        <w:spacing w:after="0" w:line="240" w:lineRule="auto"/>
        <w:ind w:firstLine="708"/>
        <w:contextualSpacing/>
        <w:rPr>
          <w:rFonts w:ascii="Arial" w:hAnsi="Arial" w:cs="Arial"/>
          <w:color w:val="000000" w:themeColor="text1"/>
          <w:sz w:val="19"/>
          <w:szCs w:val="19"/>
        </w:rPr>
      </w:pPr>
    </w:p>
  </w:footnote>
  <w:footnote w:id="37">
    <w:p w14:paraId="025FDA48" w14:textId="459B065F" w:rsidR="00F8124A" w:rsidRDefault="00F8124A"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67503E0E" w14:textId="77777777" w:rsidR="00175D93" w:rsidRPr="00CB7E8C" w:rsidRDefault="00175D93" w:rsidP="00CB7E8C">
      <w:pPr>
        <w:pStyle w:val="Textonotapie"/>
        <w:spacing w:after="0" w:line="240" w:lineRule="auto"/>
        <w:ind w:firstLine="708"/>
        <w:contextualSpacing/>
        <w:rPr>
          <w:rFonts w:ascii="Arial" w:hAnsi="Arial" w:cs="Arial"/>
          <w:color w:val="000000" w:themeColor="text1"/>
          <w:sz w:val="19"/>
          <w:szCs w:val="19"/>
        </w:rPr>
      </w:pPr>
    </w:p>
  </w:footnote>
  <w:footnote w:id="38">
    <w:p w14:paraId="3245A49E" w14:textId="0C698D3C" w:rsidR="00F8124A" w:rsidRDefault="00F8124A" w:rsidP="00CB7E8C">
      <w:pPr>
        <w:pStyle w:val="Textonotapie"/>
        <w:spacing w:after="0" w:line="240" w:lineRule="auto"/>
        <w:ind w:firstLine="708"/>
        <w:contextualSpacing/>
        <w:rPr>
          <w:rFonts w:ascii="Arial" w:hAnsi="Arial" w:cs="Arial"/>
          <w:sz w:val="19"/>
          <w:szCs w:val="19"/>
        </w:rPr>
      </w:pPr>
      <w:r w:rsidRPr="00CB7E8C">
        <w:rPr>
          <w:rStyle w:val="Refdenotaalpie"/>
          <w:rFonts w:ascii="Arial" w:hAnsi="Arial" w:cs="Arial"/>
          <w:sz w:val="19"/>
          <w:szCs w:val="19"/>
        </w:rPr>
        <w:footnoteRef/>
      </w:r>
      <w:r w:rsidRPr="00CB7E8C">
        <w:rPr>
          <w:rFonts w:ascii="Arial" w:hAnsi="Arial" w:cs="Arial"/>
          <w:sz w:val="19"/>
          <w:szCs w:val="19"/>
        </w:rPr>
        <w:t xml:space="preserve"> Concepto del 12 de diciembre de 2019, radicado No. </w:t>
      </w:r>
      <w:r w:rsidRPr="00CB7E8C">
        <w:rPr>
          <w:rFonts w:ascii="Arial" w:eastAsia="Calibri" w:hAnsi="Arial" w:cs="Arial"/>
          <w:color w:val="000000" w:themeColor="text1"/>
          <w:sz w:val="19"/>
          <w:szCs w:val="19"/>
        </w:rPr>
        <w:t>2201913000009196</w:t>
      </w:r>
      <w:r w:rsidRPr="00CB7E8C">
        <w:rPr>
          <w:rFonts w:ascii="Arial" w:hAnsi="Arial" w:cs="Arial"/>
          <w:sz w:val="19"/>
          <w:szCs w:val="19"/>
        </w:rPr>
        <w:t>.</w:t>
      </w:r>
    </w:p>
    <w:p w14:paraId="485BEAB9" w14:textId="77777777" w:rsidR="00175D93" w:rsidRPr="00CB7E8C" w:rsidRDefault="00175D93" w:rsidP="00CB7E8C">
      <w:pPr>
        <w:pStyle w:val="Textonotapie"/>
        <w:spacing w:after="0" w:line="240" w:lineRule="auto"/>
        <w:ind w:firstLine="708"/>
        <w:contextualSpacing/>
        <w:rPr>
          <w:rFonts w:ascii="Arial" w:hAnsi="Arial" w:cs="Arial"/>
          <w:sz w:val="19"/>
          <w:szCs w:val="19"/>
        </w:rPr>
      </w:pPr>
    </w:p>
    <w:p w14:paraId="34C91E8A" w14:textId="77777777" w:rsidR="00F8124A" w:rsidRPr="00CB7E8C" w:rsidRDefault="00F8124A" w:rsidP="00CB7E8C">
      <w:pPr>
        <w:pStyle w:val="Textonotapie"/>
        <w:spacing w:after="0" w:line="240" w:lineRule="auto"/>
        <w:ind w:firstLine="708"/>
        <w:contextualSpacing/>
        <w:rPr>
          <w:rFonts w:ascii="Arial" w:hAnsi="Arial" w:cs="Arial"/>
          <w:sz w:val="19"/>
          <w:szCs w:val="19"/>
        </w:rPr>
      </w:pPr>
    </w:p>
  </w:footnote>
  <w:footnote w:id="39">
    <w:p w14:paraId="22A55626" w14:textId="09489054" w:rsidR="00F8124A" w:rsidRDefault="00F8124A"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Concepto del 3 de septiembre de 2019, emitido en el radicado No. 2201913000006512.</w:t>
      </w:r>
    </w:p>
    <w:p w14:paraId="3FD5A72E" w14:textId="77777777" w:rsidR="00175D93" w:rsidRPr="00CB7E8C" w:rsidRDefault="00175D93" w:rsidP="00CB7E8C">
      <w:pPr>
        <w:pStyle w:val="Textonotapie"/>
        <w:spacing w:after="0" w:line="240" w:lineRule="auto"/>
        <w:ind w:firstLine="708"/>
        <w:contextualSpacing/>
        <w:rPr>
          <w:rFonts w:ascii="Arial" w:hAnsi="Arial" w:cs="Arial"/>
          <w:color w:val="000000" w:themeColor="text1"/>
          <w:sz w:val="19"/>
          <w:szCs w:val="19"/>
        </w:rPr>
      </w:pPr>
    </w:p>
  </w:footnote>
  <w:footnote w:id="40">
    <w:p w14:paraId="3BE6A441" w14:textId="77777777" w:rsidR="00F8124A" w:rsidRPr="00CB7E8C" w:rsidRDefault="00F8124A" w:rsidP="00CB7E8C">
      <w:pPr>
        <w:pStyle w:val="Textonotapie"/>
        <w:spacing w:after="0" w:line="240" w:lineRule="auto"/>
        <w:ind w:firstLine="708"/>
        <w:contextualSpacing/>
        <w:rPr>
          <w:rFonts w:ascii="Arial" w:hAnsi="Arial" w:cs="Arial"/>
          <w:color w:val="000000"/>
          <w:sz w:val="19"/>
          <w:szCs w:val="19"/>
        </w:rPr>
      </w:pPr>
      <w:r w:rsidRPr="00CB7E8C">
        <w:rPr>
          <w:rStyle w:val="Refdenotaalpie"/>
          <w:rFonts w:ascii="Arial" w:hAnsi="Arial" w:cs="Arial"/>
          <w:color w:val="000000"/>
          <w:sz w:val="19"/>
          <w:szCs w:val="19"/>
        </w:rPr>
        <w:footnoteRef/>
      </w:r>
      <w:r w:rsidRPr="00CB7E8C">
        <w:rPr>
          <w:rFonts w:ascii="Arial" w:hAnsi="Arial" w:cs="Arial"/>
          <w:color w:val="000000"/>
          <w:sz w:val="19"/>
          <w:szCs w:val="19"/>
        </w:rPr>
        <w:t xml:space="preserve"> El numeral 16.9 de la Circular Externa Única de Colombia Compra Eficiente determina:</w:t>
      </w:r>
    </w:p>
    <w:p w14:paraId="1A383126" w14:textId="77777777" w:rsidR="00F8124A" w:rsidRPr="00CB7E8C" w:rsidRDefault="00F8124A" w:rsidP="00CB7E8C">
      <w:pPr>
        <w:pStyle w:val="Textonotapie"/>
        <w:spacing w:after="0" w:line="240" w:lineRule="auto"/>
        <w:ind w:firstLine="709"/>
        <w:contextualSpacing/>
        <w:rPr>
          <w:rFonts w:ascii="Arial" w:hAnsi="Arial" w:cs="Arial"/>
          <w:color w:val="000000"/>
          <w:sz w:val="19"/>
          <w:szCs w:val="19"/>
        </w:rPr>
      </w:pPr>
      <w:r w:rsidRPr="00CB7E8C">
        <w:rPr>
          <w:rFonts w:ascii="Arial" w:hAnsi="Arial" w:cs="Arial"/>
          <w:color w:val="000000"/>
          <w:sz w:val="19"/>
          <w:szCs w:val="19"/>
        </w:rPr>
        <w:t>«16.9 Uniones temporales y consorcios conformados por entidades sin ánimo de lucro.</w:t>
      </w:r>
    </w:p>
    <w:p w14:paraId="78C248FB" w14:textId="027B6030" w:rsidR="00F8124A" w:rsidRDefault="00F8124A" w:rsidP="00CB7E8C">
      <w:pPr>
        <w:pStyle w:val="Textonotapie"/>
        <w:spacing w:after="0" w:line="240" w:lineRule="auto"/>
        <w:ind w:firstLine="708"/>
        <w:contextualSpacing/>
        <w:rPr>
          <w:rFonts w:ascii="Arial" w:hAnsi="Arial" w:cs="Arial"/>
          <w:color w:val="000000"/>
          <w:sz w:val="19"/>
          <w:szCs w:val="19"/>
        </w:rPr>
      </w:pPr>
      <w:proofErr w:type="gramStart"/>
      <w:r w:rsidRPr="00CB7E8C">
        <w:rPr>
          <w:rFonts w:ascii="Arial" w:hAnsi="Arial" w:cs="Arial"/>
          <w:color w:val="000000"/>
          <w:sz w:val="19"/>
          <w:szCs w:val="19"/>
        </w:rPr>
        <w:t>»El</w:t>
      </w:r>
      <w:proofErr w:type="gramEnd"/>
      <w:r w:rsidRPr="00CB7E8C">
        <w:rPr>
          <w:rFonts w:ascii="Arial" w:hAnsi="Arial" w:cs="Arial"/>
          <w:color w:val="000000"/>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5225C80F" w14:textId="77777777" w:rsidR="00175D93" w:rsidRPr="00CB7E8C" w:rsidRDefault="00175D93" w:rsidP="00CB7E8C">
      <w:pPr>
        <w:pStyle w:val="Textonotapie"/>
        <w:spacing w:after="0" w:line="240" w:lineRule="auto"/>
        <w:ind w:firstLine="708"/>
        <w:contextualSpacing/>
        <w:rPr>
          <w:rFonts w:ascii="Arial" w:hAnsi="Arial" w:cs="Arial"/>
          <w:color w:val="000000"/>
          <w:sz w:val="19"/>
          <w:szCs w:val="19"/>
        </w:rPr>
      </w:pPr>
    </w:p>
  </w:footnote>
  <w:footnote w:id="41">
    <w:p w14:paraId="5076BEA4" w14:textId="0E78D141" w:rsidR="00F8124A" w:rsidRDefault="00F8124A" w:rsidP="00CB7E8C">
      <w:pPr>
        <w:pStyle w:val="Textonotapie"/>
        <w:spacing w:after="0" w:line="240" w:lineRule="auto"/>
        <w:ind w:firstLine="708"/>
        <w:contextualSpacing/>
        <w:rPr>
          <w:rFonts w:ascii="Arial" w:hAnsi="Arial" w:cs="Arial"/>
          <w:color w:val="000000"/>
          <w:sz w:val="19"/>
          <w:szCs w:val="19"/>
        </w:rPr>
      </w:pPr>
      <w:r w:rsidRPr="00CB7E8C">
        <w:rPr>
          <w:rStyle w:val="Refdenotaalpie"/>
          <w:rFonts w:ascii="Arial" w:hAnsi="Arial" w:cs="Arial"/>
          <w:color w:val="000000"/>
          <w:sz w:val="19"/>
          <w:szCs w:val="19"/>
        </w:rPr>
        <w:footnoteRef/>
      </w:r>
      <w:r w:rsidRPr="00CB7E8C">
        <w:rPr>
          <w:rFonts w:ascii="Arial" w:hAnsi="Arial" w:cs="Arial"/>
          <w:color w:val="000000"/>
          <w:sz w:val="19"/>
          <w:szCs w:val="19"/>
        </w:rPr>
        <w:t xml:space="preserve"> Concepto del 19 de noviembre de 2019, emitido en el radicado No. 2201913000008611.</w:t>
      </w:r>
    </w:p>
    <w:p w14:paraId="4C006103" w14:textId="77777777" w:rsidR="00175D93" w:rsidRPr="00CB7E8C" w:rsidRDefault="00175D93" w:rsidP="00CB7E8C">
      <w:pPr>
        <w:pStyle w:val="Textonotapie"/>
        <w:spacing w:after="0" w:line="240" w:lineRule="auto"/>
        <w:ind w:firstLine="708"/>
        <w:contextualSpacing/>
        <w:rPr>
          <w:rFonts w:ascii="Arial" w:hAnsi="Arial" w:cs="Arial"/>
          <w:color w:val="000000"/>
          <w:sz w:val="19"/>
          <w:szCs w:val="19"/>
          <w:lang w:val="es-ES"/>
        </w:rPr>
      </w:pPr>
    </w:p>
  </w:footnote>
  <w:footnote w:id="42">
    <w:p w14:paraId="767C8459" w14:textId="77777777" w:rsidR="00F8124A" w:rsidRPr="00CB7E8C" w:rsidRDefault="00F8124A"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1EE4451" w14:textId="77777777" w:rsidR="00F8124A" w:rsidRPr="00CB7E8C" w:rsidRDefault="00F8124A" w:rsidP="00CB7E8C">
      <w:pPr>
        <w:pStyle w:val="Textonotapie"/>
        <w:spacing w:after="0" w:line="240" w:lineRule="auto"/>
        <w:ind w:firstLine="708"/>
        <w:contextualSpacing/>
        <w:rPr>
          <w:rFonts w:ascii="Arial" w:hAnsi="Arial" w:cs="Arial"/>
          <w:color w:val="000000" w:themeColor="text1"/>
          <w:sz w:val="19"/>
          <w:szCs w:val="19"/>
          <w:lang w:val="es-ES"/>
        </w:rPr>
      </w:pPr>
    </w:p>
  </w:footnote>
  <w:footnote w:id="43">
    <w:p w14:paraId="4CBFA62D" w14:textId="77777777" w:rsidR="00F8124A" w:rsidRPr="00CB7E8C" w:rsidRDefault="00F8124A" w:rsidP="00CB7E8C">
      <w:pPr>
        <w:pStyle w:val="Textonotapie"/>
        <w:spacing w:after="0" w:line="240" w:lineRule="auto"/>
        <w:ind w:firstLine="708"/>
        <w:contextualSpacing/>
        <w:rPr>
          <w:rFonts w:ascii="Arial" w:hAnsi="Arial" w:cs="Arial"/>
          <w:color w:val="000000" w:themeColor="text1"/>
          <w:sz w:val="19"/>
          <w:szCs w:val="19"/>
        </w:rPr>
      </w:pPr>
      <w:r w:rsidRPr="00CB7E8C">
        <w:rPr>
          <w:rStyle w:val="Refdenotaalpie"/>
          <w:rFonts w:ascii="Arial" w:hAnsi="Arial" w:cs="Arial"/>
          <w:color w:val="000000" w:themeColor="text1"/>
          <w:sz w:val="19"/>
          <w:szCs w:val="19"/>
        </w:rPr>
        <w:footnoteRef/>
      </w:r>
      <w:r w:rsidRPr="00CB7E8C">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6F56E283" w14:textId="77777777" w:rsidR="00F8124A" w:rsidRPr="00CB7E8C" w:rsidRDefault="00F8124A" w:rsidP="00CB7E8C">
      <w:pPr>
        <w:pStyle w:val="Textonotapie"/>
        <w:spacing w:after="0" w:line="240" w:lineRule="auto"/>
        <w:contextualSpacing/>
        <w:rPr>
          <w:rFonts w:ascii="Arial" w:hAnsi="Arial" w:cs="Arial"/>
          <w:color w:val="000000" w:themeColor="text1"/>
          <w:sz w:val="19"/>
          <w:szCs w:val="19"/>
          <w:lang w:val="es-ES"/>
        </w:rPr>
      </w:pPr>
    </w:p>
  </w:footnote>
  <w:footnote w:id="44">
    <w:p w14:paraId="733CB772" w14:textId="459684FC" w:rsidR="00F8124A" w:rsidRDefault="00F8124A" w:rsidP="00CB7E8C">
      <w:pPr>
        <w:pStyle w:val="Textonotapie"/>
        <w:spacing w:after="0" w:line="240" w:lineRule="auto"/>
        <w:ind w:firstLine="708"/>
        <w:contextualSpacing/>
        <w:rPr>
          <w:rFonts w:ascii="Arial" w:hAnsi="Arial" w:cs="Arial"/>
          <w:sz w:val="19"/>
          <w:szCs w:val="19"/>
          <w:lang w:val="es-CO"/>
        </w:rPr>
      </w:pPr>
      <w:r w:rsidRPr="00CB7E8C">
        <w:rPr>
          <w:rStyle w:val="Refdenotaalpie"/>
          <w:rFonts w:ascii="Arial" w:hAnsi="Arial" w:cs="Arial"/>
          <w:sz w:val="19"/>
          <w:szCs w:val="19"/>
        </w:rPr>
        <w:footnoteRef/>
      </w:r>
      <w:r w:rsidRPr="00CB7E8C">
        <w:rPr>
          <w:rFonts w:ascii="Arial" w:hAnsi="Arial" w:cs="Arial"/>
          <w:sz w:val="19"/>
          <w:szCs w:val="19"/>
        </w:rPr>
        <w:t xml:space="preserve"> </w:t>
      </w:r>
      <w:r w:rsidRPr="00CB7E8C">
        <w:rPr>
          <w:rFonts w:ascii="Arial" w:hAnsi="Arial" w:cs="Arial"/>
          <w:sz w:val="19"/>
          <w:szCs w:val="19"/>
          <w:lang w:val="es-CO"/>
        </w:rPr>
        <w:t xml:space="preserve">CONSEJO DE ESTADO. Sala de Consulta y Servicio Civil. Concepto del 8 de mayo de 2018. Rad. 2382. C.P. Álvaro </w:t>
      </w:r>
      <w:proofErr w:type="spellStart"/>
      <w:r w:rsidRPr="00CB7E8C">
        <w:rPr>
          <w:rFonts w:ascii="Arial" w:hAnsi="Arial" w:cs="Arial"/>
          <w:sz w:val="19"/>
          <w:szCs w:val="19"/>
          <w:lang w:val="es-CO"/>
        </w:rPr>
        <w:t>Namén</w:t>
      </w:r>
      <w:proofErr w:type="spellEnd"/>
      <w:r w:rsidRPr="00CB7E8C">
        <w:rPr>
          <w:rFonts w:ascii="Arial" w:hAnsi="Arial" w:cs="Arial"/>
          <w:sz w:val="19"/>
          <w:szCs w:val="19"/>
          <w:lang w:val="es-CO"/>
        </w:rPr>
        <w:t xml:space="preserve"> Vargas.</w:t>
      </w:r>
    </w:p>
    <w:p w14:paraId="3A7889AB" w14:textId="77777777" w:rsidR="00175D93" w:rsidRPr="00CB7E8C" w:rsidRDefault="00175D93" w:rsidP="00CB7E8C">
      <w:pPr>
        <w:pStyle w:val="Textonotapie"/>
        <w:spacing w:after="0" w:line="240" w:lineRule="auto"/>
        <w:ind w:firstLine="708"/>
        <w:contextualSpacing/>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A80" w14:textId="77777777" w:rsidR="00301B6D" w:rsidRDefault="00DB1FBD">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14D43" w14:textId="77777777" w:rsidR="00301B6D" w:rsidRDefault="00301B6D" w:rsidP="00301B6D">
    <w:pPr>
      <w:pStyle w:val="Encabezado"/>
      <w:spacing w:after="0"/>
    </w:pPr>
  </w:p>
  <w:p w14:paraId="0E3DD83D" w14:textId="77777777" w:rsidR="00301B6D" w:rsidRDefault="00301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8"/>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7"/>
  </w:num>
  <w:num w:numId="29">
    <w:abstractNumId w:val="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23"/>
    <w:rsid w:val="00004152"/>
    <w:rsid w:val="000073BE"/>
    <w:rsid w:val="00007534"/>
    <w:rsid w:val="00010333"/>
    <w:rsid w:val="000370B6"/>
    <w:rsid w:val="00061344"/>
    <w:rsid w:val="00080F8E"/>
    <w:rsid w:val="000B0FF6"/>
    <w:rsid w:val="000C04ED"/>
    <w:rsid w:val="000C1493"/>
    <w:rsid w:val="000D38A1"/>
    <w:rsid w:val="000F341C"/>
    <w:rsid w:val="00104E71"/>
    <w:rsid w:val="00112409"/>
    <w:rsid w:val="0016346E"/>
    <w:rsid w:val="00174706"/>
    <w:rsid w:val="00175D93"/>
    <w:rsid w:val="00176B7A"/>
    <w:rsid w:val="00183806"/>
    <w:rsid w:val="00185051"/>
    <w:rsid w:val="00186060"/>
    <w:rsid w:val="001A0BBF"/>
    <w:rsid w:val="001A4526"/>
    <w:rsid w:val="001B769B"/>
    <w:rsid w:val="001D21F3"/>
    <w:rsid w:val="001E4C5E"/>
    <w:rsid w:val="00201C55"/>
    <w:rsid w:val="00202154"/>
    <w:rsid w:val="00236548"/>
    <w:rsid w:val="00237B05"/>
    <w:rsid w:val="00237FAC"/>
    <w:rsid w:val="00244B1C"/>
    <w:rsid w:val="00252A70"/>
    <w:rsid w:val="00264194"/>
    <w:rsid w:val="00270618"/>
    <w:rsid w:val="00281B48"/>
    <w:rsid w:val="002B3B3A"/>
    <w:rsid w:val="002C0430"/>
    <w:rsid w:val="002D2ECE"/>
    <w:rsid w:val="002D4B8B"/>
    <w:rsid w:val="002E2D40"/>
    <w:rsid w:val="002E41DE"/>
    <w:rsid w:val="00300BA8"/>
    <w:rsid w:val="00301B6D"/>
    <w:rsid w:val="00333312"/>
    <w:rsid w:val="0034289F"/>
    <w:rsid w:val="003471FF"/>
    <w:rsid w:val="00385DE6"/>
    <w:rsid w:val="0039133E"/>
    <w:rsid w:val="003A273F"/>
    <w:rsid w:val="003B045C"/>
    <w:rsid w:val="003C2318"/>
    <w:rsid w:val="003C4862"/>
    <w:rsid w:val="00415835"/>
    <w:rsid w:val="00422F5C"/>
    <w:rsid w:val="00431104"/>
    <w:rsid w:val="00452837"/>
    <w:rsid w:val="00462FFD"/>
    <w:rsid w:val="004705F0"/>
    <w:rsid w:val="00486B76"/>
    <w:rsid w:val="00486D3B"/>
    <w:rsid w:val="004916F0"/>
    <w:rsid w:val="00497B71"/>
    <w:rsid w:val="004B2675"/>
    <w:rsid w:val="004B4CA2"/>
    <w:rsid w:val="004B789A"/>
    <w:rsid w:val="004D41B6"/>
    <w:rsid w:val="004E3692"/>
    <w:rsid w:val="004F2E72"/>
    <w:rsid w:val="004F432F"/>
    <w:rsid w:val="004F4B17"/>
    <w:rsid w:val="004F5C70"/>
    <w:rsid w:val="00515FAF"/>
    <w:rsid w:val="00563589"/>
    <w:rsid w:val="00580A57"/>
    <w:rsid w:val="00583B9F"/>
    <w:rsid w:val="005A66C6"/>
    <w:rsid w:val="005D1DC0"/>
    <w:rsid w:val="005D5767"/>
    <w:rsid w:val="005E415D"/>
    <w:rsid w:val="005F2B73"/>
    <w:rsid w:val="005F4339"/>
    <w:rsid w:val="006112E9"/>
    <w:rsid w:val="006117E7"/>
    <w:rsid w:val="00622CEC"/>
    <w:rsid w:val="00646CF5"/>
    <w:rsid w:val="00647E66"/>
    <w:rsid w:val="00667C06"/>
    <w:rsid w:val="00673D55"/>
    <w:rsid w:val="00674123"/>
    <w:rsid w:val="00676BB4"/>
    <w:rsid w:val="00693825"/>
    <w:rsid w:val="00695447"/>
    <w:rsid w:val="006B0314"/>
    <w:rsid w:val="006C1B75"/>
    <w:rsid w:val="006C314F"/>
    <w:rsid w:val="006C4CAF"/>
    <w:rsid w:val="006F0121"/>
    <w:rsid w:val="006F47F2"/>
    <w:rsid w:val="006F6F6E"/>
    <w:rsid w:val="0071069B"/>
    <w:rsid w:val="0078349B"/>
    <w:rsid w:val="007861C7"/>
    <w:rsid w:val="00787213"/>
    <w:rsid w:val="007A0699"/>
    <w:rsid w:val="007A6243"/>
    <w:rsid w:val="007B1ADA"/>
    <w:rsid w:val="007C6B2E"/>
    <w:rsid w:val="007D666E"/>
    <w:rsid w:val="007D6B81"/>
    <w:rsid w:val="007D7A6D"/>
    <w:rsid w:val="00820B42"/>
    <w:rsid w:val="008559F4"/>
    <w:rsid w:val="008648C0"/>
    <w:rsid w:val="00883C23"/>
    <w:rsid w:val="00886A33"/>
    <w:rsid w:val="008870AC"/>
    <w:rsid w:val="008B41AF"/>
    <w:rsid w:val="008E0383"/>
    <w:rsid w:val="008E1F21"/>
    <w:rsid w:val="008E3661"/>
    <w:rsid w:val="00906730"/>
    <w:rsid w:val="00911176"/>
    <w:rsid w:val="00920F1C"/>
    <w:rsid w:val="00924A75"/>
    <w:rsid w:val="0094721B"/>
    <w:rsid w:val="0095308E"/>
    <w:rsid w:val="009533DD"/>
    <w:rsid w:val="009657DB"/>
    <w:rsid w:val="00973515"/>
    <w:rsid w:val="00980622"/>
    <w:rsid w:val="009976C6"/>
    <w:rsid w:val="009B5870"/>
    <w:rsid w:val="009C0AE1"/>
    <w:rsid w:val="009C4C67"/>
    <w:rsid w:val="009E08A9"/>
    <w:rsid w:val="009F6248"/>
    <w:rsid w:val="00A116E0"/>
    <w:rsid w:val="00A300C6"/>
    <w:rsid w:val="00A351B9"/>
    <w:rsid w:val="00A564F4"/>
    <w:rsid w:val="00A74BE2"/>
    <w:rsid w:val="00AA1627"/>
    <w:rsid w:val="00AA7B58"/>
    <w:rsid w:val="00AB0C32"/>
    <w:rsid w:val="00AB2D55"/>
    <w:rsid w:val="00AC3C47"/>
    <w:rsid w:val="00AC7ED9"/>
    <w:rsid w:val="00AD3184"/>
    <w:rsid w:val="00B05B75"/>
    <w:rsid w:val="00B173FA"/>
    <w:rsid w:val="00B31385"/>
    <w:rsid w:val="00B52C9B"/>
    <w:rsid w:val="00B64ACB"/>
    <w:rsid w:val="00BA170A"/>
    <w:rsid w:val="00BB2660"/>
    <w:rsid w:val="00BB7896"/>
    <w:rsid w:val="00BD2FB0"/>
    <w:rsid w:val="00BD443F"/>
    <w:rsid w:val="00BE51F4"/>
    <w:rsid w:val="00BF32CB"/>
    <w:rsid w:val="00BF36EC"/>
    <w:rsid w:val="00C054F3"/>
    <w:rsid w:val="00C0768B"/>
    <w:rsid w:val="00C23407"/>
    <w:rsid w:val="00C5025B"/>
    <w:rsid w:val="00C51624"/>
    <w:rsid w:val="00C52368"/>
    <w:rsid w:val="00C53096"/>
    <w:rsid w:val="00C6686B"/>
    <w:rsid w:val="00C83CBC"/>
    <w:rsid w:val="00C91855"/>
    <w:rsid w:val="00C94147"/>
    <w:rsid w:val="00C97B5F"/>
    <w:rsid w:val="00CA4235"/>
    <w:rsid w:val="00CB034D"/>
    <w:rsid w:val="00CB375E"/>
    <w:rsid w:val="00CB7E8C"/>
    <w:rsid w:val="00CC1518"/>
    <w:rsid w:val="00CC1950"/>
    <w:rsid w:val="00CE4870"/>
    <w:rsid w:val="00D044F7"/>
    <w:rsid w:val="00D15AE1"/>
    <w:rsid w:val="00D406B8"/>
    <w:rsid w:val="00D477B7"/>
    <w:rsid w:val="00D77C56"/>
    <w:rsid w:val="00D80C84"/>
    <w:rsid w:val="00D90D8A"/>
    <w:rsid w:val="00DB1FBD"/>
    <w:rsid w:val="00DB497E"/>
    <w:rsid w:val="00DC10CE"/>
    <w:rsid w:val="00DC6C86"/>
    <w:rsid w:val="00DD003E"/>
    <w:rsid w:val="00DF5A9D"/>
    <w:rsid w:val="00E0484E"/>
    <w:rsid w:val="00E0769F"/>
    <w:rsid w:val="00E11379"/>
    <w:rsid w:val="00E1537C"/>
    <w:rsid w:val="00E32EEB"/>
    <w:rsid w:val="00E6401D"/>
    <w:rsid w:val="00E71F3C"/>
    <w:rsid w:val="00E75D23"/>
    <w:rsid w:val="00E81AA7"/>
    <w:rsid w:val="00E8294A"/>
    <w:rsid w:val="00E93A6A"/>
    <w:rsid w:val="00EE6DF5"/>
    <w:rsid w:val="00EF0791"/>
    <w:rsid w:val="00EF6644"/>
    <w:rsid w:val="00F04513"/>
    <w:rsid w:val="00F05D7E"/>
    <w:rsid w:val="00F2080B"/>
    <w:rsid w:val="00F3081E"/>
    <w:rsid w:val="00F464FE"/>
    <w:rsid w:val="00F51383"/>
    <w:rsid w:val="00F800DF"/>
    <w:rsid w:val="00F8124A"/>
    <w:rsid w:val="00F820CB"/>
    <w:rsid w:val="00F82416"/>
    <w:rsid w:val="00F833EF"/>
    <w:rsid w:val="00FB2766"/>
    <w:rsid w:val="00FC1379"/>
    <w:rsid w:val="00FE5DD8"/>
    <w:rsid w:val="00FF2BA2"/>
    <w:rsid w:val="00FF66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3C23"/>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83C23"/>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83C2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83C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83C2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83C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C2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C2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C23"/>
    <w:rPr>
      <w:rFonts w:ascii="Arial" w:eastAsia="Times New Roman" w:hAnsi="Arial" w:cs="Arial"/>
      <w:lang w:val="es-ES" w:eastAsia="es-ES"/>
    </w:rPr>
  </w:style>
  <w:style w:type="numbering" w:customStyle="1" w:styleId="Sinlista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customStyle="1" w:styleId="AsuntodelcomentarioCar">
    <w:name w:val="Asunto del comentario Car"/>
    <w:basedOn w:val="TextocomentarioCar"/>
    <w:link w:val="Asuntodelcomentario"/>
    <w:uiPriority w:val="99"/>
    <w:semiHidden/>
    <w:rsid w:val="00883C23"/>
    <w:rPr>
      <w:b/>
      <w:bCs/>
      <w:sz w:val="20"/>
      <w:szCs w:val="20"/>
      <w:lang w:val="es-MX"/>
    </w:rPr>
  </w:style>
  <w:style w:type="character" w:customStyle="1" w:styleId="Hipervnculo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883C23"/>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customStyle="1" w:styleId="Capitulo1">
    <w:name w:val="Capitulo 1"/>
    <w:basedOn w:val="Normal"/>
    <w:uiPriority w:val="99"/>
    <w:qFormat/>
    <w:rsid w:val="00883C23"/>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customStyle="1" w:styleId="pa22">
    <w:name w:val="pa22"/>
    <w:basedOn w:val="Normal"/>
    <w:rsid w:val="00883C23"/>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customStyle="1" w:styleId="Mencinsinresolver1">
    <w:name w:val="Mención sin resolver1"/>
    <w:basedOn w:val="Fuentedeprrafopredeter"/>
    <w:uiPriority w:val="99"/>
    <w:semiHidden/>
    <w:unhideWhenUsed/>
    <w:rsid w:val="00883C23"/>
    <w:rPr>
      <w:color w:val="605E5C"/>
      <w:shd w:val="clear" w:color="auto" w:fill="E1DFDD"/>
    </w:rPr>
  </w:style>
  <w:style w:type="paragraph" w:customStyle="1" w:styleId="Capitulo3">
    <w:name w:val="Capitulo 3"/>
    <w:basedOn w:val="Normal"/>
    <w:qFormat/>
    <w:rsid w:val="00883C23"/>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883C23"/>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883C23"/>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customStyle="1" w:styleId="Appelnotedebasde">
    <w:name w:val="Appel note de bas de..."/>
    <w:basedOn w:val="Normal"/>
    <w:link w:val="Refdenotaalpie"/>
    <w:uiPriority w:val="99"/>
    <w:rsid w:val="00883C23"/>
    <w:pPr>
      <w:spacing w:line="240" w:lineRule="exact"/>
      <w:jc w:val="both"/>
    </w:pPr>
    <w:rPr>
      <w:vertAlign w:val="superscript"/>
    </w:rPr>
  </w:style>
  <w:style w:type="character" w:customStyle="1" w:styleId="NormalWebCar">
    <w:name w:val="Normal (Web) Car"/>
    <w:link w:val="NormalWeb"/>
    <w:uiPriority w:val="99"/>
    <w:locked/>
    <w:rsid w:val="00883C2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3C23"/>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customStyle="1" w:styleId="Tablaconcuadrcula1">
    <w:name w:val="Tabla con cuadrícula1"/>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83C23"/>
  </w:style>
  <w:style w:type="table" w:customStyle="1" w:styleId="Tablaconcuadrcula2">
    <w:name w:val="Tabla con cuadrícula2"/>
    <w:basedOn w:val="Tablanormal"/>
    <w:next w:val="Tablaconcuadrcula"/>
    <w:uiPriority w:val="39"/>
    <w:rsid w:val="00883C2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883C2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883C23"/>
    <w:rPr>
      <w:sz w:val="24"/>
      <w:lang w:val="es-MX"/>
    </w:rPr>
  </w:style>
  <w:style w:type="character" w:customStyle="1" w:styleId="apple-converted-space">
    <w:name w:val="apple-converted-space"/>
    <w:basedOn w:val="Fuentedeprrafopredeter"/>
    <w:rsid w:val="00883C23"/>
  </w:style>
  <w:style w:type="character" w:styleId="Hipervnculo">
    <w:name w:val="Hyperlink"/>
    <w:basedOn w:val="Fuentedeprrafopredeter"/>
    <w:uiPriority w:val="99"/>
    <w:unhideWhenUsed/>
    <w:rsid w:val="00883C23"/>
    <w:rPr>
      <w:color w:val="0563C1" w:themeColor="hyperlink"/>
      <w:u w:val="single"/>
    </w:rPr>
  </w:style>
  <w:style w:type="paragraph" w:customStyle="1" w:styleId="xgmail-cuerpodeltexto0">
    <w:name w:val="x_gmail-cuerpodeltexto0"/>
    <w:basedOn w:val="Normal"/>
    <w:rsid w:val="001E4C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cuerpodeltextocursiva">
    <w:name w:val="x_gmail-cuerpodeltextocursiva"/>
    <w:basedOn w:val="Fuentedeprrafopredeter"/>
    <w:rsid w:val="001E4C5E"/>
  </w:style>
  <w:style w:type="table" w:customStyle="1" w:styleId="Tablaconcuadrcula4">
    <w:name w:val="Tabla con cuadrícula4"/>
    <w:basedOn w:val="Tablanormal"/>
    <w:next w:val="Tablaconcuadrcula"/>
    <w:uiPriority w:val="39"/>
    <w:rsid w:val="00F8124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238829629">
      <w:bodyDiv w:val="1"/>
      <w:marLeft w:val="0"/>
      <w:marRight w:val="0"/>
      <w:marTop w:val="0"/>
      <w:marBottom w:val="0"/>
      <w:divBdr>
        <w:top w:val="none" w:sz="0" w:space="0" w:color="auto"/>
        <w:left w:val="none" w:sz="0" w:space="0" w:color="auto"/>
        <w:bottom w:val="none" w:sz="0" w:space="0" w:color="auto"/>
        <w:right w:val="none" w:sz="0" w:space="0" w:color="auto"/>
      </w:divBdr>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 w:id="205966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E16C6F4-DB0B-4FD0-9C3D-3041E73D90A1}">
  <ds:schemaRefs>
    <ds:schemaRef ds:uri="http://schemas.openxmlformats.org/officeDocument/2006/bibliography"/>
  </ds:schemaRefs>
</ds:datastoreItem>
</file>

<file path=customXml/itemProps2.xml><?xml version="1.0" encoding="utf-8"?>
<ds:datastoreItem xmlns:ds="http://schemas.openxmlformats.org/officeDocument/2006/customXml" ds:itemID="{D9DD3E81-5FFA-45B9-9A3E-D7AF024C6AC2}"/>
</file>

<file path=customXml/itemProps3.xml><?xml version="1.0" encoding="utf-8"?>
<ds:datastoreItem xmlns:ds="http://schemas.openxmlformats.org/officeDocument/2006/customXml" ds:itemID="{D247289A-014D-426F-A359-76B2D81F5D37}"/>
</file>

<file path=customXml/itemProps4.xml><?xml version="1.0" encoding="utf-8"?>
<ds:datastoreItem xmlns:ds="http://schemas.openxmlformats.org/officeDocument/2006/customXml" ds:itemID="{075536E5-FA83-4A09-B96D-0DA815BBF0CB}"/>
</file>

<file path=docProps/app.xml><?xml version="1.0" encoding="utf-8"?>
<Properties xmlns="http://schemas.openxmlformats.org/officeDocument/2006/extended-properties" xmlns:vt="http://schemas.openxmlformats.org/officeDocument/2006/docPropsVTypes">
  <Template>Normal</Template>
  <TotalTime>4</TotalTime>
  <Pages>30</Pages>
  <Words>10766</Words>
  <Characters>59218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7</cp:revision>
  <dcterms:created xsi:type="dcterms:W3CDTF">2022-04-25T20:17:00Z</dcterms:created>
  <dcterms:modified xsi:type="dcterms:W3CDTF">2022-04-26T14:35:00Z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