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A2E8F" w14:textId="77777777" w:rsidR="00FE4C26" w:rsidRPr="00515D32" w:rsidRDefault="00FE4C26" w:rsidP="0022167B">
      <w:pPr>
        <w:jc w:val="right"/>
        <w:rPr>
          <w:rFonts w:ascii="Arial" w:eastAsia="Calibri" w:hAnsi="Arial" w:cs="Arial"/>
          <w:b/>
          <w:bCs/>
          <w:color w:val="161616" w:themeColor="background1" w:themeShade="1A"/>
          <w:sz w:val="22"/>
          <w:szCs w:val="22"/>
          <w:lang w:val="es-ES_tradnl"/>
        </w:rPr>
      </w:pPr>
      <w:bookmarkStart w:id="0" w:name="_Hlk47949675"/>
      <w:r w:rsidRPr="00515D32">
        <w:rPr>
          <w:rFonts w:ascii="Arial" w:hAnsi="Arial" w:cs="Arial"/>
          <w:b/>
          <w:bCs/>
          <w:color w:val="161616" w:themeColor="background1" w:themeShade="1A"/>
          <w:sz w:val="22"/>
          <w:szCs w:val="22"/>
          <w:lang w:val="es-ES_tradnl" w:eastAsia="es-ES"/>
        </w:rPr>
        <w:t>CCE-DES-FM-17</w:t>
      </w:r>
    </w:p>
    <w:bookmarkEnd w:id="0"/>
    <w:p w14:paraId="7BB63B4F" w14:textId="77777777" w:rsidR="00A1653D" w:rsidRDefault="00A1653D" w:rsidP="0022167B">
      <w:pPr>
        <w:jc w:val="both"/>
        <w:rPr>
          <w:rFonts w:ascii="Arial" w:hAnsi="Arial" w:cs="Arial"/>
          <w:b/>
          <w:bCs/>
          <w:color w:val="161616" w:themeColor="background1" w:themeShade="1A"/>
          <w:sz w:val="22"/>
          <w:szCs w:val="22"/>
          <w:lang w:val="es-ES_tradnl" w:eastAsia="es-CO"/>
        </w:rPr>
      </w:pPr>
    </w:p>
    <w:p w14:paraId="11204E6A" w14:textId="77777777" w:rsidR="0020582D" w:rsidRPr="004A1D82" w:rsidRDefault="0020582D" w:rsidP="0020582D">
      <w:pPr>
        <w:tabs>
          <w:tab w:val="left" w:pos="426"/>
        </w:tabs>
        <w:rPr>
          <w:rFonts w:ascii="Arial" w:eastAsia="Calibri" w:hAnsi="Arial" w:cs="Arial"/>
          <w:b/>
          <w:bCs/>
          <w:color w:val="000000" w:themeColor="text1"/>
          <w:sz w:val="22"/>
          <w:szCs w:val="22"/>
        </w:rPr>
      </w:pPr>
      <w:bookmarkStart w:id="1" w:name="_Hlk77152637"/>
      <w:bookmarkStart w:id="2" w:name="_Hlk77157066"/>
      <w:bookmarkStart w:id="3" w:name="_Hlk102385276"/>
      <w:r w:rsidRPr="004A1D82">
        <w:rPr>
          <w:rFonts w:ascii="Arial" w:eastAsia="Calibri" w:hAnsi="Arial" w:cs="Arial"/>
          <w:b/>
          <w:bCs/>
          <w:color w:val="000000" w:themeColor="text1"/>
          <w:sz w:val="22"/>
          <w:szCs w:val="22"/>
        </w:rPr>
        <w:t>LEY DE GARANTÍAS ELECTORALES ‒</w:t>
      </w:r>
      <w:bookmarkEnd w:id="1"/>
      <w:r w:rsidRPr="004A1D82">
        <w:rPr>
          <w:rFonts w:ascii="Arial" w:eastAsia="Calibri" w:hAnsi="Arial" w:cs="Arial"/>
          <w:b/>
          <w:bCs/>
          <w:color w:val="000000" w:themeColor="text1"/>
          <w:sz w:val="22"/>
          <w:szCs w:val="22"/>
        </w:rPr>
        <w:t xml:space="preserve"> </w:t>
      </w:r>
      <w:r w:rsidRPr="004A1D82">
        <w:rPr>
          <w:rFonts w:ascii="Arial" w:eastAsia="Calibri" w:hAnsi="Arial" w:cs="Arial"/>
          <w:b/>
          <w:bCs/>
          <w:color w:val="000000" w:themeColor="text1"/>
          <w:sz w:val="22"/>
          <w:szCs w:val="22"/>
          <w:lang w:val="es-ES_tradnl" w:eastAsia="en-US"/>
        </w:rPr>
        <w:t xml:space="preserve">Definición </w:t>
      </w:r>
      <w:r w:rsidRPr="004A1D82">
        <w:rPr>
          <w:rFonts w:ascii="Arial" w:eastAsia="Calibri" w:hAnsi="Arial" w:cs="Arial"/>
          <w:b/>
          <w:bCs/>
          <w:color w:val="000000" w:themeColor="text1"/>
          <w:sz w:val="22"/>
          <w:szCs w:val="22"/>
        </w:rPr>
        <w:t>‒</w:t>
      </w:r>
      <w:r w:rsidRPr="004A1D82">
        <w:rPr>
          <w:rFonts w:ascii="Arial" w:eastAsia="Calibri" w:hAnsi="Arial" w:cs="Arial"/>
          <w:b/>
          <w:bCs/>
          <w:color w:val="000000" w:themeColor="text1"/>
          <w:sz w:val="22"/>
          <w:szCs w:val="22"/>
          <w:lang w:val="es-ES_tradnl" w:eastAsia="en-US"/>
        </w:rPr>
        <w:t xml:space="preserve"> </w:t>
      </w:r>
      <w:r>
        <w:rPr>
          <w:rFonts w:ascii="Arial" w:eastAsia="Calibri" w:hAnsi="Arial" w:cs="Arial"/>
          <w:b/>
          <w:bCs/>
          <w:color w:val="000000" w:themeColor="text1"/>
          <w:sz w:val="22"/>
          <w:szCs w:val="22"/>
          <w:lang w:val="es-ES_tradnl" w:eastAsia="en-US"/>
        </w:rPr>
        <w:t>F</w:t>
      </w:r>
      <w:r w:rsidRPr="004A1D82">
        <w:rPr>
          <w:rFonts w:ascii="Arial" w:eastAsia="Calibri" w:hAnsi="Arial" w:cs="Arial"/>
          <w:b/>
          <w:bCs/>
          <w:color w:val="000000" w:themeColor="text1"/>
          <w:sz w:val="22"/>
          <w:szCs w:val="22"/>
          <w:lang w:val="es-ES_tradnl" w:eastAsia="en-US"/>
        </w:rPr>
        <w:t xml:space="preserve">inalidad </w:t>
      </w:r>
    </w:p>
    <w:p w14:paraId="1F6CF115" w14:textId="77777777" w:rsidR="0020582D" w:rsidRPr="004A1D82" w:rsidRDefault="0020582D" w:rsidP="0020582D">
      <w:pPr>
        <w:tabs>
          <w:tab w:val="left" w:pos="426"/>
        </w:tabs>
        <w:rPr>
          <w:rFonts w:ascii="Arial" w:eastAsia="Calibri" w:hAnsi="Arial" w:cs="Arial"/>
          <w:b/>
          <w:bCs/>
          <w:color w:val="000000" w:themeColor="text1"/>
          <w:sz w:val="20"/>
          <w:szCs w:val="20"/>
        </w:rPr>
      </w:pPr>
    </w:p>
    <w:bookmarkEnd w:id="2"/>
    <w:p w14:paraId="31696B6D" w14:textId="77777777" w:rsidR="0020582D" w:rsidRPr="00E5404C" w:rsidRDefault="0020582D" w:rsidP="0020582D">
      <w:pPr>
        <w:tabs>
          <w:tab w:val="left" w:pos="426"/>
        </w:tabs>
        <w:jc w:val="both"/>
        <w:rPr>
          <w:rFonts w:ascii="Arial" w:eastAsia="Calibri" w:hAnsi="Arial" w:cs="Arial"/>
          <w:noProof/>
          <w:color w:val="000000" w:themeColor="text1"/>
          <w:sz w:val="20"/>
          <w:szCs w:val="20"/>
        </w:rPr>
      </w:pPr>
      <w:r w:rsidRPr="004A1D82">
        <w:rPr>
          <w:rFonts w:ascii="Arial" w:eastAsia="Calibri" w:hAnsi="Arial" w:cs="Arial"/>
          <w:noProof/>
          <w:color w:val="000000" w:themeColor="text1"/>
          <w:sz w:val="20"/>
          <w:szCs w:val="20"/>
          <w:lang w:val="es-ES_tradnl"/>
        </w:rPr>
        <w:t xml:space="preserve">[…] </w:t>
      </w:r>
      <w:r w:rsidRPr="00E5404C">
        <w:rPr>
          <w:rFonts w:ascii="Arial" w:eastAsia="Calibri" w:hAnsi="Arial" w:cs="Arial"/>
          <w:noProof/>
          <w:color w:val="000000" w:themeColor="text1"/>
          <w:sz w:val="20"/>
          <w:szCs w:val="20"/>
        </w:rPr>
        <w:t>la Ley 996 de 2005, conocida como «Ley de Garantías Electorales», se suma a la normatividad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 En armonía con lo anterior, la Corte Constitucional ha abordado la definición de la Ley de Garantías Electorales.</w:t>
      </w:r>
    </w:p>
    <w:bookmarkEnd w:id="3"/>
    <w:p w14:paraId="63665591" w14:textId="77777777" w:rsidR="00825CB9" w:rsidRPr="004A1D82" w:rsidRDefault="00825CB9" w:rsidP="00825CB9">
      <w:pPr>
        <w:jc w:val="both"/>
        <w:rPr>
          <w:rFonts w:ascii="Arial" w:eastAsia="Calibri" w:hAnsi="Arial" w:cs="Arial"/>
          <w:color w:val="000000" w:themeColor="text1"/>
          <w:sz w:val="20"/>
          <w:szCs w:val="20"/>
          <w:lang w:eastAsia="en-US"/>
        </w:rPr>
      </w:pPr>
    </w:p>
    <w:p w14:paraId="67ED7CA2" w14:textId="2DC82DB0" w:rsidR="00825CB9" w:rsidRDefault="00825CB9" w:rsidP="00825CB9">
      <w:pPr>
        <w:jc w:val="both"/>
        <w:rPr>
          <w:rFonts w:ascii="Arial" w:hAnsi="Arial" w:cs="Arial"/>
          <w:b/>
          <w:bCs/>
          <w:sz w:val="22"/>
          <w:szCs w:val="22"/>
          <w:lang w:val="es-ES_tradnl" w:eastAsia="es-CO"/>
        </w:rPr>
      </w:pPr>
      <w:r w:rsidRPr="000D05FB">
        <w:rPr>
          <w:rFonts w:ascii="Arial" w:eastAsia="Calibri" w:hAnsi="Arial" w:cs="Arial"/>
          <w:b/>
          <w:bCs/>
          <w:sz w:val="22"/>
          <w:szCs w:val="22"/>
          <w:lang w:val="es-ES_tradnl" w:eastAsia="en-US"/>
        </w:rPr>
        <w:t>LEY DE GARANTÍAS ELECTORALES ‒</w:t>
      </w:r>
      <w:r w:rsidRPr="00D0124B">
        <w:rPr>
          <w:rFonts w:ascii="Arial" w:eastAsia="Calibri" w:hAnsi="Arial" w:cs="Arial"/>
          <w:sz w:val="22"/>
          <w:szCs w:val="22"/>
          <w:lang w:val="es-ES_tradnl" w:eastAsia="en-US"/>
        </w:rPr>
        <w:t xml:space="preserve"> </w:t>
      </w:r>
      <w:bookmarkStart w:id="4" w:name="_Hlk102386654"/>
      <w:r w:rsidRPr="000D05FB">
        <w:rPr>
          <w:rFonts w:ascii="Arial" w:eastAsia="Calibri" w:hAnsi="Arial" w:cs="Arial"/>
          <w:b/>
          <w:bCs/>
          <w:sz w:val="22"/>
          <w:szCs w:val="22"/>
          <w:lang w:val="es-ES_tradnl" w:eastAsia="en-US"/>
        </w:rPr>
        <w:t>Prohibición</w:t>
      </w:r>
      <w:r w:rsidR="00482ED4">
        <w:rPr>
          <w:rFonts w:ascii="Arial" w:eastAsia="Calibri" w:hAnsi="Arial" w:cs="Arial"/>
          <w:b/>
          <w:bCs/>
          <w:sz w:val="22"/>
          <w:szCs w:val="22"/>
          <w:lang w:val="es-ES_tradnl" w:eastAsia="en-US"/>
        </w:rPr>
        <w:t xml:space="preserve"> artículo 33</w:t>
      </w:r>
      <w:r w:rsidRPr="000D05FB">
        <w:rPr>
          <w:rFonts w:ascii="Arial" w:eastAsia="Calibri" w:hAnsi="Arial" w:cs="Arial"/>
          <w:b/>
          <w:bCs/>
          <w:sz w:val="22"/>
          <w:szCs w:val="22"/>
          <w:lang w:val="es-ES_tradnl" w:eastAsia="en-US"/>
        </w:rPr>
        <w:t>‒ Contratación directa ‒ Alcance</w:t>
      </w:r>
      <w:bookmarkStart w:id="5" w:name="_Hlk77022358"/>
      <w:r>
        <w:rPr>
          <w:rFonts w:ascii="Arial" w:eastAsia="Calibri" w:hAnsi="Arial" w:cs="Arial"/>
          <w:b/>
          <w:bCs/>
          <w:sz w:val="22"/>
          <w:szCs w:val="22"/>
          <w:lang w:val="es-ES_tradnl" w:eastAsia="en-US"/>
        </w:rPr>
        <w:t xml:space="preserve"> </w:t>
      </w:r>
      <w:bookmarkEnd w:id="4"/>
      <w:bookmarkEnd w:id="5"/>
    </w:p>
    <w:p w14:paraId="1CD32E57" w14:textId="77777777" w:rsidR="00825CB9" w:rsidRPr="00D0124B" w:rsidRDefault="00825CB9" w:rsidP="00825CB9">
      <w:pPr>
        <w:jc w:val="both"/>
        <w:rPr>
          <w:rFonts w:ascii="Arial" w:hAnsi="Arial" w:cs="Arial"/>
          <w:b/>
          <w:color w:val="000000" w:themeColor="text1"/>
          <w:sz w:val="22"/>
          <w:szCs w:val="22"/>
          <w:lang w:val="es-ES_tradnl" w:eastAsia="es-CO"/>
        </w:rPr>
      </w:pPr>
    </w:p>
    <w:p w14:paraId="26BD6A71" w14:textId="77777777" w:rsidR="00825CB9" w:rsidRPr="00264FB8" w:rsidRDefault="00825CB9" w:rsidP="00825CB9">
      <w:pPr>
        <w:jc w:val="both"/>
        <w:rPr>
          <w:rFonts w:ascii="Arial" w:eastAsia="Calibri" w:hAnsi="Arial" w:cs="Arial"/>
          <w:noProof/>
          <w:color w:val="000000" w:themeColor="text1"/>
          <w:sz w:val="20"/>
          <w:szCs w:val="20"/>
        </w:rPr>
      </w:pPr>
      <w:r w:rsidRPr="004A1D82">
        <w:rPr>
          <w:rFonts w:ascii="Arial" w:eastAsia="Calibri" w:hAnsi="Arial" w:cs="Arial"/>
          <w:noProof/>
          <w:color w:val="000000" w:themeColor="text1"/>
          <w:sz w:val="20"/>
          <w:szCs w:val="20"/>
        </w:rPr>
        <w:t xml:space="preserve">[…] </w:t>
      </w:r>
      <w:r w:rsidRPr="00264FB8">
        <w:rPr>
          <w:rFonts w:ascii="Arial" w:eastAsia="Calibri" w:hAnsi="Arial" w:cs="Arial"/>
          <w:noProof/>
          <w:color w:val="000000" w:themeColor="text1"/>
          <w:sz w:val="20"/>
          <w:szCs w:val="20"/>
        </w:rPr>
        <w:t>El ámbito material de la prohibición contenida en el artículo 33 de la ley 996 de 2005 está delimitado por la expresión «queda prohibida la contratación directa»</w:t>
      </w:r>
      <w:r>
        <w:rPr>
          <w:rFonts w:ascii="Arial" w:eastAsia="Calibri" w:hAnsi="Arial" w:cs="Arial"/>
          <w:noProof/>
          <w:color w:val="000000" w:themeColor="text1"/>
          <w:sz w:val="20"/>
          <w:szCs w:val="20"/>
        </w:rPr>
        <w:t xml:space="preserve">. </w:t>
      </w:r>
      <w:r w:rsidRPr="004A1D82">
        <w:rPr>
          <w:rFonts w:ascii="Arial" w:eastAsia="Calibri" w:hAnsi="Arial" w:cs="Arial"/>
          <w:noProof/>
          <w:color w:val="000000" w:themeColor="text1"/>
          <w:sz w:val="20"/>
          <w:szCs w:val="20"/>
        </w:rPr>
        <w:t>[…]</w:t>
      </w:r>
      <w:r>
        <w:rPr>
          <w:rFonts w:ascii="Arial" w:eastAsia="Calibri" w:hAnsi="Arial" w:cs="Arial"/>
          <w:noProof/>
          <w:color w:val="000000" w:themeColor="text1"/>
          <w:sz w:val="20"/>
          <w:szCs w:val="20"/>
        </w:rPr>
        <w:t xml:space="preserve"> </w:t>
      </w:r>
      <w:r w:rsidRPr="00264FB8">
        <w:rPr>
          <w:rFonts w:ascii="Arial" w:eastAsia="Calibri" w:hAnsi="Arial" w:cs="Arial"/>
          <w:noProof/>
          <w:color w:val="000000" w:themeColor="text1"/>
          <w:sz w:val="20"/>
          <w:szCs w:val="20"/>
        </w:rPr>
        <w:t>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el concurso de méritos y la mínima cuantía u otros previstos en normas especiales, que contemplen en alguna de sus etapas la posible participación de pluralidad de oferentes. De lo anterior se desprende que la restricción aplica, sin perjuicio de las excepciones establecidas en la misma ley, para celebrar cualquier contrato de forma directa, esto es, sin que exista un proceso abierto y competitivo.</w:t>
      </w:r>
    </w:p>
    <w:p w14:paraId="4BA94798" w14:textId="77777777" w:rsidR="00825CB9" w:rsidRPr="004A1D82" w:rsidRDefault="00825CB9" w:rsidP="00825CB9">
      <w:pPr>
        <w:tabs>
          <w:tab w:val="left" w:pos="426"/>
        </w:tabs>
        <w:jc w:val="both"/>
        <w:rPr>
          <w:rFonts w:ascii="Arial" w:eastAsia="Calibri" w:hAnsi="Arial" w:cs="Arial"/>
          <w:noProof/>
          <w:color w:val="000000" w:themeColor="text1"/>
          <w:sz w:val="20"/>
          <w:szCs w:val="20"/>
        </w:rPr>
      </w:pPr>
      <w:bookmarkStart w:id="6" w:name="_Hlk102386689"/>
    </w:p>
    <w:p w14:paraId="382C6431" w14:textId="77777777" w:rsidR="00825CB9" w:rsidRDefault="00825CB9" w:rsidP="00825CB9">
      <w:pPr>
        <w:jc w:val="both"/>
        <w:rPr>
          <w:rFonts w:ascii="Arial" w:eastAsia="Calibri" w:hAnsi="Arial" w:cs="Arial"/>
          <w:b/>
          <w:bCs/>
          <w:sz w:val="22"/>
          <w:szCs w:val="22"/>
          <w:lang w:val="es-ES_tradnl" w:eastAsia="en-US"/>
        </w:rPr>
      </w:pPr>
      <w:r w:rsidRPr="000D05FB">
        <w:rPr>
          <w:rFonts w:ascii="Arial" w:hAnsi="Arial" w:cs="Arial"/>
          <w:b/>
          <w:bCs/>
          <w:sz w:val="22"/>
          <w:szCs w:val="22"/>
          <w:lang w:val="es-ES_tradnl" w:eastAsia="es-CO"/>
        </w:rPr>
        <w:t xml:space="preserve">LEY DE GARANTÍAS ELECTORALES </w:t>
      </w:r>
      <w:r w:rsidRPr="000D05FB">
        <w:rPr>
          <w:rFonts w:ascii="Arial" w:eastAsia="Calibri" w:hAnsi="Arial" w:cs="Arial"/>
          <w:b/>
          <w:bCs/>
          <w:sz w:val="22"/>
          <w:szCs w:val="22"/>
          <w:lang w:val="es-ES_tradnl" w:eastAsia="en-US"/>
        </w:rPr>
        <w:t>‒</w:t>
      </w:r>
      <w:r w:rsidRPr="00D0124B">
        <w:rPr>
          <w:rFonts w:ascii="Arial" w:eastAsia="Calibri" w:hAnsi="Arial" w:cs="Arial"/>
          <w:sz w:val="22"/>
          <w:szCs w:val="22"/>
          <w:lang w:val="es-ES_tradnl" w:eastAsia="en-US"/>
        </w:rPr>
        <w:t xml:space="preserve"> </w:t>
      </w:r>
      <w:r w:rsidRPr="000D05FB">
        <w:rPr>
          <w:rFonts w:ascii="Arial" w:eastAsia="Calibri" w:hAnsi="Arial" w:cs="Arial"/>
          <w:b/>
          <w:bCs/>
          <w:sz w:val="22"/>
          <w:szCs w:val="22"/>
          <w:lang w:val="es-ES_tradnl" w:eastAsia="en-US"/>
        </w:rPr>
        <w:t>Prohibición artículo 3</w:t>
      </w:r>
      <w:r>
        <w:rPr>
          <w:rFonts w:ascii="Arial" w:eastAsia="Calibri" w:hAnsi="Arial" w:cs="Arial"/>
          <w:b/>
          <w:bCs/>
          <w:sz w:val="22"/>
          <w:szCs w:val="22"/>
          <w:lang w:val="es-ES_tradnl" w:eastAsia="en-US"/>
        </w:rPr>
        <w:t>8</w:t>
      </w:r>
      <w:r w:rsidRPr="000D05FB">
        <w:rPr>
          <w:rFonts w:ascii="Arial" w:eastAsia="Calibri" w:hAnsi="Arial" w:cs="Arial"/>
          <w:b/>
          <w:bCs/>
          <w:sz w:val="22"/>
          <w:szCs w:val="22"/>
          <w:lang w:val="es-ES_tradnl" w:eastAsia="en-US"/>
        </w:rPr>
        <w:t xml:space="preserve"> ‒ Con</w:t>
      </w:r>
      <w:r>
        <w:rPr>
          <w:rFonts w:ascii="Arial" w:eastAsia="Calibri" w:hAnsi="Arial" w:cs="Arial"/>
          <w:b/>
          <w:bCs/>
          <w:sz w:val="22"/>
          <w:szCs w:val="22"/>
          <w:lang w:val="es-ES_tradnl" w:eastAsia="en-US"/>
        </w:rPr>
        <w:t>venios y contratos interadministrativos</w:t>
      </w:r>
    </w:p>
    <w:bookmarkEnd w:id="6"/>
    <w:p w14:paraId="1A0C7AB4" w14:textId="77777777" w:rsidR="00825CB9" w:rsidRDefault="00825CB9" w:rsidP="00825CB9">
      <w:pPr>
        <w:jc w:val="both"/>
        <w:rPr>
          <w:rFonts w:ascii="Arial" w:hAnsi="Arial" w:cs="Arial"/>
          <w:b/>
          <w:bCs/>
          <w:sz w:val="22"/>
          <w:szCs w:val="22"/>
          <w:lang w:val="es-ES_tradnl" w:eastAsia="es-CO"/>
        </w:rPr>
      </w:pPr>
    </w:p>
    <w:p w14:paraId="6BCC0921" w14:textId="77777777" w:rsidR="00825CB9" w:rsidRDefault="00825CB9" w:rsidP="00825CB9">
      <w:pPr>
        <w:spacing w:after="120"/>
        <w:jc w:val="both"/>
        <w:rPr>
          <w:rFonts w:ascii="Arial" w:eastAsia="Calibri" w:hAnsi="Arial" w:cs="Arial"/>
          <w:noProof/>
          <w:color w:val="000000" w:themeColor="text1"/>
          <w:sz w:val="20"/>
          <w:szCs w:val="20"/>
        </w:rPr>
      </w:pPr>
      <w:r>
        <w:rPr>
          <w:rFonts w:ascii="Arial" w:eastAsia="Calibri" w:hAnsi="Arial" w:cs="Arial"/>
          <w:noProof/>
          <w:color w:val="000000" w:themeColor="text1"/>
          <w:sz w:val="20"/>
          <w:szCs w:val="20"/>
        </w:rPr>
        <w:t>L</w:t>
      </w:r>
      <w:r w:rsidRPr="004B72B2">
        <w:rPr>
          <w:rFonts w:ascii="Arial" w:eastAsia="Calibri" w:hAnsi="Arial" w:cs="Arial"/>
          <w:noProof/>
          <w:color w:val="000000" w:themeColor="text1"/>
          <w:sz w:val="20"/>
          <w:szCs w:val="20"/>
        </w:rPr>
        <w:t>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 estatales</w:t>
      </w:r>
      <w:r>
        <w:rPr>
          <w:rFonts w:ascii="Arial" w:eastAsia="Calibri" w:hAnsi="Arial" w:cs="Arial"/>
          <w:noProof/>
          <w:color w:val="000000" w:themeColor="text1"/>
          <w:sz w:val="20"/>
          <w:szCs w:val="20"/>
        </w:rPr>
        <w:t xml:space="preserve">. </w:t>
      </w:r>
    </w:p>
    <w:p w14:paraId="0D872A9B" w14:textId="77777777" w:rsidR="00825CB9" w:rsidRDefault="00825CB9" w:rsidP="00825CB9">
      <w:pPr>
        <w:jc w:val="both"/>
        <w:rPr>
          <w:rFonts w:ascii="Arial" w:hAnsi="Arial" w:cs="Arial"/>
          <w:b/>
          <w:bCs/>
          <w:sz w:val="22"/>
          <w:szCs w:val="22"/>
          <w:lang w:val="es-ES_tradnl" w:eastAsia="es-CO"/>
        </w:rPr>
      </w:pPr>
    </w:p>
    <w:p w14:paraId="157A3A47" w14:textId="79D8A97D" w:rsidR="00825CB9" w:rsidRPr="000D05FB" w:rsidRDefault="00825CB9" w:rsidP="00825CB9">
      <w:pPr>
        <w:jc w:val="both"/>
        <w:rPr>
          <w:rFonts w:ascii="Arial" w:hAnsi="Arial" w:cs="Arial"/>
          <w:b/>
          <w:sz w:val="22"/>
          <w:szCs w:val="22"/>
          <w:lang w:val="es-ES_tradnl" w:eastAsia="es-CO"/>
        </w:rPr>
      </w:pPr>
      <w:bookmarkStart w:id="7" w:name="_Hlk102386721"/>
      <w:r w:rsidRPr="000D05FB">
        <w:rPr>
          <w:rFonts w:ascii="Arial" w:hAnsi="Arial" w:cs="Arial"/>
          <w:b/>
          <w:bCs/>
          <w:sz w:val="22"/>
          <w:szCs w:val="22"/>
          <w:lang w:val="es-ES_tradnl" w:eastAsia="es-CO"/>
        </w:rPr>
        <w:t xml:space="preserve">LEY DE GARANTÍAS ELECTORALES </w:t>
      </w:r>
      <w:bookmarkStart w:id="8" w:name="_Hlk77166669"/>
      <w:r w:rsidRPr="000D05FB">
        <w:rPr>
          <w:rFonts w:ascii="Arial" w:hAnsi="Arial" w:cs="Arial"/>
          <w:b/>
          <w:bCs/>
          <w:sz w:val="22"/>
          <w:szCs w:val="22"/>
          <w:lang w:val="es-ES_tradnl" w:eastAsia="es-CO"/>
        </w:rPr>
        <w:t>‒</w:t>
      </w:r>
      <w:bookmarkEnd w:id="8"/>
      <w:r w:rsidRPr="000D05FB">
        <w:rPr>
          <w:rFonts w:ascii="Arial" w:hAnsi="Arial" w:cs="Arial"/>
          <w:b/>
          <w:bCs/>
          <w:sz w:val="22"/>
          <w:szCs w:val="22"/>
          <w:lang w:val="es-ES_tradnl" w:eastAsia="es-CO"/>
        </w:rPr>
        <w:t xml:space="preserve"> Destinatarios</w:t>
      </w:r>
      <w:r>
        <w:rPr>
          <w:rFonts w:ascii="Arial" w:hAnsi="Arial" w:cs="Arial"/>
          <w:b/>
          <w:bCs/>
          <w:sz w:val="22"/>
          <w:szCs w:val="22"/>
          <w:lang w:val="es-ES_tradnl" w:eastAsia="es-CO"/>
        </w:rPr>
        <w:t xml:space="preserve"> </w:t>
      </w:r>
      <w:r w:rsidRPr="000D05FB">
        <w:rPr>
          <w:rFonts w:ascii="Arial" w:hAnsi="Arial" w:cs="Arial"/>
          <w:b/>
          <w:bCs/>
          <w:sz w:val="22"/>
          <w:szCs w:val="22"/>
          <w:lang w:val="es-ES_tradnl" w:eastAsia="es-CO"/>
        </w:rPr>
        <w:t>‒</w:t>
      </w:r>
      <w:r>
        <w:rPr>
          <w:rFonts w:ascii="Arial" w:hAnsi="Arial" w:cs="Arial"/>
          <w:b/>
          <w:bCs/>
          <w:sz w:val="22"/>
          <w:szCs w:val="22"/>
          <w:lang w:val="es-ES_tradnl" w:eastAsia="es-CO"/>
        </w:rPr>
        <w:t xml:space="preserve"> Excepciones</w:t>
      </w:r>
    </w:p>
    <w:bookmarkEnd w:id="7"/>
    <w:p w14:paraId="0D1A7197" w14:textId="77777777" w:rsidR="00825CB9" w:rsidRPr="000D05FB" w:rsidRDefault="00825CB9" w:rsidP="00825CB9">
      <w:pPr>
        <w:tabs>
          <w:tab w:val="left" w:pos="426"/>
        </w:tabs>
        <w:jc w:val="both"/>
        <w:rPr>
          <w:rFonts w:ascii="Arial" w:eastAsia="Calibri" w:hAnsi="Arial" w:cs="Arial"/>
          <w:noProof/>
          <w:sz w:val="22"/>
          <w:szCs w:val="22"/>
          <w:lang w:val="es-ES_tradnl" w:eastAsia="en-US"/>
        </w:rPr>
      </w:pPr>
    </w:p>
    <w:p w14:paraId="4A845F62" w14:textId="77777777" w:rsidR="00825CB9" w:rsidRDefault="00825CB9" w:rsidP="00825CB9">
      <w:pPr>
        <w:tabs>
          <w:tab w:val="left" w:pos="426"/>
        </w:tabs>
        <w:jc w:val="both"/>
        <w:rPr>
          <w:rFonts w:ascii="Arial" w:hAnsi="Arial" w:cs="Arial"/>
          <w:bCs/>
          <w:sz w:val="20"/>
          <w:szCs w:val="20"/>
          <w:lang w:val="es-ES_tradnl" w:eastAsia="x-none"/>
        </w:rPr>
      </w:pPr>
      <w:r w:rsidRPr="004B72B2">
        <w:rPr>
          <w:rFonts w:ascii="Arial" w:hAnsi="Arial" w:cs="Arial"/>
          <w:bCs/>
          <w:sz w:val="20"/>
          <w:szCs w:val="20"/>
          <w:lang w:val="es-ES_tradnl" w:eastAsia="x-none"/>
        </w:rPr>
        <w:t xml:space="preserve">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w:t>
      </w:r>
      <w:r w:rsidRPr="004B72B2">
        <w:rPr>
          <w:rFonts w:ascii="Arial" w:hAnsi="Arial" w:cs="Arial"/>
          <w:bCs/>
          <w:sz w:val="20"/>
          <w:szCs w:val="20"/>
          <w:lang w:val="es-ES_tradnl" w:eastAsia="x-none"/>
        </w:rPr>
        <w:lastRenderedPageBreak/>
        <w:t>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r>
        <w:rPr>
          <w:rFonts w:ascii="Arial" w:hAnsi="Arial" w:cs="Arial"/>
          <w:bCs/>
          <w:sz w:val="20"/>
          <w:szCs w:val="20"/>
          <w:lang w:val="es-ES_tradnl" w:eastAsia="x-none"/>
        </w:rPr>
        <w:t xml:space="preserve">. </w:t>
      </w:r>
    </w:p>
    <w:p w14:paraId="3C8034ED" w14:textId="1D7B32E1" w:rsidR="00717780" w:rsidRPr="00825CB9" w:rsidRDefault="00717780" w:rsidP="006D78DC">
      <w:pPr>
        <w:pStyle w:val="Textoindependiente"/>
        <w:jc w:val="both"/>
        <w:rPr>
          <w:rFonts w:ascii="Calibri" w:eastAsia="Calibri" w:hAnsi="Calibri" w:cs="Calibri"/>
          <w:b/>
          <w:color w:val="000000" w:themeColor="text1"/>
          <w:sz w:val="20"/>
          <w:szCs w:val="20"/>
          <w:lang w:val="es-ES_tradnl"/>
        </w:rPr>
      </w:pPr>
    </w:p>
    <w:p w14:paraId="1A5B9FDB" w14:textId="48105E4A" w:rsidR="00717780" w:rsidRDefault="00717780" w:rsidP="006D78DC">
      <w:pPr>
        <w:pStyle w:val="Textoindependiente"/>
        <w:jc w:val="both"/>
        <w:rPr>
          <w:rFonts w:ascii="Calibri" w:eastAsia="Calibri" w:hAnsi="Calibri" w:cs="Calibri"/>
          <w:b/>
          <w:color w:val="000000" w:themeColor="text1"/>
          <w:sz w:val="20"/>
          <w:szCs w:val="20"/>
        </w:rPr>
      </w:pPr>
    </w:p>
    <w:p w14:paraId="36FE0C88" w14:textId="4B339A78" w:rsidR="00717780" w:rsidRDefault="00717780" w:rsidP="006D78DC">
      <w:pPr>
        <w:pStyle w:val="Textoindependiente"/>
        <w:jc w:val="both"/>
        <w:rPr>
          <w:rFonts w:ascii="Calibri" w:eastAsia="Calibri" w:hAnsi="Calibri" w:cs="Calibri"/>
          <w:b/>
          <w:color w:val="000000" w:themeColor="text1"/>
          <w:sz w:val="20"/>
          <w:szCs w:val="20"/>
        </w:rPr>
      </w:pPr>
    </w:p>
    <w:p w14:paraId="15B9B800" w14:textId="10D499A4" w:rsidR="00717780" w:rsidRDefault="00717780" w:rsidP="006D78DC">
      <w:pPr>
        <w:pStyle w:val="Textoindependiente"/>
        <w:jc w:val="both"/>
        <w:rPr>
          <w:rFonts w:ascii="Calibri" w:eastAsia="Calibri" w:hAnsi="Calibri" w:cs="Calibri"/>
          <w:b/>
          <w:color w:val="000000" w:themeColor="text1"/>
          <w:sz w:val="20"/>
          <w:szCs w:val="20"/>
        </w:rPr>
      </w:pPr>
    </w:p>
    <w:p w14:paraId="4716E08D" w14:textId="77777777" w:rsidR="00717780" w:rsidRDefault="00717780" w:rsidP="006D78DC">
      <w:pPr>
        <w:pStyle w:val="Textoindependiente"/>
        <w:jc w:val="both"/>
        <w:rPr>
          <w:rFonts w:ascii="Calibri" w:eastAsia="Calibri" w:hAnsi="Calibri" w:cs="Calibri"/>
          <w:b/>
          <w:color w:val="000000" w:themeColor="text1"/>
          <w:sz w:val="20"/>
          <w:szCs w:val="20"/>
        </w:rPr>
      </w:pPr>
    </w:p>
    <w:p w14:paraId="7046682D" w14:textId="62CB84BD" w:rsidR="00B012D7" w:rsidRDefault="00B012D7" w:rsidP="002D08FE">
      <w:pPr>
        <w:tabs>
          <w:tab w:val="left" w:pos="426"/>
        </w:tabs>
        <w:jc w:val="both"/>
        <w:rPr>
          <w:rFonts w:ascii="Arial" w:eastAsia="Calibri" w:hAnsi="Arial" w:cs="Arial"/>
          <w:color w:val="161616" w:themeColor="background1" w:themeShade="1A"/>
          <w:sz w:val="22"/>
          <w:szCs w:val="22"/>
        </w:rPr>
      </w:pPr>
    </w:p>
    <w:p w14:paraId="34B0388D" w14:textId="677656A8" w:rsidR="006D78DC" w:rsidRDefault="006D78DC" w:rsidP="002D08FE">
      <w:pPr>
        <w:tabs>
          <w:tab w:val="left" w:pos="426"/>
        </w:tabs>
        <w:jc w:val="both"/>
        <w:rPr>
          <w:rFonts w:ascii="Arial" w:eastAsia="Calibri" w:hAnsi="Arial" w:cs="Arial"/>
          <w:color w:val="161616" w:themeColor="background1" w:themeShade="1A"/>
          <w:sz w:val="22"/>
          <w:szCs w:val="22"/>
        </w:rPr>
      </w:pPr>
    </w:p>
    <w:p w14:paraId="4096FACA" w14:textId="7B1FF544" w:rsidR="006D78DC" w:rsidRDefault="006D78DC" w:rsidP="002D08FE">
      <w:pPr>
        <w:tabs>
          <w:tab w:val="left" w:pos="426"/>
        </w:tabs>
        <w:jc w:val="both"/>
        <w:rPr>
          <w:rFonts w:ascii="Arial" w:eastAsia="Calibri" w:hAnsi="Arial" w:cs="Arial"/>
          <w:color w:val="161616" w:themeColor="background1" w:themeShade="1A"/>
          <w:sz w:val="22"/>
          <w:szCs w:val="22"/>
        </w:rPr>
      </w:pPr>
    </w:p>
    <w:p w14:paraId="2A14E832" w14:textId="60448E8D" w:rsidR="00A10053" w:rsidRDefault="00A10053" w:rsidP="0022167B">
      <w:pPr>
        <w:jc w:val="both"/>
        <w:rPr>
          <w:rFonts w:ascii="Arial" w:hAnsi="Arial" w:cs="Arial"/>
          <w:bCs/>
          <w:color w:val="161616" w:themeColor="background1" w:themeShade="1A"/>
          <w:sz w:val="22"/>
          <w:szCs w:val="22"/>
          <w:lang w:val="es-ES_tradnl"/>
        </w:rPr>
      </w:pPr>
    </w:p>
    <w:p w14:paraId="411D9076" w14:textId="263BE585" w:rsidR="00370AD3" w:rsidRDefault="00370AD3" w:rsidP="0022167B">
      <w:pPr>
        <w:jc w:val="both"/>
        <w:rPr>
          <w:rFonts w:ascii="Arial" w:hAnsi="Arial" w:cs="Arial"/>
          <w:bCs/>
          <w:color w:val="161616" w:themeColor="background1" w:themeShade="1A"/>
          <w:sz w:val="22"/>
          <w:szCs w:val="22"/>
          <w:lang w:val="es-ES_tradnl"/>
        </w:rPr>
      </w:pPr>
    </w:p>
    <w:p w14:paraId="62E0F34F" w14:textId="6AE30F4A" w:rsidR="00370AD3" w:rsidRDefault="00370AD3" w:rsidP="0022167B">
      <w:pPr>
        <w:jc w:val="both"/>
        <w:rPr>
          <w:rFonts w:ascii="Arial" w:hAnsi="Arial" w:cs="Arial"/>
          <w:bCs/>
          <w:color w:val="161616" w:themeColor="background1" w:themeShade="1A"/>
          <w:sz w:val="22"/>
          <w:szCs w:val="22"/>
          <w:lang w:val="es-ES_tradnl"/>
        </w:rPr>
      </w:pPr>
    </w:p>
    <w:p w14:paraId="23CE71CF" w14:textId="41F0E9A4" w:rsidR="00370AD3" w:rsidRDefault="00370AD3" w:rsidP="0022167B">
      <w:pPr>
        <w:jc w:val="both"/>
        <w:rPr>
          <w:rFonts w:ascii="Arial" w:hAnsi="Arial" w:cs="Arial"/>
          <w:bCs/>
          <w:color w:val="161616" w:themeColor="background1" w:themeShade="1A"/>
          <w:sz w:val="22"/>
          <w:szCs w:val="22"/>
          <w:lang w:val="es-ES_tradnl"/>
        </w:rPr>
      </w:pPr>
    </w:p>
    <w:p w14:paraId="52401171" w14:textId="7EEA0638" w:rsidR="00370AD3" w:rsidRDefault="00370AD3" w:rsidP="0022167B">
      <w:pPr>
        <w:jc w:val="both"/>
        <w:rPr>
          <w:rFonts w:ascii="Arial" w:hAnsi="Arial" w:cs="Arial"/>
          <w:bCs/>
          <w:color w:val="161616" w:themeColor="background1" w:themeShade="1A"/>
          <w:sz w:val="22"/>
          <w:szCs w:val="22"/>
          <w:lang w:val="es-ES_tradnl"/>
        </w:rPr>
      </w:pPr>
    </w:p>
    <w:p w14:paraId="72FDA14E" w14:textId="07221D0F" w:rsidR="00370AD3" w:rsidRDefault="00370AD3" w:rsidP="0022167B">
      <w:pPr>
        <w:jc w:val="both"/>
        <w:rPr>
          <w:rFonts w:ascii="Arial" w:hAnsi="Arial" w:cs="Arial"/>
          <w:bCs/>
          <w:color w:val="161616" w:themeColor="background1" w:themeShade="1A"/>
          <w:sz w:val="22"/>
          <w:szCs w:val="22"/>
          <w:lang w:val="es-ES_tradnl"/>
        </w:rPr>
      </w:pPr>
    </w:p>
    <w:p w14:paraId="42C17555" w14:textId="12BF1027" w:rsidR="00370AD3" w:rsidRDefault="00370AD3" w:rsidP="0022167B">
      <w:pPr>
        <w:jc w:val="both"/>
        <w:rPr>
          <w:rFonts w:ascii="Arial" w:hAnsi="Arial" w:cs="Arial"/>
          <w:bCs/>
          <w:color w:val="161616" w:themeColor="background1" w:themeShade="1A"/>
          <w:sz w:val="22"/>
          <w:szCs w:val="22"/>
          <w:lang w:val="es-ES_tradnl"/>
        </w:rPr>
      </w:pPr>
    </w:p>
    <w:p w14:paraId="46DB6C94" w14:textId="6AE13D62" w:rsidR="00370AD3" w:rsidRDefault="00370AD3" w:rsidP="0022167B">
      <w:pPr>
        <w:jc w:val="both"/>
        <w:rPr>
          <w:rFonts w:ascii="Arial" w:hAnsi="Arial" w:cs="Arial"/>
          <w:bCs/>
          <w:color w:val="161616" w:themeColor="background1" w:themeShade="1A"/>
          <w:sz w:val="22"/>
          <w:szCs w:val="22"/>
          <w:lang w:val="es-ES_tradnl"/>
        </w:rPr>
      </w:pPr>
    </w:p>
    <w:p w14:paraId="5DFCCDB7" w14:textId="466CBBB9" w:rsidR="00370AD3" w:rsidRDefault="00370AD3" w:rsidP="0022167B">
      <w:pPr>
        <w:jc w:val="both"/>
        <w:rPr>
          <w:rFonts w:ascii="Arial" w:hAnsi="Arial" w:cs="Arial"/>
          <w:bCs/>
          <w:color w:val="161616" w:themeColor="background1" w:themeShade="1A"/>
          <w:sz w:val="22"/>
          <w:szCs w:val="22"/>
          <w:lang w:val="es-ES_tradnl"/>
        </w:rPr>
      </w:pPr>
    </w:p>
    <w:p w14:paraId="546A84AB" w14:textId="15707382" w:rsidR="00370AD3" w:rsidRDefault="00370AD3" w:rsidP="0022167B">
      <w:pPr>
        <w:jc w:val="both"/>
        <w:rPr>
          <w:rFonts w:ascii="Arial" w:hAnsi="Arial" w:cs="Arial"/>
          <w:bCs/>
          <w:color w:val="161616" w:themeColor="background1" w:themeShade="1A"/>
          <w:sz w:val="22"/>
          <w:szCs w:val="22"/>
          <w:lang w:val="es-ES_tradnl"/>
        </w:rPr>
      </w:pPr>
    </w:p>
    <w:p w14:paraId="160BFE79" w14:textId="652E1CEE" w:rsidR="00370AD3" w:rsidRDefault="00370AD3" w:rsidP="0022167B">
      <w:pPr>
        <w:jc w:val="both"/>
        <w:rPr>
          <w:rFonts w:ascii="Arial" w:hAnsi="Arial" w:cs="Arial"/>
          <w:bCs/>
          <w:color w:val="161616" w:themeColor="background1" w:themeShade="1A"/>
          <w:sz w:val="22"/>
          <w:szCs w:val="22"/>
          <w:lang w:val="es-ES_tradnl"/>
        </w:rPr>
      </w:pPr>
    </w:p>
    <w:p w14:paraId="3518C069" w14:textId="119A4FD8" w:rsidR="00370AD3" w:rsidRDefault="00370AD3" w:rsidP="0022167B">
      <w:pPr>
        <w:jc w:val="both"/>
        <w:rPr>
          <w:rFonts w:ascii="Arial" w:hAnsi="Arial" w:cs="Arial"/>
          <w:bCs/>
          <w:color w:val="161616" w:themeColor="background1" w:themeShade="1A"/>
          <w:sz w:val="22"/>
          <w:szCs w:val="22"/>
          <w:lang w:val="es-ES_tradnl"/>
        </w:rPr>
      </w:pPr>
    </w:p>
    <w:p w14:paraId="67F5C0D2" w14:textId="59F330B3" w:rsidR="00370AD3" w:rsidRDefault="00370AD3" w:rsidP="0022167B">
      <w:pPr>
        <w:jc w:val="both"/>
        <w:rPr>
          <w:rFonts w:ascii="Arial" w:hAnsi="Arial" w:cs="Arial"/>
          <w:bCs/>
          <w:color w:val="161616" w:themeColor="background1" w:themeShade="1A"/>
          <w:sz w:val="22"/>
          <w:szCs w:val="22"/>
          <w:lang w:val="es-ES_tradnl"/>
        </w:rPr>
      </w:pPr>
    </w:p>
    <w:p w14:paraId="61A018E5" w14:textId="55E7E92C" w:rsidR="00370AD3" w:rsidRDefault="00370AD3" w:rsidP="0022167B">
      <w:pPr>
        <w:jc w:val="both"/>
        <w:rPr>
          <w:rFonts w:ascii="Arial" w:hAnsi="Arial" w:cs="Arial"/>
          <w:bCs/>
          <w:color w:val="161616" w:themeColor="background1" w:themeShade="1A"/>
          <w:sz w:val="22"/>
          <w:szCs w:val="22"/>
          <w:lang w:val="es-ES_tradnl"/>
        </w:rPr>
      </w:pPr>
    </w:p>
    <w:p w14:paraId="3CE930F9" w14:textId="5908A130" w:rsidR="00370AD3" w:rsidRDefault="00370AD3" w:rsidP="0022167B">
      <w:pPr>
        <w:jc w:val="both"/>
        <w:rPr>
          <w:rFonts w:ascii="Arial" w:hAnsi="Arial" w:cs="Arial"/>
          <w:bCs/>
          <w:color w:val="161616" w:themeColor="background1" w:themeShade="1A"/>
          <w:sz w:val="22"/>
          <w:szCs w:val="22"/>
          <w:lang w:val="es-ES_tradnl"/>
        </w:rPr>
      </w:pPr>
    </w:p>
    <w:p w14:paraId="3B1C9B62" w14:textId="5381DC7C" w:rsidR="00370AD3" w:rsidRDefault="00370AD3" w:rsidP="0022167B">
      <w:pPr>
        <w:jc w:val="both"/>
        <w:rPr>
          <w:rFonts w:ascii="Arial" w:hAnsi="Arial" w:cs="Arial"/>
          <w:bCs/>
          <w:color w:val="161616" w:themeColor="background1" w:themeShade="1A"/>
          <w:sz w:val="22"/>
          <w:szCs w:val="22"/>
          <w:lang w:val="es-ES_tradnl"/>
        </w:rPr>
      </w:pPr>
    </w:p>
    <w:p w14:paraId="37F471BD" w14:textId="37BC40B1" w:rsidR="00370AD3" w:rsidRDefault="00370AD3" w:rsidP="0022167B">
      <w:pPr>
        <w:jc w:val="both"/>
        <w:rPr>
          <w:rFonts w:ascii="Arial" w:hAnsi="Arial" w:cs="Arial"/>
          <w:bCs/>
          <w:color w:val="161616" w:themeColor="background1" w:themeShade="1A"/>
          <w:sz w:val="22"/>
          <w:szCs w:val="22"/>
          <w:lang w:val="es-ES_tradnl"/>
        </w:rPr>
      </w:pPr>
    </w:p>
    <w:p w14:paraId="4C0AA8C2" w14:textId="4FF8E7E0" w:rsidR="00370AD3" w:rsidRDefault="00370AD3" w:rsidP="0022167B">
      <w:pPr>
        <w:jc w:val="both"/>
        <w:rPr>
          <w:rFonts w:ascii="Arial" w:hAnsi="Arial" w:cs="Arial"/>
          <w:bCs/>
          <w:color w:val="161616" w:themeColor="background1" w:themeShade="1A"/>
          <w:sz w:val="22"/>
          <w:szCs w:val="22"/>
          <w:lang w:val="es-ES_tradnl"/>
        </w:rPr>
      </w:pPr>
    </w:p>
    <w:p w14:paraId="1AE46E91" w14:textId="4872839F" w:rsidR="00370AD3" w:rsidRDefault="00370AD3" w:rsidP="0022167B">
      <w:pPr>
        <w:jc w:val="both"/>
        <w:rPr>
          <w:rFonts w:ascii="Arial" w:hAnsi="Arial" w:cs="Arial"/>
          <w:bCs/>
          <w:color w:val="161616" w:themeColor="background1" w:themeShade="1A"/>
          <w:sz w:val="22"/>
          <w:szCs w:val="22"/>
          <w:lang w:val="es-ES_tradnl"/>
        </w:rPr>
      </w:pPr>
    </w:p>
    <w:p w14:paraId="6C304785" w14:textId="1334B494" w:rsidR="00370AD3" w:rsidRDefault="00370AD3" w:rsidP="0022167B">
      <w:pPr>
        <w:jc w:val="both"/>
        <w:rPr>
          <w:rFonts w:ascii="Arial" w:hAnsi="Arial" w:cs="Arial"/>
          <w:bCs/>
          <w:color w:val="161616" w:themeColor="background1" w:themeShade="1A"/>
          <w:sz w:val="22"/>
          <w:szCs w:val="22"/>
          <w:lang w:val="es-ES_tradnl"/>
        </w:rPr>
      </w:pPr>
    </w:p>
    <w:p w14:paraId="68003D99" w14:textId="6C47FA62" w:rsidR="00370AD3" w:rsidRDefault="00370AD3" w:rsidP="0022167B">
      <w:pPr>
        <w:jc w:val="both"/>
        <w:rPr>
          <w:rFonts w:ascii="Arial" w:hAnsi="Arial" w:cs="Arial"/>
          <w:bCs/>
          <w:color w:val="161616" w:themeColor="background1" w:themeShade="1A"/>
          <w:sz w:val="22"/>
          <w:szCs w:val="22"/>
          <w:lang w:val="es-ES_tradnl"/>
        </w:rPr>
      </w:pPr>
    </w:p>
    <w:p w14:paraId="205D7FB5" w14:textId="3DF91134" w:rsidR="00370AD3" w:rsidRDefault="00370AD3" w:rsidP="0022167B">
      <w:pPr>
        <w:jc w:val="both"/>
        <w:rPr>
          <w:rFonts w:ascii="Arial" w:hAnsi="Arial" w:cs="Arial"/>
          <w:bCs/>
          <w:color w:val="161616" w:themeColor="background1" w:themeShade="1A"/>
          <w:sz w:val="22"/>
          <w:szCs w:val="22"/>
          <w:lang w:val="es-ES_tradnl"/>
        </w:rPr>
      </w:pPr>
    </w:p>
    <w:p w14:paraId="1715D88D" w14:textId="3C2158D6" w:rsidR="00370AD3" w:rsidRDefault="00370AD3" w:rsidP="0022167B">
      <w:pPr>
        <w:jc w:val="both"/>
        <w:rPr>
          <w:rFonts w:ascii="Arial" w:hAnsi="Arial" w:cs="Arial"/>
          <w:bCs/>
          <w:color w:val="161616" w:themeColor="background1" w:themeShade="1A"/>
          <w:sz w:val="22"/>
          <w:szCs w:val="22"/>
          <w:lang w:val="es-ES_tradnl"/>
        </w:rPr>
      </w:pPr>
    </w:p>
    <w:p w14:paraId="6659EBBF" w14:textId="22B5EEB5" w:rsidR="00370AD3" w:rsidRDefault="00370AD3" w:rsidP="0022167B">
      <w:pPr>
        <w:jc w:val="both"/>
        <w:rPr>
          <w:rFonts w:ascii="Arial" w:hAnsi="Arial" w:cs="Arial"/>
          <w:bCs/>
          <w:color w:val="161616" w:themeColor="background1" w:themeShade="1A"/>
          <w:sz w:val="22"/>
          <w:szCs w:val="22"/>
          <w:lang w:val="es-ES_tradnl"/>
        </w:rPr>
      </w:pPr>
    </w:p>
    <w:p w14:paraId="389353F2" w14:textId="07083B9E" w:rsidR="00370AD3" w:rsidRDefault="00370AD3" w:rsidP="0022167B">
      <w:pPr>
        <w:jc w:val="both"/>
        <w:rPr>
          <w:rFonts w:ascii="Arial" w:hAnsi="Arial" w:cs="Arial"/>
          <w:bCs/>
          <w:color w:val="161616" w:themeColor="background1" w:themeShade="1A"/>
          <w:sz w:val="22"/>
          <w:szCs w:val="22"/>
          <w:lang w:val="es-ES_tradnl"/>
        </w:rPr>
      </w:pPr>
    </w:p>
    <w:p w14:paraId="73FE3D08" w14:textId="77777777" w:rsidR="008C0CFC" w:rsidRDefault="008C0CFC" w:rsidP="0022167B">
      <w:pPr>
        <w:jc w:val="both"/>
        <w:rPr>
          <w:rFonts w:ascii="Arial" w:hAnsi="Arial" w:cs="Arial"/>
          <w:bCs/>
          <w:color w:val="161616" w:themeColor="background1" w:themeShade="1A"/>
          <w:sz w:val="22"/>
          <w:szCs w:val="22"/>
          <w:lang w:val="es-ES_tradnl"/>
        </w:rPr>
      </w:pPr>
    </w:p>
    <w:p w14:paraId="7ECAECAD" w14:textId="72683604" w:rsidR="002E71C9" w:rsidRDefault="002E71C9" w:rsidP="002E71C9">
      <w:pPr>
        <w:jc w:val="right"/>
        <w:rPr>
          <w:rFonts w:ascii="Arial" w:hAnsi="Arial" w:cs="Arial"/>
          <w:bCs/>
          <w:color w:val="161616" w:themeColor="background1" w:themeShade="1A"/>
          <w:sz w:val="22"/>
          <w:szCs w:val="22"/>
          <w:lang w:val="es-ES_tradnl"/>
        </w:rPr>
      </w:pPr>
      <w:r>
        <w:rPr>
          <w:noProof/>
          <w:lang w:eastAsia="es-CO"/>
        </w:rPr>
        <w:drawing>
          <wp:inline distT="0" distB="0" distL="0" distR="0" wp14:anchorId="0899B6EB" wp14:editId="42425658">
            <wp:extent cx="2914650" cy="7524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5764" t="50744" r="11622" b="25107"/>
                    <a:stretch/>
                  </pic:blipFill>
                  <pic:spPr bwMode="auto">
                    <a:xfrm>
                      <a:off x="0" y="0"/>
                      <a:ext cx="2914650" cy="752475"/>
                    </a:xfrm>
                    <a:prstGeom prst="rect">
                      <a:avLst/>
                    </a:prstGeom>
                    <a:ln>
                      <a:noFill/>
                    </a:ln>
                    <a:extLst>
                      <a:ext uri="{53640926-AAD7-44D8-BBD7-CCE9431645EC}">
                        <a14:shadowObscured xmlns:a14="http://schemas.microsoft.com/office/drawing/2010/main"/>
                      </a:ext>
                    </a:extLst>
                  </pic:spPr>
                </pic:pic>
              </a:graphicData>
            </a:graphic>
          </wp:inline>
        </w:drawing>
      </w:r>
    </w:p>
    <w:p w14:paraId="22ED2500" w14:textId="68CAF7D5" w:rsidR="00D32562" w:rsidRDefault="00D32562" w:rsidP="002E71C9">
      <w:pPr>
        <w:jc w:val="right"/>
        <w:rPr>
          <w:rFonts w:ascii="Arial" w:hAnsi="Arial" w:cs="Arial"/>
          <w:bCs/>
          <w:color w:val="161616" w:themeColor="background1" w:themeShade="1A"/>
          <w:sz w:val="22"/>
          <w:szCs w:val="22"/>
          <w:lang w:val="es-ES_tradnl"/>
        </w:rPr>
      </w:pPr>
    </w:p>
    <w:p w14:paraId="3EEDF5C4" w14:textId="77777777" w:rsidR="00D32562" w:rsidRPr="00E34DEB" w:rsidRDefault="00D32562" w:rsidP="002E71C9">
      <w:pPr>
        <w:jc w:val="right"/>
        <w:rPr>
          <w:rFonts w:ascii="Arial" w:hAnsi="Arial" w:cs="Arial"/>
          <w:bCs/>
          <w:color w:val="161616" w:themeColor="background1" w:themeShade="1A"/>
          <w:sz w:val="22"/>
          <w:szCs w:val="22"/>
          <w:lang w:val="es-ES_tradnl"/>
        </w:rPr>
      </w:pPr>
    </w:p>
    <w:p w14:paraId="79C95AC7" w14:textId="7AEEB70A" w:rsidR="00D32562" w:rsidRDefault="00D32562" w:rsidP="00D32562">
      <w:pPr>
        <w:jc w:val="both"/>
        <w:rPr>
          <w:rFonts w:ascii="Arial" w:hAnsi="Arial" w:cs="Arial"/>
          <w:bCs/>
          <w:color w:val="161616" w:themeColor="background1" w:themeShade="1A"/>
          <w:sz w:val="22"/>
          <w:szCs w:val="22"/>
          <w:lang w:val="es-ES_tradnl"/>
        </w:rPr>
      </w:pPr>
      <w:bookmarkStart w:id="9" w:name="_Hlk70510939"/>
      <w:r>
        <w:rPr>
          <w:rFonts w:ascii="Arial" w:hAnsi="Arial" w:cs="Arial"/>
          <w:bCs/>
          <w:color w:val="161616" w:themeColor="background1" w:themeShade="1A"/>
          <w:sz w:val="22"/>
          <w:szCs w:val="22"/>
          <w:lang w:val="es-ES_tradnl"/>
        </w:rPr>
        <w:t xml:space="preserve">Bogotá, 2 </w:t>
      </w:r>
      <w:proofErr w:type="gramStart"/>
      <w:r>
        <w:rPr>
          <w:rFonts w:ascii="Arial" w:hAnsi="Arial" w:cs="Arial"/>
          <w:bCs/>
          <w:color w:val="161616" w:themeColor="background1" w:themeShade="1A"/>
          <w:sz w:val="22"/>
          <w:szCs w:val="22"/>
          <w:lang w:val="es-ES_tradnl"/>
        </w:rPr>
        <w:t>Mayo</w:t>
      </w:r>
      <w:proofErr w:type="gramEnd"/>
      <w:r>
        <w:rPr>
          <w:rFonts w:ascii="Arial" w:hAnsi="Arial" w:cs="Arial"/>
          <w:bCs/>
          <w:color w:val="161616" w:themeColor="background1" w:themeShade="1A"/>
          <w:sz w:val="22"/>
          <w:szCs w:val="22"/>
          <w:lang w:val="es-ES_tradnl"/>
        </w:rPr>
        <w:t xml:space="preserve"> 2022</w:t>
      </w:r>
    </w:p>
    <w:p w14:paraId="241FFA12" w14:textId="77777777" w:rsidR="00D32562" w:rsidRDefault="00D32562" w:rsidP="0022167B">
      <w:pPr>
        <w:rPr>
          <w:rFonts w:ascii="Arial" w:hAnsi="Arial" w:cs="Arial"/>
          <w:color w:val="161616" w:themeColor="background1" w:themeShade="1A"/>
          <w:sz w:val="22"/>
          <w:szCs w:val="22"/>
          <w:lang w:val="es-ES_tradnl"/>
        </w:rPr>
      </w:pPr>
    </w:p>
    <w:p w14:paraId="6E444D61" w14:textId="07FA306A" w:rsidR="00E54365" w:rsidRPr="00DE3BBA" w:rsidRDefault="00E54365" w:rsidP="0022167B">
      <w:pPr>
        <w:rPr>
          <w:rFonts w:ascii="Arial" w:hAnsi="Arial" w:cs="Arial"/>
          <w:color w:val="161616" w:themeColor="background1" w:themeShade="1A"/>
          <w:sz w:val="22"/>
          <w:szCs w:val="22"/>
          <w:lang w:val="es-ES_tradnl"/>
        </w:rPr>
      </w:pPr>
      <w:r w:rsidRPr="00DE3BBA">
        <w:rPr>
          <w:rFonts w:ascii="Arial" w:hAnsi="Arial" w:cs="Arial"/>
          <w:color w:val="161616" w:themeColor="background1" w:themeShade="1A"/>
          <w:sz w:val="22"/>
          <w:szCs w:val="22"/>
          <w:lang w:val="es-ES_tradnl"/>
        </w:rPr>
        <w:t>Señor</w:t>
      </w:r>
    </w:p>
    <w:p w14:paraId="1CB0E71B" w14:textId="6A18C344" w:rsidR="00C64E43" w:rsidRPr="00DE3BBA" w:rsidRDefault="005D483D" w:rsidP="0022167B">
      <w:pPr>
        <w:rPr>
          <w:rFonts w:ascii="Arial" w:hAnsi="Arial" w:cs="Arial"/>
          <w:b/>
          <w:color w:val="000000" w:themeColor="text1"/>
          <w:sz w:val="22"/>
          <w:szCs w:val="22"/>
          <w:lang w:val="es-ES_tradnl"/>
        </w:rPr>
      </w:pPr>
      <w:r w:rsidRPr="00DE3BBA">
        <w:rPr>
          <w:rFonts w:ascii="Arial" w:hAnsi="Arial" w:cs="Arial"/>
          <w:b/>
          <w:color w:val="000000" w:themeColor="text1"/>
          <w:sz w:val="22"/>
          <w:szCs w:val="22"/>
          <w:lang w:val="es-ES_tradnl"/>
        </w:rPr>
        <w:t xml:space="preserve">Augusto Ospina Jiménez </w:t>
      </w:r>
    </w:p>
    <w:p w14:paraId="3F0F1FB8" w14:textId="77777777" w:rsidR="005D483D" w:rsidRPr="00DE3BBA" w:rsidRDefault="005D483D" w:rsidP="005D483D">
      <w:pPr>
        <w:jc w:val="both"/>
        <w:rPr>
          <w:rFonts w:ascii="Arial" w:hAnsi="Arial" w:cs="Arial"/>
          <w:sz w:val="22"/>
          <w:szCs w:val="22"/>
          <w:lang w:eastAsia="en-US"/>
        </w:rPr>
      </w:pPr>
      <w:r w:rsidRPr="00DE3BBA">
        <w:rPr>
          <w:rFonts w:ascii="Arial" w:hAnsi="Arial" w:cs="Arial"/>
          <w:sz w:val="22"/>
          <w:szCs w:val="22"/>
        </w:rPr>
        <w:t xml:space="preserve">Jefe de Oficina Asesora Jurídica y de Contratación </w:t>
      </w:r>
    </w:p>
    <w:p w14:paraId="638AB638" w14:textId="311FA24E" w:rsidR="005D483D" w:rsidRPr="00DE3BBA" w:rsidRDefault="005D483D" w:rsidP="0022167B">
      <w:pPr>
        <w:rPr>
          <w:rFonts w:ascii="Arial" w:hAnsi="Arial" w:cs="Arial"/>
          <w:bCs/>
          <w:color w:val="161616" w:themeColor="background1" w:themeShade="1A"/>
          <w:sz w:val="22"/>
          <w:szCs w:val="22"/>
        </w:rPr>
      </w:pPr>
      <w:r w:rsidRPr="00DE3BBA">
        <w:rPr>
          <w:rFonts w:ascii="Arial" w:hAnsi="Arial" w:cs="Arial"/>
          <w:bCs/>
          <w:color w:val="161616" w:themeColor="background1" w:themeShade="1A"/>
          <w:sz w:val="22"/>
          <w:szCs w:val="22"/>
        </w:rPr>
        <w:t xml:space="preserve">Alcaldía Municipal </w:t>
      </w:r>
    </w:p>
    <w:p w14:paraId="207B3DB4" w14:textId="45B83B86" w:rsidR="00C64E43" w:rsidRPr="00515D32" w:rsidRDefault="004E5A0D" w:rsidP="0022167B">
      <w:pPr>
        <w:rPr>
          <w:rFonts w:ascii="Arial" w:hAnsi="Arial" w:cs="Arial"/>
          <w:color w:val="161616" w:themeColor="background1" w:themeShade="1A"/>
          <w:sz w:val="22"/>
          <w:szCs w:val="22"/>
          <w:lang w:val="es-ES_tradnl"/>
        </w:rPr>
      </w:pPr>
      <w:r w:rsidRPr="00DE3BBA">
        <w:rPr>
          <w:rFonts w:ascii="Arial" w:hAnsi="Arial" w:cs="Arial"/>
          <w:color w:val="161616" w:themeColor="background1" w:themeShade="1A"/>
          <w:sz w:val="22"/>
          <w:szCs w:val="22"/>
          <w:lang w:val="es-ES_tradnl"/>
        </w:rPr>
        <w:t>Purificación</w:t>
      </w:r>
      <w:r w:rsidR="00595D28">
        <w:rPr>
          <w:rFonts w:ascii="Arial" w:hAnsi="Arial" w:cs="Arial"/>
          <w:color w:val="161616" w:themeColor="background1" w:themeShade="1A"/>
          <w:sz w:val="22"/>
          <w:szCs w:val="22"/>
          <w:lang w:val="es-ES_tradnl"/>
        </w:rPr>
        <w:t xml:space="preserve">, </w:t>
      </w:r>
      <w:r w:rsidRPr="00DE3BBA">
        <w:rPr>
          <w:rFonts w:ascii="Arial" w:hAnsi="Arial" w:cs="Arial"/>
          <w:color w:val="161616" w:themeColor="background1" w:themeShade="1A"/>
          <w:sz w:val="22"/>
          <w:szCs w:val="22"/>
          <w:lang w:val="es-ES_tradnl"/>
        </w:rPr>
        <w:t>Tolima</w:t>
      </w:r>
    </w:p>
    <w:p w14:paraId="462F7397" w14:textId="77777777" w:rsidR="0076432E" w:rsidRPr="00515D32" w:rsidRDefault="0076432E" w:rsidP="0022167B">
      <w:pPr>
        <w:ind w:left="2124" w:firstLine="708"/>
        <w:rPr>
          <w:rFonts w:ascii="Arial" w:hAnsi="Arial" w:cs="Arial"/>
          <w:b/>
          <w:bCs/>
          <w:color w:val="161616" w:themeColor="background1" w:themeShade="1A"/>
          <w:sz w:val="22"/>
          <w:szCs w:val="22"/>
          <w:lang w:val="es-ES_tradnl"/>
        </w:rPr>
      </w:pPr>
    </w:p>
    <w:p w14:paraId="17BA6817" w14:textId="000FF54D" w:rsidR="00E54365" w:rsidRPr="00515D32" w:rsidRDefault="00E54365" w:rsidP="0022167B">
      <w:pPr>
        <w:ind w:left="2124" w:firstLine="708"/>
        <w:rPr>
          <w:rFonts w:ascii="Arial" w:hAnsi="Arial" w:cs="Arial"/>
          <w:b/>
          <w:bCs/>
          <w:color w:val="161616" w:themeColor="background1" w:themeShade="1A"/>
          <w:sz w:val="22"/>
          <w:szCs w:val="22"/>
          <w:lang w:val="es-ES_tradnl"/>
        </w:rPr>
      </w:pPr>
      <w:r w:rsidRPr="00515D32">
        <w:rPr>
          <w:rFonts w:ascii="Arial" w:hAnsi="Arial" w:cs="Arial"/>
          <w:b/>
          <w:bCs/>
          <w:color w:val="161616" w:themeColor="background1" w:themeShade="1A"/>
          <w:sz w:val="22"/>
          <w:szCs w:val="22"/>
          <w:lang w:val="es-ES_tradnl"/>
        </w:rPr>
        <w:t>Concepto</w:t>
      </w:r>
      <w:r w:rsidR="006559E3" w:rsidRPr="00515D32">
        <w:rPr>
          <w:rFonts w:ascii="Arial" w:hAnsi="Arial" w:cs="Arial"/>
          <w:b/>
          <w:bCs/>
          <w:color w:val="161616" w:themeColor="background1" w:themeShade="1A"/>
          <w:sz w:val="22"/>
          <w:szCs w:val="22"/>
          <w:lang w:val="es-ES_tradnl"/>
        </w:rPr>
        <w:t xml:space="preserve"> </w:t>
      </w:r>
      <w:r w:rsidRPr="00515D32">
        <w:rPr>
          <w:rFonts w:ascii="Arial" w:hAnsi="Arial" w:cs="Arial"/>
          <w:b/>
          <w:bCs/>
          <w:color w:val="161616" w:themeColor="background1" w:themeShade="1A"/>
          <w:sz w:val="22"/>
          <w:szCs w:val="22"/>
          <w:lang w:val="es-ES_tradnl"/>
        </w:rPr>
        <w:t>C</w:t>
      </w:r>
      <w:r w:rsidR="00766A70" w:rsidRPr="00515D32">
        <w:rPr>
          <w:rFonts w:ascii="Arial" w:hAnsi="Arial" w:cs="Arial"/>
          <w:b/>
          <w:bCs/>
          <w:color w:val="161616" w:themeColor="background1" w:themeShade="1A"/>
          <w:sz w:val="22"/>
          <w:szCs w:val="22"/>
          <w:lang w:val="es-ES_tradnl"/>
        </w:rPr>
        <w:t xml:space="preserve"> </w:t>
      </w:r>
      <w:r w:rsidR="00F301AD" w:rsidRPr="00515D32">
        <w:rPr>
          <w:rFonts w:ascii="Arial" w:hAnsi="Arial" w:cs="Arial"/>
          <w:b/>
          <w:bCs/>
          <w:color w:val="161616" w:themeColor="background1" w:themeShade="1A"/>
          <w:sz w:val="22"/>
          <w:szCs w:val="22"/>
          <w:lang w:val="es-ES_tradnl"/>
        </w:rPr>
        <w:t>–</w:t>
      </w:r>
      <w:r w:rsidR="00766A70" w:rsidRPr="00515D32">
        <w:rPr>
          <w:rFonts w:ascii="Arial" w:hAnsi="Arial" w:cs="Arial"/>
          <w:b/>
          <w:bCs/>
          <w:color w:val="161616" w:themeColor="background1" w:themeShade="1A"/>
          <w:sz w:val="22"/>
          <w:szCs w:val="22"/>
          <w:lang w:val="es-ES_tradnl"/>
        </w:rPr>
        <w:t xml:space="preserve"> </w:t>
      </w:r>
      <w:r w:rsidR="00D35791">
        <w:rPr>
          <w:rFonts w:ascii="Arial" w:hAnsi="Arial" w:cs="Arial"/>
          <w:b/>
          <w:bCs/>
          <w:color w:val="161616" w:themeColor="background1" w:themeShade="1A"/>
          <w:sz w:val="22"/>
          <w:szCs w:val="22"/>
          <w:lang w:val="es-ES_tradnl"/>
        </w:rPr>
        <w:t>231</w:t>
      </w:r>
      <w:r w:rsidR="00E81FD0" w:rsidRPr="00515D32">
        <w:rPr>
          <w:rFonts w:ascii="Arial" w:hAnsi="Arial" w:cs="Arial"/>
          <w:b/>
          <w:bCs/>
          <w:color w:val="161616" w:themeColor="background1" w:themeShade="1A"/>
          <w:sz w:val="22"/>
          <w:szCs w:val="22"/>
          <w:lang w:val="es-ES_tradnl"/>
        </w:rPr>
        <w:t xml:space="preserve"> </w:t>
      </w:r>
      <w:r w:rsidRPr="00515D32">
        <w:rPr>
          <w:rFonts w:ascii="Arial" w:hAnsi="Arial" w:cs="Arial"/>
          <w:b/>
          <w:bCs/>
          <w:color w:val="161616" w:themeColor="background1" w:themeShade="1A"/>
          <w:sz w:val="22"/>
          <w:szCs w:val="22"/>
          <w:lang w:val="es-ES_tradnl"/>
        </w:rPr>
        <w:t>de 202</w:t>
      </w:r>
      <w:r w:rsidR="00DC02B2" w:rsidRPr="00515D32">
        <w:rPr>
          <w:rFonts w:ascii="Arial" w:hAnsi="Arial" w:cs="Arial"/>
          <w:b/>
          <w:bCs/>
          <w:color w:val="161616" w:themeColor="background1" w:themeShade="1A"/>
          <w:sz w:val="22"/>
          <w:szCs w:val="22"/>
          <w:lang w:val="es-ES_tradnl"/>
        </w:rPr>
        <w:t>2</w:t>
      </w:r>
    </w:p>
    <w:p w14:paraId="3C57C781" w14:textId="77777777" w:rsidR="00FE4C26" w:rsidRPr="00515D32" w:rsidRDefault="00FE4C26" w:rsidP="0022167B">
      <w:pPr>
        <w:ind w:left="2824" w:hanging="2818"/>
        <w:jc w:val="both"/>
        <w:rPr>
          <w:rFonts w:ascii="Arial" w:eastAsia="Calibri" w:hAnsi="Arial" w:cs="Arial"/>
          <w:b/>
          <w:noProof/>
          <w:color w:val="161616" w:themeColor="background1" w:themeShade="1A"/>
          <w:sz w:val="22"/>
          <w:szCs w:val="22"/>
          <w:lang w:val="es-ES_tradnl" w:eastAsia="en-US"/>
        </w:rPr>
      </w:pPr>
    </w:p>
    <w:p w14:paraId="18EF2AD1" w14:textId="527348D8" w:rsidR="0076432E" w:rsidRDefault="00E54365" w:rsidP="0022167B">
      <w:pPr>
        <w:ind w:left="2824" w:hanging="2818"/>
        <w:jc w:val="both"/>
        <w:rPr>
          <w:rFonts w:ascii="Arial" w:eastAsia="Calibri" w:hAnsi="Arial" w:cs="Arial"/>
          <w:bCs/>
          <w:color w:val="000000" w:themeColor="text1"/>
          <w:sz w:val="22"/>
          <w:lang w:val="es-ES_tradnl"/>
        </w:rPr>
      </w:pPr>
      <w:r w:rsidRPr="00515D32">
        <w:rPr>
          <w:rFonts w:ascii="Arial" w:eastAsia="Calibri" w:hAnsi="Arial" w:cs="Arial"/>
          <w:b/>
          <w:noProof/>
          <w:color w:val="161616" w:themeColor="background1" w:themeShade="1A"/>
          <w:sz w:val="22"/>
          <w:szCs w:val="22"/>
          <w:lang w:val="es-ES_tradnl" w:eastAsia="en-US"/>
        </w:rPr>
        <w:t>Temas</w:t>
      </w:r>
      <w:r w:rsidRPr="00515D32">
        <w:rPr>
          <w:rFonts w:ascii="Arial" w:eastAsia="Calibri" w:hAnsi="Arial" w:cs="Arial"/>
          <w:bCs/>
          <w:noProof/>
          <w:color w:val="161616" w:themeColor="background1" w:themeShade="1A"/>
          <w:sz w:val="22"/>
          <w:szCs w:val="22"/>
          <w:lang w:val="es-ES_tradnl" w:eastAsia="en-US"/>
        </w:rPr>
        <w:t xml:space="preserve">: </w:t>
      </w:r>
      <w:r w:rsidRPr="00515D32">
        <w:rPr>
          <w:rFonts w:ascii="Arial" w:eastAsia="Calibri" w:hAnsi="Arial" w:cs="Arial"/>
          <w:bCs/>
          <w:noProof/>
          <w:color w:val="161616" w:themeColor="background1" w:themeShade="1A"/>
          <w:sz w:val="22"/>
          <w:szCs w:val="22"/>
          <w:lang w:val="es-ES_tradnl" w:eastAsia="en-US"/>
        </w:rPr>
        <w:tab/>
      </w:r>
      <w:r w:rsidR="00E32C09" w:rsidRPr="00E32C09">
        <w:rPr>
          <w:rFonts w:ascii="Arial" w:eastAsia="Calibri" w:hAnsi="Arial" w:cs="Arial"/>
          <w:bCs/>
          <w:color w:val="000000" w:themeColor="text1"/>
          <w:sz w:val="22"/>
          <w:lang w:val="es-ES_tradnl"/>
        </w:rPr>
        <w:t>LEY DE GARANTÍAS ELECTORALES ‒ Definición ‒ Finalidad / LEY DE GARANTÍAS ELECTORALES ‒ Prohibición</w:t>
      </w:r>
      <w:r w:rsidR="00C04776">
        <w:rPr>
          <w:rFonts w:ascii="Arial" w:eastAsia="Calibri" w:hAnsi="Arial" w:cs="Arial"/>
          <w:bCs/>
          <w:color w:val="000000" w:themeColor="text1"/>
          <w:sz w:val="22"/>
          <w:lang w:val="es-ES_tradnl"/>
        </w:rPr>
        <w:t xml:space="preserve"> artículo 33</w:t>
      </w:r>
      <w:r w:rsidR="00E32C09" w:rsidRPr="00E32C09">
        <w:rPr>
          <w:rFonts w:ascii="Arial" w:eastAsia="Calibri" w:hAnsi="Arial" w:cs="Arial"/>
          <w:bCs/>
          <w:color w:val="000000" w:themeColor="text1"/>
          <w:sz w:val="22"/>
          <w:lang w:val="es-ES_tradnl"/>
        </w:rPr>
        <w:t xml:space="preserve"> ‒ Contratación directa ‒ Alcance / LEY DE GARANTÍAS ELECTORALES ‒ Prohibición artículo 38 ‒ Convenios y contratos interadministrativos / LEY DE GARANTÍAS ELECTORALES ‒ Destinatarios ‒ Excepciones.</w:t>
      </w:r>
    </w:p>
    <w:p w14:paraId="589EA09E" w14:textId="77777777" w:rsidR="00E32C09" w:rsidRPr="00515D32" w:rsidRDefault="00E32C09" w:rsidP="0022167B">
      <w:pPr>
        <w:ind w:left="2824" w:hanging="2818"/>
        <w:jc w:val="both"/>
        <w:rPr>
          <w:rFonts w:ascii="Arial" w:eastAsia="Calibri" w:hAnsi="Arial" w:cs="Arial"/>
          <w:bCs/>
          <w:noProof/>
          <w:color w:val="161616" w:themeColor="background1" w:themeShade="1A"/>
          <w:sz w:val="22"/>
          <w:szCs w:val="22"/>
          <w:lang w:val="es-ES_tradnl" w:eastAsia="en-US"/>
        </w:rPr>
      </w:pPr>
    </w:p>
    <w:p w14:paraId="30A873A7" w14:textId="61B45DFD" w:rsidR="00E54365" w:rsidRPr="00515D32" w:rsidRDefault="00E54365" w:rsidP="0022167B">
      <w:pPr>
        <w:ind w:left="2835" w:hanging="2835"/>
        <w:jc w:val="both"/>
        <w:rPr>
          <w:rFonts w:ascii="Arial" w:eastAsia="Calibri" w:hAnsi="Arial" w:cs="Arial"/>
          <w:bCs/>
          <w:noProof/>
          <w:color w:val="161616" w:themeColor="background1" w:themeShade="1A"/>
          <w:sz w:val="22"/>
          <w:szCs w:val="22"/>
          <w:lang w:val="es-ES_tradnl" w:eastAsia="en-US"/>
        </w:rPr>
      </w:pPr>
      <w:r w:rsidRPr="00515D32">
        <w:rPr>
          <w:rFonts w:ascii="Arial" w:eastAsia="Calibri" w:hAnsi="Arial" w:cs="Arial"/>
          <w:b/>
          <w:noProof/>
          <w:color w:val="161616" w:themeColor="background1" w:themeShade="1A"/>
          <w:sz w:val="22"/>
          <w:szCs w:val="22"/>
          <w:lang w:val="es-ES_tradnl" w:eastAsia="en-US"/>
        </w:rPr>
        <w:t>Radicación</w:t>
      </w:r>
      <w:r w:rsidRPr="00515D32">
        <w:rPr>
          <w:rFonts w:ascii="Arial" w:eastAsia="Calibri" w:hAnsi="Arial" w:cs="Arial"/>
          <w:bCs/>
          <w:noProof/>
          <w:color w:val="161616" w:themeColor="background1" w:themeShade="1A"/>
          <w:sz w:val="22"/>
          <w:szCs w:val="22"/>
          <w:lang w:val="es-ES_tradnl" w:eastAsia="en-US"/>
        </w:rPr>
        <w:t>:</w:t>
      </w:r>
      <w:r w:rsidRPr="00515D32">
        <w:rPr>
          <w:rFonts w:ascii="Arial" w:eastAsia="Calibri" w:hAnsi="Arial" w:cs="Arial"/>
          <w:bCs/>
          <w:noProof/>
          <w:color w:val="161616" w:themeColor="background1" w:themeShade="1A"/>
          <w:sz w:val="22"/>
          <w:szCs w:val="22"/>
          <w:lang w:val="es-ES_tradnl" w:eastAsia="en-US"/>
        </w:rPr>
        <w:tab/>
        <w:t>Respuesta a consulta</w:t>
      </w:r>
      <w:r w:rsidR="00FB5E3B" w:rsidRPr="00515D32">
        <w:rPr>
          <w:rFonts w:ascii="Arial" w:eastAsia="Calibri" w:hAnsi="Arial" w:cs="Arial"/>
          <w:bCs/>
          <w:noProof/>
          <w:color w:val="161616" w:themeColor="background1" w:themeShade="1A"/>
          <w:sz w:val="22"/>
          <w:szCs w:val="22"/>
          <w:lang w:val="es-ES_tradnl" w:eastAsia="en-US"/>
        </w:rPr>
        <w:t xml:space="preserve"> </w:t>
      </w:r>
      <w:r w:rsidR="004E5A0D" w:rsidRPr="004E5A0D">
        <w:rPr>
          <w:rFonts w:ascii="Arial" w:eastAsia="Calibri" w:hAnsi="Arial" w:cs="Arial"/>
          <w:bCs/>
          <w:noProof/>
          <w:color w:val="161616" w:themeColor="background1" w:themeShade="1A"/>
          <w:sz w:val="22"/>
          <w:szCs w:val="22"/>
          <w:lang w:val="es-ES_tradnl" w:eastAsia="en-US"/>
        </w:rPr>
        <w:t>P20220310002391</w:t>
      </w:r>
    </w:p>
    <w:p w14:paraId="49699107" w14:textId="77777777" w:rsidR="00E54365" w:rsidRPr="00515D32" w:rsidRDefault="00E54365" w:rsidP="0022167B">
      <w:pPr>
        <w:rPr>
          <w:rFonts w:ascii="Arial" w:hAnsi="Arial" w:cs="Arial"/>
          <w:color w:val="161616" w:themeColor="background1" w:themeShade="1A"/>
          <w:sz w:val="22"/>
          <w:szCs w:val="22"/>
          <w:lang w:val="es-ES_tradnl"/>
        </w:rPr>
      </w:pPr>
    </w:p>
    <w:p w14:paraId="6502F989" w14:textId="77777777" w:rsidR="00C366C4" w:rsidRPr="00515D32" w:rsidRDefault="00C366C4" w:rsidP="0022167B">
      <w:pPr>
        <w:rPr>
          <w:rFonts w:ascii="Arial" w:hAnsi="Arial" w:cs="Arial"/>
          <w:color w:val="161616" w:themeColor="background1" w:themeShade="1A"/>
          <w:sz w:val="22"/>
          <w:szCs w:val="22"/>
          <w:lang w:val="es-ES_tradnl"/>
        </w:rPr>
      </w:pPr>
    </w:p>
    <w:p w14:paraId="71ED9EB2" w14:textId="29849D65" w:rsidR="00E54365" w:rsidRPr="00515D32" w:rsidRDefault="00E54365" w:rsidP="0022167B">
      <w:pPr>
        <w:rPr>
          <w:rFonts w:ascii="Arial" w:hAnsi="Arial" w:cs="Arial"/>
          <w:color w:val="161616" w:themeColor="background1" w:themeShade="1A"/>
          <w:sz w:val="22"/>
          <w:szCs w:val="22"/>
          <w:lang w:val="es-ES_tradnl"/>
        </w:rPr>
      </w:pPr>
      <w:r w:rsidRPr="00515D32">
        <w:rPr>
          <w:rFonts w:ascii="Arial" w:hAnsi="Arial" w:cs="Arial"/>
          <w:color w:val="161616" w:themeColor="background1" w:themeShade="1A"/>
          <w:sz w:val="22"/>
          <w:szCs w:val="22"/>
          <w:lang w:val="es-ES_tradnl"/>
        </w:rPr>
        <w:t>Estimad</w:t>
      </w:r>
      <w:r w:rsidR="004E5A0D">
        <w:rPr>
          <w:rFonts w:ascii="Arial" w:hAnsi="Arial" w:cs="Arial"/>
          <w:color w:val="161616" w:themeColor="background1" w:themeShade="1A"/>
          <w:sz w:val="22"/>
          <w:szCs w:val="22"/>
          <w:lang w:val="es-ES_tradnl"/>
        </w:rPr>
        <w:t>o</w:t>
      </w:r>
      <w:r w:rsidR="007168C5">
        <w:rPr>
          <w:rFonts w:ascii="Arial" w:hAnsi="Arial" w:cs="Arial"/>
          <w:color w:val="161616" w:themeColor="background1" w:themeShade="1A"/>
          <w:sz w:val="22"/>
          <w:szCs w:val="22"/>
          <w:lang w:val="es-ES_tradnl"/>
        </w:rPr>
        <w:t xml:space="preserve"> Señor </w:t>
      </w:r>
      <w:r w:rsidR="00EA04BE">
        <w:rPr>
          <w:rFonts w:ascii="Arial" w:hAnsi="Arial" w:cs="Arial"/>
          <w:color w:val="161616" w:themeColor="background1" w:themeShade="1A"/>
          <w:sz w:val="22"/>
          <w:szCs w:val="22"/>
          <w:lang w:val="es-ES_tradnl"/>
        </w:rPr>
        <w:t>Jiménez</w:t>
      </w:r>
      <w:r w:rsidR="007168C5">
        <w:rPr>
          <w:rFonts w:ascii="Arial" w:hAnsi="Arial" w:cs="Arial"/>
          <w:color w:val="161616" w:themeColor="background1" w:themeShade="1A"/>
          <w:sz w:val="22"/>
          <w:szCs w:val="22"/>
          <w:lang w:val="es-ES_tradnl"/>
        </w:rPr>
        <w:t xml:space="preserve">, </w:t>
      </w:r>
      <w:r w:rsidR="006D2519" w:rsidRPr="00515D32">
        <w:rPr>
          <w:rFonts w:ascii="Arial" w:hAnsi="Arial" w:cs="Arial"/>
          <w:color w:val="161616" w:themeColor="background1" w:themeShade="1A"/>
          <w:sz w:val="22"/>
          <w:szCs w:val="22"/>
          <w:lang w:val="es-ES_tradnl"/>
        </w:rPr>
        <w:t xml:space="preserve"> </w:t>
      </w:r>
      <w:r w:rsidRPr="00515D32">
        <w:rPr>
          <w:rFonts w:ascii="Arial" w:hAnsi="Arial" w:cs="Arial"/>
          <w:color w:val="161616" w:themeColor="background1" w:themeShade="1A"/>
          <w:sz w:val="22"/>
          <w:szCs w:val="22"/>
          <w:lang w:val="es-ES_tradnl"/>
        </w:rPr>
        <w:t xml:space="preserve"> </w:t>
      </w:r>
    </w:p>
    <w:p w14:paraId="60D2C28E" w14:textId="77777777" w:rsidR="006F56C4" w:rsidRPr="00515D32" w:rsidRDefault="006F56C4" w:rsidP="0022167B">
      <w:pPr>
        <w:rPr>
          <w:rFonts w:ascii="Arial" w:hAnsi="Arial" w:cs="Arial"/>
          <w:color w:val="161616" w:themeColor="background1" w:themeShade="1A"/>
          <w:sz w:val="22"/>
          <w:szCs w:val="22"/>
          <w:lang w:val="es-ES_tradnl"/>
        </w:rPr>
      </w:pPr>
    </w:p>
    <w:p w14:paraId="43EDF4BF" w14:textId="33A14722" w:rsidR="00E54365" w:rsidRPr="00515D32" w:rsidRDefault="00E54365" w:rsidP="009A0F94">
      <w:pPr>
        <w:jc w:val="both"/>
        <w:rPr>
          <w:rFonts w:ascii="Arial" w:hAnsi="Arial" w:cs="Arial"/>
          <w:color w:val="161616" w:themeColor="background1" w:themeShade="1A"/>
          <w:sz w:val="22"/>
          <w:szCs w:val="22"/>
          <w:lang w:val="es-ES_tradnl"/>
        </w:rPr>
      </w:pPr>
      <w:r w:rsidRPr="00515D32">
        <w:rPr>
          <w:rFonts w:ascii="Arial" w:hAnsi="Arial" w:cs="Arial"/>
          <w:color w:val="161616" w:themeColor="background1" w:themeShade="1A"/>
          <w:sz w:val="22"/>
          <w:szCs w:val="22"/>
          <w:lang w:val="es-ES_tradnl"/>
        </w:rPr>
        <w:t xml:space="preserve">En ejercicio de la competencia otorgada por el numeral 8 del artículo 11 y el numeral 5 del artículo 3 del Decreto Ley 4170 de 2011, la Agencia Nacional de Contratación Pública− Colombia Compra Eficiente responde su consulta </w:t>
      </w:r>
      <w:r w:rsidR="00584D9E" w:rsidRPr="00584D9E">
        <w:rPr>
          <w:rFonts w:ascii="Arial" w:hAnsi="Arial" w:cs="Arial"/>
          <w:color w:val="161616" w:themeColor="background1" w:themeShade="1A"/>
          <w:sz w:val="22"/>
          <w:szCs w:val="22"/>
          <w:lang w:val="es-ES_tradnl"/>
        </w:rPr>
        <w:t xml:space="preserve">remitida el </w:t>
      </w:r>
      <w:r w:rsidR="009353BC">
        <w:rPr>
          <w:rFonts w:ascii="Arial" w:hAnsi="Arial" w:cs="Arial"/>
          <w:color w:val="161616" w:themeColor="background1" w:themeShade="1A"/>
          <w:sz w:val="22"/>
          <w:szCs w:val="22"/>
          <w:lang w:val="es-ES_tradnl"/>
        </w:rPr>
        <w:t>11 de marzo</w:t>
      </w:r>
      <w:r w:rsidR="00EA2015">
        <w:rPr>
          <w:rFonts w:ascii="Arial" w:hAnsi="Arial" w:cs="Arial"/>
          <w:color w:val="161616" w:themeColor="background1" w:themeShade="1A"/>
          <w:sz w:val="22"/>
          <w:szCs w:val="22"/>
          <w:lang w:val="es-ES_tradnl"/>
        </w:rPr>
        <w:t xml:space="preserve"> de 2022</w:t>
      </w:r>
      <w:r w:rsidR="009A0F94">
        <w:rPr>
          <w:rFonts w:ascii="Arial" w:hAnsi="Arial" w:cs="Arial"/>
          <w:color w:val="161616" w:themeColor="background1" w:themeShade="1A"/>
          <w:sz w:val="22"/>
          <w:szCs w:val="22"/>
          <w:lang w:val="es-ES_tradnl"/>
        </w:rPr>
        <w:t>.</w:t>
      </w:r>
    </w:p>
    <w:p w14:paraId="7163A7AF" w14:textId="77777777" w:rsidR="00015E80" w:rsidRPr="00515D32" w:rsidRDefault="00015E80" w:rsidP="0022167B">
      <w:pPr>
        <w:rPr>
          <w:rFonts w:ascii="Arial" w:hAnsi="Arial" w:cs="Arial"/>
          <w:color w:val="161616" w:themeColor="background1" w:themeShade="1A"/>
          <w:sz w:val="22"/>
          <w:szCs w:val="22"/>
          <w:lang w:val="es-ES_tradnl"/>
        </w:rPr>
      </w:pPr>
    </w:p>
    <w:p w14:paraId="4CDB27A1" w14:textId="23AF4B73" w:rsidR="00FB5E3B" w:rsidRPr="00515D32" w:rsidRDefault="00E54365" w:rsidP="0022167B">
      <w:pPr>
        <w:rPr>
          <w:rFonts w:ascii="Arial" w:hAnsi="Arial" w:cs="Arial"/>
          <w:b/>
          <w:color w:val="161616" w:themeColor="background1" w:themeShade="1A"/>
          <w:sz w:val="22"/>
          <w:szCs w:val="22"/>
          <w:lang w:val="es-ES_tradnl"/>
        </w:rPr>
      </w:pPr>
      <w:r w:rsidRPr="00515D32">
        <w:rPr>
          <w:rFonts w:ascii="Arial" w:hAnsi="Arial" w:cs="Arial"/>
          <w:b/>
          <w:color w:val="161616" w:themeColor="background1" w:themeShade="1A"/>
          <w:sz w:val="22"/>
          <w:szCs w:val="22"/>
          <w:lang w:val="es-ES_tradnl"/>
        </w:rPr>
        <w:t xml:space="preserve">1. Problema planteado </w:t>
      </w:r>
    </w:p>
    <w:p w14:paraId="5834083C" w14:textId="5B5F17F3" w:rsidR="00695B70" w:rsidRPr="00515D32" w:rsidRDefault="00695B70" w:rsidP="0022167B">
      <w:pPr>
        <w:rPr>
          <w:rFonts w:ascii="Arial" w:hAnsi="Arial" w:cs="Arial"/>
          <w:b/>
          <w:color w:val="161616" w:themeColor="background1" w:themeShade="1A"/>
          <w:sz w:val="22"/>
          <w:szCs w:val="22"/>
          <w:lang w:val="es-ES_tradnl"/>
        </w:rPr>
      </w:pPr>
    </w:p>
    <w:p w14:paraId="14D7785A" w14:textId="154DBDC4" w:rsidR="00C76212" w:rsidRPr="00515D32" w:rsidRDefault="00FB5E3B" w:rsidP="0022167B">
      <w:pPr>
        <w:jc w:val="both"/>
        <w:rPr>
          <w:rFonts w:ascii="Arial" w:hAnsi="Arial" w:cs="Arial"/>
          <w:color w:val="161616" w:themeColor="background1" w:themeShade="1A"/>
          <w:sz w:val="22"/>
          <w:szCs w:val="22"/>
          <w:lang w:val="es-ES_tradnl"/>
        </w:rPr>
      </w:pPr>
      <w:r w:rsidRPr="00515D32">
        <w:rPr>
          <w:rFonts w:ascii="Arial" w:hAnsi="Arial" w:cs="Arial"/>
          <w:color w:val="161616" w:themeColor="background1" w:themeShade="1A"/>
          <w:sz w:val="22"/>
          <w:szCs w:val="22"/>
          <w:lang w:val="es-ES_tradnl"/>
        </w:rPr>
        <w:t xml:space="preserve">Usted </w:t>
      </w:r>
      <w:r w:rsidR="00EF64D8" w:rsidRPr="00515D32">
        <w:rPr>
          <w:rFonts w:ascii="Arial" w:hAnsi="Arial" w:cs="Arial"/>
          <w:color w:val="161616" w:themeColor="background1" w:themeShade="1A"/>
          <w:sz w:val="22"/>
          <w:szCs w:val="22"/>
          <w:lang w:val="es-ES_tradnl"/>
        </w:rPr>
        <w:t>formula</w:t>
      </w:r>
      <w:r w:rsidRPr="00515D32">
        <w:rPr>
          <w:rFonts w:ascii="Arial" w:hAnsi="Arial" w:cs="Arial"/>
          <w:color w:val="161616" w:themeColor="background1" w:themeShade="1A"/>
          <w:sz w:val="22"/>
          <w:szCs w:val="22"/>
          <w:lang w:val="es-ES_tradnl"/>
        </w:rPr>
        <w:t xml:space="preserve"> la siguiente consulta</w:t>
      </w:r>
      <w:r w:rsidR="00A74544" w:rsidRPr="00515D32">
        <w:rPr>
          <w:rFonts w:ascii="Arial" w:hAnsi="Arial" w:cs="Arial"/>
          <w:color w:val="161616" w:themeColor="background1" w:themeShade="1A"/>
          <w:sz w:val="22"/>
          <w:szCs w:val="22"/>
          <w:lang w:val="es-ES_tradnl"/>
        </w:rPr>
        <w:t>:</w:t>
      </w:r>
      <w:r w:rsidR="00880D11" w:rsidRPr="00515D32">
        <w:rPr>
          <w:rFonts w:ascii="Arial" w:hAnsi="Arial" w:cs="Arial"/>
          <w:color w:val="161616" w:themeColor="background1" w:themeShade="1A"/>
          <w:sz w:val="22"/>
          <w:szCs w:val="22"/>
          <w:lang w:val="es-ES_tradnl"/>
        </w:rPr>
        <w:t xml:space="preserve"> </w:t>
      </w:r>
    </w:p>
    <w:p w14:paraId="6275C7F7" w14:textId="77777777" w:rsidR="00F26F3C" w:rsidRPr="00515D32" w:rsidRDefault="00F26F3C" w:rsidP="009E5D6E">
      <w:pPr>
        <w:ind w:right="786"/>
        <w:jc w:val="both"/>
        <w:rPr>
          <w:rFonts w:ascii="Arial" w:hAnsi="Arial" w:cs="Arial"/>
          <w:color w:val="161616" w:themeColor="background1" w:themeShade="1A"/>
          <w:sz w:val="22"/>
          <w:szCs w:val="22"/>
          <w:lang w:val="es-ES_tradnl"/>
        </w:rPr>
      </w:pPr>
    </w:p>
    <w:p w14:paraId="119FCD38" w14:textId="2155FEAE" w:rsidR="00EA04BE" w:rsidRDefault="00B94548" w:rsidP="009E5D6E">
      <w:pPr>
        <w:ind w:left="567" w:right="786"/>
        <w:jc w:val="both"/>
        <w:rPr>
          <w:rFonts w:ascii="Arial" w:hAnsi="Arial" w:cs="Arial"/>
          <w:color w:val="161616" w:themeColor="background1" w:themeShade="1A"/>
          <w:sz w:val="21"/>
          <w:szCs w:val="21"/>
          <w:lang w:val="es-ES_tradnl"/>
        </w:rPr>
      </w:pPr>
      <w:r w:rsidRPr="00515D32">
        <w:rPr>
          <w:rFonts w:ascii="Arial" w:hAnsi="Arial" w:cs="Arial"/>
          <w:color w:val="161616" w:themeColor="background1" w:themeShade="1A"/>
          <w:sz w:val="21"/>
          <w:szCs w:val="21"/>
          <w:lang w:val="es-ES_tradnl"/>
        </w:rPr>
        <w:t>«</w:t>
      </w:r>
      <w:r w:rsidR="00EA04BE" w:rsidRPr="00EA04BE">
        <w:rPr>
          <w:rFonts w:ascii="Arial" w:hAnsi="Arial" w:cs="Arial"/>
          <w:color w:val="161616" w:themeColor="background1" w:themeShade="1A"/>
          <w:sz w:val="21"/>
          <w:szCs w:val="21"/>
          <w:lang w:val="es-ES_tradnl"/>
        </w:rPr>
        <w:t>No obstante lo anterior es importante establecer si dentro de los contratos de servicios</w:t>
      </w:r>
      <w:r w:rsidR="00EA04BE">
        <w:rPr>
          <w:rFonts w:ascii="Arial" w:hAnsi="Arial" w:cs="Arial"/>
          <w:color w:val="161616" w:themeColor="background1" w:themeShade="1A"/>
          <w:sz w:val="21"/>
          <w:szCs w:val="21"/>
          <w:lang w:val="es-ES_tradnl"/>
        </w:rPr>
        <w:t xml:space="preserve"> </w:t>
      </w:r>
      <w:r w:rsidR="00EA04BE" w:rsidRPr="00EA04BE">
        <w:rPr>
          <w:rFonts w:ascii="Arial" w:hAnsi="Arial" w:cs="Arial"/>
          <w:color w:val="161616" w:themeColor="background1" w:themeShade="1A"/>
          <w:sz w:val="21"/>
          <w:szCs w:val="21"/>
          <w:lang w:val="es-ES_tradnl"/>
        </w:rPr>
        <w:t>de salud puede enmarcarse el de subsidios a la oferta que celebran los municipios con las</w:t>
      </w:r>
      <w:r w:rsidR="00EA04BE">
        <w:rPr>
          <w:rFonts w:ascii="Arial" w:hAnsi="Arial" w:cs="Arial"/>
          <w:color w:val="161616" w:themeColor="background1" w:themeShade="1A"/>
          <w:sz w:val="21"/>
          <w:szCs w:val="21"/>
          <w:lang w:val="es-ES_tradnl"/>
        </w:rPr>
        <w:t xml:space="preserve"> </w:t>
      </w:r>
      <w:r w:rsidR="00EA04BE" w:rsidRPr="00EA04BE">
        <w:rPr>
          <w:rFonts w:ascii="Arial" w:hAnsi="Arial" w:cs="Arial"/>
          <w:color w:val="161616" w:themeColor="background1" w:themeShade="1A"/>
          <w:sz w:val="21"/>
          <w:szCs w:val="21"/>
          <w:lang w:val="es-ES_tradnl"/>
        </w:rPr>
        <w:t>empresas sociales del estado con recursos provenientes del orden nacional y que se</w:t>
      </w:r>
      <w:r w:rsidR="00EA04BE">
        <w:rPr>
          <w:rFonts w:ascii="Arial" w:hAnsi="Arial" w:cs="Arial"/>
          <w:color w:val="161616" w:themeColor="background1" w:themeShade="1A"/>
          <w:sz w:val="21"/>
          <w:szCs w:val="21"/>
          <w:lang w:val="es-ES_tradnl"/>
        </w:rPr>
        <w:t xml:space="preserve"> </w:t>
      </w:r>
      <w:r w:rsidR="00EA04BE" w:rsidRPr="00EA04BE">
        <w:rPr>
          <w:rFonts w:ascii="Arial" w:hAnsi="Arial" w:cs="Arial"/>
          <w:color w:val="161616" w:themeColor="background1" w:themeShade="1A"/>
          <w:sz w:val="21"/>
          <w:szCs w:val="21"/>
          <w:lang w:val="es-ES_tradnl"/>
        </w:rPr>
        <w:t>asignaron a las entidades territoriales para que estas vía contrato y/o convenio las</w:t>
      </w:r>
      <w:r w:rsidR="00EA04BE">
        <w:rPr>
          <w:rFonts w:ascii="Arial" w:hAnsi="Arial" w:cs="Arial"/>
          <w:color w:val="161616" w:themeColor="background1" w:themeShade="1A"/>
          <w:sz w:val="21"/>
          <w:szCs w:val="21"/>
          <w:lang w:val="es-ES_tradnl"/>
        </w:rPr>
        <w:t xml:space="preserve"> </w:t>
      </w:r>
      <w:r w:rsidR="00EA04BE" w:rsidRPr="00EA04BE">
        <w:rPr>
          <w:rFonts w:ascii="Arial" w:hAnsi="Arial" w:cs="Arial"/>
          <w:color w:val="161616" w:themeColor="background1" w:themeShade="1A"/>
          <w:sz w:val="21"/>
          <w:szCs w:val="21"/>
          <w:lang w:val="es-ES_tradnl"/>
        </w:rPr>
        <w:t xml:space="preserve">transfirieran a las empresas sociales del </w:t>
      </w:r>
      <w:r w:rsidR="00EA04BE" w:rsidRPr="00EA04BE">
        <w:rPr>
          <w:rFonts w:ascii="Arial" w:hAnsi="Arial" w:cs="Arial"/>
          <w:color w:val="161616" w:themeColor="background1" w:themeShade="1A"/>
          <w:sz w:val="21"/>
          <w:szCs w:val="21"/>
          <w:lang w:val="es-ES_tradnl"/>
        </w:rPr>
        <w:lastRenderedPageBreak/>
        <w:t>estado con el ánimo de ser más eficiente su</w:t>
      </w:r>
      <w:r w:rsidR="00EA04BE">
        <w:rPr>
          <w:rFonts w:ascii="Arial" w:hAnsi="Arial" w:cs="Arial"/>
          <w:color w:val="161616" w:themeColor="background1" w:themeShade="1A"/>
          <w:sz w:val="21"/>
          <w:szCs w:val="21"/>
          <w:lang w:val="es-ES_tradnl"/>
        </w:rPr>
        <w:t xml:space="preserve"> </w:t>
      </w:r>
      <w:r w:rsidR="00EA04BE" w:rsidRPr="00EA04BE">
        <w:rPr>
          <w:rFonts w:ascii="Arial" w:hAnsi="Arial" w:cs="Arial"/>
          <w:color w:val="161616" w:themeColor="background1" w:themeShade="1A"/>
          <w:sz w:val="21"/>
          <w:szCs w:val="21"/>
          <w:lang w:val="es-ES_tradnl"/>
        </w:rPr>
        <w:t>gestión, su operación y que el Decreto 268 del 24 de febrero de 2020 en su Artículo</w:t>
      </w:r>
      <w:r w:rsidR="00EA04BE">
        <w:rPr>
          <w:rFonts w:ascii="Arial" w:hAnsi="Arial" w:cs="Arial"/>
          <w:color w:val="161616" w:themeColor="background1" w:themeShade="1A"/>
          <w:sz w:val="21"/>
          <w:szCs w:val="21"/>
          <w:lang w:val="es-ES_tradnl"/>
        </w:rPr>
        <w:t xml:space="preserve"> </w:t>
      </w:r>
      <w:r w:rsidR="00EA04BE" w:rsidRPr="00EA04BE">
        <w:rPr>
          <w:rFonts w:ascii="Arial" w:hAnsi="Arial" w:cs="Arial"/>
          <w:color w:val="161616" w:themeColor="background1" w:themeShade="1A"/>
          <w:sz w:val="21"/>
          <w:szCs w:val="21"/>
          <w:lang w:val="es-ES_tradnl"/>
        </w:rPr>
        <w:t>2.4.2.7. Uso de los recursos del Subsidio a la Oferta, denomina como subsidios a la oferta.</w:t>
      </w:r>
    </w:p>
    <w:p w14:paraId="7B182BC7" w14:textId="77777777" w:rsidR="00EA04BE" w:rsidRPr="00EA04BE" w:rsidRDefault="00EA04BE" w:rsidP="00A979B0">
      <w:pPr>
        <w:ind w:left="709" w:right="709"/>
        <w:jc w:val="both"/>
        <w:rPr>
          <w:rFonts w:ascii="Arial" w:hAnsi="Arial" w:cs="Arial"/>
          <w:color w:val="161616" w:themeColor="background1" w:themeShade="1A"/>
          <w:sz w:val="21"/>
          <w:szCs w:val="21"/>
          <w:lang w:val="es-ES_tradnl"/>
        </w:rPr>
      </w:pPr>
    </w:p>
    <w:p w14:paraId="3A90A414" w14:textId="695477F0" w:rsidR="00EA04BE" w:rsidRDefault="00EA04BE" w:rsidP="00A979B0">
      <w:pPr>
        <w:ind w:right="786" w:firstLine="567"/>
        <w:jc w:val="both"/>
        <w:rPr>
          <w:rFonts w:ascii="Arial" w:hAnsi="Arial" w:cs="Arial"/>
          <w:color w:val="161616" w:themeColor="background1" w:themeShade="1A"/>
          <w:sz w:val="21"/>
          <w:szCs w:val="21"/>
          <w:lang w:val="es-ES_tradnl"/>
        </w:rPr>
      </w:pPr>
      <w:r w:rsidRPr="00EA04BE">
        <w:rPr>
          <w:rFonts w:ascii="Arial" w:hAnsi="Arial" w:cs="Arial"/>
          <w:color w:val="161616" w:themeColor="background1" w:themeShade="1A"/>
          <w:sz w:val="21"/>
          <w:szCs w:val="21"/>
          <w:lang w:val="es-ES_tradnl"/>
        </w:rPr>
        <w:t>« […]</w:t>
      </w:r>
    </w:p>
    <w:p w14:paraId="70D6A3CF" w14:textId="5DA31DD6" w:rsidR="00EA04BE" w:rsidRDefault="00EA04BE" w:rsidP="00A979B0">
      <w:pPr>
        <w:spacing w:before="120"/>
        <w:ind w:left="567" w:right="786"/>
        <w:jc w:val="both"/>
        <w:rPr>
          <w:rFonts w:ascii="Arial" w:hAnsi="Arial" w:cs="Arial"/>
          <w:color w:val="161616" w:themeColor="background1" w:themeShade="1A"/>
          <w:sz w:val="21"/>
          <w:szCs w:val="21"/>
          <w:lang w:val="es-ES_tradnl"/>
        </w:rPr>
      </w:pPr>
      <w:r w:rsidRPr="00EA04BE">
        <w:rPr>
          <w:rFonts w:ascii="Arial" w:hAnsi="Arial" w:cs="Arial"/>
          <w:color w:val="161616" w:themeColor="background1" w:themeShade="1A"/>
          <w:sz w:val="21"/>
          <w:szCs w:val="21"/>
          <w:lang w:val="es-ES_tradnl"/>
        </w:rPr>
        <w:t>Se aprovecha la oportunidad para preguntar que otro tipo de contratos y/o convenios del</w:t>
      </w:r>
      <w:r>
        <w:rPr>
          <w:rFonts w:ascii="Arial" w:hAnsi="Arial" w:cs="Arial"/>
          <w:color w:val="161616" w:themeColor="background1" w:themeShade="1A"/>
          <w:sz w:val="21"/>
          <w:szCs w:val="21"/>
          <w:lang w:val="es-ES_tradnl"/>
        </w:rPr>
        <w:t xml:space="preserve"> </w:t>
      </w:r>
      <w:r w:rsidRPr="00EA04BE">
        <w:rPr>
          <w:rFonts w:ascii="Arial" w:hAnsi="Arial" w:cs="Arial"/>
          <w:color w:val="161616" w:themeColor="background1" w:themeShade="1A"/>
          <w:sz w:val="21"/>
          <w:szCs w:val="21"/>
          <w:lang w:val="es-ES_tradnl"/>
        </w:rPr>
        <w:t>área de la salud distintos a los ya mencionados quedan comprendidos en las excepciones a</w:t>
      </w:r>
      <w:r>
        <w:rPr>
          <w:rFonts w:ascii="Arial" w:hAnsi="Arial" w:cs="Arial"/>
          <w:color w:val="161616" w:themeColor="background1" w:themeShade="1A"/>
          <w:sz w:val="21"/>
          <w:szCs w:val="21"/>
          <w:lang w:val="es-ES_tradnl"/>
        </w:rPr>
        <w:t xml:space="preserve"> </w:t>
      </w:r>
      <w:r w:rsidRPr="00EA04BE">
        <w:rPr>
          <w:rFonts w:ascii="Arial" w:hAnsi="Arial" w:cs="Arial"/>
          <w:color w:val="161616" w:themeColor="background1" w:themeShade="1A"/>
          <w:sz w:val="21"/>
          <w:szCs w:val="21"/>
          <w:lang w:val="es-ES_tradnl"/>
        </w:rPr>
        <w:t>las restricciones a la contratación en época electoral.</w:t>
      </w:r>
    </w:p>
    <w:p w14:paraId="122CAC42" w14:textId="46B56659" w:rsidR="00074D1E" w:rsidRDefault="00EA04BE" w:rsidP="00A979B0">
      <w:pPr>
        <w:spacing w:before="120"/>
        <w:ind w:left="567" w:right="786"/>
        <w:jc w:val="both"/>
        <w:rPr>
          <w:rFonts w:ascii="Arial" w:hAnsi="Arial" w:cs="Arial"/>
          <w:color w:val="161616" w:themeColor="background1" w:themeShade="1A"/>
          <w:sz w:val="21"/>
          <w:szCs w:val="21"/>
          <w:lang w:val="es-ES_tradnl"/>
        </w:rPr>
      </w:pPr>
      <w:r w:rsidRPr="00EA04BE">
        <w:rPr>
          <w:rFonts w:ascii="Arial" w:hAnsi="Arial" w:cs="Arial"/>
          <w:color w:val="161616" w:themeColor="background1" w:themeShade="1A"/>
          <w:sz w:val="21"/>
          <w:szCs w:val="21"/>
          <w:lang w:val="es-ES_tradnl"/>
        </w:rPr>
        <w:t>«Finalmente se interroga en el sentido de la procedencia de celebrar contratos de</w:t>
      </w:r>
      <w:r>
        <w:rPr>
          <w:rFonts w:ascii="Arial" w:hAnsi="Arial" w:cs="Arial"/>
          <w:color w:val="161616" w:themeColor="background1" w:themeShade="1A"/>
          <w:sz w:val="21"/>
          <w:szCs w:val="21"/>
          <w:lang w:val="es-ES_tradnl"/>
        </w:rPr>
        <w:t xml:space="preserve"> </w:t>
      </w:r>
      <w:r w:rsidRPr="00EA04BE">
        <w:rPr>
          <w:rFonts w:ascii="Arial" w:hAnsi="Arial" w:cs="Arial"/>
          <w:color w:val="161616" w:themeColor="background1" w:themeShade="1A"/>
          <w:sz w:val="21"/>
          <w:szCs w:val="21"/>
          <w:lang w:val="es-ES_tradnl"/>
        </w:rPr>
        <w:t>comodato y/o Donación en época electoral entre los municipios y sus entidades</w:t>
      </w:r>
      <w:r>
        <w:rPr>
          <w:rFonts w:ascii="Arial" w:hAnsi="Arial" w:cs="Arial"/>
          <w:color w:val="161616" w:themeColor="background1" w:themeShade="1A"/>
          <w:sz w:val="21"/>
          <w:szCs w:val="21"/>
          <w:lang w:val="es-ES_tradnl"/>
        </w:rPr>
        <w:t xml:space="preserve"> </w:t>
      </w:r>
      <w:r w:rsidRPr="00EA04BE">
        <w:rPr>
          <w:rFonts w:ascii="Arial" w:hAnsi="Arial" w:cs="Arial"/>
          <w:color w:val="161616" w:themeColor="background1" w:themeShade="1A"/>
          <w:sz w:val="21"/>
          <w:szCs w:val="21"/>
          <w:lang w:val="es-ES_tradnl"/>
        </w:rPr>
        <w:t>descentralizadas»</w:t>
      </w:r>
    </w:p>
    <w:p w14:paraId="382444EA" w14:textId="77777777" w:rsidR="00A979B0" w:rsidRDefault="00A979B0" w:rsidP="00A979B0">
      <w:pPr>
        <w:spacing w:before="120"/>
        <w:ind w:left="567" w:right="786"/>
        <w:jc w:val="both"/>
        <w:rPr>
          <w:rFonts w:ascii="Arial" w:hAnsi="Arial" w:cs="Arial"/>
          <w:color w:val="161616" w:themeColor="background1" w:themeShade="1A"/>
          <w:sz w:val="21"/>
          <w:szCs w:val="21"/>
          <w:lang w:val="es-ES_tradnl"/>
        </w:rPr>
      </w:pPr>
    </w:p>
    <w:p w14:paraId="0DC08A5F" w14:textId="2F3ECD10" w:rsidR="00380FAE" w:rsidRDefault="00E54365" w:rsidP="006B1779">
      <w:pPr>
        <w:spacing w:before="120" w:line="276" w:lineRule="auto"/>
        <w:rPr>
          <w:rFonts w:ascii="Arial" w:hAnsi="Arial" w:cs="Arial"/>
          <w:b/>
          <w:color w:val="161616" w:themeColor="background1" w:themeShade="1A"/>
          <w:sz w:val="22"/>
          <w:szCs w:val="22"/>
          <w:lang w:val="es-ES_tradnl"/>
        </w:rPr>
      </w:pPr>
      <w:r w:rsidRPr="00515D32">
        <w:rPr>
          <w:rFonts w:ascii="Arial" w:hAnsi="Arial" w:cs="Arial"/>
          <w:b/>
          <w:color w:val="161616" w:themeColor="background1" w:themeShade="1A"/>
          <w:sz w:val="22"/>
          <w:szCs w:val="22"/>
          <w:lang w:val="es-ES_tradnl"/>
        </w:rPr>
        <w:t xml:space="preserve">2. Consideraciones </w:t>
      </w:r>
    </w:p>
    <w:p w14:paraId="174DA506" w14:textId="77777777" w:rsidR="007121A2" w:rsidRDefault="007121A2" w:rsidP="00490E94">
      <w:pPr>
        <w:spacing w:line="276" w:lineRule="auto"/>
        <w:rPr>
          <w:rFonts w:ascii="Arial" w:hAnsi="Arial" w:cs="Arial"/>
          <w:b/>
          <w:color w:val="161616" w:themeColor="background1" w:themeShade="1A"/>
          <w:sz w:val="22"/>
          <w:szCs w:val="22"/>
          <w:lang w:val="es-ES_tradnl"/>
        </w:rPr>
      </w:pPr>
    </w:p>
    <w:p w14:paraId="23E13401" w14:textId="1194DAB1" w:rsidR="00380FAE" w:rsidRDefault="00B16829" w:rsidP="00490E94">
      <w:pPr>
        <w:spacing w:line="276" w:lineRule="auto"/>
        <w:jc w:val="both"/>
        <w:rPr>
          <w:rFonts w:ascii="Arial" w:eastAsia="Calibri" w:hAnsi="Arial" w:cs="Arial"/>
          <w:color w:val="161616" w:themeColor="background1" w:themeShade="1A"/>
          <w:sz w:val="22"/>
          <w:szCs w:val="22"/>
          <w:lang w:val="es-ES_tradnl"/>
        </w:rPr>
      </w:pPr>
      <w:r w:rsidRPr="00515D32">
        <w:rPr>
          <w:rFonts w:ascii="Arial" w:eastAsia="Calibri" w:hAnsi="Arial" w:cs="Arial"/>
          <w:color w:val="161616" w:themeColor="background1" w:themeShade="1A"/>
          <w:sz w:val="22"/>
          <w:szCs w:val="22"/>
          <w:lang w:val="es-ES_tradnl"/>
        </w:rPr>
        <w:t>D</w:t>
      </w:r>
      <w:r w:rsidR="00A91BEA" w:rsidRPr="00515D32">
        <w:rPr>
          <w:rFonts w:ascii="Arial" w:eastAsia="Calibri" w:hAnsi="Arial" w:cs="Arial"/>
          <w:color w:val="161616" w:themeColor="background1" w:themeShade="1A"/>
          <w:sz w:val="22"/>
          <w:szCs w:val="22"/>
          <w:lang w:val="es-ES_tradnl"/>
        </w:rPr>
        <w:t>e conformidad con la competencia consultiva otorgada por el numeral 5 del artículo 3 y el numeral 8 del artículo 11 del Decreto 4170 de 2011, la Agencia Nacional de Contratación Pública – Colombia Compra Eficiente</w:t>
      </w:r>
      <w:r w:rsidRPr="00515D32">
        <w:rPr>
          <w:rFonts w:ascii="Arial" w:eastAsia="Calibri" w:hAnsi="Arial" w:cs="Arial"/>
          <w:color w:val="161616" w:themeColor="background1" w:themeShade="1A"/>
          <w:sz w:val="22"/>
          <w:szCs w:val="22"/>
          <w:lang w:val="es-ES_tradnl"/>
        </w:rPr>
        <w:t>,</w:t>
      </w:r>
      <w:r w:rsidR="00A91BEA" w:rsidRPr="00515D32">
        <w:rPr>
          <w:rFonts w:ascii="Arial" w:eastAsia="Calibri" w:hAnsi="Arial" w:cs="Arial"/>
          <w:color w:val="161616" w:themeColor="background1" w:themeShade="1A"/>
          <w:sz w:val="22"/>
          <w:szCs w:val="22"/>
          <w:lang w:val="es-ES_tradnl"/>
        </w:rPr>
        <w:t xml:space="preserve"> está facultada para atender solicitudes relacionadas con temas contractuales, pero solo para «absolver consultas sobre la aplicación de normas de carácter general»</w:t>
      </w:r>
      <w:r w:rsidR="00F77855" w:rsidRPr="00515D32">
        <w:rPr>
          <w:rStyle w:val="Refdenotaalpie"/>
          <w:rFonts w:ascii="Arial" w:eastAsia="Calibri" w:hAnsi="Arial" w:cs="Arial"/>
        </w:rPr>
        <w:footnoteReference w:id="1"/>
      </w:r>
      <w:r w:rsidR="00A91BEA" w:rsidRPr="00515D32">
        <w:rPr>
          <w:rFonts w:ascii="Arial" w:eastAsia="Calibri" w:hAnsi="Arial" w:cs="Arial"/>
          <w:color w:val="161616" w:themeColor="background1" w:themeShade="1A"/>
          <w:sz w:val="22"/>
          <w:szCs w:val="22"/>
          <w:lang w:val="es-ES_tradnl"/>
        </w:rPr>
        <w:t>. Por ello, la Agencia no tiene atribuciones para resolver casos particulares y concretos, ni para validar las actuaciones de las entidades estatales.</w:t>
      </w:r>
    </w:p>
    <w:p w14:paraId="572FEBDA" w14:textId="22139597" w:rsidR="007C0AB3" w:rsidRPr="009F1040" w:rsidRDefault="00554A77" w:rsidP="006B1779">
      <w:pPr>
        <w:spacing w:before="120" w:line="276" w:lineRule="auto"/>
        <w:ind w:firstLine="709"/>
        <w:jc w:val="both"/>
        <w:rPr>
          <w:rFonts w:ascii="Arial" w:eastAsia="Calibri" w:hAnsi="Arial" w:cs="Arial"/>
          <w:color w:val="161616" w:themeColor="background1" w:themeShade="1A"/>
          <w:sz w:val="22"/>
          <w:szCs w:val="22"/>
          <w:lang w:val="es-ES_tradnl"/>
        </w:rPr>
      </w:pPr>
      <w:r w:rsidRPr="00515D32">
        <w:rPr>
          <w:rFonts w:ascii="Arial" w:eastAsia="Calibri" w:hAnsi="Arial" w:cs="Arial"/>
          <w:color w:val="161616" w:themeColor="background1" w:themeShade="1A"/>
          <w:sz w:val="22"/>
          <w:szCs w:val="22"/>
          <w:lang w:val="es-ES_tradnl"/>
        </w:rPr>
        <w:t xml:space="preserve">Es </w:t>
      </w:r>
      <w:r w:rsidR="00A91BEA" w:rsidRPr="00515D32">
        <w:rPr>
          <w:rFonts w:ascii="Arial" w:eastAsia="Calibri" w:hAnsi="Arial" w:cs="Arial"/>
          <w:color w:val="161616" w:themeColor="background1" w:themeShade="1A"/>
          <w:sz w:val="22"/>
          <w:szCs w:val="22"/>
          <w:lang w:val="es-ES_tradnl"/>
        </w:rPr>
        <w:t>preciso advertir que los conceptos contienen la posición hermenéutica de la Subdirección de Gestión Contractual</w:t>
      </w:r>
      <w:r w:rsidR="001041A9" w:rsidRPr="00E34DEB">
        <w:rPr>
          <w:rFonts w:ascii="Arial" w:eastAsia="Calibri" w:hAnsi="Arial" w:cs="Arial"/>
          <w:color w:val="161616" w:themeColor="background1" w:themeShade="1A"/>
          <w:sz w:val="22"/>
          <w:szCs w:val="22"/>
          <w:lang w:val="es-ES_tradnl"/>
        </w:rPr>
        <w:t>,</w:t>
      </w:r>
      <w:r w:rsidR="00A91BEA" w:rsidRPr="00515D32">
        <w:rPr>
          <w:rFonts w:ascii="Arial" w:eastAsia="Calibri" w:hAnsi="Arial" w:cs="Arial"/>
          <w:color w:val="161616" w:themeColor="background1" w:themeShade="1A"/>
          <w:sz w:val="22"/>
          <w:szCs w:val="22"/>
          <w:lang w:val="es-ES_tradnl"/>
        </w:rPr>
        <w:t xml:space="preserve"> en relación con determinado aspecto del ordenamiento jurídico. Esta competencia de interpretación de normas generales, por definición, no puede extenderse a la resolución de controversias, ni a brindar asesorías sobre casos puntuales. En otras palabras, los conceptos de esta Agencia tienen como objeto la interpretación de normas de carácter general, esto es, del ordenamiento jurídico en abstracto, no la resolución de controversias o la asesoría para casos concretos, de acuerdo con lo indicado respecto a las normas que otorgan competencia consultiva a esta Subdirección. Además, no son vinculantes o </w:t>
      </w:r>
      <w:r w:rsidRPr="009F1040">
        <w:rPr>
          <w:rFonts w:ascii="Arial" w:eastAsia="Calibri" w:hAnsi="Arial" w:cs="Arial"/>
          <w:color w:val="161616" w:themeColor="background1" w:themeShade="1A"/>
          <w:sz w:val="22"/>
          <w:szCs w:val="22"/>
          <w:lang w:val="es-ES_tradnl"/>
        </w:rPr>
        <w:t>de obligatorio cumplimiento para el destinatario, sino que expresan la posición interpretativa del ente que elabora el concepto.</w:t>
      </w:r>
    </w:p>
    <w:p w14:paraId="52325605" w14:textId="0336B7B5" w:rsidR="00380FAE" w:rsidRDefault="006D06CC" w:rsidP="006B1779">
      <w:pPr>
        <w:spacing w:before="120" w:line="276" w:lineRule="auto"/>
        <w:ind w:firstLine="709"/>
        <w:jc w:val="both"/>
        <w:rPr>
          <w:rFonts w:ascii="Arial" w:eastAsia="Calibri" w:hAnsi="Arial" w:cs="Arial"/>
          <w:color w:val="161616" w:themeColor="background1" w:themeShade="1A"/>
          <w:sz w:val="22"/>
          <w:szCs w:val="22"/>
          <w:lang w:val="es-ES_tradnl"/>
        </w:rPr>
      </w:pPr>
      <w:r w:rsidRPr="004A1D82">
        <w:rPr>
          <w:rFonts w:ascii="Arial" w:eastAsia="Calibri" w:hAnsi="Arial" w:cs="Arial"/>
          <w:color w:val="000000" w:themeColor="text1"/>
          <w:sz w:val="22"/>
          <w:szCs w:val="22"/>
        </w:rPr>
        <w:t xml:space="preserve">La Agencia Nacional de Contratación Pública ‒ Colombia Compra Eficiente, en los conceptos </w:t>
      </w:r>
      <w:r w:rsidRPr="004A1D82">
        <w:rPr>
          <w:rFonts w:ascii="Arial" w:eastAsia="Calibri" w:hAnsi="Arial" w:cs="Arial"/>
          <w:bCs/>
          <w:color w:val="000000" w:themeColor="text1"/>
          <w:sz w:val="22"/>
        </w:rPr>
        <w:t xml:space="preserve">C-074 del 17 de marzo de 2021, C-075 del 16 de marzo de 2021, C-227 de </w:t>
      </w:r>
      <w:r w:rsidRPr="004A1D82">
        <w:rPr>
          <w:rFonts w:ascii="Arial" w:eastAsia="Calibri" w:hAnsi="Arial" w:cs="Arial"/>
          <w:bCs/>
          <w:color w:val="000000" w:themeColor="text1"/>
          <w:sz w:val="22"/>
        </w:rPr>
        <w:lastRenderedPageBreak/>
        <w:t>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C-677 del 4 de diciembre de 2021, C-695 del 22 de diciembre de 2021</w:t>
      </w:r>
      <w:r>
        <w:rPr>
          <w:rFonts w:ascii="Arial" w:eastAsia="Calibri" w:hAnsi="Arial" w:cs="Arial"/>
          <w:bCs/>
          <w:color w:val="000000" w:themeColor="text1"/>
          <w:sz w:val="22"/>
        </w:rPr>
        <w:t>,</w:t>
      </w:r>
      <w:r w:rsidRPr="004A1D82">
        <w:rPr>
          <w:rFonts w:ascii="Arial" w:eastAsia="Calibri" w:hAnsi="Arial" w:cs="Arial"/>
          <w:bCs/>
          <w:color w:val="000000" w:themeColor="text1"/>
          <w:sz w:val="22"/>
        </w:rPr>
        <w:t xml:space="preserve"> C-015 del 12 de enero de 2022</w:t>
      </w:r>
      <w:r>
        <w:rPr>
          <w:rFonts w:ascii="Arial" w:eastAsia="Calibri" w:hAnsi="Arial" w:cs="Arial"/>
          <w:bCs/>
          <w:color w:val="000000" w:themeColor="text1"/>
          <w:sz w:val="22"/>
        </w:rPr>
        <w:t xml:space="preserve"> y C-107 del 18 de marzo de 2022</w:t>
      </w:r>
      <w:r w:rsidRPr="004A1D82">
        <w:rPr>
          <w:rFonts w:ascii="Arial" w:eastAsia="Calibri" w:hAnsi="Arial" w:cs="Arial"/>
          <w:bCs/>
          <w:color w:val="000000" w:themeColor="text1"/>
          <w:sz w:val="22"/>
        </w:rPr>
        <w:t>,</w:t>
      </w:r>
      <w:r w:rsidRPr="004A1D82">
        <w:rPr>
          <w:rFonts w:ascii="Arial" w:eastAsia="Calibri" w:hAnsi="Arial" w:cs="Arial"/>
          <w:color w:val="000000" w:themeColor="text1"/>
          <w:sz w:val="22"/>
          <w:szCs w:val="22"/>
        </w:rPr>
        <w:t xml:space="preserve"> estudió el ámbito de aplicación de la </w:t>
      </w:r>
      <w:r w:rsidR="003F69E3">
        <w:rPr>
          <w:rFonts w:ascii="Arial" w:eastAsia="Calibri" w:hAnsi="Arial" w:cs="Arial"/>
          <w:color w:val="000000" w:themeColor="text1"/>
          <w:sz w:val="22"/>
          <w:szCs w:val="22"/>
        </w:rPr>
        <w:t>L</w:t>
      </w:r>
      <w:r w:rsidRPr="004A1D82">
        <w:rPr>
          <w:rFonts w:ascii="Arial" w:eastAsia="Calibri" w:hAnsi="Arial" w:cs="Arial"/>
          <w:color w:val="000000" w:themeColor="text1"/>
          <w:sz w:val="22"/>
          <w:szCs w:val="22"/>
        </w:rPr>
        <w:t>ey 996 de 2005 y la restricción específica contenida en su artículo 33.</w:t>
      </w:r>
      <w:r w:rsidR="00EA04BE" w:rsidRPr="009F1040">
        <w:rPr>
          <w:rFonts w:ascii="Arial" w:eastAsia="Calibri" w:hAnsi="Arial" w:cs="Arial"/>
          <w:color w:val="161616" w:themeColor="background1" w:themeShade="1A"/>
          <w:sz w:val="22"/>
          <w:szCs w:val="22"/>
          <w:lang w:val="es-ES_tradnl"/>
        </w:rPr>
        <w:t xml:space="preserve"> </w:t>
      </w:r>
    </w:p>
    <w:p w14:paraId="2EF875FD" w14:textId="77777777" w:rsidR="003A62A6" w:rsidRDefault="003A62A6" w:rsidP="001B2052">
      <w:pPr>
        <w:spacing w:line="276" w:lineRule="auto"/>
        <w:ind w:firstLine="709"/>
        <w:jc w:val="both"/>
        <w:rPr>
          <w:rFonts w:ascii="Arial" w:eastAsia="Calibri" w:hAnsi="Arial" w:cs="Arial"/>
          <w:color w:val="161616" w:themeColor="background1" w:themeShade="1A"/>
          <w:sz w:val="22"/>
          <w:szCs w:val="22"/>
          <w:lang w:val="es-ES_tradnl"/>
        </w:rPr>
      </w:pPr>
    </w:p>
    <w:p w14:paraId="29EDCB88" w14:textId="77777777" w:rsidR="00450CAF" w:rsidRPr="004A1D82" w:rsidRDefault="00450CAF" w:rsidP="001B2052">
      <w:pPr>
        <w:tabs>
          <w:tab w:val="left" w:pos="426"/>
        </w:tabs>
        <w:spacing w:line="276" w:lineRule="auto"/>
        <w:jc w:val="both"/>
        <w:rPr>
          <w:rFonts w:ascii="Arial" w:eastAsia="Calibri" w:hAnsi="Arial" w:cs="Arial"/>
          <w:b/>
          <w:bCs/>
          <w:color w:val="000000" w:themeColor="text1"/>
          <w:sz w:val="22"/>
          <w:szCs w:val="22"/>
          <w:lang w:val="es-ES_tradnl" w:eastAsia="en-US"/>
        </w:rPr>
      </w:pPr>
      <w:bookmarkStart w:id="10" w:name="_Hlk75783800"/>
      <w:r w:rsidRPr="004A1D82">
        <w:rPr>
          <w:rFonts w:ascii="Arial" w:eastAsia="Calibri" w:hAnsi="Arial" w:cs="Arial"/>
          <w:b/>
          <w:bCs/>
          <w:color w:val="000000" w:themeColor="text1"/>
          <w:sz w:val="22"/>
          <w:szCs w:val="22"/>
          <w:lang w:val="es-ES_tradnl" w:eastAsia="en-US"/>
        </w:rPr>
        <w:t>2.1. Definición y finalidad de la Ley de Garantías Electorales: alcance de las restricciones</w:t>
      </w:r>
    </w:p>
    <w:p w14:paraId="22A5D96E" w14:textId="77777777" w:rsidR="00450CAF" w:rsidRPr="004A1D82" w:rsidRDefault="00450CAF" w:rsidP="001B2052">
      <w:pPr>
        <w:tabs>
          <w:tab w:val="left" w:pos="426"/>
        </w:tabs>
        <w:spacing w:line="276" w:lineRule="auto"/>
        <w:ind w:firstLine="709"/>
        <w:jc w:val="both"/>
        <w:rPr>
          <w:rFonts w:ascii="Arial" w:eastAsia="Calibri" w:hAnsi="Arial" w:cs="Arial"/>
          <w:bCs/>
          <w:color w:val="000000" w:themeColor="text1"/>
          <w:sz w:val="22"/>
          <w:szCs w:val="22"/>
          <w:lang w:val="es-ES_tradnl" w:eastAsia="en-US"/>
        </w:rPr>
      </w:pPr>
    </w:p>
    <w:p w14:paraId="4F930D34" w14:textId="77777777" w:rsidR="00450CAF" w:rsidRPr="004A1D82" w:rsidRDefault="00450CAF" w:rsidP="001B2052">
      <w:pPr>
        <w:tabs>
          <w:tab w:val="left" w:pos="426"/>
        </w:tabs>
        <w:spacing w:after="120" w:line="276" w:lineRule="auto"/>
        <w:jc w:val="both"/>
        <w:rPr>
          <w:rFonts w:ascii="Arial" w:hAnsi="Arial" w:cs="Arial"/>
          <w:bCs/>
          <w:color w:val="000000" w:themeColor="text1"/>
          <w:sz w:val="22"/>
          <w:szCs w:val="22"/>
          <w:lang w:val="es-ES_tradnl" w:eastAsia="es-CO"/>
        </w:rPr>
      </w:pPr>
      <w:r w:rsidRPr="004A1D82">
        <w:rPr>
          <w:rFonts w:ascii="Arial" w:eastAsia="Calibri" w:hAnsi="Arial" w:cs="Arial"/>
          <w:bCs/>
          <w:color w:val="000000" w:themeColor="text1"/>
          <w:sz w:val="22"/>
          <w:szCs w:val="22"/>
          <w:lang w:val="es-ES_tradnl" w:eastAsia="en-US"/>
        </w:rPr>
        <w:t>El ordenamiento jurídico colombiano contempla previsiones claras para evitar la obtención de beneficios personales en asuntos propios de la administración pública</w:t>
      </w:r>
      <w:r w:rsidRPr="004A1D82">
        <w:rPr>
          <w:rFonts w:ascii="Arial" w:eastAsia="Calibri" w:hAnsi="Arial" w:cs="Arial"/>
          <w:bCs/>
          <w:i/>
          <w:iCs/>
          <w:color w:val="000000" w:themeColor="text1"/>
          <w:sz w:val="22"/>
          <w:szCs w:val="22"/>
          <w:lang w:val="es-ES_tradnl" w:eastAsia="en-US"/>
        </w:rPr>
        <w:t xml:space="preserve">. </w:t>
      </w:r>
      <w:r w:rsidRPr="004A1D82">
        <w:rPr>
          <w:rFonts w:ascii="Arial" w:eastAsia="Calibri" w:hAnsi="Arial" w:cs="Arial"/>
          <w:bCs/>
          <w:color w:val="000000" w:themeColor="text1"/>
          <w:sz w:val="22"/>
          <w:szCs w:val="22"/>
          <w:lang w:val="es-ES_tradnl" w:eastAsia="en-US"/>
        </w:rPr>
        <w:t>Por ejemplo, el artículo 127 de la Constitución Política establece una prohibición contractual a los servidores públicos y, en cuanto a aspectos políticos, establece restricciones a ciertos empleados del Estado, incluso en época no electoral</w:t>
      </w:r>
      <w:r w:rsidRPr="004A1D82">
        <w:rPr>
          <w:rFonts w:ascii="Arial" w:eastAsia="Calibri" w:hAnsi="Arial" w:cs="Arial"/>
          <w:color w:val="000000" w:themeColor="text1"/>
          <w:vertAlign w:val="superscript"/>
          <w:lang w:eastAsia="es-ES_tradnl"/>
        </w:rPr>
        <w:footnoteReference w:id="2"/>
      </w:r>
      <w:r w:rsidRPr="004A1D82">
        <w:rPr>
          <w:rFonts w:ascii="Arial" w:eastAsia="Calibri" w:hAnsi="Arial" w:cs="Arial"/>
          <w:bCs/>
          <w:color w:val="000000" w:themeColor="text1"/>
          <w:sz w:val="22"/>
          <w:szCs w:val="22"/>
          <w:lang w:val="es-ES_tradnl" w:eastAsia="en-US"/>
        </w:rPr>
        <w:t xml:space="preserve">. </w:t>
      </w:r>
    </w:p>
    <w:p w14:paraId="576E5F3A" w14:textId="77777777" w:rsidR="00450CAF" w:rsidRPr="004A1D82" w:rsidRDefault="00450CAF" w:rsidP="00450CAF">
      <w:pPr>
        <w:tabs>
          <w:tab w:val="left" w:pos="426"/>
        </w:tabs>
        <w:spacing w:line="276" w:lineRule="auto"/>
        <w:ind w:firstLine="709"/>
        <w:jc w:val="both"/>
        <w:rPr>
          <w:rFonts w:ascii="Arial" w:hAnsi="Arial" w:cs="Arial"/>
          <w:bCs/>
          <w:color w:val="000000" w:themeColor="text1"/>
          <w:sz w:val="22"/>
          <w:szCs w:val="22"/>
          <w:lang w:val="es-ES_tradnl" w:eastAsia="es-CO"/>
        </w:rPr>
      </w:pPr>
      <w:r w:rsidRPr="004A1D82">
        <w:rPr>
          <w:rFonts w:ascii="Arial" w:hAnsi="Arial" w:cs="Arial"/>
          <w:bCs/>
          <w:color w:val="000000" w:themeColor="text1"/>
          <w:sz w:val="22"/>
          <w:szCs w:val="22"/>
          <w:lang w:val="es-ES_tradnl" w:eastAsia="es-CO"/>
        </w:rPr>
        <w:t>En el mismo sentido, la Ley 996 de 2005, conocida como «Ley de Garantías Electorales», se suma a la normatividad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4A1D82">
        <w:rPr>
          <w:rFonts w:ascii="Arial" w:hAnsi="Arial" w:cs="Arial"/>
          <w:color w:val="000000" w:themeColor="text1"/>
          <w:vertAlign w:val="superscript"/>
          <w:lang w:eastAsia="es-ES_tradnl"/>
        </w:rPr>
        <w:footnoteReference w:id="3"/>
      </w:r>
      <w:r w:rsidRPr="004A1D82">
        <w:rPr>
          <w:rFonts w:ascii="Arial" w:hAnsi="Arial" w:cs="Arial"/>
          <w:bCs/>
          <w:color w:val="000000" w:themeColor="text1"/>
          <w:sz w:val="22"/>
          <w:szCs w:val="22"/>
          <w:lang w:val="es-ES_tradnl" w:eastAsia="es-CO"/>
        </w:rPr>
        <w:t>. En esta medida, introduce limitaciones para realizar nombramientos, postulaciones, contrataciones o cualquier otro tipo de actividad que implique destinación de recursos públicos bajo el devenir propio de las entidades estatales.</w:t>
      </w:r>
      <w:r w:rsidRPr="004A1D82">
        <w:rPr>
          <w:rFonts w:ascii="Arial" w:eastAsia="Calibri" w:hAnsi="Arial" w:cs="Arial"/>
          <w:noProof/>
          <w:color w:val="000000" w:themeColor="text1"/>
          <w:sz w:val="22"/>
          <w:szCs w:val="22"/>
          <w:lang w:val="es-ES_tradnl" w:eastAsia="en-US"/>
        </w:rPr>
        <w:t xml:space="preserve"> </w:t>
      </w:r>
      <w:r w:rsidRPr="004A1D82">
        <w:rPr>
          <w:rFonts w:ascii="Arial" w:hAnsi="Arial" w:cs="Arial"/>
          <w:bCs/>
          <w:color w:val="000000" w:themeColor="text1"/>
          <w:sz w:val="22"/>
          <w:szCs w:val="22"/>
          <w:lang w:val="es-ES_tradnl" w:eastAsia="es-CO"/>
        </w:rPr>
        <w:lastRenderedPageBreak/>
        <w:t>En armonía con lo anterior, la Corte Constitucional ha abordado la definición de la Ley de Garantías Electorales. De esta manera, explica que tiene como propósito:</w:t>
      </w:r>
    </w:p>
    <w:p w14:paraId="40481E05" w14:textId="77777777" w:rsidR="00450CAF" w:rsidRPr="004A1D82" w:rsidRDefault="00450CAF" w:rsidP="00450CAF">
      <w:pPr>
        <w:ind w:right="709"/>
        <w:jc w:val="both"/>
        <w:rPr>
          <w:rFonts w:ascii="Arial" w:hAnsi="Arial" w:cs="Arial"/>
          <w:color w:val="000000" w:themeColor="text1"/>
          <w:sz w:val="21"/>
          <w:szCs w:val="21"/>
          <w:lang w:val="es-ES_tradnl" w:eastAsia="es-CO"/>
        </w:rPr>
      </w:pPr>
    </w:p>
    <w:p w14:paraId="29B47983" w14:textId="77777777" w:rsidR="00450CAF" w:rsidRPr="004A1D82" w:rsidRDefault="00450CAF" w:rsidP="00450CAF">
      <w:pPr>
        <w:ind w:left="709" w:right="709"/>
        <w:jc w:val="both"/>
        <w:rPr>
          <w:rFonts w:ascii="Arial" w:hAnsi="Arial" w:cs="Arial"/>
          <w:bCs/>
          <w:color w:val="000000" w:themeColor="text1"/>
          <w:sz w:val="21"/>
          <w:szCs w:val="21"/>
          <w:lang w:val="es-ES_tradnl" w:eastAsia="es-CO"/>
        </w:rPr>
      </w:pPr>
      <w:r w:rsidRPr="004A1D82">
        <w:rPr>
          <w:rFonts w:ascii="Arial" w:hAnsi="Arial" w:cs="Arial"/>
          <w:color w:val="000000" w:themeColor="text1"/>
          <w:sz w:val="21"/>
          <w:szCs w:val="21"/>
          <w:lang w:val="es-ES_tradnl" w:eastAsia="es-CO"/>
        </w:rPr>
        <w:t xml:space="preserve">[…] </w:t>
      </w:r>
      <w:r w:rsidRPr="004A1D82">
        <w:rPr>
          <w:rFonts w:ascii="Arial" w:hAnsi="Arial" w:cs="Arial"/>
          <w:bCs/>
          <w:color w:val="000000" w:themeColor="text1"/>
          <w:sz w:val="21"/>
          <w:szCs w:val="21"/>
          <w:lang w:val="es-ES_tradnl" w:eastAsia="es-CO"/>
        </w:rPr>
        <w:t>la definición de reglas claras que permitan acceder a los canales de expresión democrática de manera efectiva e igualitaria. El objetivo de una ley de garantías es definir esas reglas.</w:t>
      </w:r>
    </w:p>
    <w:p w14:paraId="0BA66C50" w14:textId="77777777" w:rsidR="00450CAF" w:rsidRPr="004A1D82" w:rsidRDefault="00450CAF" w:rsidP="00450CAF">
      <w:pPr>
        <w:spacing w:after="120"/>
        <w:ind w:left="709" w:right="709"/>
        <w:jc w:val="both"/>
        <w:rPr>
          <w:rFonts w:ascii="Arial" w:hAnsi="Arial" w:cs="Arial"/>
          <w:bCs/>
          <w:color w:val="000000" w:themeColor="text1"/>
          <w:sz w:val="21"/>
          <w:szCs w:val="21"/>
          <w:lang w:val="es-ES_tradnl" w:eastAsia="es-CO"/>
        </w:rPr>
      </w:pPr>
      <w:r w:rsidRPr="004A1D82">
        <w:rPr>
          <w:rFonts w:ascii="Arial" w:hAnsi="Arial" w:cs="Arial"/>
          <w:bCs/>
          <w:color w:val="000000" w:themeColor="text1"/>
          <w:sz w:val="21"/>
          <w:szCs w:val="21"/>
          <w:lang w:val="es-ES_tradnl" w:eastAsia="es-CO"/>
        </w:rPr>
        <w:t xml:space="preserve">[…] </w:t>
      </w:r>
    </w:p>
    <w:p w14:paraId="0A95E4C0" w14:textId="77777777" w:rsidR="00450CAF" w:rsidRPr="004A1D82" w:rsidRDefault="00450CAF" w:rsidP="00450CAF">
      <w:pPr>
        <w:ind w:left="709" w:right="709"/>
        <w:jc w:val="both"/>
        <w:rPr>
          <w:rFonts w:ascii="Arial" w:hAnsi="Arial" w:cs="Arial"/>
          <w:bCs/>
          <w:color w:val="000000" w:themeColor="text1"/>
          <w:sz w:val="21"/>
          <w:szCs w:val="21"/>
          <w:lang w:val="es-ES_tradnl" w:eastAsia="es-CO"/>
        </w:rPr>
      </w:pPr>
      <w:r w:rsidRPr="004A1D82">
        <w:rPr>
          <w:rFonts w:ascii="Arial" w:hAnsi="Arial" w:cs="Arial"/>
          <w:bCs/>
          <w:color w:val="000000" w:themeColor="text1"/>
          <w:sz w:val="21"/>
          <w:szCs w:val="21"/>
          <w:lang w:val="es-ES_tradnl"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4A1D82">
        <w:rPr>
          <w:rFonts w:ascii="Arial" w:eastAsiaTheme="minorHAnsi" w:hAnsi="Arial" w:cs="Arial"/>
          <w:color w:val="000000" w:themeColor="text1"/>
          <w:vertAlign w:val="superscript"/>
          <w:lang w:eastAsia="es-ES_tradnl"/>
        </w:rPr>
        <w:footnoteReference w:id="4"/>
      </w:r>
    </w:p>
    <w:p w14:paraId="33754941" w14:textId="77777777" w:rsidR="00450CAF" w:rsidRPr="004A1D82" w:rsidRDefault="00450CAF" w:rsidP="00450CAF">
      <w:pPr>
        <w:spacing w:line="276" w:lineRule="auto"/>
        <w:ind w:left="709" w:right="709"/>
        <w:jc w:val="both"/>
        <w:rPr>
          <w:rFonts w:ascii="Arial" w:hAnsi="Arial" w:cs="Arial"/>
          <w:bCs/>
          <w:color w:val="000000" w:themeColor="text1"/>
          <w:sz w:val="21"/>
          <w:szCs w:val="21"/>
          <w:lang w:val="es-ES_tradnl" w:eastAsia="es-CO"/>
        </w:rPr>
      </w:pPr>
    </w:p>
    <w:p w14:paraId="35882299" w14:textId="77777777" w:rsidR="00450CAF" w:rsidRPr="004A1D82" w:rsidRDefault="00450CAF" w:rsidP="00450CAF">
      <w:pPr>
        <w:spacing w:line="276" w:lineRule="auto"/>
        <w:ind w:firstLine="709"/>
        <w:jc w:val="both"/>
        <w:rPr>
          <w:rFonts w:ascii="Arial" w:hAnsi="Arial" w:cs="Arial"/>
          <w:bCs/>
          <w:color w:val="000000" w:themeColor="text1"/>
          <w:sz w:val="22"/>
          <w:szCs w:val="22"/>
          <w:lang w:val="es-ES_tradnl" w:eastAsia="es-CO"/>
        </w:rPr>
      </w:pPr>
      <w:r w:rsidRPr="004A1D82">
        <w:rPr>
          <w:rFonts w:ascii="Arial" w:hAnsi="Arial" w:cs="Arial"/>
          <w:bCs/>
          <w:color w:val="000000" w:themeColor="text1"/>
          <w:sz w:val="22"/>
          <w:szCs w:val="22"/>
          <w:lang w:val="es-ES_tradnl"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42A41535" w14:textId="77777777" w:rsidR="00450CAF" w:rsidRPr="004A1D82" w:rsidRDefault="00450CAF" w:rsidP="00450CAF">
      <w:pPr>
        <w:spacing w:line="276" w:lineRule="auto"/>
        <w:ind w:firstLine="709"/>
        <w:jc w:val="both"/>
        <w:rPr>
          <w:rFonts w:ascii="Arial" w:hAnsi="Arial" w:cs="Arial"/>
          <w:bCs/>
          <w:color w:val="000000" w:themeColor="text1"/>
          <w:sz w:val="22"/>
          <w:szCs w:val="22"/>
          <w:lang w:val="es-ES_tradnl" w:eastAsia="es-CO"/>
        </w:rPr>
      </w:pPr>
    </w:p>
    <w:p w14:paraId="2BCE72FD" w14:textId="77777777" w:rsidR="00450CAF" w:rsidRPr="004A1D82" w:rsidRDefault="00450CAF" w:rsidP="00450CAF">
      <w:pPr>
        <w:spacing w:after="120"/>
        <w:ind w:left="709" w:right="709"/>
        <w:jc w:val="both"/>
        <w:rPr>
          <w:rFonts w:ascii="Arial" w:hAnsi="Arial" w:cs="Arial"/>
          <w:bCs/>
          <w:color w:val="000000" w:themeColor="text1"/>
          <w:sz w:val="21"/>
          <w:szCs w:val="21"/>
          <w:lang w:val="es-ES_tradnl" w:eastAsia="es-CO"/>
        </w:rPr>
      </w:pPr>
      <w:r w:rsidRPr="004A1D82">
        <w:rPr>
          <w:rFonts w:ascii="Arial" w:hAnsi="Arial" w:cs="Arial"/>
          <w:bCs/>
          <w:color w:val="000000" w:themeColor="text1"/>
          <w:sz w:val="21"/>
          <w:szCs w:val="21"/>
          <w:lang w:val="es-ES_tradnl"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2A1E1A7F" w14:textId="77777777" w:rsidR="00450CAF" w:rsidRPr="004A1D82" w:rsidRDefault="00450CAF" w:rsidP="00450CAF">
      <w:pPr>
        <w:ind w:left="709" w:right="709"/>
        <w:jc w:val="both"/>
        <w:rPr>
          <w:rFonts w:ascii="Arial" w:hAnsi="Arial" w:cs="Arial"/>
          <w:bCs/>
          <w:color w:val="000000" w:themeColor="text1"/>
          <w:sz w:val="21"/>
          <w:szCs w:val="21"/>
          <w:lang w:val="es-ES_tradnl" w:eastAsia="es-CO"/>
        </w:rPr>
      </w:pPr>
      <w:r w:rsidRPr="004A1D82">
        <w:rPr>
          <w:rFonts w:ascii="Arial" w:hAnsi="Arial" w:cs="Arial"/>
          <w:bCs/>
          <w:color w:val="000000" w:themeColor="text1"/>
          <w:sz w:val="21"/>
          <w:szCs w:val="21"/>
          <w:lang w:val="es-ES_tradnl" w:eastAsia="es-CO"/>
        </w:rPr>
        <w:t>La jurisprudencia de la Corte Constitucional</w:t>
      </w:r>
      <w:r w:rsidRPr="004A1D82">
        <w:rPr>
          <w:rFonts w:ascii="Arial" w:hAnsi="Arial" w:cs="Arial"/>
          <w:color w:val="000000" w:themeColor="text1"/>
          <w:vertAlign w:val="superscript"/>
          <w:lang w:eastAsia="es-ES_tradnl"/>
        </w:rPr>
        <w:footnoteReference w:id="5"/>
      </w:r>
      <w:r w:rsidRPr="004A1D82">
        <w:rPr>
          <w:rFonts w:ascii="Arial" w:hAnsi="Arial" w:cs="Arial"/>
          <w:bCs/>
          <w:color w:val="000000" w:themeColor="text1"/>
          <w:sz w:val="21"/>
          <w:szCs w:val="21"/>
          <w:lang w:val="es-ES_tradnl" w:eastAsia="es-CO"/>
        </w:rPr>
        <w:t> y del Consejo de Estado</w:t>
      </w:r>
      <w:r w:rsidRPr="004A1D82">
        <w:rPr>
          <w:rFonts w:ascii="Arial" w:hAnsi="Arial" w:cs="Arial"/>
          <w:color w:val="000000" w:themeColor="text1"/>
          <w:vertAlign w:val="superscript"/>
          <w:lang w:eastAsia="es-ES_tradnl"/>
        </w:rPr>
        <w:footnoteReference w:id="6"/>
      </w:r>
      <w:r w:rsidRPr="004A1D82">
        <w:rPr>
          <w:rFonts w:ascii="Arial" w:hAnsi="Arial" w:cs="Arial"/>
          <w:bCs/>
          <w:color w:val="000000" w:themeColor="text1"/>
          <w:sz w:val="21"/>
          <w:szCs w:val="21"/>
          <w:lang w:val="es-ES_tradnl" w:eastAsia="es-CO"/>
        </w:rPr>
        <w:t xml:space="preserve">, coinciden en que las normas que establecen prohibiciones deben estar de </w:t>
      </w:r>
      <w:r w:rsidRPr="004A1D82">
        <w:rPr>
          <w:rFonts w:ascii="Arial" w:hAnsi="Arial" w:cs="Arial"/>
          <w:bCs/>
          <w:color w:val="000000" w:themeColor="text1"/>
          <w:sz w:val="21"/>
          <w:szCs w:val="21"/>
          <w:lang w:val="es-ES_tradnl" w:eastAsia="es-CO"/>
        </w:rPr>
        <w:lastRenderedPageBreak/>
        <w:t>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4A1D82">
        <w:rPr>
          <w:rFonts w:ascii="Arial" w:hAnsi="Arial" w:cs="Arial"/>
          <w:color w:val="000000" w:themeColor="text1"/>
          <w:vertAlign w:val="superscript"/>
          <w:lang w:eastAsia="es-ES_tradnl"/>
        </w:rPr>
        <w:footnoteReference w:id="7"/>
      </w:r>
      <w:r w:rsidRPr="004A1D82">
        <w:rPr>
          <w:rFonts w:ascii="Arial" w:hAnsi="Arial" w:cs="Arial"/>
          <w:bCs/>
          <w:color w:val="000000" w:themeColor="text1"/>
          <w:sz w:val="21"/>
          <w:szCs w:val="21"/>
          <w:lang w:val="es-ES_tradnl" w:eastAsia="es-CO"/>
        </w:rPr>
        <w:t>.</w:t>
      </w:r>
    </w:p>
    <w:p w14:paraId="5FEB31A8" w14:textId="77777777" w:rsidR="00450CAF" w:rsidRPr="004A1D82" w:rsidRDefault="00450CAF" w:rsidP="00450CAF">
      <w:pPr>
        <w:spacing w:line="276" w:lineRule="auto"/>
        <w:ind w:right="709"/>
        <w:jc w:val="both"/>
        <w:rPr>
          <w:rFonts w:ascii="Arial" w:hAnsi="Arial" w:cs="Arial"/>
          <w:bCs/>
          <w:color w:val="000000" w:themeColor="text1"/>
          <w:sz w:val="22"/>
          <w:szCs w:val="22"/>
          <w:lang w:val="es-ES_tradnl" w:eastAsia="es-CO"/>
        </w:rPr>
      </w:pPr>
    </w:p>
    <w:p w14:paraId="5CDCEAB9" w14:textId="77777777" w:rsidR="00450CAF" w:rsidRPr="004A1D82" w:rsidRDefault="00450CAF" w:rsidP="00450CAF">
      <w:pPr>
        <w:spacing w:after="120" w:line="276" w:lineRule="auto"/>
        <w:jc w:val="both"/>
        <w:rPr>
          <w:rFonts w:ascii="Arial" w:eastAsia="Arial" w:hAnsi="Arial" w:cs="Arial"/>
          <w:color w:val="000000" w:themeColor="text1"/>
          <w:sz w:val="22"/>
          <w:szCs w:val="22"/>
          <w:lang w:val="es-ES_tradnl" w:eastAsia="es-ES" w:bidi="es-ES"/>
        </w:rPr>
      </w:pPr>
      <w:r w:rsidRPr="004A1D82">
        <w:rPr>
          <w:rFonts w:ascii="Arial" w:hAnsi="Arial" w:cs="Arial"/>
          <w:bCs/>
          <w:color w:val="000000" w:themeColor="text1"/>
          <w:sz w:val="22"/>
          <w:szCs w:val="22"/>
          <w:lang w:val="es-ES_tradnl" w:eastAsia="es-CO"/>
        </w:rPr>
        <w:tab/>
        <w:t>De</w:t>
      </w:r>
      <w:r w:rsidRPr="004A1D82">
        <w:rPr>
          <w:rFonts w:ascii="Arial" w:eastAsia="Arial" w:hAnsi="Arial" w:cs="Arial"/>
          <w:color w:val="000000" w:themeColor="text1"/>
          <w:sz w:val="22"/>
          <w:szCs w:val="22"/>
          <w:lang w:val="es-ES_tradnl" w:eastAsia="es-ES" w:bidi="es-ES"/>
        </w:rPr>
        <w:t xml:space="preserv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períodos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22259C3E" w14:textId="77777777" w:rsidR="00450CAF" w:rsidRPr="004A1D82" w:rsidRDefault="00450CAF" w:rsidP="00450CAF">
      <w:pPr>
        <w:spacing w:after="120" w:line="276" w:lineRule="auto"/>
        <w:ind w:firstLine="708"/>
        <w:jc w:val="both"/>
        <w:rPr>
          <w:rFonts w:ascii="Arial" w:eastAsia="Calibri" w:hAnsi="Arial" w:cs="Arial"/>
          <w:color w:val="000000" w:themeColor="text1"/>
          <w:sz w:val="22"/>
          <w:szCs w:val="22"/>
          <w:lang w:val="es-ES_tradnl" w:eastAsia="en-US"/>
        </w:rPr>
      </w:pPr>
      <w:r w:rsidRPr="004A1D82">
        <w:rPr>
          <w:rFonts w:ascii="Arial" w:eastAsia="Calibri" w:hAnsi="Arial" w:cs="Arial"/>
          <w:color w:val="000000" w:themeColor="text1"/>
          <w:sz w:val="22"/>
          <w:szCs w:val="22"/>
          <w:lang w:val="es-ES_tradnl" w:eastAsia="en-US"/>
        </w:rPr>
        <w:t xml:space="preserve">Por un lado, el artículo 33 de la Ley 996 de 2005 prohíbe </w:t>
      </w:r>
      <w:r w:rsidRPr="004A1D82">
        <w:rPr>
          <w:rFonts w:ascii="Arial" w:eastAsia="Calibri" w:hAnsi="Arial" w:cs="Arial"/>
          <w:bCs/>
          <w:color w:val="000000" w:themeColor="text1"/>
          <w:sz w:val="22"/>
          <w:szCs w:val="22"/>
          <w:lang w:val="es-ES_tradnl" w:eastAsia="en-US"/>
        </w:rPr>
        <w:t xml:space="preserve">«[…] </w:t>
      </w:r>
      <w:r w:rsidRPr="004A1D82">
        <w:rPr>
          <w:rFonts w:ascii="Arial" w:eastAsia="Calibri" w:hAnsi="Arial" w:cs="Arial"/>
          <w:color w:val="000000" w:themeColor="text1"/>
          <w:sz w:val="22"/>
          <w:szCs w:val="22"/>
          <w:lang w:val="es-ES_tradnl" w:eastAsia="en-US"/>
        </w:rPr>
        <w:t>la contratación directa por parte de todos los entes del Estado</w:t>
      </w:r>
      <w:r w:rsidRPr="004A1D82">
        <w:rPr>
          <w:rFonts w:ascii="Arial" w:eastAsia="Calibri" w:hAnsi="Arial" w:cs="Arial"/>
          <w:bCs/>
          <w:color w:val="000000" w:themeColor="text1"/>
          <w:sz w:val="22"/>
          <w:szCs w:val="22"/>
          <w:lang w:val="es-ES_tradnl" w:eastAsia="en-US"/>
        </w:rPr>
        <w:t>»</w:t>
      </w:r>
      <w:r w:rsidRPr="004A1D82">
        <w:rPr>
          <w:rFonts w:ascii="Arial" w:eastAsia="Calibri" w:hAnsi="Arial" w:cs="Arial"/>
          <w:color w:val="000000" w:themeColor="text1"/>
          <w:sz w:val="22"/>
          <w:szCs w:val="22"/>
          <w:lang w:val="es-ES_tradnl" w:eastAsia="en-US"/>
        </w:rPr>
        <w:t xml:space="preserve"> durante los cuatro (4) meses anteriores a las elecciones presidenciales, salvo </w:t>
      </w:r>
      <w:r w:rsidRPr="004A1D82">
        <w:rPr>
          <w:rFonts w:ascii="Arial" w:eastAsia="Calibri" w:hAnsi="Arial" w:cs="Arial"/>
          <w:bCs/>
          <w:color w:val="000000" w:themeColor="text1"/>
          <w:sz w:val="22"/>
          <w:szCs w:val="22"/>
          <w:lang w:val="es-ES_tradnl" w:eastAsia="en-US"/>
        </w:rPr>
        <w:t xml:space="preserve">«[…] </w:t>
      </w:r>
      <w:r w:rsidRPr="004A1D82">
        <w:rPr>
          <w:rFonts w:ascii="Arial" w:eastAsia="Calibri" w:hAnsi="Arial" w:cs="Arial"/>
          <w:color w:val="000000" w:themeColor="text1"/>
          <w:sz w:val="22"/>
          <w:szCs w:val="22"/>
          <w:lang w:val="es-ES_tradnl"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4A1D82">
        <w:rPr>
          <w:rFonts w:ascii="Arial" w:eastAsia="Calibri" w:hAnsi="Arial" w:cs="Arial"/>
          <w:bCs/>
          <w:color w:val="000000" w:themeColor="text1"/>
          <w:sz w:val="22"/>
          <w:szCs w:val="22"/>
          <w:lang w:val="es-ES_tradnl" w:eastAsia="en-US"/>
        </w:rPr>
        <w:t>»</w:t>
      </w:r>
      <w:r w:rsidRPr="004A1D82">
        <w:rPr>
          <w:rFonts w:ascii="Arial" w:eastAsia="Calibri" w:hAnsi="Arial" w:cs="Arial"/>
          <w:color w:val="000000" w:themeColor="text1"/>
          <w:vertAlign w:val="superscript"/>
          <w:lang w:eastAsia="es-ES_tradnl"/>
        </w:rPr>
        <w:footnoteReference w:id="8"/>
      </w:r>
      <w:r w:rsidRPr="004A1D82">
        <w:rPr>
          <w:rFonts w:ascii="Arial" w:eastAsia="Calibri" w:hAnsi="Arial" w:cs="Arial"/>
          <w:color w:val="000000" w:themeColor="text1"/>
          <w:sz w:val="22"/>
          <w:szCs w:val="22"/>
          <w:lang w:val="es-ES_tradnl" w:eastAsia="en-US"/>
        </w:rPr>
        <w:t>.</w:t>
      </w:r>
    </w:p>
    <w:p w14:paraId="17E7B29E" w14:textId="77777777" w:rsidR="00450CAF" w:rsidRPr="004A1D82" w:rsidRDefault="00450CAF" w:rsidP="00450CAF">
      <w:pPr>
        <w:widowControl w:val="0"/>
        <w:autoSpaceDE w:val="0"/>
        <w:autoSpaceDN w:val="0"/>
        <w:spacing w:line="276" w:lineRule="auto"/>
        <w:ind w:right="113" w:firstLine="708"/>
        <w:jc w:val="both"/>
        <w:rPr>
          <w:rFonts w:ascii="Arial" w:eastAsia="Arial" w:hAnsi="Arial" w:cs="Arial"/>
          <w:color w:val="000000" w:themeColor="text1"/>
          <w:sz w:val="22"/>
          <w:szCs w:val="22"/>
          <w:lang w:val="es-ES_tradnl" w:eastAsia="es-ES" w:bidi="es-ES"/>
        </w:rPr>
      </w:pPr>
      <w:r w:rsidRPr="004A1D82">
        <w:rPr>
          <w:rFonts w:ascii="Arial" w:eastAsia="Calibri" w:hAnsi="Arial" w:cs="Arial"/>
          <w:color w:val="000000" w:themeColor="text1"/>
          <w:sz w:val="22"/>
          <w:szCs w:val="22"/>
          <w:lang w:val="es-ES_tradnl" w:eastAsia="en-US"/>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4A1D82">
        <w:rPr>
          <w:rFonts w:ascii="Arial" w:eastAsia="Calibri" w:hAnsi="Arial" w:cs="Arial"/>
          <w:bCs/>
          <w:color w:val="000000" w:themeColor="text1"/>
          <w:sz w:val="22"/>
          <w:szCs w:val="22"/>
          <w:lang w:val="es-ES_tradnl" w:eastAsia="en-US"/>
        </w:rPr>
        <w:t xml:space="preserve">«[…] </w:t>
      </w:r>
      <w:r w:rsidRPr="004A1D82">
        <w:rPr>
          <w:rFonts w:ascii="Arial" w:eastAsia="Calibri" w:hAnsi="Arial" w:cs="Arial"/>
          <w:color w:val="000000" w:themeColor="text1"/>
          <w:sz w:val="22"/>
          <w:szCs w:val="22"/>
          <w:lang w:val="es-ES_tradnl"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A1D82">
        <w:rPr>
          <w:rFonts w:ascii="Arial" w:eastAsia="Calibri" w:hAnsi="Arial" w:cs="Arial"/>
          <w:bCs/>
          <w:color w:val="000000" w:themeColor="text1"/>
          <w:sz w:val="19"/>
          <w:szCs w:val="19"/>
          <w:lang w:val="es-ES_tradnl" w:eastAsia="en-US"/>
        </w:rPr>
        <w:t>»</w:t>
      </w:r>
      <w:r w:rsidRPr="004A1D82">
        <w:rPr>
          <w:rFonts w:ascii="Arial" w:eastAsia="Calibri" w:hAnsi="Arial" w:cs="Arial"/>
          <w:color w:val="000000" w:themeColor="text1"/>
          <w:vertAlign w:val="superscript"/>
          <w:lang w:eastAsia="es-ES_tradnl"/>
        </w:rPr>
        <w:footnoteReference w:id="9"/>
      </w:r>
      <w:r w:rsidRPr="004A1D82">
        <w:rPr>
          <w:rFonts w:ascii="Arial" w:eastAsia="Calibri" w:hAnsi="Arial" w:cs="Arial"/>
          <w:color w:val="000000" w:themeColor="text1"/>
          <w:sz w:val="22"/>
          <w:szCs w:val="22"/>
          <w:lang w:val="es-ES_tradnl" w:eastAsia="en-US"/>
        </w:rPr>
        <w:t>.</w:t>
      </w:r>
      <w:r w:rsidRPr="004A1D82">
        <w:rPr>
          <w:rFonts w:ascii="Arial" w:eastAsia="Arial" w:hAnsi="Arial" w:cs="Arial"/>
          <w:color w:val="000000" w:themeColor="text1"/>
          <w:sz w:val="22"/>
          <w:szCs w:val="22"/>
          <w:lang w:val="es-ES_tradnl" w:eastAsia="es-ES" w:bidi="es-ES"/>
        </w:rPr>
        <w:t xml:space="preserve"> La Sala de Consulta y Servicio Civil del Consejo de Estado ha aclarado la </w:t>
      </w:r>
      <w:r w:rsidRPr="004A1D82">
        <w:rPr>
          <w:rFonts w:ascii="Arial" w:eastAsia="Arial" w:hAnsi="Arial" w:cs="Arial"/>
          <w:color w:val="000000" w:themeColor="text1"/>
          <w:sz w:val="22"/>
          <w:szCs w:val="22"/>
          <w:lang w:val="es-ES_tradnl" w:eastAsia="es-ES" w:bidi="es-ES"/>
        </w:rPr>
        <w:lastRenderedPageBreak/>
        <w:t>distinción en la aplicación de las prohibiciones de la Ley 996 de 2005, dependiendo del tipo de elección que se trate. Al respecto, considera que:</w:t>
      </w:r>
    </w:p>
    <w:p w14:paraId="2EBC24CD" w14:textId="77777777" w:rsidR="00450CAF" w:rsidRPr="004A1D82" w:rsidRDefault="00450CAF" w:rsidP="00450CAF">
      <w:pPr>
        <w:widowControl w:val="0"/>
        <w:autoSpaceDE w:val="0"/>
        <w:autoSpaceDN w:val="0"/>
        <w:ind w:left="805" w:right="812"/>
        <w:jc w:val="both"/>
        <w:rPr>
          <w:rFonts w:ascii="Arial" w:eastAsia="Arial" w:hAnsi="Arial" w:cs="Arial"/>
          <w:color w:val="000000" w:themeColor="text1"/>
          <w:sz w:val="22"/>
          <w:szCs w:val="22"/>
          <w:lang w:val="es-ES_tradnl" w:eastAsia="es-ES" w:bidi="es-ES"/>
        </w:rPr>
      </w:pPr>
    </w:p>
    <w:p w14:paraId="02DC984E" w14:textId="77777777" w:rsidR="00450CAF" w:rsidRPr="004A1D82" w:rsidRDefault="00450CAF" w:rsidP="00450CAF">
      <w:pPr>
        <w:widowControl w:val="0"/>
        <w:autoSpaceDE w:val="0"/>
        <w:autoSpaceDN w:val="0"/>
        <w:ind w:left="709" w:right="709"/>
        <w:jc w:val="both"/>
        <w:rPr>
          <w:rFonts w:ascii="Arial" w:eastAsia="Arial" w:hAnsi="Arial" w:cs="Arial"/>
          <w:color w:val="000000" w:themeColor="text1"/>
          <w:sz w:val="21"/>
          <w:szCs w:val="21"/>
          <w:lang w:val="es-ES_tradnl" w:eastAsia="es-ES" w:bidi="es-ES"/>
        </w:rPr>
      </w:pPr>
      <w:r w:rsidRPr="004A1D82">
        <w:rPr>
          <w:rFonts w:ascii="Arial" w:eastAsia="Arial" w:hAnsi="Arial" w:cs="Arial"/>
          <w:color w:val="000000" w:themeColor="text1"/>
          <w:sz w:val="21"/>
          <w:szCs w:val="21"/>
          <w:lang w:val="es-ES_tradnl" w:eastAsia="es-ES" w:bidi="es-ES"/>
        </w:rPr>
        <w:t xml:space="preserve">La interpretación sistemática de las disposiciones consagradas en los artículos 32, 33 y el parágrafo del artículo 38 de la ley 996 de 2.005 lleva a concluir que dichas normas contienen restricciones y prohibiciones para períodos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4A1D82">
        <w:rPr>
          <w:rFonts w:ascii="Arial" w:eastAsia="Arial" w:hAnsi="Arial" w:cs="Arial"/>
          <w:bCs/>
          <w:color w:val="000000" w:themeColor="text1"/>
          <w:sz w:val="21"/>
          <w:szCs w:val="21"/>
          <w:lang w:val="es-ES_tradnl" w:eastAsia="es-ES" w:bidi="es-ES"/>
        </w:rPr>
        <w:t>En cambio, para elecciones en general, excluyendo las correspondientes a Presidente de la República, a las autoridades territoriales allí mencionadas sólo se aplican las restricciones contenidas en el parágrafo del artículo 38</w:t>
      </w:r>
      <w:r w:rsidRPr="004A1D82">
        <w:rPr>
          <w:rFonts w:ascii="Arial" w:eastAsia="Arial" w:hAnsi="Arial" w:cs="Arial"/>
          <w:color w:val="000000" w:themeColor="text1"/>
          <w:vertAlign w:val="superscript"/>
          <w:lang w:eastAsia="es-ES_tradnl"/>
        </w:rPr>
        <w:footnoteReference w:id="10"/>
      </w:r>
      <w:r w:rsidRPr="004A1D82">
        <w:rPr>
          <w:rFonts w:ascii="Arial" w:eastAsia="Arial" w:hAnsi="Arial" w:cs="Arial"/>
          <w:bCs/>
          <w:color w:val="000000" w:themeColor="text1"/>
          <w:sz w:val="21"/>
          <w:szCs w:val="21"/>
          <w:lang w:val="es-ES_tradnl" w:eastAsia="es-ES" w:bidi="es-ES"/>
        </w:rPr>
        <w:t>.</w:t>
      </w:r>
    </w:p>
    <w:p w14:paraId="63CB94EB" w14:textId="77777777" w:rsidR="00450CAF" w:rsidRPr="004A1D82" w:rsidRDefault="00450CAF" w:rsidP="00450CAF">
      <w:pPr>
        <w:widowControl w:val="0"/>
        <w:autoSpaceDE w:val="0"/>
        <w:autoSpaceDN w:val="0"/>
        <w:spacing w:before="8"/>
        <w:rPr>
          <w:rFonts w:ascii="Arial" w:eastAsia="Arial" w:hAnsi="Arial" w:cs="Arial"/>
          <w:color w:val="000000" w:themeColor="text1"/>
          <w:sz w:val="22"/>
          <w:szCs w:val="22"/>
          <w:lang w:val="es-ES_tradnl" w:eastAsia="es-ES" w:bidi="es-ES"/>
        </w:rPr>
      </w:pPr>
    </w:p>
    <w:p w14:paraId="141CD823" w14:textId="77777777" w:rsidR="00450CAF" w:rsidRPr="004A1D82" w:rsidRDefault="00450CAF" w:rsidP="00450CAF">
      <w:pPr>
        <w:spacing w:after="120" w:line="276" w:lineRule="auto"/>
        <w:ind w:firstLine="709"/>
        <w:jc w:val="both"/>
        <w:rPr>
          <w:rFonts w:ascii="Arial" w:eastAsia="Arial" w:hAnsi="Arial" w:cs="Arial"/>
          <w:color w:val="000000" w:themeColor="text1"/>
          <w:sz w:val="22"/>
          <w:szCs w:val="22"/>
          <w:lang w:val="es-ES_tradnl" w:eastAsia="es-ES" w:bidi="es-ES"/>
        </w:rPr>
      </w:pPr>
      <w:r w:rsidRPr="004A1D82">
        <w:rPr>
          <w:rFonts w:ascii="Arial" w:eastAsia="Arial" w:hAnsi="Arial" w:cs="Arial"/>
          <w:color w:val="000000" w:themeColor="text1"/>
          <w:sz w:val="22"/>
          <w:szCs w:val="22"/>
          <w:lang w:val="es-ES_tradnl" w:eastAsia="es-ES" w:bidi="es-ES"/>
        </w:rPr>
        <w:t xml:space="preserve">De lo anterior se desprende que la Ley 996 de 2005 establece dos (2) tipos de restricciones en materia de contratación, las cuales coinciden parcialmente. </w:t>
      </w:r>
      <w:r w:rsidRPr="004A1D82">
        <w:rPr>
          <w:rFonts w:ascii="Arial" w:eastAsia="Arial" w:hAnsi="Arial" w:cs="Arial"/>
          <w:i/>
          <w:iCs/>
          <w:color w:val="000000" w:themeColor="text1"/>
          <w:sz w:val="22"/>
          <w:szCs w:val="22"/>
          <w:lang w:val="es-ES_tradnl" w:eastAsia="es-ES" w:bidi="es-ES"/>
        </w:rPr>
        <w:t>En primer lugar</w:t>
      </w:r>
      <w:r w:rsidRPr="004A1D82">
        <w:rPr>
          <w:rFonts w:ascii="Arial" w:eastAsia="Arial" w:hAnsi="Arial" w:cs="Arial"/>
          <w:color w:val="000000" w:themeColor="text1"/>
          <w:sz w:val="22"/>
          <w:szCs w:val="22"/>
          <w:lang w:val="es-ES_tradnl"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conforme al artículo 190 de la Constitución Política. Para estos efectos, la restricción se extenderá hasta la fecha en la que se realice la segunda vuelta. </w:t>
      </w:r>
      <w:r w:rsidRPr="004A1D82">
        <w:rPr>
          <w:rFonts w:ascii="Arial" w:eastAsia="Arial" w:hAnsi="Arial" w:cs="Arial"/>
          <w:i/>
          <w:iCs/>
          <w:color w:val="000000" w:themeColor="text1"/>
          <w:sz w:val="22"/>
          <w:szCs w:val="22"/>
          <w:lang w:val="es-ES_tradnl" w:eastAsia="es-ES" w:bidi="es-ES"/>
        </w:rPr>
        <w:t>En segundo lugar</w:t>
      </w:r>
      <w:r w:rsidRPr="004A1D82">
        <w:rPr>
          <w:rFonts w:ascii="Arial" w:eastAsia="Arial" w:hAnsi="Arial" w:cs="Arial"/>
          <w:color w:val="000000" w:themeColor="text1"/>
          <w:sz w:val="22"/>
          <w:szCs w:val="22"/>
          <w:lang w:val="es-ES_tradnl"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319C7C40" w14:textId="77777777" w:rsidR="00450CAF" w:rsidRPr="004A1D82" w:rsidRDefault="00450CAF" w:rsidP="00450CAF">
      <w:pPr>
        <w:spacing w:after="120" w:line="276" w:lineRule="auto"/>
        <w:ind w:firstLine="709"/>
        <w:jc w:val="both"/>
        <w:rPr>
          <w:rFonts w:ascii="Arial" w:eastAsia="Arial" w:hAnsi="Arial" w:cs="Arial"/>
          <w:color w:val="000000" w:themeColor="text1"/>
          <w:sz w:val="22"/>
          <w:szCs w:val="22"/>
          <w:lang w:val="es-ES_tradnl" w:eastAsia="es-ES" w:bidi="es-ES"/>
        </w:rPr>
      </w:pPr>
      <w:r w:rsidRPr="004A1D82">
        <w:rPr>
          <w:rFonts w:ascii="Arial" w:eastAsia="Arial" w:hAnsi="Arial" w:cs="Arial"/>
          <w:color w:val="000000" w:themeColor="text1"/>
          <w:sz w:val="22"/>
          <w:szCs w:val="22"/>
          <w:lang w:val="es-ES_tradnl" w:eastAsia="es-ES" w:bidi="es-ES"/>
        </w:rPr>
        <w:t xml:space="preserve">Ambas restricciones no son excluyentes, lo que permite concluir que en el período preelectoral para elección de Presidente de la República, a todos los entes del Estado, incluidos los territoriales, aplican las restricciones del artículo 33 con sus excepciones, así </w:t>
      </w:r>
      <w:r w:rsidRPr="004A1D82">
        <w:rPr>
          <w:rFonts w:ascii="Arial" w:eastAsia="Arial" w:hAnsi="Arial" w:cs="Arial"/>
          <w:color w:val="000000" w:themeColor="text1"/>
          <w:sz w:val="22"/>
          <w:szCs w:val="22"/>
          <w:lang w:val="es-ES_tradnl" w:eastAsia="es-ES" w:bidi="es-ES"/>
        </w:rPr>
        <w:lastRenderedPageBreak/>
        <w:t>como las del parágrafo del artículo 38. En cambio, tratándose de elecciones en general, excluyendo las correspondientes al Presidente de la República, las autoridades allí mencionadas solo deben aplicar las restricciones contenidas en el parágrafo del artículo 38.</w:t>
      </w:r>
    </w:p>
    <w:p w14:paraId="5B576C4E" w14:textId="77777777" w:rsidR="00450CAF" w:rsidRPr="004A1D82" w:rsidRDefault="00450CAF" w:rsidP="00450CAF">
      <w:pPr>
        <w:spacing w:line="276" w:lineRule="auto"/>
        <w:ind w:firstLine="708"/>
        <w:jc w:val="both"/>
        <w:rPr>
          <w:rFonts w:ascii="Arial" w:eastAsia="Arial" w:hAnsi="Arial" w:cs="Arial"/>
          <w:color w:val="000000" w:themeColor="text1"/>
          <w:sz w:val="22"/>
          <w:szCs w:val="22"/>
          <w:lang w:val="es-ES_tradnl" w:eastAsia="es-ES" w:bidi="es-ES"/>
        </w:rPr>
      </w:pPr>
      <w:r w:rsidRPr="004A1D82">
        <w:rPr>
          <w:rFonts w:ascii="Arial" w:eastAsia="Arial" w:hAnsi="Arial" w:cs="Arial"/>
          <w:color w:val="000000" w:themeColor="text1"/>
          <w:sz w:val="22"/>
          <w:szCs w:val="22"/>
          <w:lang w:val="es-ES_tradnl" w:eastAsia="es-ES" w:bidi="es-ES"/>
        </w:rPr>
        <w:t>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w:t>
      </w:r>
    </w:p>
    <w:p w14:paraId="43E2C9FF" w14:textId="77777777" w:rsidR="00450CAF" w:rsidRPr="004A1D82" w:rsidRDefault="00450CAF" w:rsidP="00450CAF">
      <w:pPr>
        <w:spacing w:line="276" w:lineRule="auto"/>
        <w:jc w:val="both"/>
        <w:rPr>
          <w:rFonts w:ascii="Arial" w:eastAsia="Arial" w:hAnsi="Arial" w:cs="Arial"/>
          <w:color w:val="000000" w:themeColor="text1"/>
          <w:sz w:val="22"/>
          <w:szCs w:val="22"/>
          <w:lang w:val="es-ES_tradnl" w:eastAsia="es-ES" w:bidi="es-ES"/>
        </w:rPr>
      </w:pPr>
    </w:p>
    <w:p w14:paraId="6E6C176C" w14:textId="77777777" w:rsidR="00450CAF" w:rsidRPr="004A1D82" w:rsidRDefault="00450CAF" w:rsidP="00450CAF">
      <w:pPr>
        <w:spacing w:line="276" w:lineRule="auto"/>
        <w:jc w:val="both"/>
        <w:rPr>
          <w:rFonts w:ascii="Arial" w:hAnsi="Arial" w:cs="Arial"/>
          <w:b/>
          <w:color w:val="000000" w:themeColor="text1"/>
          <w:sz w:val="22"/>
          <w:szCs w:val="22"/>
          <w:lang w:val="es-ES_tradnl" w:eastAsia="es-CO"/>
        </w:rPr>
      </w:pPr>
      <w:r w:rsidRPr="004A1D82">
        <w:rPr>
          <w:rFonts w:ascii="Arial" w:hAnsi="Arial" w:cs="Arial"/>
          <w:b/>
          <w:color w:val="000000" w:themeColor="text1"/>
          <w:sz w:val="22"/>
          <w:szCs w:val="22"/>
          <w:lang w:val="es-ES_tradnl" w:eastAsia="es-CO"/>
        </w:rPr>
        <w:t xml:space="preserve">2.2. </w:t>
      </w:r>
      <w:r w:rsidRPr="004A1D82">
        <w:rPr>
          <w:rFonts w:ascii="Arial" w:hAnsi="Arial" w:cs="Arial"/>
          <w:b/>
          <w:bCs/>
          <w:color w:val="000000" w:themeColor="text1"/>
          <w:sz w:val="22"/>
          <w:szCs w:val="22"/>
          <w:lang w:val="es-ES_tradnl" w:eastAsia="es-CO"/>
        </w:rPr>
        <w:t>Restricciones en elecciones presidenciales: prohibición del artículo 33 de la Ley 996 de 2005</w:t>
      </w:r>
    </w:p>
    <w:p w14:paraId="43CB77A1" w14:textId="77777777" w:rsidR="00450CAF" w:rsidRPr="004A1D82" w:rsidRDefault="00450CAF" w:rsidP="00450CAF">
      <w:pPr>
        <w:spacing w:line="276" w:lineRule="auto"/>
        <w:jc w:val="both"/>
        <w:rPr>
          <w:rFonts w:ascii="Arial" w:hAnsi="Arial" w:cs="Arial"/>
          <w:bCs/>
          <w:color w:val="000000" w:themeColor="text1"/>
          <w:sz w:val="22"/>
          <w:szCs w:val="22"/>
          <w:lang w:val="es-ES_tradnl" w:eastAsia="x-none"/>
        </w:rPr>
      </w:pPr>
    </w:p>
    <w:p w14:paraId="6FB93CD1" w14:textId="77777777" w:rsidR="00450CAF" w:rsidRPr="004A1D82" w:rsidRDefault="00450CAF" w:rsidP="00450CAF">
      <w:pPr>
        <w:spacing w:line="276" w:lineRule="auto"/>
        <w:jc w:val="both"/>
        <w:rPr>
          <w:rFonts w:ascii="Arial" w:hAnsi="Arial" w:cs="Arial"/>
          <w:bCs/>
          <w:color w:val="000000" w:themeColor="text1"/>
          <w:sz w:val="22"/>
          <w:szCs w:val="22"/>
          <w:lang w:val="es-ES_tradnl" w:eastAsia="es-CO"/>
        </w:rPr>
      </w:pPr>
      <w:bookmarkStart w:id="11" w:name="_Hlk98519720"/>
      <w:r w:rsidRPr="004A1D82">
        <w:rPr>
          <w:rFonts w:ascii="Arial" w:hAnsi="Arial" w:cs="Arial"/>
          <w:bCs/>
          <w:color w:val="000000" w:themeColor="text1"/>
          <w:sz w:val="22"/>
          <w:szCs w:val="22"/>
          <w:lang w:val="es-ES_tradnl" w:eastAsia="x-none"/>
        </w:rPr>
        <w:t xml:space="preserve">El ámbito material de la prohibición contenida en el artículo 33 de la ley 996 de 2005 está delimitado por la expresión </w:t>
      </w:r>
      <w:r w:rsidRPr="004A1D82">
        <w:rPr>
          <w:rFonts w:ascii="Arial" w:eastAsia="Calibri" w:hAnsi="Arial" w:cs="Arial"/>
          <w:bCs/>
          <w:color w:val="000000" w:themeColor="text1"/>
          <w:sz w:val="20"/>
          <w:szCs w:val="20"/>
          <w:lang w:val="es-ES_tradnl" w:eastAsia="en-US"/>
        </w:rPr>
        <w:t>«</w:t>
      </w:r>
      <w:r w:rsidRPr="004A1D82">
        <w:rPr>
          <w:rFonts w:ascii="Arial" w:hAnsi="Arial" w:cs="Arial"/>
          <w:bCs/>
          <w:color w:val="000000" w:themeColor="text1"/>
          <w:sz w:val="22"/>
          <w:szCs w:val="22"/>
          <w:lang w:val="es-ES_tradnl" w:eastAsia="x-none"/>
        </w:rPr>
        <w:t>queda prohibida la contratación directa</w:t>
      </w:r>
      <w:r w:rsidRPr="004A1D82">
        <w:rPr>
          <w:rFonts w:ascii="Arial" w:eastAsiaTheme="minorHAnsi" w:hAnsi="Arial" w:cs="Arial"/>
          <w:color w:val="000000" w:themeColor="text1"/>
          <w:sz w:val="20"/>
          <w:szCs w:val="20"/>
          <w:lang w:val="es-ES_tradnl" w:eastAsia="en-US"/>
        </w:rPr>
        <w:t>»</w:t>
      </w:r>
      <w:bookmarkEnd w:id="11"/>
      <w:r w:rsidRPr="004A1D82">
        <w:rPr>
          <w:rFonts w:ascii="Arial" w:hAnsi="Arial" w:cs="Arial"/>
          <w:bCs/>
          <w:color w:val="000000" w:themeColor="text1"/>
          <w:sz w:val="22"/>
          <w:szCs w:val="22"/>
          <w:lang w:val="es-ES_tradnl" w:eastAsia="x-none"/>
        </w:rPr>
        <w:t xml:space="preserve">. </w:t>
      </w:r>
      <w:r w:rsidRPr="004A1D82">
        <w:rPr>
          <w:rFonts w:ascii="Arial" w:hAnsi="Arial" w:cs="Arial"/>
          <w:color w:val="000000" w:themeColor="text1"/>
          <w:sz w:val="22"/>
          <w:szCs w:val="22"/>
          <w:lang w:val="es-ES_tradnl" w:eastAsia="es-CO"/>
        </w:rPr>
        <w:t xml:space="preserve"> A propósito de esta restricción de la Ley de Garantías Electorales, la Sala de Consulta y Servicio Civil del Consejo de Estado ha considerado que:</w:t>
      </w:r>
    </w:p>
    <w:p w14:paraId="305F1C42" w14:textId="77777777" w:rsidR="00450CAF" w:rsidRPr="004A1D82" w:rsidRDefault="00450CAF" w:rsidP="00450CAF">
      <w:pPr>
        <w:ind w:left="708" w:right="709"/>
        <w:jc w:val="both"/>
        <w:rPr>
          <w:rFonts w:ascii="Arial" w:eastAsiaTheme="minorHAnsi" w:hAnsi="Arial" w:cs="Arial"/>
          <w:color w:val="000000" w:themeColor="text1"/>
          <w:sz w:val="21"/>
          <w:szCs w:val="21"/>
          <w:lang w:val="es-ES_tradnl" w:eastAsia="en-US"/>
        </w:rPr>
      </w:pPr>
    </w:p>
    <w:p w14:paraId="4BCBCD0B" w14:textId="77777777" w:rsidR="00450CAF" w:rsidRPr="004A1D82" w:rsidRDefault="00450CAF" w:rsidP="00450CAF">
      <w:pPr>
        <w:spacing w:after="120"/>
        <w:ind w:left="709" w:right="709"/>
        <w:jc w:val="both"/>
        <w:rPr>
          <w:rFonts w:ascii="Arial" w:eastAsiaTheme="minorHAnsi" w:hAnsi="Arial" w:cs="Arial"/>
          <w:color w:val="000000" w:themeColor="text1"/>
          <w:sz w:val="21"/>
          <w:szCs w:val="21"/>
          <w:lang w:val="es-ES_tradnl" w:eastAsia="en-US"/>
        </w:rPr>
      </w:pPr>
      <w:r w:rsidRPr="004A1D82">
        <w:rPr>
          <w:rFonts w:ascii="Arial" w:eastAsiaTheme="minorHAnsi" w:hAnsi="Arial" w:cs="Arial"/>
          <w:color w:val="000000" w:themeColor="text1"/>
          <w:sz w:val="21"/>
          <w:szCs w:val="21"/>
          <w:lang w:val="es-ES_tradnl" w:eastAsia="en-US"/>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4A1D82">
        <w:rPr>
          <w:rFonts w:ascii="Arial" w:hAnsi="Arial" w:cs="Arial"/>
          <w:color w:val="000000" w:themeColor="text1"/>
          <w:vertAlign w:val="superscript"/>
          <w:lang w:eastAsia="es-ES_tradnl"/>
        </w:rPr>
        <w:footnoteReference w:id="11"/>
      </w:r>
      <w:r w:rsidRPr="004A1D82">
        <w:rPr>
          <w:rFonts w:ascii="Arial" w:eastAsiaTheme="minorHAnsi" w:hAnsi="Arial" w:cs="Arial"/>
          <w:color w:val="000000" w:themeColor="text1"/>
          <w:sz w:val="21"/>
          <w:szCs w:val="21"/>
          <w:lang w:val="es-ES_tradnl" w:eastAsia="en-US"/>
        </w:rPr>
        <w:t>.</w:t>
      </w:r>
    </w:p>
    <w:p w14:paraId="6485FA42" w14:textId="77777777" w:rsidR="00450CAF" w:rsidRPr="004A1D82" w:rsidRDefault="00450CAF" w:rsidP="00450CAF">
      <w:pPr>
        <w:ind w:left="708" w:right="709"/>
        <w:jc w:val="both"/>
        <w:rPr>
          <w:rFonts w:ascii="Arial" w:eastAsiaTheme="minorHAnsi" w:hAnsi="Arial" w:cs="Arial"/>
          <w:color w:val="000000" w:themeColor="text1"/>
          <w:sz w:val="21"/>
          <w:szCs w:val="21"/>
          <w:lang w:val="es-ES_tradnl" w:eastAsia="en-US"/>
        </w:rPr>
      </w:pPr>
      <w:r w:rsidRPr="004A1D82">
        <w:rPr>
          <w:rFonts w:ascii="Arial" w:eastAsiaTheme="minorHAnsi" w:hAnsi="Arial" w:cs="Arial"/>
          <w:color w:val="000000" w:themeColor="text1"/>
          <w:sz w:val="21"/>
          <w:szCs w:val="21"/>
          <w:lang w:val="es-ES_tradnl" w:eastAsia="en-US"/>
        </w:rPr>
        <w:t>Esta Sala ha entendido que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de un proceso de licitación pública o concurso</w:t>
      </w:r>
      <w:r w:rsidRPr="004A1D82">
        <w:rPr>
          <w:rFonts w:ascii="Arial" w:hAnsi="Arial" w:cs="Arial"/>
          <w:color w:val="000000" w:themeColor="text1"/>
          <w:vertAlign w:val="superscript"/>
          <w:lang w:eastAsia="es-ES_tradnl"/>
        </w:rPr>
        <w:footnoteReference w:id="12"/>
      </w:r>
      <w:r w:rsidRPr="004A1D82">
        <w:rPr>
          <w:rFonts w:ascii="Arial" w:hAnsi="Arial" w:cs="Arial"/>
          <w:color w:val="000000" w:themeColor="text1"/>
          <w:sz w:val="21"/>
          <w:szCs w:val="21"/>
          <w:vertAlign w:val="superscript"/>
          <w:lang w:val="es-ES_tradnl" w:eastAsia="en-US"/>
        </w:rPr>
        <w:t>.</w:t>
      </w:r>
      <w:r w:rsidRPr="004A1D82">
        <w:rPr>
          <w:rFonts w:ascii="Arial" w:eastAsiaTheme="minorHAnsi" w:hAnsi="Arial" w:cs="Arial"/>
          <w:color w:val="000000" w:themeColor="text1"/>
          <w:sz w:val="21"/>
          <w:szCs w:val="21"/>
          <w:lang w:val="es-ES_tradnl" w:eastAsia="en-US"/>
        </w:rPr>
        <w:t xml:space="preserve"> Por tanto, no son materia de </w:t>
      </w:r>
      <w:r w:rsidRPr="004A1D82">
        <w:rPr>
          <w:rFonts w:ascii="Arial" w:eastAsiaTheme="minorHAnsi" w:hAnsi="Arial" w:cs="Arial"/>
          <w:color w:val="000000" w:themeColor="text1"/>
          <w:sz w:val="21"/>
          <w:szCs w:val="21"/>
          <w:lang w:val="es-ES_tradnl" w:eastAsia="en-US"/>
        </w:rPr>
        <w:lastRenderedPageBreak/>
        <w:t>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4A1D82">
        <w:rPr>
          <w:rFonts w:ascii="Arial" w:hAnsi="Arial" w:cs="Arial"/>
          <w:color w:val="000000" w:themeColor="text1"/>
          <w:vertAlign w:val="superscript"/>
          <w:lang w:eastAsia="es-ES_tradnl"/>
        </w:rPr>
        <w:footnoteReference w:id="13"/>
      </w:r>
      <w:r w:rsidRPr="004A1D82">
        <w:rPr>
          <w:rFonts w:ascii="Arial" w:eastAsiaTheme="minorHAnsi" w:hAnsi="Arial" w:cs="Arial"/>
          <w:color w:val="000000" w:themeColor="text1"/>
          <w:sz w:val="21"/>
          <w:szCs w:val="21"/>
          <w:lang w:val="es-ES_tradnl" w:eastAsia="en-US"/>
        </w:rPr>
        <w:t xml:space="preserve"> .</w:t>
      </w:r>
    </w:p>
    <w:p w14:paraId="02DE98F6" w14:textId="77777777" w:rsidR="00450CAF" w:rsidRPr="004A1D82" w:rsidRDefault="00450CAF" w:rsidP="00450CAF">
      <w:pPr>
        <w:shd w:val="clear" w:color="auto" w:fill="FFFFFF"/>
        <w:spacing w:line="276" w:lineRule="auto"/>
        <w:ind w:firstLine="709"/>
        <w:jc w:val="both"/>
        <w:rPr>
          <w:rFonts w:ascii="Arial" w:hAnsi="Arial" w:cs="Arial"/>
          <w:color w:val="000000" w:themeColor="text1"/>
          <w:sz w:val="22"/>
          <w:szCs w:val="22"/>
          <w:lang w:val="es-ES_tradnl" w:eastAsia="x-none"/>
        </w:rPr>
      </w:pPr>
    </w:p>
    <w:p w14:paraId="309EC6D2" w14:textId="77777777" w:rsidR="00450CAF" w:rsidRPr="004A1D82" w:rsidRDefault="00450CAF" w:rsidP="00450CAF">
      <w:pPr>
        <w:spacing w:after="120" w:line="276" w:lineRule="auto"/>
        <w:ind w:firstLine="708"/>
        <w:jc w:val="both"/>
        <w:rPr>
          <w:rFonts w:ascii="Arial" w:hAnsi="Arial" w:cs="Arial"/>
          <w:bCs/>
          <w:color w:val="000000" w:themeColor="text1"/>
          <w:sz w:val="22"/>
          <w:szCs w:val="22"/>
          <w:lang w:val="es-ES_tradnl" w:eastAsia="x-none"/>
        </w:rPr>
      </w:pPr>
      <w:r w:rsidRPr="004A1D82">
        <w:rPr>
          <w:rFonts w:ascii="Arial" w:hAnsi="Arial" w:cs="Arial"/>
          <w:color w:val="000000" w:themeColor="text1"/>
          <w:sz w:val="22"/>
          <w:szCs w:val="22"/>
          <w:lang w:val="es-ES_tradnl" w:eastAsia="x-none"/>
        </w:rPr>
        <w:t xml:space="preserve">De acuerdo con el citado concepto, </w:t>
      </w:r>
      <w:bookmarkStart w:id="12" w:name="_Hlk98519748"/>
      <w:r w:rsidRPr="004A1D82">
        <w:rPr>
          <w:rFonts w:ascii="Arial" w:hAnsi="Arial" w:cs="Arial"/>
          <w:color w:val="000000" w:themeColor="text1"/>
          <w:sz w:val="22"/>
          <w:szCs w:val="22"/>
          <w:lang w:val="es-ES_tradnl" w:eastAsia="x-none"/>
        </w:rPr>
        <w:t xml:space="preserve">la prohibición del artículo 33 de la Ley de Garantías Electorales se refiere a </w:t>
      </w:r>
      <w:r w:rsidRPr="004A1D82">
        <w:rPr>
          <w:rFonts w:ascii="Arial" w:hAnsi="Arial" w:cs="Arial"/>
          <w:color w:val="000000" w:themeColor="text1"/>
          <w:sz w:val="19"/>
          <w:szCs w:val="19"/>
          <w:lang w:val="es-ES_tradnl"/>
        </w:rPr>
        <w:t>«</w:t>
      </w:r>
      <w:r w:rsidRPr="004A1D82">
        <w:rPr>
          <w:rFonts w:ascii="Arial" w:hAnsi="Arial" w:cs="Arial"/>
          <w:color w:val="000000" w:themeColor="text1"/>
          <w:sz w:val="22"/>
          <w:szCs w:val="22"/>
          <w:lang w:val="es-ES_tradnl" w:eastAsia="x-none"/>
        </w:rPr>
        <w:t>cualquier sistema que no implique convocatoria pública y posibilidad de pluralidad de oferentes</w:t>
      </w:r>
      <w:r w:rsidRPr="004A1D82">
        <w:rPr>
          <w:rFonts w:ascii="Arial" w:hAnsi="Arial" w:cs="Arial"/>
          <w:color w:val="000000" w:themeColor="text1"/>
          <w:sz w:val="22"/>
          <w:szCs w:val="22"/>
          <w:lang w:val="es-ES_tradnl"/>
        </w:rPr>
        <w:t>»</w:t>
      </w:r>
      <w:r w:rsidRPr="004A1D82">
        <w:rPr>
          <w:rFonts w:ascii="Arial" w:hAnsi="Arial" w:cs="Arial"/>
          <w:color w:val="000000" w:themeColor="text1"/>
          <w:sz w:val="22"/>
          <w:szCs w:val="22"/>
          <w:lang w:val="es-ES_tradnl" w:eastAsia="x-none"/>
        </w:rPr>
        <w:t>, por lo que excluye las demás modalidades de contratación previstas en la Ley 1150 de 2007, es decir, la licitación pública, la selección abreviada, el concurso de méritos y la mínima cuantía u otros previstos en normas especiales, que contemplen en alguna de sus etapas la posible participación de pluralidad de oferentes.</w:t>
      </w:r>
      <w:bookmarkEnd w:id="12"/>
      <w:r w:rsidRPr="004A1D82">
        <w:rPr>
          <w:rFonts w:ascii="Arial" w:hAnsi="Arial" w:cs="Arial"/>
          <w:color w:val="000000" w:themeColor="text1"/>
          <w:sz w:val="22"/>
          <w:szCs w:val="22"/>
          <w:lang w:val="es-ES_tradnl" w:eastAsia="x-none"/>
        </w:rPr>
        <w:t xml:space="preserve"> Esta posición es congruente con la expedición de la Ley 1150 de 2007 que, entre otras reformas, introdujo la selección abreviada, rediseñó el concurso de méritos</w:t>
      </w:r>
      <w:r w:rsidRPr="004A1D82">
        <w:rPr>
          <w:rFonts w:ascii="Arial" w:hAnsi="Arial" w:cs="Arial"/>
          <w:color w:val="000000" w:themeColor="text1"/>
          <w:vertAlign w:val="superscript"/>
          <w:lang w:eastAsia="es-ES_tradnl"/>
        </w:rPr>
        <w:footnoteReference w:id="14"/>
      </w:r>
      <w:r w:rsidRPr="004A1D82">
        <w:rPr>
          <w:rFonts w:ascii="Arial" w:hAnsi="Arial" w:cs="Arial"/>
          <w:color w:val="000000" w:themeColor="text1"/>
          <w:sz w:val="22"/>
          <w:szCs w:val="22"/>
          <w:lang w:val="es-ES_tradnl" w:eastAsia="x-none"/>
        </w:rPr>
        <w:t xml:space="preserve"> y sistematizó las causales de contratación directa</w:t>
      </w:r>
      <w:r w:rsidRPr="004A1D82">
        <w:rPr>
          <w:rFonts w:ascii="Arial" w:hAnsi="Arial" w:cs="Arial"/>
          <w:color w:val="000000" w:themeColor="text1"/>
          <w:vertAlign w:val="superscript"/>
          <w:lang w:eastAsia="es-ES_tradnl"/>
        </w:rPr>
        <w:footnoteReference w:id="15"/>
      </w:r>
      <w:r w:rsidRPr="004A1D82">
        <w:rPr>
          <w:rFonts w:ascii="Arial" w:hAnsi="Arial" w:cs="Arial"/>
          <w:color w:val="000000" w:themeColor="text1"/>
          <w:sz w:val="22"/>
          <w:szCs w:val="22"/>
          <w:lang w:val="es-ES_tradnl" w:eastAsia="x-none"/>
        </w:rPr>
        <w:t xml:space="preserve">, </w:t>
      </w:r>
      <w:r w:rsidRPr="004A1D82">
        <w:rPr>
          <w:rFonts w:ascii="Arial" w:eastAsiaTheme="minorHAnsi" w:hAnsi="Arial" w:cs="Arial"/>
          <w:color w:val="000000" w:themeColor="text1"/>
          <w:sz w:val="22"/>
          <w:lang w:eastAsia="x-none"/>
        </w:rPr>
        <w:t>además lo es con la posterior creación de la modalidad de mínima cuantía establecida actualmente en el numeral 5 del artículo 2 de la Ley 1150 de 2007, de acuerdo con las modificaciones realizadas por leyes posteriores.</w:t>
      </w:r>
    </w:p>
    <w:p w14:paraId="563E3BA2" w14:textId="77777777" w:rsidR="00450CAF" w:rsidRPr="004A1D82" w:rsidRDefault="00450CAF" w:rsidP="00450CAF">
      <w:pPr>
        <w:spacing w:after="120" w:line="276" w:lineRule="auto"/>
        <w:ind w:firstLine="708"/>
        <w:jc w:val="both"/>
        <w:rPr>
          <w:rFonts w:ascii="Arial" w:hAnsi="Arial" w:cs="Arial"/>
          <w:color w:val="000000" w:themeColor="text1"/>
          <w:sz w:val="22"/>
          <w:szCs w:val="22"/>
          <w:lang w:val="es-ES_tradnl" w:eastAsia="x-none"/>
        </w:rPr>
      </w:pPr>
      <w:r w:rsidRPr="004A1D82">
        <w:rPr>
          <w:rFonts w:ascii="Arial" w:hAnsi="Arial" w:cs="Arial"/>
          <w:color w:val="000000" w:themeColor="text1"/>
          <w:sz w:val="22"/>
          <w:szCs w:val="22"/>
          <w:lang w:val="es-ES_tradnl" w:eastAsia="x-none"/>
        </w:rPr>
        <w:t xml:space="preserve">De esta forma, con fundamento en la evolución de la normativa sobre la contratación pública, se ha depurado la noción de </w:t>
      </w:r>
      <w:r w:rsidRPr="004A1D82">
        <w:rPr>
          <w:rFonts w:ascii="Arial" w:hAnsi="Arial" w:cs="Arial"/>
          <w:color w:val="000000" w:themeColor="text1"/>
          <w:sz w:val="19"/>
          <w:szCs w:val="19"/>
          <w:lang w:val="es-ES_tradnl"/>
        </w:rPr>
        <w:t>«</w:t>
      </w:r>
      <w:r w:rsidRPr="004A1D82">
        <w:rPr>
          <w:rFonts w:ascii="Arial" w:hAnsi="Arial" w:cs="Arial"/>
          <w:color w:val="000000" w:themeColor="text1"/>
          <w:sz w:val="22"/>
          <w:szCs w:val="22"/>
          <w:lang w:val="es-ES_tradnl" w:eastAsia="x-none"/>
        </w:rPr>
        <w:t>contratación directa</w:t>
      </w:r>
      <w:r w:rsidRPr="004A1D82">
        <w:rPr>
          <w:rFonts w:ascii="Arial" w:hAnsi="Arial" w:cs="Arial"/>
          <w:color w:val="000000" w:themeColor="text1"/>
          <w:sz w:val="22"/>
          <w:szCs w:val="22"/>
          <w:lang w:val="es-ES_tradnl"/>
        </w:rPr>
        <w:t>»</w:t>
      </w:r>
      <w:r w:rsidRPr="004A1D82">
        <w:rPr>
          <w:rFonts w:ascii="Arial" w:hAnsi="Arial" w:cs="Arial"/>
          <w:color w:val="000000" w:themeColor="text1"/>
          <w:sz w:val="22"/>
          <w:szCs w:val="22"/>
          <w:lang w:val="es-ES_tradnl"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4A1D82">
        <w:rPr>
          <w:rFonts w:ascii="Arial" w:hAnsi="Arial" w:cs="Arial"/>
          <w:color w:val="000000" w:themeColor="text1"/>
          <w:vertAlign w:val="superscript"/>
          <w:lang w:eastAsia="es-ES_tradnl"/>
        </w:rPr>
        <w:footnoteReference w:id="16"/>
      </w:r>
      <w:r w:rsidRPr="004A1D82">
        <w:rPr>
          <w:rFonts w:ascii="Arial" w:hAnsi="Arial" w:cs="Arial"/>
          <w:color w:val="000000" w:themeColor="text1"/>
          <w:sz w:val="22"/>
          <w:szCs w:val="22"/>
          <w:lang w:val="es-ES_tradnl" w:eastAsia="x-none"/>
        </w:rPr>
        <w:t>, han establecido sistemas de contratación que implican convocatoria pública y participación de varios oferentes</w:t>
      </w:r>
      <w:r w:rsidRPr="004A1D82">
        <w:rPr>
          <w:rFonts w:ascii="Arial" w:hAnsi="Arial" w:cs="Arial"/>
          <w:color w:val="000000" w:themeColor="text1"/>
          <w:sz w:val="22"/>
          <w:szCs w:val="22"/>
          <w:lang w:val="es-ES_tradnl"/>
        </w:rPr>
        <w:t>»</w:t>
      </w:r>
      <w:r w:rsidRPr="004A1D82">
        <w:rPr>
          <w:rFonts w:ascii="Arial" w:hAnsi="Arial" w:cs="Arial"/>
          <w:color w:val="000000" w:themeColor="text1"/>
          <w:sz w:val="22"/>
          <w:szCs w:val="22"/>
          <w:lang w:val="es-ES_tradnl" w:eastAsia="x-none"/>
        </w:rPr>
        <w:t xml:space="preserve">. </w:t>
      </w:r>
    </w:p>
    <w:p w14:paraId="2C82A26D" w14:textId="77777777" w:rsidR="00450CAF" w:rsidRPr="004A1D82" w:rsidRDefault="00450CAF" w:rsidP="00450CAF">
      <w:pPr>
        <w:spacing w:after="120" w:line="276" w:lineRule="auto"/>
        <w:ind w:firstLine="708"/>
        <w:jc w:val="both"/>
        <w:rPr>
          <w:rFonts w:ascii="Arial" w:hAnsi="Arial" w:cs="Arial"/>
          <w:bCs/>
          <w:color w:val="000000" w:themeColor="text1"/>
          <w:sz w:val="22"/>
          <w:szCs w:val="22"/>
          <w:lang w:val="es-ES_tradnl" w:eastAsia="es-CO"/>
        </w:rPr>
      </w:pPr>
      <w:r w:rsidRPr="004A1D82">
        <w:rPr>
          <w:rFonts w:ascii="Arial" w:hAnsi="Arial" w:cs="Arial"/>
          <w:bCs/>
          <w:color w:val="000000" w:themeColor="text1"/>
          <w:sz w:val="22"/>
          <w:szCs w:val="22"/>
          <w:lang w:val="es-ES_tradnl" w:eastAsia="x-none"/>
        </w:rPr>
        <w:t>E</w:t>
      </w:r>
      <w:r w:rsidRPr="004A1D82">
        <w:rPr>
          <w:rFonts w:ascii="Arial" w:hAnsi="Arial" w:cs="Arial"/>
          <w:color w:val="000000" w:themeColor="text1"/>
          <w:sz w:val="22"/>
          <w:szCs w:val="22"/>
          <w:lang w:val="es-ES_tradnl" w:eastAsia="x-none"/>
        </w:rPr>
        <w:t xml:space="preserve">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w:t>
      </w:r>
      <w:r w:rsidRPr="004A1D82">
        <w:rPr>
          <w:rFonts w:ascii="Arial" w:hAnsi="Arial" w:cs="Arial"/>
          <w:color w:val="000000" w:themeColor="text1"/>
          <w:sz w:val="22"/>
          <w:szCs w:val="22"/>
          <w:lang w:val="es-ES_tradnl" w:eastAsia="x-none"/>
        </w:rPr>
        <w:lastRenderedPageBreak/>
        <w:t>que la convocatoria para inscribirse en forma previa se haga de manera pública, y que se permita la participación de una pluralidad de oferentes</w:t>
      </w:r>
      <w:r w:rsidRPr="004A1D82">
        <w:rPr>
          <w:rFonts w:ascii="Arial" w:hAnsi="Arial" w:cs="Arial"/>
          <w:color w:val="000000" w:themeColor="text1"/>
          <w:vertAlign w:val="superscript"/>
          <w:lang w:eastAsia="es-ES_tradnl"/>
        </w:rPr>
        <w:footnoteReference w:id="17"/>
      </w:r>
      <w:r w:rsidRPr="004A1D82">
        <w:rPr>
          <w:rFonts w:ascii="Arial" w:hAnsi="Arial" w:cs="Arial"/>
          <w:color w:val="000000" w:themeColor="text1"/>
          <w:sz w:val="22"/>
          <w:szCs w:val="22"/>
          <w:lang w:val="es-ES_tradnl" w:eastAsia="x-none"/>
        </w:rPr>
        <w:t xml:space="preserve">. </w:t>
      </w:r>
    </w:p>
    <w:p w14:paraId="2A9DEAA5" w14:textId="77777777" w:rsidR="00450CAF" w:rsidRPr="004A1D82" w:rsidRDefault="00450CAF" w:rsidP="00450CAF">
      <w:pPr>
        <w:spacing w:after="120" w:line="276" w:lineRule="auto"/>
        <w:ind w:firstLine="708"/>
        <w:jc w:val="both"/>
        <w:rPr>
          <w:rFonts w:ascii="Arial" w:hAnsi="Arial" w:cs="Arial"/>
          <w:bCs/>
          <w:color w:val="000000" w:themeColor="text1"/>
          <w:sz w:val="22"/>
          <w:szCs w:val="22"/>
          <w:lang w:val="es-ES_tradnl" w:eastAsia="es-CO"/>
        </w:rPr>
      </w:pPr>
      <w:r w:rsidRPr="004A1D82">
        <w:rPr>
          <w:rFonts w:ascii="Arial" w:hAnsi="Arial" w:cs="Arial"/>
          <w:bCs/>
          <w:color w:val="000000" w:themeColor="text1"/>
          <w:sz w:val="22"/>
          <w:szCs w:val="22"/>
          <w:lang w:val="es-ES_tradnl"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073F7484" w14:textId="77777777" w:rsidR="00450CAF" w:rsidRPr="004A1D82" w:rsidRDefault="00450CAF" w:rsidP="00450CAF">
      <w:pPr>
        <w:spacing w:after="120" w:line="276" w:lineRule="auto"/>
        <w:ind w:firstLine="708"/>
        <w:jc w:val="both"/>
        <w:rPr>
          <w:rFonts w:ascii="Arial" w:hAnsi="Arial" w:cs="Arial"/>
          <w:bCs/>
          <w:color w:val="000000" w:themeColor="text1"/>
          <w:sz w:val="22"/>
          <w:szCs w:val="22"/>
          <w:lang w:val="es-ES_tradnl" w:eastAsia="x-none"/>
        </w:rPr>
      </w:pPr>
      <w:r w:rsidRPr="004A1D82">
        <w:rPr>
          <w:rFonts w:ascii="Arial" w:hAnsi="Arial" w:cs="Arial"/>
          <w:bCs/>
          <w:color w:val="000000" w:themeColor="text1"/>
          <w:sz w:val="22"/>
          <w:szCs w:val="22"/>
          <w:lang w:val="es-ES_tradnl"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4A1D82">
        <w:rPr>
          <w:rFonts w:ascii="Arial" w:hAnsi="Arial" w:cs="Arial"/>
          <w:color w:val="000000" w:themeColor="text1"/>
          <w:vertAlign w:val="superscript"/>
          <w:lang w:eastAsia="es-ES_tradnl"/>
        </w:rPr>
        <w:footnoteReference w:id="18"/>
      </w:r>
      <w:r w:rsidRPr="004A1D82">
        <w:rPr>
          <w:rFonts w:ascii="Arial" w:hAnsi="Arial" w:cs="Arial"/>
          <w:bCs/>
          <w:color w:val="000000" w:themeColor="text1"/>
          <w:sz w:val="22"/>
          <w:szCs w:val="22"/>
          <w:lang w:val="es-ES_tradnl" w:eastAsia="x-none"/>
        </w:rPr>
        <w:t>.</w:t>
      </w:r>
      <w:r w:rsidRPr="004A1D82">
        <w:rPr>
          <w:rFonts w:ascii="Arial" w:hAnsi="Arial" w:cs="Arial"/>
          <w:color w:val="000000" w:themeColor="text1"/>
          <w:sz w:val="22"/>
          <w:szCs w:val="22"/>
          <w:vertAlign w:val="superscript"/>
          <w:lang w:val="es-ES_tradnl" w:eastAsia="x-none"/>
        </w:rPr>
        <w:t xml:space="preserve"> </w:t>
      </w:r>
    </w:p>
    <w:p w14:paraId="2865A4C0" w14:textId="77777777" w:rsidR="00450CAF" w:rsidRPr="004A1D82" w:rsidRDefault="00450CAF" w:rsidP="00450CAF">
      <w:pPr>
        <w:spacing w:after="120" w:line="276" w:lineRule="auto"/>
        <w:ind w:firstLine="708"/>
        <w:jc w:val="both"/>
        <w:rPr>
          <w:rFonts w:ascii="Arial" w:hAnsi="Arial" w:cs="Arial"/>
          <w:color w:val="000000" w:themeColor="text1"/>
          <w:sz w:val="22"/>
          <w:szCs w:val="22"/>
          <w:lang w:val="es-ES_tradnl" w:eastAsia="x-none"/>
        </w:rPr>
      </w:pPr>
      <w:bookmarkStart w:id="13" w:name="_Hlk98519874"/>
      <w:r w:rsidRPr="004A1D82">
        <w:rPr>
          <w:rFonts w:ascii="Arial" w:hAnsi="Arial" w:cs="Arial"/>
          <w:bCs/>
          <w:color w:val="000000" w:themeColor="text1"/>
          <w:sz w:val="22"/>
          <w:szCs w:val="22"/>
          <w:lang w:val="es-ES_tradnl" w:eastAsia="x-none"/>
        </w:rPr>
        <w:t>De lo anterior se desprende que la restricción aplica, sin perjuicio de las excepciones establecidas en la misma ley, para celebrar cualquier contrato de forma directa, esto es, sin que exista un proceso abierto y competitivo.</w:t>
      </w:r>
      <w:r w:rsidRPr="004A1D82">
        <w:rPr>
          <w:rFonts w:ascii="Arial" w:hAnsi="Arial" w:cs="Arial"/>
          <w:color w:val="000000" w:themeColor="text1"/>
          <w:sz w:val="22"/>
          <w:szCs w:val="22"/>
          <w:lang w:val="es-ES_tradnl" w:eastAsia="x-none"/>
        </w:rPr>
        <w:t xml:space="preserve"> </w:t>
      </w:r>
      <w:bookmarkEnd w:id="13"/>
      <w:r w:rsidRPr="004A1D82">
        <w:rPr>
          <w:rFonts w:ascii="Arial" w:hAnsi="Arial" w:cs="Arial"/>
          <w:color w:val="000000" w:themeColor="text1"/>
          <w:sz w:val="22"/>
          <w:szCs w:val="22"/>
          <w:lang w:val="es-ES_tradnl" w:eastAsia="x-none"/>
        </w:rPr>
        <w:t>Por tanto, no son materia de la prohibición las demás modalidades de selección previstas en la Ley 1150 de 2007, es decir, la licitación pública, el concurso de méritos, la selección abreviada y la mínima cuantía, razón por la cual en ese período preelectoral de que trata la disposición las entidades públicas pueden seguir contratando bajo estos procedimientos.</w:t>
      </w:r>
    </w:p>
    <w:p w14:paraId="5E6E2773" w14:textId="77777777" w:rsidR="00450CAF" w:rsidRPr="004A1D82" w:rsidRDefault="00450CAF" w:rsidP="00450CAF">
      <w:pPr>
        <w:spacing w:after="120" w:line="276" w:lineRule="auto"/>
        <w:ind w:firstLine="708"/>
        <w:jc w:val="both"/>
        <w:rPr>
          <w:rFonts w:ascii="Arial" w:hAnsi="Arial" w:cs="Arial"/>
          <w:bCs/>
          <w:color w:val="000000" w:themeColor="text1"/>
          <w:sz w:val="22"/>
          <w:szCs w:val="22"/>
          <w:lang w:val="es-ES_tradnl" w:eastAsia="x-none"/>
        </w:rPr>
      </w:pPr>
      <w:r w:rsidRPr="004A1D82">
        <w:rPr>
          <w:rFonts w:ascii="Arial" w:hAnsi="Arial" w:cs="Arial"/>
          <w:bCs/>
          <w:color w:val="000000" w:themeColor="text1"/>
          <w:sz w:val="22"/>
          <w:szCs w:val="22"/>
          <w:lang w:val="es-ES_tradnl" w:eastAsia="es-CO"/>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w:t>
      </w:r>
      <w:r w:rsidRPr="004A1D82">
        <w:rPr>
          <w:rFonts w:ascii="Arial" w:hAnsi="Arial" w:cs="Arial"/>
          <w:color w:val="000000" w:themeColor="text1"/>
          <w:vertAlign w:val="superscript"/>
          <w:lang w:eastAsia="es-ES_tradnl"/>
        </w:rPr>
        <w:footnoteReference w:id="19"/>
      </w:r>
      <w:r w:rsidRPr="004A1D82">
        <w:rPr>
          <w:rFonts w:ascii="Arial" w:hAnsi="Arial" w:cs="Arial"/>
          <w:bCs/>
          <w:color w:val="000000" w:themeColor="text1"/>
          <w:sz w:val="22"/>
          <w:szCs w:val="22"/>
          <w:lang w:val="es-ES_tradnl" w:eastAsia="es-CO"/>
        </w:rPr>
        <w:t>. Esto sin que ello haga nugatoria la restricción de la contratación directa y siempre que cumplan los principios de planeación, transparencia y responsabilidad.</w:t>
      </w:r>
    </w:p>
    <w:p w14:paraId="42EC4E7A" w14:textId="77777777" w:rsidR="00450CAF" w:rsidRPr="004A1D82" w:rsidRDefault="00450CAF" w:rsidP="00450CAF">
      <w:pPr>
        <w:spacing w:after="120" w:line="276" w:lineRule="auto"/>
        <w:ind w:firstLine="708"/>
        <w:jc w:val="both"/>
        <w:rPr>
          <w:rFonts w:ascii="Arial" w:hAnsi="Arial" w:cs="Arial"/>
          <w:bCs/>
          <w:color w:val="000000" w:themeColor="text1"/>
          <w:sz w:val="22"/>
          <w:szCs w:val="22"/>
          <w:lang w:val="es-ES_tradnl" w:eastAsia="es-CO"/>
        </w:rPr>
      </w:pPr>
      <w:r w:rsidRPr="004A1D82">
        <w:rPr>
          <w:rFonts w:ascii="Arial" w:hAnsi="Arial" w:cs="Arial"/>
          <w:bCs/>
          <w:color w:val="000000" w:themeColor="text1"/>
          <w:sz w:val="22"/>
          <w:szCs w:val="22"/>
          <w:lang w:val="es-ES_tradnl" w:eastAsia="x-none"/>
        </w:rPr>
        <w:t xml:space="preserve">De otro lado, </w:t>
      </w:r>
      <w:bookmarkStart w:id="14" w:name="_Hlk98520335"/>
      <w:r w:rsidRPr="004A1D82">
        <w:rPr>
          <w:rFonts w:ascii="Arial" w:hAnsi="Arial" w:cs="Arial"/>
          <w:bCs/>
          <w:color w:val="000000" w:themeColor="text1"/>
          <w:sz w:val="22"/>
          <w:szCs w:val="22"/>
          <w:lang w:val="es-ES_tradnl" w:eastAsia="x-none"/>
        </w:rPr>
        <w:t xml:space="preserve">las 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 i) la defensa y seguridad del Estado; ii) los contratos de crédito público; iii) los requeridos para cubrir las emergencias educativas, sanitarias y desastres; iv) los </w:t>
      </w:r>
      <w:r w:rsidRPr="004A1D82">
        <w:rPr>
          <w:rFonts w:ascii="Arial" w:hAnsi="Arial" w:cs="Arial"/>
          <w:bCs/>
          <w:color w:val="000000" w:themeColor="text1"/>
          <w:sz w:val="22"/>
          <w:szCs w:val="22"/>
          <w:lang w:val="es-ES_tradnl" w:eastAsia="x-none"/>
        </w:rPr>
        <w:lastRenderedPageBreak/>
        <w:t>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4A1D82">
        <w:rPr>
          <w:rFonts w:ascii="Arial" w:hAnsi="Arial" w:cs="Arial"/>
          <w:bCs/>
          <w:color w:val="000000" w:themeColor="text1"/>
          <w:sz w:val="22"/>
          <w:szCs w:val="22"/>
          <w:lang w:val="es-ES_tradnl"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bookmarkEnd w:id="14"/>
    </w:p>
    <w:p w14:paraId="7E8B8724" w14:textId="77777777" w:rsidR="00450CAF" w:rsidRPr="004A1D82" w:rsidRDefault="00450CAF" w:rsidP="00450CAF">
      <w:pPr>
        <w:spacing w:after="120" w:line="276" w:lineRule="auto"/>
        <w:ind w:firstLine="709"/>
        <w:jc w:val="both"/>
        <w:rPr>
          <w:rFonts w:ascii="Arial" w:hAnsi="Arial" w:cs="Arial"/>
          <w:bCs/>
          <w:color w:val="000000" w:themeColor="text1"/>
          <w:sz w:val="22"/>
          <w:szCs w:val="22"/>
          <w:lang w:val="es-ES_tradnl" w:eastAsia="x-none"/>
        </w:rPr>
      </w:pPr>
      <w:r w:rsidRPr="004A1D82">
        <w:rPr>
          <w:rFonts w:ascii="Arial" w:hAnsi="Arial" w:cs="Arial"/>
          <w:bCs/>
          <w:color w:val="000000" w:themeColor="text1"/>
          <w:sz w:val="22"/>
          <w:szCs w:val="22"/>
          <w:lang w:val="es-ES_tradnl" w:eastAsia="x-none"/>
        </w:rPr>
        <w:t>En esta labor es importante tener en cuenta, como lo anotó la Corte Constitucional, en Sentencia C-1153 de noviembre 11 de 2005 que «si bien la limitación garantiza la igualdad de condiciones, también es necesario que tal limitación que pretende la igualdad no termine yendo en detrimento de intereses públicos, cuya garantía está en cabeza del ejecutivo, como son los inmersos en las excepciones para la prohibición de contratación»</w:t>
      </w:r>
      <w:r w:rsidRPr="004A1D82">
        <w:rPr>
          <w:rFonts w:ascii="Arial" w:eastAsiaTheme="minorHAnsi" w:hAnsi="Arial" w:cs="Arial"/>
          <w:color w:val="000000" w:themeColor="text1"/>
          <w:vertAlign w:val="superscript"/>
          <w:lang w:eastAsia="es-ES_tradnl"/>
        </w:rPr>
        <w:footnoteReference w:id="20"/>
      </w:r>
      <w:r w:rsidRPr="004A1D82">
        <w:rPr>
          <w:rFonts w:ascii="Arial" w:hAnsi="Arial" w:cs="Arial"/>
          <w:bCs/>
          <w:color w:val="000000" w:themeColor="text1"/>
          <w:sz w:val="22"/>
          <w:szCs w:val="22"/>
          <w:lang w:val="es-ES_tradnl" w:eastAsia="x-none"/>
        </w:rPr>
        <w:t>. De ahí que la Corte haya señalado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p>
    <w:p w14:paraId="49CC74B3" w14:textId="77777777" w:rsidR="00450CAF" w:rsidRPr="004A1D82" w:rsidRDefault="00450CAF" w:rsidP="00450CAF">
      <w:pPr>
        <w:spacing w:after="120" w:line="276" w:lineRule="auto"/>
        <w:ind w:firstLine="709"/>
        <w:jc w:val="both"/>
        <w:rPr>
          <w:rFonts w:ascii="Arial" w:hAnsi="Arial" w:cs="Arial"/>
          <w:bCs/>
          <w:color w:val="000000" w:themeColor="text1"/>
          <w:sz w:val="22"/>
          <w:szCs w:val="22"/>
          <w:lang w:val="es-ES_tradnl" w:eastAsia="es-CO"/>
        </w:rPr>
      </w:pPr>
      <w:r w:rsidRPr="004A1D82">
        <w:rPr>
          <w:rFonts w:ascii="Arial" w:hAnsi="Arial" w:cs="Arial"/>
          <w:bCs/>
          <w:color w:val="000000" w:themeColor="text1"/>
          <w:sz w:val="22"/>
          <w:szCs w:val="22"/>
          <w:lang w:val="es-MX" w:eastAsia="x-none"/>
        </w:rPr>
        <w:t xml:space="preserve">En relación con los destinatarios de la restricción analizada, el artículo 33 de la Ley 996 de 2005 los señala expresamente,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La Sala de Consulta y Servicio Civil del Consejo de Estado, en Concepto 1727 del 20 de febrero de 2006, consideró que 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w:t>
      </w:r>
      <w:r w:rsidRPr="004A1D82">
        <w:rPr>
          <w:rFonts w:ascii="Arial" w:hAnsi="Arial" w:cs="Arial"/>
          <w:bCs/>
          <w:color w:val="000000" w:themeColor="text1"/>
          <w:sz w:val="22"/>
          <w:szCs w:val="22"/>
          <w:lang w:val="es-MX" w:eastAsia="x-none"/>
        </w:rPr>
        <w:lastRenderedPageBreak/>
        <w:t>municipios prestadores directos, incluyendo las excepciones contenidas en el segundo inciso de esta norma»</w:t>
      </w:r>
      <w:r w:rsidRPr="004A1D82">
        <w:rPr>
          <w:rFonts w:ascii="Arial" w:hAnsi="Arial" w:cs="Arial"/>
          <w:bCs/>
          <w:color w:val="000000" w:themeColor="text1"/>
          <w:sz w:val="22"/>
          <w:szCs w:val="22"/>
          <w:vertAlign w:val="superscript"/>
          <w:lang w:val="es-MX" w:eastAsia="x-none"/>
        </w:rPr>
        <w:footnoteReference w:id="21"/>
      </w:r>
      <w:r w:rsidRPr="004A1D82">
        <w:rPr>
          <w:rFonts w:ascii="Arial" w:hAnsi="Arial" w:cs="Arial"/>
          <w:bCs/>
          <w:color w:val="000000" w:themeColor="text1"/>
          <w:sz w:val="22"/>
          <w:szCs w:val="22"/>
          <w:lang w:val="es-MX" w:eastAsia="x-none"/>
        </w:rPr>
        <w:t xml:space="preserve">. </w:t>
      </w:r>
    </w:p>
    <w:p w14:paraId="43A5E459" w14:textId="77777777" w:rsidR="00450CAF" w:rsidRPr="004A1D82" w:rsidRDefault="00450CAF" w:rsidP="00450CAF">
      <w:pPr>
        <w:spacing w:line="276" w:lineRule="auto"/>
        <w:ind w:firstLine="708"/>
        <w:jc w:val="both"/>
        <w:rPr>
          <w:rFonts w:ascii="Arial" w:eastAsiaTheme="minorHAnsi" w:hAnsi="Arial" w:cs="Arial"/>
          <w:color w:val="000000" w:themeColor="text1"/>
          <w:sz w:val="22"/>
          <w:szCs w:val="22"/>
          <w:lang w:val="es-ES_tradnl" w:eastAsia="en-US"/>
        </w:rPr>
      </w:pPr>
      <w:r w:rsidRPr="004A1D82">
        <w:rPr>
          <w:rFonts w:ascii="Arial" w:hAnsi="Arial" w:cs="Arial"/>
          <w:bCs/>
          <w:color w:val="000000" w:themeColor="text1"/>
          <w:sz w:val="22"/>
          <w:szCs w:val="22"/>
          <w:lang w:val="es-ES_tradnl" w:eastAsia="x-none"/>
        </w:rPr>
        <w:t>De igual forma, en Concepto 1738 de 6 de abril de 2006, también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r w:rsidRPr="004A1D82">
        <w:rPr>
          <w:rFonts w:ascii="Arial" w:eastAsiaTheme="minorHAnsi" w:hAnsi="Arial" w:cs="Arial"/>
          <w:color w:val="000000" w:themeColor="text1"/>
          <w:vertAlign w:val="superscript"/>
          <w:lang w:eastAsia="es-ES_tradnl"/>
        </w:rPr>
        <w:footnoteReference w:id="22"/>
      </w:r>
      <w:r w:rsidRPr="004A1D82">
        <w:rPr>
          <w:rFonts w:ascii="Arial" w:hAnsi="Arial" w:cs="Arial"/>
          <w:bCs/>
          <w:color w:val="000000" w:themeColor="text1"/>
          <w:sz w:val="22"/>
          <w:szCs w:val="22"/>
          <w:lang w:val="es-ES_tradnl" w:eastAsia="x-none"/>
        </w:rPr>
        <w:t>.</w:t>
      </w:r>
      <w:r w:rsidRPr="004A1D82">
        <w:rPr>
          <w:rFonts w:ascii="Arial" w:eastAsiaTheme="minorHAnsi" w:hAnsi="Arial" w:cs="Arial"/>
          <w:color w:val="000000" w:themeColor="text1"/>
          <w:sz w:val="22"/>
          <w:szCs w:val="22"/>
          <w:lang w:val="es-ES_tradnl" w:eastAsia="en-US"/>
        </w:rPr>
        <w:t xml:space="preserve"> Sin embargo, debe precisarse el siguiente aspecto que distinguió la Sala de Consulta y Servicio Civil:</w:t>
      </w:r>
    </w:p>
    <w:p w14:paraId="4E3604B2" w14:textId="77777777" w:rsidR="00450CAF" w:rsidRPr="004A1D82" w:rsidRDefault="00450CAF" w:rsidP="00450CAF">
      <w:pPr>
        <w:spacing w:line="276" w:lineRule="auto"/>
        <w:jc w:val="both"/>
        <w:rPr>
          <w:rFonts w:ascii="Arial" w:eastAsiaTheme="minorHAnsi" w:hAnsi="Arial" w:cs="Arial"/>
          <w:color w:val="000000" w:themeColor="text1"/>
          <w:sz w:val="22"/>
          <w:szCs w:val="22"/>
          <w:lang w:val="es-ES_tradnl" w:eastAsia="en-US"/>
        </w:rPr>
      </w:pPr>
    </w:p>
    <w:p w14:paraId="095EFCC1" w14:textId="77777777" w:rsidR="00450CAF" w:rsidRPr="004A1D82" w:rsidRDefault="00450CAF" w:rsidP="00450CAF">
      <w:pPr>
        <w:ind w:left="708" w:right="709"/>
        <w:jc w:val="both"/>
        <w:rPr>
          <w:rFonts w:ascii="Arial" w:eastAsiaTheme="minorHAnsi" w:hAnsi="Arial" w:cs="Arial"/>
          <w:color w:val="000000" w:themeColor="text1"/>
          <w:sz w:val="21"/>
          <w:szCs w:val="21"/>
          <w:lang w:val="es-ES_tradnl" w:eastAsia="en-US"/>
        </w:rPr>
      </w:pPr>
      <w:r w:rsidRPr="004A1D82">
        <w:rPr>
          <w:rFonts w:ascii="Arial" w:eastAsiaTheme="minorHAnsi" w:hAnsi="Arial" w:cs="Arial"/>
          <w:color w:val="000000" w:themeColor="text1"/>
          <w:sz w:val="21"/>
          <w:szCs w:val="21"/>
          <w:lang w:val="es-ES_tradnl" w:eastAsia="en-US"/>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r w:rsidRPr="004A1D82">
        <w:rPr>
          <w:rFonts w:ascii="Arial" w:eastAsiaTheme="minorHAnsi" w:hAnsi="Arial" w:cs="Arial"/>
          <w:color w:val="000000" w:themeColor="text1"/>
          <w:vertAlign w:val="superscript"/>
          <w:lang w:eastAsia="es-ES_tradnl"/>
        </w:rPr>
        <w:footnoteReference w:id="23"/>
      </w:r>
      <w:r w:rsidRPr="004A1D82">
        <w:rPr>
          <w:rFonts w:ascii="Arial" w:hAnsi="Arial" w:cs="Arial"/>
          <w:bCs/>
          <w:color w:val="000000" w:themeColor="text1"/>
          <w:sz w:val="22"/>
          <w:szCs w:val="22"/>
          <w:lang w:val="es-ES_tradnl" w:eastAsia="x-none"/>
        </w:rPr>
        <w:t>.</w:t>
      </w:r>
    </w:p>
    <w:p w14:paraId="1C1334A8" w14:textId="77777777" w:rsidR="00450CAF" w:rsidRPr="004A1D82" w:rsidRDefault="00450CAF" w:rsidP="00450CAF">
      <w:pPr>
        <w:spacing w:line="276" w:lineRule="auto"/>
        <w:jc w:val="both"/>
        <w:rPr>
          <w:rFonts w:ascii="Arial" w:eastAsiaTheme="minorHAnsi" w:hAnsi="Arial" w:cs="Arial"/>
          <w:color w:val="000000" w:themeColor="text1"/>
          <w:sz w:val="22"/>
          <w:szCs w:val="22"/>
          <w:lang w:val="es-ES_tradnl" w:eastAsia="en-US"/>
        </w:rPr>
      </w:pPr>
    </w:p>
    <w:p w14:paraId="27D7E1E1" w14:textId="77777777" w:rsidR="00450CAF" w:rsidRPr="004A1D82" w:rsidRDefault="00450CAF" w:rsidP="00450CAF">
      <w:pPr>
        <w:spacing w:after="120" w:line="276" w:lineRule="auto"/>
        <w:ind w:firstLine="709"/>
        <w:jc w:val="both"/>
        <w:rPr>
          <w:rFonts w:ascii="Arial" w:hAnsi="Arial" w:cs="Arial"/>
          <w:bCs/>
          <w:color w:val="000000" w:themeColor="text1"/>
          <w:sz w:val="22"/>
          <w:szCs w:val="22"/>
          <w:lang w:val="es-ES_tradnl" w:eastAsia="x-none"/>
        </w:rPr>
      </w:pPr>
      <w:r w:rsidRPr="004A1D82">
        <w:rPr>
          <w:rFonts w:ascii="Arial" w:eastAsiaTheme="minorHAnsi" w:hAnsi="Arial" w:cs="Arial"/>
          <w:color w:val="000000" w:themeColor="text1"/>
          <w:sz w:val="22"/>
          <w:szCs w:val="22"/>
          <w:lang w:val="es-ES_tradnl" w:eastAsia="en-US"/>
        </w:rPr>
        <w:t xml:space="preserve">Aplicando este razonamiento, se tiene, por ejemplo, que las empresas industriales y comerciales del estado y a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éstas entidades va a prestar un servicio […] a un particular, lo puede hacer, pues éstos se ofrecen a toda la comunidad en condiciones de igualdad. Si se supusiera que está </w:t>
      </w:r>
      <w:r w:rsidRPr="004A1D82">
        <w:rPr>
          <w:rFonts w:ascii="Arial" w:eastAsiaTheme="minorHAnsi" w:hAnsi="Arial" w:cs="Arial"/>
          <w:color w:val="000000" w:themeColor="text1"/>
          <w:sz w:val="22"/>
          <w:szCs w:val="22"/>
          <w:lang w:val="es-ES_tradnl" w:eastAsia="en-US"/>
        </w:rPr>
        <w:lastRenderedPageBreak/>
        <w:t>prohibida su contratación directa, significaría la parálisis de tal actividad de interés público, lo que de ninguna manera es lo querido por la ley 996 de 2005»</w:t>
      </w:r>
      <w:r w:rsidRPr="004A1D82">
        <w:rPr>
          <w:rFonts w:ascii="Arial" w:eastAsiaTheme="minorHAnsi" w:hAnsi="Arial" w:cs="Arial"/>
          <w:color w:val="000000" w:themeColor="text1"/>
          <w:szCs w:val="22"/>
          <w:vertAlign w:val="superscript"/>
          <w:lang w:val="es-ES_tradnl" w:eastAsia="en-US"/>
        </w:rPr>
        <w:t xml:space="preserve"> </w:t>
      </w:r>
      <w:r w:rsidRPr="004A1D82">
        <w:rPr>
          <w:rFonts w:ascii="Arial" w:eastAsiaTheme="minorHAnsi" w:hAnsi="Arial" w:cs="Arial"/>
          <w:color w:val="000000" w:themeColor="text1"/>
          <w:vertAlign w:val="superscript"/>
          <w:lang w:eastAsia="es-ES_tradnl"/>
        </w:rPr>
        <w:footnoteReference w:id="24"/>
      </w:r>
      <w:r w:rsidRPr="004A1D82">
        <w:rPr>
          <w:rFonts w:ascii="Arial" w:eastAsiaTheme="minorHAnsi" w:hAnsi="Arial" w:cs="Arial"/>
          <w:color w:val="000000" w:themeColor="text1"/>
          <w:sz w:val="22"/>
          <w:szCs w:val="22"/>
          <w:lang w:val="es-ES_tradnl" w:eastAsia="en-US"/>
        </w:rPr>
        <w:t>.</w:t>
      </w:r>
    </w:p>
    <w:p w14:paraId="20014E34" w14:textId="77777777" w:rsidR="00450CAF" w:rsidRPr="004A1D82" w:rsidRDefault="00450CAF" w:rsidP="00450CAF">
      <w:pPr>
        <w:spacing w:after="120" w:line="276" w:lineRule="auto"/>
        <w:ind w:firstLine="709"/>
        <w:jc w:val="both"/>
        <w:rPr>
          <w:rFonts w:ascii="Arial" w:hAnsi="Arial" w:cs="Arial"/>
          <w:bCs/>
          <w:color w:val="000000" w:themeColor="text1"/>
          <w:sz w:val="22"/>
          <w:szCs w:val="22"/>
          <w:lang w:val="es-ES_tradnl" w:eastAsia="x-none"/>
        </w:rPr>
      </w:pPr>
      <w:r w:rsidRPr="004A1D82">
        <w:rPr>
          <w:rFonts w:ascii="Arial" w:eastAsiaTheme="minorHAnsi" w:hAnsi="Arial" w:cs="Arial"/>
          <w:color w:val="000000" w:themeColor="text1"/>
          <w:sz w:val="22"/>
          <w:szCs w:val="22"/>
          <w:lang w:val="es-ES_tradnl" w:eastAsia="en-US"/>
        </w:rPr>
        <w:t xml:space="preserve">Por lo tanto, la restricción prevista en la Ley 996 de 2005, </w:t>
      </w:r>
      <w:r w:rsidRPr="004A1D82">
        <w:rPr>
          <w:rFonts w:ascii="Arial" w:hAnsi="Arial" w:cs="Arial"/>
          <w:bCs/>
          <w:color w:val="000000" w:themeColor="text1"/>
          <w:sz w:val="22"/>
          <w:szCs w:val="22"/>
          <w:lang w:val="es-ES_tradnl" w:eastAsia="x-none"/>
        </w:rPr>
        <w:t xml:space="preserve">teniendo en cuenta la finalidad de la ley de garantías electorales, cobija a cualquier ente público que pueda a través de la contratación directa romper el equilibrio entre los candidatos en desarrollo de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normas especiales. </w:t>
      </w:r>
    </w:p>
    <w:p w14:paraId="6D21F615" w14:textId="5554B958" w:rsidR="00450CAF" w:rsidRPr="004A1D82" w:rsidRDefault="00450CAF" w:rsidP="00450CAF">
      <w:pPr>
        <w:spacing w:before="120" w:after="120" w:line="276" w:lineRule="auto"/>
        <w:ind w:firstLine="709"/>
        <w:jc w:val="both"/>
        <w:rPr>
          <w:rFonts w:ascii="Arial" w:eastAsia="Calibri" w:hAnsi="Arial" w:cs="Arial"/>
          <w:color w:val="000000" w:themeColor="text1"/>
          <w:sz w:val="22"/>
          <w:szCs w:val="22"/>
          <w:lang w:val="es-ES" w:eastAsia="en-US"/>
        </w:rPr>
      </w:pPr>
      <w:r w:rsidRPr="004A1D82">
        <w:rPr>
          <w:rFonts w:ascii="Arial" w:hAnsi="Arial" w:cs="Arial"/>
          <w:bCs/>
          <w:color w:val="000000" w:themeColor="text1"/>
          <w:sz w:val="22"/>
          <w:szCs w:val="22"/>
          <w:lang w:val="es-ES_tradnl" w:eastAsia="x-none"/>
        </w:rPr>
        <w:t>Aplicadas las consideraciones a la problemática planteada por el peticionario,</w:t>
      </w:r>
      <w:r w:rsidRPr="004A1D82">
        <w:rPr>
          <w:rFonts w:ascii="Arial" w:eastAsia="Calibri" w:hAnsi="Arial" w:cs="Arial"/>
          <w:color w:val="000000" w:themeColor="text1"/>
          <w:sz w:val="22"/>
          <w:szCs w:val="22"/>
          <w:lang w:val="es-ES" w:eastAsia="en-US"/>
        </w:rPr>
        <w:t xml:space="preserve"> se reitera que el artículo 33 de la Ley 996 de 2005 prohíbe la contratación directa «Durante los cuatro (4) meses anteriores a la elección presidencial y hasta la realización de la elección en la segunda vuelta». Esta norma consagra excepciones taxativas a dicha prohibición. Por tanto, como lo señala la Circular Conjunta 100-006 de 2021 del Departamento Administrativo de la Presidencia de la República y del Departamento Administrativo de la Función Pública</w:t>
      </w:r>
      <w:r w:rsidRPr="004A1D82">
        <w:rPr>
          <w:rFonts w:ascii="Arial" w:eastAsia="Calibri" w:hAnsi="Arial" w:cs="Arial"/>
          <w:color w:val="000000" w:themeColor="text1"/>
          <w:vertAlign w:val="superscript"/>
          <w:lang w:eastAsia="es-ES_tradnl"/>
        </w:rPr>
        <w:footnoteReference w:id="25"/>
      </w:r>
      <w:r w:rsidRPr="004A1D82">
        <w:rPr>
          <w:rFonts w:ascii="Arial" w:eastAsia="Calibri" w:hAnsi="Arial" w:cs="Arial"/>
          <w:color w:val="000000" w:themeColor="text1"/>
          <w:sz w:val="22"/>
          <w:szCs w:val="22"/>
          <w:lang w:val="es-ES" w:eastAsia="en-US"/>
        </w:rPr>
        <w:t>, el artículo 33 de la Ley de Garantías Electorales «restringe la contratación directa por parte de todos los entes del Estado desde el día 29 de enero de 2022 y hasta la elección en segunda vuelta, si fuere el caso». Lo anterior, salvo que en el caso concreto se presente alguna de las excepciones establecidas a la prohibición consagrada en el inciso segundo del artículo 33 de la Ley de Garantías Electorales.</w:t>
      </w:r>
    </w:p>
    <w:p w14:paraId="4AEA71A0" w14:textId="651B6AEC" w:rsidR="00450CAF" w:rsidRPr="004A1D82" w:rsidRDefault="00450CAF" w:rsidP="00450CAF">
      <w:pPr>
        <w:spacing w:before="120" w:line="276" w:lineRule="auto"/>
        <w:ind w:firstLine="708"/>
        <w:jc w:val="both"/>
        <w:rPr>
          <w:rFonts w:ascii="Arial" w:eastAsiaTheme="minorHAnsi" w:hAnsi="Arial" w:cs="Arial"/>
          <w:color w:val="000000" w:themeColor="text1"/>
          <w:sz w:val="22"/>
          <w:szCs w:val="22"/>
          <w:lang w:val="es-MX" w:eastAsia="en-US"/>
        </w:rPr>
      </w:pPr>
      <w:r w:rsidRPr="004A1D82">
        <w:rPr>
          <w:rFonts w:ascii="Arial" w:hAnsi="Arial" w:cs="Arial"/>
          <w:bCs/>
          <w:color w:val="000000" w:themeColor="text1"/>
          <w:sz w:val="22"/>
          <w:lang w:val="es-ES_tradnl" w:eastAsia="es-ES_tradnl"/>
        </w:rPr>
        <w:t>Sin perjuicio de lo anterior,</w:t>
      </w:r>
      <w:r w:rsidRPr="004A1D82">
        <w:rPr>
          <w:rFonts w:ascii="Arial" w:eastAsia="Calibri" w:hAnsi="Arial" w:cs="Arial"/>
          <w:color w:val="000000" w:themeColor="text1"/>
          <w:sz w:val="22"/>
          <w:lang w:val="es-ES"/>
        </w:rPr>
        <w:t xml:space="preserve"> dado que lo prohibido es la contratación </w:t>
      </w:r>
      <w:r w:rsidRPr="004A1D82">
        <w:rPr>
          <w:rFonts w:ascii="Arial" w:eastAsia="Calibri" w:hAnsi="Arial" w:cs="Arial"/>
          <w:i/>
          <w:iCs/>
          <w:color w:val="000000" w:themeColor="text1"/>
          <w:sz w:val="22"/>
          <w:lang w:val="es-ES"/>
        </w:rPr>
        <w:t xml:space="preserve">directa, </w:t>
      </w:r>
      <w:r w:rsidRPr="004A1D82">
        <w:rPr>
          <w:rFonts w:ascii="Arial" w:eastAsia="Calibri" w:hAnsi="Arial" w:cs="Arial"/>
          <w:color w:val="000000" w:themeColor="text1"/>
          <w:sz w:val="22"/>
          <w:lang w:val="es-ES"/>
        </w:rPr>
        <w:t xml:space="preserve">en cada caso particular debe analizarse la forma en que se celebrará </w:t>
      </w:r>
      <w:r w:rsidR="008E2863">
        <w:rPr>
          <w:rFonts w:ascii="Arial" w:eastAsia="Calibri" w:hAnsi="Arial" w:cs="Arial"/>
          <w:color w:val="000000" w:themeColor="text1"/>
          <w:sz w:val="22"/>
          <w:lang w:val="es-ES"/>
        </w:rPr>
        <w:t>cada contratación</w:t>
      </w:r>
      <w:r w:rsidRPr="004A1D82">
        <w:rPr>
          <w:rFonts w:ascii="Arial" w:eastAsia="Calibri" w:hAnsi="Arial" w:cs="Arial"/>
          <w:color w:val="000000" w:themeColor="text1"/>
          <w:sz w:val="22"/>
          <w:lang w:val="es-ES"/>
        </w:rPr>
        <w:t xml:space="preserve">, de acuerdo con el marco jurídico que los regula, bajo la premisa de que las entidades estatales </w:t>
      </w:r>
      <w:r w:rsidRPr="004A1D82">
        <w:rPr>
          <w:rFonts w:ascii="Arial" w:eastAsiaTheme="minorHAnsi" w:hAnsi="Arial" w:cs="Arial"/>
          <w:color w:val="000000" w:themeColor="text1"/>
          <w:sz w:val="22"/>
          <w:szCs w:val="22"/>
          <w:lang w:val="es-MX" w:eastAsia="en-US"/>
        </w:rPr>
        <w:t xml:space="preserve">podrán suscribir </w:t>
      </w:r>
      <w:r w:rsidR="008E2863">
        <w:rPr>
          <w:rFonts w:ascii="Arial" w:eastAsiaTheme="minorHAnsi" w:hAnsi="Arial" w:cs="Arial"/>
          <w:color w:val="000000" w:themeColor="text1"/>
          <w:sz w:val="22"/>
          <w:szCs w:val="22"/>
          <w:lang w:val="es-MX" w:eastAsia="en-US"/>
        </w:rPr>
        <w:t xml:space="preserve">contratos </w:t>
      </w:r>
      <w:r w:rsidRPr="004A1D82">
        <w:rPr>
          <w:rFonts w:ascii="Arial" w:eastAsiaTheme="minorHAnsi" w:hAnsi="Arial" w:cs="Arial"/>
          <w:color w:val="000000" w:themeColor="text1"/>
          <w:sz w:val="22"/>
          <w:szCs w:val="22"/>
          <w:lang w:val="es-MX" w:eastAsia="en-US"/>
        </w:rPr>
        <w:t xml:space="preserve">durante la vigencia de la prohibición analizada, en tanto se de aplicación a un proceso competitivo para la selección del contratista, esto es, en el que exista convocatoria pública y posibilidad de participación de pluralidad de oferentes. Esto, debido a que la prohibición de contratación directa del artículo 33 de la Ley de Garantías Electorales únicamente aplica a los procedimientos «no competitivos», que son los que implican una contratación directa. En efecto, como lo explica la Sala de Consulta y Servicio Civil del Consejo de Estado: </w:t>
      </w:r>
      <w:r w:rsidRPr="004A1D82">
        <w:rPr>
          <w:rFonts w:ascii="Arial" w:hAnsi="Arial" w:cs="Arial"/>
          <w:color w:val="000000" w:themeColor="text1"/>
          <w:sz w:val="21"/>
          <w:szCs w:val="21"/>
        </w:rPr>
        <w:t>«</w:t>
      </w:r>
      <w:r w:rsidRPr="004A1D82">
        <w:rPr>
          <w:rFonts w:ascii="Arial" w:eastAsiaTheme="minorHAnsi" w:hAnsi="Arial" w:cs="Arial"/>
          <w:color w:val="000000" w:themeColor="text1"/>
          <w:sz w:val="22"/>
          <w:szCs w:val="22"/>
          <w:lang w:val="es-MX" w:eastAsia="en-US"/>
        </w:rPr>
        <w:t xml:space="preserve">Para efectos de la “Ley de Garantías Electorales”, y en armonía con las normas que regulan la contratación pública en </w:t>
      </w:r>
      <w:r w:rsidRPr="004A1D82">
        <w:rPr>
          <w:rFonts w:ascii="Arial" w:eastAsiaTheme="minorHAnsi" w:hAnsi="Arial" w:cs="Arial"/>
          <w:color w:val="000000" w:themeColor="text1"/>
          <w:sz w:val="22"/>
          <w:szCs w:val="22"/>
          <w:lang w:val="es-MX" w:eastAsia="en-US"/>
        </w:rPr>
        <w:lastRenderedPageBreak/>
        <w:t>Colombia, debe entenderse por “contratación directa” cualquier sistema de selección de contratistas en el que no exista convocatoria pública, ni sea posible la participación de una pluralidad de oferentes, independientemente del régimen de contratación que se aplique</w:t>
      </w:r>
      <w:r w:rsidRPr="004A1D82">
        <w:rPr>
          <w:rFonts w:ascii="Calibri" w:hAnsi="Calibri" w:cs="Calibri"/>
          <w:color w:val="000000" w:themeColor="text1"/>
        </w:rPr>
        <w:t>»</w:t>
      </w:r>
      <w:r w:rsidRPr="004A1D82">
        <w:rPr>
          <w:rFonts w:ascii="Arial" w:eastAsiaTheme="minorHAnsi" w:hAnsi="Arial" w:cs="Arial"/>
          <w:color w:val="000000" w:themeColor="text1"/>
          <w:sz w:val="22"/>
          <w:szCs w:val="22"/>
          <w:lang w:val="es-MX" w:eastAsia="en-US"/>
        </w:rPr>
        <w:t xml:space="preserve">. En este sentido, la prohibición del artículo 33 solo aplicaría a los </w:t>
      </w:r>
      <w:r w:rsidR="004146D7">
        <w:rPr>
          <w:rFonts w:ascii="Arial" w:eastAsiaTheme="minorHAnsi" w:hAnsi="Arial" w:cs="Arial"/>
          <w:color w:val="000000" w:themeColor="text1"/>
          <w:sz w:val="22"/>
          <w:szCs w:val="22"/>
          <w:lang w:val="es-MX" w:eastAsia="en-US"/>
        </w:rPr>
        <w:t xml:space="preserve">contratos </w:t>
      </w:r>
      <w:r w:rsidRPr="004A1D82">
        <w:rPr>
          <w:rFonts w:ascii="Arial" w:eastAsiaTheme="minorHAnsi" w:hAnsi="Arial" w:cs="Arial"/>
          <w:color w:val="000000" w:themeColor="text1"/>
          <w:sz w:val="22"/>
          <w:szCs w:val="22"/>
          <w:lang w:val="es-MX" w:eastAsia="en-US"/>
        </w:rPr>
        <w:t xml:space="preserve">que se celebren de forma directa, durante el término de vigencia de la restricción, salvo que se configure alguna de las excepciones establecidas en el inciso segundo de la misma disposición, bajo los cuales sí procedería la contratación directa. </w:t>
      </w:r>
    </w:p>
    <w:p w14:paraId="1F15D37B" w14:textId="77777777" w:rsidR="00450CAF" w:rsidRPr="004A1D82" w:rsidRDefault="00450CAF" w:rsidP="00450CAF">
      <w:pPr>
        <w:pStyle w:val="NormalWeb"/>
        <w:shd w:val="clear" w:color="auto" w:fill="FFFFFF"/>
        <w:spacing w:before="0" w:beforeAutospacing="0" w:after="0" w:afterAutospacing="0"/>
        <w:ind w:firstLine="708"/>
        <w:rPr>
          <w:rFonts w:ascii="Arial" w:eastAsiaTheme="minorHAnsi" w:hAnsi="Arial" w:cs="Arial"/>
          <w:color w:val="000000" w:themeColor="text1"/>
          <w:sz w:val="22"/>
          <w:szCs w:val="22"/>
          <w:lang w:val="es-MX" w:eastAsia="en-US"/>
        </w:rPr>
      </w:pPr>
    </w:p>
    <w:p w14:paraId="235ECCAF" w14:textId="77777777" w:rsidR="00450CAF" w:rsidRPr="004A1D82" w:rsidRDefault="00450CAF" w:rsidP="00450CAF">
      <w:pPr>
        <w:spacing w:line="276" w:lineRule="auto"/>
        <w:jc w:val="both"/>
        <w:rPr>
          <w:rFonts w:ascii="Arial" w:hAnsi="Arial" w:cs="Arial"/>
          <w:b/>
          <w:bCs/>
          <w:color w:val="000000" w:themeColor="text1"/>
          <w:sz w:val="22"/>
          <w:szCs w:val="22"/>
          <w:lang w:val="es-ES_tradnl" w:eastAsia="es-CO"/>
        </w:rPr>
      </w:pPr>
      <w:r w:rsidRPr="004A1D82">
        <w:rPr>
          <w:rFonts w:ascii="Arial" w:eastAsiaTheme="minorHAnsi" w:hAnsi="Arial" w:cs="Arial"/>
          <w:b/>
          <w:bCs/>
          <w:color w:val="000000" w:themeColor="text1"/>
          <w:sz w:val="22"/>
          <w:szCs w:val="22"/>
          <w:lang w:val="es-ES_tradnl" w:eastAsia="en-US"/>
        </w:rPr>
        <w:t xml:space="preserve">2.3. </w:t>
      </w:r>
      <w:r w:rsidRPr="004A1D82">
        <w:rPr>
          <w:rFonts w:ascii="Arial" w:hAnsi="Arial" w:cs="Arial"/>
          <w:b/>
          <w:bCs/>
          <w:color w:val="000000" w:themeColor="text1"/>
          <w:sz w:val="22"/>
          <w:szCs w:val="22"/>
          <w:lang w:val="es-ES_tradnl" w:eastAsia="es-CO"/>
        </w:rPr>
        <w:t xml:space="preserve">Restricciones para la celebración de contratos y convenios interadministrativos en los comicios de cargos de elección popular: prohibición del parágrafo del artículo 38 de la Ley 996 de 2005 </w:t>
      </w:r>
    </w:p>
    <w:p w14:paraId="06DF157E" w14:textId="77777777" w:rsidR="00450CAF" w:rsidRPr="004A1D82" w:rsidRDefault="00450CAF" w:rsidP="00450CAF">
      <w:pPr>
        <w:spacing w:line="276" w:lineRule="auto"/>
        <w:jc w:val="both"/>
        <w:rPr>
          <w:rFonts w:ascii="Arial" w:eastAsiaTheme="minorHAnsi" w:hAnsi="Arial" w:cs="Arial"/>
          <w:b/>
          <w:bCs/>
          <w:color w:val="000000" w:themeColor="text1"/>
          <w:sz w:val="22"/>
          <w:szCs w:val="22"/>
          <w:lang w:val="es-ES_tradnl" w:eastAsia="en-US"/>
        </w:rPr>
      </w:pPr>
    </w:p>
    <w:p w14:paraId="374833ED" w14:textId="77777777" w:rsidR="00450CAF" w:rsidRPr="004A1D82" w:rsidRDefault="00450CAF" w:rsidP="00450CAF">
      <w:pPr>
        <w:tabs>
          <w:tab w:val="left" w:pos="426"/>
        </w:tabs>
        <w:spacing w:after="120" w:line="276" w:lineRule="auto"/>
        <w:jc w:val="both"/>
        <w:rPr>
          <w:rFonts w:ascii="Arial" w:eastAsia="Calibri" w:hAnsi="Arial" w:cs="Arial"/>
          <w:bCs/>
          <w:color w:val="000000" w:themeColor="text1"/>
          <w:sz w:val="22"/>
          <w:szCs w:val="22"/>
          <w:lang w:val="es-ES_tradnl" w:eastAsia="en-US"/>
        </w:rPr>
      </w:pPr>
      <w:r w:rsidRPr="004A1D82">
        <w:rPr>
          <w:rFonts w:ascii="Arial" w:eastAsia="Calibri" w:hAnsi="Arial" w:cs="Arial"/>
          <w:bCs/>
          <w:color w:val="000000" w:themeColor="text1"/>
          <w:sz w:val="22"/>
          <w:szCs w:val="22"/>
          <w:lang w:val="es-ES_tradnl" w:eastAsia="en-US"/>
        </w:rPr>
        <w:t>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4A1D82">
        <w:rPr>
          <w:rFonts w:ascii="Arial" w:hAnsi="Arial" w:cs="Arial"/>
          <w:bCs/>
          <w:iCs/>
          <w:color w:val="000000" w:themeColor="text1"/>
          <w:sz w:val="22"/>
          <w:szCs w:val="22"/>
          <w:lang w:val="es-ES_tradnl" w:eastAsia="x-none"/>
        </w:rPr>
        <w:t xml:space="preserve">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4A1D82">
        <w:rPr>
          <w:rFonts w:ascii="Arial" w:hAnsi="Arial" w:cs="Arial"/>
          <w:color w:val="000000" w:themeColor="text1"/>
          <w:vertAlign w:val="superscript"/>
          <w:lang w:eastAsia="es-ES_tradnl"/>
        </w:rPr>
        <w:footnoteReference w:id="26"/>
      </w:r>
      <w:r w:rsidRPr="004A1D82">
        <w:rPr>
          <w:rFonts w:ascii="Arial" w:hAnsi="Arial" w:cs="Arial"/>
          <w:bCs/>
          <w:iCs/>
          <w:color w:val="000000" w:themeColor="text1"/>
          <w:sz w:val="22"/>
          <w:szCs w:val="22"/>
          <w:lang w:val="es-ES_tradnl" w:eastAsia="x-none"/>
        </w:rPr>
        <w:t>.</w:t>
      </w:r>
      <w:r w:rsidRPr="004A1D82">
        <w:rPr>
          <w:rFonts w:ascii="Arial" w:eastAsiaTheme="minorHAnsi" w:hAnsi="Arial" w:cs="Arial"/>
          <w:color w:val="000000" w:themeColor="text1"/>
          <w:szCs w:val="22"/>
          <w:lang w:val="es-ES_tradnl" w:eastAsia="en-US"/>
        </w:rPr>
        <w:t xml:space="preserve"> </w:t>
      </w:r>
    </w:p>
    <w:p w14:paraId="67FCEAEE" w14:textId="77777777" w:rsidR="00450CAF" w:rsidRPr="004A1D82" w:rsidRDefault="00450CAF" w:rsidP="00450CAF">
      <w:pPr>
        <w:widowControl w:val="0"/>
        <w:autoSpaceDE w:val="0"/>
        <w:autoSpaceDN w:val="0"/>
        <w:spacing w:after="120" w:line="276" w:lineRule="auto"/>
        <w:ind w:firstLine="707"/>
        <w:jc w:val="both"/>
        <w:rPr>
          <w:rFonts w:ascii="Arial" w:eastAsia="Arial" w:hAnsi="Arial" w:cs="Arial"/>
          <w:color w:val="000000" w:themeColor="text1"/>
          <w:sz w:val="22"/>
          <w:szCs w:val="22"/>
          <w:lang w:val="es-ES_tradnl" w:eastAsia="es-ES" w:bidi="es-ES"/>
        </w:rPr>
      </w:pPr>
      <w:r w:rsidRPr="004A1D82">
        <w:rPr>
          <w:rFonts w:ascii="Arial" w:eastAsia="Calibri" w:hAnsi="Arial" w:cs="Arial"/>
          <w:bCs/>
          <w:color w:val="000000" w:themeColor="text1"/>
          <w:sz w:val="22"/>
          <w:szCs w:val="22"/>
          <w:lang w:val="es-ES_tradnl" w:eastAsia="es-ES" w:bidi="es-ES"/>
        </w:rPr>
        <w:t xml:space="preserve">Ahora bien, </w:t>
      </w:r>
      <w:bookmarkStart w:id="15" w:name="_Hlk78820161"/>
      <w:r w:rsidRPr="004A1D82">
        <w:rPr>
          <w:rFonts w:ascii="Arial" w:eastAsia="Calibri" w:hAnsi="Arial" w:cs="Arial"/>
          <w:bCs/>
          <w:color w:val="000000" w:themeColor="text1"/>
          <w:sz w:val="22"/>
          <w:szCs w:val="22"/>
          <w:lang w:val="es-ES_tradnl" w:eastAsia="es-ES" w:bidi="es-ES"/>
        </w:rPr>
        <w:t xml:space="preserve">para determinar el alcance de la prohibición consagrada por la Ley de Garantías Electorales, conviene precisar la tipología de convenios o contratos interadministrativos. </w:t>
      </w:r>
      <w:r w:rsidRPr="004A1D82">
        <w:rPr>
          <w:rFonts w:ascii="Arial" w:eastAsia="Arial" w:hAnsi="Arial" w:cs="Arial"/>
          <w:color w:val="000000" w:themeColor="text1"/>
          <w:sz w:val="22"/>
          <w:szCs w:val="22"/>
          <w:lang w:val="es-ES_tradnl" w:eastAsia="es-ES" w:bidi="es-ES"/>
        </w:rPr>
        <w:t>Aunque la ley no la definió ni desarrolló, el Decreto 1082 de 2015 califica a los convenios o contratos interadministrativos como aquella contratación entre entidades estatales</w:t>
      </w:r>
      <w:r w:rsidRPr="004A1D82">
        <w:rPr>
          <w:rFonts w:ascii="Arial" w:eastAsia="Arial" w:hAnsi="Arial" w:cs="Arial"/>
          <w:color w:val="000000" w:themeColor="text1"/>
          <w:vertAlign w:val="superscript"/>
          <w:lang w:eastAsia="es-ES_tradnl"/>
        </w:rPr>
        <w:footnoteReference w:id="27"/>
      </w:r>
      <w:r w:rsidRPr="004A1D82">
        <w:rPr>
          <w:rFonts w:ascii="Arial" w:eastAsia="Arial" w:hAnsi="Arial" w:cs="Arial"/>
          <w:color w:val="000000" w:themeColor="text1"/>
          <w:sz w:val="22"/>
          <w:szCs w:val="22"/>
          <w:lang w:val="es-ES_tradnl" w:eastAsia="es-ES" w:bidi="es-E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4A1D82">
        <w:rPr>
          <w:rFonts w:ascii="Arial" w:eastAsia="Arial" w:hAnsi="Arial" w:cs="Arial"/>
          <w:color w:val="000000" w:themeColor="text1"/>
          <w:spacing w:val="-6"/>
          <w:sz w:val="22"/>
          <w:szCs w:val="22"/>
          <w:lang w:val="es-ES_tradnl" w:eastAsia="es-ES" w:bidi="es-ES"/>
        </w:rPr>
        <w:t xml:space="preserve"> </w:t>
      </w:r>
      <w:r w:rsidRPr="004A1D82">
        <w:rPr>
          <w:rFonts w:ascii="Arial" w:eastAsia="Arial" w:hAnsi="Arial" w:cs="Arial"/>
          <w:color w:val="000000" w:themeColor="text1"/>
          <w:sz w:val="22"/>
          <w:szCs w:val="22"/>
          <w:lang w:val="es-ES_tradnl" w:eastAsia="es-ES" w:bidi="es-ES"/>
        </w:rPr>
        <w:t>estatales.</w:t>
      </w:r>
    </w:p>
    <w:p w14:paraId="6CCD9283" w14:textId="77777777" w:rsidR="00450CAF" w:rsidRPr="004A1D82" w:rsidRDefault="00450CAF" w:rsidP="00450CAF">
      <w:pPr>
        <w:widowControl w:val="0"/>
        <w:autoSpaceDE w:val="0"/>
        <w:autoSpaceDN w:val="0"/>
        <w:spacing w:before="117" w:after="120" w:line="276" w:lineRule="auto"/>
        <w:ind w:firstLine="707"/>
        <w:jc w:val="both"/>
        <w:rPr>
          <w:rFonts w:ascii="Arial" w:eastAsia="Arial" w:hAnsi="Arial" w:cs="Arial"/>
          <w:color w:val="000000" w:themeColor="text1"/>
          <w:sz w:val="22"/>
          <w:szCs w:val="22"/>
          <w:lang w:val="es-ES_tradnl" w:eastAsia="es-ES" w:bidi="es-ES"/>
        </w:rPr>
      </w:pPr>
      <w:bookmarkStart w:id="16" w:name="_Hlk78820654"/>
      <w:bookmarkEnd w:id="15"/>
      <w:r w:rsidRPr="004A1D82">
        <w:rPr>
          <w:rFonts w:ascii="Arial" w:eastAsia="Arial" w:hAnsi="Arial" w:cs="Arial"/>
          <w:color w:val="000000" w:themeColor="text1"/>
          <w:sz w:val="22"/>
          <w:szCs w:val="22"/>
          <w:lang w:val="es-ES_tradnl" w:eastAsia="es-ES" w:bidi="es-ES"/>
        </w:rPr>
        <w:t xml:space="preserve">Si bien los contratos o convenios interadministrativos están previstos en la Ley 80 de 1993, en la Ley 1150 de 2007 y en el Decreto en el 1082 de 2015, no quiere decir que </w:t>
      </w:r>
      <w:r w:rsidRPr="004A1D82">
        <w:rPr>
          <w:rFonts w:ascii="Arial" w:eastAsia="Arial" w:hAnsi="Arial" w:cs="Arial"/>
          <w:color w:val="000000" w:themeColor="text1"/>
          <w:sz w:val="22"/>
          <w:szCs w:val="22"/>
          <w:lang w:val="es-ES_tradnl" w:eastAsia="es-ES" w:bidi="es-ES"/>
        </w:rPr>
        <w:lastRenderedPageBreak/>
        <w:t>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16"/>
    <w:p w14:paraId="257A9491" w14:textId="77777777" w:rsidR="00450CAF" w:rsidRPr="004A1D82" w:rsidRDefault="00450CAF" w:rsidP="00450CAF">
      <w:pPr>
        <w:widowControl w:val="0"/>
        <w:autoSpaceDE w:val="0"/>
        <w:autoSpaceDN w:val="0"/>
        <w:spacing w:before="121" w:after="120" w:line="276" w:lineRule="auto"/>
        <w:ind w:firstLine="707"/>
        <w:jc w:val="both"/>
        <w:rPr>
          <w:rFonts w:ascii="Arial" w:eastAsia="Arial" w:hAnsi="Arial" w:cs="Arial"/>
          <w:color w:val="000000" w:themeColor="text1"/>
          <w:sz w:val="22"/>
          <w:szCs w:val="22"/>
          <w:lang w:val="es-ES_tradnl" w:eastAsia="es-ES" w:bidi="es-ES"/>
        </w:rPr>
      </w:pPr>
      <w:r w:rsidRPr="004A1D82">
        <w:rPr>
          <w:rFonts w:ascii="Arial" w:eastAsia="Arial" w:hAnsi="Arial" w:cs="Arial"/>
          <w:color w:val="000000" w:themeColor="text1"/>
          <w:sz w:val="22"/>
          <w:szCs w:val="22"/>
          <w:lang w:val="es-ES_tradnl" w:eastAsia="es-ES" w:bidi="es-ES"/>
        </w:rPr>
        <w:t>Estos tipos contractuales no están determinados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4A1D82">
        <w:rPr>
          <w:rFonts w:ascii="Arial" w:eastAsia="Arial" w:hAnsi="Arial" w:cs="Arial"/>
          <w:color w:val="000000" w:themeColor="text1"/>
          <w:vertAlign w:val="superscript"/>
          <w:lang w:eastAsia="es-ES_tradnl"/>
        </w:rPr>
        <w:footnoteReference w:id="28"/>
      </w:r>
      <w:r w:rsidRPr="004A1D82">
        <w:rPr>
          <w:rFonts w:ascii="Arial" w:eastAsia="Arial" w:hAnsi="Arial" w:cs="Arial"/>
          <w:color w:val="000000" w:themeColor="text1"/>
          <w:sz w:val="22"/>
          <w:szCs w:val="22"/>
          <w:lang w:val="es-ES_tradnl" w:eastAsia="es-ES" w:bidi="es-ES"/>
        </w:rPr>
        <w:t>. Nótese que, en este caso, lo que cambia es la modalidad de selección y no la naturaleza de contrato</w:t>
      </w:r>
      <w:r w:rsidRPr="004A1D82">
        <w:rPr>
          <w:rFonts w:ascii="Arial" w:eastAsia="Arial" w:hAnsi="Arial" w:cs="Arial"/>
          <w:color w:val="000000" w:themeColor="text1"/>
          <w:spacing w:val="-18"/>
          <w:sz w:val="22"/>
          <w:szCs w:val="22"/>
          <w:lang w:val="es-ES_tradnl" w:eastAsia="es-ES" w:bidi="es-ES"/>
        </w:rPr>
        <w:t xml:space="preserve"> </w:t>
      </w:r>
      <w:r w:rsidRPr="004A1D82">
        <w:rPr>
          <w:rFonts w:ascii="Arial" w:eastAsia="Arial" w:hAnsi="Arial" w:cs="Arial"/>
          <w:color w:val="000000" w:themeColor="text1"/>
          <w:sz w:val="22"/>
          <w:szCs w:val="22"/>
          <w:lang w:val="es-ES_tradnl" w:eastAsia="es-ES" w:bidi="es-ES"/>
        </w:rPr>
        <w:t>interadministrativo.</w:t>
      </w:r>
    </w:p>
    <w:p w14:paraId="6AA24495" w14:textId="77777777" w:rsidR="00450CAF" w:rsidRPr="004A1D82" w:rsidRDefault="00450CAF" w:rsidP="00450CAF">
      <w:pPr>
        <w:widowControl w:val="0"/>
        <w:autoSpaceDE w:val="0"/>
        <w:autoSpaceDN w:val="0"/>
        <w:spacing w:before="114" w:line="276" w:lineRule="auto"/>
        <w:ind w:firstLine="707"/>
        <w:jc w:val="both"/>
        <w:rPr>
          <w:rFonts w:ascii="Arial" w:eastAsia="Arial" w:hAnsi="Arial" w:cs="Arial"/>
          <w:color w:val="000000" w:themeColor="text1"/>
          <w:sz w:val="22"/>
          <w:szCs w:val="22"/>
          <w:lang w:val="es-ES_tradnl" w:eastAsia="es-ES" w:bidi="es-ES"/>
        </w:rPr>
      </w:pPr>
      <w:r w:rsidRPr="004A1D82">
        <w:rPr>
          <w:rFonts w:ascii="Arial" w:eastAsia="Arial" w:hAnsi="Arial" w:cs="Arial"/>
          <w:color w:val="000000" w:themeColor="text1"/>
          <w:sz w:val="22"/>
          <w:szCs w:val="22"/>
          <w:lang w:val="es-ES_tradnl" w:eastAsia="es-ES" w:bidi="es-ES"/>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4A1D82">
        <w:rPr>
          <w:rFonts w:ascii="Arial" w:eastAsia="Arial" w:hAnsi="Arial" w:cs="Arial"/>
          <w:color w:val="000000" w:themeColor="text1"/>
          <w:spacing w:val="-13"/>
          <w:sz w:val="22"/>
          <w:szCs w:val="22"/>
          <w:lang w:val="es-ES_tradnl" w:eastAsia="es-ES" w:bidi="es-ES"/>
        </w:rPr>
        <w:t xml:space="preserve"> </w:t>
      </w:r>
      <w:r w:rsidRPr="004A1D82">
        <w:rPr>
          <w:rFonts w:ascii="Arial" w:eastAsia="Arial" w:hAnsi="Arial" w:cs="Arial"/>
          <w:color w:val="000000" w:themeColor="text1"/>
          <w:sz w:val="22"/>
          <w:szCs w:val="22"/>
          <w:lang w:val="es-ES_tradnl" w:eastAsia="es-ES" w:bidi="es-ES"/>
        </w:rPr>
        <w:t>que:</w:t>
      </w:r>
    </w:p>
    <w:p w14:paraId="6E2DF406" w14:textId="77777777" w:rsidR="00450CAF" w:rsidRPr="004A1D82" w:rsidRDefault="00450CAF" w:rsidP="00450CAF">
      <w:pPr>
        <w:widowControl w:val="0"/>
        <w:autoSpaceDE w:val="0"/>
        <w:autoSpaceDN w:val="0"/>
        <w:spacing w:line="276" w:lineRule="auto"/>
        <w:ind w:firstLine="707"/>
        <w:jc w:val="both"/>
        <w:rPr>
          <w:rFonts w:ascii="Arial" w:eastAsia="Arial" w:hAnsi="Arial" w:cs="Arial"/>
          <w:color w:val="000000" w:themeColor="text1"/>
          <w:sz w:val="22"/>
          <w:szCs w:val="22"/>
          <w:lang w:val="es-ES_tradnl" w:eastAsia="es-ES" w:bidi="es-ES"/>
        </w:rPr>
      </w:pPr>
    </w:p>
    <w:p w14:paraId="73F77998" w14:textId="77777777" w:rsidR="00450CAF" w:rsidRPr="004A1D82" w:rsidRDefault="00450CAF" w:rsidP="00450CAF">
      <w:pPr>
        <w:ind w:left="709" w:right="709"/>
        <w:jc w:val="both"/>
        <w:rPr>
          <w:rFonts w:ascii="Arial" w:eastAsiaTheme="minorHAnsi" w:hAnsi="Arial" w:cs="Arial"/>
          <w:color w:val="000000" w:themeColor="text1"/>
          <w:sz w:val="21"/>
          <w:szCs w:val="22"/>
          <w:lang w:val="es-ES_tradnl" w:eastAsia="en-US"/>
        </w:rPr>
      </w:pPr>
      <w:r w:rsidRPr="004A1D82">
        <w:rPr>
          <w:rFonts w:ascii="Arial" w:eastAsiaTheme="minorHAnsi" w:hAnsi="Arial" w:cs="Arial"/>
          <w:color w:val="000000" w:themeColor="text1"/>
          <w:sz w:val="21"/>
          <w:szCs w:val="22"/>
          <w:lang w:val="es-ES_tradnl" w:eastAsia="en-US"/>
        </w:rPr>
        <w:t xml:space="preserve">[…]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w:t>
      </w:r>
      <w:r w:rsidRPr="004A1D82">
        <w:rPr>
          <w:rFonts w:ascii="Arial" w:eastAsiaTheme="minorHAnsi" w:hAnsi="Arial" w:cs="Arial"/>
          <w:color w:val="000000" w:themeColor="text1"/>
          <w:sz w:val="21"/>
          <w:szCs w:val="22"/>
          <w:lang w:val="es-ES_tradnl" w:eastAsia="en-US"/>
        </w:rPr>
        <w:lastRenderedPageBreak/>
        <w:t>vinculadas; (viii) la acción mediante la cual se deben ventilar las diferencias que sobre el particular surjan es la de controversias contractuales</w:t>
      </w:r>
      <w:r w:rsidRPr="004A1D82">
        <w:rPr>
          <w:rFonts w:ascii="Arial" w:eastAsiaTheme="minorHAnsi" w:hAnsi="Arial" w:cs="Arial"/>
          <w:color w:val="000000" w:themeColor="text1"/>
          <w:vertAlign w:val="superscript"/>
          <w:lang w:eastAsia="es-ES_tradnl"/>
        </w:rPr>
        <w:footnoteReference w:id="29"/>
      </w:r>
      <w:r w:rsidRPr="004A1D82">
        <w:rPr>
          <w:rFonts w:ascii="Arial" w:eastAsiaTheme="minorHAnsi" w:hAnsi="Arial" w:cs="Arial"/>
          <w:color w:val="000000" w:themeColor="text1"/>
          <w:sz w:val="21"/>
          <w:szCs w:val="22"/>
          <w:lang w:val="es-ES_tradnl" w:eastAsia="en-US"/>
        </w:rPr>
        <w:t>.</w:t>
      </w:r>
    </w:p>
    <w:p w14:paraId="7800C050" w14:textId="77777777" w:rsidR="00450CAF" w:rsidRPr="004A1D82" w:rsidRDefault="00450CAF" w:rsidP="00450CAF">
      <w:pPr>
        <w:spacing w:line="276" w:lineRule="auto"/>
        <w:ind w:left="709" w:right="709"/>
        <w:jc w:val="both"/>
        <w:rPr>
          <w:rFonts w:ascii="Arial" w:eastAsiaTheme="minorHAnsi" w:hAnsi="Arial" w:cs="Arial"/>
          <w:color w:val="000000" w:themeColor="text1"/>
          <w:sz w:val="22"/>
          <w:szCs w:val="22"/>
          <w:lang w:val="es-ES_tradnl" w:eastAsia="en-US"/>
        </w:rPr>
      </w:pPr>
    </w:p>
    <w:p w14:paraId="4FDEC641" w14:textId="77777777" w:rsidR="00450CAF" w:rsidRPr="004A1D82" w:rsidRDefault="00450CAF" w:rsidP="00450CAF">
      <w:pPr>
        <w:widowControl w:val="0"/>
        <w:autoSpaceDE w:val="0"/>
        <w:autoSpaceDN w:val="0"/>
        <w:spacing w:after="120" w:line="276" w:lineRule="auto"/>
        <w:ind w:firstLine="707"/>
        <w:jc w:val="both"/>
        <w:rPr>
          <w:rFonts w:ascii="Arial" w:eastAsia="Arial" w:hAnsi="Arial" w:cs="Arial"/>
          <w:color w:val="000000" w:themeColor="text1"/>
          <w:sz w:val="22"/>
          <w:szCs w:val="22"/>
          <w:lang w:val="es-ES_tradnl" w:eastAsia="es-ES" w:bidi="es-ES"/>
        </w:rPr>
      </w:pPr>
      <w:r w:rsidRPr="004A1D82">
        <w:rPr>
          <w:rFonts w:ascii="Arial" w:eastAsia="Arial" w:hAnsi="Arial" w:cs="Arial"/>
          <w:color w:val="000000" w:themeColor="text1"/>
          <w:sz w:val="22"/>
          <w:szCs w:val="22"/>
          <w:lang w:val="es-ES_tradnl" w:eastAsia="es-ES" w:bidi="es-ES"/>
        </w:rPr>
        <w:t>En ese sentido, los convenios interadministrativos se caracterizan por los sujetos que intervienen y por la modalidad de selección que la ley permite aplicar para su celebración, pues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30689BEF" w14:textId="77777777" w:rsidR="00450CAF" w:rsidRPr="004A1D82" w:rsidRDefault="00450CAF" w:rsidP="00450CAF">
      <w:pPr>
        <w:widowControl w:val="0"/>
        <w:autoSpaceDE w:val="0"/>
        <w:autoSpaceDN w:val="0"/>
        <w:spacing w:before="119" w:after="120" w:line="276" w:lineRule="auto"/>
        <w:ind w:firstLine="707"/>
        <w:jc w:val="both"/>
        <w:rPr>
          <w:rFonts w:ascii="Arial" w:eastAsia="Arial" w:hAnsi="Arial" w:cs="Arial"/>
          <w:color w:val="000000" w:themeColor="text1"/>
          <w:sz w:val="22"/>
          <w:szCs w:val="22"/>
          <w:lang w:val="es-ES_tradnl" w:eastAsia="es-ES" w:bidi="es-ES"/>
        </w:rPr>
      </w:pPr>
      <w:r w:rsidRPr="004A1D82">
        <w:rPr>
          <w:rFonts w:ascii="Arial" w:eastAsia="Arial" w:hAnsi="Arial" w:cs="Arial"/>
          <w:color w:val="000000" w:themeColor="text1"/>
          <w:sz w:val="22"/>
          <w:szCs w:val="22"/>
          <w:lang w:val="es-ES_tradnl" w:eastAsia="es-ES" w:bidi="es-ES"/>
        </w:rPr>
        <w:t xml:space="preserve">Así las cosas, </w:t>
      </w:r>
      <w:bookmarkStart w:id="17" w:name="_Hlk102385813"/>
      <w:r w:rsidRPr="004A1D82">
        <w:rPr>
          <w:rFonts w:ascii="Arial" w:eastAsia="Arial" w:hAnsi="Arial" w:cs="Arial"/>
          <w:color w:val="000000" w:themeColor="text1"/>
          <w:sz w:val="22"/>
          <w:szCs w:val="22"/>
          <w:lang w:val="es-ES_tradnl" w:eastAsia="es-ES" w:bidi="es-ES"/>
        </w:rPr>
        <w:t>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4A1D82">
        <w:rPr>
          <w:rFonts w:ascii="Arial" w:eastAsia="Arial" w:hAnsi="Arial" w:cs="Arial"/>
          <w:color w:val="000000" w:themeColor="text1"/>
          <w:spacing w:val="-3"/>
          <w:sz w:val="22"/>
          <w:szCs w:val="22"/>
          <w:lang w:val="es-ES_tradnl" w:eastAsia="es-ES" w:bidi="es-ES"/>
        </w:rPr>
        <w:t xml:space="preserve"> </w:t>
      </w:r>
      <w:r w:rsidRPr="004A1D82">
        <w:rPr>
          <w:rFonts w:ascii="Arial" w:eastAsia="Arial" w:hAnsi="Arial" w:cs="Arial"/>
          <w:color w:val="000000" w:themeColor="text1"/>
          <w:sz w:val="22"/>
          <w:szCs w:val="22"/>
          <w:lang w:val="es-ES_tradnl" w:eastAsia="es-ES" w:bidi="es-ES"/>
        </w:rPr>
        <w:t>estatales</w:t>
      </w:r>
      <w:bookmarkEnd w:id="17"/>
      <w:r w:rsidRPr="004A1D82">
        <w:rPr>
          <w:rFonts w:ascii="Arial" w:eastAsia="Arial" w:hAnsi="Arial" w:cs="Arial"/>
          <w:color w:val="000000" w:themeColor="text1"/>
          <w:sz w:val="22"/>
          <w:szCs w:val="22"/>
          <w:lang w:val="es-ES_tradnl" w:eastAsia="es-ES" w:bidi="es-ES"/>
        </w:rPr>
        <w:t>.</w:t>
      </w:r>
    </w:p>
    <w:p w14:paraId="3832DE04" w14:textId="77777777" w:rsidR="00450CAF" w:rsidRPr="004A1D82" w:rsidRDefault="00450CAF" w:rsidP="00450CAF">
      <w:pPr>
        <w:widowControl w:val="0"/>
        <w:autoSpaceDE w:val="0"/>
        <w:autoSpaceDN w:val="0"/>
        <w:spacing w:before="120" w:after="200" w:line="276" w:lineRule="auto"/>
        <w:ind w:firstLine="709"/>
        <w:jc w:val="both"/>
        <w:rPr>
          <w:rFonts w:ascii="Arial" w:eastAsia="Arial" w:hAnsi="Arial" w:cs="Arial"/>
          <w:color w:val="000000" w:themeColor="text1"/>
          <w:sz w:val="22"/>
          <w:szCs w:val="22"/>
          <w:lang w:val="es-ES_tradnl" w:eastAsia="es-ES" w:bidi="es-ES"/>
        </w:rPr>
      </w:pPr>
      <w:r w:rsidRPr="004A1D82">
        <w:rPr>
          <w:rFonts w:ascii="Arial" w:eastAsia="Arial" w:hAnsi="Arial" w:cs="Arial"/>
          <w:color w:val="000000" w:themeColor="text1"/>
          <w:sz w:val="22"/>
          <w:szCs w:val="22"/>
          <w:lang w:val="es-ES_tradnl" w:eastAsia="es-ES" w:bidi="es-ES"/>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4A1D82">
        <w:rPr>
          <w:rFonts w:ascii="Arial" w:eastAsia="Arial" w:hAnsi="Arial" w:cs="Arial"/>
          <w:color w:val="000000" w:themeColor="text1"/>
          <w:spacing w:val="-4"/>
          <w:sz w:val="22"/>
          <w:szCs w:val="22"/>
          <w:lang w:val="es-ES_tradnl" w:eastAsia="es-ES" w:bidi="es-ES"/>
        </w:rPr>
        <w:t xml:space="preserve"> </w:t>
      </w:r>
      <w:r w:rsidRPr="004A1D82">
        <w:rPr>
          <w:rFonts w:ascii="Arial" w:eastAsia="Arial" w:hAnsi="Arial" w:cs="Arial"/>
          <w:color w:val="000000" w:themeColor="text1"/>
          <w:sz w:val="22"/>
          <w:szCs w:val="22"/>
          <w:lang w:val="es-ES_tradnl" w:eastAsia="es-ES" w:bidi="es-ES"/>
        </w:rPr>
        <w:t>estatales.</w:t>
      </w:r>
    </w:p>
    <w:p w14:paraId="127C1027" w14:textId="77777777" w:rsidR="00450CAF" w:rsidRPr="004A1D82" w:rsidRDefault="00450CAF" w:rsidP="00450CAF">
      <w:pPr>
        <w:widowControl w:val="0"/>
        <w:autoSpaceDE w:val="0"/>
        <w:autoSpaceDN w:val="0"/>
        <w:spacing w:before="122" w:after="120" w:line="276" w:lineRule="auto"/>
        <w:ind w:firstLine="708"/>
        <w:jc w:val="both"/>
        <w:rPr>
          <w:rFonts w:ascii="Arial" w:eastAsia="Arial" w:hAnsi="Arial" w:cs="Arial"/>
          <w:color w:val="000000" w:themeColor="text1"/>
          <w:sz w:val="22"/>
          <w:szCs w:val="22"/>
          <w:lang w:val="es-ES_tradnl" w:eastAsia="es-ES" w:bidi="es-ES"/>
        </w:rPr>
      </w:pPr>
      <w:r w:rsidRPr="004A1D82">
        <w:rPr>
          <w:rFonts w:ascii="Arial" w:eastAsia="Arial" w:hAnsi="Arial" w:cs="Arial"/>
          <w:color w:val="000000" w:themeColor="text1"/>
          <w:sz w:val="22"/>
          <w:szCs w:val="22"/>
          <w:lang w:val="es-ES_tradnl" w:eastAsia="es-ES" w:bidi="es-ES"/>
        </w:rPr>
        <w:t xml:space="preserve">Es bueno destacar que el Decreto 1082 de 2015 dispone que los convenios o </w:t>
      </w:r>
      <w:r w:rsidRPr="004A1D82">
        <w:rPr>
          <w:rFonts w:ascii="Arial" w:eastAsia="Arial" w:hAnsi="Arial" w:cs="Arial"/>
          <w:color w:val="000000" w:themeColor="text1"/>
          <w:sz w:val="22"/>
          <w:szCs w:val="22"/>
          <w:lang w:val="es-ES_tradnl" w:eastAsia="es-ES" w:bidi="es-ES"/>
        </w:rPr>
        <w:lastRenderedPageBreak/>
        <w:t>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3C8473B2" w14:textId="77777777" w:rsidR="00450CAF" w:rsidRPr="004A1D82" w:rsidRDefault="00450CAF" w:rsidP="00450CAF">
      <w:pPr>
        <w:widowControl w:val="0"/>
        <w:autoSpaceDE w:val="0"/>
        <w:autoSpaceDN w:val="0"/>
        <w:spacing w:line="276" w:lineRule="auto"/>
        <w:ind w:firstLine="708"/>
        <w:jc w:val="both"/>
        <w:rPr>
          <w:rFonts w:ascii="Arial" w:eastAsia="Calibri" w:hAnsi="Arial" w:cs="Arial"/>
          <w:bCs/>
          <w:color w:val="000000" w:themeColor="text1"/>
          <w:sz w:val="22"/>
          <w:szCs w:val="22"/>
          <w:lang w:val="es-ES_tradnl" w:eastAsia="es-ES" w:bidi="es-ES"/>
        </w:rPr>
      </w:pPr>
      <w:r w:rsidRPr="004A1D82">
        <w:rPr>
          <w:rFonts w:ascii="Arial" w:eastAsia="Arial" w:hAnsi="Arial" w:cs="Arial"/>
          <w:color w:val="000000" w:themeColor="text1"/>
          <w:sz w:val="22"/>
          <w:szCs w:val="22"/>
          <w:lang w:val="es-ES_tradnl" w:eastAsia="es-ES" w:bidi="es-ES"/>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4A1D82">
        <w:rPr>
          <w:rFonts w:ascii="Arial" w:eastAsia="Arial" w:hAnsi="Arial" w:cs="Arial"/>
          <w:color w:val="000000" w:themeColor="text1"/>
          <w:spacing w:val="-4"/>
          <w:sz w:val="22"/>
          <w:szCs w:val="22"/>
          <w:lang w:val="es-ES_tradnl" w:eastAsia="es-ES" w:bidi="es-ES"/>
        </w:rPr>
        <w:t xml:space="preserve"> </w:t>
      </w:r>
      <w:r w:rsidRPr="004A1D82">
        <w:rPr>
          <w:rFonts w:ascii="Arial" w:eastAsia="Arial" w:hAnsi="Arial" w:cs="Arial"/>
          <w:color w:val="000000" w:themeColor="text1"/>
          <w:sz w:val="22"/>
          <w:szCs w:val="22"/>
          <w:lang w:val="es-ES_tradnl" w:eastAsia="es-ES" w:bidi="es-ES"/>
        </w:rPr>
        <w:t>[…]»</w:t>
      </w:r>
      <w:r w:rsidRPr="004A1D82">
        <w:rPr>
          <w:rFonts w:ascii="Arial" w:eastAsia="Arial" w:hAnsi="Arial" w:cs="Arial"/>
          <w:color w:val="000000" w:themeColor="text1"/>
          <w:vertAlign w:val="superscript"/>
          <w:lang w:eastAsia="es-ES_tradnl"/>
        </w:rPr>
        <w:footnoteReference w:id="30"/>
      </w:r>
      <w:r w:rsidRPr="004A1D82">
        <w:rPr>
          <w:rFonts w:ascii="Arial" w:eastAsia="Arial" w:hAnsi="Arial" w:cs="Arial"/>
          <w:color w:val="000000" w:themeColor="text1"/>
          <w:sz w:val="22"/>
          <w:szCs w:val="22"/>
          <w:lang w:val="es-ES_tradnl" w:eastAsia="es-ES" w:bidi="es-ES"/>
        </w:rPr>
        <w:t>.</w:t>
      </w:r>
      <w:bookmarkStart w:id="18" w:name="_Hlk77171241"/>
    </w:p>
    <w:p w14:paraId="4057511A" w14:textId="77777777" w:rsidR="00450CAF" w:rsidRPr="004A1D82" w:rsidRDefault="00450CAF" w:rsidP="00450CAF">
      <w:pPr>
        <w:widowControl w:val="0"/>
        <w:autoSpaceDE w:val="0"/>
        <w:autoSpaceDN w:val="0"/>
        <w:spacing w:before="122" w:line="276" w:lineRule="auto"/>
        <w:ind w:firstLine="709"/>
        <w:jc w:val="both"/>
        <w:rPr>
          <w:rFonts w:ascii="Arial" w:eastAsia="Arial" w:hAnsi="Arial" w:cs="Arial"/>
          <w:color w:val="000000" w:themeColor="text1"/>
          <w:sz w:val="22"/>
          <w:szCs w:val="22"/>
          <w:lang w:val="es-ES_tradnl" w:eastAsia="es-ES" w:bidi="es-ES"/>
        </w:rPr>
      </w:pPr>
      <w:r w:rsidRPr="004A1D82">
        <w:rPr>
          <w:rFonts w:ascii="Arial" w:eastAsia="Arial" w:hAnsi="Arial" w:cs="Arial"/>
          <w:color w:val="000000" w:themeColor="text1"/>
          <w:sz w:val="22"/>
          <w:szCs w:val="22"/>
          <w:lang w:val="es-ES_tradnl" w:eastAsia="es-ES" w:bidi="es-ES"/>
        </w:rPr>
        <w:t>Sin perjuicio de lo anterior, debe tenerse en cuenta que cierto sector de la doctrina y la jurisprudencia han establecido algunas diferencias o caracterización de los contratos interadministrativos frente a los convenios interadministrativos de que trata el artículo 95 de la Ley 489 de 1998. Por ejemplo, en Sentencia del 14 de junio de 2019, el Consejo de Estado expresó:</w:t>
      </w:r>
    </w:p>
    <w:p w14:paraId="70CF1953" w14:textId="77777777" w:rsidR="00450CAF" w:rsidRPr="004A1D82" w:rsidRDefault="00450CAF" w:rsidP="00450CAF">
      <w:pPr>
        <w:widowControl w:val="0"/>
        <w:autoSpaceDE w:val="0"/>
        <w:autoSpaceDN w:val="0"/>
        <w:spacing w:line="276" w:lineRule="auto"/>
        <w:ind w:firstLine="709"/>
        <w:jc w:val="both"/>
        <w:rPr>
          <w:rFonts w:ascii="Arial" w:eastAsia="Arial" w:hAnsi="Arial" w:cs="Arial"/>
          <w:color w:val="000000" w:themeColor="text1"/>
          <w:sz w:val="22"/>
          <w:szCs w:val="22"/>
          <w:lang w:val="es-ES_tradnl" w:eastAsia="es-ES" w:bidi="es-ES"/>
        </w:rPr>
      </w:pPr>
    </w:p>
    <w:p w14:paraId="540B7EE9" w14:textId="77777777" w:rsidR="00450CAF" w:rsidRPr="004A1D82" w:rsidRDefault="00450CAF" w:rsidP="00450CAF">
      <w:pPr>
        <w:ind w:left="709" w:right="709"/>
        <w:jc w:val="both"/>
        <w:rPr>
          <w:rFonts w:ascii="Arial" w:eastAsiaTheme="minorHAnsi" w:hAnsi="Arial" w:cs="Arial"/>
          <w:color w:val="000000" w:themeColor="text1"/>
          <w:sz w:val="21"/>
          <w:szCs w:val="21"/>
          <w:lang w:val="es-ES_tradnl" w:eastAsia="en-US"/>
        </w:rPr>
      </w:pPr>
      <w:r w:rsidRPr="004A1D82">
        <w:rPr>
          <w:rFonts w:ascii="Arial" w:eastAsiaTheme="minorHAnsi" w:hAnsi="Arial" w:cs="Arial"/>
          <w:color w:val="000000" w:themeColor="text1"/>
          <w:sz w:val="21"/>
          <w:szCs w:val="21"/>
          <w:lang w:val="es-ES_tradnl" w:eastAsia="en-US"/>
        </w:rPr>
        <w:t>La Sala de Consulta y Servicio Civil</w:t>
      </w:r>
      <w:r w:rsidRPr="004A1D82">
        <w:rPr>
          <w:rFonts w:ascii="Arial" w:eastAsiaTheme="minorHAnsi" w:hAnsi="Arial" w:cs="Arial"/>
          <w:color w:val="000000" w:themeColor="text1"/>
          <w:vertAlign w:val="superscript"/>
          <w:lang w:eastAsia="es-ES_tradnl"/>
        </w:rPr>
        <w:footnoteReference w:id="31"/>
      </w:r>
      <w:r w:rsidRPr="004A1D82">
        <w:rPr>
          <w:rFonts w:ascii="Arial" w:eastAsiaTheme="minorHAnsi" w:hAnsi="Arial" w:cs="Arial"/>
          <w:color w:val="000000" w:themeColor="text1"/>
          <w:sz w:val="21"/>
          <w:szCs w:val="21"/>
          <w:lang w:val="es-ES_tradnl" w:eastAsia="en-US"/>
        </w:rPr>
        <w:t xml:space="preserve"> de esta Corporación se ha referido a los </w:t>
      </w:r>
      <w:r w:rsidRPr="004A1D82">
        <w:rPr>
          <w:rFonts w:ascii="Arial" w:eastAsiaTheme="minorHAnsi" w:hAnsi="Arial" w:cs="Arial"/>
          <w:i/>
          <w:color w:val="000000" w:themeColor="text1"/>
          <w:sz w:val="21"/>
          <w:szCs w:val="21"/>
          <w:lang w:val="es-ES_tradnl" w:eastAsia="en-US"/>
        </w:rPr>
        <w:t>“convenios interadministrativos”</w:t>
      </w:r>
      <w:r w:rsidRPr="004A1D82">
        <w:rPr>
          <w:rFonts w:ascii="Arial" w:eastAsiaTheme="minorHAnsi" w:hAnsi="Arial" w:cs="Arial"/>
          <w:color w:val="000000" w:themeColor="text1"/>
          <w:sz w:val="21"/>
          <w:szCs w:val="21"/>
          <w:lang w:val="es-ES_tradnl" w:eastAsia="en-US"/>
        </w:rPr>
        <w:t xml:space="preserve"> a los cuales alude el artículo 95 de la Ley 489 de 1998, calificándolos de </w:t>
      </w:r>
      <w:r w:rsidRPr="004A1D82">
        <w:rPr>
          <w:rFonts w:ascii="Arial" w:eastAsiaTheme="minorHAnsi" w:hAnsi="Arial" w:cs="Arial"/>
          <w:i/>
          <w:color w:val="000000" w:themeColor="text1"/>
          <w:sz w:val="21"/>
          <w:szCs w:val="21"/>
          <w:lang w:val="es-ES_tradnl" w:eastAsia="en-US"/>
        </w:rPr>
        <w:t xml:space="preserve">“puros” </w:t>
      </w:r>
      <w:r w:rsidRPr="004A1D82">
        <w:rPr>
          <w:rFonts w:ascii="Arial" w:eastAsiaTheme="minorHAnsi" w:hAnsi="Arial" w:cs="Arial"/>
          <w:color w:val="000000" w:themeColor="text1"/>
          <w:sz w:val="21"/>
          <w:szCs w:val="21"/>
          <w:lang w:val="es-ES_tradnl" w:eastAsia="en-US"/>
        </w:rPr>
        <w:t xml:space="preserve">y entendiendo que estos, además de perseguir la finalidad de cooperación antes indicada, no implican intereses contrapuestos ni tampoco se circunscriben a un </w:t>
      </w:r>
      <w:r w:rsidRPr="004A1D82">
        <w:rPr>
          <w:rFonts w:ascii="Arial" w:eastAsiaTheme="minorHAnsi" w:hAnsi="Arial" w:cs="Arial"/>
          <w:i/>
          <w:color w:val="000000" w:themeColor="text1"/>
          <w:sz w:val="21"/>
          <w:szCs w:val="21"/>
          <w:lang w:val="es-ES_tradnl" w:eastAsia="en-US"/>
        </w:rPr>
        <w:t>“intercambio patrimonial”</w:t>
      </w:r>
      <w:r w:rsidRPr="004A1D82">
        <w:rPr>
          <w:rFonts w:ascii="Arial" w:eastAsiaTheme="minorHAnsi" w:hAnsi="Arial" w:cs="Arial"/>
          <w:color w:val="000000" w:themeColor="text1"/>
          <w:sz w:val="21"/>
          <w:szCs w:val="21"/>
          <w:lang w:val="es-ES_tradnl" w:eastAsia="en-US"/>
        </w:rPr>
        <w:t>. Sin perjuicio de lo anterior, en otra oportunidad, la misma Sala</w:t>
      </w:r>
      <w:r w:rsidRPr="004A1D82">
        <w:rPr>
          <w:rFonts w:ascii="Arial" w:eastAsiaTheme="minorHAnsi" w:hAnsi="Arial" w:cs="Arial"/>
          <w:color w:val="000000" w:themeColor="text1"/>
          <w:vertAlign w:val="superscript"/>
          <w:lang w:eastAsia="es-ES_tradnl"/>
        </w:rPr>
        <w:footnoteReference w:id="32"/>
      </w:r>
      <w:r w:rsidRPr="004A1D82">
        <w:rPr>
          <w:rFonts w:ascii="Arial" w:eastAsiaTheme="minorHAnsi" w:hAnsi="Arial" w:cs="Arial"/>
          <w:color w:val="000000" w:themeColor="text1"/>
          <w:sz w:val="21"/>
          <w:szCs w:val="21"/>
          <w:lang w:val="es-ES_tradnl" w:eastAsia="en-US"/>
        </w:rPr>
        <w:t xml:space="preserve"> había indicado que, si bien en dichos convenios no se daba un </w:t>
      </w:r>
      <w:r w:rsidRPr="004A1D82">
        <w:rPr>
          <w:rFonts w:ascii="Arial" w:eastAsiaTheme="minorHAnsi" w:hAnsi="Arial" w:cs="Arial"/>
          <w:i/>
          <w:color w:val="000000" w:themeColor="text1"/>
          <w:sz w:val="21"/>
          <w:szCs w:val="21"/>
          <w:lang w:val="es-ES_tradnl" w:eastAsia="en-US"/>
        </w:rPr>
        <w:t>“verdadero intercambio de bienes o servicios (contrato conmutativo)”</w:t>
      </w:r>
      <w:r w:rsidRPr="004A1D82">
        <w:rPr>
          <w:rFonts w:ascii="Arial" w:eastAsiaTheme="minorHAnsi" w:hAnsi="Arial" w:cs="Arial"/>
          <w:color w:val="000000" w:themeColor="text1"/>
          <w:sz w:val="21"/>
          <w:szCs w:val="21"/>
          <w:lang w:val="es-ES_tradnl" w:eastAsia="en-US"/>
        </w:rPr>
        <w:t>, ello no impedía que se conviniera una remuneración a cargo de alguna(s) entidad(es).</w:t>
      </w:r>
    </w:p>
    <w:p w14:paraId="581090ED" w14:textId="77777777" w:rsidR="00450CAF" w:rsidRPr="004A1D82" w:rsidRDefault="00450CAF" w:rsidP="00450CAF">
      <w:pPr>
        <w:ind w:left="709" w:right="709"/>
        <w:jc w:val="both"/>
        <w:rPr>
          <w:rFonts w:ascii="Arial" w:eastAsiaTheme="minorHAnsi" w:hAnsi="Arial" w:cs="Arial"/>
          <w:color w:val="000000" w:themeColor="text1"/>
          <w:sz w:val="21"/>
          <w:szCs w:val="21"/>
          <w:lang w:val="es-ES_tradnl" w:eastAsia="en-US"/>
        </w:rPr>
      </w:pPr>
    </w:p>
    <w:p w14:paraId="0E94BD9A" w14:textId="77777777" w:rsidR="00450CAF" w:rsidRPr="004A1D82" w:rsidRDefault="00450CAF" w:rsidP="00450CAF">
      <w:pPr>
        <w:widowControl w:val="0"/>
        <w:autoSpaceDE w:val="0"/>
        <w:autoSpaceDN w:val="0"/>
        <w:ind w:left="709" w:right="709"/>
        <w:jc w:val="both"/>
        <w:rPr>
          <w:rFonts w:ascii="Arial" w:eastAsia="Arial" w:hAnsi="Arial" w:cs="Arial"/>
          <w:color w:val="000000" w:themeColor="text1"/>
          <w:sz w:val="21"/>
          <w:szCs w:val="21"/>
          <w:lang w:val="es-ES_tradnl" w:eastAsia="es-ES" w:bidi="es-ES"/>
        </w:rPr>
      </w:pPr>
      <w:r w:rsidRPr="004A1D82">
        <w:rPr>
          <w:rFonts w:ascii="Arial" w:eastAsia="Arial" w:hAnsi="Arial" w:cs="Arial"/>
          <w:color w:val="000000" w:themeColor="text1"/>
          <w:sz w:val="21"/>
          <w:szCs w:val="21"/>
          <w:lang w:val="es-ES_tradnl" w:eastAsia="es-ES" w:bidi="es-ES"/>
        </w:rPr>
        <w:t xml:space="preserve">Lo expuesto evidencia que, en general, las interpretaciones en torno a los </w:t>
      </w:r>
      <w:r w:rsidRPr="004A1D82">
        <w:rPr>
          <w:rFonts w:ascii="Arial" w:eastAsia="Arial" w:hAnsi="Arial" w:cs="Arial"/>
          <w:i/>
          <w:color w:val="000000" w:themeColor="text1"/>
          <w:sz w:val="21"/>
          <w:szCs w:val="21"/>
          <w:lang w:val="es-ES_tradnl" w:eastAsia="es-ES" w:bidi="es-ES"/>
        </w:rPr>
        <w:t>“convenios interadministrativos”</w:t>
      </w:r>
      <w:r w:rsidRPr="004A1D82">
        <w:rPr>
          <w:rFonts w:ascii="Arial" w:eastAsia="Arial" w:hAnsi="Arial" w:cs="Arial"/>
          <w:color w:val="000000" w:themeColor="text1"/>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w:t>
      </w:r>
      <w:r w:rsidRPr="004A1D82">
        <w:rPr>
          <w:rFonts w:ascii="Arial" w:eastAsia="Arial" w:hAnsi="Arial" w:cs="Arial"/>
          <w:color w:val="000000" w:themeColor="text1"/>
          <w:sz w:val="21"/>
          <w:szCs w:val="21"/>
          <w:lang w:val="es-ES_tradnl" w:eastAsia="es-ES" w:bidi="es-ES"/>
        </w:rPr>
        <w:lastRenderedPageBreak/>
        <w:t>al vincular o no las obligaciones propias de dichos convenios con las de los contratos estatales sometidos al EGCAP, las cuales tienen por objeto prestaciones patrimoniales</w:t>
      </w:r>
      <w:r w:rsidRPr="004A1D82">
        <w:rPr>
          <w:rFonts w:ascii="Arial" w:eastAsia="Arial" w:hAnsi="Arial" w:cs="Arial"/>
          <w:color w:val="000000" w:themeColor="text1"/>
          <w:vertAlign w:val="superscript"/>
          <w:lang w:eastAsia="es-ES_tradnl"/>
        </w:rPr>
        <w:footnoteReference w:id="33"/>
      </w:r>
      <w:r w:rsidRPr="004A1D82">
        <w:rPr>
          <w:rFonts w:ascii="Arial" w:eastAsia="Arial" w:hAnsi="Arial" w:cs="Arial"/>
          <w:color w:val="000000" w:themeColor="text1"/>
          <w:vertAlign w:val="superscript"/>
          <w:lang w:eastAsia="es-ES_tradnl"/>
        </w:rPr>
        <w:footnoteReference w:id="34"/>
      </w:r>
      <w:r w:rsidRPr="004A1D82">
        <w:rPr>
          <w:rFonts w:ascii="Arial" w:eastAsia="Arial" w:hAnsi="Arial" w:cs="Arial"/>
          <w:color w:val="000000" w:themeColor="text1"/>
          <w:sz w:val="21"/>
          <w:szCs w:val="21"/>
          <w:lang w:val="es-ES_tradnl" w:eastAsia="es-ES" w:bidi="es-ES"/>
        </w:rPr>
        <w:t>.</w:t>
      </w:r>
    </w:p>
    <w:p w14:paraId="7B3A66D4" w14:textId="77777777" w:rsidR="00450CAF" w:rsidRPr="004A1D82" w:rsidRDefault="00450CAF" w:rsidP="00450CAF">
      <w:pPr>
        <w:widowControl w:val="0"/>
        <w:autoSpaceDE w:val="0"/>
        <w:autoSpaceDN w:val="0"/>
        <w:spacing w:line="276" w:lineRule="auto"/>
        <w:jc w:val="both"/>
        <w:rPr>
          <w:rFonts w:ascii="Arial" w:eastAsia="Arial" w:hAnsi="Arial" w:cs="Arial"/>
          <w:color w:val="000000" w:themeColor="text1"/>
          <w:sz w:val="22"/>
          <w:szCs w:val="22"/>
          <w:lang w:val="es-ES_tradnl" w:eastAsia="es-ES" w:bidi="es-ES"/>
        </w:rPr>
      </w:pPr>
    </w:p>
    <w:p w14:paraId="0A87C177" w14:textId="77777777" w:rsidR="00450CAF" w:rsidRPr="004A1D82" w:rsidRDefault="00450CAF" w:rsidP="00450CAF">
      <w:pPr>
        <w:widowControl w:val="0"/>
        <w:autoSpaceDE w:val="0"/>
        <w:autoSpaceDN w:val="0"/>
        <w:spacing w:after="120" w:line="276" w:lineRule="auto"/>
        <w:jc w:val="both"/>
        <w:rPr>
          <w:rFonts w:ascii="Arial" w:eastAsia="Arial" w:hAnsi="Arial" w:cs="Arial"/>
          <w:color w:val="000000" w:themeColor="text1"/>
          <w:sz w:val="22"/>
          <w:szCs w:val="22"/>
          <w:lang w:val="es-ES_tradnl" w:eastAsia="es-ES" w:bidi="es-ES"/>
        </w:rPr>
      </w:pPr>
      <w:r w:rsidRPr="004A1D82">
        <w:rPr>
          <w:rFonts w:ascii="Arial" w:eastAsia="Arial" w:hAnsi="Arial" w:cs="Arial"/>
          <w:color w:val="000000" w:themeColor="text1"/>
          <w:sz w:val="22"/>
          <w:szCs w:val="22"/>
          <w:lang w:val="es-ES_tradnl" w:eastAsia="es-ES" w:bidi="es-ES"/>
        </w:rPr>
        <w:tab/>
        <w:t>En todo caso, debe reiterarse que el ordenamiento jurídico, en distintas ocasiones utiliza de forma indistinta los conceptos de contrato o convenio para referirse a la misma institución jurídica</w:t>
      </w:r>
      <w:r w:rsidRPr="004A1D82">
        <w:rPr>
          <w:rFonts w:ascii="Arial" w:eastAsia="Arial" w:hAnsi="Arial" w:cs="Arial"/>
          <w:color w:val="000000" w:themeColor="text1"/>
          <w:vertAlign w:val="superscript"/>
          <w:lang w:eastAsia="es-ES_tradnl"/>
        </w:rPr>
        <w:footnoteReference w:id="35"/>
      </w:r>
      <w:r w:rsidRPr="004A1D82">
        <w:rPr>
          <w:rFonts w:ascii="Arial" w:eastAsia="Arial" w:hAnsi="Arial" w:cs="Arial"/>
          <w:color w:val="000000" w:themeColor="text1"/>
          <w:sz w:val="22"/>
          <w:szCs w:val="22"/>
          <w:lang w:val="es-ES_tradnl" w:eastAsia="es-ES" w:bidi="es-ES"/>
        </w:rPr>
        <w:t>. Incluso la Corte Constitucional explica la posibilidad de celebrar convenios interadministrativos de forma directa, con fundamento en la causal establecida en la Ley 1150 de 2007 respecto a los contratos interadministrativos</w:t>
      </w:r>
      <w:r w:rsidRPr="004A1D82">
        <w:rPr>
          <w:rFonts w:ascii="Arial" w:eastAsia="Arial" w:hAnsi="Arial" w:cs="Arial"/>
          <w:color w:val="000000" w:themeColor="text1"/>
          <w:vertAlign w:val="superscript"/>
          <w:lang w:eastAsia="es-ES_tradnl"/>
        </w:rPr>
        <w:footnoteReference w:id="36"/>
      </w:r>
      <w:r w:rsidRPr="004A1D82">
        <w:rPr>
          <w:rFonts w:ascii="Arial" w:eastAsia="Arial" w:hAnsi="Arial" w:cs="Arial"/>
          <w:color w:val="000000" w:themeColor="text1"/>
          <w:sz w:val="22"/>
          <w:szCs w:val="22"/>
          <w:lang w:val="es-ES_tradnl" w:eastAsia="es-ES" w:bidi="es-ES"/>
        </w:rPr>
        <w:t>.</w:t>
      </w:r>
    </w:p>
    <w:p w14:paraId="15159BD2" w14:textId="77777777" w:rsidR="00450CAF" w:rsidRPr="004A1D82" w:rsidRDefault="00450CAF" w:rsidP="00450CAF">
      <w:pPr>
        <w:widowControl w:val="0"/>
        <w:autoSpaceDE w:val="0"/>
        <w:autoSpaceDN w:val="0"/>
        <w:spacing w:line="276" w:lineRule="auto"/>
        <w:jc w:val="both"/>
        <w:rPr>
          <w:rFonts w:ascii="Arial" w:eastAsia="Arial" w:hAnsi="Arial" w:cs="Arial"/>
          <w:color w:val="000000" w:themeColor="text1"/>
          <w:sz w:val="22"/>
          <w:szCs w:val="22"/>
          <w:lang w:val="es-ES_tradnl" w:eastAsia="es-ES" w:bidi="es-ES"/>
        </w:rPr>
      </w:pPr>
      <w:r w:rsidRPr="004A1D82">
        <w:rPr>
          <w:rFonts w:ascii="Arial" w:eastAsia="Arial" w:hAnsi="Arial" w:cs="Arial"/>
          <w:color w:val="000000" w:themeColor="text1"/>
          <w:sz w:val="22"/>
          <w:szCs w:val="22"/>
          <w:lang w:val="es-ES_tradnl" w:eastAsia="es-ES" w:bidi="es-ES"/>
        </w:rPr>
        <w:tab/>
        <w:t>En desarrollo de lo anterior, vale la pena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lo que resulta relevante en este concepto para la aplicación de la Ley de Garantías. En este sentido, la Circular Externa Única, refiriéndose al parágrafo del artículo 38 de la Ley 996 de 2005, expresa:</w:t>
      </w:r>
    </w:p>
    <w:p w14:paraId="7907737E" w14:textId="77777777" w:rsidR="00450CAF" w:rsidRPr="004A1D82" w:rsidRDefault="00450CAF" w:rsidP="00450CAF">
      <w:pPr>
        <w:widowControl w:val="0"/>
        <w:autoSpaceDE w:val="0"/>
        <w:autoSpaceDN w:val="0"/>
        <w:spacing w:line="276" w:lineRule="auto"/>
        <w:jc w:val="both"/>
        <w:rPr>
          <w:rFonts w:ascii="Arial" w:eastAsia="Arial" w:hAnsi="Arial" w:cs="Arial"/>
          <w:color w:val="000000" w:themeColor="text1"/>
          <w:sz w:val="22"/>
          <w:szCs w:val="22"/>
          <w:lang w:val="es-ES_tradnl" w:eastAsia="es-ES" w:bidi="es-ES"/>
        </w:rPr>
      </w:pPr>
    </w:p>
    <w:p w14:paraId="2DE6AF6C" w14:textId="77777777" w:rsidR="00450CAF" w:rsidRPr="004A1D82" w:rsidRDefault="00450CAF" w:rsidP="00450CAF">
      <w:pPr>
        <w:spacing w:after="120"/>
        <w:ind w:left="709" w:right="709"/>
        <w:jc w:val="both"/>
        <w:rPr>
          <w:rFonts w:ascii="Arial" w:eastAsiaTheme="minorHAnsi" w:hAnsi="Arial" w:cs="Arial"/>
          <w:color w:val="000000" w:themeColor="text1"/>
          <w:sz w:val="21"/>
          <w:szCs w:val="21"/>
          <w:lang w:val="es-ES_tradnl" w:eastAsia="en-US"/>
        </w:rPr>
      </w:pPr>
      <w:r w:rsidRPr="004A1D82">
        <w:rPr>
          <w:rFonts w:ascii="Arial" w:eastAsiaTheme="minorHAnsi" w:hAnsi="Arial" w:cs="Arial"/>
          <w:color w:val="000000" w:themeColor="text1"/>
          <w:sz w:val="21"/>
          <w:szCs w:val="21"/>
          <w:lang w:val="es-ES_tradnl" w:eastAsia="en-US"/>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05E48573" w14:textId="77777777" w:rsidR="00450CAF" w:rsidRPr="004A1D82" w:rsidRDefault="00450CAF" w:rsidP="00450CAF">
      <w:pPr>
        <w:spacing w:after="120"/>
        <w:ind w:left="709" w:right="709"/>
        <w:jc w:val="both"/>
        <w:rPr>
          <w:rFonts w:ascii="Arial" w:eastAsiaTheme="minorHAnsi" w:hAnsi="Arial" w:cs="Arial"/>
          <w:color w:val="000000" w:themeColor="text1"/>
          <w:sz w:val="21"/>
          <w:szCs w:val="21"/>
          <w:lang w:val="es-ES_tradnl" w:eastAsia="en-US"/>
        </w:rPr>
      </w:pPr>
      <w:r w:rsidRPr="004A1D82">
        <w:rPr>
          <w:rFonts w:ascii="Arial" w:eastAsiaTheme="minorHAnsi" w:hAnsi="Arial" w:cs="Arial"/>
          <w:color w:val="000000" w:themeColor="text1"/>
          <w:sz w:val="21"/>
          <w:szCs w:val="21"/>
          <w:lang w:val="es-ES_tradnl" w:eastAsia="en-US"/>
        </w:rPr>
        <w:t xml:space="preserve">No obstante, por vía jurisprudencial se ha establecido que en los contratos interadministrativos existe una contraprestación directa a favor de la entidad que ha entregado el bien o prestado el servicio a la Entidad contratante, </w:t>
      </w:r>
      <w:r w:rsidRPr="004A1D82">
        <w:rPr>
          <w:rFonts w:ascii="Arial" w:eastAsiaTheme="minorHAnsi" w:hAnsi="Arial" w:cs="Arial"/>
          <w:color w:val="000000" w:themeColor="text1"/>
          <w:sz w:val="21"/>
          <w:szCs w:val="21"/>
          <w:lang w:val="es-ES_tradnl" w:eastAsia="en-US"/>
        </w:rPr>
        <w:lastRenderedPageBreak/>
        <w:t>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2AE03DA2" w14:textId="77777777" w:rsidR="00450CAF" w:rsidRPr="004A1D82" w:rsidRDefault="00450CAF" w:rsidP="000E71B9">
      <w:pPr>
        <w:ind w:left="709" w:right="709"/>
        <w:jc w:val="both"/>
        <w:rPr>
          <w:rFonts w:ascii="Arial" w:eastAsiaTheme="minorHAnsi" w:hAnsi="Arial" w:cs="Arial"/>
          <w:color w:val="000000" w:themeColor="text1"/>
          <w:szCs w:val="22"/>
          <w:lang w:val="es-ES_tradnl" w:eastAsia="en-US"/>
        </w:rPr>
      </w:pPr>
      <w:r w:rsidRPr="004A1D82">
        <w:rPr>
          <w:rFonts w:ascii="Arial" w:eastAsiaTheme="minorHAnsi" w:hAnsi="Arial" w:cs="Arial"/>
          <w:color w:val="000000" w:themeColor="text1"/>
          <w:sz w:val="21"/>
          <w:szCs w:val="21"/>
          <w:lang w:val="es-ES_tradnl" w:eastAsia="en-US"/>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77A933CF" w14:textId="77777777" w:rsidR="00450CAF" w:rsidRPr="004A1D82" w:rsidRDefault="00450CAF" w:rsidP="00450CAF">
      <w:pPr>
        <w:widowControl w:val="0"/>
        <w:autoSpaceDE w:val="0"/>
        <w:autoSpaceDN w:val="0"/>
        <w:spacing w:before="3" w:line="276" w:lineRule="auto"/>
        <w:jc w:val="both"/>
        <w:rPr>
          <w:rFonts w:ascii="Arial" w:eastAsia="Arial" w:hAnsi="Arial" w:cs="Arial"/>
          <w:color w:val="000000" w:themeColor="text1"/>
          <w:sz w:val="22"/>
          <w:szCs w:val="22"/>
          <w:lang w:val="es-ES_tradnl" w:eastAsia="es-ES" w:bidi="es-ES"/>
        </w:rPr>
      </w:pPr>
    </w:p>
    <w:p w14:paraId="313582BD" w14:textId="77777777" w:rsidR="00450CAF" w:rsidRPr="004A1D82" w:rsidRDefault="00450CAF" w:rsidP="00450CAF">
      <w:pPr>
        <w:widowControl w:val="0"/>
        <w:autoSpaceDE w:val="0"/>
        <w:autoSpaceDN w:val="0"/>
        <w:spacing w:after="120" w:line="276" w:lineRule="auto"/>
        <w:jc w:val="both"/>
        <w:rPr>
          <w:rFonts w:ascii="Arial" w:eastAsia="Calibri" w:hAnsi="Arial" w:cs="Arial"/>
          <w:bCs/>
          <w:color w:val="000000" w:themeColor="text1"/>
          <w:sz w:val="22"/>
          <w:szCs w:val="22"/>
          <w:lang w:val="es-ES_tradnl" w:eastAsia="es-ES" w:bidi="es-ES"/>
        </w:rPr>
      </w:pPr>
      <w:r w:rsidRPr="004A1D82">
        <w:rPr>
          <w:rFonts w:ascii="Arial" w:eastAsia="Arial" w:hAnsi="Arial" w:cs="Arial"/>
          <w:color w:val="000000" w:themeColor="text1"/>
          <w:sz w:val="25"/>
          <w:szCs w:val="22"/>
          <w:lang w:val="es-ES_tradnl" w:eastAsia="es-ES" w:bidi="es-ES"/>
        </w:rPr>
        <w:tab/>
      </w:r>
      <w:r w:rsidRPr="004A1D82">
        <w:rPr>
          <w:rFonts w:ascii="Arial" w:eastAsia="Arial" w:hAnsi="Arial" w:cs="Arial"/>
          <w:color w:val="000000" w:themeColor="text1"/>
          <w:sz w:val="22"/>
          <w:szCs w:val="22"/>
          <w:lang w:val="es-ES_tradnl" w:eastAsia="es-ES" w:bidi="es-ES"/>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asimilaron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18"/>
    </w:p>
    <w:p w14:paraId="6CE54DEC" w14:textId="77777777" w:rsidR="00450CAF" w:rsidRPr="004A1D82" w:rsidRDefault="00450CAF" w:rsidP="00450CAF">
      <w:pPr>
        <w:tabs>
          <w:tab w:val="left" w:pos="426"/>
        </w:tabs>
        <w:spacing w:after="120" w:line="276" w:lineRule="auto"/>
        <w:ind w:firstLine="709"/>
        <w:jc w:val="both"/>
        <w:rPr>
          <w:rFonts w:ascii="Arial" w:hAnsi="Arial" w:cs="Arial"/>
          <w:bCs/>
          <w:color w:val="000000" w:themeColor="text1"/>
          <w:sz w:val="22"/>
          <w:szCs w:val="22"/>
          <w:lang w:val="es-ES_tradnl" w:eastAsia="es-CO"/>
        </w:rPr>
      </w:pPr>
      <w:r w:rsidRPr="004A1D82">
        <w:rPr>
          <w:rFonts w:ascii="Arial" w:hAnsi="Arial" w:cs="Arial"/>
          <w:bCs/>
          <w:color w:val="000000" w:themeColor="text1"/>
          <w:sz w:val="22"/>
          <w:szCs w:val="22"/>
          <w:lang w:val="es-ES_tradnl" w:eastAsia="es-CO"/>
        </w:rPr>
        <w:t xml:space="preserve">Se observa entonces que 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4A1D82">
        <w:rPr>
          <w:rFonts w:ascii="Arial" w:hAnsi="Arial" w:cs="Arial"/>
          <w:bCs/>
          <w:i/>
          <w:iCs/>
          <w:color w:val="000000" w:themeColor="text1"/>
          <w:sz w:val="22"/>
          <w:szCs w:val="22"/>
          <w:lang w:val="es-ES_tradnl" w:eastAsia="es-CO"/>
        </w:rPr>
        <w:t>ibidem</w:t>
      </w:r>
      <w:r w:rsidRPr="004A1D82">
        <w:rPr>
          <w:rFonts w:ascii="Arial" w:hAnsi="Arial" w:cs="Arial"/>
          <w:bCs/>
          <w:color w:val="000000" w:themeColor="text1"/>
          <w:sz w:val="22"/>
          <w:szCs w:val="22"/>
          <w:lang w:val="es-ES_tradnl" w:eastAsia="es-CO"/>
        </w:rPr>
        <w:t>,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r w:rsidRPr="004A1D82">
        <w:rPr>
          <w:rFonts w:ascii="Arial" w:hAnsi="Arial" w:cs="Arial"/>
          <w:color w:val="000000" w:themeColor="text1"/>
          <w:vertAlign w:val="superscript"/>
          <w:lang w:eastAsia="es-ES_tradnl"/>
        </w:rPr>
        <w:footnoteReference w:id="37"/>
      </w:r>
      <w:r w:rsidRPr="004A1D82">
        <w:rPr>
          <w:rFonts w:ascii="Arial" w:hAnsi="Arial" w:cs="Arial"/>
          <w:bCs/>
          <w:color w:val="000000" w:themeColor="text1"/>
          <w:sz w:val="22"/>
          <w:szCs w:val="22"/>
          <w:lang w:val="es-ES_tradnl" w:eastAsia="es-CO"/>
        </w:rPr>
        <w:t xml:space="preserve">. </w:t>
      </w:r>
    </w:p>
    <w:p w14:paraId="751D6B8E" w14:textId="6750B8CD" w:rsidR="00450CAF" w:rsidRDefault="00450CAF" w:rsidP="000E71B9">
      <w:pPr>
        <w:spacing w:before="120" w:line="276" w:lineRule="auto"/>
        <w:ind w:right="-65" w:firstLine="709"/>
        <w:jc w:val="both"/>
        <w:rPr>
          <w:rFonts w:ascii="Arial" w:eastAsia="Calibri" w:hAnsi="Arial" w:cs="Arial"/>
          <w:color w:val="000000" w:themeColor="text1"/>
          <w:sz w:val="22"/>
          <w:szCs w:val="22"/>
          <w:lang w:val="es-ES_tradnl" w:eastAsia="es-ES" w:bidi="es-ES"/>
        </w:rPr>
      </w:pPr>
      <w:r w:rsidRPr="004A1D82">
        <w:rPr>
          <w:rFonts w:ascii="Arial" w:hAnsi="Arial" w:cs="Arial"/>
          <w:bCs/>
          <w:color w:val="000000" w:themeColor="text1"/>
          <w:sz w:val="22"/>
          <w:szCs w:val="22"/>
          <w:lang w:val="es-ES_tradnl" w:eastAsia="es-CO" w:bidi="es-ES"/>
        </w:rPr>
        <w:t>En todo caso</w:t>
      </w:r>
      <w:bookmarkStart w:id="19" w:name="_Hlk77154098"/>
      <w:r w:rsidRPr="004A1D82">
        <w:rPr>
          <w:rFonts w:ascii="Arial" w:eastAsia="Arial" w:hAnsi="Arial" w:cs="Arial"/>
          <w:color w:val="000000" w:themeColor="text1"/>
          <w:sz w:val="22"/>
          <w:szCs w:val="22"/>
          <w:lang w:val="es-ES_tradnl" w:eastAsia="es-ES" w:bidi="es-ES"/>
        </w:rPr>
        <w:t xml:space="preserve">, es importante resaltar que la Sala de Consulta y Servicio Civil del Consejo de Estado se ha pronunciado en el sentido de que </w:t>
      </w:r>
      <w:bookmarkStart w:id="20" w:name="_Hlk78820889"/>
      <w:r w:rsidRPr="004A1D82">
        <w:rPr>
          <w:rFonts w:ascii="Arial" w:eastAsia="Arial" w:hAnsi="Arial" w:cs="Arial"/>
          <w:color w:val="000000" w:themeColor="text1"/>
          <w:sz w:val="22"/>
          <w:szCs w:val="22"/>
          <w:lang w:val="es-ES_tradnl" w:eastAsia="es-ES" w:bidi="es-ES"/>
        </w:rPr>
        <w:t xml:space="preserve">no se les aplica la restricción de la Ley de Garantías a los convenios o contratos interadministrativos que deben </w:t>
      </w:r>
      <w:r w:rsidRPr="004A1D82">
        <w:rPr>
          <w:rFonts w:ascii="Arial" w:eastAsia="Arial" w:hAnsi="Arial" w:cs="Arial"/>
          <w:color w:val="000000" w:themeColor="text1"/>
          <w:sz w:val="22"/>
          <w:szCs w:val="22"/>
          <w:lang w:val="es-ES_tradnl" w:eastAsia="es-ES" w:bidi="es-ES"/>
        </w:rPr>
        <w:lastRenderedPageBreak/>
        <w:t>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20"/>
      <w:r w:rsidRPr="004A1D82">
        <w:rPr>
          <w:rFonts w:ascii="Arial" w:eastAsia="Arial" w:hAnsi="Arial" w:cs="Arial"/>
          <w:color w:val="000000" w:themeColor="text1"/>
          <w:vertAlign w:val="superscript"/>
          <w:lang w:eastAsia="es-ES_tradnl"/>
        </w:rPr>
        <w:footnoteReference w:id="38"/>
      </w:r>
      <w:r w:rsidRPr="004A1D82">
        <w:rPr>
          <w:rFonts w:ascii="Arial" w:eastAsia="Calibri" w:hAnsi="Arial" w:cs="Arial"/>
          <w:color w:val="000000" w:themeColor="text1"/>
          <w:sz w:val="22"/>
          <w:szCs w:val="22"/>
          <w:lang w:val="es-ES_tradnl" w:eastAsia="es-ES" w:bidi="es-ES"/>
        </w:rPr>
        <w:t>.</w:t>
      </w:r>
      <w:bookmarkEnd w:id="19"/>
    </w:p>
    <w:p w14:paraId="1ECE7614" w14:textId="77777777" w:rsidR="00FA5C2A" w:rsidRDefault="00FA5C2A" w:rsidP="00490E94">
      <w:pPr>
        <w:ind w:right="-65" w:firstLine="709"/>
        <w:jc w:val="both"/>
        <w:rPr>
          <w:rFonts w:ascii="Arial" w:hAnsi="Arial" w:cs="Arial"/>
          <w:b/>
          <w:color w:val="161616" w:themeColor="background1" w:themeShade="1A"/>
          <w:sz w:val="22"/>
          <w:szCs w:val="22"/>
          <w:lang w:val="es-ES_tradnl" w:eastAsia="es-CO"/>
        </w:rPr>
      </w:pPr>
    </w:p>
    <w:p w14:paraId="20E3265B" w14:textId="77777777" w:rsidR="00FA5C2A" w:rsidRPr="005873AF" w:rsidRDefault="003F4E89" w:rsidP="00FA5C2A">
      <w:pPr>
        <w:spacing w:line="276" w:lineRule="auto"/>
        <w:ind w:right="49"/>
        <w:jc w:val="both"/>
        <w:rPr>
          <w:rFonts w:ascii="Arial" w:hAnsi="Arial" w:cs="Arial"/>
          <w:b/>
          <w:color w:val="000000" w:themeColor="text1"/>
          <w:sz w:val="22"/>
          <w:szCs w:val="22"/>
          <w:lang w:val="es-MX" w:eastAsia="x-none"/>
        </w:rPr>
      </w:pPr>
      <w:r w:rsidRPr="00515D32">
        <w:rPr>
          <w:rFonts w:ascii="Arial" w:hAnsi="Arial" w:cs="Arial"/>
          <w:b/>
          <w:color w:val="161616" w:themeColor="background1" w:themeShade="1A"/>
          <w:sz w:val="22"/>
          <w:szCs w:val="22"/>
          <w:lang w:val="es-ES_tradnl" w:eastAsia="es-CO"/>
        </w:rPr>
        <w:t>2.</w:t>
      </w:r>
      <w:r>
        <w:rPr>
          <w:rFonts w:ascii="Arial" w:hAnsi="Arial" w:cs="Arial"/>
          <w:b/>
          <w:color w:val="161616" w:themeColor="background1" w:themeShade="1A"/>
          <w:sz w:val="22"/>
          <w:szCs w:val="22"/>
          <w:lang w:val="es-ES_tradnl" w:eastAsia="es-CO"/>
        </w:rPr>
        <w:t>4</w:t>
      </w:r>
      <w:r w:rsidRPr="00515D32">
        <w:rPr>
          <w:rFonts w:ascii="Arial" w:hAnsi="Arial" w:cs="Arial"/>
          <w:b/>
          <w:color w:val="161616" w:themeColor="background1" w:themeShade="1A"/>
          <w:sz w:val="22"/>
          <w:szCs w:val="22"/>
          <w:lang w:val="es-ES_tradnl" w:eastAsia="es-CO"/>
        </w:rPr>
        <w:t xml:space="preserve">. </w:t>
      </w:r>
      <w:r w:rsidR="00FA5C2A" w:rsidRPr="005873AF">
        <w:rPr>
          <w:rFonts w:ascii="Arial" w:hAnsi="Arial" w:cs="Arial"/>
          <w:b/>
          <w:color w:val="000000" w:themeColor="text1"/>
          <w:sz w:val="22"/>
          <w:szCs w:val="22"/>
          <w:lang w:val="es-MX" w:eastAsia="x-none"/>
        </w:rPr>
        <w:t>Destinatarios de la restricción del artículo 33 de la Ley 996 de 2005 y las excepciones a la prohibición</w:t>
      </w:r>
    </w:p>
    <w:p w14:paraId="0E94908E" w14:textId="77777777" w:rsidR="001E207B" w:rsidRDefault="001E207B" w:rsidP="00490E94">
      <w:pPr>
        <w:spacing w:line="276" w:lineRule="auto"/>
        <w:ind w:right="786"/>
        <w:jc w:val="both"/>
        <w:rPr>
          <w:rFonts w:ascii="Arial" w:hAnsi="Arial" w:cs="Arial"/>
          <w:bCs/>
          <w:color w:val="161616" w:themeColor="background1" w:themeShade="1A"/>
          <w:sz w:val="22"/>
          <w:szCs w:val="22"/>
          <w:lang w:val="es-ES_tradnl" w:eastAsia="es-CO"/>
        </w:rPr>
      </w:pPr>
    </w:p>
    <w:p w14:paraId="21E2CF04" w14:textId="77777777" w:rsidR="0097447B" w:rsidRPr="006A662B" w:rsidRDefault="0097447B" w:rsidP="0097447B">
      <w:pPr>
        <w:spacing w:line="276" w:lineRule="auto"/>
        <w:jc w:val="both"/>
        <w:rPr>
          <w:rFonts w:ascii="Arial" w:eastAsia="Arial" w:hAnsi="Arial" w:cs="Arial"/>
          <w:sz w:val="22"/>
          <w:szCs w:val="22"/>
        </w:rPr>
      </w:pPr>
      <w:bookmarkStart w:id="21" w:name="_Hlk102385891"/>
      <w:r w:rsidRPr="006A662B">
        <w:rPr>
          <w:rFonts w:ascii="Arial" w:eastAsia="Arial" w:hAnsi="Arial" w:cs="Arial"/>
          <w:sz w:val="22"/>
          <w:szCs w:val="22"/>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6A662B">
        <w:t xml:space="preserve"> </w:t>
      </w:r>
      <w:r w:rsidRPr="006A662B">
        <w:rPr>
          <w:rFonts w:ascii="Arial" w:eastAsia="Arial" w:hAnsi="Arial" w:cs="Arial"/>
          <w:sz w:val="22"/>
          <w:szCs w:val="22"/>
        </w:rPr>
        <w:t>En efecto, tal como lo ha sostenido el Consejo de Estado, el vocablo «todos» utilizado por el legislador comprende</w:t>
      </w:r>
      <w:r w:rsidRPr="006A662B">
        <w:t xml:space="preserve"> </w:t>
      </w:r>
      <w:r w:rsidRPr="006A662B">
        <w:rPr>
          <w:rFonts w:ascii="Arial" w:eastAsia="Arial" w:hAnsi="Arial" w:cs="Arial"/>
          <w:sz w:val="22"/>
          <w:szCs w:val="22"/>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bookmarkEnd w:id="21"/>
      <w:r w:rsidRPr="006A662B">
        <w:rPr>
          <w:rFonts w:ascii="Arial" w:eastAsia="Arial" w:hAnsi="Arial" w:cs="Arial"/>
          <w:sz w:val="22"/>
          <w:szCs w:val="22"/>
        </w:rPr>
        <w:t xml:space="preserve">. El Consejo de Estado, en Concepto con radicado 1727 de fecha 20 de febrero de 2006, consideró que: </w:t>
      </w:r>
    </w:p>
    <w:p w14:paraId="152C8939" w14:textId="77777777" w:rsidR="0097447B" w:rsidRPr="006A662B" w:rsidRDefault="0097447B" w:rsidP="0097447B">
      <w:pPr>
        <w:spacing w:line="276" w:lineRule="auto"/>
        <w:ind w:firstLine="708"/>
        <w:jc w:val="both"/>
        <w:rPr>
          <w:rFonts w:ascii="Arial" w:eastAsia="Arial" w:hAnsi="Arial" w:cs="Arial"/>
          <w:sz w:val="22"/>
          <w:szCs w:val="22"/>
        </w:rPr>
      </w:pPr>
    </w:p>
    <w:p w14:paraId="68991D7B" w14:textId="77777777" w:rsidR="0097447B" w:rsidRPr="006A662B" w:rsidRDefault="0097447B" w:rsidP="0097447B">
      <w:pPr>
        <w:ind w:left="709" w:right="709"/>
        <w:jc w:val="both"/>
      </w:pPr>
      <w:r w:rsidRPr="006A662B">
        <w:rPr>
          <w:rFonts w:ascii="Arial" w:eastAsia="Arial" w:hAnsi="Arial" w:cs="Arial"/>
          <w:sz w:val="21"/>
          <w:szCs w:val="21"/>
        </w:rPr>
        <w:t>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6A662B">
        <w:rPr>
          <w:rFonts w:ascii="Arial" w:eastAsia="Arial" w:hAnsi="Arial" w:cs="Arial"/>
          <w:sz w:val="21"/>
          <w:szCs w:val="21"/>
          <w:vertAlign w:val="superscript"/>
        </w:rPr>
        <w:footnoteReference w:id="39"/>
      </w:r>
      <w:r w:rsidRPr="006A662B">
        <w:rPr>
          <w:rFonts w:ascii="Arial" w:eastAsia="Arial" w:hAnsi="Arial" w:cs="Arial"/>
          <w:sz w:val="21"/>
          <w:szCs w:val="21"/>
        </w:rPr>
        <w:t xml:space="preserve">. </w:t>
      </w:r>
    </w:p>
    <w:p w14:paraId="550CE65A" w14:textId="77777777" w:rsidR="0097447B" w:rsidRPr="006A662B" w:rsidRDefault="0097447B" w:rsidP="0097447B">
      <w:pPr>
        <w:spacing w:line="276" w:lineRule="auto"/>
        <w:jc w:val="both"/>
        <w:rPr>
          <w:rFonts w:ascii="Arial" w:eastAsia="Arial" w:hAnsi="Arial" w:cs="Arial"/>
          <w:sz w:val="22"/>
          <w:szCs w:val="22"/>
        </w:rPr>
      </w:pPr>
    </w:p>
    <w:p w14:paraId="6AEDEF66" w14:textId="77777777" w:rsidR="0097447B" w:rsidRPr="001226A1" w:rsidRDefault="0097447B" w:rsidP="0097447B">
      <w:pPr>
        <w:spacing w:line="276" w:lineRule="auto"/>
        <w:ind w:firstLine="709"/>
        <w:jc w:val="both"/>
        <w:rPr>
          <w:rFonts w:ascii="Arial" w:eastAsia="Arial" w:hAnsi="Arial" w:cs="Arial"/>
          <w:bCs/>
          <w:sz w:val="22"/>
          <w:szCs w:val="22"/>
        </w:rPr>
      </w:pPr>
      <w:bookmarkStart w:id="22" w:name="_3as4poj" w:colFirst="0" w:colLast="0"/>
      <w:bookmarkStart w:id="23" w:name="_1pxezwc" w:colFirst="0" w:colLast="0"/>
      <w:bookmarkEnd w:id="22"/>
      <w:bookmarkEnd w:id="23"/>
      <w:r w:rsidRPr="006A662B">
        <w:rPr>
          <w:rFonts w:ascii="Arial" w:eastAsia="Arial" w:hAnsi="Arial" w:cs="Arial"/>
          <w:sz w:val="22"/>
          <w:szCs w:val="22"/>
        </w:rPr>
        <w:t xml:space="preserve">Por lo tanto, la restricción prevista en la Ley 996 de 2005, teniendo en cuenta la finalidad de la ley de garantías electorales, cobija a cualquier ente público que pueda a través de la contratación directa romper el equilibrio entre los partidos y los candidatos en las elecciones presidenciales. Tampoco existe un </w:t>
      </w:r>
      <w:r w:rsidRPr="001226A1">
        <w:rPr>
          <w:rFonts w:ascii="Arial" w:eastAsia="Arial" w:hAnsi="Arial" w:cs="Arial"/>
          <w:sz w:val="22"/>
          <w:szCs w:val="22"/>
        </w:rPr>
        <w:t xml:space="preserve">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w:t>
      </w:r>
      <w:r w:rsidRPr="001226A1">
        <w:rPr>
          <w:rFonts w:ascii="Arial" w:eastAsia="Arial" w:hAnsi="Arial" w:cs="Arial"/>
          <w:sz w:val="22"/>
          <w:szCs w:val="22"/>
        </w:rPr>
        <w:lastRenderedPageBreak/>
        <w:t>presentar tanto en la contratación regulada por la Ley 80 de 1993 como en la regida por el Derecho Privado.</w:t>
      </w:r>
    </w:p>
    <w:p w14:paraId="4505FAB0" w14:textId="77777777" w:rsidR="0097447B" w:rsidRPr="001226A1" w:rsidRDefault="0097447B" w:rsidP="0097447B">
      <w:pPr>
        <w:spacing w:before="120" w:line="276" w:lineRule="auto"/>
        <w:ind w:firstLine="709"/>
        <w:jc w:val="both"/>
        <w:rPr>
          <w:rFonts w:ascii="Arial" w:eastAsia="Arial" w:hAnsi="Arial" w:cs="Arial"/>
          <w:bCs/>
          <w:sz w:val="22"/>
          <w:szCs w:val="22"/>
        </w:rPr>
      </w:pPr>
      <w:bookmarkStart w:id="24" w:name="_49x2ik5" w:colFirst="0" w:colLast="0"/>
      <w:bookmarkEnd w:id="24"/>
      <w:r w:rsidRPr="001226A1">
        <w:rPr>
          <w:rFonts w:ascii="Arial" w:eastAsia="Arial" w:hAnsi="Arial" w:cs="Arial"/>
          <w:bCs/>
          <w:sz w:val="22"/>
          <w:szCs w:val="22"/>
        </w:rPr>
        <w:t>En este punto, debe tenerse en cuenta que los departamentos estarían cobijados por la prohibición para contratar directamente establecida en el artículo 33 de la Ley de Garantías. Sin embargo, es necesario señalar que el inciso 2 del mismo artículo consagra excepciones a dicha prohibición sin hacer distingo entre entidades sino, como se explicó, atendiendo a la naturaleza de las funciones y actividades que ellas desarrollen. Así las cosas, no es relevante ni la nominación ni el régimen aplicable para la respectiva entidad, sino que basta con que la misma desarrolle cierto tipo de actividades cuya contratación, por su naturaleza especialmente sensible, no admiten postergación, entre ellas las realizadas por entidades sanitarias u hospitalarias.</w:t>
      </w:r>
    </w:p>
    <w:p w14:paraId="116F1BAA" w14:textId="77777777" w:rsidR="0097447B" w:rsidRPr="001226A1" w:rsidRDefault="0097447B" w:rsidP="0097447B">
      <w:pPr>
        <w:tabs>
          <w:tab w:val="left" w:pos="426"/>
        </w:tabs>
        <w:spacing w:before="120" w:line="276" w:lineRule="auto"/>
        <w:jc w:val="both"/>
        <w:rPr>
          <w:rFonts w:ascii="Arial" w:hAnsi="Arial" w:cs="Arial"/>
          <w:bCs/>
          <w:sz w:val="22"/>
          <w:lang w:val="es-ES_tradnl"/>
        </w:rPr>
      </w:pPr>
      <w:r w:rsidRPr="001226A1">
        <w:rPr>
          <w:rFonts w:ascii="Arial" w:eastAsia="Arial" w:hAnsi="Arial" w:cs="Arial"/>
          <w:bCs/>
          <w:sz w:val="22"/>
          <w:szCs w:val="22"/>
        </w:rPr>
        <w:tab/>
      </w:r>
      <w:r w:rsidRPr="001226A1">
        <w:rPr>
          <w:rFonts w:ascii="Arial" w:eastAsia="Arial" w:hAnsi="Arial" w:cs="Arial"/>
          <w:bCs/>
          <w:sz w:val="22"/>
          <w:szCs w:val="22"/>
        </w:rPr>
        <w:tab/>
        <w:t xml:space="preserve">Al respecto, es importante reiterar que </w:t>
      </w:r>
      <w:r w:rsidRPr="001226A1">
        <w:rPr>
          <w:rFonts w:ascii="Arial" w:hAnsi="Arial" w:cs="Arial"/>
          <w:bCs/>
          <w:sz w:val="22"/>
          <w:lang w:val="es-ES_tradnl"/>
        </w:rPr>
        <w:t>el segundo inciso del artículo 33 de la Ley de Garantías Electorales consagró las excepciones aplicables a la prohibición de contratación directa establecida en el mismo artículo. Como se indicó, las excepciones a la prohibición del artículo 33 de la norma mencionada son las siguientes:</w:t>
      </w:r>
    </w:p>
    <w:p w14:paraId="6E85078C" w14:textId="77777777" w:rsidR="0097447B" w:rsidRPr="001226A1" w:rsidRDefault="0097447B" w:rsidP="0097447B">
      <w:pPr>
        <w:tabs>
          <w:tab w:val="left" w:pos="709"/>
        </w:tabs>
        <w:spacing w:before="120" w:line="276" w:lineRule="auto"/>
        <w:jc w:val="both"/>
        <w:rPr>
          <w:rFonts w:ascii="Arial" w:hAnsi="Arial" w:cs="Arial"/>
          <w:bCs/>
          <w:sz w:val="22"/>
          <w:lang w:val="es-ES_tradnl"/>
        </w:rPr>
      </w:pPr>
      <w:r w:rsidRPr="001226A1">
        <w:rPr>
          <w:rFonts w:ascii="Arial" w:hAnsi="Arial" w:cs="Arial"/>
          <w:bCs/>
          <w:sz w:val="22"/>
          <w:lang w:val="es-ES_tradnl"/>
        </w:rPr>
        <w:tab/>
        <w:t>i) La contratación referente a la defensa y seguridad del Estado;</w:t>
      </w:r>
    </w:p>
    <w:p w14:paraId="007F67F2" w14:textId="77777777" w:rsidR="0097447B" w:rsidRPr="001226A1" w:rsidRDefault="0097447B" w:rsidP="0097447B">
      <w:pPr>
        <w:tabs>
          <w:tab w:val="left" w:pos="709"/>
        </w:tabs>
        <w:spacing w:before="120" w:line="276" w:lineRule="auto"/>
        <w:jc w:val="both"/>
        <w:rPr>
          <w:rFonts w:ascii="Arial" w:hAnsi="Arial" w:cs="Arial"/>
          <w:bCs/>
          <w:sz w:val="22"/>
          <w:lang w:val="es-ES_tradnl"/>
        </w:rPr>
      </w:pPr>
      <w:r w:rsidRPr="001226A1">
        <w:rPr>
          <w:rFonts w:ascii="Arial" w:hAnsi="Arial" w:cs="Arial"/>
          <w:bCs/>
          <w:sz w:val="22"/>
          <w:lang w:val="es-ES_tradnl"/>
        </w:rPr>
        <w:tab/>
        <w:t>ii) Los contratos de crédito público;</w:t>
      </w:r>
    </w:p>
    <w:p w14:paraId="32C3598D" w14:textId="77777777" w:rsidR="0097447B" w:rsidRPr="001226A1" w:rsidRDefault="0097447B" w:rsidP="0097447B">
      <w:pPr>
        <w:tabs>
          <w:tab w:val="left" w:pos="709"/>
        </w:tabs>
        <w:spacing w:before="120" w:line="276" w:lineRule="auto"/>
        <w:jc w:val="both"/>
        <w:rPr>
          <w:rFonts w:ascii="Arial" w:hAnsi="Arial" w:cs="Arial"/>
          <w:bCs/>
          <w:sz w:val="22"/>
          <w:lang w:val="es-ES_tradnl"/>
        </w:rPr>
      </w:pPr>
      <w:r w:rsidRPr="001226A1">
        <w:rPr>
          <w:rFonts w:ascii="Arial" w:hAnsi="Arial" w:cs="Arial"/>
          <w:bCs/>
          <w:sz w:val="22"/>
          <w:lang w:val="es-ES_tradnl"/>
        </w:rPr>
        <w:tab/>
        <w:t xml:space="preserve">iii) Los contratos requeridos para cubrir las emergencias educativas, sanitarias y desastres; </w:t>
      </w:r>
    </w:p>
    <w:p w14:paraId="0B4F3744" w14:textId="77777777" w:rsidR="0097447B" w:rsidRPr="001226A1" w:rsidRDefault="0097447B" w:rsidP="0097447B">
      <w:pPr>
        <w:tabs>
          <w:tab w:val="left" w:pos="709"/>
        </w:tabs>
        <w:spacing w:before="120" w:line="276" w:lineRule="auto"/>
        <w:jc w:val="both"/>
        <w:rPr>
          <w:rFonts w:ascii="Arial" w:hAnsi="Arial" w:cs="Arial"/>
          <w:bCs/>
          <w:sz w:val="22"/>
          <w:lang w:val="es-ES_tradnl"/>
        </w:rPr>
      </w:pPr>
      <w:r w:rsidRPr="001226A1">
        <w:rPr>
          <w:rFonts w:ascii="Arial" w:hAnsi="Arial" w:cs="Arial"/>
          <w:bCs/>
          <w:sz w:val="22"/>
          <w:lang w:val="es-ES_tradnl"/>
        </w:rPr>
        <w:tab/>
        <w:t>iv) La contratación para la reconstrucción de vías, puentes, carreteras, infraestructura energética y de comunicaciones, en caso de que hayan sido objeto de atentados, acciones terroristas, desastres naturales o casos de fuerza mayor y;</w:t>
      </w:r>
    </w:p>
    <w:p w14:paraId="7907DDCA" w14:textId="77777777" w:rsidR="0097447B" w:rsidRPr="001226A1" w:rsidRDefault="0097447B" w:rsidP="0097447B">
      <w:pPr>
        <w:tabs>
          <w:tab w:val="left" w:pos="709"/>
        </w:tabs>
        <w:spacing w:before="120" w:line="276" w:lineRule="auto"/>
        <w:jc w:val="both"/>
        <w:rPr>
          <w:rFonts w:ascii="Arial" w:hAnsi="Arial" w:cs="Arial"/>
          <w:bCs/>
          <w:sz w:val="22"/>
          <w:lang w:val="es-ES_tradnl"/>
        </w:rPr>
      </w:pPr>
      <w:r w:rsidRPr="001226A1">
        <w:rPr>
          <w:rFonts w:ascii="Arial" w:hAnsi="Arial" w:cs="Arial"/>
          <w:bCs/>
          <w:sz w:val="22"/>
          <w:lang w:val="es-ES_tradnl"/>
        </w:rPr>
        <w:tab/>
        <w:t xml:space="preserve">v) La contratación que deban realizar las entidades sanitarias y hospitalarias. </w:t>
      </w:r>
    </w:p>
    <w:p w14:paraId="3DD48BC7" w14:textId="77777777" w:rsidR="0097447B" w:rsidRPr="001226A1" w:rsidRDefault="0097447B" w:rsidP="0097447B">
      <w:pPr>
        <w:tabs>
          <w:tab w:val="left" w:pos="426"/>
        </w:tabs>
        <w:spacing w:before="120" w:line="276" w:lineRule="auto"/>
        <w:ind w:firstLine="709"/>
        <w:jc w:val="both"/>
        <w:rPr>
          <w:rFonts w:ascii="Arial" w:hAnsi="Arial" w:cs="Arial"/>
          <w:bCs/>
          <w:sz w:val="22"/>
          <w:lang w:val="es-ES_tradnl"/>
        </w:rPr>
      </w:pPr>
      <w:r w:rsidRPr="001226A1">
        <w:rPr>
          <w:rFonts w:ascii="Arial" w:hAnsi="Arial" w:cs="Arial"/>
          <w:bCs/>
          <w:sz w:val="22"/>
          <w:lang w:val="es-ES_tradnl"/>
        </w:rPr>
        <w:t xml:space="preserve">La Sala de Consulta y Servicio Civil del Consejo de Estado, en concepto del 4 de febrero de 2010, se pronunció frente a las razones por las que el legislador consagró excepciones al artículo 33 de la Ley de Garantías Electorales: </w:t>
      </w:r>
    </w:p>
    <w:p w14:paraId="1E03170E" w14:textId="77777777" w:rsidR="0097447B" w:rsidRPr="001226A1" w:rsidRDefault="0097447B" w:rsidP="0097447B">
      <w:pPr>
        <w:tabs>
          <w:tab w:val="left" w:pos="426"/>
        </w:tabs>
        <w:ind w:firstLine="709"/>
        <w:jc w:val="both"/>
        <w:rPr>
          <w:rFonts w:ascii="Arial" w:hAnsi="Arial" w:cs="Arial"/>
          <w:bCs/>
          <w:sz w:val="22"/>
          <w:lang w:val="es-ES_tradnl"/>
        </w:rPr>
      </w:pPr>
    </w:p>
    <w:p w14:paraId="77982BAE" w14:textId="77777777" w:rsidR="0097447B" w:rsidRPr="001226A1" w:rsidRDefault="0097447B" w:rsidP="0097447B">
      <w:pPr>
        <w:shd w:val="clear" w:color="auto" w:fill="FFFFFF"/>
        <w:ind w:left="709" w:right="709"/>
        <w:jc w:val="both"/>
        <w:rPr>
          <w:rFonts w:ascii="Arial" w:hAnsi="Arial" w:cs="Arial"/>
          <w:sz w:val="21"/>
          <w:szCs w:val="21"/>
          <w:lang w:val="es-ES_tradnl" w:eastAsia="es-CO"/>
        </w:rPr>
      </w:pPr>
      <w:r w:rsidRPr="001226A1">
        <w:rPr>
          <w:rFonts w:ascii="Arial" w:hAnsi="Arial" w:cs="Arial"/>
          <w:sz w:val="21"/>
          <w:szCs w:val="21"/>
          <w:lang w:val="es-ES_tradnl" w:eastAsia="es-CO"/>
        </w:rPr>
        <w:t>[…] Las excepciones establecidas en los artículos 32 y 33 en comento, guardan relación, exclusivamente, con algunos servicios públicos que por su naturaleza no admiten postergaciones en la atención de sus necesidades de personal, bienes y servicios [...]</w:t>
      </w:r>
      <w:r w:rsidRPr="001226A1">
        <w:rPr>
          <w:rStyle w:val="Refdenotaalpie"/>
          <w:rFonts w:ascii="Arial" w:hAnsi="Arial" w:cs="Arial"/>
          <w:sz w:val="21"/>
          <w:szCs w:val="21"/>
          <w:lang w:val="es-ES_tradnl" w:eastAsia="es-CO"/>
        </w:rPr>
        <w:footnoteReference w:id="40"/>
      </w:r>
      <w:r w:rsidRPr="001226A1">
        <w:rPr>
          <w:rFonts w:ascii="Arial" w:hAnsi="Arial" w:cs="Arial"/>
          <w:sz w:val="21"/>
          <w:szCs w:val="21"/>
          <w:lang w:val="es-ES_tradnl" w:eastAsia="es-CO"/>
        </w:rPr>
        <w:t xml:space="preserve">. </w:t>
      </w:r>
    </w:p>
    <w:p w14:paraId="23D0A9E0" w14:textId="77777777" w:rsidR="0097447B" w:rsidRPr="001226A1" w:rsidRDefault="0097447B" w:rsidP="0097447B">
      <w:pPr>
        <w:shd w:val="clear" w:color="auto" w:fill="FFFFFF"/>
        <w:spacing w:line="276" w:lineRule="auto"/>
        <w:ind w:left="709" w:right="709"/>
        <w:jc w:val="both"/>
        <w:rPr>
          <w:rFonts w:ascii="Arial" w:hAnsi="Arial" w:cs="Arial"/>
          <w:sz w:val="21"/>
          <w:szCs w:val="21"/>
          <w:lang w:val="es-ES_tradnl" w:eastAsia="es-CO"/>
        </w:rPr>
      </w:pPr>
    </w:p>
    <w:p w14:paraId="1711AD00" w14:textId="77777777" w:rsidR="0097447B" w:rsidRPr="001226A1" w:rsidRDefault="0097447B" w:rsidP="0097447B">
      <w:pPr>
        <w:shd w:val="clear" w:color="auto" w:fill="FFFFFF"/>
        <w:spacing w:line="276" w:lineRule="auto"/>
        <w:ind w:firstLine="709"/>
        <w:jc w:val="both"/>
        <w:rPr>
          <w:rFonts w:ascii="Arial" w:hAnsi="Arial" w:cs="Arial"/>
          <w:sz w:val="22"/>
          <w:lang w:val="es-ES_tradnl" w:eastAsia="es-CO"/>
        </w:rPr>
      </w:pPr>
      <w:r w:rsidRPr="001226A1">
        <w:rPr>
          <w:rFonts w:ascii="Arial" w:hAnsi="Arial" w:cs="Arial"/>
          <w:sz w:val="22"/>
          <w:lang w:val="es-ES_tradnl" w:eastAsia="es-CO"/>
        </w:rPr>
        <w:lastRenderedPageBreak/>
        <w:t>A su vez, la Corte Constitucional, al analizar la constitucionalidad de la Ley de Garantías Electorales, consideró que las prohibiciones consagradas en los artículos 32 y 33 de la ley mencionada no pueden ir en detrimento de intereses públicos. Por lo anterior, la Alta Corte consideró que las excepciones para la prohibición de contratación se encontraban justificadas, declarando su exequibilidad. Así, por ejemplo, la Corte Constitucional explicó que «las excepciones de limitación protegen diversos tipos de urgencias de defensa, salud, educación, infraestructura vial y de servicios públicos y ecológicas tienden a no limitar desproporcionadamente la acción del Estado en el cumplimiento de sus fines, en procura de la igualdad entre candidatos como garantía electoral»</w:t>
      </w:r>
      <w:r w:rsidRPr="001226A1">
        <w:rPr>
          <w:rStyle w:val="Refdenotaalpie"/>
          <w:rFonts w:ascii="Arial" w:hAnsi="Arial" w:cs="Arial"/>
          <w:sz w:val="22"/>
          <w:lang w:val="es-ES_tradnl" w:eastAsia="es-CO"/>
        </w:rPr>
        <w:footnoteReference w:id="41"/>
      </w:r>
      <w:r w:rsidRPr="001226A1">
        <w:rPr>
          <w:rFonts w:ascii="Arial" w:hAnsi="Arial" w:cs="Arial"/>
          <w:sz w:val="22"/>
          <w:lang w:val="es-ES_tradnl" w:eastAsia="es-CO"/>
        </w:rPr>
        <w:t xml:space="preserve">. </w:t>
      </w:r>
    </w:p>
    <w:p w14:paraId="1C269C70" w14:textId="77777777" w:rsidR="0097447B" w:rsidRPr="001226A1" w:rsidRDefault="0097447B" w:rsidP="0097447B">
      <w:pPr>
        <w:tabs>
          <w:tab w:val="left" w:pos="426"/>
        </w:tabs>
        <w:spacing w:before="120" w:line="276" w:lineRule="auto"/>
        <w:ind w:firstLine="709"/>
        <w:jc w:val="both"/>
        <w:rPr>
          <w:rFonts w:ascii="Arial" w:hAnsi="Arial" w:cs="Arial"/>
          <w:sz w:val="22"/>
          <w:lang w:val="es-ES_tradnl"/>
        </w:rPr>
      </w:pPr>
      <w:r w:rsidRPr="001226A1">
        <w:rPr>
          <w:rFonts w:ascii="Arial" w:hAnsi="Arial" w:cs="Arial"/>
          <w:bCs/>
          <w:sz w:val="22"/>
          <w:lang w:val="es-ES_tradnl"/>
        </w:rPr>
        <w:t>Por tanto, las excepciones a la prohibición contenida en el inciso segundo de artículo 33 de la ley de garantías electorales tienen por finalidad garantizar la prestación ininterrumpida de algunos servicios públicos, que dada su importancia en el orden interno, se verían irrazonablemente afectados por la restricción explicada. De igual forma, la Sala de Consulta y Servicio Civil del Consejo de Estado, en concepto del 2 de septiembre de 2013</w:t>
      </w:r>
      <w:r w:rsidRPr="001226A1">
        <w:rPr>
          <w:rFonts w:ascii="Arial" w:hAnsi="Arial" w:cs="Arial"/>
          <w:sz w:val="22"/>
          <w:lang w:val="es-ES_tradnl"/>
        </w:rPr>
        <w:t xml:space="preserve">, mencionó las excepciones a la prohibición del artículo 33 de la Ley de Garantías Electorales, resaltando el carácter taxativo de la regla de excepción referida, y señalando la independencia de los supuestos establecidos allí, así: </w:t>
      </w:r>
    </w:p>
    <w:p w14:paraId="104C3A73" w14:textId="77777777" w:rsidR="0097447B" w:rsidRPr="001226A1" w:rsidRDefault="0097447B" w:rsidP="0097447B">
      <w:pPr>
        <w:tabs>
          <w:tab w:val="left" w:pos="426"/>
        </w:tabs>
        <w:spacing w:line="276" w:lineRule="auto"/>
        <w:ind w:firstLine="709"/>
        <w:jc w:val="both"/>
        <w:rPr>
          <w:rFonts w:ascii="Arial" w:hAnsi="Arial" w:cs="Arial"/>
          <w:bCs/>
          <w:sz w:val="22"/>
          <w:lang w:val="es-ES_tradnl"/>
        </w:rPr>
      </w:pPr>
    </w:p>
    <w:p w14:paraId="576B055F" w14:textId="77777777" w:rsidR="0097447B" w:rsidRPr="001226A1" w:rsidRDefault="0097447B" w:rsidP="0097447B">
      <w:pPr>
        <w:tabs>
          <w:tab w:val="left" w:pos="426"/>
        </w:tabs>
        <w:ind w:right="709"/>
        <w:jc w:val="both"/>
        <w:rPr>
          <w:rFonts w:ascii="Arial" w:hAnsi="Arial" w:cs="Arial"/>
          <w:sz w:val="21"/>
          <w:szCs w:val="21"/>
          <w:lang w:val="es-ES_tradnl"/>
        </w:rPr>
      </w:pPr>
      <w:r w:rsidRPr="001226A1">
        <w:rPr>
          <w:rFonts w:ascii="Arial" w:hAnsi="Arial" w:cs="Arial"/>
          <w:sz w:val="21"/>
          <w:szCs w:val="21"/>
          <w:lang w:val="es-ES_tradnl"/>
        </w:rPr>
        <w:tab/>
      </w:r>
      <w:r w:rsidRPr="001226A1">
        <w:rPr>
          <w:rFonts w:ascii="Arial" w:hAnsi="Arial" w:cs="Arial"/>
          <w:sz w:val="21"/>
          <w:szCs w:val="21"/>
          <w:lang w:val="es-ES_tradnl"/>
        </w:rPr>
        <w:tab/>
        <w:t>[…]</w:t>
      </w:r>
    </w:p>
    <w:p w14:paraId="3FBA052C" w14:textId="77777777" w:rsidR="0097447B" w:rsidRPr="001226A1" w:rsidRDefault="0097447B" w:rsidP="0097447B">
      <w:pPr>
        <w:tabs>
          <w:tab w:val="left" w:pos="426"/>
        </w:tabs>
        <w:ind w:right="709"/>
        <w:jc w:val="both"/>
        <w:rPr>
          <w:rFonts w:ascii="Arial" w:hAnsi="Arial" w:cs="Arial"/>
          <w:sz w:val="21"/>
          <w:szCs w:val="21"/>
          <w:lang w:val="es-ES_tradnl"/>
        </w:rPr>
      </w:pPr>
    </w:p>
    <w:p w14:paraId="5E6545E5" w14:textId="77777777" w:rsidR="0097447B" w:rsidRPr="001226A1" w:rsidRDefault="0097447B" w:rsidP="0097447B">
      <w:pPr>
        <w:ind w:left="709" w:right="709"/>
        <w:jc w:val="both"/>
        <w:rPr>
          <w:rFonts w:ascii="Arial" w:hAnsi="Arial" w:cs="Arial"/>
          <w:i/>
          <w:sz w:val="21"/>
          <w:szCs w:val="21"/>
          <w:lang w:val="es-ES_tradnl"/>
        </w:rPr>
      </w:pPr>
      <w:r w:rsidRPr="001226A1">
        <w:rPr>
          <w:rFonts w:ascii="Arial" w:hAnsi="Arial" w:cs="Arial"/>
          <w:i/>
          <w:sz w:val="21"/>
          <w:szCs w:val="21"/>
          <w:lang w:val="es-ES_tradnl"/>
        </w:rPr>
        <w:t>Las excepciones aplicables a la restricción de contratación pública</w:t>
      </w:r>
    </w:p>
    <w:p w14:paraId="6E374505" w14:textId="77777777" w:rsidR="0097447B" w:rsidRPr="001226A1" w:rsidRDefault="0097447B" w:rsidP="0097447B">
      <w:pPr>
        <w:ind w:left="709" w:right="709"/>
        <w:jc w:val="both"/>
        <w:rPr>
          <w:rFonts w:ascii="Arial" w:hAnsi="Arial" w:cs="Arial"/>
          <w:i/>
          <w:sz w:val="21"/>
          <w:szCs w:val="21"/>
          <w:lang w:val="es-ES_tradnl"/>
        </w:rPr>
      </w:pPr>
    </w:p>
    <w:p w14:paraId="595FC10F" w14:textId="77777777" w:rsidR="0097447B" w:rsidRPr="001226A1" w:rsidRDefault="0097447B" w:rsidP="0097447B">
      <w:pPr>
        <w:ind w:left="709" w:right="709"/>
        <w:jc w:val="both"/>
        <w:rPr>
          <w:rFonts w:ascii="Arial" w:hAnsi="Arial" w:cs="Arial"/>
          <w:sz w:val="21"/>
          <w:szCs w:val="21"/>
          <w:shd w:val="clear" w:color="auto" w:fill="FFFFFF"/>
          <w:lang w:val="es-ES_tradnl"/>
        </w:rPr>
      </w:pPr>
      <w:r w:rsidRPr="001226A1">
        <w:rPr>
          <w:rFonts w:ascii="Arial" w:hAnsi="Arial" w:cs="Arial"/>
          <w:sz w:val="21"/>
          <w:szCs w:val="21"/>
          <w:shd w:val="clear" w:color="auto" w:fill="FFFFFF"/>
          <w:lang w:val="es-ES_tradnl"/>
        </w:rPr>
        <w:t>Ahora bien, las únicas excepciones a las disposiciones previstas en la Ley de Garantías se encuentran numeradas taxativamente en el último inciso del artículo 33 de la ley 996 de 2005, dentro de las que se encuentran:</w:t>
      </w:r>
    </w:p>
    <w:p w14:paraId="497E3A2F" w14:textId="77777777" w:rsidR="0097447B" w:rsidRPr="001226A1" w:rsidRDefault="0097447B" w:rsidP="0097447B">
      <w:pPr>
        <w:ind w:left="709" w:right="709"/>
        <w:jc w:val="both"/>
        <w:rPr>
          <w:rFonts w:ascii="Arial" w:hAnsi="Arial" w:cs="Arial"/>
          <w:sz w:val="21"/>
          <w:szCs w:val="21"/>
          <w:shd w:val="clear" w:color="auto" w:fill="FFFFFF"/>
          <w:lang w:val="es-ES_tradnl"/>
        </w:rPr>
      </w:pPr>
    </w:p>
    <w:p w14:paraId="0A8AFFD5" w14:textId="77777777" w:rsidR="0097447B" w:rsidRPr="001226A1" w:rsidRDefault="0097447B" w:rsidP="0097447B">
      <w:pPr>
        <w:ind w:left="709" w:right="709"/>
        <w:jc w:val="both"/>
        <w:rPr>
          <w:rFonts w:ascii="Arial" w:hAnsi="Arial" w:cs="Arial"/>
          <w:sz w:val="21"/>
          <w:szCs w:val="21"/>
          <w:shd w:val="clear" w:color="auto" w:fill="FFFFFF"/>
          <w:lang w:val="es-ES_tradnl"/>
        </w:rPr>
      </w:pPr>
      <w:r w:rsidRPr="001226A1">
        <w:rPr>
          <w:rFonts w:ascii="Arial" w:hAnsi="Arial" w:cs="Arial"/>
          <w:sz w:val="21"/>
          <w:szCs w:val="21"/>
          <w:shd w:val="clear" w:color="auto" w:fill="FFFFFF"/>
          <w:lang w:val="es-ES_tradnl"/>
        </w:rPr>
        <w:t xml:space="preserve">[…] </w:t>
      </w:r>
    </w:p>
    <w:p w14:paraId="1185514B" w14:textId="77777777" w:rsidR="0097447B" w:rsidRPr="001226A1" w:rsidRDefault="0097447B" w:rsidP="0097447B">
      <w:pPr>
        <w:ind w:left="709" w:right="709"/>
        <w:jc w:val="both"/>
        <w:rPr>
          <w:rFonts w:ascii="Arial" w:hAnsi="Arial" w:cs="Arial"/>
          <w:sz w:val="21"/>
          <w:szCs w:val="21"/>
          <w:shd w:val="clear" w:color="auto" w:fill="FFFFFF"/>
          <w:lang w:val="es-ES_tradnl"/>
        </w:rPr>
      </w:pPr>
    </w:p>
    <w:p w14:paraId="428C6597" w14:textId="77777777" w:rsidR="0097447B" w:rsidRPr="001226A1" w:rsidRDefault="0097447B" w:rsidP="0097447B">
      <w:pPr>
        <w:ind w:left="709" w:right="709"/>
        <w:jc w:val="both"/>
        <w:rPr>
          <w:rFonts w:ascii="Arial" w:hAnsi="Arial" w:cs="Arial"/>
          <w:sz w:val="21"/>
          <w:szCs w:val="21"/>
          <w:shd w:val="clear" w:color="auto" w:fill="FFFFFF"/>
          <w:lang w:val="es-ES_tradnl"/>
        </w:rPr>
      </w:pPr>
      <w:r w:rsidRPr="001226A1">
        <w:rPr>
          <w:rFonts w:ascii="Arial" w:hAnsi="Arial" w:cs="Arial"/>
          <w:sz w:val="21"/>
          <w:szCs w:val="21"/>
          <w:shd w:val="clear" w:color="auto" w:fill="FFFFFF"/>
          <w:lang w:val="es-ES_tradnl"/>
        </w:rPr>
        <w:t>5. Los que deban realizar las entidades sanitarias y hospitalarias […]</w:t>
      </w:r>
      <w:r w:rsidRPr="001226A1">
        <w:rPr>
          <w:rStyle w:val="Refdenotaalpie"/>
          <w:rFonts w:ascii="Arial" w:hAnsi="Arial" w:cs="Arial"/>
          <w:sz w:val="21"/>
          <w:szCs w:val="21"/>
          <w:shd w:val="clear" w:color="auto" w:fill="FFFFFF"/>
          <w:lang w:val="es-ES_tradnl"/>
        </w:rPr>
        <w:footnoteReference w:id="42"/>
      </w:r>
      <w:r w:rsidRPr="001226A1">
        <w:rPr>
          <w:rFonts w:ascii="Arial" w:hAnsi="Arial" w:cs="Arial"/>
          <w:sz w:val="21"/>
          <w:szCs w:val="21"/>
          <w:shd w:val="clear" w:color="auto" w:fill="FFFFFF"/>
          <w:lang w:val="es-ES_tradnl"/>
        </w:rPr>
        <w:t>.</w:t>
      </w:r>
    </w:p>
    <w:p w14:paraId="1F22264D" w14:textId="77777777" w:rsidR="0097447B" w:rsidRPr="001226A1" w:rsidRDefault="0097447B" w:rsidP="0097447B">
      <w:pPr>
        <w:spacing w:line="276" w:lineRule="auto"/>
        <w:ind w:left="709" w:right="709"/>
        <w:jc w:val="both"/>
        <w:rPr>
          <w:rFonts w:ascii="Arial" w:hAnsi="Arial" w:cs="Arial"/>
          <w:sz w:val="21"/>
          <w:szCs w:val="21"/>
          <w:shd w:val="clear" w:color="auto" w:fill="FFFFFF"/>
          <w:lang w:val="es-ES_tradnl"/>
        </w:rPr>
      </w:pPr>
    </w:p>
    <w:p w14:paraId="7C2426A5" w14:textId="77777777" w:rsidR="0097447B" w:rsidRPr="001226A1" w:rsidRDefault="0097447B" w:rsidP="0097447B">
      <w:pPr>
        <w:tabs>
          <w:tab w:val="left" w:pos="426"/>
        </w:tabs>
        <w:spacing w:line="276" w:lineRule="auto"/>
        <w:ind w:firstLine="709"/>
        <w:jc w:val="both"/>
        <w:rPr>
          <w:rFonts w:ascii="Arial" w:hAnsi="Arial" w:cs="Arial"/>
          <w:bCs/>
          <w:sz w:val="22"/>
          <w:lang w:val="es-ES_tradnl"/>
        </w:rPr>
      </w:pPr>
      <w:r w:rsidRPr="001226A1">
        <w:rPr>
          <w:rFonts w:ascii="Arial" w:hAnsi="Arial" w:cs="Arial"/>
          <w:bCs/>
          <w:sz w:val="22"/>
          <w:lang w:val="es-ES_tradnl"/>
        </w:rPr>
        <w:t>Lo anterior implica que las excepciones al artículo 33 en comento deben interpretarse y aplicarse manera restrictiva. En otras palabras, que no sería factible hacer interpretaciones extensivas</w:t>
      </w:r>
      <w:r w:rsidRPr="001226A1">
        <w:rPr>
          <w:rFonts w:ascii="Arial" w:hAnsi="Arial" w:cs="Arial"/>
          <w:bCs/>
          <w:i/>
          <w:iCs/>
          <w:sz w:val="22"/>
          <w:lang w:val="es-ES_tradnl"/>
        </w:rPr>
        <w:t xml:space="preserve"> </w:t>
      </w:r>
      <w:r w:rsidRPr="001226A1">
        <w:rPr>
          <w:rFonts w:ascii="Arial" w:hAnsi="Arial" w:cs="Arial"/>
          <w:bCs/>
          <w:sz w:val="22"/>
          <w:lang w:val="es-ES_tradnl"/>
        </w:rPr>
        <w:t xml:space="preserve">para incluir otros supuestos de hecho similares a las circunstancias previstas en dicho artículo, pues el carácter taxativo implica que solo en los </w:t>
      </w:r>
      <w:r w:rsidRPr="001226A1">
        <w:rPr>
          <w:rFonts w:ascii="Arial" w:hAnsi="Arial" w:cs="Arial"/>
          <w:bCs/>
          <w:sz w:val="22"/>
          <w:lang w:val="es-ES_tradnl"/>
        </w:rPr>
        <w:lastRenderedPageBreak/>
        <w:t xml:space="preserve">eventos consagrados expresamente en la norma permiten que ciertas entidades estatales se vean exceptuadas de la prohibición. </w:t>
      </w:r>
    </w:p>
    <w:p w14:paraId="11EB7D82" w14:textId="24C4E152" w:rsidR="0097447B" w:rsidRPr="001226A1" w:rsidRDefault="0097447B" w:rsidP="0097447B">
      <w:pPr>
        <w:tabs>
          <w:tab w:val="left" w:pos="426"/>
        </w:tabs>
        <w:spacing w:before="120" w:line="276" w:lineRule="auto"/>
        <w:ind w:firstLine="709"/>
        <w:jc w:val="both"/>
        <w:rPr>
          <w:rFonts w:ascii="Arial" w:hAnsi="Arial" w:cs="Arial"/>
          <w:sz w:val="22"/>
          <w:lang w:val="es-ES_tradnl"/>
        </w:rPr>
      </w:pPr>
      <w:r w:rsidRPr="001226A1">
        <w:rPr>
          <w:rFonts w:ascii="Arial" w:hAnsi="Arial" w:cs="Arial"/>
          <w:bCs/>
          <w:sz w:val="22"/>
          <w:lang w:val="es-ES_tradnl"/>
        </w:rPr>
        <w:t>Ahora, para responder su consulta, es pertinente analizar el quinto evento</w:t>
      </w:r>
      <w:r w:rsidRPr="001226A1">
        <w:rPr>
          <w:rFonts w:ascii="Arial" w:hAnsi="Arial" w:cs="Arial"/>
          <w:bCs/>
          <w:i/>
          <w:sz w:val="22"/>
          <w:lang w:val="es-ES_tradnl"/>
        </w:rPr>
        <w:t xml:space="preserve"> </w:t>
      </w:r>
      <w:r w:rsidRPr="001226A1">
        <w:rPr>
          <w:rFonts w:ascii="Arial" w:hAnsi="Arial" w:cs="Arial"/>
          <w:bCs/>
          <w:iCs/>
          <w:sz w:val="22"/>
          <w:lang w:val="es-ES_tradnl"/>
        </w:rPr>
        <w:t xml:space="preserve">exceptuado de la prohibición, relacionado con la contratación por parte de las </w:t>
      </w:r>
      <w:r w:rsidRPr="001226A1">
        <w:rPr>
          <w:rFonts w:ascii="Arial" w:hAnsi="Arial" w:cs="Arial"/>
          <w:bCs/>
          <w:sz w:val="22"/>
          <w:lang w:val="es-ES_tradnl"/>
        </w:rPr>
        <w:t xml:space="preserve">entidades sanitarias y hospitalarias, a efectos de determinar si la excepción referida es aplicable a los contratos suscritos por los </w:t>
      </w:r>
      <w:r w:rsidR="00143595">
        <w:rPr>
          <w:rFonts w:ascii="Arial" w:hAnsi="Arial" w:cs="Arial"/>
          <w:bCs/>
          <w:sz w:val="22"/>
          <w:lang w:val="es-ES_tradnl"/>
        </w:rPr>
        <w:t>municipios</w:t>
      </w:r>
      <w:r w:rsidRPr="001226A1">
        <w:rPr>
          <w:rFonts w:ascii="Arial" w:hAnsi="Arial" w:cs="Arial"/>
          <w:bCs/>
          <w:sz w:val="22"/>
          <w:lang w:val="es-ES_tradnl"/>
        </w:rPr>
        <w:t xml:space="preserve">. La respuesta es negativa teniendo en cuenta que el artículo 94 de la Ley 100 de 1993 señaló que, </w:t>
      </w:r>
      <w:r w:rsidRPr="001226A1">
        <w:rPr>
          <w:rFonts w:ascii="Arial" w:hAnsi="Arial" w:cs="Arial"/>
          <w:bCs/>
          <w:sz w:val="22"/>
          <w:lang w:val="es-ES_tradnl" w:eastAsia="es-CO"/>
        </w:rPr>
        <w:t>«</w:t>
      </w:r>
      <w:r w:rsidRPr="001226A1">
        <w:rPr>
          <w:rFonts w:ascii="Arial" w:hAnsi="Arial" w:cs="Arial"/>
          <w:bCs/>
          <w:sz w:val="22"/>
          <w:lang w:val="es-ES_tradnl"/>
        </w:rPr>
        <w:t>l</w:t>
      </w:r>
      <w:r w:rsidRPr="001226A1">
        <w:rPr>
          <w:rFonts w:ascii="Arial" w:hAnsi="Arial" w:cs="Arial"/>
          <w:sz w:val="22"/>
          <w:lang w:val="es-ES_tradnl"/>
        </w:rPr>
        <w:t>a prestación de servicios de salud en forma directa por la nación o por las entidades territoriales, se hará principalmente a través de las Empresas Sociales del Estado, que constituyen una categoría especial de entidad pública descentralizada, con personería jurídica, patrimonio propio y autonomía administrativa, creadas por la Ley o por las asambleas o concejos, según el caso, sometidas al régimen jurídico previsto en este capítulo</w:t>
      </w:r>
      <w:r w:rsidRPr="001226A1">
        <w:rPr>
          <w:rFonts w:ascii="Arial" w:hAnsi="Arial" w:cs="Arial"/>
          <w:bCs/>
          <w:sz w:val="22"/>
          <w:lang w:val="es-ES_tradnl" w:eastAsia="es-CO"/>
        </w:rPr>
        <w:t>»</w:t>
      </w:r>
      <w:r w:rsidRPr="001226A1">
        <w:rPr>
          <w:rFonts w:ascii="Arial" w:hAnsi="Arial" w:cs="Arial"/>
          <w:sz w:val="22"/>
          <w:lang w:val="es-ES_tradnl"/>
        </w:rPr>
        <w:t xml:space="preserve">. </w:t>
      </w:r>
    </w:p>
    <w:p w14:paraId="123A978E" w14:textId="77777777" w:rsidR="0097447B" w:rsidRPr="001226A1" w:rsidRDefault="0097447B" w:rsidP="0097447B">
      <w:pPr>
        <w:tabs>
          <w:tab w:val="left" w:pos="426"/>
        </w:tabs>
        <w:spacing w:before="120" w:line="276" w:lineRule="auto"/>
        <w:ind w:firstLine="709"/>
        <w:jc w:val="both"/>
        <w:rPr>
          <w:rFonts w:ascii="Arial" w:hAnsi="Arial" w:cs="Arial"/>
          <w:sz w:val="22"/>
        </w:rPr>
      </w:pPr>
      <w:r w:rsidRPr="001226A1">
        <w:rPr>
          <w:rFonts w:ascii="Arial" w:hAnsi="Arial" w:cs="Arial"/>
          <w:sz w:val="22"/>
          <w:lang w:val="es-ES_tradnl"/>
        </w:rPr>
        <w:t>Es decir que, a partir de la entrada en vigencia de la Ley 100 de 1993, las Empresas Sociales del Estado son las entidades públicas que tienen a su cargo la prestación de servicios de salud de manera directa. Igualmente, el artículo 197 de la misma disposición</w:t>
      </w:r>
      <w:r w:rsidRPr="001226A1">
        <w:rPr>
          <w:rStyle w:val="Refdenotaalpie"/>
          <w:rFonts w:ascii="Arial" w:hAnsi="Arial" w:cs="Arial"/>
          <w:sz w:val="22"/>
          <w:lang w:val="es-ES_tradnl"/>
        </w:rPr>
        <w:footnoteReference w:id="43"/>
      </w:r>
      <w:r w:rsidRPr="001226A1">
        <w:rPr>
          <w:rFonts w:ascii="Arial" w:hAnsi="Arial" w:cs="Arial"/>
          <w:sz w:val="22"/>
          <w:lang w:val="es-ES_tradnl"/>
        </w:rPr>
        <w:t xml:space="preserve"> otorgó un término de 6 meses a las entidades territoriales prestadoras del servicio de salud para restructurarlas en Empresas Sociales del Estado. </w:t>
      </w:r>
    </w:p>
    <w:p w14:paraId="6CD4E652" w14:textId="1EEDB549" w:rsidR="0097447B" w:rsidRPr="001226A1" w:rsidRDefault="0097447B" w:rsidP="0097447B">
      <w:pPr>
        <w:tabs>
          <w:tab w:val="left" w:pos="426"/>
        </w:tabs>
        <w:spacing w:before="120" w:line="276" w:lineRule="auto"/>
        <w:ind w:firstLine="709"/>
        <w:jc w:val="both"/>
        <w:rPr>
          <w:rFonts w:ascii="Arial" w:hAnsi="Arial" w:cs="Arial"/>
          <w:sz w:val="22"/>
          <w:lang w:val="es-ES_tradnl"/>
        </w:rPr>
      </w:pPr>
      <w:r w:rsidRPr="001226A1">
        <w:rPr>
          <w:rFonts w:ascii="Arial" w:hAnsi="Arial" w:cs="Arial"/>
          <w:sz w:val="22"/>
          <w:lang w:val="es-ES_tradnl"/>
        </w:rPr>
        <w:t xml:space="preserve">De lo anterior se desprende que, bajo la Ley 100 de 1993, dentro de la estructura de la administración pública las entidades encargadas de prestar el servicio de salud de manera directa son las Empresas Sociales del Estado, no los </w:t>
      </w:r>
      <w:r w:rsidR="00143595">
        <w:rPr>
          <w:rFonts w:ascii="Arial" w:hAnsi="Arial" w:cs="Arial"/>
          <w:sz w:val="22"/>
          <w:lang w:val="es-ES_tradnl"/>
        </w:rPr>
        <w:t>municipios</w:t>
      </w:r>
      <w:r w:rsidRPr="001226A1">
        <w:rPr>
          <w:rFonts w:ascii="Arial" w:hAnsi="Arial" w:cs="Arial"/>
          <w:sz w:val="22"/>
          <w:lang w:val="es-ES_tradnl"/>
        </w:rPr>
        <w:t xml:space="preserve">. Además, el mismo artículo 197 de la disposición referida estableció el deber de reestructurar y transformar en Empresas Sociales del Estado a las entidades descentralizadas que, al momento de entrada en vigor de la ley referida, prestaban directamente este servicio.  </w:t>
      </w:r>
    </w:p>
    <w:p w14:paraId="3E94B96C" w14:textId="77777777" w:rsidR="0097447B" w:rsidRPr="001226A1" w:rsidRDefault="0097447B" w:rsidP="0097447B">
      <w:pPr>
        <w:tabs>
          <w:tab w:val="left" w:pos="426"/>
        </w:tabs>
        <w:spacing w:before="120" w:line="276" w:lineRule="auto"/>
        <w:ind w:firstLine="709"/>
        <w:jc w:val="both"/>
        <w:rPr>
          <w:rFonts w:ascii="Arial" w:hAnsi="Arial" w:cs="Arial"/>
          <w:sz w:val="22"/>
          <w:lang w:val="es-ES_tradnl"/>
        </w:rPr>
      </w:pPr>
      <w:r w:rsidRPr="001226A1">
        <w:rPr>
          <w:rFonts w:ascii="Arial" w:hAnsi="Arial" w:cs="Arial"/>
          <w:sz w:val="22"/>
          <w:lang w:val="es-ES_tradnl"/>
        </w:rPr>
        <w:t xml:space="preserve">Así, se observa que la voluntad del legislador plasmada en la Ley 100 de 1993 fue homogeneizar o unificar la naturaleza jurídica de las entidades públicas descentralizadas prestadoras del servicio de salud, en Empresas Sociales del Estado. De ello da cuenta, no solo la creación de la institución jurídica referida sino además la imposición del mandato de reestructuración de aquellas entidades en ESE. </w:t>
      </w:r>
    </w:p>
    <w:p w14:paraId="6A9A31C8" w14:textId="77777777" w:rsidR="0097447B" w:rsidRPr="001226A1" w:rsidRDefault="0097447B" w:rsidP="0097447B">
      <w:pPr>
        <w:tabs>
          <w:tab w:val="left" w:pos="426"/>
        </w:tabs>
        <w:spacing w:before="120" w:line="276" w:lineRule="auto"/>
        <w:ind w:firstLine="709"/>
        <w:jc w:val="both"/>
        <w:rPr>
          <w:rFonts w:ascii="Arial" w:hAnsi="Arial" w:cs="Arial"/>
          <w:bCs/>
          <w:sz w:val="22"/>
          <w:lang w:val="es-ES_tradnl"/>
        </w:rPr>
      </w:pPr>
      <w:r w:rsidRPr="001226A1">
        <w:rPr>
          <w:rFonts w:ascii="Arial" w:hAnsi="Arial" w:cs="Arial"/>
          <w:bCs/>
          <w:sz w:val="22"/>
          <w:lang w:val="es-ES_tradnl"/>
        </w:rPr>
        <w:t xml:space="preserve">Este proceso de reestructuración, dada las implicaciones administrativas que suponen, no ha sido inmediato, según se observa de lo señalado por el Ministerio de la Protección Social como cabeza del sector salud del orden nacional. En este sentido, en concepto del 14 de marzo de 2006, identificado con radicación No. 38644, al pronunciarse sobre el alcance de la regla de excepción establecida en el inciso 2 del artículo 33 de la </w:t>
      </w:r>
      <w:r w:rsidRPr="001226A1">
        <w:rPr>
          <w:rFonts w:ascii="Arial" w:hAnsi="Arial" w:cs="Arial"/>
          <w:bCs/>
          <w:sz w:val="22"/>
          <w:lang w:val="es-ES_tradnl"/>
        </w:rPr>
        <w:lastRenderedPageBreak/>
        <w:t xml:space="preserve">Ley de Garantías Electorales, frente a las entidades sanitarias y hospitalarias, puso de presente el retardo en el proceso de reestructuración mencionado en la Ley 100 de 1993, así: </w:t>
      </w:r>
    </w:p>
    <w:p w14:paraId="72D47AB8" w14:textId="77777777" w:rsidR="0097447B" w:rsidRPr="001226A1" w:rsidRDefault="0097447B" w:rsidP="0097447B">
      <w:pPr>
        <w:tabs>
          <w:tab w:val="left" w:pos="426"/>
        </w:tabs>
        <w:ind w:left="709" w:right="709"/>
        <w:jc w:val="both"/>
        <w:rPr>
          <w:rFonts w:ascii="Arial" w:hAnsi="Arial" w:cs="Arial"/>
          <w:sz w:val="21"/>
          <w:szCs w:val="21"/>
          <w:shd w:val="clear" w:color="auto" w:fill="FFFFFF"/>
          <w:lang w:val="es-ES_tradnl"/>
        </w:rPr>
      </w:pPr>
      <w:r w:rsidRPr="001226A1">
        <w:rPr>
          <w:rFonts w:ascii="Arial" w:hAnsi="Arial" w:cs="Arial"/>
          <w:sz w:val="21"/>
          <w:szCs w:val="21"/>
          <w:shd w:val="clear" w:color="auto" w:fill="FFFFFF"/>
          <w:lang w:val="es-ES_tradnl"/>
        </w:rPr>
        <w:t xml:space="preserve">[…] se encuentran cubiertos por la excepción contemplada en el inciso 2 del artículo 33 de la Ley de Garantías Electorales, las entidades hospitalarias que a la luz de las normas vigentes </w:t>
      </w:r>
      <w:r w:rsidRPr="001226A1">
        <w:rPr>
          <w:rFonts w:ascii="Arial" w:hAnsi="Arial" w:cs="Arial"/>
          <w:i/>
          <w:iCs/>
          <w:sz w:val="21"/>
          <w:szCs w:val="21"/>
          <w:shd w:val="clear" w:color="auto" w:fill="FFFFFF"/>
          <w:lang w:val="es-ES_tradnl"/>
        </w:rPr>
        <w:t>no son otras distintas que las Empresas Sociales del estado y todas aquellas instituciones públicas que a pesar de no haberse transformado en Empresas Sociales del Estado, prestan un servicio de salud directo sobre el usuario en su carácter general de entidad hospitalaria</w:t>
      </w:r>
      <w:r w:rsidRPr="001226A1">
        <w:rPr>
          <w:rFonts w:ascii="Arial" w:hAnsi="Arial" w:cs="Arial"/>
          <w:sz w:val="21"/>
          <w:szCs w:val="21"/>
          <w:shd w:val="clear" w:color="auto" w:fill="FFFFFF"/>
          <w:lang w:val="es-ES_tradnl"/>
        </w:rPr>
        <w:t xml:space="preserve"> […]. (Énfasis fuera de texto) </w:t>
      </w:r>
    </w:p>
    <w:p w14:paraId="5C74E8B7" w14:textId="77777777" w:rsidR="0097447B" w:rsidRPr="001226A1" w:rsidRDefault="0097447B" w:rsidP="0097447B">
      <w:pPr>
        <w:tabs>
          <w:tab w:val="left" w:pos="426"/>
        </w:tabs>
        <w:spacing w:line="276" w:lineRule="auto"/>
        <w:ind w:left="709" w:right="709"/>
        <w:jc w:val="both"/>
        <w:rPr>
          <w:rFonts w:ascii="Arial" w:hAnsi="Arial" w:cs="Arial"/>
          <w:bCs/>
          <w:sz w:val="21"/>
          <w:szCs w:val="21"/>
          <w:lang w:val="es-ES_tradnl"/>
        </w:rPr>
      </w:pPr>
    </w:p>
    <w:p w14:paraId="0C10A8B3" w14:textId="77777777" w:rsidR="0097447B" w:rsidRPr="001226A1" w:rsidRDefault="0097447B" w:rsidP="0097447B">
      <w:pPr>
        <w:tabs>
          <w:tab w:val="left" w:pos="426"/>
        </w:tabs>
        <w:spacing w:line="276" w:lineRule="auto"/>
        <w:ind w:firstLine="709"/>
        <w:jc w:val="both"/>
        <w:rPr>
          <w:rFonts w:ascii="Arial" w:hAnsi="Arial" w:cs="Arial"/>
          <w:bCs/>
          <w:sz w:val="22"/>
          <w:lang w:val="es-ES_tradnl"/>
        </w:rPr>
      </w:pPr>
      <w:r w:rsidRPr="001226A1">
        <w:rPr>
          <w:rFonts w:ascii="Arial" w:hAnsi="Arial" w:cs="Arial"/>
          <w:bCs/>
          <w:sz w:val="22"/>
          <w:lang w:val="es-ES_tradnl"/>
        </w:rPr>
        <w:t xml:space="preserve">Del aparte transcrito se encuentra que, para la autoridad administrativa del sector salud, las Empresas Sociales del Estado son las entidades hospitalarias de que trata la excepción a la prohibición establecida en el artículo 33 de la ley de Garantías Electorales. De igual forma, incluyen también dentro de esta excepción a la prohibición, a aquellas instituciones públicas que, aunque no cumplieron con el deber de reestructuración establecido en el artículo 197 de la Ley 100 de 1993, prestan un servicio de salud directo como entidad hospitalaria. </w:t>
      </w:r>
    </w:p>
    <w:p w14:paraId="762483EF" w14:textId="534D506B" w:rsidR="0097447B" w:rsidRPr="001226A1" w:rsidRDefault="0097447B" w:rsidP="0097447B">
      <w:pPr>
        <w:tabs>
          <w:tab w:val="left" w:pos="426"/>
        </w:tabs>
        <w:spacing w:before="120" w:line="276" w:lineRule="auto"/>
        <w:ind w:firstLine="709"/>
        <w:jc w:val="both"/>
        <w:rPr>
          <w:rFonts w:ascii="Arial" w:hAnsi="Arial" w:cs="Arial"/>
          <w:bCs/>
          <w:sz w:val="22"/>
          <w:lang w:val="es-ES_tradnl"/>
        </w:rPr>
      </w:pPr>
      <w:r w:rsidRPr="001226A1">
        <w:rPr>
          <w:rFonts w:ascii="Arial" w:hAnsi="Arial" w:cs="Arial"/>
          <w:bCs/>
          <w:sz w:val="22"/>
          <w:lang w:val="es-ES_tradnl"/>
        </w:rPr>
        <w:t xml:space="preserve">Por tanto, las Empresas Sociales del Estado podrían suscribir contratos bajo la modalidad de contratación directa, porque el inciso segundo del artículo 33 de la Ley 996 de 2005 exceptuó de la prohibición de contratación bajo la modalidad referida a las entidades hospitalarias, categoría dentro de las cuales se incluye a las Empresas Sociales del Estado y, en consecuencia, podrán suscribir sus contratos en la forma establecida en sus manuales de contratación, sin que les resulte aplicable la prohibición establecida en el artículo 33 de la Ley 996 de 2005. Sin embargo, esta idea no se extiende a los </w:t>
      </w:r>
      <w:r w:rsidR="00143595">
        <w:rPr>
          <w:rFonts w:ascii="Arial" w:hAnsi="Arial" w:cs="Arial"/>
          <w:bCs/>
          <w:sz w:val="22"/>
          <w:lang w:val="es-ES_tradnl"/>
        </w:rPr>
        <w:t>municipios</w:t>
      </w:r>
      <w:r w:rsidRPr="001226A1">
        <w:rPr>
          <w:rFonts w:ascii="Arial" w:hAnsi="Arial" w:cs="Arial"/>
          <w:bCs/>
          <w:sz w:val="22"/>
          <w:lang w:val="es-ES_tradnl"/>
        </w:rPr>
        <w:t xml:space="preserve">, por las razones explicadas </w:t>
      </w:r>
      <w:r w:rsidRPr="001226A1">
        <w:rPr>
          <w:rFonts w:ascii="Arial" w:hAnsi="Arial" w:cs="Arial"/>
          <w:bCs/>
          <w:i/>
          <w:iCs/>
          <w:sz w:val="22"/>
          <w:lang w:val="es-ES_tradnl"/>
        </w:rPr>
        <w:t>ut supra</w:t>
      </w:r>
      <w:r w:rsidRPr="001226A1">
        <w:rPr>
          <w:rFonts w:ascii="Arial" w:hAnsi="Arial" w:cs="Arial"/>
          <w:bCs/>
          <w:sz w:val="22"/>
          <w:lang w:val="es-ES_tradnl"/>
        </w:rPr>
        <w:t xml:space="preserve">. </w:t>
      </w:r>
    </w:p>
    <w:p w14:paraId="71E66EC4" w14:textId="497E588C" w:rsidR="0097447B" w:rsidRDefault="0097447B" w:rsidP="0097447B">
      <w:pPr>
        <w:tabs>
          <w:tab w:val="left" w:pos="426"/>
        </w:tabs>
        <w:spacing w:before="120" w:line="276" w:lineRule="auto"/>
        <w:ind w:firstLine="709"/>
        <w:jc w:val="both"/>
        <w:rPr>
          <w:rFonts w:ascii="Arial" w:hAnsi="Arial" w:cs="Arial"/>
          <w:bCs/>
          <w:sz w:val="22"/>
          <w:lang w:val="es-ES_tradnl"/>
        </w:rPr>
      </w:pPr>
      <w:r w:rsidRPr="001226A1">
        <w:rPr>
          <w:rFonts w:ascii="Arial" w:hAnsi="Arial" w:cs="Arial"/>
          <w:bCs/>
          <w:sz w:val="22"/>
          <w:lang w:val="es-ES_tradnl"/>
        </w:rPr>
        <w:t xml:space="preserve">En tal sentido, debido a que los </w:t>
      </w:r>
      <w:r w:rsidR="00143595">
        <w:rPr>
          <w:rFonts w:ascii="Arial" w:hAnsi="Arial" w:cs="Arial"/>
          <w:bCs/>
          <w:sz w:val="22"/>
          <w:lang w:val="es-ES_tradnl"/>
        </w:rPr>
        <w:t>municipios</w:t>
      </w:r>
      <w:r w:rsidRPr="001226A1">
        <w:rPr>
          <w:rFonts w:ascii="Arial" w:hAnsi="Arial" w:cs="Arial"/>
          <w:bCs/>
          <w:sz w:val="22"/>
          <w:lang w:val="es-ES_tradnl"/>
        </w:rPr>
        <w:t xml:space="preserve"> no son entidades hospitalarias y no prestan un servicio de salud directo sobre el usuario, no estarían cobijados por la excepción del inciso segundo del artículo 33 de la Ley 996 de 2015 relacionada con las entidades hospitalarias y, por tanto, no pueden suscribir contratos de manera directa. Así, aunque la ESE est</w:t>
      </w:r>
      <w:r w:rsidR="00143595">
        <w:rPr>
          <w:rFonts w:ascii="Arial" w:hAnsi="Arial" w:cs="Arial"/>
          <w:bCs/>
          <w:sz w:val="22"/>
          <w:lang w:val="es-ES_tradnl"/>
        </w:rPr>
        <w:t>á</w:t>
      </w:r>
      <w:r w:rsidRPr="001226A1">
        <w:rPr>
          <w:rFonts w:ascii="Arial" w:hAnsi="Arial" w:cs="Arial"/>
          <w:bCs/>
          <w:sz w:val="22"/>
          <w:lang w:val="es-ES_tradnl"/>
        </w:rPr>
        <w:t xml:space="preserve"> exceptuada de la prohibición del inciso segundo del artículo 33, no podría celebrar contrato directo con el </w:t>
      </w:r>
      <w:r w:rsidR="00143595">
        <w:rPr>
          <w:rFonts w:ascii="Arial" w:hAnsi="Arial" w:cs="Arial"/>
          <w:bCs/>
          <w:sz w:val="22"/>
          <w:lang w:val="es-ES_tradnl"/>
        </w:rPr>
        <w:t>municipio</w:t>
      </w:r>
      <w:r w:rsidRPr="001226A1">
        <w:rPr>
          <w:rFonts w:ascii="Arial" w:hAnsi="Arial" w:cs="Arial"/>
          <w:bCs/>
          <w:sz w:val="22"/>
          <w:lang w:val="es-ES_tradnl"/>
        </w:rPr>
        <w:t xml:space="preserve">, en la medida en que a este último si le aplica la prohibición de dicha norma. </w:t>
      </w:r>
    </w:p>
    <w:p w14:paraId="341DF112" w14:textId="77777777" w:rsidR="00B577D8" w:rsidRPr="00340C7C" w:rsidRDefault="00B577D8" w:rsidP="00B577D8">
      <w:pPr>
        <w:tabs>
          <w:tab w:val="left" w:pos="426"/>
        </w:tabs>
        <w:spacing w:before="120" w:line="276" w:lineRule="auto"/>
        <w:ind w:firstLine="709"/>
        <w:jc w:val="both"/>
        <w:rPr>
          <w:rFonts w:ascii="Arial" w:eastAsia="Arial" w:hAnsi="Arial" w:cs="Arial"/>
          <w:bCs/>
          <w:sz w:val="22"/>
          <w:szCs w:val="22"/>
        </w:rPr>
      </w:pPr>
      <w:r w:rsidRPr="00340C7C">
        <w:rPr>
          <w:rFonts w:ascii="Arial" w:hAnsi="Arial" w:cs="Arial"/>
          <w:bCs/>
          <w:sz w:val="22"/>
          <w:lang w:val="es-ES_tradnl"/>
        </w:rPr>
        <w:t xml:space="preserve">En este marco, esta Agencia ha entendido que el alcance de esta excepción está determinado por la prestación de servicios sanitarios y hospitalarios, siendo las entidades públicas directamente encargadas de prestar estos servicios quienes estarían cobijadas por la excepción.  </w:t>
      </w:r>
      <w:r w:rsidRPr="00340C7C">
        <w:rPr>
          <w:rFonts w:ascii="Arial" w:eastAsia="Arial" w:hAnsi="Arial" w:cs="Arial"/>
          <w:bCs/>
          <w:sz w:val="22"/>
          <w:szCs w:val="22"/>
        </w:rPr>
        <w:t>Al respecto</w:t>
      </w:r>
      <w:r w:rsidRPr="00A10BEA">
        <w:rPr>
          <w:rFonts w:ascii="Arial" w:eastAsia="Arial" w:hAnsi="Arial" w:cs="Arial"/>
          <w:bCs/>
          <w:sz w:val="22"/>
          <w:szCs w:val="22"/>
        </w:rPr>
        <w:t xml:space="preserve"> conviene diferenciar los conceptos de entidad sanitaria y autoridad sanitara</w:t>
      </w:r>
      <w:r w:rsidRPr="00340C7C">
        <w:rPr>
          <w:rFonts w:ascii="Arial" w:eastAsia="Arial" w:hAnsi="Arial" w:cs="Arial"/>
          <w:bCs/>
          <w:sz w:val="22"/>
          <w:szCs w:val="22"/>
        </w:rPr>
        <w:t>, ya que,</w:t>
      </w:r>
      <w:r w:rsidRPr="00A10BEA">
        <w:rPr>
          <w:rFonts w:ascii="Arial" w:eastAsia="Arial" w:hAnsi="Arial" w:cs="Arial"/>
          <w:bCs/>
          <w:sz w:val="22"/>
          <w:szCs w:val="22"/>
        </w:rPr>
        <w:t xml:space="preserve"> </w:t>
      </w:r>
      <w:r w:rsidRPr="00340C7C">
        <w:rPr>
          <w:rFonts w:ascii="Arial" w:eastAsia="Arial" w:hAnsi="Arial" w:cs="Arial"/>
          <w:bCs/>
          <w:sz w:val="22"/>
          <w:szCs w:val="22"/>
        </w:rPr>
        <w:t>e</w:t>
      </w:r>
      <w:r w:rsidRPr="00A10BEA">
        <w:rPr>
          <w:rFonts w:ascii="Arial" w:eastAsia="Arial" w:hAnsi="Arial" w:cs="Arial"/>
          <w:bCs/>
          <w:sz w:val="22"/>
          <w:szCs w:val="22"/>
        </w:rPr>
        <w:t xml:space="preserve">n efecto, el artículo 2.8.8.1.1.3 del Decreto 780 de 2016, «Por </w:t>
      </w:r>
      <w:r w:rsidRPr="00A10BEA">
        <w:rPr>
          <w:rFonts w:ascii="Arial" w:eastAsia="Arial" w:hAnsi="Arial" w:cs="Arial"/>
          <w:bCs/>
          <w:sz w:val="22"/>
          <w:szCs w:val="22"/>
        </w:rPr>
        <w:lastRenderedPageBreak/>
        <w:t xml:space="preserve">medio del cual se expide el Decreto Único Reglamentario del Sector Salud y Protección Social», define las </w:t>
      </w:r>
      <w:r w:rsidRPr="00A10BEA">
        <w:rPr>
          <w:rFonts w:ascii="Arial" w:eastAsia="Arial" w:hAnsi="Arial" w:cs="Arial"/>
          <w:bCs/>
          <w:i/>
          <w:iCs/>
          <w:sz w:val="22"/>
          <w:szCs w:val="22"/>
        </w:rPr>
        <w:t>entidades sanitarias</w:t>
      </w:r>
      <w:r w:rsidRPr="00A10BEA">
        <w:rPr>
          <w:rFonts w:ascii="Arial" w:eastAsia="Arial" w:hAnsi="Arial" w:cs="Arial"/>
          <w:bCs/>
          <w:sz w:val="22"/>
          <w:szCs w:val="22"/>
        </w:rPr>
        <w:t xml:space="preserve"> como «Entidades del Estado que prestan servicios sanitarios o de sanidad con el propósito de preservar la salud humana y la salud pública»</w:t>
      </w:r>
      <w:r w:rsidRPr="00340C7C">
        <w:rPr>
          <w:rFonts w:ascii="Arial" w:eastAsia="Arial" w:hAnsi="Arial" w:cs="Arial"/>
          <w:bCs/>
          <w:sz w:val="22"/>
          <w:szCs w:val="22"/>
        </w:rPr>
        <w:t xml:space="preserve">, mientras que a </w:t>
      </w:r>
      <w:r w:rsidRPr="00A10BEA">
        <w:rPr>
          <w:rFonts w:ascii="Arial" w:eastAsia="Arial" w:hAnsi="Arial" w:cs="Arial"/>
          <w:bCs/>
          <w:sz w:val="22"/>
          <w:szCs w:val="22"/>
        </w:rPr>
        <w:t xml:space="preserve">las </w:t>
      </w:r>
      <w:r w:rsidRPr="00A10BEA">
        <w:rPr>
          <w:rFonts w:ascii="Arial" w:eastAsia="Arial" w:hAnsi="Arial" w:cs="Arial"/>
          <w:bCs/>
          <w:i/>
          <w:iCs/>
          <w:sz w:val="22"/>
          <w:szCs w:val="22"/>
        </w:rPr>
        <w:t>autoridades sanitarias</w:t>
      </w:r>
      <w:r w:rsidRPr="00A10BEA">
        <w:rPr>
          <w:rFonts w:ascii="Arial" w:eastAsia="Arial" w:hAnsi="Arial" w:cs="Arial"/>
          <w:bCs/>
          <w:sz w:val="22"/>
          <w:szCs w:val="22"/>
        </w:rPr>
        <w:t xml:space="preserve"> como «Entidades jurídicas de carácter público con atribuciones para ejercer funciones de rectoría, regulación, inspección, vigilancia y control de los sectores público y privado en salud y adoptar medidas de prevención y seguimiento que garanticen la protección de la salud pública»</w:t>
      </w:r>
      <w:r w:rsidRPr="00A10BEA">
        <w:rPr>
          <w:rStyle w:val="Refdenotaalpie"/>
          <w:rFonts w:ascii="Arial" w:eastAsia="Arial" w:hAnsi="Arial" w:cs="Arial"/>
          <w:bCs/>
          <w:sz w:val="22"/>
          <w:szCs w:val="22"/>
        </w:rPr>
        <w:footnoteReference w:id="44"/>
      </w:r>
      <w:r w:rsidRPr="00A10BEA">
        <w:rPr>
          <w:rFonts w:ascii="Arial" w:eastAsia="Arial" w:hAnsi="Arial" w:cs="Arial"/>
          <w:bCs/>
          <w:sz w:val="22"/>
          <w:szCs w:val="22"/>
        </w:rPr>
        <w:t>.</w:t>
      </w:r>
    </w:p>
    <w:p w14:paraId="7BB60824" w14:textId="77777777" w:rsidR="00B577D8" w:rsidRPr="00677866" w:rsidRDefault="00B577D8" w:rsidP="00B577D8">
      <w:pPr>
        <w:tabs>
          <w:tab w:val="left" w:pos="426"/>
        </w:tabs>
        <w:spacing w:before="120" w:after="120" w:line="276" w:lineRule="auto"/>
        <w:ind w:firstLine="709"/>
        <w:jc w:val="both"/>
        <w:rPr>
          <w:rFonts w:ascii="Arial" w:eastAsia="Calibri" w:hAnsi="Arial" w:cs="Arial"/>
          <w:sz w:val="22"/>
        </w:rPr>
      </w:pPr>
      <w:r w:rsidRPr="00340C7C">
        <w:rPr>
          <w:rFonts w:ascii="Arial" w:eastAsia="Arial" w:hAnsi="Arial" w:cs="Arial"/>
          <w:bCs/>
          <w:sz w:val="22"/>
          <w:szCs w:val="22"/>
        </w:rPr>
        <w:t xml:space="preserve">Vistas las anteriores definiciones, </w:t>
      </w:r>
      <w:r w:rsidRPr="00A10BEA">
        <w:rPr>
          <w:rFonts w:ascii="Arial" w:eastAsia="Arial" w:hAnsi="Arial" w:cs="Arial"/>
          <w:bCs/>
          <w:sz w:val="22"/>
          <w:szCs w:val="22"/>
        </w:rPr>
        <w:t xml:space="preserve">es necesario tener en cuenta que la excepción del artículo 33 de la Ley de Garantías solo aplica a las </w:t>
      </w:r>
      <w:r w:rsidRPr="00A10BEA">
        <w:rPr>
          <w:rFonts w:ascii="Arial" w:eastAsia="Arial" w:hAnsi="Arial" w:cs="Arial"/>
          <w:bCs/>
          <w:i/>
          <w:iCs/>
          <w:sz w:val="22"/>
          <w:szCs w:val="22"/>
        </w:rPr>
        <w:t>entidades sanitarias</w:t>
      </w:r>
      <w:r w:rsidRPr="00A10BEA">
        <w:rPr>
          <w:rFonts w:ascii="Arial" w:eastAsia="Arial" w:hAnsi="Arial" w:cs="Arial"/>
          <w:bCs/>
          <w:sz w:val="22"/>
          <w:szCs w:val="22"/>
        </w:rPr>
        <w:t xml:space="preserve">, no a las </w:t>
      </w:r>
      <w:r w:rsidRPr="00A10BEA">
        <w:rPr>
          <w:rFonts w:ascii="Arial" w:eastAsia="Arial" w:hAnsi="Arial" w:cs="Arial"/>
          <w:bCs/>
          <w:i/>
          <w:iCs/>
          <w:sz w:val="22"/>
          <w:szCs w:val="22"/>
        </w:rPr>
        <w:t>autoridades sanitarias</w:t>
      </w:r>
      <w:r w:rsidRPr="00A10BEA">
        <w:rPr>
          <w:rFonts w:ascii="Arial" w:eastAsia="Arial" w:hAnsi="Arial" w:cs="Arial"/>
          <w:bCs/>
          <w:sz w:val="22"/>
          <w:szCs w:val="22"/>
        </w:rPr>
        <w:t xml:space="preserve">. </w:t>
      </w:r>
      <w:r w:rsidRPr="00340C7C">
        <w:rPr>
          <w:rFonts w:ascii="Arial" w:eastAsia="Arial" w:hAnsi="Arial" w:cs="Arial"/>
          <w:bCs/>
          <w:sz w:val="22"/>
          <w:szCs w:val="22"/>
        </w:rPr>
        <w:t>Esto por cuanto,</w:t>
      </w:r>
      <w:r w:rsidRPr="00A10BEA">
        <w:rPr>
          <w:rFonts w:ascii="Arial" w:eastAsia="Arial" w:hAnsi="Arial" w:cs="Arial"/>
          <w:bCs/>
          <w:sz w:val="22"/>
          <w:szCs w:val="22"/>
          <w:lang w:val="es-ES_tradnl"/>
        </w:rPr>
        <w:t xml:space="preserve"> para efectos de la excepción del artículo 33 es indiferente que la entidad estatal tenga funciones de </w:t>
      </w:r>
      <w:r w:rsidRPr="00A10BEA">
        <w:rPr>
          <w:rFonts w:ascii="Arial" w:eastAsia="Arial" w:hAnsi="Arial" w:cs="Arial"/>
          <w:bCs/>
          <w:i/>
          <w:iCs/>
          <w:sz w:val="22"/>
          <w:szCs w:val="22"/>
          <w:lang w:val="es-ES_tradnl"/>
        </w:rPr>
        <w:t>autoridad sanitaria</w:t>
      </w:r>
      <w:r w:rsidRPr="00A10BEA">
        <w:rPr>
          <w:rFonts w:ascii="Arial" w:eastAsia="Arial" w:hAnsi="Arial" w:cs="Arial"/>
          <w:bCs/>
          <w:sz w:val="22"/>
          <w:szCs w:val="22"/>
          <w:lang w:val="es-ES_tradnl"/>
        </w:rPr>
        <w:t xml:space="preserve">, pues lo relevante para determinar si la contratación está exceptuada de la prohibición general no es el </w:t>
      </w:r>
      <w:r w:rsidRPr="00677866">
        <w:rPr>
          <w:rFonts w:ascii="Arial" w:eastAsia="Arial" w:hAnsi="Arial" w:cs="Arial"/>
          <w:bCs/>
          <w:sz w:val="22"/>
          <w:szCs w:val="22"/>
          <w:lang w:val="es-ES_tradnl"/>
        </w:rPr>
        <w:t xml:space="preserve">carácter de autoridad sanitaria, sino que se trate de una </w:t>
      </w:r>
      <w:r w:rsidRPr="00677866">
        <w:rPr>
          <w:rFonts w:ascii="Arial" w:eastAsia="Arial" w:hAnsi="Arial" w:cs="Arial"/>
          <w:bCs/>
          <w:i/>
          <w:iCs/>
          <w:sz w:val="22"/>
          <w:szCs w:val="22"/>
          <w:lang w:val="es-ES_tradnl"/>
        </w:rPr>
        <w:t>entidad sanitaria</w:t>
      </w:r>
      <w:r w:rsidRPr="00677866">
        <w:rPr>
          <w:rFonts w:ascii="Arial" w:eastAsia="Arial" w:hAnsi="Arial" w:cs="Arial"/>
          <w:bCs/>
          <w:sz w:val="22"/>
          <w:szCs w:val="22"/>
          <w:lang w:val="es-ES_tradnl"/>
        </w:rPr>
        <w:t xml:space="preserve">. </w:t>
      </w:r>
    </w:p>
    <w:p w14:paraId="0CBE2A1B" w14:textId="2C5E94A1" w:rsidR="00C93F39" w:rsidRDefault="00D26282" w:rsidP="0097447B">
      <w:pPr>
        <w:tabs>
          <w:tab w:val="left" w:pos="426"/>
        </w:tabs>
        <w:spacing w:before="120" w:line="276" w:lineRule="auto"/>
        <w:ind w:firstLine="709"/>
        <w:jc w:val="both"/>
        <w:rPr>
          <w:rFonts w:ascii="Arial" w:hAnsi="Arial" w:cs="Arial"/>
          <w:color w:val="161616" w:themeColor="background1" w:themeShade="1A"/>
          <w:sz w:val="22"/>
          <w:szCs w:val="22"/>
          <w:lang w:val="es-ES_tradnl"/>
        </w:rPr>
      </w:pPr>
      <w:r w:rsidRPr="00677866">
        <w:rPr>
          <w:rFonts w:ascii="Arial" w:hAnsi="Arial" w:cs="Arial"/>
          <w:bCs/>
          <w:sz w:val="22"/>
          <w:szCs w:val="22"/>
          <w:lang w:val="es-ES_tradnl"/>
        </w:rPr>
        <w:t>De conformidad con lo anterior</w:t>
      </w:r>
      <w:r w:rsidR="008779AD" w:rsidRPr="00490E94">
        <w:rPr>
          <w:rFonts w:ascii="Arial" w:hAnsi="Arial" w:cs="Arial"/>
          <w:bCs/>
          <w:sz w:val="22"/>
          <w:szCs w:val="22"/>
          <w:lang w:val="es-ES_tradnl"/>
        </w:rPr>
        <w:t>, l</w:t>
      </w:r>
      <w:r w:rsidRPr="00490E94">
        <w:rPr>
          <w:rFonts w:ascii="Arial" w:hAnsi="Arial" w:cs="Arial"/>
          <w:bCs/>
          <w:sz w:val="22"/>
          <w:szCs w:val="22"/>
          <w:lang w:val="es-ES_tradnl"/>
        </w:rPr>
        <w:t>os contratos</w:t>
      </w:r>
      <w:r w:rsidR="009D4AAF" w:rsidRPr="00677866">
        <w:rPr>
          <w:rFonts w:ascii="Arial" w:hAnsi="Arial" w:cs="Arial"/>
          <w:bCs/>
          <w:sz w:val="22"/>
          <w:szCs w:val="22"/>
          <w:lang w:val="es-ES_tradnl"/>
        </w:rPr>
        <w:t xml:space="preserve"> o convenios</w:t>
      </w:r>
      <w:r w:rsidRPr="00490E94">
        <w:rPr>
          <w:rFonts w:ascii="Arial" w:hAnsi="Arial" w:cs="Arial"/>
          <w:bCs/>
          <w:sz w:val="22"/>
          <w:szCs w:val="22"/>
          <w:lang w:val="es-ES_tradnl"/>
        </w:rPr>
        <w:t xml:space="preserve"> a los que hace referencia el artículo </w:t>
      </w:r>
      <w:r w:rsidRPr="00490E94">
        <w:rPr>
          <w:rFonts w:ascii="Arial" w:hAnsi="Arial" w:cs="Arial"/>
          <w:color w:val="161616" w:themeColor="background1" w:themeShade="1A"/>
          <w:sz w:val="22"/>
          <w:szCs w:val="22"/>
          <w:lang w:val="es-ES_tradnl"/>
        </w:rPr>
        <w:t>2.4.2.7 del Decreto</w:t>
      </w:r>
      <w:r w:rsidR="00154F76" w:rsidRPr="00677866">
        <w:rPr>
          <w:rFonts w:ascii="Arial" w:hAnsi="Arial" w:cs="Arial"/>
          <w:color w:val="161616" w:themeColor="background1" w:themeShade="1A"/>
          <w:sz w:val="22"/>
          <w:szCs w:val="22"/>
          <w:lang w:val="es-ES_tradnl"/>
        </w:rPr>
        <w:t xml:space="preserve"> 780 de 2016</w:t>
      </w:r>
      <w:r w:rsidR="00A725D8" w:rsidRPr="00677866">
        <w:rPr>
          <w:rStyle w:val="Refdenotaalpie"/>
          <w:rFonts w:ascii="Arial" w:hAnsi="Arial" w:cs="Arial"/>
          <w:color w:val="161616" w:themeColor="background1" w:themeShade="1A"/>
          <w:sz w:val="22"/>
          <w:szCs w:val="22"/>
          <w:lang w:val="es-ES_tradnl"/>
        </w:rPr>
        <w:footnoteReference w:id="45"/>
      </w:r>
      <w:r w:rsidR="009D4AAF" w:rsidRPr="00677866">
        <w:rPr>
          <w:rFonts w:ascii="Arial" w:hAnsi="Arial" w:cs="Arial"/>
          <w:color w:val="161616" w:themeColor="background1" w:themeShade="1A"/>
          <w:sz w:val="22"/>
          <w:szCs w:val="22"/>
          <w:lang w:val="es-ES_tradnl"/>
        </w:rPr>
        <w:t>,</w:t>
      </w:r>
      <w:r w:rsidR="00E97FB0" w:rsidRPr="00677866">
        <w:rPr>
          <w:rFonts w:ascii="Arial" w:hAnsi="Arial" w:cs="Arial"/>
          <w:color w:val="161616" w:themeColor="background1" w:themeShade="1A"/>
          <w:sz w:val="22"/>
          <w:szCs w:val="22"/>
          <w:lang w:val="es-ES_tradnl"/>
        </w:rPr>
        <w:t xml:space="preserve"> cuyos objetos tienen que ver con la ejecución de r</w:t>
      </w:r>
      <w:r w:rsidR="000A04EB" w:rsidRPr="00677866">
        <w:rPr>
          <w:rFonts w:ascii="Arial" w:hAnsi="Arial" w:cs="Arial"/>
          <w:color w:val="161616" w:themeColor="background1" w:themeShade="1A"/>
          <w:sz w:val="22"/>
          <w:szCs w:val="22"/>
          <w:lang w:val="es-ES_tradnl"/>
        </w:rPr>
        <w:t>ecursos del subsidio a la oferta a las Empresas Sociales del Estado o administradores de infraestructura pública para la prestación de servicios de salud</w:t>
      </w:r>
      <w:r w:rsidR="00E97FB0" w:rsidRPr="00677866">
        <w:rPr>
          <w:rFonts w:ascii="Arial" w:hAnsi="Arial" w:cs="Arial"/>
          <w:color w:val="161616" w:themeColor="background1" w:themeShade="1A"/>
          <w:sz w:val="22"/>
          <w:szCs w:val="22"/>
          <w:lang w:val="es-ES_tradnl"/>
        </w:rPr>
        <w:t xml:space="preserve">, </w:t>
      </w:r>
      <w:r w:rsidR="001468DA" w:rsidRPr="00677866">
        <w:rPr>
          <w:rFonts w:ascii="Arial" w:hAnsi="Arial" w:cs="Arial"/>
          <w:color w:val="161616" w:themeColor="background1" w:themeShade="1A"/>
          <w:sz w:val="22"/>
          <w:szCs w:val="22"/>
          <w:lang w:val="es-ES_tradnl"/>
        </w:rPr>
        <w:t>en principio estarían restringidos</w:t>
      </w:r>
      <w:r w:rsidR="00CC2169" w:rsidRPr="00677866">
        <w:rPr>
          <w:rFonts w:ascii="Arial" w:hAnsi="Arial" w:cs="Arial"/>
          <w:color w:val="161616" w:themeColor="background1" w:themeShade="1A"/>
          <w:sz w:val="22"/>
          <w:szCs w:val="22"/>
          <w:lang w:val="es-ES_tradnl"/>
        </w:rPr>
        <w:t xml:space="preserve"> durante la vigencia de la restricción del artículo 33 </w:t>
      </w:r>
      <w:r w:rsidR="00CC2169" w:rsidRPr="00490E94">
        <w:rPr>
          <w:rFonts w:ascii="Arial" w:hAnsi="Arial" w:cs="Arial"/>
          <w:i/>
          <w:iCs/>
          <w:color w:val="161616" w:themeColor="background1" w:themeShade="1A"/>
          <w:sz w:val="22"/>
          <w:szCs w:val="22"/>
          <w:lang w:val="es-ES_tradnl"/>
        </w:rPr>
        <w:t>ibídem</w:t>
      </w:r>
      <w:r w:rsidR="00CC2169" w:rsidRPr="00677866">
        <w:rPr>
          <w:rFonts w:ascii="Arial" w:hAnsi="Arial" w:cs="Arial"/>
          <w:i/>
          <w:iCs/>
          <w:color w:val="161616" w:themeColor="background1" w:themeShade="1A"/>
          <w:sz w:val="22"/>
          <w:szCs w:val="22"/>
          <w:lang w:val="es-ES_tradnl"/>
        </w:rPr>
        <w:t>,</w:t>
      </w:r>
      <w:r w:rsidR="00CC2169" w:rsidRPr="00677866">
        <w:rPr>
          <w:rFonts w:ascii="Arial" w:hAnsi="Arial" w:cs="Arial"/>
          <w:color w:val="161616" w:themeColor="background1" w:themeShade="1A"/>
          <w:sz w:val="22"/>
          <w:szCs w:val="22"/>
          <w:lang w:val="es-ES_tradnl"/>
        </w:rPr>
        <w:t xml:space="preserve"> </w:t>
      </w:r>
      <w:r w:rsidR="001468DA" w:rsidRPr="00677866">
        <w:rPr>
          <w:rFonts w:ascii="Arial" w:hAnsi="Arial" w:cs="Arial"/>
          <w:color w:val="161616" w:themeColor="background1" w:themeShade="1A"/>
          <w:sz w:val="22"/>
          <w:szCs w:val="22"/>
          <w:lang w:val="es-ES_tradnl"/>
        </w:rPr>
        <w:t xml:space="preserve"> ya que estos necesariamente tendrían </w:t>
      </w:r>
      <w:r w:rsidR="00725F36" w:rsidRPr="00677866">
        <w:rPr>
          <w:rFonts w:ascii="Arial" w:hAnsi="Arial" w:cs="Arial"/>
          <w:color w:val="161616" w:themeColor="background1" w:themeShade="1A"/>
          <w:sz w:val="22"/>
          <w:szCs w:val="22"/>
          <w:lang w:val="es-ES_tradnl"/>
        </w:rPr>
        <w:t>como cocontratantes</w:t>
      </w:r>
      <w:r w:rsidR="00CC2169" w:rsidRPr="00677866">
        <w:rPr>
          <w:rFonts w:ascii="Arial" w:hAnsi="Arial" w:cs="Arial"/>
          <w:color w:val="161616" w:themeColor="background1" w:themeShade="1A"/>
          <w:sz w:val="22"/>
          <w:szCs w:val="22"/>
          <w:lang w:val="es-ES_tradnl"/>
        </w:rPr>
        <w:t xml:space="preserve"> </w:t>
      </w:r>
      <w:r w:rsidR="00725F36" w:rsidRPr="00677866">
        <w:rPr>
          <w:rFonts w:ascii="Arial" w:hAnsi="Arial" w:cs="Arial"/>
          <w:color w:val="161616" w:themeColor="background1" w:themeShade="1A"/>
          <w:sz w:val="22"/>
          <w:szCs w:val="22"/>
          <w:lang w:val="es-ES_tradnl"/>
        </w:rPr>
        <w:t xml:space="preserve">a </w:t>
      </w:r>
      <w:r w:rsidR="00CC2169" w:rsidRPr="00677866">
        <w:rPr>
          <w:rFonts w:ascii="Arial" w:hAnsi="Arial" w:cs="Arial"/>
          <w:color w:val="161616" w:themeColor="background1" w:themeShade="1A"/>
          <w:sz w:val="22"/>
          <w:szCs w:val="22"/>
          <w:lang w:val="es-ES_tradnl"/>
        </w:rPr>
        <w:t xml:space="preserve">entidades territoriales como los municipios o departamentos. </w:t>
      </w:r>
      <w:r w:rsidR="00AA23EE" w:rsidRPr="00677866">
        <w:rPr>
          <w:rFonts w:ascii="Arial" w:hAnsi="Arial" w:cs="Arial"/>
          <w:color w:val="161616" w:themeColor="background1" w:themeShade="1A"/>
          <w:sz w:val="22"/>
          <w:szCs w:val="22"/>
          <w:lang w:val="es-ES_tradnl"/>
        </w:rPr>
        <w:t xml:space="preserve">En tales términos, a pesar de que las Empresas Sociales del Estado </w:t>
      </w:r>
      <w:r w:rsidR="00827F03" w:rsidRPr="00677866">
        <w:rPr>
          <w:rFonts w:ascii="Arial" w:hAnsi="Arial" w:cs="Arial"/>
          <w:color w:val="161616" w:themeColor="background1" w:themeShade="1A"/>
          <w:sz w:val="22"/>
          <w:szCs w:val="22"/>
          <w:lang w:val="es-ES_tradnl"/>
        </w:rPr>
        <w:t xml:space="preserve">en efecto </w:t>
      </w:r>
      <w:r w:rsidR="00AA23EE" w:rsidRPr="00677866">
        <w:rPr>
          <w:rFonts w:ascii="Arial" w:hAnsi="Arial" w:cs="Arial"/>
          <w:color w:val="161616" w:themeColor="background1" w:themeShade="1A"/>
          <w:sz w:val="22"/>
          <w:szCs w:val="22"/>
          <w:lang w:val="es-ES_tradnl"/>
        </w:rPr>
        <w:t>está</w:t>
      </w:r>
      <w:r w:rsidR="00827F03" w:rsidRPr="00677866">
        <w:rPr>
          <w:rFonts w:ascii="Arial" w:hAnsi="Arial" w:cs="Arial"/>
          <w:color w:val="161616" w:themeColor="background1" w:themeShade="1A"/>
          <w:sz w:val="22"/>
          <w:szCs w:val="22"/>
          <w:lang w:val="es-ES_tradnl"/>
        </w:rPr>
        <w:t>n</w:t>
      </w:r>
      <w:r w:rsidR="00AA23EE" w:rsidRPr="00677866">
        <w:rPr>
          <w:rFonts w:ascii="Arial" w:hAnsi="Arial" w:cs="Arial"/>
          <w:color w:val="161616" w:themeColor="background1" w:themeShade="1A"/>
          <w:sz w:val="22"/>
          <w:szCs w:val="22"/>
          <w:lang w:val="es-ES_tradnl"/>
        </w:rPr>
        <w:t xml:space="preserve"> cobijadas por la referida excepción, el hecho de que la misma </w:t>
      </w:r>
      <w:r w:rsidR="00827F03" w:rsidRPr="00677866">
        <w:rPr>
          <w:rFonts w:ascii="Arial" w:hAnsi="Arial" w:cs="Arial"/>
          <w:color w:val="161616" w:themeColor="background1" w:themeShade="1A"/>
          <w:sz w:val="22"/>
          <w:szCs w:val="22"/>
          <w:lang w:val="es-ES_tradnl"/>
        </w:rPr>
        <w:t>no sea aplicable a los municipios</w:t>
      </w:r>
      <w:r w:rsidR="00CD2727" w:rsidRPr="00677866">
        <w:rPr>
          <w:rFonts w:ascii="Arial" w:hAnsi="Arial" w:cs="Arial"/>
          <w:color w:val="161616" w:themeColor="background1" w:themeShade="1A"/>
          <w:sz w:val="22"/>
          <w:szCs w:val="22"/>
          <w:lang w:val="es-ES_tradnl"/>
        </w:rPr>
        <w:t>–por no t</w:t>
      </w:r>
      <w:r w:rsidR="00827F03" w:rsidRPr="00677866">
        <w:rPr>
          <w:rFonts w:ascii="Arial" w:hAnsi="Arial" w:cs="Arial"/>
          <w:color w:val="161616" w:themeColor="background1" w:themeShade="1A"/>
          <w:sz w:val="22"/>
          <w:szCs w:val="22"/>
          <w:lang w:val="es-ES_tradnl"/>
        </w:rPr>
        <w:t>ener la calidad</w:t>
      </w:r>
      <w:r w:rsidR="00CD2727" w:rsidRPr="00677866">
        <w:rPr>
          <w:rFonts w:ascii="Arial" w:hAnsi="Arial" w:cs="Arial"/>
          <w:color w:val="161616" w:themeColor="background1" w:themeShade="1A"/>
          <w:sz w:val="22"/>
          <w:szCs w:val="22"/>
          <w:lang w:val="es-ES_tradnl"/>
        </w:rPr>
        <w:t xml:space="preserve"> de entidades sanitarias y hospitalarias–, </w:t>
      </w:r>
      <w:r w:rsidR="000B2778" w:rsidRPr="00677866">
        <w:rPr>
          <w:rFonts w:ascii="Arial" w:hAnsi="Arial" w:cs="Arial"/>
          <w:color w:val="161616" w:themeColor="background1" w:themeShade="1A"/>
          <w:sz w:val="22"/>
          <w:szCs w:val="22"/>
          <w:lang w:val="es-ES_tradnl"/>
        </w:rPr>
        <w:t>impediría la celebración de este tipo de convenios</w:t>
      </w:r>
      <w:r w:rsidR="00B517DC" w:rsidRPr="00677866">
        <w:rPr>
          <w:rFonts w:ascii="Arial" w:hAnsi="Arial" w:cs="Arial"/>
          <w:color w:val="161616" w:themeColor="background1" w:themeShade="1A"/>
          <w:sz w:val="22"/>
          <w:szCs w:val="22"/>
          <w:lang w:val="es-ES_tradnl"/>
        </w:rPr>
        <w:t xml:space="preserve"> </w:t>
      </w:r>
      <w:r w:rsidR="004B1BD5" w:rsidRPr="00677866">
        <w:rPr>
          <w:rFonts w:ascii="Arial" w:hAnsi="Arial" w:cs="Arial"/>
          <w:color w:val="161616" w:themeColor="background1" w:themeShade="1A"/>
          <w:sz w:val="22"/>
          <w:szCs w:val="22"/>
          <w:lang w:val="es-ES_tradnl"/>
        </w:rPr>
        <w:t>de manera dir</w:t>
      </w:r>
      <w:r w:rsidR="00C87688" w:rsidRPr="00677866">
        <w:rPr>
          <w:rFonts w:ascii="Arial" w:hAnsi="Arial" w:cs="Arial"/>
          <w:color w:val="161616" w:themeColor="background1" w:themeShade="1A"/>
          <w:sz w:val="22"/>
          <w:szCs w:val="22"/>
          <w:lang w:val="es-ES_tradnl"/>
        </w:rPr>
        <w:t xml:space="preserve">ecta </w:t>
      </w:r>
      <w:r w:rsidR="00B517DC" w:rsidRPr="00677866">
        <w:rPr>
          <w:rFonts w:ascii="Arial" w:hAnsi="Arial" w:cs="Arial"/>
          <w:color w:val="161616" w:themeColor="background1" w:themeShade="1A"/>
          <w:sz w:val="22"/>
          <w:szCs w:val="22"/>
          <w:lang w:val="es-ES_tradnl"/>
        </w:rPr>
        <w:t>con dichas entidades</w:t>
      </w:r>
      <w:r w:rsidR="00154F76" w:rsidRPr="00677866">
        <w:rPr>
          <w:rFonts w:ascii="Arial" w:hAnsi="Arial" w:cs="Arial"/>
          <w:color w:val="161616" w:themeColor="background1" w:themeShade="1A"/>
          <w:sz w:val="22"/>
          <w:szCs w:val="22"/>
          <w:lang w:val="es-ES_tradnl"/>
        </w:rPr>
        <w:t xml:space="preserve">, así como con los administradores de infraestructura pública a los que </w:t>
      </w:r>
      <w:r w:rsidR="00154F76" w:rsidRPr="00677866">
        <w:rPr>
          <w:rFonts w:ascii="Arial" w:hAnsi="Arial" w:cs="Arial"/>
          <w:color w:val="161616" w:themeColor="background1" w:themeShade="1A"/>
          <w:sz w:val="22"/>
          <w:szCs w:val="22"/>
          <w:lang w:val="es-ES_tradnl"/>
        </w:rPr>
        <w:lastRenderedPageBreak/>
        <w:t xml:space="preserve">hace referencia el artículo 2.4.2.7 </w:t>
      </w:r>
      <w:r w:rsidR="00A91761" w:rsidRPr="00677866">
        <w:rPr>
          <w:rFonts w:ascii="Arial" w:hAnsi="Arial" w:cs="Arial"/>
          <w:color w:val="161616" w:themeColor="background1" w:themeShade="1A"/>
          <w:sz w:val="22"/>
          <w:szCs w:val="22"/>
          <w:lang w:val="es-ES_tradnl"/>
        </w:rPr>
        <w:t>del Decreto 780 de 2016, sustituido por el Decreto 268 de 2020</w:t>
      </w:r>
      <w:r w:rsidR="00E651E5" w:rsidRPr="00677866">
        <w:rPr>
          <w:rFonts w:ascii="Arial" w:hAnsi="Arial" w:cs="Arial"/>
          <w:color w:val="161616" w:themeColor="background1" w:themeShade="1A"/>
          <w:sz w:val="22"/>
          <w:szCs w:val="22"/>
          <w:lang w:val="es-ES_tradnl"/>
        </w:rPr>
        <w:t>.</w:t>
      </w:r>
      <w:r w:rsidR="00E651E5">
        <w:rPr>
          <w:rFonts w:ascii="Arial" w:hAnsi="Arial" w:cs="Arial"/>
          <w:color w:val="161616" w:themeColor="background1" w:themeShade="1A"/>
          <w:sz w:val="22"/>
          <w:szCs w:val="22"/>
          <w:lang w:val="es-ES_tradnl"/>
        </w:rPr>
        <w:t xml:space="preserve"> </w:t>
      </w:r>
      <w:r w:rsidR="00A91761">
        <w:rPr>
          <w:rFonts w:ascii="Arial" w:hAnsi="Arial" w:cs="Arial"/>
          <w:color w:val="161616" w:themeColor="background1" w:themeShade="1A"/>
          <w:sz w:val="22"/>
          <w:szCs w:val="22"/>
          <w:lang w:val="es-ES_tradnl"/>
        </w:rPr>
        <w:t xml:space="preserve"> </w:t>
      </w:r>
    </w:p>
    <w:p w14:paraId="05A33CB2" w14:textId="23EBC735" w:rsidR="00831556" w:rsidRDefault="00831556" w:rsidP="00831556">
      <w:pPr>
        <w:spacing w:line="276" w:lineRule="auto"/>
        <w:ind w:firstLine="708"/>
        <w:jc w:val="both"/>
        <w:rPr>
          <w:rFonts w:ascii="Arial" w:hAnsi="Arial" w:cs="Arial"/>
          <w:bCs/>
          <w:sz w:val="22"/>
          <w:szCs w:val="22"/>
          <w:lang w:eastAsia="es-CO"/>
        </w:rPr>
      </w:pPr>
      <w:r w:rsidRPr="00677866">
        <w:rPr>
          <w:rFonts w:ascii="Arial" w:eastAsia="Calibri" w:hAnsi="Arial" w:cs="Arial"/>
          <w:sz w:val="22"/>
        </w:rPr>
        <w:t>En todo caso,</w:t>
      </w:r>
      <w:r w:rsidRPr="00677866">
        <w:rPr>
          <w:rFonts w:ascii="Arial" w:eastAsia="Calibri" w:hAnsi="Arial" w:cs="Arial"/>
          <w:b/>
          <w:bCs/>
          <w:sz w:val="22"/>
        </w:rPr>
        <w:t xml:space="preserve"> </w:t>
      </w:r>
      <w:r w:rsidRPr="00677866">
        <w:rPr>
          <w:rFonts w:ascii="Arial" w:hAnsi="Arial" w:cs="Arial"/>
          <w:bCs/>
          <w:sz w:val="22"/>
          <w:lang w:eastAsia="es-CO"/>
        </w:rPr>
        <w:t>cada entidad estatal debe analizar en el caso concreto si se presenta o no el supuesto que habilite la contratación directa, respetando el carácter taxativo de las excepciones señaladas en el segundo inciso del referido artículo 33. Esto supone, en el caso de la excepción del artículo 33</w:t>
      </w:r>
      <w:r w:rsidRPr="00677866">
        <w:rPr>
          <w:rFonts w:ascii="Arial" w:hAnsi="Arial" w:cs="Arial"/>
          <w:bCs/>
          <w:sz w:val="22"/>
          <w:szCs w:val="22"/>
          <w:lang w:eastAsia="es-CO"/>
        </w:rPr>
        <w:t>, verificar si el objeto de la correspondiente institución pública, así como los servicios que presta, la hacen susceptible de ser considerada una entidad sanitaria, según lo explicado en el presente concepto.</w:t>
      </w:r>
      <w:r w:rsidRPr="00340C7C">
        <w:rPr>
          <w:rFonts w:ascii="Arial" w:hAnsi="Arial" w:cs="Arial"/>
          <w:bCs/>
          <w:sz w:val="22"/>
          <w:szCs w:val="22"/>
          <w:lang w:eastAsia="es-CO"/>
        </w:rPr>
        <w:t xml:space="preserve"> </w:t>
      </w:r>
    </w:p>
    <w:p w14:paraId="2745FD4B" w14:textId="77777777" w:rsidR="00E7054A" w:rsidRPr="00340C7C" w:rsidRDefault="00E7054A" w:rsidP="00490E94">
      <w:pPr>
        <w:spacing w:line="276" w:lineRule="auto"/>
        <w:jc w:val="both"/>
        <w:rPr>
          <w:rFonts w:ascii="Arial" w:hAnsi="Arial" w:cs="Arial"/>
          <w:bCs/>
          <w:i/>
          <w:iCs/>
          <w:sz w:val="22"/>
          <w:lang w:eastAsia="es-CO"/>
        </w:rPr>
      </w:pPr>
    </w:p>
    <w:p w14:paraId="0B5723FA" w14:textId="72AD083C" w:rsidR="00C32018" w:rsidRDefault="00E54365" w:rsidP="00E7054A">
      <w:pPr>
        <w:spacing w:line="276" w:lineRule="auto"/>
        <w:ind w:right="79"/>
        <w:jc w:val="both"/>
        <w:rPr>
          <w:rFonts w:ascii="Arial" w:eastAsia="Calibri" w:hAnsi="Arial" w:cs="Arial"/>
          <w:b/>
          <w:noProof/>
          <w:color w:val="161616" w:themeColor="background1" w:themeShade="1A"/>
          <w:sz w:val="22"/>
          <w:szCs w:val="22"/>
          <w:lang w:val="es-ES_tradnl"/>
        </w:rPr>
      </w:pPr>
      <w:bookmarkStart w:id="25" w:name="_1y810tw" w:colFirst="0" w:colLast="0"/>
      <w:bookmarkStart w:id="26" w:name="_2xcytpi" w:colFirst="0" w:colLast="0"/>
      <w:bookmarkStart w:id="27" w:name="_1ci93xb" w:colFirst="0" w:colLast="0"/>
      <w:bookmarkStart w:id="28" w:name="_3whwml4" w:colFirst="0" w:colLast="0"/>
      <w:bookmarkEnd w:id="10"/>
      <w:bookmarkEnd w:id="25"/>
      <w:bookmarkEnd w:id="26"/>
      <w:bookmarkEnd w:id="27"/>
      <w:bookmarkEnd w:id="28"/>
      <w:r w:rsidRPr="00D86474">
        <w:rPr>
          <w:rFonts w:ascii="Arial" w:eastAsia="Calibri" w:hAnsi="Arial" w:cs="Arial"/>
          <w:b/>
          <w:noProof/>
          <w:color w:val="161616" w:themeColor="background1" w:themeShade="1A"/>
          <w:sz w:val="22"/>
          <w:szCs w:val="22"/>
          <w:lang w:val="es-ES_tradnl"/>
        </w:rPr>
        <w:t>3. Respuesta</w:t>
      </w:r>
    </w:p>
    <w:p w14:paraId="7321D67C" w14:textId="77777777" w:rsidR="00D85587" w:rsidRDefault="00D85587" w:rsidP="00490E94">
      <w:pPr>
        <w:spacing w:line="276" w:lineRule="auto"/>
        <w:ind w:right="79"/>
        <w:jc w:val="both"/>
        <w:rPr>
          <w:rFonts w:ascii="Arial" w:eastAsia="Calibri" w:hAnsi="Arial" w:cs="Arial"/>
          <w:b/>
          <w:noProof/>
          <w:color w:val="161616" w:themeColor="background1" w:themeShade="1A"/>
          <w:sz w:val="22"/>
          <w:szCs w:val="22"/>
          <w:lang w:val="es-ES_tradnl"/>
        </w:rPr>
      </w:pPr>
    </w:p>
    <w:p w14:paraId="481FA7EF" w14:textId="77777777" w:rsidR="00A529CB" w:rsidRDefault="00A529CB" w:rsidP="00490E94">
      <w:pPr>
        <w:ind w:left="567" w:right="786"/>
        <w:jc w:val="both"/>
        <w:rPr>
          <w:rFonts w:ascii="Arial" w:hAnsi="Arial" w:cs="Arial"/>
          <w:color w:val="161616" w:themeColor="background1" w:themeShade="1A"/>
          <w:sz w:val="21"/>
          <w:szCs w:val="21"/>
          <w:lang w:val="es-ES_tradnl"/>
        </w:rPr>
      </w:pPr>
      <w:r w:rsidRPr="00515D32">
        <w:rPr>
          <w:rFonts w:ascii="Arial" w:hAnsi="Arial" w:cs="Arial"/>
          <w:color w:val="161616" w:themeColor="background1" w:themeShade="1A"/>
          <w:sz w:val="21"/>
          <w:szCs w:val="21"/>
          <w:lang w:val="es-ES_tradnl"/>
        </w:rPr>
        <w:t>«</w:t>
      </w:r>
      <w:r w:rsidRPr="00EA04BE">
        <w:rPr>
          <w:rFonts w:ascii="Arial" w:hAnsi="Arial" w:cs="Arial"/>
          <w:color w:val="161616" w:themeColor="background1" w:themeShade="1A"/>
          <w:sz w:val="21"/>
          <w:szCs w:val="21"/>
          <w:lang w:val="es-ES_tradnl"/>
        </w:rPr>
        <w:t>No obstante lo anterior es importante establecer si dentro de los contratos de servicios</w:t>
      </w:r>
      <w:r>
        <w:rPr>
          <w:rFonts w:ascii="Arial" w:hAnsi="Arial" w:cs="Arial"/>
          <w:color w:val="161616" w:themeColor="background1" w:themeShade="1A"/>
          <w:sz w:val="21"/>
          <w:szCs w:val="21"/>
          <w:lang w:val="es-ES_tradnl"/>
        </w:rPr>
        <w:t xml:space="preserve"> </w:t>
      </w:r>
      <w:r w:rsidRPr="00EA04BE">
        <w:rPr>
          <w:rFonts w:ascii="Arial" w:hAnsi="Arial" w:cs="Arial"/>
          <w:color w:val="161616" w:themeColor="background1" w:themeShade="1A"/>
          <w:sz w:val="21"/>
          <w:szCs w:val="21"/>
          <w:lang w:val="es-ES_tradnl"/>
        </w:rPr>
        <w:t>de salud puede enmarcarse el de subsidios a la oferta que celebran los municipios con las</w:t>
      </w:r>
      <w:r>
        <w:rPr>
          <w:rFonts w:ascii="Arial" w:hAnsi="Arial" w:cs="Arial"/>
          <w:color w:val="161616" w:themeColor="background1" w:themeShade="1A"/>
          <w:sz w:val="21"/>
          <w:szCs w:val="21"/>
          <w:lang w:val="es-ES_tradnl"/>
        </w:rPr>
        <w:t xml:space="preserve"> </w:t>
      </w:r>
      <w:r w:rsidRPr="00EA04BE">
        <w:rPr>
          <w:rFonts w:ascii="Arial" w:hAnsi="Arial" w:cs="Arial"/>
          <w:color w:val="161616" w:themeColor="background1" w:themeShade="1A"/>
          <w:sz w:val="21"/>
          <w:szCs w:val="21"/>
          <w:lang w:val="es-ES_tradnl"/>
        </w:rPr>
        <w:t>empresas sociales del estado con recursos provenientes del orden nacional y que se</w:t>
      </w:r>
      <w:r>
        <w:rPr>
          <w:rFonts w:ascii="Arial" w:hAnsi="Arial" w:cs="Arial"/>
          <w:color w:val="161616" w:themeColor="background1" w:themeShade="1A"/>
          <w:sz w:val="21"/>
          <w:szCs w:val="21"/>
          <w:lang w:val="es-ES_tradnl"/>
        </w:rPr>
        <w:t xml:space="preserve"> </w:t>
      </w:r>
      <w:r w:rsidRPr="00EA04BE">
        <w:rPr>
          <w:rFonts w:ascii="Arial" w:hAnsi="Arial" w:cs="Arial"/>
          <w:color w:val="161616" w:themeColor="background1" w:themeShade="1A"/>
          <w:sz w:val="21"/>
          <w:szCs w:val="21"/>
          <w:lang w:val="es-ES_tradnl"/>
        </w:rPr>
        <w:t>asignaron a las entidades territoriales para que estas vía contrato y/o convenio las</w:t>
      </w:r>
      <w:r>
        <w:rPr>
          <w:rFonts w:ascii="Arial" w:hAnsi="Arial" w:cs="Arial"/>
          <w:color w:val="161616" w:themeColor="background1" w:themeShade="1A"/>
          <w:sz w:val="21"/>
          <w:szCs w:val="21"/>
          <w:lang w:val="es-ES_tradnl"/>
        </w:rPr>
        <w:t xml:space="preserve"> </w:t>
      </w:r>
      <w:r w:rsidRPr="00EA04BE">
        <w:rPr>
          <w:rFonts w:ascii="Arial" w:hAnsi="Arial" w:cs="Arial"/>
          <w:color w:val="161616" w:themeColor="background1" w:themeShade="1A"/>
          <w:sz w:val="21"/>
          <w:szCs w:val="21"/>
          <w:lang w:val="es-ES_tradnl"/>
        </w:rPr>
        <w:t>transfirieran a las empresas sociales del estado con el ánimo de ser más eficiente su</w:t>
      </w:r>
      <w:r>
        <w:rPr>
          <w:rFonts w:ascii="Arial" w:hAnsi="Arial" w:cs="Arial"/>
          <w:color w:val="161616" w:themeColor="background1" w:themeShade="1A"/>
          <w:sz w:val="21"/>
          <w:szCs w:val="21"/>
          <w:lang w:val="es-ES_tradnl"/>
        </w:rPr>
        <w:t xml:space="preserve"> </w:t>
      </w:r>
      <w:r w:rsidRPr="00EA04BE">
        <w:rPr>
          <w:rFonts w:ascii="Arial" w:hAnsi="Arial" w:cs="Arial"/>
          <w:color w:val="161616" w:themeColor="background1" w:themeShade="1A"/>
          <w:sz w:val="21"/>
          <w:szCs w:val="21"/>
          <w:lang w:val="es-ES_tradnl"/>
        </w:rPr>
        <w:t>gestión, su operación y que el Decreto 268 del 24 de febrero de 2020 en su Artículo</w:t>
      </w:r>
      <w:r>
        <w:rPr>
          <w:rFonts w:ascii="Arial" w:hAnsi="Arial" w:cs="Arial"/>
          <w:color w:val="161616" w:themeColor="background1" w:themeShade="1A"/>
          <w:sz w:val="21"/>
          <w:szCs w:val="21"/>
          <w:lang w:val="es-ES_tradnl"/>
        </w:rPr>
        <w:t xml:space="preserve"> </w:t>
      </w:r>
      <w:r w:rsidRPr="00EA04BE">
        <w:rPr>
          <w:rFonts w:ascii="Arial" w:hAnsi="Arial" w:cs="Arial"/>
          <w:color w:val="161616" w:themeColor="background1" w:themeShade="1A"/>
          <w:sz w:val="21"/>
          <w:szCs w:val="21"/>
          <w:lang w:val="es-ES_tradnl"/>
        </w:rPr>
        <w:t>2.4.2.7. Uso de los recursos del Subsidio a la Oferta, denomina como subsidios a la oferta.</w:t>
      </w:r>
    </w:p>
    <w:p w14:paraId="4C82F473" w14:textId="77777777" w:rsidR="00A529CB" w:rsidRDefault="00A529CB" w:rsidP="00490E94">
      <w:pPr>
        <w:ind w:left="567" w:right="786"/>
        <w:jc w:val="both"/>
        <w:rPr>
          <w:rFonts w:ascii="Arial" w:hAnsi="Arial" w:cs="Arial"/>
          <w:color w:val="161616" w:themeColor="background1" w:themeShade="1A"/>
          <w:sz w:val="21"/>
          <w:szCs w:val="21"/>
          <w:lang w:val="es-ES_tradnl"/>
        </w:rPr>
      </w:pPr>
      <w:r w:rsidRPr="00EA04BE">
        <w:rPr>
          <w:rFonts w:ascii="Arial" w:hAnsi="Arial" w:cs="Arial"/>
          <w:color w:val="161616" w:themeColor="background1" w:themeShade="1A"/>
          <w:sz w:val="21"/>
          <w:szCs w:val="21"/>
          <w:lang w:val="es-ES_tradnl"/>
        </w:rPr>
        <w:t>« […]</w:t>
      </w:r>
    </w:p>
    <w:p w14:paraId="372056D0" w14:textId="77777777" w:rsidR="00A529CB" w:rsidRDefault="00A529CB" w:rsidP="00490E94">
      <w:pPr>
        <w:ind w:left="567" w:right="786"/>
        <w:jc w:val="both"/>
        <w:rPr>
          <w:rFonts w:ascii="Arial" w:hAnsi="Arial" w:cs="Arial"/>
          <w:color w:val="161616" w:themeColor="background1" w:themeShade="1A"/>
          <w:sz w:val="21"/>
          <w:szCs w:val="21"/>
          <w:lang w:val="es-ES_tradnl"/>
        </w:rPr>
      </w:pPr>
      <w:r w:rsidRPr="00EA04BE">
        <w:rPr>
          <w:rFonts w:ascii="Arial" w:hAnsi="Arial" w:cs="Arial"/>
          <w:color w:val="161616" w:themeColor="background1" w:themeShade="1A"/>
          <w:sz w:val="21"/>
          <w:szCs w:val="21"/>
          <w:lang w:val="es-ES_tradnl"/>
        </w:rPr>
        <w:t>Se aprovecha la oportunidad para preguntar que otro tipo de contratos y/o convenios del</w:t>
      </w:r>
      <w:r>
        <w:rPr>
          <w:rFonts w:ascii="Arial" w:hAnsi="Arial" w:cs="Arial"/>
          <w:color w:val="161616" w:themeColor="background1" w:themeShade="1A"/>
          <w:sz w:val="21"/>
          <w:szCs w:val="21"/>
          <w:lang w:val="es-ES_tradnl"/>
        </w:rPr>
        <w:t xml:space="preserve"> </w:t>
      </w:r>
      <w:r w:rsidRPr="00EA04BE">
        <w:rPr>
          <w:rFonts w:ascii="Arial" w:hAnsi="Arial" w:cs="Arial"/>
          <w:color w:val="161616" w:themeColor="background1" w:themeShade="1A"/>
          <w:sz w:val="21"/>
          <w:szCs w:val="21"/>
          <w:lang w:val="es-ES_tradnl"/>
        </w:rPr>
        <w:t>área de la salud distintos a los ya mencionados quedan comprendidos en las excepciones a</w:t>
      </w:r>
      <w:r>
        <w:rPr>
          <w:rFonts w:ascii="Arial" w:hAnsi="Arial" w:cs="Arial"/>
          <w:color w:val="161616" w:themeColor="background1" w:themeShade="1A"/>
          <w:sz w:val="21"/>
          <w:szCs w:val="21"/>
          <w:lang w:val="es-ES_tradnl"/>
        </w:rPr>
        <w:t xml:space="preserve"> </w:t>
      </w:r>
      <w:r w:rsidRPr="00EA04BE">
        <w:rPr>
          <w:rFonts w:ascii="Arial" w:hAnsi="Arial" w:cs="Arial"/>
          <w:color w:val="161616" w:themeColor="background1" w:themeShade="1A"/>
          <w:sz w:val="21"/>
          <w:szCs w:val="21"/>
          <w:lang w:val="es-ES_tradnl"/>
        </w:rPr>
        <w:t>las restricciones a la contratación en época electoral.</w:t>
      </w:r>
    </w:p>
    <w:p w14:paraId="55633075" w14:textId="5F58C1A5" w:rsidR="00A529CB" w:rsidRDefault="00A529CB" w:rsidP="00D85587">
      <w:pPr>
        <w:ind w:left="567" w:right="786"/>
        <w:jc w:val="both"/>
        <w:rPr>
          <w:rFonts w:ascii="Arial" w:hAnsi="Arial" w:cs="Arial"/>
          <w:color w:val="161616" w:themeColor="background1" w:themeShade="1A"/>
          <w:sz w:val="21"/>
          <w:szCs w:val="21"/>
          <w:lang w:val="es-ES_tradnl"/>
        </w:rPr>
      </w:pPr>
      <w:r w:rsidRPr="00EA04BE">
        <w:rPr>
          <w:rFonts w:ascii="Arial" w:hAnsi="Arial" w:cs="Arial"/>
          <w:color w:val="161616" w:themeColor="background1" w:themeShade="1A"/>
          <w:sz w:val="21"/>
          <w:szCs w:val="21"/>
          <w:lang w:val="es-ES_tradnl"/>
        </w:rPr>
        <w:t>«Finalmente se interroga en el sentido de la procedencia de celebrar contratos de</w:t>
      </w:r>
      <w:r>
        <w:rPr>
          <w:rFonts w:ascii="Arial" w:hAnsi="Arial" w:cs="Arial"/>
          <w:color w:val="161616" w:themeColor="background1" w:themeShade="1A"/>
          <w:sz w:val="21"/>
          <w:szCs w:val="21"/>
          <w:lang w:val="es-ES_tradnl"/>
        </w:rPr>
        <w:t xml:space="preserve"> </w:t>
      </w:r>
      <w:r w:rsidRPr="00EA04BE">
        <w:rPr>
          <w:rFonts w:ascii="Arial" w:hAnsi="Arial" w:cs="Arial"/>
          <w:color w:val="161616" w:themeColor="background1" w:themeShade="1A"/>
          <w:sz w:val="21"/>
          <w:szCs w:val="21"/>
          <w:lang w:val="es-ES_tradnl"/>
        </w:rPr>
        <w:t>comodato y/o Donación en época electoral entre los municipios y sus entidades</w:t>
      </w:r>
      <w:r>
        <w:rPr>
          <w:rFonts w:ascii="Arial" w:hAnsi="Arial" w:cs="Arial"/>
          <w:color w:val="161616" w:themeColor="background1" w:themeShade="1A"/>
          <w:sz w:val="21"/>
          <w:szCs w:val="21"/>
          <w:lang w:val="es-ES_tradnl"/>
        </w:rPr>
        <w:t xml:space="preserve"> </w:t>
      </w:r>
      <w:r w:rsidRPr="00EA04BE">
        <w:rPr>
          <w:rFonts w:ascii="Arial" w:hAnsi="Arial" w:cs="Arial"/>
          <w:color w:val="161616" w:themeColor="background1" w:themeShade="1A"/>
          <w:sz w:val="21"/>
          <w:szCs w:val="21"/>
          <w:lang w:val="es-ES_tradnl"/>
        </w:rPr>
        <w:t>descentralizadas»</w:t>
      </w:r>
      <w:r w:rsidR="00D85587">
        <w:rPr>
          <w:rFonts w:ascii="Arial" w:hAnsi="Arial" w:cs="Arial"/>
          <w:color w:val="161616" w:themeColor="background1" w:themeShade="1A"/>
          <w:sz w:val="21"/>
          <w:szCs w:val="21"/>
          <w:lang w:val="es-ES_tradnl"/>
        </w:rPr>
        <w:t>.</w:t>
      </w:r>
    </w:p>
    <w:p w14:paraId="6B09B2CD" w14:textId="77777777" w:rsidR="001E320D" w:rsidRDefault="001E320D" w:rsidP="00490E94">
      <w:pPr>
        <w:ind w:left="567" w:right="786"/>
        <w:jc w:val="both"/>
        <w:rPr>
          <w:rFonts w:ascii="Arial" w:hAnsi="Arial" w:cs="Arial"/>
          <w:color w:val="161616" w:themeColor="background1" w:themeShade="1A"/>
          <w:sz w:val="21"/>
          <w:szCs w:val="21"/>
          <w:lang w:val="es-ES_tradnl"/>
        </w:rPr>
      </w:pPr>
    </w:p>
    <w:p w14:paraId="7F2DC5D7" w14:textId="6A1DBDFB" w:rsidR="001E320D" w:rsidRPr="00490E94" w:rsidRDefault="001E320D" w:rsidP="00490E94">
      <w:pPr>
        <w:spacing w:after="120" w:line="276" w:lineRule="auto"/>
        <w:jc w:val="both"/>
        <w:rPr>
          <w:rFonts w:ascii="Arial" w:hAnsi="Arial" w:cs="Arial"/>
          <w:bCs/>
          <w:sz w:val="22"/>
          <w:szCs w:val="22"/>
          <w:lang w:eastAsia="x-none"/>
        </w:rPr>
      </w:pPr>
      <w:r w:rsidRPr="00490E94">
        <w:rPr>
          <w:rFonts w:ascii="Arial" w:eastAsia="Calibri" w:hAnsi="Arial" w:cs="Arial"/>
          <w:bCs/>
          <w:color w:val="000000" w:themeColor="text1"/>
          <w:sz w:val="22"/>
          <w:szCs w:val="22"/>
          <w:lang w:val="es-ES"/>
        </w:rPr>
        <w:t xml:space="preserve">Con base en las consideraciones expuestas es posible afirmar que, </w:t>
      </w:r>
      <w:r w:rsidRPr="00490E94">
        <w:rPr>
          <w:rFonts w:ascii="Arial" w:hAnsi="Arial" w:cs="Arial"/>
          <w:sz w:val="22"/>
          <w:szCs w:val="22"/>
        </w:rPr>
        <w:t xml:space="preserve">la restricción a la contratación directa prevista en el artículo 33 de la Ley 996 de 2005 </w:t>
      </w:r>
      <w:r w:rsidRPr="00490E94">
        <w:rPr>
          <w:rFonts w:ascii="Arial" w:hAnsi="Arial" w:cs="Arial"/>
          <w:bCs/>
          <w:sz w:val="22"/>
          <w:szCs w:val="22"/>
          <w:lang w:eastAsia="x-none"/>
        </w:rPr>
        <w:t>cobija a «todos los entes del Estado», expresión que contempla a los diferentes organismos o entidades autorizadas por la ley para suscribir contratos,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Dicha restricción prohíbe la contratación directa por parte de «todos los entes del Estado», durante los cuatro (4) meses anteriores a la elección presidencial y hasta la realización de la elección en la segunda vuelta, en caso de que se presente. Esto implica que, la celebración de contratos o convenios interadministrativos, cuya selección se adelante a través de contratación directa, está prohibida durante el período de aplicación de esta restricción.</w:t>
      </w:r>
    </w:p>
    <w:p w14:paraId="4872B85A" w14:textId="50D58E4D" w:rsidR="004C5268" w:rsidRDefault="001E320D" w:rsidP="00207366">
      <w:pPr>
        <w:spacing w:after="120" w:line="276" w:lineRule="auto"/>
        <w:ind w:firstLine="708"/>
        <w:jc w:val="both"/>
        <w:rPr>
          <w:rFonts w:ascii="Arial" w:eastAsia="Calibri" w:hAnsi="Arial" w:cs="Arial"/>
          <w:bCs/>
          <w:color w:val="000000"/>
          <w:sz w:val="22"/>
          <w:szCs w:val="22"/>
          <w:lang w:val="es-ES_tradnl"/>
        </w:rPr>
      </w:pPr>
      <w:r w:rsidRPr="00490E94">
        <w:rPr>
          <w:rFonts w:ascii="Arial" w:eastAsia="Calibri" w:hAnsi="Arial" w:cs="Arial"/>
          <w:bCs/>
          <w:color w:val="000000"/>
          <w:sz w:val="22"/>
          <w:szCs w:val="22"/>
          <w:lang w:val="es-ES_tradnl"/>
        </w:rPr>
        <w:lastRenderedPageBreak/>
        <w:t xml:space="preserve">Sin perjuicio de lo anterior, el inciso segundo de dicha disposición establece algunas excepciones a esta prohibición, en los siguientes términos: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 </w:t>
      </w:r>
      <w:r w:rsidR="004C5268">
        <w:rPr>
          <w:rFonts w:ascii="Arial" w:hAnsi="Arial" w:cs="Arial"/>
          <w:bCs/>
          <w:sz w:val="22"/>
          <w:szCs w:val="22"/>
          <w:lang w:val="es-MX" w:eastAsia="es-CO"/>
        </w:rPr>
        <w:t>E</w:t>
      </w:r>
      <w:r w:rsidR="004C5268" w:rsidRPr="00340C7C">
        <w:rPr>
          <w:rFonts w:ascii="Arial" w:hAnsi="Arial" w:cs="Arial"/>
          <w:bCs/>
          <w:sz w:val="22"/>
          <w:szCs w:val="22"/>
          <w:lang w:val="es-MX" w:eastAsia="es-CO"/>
        </w:rPr>
        <w:t>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r w:rsidR="004C5268">
        <w:rPr>
          <w:rFonts w:ascii="Arial" w:hAnsi="Arial" w:cs="Arial"/>
          <w:bCs/>
          <w:sz w:val="22"/>
          <w:szCs w:val="22"/>
          <w:lang w:val="es-MX" w:eastAsia="es-CO"/>
        </w:rPr>
        <w:t>.</w:t>
      </w:r>
    </w:p>
    <w:p w14:paraId="1F4ADC3B" w14:textId="4818C798" w:rsidR="00181C7E" w:rsidRPr="001226A1" w:rsidRDefault="00181C7E" w:rsidP="00490E94">
      <w:pPr>
        <w:spacing w:after="120" w:line="276" w:lineRule="auto"/>
        <w:ind w:firstLine="708"/>
        <w:jc w:val="both"/>
        <w:rPr>
          <w:rFonts w:ascii="Arial" w:eastAsia="Arial" w:hAnsi="Arial" w:cs="Arial"/>
          <w:bCs/>
          <w:sz w:val="22"/>
          <w:szCs w:val="22"/>
          <w:lang w:val="es-ES_tradnl"/>
        </w:rPr>
      </w:pPr>
      <w:r>
        <w:rPr>
          <w:rFonts w:ascii="Arial" w:eastAsia="Arial" w:hAnsi="Arial" w:cs="Arial"/>
          <w:sz w:val="22"/>
          <w:szCs w:val="22"/>
        </w:rPr>
        <w:t>R</w:t>
      </w:r>
      <w:r w:rsidRPr="001226A1">
        <w:rPr>
          <w:rFonts w:ascii="Arial" w:eastAsia="Arial" w:hAnsi="Arial" w:cs="Arial"/>
          <w:sz w:val="22"/>
          <w:szCs w:val="22"/>
        </w:rPr>
        <w:t>especto de la excepción referente a entidades de sani</w:t>
      </w:r>
      <w:r w:rsidR="00370B79">
        <w:rPr>
          <w:rFonts w:ascii="Arial" w:eastAsia="Arial" w:hAnsi="Arial" w:cs="Arial"/>
          <w:sz w:val="22"/>
          <w:szCs w:val="22"/>
        </w:rPr>
        <w:t>tarias</w:t>
      </w:r>
      <w:r w:rsidRPr="001226A1">
        <w:rPr>
          <w:rFonts w:ascii="Arial" w:eastAsia="Arial" w:hAnsi="Arial" w:cs="Arial"/>
          <w:sz w:val="22"/>
          <w:szCs w:val="22"/>
        </w:rPr>
        <w:t xml:space="preserve"> u hospitalaria</w:t>
      </w:r>
      <w:r w:rsidR="00370B79">
        <w:rPr>
          <w:rFonts w:ascii="Arial" w:eastAsia="Arial" w:hAnsi="Arial" w:cs="Arial"/>
          <w:sz w:val="22"/>
          <w:szCs w:val="22"/>
        </w:rPr>
        <w:t>s</w:t>
      </w:r>
      <w:r w:rsidRPr="001226A1">
        <w:rPr>
          <w:rFonts w:ascii="Arial" w:eastAsia="Arial" w:hAnsi="Arial" w:cs="Arial"/>
          <w:sz w:val="22"/>
          <w:szCs w:val="22"/>
        </w:rPr>
        <w:t xml:space="preserve">, </w:t>
      </w:r>
      <w:r w:rsidRPr="001226A1">
        <w:rPr>
          <w:rFonts w:ascii="Arial" w:eastAsia="Arial" w:hAnsi="Arial" w:cs="Arial"/>
          <w:bCs/>
          <w:sz w:val="22"/>
          <w:szCs w:val="22"/>
        </w:rPr>
        <w:t xml:space="preserve">es necesario tener en cuenta </w:t>
      </w:r>
      <w:r w:rsidRPr="001226A1">
        <w:rPr>
          <w:rFonts w:ascii="Arial" w:hAnsi="Arial" w:cs="Arial"/>
          <w:bCs/>
          <w:sz w:val="22"/>
          <w:lang w:val="es-ES_tradnl"/>
        </w:rPr>
        <w:t xml:space="preserve">que de conformidad con el artículo 94 de la Ley 100 de 1993 </w:t>
      </w:r>
      <w:r w:rsidRPr="001226A1">
        <w:rPr>
          <w:rFonts w:ascii="Arial" w:hAnsi="Arial" w:cs="Arial"/>
          <w:sz w:val="22"/>
          <w:lang w:val="es-ES_tradnl"/>
        </w:rPr>
        <w:t>las entidades encargadas de prestar el servicio de salud de manera directa en su calidad de entidades hospitalarias son las Empresas Sociales del Estado, no l</w:t>
      </w:r>
      <w:r w:rsidR="00370682">
        <w:rPr>
          <w:rFonts w:ascii="Arial" w:hAnsi="Arial" w:cs="Arial"/>
          <w:sz w:val="22"/>
          <w:lang w:val="es-ES_tradnl"/>
        </w:rPr>
        <w:t>as</w:t>
      </w:r>
      <w:r w:rsidRPr="001226A1">
        <w:rPr>
          <w:rFonts w:ascii="Arial" w:hAnsi="Arial" w:cs="Arial"/>
          <w:sz w:val="22"/>
          <w:lang w:val="es-ES_tradnl"/>
        </w:rPr>
        <w:t xml:space="preserve"> </w:t>
      </w:r>
      <w:r w:rsidR="00370682">
        <w:rPr>
          <w:rFonts w:ascii="Arial" w:hAnsi="Arial" w:cs="Arial"/>
          <w:sz w:val="22"/>
          <w:lang w:val="es-ES_tradnl"/>
        </w:rPr>
        <w:t>entidades territoriales</w:t>
      </w:r>
      <w:r w:rsidRPr="001226A1">
        <w:rPr>
          <w:rFonts w:ascii="Arial" w:hAnsi="Arial" w:cs="Arial"/>
          <w:sz w:val="22"/>
          <w:lang w:val="es-ES_tradnl"/>
        </w:rPr>
        <w:t xml:space="preserve">. </w:t>
      </w:r>
      <w:r w:rsidRPr="001226A1">
        <w:rPr>
          <w:rFonts w:ascii="Arial" w:hAnsi="Arial" w:cs="Arial"/>
          <w:bCs/>
          <w:sz w:val="22"/>
          <w:lang w:val="es-ES_tradnl"/>
        </w:rPr>
        <w:t>Por tanto, estos últimos no podría celebrar contrataciones directas bajo esta excepción, dado que no son entidades hospitalarias.</w:t>
      </w:r>
      <w:r w:rsidR="004C5268">
        <w:rPr>
          <w:rFonts w:ascii="Arial" w:hAnsi="Arial" w:cs="Arial"/>
          <w:bCs/>
          <w:sz w:val="22"/>
          <w:lang w:val="es-ES_tradnl"/>
        </w:rPr>
        <w:t xml:space="preserve"> </w:t>
      </w:r>
      <w:r w:rsidRPr="001226A1">
        <w:rPr>
          <w:rFonts w:ascii="Arial" w:hAnsi="Arial" w:cs="Arial"/>
          <w:bCs/>
          <w:sz w:val="22"/>
          <w:lang w:val="es-ES_tradnl"/>
        </w:rPr>
        <w:t xml:space="preserve">A su turno, conforme al </w:t>
      </w:r>
      <w:r w:rsidRPr="001226A1">
        <w:rPr>
          <w:rFonts w:ascii="Arial" w:eastAsia="Arial" w:hAnsi="Arial" w:cs="Arial"/>
          <w:bCs/>
          <w:sz w:val="22"/>
          <w:szCs w:val="22"/>
        </w:rPr>
        <w:t xml:space="preserve">artículo 2.8.8.1.1.3 del Decreto 780 de 2016, las </w:t>
      </w:r>
      <w:r w:rsidRPr="001226A1">
        <w:rPr>
          <w:rFonts w:ascii="Arial" w:eastAsia="Arial" w:hAnsi="Arial" w:cs="Arial"/>
          <w:bCs/>
          <w:i/>
          <w:iCs/>
          <w:sz w:val="22"/>
          <w:szCs w:val="22"/>
        </w:rPr>
        <w:t>entidades sanitarias</w:t>
      </w:r>
      <w:r w:rsidRPr="001226A1">
        <w:rPr>
          <w:rFonts w:ascii="Arial" w:eastAsia="Arial" w:hAnsi="Arial" w:cs="Arial"/>
          <w:bCs/>
          <w:sz w:val="22"/>
          <w:szCs w:val="22"/>
        </w:rPr>
        <w:t xml:space="preserve"> se definen como «Entidades del Estado que prestan servicios sanitarios o de sanidad con el propósito de preservar la salud humana y la salud pública» y las </w:t>
      </w:r>
      <w:r w:rsidRPr="001226A1">
        <w:rPr>
          <w:rFonts w:ascii="Arial" w:eastAsia="Arial" w:hAnsi="Arial" w:cs="Arial"/>
          <w:bCs/>
          <w:i/>
          <w:iCs/>
          <w:sz w:val="22"/>
          <w:szCs w:val="22"/>
        </w:rPr>
        <w:t>autoridades sanitarias</w:t>
      </w:r>
      <w:r w:rsidRPr="001226A1">
        <w:rPr>
          <w:rFonts w:ascii="Arial" w:eastAsia="Arial" w:hAnsi="Arial" w:cs="Arial"/>
          <w:bCs/>
          <w:sz w:val="22"/>
          <w:szCs w:val="22"/>
        </w:rPr>
        <w:t xml:space="preserve"> son «Entidades jurídicas de carácter público con atribuciones para ejercer funciones de rectoría, regulación, inspección, vigilancia y control de los sectores público y privado en salud y adoptar medidas de prevención y seguimiento que garanticen la protección de la salud pública». Sin embargo, es necesario tener en cuenta que la excepción del artículo 33 de la Ley de Garantías solo aplica a las </w:t>
      </w:r>
      <w:r w:rsidRPr="001226A1">
        <w:rPr>
          <w:rFonts w:ascii="Arial" w:eastAsia="Arial" w:hAnsi="Arial" w:cs="Arial"/>
          <w:bCs/>
          <w:i/>
          <w:iCs/>
          <w:sz w:val="22"/>
          <w:szCs w:val="22"/>
        </w:rPr>
        <w:t>entidades sanitarias</w:t>
      </w:r>
      <w:r w:rsidRPr="001226A1">
        <w:rPr>
          <w:rFonts w:ascii="Arial" w:eastAsia="Arial" w:hAnsi="Arial" w:cs="Arial"/>
          <w:bCs/>
          <w:sz w:val="22"/>
          <w:szCs w:val="22"/>
        </w:rPr>
        <w:t xml:space="preserve">, no a las </w:t>
      </w:r>
      <w:r w:rsidRPr="001226A1">
        <w:rPr>
          <w:rFonts w:ascii="Arial" w:eastAsia="Arial" w:hAnsi="Arial" w:cs="Arial"/>
          <w:bCs/>
          <w:i/>
          <w:iCs/>
          <w:sz w:val="22"/>
          <w:szCs w:val="22"/>
        </w:rPr>
        <w:t>autoridades sanitarias</w:t>
      </w:r>
      <w:r w:rsidRPr="001226A1">
        <w:rPr>
          <w:rFonts w:ascii="Arial" w:eastAsia="Arial" w:hAnsi="Arial" w:cs="Arial"/>
          <w:bCs/>
          <w:sz w:val="22"/>
          <w:szCs w:val="22"/>
        </w:rPr>
        <w:t>. Por tanto, en caso en que l</w:t>
      </w:r>
      <w:r w:rsidR="007F0D4A">
        <w:rPr>
          <w:rFonts w:ascii="Arial" w:eastAsia="Arial" w:hAnsi="Arial" w:cs="Arial"/>
          <w:bCs/>
          <w:sz w:val="22"/>
          <w:szCs w:val="22"/>
        </w:rPr>
        <w:t>as entidades territoriales</w:t>
      </w:r>
      <w:r w:rsidR="00717B0C">
        <w:rPr>
          <w:rFonts w:ascii="Arial" w:eastAsia="Arial" w:hAnsi="Arial" w:cs="Arial"/>
          <w:bCs/>
          <w:sz w:val="22"/>
          <w:szCs w:val="22"/>
        </w:rPr>
        <w:t xml:space="preserve"> </w:t>
      </w:r>
      <w:r w:rsidRPr="001226A1">
        <w:rPr>
          <w:rFonts w:ascii="Arial" w:eastAsia="Arial" w:hAnsi="Arial" w:cs="Arial"/>
          <w:bCs/>
          <w:sz w:val="22"/>
          <w:szCs w:val="22"/>
        </w:rPr>
        <w:t>ejerzan funciones de autoridad sanitaria y no de entidades sanitarias tampoco estarían dentro de la excepción del artículo 33.</w:t>
      </w:r>
    </w:p>
    <w:p w14:paraId="55188D10" w14:textId="571FB277" w:rsidR="00207366" w:rsidRDefault="00717B0C" w:rsidP="00490E94">
      <w:pPr>
        <w:tabs>
          <w:tab w:val="left" w:pos="426"/>
        </w:tabs>
        <w:spacing w:before="120" w:after="120" w:line="276" w:lineRule="auto"/>
        <w:ind w:firstLine="709"/>
        <w:jc w:val="both"/>
        <w:rPr>
          <w:rFonts w:ascii="Arial" w:hAnsi="Arial" w:cs="Arial"/>
          <w:color w:val="161616" w:themeColor="background1" w:themeShade="1A"/>
          <w:sz w:val="22"/>
          <w:szCs w:val="22"/>
          <w:lang w:val="es-ES_tradnl"/>
        </w:rPr>
      </w:pPr>
      <w:r w:rsidRPr="00490E94">
        <w:rPr>
          <w:rFonts w:ascii="Arial" w:hAnsi="Arial" w:cs="Arial"/>
          <w:bCs/>
          <w:sz w:val="22"/>
          <w:szCs w:val="22"/>
          <w:lang w:val="es-ES_tradnl"/>
        </w:rPr>
        <w:t xml:space="preserve">De conformidad con lo anterior, los contratos o convenios a los que hace referencia el artículo </w:t>
      </w:r>
      <w:r w:rsidRPr="00490E94">
        <w:rPr>
          <w:rFonts w:ascii="Arial" w:hAnsi="Arial" w:cs="Arial"/>
          <w:color w:val="161616" w:themeColor="background1" w:themeShade="1A"/>
          <w:sz w:val="22"/>
          <w:szCs w:val="22"/>
          <w:lang w:val="es-ES_tradnl"/>
        </w:rPr>
        <w:t>2.4.2.7 del Decreto 780 de 2016</w:t>
      </w:r>
      <w:r w:rsidRPr="00490E94">
        <w:rPr>
          <w:rStyle w:val="Refdenotaalpie"/>
          <w:rFonts w:ascii="Arial" w:hAnsi="Arial" w:cs="Arial"/>
          <w:color w:val="161616" w:themeColor="background1" w:themeShade="1A"/>
          <w:sz w:val="22"/>
          <w:szCs w:val="22"/>
          <w:lang w:val="es-ES_tradnl"/>
        </w:rPr>
        <w:footnoteReference w:id="46"/>
      </w:r>
      <w:r w:rsidRPr="00490E94">
        <w:rPr>
          <w:rFonts w:ascii="Arial" w:hAnsi="Arial" w:cs="Arial"/>
          <w:color w:val="161616" w:themeColor="background1" w:themeShade="1A"/>
          <w:sz w:val="22"/>
          <w:szCs w:val="22"/>
          <w:lang w:val="es-ES_tradnl"/>
        </w:rPr>
        <w:t xml:space="preserve">, cuyos objetos tienen que ver con la ejecución </w:t>
      </w:r>
      <w:r w:rsidRPr="00490E94">
        <w:rPr>
          <w:rFonts w:ascii="Arial" w:hAnsi="Arial" w:cs="Arial"/>
          <w:color w:val="161616" w:themeColor="background1" w:themeShade="1A"/>
          <w:sz w:val="22"/>
          <w:szCs w:val="22"/>
          <w:lang w:val="es-ES_tradnl"/>
        </w:rPr>
        <w:lastRenderedPageBreak/>
        <w:t xml:space="preserve">de recursos del subsidio a la oferta a las Empresas Sociales del Estado o administradores de infraestructura pública para la prestación de servicios de salud estarían restringidos durante la vigencia de la restricción del artículo 33 </w:t>
      </w:r>
      <w:r w:rsidR="00B967B8" w:rsidRPr="00490E94">
        <w:rPr>
          <w:rFonts w:ascii="Arial" w:hAnsi="Arial" w:cs="Arial"/>
          <w:i/>
          <w:iCs/>
          <w:color w:val="161616" w:themeColor="background1" w:themeShade="1A"/>
          <w:sz w:val="22"/>
          <w:szCs w:val="22"/>
          <w:lang w:val="es-ES_tradnl"/>
        </w:rPr>
        <w:t>ibidem</w:t>
      </w:r>
      <w:r w:rsidRPr="00490E94">
        <w:rPr>
          <w:rFonts w:ascii="Arial" w:hAnsi="Arial" w:cs="Arial"/>
          <w:i/>
          <w:iCs/>
          <w:color w:val="161616" w:themeColor="background1" w:themeShade="1A"/>
          <w:sz w:val="22"/>
          <w:szCs w:val="22"/>
          <w:lang w:val="es-ES_tradnl"/>
        </w:rPr>
        <w:t>,</w:t>
      </w:r>
      <w:r w:rsidRPr="00490E94">
        <w:rPr>
          <w:rFonts w:ascii="Arial" w:hAnsi="Arial" w:cs="Arial"/>
          <w:color w:val="161616" w:themeColor="background1" w:themeShade="1A"/>
          <w:sz w:val="22"/>
          <w:szCs w:val="22"/>
          <w:lang w:val="es-ES_tradnl"/>
        </w:rPr>
        <w:t xml:space="preserve"> ya que estos necesariamente tendrían como cocontratantes a entidades territoriales como los municipios o departamentos</w:t>
      </w:r>
      <w:r w:rsidR="00390E7B" w:rsidRPr="00490E94">
        <w:rPr>
          <w:rFonts w:ascii="Arial" w:hAnsi="Arial" w:cs="Arial"/>
          <w:color w:val="161616" w:themeColor="background1" w:themeShade="1A"/>
          <w:sz w:val="22"/>
          <w:szCs w:val="22"/>
          <w:lang w:val="es-ES_tradnl"/>
        </w:rPr>
        <w:t>.</w:t>
      </w:r>
      <w:r w:rsidR="00E06B6F" w:rsidRPr="00490E94">
        <w:rPr>
          <w:rFonts w:ascii="Arial" w:hAnsi="Arial" w:cs="Arial"/>
          <w:color w:val="161616" w:themeColor="background1" w:themeShade="1A"/>
          <w:sz w:val="22"/>
          <w:szCs w:val="22"/>
          <w:lang w:val="es-ES_tradnl"/>
        </w:rPr>
        <w:t xml:space="preserve"> </w:t>
      </w:r>
      <w:r w:rsidRPr="00490E94">
        <w:rPr>
          <w:rFonts w:ascii="Arial" w:hAnsi="Arial" w:cs="Arial"/>
          <w:color w:val="161616" w:themeColor="background1" w:themeShade="1A"/>
          <w:sz w:val="22"/>
          <w:szCs w:val="22"/>
          <w:lang w:val="es-ES_tradnl"/>
        </w:rPr>
        <w:t>En tales términos, a pesar de que las Empresas Sociales del Estado en efecto están cobijadas por la referida excepción, el hecho de que la misma no sea aplicable a los municipios–por no tener la calidad de entidades sanitarias y hospitalarias–, impide la celebración de este tipo de convenios de manera directa con dichas entidades, así como con los administradores de infraestructura pública a los que hace referencia el artículo 2.4.2.7 del Decreto 780 de 2016, sustituido por el Decreto 268 de 2020.</w:t>
      </w:r>
      <w:r w:rsidRPr="00677866">
        <w:rPr>
          <w:rFonts w:ascii="Arial" w:hAnsi="Arial" w:cs="Arial"/>
          <w:color w:val="161616" w:themeColor="background1" w:themeShade="1A"/>
          <w:sz w:val="22"/>
          <w:szCs w:val="22"/>
          <w:lang w:val="es-ES_tradnl"/>
        </w:rPr>
        <w:t xml:space="preserve"> </w:t>
      </w:r>
    </w:p>
    <w:p w14:paraId="5A127456" w14:textId="15F0DF65" w:rsidR="004D646A" w:rsidRDefault="00C17177" w:rsidP="00490E94">
      <w:pPr>
        <w:spacing w:line="276" w:lineRule="auto"/>
        <w:ind w:firstLine="709"/>
        <w:jc w:val="both"/>
        <w:rPr>
          <w:rFonts w:ascii="Arial" w:eastAsia="Arial" w:hAnsi="Arial" w:cs="Arial"/>
          <w:color w:val="161616" w:themeColor="background1" w:themeShade="1A"/>
          <w:sz w:val="22"/>
          <w:szCs w:val="22"/>
        </w:rPr>
      </w:pPr>
      <w:r>
        <w:rPr>
          <w:rFonts w:ascii="Arial" w:hAnsi="Arial" w:cs="Arial"/>
          <w:bCs/>
          <w:color w:val="161616" w:themeColor="background1" w:themeShade="1A"/>
          <w:sz w:val="22"/>
          <w:szCs w:val="22"/>
          <w:lang w:val="es-ES_tradnl" w:eastAsia="es-CO"/>
        </w:rPr>
        <w:t>De otra parte, respecto de</w:t>
      </w:r>
      <w:r w:rsidR="004D646A">
        <w:rPr>
          <w:rFonts w:ascii="Arial" w:hAnsi="Arial" w:cs="Arial"/>
          <w:bCs/>
          <w:color w:val="161616" w:themeColor="background1" w:themeShade="1A"/>
          <w:sz w:val="22"/>
          <w:szCs w:val="22"/>
          <w:lang w:val="es-ES_tradnl" w:eastAsia="es-CO"/>
        </w:rPr>
        <w:t xml:space="preserve"> la posibilidad celebrar </w:t>
      </w:r>
      <w:r>
        <w:rPr>
          <w:rFonts w:ascii="Arial" w:hAnsi="Arial" w:cs="Arial"/>
          <w:bCs/>
          <w:color w:val="161616" w:themeColor="background1" w:themeShade="1A"/>
          <w:sz w:val="22"/>
          <w:szCs w:val="22"/>
          <w:lang w:val="es-ES_tradnl" w:eastAsia="es-CO"/>
        </w:rPr>
        <w:t>contratos de comodato y donación</w:t>
      </w:r>
      <w:r w:rsidR="004D646A">
        <w:rPr>
          <w:rFonts w:ascii="Arial" w:hAnsi="Arial" w:cs="Arial"/>
          <w:bCs/>
          <w:color w:val="161616" w:themeColor="background1" w:themeShade="1A"/>
          <w:sz w:val="22"/>
          <w:szCs w:val="22"/>
          <w:lang w:val="es-ES_tradnl" w:eastAsia="es-CO"/>
        </w:rPr>
        <w:t xml:space="preserve"> en época electoral</w:t>
      </w:r>
      <w:r>
        <w:rPr>
          <w:rFonts w:ascii="Arial" w:hAnsi="Arial" w:cs="Arial"/>
          <w:bCs/>
          <w:color w:val="161616" w:themeColor="background1" w:themeShade="1A"/>
          <w:sz w:val="22"/>
          <w:szCs w:val="22"/>
          <w:lang w:val="es-ES_tradnl" w:eastAsia="es-CO"/>
        </w:rPr>
        <w:t xml:space="preserve"> </w:t>
      </w:r>
      <w:r w:rsidRPr="009922C8">
        <w:rPr>
          <w:rFonts w:ascii="Arial" w:eastAsia="Arial" w:hAnsi="Arial" w:cs="Arial"/>
          <w:color w:val="161616" w:themeColor="background1" w:themeShade="1A"/>
          <w:sz w:val="22"/>
          <w:szCs w:val="22"/>
        </w:rPr>
        <w:t>ha de entenderse que</w:t>
      </w:r>
      <w:r w:rsidR="00AA7471">
        <w:rPr>
          <w:rFonts w:ascii="Arial" w:eastAsia="Arial" w:hAnsi="Arial" w:cs="Arial"/>
          <w:color w:val="161616" w:themeColor="background1" w:themeShade="1A"/>
          <w:sz w:val="22"/>
          <w:szCs w:val="22"/>
        </w:rPr>
        <w:t xml:space="preserve"> la celeb</w:t>
      </w:r>
      <w:r w:rsidR="004D646A">
        <w:rPr>
          <w:rFonts w:ascii="Arial" w:eastAsia="Arial" w:hAnsi="Arial" w:cs="Arial"/>
          <w:color w:val="161616" w:themeColor="background1" w:themeShade="1A"/>
          <w:sz w:val="22"/>
          <w:szCs w:val="22"/>
        </w:rPr>
        <w:t xml:space="preserve">ración de los mismos no se encuentra excluida de aplicación </w:t>
      </w:r>
      <w:r w:rsidRPr="009922C8">
        <w:rPr>
          <w:rFonts w:ascii="Arial" w:eastAsia="Arial" w:hAnsi="Arial" w:cs="Arial"/>
          <w:color w:val="161616" w:themeColor="background1" w:themeShade="1A"/>
          <w:sz w:val="22"/>
          <w:szCs w:val="22"/>
        </w:rPr>
        <w:t>la Ley de Garantías Electorales</w:t>
      </w:r>
      <w:r w:rsidR="004D646A">
        <w:rPr>
          <w:rFonts w:ascii="Arial" w:eastAsia="Arial" w:hAnsi="Arial" w:cs="Arial"/>
          <w:color w:val="161616" w:themeColor="background1" w:themeShade="1A"/>
          <w:sz w:val="22"/>
          <w:szCs w:val="22"/>
        </w:rPr>
        <w:t xml:space="preserve">. En virtud de esto, la celebración de este tipo de contratos de manera directa se encuentra prohibida por la restricción del </w:t>
      </w:r>
      <w:r w:rsidRPr="009922C8">
        <w:rPr>
          <w:rFonts w:ascii="Arial" w:eastAsia="Arial" w:hAnsi="Arial" w:cs="Arial"/>
          <w:color w:val="161616" w:themeColor="background1" w:themeShade="1A"/>
          <w:sz w:val="22"/>
          <w:szCs w:val="22"/>
        </w:rPr>
        <w:t xml:space="preserve"> artículo 33</w:t>
      </w:r>
      <w:r w:rsidR="004D646A">
        <w:rPr>
          <w:rFonts w:ascii="Arial" w:eastAsia="Arial" w:hAnsi="Arial" w:cs="Arial"/>
          <w:color w:val="161616" w:themeColor="background1" w:themeShade="1A"/>
          <w:sz w:val="22"/>
          <w:szCs w:val="22"/>
        </w:rPr>
        <w:t xml:space="preserve">. </w:t>
      </w:r>
    </w:p>
    <w:p w14:paraId="13554085" w14:textId="77777777" w:rsidR="003A2AFD" w:rsidRDefault="003A2AFD" w:rsidP="00490E94">
      <w:pPr>
        <w:spacing w:line="276" w:lineRule="auto"/>
        <w:jc w:val="both"/>
        <w:rPr>
          <w:rFonts w:ascii="Arial" w:eastAsia="Arial" w:hAnsi="Arial" w:cs="Arial"/>
          <w:color w:val="161616" w:themeColor="background1" w:themeShade="1A"/>
          <w:sz w:val="22"/>
          <w:szCs w:val="22"/>
          <w:vertAlign w:val="superscript"/>
        </w:rPr>
      </w:pPr>
    </w:p>
    <w:p w14:paraId="64BE30C1" w14:textId="01AFE6F3" w:rsidR="00695B70" w:rsidRDefault="00695B70" w:rsidP="00490E94">
      <w:pPr>
        <w:spacing w:line="276" w:lineRule="auto"/>
        <w:jc w:val="both"/>
        <w:rPr>
          <w:rFonts w:ascii="Arial" w:eastAsia="Calibri" w:hAnsi="Arial" w:cs="Arial"/>
          <w:color w:val="161616" w:themeColor="background1" w:themeShade="1A"/>
          <w:sz w:val="22"/>
          <w:szCs w:val="22"/>
          <w:lang w:val="es-ES_tradnl"/>
        </w:rPr>
      </w:pPr>
      <w:r w:rsidRPr="00515D32">
        <w:rPr>
          <w:rFonts w:ascii="Arial" w:eastAsia="Calibri" w:hAnsi="Arial" w:cs="Arial"/>
          <w:color w:val="161616" w:themeColor="background1" w:themeShade="1A"/>
          <w:sz w:val="22"/>
          <w:szCs w:val="22"/>
          <w:lang w:val="es-ES_tradnl"/>
        </w:rPr>
        <w:t>Este concepto tiene el alcance previsto en el artículo 28 del Código de Procedimiento Administrativo y de lo Contencioso Administrativo.</w:t>
      </w:r>
    </w:p>
    <w:p w14:paraId="73353508" w14:textId="23DD0CEA" w:rsidR="00EE6A82" w:rsidRPr="00515D32" w:rsidRDefault="00EE6A82" w:rsidP="00013487">
      <w:pPr>
        <w:spacing w:before="120" w:line="276" w:lineRule="auto"/>
        <w:jc w:val="both"/>
        <w:rPr>
          <w:rFonts w:ascii="Arial" w:hAnsi="Arial" w:cs="Arial"/>
          <w:color w:val="161616" w:themeColor="background1" w:themeShade="1A"/>
          <w:sz w:val="22"/>
          <w:szCs w:val="22"/>
          <w:lang w:val="es-ES_tradnl" w:eastAsia="es-CO"/>
        </w:rPr>
      </w:pPr>
      <w:bookmarkStart w:id="29" w:name="_Hlk50986665"/>
      <w:bookmarkStart w:id="30" w:name="_Hlk52766744"/>
      <w:r w:rsidRPr="00515D32">
        <w:rPr>
          <w:rFonts w:ascii="Arial" w:hAnsi="Arial" w:cs="Arial"/>
          <w:color w:val="161616" w:themeColor="background1" w:themeShade="1A"/>
          <w:sz w:val="22"/>
          <w:szCs w:val="22"/>
          <w:lang w:val="es-ES_tradnl" w:eastAsia="es-CO"/>
        </w:rPr>
        <w:t>Atentamente,</w:t>
      </w:r>
    </w:p>
    <w:bookmarkEnd w:id="9"/>
    <w:bookmarkEnd w:id="29"/>
    <w:bookmarkEnd w:id="30"/>
    <w:p w14:paraId="35B56F46" w14:textId="633BC67B" w:rsidR="00746E08" w:rsidRDefault="002E71C9" w:rsidP="0022167B">
      <w:pPr>
        <w:jc w:val="center"/>
        <w:rPr>
          <w:rFonts w:ascii="Arial" w:hAnsi="Arial" w:cs="Arial"/>
          <w:color w:val="161616" w:themeColor="background1" w:themeShade="1A"/>
          <w:sz w:val="22"/>
          <w:szCs w:val="22"/>
          <w:lang w:val="es-ES_tradnl" w:eastAsia="es-CO"/>
        </w:rPr>
      </w:pPr>
      <w:r w:rsidRPr="00570FD2">
        <w:rPr>
          <w:rFonts w:ascii="Arial" w:hAnsi="Arial" w:cs="Arial"/>
          <w:noProof/>
          <w:color w:val="000000" w:themeColor="text1"/>
          <w:sz w:val="22"/>
          <w:lang w:eastAsia="es-CO"/>
        </w:rPr>
        <w:drawing>
          <wp:anchor distT="0" distB="0" distL="114300" distR="114300" simplePos="0" relativeHeight="251659264" behindDoc="0" locked="0" layoutInCell="1" allowOverlap="1" wp14:anchorId="073A5A44" wp14:editId="65CE1D7C">
            <wp:simplePos x="0" y="0"/>
            <wp:positionH relativeFrom="margin">
              <wp:posOffset>1571625</wp:posOffset>
            </wp:positionH>
            <wp:positionV relativeFrom="paragraph">
              <wp:posOffset>8890</wp:posOffset>
            </wp:positionV>
            <wp:extent cx="2200275" cy="934085"/>
            <wp:effectExtent l="0" t="0" r="9525" b="0"/>
            <wp:wrapSquare wrapText="bothSides"/>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200275" cy="934085"/>
                    </a:xfrm>
                    <a:prstGeom prst="rect">
                      <a:avLst/>
                    </a:prstGeom>
                  </pic:spPr>
                </pic:pic>
              </a:graphicData>
            </a:graphic>
            <wp14:sizeRelH relativeFrom="page">
              <wp14:pctWidth>0</wp14:pctWidth>
            </wp14:sizeRelH>
            <wp14:sizeRelV relativeFrom="page">
              <wp14:pctHeight>0</wp14:pctHeight>
            </wp14:sizeRelV>
          </wp:anchor>
        </w:drawing>
      </w:r>
    </w:p>
    <w:p w14:paraId="7D2EF4B0" w14:textId="77777777" w:rsidR="002E71C9" w:rsidRDefault="002E71C9" w:rsidP="0022167B">
      <w:pPr>
        <w:jc w:val="center"/>
        <w:rPr>
          <w:rFonts w:ascii="Arial" w:hAnsi="Arial" w:cs="Arial"/>
          <w:color w:val="161616" w:themeColor="background1" w:themeShade="1A"/>
          <w:sz w:val="22"/>
          <w:szCs w:val="22"/>
          <w:lang w:val="es-ES_tradnl" w:eastAsia="es-CO"/>
        </w:rPr>
      </w:pPr>
    </w:p>
    <w:p w14:paraId="55ADE649" w14:textId="77777777" w:rsidR="002E71C9" w:rsidRDefault="002E71C9" w:rsidP="0022167B">
      <w:pPr>
        <w:jc w:val="center"/>
        <w:rPr>
          <w:rFonts w:ascii="Arial" w:hAnsi="Arial" w:cs="Arial"/>
          <w:color w:val="161616" w:themeColor="background1" w:themeShade="1A"/>
          <w:sz w:val="22"/>
          <w:szCs w:val="22"/>
          <w:lang w:val="es-ES_tradnl" w:eastAsia="es-CO"/>
        </w:rPr>
      </w:pPr>
    </w:p>
    <w:p w14:paraId="0B685A29" w14:textId="77777777" w:rsidR="002E71C9" w:rsidRDefault="002E71C9" w:rsidP="0022167B">
      <w:pPr>
        <w:jc w:val="center"/>
        <w:rPr>
          <w:rFonts w:ascii="Arial" w:hAnsi="Arial" w:cs="Arial"/>
          <w:color w:val="161616" w:themeColor="background1" w:themeShade="1A"/>
          <w:sz w:val="22"/>
          <w:szCs w:val="22"/>
          <w:lang w:val="es-ES_tradnl" w:eastAsia="es-CO"/>
        </w:rPr>
      </w:pPr>
    </w:p>
    <w:p w14:paraId="3D578FFE" w14:textId="77777777" w:rsidR="002E71C9" w:rsidRDefault="002E71C9" w:rsidP="0022167B">
      <w:pPr>
        <w:jc w:val="center"/>
        <w:rPr>
          <w:rFonts w:ascii="Arial" w:hAnsi="Arial" w:cs="Arial"/>
          <w:color w:val="161616" w:themeColor="background1" w:themeShade="1A"/>
          <w:sz w:val="22"/>
          <w:szCs w:val="22"/>
          <w:lang w:val="es-ES_tradnl" w:eastAsia="es-CO"/>
        </w:rPr>
      </w:pPr>
    </w:p>
    <w:p w14:paraId="2F4E0680" w14:textId="77777777" w:rsidR="002E71C9" w:rsidRPr="00515D32" w:rsidRDefault="002E71C9" w:rsidP="0022167B">
      <w:pPr>
        <w:jc w:val="center"/>
        <w:rPr>
          <w:rFonts w:ascii="Arial" w:hAnsi="Arial" w:cs="Arial"/>
          <w:color w:val="161616" w:themeColor="background1" w:themeShade="1A"/>
          <w:sz w:val="22"/>
          <w:szCs w:val="22"/>
          <w:lang w:val="es-ES_tradnl" w:eastAsia="es-CO"/>
        </w:rPr>
      </w:pPr>
    </w:p>
    <w:tbl>
      <w:tblPr>
        <w:tblStyle w:val="Tablaconcuadrcula1"/>
        <w:tblpPr w:leftFromText="141" w:rightFromText="141" w:vertAnchor="text" w:horzAnchor="margin" w:tblpY="2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
        <w:gridCol w:w="4298"/>
      </w:tblGrid>
      <w:tr w:rsidR="009922C8" w:rsidRPr="00E34DEB" w14:paraId="62043797" w14:textId="77777777" w:rsidTr="00AA0B78">
        <w:trPr>
          <w:trHeight w:val="237"/>
        </w:trPr>
        <w:tc>
          <w:tcPr>
            <w:tcW w:w="790" w:type="dxa"/>
            <w:vAlign w:val="center"/>
          </w:tcPr>
          <w:p w14:paraId="7016AE9D" w14:textId="77777777" w:rsidR="00123BE2" w:rsidRPr="00515D32" w:rsidRDefault="00123BE2" w:rsidP="0022167B">
            <w:pPr>
              <w:rPr>
                <w:rFonts w:ascii="Arial" w:hAnsi="Arial" w:cs="Arial"/>
                <w:color w:val="161616" w:themeColor="background1" w:themeShade="1A"/>
                <w:sz w:val="14"/>
                <w:szCs w:val="14"/>
                <w:lang w:val="es-ES_tradnl" w:eastAsia="es-ES"/>
              </w:rPr>
            </w:pPr>
            <w:r w:rsidRPr="00515D32">
              <w:rPr>
                <w:rFonts w:ascii="Arial" w:hAnsi="Arial" w:cs="Arial"/>
                <w:color w:val="161616" w:themeColor="background1" w:themeShade="1A"/>
                <w:sz w:val="14"/>
                <w:szCs w:val="14"/>
                <w:lang w:val="es-ES_tradnl" w:eastAsia="es-ES"/>
              </w:rPr>
              <w:t>Elaboró:</w:t>
            </w:r>
          </w:p>
        </w:tc>
        <w:tc>
          <w:tcPr>
            <w:tcW w:w="4298" w:type="dxa"/>
            <w:tcBorders>
              <w:bottom w:val="dotted" w:sz="4" w:space="0" w:color="7F7F7F"/>
            </w:tcBorders>
            <w:vAlign w:val="center"/>
          </w:tcPr>
          <w:p w14:paraId="3135B5D2" w14:textId="2D011484" w:rsidR="00123BE2" w:rsidRPr="00515D32" w:rsidRDefault="00123BE2" w:rsidP="0022167B">
            <w:pPr>
              <w:rPr>
                <w:rFonts w:ascii="Arial" w:hAnsi="Arial" w:cs="Arial"/>
                <w:color w:val="161616" w:themeColor="background1" w:themeShade="1A"/>
                <w:sz w:val="14"/>
                <w:szCs w:val="14"/>
                <w:lang w:val="es-ES_tradnl" w:eastAsia="es-ES"/>
              </w:rPr>
            </w:pPr>
            <w:r w:rsidRPr="00515D32">
              <w:rPr>
                <w:rFonts w:ascii="Arial" w:hAnsi="Arial" w:cs="Arial"/>
                <w:color w:val="161616" w:themeColor="background1" w:themeShade="1A"/>
                <w:sz w:val="14"/>
                <w:szCs w:val="14"/>
                <w:lang w:val="es-ES_tradnl" w:eastAsia="es-ES"/>
              </w:rPr>
              <w:t xml:space="preserve">Diana Fabiola Herrera Hernández </w:t>
            </w:r>
          </w:p>
          <w:p w14:paraId="748D0BA2" w14:textId="77777777" w:rsidR="00123BE2" w:rsidRPr="00515D32" w:rsidRDefault="00123BE2" w:rsidP="0022167B">
            <w:pPr>
              <w:rPr>
                <w:rFonts w:ascii="Arial" w:hAnsi="Arial" w:cs="Arial"/>
                <w:color w:val="161616" w:themeColor="background1" w:themeShade="1A"/>
                <w:sz w:val="14"/>
                <w:szCs w:val="14"/>
                <w:lang w:val="es-ES_tradnl" w:eastAsia="es-ES"/>
              </w:rPr>
            </w:pPr>
            <w:r w:rsidRPr="00515D32">
              <w:rPr>
                <w:rFonts w:ascii="Arial" w:hAnsi="Arial" w:cs="Arial"/>
                <w:color w:val="161616" w:themeColor="background1" w:themeShade="1A"/>
                <w:sz w:val="14"/>
                <w:szCs w:val="14"/>
                <w:lang w:val="es-ES_tradnl" w:eastAsia="es-ES"/>
              </w:rPr>
              <w:t>Contratista de la Subdirección de Gestión Contractual</w:t>
            </w:r>
          </w:p>
        </w:tc>
      </w:tr>
      <w:tr w:rsidR="009922C8" w:rsidRPr="00E34DEB" w14:paraId="7E176450" w14:textId="77777777" w:rsidTr="00AA0B78">
        <w:trPr>
          <w:trHeight w:val="248"/>
        </w:trPr>
        <w:tc>
          <w:tcPr>
            <w:tcW w:w="790" w:type="dxa"/>
            <w:vAlign w:val="center"/>
          </w:tcPr>
          <w:p w14:paraId="56D591DE" w14:textId="77777777" w:rsidR="00123BE2" w:rsidRPr="00515D32" w:rsidRDefault="00123BE2" w:rsidP="0022167B">
            <w:pPr>
              <w:rPr>
                <w:rFonts w:ascii="Arial" w:hAnsi="Arial" w:cs="Arial"/>
                <w:color w:val="161616" w:themeColor="background1" w:themeShade="1A"/>
                <w:sz w:val="14"/>
                <w:szCs w:val="14"/>
                <w:lang w:val="es-ES_tradnl" w:eastAsia="es-ES"/>
              </w:rPr>
            </w:pPr>
            <w:r w:rsidRPr="00515D32">
              <w:rPr>
                <w:rFonts w:ascii="Arial" w:hAnsi="Arial" w:cs="Arial"/>
                <w:color w:val="161616" w:themeColor="background1" w:themeShade="1A"/>
                <w:sz w:val="14"/>
                <w:szCs w:val="14"/>
                <w:lang w:val="es-ES_tradnl" w:eastAsia="es-ES"/>
              </w:rPr>
              <w:t>Revisó:</w:t>
            </w:r>
          </w:p>
        </w:tc>
        <w:tc>
          <w:tcPr>
            <w:tcW w:w="4298" w:type="dxa"/>
            <w:tcBorders>
              <w:top w:val="dotted" w:sz="4" w:space="0" w:color="7F7F7F"/>
              <w:bottom w:val="dotted" w:sz="4" w:space="0" w:color="7F7F7F"/>
            </w:tcBorders>
            <w:vAlign w:val="center"/>
          </w:tcPr>
          <w:p w14:paraId="59CA7888" w14:textId="77777777" w:rsidR="00C551EE" w:rsidRPr="00C551EE" w:rsidRDefault="00C551EE" w:rsidP="00C551EE">
            <w:pPr>
              <w:rPr>
                <w:rFonts w:ascii="Arial" w:hAnsi="Arial" w:cs="Arial"/>
                <w:color w:val="161616" w:themeColor="background1" w:themeShade="1A"/>
                <w:sz w:val="14"/>
                <w:szCs w:val="14"/>
                <w:lang w:val="es-ES_tradnl" w:eastAsia="es-ES"/>
              </w:rPr>
            </w:pPr>
            <w:r w:rsidRPr="00C551EE">
              <w:rPr>
                <w:rFonts w:ascii="Arial" w:hAnsi="Arial" w:cs="Arial"/>
                <w:color w:val="161616" w:themeColor="background1" w:themeShade="1A"/>
                <w:sz w:val="14"/>
                <w:szCs w:val="14"/>
                <w:lang w:val="es-ES_tradnl" w:eastAsia="es-ES"/>
              </w:rPr>
              <w:t>Alejandro Sarmiento Cantillo</w:t>
            </w:r>
          </w:p>
          <w:p w14:paraId="5C8BE685" w14:textId="477EE3A8" w:rsidR="00123BE2" w:rsidRPr="00515D32" w:rsidRDefault="00C551EE" w:rsidP="00C551EE">
            <w:pPr>
              <w:rPr>
                <w:rFonts w:ascii="Arial" w:hAnsi="Arial" w:cs="Arial"/>
                <w:color w:val="161616" w:themeColor="background1" w:themeShade="1A"/>
                <w:sz w:val="14"/>
                <w:szCs w:val="14"/>
                <w:lang w:val="es-ES_tradnl" w:eastAsia="es-ES"/>
              </w:rPr>
            </w:pPr>
            <w:r w:rsidRPr="00C551EE">
              <w:rPr>
                <w:rFonts w:ascii="Arial" w:hAnsi="Arial" w:cs="Arial"/>
                <w:color w:val="161616" w:themeColor="background1" w:themeShade="1A"/>
                <w:sz w:val="14"/>
                <w:szCs w:val="14"/>
                <w:lang w:val="es-ES_tradnl" w:eastAsia="es-ES"/>
              </w:rPr>
              <w:t>Gestor T1-15 de la Subdirección de Gestión Contractual</w:t>
            </w:r>
          </w:p>
        </w:tc>
      </w:tr>
      <w:tr w:rsidR="009922C8" w:rsidRPr="00E34DEB" w14:paraId="611127FC" w14:textId="77777777" w:rsidTr="00AA0B78">
        <w:trPr>
          <w:trHeight w:val="225"/>
        </w:trPr>
        <w:tc>
          <w:tcPr>
            <w:tcW w:w="790" w:type="dxa"/>
            <w:vAlign w:val="center"/>
          </w:tcPr>
          <w:p w14:paraId="627055C2" w14:textId="77777777" w:rsidR="00123BE2" w:rsidRPr="00515D32" w:rsidRDefault="00123BE2" w:rsidP="0022167B">
            <w:pPr>
              <w:rPr>
                <w:rFonts w:ascii="Arial" w:hAnsi="Arial" w:cs="Arial"/>
                <w:color w:val="161616" w:themeColor="background1" w:themeShade="1A"/>
                <w:sz w:val="14"/>
                <w:szCs w:val="14"/>
                <w:lang w:val="es-ES_tradnl" w:eastAsia="es-ES"/>
              </w:rPr>
            </w:pPr>
            <w:r w:rsidRPr="00515D32">
              <w:rPr>
                <w:rFonts w:ascii="Arial" w:hAnsi="Arial" w:cs="Arial"/>
                <w:color w:val="161616" w:themeColor="background1" w:themeShade="1A"/>
                <w:sz w:val="14"/>
                <w:szCs w:val="14"/>
                <w:lang w:val="es-ES_tradnl" w:eastAsia="es-ES"/>
              </w:rPr>
              <w:t>Aprobó:</w:t>
            </w:r>
          </w:p>
        </w:tc>
        <w:tc>
          <w:tcPr>
            <w:tcW w:w="4298" w:type="dxa"/>
            <w:tcBorders>
              <w:top w:val="dotted" w:sz="4" w:space="0" w:color="7F7F7F"/>
              <w:bottom w:val="dotted" w:sz="4" w:space="0" w:color="7F7F7F"/>
            </w:tcBorders>
            <w:vAlign w:val="center"/>
          </w:tcPr>
          <w:p w14:paraId="0A96E7B2" w14:textId="77777777" w:rsidR="00123BE2" w:rsidRPr="00515D32" w:rsidRDefault="00123BE2" w:rsidP="0022167B">
            <w:pPr>
              <w:rPr>
                <w:rFonts w:ascii="Arial" w:hAnsi="Arial" w:cs="Arial"/>
                <w:color w:val="161616" w:themeColor="background1" w:themeShade="1A"/>
                <w:sz w:val="14"/>
                <w:szCs w:val="14"/>
                <w:lang w:val="es-ES_tradnl" w:eastAsia="es-ES"/>
              </w:rPr>
            </w:pPr>
            <w:r w:rsidRPr="00515D32">
              <w:rPr>
                <w:rFonts w:ascii="Arial" w:hAnsi="Arial" w:cs="Arial"/>
                <w:color w:val="161616" w:themeColor="background1" w:themeShade="1A"/>
                <w:sz w:val="14"/>
                <w:szCs w:val="14"/>
                <w:lang w:val="es-ES_tradnl" w:eastAsia="es-ES"/>
              </w:rPr>
              <w:t>Jorge Augusto Tirado Navarro</w:t>
            </w:r>
          </w:p>
          <w:p w14:paraId="5A434093" w14:textId="77777777" w:rsidR="00123BE2" w:rsidRPr="00515D32" w:rsidRDefault="00123BE2" w:rsidP="0022167B">
            <w:pPr>
              <w:rPr>
                <w:rFonts w:ascii="Arial" w:hAnsi="Arial" w:cs="Arial"/>
                <w:color w:val="161616" w:themeColor="background1" w:themeShade="1A"/>
                <w:sz w:val="14"/>
                <w:szCs w:val="14"/>
                <w:lang w:val="es-ES_tradnl" w:eastAsia="es-ES"/>
              </w:rPr>
            </w:pPr>
            <w:r w:rsidRPr="00515D32">
              <w:rPr>
                <w:rFonts w:ascii="Arial" w:hAnsi="Arial" w:cs="Arial"/>
                <w:color w:val="161616" w:themeColor="background1" w:themeShade="1A"/>
                <w:sz w:val="14"/>
                <w:szCs w:val="14"/>
                <w:lang w:val="es-ES_tradnl" w:eastAsia="es-ES"/>
              </w:rPr>
              <w:t>Subdirector de Gestión Contractual ANCP – CCE</w:t>
            </w:r>
          </w:p>
        </w:tc>
      </w:tr>
    </w:tbl>
    <w:p w14:paraId="46A2D6C9" w14:textId="77777777" w:rsidR="00123BE2" w:rsidRPr="00515D32" w:rsidRDefault="00123BE2" w:rsidP="0022167B">
      <w:pPr>
        <w:rPr>
          <w:rFonts w:ascii="Arial" w:hAnsi="Arial" w:cs="Arial"/>
          <w:color w:val="161616" w:themeColor="background1" w:themeShade="1A"/>
          <w:sz w:val="22"/>
          <w:szCs w:val="22"/>
          <w:lang w:val="es-ES_tradnl"/>
        </w:rPr>
      </w:pPr>
    </w:p>
    <w:sectPr w:rsidR="00123BE2" w:rsidRPr="00515D32" w:rsidSect="00D650B5">
      <w:headerReference w:type="default" r:id="rId13"/>
      <w:footerReference w:type="default" r:id="rId14"/>
      <w:pgSz w:w="12240" w:h="15840"/>
      <w:pgMar w:top="2041" w:right="1758" w:bottom="1474" w:left="175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2ADF4" w14:textId="77777777" w:rsidR="00C67FDB" w:rsidRDefault="00C67FDB">
      <w:r>
        <w:separator/>
      </w:r>
    </w:p>
  </w:endnote>
  <w:endnote w:type="continuationSeparator" w:id="0">
    <w:p w14:paraId="2769D14C" w14:textId="77777777" w:rsidR="00C67FDB" w:rsidRDefault="00C67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5F905D24" w:rsidR="00EF64D8" w:rsidRPr="008217B7" w:rsidRDefault="00EF64D8"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E71C9">
      <w:rPr>
        <w:rFonts w:ascii="Arial" w:hAnsi="Arial" w:cs="Arial"/>
        <w:b/>
        <w:bCs/>
        <w:noProof/>
        <w:color w:val="7F7F7F" w:themeColor="text1" w:themeTint="80"/>
        <w:sz w:val="16"/>
        <w:szCs w:val="16"/>
      </w:rPr>
      <w:t>29</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E71C9">
      <w:rPr>
        <w:rFonts w:ascii="Arial" w:hAnsi="Arial" w:cs="Arial"/>
        <w:b/>
        <w:bCs/>
        <w:noProof/>
        <w:color w:val="7F7F7F" w:themeColor="text1" w:themeTint="80"/>
        <w:sz w:val="16"/>
        <w:szCs w:val="16"/>
      </w:rPr>
      <w:t>29</w:t>
    </w:r>
    <w:r w:rsidRPr="00084B97">
      <w:rPr>
        <w:rFonts w:ascii="Arial" w:hAnsi="Arial" w:cs="Arial"/>
        <w:b/>
        <w:bCs/>
        <w:color w:val="7F7F7F" w:themeColor="text1" w:themeTint="80"/>
        <w:sz w:val="16"/>
        <w:szCs w:val="16"/>
      </w:rPr>
      <w:fldChar w:fldCharType="end"/>
    </w:r>
  </w:p>
  <w:p w14:paraId="48FC6A04" w14:textId="5FD1A7C9" w:rsidR="00EF64D8" w:rsidRDefault="434D2F1C" w:rsidP="00322937">
    <w:pPr>
      <w:pStyle w:val="Piedepgina"/>
      <w:jc w:val="center"/>
      <w:rPr>
        <w:lang w:val="es-ES"/>
      </w:rPr>
    </w:pPr>
    <w:r>
      <w:rPr>
        <w:noProof/>
        <w:lang w:val="es-CO" w:eastAsia="es-CO"/>
      </w:rPr>
      <w:drawing>
        <wp:inline distT="0" distB="0" distL="0" distR="0" wp14:anchorId="608B196D" wp14:editId="40ED6A14">
          <wp:extent cx="3700130" cy="519139"/>
          <wp:effectExtent l="0" t="0" r="0"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EF64D8" w:rsidRDefault="00EF64D8" w:rsidP="007B0854">
    <w:pPr>
      <w:pStyle w:val="Piedepgina"/>
      <w:jc w:val="center"/>
      <w:rPr>
        <w:lang w:val="es-ES"/>
      </w:rPr>
    </w:pPr>
  </w:p>
  <w:p w14:paraId="6C0EFC49" w14:textId="77777777" w:rsidR="00EF64D8" w:rsidRPr="007B0854" w:rsidRDefault="00EF64D8"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1983C" w14:textId="77777777" w:rsidR="00C67FDB" w:rsidRDefault="00C67FDB">
      <w:r>
        <w:separator/>
      </w:r>
    </w:p>
  </w:footnote>
  <w:footnote w:type="continuationSeparator" w:id="0">
    <w:p w14:paraId="47332A21" w14:textId="77777777" w:rsidR="00C67FDB" w:rsidRDefault="00C67FDB">
      <w:r>
        <w:continuationSeparator/>
      </w:r>
    </w:p>
  </w:footnote>
  <w:footnote w:id="1">
    <w:p w14:paraId="55D7B2FC" w14:textId="77777777" w:rsidR="00F77855" w:rsidRPr="009A21D9" w:rsidRDefault="00F77855" w:rsidP="00677866">
      <w:pPr>
        <w:ind w:firstLine="709"/>
        <w:jc w:val="both"/>
        <w:rPr>
          <w:rFonts w:ascii="Arial" w:eastAsia="Arial" w:hAnsi="Arial" w:cs="Arial"/>
          <w:color w:val="000000" w:themeColor="text1"/>
          <w:sz w:val="12"/>
          <w:szCs w:val="12"/>
          <w:lang w:eastAsia="es-ES_tradnl"/>
        </w:rPr>
      </w:pPr>
      <w:r w:rsidRPr="009A21D9">
        <w:rPr>
          <w:rStyle w:val="Refdenotaalpie"/>
          <w:rFonts w:ascii="Arial" w:hAnsi="Arial" w:cs="Arial"/>
          <w:color w:val="000000" w:themeColor="text1"/>
          <w:sz w:val="12"/>
          <w:szCs w:val="12"/>
        </w:rPr>
        <w:footnoteRef/>
      </w:r>
      <w:r w:rsidRPr="009A21D9">
        <w:rPr>
          <w:rFonts w:ascii="Arial" w:hAnsi="Arial" w:cs="Arial"/>
          <w:color w:val="000000" w:themeColor="text1"/>
          <w:sz w:val="12"/>
          <w:szCs w:val="12"/>
        </w:rPr>
        <w:t xml:space="preserve"> </w:t>
      </w:r>
      <w:r w:rsidRPr="009A21D9">
        <w:rPr>
          <w:rFonts w:ascii="Arial" w:eastAsia="Arial" w:hAnsi="Arial" w:cs="Arial"/>
          <w:color w:val="000000" w:themeColor="text1"/>
          <w:sz w:val="12"/>
          <w:szCs w:val="12"/>
        </w:rPr>
        <w:t xml:space="preserve">«Artículo 3°. Funciones. La Agencia Nacional de Contratación Pública –Colombia Compra Eficiente– ejercerá las siguientes funciones: </w:t>
      </w:r>
    </w:p>
    <w:p w14:paraId="4EFA4669" w14:textId="77777777" w:rsidR="00F77855" w:rsidRPr="009A21D9" w:rsidRDefault="00F77855" w:rsidP="00677866">
      <w:pPr>
        <w:ind w:firstLine="709"/>
        <w:jc w:val="both"/>
        <w:rPr>
          <w:rFonts w:ascii="Arial" w:eastAsia="Arial" w:hAnsi="Arial" w:cs="Arial"/>
          <w:color w:val="000000" w:themeColor="text1"/>
          <w:sz w:val="12"/>
          <w:szCs w:val="12"/>
        </w:rPr>
      </w:pPr>
      <w:r w:rsidRPr="009A21D9">
        <w:rPr>
          <w:rFonts w:ascii="Arial" w:eastAsia="Arial" w:hAnsi="Arial" w:cs="Arial"/>
          <w:color w:val="000000" w:themeColor="text1"/>
          <w:sz w:val="12"/>
          <w:szCs w:val="12"/>
        </w:rPr>
        <w:t xml:space="preserve">[...] </w:t>
      </w:r>
    </w:p>
    <w:p w14:paraId="726C1451" w14:textId="77777777" w:rsidR="00F77855" w:rsidRPr="009A21D9" w:rsidRDefault="00F77855" w:rsidP="00677866">
      <w:pPr>
        <w:ind w:firstLine="709"/>
        <w:jc w:val="both"/>
        <w:rPr>
          <w:rFonts w:ascii="Arial" w:eastAsia="Arial" w:hAnsi="Arial" w:cs="Arial"/>
          <w:color w:val="000000" w:themeColor="text1"/>
          <w:sz w:val="12"/>
          <w:szCs w:val="12"/>
        </w:rPr>
      </w:pPr>
      <w:r w:rsidRPr="009A21D9">
        <w:rPr>
          <w:rFonts w:ascii="Arial" w:eastAsia="Arial" w:hAnsi="Arial" w:cs="Arial"/>
          <w:color w:val="000000" w:themeColor="text1"/>
          <w:sz w:val="12"/>
          <w:szCs w:val="12"/>
        </w:rPr>
        <w:t>» 5. Absolver consultas sobre la aplicación de normas de carácter general y expedir circulares externas en materia de compras y contratación pública».</w:t>
      </w:r>
    </w:p>
    <w:p w14:paraId="37545007" w14:textId="77777777" w:rsidR="00F77855" w:rsidRPr="009A21D9" w:rsidRDefault="00F77855" w:rsidP="00677866">
      <w:pPr>
        <w:ind w:firstLine="709"/>
        <w:jc w:val="both"/>
        <w:rPr>
          <w:rFonts w:ascii="Arial" w:eastAsia="Arial" w:hAnsi="Arial" w:cs="Arial"/>
          <w:color w:val="000000" w:themeColor="text1"/>
          <w:sz w:val="12"/>
          <w:szCs w:val="12"/>
        </w:rPr>
      </w:pPr>
      <w:r w:rsidRPr="009A21D9">
        <w:rPr>
          <w:rFonts w:ascii="Arial" w:eastAsia="Arial" w:hAnsi="Arial" w:cs="Arial"/>
          <w:color w:val="000000" w:themeColor="text1"/>
          <w:sz w:val="12"/>
          <w:szCs w:val="12"/>
        </w:rPr>
        <w:t>[..]</w:t>
      </w:r>
    </w:p>
    <w:p w14:paraId="388EE5E6" w14:textId="77777777" w:rsidR="00F77855" w:rsidRPr="009A21D9" w:rsidRDefault="00F77855" w:rsidP="00677866">
      <w:pPr>
        <w:ind w:firstLine="709"/>
        <w:jc w:val="both"/>
        <w:rPr>
          <w:rFonts w:ascii="Arial" w:eastAsia="Arial" w:hAnsi="Arial" w:cs="Arial"/>
          <w:color w:val="000000" w:themeColor="text1"/>
          <w:sz w:val="12"/>
          <w:szCs w:val="12"/>
        </w:rPr>
      </w:pPr>
      <w:r w:rsidRPr="009A21D9">
        <w:rPr>
          <w:rFonts w:ascii="Arial" w:eastAsia="Arial" w:hAnsi="Arial" w:cs="Arial"/>
          <w:color w:val="000000" w:themeColor="text1"/>
          <w:sz w:val="12"/>
          <w:szCs w:val="12"/>
        </w:rPr>
        <w:t xml:space="preserve">»Artículo 11. Subdirección de Gestión Contractual. Son funciones de la Subdirección de Gestión Contractual las siguientes: </w:t>
      </w:r>
    </w:p>
    <w:p w14:paraId="5D167BB9" w14:textId="77777777" w:rsidR="00F77855" w:rsidRPr="009A21D9" w:rsidRDefault="00F77855" w:rsidP="00677866">
      <w:pPr>
        <w:ind w:firstLine="709"/>
        <w:jc w:val="both"/>
        <w:rPr>
          <w:rFonts w:ascii="Arial" w:eastAsia="Arial" w:hAnsi="Arial" w:cs="Arial"/>
          <w:color w:val="000000" w:themeColor="text1"/>
          <w:sz w:val="12"/>
          <w:szCs w:val="12"/>
        </w:rPr>
      </w:pPr>
      <w:r w:rsidRPr="009A21D9">
        <w:rPr>
          <w:rFonts w:ascii="Arial" w:eastAsia="Arial" w:hAnsi="Arial" w:cs="Arial"/>
          <w:color w:val="000000" w:themeColor="text1"/>
          <w:sz w:val="12"/>
          <w:szCs w:val="12"/>
        </w:rPr>
        <w:t xml:space="preserve">[...] </w:t>
      </w:r>
    </w:p>
    <w:p w14:paraId="429559E0" w14:textId="77777777" w:rsidR="00F77855" w:rsidRPr="009A21D9" w:rsidRDefault="00F77855" w:rsidP="00677866">
      <w:pPr>
        <w:ind w:firstLine="709"/>
        <w:jc w:val="both"/>
        <w:rPr>
          <w:rFonts w:ascii="Arial" w:eastAsia="Arial" w:hAnsi="Arial" w:cs="Arial"/>
          <w:color w:val="000000" w:themeColor="text1"/>
          <w:sz w:val="12"/>
          <w:szCs w:val="12"/>
        </w:rPr>
      </w:pPr>
      <w:r w:rsidRPr="009A21D9">
        <w:rPr>
          <w:rFonts w:ascii="Arial" w:eastAsia="Arial" w:hAnsi="Arial" w:cs="Arial"/>
          <w:color w:val="000000" w:themeColor="text1"/>
          <w:sz w:val="12"/>
          <w:szCs w:val="12"/>
        </w:rPr>
        <w:t xml:space="preserve">»8. Absolver consultas sobre la aplicación de normas de carácter general». </w:t>
      </w:r>
    </w:p>
    <w:p w14:paraId="442F8EC8" w14:textId="76A5AEE7" w:rsidR="00F77855" w:rsidRPr="00515D32" w:rsidRDefault="00F77855" w:rsidP="00677866">
      <w:pPr>
        <w:pStyle w:val="Textonotapie"/>
        <w:spacing w:before="0" w:after="0" w:line="240" w:lineRule="auto"/>
        <w:ind w:firstLine="709"/>
        <w:rPr>
          <w:rFonts w:ascii="Arial" w:hAnsi="Arial" w:cs="Arial"/>
          <w:color w:val="000000" w:themeColor="text1"/>
          <w:sz w:val="19"/>
          <w:szCs w:val="19"/>
          <w:lang w:val="es-CO"/>
        </w:rPr>
      </w:pPr>
    </w:p>
  </w:footnote>
  <w:footnote w:id="2">
    <w:p w14:paraId="707B3955" w14:textId="77777777" w:rsidR="00450CAF" w:rsidRPr="009A21D9" w:rsidRDefault="00450CAF" w:rsidP="009A21D9">
      <w:pPr>
        <w:pStyle w:val="Textonotapie"/>
        <w:spacing w:before="0" w:after="0" w:line="240" w:lineRule="auto"/>
        <w:ind w:firstLine="709"/>
        <w:rPr>
          <w:rFonts w:ascii="Arial" w:hAnsi="Arial" w:cs="Arial"/>
          <w:sz w:val="12"/>
          <w:szCs w:val="12"/>
        </w:rPr>
      </w:pPr>
      <w:r w:rsidRPr="009A21D9">
        <w:rPr>
          <w:rStyle w:val="Refdenotaalpie"/>
          <w:rFonts w:ascii="Arial" w:hAnsi="Arial" w:cs="Arial"/>
          <w:sz w:val="12"/>
          <w:szCs w:val="12"/>
        </w:rPr>
        <w:footnoteRef/>
      </w:r>
      <w:r w:rsidRPr="009A21D9">
        <w:rPr>
          <w:rFonts w:ascii="Arial" w:hAnsi="Arial" w:cs="Arial"/>
          <w:sz w:val="12"/>
          <w:szCs w:val="12"/>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1394C0AD" w14:textId="58C53AC5" w:rsidR="00450CAF" w:rsidRPr="009A21D9" w:rsidRDefault="00450CAF" w:rsidP="009A21D9">
      <w:pPr>
        <w:pStyle w:val="Textonotapie"/>
        <w:spacing w:before="0" w:after="0" w:line="240" w:lineRule="auto"/>
        <w:ind w:firstLine="709"/>
        <w:rPr>
          <w:rFonts w:ascii="Arial" w:hAnsi="Arial" w:cs="Arial"/>
          <w:sz w:val="12"/>
          <w:szCs w:val="12"/>
        </w:rPr>
      </w:pPr>
      <w:r w:rsidRPr="009A21D9">
        <w:rPr>
          <w:rFonts w:ascii="Arial" w:hAnsi="Arial" w:cs="Arial"/>
          <w:sz w:val="12"/>
          <w:szCs w:val="12"/>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3">
    <w:p w14:paraId="4CB066B1" w14:textId="77777777" w:rsidR="00450CAF" w:rsidRPr="009A21D9" w:rsidRDefault="00450CAF" w:rsidP="009A21D9">
      <w:pPr>
        <w:pStyle w:val="Textonotapie"/>
        <w:spacing w:before="0" w:after="0" w:line="240" w:lineRule="auto"/>
        <w:ind w:firstLine="709"/>
        <w:rPr>
          <w:rFonts w:ascii="Arial" w:hAnsi="Arial" w:cs="Arial"/>
          <w:sz w:val="12"/>
          <w:szCs w:val="12"/>
        </w:rPr>
      </w:pPr>
      <w:r w:rsidRPr="009A21D9">
        <w:rPr>
          <w:rStyle w:val="Refdenotaalpie"/>
          <w:rFonts w:ascii="Arial" w:hAnsi="Arial" w:cs="Arial"/>
          <w:sz w:val="12"/>
          <w:szCs w:val="12"/>
        </w:rPr>
        <w:footnoteRef/>
      </w:r>
      <w:r w:rsidRPr="009A21D9">
        <w:rPr>
          <w:rFonts w:ascii="Arial" w:hAnsi="Arial" w:cs="Arial"/>
          <w:sz w:val="12"/>
          <w:szCs w:val="12"/>
        </w:rPr>
        <w:t xml:space="preserve"> Gaceta del Congreso de la República No. 71 del 2005.</w:t>
      </w:r>
    </w:p>
    <w:p w14:paraId="266076D5" w14:textId="77777777" w:rsidR="00450CAF" w:rsidRPr="00EA03F6" w:rsidRDefault="00450CAF">
      <w:pPr>
        <w:pStyle w:val="Textonotapie"/>
        <w:spacing w:before="0" w:after="0" w:line="240" w:lineRule="auto"/>
        <w:ind w:firstLine="709"/>
        <w:rPr>
          <w:rFonts w:ascii="Arial" w:hAnsi="Arial" w:cs="Arial"/>
          <w:sz w:val="19"/>
          <w:szCs w:val="19"/>
        </w:rPr>
      </w:pPr>
    </w:p>
  </w:footnote>
  <w:footnote w:id="4">
    <w:p w14:paraId="019F9676" w14:textId="216C6D23" w:rsidR="00450CAF" w:rsidRPr="009A21D9" w:rsidRDefault="00450CAF" w:rsidP="009A21D9">
      <w:pPr>
        <w:pStyle w:val="Textonotapie"/>
        <w:spacing w:before="0" w:after="0" w:line="240" w:lineRule="auto"/>
        <w:ind w:firstLine="709"/>
        <w:rPr>
          <w:rFonts w:ascii="Arial" w:hAnsi="Arial" w:cs="Arial"/>
          <w:sz w:val="12"/>
          <w:szCs w:val="12"/>
        </w:rPr>
      </w:pPr>
      <w:r w:rsidRPr="009A21D9">
        <w:rPr>
          <w:rStyle w:val="Refdenotaalpie"/>
          <w:rFonts w:ascii="Arial" w:hAnsi="Arial" w:cs="Arial"/>
          <w:sz w:val="12"/>
          <w:szCs w:val="12"/>
        </w:rPr>
        <w:footnoteRef/>
      </w:r>
      <w:r w:rsidRPr="009A21D9">
        <w:rPr>
          <w:rFonts w:ascii="Arial" w:hAnsi="Arial" w:cs="Arial"/>
          <w:sz w:val="12"/>
          <w:szCs w:val="12"/>
        </w:rPr>
        <w:t xml:space="preserve"> Corte Constitucional, Sentencia C- 1153 de 2005, M.P. Marco Gerardo Monroy Cabra.</w:t>
      </w:r>
    </w:p>
  </w:footnote>
  <w:footnote w:id="5">
    <w:p w14:paraId="78C04CE4" w14:textId="57A39BD3" w:rsidR="00450CAF" w:rsidRPr="009A21D9" w:rsidRDefault="00450CAF" w:rsidP="009A21D9">
      <w:pPr>
        <w:pStyle w:val="Textonotapie"/>
        <w:spacing w:before="0" w:after="0" w:line="240" w:lineRule="auto"/>
        <w:ind w:firstLine="709"/>
        <w:rPr>
          <w:rFonts w:ascii="Arial" w:hAnsi="Arial" w:cs="Arial"/>
          <w:sz w:val="12"/>
          <w:szCs w:val="12"/>
        </w:rPr>
      </w:pPr>
      <w:r w:rsidRPr="009A21D9">
        <w:rPr>
          <w:rStyle w:val="Refdenotaalpie"/>
          <w:rFonts w:ascii="Arial" w:hAnsi="Arial" w:cs="Arial"/>
          <w:sz w:val="12"/>
          <w:szCs w:val="12"/>
        </w:rPr>
        <w:footnoteRef/>
      </w:r>
      <w:r w:rsidRPr="009A21D9">
        <w:rPr>
          <w:rFonts w:ascii="Arial" w:hAnsi="Arial" w:cs="Arial"/>
          <w:sz w:val="12"/>
          <w:szCs w:val="12"/>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6">
    <w:p w14:paraId="0452B8F3" w14:textId="77777777" w:rsidR="00450CAF" w:rsidRPr="009A21D9" w:rsidRDefault="00450CAF" w:rsidP="009A21D9">
      <w:pPr>
        <w:pStyle w:val="Textonotapie"/>
        <w:spacing w:before="0" w:after="0" w:line="240" w:lineRule="auto"/>
        <w:ind w:firstLine="709"/>
        <w:rPr>
          <w:rFonts w:ascii="Arial" w:hAnsi="Arial" w:cs="Arial"/>
          <w:sz w:val="12"/>
          <w:szCs w:val="12"/>
          <w:lang w:val="es-CO"/>
        </w:rPr>
      </w:pPr>
      <w:r w:rsidRPr="009A21D9">
        <w:rPr>
          <w:rStyle w:val="Refdenotaalpie"/>
          <w:rFonts w:ascii="Arial" w:hAnsi="Arial" w:cs="Arial"/>
          <w:sz w:val="12"/>
          <w:szCs w:val="12"/>
        </w:rPr>
        <w:footnoteRef/>
      </w:r>
      <w:r w:rsidRPr="009A21D9">
        <w:rPr>
          <w:rFonts w:ascii="Arial" w:hAnsi="Arial" w:cs="Arial"/>
          <w:sz w:val="12"/>
          <w:szCs w:val="12"/>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748DE7F7" w14:textId="77777777" w:rsidR="00450CAF" w:rsidRPr="00EA03F6" w:rsidRDefault="00450CAF">
      <w:pPr>
        <w:pStyle w:val="Textonotapie"/>
        <w:spacing w:before="0" w:after="0" w:line="240" w:lineRule="auto"/>
        <w:ind w:firstLine="709"/>
        <w:rPr>
          <w:rFonts w:ascii="Arial" w:hAnsi="Arial" w:cs="Arial"/>
          <w:sz w:val="19"/>
          <w:szCs w:val="19"/>
          <w:lang w:val="es-CO"/>
        </w:rPr>
      </w:pPr>
    </w:p>
  </w:footnote>
  <w:footnote w:id="7">
    <w:p w14:paraId="0308D696" w14:textId="77777777" w:rsidR="00450CAF" w:rsidRPr="009A21D9" w:rsidRDefault="00450CAF">
      <w:pPr>
        <w:pStyle w:val="Textonotapie"/>
        <w:spacing w:before="0" w:after="0" w:line="240" w:lineRule="auto"/>
        <w:ind w:firstLine="709"/>
        <w:rPr>
          <w:rFonts w:ascii="Arial" w:hAnsi="Arial" w:cs="Arial"/>
          <w:sz w:val="12"/>
          <w:szCs w:val="12"/>
        </w:rPr>
      </w:pPr>
      <w:r w:rsidRPr="009A21D9">
        <w:rPr>
          <w:rStyle w:val="Refdenotaalpie"/>
          <w:rFonts w:ascii="Arial" w:hAnsi="Arial" w:cs="Arial"/>
          <w:sz w:val="12"/>
          <w:szCs w:val="12"/>
        </w:rPr>
        <w:footnoteRef/>
      </w:r>
      <w:r w:rsidRPr="009A21D9">
        <w:rPr>
          <w:rFonts w:ascii="Arial" w:hAnsi="Arial" w:cs="Arial"/>
          <w:sz w:val="12"/>
          <w:szCs w:val="12"/>
        </w:rPr>
        <w:t xml:space="preserve"> Consejo de Estado, Sala de Consulta y Servicio Civil de fecha 24 de julio de 2013, radicado 2166, Consejero Ponente: Álvaro </w:t>
      </w:r>
      <w:proofErr w:type="spellStart"/>
      <w:r w:rsidRPr="009A21D9">
        <w:rPr>
          <w:rFonts w:ascii="Arial" w:hAnsi="Arial" w:cs="Arial"/>
          <w:sz w:val="12"/>
          <w:szCs w:val="12"/>
        </w:rPr>
        <w:t>Namén</w:t>
      </w:r>
      <w:proofErr w:type="spellEnd"/>
      <w:r w:rsidRPr="009A21D9">
        <w:rPr>
          <w:rFonts w:ascii="Arial" w:hAnsi="Arial" w:cs="Arial"/>
          <w:sz w:val="12"/>
          <w:szCs w:val="12"/>
        </w:rPr>
        <w:t xml:space="preserve"> Vargas.  </w:t>
      </w:r>
    </w:p>
  </w:footnote>
  <w:footnote w:id="8">
    <w:p w14:paraId="051CE2AE" w14:textId="77777777" w:rsidR="00450CAF" w:rsidRPr="009A21D9" w:rsidRDefault="00450CAF">
      <w:pPr>
        <w:ind w:firstLine="709"/>
        <w:jc w:val="both"/>
        <w:rPr>
          <w:rFonts w:ascii="Arial" w:hAnsi="Arial" w:cs="Arial"/>
          <w:sz w:val="12"/>
          <w:szCs w:val="12"/>
        </w:rPr>
      </w:pPr>
      <w:r w:rsidRPr="009A21D9">
        <w:rPr>
          <w:rStyle w:val="Refdenotaalpie"/>
          <w:rFonts w:ascii="Arial" w:hAnsi="Arial" w:cs="Arial"/>
          <w:sz w:val="12"/>
          <w:szCs w:val="12"/>
        </w:rPr>
        <w:footnoteRef/>
      </w:r>
      <w:r w:rsidRPr="009A21D9">
        <w:rPr>
          <w:rFonts w:ascii="Arial" w:hAnsi="Arial" w:cs="Arial"/>
          <w:sz w:val="12"/>
          <w:szCs w:val="12"/>
        </w:rPr>
        <w:t xml:space="preserve"> </w:t>
      </w:r>
      <w:r w:rsidRPr="009A21D9">
        <w:rPr>
          <w:rFonts w:ascii="Arial" w:eastAsia="Calibri" w:hAnsi="Arial" w:cs="Arial"/>
          <w:bCs/>
          <w:color w:val="000000"/>
          <w:sz w:val="12"/>
          <w:szCs w:val="12"/>
        </w:rPr>
        <w:t>«</w:t>
      </w:r>
      <w:r w:rsidRPr="009A21D9">
        <w:rPr>
          <w:rFonts w:ascii="Arial" w:hAnsi="Arial" w:cs="Arial"/>
          <w:sz w:val="12"/>
          <w:szCs w:val="12"/>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2FACB725" w14:textId="3A9DCBC3" w:rsidR="00450CAF" w:rsidRPr="009A21D9" w:rsidRDefault="00450CAF" w:rsidP="009A21D9">
      <w:pPr>
        <w:ind w:firstLine="709"/>
        <w:jc w:val="both"/>
        <w:rPr>
          <w:rFonts w:ascii="Arial" w:hAnsi="Arial" w:cs="Arial"/>
          <w:sz w:val="12"/>
          <w:szCs w:val="12"/>
        </w:rPr>
      </w:pPr>
      <w:r w:rsidRPr="009A21D9">
        <w:rPr>
          <w:rFonts w:ascii="Arial" w:eastAsia="Calibri" w:hAnsi="Arial" w:cs="Arial"/>
          <w:bCs/>
          <w:color w:val="000000"/>
          <w:sz w:val="12"/>
          <w:szCs w:val="12"/>
        </w:rPr>
        <w:t>»</w:t>
      </w:r>
      <w:r w:rsidRPr="009A21D9">
        <w:rPr>
          <w:rFonts w:ascii="Arial" w:hAnsi="Arial" w:cs="Arial"/>
          <w:sz w:val="12"/>
          <w:szCs w:val="12"/>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9A21D9">
        <w:rPr>
          <w:rFonts w:ascii="Arial" w:eastAsia="Calibri" w:hAnsi="Arial" w:cs="Arial"/>
          <w:bCs/>
          <w:color w:val="000000"/>
          <w:sz w:val="12"/>
          <w:szCs w:val="12"/>
        </w:rPr>
        <w:t>»</w:t>
      </w:r>
      <w:r w:rsidRPr="009A21D9">
        <w:rPr>
          <w:rFonts w:ascii="Arial" w:hAnsi="Arial" w:cs="Arial"/>
          <w:sz w:val="12"/>
          <w:szCs w:val="12"/>
        </w:rPr>
        <w:t>.</w:t>
      </w:r>
    </w:p>
  </w:footnote>
  <w:footnote w:id="9">
    <w:p w14:paraId="0FFADA97" w14:textId="77777777" w:rsidR="00450CAF" w:rsidRPr="009A21D9" w:rsidRDefault="00450CAF">
      <w:pPr>
        <w:pStyle w:val="NormalWeb"/>
        <w:spacing w:before="0" w:beforeAutospacing="0" w:after="0" w:afterAutospacing="0" w:line="240" w:lineRule="auto"/>
        <w:ind w:firstLine="709"/>
        <w:rPr>
          <w:rFonts w:ascii="Arial" w:hAnsi="Arial" w:cs="Arial"/>
          <w:sz w:val="12"/>
          <w:szCs w:val="12"/>
          <w:lang w:val="es-MX"/>
        </w:rPr>
      </w:pPr>
      <w:r w:rsidRPr="009A21D9">
        <w:rPr>
          <w:rStyle w:val="Refdenotaalpie"/>
          <w:rFonts w:ascii="Arial" w:hAnsi="Arial" w:cs="Arial"/>
          <w:sz w:val="12"/>
          <w:szCs w:val="12"/>
        </w:rPr>
        <w:footnoteRef/>
      </w:r>
      <w:r w:rsidRPr="009A21D9">
        <w:rPr>
          <w:rFonts w:ascii="Arial" w:hAnsi="Arial" w:cs="Arial"/>
          <w:sz w:val="12"/>
          <w:szCs w:val="12"/>
        </w:rPr>
        <w:t xml:space="preserve"> </w:t>
      </w:r>
      <w:r w:rsidRPr="009A21D9">
        <w:rPr>
          <w:rFonts w:ascii="Arial" w:eastAsia="Calibri" w:hAnsi="Arial" w:cs="Arial"/>
          <w:bCs/>
          <w:color w:val="000000"/>
          <w:sz w:val="12"/>
          <w:szCs w:val="12"/>
        </w:rPr>
        <w:t>«</w:t>
      </w:r>
      <w:r w:rsidRPr="009A21D9">
        <w:rPr>
          <w:rFonts w:ascii="Arial" w:hAnsi="Arial" w:cs="Arial"/>
          <w:sz w:val="12"/>
          <w:szCs w:val="12"/>
          <w:lang w:val="es-MX"/>
        </w:rPr>
        <w:t>Artículo 38. Prohibiciones para los servidores públicos. A los empleados del Estado les está prohibido:</w:t>
      </w:r>
    </w:p>
    <w:p w14:paraId="25A085A9" w14:textId="77777777" w:rsidR="00450CAF" w:rsidRPr="009A21D9" w:rsidRDefault="00450CAF">
      <w:pPr>
        <w:pStyle w:val="NormalWeb"/>
        <w:spacing w:before="0" w:beforeAutospacing="0" w:after="0" w:afterAutospacing="0" w:line="240" w:lineRule="auto"/>
        <w:ind w:firstLine="709"/>
        <w:rPr>
          <w:rFonts w:ascii="Arial" w:hAnsi="Arial" w:cs="Arial"/>
          <w:sz w:val="12"/>
          <w:szCs w:val="12"/>
          <w:lang w:val="es-MX"/>
        </w:rPr>
      </w:pPr>
      <w:r w:rsidRPr="009A21D9">
        <w:rPr>
          <w:rFonts w:ascii="Arial" w:eastAsia="Calibri" w:hAnsi="Arial" w:cs="Arial"/>
          <w:bCs/>
          <w:color w:val="000000"/>
          <w:sz w:val="12"/>
          <w:szCs w:val="12"/>
        </w:rPr>
        <w:t>»</w:t>
      </w:r>
      <w:r w:rsidRPr="009A21D9">
        <w:rPr>
          <w:rFonts w:ascii="Arial" w:hAnsi="Arial" w:cs="Arial"/>
          <w:sz w:val="12"/>
          <w:szCs w:val="12"/>
          <w:lang w:val="es-MX"/>
        </w:rPr>
        <w:t xml:space="preserve"> […]</w:t>
      </w:r>
    </w:p>
    <w:p w14:paraId="65FC0D98" w14:textId="529ED713" w:rsidR="00450CAF" w:rsidRPr="009A21D9" w:rsidRDefault="00450CAF" w:rsidP="009A21D9">
      <w:pPr>
        <w:ind w:firstLine="709"/>
        <w:jc w:val="both"/>
        <w:rPr>
          <w:rFonts w:ascii="Arial" w:hAnsi="Arial" w:cs="Arial"/>
          <w:sz w:val="12"/>
          <w:szCs w:val="12"/>
          <w:lang w:val="es-MX"/>
        </w:rPr>
      </w:pPr>
      <w:r w:rsidRPr="009A21D9">
        <w:rPr>
          <w:rFonts w:ascii="Arial" w:eastAsia="Calibri" w:hAnsi="Arial" w:cs="Arial"/>
          <w:bCs/>
          <w:color w:val="000000"/>
          <w:sz w:val="12"/>
          <w:szCs w:val="12"/>
        </w:rPr>
        <w:t>»</w:t>
      </w:r>
      <w:r w:rsidRPr="009A21D9">
        <w:rPr>
          <w:rStyle w:val="baj"/>
          <w:rFonts w:ascii="Arial" w:hAnsi="Arial" w:cs="Arial"/>
          <w:sz w:val="12"/>
          <w:szCs w:val="12"/>
          <w:lang w:val="es-MX"/>
        </w:rPr>
        <w:t xml:space="preserve"> Parágrafo.</w:t>
      </w:r>
      <w:r w:rsidRPr="009A21D9">
        <w:rPr>
          <w:rFonts w:ascii="Arial" w:hAnsi="Arial" w:cs="Arial"/>
          <w:sz w:val="12"/>
          <w:szCs w:val="12"/>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9A21D9">
        <w:rPr>
          <w:rFonts w:ascii="Arial" w:eastAsia="Calibri" w:hAnsi="Arial" w:cs="Arial"/>
          <w:bCs/>
          <w:color w:val="000000"/>
          <w:sz w:val="12"/>
          <w:szCs w:val="12"/>
        </w:rPr>
        <w:t>»</w:t>
      </w:r>
      <w:r w:rsidRPr="009A21D9">
        <w:rPr>
          <w:rFonts w:ascii="Arial" w:hAnsi="Arial" w:cs="Arial"/>
          <w:sz w:val="12"/>
          <w:szCs w:val="12"/>
          <w:lang w:val="es-MX"/>
        </w:rPr>
        <w:t>.</w:t>
      </w:r>
    </w:p>
  </w:footnote>
  <w:footnote w:id="10">
    <w:p w14:paraId="11A27170" w14:textId="77777777" w:rsidR="00450CAF" w:rsidRPr="00EA03F6" w:rsidRDefault="00450CAF">
      <w:pPr>
        <w:ind w:firstLine="709"/>
        <w:jc w:val="both"/>
        <w:rPr>
          <w:rFonts w:ascii="Arial" w:hAnsi="Arial" w:cs="Arial"/>
          <w:sz w:val="19"/>
          <w:szCs w:val="19"/>
          <w:lang w:val="es-ES"/>
        </w:rPr>
      </w:pPr>
      <w:r w:rsidRPr="009A21D9">
        <w:rPr>
          <w:rStyle w:val="Refdenotaalpie"/>
          <w:rFonts w:ascii="Arial" w:hAnsi="Arial" w:cs="Arial"/>
          <w:sz w:val="12"/>
          <w:szCs w:val="12"/>
        </w:rPr>
        <w:footnoteRef/>
      </w:r>
      <w:r w:rsidRPr="009A21D9">
        <w:rPr>
          <w:rFonts w:ascii="Arial" w:hAnsi="Arial" w:cs="Arial"/>
          <w:sz w:val="12"/>
          <w:szCs w:val="12"/>
        </w:rPr>
        <w:t xml:space="preserve"> Consejo de Estado. Sala de Consulta y Servicio Civil. Concepto del 17 de febrero de 2015. C.P. William Zambrano Cetina. Radicación No. 11001-03-06-000-2015-00164-00(2269).</w:t>
      </w:r>
    </w:p>
  </w:footnote>
  <w:footnote w:id="11">
    <w:p w14:paraId="6CCC6389" w14:textId="32ADC893" w:rsidR="00450CAF" w:rsidRPr="009A21D9" w:rsidRDefault="00450CAF" w:rsidP="009A21D9">
      <w:pPr>
        <w:pStyle w:val="Textonotapie"/>
        <w:spacing w:before="0" w:after="0" w:line="240" w:lineRule="auto"/>
        <w:ind w:firstLine="709"/>
        <w:rPr>
          <w:rFonts w:ascii="Arial" w:hAnsi="Arial" w:cs="Arial"/>
          <w:sz w:val="12"/>
          <w:szCs w:val="12"/>
        </w:rPr>
      </w:pPr>
      <w:r w:rsidRPr="009A21D9">
        <w:rPr>
          <w:rStyle w:val="Refdenotaalpie"/>
          <w:rFonts w:ascii="Arial" w:hAnsi="Arial" w:cs="Arial"/>
          <w:sz w:val="12"/>
          <w:szCs w:val="12"/>
        </w:rPr>
        <w:footnoteRef/>
      </w:r>
      <w:r w:rsidRPr="009A21D9">
        <w:rPr>
          <w:rFonts w:ascii="Arial" w:hAnsi="Arial" w:cs="Arial"/>
          <w:sz w:val="12"/>
          <w:szCs w:val="12"/>
        </w:rPr>
        <w:t xml:space="preserve"> «</w:t>
      </w:r>
      <w:r w:rsidRPr="009A21D9">
        <w:rPr>
          <w:rFonts w:ascii="Arial" w:hAnsi="Arial" w:cs="Arial"/>
          <w:sz w:val="12"/>
          <w:szCs w:val="12"/>
          <w:lang w:val="es-ES"/>
        </w:rPr>
        <w:t xml:space="preserve">[25] </w:t>
      </w:r>
      <w:r w:rsidRPr="009A21D9">
        <w:rPr>
          <w:rFonts w:ascii="Arial" w:hAnsi="Arial" w:cs="Arial"/>
          <w:sz w:val="12"/>
          <w:szCs w:val="12"/>
        </w:rPr>
        <w:t>Cfr. Consejo de Estado. Sección Tercera. Sentencia de 3 de diciembre de 2007. Radicados: 24.715, 25.206, 25.409, 24.524, 27.834, 25.410, 26.105, 28.244, 31.447 -acumulados-».</w:t>
      </w:r>
    </w:p>
  </w:footnote>
  <w:footnote w:id="12">
    <w:p w14:paraId="1D825913" w14:textId="6F8E290A" w:rsidR="00450CAF" w:rsidRPr="00EA03F6" w:rsidRDefault="00450CAF">
      <w:pPr>
        <w:pStyle w:val="Textonotapie"/>
        <w:spacing w:before="0" w:after="0" w:line="240" w:lineRule="auto"/>
        <w:ind w:firstLine="709"/>
        <w:rPr>
          <w:rFonts w:ascii="Arial" w:hAnsi="Arial" w:cs="Arial"/>
          <w:sz w:val="19"/>
          <w:szCs w:val="19"/>
        </w:rPr>
      </w:pPr>
      <w:r w:rsidRPr="009A21D9">
        <w:rPr>
          <w:rStyle w:val="Refdenotaalpie"/>
          <w:rFonts w:ascii="Arial" w:hAnsi="Arial" w:cs="Arial"/>
          <w:sz w:val="12"/>
          <w:szCs w:val="12"/>
        </w:rPr>
        <w:footnoteRef/>
      </w:r>
      <w:r w:rsidRPr="009A21D9">
        <w:rPr>
          <w:rFonts w:ascii="Arial" w:hAnsi="Arial" w:cs="Arial"/>
          <w:sz w:val="12"/>
          <w:szCs w:val="12"/>
        </w:rPr>
        <w:t xml:space="preserve"> «</w:t>
      </w:r>
      <w:r w:rsidRPr="009A21D9">
        <w:rPr>
          <w:rFonts w:ascii="Arial" w:hAnsi="Arial" w:cs="Arial"/>
          <w:sz w:val="12"/>
          <w:szCs w:val="12"/>
          <w:lang w:val="es-ES"/>
        </w:rPr>
        <w:t xml:space="preserve">[26] </w:t>
      </w:r>
      <w:r w:rsidRPr="009A21D9">
        <w:rPr>
          <w:rFonts w:ascii="Arial" w:hAnsi="Arial" w:cs="Arial"/>
          <w:sz w:val="12"/>
          <w:szCs w:val="12"/>
        </w:rPr>
        <w:t>Al respecto ver el concepto 1712 de 2 de febrero de 2006. Consejo de Estado Sala de Consulta y Servicio Civil».</w:t>
      </w:r>
    </w:p>
  </w:footnote>
  <w:footnote w:id="13">
    <w:p w14:paraId="0CF213C6" w14:textId="41C8F73D" w:rsidR="00450CAF" w:rsidRPr="004C0A46" w:rsidRDefault="00450CAF" w:rsidP="004C0A46">
      <w:pPr>
        <w:pStyle w:val="Textonotapie"/>
        <w:spacing w:before="0" w:after="0" w:line="240" w:lineRule="auto"/>
        <w:ind w:firstLine="709"/>
        <w:rPr>
          <w:rFonts w:ascii="Arial" w:hAnsi="Arial" w:cs="Arial"/>
          <w:sz w:val="12"/>
          <w:szCs w:val="12"/>
        </w:rPr>
      </w:pPr>
      <w:r w:rsidRPr="004C0A46">
        <w:rPr>
          <w:rStyle w:val="Refdenotaalpie"/>
          <w:rFonts w:ascii="Arial" w:hAnsi="Arial" w:cs="Arial"/>
          <w:sz w:val="12"/>
          <w:szCs w:val="12"/>
        </w:rPr>
        <w:footnoteRef/>
      </w:r>
      <w:r w:rsidRPr="004C0A46">
        <w:rPr>
          <w:rFonts w:ascii="Arial" w:hAnsi="Arial" w:cs="Arial"/>
          <w:sz w:val="12"/>
          <w:szCs w:val="12"/>
        </w:rPr>
        <w:t xml:space="preserve"> Consejo de Estado. Sala de Consulta y Servicio Civil. Concepto del 2 de septiembre de 2013. Radicación número: 11001-03-06-000-2013-00412-00 (2168). Consejero Ponente: Álvaro </w:t>
      </w:r>
      <w:proofErr w:type="spellStart"/>
      <w:r w:rsidRPr="004C0A46">
        <w:rPr>
          <w:rFonts w:ascii="Arial" w:hAnsi="Arial" w:cs="Arial"/>
          <w:sz w:val="12"/>
          <w:szCs w:val="12"/>
        </w:rPr>
        <w:t>Namén</w:t>
      </w:r>
      <w:proofErr w:type="spellEnd"/>
      <w:r w:rsidRPr="004C0A46">
        <w:rPr>
          <w:rFonts w:ascii="Arial" w:hAnsi="Arial" w:cs="Arial"/>
          <w:sz w:val="12"/>
          <w:szCs w:val="12"/>
        </w:rPr>
        <w:t xml:space="preserve"> Vargas.</w:t>
      </w:r>
    </w:p>
  </w:footnote>
  <w:footnote w:id="14">
    <w:p w14:paraId="55DD70FB" w14:textId="55C1AF8F" w:rsidR="00450CAF" w:rsidRPr="004C0A46" w:rsidRDefault="00450CAF" w:rsidP="004C0A46">
      <w:pPr>
        <w:pStyle w:val="Textonotapie"/>
        <w:spacing w:before="0" w:after="0" w:line="240" w:lineRule="auto"/>
        <w:ind w:firstLine="709"/>
        <w:rPr>
          <w:rFonts w:ascii="Arial" w:hAnsi="Arial" w:cs="Arial"/>
          <w:sz w:val="12"/>
          <w:szCs w:val="12"/>
          <w:lang w:val="es-ES"/>
        </w:rPr>
      </w:pPr>
      <w:r w:rsidRPr="004C0A46">
        <w:rPr>
          <w:rStyle w:val="Refdenotaalpie"/>
          <w:rFonts w:ascii="Arial" w:hAnsi="Arial" w:cs="Arial"/>
          <w:sz w:val="12"/>
          <w:szCs w:val="12"/>
        </w:rPr>
        <w:footnoteRef/>
      </w:r>
      <w:r w:rsidRPr="004C0A46">
        <w:rPr>
          <w:rFonts w:ascii="Arial" w:hAnsi="Arial" w:cs="Arial"/>
          <w:sz w:val="12"/>
          <w:szCs w:val="12"/>
        </w:rPr>
        <w:t xml:space="preserve"> </w:t>
      </w:r>
      <w:r w:rsidRPr="004C0A46">
        <w:rPr>
          <w:rFonts w:ascii="Arial" w:hAnsi="Arial" w:cs="Arial"/>
          <w:sz w:val="12"/>
          <w:szCs w:val="12"/>
          <w:lang w:val="es-ES"/>
        </w:rPr>
        <w:t xml:space="preserve">Artículo 2. </w:t>
      </w:r>
    </w:p>
  </w:footnote>
  <w:footnote w:id="15">
    <w:p w14:paraId="749934CF" w14:textId="0278D6F9" w:rsidR="00450CAF" w:rsidRPr="004C0A46" w:rsidRDefault="00450CAF" w:rsidP="004C0A46">
      <w:pPr>
        <w:pStyle w:val="Textonotapie"/>
        <w:spacing w:before="0" w:after="0" w:line="240" w:lineRule="auto"/>
        <w:ind w:firstLine="709"/>
        <w:rPr>
          <w:rFonts w:ascii="Arial" w:hAnsi="Arial" w:cs="Arial"/>
          <w:sz w:val="12"/>
          <w:szCs w:val="12"/>
          <w:lang w:val="es-ES"/>
        </w:rPr>
      </w:pPr>
      <w:r w:rsidRPr="004C0A46">
        <w:rPr>
          <w:rStyle w:val="Refdenotaalpie"/>
          <w:rFonts w:ascii="Arial" w:hAnsi="Arial" w:cs="Arial"/>
          <w:sz w:val="12"/>
          <w:szCs w:val="12"/>
        </w:rPr>
        <w:footnoteRef/>
      </w:r>
      <w:r w:rsidRPr="004C0A46">
        <w:rPr>
          <w:rFonts w:ascii="Arial" w:hAnsi="Arial" w:cs="Arial"/>
          <w:sz w:val="12"/>
          <w:szCs w:val="12"/>
        </w:rPr>
        <w:t xml:space="preserve"> </w:t>
      </w:r>
      <w:r w:rsidRPr="004C0A46">
        <w:rPr>
          <w:rFonts w:ascii="Arial" w:hAnsi="Arial" w:cs="Arial"/>
          <w:i/>
          <w:sz w:val="12"/>
          <w:szCs w:val="12"/>
          <w:lang w:val="es-ES"/>
        </w:rPr>
        <w:t>Ídem</w:t>
      </w:r>
      <w:r w:rsidRPr="004C0A46">
        <w:rPr>
          <w:rFonts w:ascii="Arial" w:hAnsi="Arial" w:cs="Arial"/>
          <w:sz w:val="12"/>
          <w:szCs w:val="12"/>
          <w:lang w:val="es-ES"/>
        </w:rPr>
        <w:t>.</w:t>
      </w:r>
    </w:p>
  </w:footnote>
  <w:footnote w:id="16">
    <w:p w14:paraId="348BDFA9" w14:textId="77777777" w:rsidR="00450CAF" w:rsidRPr="004C0A46" w:rsidRDefault="00450CAF">
      <w:pPr>
        <w:pStyle w:val="Textonotapie"/>
        <w:spacing w:before="0" w:after="0" w:line="240" w:lineRule="auto"/>
        <w:ind w:firstLine="709"/>
        <w:rPr>
          <w:rFonts w:ascii="Arial" w:hAnsi="Arial" w:cs="Arial"/>
          <w:sz w:val="12"/>
          <w:szCs w:val="12"/>
          <w:lang w:val="es-ES"/>
        </w:rPr>
      </w:pPr>
      <w:r w:rsidRPr="004C0A46">
        <w:rPr>
          <w:rStyle w:val="Refdenotaalpie"/>
          <w:rFonts w:ascii="Arial" w:hAnsi="Arial" w:cs="Arial"/>
          <w:sz w:val="12"/>
          <w:szCs w:val="12"/>
        </w:rPr>
        <w:footnoteRef/>
      </w:r>
      <w:r w:rsidRPr="004C0A46">
        <w:rPr>
          <w:rStyle w:val="Refdenotaalpie"/>
          <w:rFonts w:ascii="Arial" w:hAnsi="Arial" w:cs="Arial"/>
          <w:sz w:val="12"/>
          <w:szCs w:val="12"/>
        </w:rPr>
        <w:t xml:space="preserve"> </w:t>
      </w:r>
      <w:r w:rsidRPr="004C0A46">
        <w:rPr>
          <w:rFonts w:ascii="Arial" w:hAnsi="Arial" w:cs="Arial"/>
          <w:sz w:val="12"/>
          <w:szCs w:val="12"/>
          <w:lang w:val="es-ES"/>
        </w:rPr>
        <w:t xml:space="preserve">«[…] A este respecto, cabe recordar que el artículo 860 del Código de Comercio regula la licitación en el derecho privado». </w:t>
      </w:r>
    </w:p>
    <w:p w14:paraId="751036F9" w14:textId="77777777" w:rsidR="00450CAF" w:rsidRPr="00EA03F6" w:rsidRDefault="00450CAF">
      <w:pPr>
        <w:pStyle w:val="Textonotapie"/>
        <w:spacing w:before="0" w:after="0" w:line="240" w:lineRule="auto"/>
        <w:ind w:firstLine="709"/>
        <w:rPr>
          <w:rFonts w:ascii="Arial" w:hAnsi="Arial" w:cs="Arial"/>
          <w:sz w:val="19"/>
          <w:szCs w:val="19"/>
          <w:lang w:val="es-ES"/>
        </w:rPr>
      </w:pPr>
    </w:p>
  </w:footnote>
  <w:footnote w:id="17">
    <w:p w14:paraId="0A19F3D5" w14:textId="77777777" w:rsidR="00450CAF" w:rsidRPr="004C0A46" w:rsidRDefault="00450CAF">
      <w:pPr>
        <w:shd w:val="clear" w:color="auto" w:fill="FFFFFF"/>
        <w:ind w:firstLine="709"/>
        <w:jc w:val="both"/>
        <w:rPr>
          <w:rFonts w:ascii="Arial" w:hAnsi="Arial" w:cs="Arial"/>
          <w:sz w:val="12"/>
          <w:szCs w:val="12"/>
          <w:lang w:val="es-ES"/>
        </w:rPr>
      </w:pPr>
      <w:r w:rsidRPr="004C0A46">
        <w:rPr>
          <w:rStyle w:val="Refdenotaalpie"/>
          <w:rFonts w:ascii="Arial" w:hAnsi="Arial" w:cs="Arial"/>
          <w:sz w:val="12"/>
          <w:szCs w:val="12"/>
        </w:rPr>
        <w:footnoteRef/>
      </w:r>
      <w:r w:rsidRPr="004C0A46">
        <w:rPr>
          <w:rStyle w:val="Refdenotaalpie"/>
          <w:rFonts w:ascii="Arial" w:hAnsi="Arial" w:cs="Arial"/>
          <w:sz w:val="12"/>
          <w:szCs w:val="12"/>
        </w:rPr>
        <w:t xml:space="preserve"> </w:t>
      </w:r>
      <w:r w:rsidRPr="004C0A46">
        <w:rPr>
          <w:rFonts w:ascii="Arial" w:hAnsi="Arial" w:cs="Arial"/>
          <w:sz w:val="12"/>
          <w:szCs w:val="12"/>
          <w:lang w:val="es-ES"/>
        </w:rPr>
        <w:t xml:space="preserve">Consejo de Estado. Sala de Consulta y Servicio Civil, Concepto de 8 de mayo de 2018. Radicación Número: 11001-03-06-000-2018-00095-00(2382). Consejero Ponente: Álvaro </w:t>
      </w:r>
      <w:proofErr w:type="spellStart"/>
      <w:r w:rsidRPr="004C0A46">
        <w:rPr>
          <w:rFonts w:ascii="Arial" w:hAnsi="Arial" w:cs="Arial"/>
          <w:sz w:val="12"/>
          <w:szCs w:val="12"/>
          <w:lang w:val="es-ES"/>
        </w:rPr>
        <w:t>Namén</w:t>
      </w:r>
      <w:proofErr w:type="spellEnd"/>
      <w:r w:rsidRPr="004C0A46">
        <w:rPr>
          <w:rFonts w:ascii="Arial" w:hAnsi="Arial" w:cs="Arial"/>
          <w:sz w:val="12"/>
          <w:szCs w:val="12"/>
          <w:lang w:val="es-ES"/>
        </w:rPr>
        <w:t xml:space="preserve"> Vargas.</w:t>
      </w:r>
    </w:p>
  </w:footnote>
  <w:footnote w:id="18">
    <w:p w14:paraId="7F753F04" w14:textId="70DBAFA6" w:rsidR="00450CAF" w:rsidRPr="004C0A46" w:rsidRDefault="00450CAF" w:rsidP="004C0A46">
      <w:pPr>
        <w:pStyle w:val="Textonotapie"/>
        <w:spacing w:before="0" w:after="0" w:line="240" w:lineRule="auto"/>
        <w:ind w:firstLine="709"/>
        <w:rPr>
          <w:rFonts w:ascii="Arial" w:hAnsi="Arial" w:cs="Arial"/>
          <w:sz w:val="12"/>
          <w:szCs w:val="12"/>
        </w:rPr>
      </w:pPr>
      <w:r w:rsidRPr="004C0A46">
        <w:rPr>
          <w:rStyle w:val="Refdenotaalpie"/>
          <w:rFonts w:ascii="Arial" w:hAnsi="Arial" w:cs="Arial"/>
          <w:sz w:val="12"/>
          <w:szCs w:val="12"/>
        </w:rPr>
        <w:footnoteRef/>
      </w:r>
      <w:r w:rsidRPr="004C0A46">
        <w:rPr>
          <w:rFonts w:ascii="Arial" w:hAnsi="Arial" w:cs="Arial"/>
          <w:sz w:val="12"/>
          <w:szCs w:val="12"/>
        </w:rPr>
        <w:t xml:space="preserve"> Consejo de Estado. Sala de Consulta y Servicio Civil. Concepto del 08 de mayo de 2018. </w:t>
      </w:r>
      <w:proofErr w:type="spellStart"/>
      <w:r w:rsidRPr="004C0A46">
        <w:rPr>
          <w:rFonts w:ascii="Arial" w:hAnsi="Arial" w:cs="Arial"/>
          <w:sz w:val="12"/>
          <w:szCs w:val="12"/>
        </w:rPr>
        <w:t>Exp</w:t>
      </w:r>
      <w:proofErr w:type="spellEnd"/>
      <w:r w:rsidRPr="004C0A46">
        <w:rPr>
          <w:rFonts w:ascii="Arial" w:hAnsi="Arial" w:cs="Arial"/>
          <w:sz w:val="12"/>
          <w:szCs w:val="12"/>
        </w:rPr>
        <w:t xml:space="preserve">. 2.382. C.P. Álvaro </w:t>
      </w:r>
      <w:proofErr w:type="spellStart"/>
      <w:r w:rsidRPr="004C0A46">
        <w:rPr>
          <w:rFonts w:ascii="Arial" w:hAnsi="Arial" w:cs="Arial"/>
          <w:sz w:val="12"/>
          <w:szCs w:val="12"/>
        </w:rPr>
        <w:t>Namén</w:t>
      </w:r>
      <w:proofErr w:type="spellEnd"/>
      <w:r w:rsidRPr="004C0A46">
        <w:rPr>
          <w:rFonts w:ascii="Arial" w:hAnsi="Arial" w:cs="Arial"/>
          <w:sz w:val="12"/>
          <w:szCs w:val="12"/>
        </w:rPr>
        <w:t xml:space="preserve"> Vargas.</w:t>
      </w:r>
    </w:p>
  </w:footnote>
  <w:footnote w:id="19">
    <w:p w14:paraId="4FFF8AE4" w14:textId="77777777" w:rsidR="00450CAF" w:rsidRPr="00EA03F6" w:rsidRDefault="00450CAF">
      <w:pPr>
        <w:pStyle w:val="Textonotapie"/>
        <w:spacing w:before="0" w:after="0" w:line="240" w:lineRule="auto"/>
        <w:ind w:firstLine="709"/>
        <w:rPr>
          <w:rFonts w:ascii="Arial" w:hAnsi="Arial" w:cs="Arial"/>
          <w:sz w:val="19"/>
          <w:szCs w:val="19"/>
        </w:rPr>
      </w:pPr>
      <w:r w:rsidRPr="004C0A46">
        <w:rPr>
          <w:rStyle w:val="Refdenotaalpie"/>
          <w:rFonts w:ascii="Arial" w:hAnsi="Arial" w:cs="Arial"/>
          <w:sz w:val="12"/>
          <w:szCs w:val="12"/>
        </w:rPr>
        <w:footnoteRef/>
      </w:r>
      <w:r w:rsidRPr="004C0A46">
        <w:rPr>
          <w:rFonts w:ascii="Arial" w:hAnsi="Arial" w:cs="Arial"/>
          <w:sz w:val="12"/>
          <w:szCs w:val="12"/>
        </w:rPr>
        <w:t xml:space="preserve"> Cfr. Concepto C-757 del 30 de diciembre de 2021.</w:t>
      </w:r>
    </w:p>
  </w:footnote>
  <w:footnote w:id="20">
    <w:p w14:paraId="19803235" w14:textId="77777777" w:rsidR="00450CAF" w:rsidRPr="004C0A46" w:rsidRDefault="00450CAF">
      <w:pPr>
        <w:pStyle w:val="Textonotapie"/>
        <w:spacing w:before="0" w:after="0" w:line="240" w:lineRule="auto"/>
        <w:ind w:firstLine="709"/>
        <w:rPr>
          <w:rFonts w:ascii="Arial" w:hAnsi="Arial" w:cs="Arial"/>
          <w:sz w:val="12"/>
          <w:szCs w:val="12"/>
        </w:rPr>
      </w:pPr>
      <w:r w:rsidRPr="004C0A46">
        <w:rPr>
          <w:rStyle w:val="Refdenotaalpie"/>
          <w:rFonts w:ascii="Arial" w:hAnsi="Arial" w:cs="Arial"/>
          <w:sz w:val="12"/>
          <w:szCs w:val="12"/>
        </w:rPr>
        <w:footnoteRef/>
      </w:r>
      <w:r w:rsidRPr="004C0A46">
        <w:rPr>
          <w:rFonts w:ascii="Arial" w:hAnsi="Arial" w:cs="Arial"/>
          <w:sz w:val="12"/>
          <w:szCs w:val="12"/>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p w14:paraId="6612EBE0" w14:textId="77777777" w:rsidR="00450CAF" w:rsidRPr="00EA03F6" w:rsidRDefault="00450CAF">
      <w:pPr>
        <w:pStyle w:val="Textonotapie"/>
        <w:spacing w:before="0" w:after="0" w:line="240" w:lineRule="auto"/>
        <w:ind w:firstLine="709"/>
        <w:rPr>
          <w:rFonts w:ascii="Arial" w:hAnsi="Arial" w:cs="Arial"/>
          <w:sz w:val="19"/>
          <w:szCs w:val="19"/>
        </w:rPr>
      </w:pPr>
    </w:p>
  </w:footnote>
  <w:footnote w:id="21">
    <w:p w14:paraId="52BCD42A" w14:textId="36EE5F0E" w:rsidR="00450CAF" w:rsidRPr="004C0A46" w:rsidRDefault="00450CAF" w:rsidP="004C0A46">
      <w:pPr>
        <w:ind w:firstLine="709"/>
        <w:jc w:val="both"/>
        <w:rPr>
          <w:rFonts w:ascii="Arial" w:hAnsi="Arial" w:cs="Arial"/>
          <w:color w:val="000000" w:themeColor="text1"/>
          <w:sz w:val="12"/>
          <w:szCs w:val="12"/>
        </w:rPr>
      </w:pPr>
      <w:r w:rsidRPr="004C0A46">
        <w:rPr>
          <w:rStyle w:val="Refdenotaalpie"/>
          <w:rFonts w:ascii="Arial" w:hAnsi="Arial" w:cs="Arial"/>
          <w:color w:val="000000" w:themeColor="text1"/>
          <w:sz w:val="12"/>
          <w:szCs w:val="12"/>
        </w:rPr>
        <w:footnoteRef/>
      </w:r>
      <w:r w:rsidRPr="004C0A46">
        <w:rPr>
          <w:rFonts w:ascii="Arial" w:hAnsi="Arial" w:cs="Arial"/>
          <w:color w:val="000000" w:themeColor="text1"/>
          <w:sz w:val="12"/>
          <w:szCs w:val="12"/>
        </w:rPr>
        <w:t xml:space="preserve"> Consejo de Estado. Sala de Consulta y Servicio Civil. Concepto de 20 de febrero de 2006. Radicación Número: 11001-03-06-000-2006-00026-00 (1727).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2">
    <w:p w14:paraId="562954A5" w14:textId="71C16E48" w:rsidR="00450CAF" w:rsidRPr="004C0A46" w:rsidRDefault="00450CAF" w:rsidP="004C0A46">
      <w:pPr>
        <w:pStyle w:val="Textonotapie"/>
        <w:spacing w:before="0" w:after="0" w:line="240" w:lineRule="auto"/>
        <w:ind w:firstLine="709"/>
        <w:rPr>
          <w:rFonts w:ascii="Arial" w:eastAsia="Times New Roman" w:hAnsi="Arial" w:cs="Arial"/>
          <w:bCs/>
          <w:sz w:val="12"/>
          <w:szCs w:val="12"/>
          <w:lang w:eastAsia="x-none"/>
        </w:rPr>
      </w:pPr>
      <w:r w:rsidRPr="004C0A46">
        <w:rPr>
          <w:rStyle w:val="Refdenotaalpie"/>
          <w:rFonts w:ascii="Arial" w:hAnsi="Arial" w:cs="Arial"/>
          <w:sz w:val="12"/>
          <w:szCs w:val="12"/>
        </w:rPr>
        <w:footnoteRef/>
      </w:r>
      <w:r w:rsidRPr="004C0A46">
        <w:rPr>
          <w:rFonts w:ascii="Arial" w:hAnsi="Arial" w:cs="Arial"/>
          <w:sz w:val="12"/>
          <w:szCs w:val="12"/>
        </w:rPr>
        <w:t xml:space="preserve"> Consejo de Estado. Sala de Consulta y Servicio Civil. Concepto de 6 de abril de 2006. Radicación Número: 11001-03-06-000-2006-00038-00(1738). Consejero Ponente: Enrique José Arboleda Perdomo:</w:t>
      </w:r>
      <w:r w:rsidRPr="004C0A46">
        <w:rPr>
          <w:rFonts w:ascii="Arial" w:eastAsia="Times New Roman" w:hAnsi="Arial" w:cs="Arial"/>
          <w:bCs/>
          <w:sz w:val="12"/>
          <w:szCs w:val="12"/>
          <w:lang w:eastAsia="x-none"/>
        </w:rPr>
        <w:t xml:space="preserve"> «</w:t>
      </w:r>
      <w:r w:rsidRPr="004C0A46">
        <w:rPr>
          <w:rFonts w:ascii="Arial" w:hAnsi="Arial" w:cs="Arial"/>
          <w:sz w:val="12"/>
          <w:szCs w:val="12"/>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4C0A46">
        <w:rPr>
          <w:rFonts w:ascii="Arial" w:eastAsia="Times New Roman" w:hAnsi="Arial" w:cs="Arial"/>
          <w:bCs/>
          <w:sz w:val="12"/>
          <w:szCs w:val="12"/>
          <w:lang w:eastAsia="x-none"/>
        </w:rPr>
        <w:t>».</w:t>
      </w:r>
    </w:p>
  </w:footnote>
  <w:footnote w:id="23">
    <w:p w14:paraId="0AA12A84" w14:textId="77777777" w:rsidR="00450CAF" w:rsidRPr="004C0A46" w:rsidRDefault="00450CAF">
      <w:pPr>
        <w:pStyle w:val="Textonotapie"/>
        <w:spacing w:before="0" w:after="0" w:line="240" w:lineRule="auto"/>
        <w:ind w:firstLine="709"/>
        <w:rPr>
          <w:rFonts w:ascii="Arial" w:hAnsi="Arial" w:cs="Arial"/>
          <w:sz w:val="12"/>
          <w:szCs w:val="12"/>
        </w:rPr>
      </w:pPr>
      <w:r w:rsidRPr="004C0A46">
        <w:rPr>
          <w:rStyle w:val="Refdenotaalpie"/>
          <w:rFonts w:ascii="Arial" w:hAnsi="Arial" w:cs="Arial"/>
          <w:sz w:val="12"/>
          <w:szCs w:val="12"/>
        </w:rPr>
        <w:footnoteRef/>
      </w:r>
      <w:r w:rsidRPr="004C0A46">
        <w:rPr>
          <w:rFonts w:ascii="Arial" w:hAnsi="Arial" w:cs="Arial"/>
          <w:sz w:val="12"/>
          <w:szCs w:val="12"/>
        </w:rPr>
        <w:t xml:space="preserve"> Consejo de Estado. Sala de Consulta y Servicio Civil. Concepto de 6 de abril de 2006. Radicación Número: 11001-03-06-000-2006-00038-00(1738). Consejero Ponente: Enrique José Arboleda Perdomo.</w:t>
      </w:r>
    </w:p>
    <w:p w14:paraId="63E8C4FF" w14:textId="77777777" w:rsidR="00450CAF" w:rsidRPr="00EA03F6" w:rsidRDefault="00450CAF">
      <w:pPr>
        <w:pStyle w:val="Textonotapie"/>
        <w:spacing w:before="0" w:after="0" w:line="240" w:lineRule="auto"/>
        <w:ind w:firstLine="709"/>
        <w:rPr>
          <w:rFonts w:ascii="Arial" w:hAnsi="Arial" w:cs="Arial"/>
          <w:sz w:val="19"/>
          <w:szCs w:val="19"/>
        </w:rPr>
      </w:pPr>
    </w:p>
  </w:footnote>
  <w:footnote w:id="24">
    <w:p w14:paraId="18454533" w14:textId="24B0A3F6" w:rsidR="00450CAF" w:rsidRPr="004C0A46" w:rsidRDefault="00450CAF" w:rsidP="004C0A46">
      <w:pPr>
        <w:pStyle w:val="Textonotapie"/>
        <w:spacing w:before="0" w:after="0" w:line="240" w:lineRule="auto"/>
        <w:ind w:firstLine="709"/>
        <w:rPr>
          <w:rFonts w:ascii="Arial" w:hAnsi="Arial" w:cs="Arial"/>
          <w:sz w:val="12"/>
          <w:szCs w:val="12"/>
        </w:rPr>
      </w:pPr>
      <w:r w:rsidRPr="004C0A46">
        <w:rPr>
          <w:rStyle w:val="Refdenotaalpie"/>
          <w:rFonts w:ascii="Arial" w:hAnsi="Arial" w:cs="Arial"/>
          <w:sz w:val="12"/>
          <w:szCs w:val="12"/>
        </w:rPr>
        <w:footnoteRef/>
      </w:r>
      <w:r w:rsidRPr="004C0A46">
        <w:rPr>
          <w:rFonts w:ascii="Arial" w:hAnsi="Arial" w:cs="Arial"/>
          <w:sz w:val="12"/>
          <w:szCs w:val="12"/>
        </w:rPr>
        <w:t xml:space="preserve"> Consejo de Estado. Sala de Consulta y Servicio Civil, ídem.</w:t>
      </w:r>
    </w:p>
  </w:footnote>
  <w:footnote w:id="25">
    <w:p w14:paraId="347C8361" w14:textId="77777777" w:rsidR="00450CAF" w:rsidRPr="004C0A46" w:rsidRDefault="00450CAF">
      <w:pPr>
        <w:pStyle w:val="Textonotapie"/>
        <w:spacing w:before="0" w:after="0" w:line="240" w:lineRule="auto"/>
        <w:ind w:firstLine="708"/>
        <w:rPr>
          <w:rFonts w:ascii="Arial" w:hAnsi="Arial" w:cs="Arial"/>
          <w:color w:val="000000" w:themeColor="text1"/>
          <w:sz w:val="12"/>
          <w:szCs w:val="12"/>
          <w:lang w:val="es-ES"/>
        </w:rPr>
      </w:pPr>
      <w:r w:rsidRPr="004C0A46">
        <w:rPr>
          <w:rStyle w:val="Refdenotaalpie"/>
          <w:rFonts w:ascii="Arial" w:hAnsi="Arial" w:cs="Arial"/>
          <w:sz w:val="12"/>
          <w:szCs w:val="12"/>
        </w:rPr>
        <w:footnoteRef/>
      </w:r>
      <w:hyperlink r:id="rId1" w:anchor=":~:text=La%20Ley%20de%20Garant%C3%ADas%20proh%C3%ADbe,de%20la%20Rep%C3%BAblica%20sea%20elegido" w:history="1">
        <w:r w:rsidRPr="004C0A46">
          <w:rPr>
            <w:rStyle w:val="Hipervnculo"/>
            <w:rFonts w:ascii="Arial" w:hAnsi="Arial" w:cs="Arial"/>
            <w:color w:val="000000" w:themeColor="text1"/>
            <w:sz w:val="12"/>
            <w:szCs w:val="12"/>
            <w:lang w:val="es-ES"/>
          </w:rPr>
          <w:t>https://www.funcionpublica.gov.co/eva/gestornormativo/norma.php?i=173606#:~:text=La%20Ley%20de%20Garant%C3%ADas%20proh%C3%ADbe,de%20la%20Rep%C3%BAblica%20sea%20elegido</w:t>
        </w:r>
      </w:hyperlink>
      <w:r w:rsidRPr="004C0A46">
        <w:rPr>
          <w:rFonts w:ascii="Arial" w:hAnsi="Arial" w:cs="Arial"/>
          <w:color w:val="000000" w:themeColor="text1"/>
          <w:sz w:val="12"/>
          <w:szCs w:val="12"/>
          <w:lang w:val="es-ES"/>
        </w:rPr>
        <w:t>.</w:t>
      </w:r>
    </w:p>
    <w:p w14:paraId="27C8EF84" w14:textId="77777777" w:rsidR="00450CAF" w:rsidRPr="004A1D82" w:rsidRDefault="00450CAF">
      <w:pPr>
        <w:pStyle w:val="Textonotapie"/>
        <w:spacing w:before="0" w:after="0" w:line="240" w:lineRule="auto"/>
        <w:ind w:firstLine="708"/>
        <w:rPr>
          <w:rFonts w:ascii="Arial" w:hAnsi="Arial" w:cs="Arial"/>
          <w:color w:val="000000" w:themeColor="text1"/>
          <w:sz w:val="19"/>
          <w:szCs w:val="19"/>
        </w:rPr>
      </w:pPr>
    </w:p>
  </w:footnote>
  <w:footnote w:id="26">
    <w:p w14:paraId="2F6557FF" w14:textId="278EEC1C" w:rsidR="00450CAF" w:rsidRPr="004C0A46" w:rsidRDefault="00450CAF" w:rsidP="004C0A46">
      <w:pPr>
        <w:pStyle w:val="Textonotapie"/>
        <w:spacing w:before="0" w:after="0" w:line="240" w:lineRule="auto"/>
        <w:ind w:firstLine="709"/>
        <w:rPr>
          <w:rFonts w:ascii="Arial" w:hAnsi="Arial" w:cs="Arial"/>
          <w:sz w:val="12"/>
          <w:szCs w:val="12"/>
        </w:rPr>
      </w:pPr>
      <w:r w:rsidRPr="004C0A46">
        <w:rPr>
          <w:rStyle w:val="Refdenotaalpie"/>
          <w:rFonts w:ascii="Arial" w:hAnsi="Arial" w:cs="Arial"/>
          <w:sz w:val="12"/>
          <w:szCs w:val="12"/>
        </w:rPr>
        <w:footnoteRef/>
      </w:r>
      <w:r w:rsidRPr="004C0A46">
        <w:rPr>
          <w:rFonts w:ascii="Arial" w:hAnsi="Arial" w:cs="Arial"/>
          <w:color w:val="000000" w:themeColor="text1"/>
          <w:sz w:val="12"/>
          <w:szCs w:val="12"/>
        </w:rPr>
        <w:t xml:space="preserve"> Consejo de Estado. Sala de Consulta y Servicio Civil. Concepto de 20 de febrero de2006. Radicación 11001</w:t>
      </w:r>
      <w:r w:rsidRPr="004C0A46">
        <w:rPr>
          <w:rFonts w:ascii="Arial" w:hAnsi="Arial" w:cs="Arial"/>
          <w:sz w:val="12"/>
          <w:szCs w:val="12"/>
        </w:rPr>
        <w:t>-03-06-000-2006-00023-00(1724). Consejero Ponente: Flavio Augusto Rodríguez Arce.</w:t>
      </w:r>
    </w:p>
  </w:footnote>
  <w:footnote w:id="27">
    <w:p w14:paraId="5DED9166" w14:textId="77777777" w:rsidR="00450CAF" w:rsidRPr="004C0A46" w:rsidRDefault="00450CAF">
      <w:pPr>
        <w:ind w:firstLine="709"/>
        <w:jc w:val="both"/>
        <w:rPr>
          <w:rFonts w:ascii="Arial" w:hAnsi="Arial" w:cs="Arial"/>
          <w:sz w:val="12"/>
          <w:szCs w:val="12"/>
        </w:rPr>
      </w:pPr>
      <w:r w:rsidRPr="004C0A46">
        <w:rPr>
          <w:rStyle w:val="Refdenotaalpie"/>
          <w:rFonts w:ascii="Arial" w:hAnsi="Arial" w:cs="Arial"/>
          <w:sz w:val="12"/>
          <w:szCs w:val="12"/>
        </w:rPr>
        <w:footnoteRef/>
      </w:r>
      <w:r w:rsidRPr="004C0A46">
        <w:rPr>
          <w:rFonts w:ascii="Arial" w:hAnsi="Arial" w:cs="Arial"/>
          <w:sz w:val="12"/>
          <w:szCs w:val="12"/>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7DEFE5FE" w14:textId="77777777" w:rsidR="00450CAF" w:rsidRPr="004C0A46" w:rsidRDefault="00450CAF">
      <w:pPr>
        <w:ind w:firstLine="709"/>
        <w:jc w:val="both"/>
        <w:rPr>
          <w:rFonts w:ascii="Arial" w:hAnsi="Arial" w:cs="Arial"/>
          <w:sz w:val="12"/>
          <w:szCs w:val="12"/>
        </w:rPr>
      </w:pPr>
      <w:r w:rsidRPr="004C0A46">
        <w:rPr>
          <w:rFonts w:ascii="Arial" w:hAnsi="Arial" w:cs="Arial"/>
          <w:sz w:val="12"/>
          <w:szCs w:val="12"/>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4C0A46">
        <w:rPr>
          <w:rFonts w:ascii="Arial" w:hAnsi="Arial" w:cs="Arial"/>
          <w:spacing w:val="-1"/>
          <w:sz w:val="12"/>
          <w:szCs w:val="12"/>
        </w:rPr>
        <w:t xml:space="preserve"> </w:t>
      </w:r>
      <w:r w:rsidRPr="004C0A46">
        <w:rPr>
          <w:rFonts w:ascii="Arial" w:hAnsi="Arial" w:cs="Arial"/>
          <w:sz w:val="12"/>
          <w:szCs w:val="12"/>
        </w:rPr>
        <w:t>Estatales».</w:t>
      </w:r>
    </w:p>
    <w:p w14:paraId="77574FB6" w14:textId="77777777" w:rsidR="00450CAF" w:rsidRPr="00EA03F6" w:rsidRDefault="00450CAF">
      <w:pPr>
        <w:ind w:firstLine="709"/>
        <w:jc w:val="both"/>
        <w:rPr>
          <w:rFonts w:ascii="Arial" w:hAnsi="Arial" w:cs="Arial"/>
          <w:sz w:val="19"/>
          <w:szCs w:val="19"/>
        </w:rPr>
      </w:pPr>
    </w:p>
  </w:footnote>
  <w:footnote w:id="28">
    <w:p w14:paraId="6B99DE7E" w14:textId="77777777" w:rsidR="00450CAF" w:rsidRPr="004C0A46" w:rsidRDefault="00450CAF">
      <w:pPr>
        <w:ind w:firstLine="709"/>
        <w:jc w:val="both"/>
        <w:rPr>
          <w:rFonts w:ascii="Arial" w:hAnsi="Arial" w:cs="Arial"/>
          <w:sz w:val="12"/>
          <w:szCs w:val="12"/>
        </w:rPr>
      </w:pPr>
      <w:r w:rsidRPr="004C0A46">
        <w:rPr>
          <w:rStyle w:val="Refdenotaalpie"/>
          <w:rFonts w:ascii="Arial" w:hAnsi="Arial" w:cs="Arial"/>
          <w:sz w:val="12"/>
          <w:szCs w:val="12"/>
        </w:rPr>
        <w:footnoteRef/>
      </w:r>
      <w:r w:rsidRPr="004C0A46">
        <w:rPr>
          <w:rFonts w:ascii="Arial" w:hAnsi="Arial" w:cs="Arial"/>
          <w:sz w:val="12"/>
          <w:szCs w:val="12"/>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4C0A46">
        <w:rPr>
          <w:rFonts w:ascii="Arial" w:hAnsi="Arial" w:cs="Arial"/>
          <w:spacing w:val="-6"/>
          <w:sz w:val="12"/>
          <w:szCs w:val="12"/>
        </w:rPr>
        <w:t xml:space="preserve"> </w:t>
      </w:r>
      <w:r w:rsidRPr="004C0A46">
        <w:rPr>
          <w:rFonts w:ascii="Arial" w:hAnsi="Arial" w:cs="Arial"/>
          <w:sz w:val="12"/>
          <w:szCs w:val="12"/>
        </w:rPr>
        <w:t>artículo».</w:t>
      </w:r>
    </w:p>
    <w:p w14:paraId="08F97ED7" w14:textId="77777777" w:rsidR="00450CAF" w:rsidRPr="00EA03F6" w:rsidRDefault="00450CAF">
      <w:pPr>
        <w:ind w:firstLine="709"/>
        <w:jc w:val="both"/>
        <w:rPr>
          <w:rFonts w:ascii="Arial" w:hAnsi="Arial" w:cs="Arial"/>
          <w:sz w:val="19"/>
          <w:szCs w:val="19"/>
        </w:rPr>
      </w:pPr>
    </w:p>
  </w:footnote>
  <w:footnote w:id="29">
    <w:p w14:paraId="6683A358" w14:textId="77777777" w:rsidR="00450CAF" w:rsidRPr="004C0A46" w:rsidRDefault="00450CAF">
      <w:pPr>
        <w:ind w:firstLine="709"/>
        <w:jc w:val="both"/>
        <w:rPr>
          <w:rFonts w:ascii="Arial" w:hAnsi="Arial" w:cs="Arial"/>
          <w:sz w:val="12"/>
          <w:szCs w:val="12"/>
        </w:rPr>
      </w:pPr>
      <w:r w:rsidRPr="004C0A46">
        <w:rPr>
          <w:rStyle w:val="Refdenotaalpie"/>
          <w:rFonts w:ascii="Arial" w:hAnsi="Arial" w:cs="Arial"/>
          <w:sz w:val="12"/>
          <w:szCs w:val="12"/>
        </w:rPr>
        <w:footnoteRef/>
      </w:r>
      <w:r w:rsidRPr="004C0A46">
        <w:rPr>
          <w:rFonts w:ascii="Arial" w:hAnsi="Arial" w:cs="Arial"/>
          <w:position w:val="7"/>
          <w:sz w:val="12"/>
          <w:szCs w:val="12"/>
        </w:rPr>
        <w:t xml:space="preserve"> </w:t>
      </w:r>
      <w:r w:rsidRPr="004C0A46">
        <w:rPr>
          <w:rFonts w:ascii="Arial" w:hAnsi="Arial" w:cs="Arial"/>
          <w:sz w:val="12"/>
          <w:szCs w:val="12"/>
        </w:rPr>
        <w:t>Consejo de Estado. Sección Tercera. Sentencia del 23 de junio de 2010. Radicación No. 66001-23-31-000-1998-00261-01(17.860). Consejero Ponente: Mauricio Fajardo Gómez.</w:t>
      </w:r>
    </w:p>
  </w:footnote>
  <w:footnote w:id="30">
    <w:p w14:paraId="1C3E64A3" w14:textId="1DC2208D" w:rsidR="00450CAF" w:rsidRPr="004C0A46" w:rsidRDefault="00450CAF" w:rsidP="004C0A46">
      <w:pPr>
        <w:ind w:firstLine="709"/>
        <w:jc w:val="both"/>
        <w:rPr>
          <w:rFonts w:ascii="Arial" w:hAnsi="Arial" w:cs="Arial"/>
          <w:sz w:val="12"/>
          <w:szCs w:val="12"/>
        </w:rPr>
      </w:pPr>
      <w:r w:rsidRPr="004C0A46">
        <w:rPr>
          <w:rStyle w:val="Refdenotaalpie"/>
          <w:rFonts w:ascii="Arial" w:hAnsi="Arial" w:cs="Arial"/>
          <w:sz w:val="12"/>
          <w:szCs w:val="12"/>
        </w:rPr>
        <w:footnoteRef/>
      </w:r>
      <w:r w:rsidRPr="004C0A46">
        <w:rPr>
          <w:rFonts w:ascii="Arial" w:hAnsi="Arial" w:cs="Arial"/>
          <w:sz w:val="12"/>
          <w:szCs w:val="12"/>
        </w:rPr>
        <w:t xml:space="preserve"> Consejo de Estado. Sección Tercera. Subsección C. Sentencia del 11 de diciembre de 2019. </w:t>
      </w:r>
      <w:proofErr w:type="spellStart"/>
      <w:r w:rsidRPr="004C0A46">
        <w:rPr>
          <w:rFonts w:ascii="Arial" w:hAnsi="Arial" w:cs="Arial"/>
          <w:sz w:val="12"/>
          <w:szCs w:val="12"/>
        </w:rPr>
        <w:t>Exp</w:t>
      </w:r>
      <w:proofErr w:type="spellEnd"/>
      <w:r w:rsidRPr="004C0A46">
        <w:rPr>
          <w:rFonts w:ascii="Arial" w:hAnsi="Arial" w:cs="Arial"/>
          <w:sz w:val="12"/>
          <w:szCs w:val="12"/>
        </w:rPr>
        <w:t>. 46.986. C.P. Jaime Enrique Rodríguez Navas.</w:t>
      </w:r>
    </w:p>
  </w:footnote>
  <w:footnote w:id="31">
    <w:p w14:paraId="580B643B" w14:textId="3104BC8C" w:rsidR="00450CAF" w:rsidRPr="004C0A46" w:rsidRDefault="00450CAF" w:rsidP="004C0A46">
      <w:pPr>
        <w:pStyle w:val="Textonotapie"/>
        <w:spacing w:before="0" w:after="0" w:line="240" w:lineRule="auto"/>
        <w:ind w:firstLine="709"/>
        <w:rPr>
          <w:rFonts w:ascii="Arial" w:hAnsi="Arial" w:cs="Arial"/>
          <w:sz w:val="12"/>
          <w:szCs w:val="12"/>
        </w:rPr>
      </w:pPr>
      <w:r w:rsidRPr="004C0A46">
        <w:rPr>
          <w:rStyle w:val="Refdenotaalpie"/>
          <w:rFonts w:ascii="Arial" w:hAnsi="Arial" w:cs="Arial"/>
          <w:sz w:val="12"/>
          <w:szCs w:val="12"/>
        </w:rPr>
        <w:footnoteRef/>
      </w:r>
      <w:r w:rsidRPr="004C0A46">
        <w:rPr>
          <w:rFonts w:ascii="Arial" w:hAnsi="Arial" w:cs="Arial"/>
          <w:sz w:val="12"/>
          <w:szCs w:val="12"/>
        </w:rPr>
        <w:t xml:space="preserve"> [Referencia propia de la cita] «CE. SCSC. Concepto de 1 de noviembre de 2016 [Rad. 11001-03-06-000-2016-00125-00(2305)]. MP. Germán Alberto Bula Escobar».</w:t>
      </w:r>
    </w:p>
  </w:footnote>
  <w:footnote w:id="32">
    <w:p w14:paraId="48111FB9" w14:textId="77777777" w:rsidR="00450CAF" w:rsidRPr="00EA03F6" w:rsidRDefault="00450CAF">
      <w:pPr>
        <w:pStyle w:val="Textonotapie"/>
        <w:spacing w:before="0" w:after="0" w:line="240" w:lineRule="auto"/>
        <w:ind w:firstLine="709"/>
        <w:rPr>
          <w:rFonts w:ascii="Arial" w:hAnsi="Arial" w:cs="Arial"/>
          <w:sz w:val="19"/>
          <w:szCs w:val="19"/>
        </w:rPr>
      </w:pPr>
      <w:r w:rsidRPr="004C0A46">
        <w:rPr>
          <w:rStyle w:val="Refdenotaalpie"/>
          <w:rFonts w:ascii="Arial" w:hAnsi="Arial" w:cs="Arial"/>
          <w:sz w:val="12"/>
          <w:szCs w:val="12"/>
        </w:rPr>
        <w:footnoteRef/>
      </w:r>
      <w:r w:rsidRPr="004C0A46">
        <w:rPr>
          <w:rFonts w:ascii="Arial" w:hAnsi="Arial" w:cs="Arial"/>
          <w:sz w:val="12"/>
          <w:szCs w:val="12"/>
        </w:rPr>
        <w:t xml:space="preserve"> [Referencia propia de la cita] «CE. SCSC. Concepto de 30 de abril de 2008 [Rad. 11001-03-06-000-2008-00013-00(1881)]. MP. Enrique José Arboleda Perdomo. En esta oportunidad, la Sala indicó que el contenido </w:t>
      </w:r>
      <w:r w:rsidRPr="004C0A46">
        <w:rPr>
          <w:rFonts w:ascii="Arial" w:hAnsi="Arial" w:cs="Arial"/>
          <w:i/>
          <w:sz w:val="12"/>
          <w:szCs w:val="12"/>
        </w:rPr>
        <w:t>“obligacional”</w:t>
      </w:r>
      <w:r w:rsidRPr="004C0A46">
        <w:rPr>
          <w:rFonts w:ascii="Arial" w:hAnsi="Arial" w:cs="Arial"/>
          <w:sz w:val="12"/>
          <w:szCs w:val="12"/>
        </w:rPr>
        <w:t xml:space="preserve"> de los convenios se estructura definiendo el resultado querido por las partes y los medios que cada entidad despliega para la obtención del respectivo objeto».</w:t>
      </w:r>
    </w:p>
  </w:footnote>
  <w:footnote w:id="33">
    <w:p w14:paraId="5868623D" w14:textId="657416B0" w:rsidR="00450CAF" w:rsidRPr="004C0A46" w:rsidRDefault="00450CAF" w:rsidP="004C0A46">
      <w:pPr>
        <w:pStyle w:val="Textonotapie"/>
        <w:spacing w:before="0" w:after="0" w:line="240" w:lineRule="auto"/>
        <w:ind w:firstLine="709"/>
        <w:rPr>
          <w:rFonts w:ascii="Arial" w:hAnsi="Arial" w:cs="Arial"/>
          <w:sz w:val="12"/>
          <w:szCs w:val="12"/>
        </w:rPr>
      </w:pPr>
      <w:r w:rsidRPr="004C0A46">
        <w:rPr>
          <w:rStyle w:val="Refdenotaalpie"/>
          <w:rFonts w:ascii="Arial" w:hAnsi="Arial" w:cs="Arial"/>
          <w:sz w:val="12"/>
          <w:szCs w:val="12"/>
        </w:rPr>
        <w:footnoteRef/>
      </w:r>
      <w:r w:rsidRPr="004C0A46">
        <w:rPr>
          <w:rFonts w:ascii="Arial" w:hAnsi="Arial" w:cs="Arial"/>
          <w:sz w:val="12"/>
          <w:szCs w:val="12"/>
        </w:rPr>
        <w:t xml:space="preserve"> [Referencia propia de la cita] «La normativa vigente del EGCAP </w:t>
      </w:r>
      <w:r w:rsidRPr="004C0A46">
        <w:rPr>
          <w:rFonts w:ascii="Arial" w:hAnsi="Arial" w:cs="Arial"/>
          <w:i/>
          <w:sz w:val="12"/>
          <w:szCs w:val="12"/>
        </w:rPr>
        <w:t>[literal c) del numeral 4. del artículo 2 de la Ley 1150/07]</w:t>
      </w:r>
      <w:r w:rsidRPr="004C0A46">
        <w:rPr>
          <w:rFonts w:ascii="Arial" w:hAnsi="Arial" w:cs="Arial"/>
          <w:sz w:val="12"/>
          <w:szCs w:val="12"/>
        </w:rPr>
        <w:t xml:space="preserve"> se refiere a </w:t>
      </w:r>
      <w:r w:rsidRPr="004C0A46">
        <w:rPr>
          <w:rFonts w:ascii="Arial" w:hAnsi="Arial" w:cs="Arial"/>
          <w:i/>
          <w:sz w:val="12"/>
          <w:szCs w:val="12"/>
        </w:rPr>
        <w:t>“contratos interadministrativos”</w:t>
      </w:r>
      <w:r w:rsidRPr="004C0A46">
        <w:rPr>
          <w:rFonts w:ascii="Arial" w:hAnsi="Arial" w:cs="Arial"/>
          <w:sz w:val="12"/>
          <w:szCs w:val="12"/>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34">
    <w:p w14:paraId="4EE1C01A" w14:textId="0D648CA4" w:rsidR="00450CAF" w:rsidRPr="004C0A46" w:rsidRDefault="00450CAF" w:rsidP="004C0A46">
      <w:pPr>
        <w:pStyle w:val="Textonotapie"/>
        <w:spacing w:before="0" w:after="0" w:line="240" w:lineRule="auto"/>
        <w:ind w:firstLine="709"/>
        <w:rPr>
          <w:rFonts w:ascii="Arial" w:hAnsi="Arial" w:cs="Arial"/>
          <w:sz w:val="12"/>
          <w:szCs w:val="12"/>
        </w:rPr>
      </w:pPr>
      <w:r w:rsidRPr="004C0A46">
        <w:rPr>
          <w:rStyle w:val="Refdenotaalpie"/>
          <w:rFonts w:ascii="Arial" w:hAnsi="Arial" w:cs="Arial"/>
          <w:sz w:val="12"/>
          <w:szCs w:val="12"/>
        </w:rPr>
        <w:footnoteRef/>
      </w:r>
      <w:r w:rsidRPr="004C0A46">
        <w:rPr>
          <w:rFonts w:ascii="Arial" w:hAnsi="Arial" w:cs="Arial"/>
          <w:sz w:val="12"/>
          <w:szCs w:val="12"/>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w:t>
      </w:r>
      <w:proofErr w:type="spellStart"/>
      <w:r w:rsidRPr="004C0A46">
        <w:rPr>
          <w:rFonts w:ascii="Arial" w:hAnsi="Arial" w:cs="Arial"/>
          <w:sz w:val="12"/>
          <w:szCs w:val="12"/>
        </w:rPr>
        <w:t>Exp</w:t>
      </w:r>
      <w:proofErr w:type="spellEnd"/>
      <w:r w:rsidRPr="004C0A46">
        <w:rPr>
          <w:rFonts w:ascii="Arial" w:hAnsi="Arial" w:cs="Arial"/>
          <w:sz w:val="12"/>
          <w:szCs w:val="12"/>
        </w:rPr>
        <w:t xml:space="preserve">. 2.257. M.P. Álvaro </w:t>
      </w:r>
      <w:proofErr w:type="spellStart"/>
      <w:r w:rsidRPr="004C0A46">
        <w:rPr>
          <w:rFonts w:ascii="Arial" w:hAnsi="Arial" w:cs="Arial"/>
          <w:sz w:val="12"/>
          <w:szCs w:val="12"/>
        </w:rPr>
        <w:t>Namén</w:t>
      </w:r>
      <w:proofErr w:type="spellEnd"/>
      <w:r w:rsidRPr="004C0A46">
        <w:rPr>
          <w:rFonts w:ascii="Arial" w:hAnsi="Arial" w:cs="Arial"/>
          <w:sz w:val="12"/>
          <w:szCs w:val="12"/>
        </w:rPr>
        <w:t xml:space="preserve"> Vargas).</w:t>
      </w:r>
    </w:p>
  </w:footnote>
  <w:footnote w:id="35">
    <w:p w14:paraId="46C0629B" w14:textId="3B6784F5" w:rsidR="00450CAF" w:rsidRPr="004C0A46" w:rsidRDefault="00450CAF" w:rsidP="004C0A46">
      <w:pPr>
        <w:pStyle w:val="Textonotapie"/>
        <w:spacing w:before="0" w:after="0" w:line="240" w:lineRule="auto"/>
        <w:ind w:firstLine="709"/>
        <w:rPr>
          <w:rFonts w:ascii="Arial" w:hAnsi="Arial" w:cs="Arial"/>
          <w:sz w:val="12"/>
          <w:szCs w:val="12"/>
        </w:rPr>
      </w:pPr>
      <w:r w:rsidRPr="004C0A46">
        <w:rPr>
          <w:rStyle w:val="Refdenotaalpie"/>
          <w:rFonts w:ascii="Arial" w:hAnsi="Arial" w:cs="Arial"/>
          <w:sz w:val="12"/>
          <w:szCs w:val="12"/>
        </w:rPr>
        <w:footnoteRef/>
      </w:r>
      <w:r w:rsidRPr="004C0A46">
        <w:rPr>
          <w:rFonts w:ascii="Arial" w:hAnsi="Arial" w:cs="Arial"/>
          <w:sz w:val="12"/>
          <w:szCs w:val="12"/>
        </w:rPr>
        <w:t xml:space="preserve"> Es lo que sucede, por ejemplo, con el Decreto 092 de 2017, que en su desarrollo hace referencia tanto a los «contratos» como a los «convenios». </w:t>
      </w:r>
    </w:p>
  </w:footnote>
  <w:footnote w:id="36">
    <w:p w14:paraId="5D93A801" w14:textId="77777777" w:rsidR="00450CAF" w:rsidRPr="00EA03F6" w:rsidRDefault="00450CAF">
      <w:pPr>
        <w:pStyle w:val="Textonotapie"/>
        <w:spacing w:before="0" w:after="0" w:line="240" w:lineRule="auto"/>
        <w:ind w:firstLine="709"/>
        <w:rPr>
          <w:rFonts w:ascii="Arial" w:hAnsi="Arial" w:cs="Arial"/>
          <w:sz w:val="19"/>
          <w:szCs w:val="19"/>
          <w:lang w:val="es-CO"/>
        </w:rPr>
      </w:pPr>
      <w:r w:rsidRPr="004C0A46">
        <w:rPr>
          <w:rStyle w:val="Refdenotaalpie"/>
          <w:rFonts w:ascii="Arial" w:hAnsi="Arial" w:cs="Arial"/>
          <w:sz w:val="12"/>
          <w:szCs w:val="12"/>
        </w:rPr>
        <w:footnoteRef/>
      </w:r>
      <w:r w:rsidRPr="004C0A46">
        <w:rPr>
          <w:rFonts w:ascii="Arial" w:hAnsi="Arial" w:cs="Arial"/>
          <w:sz w:val="12"/>
          <w:szCs w:val="12"/>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7">
    <w:p w14:paraId="04A10416" w14:textId="77777777" w:rsidR="00450CAF" w:rsidRPr="004C0A46" w:rsidRDefault="00450CAF">
      <w:pPr>
        <w:pStyle w:val="Textonotapie"/>
        <w:spacing w:before="0" w:after="0" w:line="240" w:lineRule="auto"/>
        <w:ind w:firstLine="709"/>
        <w:rPr>
          <w:rFonts w:ascii="Arial" w:hAnsi="Arial" w:cs="Arial"/>
          <w:sz w:val="12"/>
          <w:szCs w:val="12"/>
        </w:rPr>
      </w:pPr>
      <w:r w:rsidRPr="004C0A46">
        <w:rPr>
          <w:rStyle w:val="Refdenotaalpie"/>
          <w:rFonts w:ascii="Arial" w:hAnsi="Arial" w:cs="Arial"/>
          <w:sz w:val="12"/>
          <w:szCs w:val="12"/>
        </w:rPr>
        <w:footnoteRef/>
      </w:r>
      <w:r w:rsidRPr="004C0A46">
        <w:rPr>
          <w:rFonts w:ascii="Arial" w:hAnsi="Arial" w:cs="Arial"/>
          <w:sz w:val="12"/>
          <w:szCs w:val="12"/>
        </w:rPr>
        <w:t xml:space="preserve"> Lo anterior, salvo que se traten de organismos internacionales que se rijan por normas internacionales y se financien con cargo a recursos de esos organismos (Cfr. Colombia Compra Eficiente. Concepto C-559 del 31 de agosto de 2021). </w:t>
      </w:r>
    </w:p>
  </w:footnote>
  <w:footnote w:id="38">
    <w:p w14:paraId="3931C977" w14:textId="31975719" w:rsidR="00450CAF" w:rsidRPr="004C0A46" w:rsidRDefault="00450CAF" w:rsidP="004C0A46">
      <w:pPr>
        <w:pStyle w:val="Textonotapie"/>
        <w:spacing w:before="0" w:after="0" w:line="240" w:lineRule="auto"/>
        <w:ind w:firstLine="709"/>
        <w:rPr>
          <w:rFonts w:ascii="Arial" w:hAnsi="Arial" w:cs="Arial"/>
          <w:sz w:val="12"/>
          <w:szCs w:val="12"/>
        </w:rPr>
      </w:pPr>
      <w:r w:rsidRPr="004C0A46">
        <w:rPr>
          <w:rStyle w:val="Refdenotaalpie"/>
          <w:rFonts w:ascii="Arial" w:hAnsi="Arial" w:cs="Arial"/>
          <w:sz w:val="12"/>
          <w:szCs w:val="12"/>
        </w:rPr>
        <w:footnoteRef/>
      </w:r>
      <w:r w:rsidRPr="004C0A46">
        <w:rPr>
          <w:rFonts w:ascii="Arial" w:hAnsi="Arial" w:cs="Arial"/>
          <w:sz w:val="12"/>
          <w:szCs w:val="12"/>
        </w:rPr>
        <w:t xml:space="preserve"> Consejo de Estado. Sala de Consulta y Servicio Civil. Concepto del 15 de noviembre de 2007. Expediente número 1863. Consejero Ponente: Luis Fernando Álvarez Jaramillo.</w:t>
      </w:r>
    </w:p>
  </w:footnote>
  <w:footnote w:id="39">
    <w:p w14:paraId="30345AA7" w14:textId="77777777" w:rsidR="0097447B" w:rsidRPr="004C0A46" w:rsidRDefault="0097447B">
      <w:pPr>
        <w:ind w:firstLine="709"/>
        <w:jc w:val="both"/>
        <w:rPr>
          <w:rFonts w:ascii="Arial" w:eastAsia="Arial" w:hAnsi="Arial" w:cs="Arial"/>
          <w:sz w:val="12"/>
          <w:szCs w:val="12"/>
        </w:rPr>
      </w:pPr>
      <w:r w:rsidRPr="004C0A46">
        <w:rPr>
          <w:rFonts w:ascii="Arial" w:hAnsi="Arial" w:cs="Arial"/>
          <w:sz w:val="12"/>
          <w:szCs w:val="12"/>
          <w:vertAlign w:val="superscript"/>
        </w:rPr>
        <w:footnoteRef/>
      </w:r>
      <w:r w:rsidRPr="004C0A46">
        <w:rPr>
          <w:rFonts w:ascii="Arial" w:eastAsia="Arial" w:hAnsi="Arial" w:cs="Arial"/>
          <w:sz w:val="12"/>
          <w:szCs w:val="12"/>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p w14:paraId="63867F79" w14:textId="77777777" w:rsidR="0097447B" w:rsidRPr="00D05C96" w:rsidRDefault="0097447B">
      <w:pPr>
        <w:ind w:firstLine="709"/>
        <w:jc w:val="both"/>
        <w:rPr>
          <w:rFonts w:ascii="Arial" w:eastAsia="Arial" w:hAnsi="Arial" w:cs="Arial"/>
          <w:sz w:val="16"/>
          <w:szCs w:val="16"/>
        </w:rPr>
      </w:pPr>
    </w:p>
  </w:footnote>
  <w:footnote w:id="40">
    <w:p w14:paraId="39D537BF" w14:textId="77777777" w:rsidR="0097447B" w:rsidRPr="004C0A46" w:rsidRDefault="0097447B" w:rsidP="004C0A46">
      <w:pPr>
        <w:pStyle w:val="Textonotapie"/>
        <w:spacing w:before="0" w:after="0" w:line="240" w:lineRule="auto"/>
        <w:ind w:firstLine="708"/>
        <w:rPr>
          <w:rFonts w:ascii="Arial" w:hAnsi="Arial" w:cs="Arial"/>
          <w:sz w:val="12"/>
          <w:szCs w:val="12"/>
        </w:rPr>
      </w:pPr>
      <w:r w:rsidRPr="004C0A46">
        <w:rPr>
          <w:rStyle w:val="Refdenotaalpie"/>
          <w:rFonts w:ascii="Arial" w:hAnsi="Arial" w:cs="Arial"/>
          <w:sz w:val="12"/>
          <w:szCs w:val="12"/>
        </w:rPr>
        <w:footnoteRef/>
      </w:r>
      <w:r w:rsidRPr="004C0A46">
        <w:rPr>
          <w:rFonts w:ascii="Arial" w:hAnsi="Arial" w:cs="Arial"/>
          <w:sz w:val="12"/>
          <w:szCs w:val="12"/>
        </w:rPr>
        <w:t xml:space="preserve"> Consejo de Estado. Sala de Consulta y Servicio Civil. Concepto del 18 de febrero 2010. Rad. 11001-03-06-000-2010-00006-00 (1985). C.P. Enrique José Arboleda Perdomo.</w:t>
      </w:r>
    </w:p>
    <w:p w14:paraId="43C87EB7" w14:textId="77777777" w:rsidR="0097447B" w:rsidRPr="00D05C96" w:rsidRDefault="0097447B" w:rsidP="00490E94">
      <w:pPr>
        <w:pStyle w:val="Textonotapie"/>
        <w:spacing w:line="240" w:lineRule="auto"/>
        <w:ind w:firstLine="708"/>
        <w:rPr>
          <w:rFonts w:ascii="Arial" w:hAnsi="Arial" w:cs="Arial"/>
          <w:sz w:val="16"/>
          <w:szCs w:val="16"/>
        </w:rPr>
      </w:pPr>
    </w:p>
  </w:footnote>
  <w:footnote w:id="41">
    <w:p w14:paraId="7DB214A2" w14:textId="77777777" w:rsidR="0097447B" w:rsidRPr="004C0A46" w:rsidRDefault="0097447B" w:rsidP="004C0A46">
      <w:pPr>
        <w:pStyle w:val="Textonotapie"/>
        <w:spacing w:before="0" w:after="0" w:line="240" w:lineRule="auto"/>
        <w:ind w:firstLine="708"/>
        <w:rPr>
          <w:rFonts w:ascii="Arial" w:hAnsi="Arial" w:cs="Arial"/>
          <w:sz w:val="12"/>
          <w:szCs w:val="12"/>
        </w:rPr>
      </w:pPr>
      <w:r w:rsidRPr="004C0A46">
        <w:rPr>
          <w:rStyle w:val="Refdenotaalpie"/>
          <w:rFonts w:ascii="Arial" w:hAnsi="Arial" w:cs="Arial"/>
          <w:sz w:val="12"/>
          <w:szCs w:val="12"/>
        </w:rPr>
        <w:footnoteRef/>
      </w:r>
      <w:r w:rsidRPr="004C0A46">
        <w:rPr>
          <w:rFonts w:ascii="Arial" w:hAnsi="Arial" w:cs="Arial"/>
          <w:sz w:val="12"/>
          <w:szCs w:val="12"/>
        </w:rPr>
        <w:t xml:space="preserve"> Corte Constitucional. Sentencia C-1153 de 2005 M.P. Marco Gerardo Monroy Cabra. </w:t>
      </w:r>
    </w:p>
  </w:footnote>
  <w:footnote w:id="42">
    <w:p w14:paraId="33CE891B" w14:textId="77777777" w:rsidR="0097447B" w:rsidRPr="004C0A46" w:rsidRDefault="0097447B" w:rsidP="004C0A46">
      <w:pPr>
        <w:pStyle w:val="Textonotapie"/>
        <w:spacing w:before="0" w:after="0" w:line="240" w:lineRule="auto"/>
        <w:ind w:firstLine="708"/>
        <w:rPr>
          <w:rFonts w:ascii="Arial" w:hAnsi="Arial" w:cs="Arial"/>
          <w:sz w:val="12"/>
          <w:szCs w:val="12"/>
        </w:rPr>
      </w:pPr>
      <w:r w:rsidRPr="004C0A46">
        <w:rPr>
          <w:rStyle w:val="Refdenotaalpie"/>
          <w:rFonts w:ascii="Arial" w:hAnsi="Arial" w:cs="Arial"/>
          <w:sz w:val="12"/>
          <w:szCs w:val="12"/>
        </w:rPr>
        <w:footnoteRef/>
      </w:r>
      <w:r w:rsidRPr="004C0A46">
        <w:rPr>
          <w:rFonts w:ascii="Arial" w:hAnsi="Arial" w:cs="Arial"/>
          <w:sz w:val="12"/>
          <w:szCs w:val="12"/>
        </w:rPr>
        <w:t xml:space="preserve"> Consejo de Estado. Sala de Consulta y Servicio Civil. Concepto del 02 de septiembre de 2013. Rad. 11001-03-06-000-2013-00412-00 (2168). C.P. Álvaro </w:t>
      </w:r>
      <w:proofErr w:type="spellStart"/>
      <w:r w:rsidRPr="004C0A46">
        <w:rPr>
          <w:rFonts w:ascii="Arial" w:hAnsi="Arial" w:cs="Arial"/>
          <w:sz w:val="12"/>
          <w:szCs w:val="12"/>
        </w:rPr>
        <w:t>Namén</w:t>
      </w:r>
      <w:proofErr w:type="spellEnd"/>
      <w:r w:rsidRPr="004C0A46">
        <w:rPr>
          <w:rFonts w:ascii="Arial" w:hAnsi="Arial" w:cs="Arial"/>
          <w:sz w:val="12"/>
          <w:szCs w:val="12"/>
        </w:rPr>
        <w:t xml:space="preserve"> Vargas.</w:t>
      </w:r>
    </w:p>
    <w:p w14:paraId="156EAD33" w14:textId="77777777" w:rsidR="0097447B" w:rsidRPr="00D05C96" w:rsidRDefault="0097447B" w:rsidP="00490E94">
      <w:pPr>
        <w:pStyle w:val="Textonotapie"/>
        <w:spacing w:line="240" w:lineRule="auto"/>
        <w:rPr>
          <w:rFonts w:ascii="Arial" w:hAnsi="Arial" w:cs="Arial"/>
          <w:sz w:val="16"/>
          <w:szCs w:val="16"/>
        </w:rPr>
      </w:pPr>
    </w:p>
  </w:footnote>
  <w:footnote w:id="43">
    <w:p w14:paraId="51F72F94" w14:textId="77777777" w:rsidR="0097447B" w:rsidRPr="004C0A46" w:rsidRDefault="0097447B" w:rsidP="00490E94">
      <w:pPr>
        <w:pStyle w:val="Textonotapie"/>
        <w:spacing w:line="240" w:lineRule="auto"/>
        <w:ind w:firstLine="708"/>
        <w:rPr>
          <w:rFonts w:ascii="Arial" w:hAnsi="Arial" w:cs="Arial"/>
          <w:sz w:val="12"/>
          <w:szCs w:val="12"/>
          <w:lang w:val="es-ES"/>
        </w:rPr>
      </w:pPr>
      <w:r w:rsidRPr="004C0A46">
        <w:rPr>
          <w:rStyle w:val="Refdenotaalpie"/>
          <w:rFonts w:ascii="Arial" w:hAnsi="Arial" w:cs="Arial"/>
          <w:sz w:val="12"/>
          <w:szCs w:val="12"/>
        </w:rPr>
        <w:footnoteRef/>
      </w:r>
      <w:r w:rsidRPr="004C0A46">
        <w:rPr>
          <w:rFonts w:ascii="Arial" w:hAnsi="Arial" w:cs="Arial"/>
          <w:sz w:val="12"/>
          <w:szCs w:val="12"/>
        </w:rPr>
        <w:t xml:space="preserve"> </w:t>
      </w:r>
      <w:r w:rsidRPr="004C0A46">
        <w:rPr>
          <w:rFonts w:ascii="Arial" w:hAnsi="Arial" w:cs="Arial"/>
          <w:sz w:val="12"/>
          <w:szCs w:val="12"/>
          <w:lang w:val="es-CO"/>
        </w:rPr>
        <w:t>«</w:t>
      </w:r>
      <w:r w:rsidRPr="004C0A46">
        <w:rPr>
          <w:rFonts w:ascii="Arial" w:hAnsi="Arial" w:cs="Arial"/>
          <w:sz w:val="12"/>
          <w:szCs w:val="12"/>
        </w:rPr>
        <w:t>Artículo 197. Empresas sociales de salud de carácter territorial. Las entidades territoriales deberán disponer, dentro de los seis (6) meses siguientes a la fecha de vigencia de esta Ley, la reestructuración de las entidades descentralizadas cuyo objeto principal sea la prestación de servicios de salud, con el fin de adecuarlas a lo dispuesto en este capítulo.</w:t>
      </w:r>
    </w:p>
  </w:footnote>
  <w:footnote w:id="44">
    <w:p w14:paraId="11634DA9" w14:textId="77777777" w:rsidR="00B577D8" w:rsidRPr="004C0A46" w:rsidRDefault="00B577D8" w:rsidP="004C0A46">
      <w:pPr>
        <w:pStyle w:val="Textonotapie"/>
        <w:spacing w:before="0" w:after="0" w:line="240" w:lineRule="auto"/>
        <w:ind w:firstLine="708"/>
        <w:rPr>
          <w:rFonts w:ascii="Arial" w:hAnsi="Arial" w:cs="Arial"/>
          <w:sz w:val="12"/>
          <w:szCs w:val="12"/>
        </w:rPr>
      </w:pPr>
      <w:r w:rsidRPr="004C0A46">
        <w:rPr>
          <w:rStyle w:val="Refdenotaalpie"/>
          <w:rFonts w:ascii="Arial" w:hAnsi="Arial" w:cs="Arial"/>
          <w:sz w:val="12"/>
          <w:szCs w:val="12"/>
        </w:rPr>
        <w:footnoteRef/>
      </w:r>
      <w:r w:rsidRPr="004C0A46">
        <w:rPr>
          <w:rFonts w:ascii="Arial" w:hAnsi="Arial" w:cs="Arial"/>
          <w:sz w:val="12"/>
          <w:szCs w:val="12"/>
        </w:rPr>
        <w:t xml:space="preserve"> El artículo 2.8.8.1.4.2 del Decreto 780 de 2016 dispone que «Para efectos de la aplicación del presente Capítulo, entiéndase por Autoridades Sanitarias del </w:t>
      </w:r>
      <w:proofErr w:type="spellStart"/>
      <w:r w:rsidRPr="004C0A46">
        <w:rPr>
          <w:rFonts w:ascii="Arial" w:hAnsi="Arial" w:cs="Arial"/>
          <w:sz w:val="12"/>
          <w:szCs w:val="12"/>
        </w:rPr>
        <w:t>Sivigila</w:t>
      </w:r>
      <w:proofErr w:type="spellEnd"/>
      <w:r w:rsidRPr="004C0A46">
        <w:rPr>
          <w:rFonts w:ascii="Arial" w:hAnsi="Arial" w:cs="Arial"/>
          <w:sz w:val="12"/>
          <w:szCs w:val="12"/>
        </w:rPr>
        <w:t xml:space="preserve">, el Ministerio de Salud y Protección Social; el Instituto Nacional de Salud (INS); el Instituto Nacional de Vigilancia de Medicamentos y Alimentos (Invima), las Direcciones Territoriales de Salud, </w:t>
      </w:r>
      <w:r w:rsidRPr="004C0A46">
        <w:rPr>
          <w:rFonts w:ascii="Arial" w:hAnsi="Arial" w:cs="Arial"/>
          <w:i/>
          <w:iCs/>
          <w:sz w:val="12"/>
          <w:szCs w:val="12"/>
        </w:rPr>
        <w:t>y todas aquellas entidades que de acuerdo con la ley ejerzan funciones de vigilancia y control sanitario</w:t>
      </w:r>
      <w:r w:rsidRPr="004C0A46">
        <w:rPr>
          <w:rFonts w:ascii="Arial" w:hAnsi="Arial" w:cs="Arial"/>
          <w:sz w:val="12"/>
          <w:szCs w:val="12"/>
        </w:rPr>
        <w:t xml:space="preserve">, las cuales deben adoptar medidas sanitarias que garanticen la protección de la salud pública y el cumplimiento de lo dispuesto en esta norma, así como adelantar los procedimientos y aplicar las sanciones a que hubiere lugar» (Énfasis fuera de texto).  </w:t>
      </w:r>
    </w:p>
  </w:footnote>
  <w:footnote w:id="45">
    <w:p w14:paraId="229FF406" w14:textId="004F4086" w:rsidR="0075621B" w:rsidRPr="004C0A46" w:rsidRDefault="00A725D8" w:rsidP="004C0A46">
      <w:pPr>
        <w:pStyle w:val="Textonotapie"/>
        <w:spacing w:before="0" w:after="0" w:line="240" w:lineRule="auto"/>
        <w:ind w:firstLine="708"/>
        <w:rPr>
          <w:rFonts w:ascii="Arial" w:hAnsi="Arial" w:cs="Arial"/>
          <w:sz w:val="12"/>
          <w:szCs w:val="12"/>
        </w:rPr>
      </w:pPr>
      <w:r w:rsidRPr="004C0A46">
        <w:rPr>
          <w:rStyle w:val="Refdenotaalpie"/>
          <w:rFonts w:ascii="Arial" w:hAnsi="Arial" w:cs="Arial"/>
          <w:sz w:val="12"/>
          <w:szCs w:val="12"/>
        </w:rPr>
        <w:footnoteRef/>
      </w:r>
      <w:r w:rsidRPr="004C0A46">
        <w:rPr>
          <w:rFonts w:ascii="Arial" w:hAnsi="Arial" w:cs="Arial"/>
          <w:sz w:val="12"/>
          <w:szCs w:val="12"/>
        </w:rPr>
        <w:t xml:space="preserve"> </w:t>
      </w:r>
      <w:r w:rsidR="008E1BC1" w:rsidRPr="004C0A46">
        <w:rPr>
          <w:rFonts w:ascii="Arial" w:hAnsi="Arial" w:cs="Arial"/>
          <w:sz w:val="12"/>
          <w:szCs w:val="12"/>
        </w:rPr>
        <w:t xml:space="preserve">Decreto 780 de 2016, </w:t>
      </w:r>
      <w:r w:rsidR="00C00EDD" w:rsidRPr="004C0A46">
        <w:rPr>
          <w:rFonts w:ascii="Arial" w:hAnsi="Arial" w:cs="Arial"/>
          <w:sz w:val="12"/>
          <w:szCs w:val="12"/>
        </w:rPr>
        <w:t>sustituido</w:t>
      </w:r>
      <w:r w:rsidR="008E1BC1" w:rsidRPr="004C0A46">
        <w:rPr>
          <w:rFonts w:ascii="Arial" w:hAnsi="Arial" w:cs="Arial"/>
          <w:sz w:val="12"/>
          <w:szCs w:val="12"/>
        </w:rPr>
        <w:t xml:space="preserve"> </w:t>
      </w:r>
      <w:r w:rsidR="00C00EDD" w:rsidRPr="004C0A46">
        <w:rPr>
          <w:rFonts w:ascii="Arial" w:hAnsi="Arial" w:cs="Arial"/>
          <w:sz w:val="12"/>
          <w:szCs w:val="12"/>
        </w:rPr>
        <w:t xml:space="preserve">parcialmente por el Decreto </w:t>
      </w:r>
      <w:r w:rsidR="00EE2835" w:rsidRPr="004C0A46">
        <w:rPr>
          <w:rFonts w:ascii="Arial" w:hAnsi="Arial" w:cs="Arial"/>
          <w:sz w:val="12"/>
          <w:szCs w:val="12"/>
        </w:rPr>
        <w:t>26</w:t>
      </w:r>
      <w:r w:rsidR="00C00EDD" w:rsidRPr="004C0A46">
        <w:rPr>
          <w:rFonts w:ascii="Arial" w:hAnsi="Arial" w:cs="Arial"/>
          <w:sz w:val="12"/>
          <w:szCs w:val="12"/>
        </w:rPr>
        <w:t xml:space="preserve">8 de 2020: </w:t>
      </w:r>
      <w:r w:rsidR="00195514" w:rsidRPr="004C0A46">
        <w:rPr>
          <w:rFonts w:ascii="Arial" w:hAnsi="Arial" w:cs="Arial"/>
          <w:sz w:val="12"/>
          <w:szCs w:val="12"/>
        </w:rPr>
        <w:t>«Artículo</w:t>
      </w:r>
      <w:r w:rsidR="0075621B" w:rsidRPr="004C0A46">
        <w:rPr>
          <w:rFonts w:ascii="Arial" w:hAnsi="Arial" w:cs="Arial"/>
          <w:sz w:val="12"/>
          <w:szCs w:val="12"/>
        </w:rPr>
        <w:t xml:space="preserve"> 2.4.2.7. Uso de los recursos del Subsidio a la Oferta. Los recursos del subsidio: a la oferta deberán ser usados por los departamentos, municipios certificados y distritos referidos en el artículo 2.4.1.3 del presente decreto, para la financiación de los gastos de operación de la prestación de servicios de salud de las Empresas Sociales del Estado o administradores de infraestructura pública destinados a la prestación de servicios de salud, de acuerdo con lo establecido en numeral 52.2 del artículo 52 de la Ley 715 de 2001 , modificado por el artículo 235 de la Ley 1955 de 2019.</w:t>
      </w:r>
    </w:p>
    <w:p w14:paraId="08F7460B" w14:textId="61BFBB87" w:rsidR="0075621B" w:rsidRPr="004C0A46" w:rsidRDefault="00195514" w:rsidP="004C0A46">
      <w:pPr>
        <w:pStyle w:val="Textonotapie"/>
        <w:spacing w:before="0" w:after="0" w:line="240" w:lineRule="auto"/>
        <w:ind w:firstLine="708"/>
        <w:rPr>
          <w:rFonts w:ascii="Arial" w:hAnsi="Arial" w:cs="Arial"/>
          <w:sz w:val="12"/>
          <w:szCs w:val="12"/>
        </w:rPr>
      </w:pPr>
      <w:r w:rsidRPr="004C0A46">
        <w:rPr>
          <w:rFonts w:ascii="Arial" w:hAnsi="Arial" w:cs="Arial"/>
          <w:sz w:val="12"/>
          <w:szCs w:val="12"/>
        </w:rPr>
        <w:t>»</w:t>
      </w:r>
      <w:r w:rsidR="0075621B" w:rsidRPr="004C0A46">
        <w:rPr>
          <w:rFonts w:ascii="Arial" w:hAnsi="Arial" w:cs="Arial"/>
          <w:sz w:val="12"/>
          <w:szCs w:val="12"/>
        </w:rPr>
        <w:t>Los departamentos, los distritos definidos en el artículo 2.4.1.3 del presente decreto y los municipios certificados , asignarán los recursos del subsidio a la oferta a las Empresas Sociales del Estado o administradores de infraestructura pública para la prestación de servicios de salud, teniendo en cuenta el listado definido por el Ministerio de Salud y Protección Social, y su ejecución deberá realizarse mediante la suscripción de convenios o contratos que garanticen la transferencia del subsidio a dichas entidades.</w:t>
      </w:r>
    </w:p>
    <w:p w14:paraId="703D47B5" w14:textId="0B8278E6" w:rsidR="0075621B" w:rsidRPr="004C0A46" w:rsidRDefault="0075621B" w:rsidP="004C0A46">
      <w:pPr>
        <w:pStyle w:val="Textonotapie"/>
        <w:spacing w:before="0" w:after="0" w:line="240" w:lineRule="auto"/>
        <w:ind w:firstLine="708"/>
        <w:rPr>
          <w:rFonts w:ascii="Arial" w:hAnsi="Arial" w:cs="Arial"/>
          <w:sz w:val="12"/>
          <w:szCs w:val="12"/>
        </w:rPr>
      </w:pPr>
      <w:r w:rsidRPr="004C0A46">
        <w:rPr>
          <w:rFonts w:ascii="Arial" w:hAnsi="Arial" w:cs="Arial"/>
          <w:sz w:val="12"/>
          <w:szCs w:val="12"/>
        </w:rPr>
        <w:t>»El convenio o contrato deberá incluir, entre otros, indicadores y metas de calidad en la prestación de servicios de salud a la población y de gestión financiera y de producción, los cuales deben ser cumplidos durante la vigencia del convenio o contrato. El término de este convenio no debe ser inferior a la vigencia fiscal para la cual se asignan los recursos. El convenio o contrato deberá contar con una supervisión, que efectuará el seguimiento al cumplimiento de los indicadores y metas, así como las obligaciones que hacen parte del mismo. Cuando se evidencie el incumplimiento de los indicadores y metas establecidas en el convenio o contrato, la entidad territorial deberá adoptar las medidas necesarias con el fin de garantizar la prestación de los servicios y salvaguardar los recursos públicos y deberá establecer, si así llegare a determinarlo, las condiciones que se deben cumplir para continuar efectuando los giros, en el marco de la ejecución del convenio o contrato.</w:t>
      </w:r>
    </w:p>
    <w:p w14:paraId="120B63B5" w14:textId="0B4C5C6D" w:rsidR="0075621B" w:rsidRPr="004C0A46" w:rsidRDefault="0075621B" w:rsidP="004C0A46">
      <w:pPr>
        <w:pStyle w:val="Textonotapie"/>
        <w:spacing w:before="0" w:after="0" w:line="240" w:lineRule="auto"/>
        <w:rPr>
          <w:rFonts w:ascii="Arial" w:hAnsi="Arial" w:cs="Arial"/>
          <w:sz w:val="12"/>
          <w:szCs w:val="12"/>
        </w:rPr>
      </w:pPr>
      <w:r w:rsidRPr="004C0A46">
        <w:rPr>
          <w:rFonts w:ascii="Arial" w:hAnsi="Arial" w:cs="Arial"/>
          <w:sz w:val="12"/>
          <w:szCs w:val="12"/>
        </w:rPr>
        <w:t xml:space="preserve"> </w:t>
      </w:r>
      <w:r w:rsidRPr="004C0A46">
        <w:rPr>
          <w:rFonts w:ascii="Arial" w:hAnsi="Arial" w:cs="Arial"/>
          <w:sz w:val="12"/>
          <w:szCs w:val="12"/>
        </w:rPr>
        <w:tab/>
        <w:t>»El Ministerio de Salud y Protección Social efectuará el monitoreo a los recursos del SGP establecidos en el presente acto administrativo en cumplimiento de lo previsto en el Decreto Ley 028 de 2008 ola norma que lo modifique, adicione o sustituya.</w:t>
      </w:r>
    </w:p>
    <w:p w14:paraId="072E20D8" w14:textId="6873A723" w:rsidR="00A725D8" w:rsidRDefault="0075621B" w:rsidP="004C0A46">
      <w:pPr>
        <w:pStyle w:val="Textonotapie"/>
        <w:spacing w:before="0" w:after="0" w:line="240" w:lineRule="auto"/>
        <w:ind w:firstLine="708"/>
      </w:pPr>
      <w:r w:rsidRPr="004C0A46">
        <w:rPr>
          <w:rFonts w:ascii="Arial" w:hAnsi="Arial" w:cs="Arial"/>
          <w:sz w:val="12"/>
          <w:szCs w:val="12"/>
        </w:rPr>
        <w:t>»</w:t>
      </w:r>
      <w:r w:rsidR="00C00EDD" w:rsidRPr="004C0A46">
        <w:rPr>
          <w:rFonts w:ascii="Arial" w:hAnsi="Arial" w:cs="Arial"/>
          <w:sz w:val="12"/>
          <w:szCs w:val="12"/>
        </w:rPr>
        <w:t>Parágrafo</w:t>
      </w:r>
      <w:r w:rsidRPr="004C0A46">
        <w:rPr>
          <w:rFonts w:ascii="Arial" w:hAnsi="Arial" w:cs="Arial"/>
          <w:sz w:val="12"/>
          <w:szCs w:val="12"/>
        </w:rPr>
        <w:t>. Las Empresas Sociales del Estado y los administradores de infraestructura pública, a quienes se les asignen recursos del subsidio a la oferta, deberán garantizar la operación de las sedes que sean monopolio en servicios trazadores».</w:t>
      </w:r>
    </w:p>
  </w:footnote>
  <w:footnote w:id="46">
    <w:p w14:paraId="43DBF947" w14:textId="77777777" w:rsidR="00717B0C" w:rsidRPr="00B46343" w:rsidRDefault="00717B0C">
      <w:pPr>
        <w:pStyle w:val="Textonotapie"/>
        <w:spacing w:before="0" w:after="0" w:line="240" w:lineRule="auto"/>
        <w:ind w:firstLine="708"/>
        <w:rPr>
          <w:rFonts w:ascii="Arial" w:hAnsi="Arial" w:cs="Arial"/>
          <w:sz w:val="12"/>
          <w:szCs w:val="12"/>
        </w:rPr>
      </w:pPr>
      <w:r w:rsidRPr="00B46343">
        <w:rPr>
          <w:rStyle w:val="Refdenotaalpie"/>
          <w:rFonts w:ascii="Arial" w:hAnsi="Arial" w:cs="Arial"/>
          <w:sz w:val="12"/>
          <w:szCs w:val="12"/>
        </w:rPr>
        <w:footnoteRef/>
      </w:r>
      <w:r w:rsidRPr="00B46343">
        <w:rPr>
          <w:rFonts w:ascii="Arial" w:hAnsi="Arial" w:cs="Arial"/>
          <w:sz w:val="12"/>
          <w:szCs w:val="12"/>
        </w:rPr>
        <w:t xml:space="preserve"> Decreto 780 de 2016, sustituido parcialmente por el Decreto 268 de 2020: «Artículo 2.4.2.7. Uso de los recursos del Subsidio a la Oferta. Los recursos del subsidio: a la oferta deberán ser usados por los departamentos, municipios certificados y distritos referidos en el artículo 2.4.1.3 del presente decreto, para la financiación de los gastos de operación de la prestación de servicios de salud de las Empresas Sociales del Estado o administradores de infraestructura pública destinados a la prestación de servicios de salud, de acuerdo con lo establecido en numeral 52.2 del artículo 52 de la Ley 715 de 2001 , modificado por el artículo 235 de la Ley 1955 de 2019.</w:t>
      </w:r>
    </w:p>
    <w:p w14:paraId="68F70117" w14:textId="77777777" w:rsidR="00717B0C" w:rsidRPr="00B46343" w:rsidRDefault="00717B0C">
      <w:pPr>
        <w:pStyle w:val="Textonotapie"/>
        <w:spacing w:before="0" w:after="0" w:line="240" w:lineRule="auto"/>
        <w:ind w:firstLine="708"/>
        <w:rPr>
          <w:rFonts w:ascii="Arial" w:hAnsi="Arial" w:cs="Arial"/>
          <w:sz w:val="12"/>
          <w:szCs w:val="12"/>
        </w:rPr>
      </w:pPr>
      <w:r w:rsidRPr="00B46343">
        <w:rPr>
          <w:rFonts w:ascii="Arial" w:hAnsi="Arial" w:cs="Arial"/>
          <w:sz w:val="12"/>
          <w:szCs w:val="12"/>
        </w:rPr>
        <w:t>»Los departamentos, los distritos definidos en el artículo 2.4.1.3 del presente decreto y los municipios certificados , asignarán los recursos del subsidio a la oferta a las Empresas Sociales del Estado o administradores de infraestructura pública para la prestación de servicios de salud, teniendo en cuenta el listado definido por el Ministerio de Salud y Protección Social, y su ejecución deberá realizarse mediante la suscripción de convenios o contratos que garanticen la transferencia del subsidio a dichas entidades.</w:t>
      </w:r>
    </w:p>
    <w:p w14:paraId="66F1C990" w14:textId="77777777" w:rsidR="00717B0C" w:rsidRPr="00B46343" w:rsidRDefault="00717B0C">
      <w:pPr>
        <w:pStyle w:val="Textonotapie"/>
        <w:spacing w:before="0" w:after="0" w:line="240" w:lineRule="auto"/>
        <w:ind w:firstLine="708"/>
        <w:rPr>
          <w:rFonts w:ascii="Arial" w:hAnsi="Arial" w:cs="Arial"/>
          <w:sz w:val="12"/>
          <w:szCs w:val="12"/>
        </w:rPr>
      </w:pPr>
      <w:r w:rsidRPr="00B46343">
        <w:rPr>
          <w:rFonts w:ascii="Arial" w:hAnsi="Arial" w:cs="Arial"/>
          <w:sz w:val="12"/>
          <w:szCs w:val="12"/>
        </w:rPr>
        <w:t>»El convenio o contrato deberá incluir, entre otros, indicadores y metas de calidad en la prestación de servicios de salud a la población y de gestión financiera y de producción, los cuales deben ser cumplidos durante la vigencia del convenio o contrato. El término de este convenio no debe ser inferior a la vigencia fiscal</w:t>
      </w:r>
      <w:r w:rsidRPr="00340C7C">
        <w:rPr>
          <w:rFonts w:ascii="Arial" w:hAnsi="Arial" w:cs="Arial"/>
          <w:sz w:val="18"/>
          <w:szCs w:val="18"/>
        </w:rPr>
        <w:t xml:space="preserve"> </w:t>
      </w:r>
      <w:r w:rsidRPr="00B46343">
        <w:rPr>
          <w:rFonts w:ascii="Arial" w:hAnsi="Arial" w:cs="Arial"/>
          <w:sz w:val="12"/>
          <w:szCs w:val="12"/>
        </w:rPr>
        <w:t>para la cual se asignan los recursos. El convenio o contrato deberá contar con una supervisión, que efectuará el seguimiento al cumplimiento de los indicadores y metas, así como las obligaciones que hacen parte del mismo. Cuando se evidencie el incumplimiento de los indicadores y metas establecidas en el convenio o contrato, la entidad territorial deberá adoptar las medidas necesarias con el fin de garantizar la prestación de los servicios y salvaguardar los recursos públicos y deberá establecer, si así llegare a determinarlo, las condiciones que se deben cumplir para continuar efectuando los giros, en el marco de la ejecución del convenio o contrato.</w:t>
      </w:r>
    </w:p>
    <w:p w14:paraId="64CE7CF7" w14:textId="77777777" w:rsidR="00717B0C" w:rsidRPr="00B46343" w:rsidRDefault="00717B0C">
      <w:pPr>
        <w:pStyle w:val="Textonotapie"/>
        <w:spacing w:before="0" w:after="0" w:line="240" w:lineRule="auto"/>
        <w:rPr>
          <w:rFonts w:ascii="Arial" w:hAnsi="Arial" w:cs="Arial"/>
          <w:sz w:val="12"/>
          <w:szCs w:val="12"/>
        </w:rPr>
      </w:pPr>
      <w:r w:rsidRPr="00B46343">
        <w:rPr>
          <w:rFonts w:ascii="Arial" w:hAnsi="Arial" w:cs="Arial"/>
          <w:sz w:val="12"/>
          <w:szCs w:val="12"/>
        </w:rPr>
        <w:t xml:space="preserve"> </w:t>
      </w:r>
      <w:r w:rsidRPr="00B46343">
        <w:rPr>
          <w:rFonts w:ascii="Arial" w:hAnsi="Arial" w:cs="Arial"/>
          <w:sz w:val="12"/>
          <w:szCs w:val="12"/>
        </w:rPr>
        <w:tab/>
        <w:t>»El Ministerio de Salud y Protección Social efectuará el monitoreo a los recursos del SGP establecidos en el presente acto administrativo en cumplimiento de lo previsto en el Decreto Ley 028 de 2008 ola norma que lo modifique, adicione o sustituya.</w:t>
      </w:r>
    </w:p>
    <w:p w14:paraId="609CFFE5" w14:textId="77777777" w:rsidR="00717B0C" w:rsidRDefault="00717B0C">
      <w:pPr>
        <w:pStyle w:val="Textonotapie"/>
        <w:spacing w:before="0" w:after="0" w:line="240" w:lineRule="auto"/>
        <w:ind w:firstLine="708"/>
      </w:pPr>
      <w:r w:rsidRPr="00B46343">
        <w:rPr>
          <w:rFonts w:ascii="Arial" w:hAnsi="Arial" w:cs="Arial"/>
          <w:sz w:val="12"/>
          <w:szCs w:val="12"/>
        </w:rPr>
        <w:t>»Parágrafo. Las Empresas Sociales del Estado y los administradores de infraestructura pública, a quienes se les asignen recursos del subsidio a la oferta, deberán garantizar la operación de las sedes que sean monopolio en servicios trazadores».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F64D8" w:rsidRDefault="00EF64D8">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2F02B9"/>
    <w:multiLevelType w:val="hybridMultilevel"/>
    <w:tmpl w:val="64F6AB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8A2D41"/>
    <w:multiLevelType w:val="hybridMultilevel"/>
    <w:tmpl w:val="B8CC0D42"/>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15:restartNumberingAfterBreak="0">
    <w:nsid w:val="29380B19"/>
    <w:multiLevelType w:val="hybridMultilevel"/>
    <w:tmpl w:val="1F66EDE8"/>
    <w:lvl w:ilvl="0" w:tplc="60226B48">
      <w:start w:val="1"/>
      <w:numFmt w:val="decimal"/>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15:restartNumberingAfterBreak="0">
    <w:nsid w:val="2C625574"/>
    <w:multiLevelType w:val="hybridMultilevel"/>
    <w:tmpl w:val="7EA03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CF3319"/>
    <w:multiLevelType w:val="hybridMultilevel"/>
    <w:tmpl w:val="D42C505A"/>
    <w:lvl w:ilvl="0" w:tplc="FC5637A6">
      <w:start w:val="1"/>
      <w:numFmt w:val="decimal"/>
      <w:lvlText w:val="%1."/>
      <w:lvlJc w:val="left"/>
      <w:pPr>
        <w:ind w:left="720" w:hanging="360"/>
      </w:pPr>
      <w:rPr>
        <w:rFonts w:ascii="Calibri" w:hAnsi="Calibri" w:cs="Calibri"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3B1499"/>
    <w:multiLevelType w:val="hybridMultilevel"/>
    <w:tmpl w:val="B5BA0E08"/>
    <w:lvl w:ilvl="0" w:tplc="EC46EAB4">
      <w:start w:val="1"/>
      <w:numFmt w:val="lowerRoman"/>
      <w:lvlText w:val="%1)"/>
      <w:lvlJc w:val="left"/>
      <w:pPr>
        <w:ind w:left="1429" w:hanging="72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7B7BA6"/>
    <w:multiLevelType w:val="hybridMultilevel"/>
    <w:tmpl w:val="0A9A12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5C1658E"/>
    <w:multiLevelType w:val="hybridMultilevel"/>
    <w:tmpl w:val="6BB45F22"/>
    <w:lvl w:ilvl="0" w:tplc="324E2A2C">
      <w:start w:val="1"/>
      <w:numFmt w:val="upperRoman"/>
      <w:lvlText w:val="%1."/>
      <w:lvlJc w:val="right"/>
      <w:pPr>
        <w:ind w:left="1429" w:hanging="360"/>
      </w:pPr>
      <w:rPr>
        <w:sz w:val="22"/>
        <w:szCs w:val="22"/>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2" w15:restartNumberingAfterBreak="0">
    <w:nsid w:val="3642528B"/>
    <w:multiLevelType w:val="hybridMultilevel"/>
    <w:tmpl w:val="D408B580"/>
    <w:lvl w:ilvl="0" w:tplc="15DE398A">
      <w:start w:val="1"/>
      <w:numFmt w:val="lowerLetter"/>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 w15:restartNumberingAfterBreak="0">
    <w:nsid w:val="3DF77F05"/>
    <w:multiLevelType w:val="hybridMultilevel"/>
    <w:tmpl w:val="0E90E834"/>
    <w:lvl w:ilvl="0" w:tplc="073E4240">
      <w:start w:val="1"/>
      <w:numFmt w:val="lowerRoman"/>
      <w:lvlText w:val="%1)"/>
      <w:lvlJc w:val="left"/>
      <w:pPr>
        <w:ind w:left="1429" w:hanging="72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4" w15:restartNumberingAfterBreak="0">
    <w:nsid w:val="444D0259"/>
    <w:multiLevelType w:val="hybridMultilevel"/>
    <w:tmpl w:val="77FC860C"/>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32B27AF"/>
    <w:multiLevelType w:val="hybridMultilevel"/>
    <w:tmpl w:val="BA34E780"/>
    <w:lvl w:ilvl="0" w:tplc="56241FF8">
      <w:start w:val="1"/>
      <w:numFmt w:val="lowerLetter"/>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9" w15:restartNumberingAfterBreak="0">
    <w:nsid w:val="6A9B7B46"/>
    <w:multiLevelType w:val="hybridMultilevel"/>
    <w:tmpl w:val="103E82C4"/>
    <w:lvl w:ilvl="0" w:tplc="0C0A0013">
      <w:start w:val="1"/>
      <w:numFmt w:val="upperRoman"/>
      <w:lvlText w:val="%1."/>
      <w:lvlJc w:val="righ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6FEE5641"/>
    <w:multiLevelType w:val="hybridMultilevel"/>
    <w:tmpl w:val="CE064F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0966857"/>
    <w:multiLevelType w:val="hybridMultilevel"/>
    <w:tmpl w:val="2EB8A274"/>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3" w15:restartNumberingAfterBreak="0">
    <w:nsid w:val="7C703690"/>
    <w:multiLevelType w:val="hybridMultilevel"/>
    <w:tmpl w:val="F9862F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35960585">
    <w:abstractNumId w:val="10"/>
  </w:num>
  <w:num w:numId="2" w16cid:durableId="987981789">
    <w:abstractNumId w:val="8"/>
  </w:num>
  <w:num w:numId="3" w16cid:durableId="1735350456">
    <w:abstractNumId w:val="15"/>
  </w:num>
  <w:num w:numId="4" w16cid:durableId="1061711018">
    <w:abstractNumId w:val="16"/>
  </w:num>
  <w:num w:numId="5" w16cid:durableId="1070231705">
    <w:abstractNumId w:val="20"/>
  </w:num>
  <w:num w:numId="6" w16cid:durableId="41826050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3476319">
    <w:abstractNumId w:val="17"/>
  </w:num>
  <w:num w:numId="8" w16cid:durableId="1543637751">
    <w:abstractNumId w:val="5"/>
  </w:num>
  <w:num w:numId="9" w16cid:durableId="427115731">
    <w:abstractNumId w:val="1"/>
  </w:num>
  <w:num w:numId="10" w16cid:durableId="871263474">
    <w:abstractNumId w:val="6"/>
  </w:num>
  <w:num w:numId="11" w16cid:durableId="1414350860">
    <w:abstractNumId w:val="2"/>
  </w:num>
  <w:num w:numId="12" w16cid:durableId="437600244">
    <w:abstractNumId w:val="9"/>
  </w:num>
  <w:num w:numId="13" w16cid:durableId="1944802155">
    <w:abstractNumId w:val="3"/>
  </w:num>
  <w:num w:numId="14" w16cid:durableId="737554012">
    <w:abstractNumId w:val="18"/>
  </w:num>
  <w:num w:numId="15" w16cid:durableId="236407385">
    <w:abstractNumId w:val="14"/>
  </w:num>
  <w:num w:numId="16" w16cid:durableId="4868310">
    <w:abstractNumId w:val="12"/>
  </w:num>
  <w:num w:numId="17" w16cid:durableId="651641922">
    <w:abstractNumId w:val="22"/>
  </w:num>
  <w:num w:numId="18" w16cid:durableId="181670386">
    <w:abstractNumId w:val="4"/>
  </w:num>
  <w:num w:numId="19" w16cid:durableId="2124107660">
    <w:abstractNumId w:val="11"/>
  </w:num>
  <w:num w:numId="20" w16cid:durableId="111286953">
    <w:abstractNumId w:val="13"/>
  </w:num>
  <w:num w:numId="21" w16cid:durableId="1160392249">
    <w:abstractNumId w:val="19"/>
  </w:num>
  <w:num w:numId="22" w16cid:durableId="177165180">
    <w:abstractNumId w:val="7"/>
  </w:num>
  <w:num w:numId="23" w16cid:durableId="126432293">
    <w:abstractNumId w:val="23"/>
  </w:num>
  <w:num w:numId="24" w16cid:durableId="196295649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16"/>
    <w:rsid w:val="0000126D"/>
    <w:rsid w:val="000019A6"/>
    <w:rsid w:val="00001A1D"/>
    <w:rsid w:val="000025E0"/>
    <w:rsid w:val="000034EE"/>
    <w:rsid w:val="000070A8"/>
    <w:rsid w:val="0001231C"/>
    <w:rsid w:val="00013487"/>
    <w:rsid w:val="000135A1"/>
    <w:rsid w:val="00013F7C"/>
    <w:rsid w:val="00015BF3"/>
    <w:rsid w:val="00015E80"/>
    <w:rsid w:val="00015F78"/>
    <w:rsid w:val="000169A0"/>
    <w:rsid w:val="00016D26"/>
    <w:rsid w:val="00016D2E"/>
    <w:rsid w:val="00016FBD"/>
    <w:rsid w:val="00017245"/>
    <w:rsid w:val="00017253"/>
    <w:rsid w:val="00017C1D"/>
    <w:rsid w:val="000205F1"/>
    <w:rsid w:val="000210DF"/>
    <w:rsid w:val="0002264C"/>
    <w:rsid w:val="0002271C"/>
    <w:rsid w:val="000229A9"/>
    <w:rsid w:val="00023CD9"/>
    <w:rsid w:val="00024653"/>
    <w:rsid w:val="000268E2"/>
    <w:rsid w:val="0002739B"/>
    <w:rsid w:val="000300C6"/>
    <w:rsid w:val="00030271"/>
    <w:rsid w:val="00032989"/>
    <w:rsid w:val="00032A51"/>
    <w:rsid w:val="00033802"/>
    <w:rsid w:val="00033C14"/>
    <w:rsid w:val="00033D8C"/>
    <w:rsid w:val="00034398"/>
    <w:rsid w:val="00034663"/>
    <w:rsid w:val="00040044"/>
    <w:rsid w:val="000414BE"/>
    <w:rsid w:val="000432DF"/>
    <w:rsid w:val="00044D8C"/>
    <w:rsid w:val="00050C64"/>
    <w:rsid w:val="0005181E"/>
    <w:rsid w:val="00053136"/>
    <w:rsid w:val="000540E1"/>
    <w:rsid w:val="00054817"/>
    <w:rsid w:val="000641A8"/>
    <w:rsid w:val="0006467C"/>
    <w:rsid w:val="0006474E"/>
    <w:rsid w:val="00065205"/>
    <w:rsid w:val="000661AE"/>
    <w:rsid w:val="00066517"/>
    <w:rsid w:val="00071132"/>
    <w:rsid w:val="00071351"/>
    <w:rsid w:val="000716B2"/>
    <w:rsid w:val="0007405A"/>
    <w:rsid w:val="00074BEE"/>
    <w:rsid w:val="00074D1E"/>
    <w:rsid w:val="00075D07"/>
    <w:rsid w:val="0007618C"/>
    <w:rsid w:val="00076B31"/>
    <w:rsid w:val="000770DB"/>
    <w:rsid w:val="0008228E"/>
    <w:rsid w:val="000822A6"/>
    <w:rsid w:val="0008274C"/>
    <w:rsid w:val="00082CE0"/>
    <w:rsid w:val="00084B97"/>
    <w:rsid w:val="0008676E"/>
    <w:rsid w:val="00086D8D"/>
    <w:rsid w:val="000877B5"/>
    <w:rsid w:val="000902BC"/>
    <w:rsid w:val="00091AC6"/>
    <w:rsid w:val="00092617"/>
    <w:rsid w:val="00092B6A"/>
    <w:rsid w:val="000942EB"/>
    <w:rsid w:val="000943FC"/>
    <w:rsid w:val="00095B25"/>
    <w:rsid w:val="00096C01"/>
    <w:rsid w:val="0009763D"/>
    <w:rsid w:val="000A04EB"/>
    <w:rsid w:val="000A4DD7"/>
    <w:rsid w:val="000A5915"/>
    <w:rsid w:val="000B076C"/>
    <w:rsid w:val="000B0E61"/>
    <w:rsid w:val="000B103F"/>
    <w:rsid w:val="000B14BA"/>
    <w:rsid w:val="000B2778"/>
    <w:rsid w:val="000B2D9A"/>
    <w:rsid w:val="000B5C13"/>
    <w:rsid w:val="000C00A2"/>
    <w:rsid w:val="000C0769"/>
    <w:rsid w:val="000C1515"/>
    <w:rsid w:val="000C3232"/>
    <w:rsid w:val="000C394F"/>
    <w:rsid w:val="000C3F9B"/>
    <w:rsid w:val="000C4E3E"/>
    <w:rsid w:val="000C5512"/>
    <w:rsid w:val="000C5D99"/>
    <w:rsid w:val="000D1837"/>
    <w:rsid w:val="000D186A"/>
    <w:rsid w:val="000D25BC"/>
    <w:rsid w:val="000D7953"/>
    <w:rsid w:val="000D7A0F"/>
    <w:rsid w:val="000E0DED"/>
    <w:rsid w:val="000E3909"/>
    <w:rsid w:val="000E46B3"/>
    <w:rsid w:val="000E6563"/>
    <w:rsid w:val="000E71B9"/>
    <w:rsid w:val="000E739D"/>
    <w:rsid w:val="000F091C"/>
    <w:rsid w:val="000F14E8"/>
    <w:rsid w:val="000F2AA2"/>
    <w:rsid w:val="000F2EE1"/>
    <w:rsid w:val="000F4695"/>
    <w:rsid w:val="000F7FC3"/>
    <w:rsid w:val="00100D69"/>
    <w:rsid w:val="00101018"/>
    <w:rsid w:val="00103915"/>
    <w:rsid w:val="001041A9"/>
    <w:rsid w:val="001072DB"/>
    <w:rsid w:val="001078AA"/>
    <w:rsid w:val="00110CE1"/>
    <w:rsid w:val="001112FD"/>
    <w:rsid w:val="0011178C"/>
    <w:rsid w:val="00111CDF"/>
    <w:rsid w:val="001124EB"/>
    <w:rsid w:val="00112B27"/>
    <w:rsid w:val="00113157"/>
    <w:rsid w:val="00114327"/>
    <w:rsid w:val="00114900"/>
    <w:rsid w:val="0011520A"/>
    <w:rsid w:val="001155B8"/>
    <w:rsid w:val="00116C84"/>
    <w:rsid w:val="0011766B"/>
    <w:rsid w:val="00120D67"/>
    <w:rsid w:val="001214BC"/>
    <w:rsid w:val="001218DF"/>
    <w:rsid w:val="00122B23"/>
    <w:rsid w:val="00122B9A"/>
    <w:rsid w:val="00123BE2"/>
    <w:rsid w:val="0012416B"/>
    <w:rsid w:val="00124A82"/>
    <w:rsid w:val="00130457"/>
    <w:rsid w:val="001336B2"/>
    <w:rsid w:val="00133F8F"/>
    <w:rsid w:val="00134D65"/>
    <w:rsid w:val="0013770F"/>
    <w:rsid w:val="001377EC"/>
    <w:rsid w:val="00137E66"/>
    <w:rsid w:val="00137FFA"/>
    <w:rsid w:val="0014071F"/>
    <w:rsid w:val="00141B41"/>
    <w:rsid w:val="00141CCA"/>
    <w:rsid w:val="00141E25"/>
    <w:rsid w:val="0014214B"/>
    <w:rsid w:val="00142560"/>
    <w:rsid w:val="001429C2"/>
    <w:rsid w:val="00143595"/>
    <w:rsid w:val="00143D03"/>
    <w:rsid w:val="00144D68"/>
    <w:rsid w:val="001468DA"/>
    <w:rsid w:val="00150CB3"/>
    <w:rsid w:val="00151129"/>
    <w:rsid w:val="00151936"/>
    <w:rsid w:val="00152FDA"/>
    <w:rsid w:val="00154785"/>
    <w:rsid w:val="00154F76"/>
    <w:rsid w:val="00155B3D"/>
    <w:rsid w:val="00155C13"/>
    <w:rsid w:val="00156216"/>
    <w:rsid w:val="0015738F"/>
    <w:rsid w:val="00160CB0"/>
    <w:rsid w:val="00161A37"/>
    <w:rsid w:val="001643A4"/>
    <w:rsid w:val="00165347"/>
    <w:rsid w:val="00165995"/>
    <w:rsid w:val="00170414"/>
    <w:rsid w:val="00171685"/>
    <w:rsid w:val="0017335A"/>
    <w:rsid w:val="00173B85"/>
    <w:rsid w:val="00180188"/>
    <w:rsid w:val="00181C7E"/>
    <w:rsid w:val="001824DD"/>
    <w:rsid w:val="001827CB"/>
    <w:rsid w:val="00182A86"/>
    <w:rsid w:val="00182EEE"/>
    <w:rsid w:val="0018335C"/>
    <w:rsid w:val="00185A59"/>
    <w:rsid w:val="0018635C"/>
    <w:rsid w:val="00190961"/>
    <w:rsid w:val="00191C4D"/>
    <w:rsid w:val="00192CDC"/>
    <w:rsid w:val="00192CE0"/>
    <w:rsid w:val="00195514"/>
    <w:rsid w:val="001961C8"/>
    <w:rsid w:val="00197BB3"/>
    <w:rsid w:val="001A0A19"/>
    <w:rsid w:val="001A0E7A"/>
    <w:rsid w:val="001A1753"/>
    <w:rsid w:val="001A1FB1"/>
    <w:rsid w:val="001A217F"/>
    <w:rsid w:val="001A40A1"/>
    <w:rsid w:val="001A78DE"/>
    <w:rsid w:val="001A7FD7"/>
    <w:rsid w:val="001B0444"/>
    <w:rsid w:val="001B0BE3"/>
    <w:rsid w:val="001B2052"/>
    <w:rsid w:val="001B2F08"/>
    <w:rsid w:val="001B39FA"/>
    <w:rsid w:val="001B5217"/>
    <w:rsid w:val="001B5D90"/>
    <w:rsid w:val="001B6E10"/>
    <w:rsid w:val="001C01AF"/>
    <w:rsid w:val="001C174E"/>
    <w:rsid w:val="001C24BF"/>
    <w:rsid w:val="001C47C8"/>
    <w:rsid w:val="001C6F95"/>
    <w:rsid w:val="001C763E"/>
    <w:rsid w:val="001D0C03"/>
    <w:rsid w:val="001D1560"/>
    <w:rsid w:val="001D17C2"/>
    <w:rsid w:val="001D2F93"/>
    <w:rsid w:val="001D2FC9"/>
    <w:rsid w:val="001D30D8"/>
    <w:rsid w:val="001D33DD"/>
    <w:rsid w:val="001D4EA4"/>
    <w:rsid w:val="001D5434"/>
    <w:rsid w:val="001D567B"/>
    <w:rsid w:val="001D612F"/>
    <w:rsid w:val="001E01F9"/>
    <w:rsid w:val="001E074F"/>
    <w:rsid w:val="001E185D"/>
    <w:rsid w:val="001E1959"/>
    <w:rsid w:val="001E1EEE"/>
    <w:rsid w:val="001E207B"/>
    <w:rsid w:val="001E2866"/>
    <w:rsid w:val="001E2A7A"/>
    <w:rsid w:val="001E320D"/>
    <w:rsid w:val="001E4B0D"/>
    <w:rsid w:val="001E6C8C"/>
    <w:rsid w:val="001E7D79"/>
    <w:rsid w:val="001F4D43"/>
    <w:rsid w:val="001F4F5C"/>
    <w:rsid w:val="001F5388"/>
    <w:rsid w:val="001F5745"/>
    <w:rsid w:val="001F6290"/>
    <w:rsid w:val="001F6378"/>
    <w:rsid w:val="001F7341"/>
    <w:rsid w:val="001F774C"/>
    <w:rsid w:val="0020001F"/>
    <w:rsid w:val="0020059F"/>
    <w:rsid w:val="00200651"/>
    <w:rsid w:val="00200E03"/>
    <w:rsid w:val="002025CC"/>
    <w:rsid w:val="0020324E"/>
    <w:rsid w:val="00203E16"/>
    <w:rsid w:val="00204675"/>
    <w:rsid w:val="00205185"/>
    <w:rsid w:val="00205753"/>
    <w:rsid w:val="0020582D"/>
    <w:rsid w:val="00205CAE"/>
    <w:rsid w:val="0020632A"/>
    <w:rsid w:val="00207366"/>
    <w:rsid w:val="002075B6"/>
    <w:rsid w:val="002076CC"/>
    <w:rsid w:val="00210A2D"/>
    <w:rsid w:val="00210DF2"/>
    <w:rsid w:val="002110EB"/>
    <w:rsid w:val="00211338"/>
    <w:rsid w:val="00213541"/>
    <w:rsid w:val="0021495A"/>
    <w:rsid w:val="0021518A"/>
    <w:rsid w:val="00215618"/>
    <w:rsid w:val="00215B97"/>
    <w:rsid w:val="00216AEE"/>
    <w:rsid w:val="00216E64"/>
    <w:rsid w:val="002177D9"/>
    <w:rsid w:val="00217988"/>
    <w:rsid w:val="00217C7F"/>
    <w:rsid w:val="00220120"/>
    <w:rsid w:val="00220E20"/>
    <w:rsid w:val="0022167B"/>
    <w:rsid w:val="002232F5"/>
    <w:rsid w:val="002249BC"/>
    <w:rsid w:val="002270C0"/>
    <w:rsid w:val="002309D1"/>
    <w:rsid w:val="00230F89"/>
    <w:rsid w:val="00233909"/>
    <w:rsid w:val="002339D3"/>
    <w:rsid w:val="00234113"/>
    <w:rsid w:val="00234B84"/>
    <w:rsid w:val="00234C1A"/>
    <w:rsid w:val="002364D4"/>
    <w:rsid w:val="0023691B"/>
    <w:rsid w:val="002379B1"/>
    <w:rsid w:val="002409B6"/>
    <w:rsid w:val="00243EE8"/>
    <w:rsid w:val="002456B1"/>
    <w:rsid w:val="002456DB"/>
    <w:rsid w:val="00246944"/>
    <w:rsid w:val="00247C35"/>
    <w:rsid w:val="00250014"/>
    <w:rsid w:val="0025069C"/>
    <w:rsid w:val="0025151A"/>
    <w:rsid w:val="002534F1"/>
    <w:rsid w:val="002538B5"/>
    <w:rsid w:val="00254711"/>
    <w:rsid w:val="00255215"/>
    <w:rsid w:val="00255D2C"/>
    <w:rsid w:val="00256CE7"/>
    <w:rsid w:val="002576FD"/>
    <w:rsid w:val="002627A8"/>
    <w:rsid w:val="0026362F"/>
    <w:rsid w:val="00263755"/>
    <w:rsid w:val="0026403D"/>
    <w:rsid w:val="002647F7"/>
    <w:rsid w:val="00264E94"/>
    <w:rsid w:val="002654C1"/>
    <w:rsid w:val="0026616C"/>
    <w:rsid w:val="00267A47"/>
    <w:rsid w:val="00267DDA"/>
    <w:rsid w:val="002708A2"/>
    <w:rsid w:val="00271043"/>
    <w:rsid w:val="002725EE"/>
    <w:rsid w:val="00272FBF"/>
    <w:rsid w:val="002737FD"/>
    <w:rsid w:val="00273E83"/>
    <w:rsid w:val="00274DDF"/>
    <w:rsid w:val="00275C49"/>
    <w:rsid w:val="00275E86"/>
    <w:rsid w:val="002801C7"/>
    <w:rsid w:val="00285503"/>
    <w:rsid w:val="00285AC8"/>
    <w:rsid w:val="00285AC9"/>
    <w:rsid w:val="00286089"/>
    <w:rsid w:val="00287343"/>
    <w:rsid w:val="00287741"/>
    <w:rsid w:val="00290E9F"/>
    <w:rsid w:val="002914E1"/>
    <w:rsid w:val="00291C4F"/>
    <w:rsid w:val="00291FE3"/>
    <w:rsid w:val="002938BD"/>
    <w:rsid w:val="00293BBD"/>
    <w:rsid w:val="002941C6"/>
    <w:rsid w:val="00296B40"/>
    <w:rsid w:val="002A2E12"/>
    <w:rsid w:val="002A3C35"/>
    <w:rsid w:val="002A4F9E"/>
    <w:rsid w:val="002A5498"/>
    <w:rsid w:val="002A5F87"/>
    <w:rsid w:val="002A695B"/>
    <w:rsid w:val="002B3433"/>
    <w:rsid w:val="002B41FB"/>
    <w:rsid w:val="002B4390"/>
    <w:rsid w:val="002B55C7"/>
    <w:rsid w:val="002C216A"/>
    <w:rsid w:val="002C28E1"/>
    <w:rsid w:val="002C2B56"/>
    <w:rsid w:val="002C2D1E"/>
    <w:rsid w:val="002C32E1"/>
    <w:rsid w:val="002C40FB"/>
    <w:rsid w:val="002C4C0C"/>
    <w:rsid w:val="002C57C8"/>
    <w:rsid w:val="002C5942"/>
    <w:rsid w:val="002C6821"/>
    <w:rsid w:val="002D08FE"/>
    <w:rsid w:val="002D155C"/>
    <w:rsid w:val="002D2CD0"/>
    <w:rsid w:val="002D3589"/>
    <w:rsid w:val="002D481A"/>
    <w:rsid w:val="002D65E2"/>
    <w:rsid w:val="002D7275"/>
    <w:rsid w:val="002E06A1"/>
    <w:rsid w:val="002E71C9"/>
    <w:rsid w:val="002E7979"/>
    <w:rsid w:val="002F334B"/>
    <w:rsid w:val="002F35C2"/>
    <w:rsid w:val="002F4470"/>
    <w:rsid w:val="002F7BD7"/>
    <w:rsid w:val="003016E2"/>
    <w:rsid w:val="003033BA"/>
    <w:rsid w:val="00304580"/>
    <w:rsid w:val="00304B38"/>
    <w:rsid w:val="0030589C"/>
    <w:rsid w:val="00306C30"/>
    <w:rsid w:val="00307067"/>
    <w:rsid w:val="003073C0"/>
    <w:rsid w:val="00307855"/>
    <w:rsid w:val="003078D7"/>
    <w:rsid w:val="003108EF"/>
    <w:rsid w:val="0031206F"/>
    <w:rsid w:val="00312204"/>
    <w:rsid w:val="00312ADC"/>
    <w:rsid w:val="00312D89"/>
    <w:rsid w:val="00314C7D"/>
    <w:rsid w:val="00316214"/>
    <w:rsid w:val="003162C8"/>
    <w:rsid w:val="00316B16"/>
    <w:rsid w:val="00321018"/>
    <w:rsid w:val="00322937"/>
    <w:rsid w:val="0032350A"/>
    <w:rsid w:val="003238A9"/>
    <w:rsid w:val="00327549"/>
    <w:rsid w:val="00327CEB"/>
    <w:rsid w:val="00330722"/>
    <w:rsid w:val="00334638"/>
    <w:rsid w:val="00337AF6"/>
    <w:rsid w:val="003404C6"/>
    <w:rsid w:val="0034096E"/>
    <w:rsid w:val="0034177C"/>
    <w:rsid w:val="00341D52"/>
    <w:rsid w:val="003429F6"/>
    <w:rsid w:val="00342EC7"/>
    <w:rsid w:val="00344B03"/>
    <w:rsid w:val="00345705"/>
    <w:rsid w:val="0034680A"/>
    <w:rsid w:val="00347024"/>
    <w:rsid w:val="00350AA9"/>
    <w:rsid w:val="00350DA7"/>
    <w:rsid w:val="00352AD1"/>
    <w:rsid w:val="00353653"/>
    <w:rsid w:val="00353DD5"/>
    <w:rsid w:val="00353EE8"/>
    <w:rsid w:val="00355084"/>
    <w:rsid w:val="00355E8C"/>
    <w:rsid w:val="00357167"/>
    <w:rsid w:val="00361495"/>
    <w:rsid w:val="00364EF6"/>
    <w:rsid w:val="003652E7"/>
    <w:rsid w:val="00365BA4"/>
    <w:rsid w:val="00366283"/>
    <w:rsid w:val="00366693"/>
    <w:rsid w:val="003668EB"/>
    <w:rsid w:val="00367828"/>
    <w:rsid w:val="00370682"/>
    <w:rsid w:val="003707A7"/>
    <w:rsid w:val="00370AD3"/>
    <w:rsid w:val="00370B79"/>
    <w:rsid w:val="00371F43"/>
    <w:rsid w:val="00372E26"/>
    <w:rsid w:val="003754D2"/>
    <w:rsid w:val="003757C2"/>
    <w:rsid w:val="00376930"/>
    <w:rsid w:val="00380FAE"/>
    <w:rsid w:val="00381C32"/>
    <w:rsid w:val="00384C43"/>
    <w:rsid w:val="00385CF3"/>
    <w:rsid w:val="00386456"/>
    <w:rsid w:val="003901B3"/>
    <w:rsid w:val="003903B0"/>
    <w:rsid w:val="00390C02"/>
    <w:rsid w:val="00390E7B"/>
    <w:rsid w:val="003912A3"/>
    <w:rsid w:val="0039143D"/>
    <w:rsid w:val="003923F8"/>
    <w:rsid w:val="003949EE"/>
    <w:rsid w:val="003964D5"/>
    <w:rsid w:val="00396918"/>
    <w:rsid w:val="003A0878"/>
    <w:rsid w:val="003A0EBE"/>
    <w:rsid w:val="003A2AFD"/>
    <w:rsid w:val="003A30B4"/>
    <w:rsid w:val="003A4CA4"/>
    <w:rsid w:val="003A581E"/>
    <w:rsid w:val="003A5E90"/>
    <w:rsid w:val="003A62A6"/>
    <w:rsid w:val="003A6751"/>
    <w:rsid w:val="003A7F89"/>
    <w:rsid w:val="003B027A"/>
    <w:rsid w:val="003B18A2"/>
    <w:rsid w:val="003B2341"/>
    <w:rsid w:val="003B25D2"/>
    <w:rsid w:val="003B267F"/>
    <w:rsid w:val="003B43DB"/>
    <w:rsid w:val="003B49DA"/>
    <w:rsid w:val="003B73DE"/>
    <w:rsid w:val="003C01B1"/>
    <w:rsid w:val="003C6CBA"/>
    <w:rsid w:val="003C75FC"/>
    <w:rsid w:val="003D1BE9"/>
    <w:rsid w:val="003D33FF"/>
    <w:rsid w:val="003D3D29"/>
    <w:rsid w:val="003D3D9D"/>
    <w:rsid w:val="003D43B0"/>
    <w:rsid w:val="003D45AC"/>
    <w:rsid w:val="003D527E"/>
    <w:rsid w:val="003D7E29"/>
    <w:rsid w:val="003E04EE"/>
    <w:rsid w:val="003E0D9E"/>
    <w:rsid w:val="003E1992"/>
    <w:rsid w:val="003E4A30"/>
    <w:rsid w:val="003E6423"/>
    <w:rsid w:val="003E6884"/>
    <w:rsid w:val="003E7AA5"/>
    <w:rsid w:val="003F00C3"/>
    <w:rsid w:val="003F0161"/>
    <w:rsid w:val="003F18DE"/>
    <w:rsid w:val="003F1D3C"/>
    <w:rsid w:val="003F4E89"/>
    <w:rsid w:val="003F69E3"/>
    <w:rsid w:val="0040246E"/>
    <w:rsid w:val="004030F2"/>
    <w:rsid w:val="00403C2B"/>
    <w:rsid w:val="00405913"/>
    <w:rsid w:val="00406251"/>
    <w:rsid w:val="00406A1A"/>
    <w:rsid w:val="00407705"/>
    <w:rsid w:val="0040799E"/>
    <w:rsid w:val="004129BB"/>
    <w:rsid w:val="00413C8D"/>
    <w:rsid w:val="00413E61"/>
    <w:rsid w:val="00414152"/>
    <w:rsid w:val="004146D7"/>
    <w:rsid w:val="00415DDE"/>
    <w:rsid w:val="00416308"/>
    <w:rsid w:val="00416996"/>
    <w:rsid w:val="00417025"/>
    <w:rsid w:val="00417425"/>
    <w:rsid w:val="00421624"/>
    <w:rsid w:val="00421DF6"/>
    <w:rsid w:val="004228D3"/>
    <w:rsid w:val="00423F66"/>
    <w:rsid w:val="00423F9F"/>
    <w:rsid w:val="00425FD7"/>
    <w:rsid w:val="00427F2F"/>
    <w:rsid w:val="00430D86"/>
    <w:rsid w:val="00432AD1"/>
    <w:rsid w:val="00432B52"/>
    <w:rsid w:val="00433494"/>
    <w:rsid w:val="00434140"/>
    <w:rsid w:val="00435826"/>
    <w:rsid w:val="0043612C"/>
    <w:rsid w:val="004376B9"/>
    <w:rsid w:val="00437BA7"/>
    <w:rsid w:val="00440848"/>
    <w:rsid w:val="00441DC6"/>
    <w:rsid w:val="00441EE4"/>
    <w:rsid w:val="004422D6"/>
    <w:rsid w:val="0044490E"/>
    <w:rsid w:val="00446E21"/>
    <w:rsid w:val="00447165"/>
    <w:rsid w:val="00447729"/>
    <w:rsid w:val="00450CAF"/>
    <w:rsid w:val="004511B1"/>
    <w:rsid w:val="00452D23"/>
    <w:rsid w:val="00452F9A"/>
    <w:rsid w:val="00456E1B"/>
    <w:rsid w:val="00457110"/>
    <w:rsid w:val="00460D1C"/>
    <w:rsid w:val="00464311"/>
    <w:rsid w:val="00466026"/>
    <w:rsid w:val="0046603E"/>
    <w:rsid w:val="00466082"/>
    <w:rsid w:val="0046653B"/>
    <w:rsid w:val="0046694E"/>
    <w:rsid w:val="00472B78"/>
    <w:rsid w:val="0047380F"/>
    <w:rsid w:val="0047426F"/>
    <w:rsid w:val="0047453E"/>
    <w:rsid w:val="004746AD"/>
    <w:rsid w:val="00475F18"/>
    <w:rsid w:val="00477498"/>
    <w:rsid w:val="00477514"/>
    <w:rsid w:val="004779F8"/>
    <w:rsid w:val="00480824"/>
    <w:rsid w:val="00480D03"/>
    <w:rsid w:val="00480ECA"/>
    <w:rsid w:val="00482ED4"/>
    <w:rsid w:val="004861E4"/>
    <w:rsid w:val="0048674D"/>
    <w:rsid w:val="004870BB"/>
    <w:rsid w:val="004872D8"/>
    <w:rsid w:val="0048754A"/>
    <w:rsid w:val="00487C10"/>
    <w:rsid w:val="00490A62"/>
    <w:rsid w:val="00490E94"/>
    <w:rsid w:val="0049241A"/>
    <w:rsid w:val="004956F3"/>
    <w:rsid w:val="004974CD"/>
    <w:rsid w:val="004A0085"/>
    <w:rsid w:val="004A0106"/>
    <w:rsid w:val="004A0F49"/>
    <w:rsid w:val="004A34D2"/>
    <w:rsid w:val="004A4F76"/>
    <w:rsid w:val="004A6841"/>
    <w:rsid w:val="004A7B59"/>
    <w:rsid w:val="004B0B42"/>
    <w:rsid w:val="004B1BD5"/>
    <w:rsid w:val="004B353C"/>
    <w:rsid w:val="004B6500"/>
    <w:rsid w:val="004B6E7D"/>
    <w:rsid w:val="004B7D5F"/>
    <w:rsid w:val="004C0A46"/>
    <w:rsid w:val="004C246A"/>
    <w:rsid w:val="004C31AF"/>
    <w:rsid w:val="004C3ADF"/>
    <w:rsid w:val="004C3BA4"/>
    <w:rsid w:val="004C5268"/>
    <w:rsid w:val="004C59F7"/>
    <w:rsid w:val="004C60C5"/>
    <w:rsid w:val="004C755C"/>
    <w:rsid w:val="004C7603"/>
    <w:rsid w:val="004D087D"/>
    <w:rsid w:val="004D22DE"/>
    <w:rsid w:val="004D4A87"/>
    <w:rsid w:val="004D52FA"/>
    <w:rsid w:val="004D53FA"/>
    <w:rsid w:val="004D5756"/>
    <w:rsid w:val="004D63F7"/>
    <w:rsid w:val="004D646A"/>
    <w:rsid w:val="004D65AC"/>
    <w:rsid w:val="004D702B"/>
    <w:rsid w:val="004D7944"/>
    <w:rsid w:val="004D7D21"/>
    <w:rsid w:val="004D7FB4"/>
    <w:rsid w:val="004E05CC"/>
    <w:rsid w:val="004E07A4"/>
    <w:rsid w:val="004E4C6D"/>
    <w:rsid w:val="004E5463"/>
    <w:rsid w:val="004E5A0D"/>
    <w:rsid w:val="004F1425"/>
    <w:rsid w:val="004F16DB"/>
    <w:rsid w:val="004F30F8"/>
    <w:rsid w:val="004F3492"/>
    <w:rsid w:val="004F3517"/>
    <w:rsid w:val="004F3CDF"/>
    <w:rsid w:val="004F510B"/>
    <w:rsid w:val="004F5B24"/>
    <w:rsid w:val="004F6048"/>
    <w:rsid w:val="00501473"/>
    <w:rsid w:val="0050190F"/>
    <w:rsid w:val="005051F8"/>
    <w:rsid w:val="0051074C"/>
    <w:rsid w:val="00510CF8"/>
    <w:rsid w:val="005112E4"/>
    <w:rsid w:val="00511922"/>
    <w:rsid w:val="00513AF2"/>
    <w:rsid w:val="00514439"/>
    <w:rsid w:val="00514D99"/>
    <w:rsid w:val="00514E3C"/>
    <w:rsid w:val="00515D32"/>
    <w:rsid w:val="0051759B"/>
    <w:rsid w:val="005216C1"/>
    <w:rsid w:val="00523703"/>
    <w:rsid w:val="00525997"/>
    <w:rsid w:val="00525FE7"/>
    <w:rsid w:val="005265E4"/>
    <w:rsid w:val="00526943"/>
    <w:rsid w:val="00527E3C"/>
    <w:rsid w:val="0053038B"/>
    <w:rsid w:val="0053170C"/>
    <w:rsid w:val="00531D5C"/>
    <w:rsid w:val="00532B96"/>
    <w:rsid w:val="00535106"/>
    <w:rsid w:val="005355D8"/>
    <w:rsid w:val="00535A34"/>
    <w:rsid w:val="0054155D"/>
    <w:rsid w:val="00542B62"/>
    <w:rsid w:val="00542BA7"/>
    <w:rsid w:val="0054413A"/>
    <w:rsid w:val="0054713D"/>
    <w:rsid w:val="005472F5"/>
    <w:rsid w:val="00550567"/>
    <w:rsid w:val="00550D93"/>
    <w:rsid w:val="005514ED"/>
    <w:rsid w:val="00552754"/>
    <w:rsid w:val="00552FBA"/>
    <w:rsid w:val="00554A77"/>
    <w:rsid w:val="005564CA"/>
    <w:rsid w:val="005601A8"/>
    <w:rsid w:val="00561506"/>
    <w:rsid w:val="0056182B"/>
    <w:rsid w:val="005622EB"/>
    <w:rsid w:val="00562332"/>
    <w:rsid w:val="0056728F"/>
    <w:rsid w:val="00567F3B"/>
    <w:rsid w:val="00570F08"/>
    <w:rsid w:val="0057142B"/>
    <w:rsid w:val="005721B3"/>
    <w:rsid w:val="00573F4F"/>
    <w:rsid w:val="005756AA"/>
    <w:rsid w:val="0057591C"/>
    <w:rsid w:val="00575A1C"/>
    <w:rsid w:val="0057646F"/>
    <w:rsid w:val="00577148"/>
    <w:rsid w:val="00582AE3"/>
    <w:rsid w:val="00584D9E"/>
    <w:rsid w:val="0058679D"/>
    <w:rsid w:val="00586BDB"/>
    <w:rsid w:val="005879CA"/>
    <w:rsid w:val="00590380"/>
    <w:rsid w:val="005930B1"/>
    <w:rsid w:val="0059377A"/>
    <w:rsid w:val="00594A53"/>
    <w:rsid w:val="00595D28"/>
    <w:rsid w:val="00596896"/>
    <w:rsid w:val="00597412"/>
    <w:rsid w:val="005A0414"/>
    <w:rsid w:val="005A119F"/>
    <w:rsid w:val="005A1645"/>
    <w:rsid w:val="005A2130"/>
    <w:rsid w:val="005A4FC5"/>
    <w:rsid w:val="005A6AB9"/>
    <w:rsid w:val="005A7DBD"/>
    <w:rsid w:val="005B1144"/>
    <w:rsid w:val="005B1817"/>
    <w:rsid w:val="005B4267"/>
    <w:rsid w:val="005B5BE2"/>
    <w:rsid w:val="005B753A"/>
    <w:rsid w:val="005C00FA"/>
    <w:rsid w:val="005C343C"/>
    <w:rsid w:val="005C3BE4"/>
    <w:rsid w:val="005C5C9A"/>
    <w:rsid w:val="005C6A48"/>
    <w:rsid w:val="005C6C85"/>
    <w:rsid w:val="005C7184"/>
    <w:rsid w:val="005C7FC4"/>
    <w:rsid w:val="005D1BC0"/>
    <w:rsid w:val="005D3155"/>
    <w:rsid w:val="005D35B6"/>
    <w:rsid w:val="005D36B1"/>
    <w:rsid w:val="005D483D"/>
    <w:rsid w:val="005D4AEF"/>
    <w:rsid w:val="005D4E8A"/>
    <w:rsid w:val="005D50CE"/>
    <w:rsid w:val="005D51FA"/>
    <w:rsid w:val="005D5B90"/>
    <w:rsid w:val="005D6170"/>
    <w:rsid w:val="005D7345"/>
    <w:rsid w:val="005D791B"/>
    <w:rsid w:val="005E01CE"/>
    <w:rsid w:val="005E09A6"/>
    <w:rsid w:val="005E139E"/>
    <w:rsid w:val="005E1974"/>
    <w:rsid w:val="005E2C01"/>
    <w:rsid w:val="005E3B5B"/>
    <w:rsid w:val="005E4765"/>
    <w:rsid w:val="005E5697"/>
    <w:rsid w:val="005F055F"/>
    <w:rsid w:val="005F1B0F"/>
    <w:rsid w:val="005F317C"/>
    <w:rsid w:val="005F37CD"/>
    <w:rsid w:val="005F3CD0"/>
    <w:rsid w:val="005F51FB"/>
    <w:rsid w:val="005F53B6"/>
    <w:rsid w:val="005F599B"/>
    <w:rsid w:val="005F650A"/>
    <w:rsid w:val="005F68F7"/>
    <w:rsid w:val="005F788C"/>
    <w:rsid w:val="005F7E6F"/>
    <w:rsid w:val="0060070B"/>
    <w:rsid w:val="00602708"/>
    <w:rsid w:val="00603E4D"/>
    <w:rsid w:val="00603FBE"/>
    <w:rsid w:val="00604893"/>
    <w:rsid w:val="00604B04"/>
    <w:rsid w:val="006058F6"/>
    <w:rsid w:val="00606CF0"/>
    <w:rsid w:val="00611ED9"/>
    <w:rsid w:val="00612C51"/>
    <w:rsid w:val="00613FDA"/>
    <w:rsid w:val="006146F1"/>
    <w:rsid w:val="00614817"/>
    <w:rsid w:val="00616E1F"/>
    <w:rsid w:val="00620C5F"/>
    <w:rsid w:val="00620FE8"/>
    <w:rsid w:val="00621021"/>
    <w:rsid w:val="00621A1E"/>
    <w:rsid w:val="00623D2C"/>
    <w:rsid w:val="00624498"/>
    <w:rsid w:val="0062724E"/>
    <w:rsid w:val="00630D7C"/>
    <w:rsid w:val="006318E7"/>
    <w:rsid w:val="0063224F"/>
    <w:rsid w:val="0063269D"/>
    <w:rsid w:val="00632CF7"/>
    <w:rsid w:val="00633DBF"/>
    <w:rsid w:val="006341BB"/>
    <w:rsid w:val="00635DED"/>
    <w:rsid w:val="0063667E"/>
    <w:rsid w:val="0063754D"/>
    <w:rsid w:val="00643B51"/>
    <w:rsid w:val="006441CE"/>
    <w:rsid w:val="006447B9"/>
    <w:rsid w:val="00644D7F"/>
    <w:rsid w:val="0064514E"/>
    <w:rsid w:val="00650FE8"/>
    <w:rsid w:val="00651335"/>
    <w:rsid w:val="006518DC"/>
    <w:rsid w:val="00652BAA"/>
    <w:rsid w:val="00653CA3"/>
    <w:rsid w:val="00654069"/>
    <w:rsid w:val="0065480B"/>
    <w:rsid w:val="00655371"/>
    <w:rsid w:val="006559E3"/>
    <w:rsid w:val="00656EB7"/>
    <w:rsid w:val="00657259"/>
    <w:rsid w:val="00657446"/>
    <w:rsid w:val="00660D51"/>
    <w:rsid w:val="00662C7E"/>
    <w:rsid w:val="0066325D"/>
    <w:rsid w:val="00667768"/>
    <w:rsid w:val="006678A3"/>
    <w:rsid w:val="00667E0E"/>
    <w:rsid w:val="00670466"/>
    <w:rsid w:val="0067148D"/>
    <w:rsid w:val="0067157B"/>
    <w:rsid w:val="00672272"/>
    <w:rsid w:val="006728A0"/>
    <w:rsid w:val="006734E6"/>
    <w:rsid w:val="006748E0"/>
    <w:rsid w:val="00674F99"/>
    <w:rsid w:val="00677866"/>
    <w:rsid w:val="006807C6"/>
    <w:rsid w:val="00680B58"/>
    <w:rsid w:val="00681EED"/>
    <w:rsid w:val="00682E7B"/>
    <w:rsid w:val="006852F3"/>
    <w:rsid w:val="006906D4"/>
    <w:rsid w:val="0069141C"/>
    <w:rsid w:val="006919EA"/>
    <w:rsid w:val="00692992"/>
    <w:rsid w:val="00692BF6"/>
    <w:rsid w:val="00692F57"/>
    <w:rsid w:val="006954E4"/>
    <w:rsid w:val="00695B70"/>
    <w:rsid w:val="00697665"/>
    <w:rsid w:val="00697742"/>
    <w:rsid w:val="00697C55"/>
    <w:rsid w:val="00697DD0"/>
    <w:rsid w:val="006A0EB7"/>
    <w:rsid w:val="006A6ACB"/>
    <w:rsid w:val="006A7BB4"/>
    <w:rsid w:val="006A7CB5"/>
    <w:rsid w:val="006A7FD0"/>
    <w:rsid w:val="006B064B"/>
    <w:rsid w:val="006B08EC"/>
    <w:rsid w:val="006B0C4E"/>
    <w:rsid w:val="006B1779"/>
    <w:rsid w:val="006B2398"/>
    <w:rsid w:val="006B24DE"/>
    <w:rsid w:val="006B2D45"/>
    <w:rsid w:val="006B318A"/>
    <w:rsid w:val="006B39D4"/>
    <w:rsid w:val="006B5051"/>
    <w:rsid w:val="006B5FA9"/>
    <w:rsid w:val="006C06E6"/>
    <w:rsid w:val="006C116D"/>
    <w:rsid w:val="006C132E"/>
    <w:rsid w:val="006C1463"/>
    <w:rsid w:val="006C18C1"/>
    <w:rsid w:val="006C1A72"/>
    <w:rsid w:val="006C2A51"/>
    <w:rsid w:val="006C2B00"/>
    <w:rsid w:val="006C3B52"/>
    <w:rsid w:val="006C6EE9"/>
    <w:rsid w:val="006C771B"/>
    <w:rsid w:val="006C7CD4"/>
    <w:rsid w:val="006C7EC1"/>
    <w:rsid w:val="006C7F3D"/>
    <w:rsid w:val="006D06CC"/>
    <w:rsid w:val="006D0BAE"/>
    <w:rsid w:val="006D2519"/>
    <w:rsid w:val="006D5552"/>
    <w:rsid w:val="006D5B2B"/>
    <w:rsid w:val="006D7687"/>
    <w:rsid w:val="006D78DC"/>
    <w:rsid w:val="006D7CF6"/>
    <w:rsid w:val="006E034F"/>
    <w:rsid w:val="006E0572"/>
    <w:rsid w:val="006E131E"/>
    <w:rsid w:val="006E170C"/>
    <w:rsid w:val="006E19D3"/>
    <w:rsid w:val="006E1E98"/>
    <w:rsid w:val="006E37FA"/>
    <w:rsid w:val="006E66D9"/>
    <w:rsid w:val="006F3617"/>
    <w:rsid w:val="006F4EB3"/>
    <w:rsid w:val="006F56C4"/>
    <w:rsid w:val="006F6168"/>
    <w:rsid w:val="006F7679"/>
    <w:rsid w:val="00700B57"/>
    <w:rsid w:val="007014F8"/>
    <w:rsid w:val="00705403"/>
    <w:rsid w:val="00705631"/>
    <w:rsid w:val="00706C8B"/>
    <w:rsid w:val="00707531"/>
    <w:rsid w:val="00710134"/>
    <w:rsid w:val="00711205"/>
    <w:rsid w:val="007121A2"/>
    <w:rsid w:val="007136AC"/>
    <w:rsid w:val="00715437"/>
    <w:rsid w:val="00715EAA"/>
    <w:rsid w:val="007168C5"/>
    <w:rsid w:val="00716CC3"/>
    <w:rsid w:val="00717780"/>
    <w:rsid w:val="00717B0C"/>
    <w:rsid w:val="00720050"/>
    <w:rsid w:val="007213F0"/>
    <w:rsid w:val="00722293"/>
    <w:rsid w:val="00723B38"/>
    <w:rsid w:val="00724D11"/>
    <w:rsid w:val="00725F36"/>
    <w:rsid w:val="00726F60"/>
    <w:rsid w:val="00733BCA"/>
    <w:rsid w:val="0073441F"/>
    <w:rsid w:val="0073589B"/>
    <w:rsid w:val="00735AEF"/>
    <w:rsid w:val="007412B8"/>
    <w:rsid w:val="00741A9E"/>
    <w:rsid w:val="00742281"/>
    <w:rsid w:val="00742DD2"/>
    <w:rsid w:val="00746E08"/>
    <w:rsid w:val="00747C96"/>
    <w:rsid w:val="007503E9"/>
    <w:rsid w:val="0075094E"/>
    <w:rsid w:val="007522E8"/>
    <w:rsid w:val="00755CC4"/>
    <w:rsid w:val="0075621B"/>
    <w:rsid w:val="0075647A"/>
    <w:rsid w:val="007572F9"/>
    <w:rsid w:val="00760166"/>
    <w:rsid w:val="00762948"/>
    <w:rsid w:val="00762F48"/>
    <w:rsid w:val="007634AD"/>
    <w:rsid w:val="00764011"/>
    <w:rsid w:val="0076432E"/>
    <w:rsid w:val="007668D9"/>
    <w:rsid w:val="007669AA"/>
    <w:rsid w:val="00766A70"/>
    <w:rsid w:val="0077057C"/>
    <w:rsid w:val="007707A7"/>
    <w:rsid w:val="00770B28"/>
    <w:rsid w:val="00771DF3"/>
    <w:rsid w:val="00773CB2"/>
    <w:rsid w:val="00775563"/>
    <w:rsid w:val="00776689"/>
    <w:rsid w:val="00776838"/>
    <w:rsid w:val="0078122E"/>
    <w:rsid w:val="00783A83"/>
    <w:rsid w:val="00792E66"/>
    <w:rsid w:val="00792F13"/>
    <w:rsid w:val="007930A5"/>
    <w:rsid w:val="00793E57"/>
    <w:rsid w:val="00794007"/>
    <w:rsid w:val="00795647"/>
    <w:rsid w:val="007973B1"/>
    <w:rsid w:val="007A174B"/>
    <w:rsid w:val="007A3611"/>
    <w:rsid w:val="007A397E"/>
    <w:rsid w:val="007A5737"/>
    <w:rsid w:val="007A6125"/>
    <w:rsid w:val="007A76FC"/>
    <w:rsid w:val="007B0854"/>
    <w:rsid w:val="007B1ACE"/>
    <w:rsid w:val="007B27D7"/>
    <w:rsid w:val="007B2D7A"/>
    <w:rsid w:val="007B4F45"/>
    <w:rsid w:val="007B4F4C"/>
    <w:rsid w:val="007B660A"/>
    <w:rsid w:val="007C0AB3"/>
    <w:rsid w:val="007C1528"/>
    <w:rsid w:val="007C15C8"/>
    <w:rsid w:val="007C209F"/>
    <w:rsid w:val="007C22B6"/>
    <w:rsid w:val="007C2357"/>
    <w:rsid w:val="007C2D7E"/>
    <w:rsid w:val="007C33A6"/>
    <w:rsid w:val="007C4A1C"/>
    <w:rsid w:val="007C4BE5"/>
    <w:rsid w:val="007C58BD"/>
    <w:rsid w:val="007C5C1C"/>
    <w:rsid w:val="007C691F"/>
    <w:rsid w:val="007D00BD"/>
    <w:rsid w:val="007D01F0"/>
    <w:rsid w:val="007D0B72"/>
    <w:rsid w:val="007D3671"/>
    <w:rsid w:val="007D4919"/>
    <w:rsid w:val="007D4DBE"/>
    <w:rsid w:val="007D4F06"/>
    <w:rsid w:val="007D5C3E"/>
    <w:rsid w:val="007D6C71"/>
    <w:rsid w:val="007D7901"/>
    <w:rsid w:val="007D7DD8"/>
    <w:rsid w:val="007E02AE"/>
    <w:rsid w:val="007E0C58"/>
    <w:rsid w:val="007E1312"/>
    <w:rsid w:val="007E25A3"/>
    <w:rsid w:val="007E3ACA"/>
    <w:rsid w:val="007E5C16"/>
    <w:rsid w:val="007E676C"/>
    <w:rsid w:val="007E6E11"/>
    <w:rsid w:val="007E7A93"/>
    <w:rsid w:val="007F0D4A"/>
    <w:rsid w:val="007F15AE"/>
    <w:rsid w:val="007F1C69"/>
    <w:rsid w:val="007F51B0"/>
    <w:rsid w:val="007F54FB"/>
    <w:rsid w:val="007F5623"/>
    <w:rsid w:val="007F573F"/>
    <w:rsid w:val="007F6A64"/>
    <w:rsid w:val="007F6B46"/>
    <w:rsid w:val="007F6D80"/>
    <w:rsid w:val="007F72CB"/>
    <w:rsid w:val="00800C47"/>
    <w:rsid w:val="0080224B"/>
    <w:rsid w:val="0080370F"/>
    <w:rsid w:val="0080514C"/>
    <w:rsid w:val="00806AD5"/>
    <w:rsid w:val="008132FA"/>
    <w:rsid w:val="00813988"/>
    <w:rsid w:val="00814E0D"/>
    <w:rsid w:val="0081553B"/>
    <w:rsid w:val="00815BCC"/>
    <w:rsid w:val="008160B2"/>
    <w:rsid w:val="00817744"/>
    <w:rsid w:val="00817C29"/>
    <w:rsid w:val="0082065D"/>
    <w:rsid w:val="00820A37"/>
    <w:rsid w:val="008217B7"/>
    <w:rsid w:val="00824BF9"/>
    <w:rsid w:val="00825CB9"/>
    <w:rsid w:val="00827F03"/>
    <w:rsid w:val="00830018"/>
    <w:rsid w:val="00830303"/>
    <w:rsid w:val="0083119B"/>
    <w:rsid w:val="00831556"/>
    <w:rsid w:val="00833039"/>
    <w:rsid w:val="00833B7A"/>
    <w:rsid w:val="00835917"/>
    <w:rsid w:val="00836EAB"/>
    <w:rsid w:val="0083782B"/>
    <w:rsid w:val="00840960"/>
    <w:rsid w:val="008420C6"/>
    <w:rsid w:val="008445AD"/>
    <w:rsid w:val="00844864"/>
    <w:rsid w:val="00845AF5"/>
    <w:rsid w:val="00846235"/>
    <w:rsid w:val="00846B3D"/>
    <w:rsid w:val="0085092D"/>
    <w:rsid w:val="00850F79"/>
    <w:rsid w:val="00851723"/>
    <w:rsid w:val="00851D62"/>
    <w:rsid w:val="00853074"/>
    <w:rsid w:val="00853AE0"/>
    <w:rsid w:val="00853AF8"/>
    <w:rsid w:val="00854D44"/>
    <w:rsid w:val="00854DB7"/>
    <w:rsid w:val="00857EEA"/>
    <w:rsid w:val="00861F54"/>
    <w:rsid w:val="0086218A"/>
    <w:rsid w:val="008632AF"/>
    <w:rsid w:val="00864821"/>
    <w:rsid w:val="008654BA"/>
    <w:rsid w:val="00870AF9"/>
    <w:rsid w:val="00871990"/>
    <w:rsid w:val="00872A2E"/>
    <w:rsid w:val="008749A9"/>
    <w:rsid w:val="00876146"/>
    <w:rsid w:val="0087668B"/>
    <w:rsid w:val="00876868"/>
    <w:rsid w:val="008770F7"/>
    <w:rsid w:val="008779AD"/>
    <w:rsid w:val="00880378"/>
    <w:rsid w:val="00880D11"/>
    <w:rsid w:val="00881812"/>
    <w:rsid w:val="00881A23"/>
    <w:rsid w:val="00882C43"/>
    <w:rsid w:val="00882F5E"/>
    <w:rsid w:val="0088409B"/>
    <w:rsid w:val="0088434E"/>
    <w:rsid w:val="0088605D"/>
    <w:rsid w:val="00886E97"/>
    <w:rsid w:val="00887C57"/>
    <w:rsid w:val="0089039A"/>
    <w:rsid w:val="00890D42"/>
    <w:rsid w:val="00891FB0"/>
    <w:rsid w:val="008927F9"/>
    <w:rsid w:val="0089306D"/>
    <w:rsid w:val="00894211"/>
    <w:rsid w:val="00894D5C"/>
    <w:rsid w:val="0089774F"/>
    <w:rsid w:val="008A18EE"/>
    <w:rsid w:val="008A1C35"/>
    <w:rsid w:val="008A1C99"/>
    <w:rsid w:val="008A1E91"/>
    <w:rsid w:val="008A2550"/>
    <w:rsid w:val="008A2823"/>
    <w:rsid w:val="008A3153"/>
    <w:rsid w:val="008A383B"/>
    <w:rsid w:val="008A4934"/>
    <w:rsid w:val="008A519B"/>
    <w:rsid w:val="008B1829"/>
    <w:rsid w:val="008B2C6A"/>
    <w:rsid w:val="008B3AED"/>
    <w:rsid w:val="008B6265"/>
    <w:rsid w:val="008B6B7E"/>
    <w:rsid w:val="008C0CFC"/>
    <w:rsid w:val="008C30C7"/>
    <w:rsid w:val="008C34B5"/>
    <w:rsid w:val="008C3736"/>
    <w:rsid w:val="008C4741"/>
    <w:rsid w:val="008C6796"/>
    <w:rsid w:val="008C6F87"/>
    <w:rsid w:val="008C7C2E"/>
    <w:rsid w:val="008D1EFE"/>
    <w:rsid w:val="008D271F"/>
    <w:rsid w:val="008D46D3"/>
    <w:rsid w:val="008D56BF"/>
    <w:rsid w:val="008D572E"/>
    <w:rsid w:val="008D711B"/>
    <w:rsid w:val="008D79F4"/>
    <w:rsid w:val="008D7EE7"/>
    <w:rsid w:val="008E1BC1"/>
    <w:rsid w:val="008E1C15"/>
    <w:rsid w:val="008E2863"/>
    <w:rsid w:val="008E35DC"/>
    <w:rsid w:val="008E3C08"/>
    <w:rsid w:val="008E4E6A"/>
    <w:rsid w:val="008E5687"/>
    <w:rsid w:val="008E69B5"/>
    <w:rsid w:val="008E7DBB"/>
    <w:rsid w:val="008F0B5E"/>
    <w:rsid w:val="008F2D5F"/>
    <w:rsid w:val="008F39C7"/>
    <w:rsid w:val="008F538E"/>
    <w:rsid w:val="008F5551"/>
    <w:rsid w:val="008F6CB0"/>
    <w:rsid w:val="008F7712"/>
    <w:rsid w:val="00900304"/>
    <w:rsid w:val="00900817"/>
    <w:rsid w:val="009008CF"/>
    <w:rsid w:val="00900F40"/>
    <w:rsid w:val="009037EE"/>
    <w:rsid w:val="00904534"/>
    <w:rsid w:val="00904785"/>
    <w:rsid w:val="009047C5"/>
    <w:rsid w:val="009065BE"/>
    <w:rsid w:val="00906A56"/>
    <w:rsid w:val="00911466"/>
    <w:rsid w:val="0091187A"/>
    <w:rsid w:val="00911E6D"/>
    <w:rsid w:val="009139FF"/>
    <w:rsid w:val="00913DEE"/>
    <w:rsid w:val="00914DA0"/>
    <w:rsid w:val="00914F6A"/>
    <w:rsid w:val="00915799"/>
    <w:rsid w:val="00915933"/>
    <w:rsid w:val="00915B66"/>
    <w:rsid w:val="00916D58"/>
    <w:rsid w:val="009173EE"/>
    <w:rsid w:val="0091758D"/>
    <w:rsid w:val="00917D8E"/>
    <w:rsid w:val="00920A32"/>
    <w:rsid w:val="00921674"/>
    <w:rsid w:val="009224E5"/>
    <w:rsid w:val="00922597"/>
    <w:rsid w:val="00922786"/>
    <w:rsid w:val="009234B9"/>
    <w:rsid w:val="00923802"/>
    <w:rsid w:val="009246D0"/>
    <w:rsid w:val="00924C63"/>
    <w:rsid w:val="009271AA"/>
    <w:rsid w:val="00927D00"/>
    <w:rsid w:val="00932F28"/>
    <w:rsid w:val="009350C1"/>
    <w:rsid w:val="009353BC"/>
    <w:rsid w:val="009368B9"/>
    <w:rsid w:val="00937020"/>
    <w:rsid w:val="00940DB9"/>
    <w:rsid w:val="009417F7"/>
    <w:rsid w:val="00941FEB"/>
    <w:rsid w:val="0094567D"/>
    <w:rsid w:val="009458F0"/>
    <w:rsid w:val="009471A0"/>
    <w:rsid w:val="00947622"/>
    <w:rsid w:val="00951621"/>
    <w:rsid w:val="00951B07"/>
    <w:rsid w:val="00952E98"/>
    <w:rsid w:val="0095385A"/>
    <w:rsid w:val="00955202"/>
    <w:rsid w:val="00955B44"/>
    <w:rsid w:val="00956821"/>
    <w:rsid w:val="00964425"/>
    <w:rsid w:val="00964942"/>
    <w:rsid w:val="009658C0"/>
    <w:rsid w:val="00967268"/>
    <w:rsid w:val="00967CD8"/>
    <w:rsid w:val="00970437"/>
    <w:rsid w:val="00970544"/>
    <w:rsid w:val="00971F9D"/>
    <w:rsid w:val="00971FAB"/>
    <w:rsid w:val="009726BB"/>
    <w:rsid w:val="0097447B"/>
    <w:rsid w:val="0097606C"/>
    <w:rsid w:val="00976295"/>
    <w:rsid w:val="00981216"/>
    <w:rsid w:val="00982027"/>
    <w:rsid w:val="009820DB"/>
    <w:rsid w:val="0098238F"/>
    <w:rsid w:val="0098489D"/>
    <w:rsid w:val="00984AB9"/>
    <w:rsid w:val="009900DC"/>
    <w:rsid w:val="009906BE"/>
    <w:rsid w:val="0099095D"/>
    <w:rsid w:val="009916A7"/>
    <w:rsid w:val="00992127"/>
    <w:rsid w:val="009922C8"/>
    <w:rsid w:val="0099237F"/>
    <w:rsid w:val="0099262B"/>
    <w:rsid w:val="00994DF5"/>
    <w:rsid w:val="00994E2D"/>
    <w:rsid w:val="009976EE"/>
    <w:rsid w:val="009A0F94"/>
    <w:rsid w:val="009A21D9"/>
    <w:rsid w:val="009A2B57"/>
    <w:rsid w:val="009A3569"/>
    <w:rsid w:val="009A4826"/>
    <w:rsid w:val="009A60FC"/>
    <w:rsid w:val="009A758C"/>
    <w:rsid w:val="009B4776"/>
    <w:rsid w:val="009B512E"/>
    <w:rsid w:val="009B5190"/>
    <w:rsid w:val="009B61A4"/>
    <w:rsid w:val="009C0D78"/>
    <w:rsid w:val="009C31BE"/>
    <w:rsid w:val="009C37DC"/>
    <w:rsid w:val="009C38F7"/>
    <w:rsid w:val="009C57EF"/>
    <w:rsid w:val="009C6959"/>
    <w:rsid w:val="009C713B"/>
    <w:rsid w:val="009D3BBA"/>
    <w:rsid w:val="009D3CF6"/>
    <w:rsid w:val="009D4945"/>
    <w:rsid w:val="009D4AAF"/>
    <w:rsid w:val="009D4B2F"/>
    <w:rsid w:val="009D5C7D"/>
    <w:rsid w:val="009D6E69"/>
    <w:rsid w:val="009E21B8"/>
    <w:rsid w:val="009E30D4"/>
    <w:rsid w:val="009E54F2"/>
    <w:rsid w:val="009E5853"/>
    <w:rsid w:val="009E5D6E"/>
    <w:rsid w:val="009E64D5"/>
    <w:rsid w:val="009F1040"/>
    <w:rsid w:val="009F261D"/>
    <w:rsid w:val="009F3602"/>
    <w:rsid w:val="009F5096"/>
    <w:rsid w:val="009F59C2"/>
    <w:rsid w:val="009F78A0"/>
    <w:rsid w:val="00A00B7F"/>
    <w:rsid w:val="00A0103E"/>
    <w:rsid w:val="00A010FC"/>
    <w:rsid w:val="00A02213"/>
    <w:rsid w:val="00A03425"/>
    <w:rsid w:val="00A04977"/>
    <w:rsid w:val="00A04B5C"/>
    <w:rsid w:val="00A05140"/>
    <w:rsid w:val="00A0528D"/>
    <w:rsid w:val="00A066BD"/>
    <w:rsid w:val="00A10053"/>
    <w:rsid w:val="00A104B7"/>
    <w:rsid w:val="00A11895"/>
    <w:rsid w:val="00A12B18"/>
    <w:rsid w:val="00A13886"/>
    <w:rsid w:val="00A14415"/>
    <w:rsid w:val="00A146B7"/>
    <w:rsid w:val="00A153D8"/>
    <w:rsid w:val="00A1653D"/>
    <w:rsid w:val="00A16FAB"/>
    <w:rsid w:val="00A1798B"/>
    <w:rsid w:val="00A2084E"/>
    <w:rsid w:val="00A21B32"/>
    <w:rsid w:val="00A228C5"/>
    <w:rsid w:val="00A23693"/>
    <w:rsid w:val="00A23CE5"/>
    <w:rsid w:val="00A2433B"/>
    <w:rsid w:val="00A2439B"/>
    <w:rsid w:val="00A24560"/>
    <w:rsid w:val="00A24834"/>
    <w:rsid w:val="00A27708"/>
    <w:rsid w:val="00A32B79"/>
    <w:rsid w:val="00A3420B"/>
    <w:rsid w:val="00A34538"/>
    <w:rsid w:val="00A350AF"/>
    <w:rsid w:val="00A35AD8"/>
    <w:rsid w:val="00A37C18"/>
    <w:rsid w:val="00A37FB6"/>
    <w:rsid w:val="00A40A28"/>
    <w:rsid w:val="00A42365"/>
    <w:rsid w:val="00A426EC"/>
    <w:rsid w:val="00A462AB"/>
    <w:rsid w:val="00A500EF"/>
    <w:rsid w:val="00A509BC"/>
    <w:rsid w:val="00A51659"/>
    <w:rsid w:val="00A529CB"/>
    <w:rsid w:val="00A5350E"/>
    <w:rsid w:val="00A5539A"/>
    <w:rsid w:val="00A568F6"/>
    <w:rsid w:val="00A57160"/>
    <w:rsid w:val="00A61297"/>
    <w:rsid w:val="00A612F6"/>
    <w:rsid w:val="00A62322"/>
    <w:rsid w:val="00A65AD5"/>
    <w:rsid w:val="00A7090A"/>
    <w:rsid w:val="00A725D8"/>
    <w:rsid w:val="00A734C1"/>
    <w:rsid w:val="00A73C6F"/>
    <w:rsid w:val="00A74544"/>
    <w:rsid w:val="00A757E2"/>
    <w:rsid w:val="00A771A5"/>
    <w:rsid w:val="00A82473"/>
    <w:rsid w:val="00A83087"/>
    <w:rsid w:val="00A83E55"/>
    <w:rsid w:val="00A83F78"/>
    <w:rsid w:val="00A8570E"/>
    <w:rsid w:val="00A87ECD"/>
    <w:rsid w:val="00A91699"/>
    <w:rsid w:val="00A91761"/>
    <w:rsid w:val="00A91BEA"/>
    <w:rsid w:val="00A944C2"/>
    <w:rsid w:val="00A9502E"/>
    <w:rsid w:val="00A95095"/>
    <w:rsid w:val="00A95142"/>
    <w:rsid w:val="00A957B9"/>
    <w:rsid w:val="00A9641E"/>
    <w:rsid w:val="00A97125"/>
    <w:rsid w:val="00A97234"/>
    <w:rsid w:val="00A979B0"/>
    <w:rsid w:val="00AA08E7"/>
    <w:rsid w:val="00AA0B78"/>
    <w:rsid w:val="00AA0BE1"/>
    <w:rsid w:val="00AA2094"/>
    <w:rsid w:val="00AA23EE"/>
    <w:rsid w:val="00AA442B"/>
    <w:rsid w:val="00AA669D"/>
    <w:rsid w:val="00AA7403"/>
    <w:rsid w:val="00AA7471"/>
    <w:rsid w:val="00AA7503"/>
    <w:rsid w:val="00AB0808"/>
    <w:rsid w:val="00AB3212"/>
    <w:rsid w:val="00AB35A6"/>
    <w:rsid w:val="00AB5852"/>
    <w:rsid w:val="00AB5969"/>
    <w:rsid w:val="00AB5C7F"/>
    <w:rsid w:val="00AB628F"/>
    <w:rsid w:val="00AB6591"/>
    <w:rsid w:val="00AC146A"/>
    <w:rsid w:val="00AC27E8"/>
    <w:rsid w:val="00AC4829"/>
    <w:rsid w:val="00AC514C"/>
    <w:rsid w:val="00AC5690"/>
    <w:rsid w:val="00AC5F3A"/>
    <w:rsid w:val="00AD1A73"/>
    <w:rsid w:val="00AD45E3"/>
    <w:rsid w:val="00AE08F9"/>
    <w:rsid w:val="00AE1539"/>
    <w:rsid w:val="00AE2493"/>
    <w:rsid w:val="00AE2D2E"/>
    <w:rsid w:val="00AE32F2"/>
    <w:rsid w:val="00AE3618"/>
    <w:rsid w:val="00AE4B35"/>
    <w:rsid w:val="00AE4C20"/>
    <w:rsid w:val="00AE5ABF"/>
    <w:rsid w:val="00AE61E1"/>
    <w:rsid w:val="00AE6434"/>
    <w:rsid w:val="00AE69A5"/>
    <w:rsid w:val="00AE6C09"/>
    <w:rsid w:val="00AE7779"/>
    <w:rsid w:val="00AF07FB"/>
    <w:rsid w:val="00AF0BEC"/>
    <w:rsid w:val="00AF373E"/>
    <w:rsid w:val="00AF561D"/>
    <w:rsid w:val="00B000D8"/>
    <w:rsid w:val="00B012D7"/>
    <w:rsid w:val="00B02774"/>
    <w:rsid w:val="00B04012"/>
    <w:rsid w:val="00B04E6F"/>
    <w:rsid w:val="00B050B8"/>
    <w:rsid w:val="00B05411"/>
    <w:rsid w:val="00B0753B"/>
    <w:rsid w:val="00B12F06"/>
    <w:rsid w:val="00B13EC0"/>
    <w:rsid w:val="00B16829"/>
    <w:rsid w:val="00B179C1"/>
    <w:rsid w:val="00B20525"/>
    <w:rsid w:val="00B21442"/>
    <w:rsid w:val="00B22E22"/>
    <w:rsid w:val="00B2513E"/>
    <w:rsid w:val="00B2548B"/>
    <w:rsid w:val="00B25E66"/>
    <w:rsid w:val="00B27AD4"/>
    <w:rsid w:val="00B30086"/>
    <w:rsid w:val="00B31F22"/>
    <w:rsid w:val="00B32BCD"/>
    <w:rsid w:val="00B35625"/>
    <w:rsid w:val="00B359ED"/>
    <w:rsid w:val="00B36260"/>
    <w:rsid w:val="00B37C00"/>
    <w:rsid w:val="00B426AA"/>
    <w:rsid w:val="00B44270"/>
    <w:rsid w:val="00B44AD6"/>
    <w:rsid w:val="00B44E8E"/>
    <w:rsid w:val="00B46343"/>
    <w:rsid w:val="00B46C42"/>
    <w:rsid w:val="00B51003"/>
    <w:rsid w:val="00B512FD"/>
    <w:rsid w:val="00B517DC"/>
    <w:rsid w:val="00B525CB"/>
    <w:rsid w:val="00B5487A"/>
    <w:rsid w:val="00B552B6"/>
    <w:rsid w:val="00B5546E"/>
    <w:rsid w:val="00B5566E"/>
    <w:rsid w:val="00B55851"/>
    <w:rsid w:val="00B5758A"/>
    <w:rsid w:val="00B577D8"/>
    <w:rsid w:val="00B57B27"/>
    <w:rsid w:val="00B60461"/>
    <w:rsid w:val="00B61B4F"/>
    <w:rsid w:val="00B62A61"/>
    <w:rsid w:val="00B62F95"/>
    <w:rsid w:val="00B633F9"/>
    <w:rsid w:val="00B63872"/>
    <w:rsid w:val="00B63CB2"/>
    <w:rsid w:val="00B641D9"/>
    <w:rsid w:val="00B64EDB"/>
    <w:rsid w:val="00B654E7"/>
    <w:rsid w:val="00B66578"/>
    <w:rsid w:val="00B71C79"/>
    <w:rsid w:val="00B72391"/>
    <w:rsid w:val="00B7315F"/>
    <w:rsid w:val="00B746BC"/>
    <w:rsid w:val="00B750D9"/>
    <w:rsid w:val="00B76967"/>
    <w:rsid w:val="00B77F95"/>
    <w:rsid w:val="00B81F6E"/>
    <w:rsid w:val="00B84416"/>
    <w:rsid w:val="00B84BA7"/>
    <w:rsid w:val="00B85186"/>
    <w:rsid w:val="00B860E8"/>
    <w:rsid w:val="00B903C2"/>
    <w:rsid w:val="00B91AF0"/>
    <w:rsid w:val="00B91B8E"/>
    <w:rsid w:val="00B9384C"/>
    <w:rsid w:val="00B93C9A"/>
    <w:rsid w:val="00B94548"/>
    <w:rsid w:val="00B955AB"/>
    <w:rsid w:val="00B95AC8"/>
    <w:rsid w:val="00B9618B"/>
    <w:rsid w:val="00B967B8"/>
    <w:rsid w:val="00B97E63"/>
    <w:rsid w:val="00BA19D8"/>
    <w:rsid w:val="00BA3286"/>
    <w:rsid w:val="00BA3871"/>
    <w:rsid w:val="00BA4D28"/>
    <w:rsid w:val="00BA4E77"/>
    <w:rsid w:val="00BB00BC"/>
    <w:rsid w:val="00BB3B04"/>
    <w:rsid w:val="00BB3EE8"/>
    <w:rsid w:val="00BB584D"/>
    <w:rsid w:val="00BB7084"/>
    <w:rsid w:val="00BB7E79"/>
    <w:rsid w:val="00BC0450"/>
    <w:rsid w:val="00BC1C28"/>
    <w:rsid w:val="00BC2704"/>
    <w:rsid w:val="00BC2C0A"/>
    <w:rsid w:val="00BC7280"/>
    <w:rsid w:val="00BD120E"/>
    <w:rsid w:val="00BD2036"/>
    <w:rsid w:val="00BD2700"/>
    <w:rsid w:val="00BD78FE"/>
    <w:rsid w:val="00BE0AD3"/>
    <w:rsid w:val="00BE15DA"/>
    <w:rsid w:val="00BE16E8"/>
    <w:rsid w:val="00BE1CEA"/>
    <w:rsid w:val="00BE642B"/>
    <w:rsid w:val="00BE67A9"/>
    <w:rsid w:val="00BE72D6"/>
    <w:rsid w:val="00BF31BA"/>
    <w:rsid w:val="00BF5E9C"/>
    <w:rsid w:val="00BF618F"/>
    <w:rsid w:val="00BF6D9D"/>
    <w:rsid w:val="00BF7724"/>
    <w:rsid w:val="00C00B9C"/>
    <w:rsid w:val="00C00EDD"/>
    <w:rsid w:val="00C014AB"/>
    <w:rsid w:val="00C0241E"/>
    <w:rsid w:val="00C02CA7"/>
    <w:rsid w:val="00C0362B"/>
    <w:rsid w:val="00C03773"/>
    <w:rsid w:val="00C0469E"/>
    <w:rsid w:val="00C04776"/>
    <w:rsid w:val="00C055D5"/>
    <w:rsid w:val="00C06A57"/>
    <w:rsid w:val="00C06B30"/>
    <w:rsid w:val="00C07B9B"/>
    <w:rsid w:val="00C126E0"/>
    <w:rsid w:val="00C1486D"/>
    <w:rsid w:val="00C170AF"/>
    <w:rsid w:val="00C17177"/>
    <w:rsid w:val="00C17E35"/>
    <w:rsid w:val="00C20738"/>
    <w:rsid w:val="00C20AB9"/>
    <w:rsid w:val="00C220CE"/>
    <w:rsid w:val="00C22BB6"/>
    <w:rsid w:val="00C24150"/>
    <w:rsid w:val="00C245B6"/>
    <w:rsid w:val="00C24D7E"/>
    <w:rsid w:val="00C24F4D"/>
    <w:rsid w:val="00C269AB"/>
    <w:rsid w:val="00C27711"/>
    <w:rsid w:val="00C3033B"/>
    <w:rsid w:val="00C309CE"/>
    <w:rsid w:val="00C32018"/>
    <w:rsid w:val="00C32119"/>
    <w:rsid w:val="00C34208"/>
    <w:rsid w:val="00C366C4"/>
    <w:rsid w:val="00C373C2"/>
    <w:rsid w:val="00C374F0"/>
    <w:rsid w:val="00C404E4"/>
    <w:rsid w:val="00C42508"/>
    <w:rsid w:val="00C42C10"/>
    <w:rsid w:val="00C42D9F"/>
    <w:rsid w:val="00C4437C"/>
    <w:rsid w:val="00C472D7"/>
    <w:rsid w:val="00C50170"/>
    <w:rsid w:val="00C50A4B"/>
    <w:rsid w:val="00C5372F"/>
    <w:rsid w:val="00C54BAF"/>
    <w:rsid w:val="00C551EE"/>
    <w:rsid w:val="00C6465E"/>
    <w:rsid w:val="00C64A86"/>
    <w:rsid w:val="00C64E43"/>
    <w:rsid w:val="00C6552A"/>
    <w:rsid w:val="00C65533"/>
    <w:rsid w:val="00C67634"/>
    <w:rsid w:val="00C67FDB"/>
    <w:rsid w:val="00C70B9D"/>
    <w:rsid w:val="00C75629"/>
    <w:rsid w:val="00C758C6"/>
    <w:rsid w:val="00C76212"/>
    <w:rsid w:val="00C76AD9"/>
    <w:rsid w:val="00C77041"/>
    <w:rsid w:val="00C77849"/>
    <w:rsid w:val="00C77F03"/>
    <w:rsid w:val="00C818AF"/>
    <w:rsid w:val="00C81ADC"/>
    <w:rsid w:val="00C81F3D"/>
    <w:rsid w:val="00C822C2"/>
    <w:rsid w:val="00C841DD"/>
    <w:rsid w:val="00C8458D"/>
    <w:rsid w:val="00C8725E"/>
    <w:rsid w:val="00C87688"/>
    <w:rsid w:val="00C90701"/>
    <w:rsid w:val="00C9106A"/>
    <w:rsid w:val="00C91242"/>
    <w:rsid w:val="00C91E8D"/>
    <w:rsid w:val="00C93F39"/>
    <w:rsid w:val="00C9585F"/>
    <w:rsid w:val="00C96C1B"/>
    <w:rsid w:val="00C97AAA"/>
    <w:rsid w:val="00CA059D"/>
    <w:rsid w:val="00CA096F"/>
    <w:rsid w:val="00CA2C72"/>
    <w:rsid w:val="00CA6FB7"/>
    <w:rsid w:val="00CA7385"/>
    <w:rsid w:val="00CB0765"/>
    <w:rsid w:val="00CB2B36"/>
    <w:rsid w:val="00CB2C0F"/>
    <w:rsid w:val="00CB42FC"/>
    <w:rsid w:val="00CB5943"/>
    <w:rsid w:val="00CB619A"/>
    <w:rsid w:val="00CB63B3"/>
    <w:rsid w:val="00CB67C1"/>
    <w:rsid w:val="00CC00CD"/>
    <w:rsid w:val="00CC0339"/>
    <w:rsid w:val="00CC0B3D"/>
    <w:rsid w:val="00CC0E85"/>
    <w:rsid w:val="00CC1703"/>
    <w:rsid w:val="00CC2169"/>
    <w:rsid w:val="00CC4DF1"/>
    <w:rsid w:val="00CC622D"/>
    <w:rsid w:val="00CC748E"/>
    <w:rsid w:val="00CD02E0"/>
    <w:rsid w:val="00CD2727"/>
    <w:rsid w:val="00CD2B8C"/>
    <w:rsid w:val="00CD4A86"/>
    <w:rsid w:val="00CD5576"/>
    <w:rsid w:val="00CD7E27"/>
    <w:rsid w:val="00CE12E2"/>
    <w:rsid w:val="00CE15B5"/>
    <w:rsid w:val="00CE2805"/>
    <w:rsid w:val="00CE4E6E"/>
    <w:rsid w:val="00CE7A1A"/>
    <w:rsid w:val="00CF02E0"/>
    <w:rsid w:val="00CF0701"/>
    <w:rsid w:val="00CF600D"/>
    <w:rsid w:val="00CF7275"/>
    <w:rsid w:val="00CF7A13"/>
    <w:rsid w:val="00D00A7A"/>
    <w:rsid w:val="00D01760"/>
    <w:rsid w:val="00D01EBF"/>
    <w:rsid w:val="00D06596"/>
    <w:rsid w:val="00D077EB"/>
    <w:rsid w:val="00D078B8"/>
    <w:rsid w:val="00D10800"/>
    <w:rsid w:val="00D116A1"/>
    <w:rsid w:val="00D12085"/>
    <w:rsid w:val="00D1285A"/>
    <w:rsid w:val="00D129EB"/>
    <w:rsid w:val="00D13D5F"/>
    <w:rsid w:val="00D15B95"/>
    <w:rsid w:val="00D16E39"/>
    <w:rsid w:val="00D170B9"/>
    <w:rsid w:val="00D17379"/>
    <w:rsid w:val="00D1798A"/>
    <w:rsid w:val="00D21C43"/>
    <w:rsid w:val="00D220D3"/>
    <w:rsid w:val="00D2214A"/>
    <w:rsid w:val="00D223B6"/>
    <w:rsid w:val="00D22BEB"/>
    <w:rsid w:val="00D23AD8"/>
    <w:rsid w:val="00D2423E"/>
    <w:rsid w:val="00D261E8"/>
    <w:rsid w:val="00D26282"/>
    <w:rsid w:val="00D2686C"/>
    <w:rsid w:val="00D26B57"/>
    <w:rsid w:val="00D32562"/>
    <w:rsid w:val="00D32A50"/>
    <w:rsid w:val="00D350DE"/>
    <w:rsid w:val="00D35791"/>
    <w:rsid w:val="00D35FC1"/>
    <w:rsid w:val="00D41655"/>
    <w:rsid w:val="00D41EE1"/>
    <w:rsid w:val="00D42298"/>
    <w:rsid w:val="00D4320D"/>
    <w:rsid w:val="00D44E97"/>
    <w:rsid w:val="00D460D9"/>
    <w:rsid w:val="00D47709"/>
    <w:rsid w:val="00D506C0"/>
    <w:rsid w:val="00D53894"/>
    <w:rsid w:val="00D53C6C"/>
    <w:rsid w:val="00D54876"/>
    <w:rsid w:val="00D54C45"/>
    <w:rsid w:val="00D60327"/>
    <w:rsid w:val="00D641C3"/>
    <w:rsid w:val="00D64981"/>
    <w:rsid w:val="00D650B5"/>
    <w:rsid w:val="00D66C4F"/>
    <w:rsid w:val="00D679D8"/>
    <w:rsid w:val="00D7075B"/>
    <w:rsid w:val="00D710B9"/>
    <w:rsid w:val="00D71D22"/>
    <w:rsid w:val="00D72126"/>
    <w:rsid w:val="00D72E9D"/>
    <w:rsid w:val="00D73FA7"/>
    <w:rsid w:val="00D74765"/>
    <w:rsid w:val="00D7568C"/>
    <w:rsid w:val="00D7727A"/>
    <w:rsid w:val="00D82CE5"/>
    <w:rsid w:val="00D8366F"/>
    <w:rsid w:val="00D84FE0"/>
    <w:rsid w:val="00D85587"/>
    <w:rsid w:val="00D85C8F"/>
    <w:rsid w:val="00D86474"/>
    <w:rsid w:val="00D87181"/>
    <w:rsid w:val="00D8736E"/>
    <w:rsid w:val="00D90EFA"/>
    <w:rsid w:val="00D914DB"/>
    <w:rsid w:val="00D92770"/>
    <w:rsid w:val="00D93287"/>
    <w:rsid w:val="00D94D04"/>
    <w:rsid w:val="00D970D3"/>
    <w:rsid w:val="00D978B4"/>
    <w:rsid w:val="00D97DDD"/>
    <w:rsid w:val="00DA41EF"/>
    <w:rsid w:val="00DA583D"/>
    <w:rsid w:val="00DA5AB1"/>
    <w:rsid w:val="00DA7B6E"/>
    <w:rsid w:val="00DA7CCA"/>
    <w:rsid w:val="00DB0DFA"/>
    <w:rsid w:val="00DB1542"/>
    <w:rsid w:val="00DB28B8"/>
    <w:rsid w:val="00DB3D31"/>
    <w:rsid w:val="00DB478A"/>
    <w:rsid w:val="00DB6234"/>
    <w:rsid w:val="00DB68F9"/>
    <w:rsid w:val="00DC02B2"/>
    <w:rsid w:val="00DC1562"/>
    <w:rsid w:val="00DC2AFD"/>
    <w:rsid w:val="00DC3544"/>
    <w:rsid w:val="00DC3A87"/>
    <w:rsid w:val="00DC4E41"/>
    <w:rsid w:val="00DC62E5"/>
    <w:rsid w:val="00DC743F"/>
    <w:rsid w:val="00DC78DC"/>
    <w:rsid w:val="00DD09C6"/>
    <w:rsid w:val="00DD0BB0"/>
    <w:rsid w:val="00DD293E"/>
    <w:rsid w:val="00DD32A0"/>
    <w:rsid w:val="00DD3E02"/>
    <w:rsid w:val="00DD3E55"/>
    <w:rsid w:val="00DD451F"/>
    <w:rsid w:val="00DD47A2"/>
    <w:rsid w:val="00DD5376"/>
    <w:rsid w:val="00DD652D"/>
    <w:rsid w:val="00DD6845"/>
    <w:rsid w:val="00DD6847"/>
    <w:rsid w:val="00DD735D"/>
    <w:rsid w:val="00DD7FA8"/>
    <w:rsid w:val="00DE07A5"/>
    <w:rsid w:val="00DE247F"/>
    <w:rsid w:val="00DE308A"/>
    <w:rsid w:val="00DE3119"/>
    <w:rsid w:val="00DE3139"/>
    <w:rsid w:val="00DE3BBA"/>
    <w:rsid w:val="00DE5BCA"/>
    <w:rsid w:val="00DE6872"/>
    <w:rsid w:val="00DF20FB"/>
    <w:rsid w:val="00DF2128"/>
    <w:rsid w:val="00DF236B"/>
    <w:rsid w:val="00DF2804"/>
    <w:rsid w:val="00DF28C7"/>
    <w:rsid w:val="00DF3553"/>
    <w:rsid w:val="00DF3F8D"/>
    <w:rsid w:val="00DF64F5"/>
    <w:rsid w:val="00DF6AA5"/>
    <w:rsid w:val="00DF7086"/>
    <w:rsid w:val="00DF7F9E"/>
    <w:rsid w:val="00E00221"/>
    <w:rsid w:val="00E0048D"/>
    <w:rsid w:val="00E018F9"/>
    <w:rsid w:val="00E01B4E"/>
    <w:rsid w:val="00E04A52"/>
    <w:rsid w:val="00E057C5"/>
    <w:rsid w:val="00E0677C"/>
    <w:rsid w:val="00E06A8D"/>
    <w:rsid w:val="00E06B6F"/>
    <w:rsid w:val="00E10879"/>
    <w:rsid w:val="00E13AB8"/>
    <w:rsid w:val="00E13D3F"/>
    <w:rsid w:val="00E152C5"/>
    <w:rsid w:val="00E1640E"/>
    <w:rsid w:val="00E16924"/>
    <w:rsid w:val="00E234D7"/>
    <w:rsid w:val="00E25CB3"/>
    <w:rsid w:val="00E27E15"/>
    <w:rsid w:val="00E3074B"/>
    <w:rsid w:val="00E31A47"/>
    <w:rsid w:val="00E32A49"/>
    <w:rsid w:val="00E32C09"/>
    <w:rsid w:val="00E33B62"/>
    <w:rsid w:val="00E34106"/>
    <w:rsid w:val="00E34DEB"/>
    <w:rsid w:val="00E354CF"/>
    <w:rsid w:val="00E356D7"/>
    <w:rsid w:val="00E36139"/>
    <w:rsid w:val="00E40D14"/>
    <w:rsid w:val="00E4143A"/>
    <w:rsid w:val="00E41823"/>
    <w:rsid w:val="00E41943"/>
    <w:rsid w:val="00E42461"/>
    <w:rsid w:val="00E42761"/>
    <w:rsid w:val="00E43624"/>
    <w:rsid w:val="00E44610"/>
    <w:rsid w:val="00E46137"/>
    <w:rsid w:val="00E50774"/>
    <w:rsid w:val="00E510C7"/>
    <w:rsid w:val="00E5199E"/>
    <w:rsid w:val="00E51CF8"/>
    <w:rsid w:val="00E53B77"/>
    <w:rsid w:val="00E54365"/>
    <w:rsid w:val="00E5462E"/>
    <w:rsid w:val="00E56EC0"/>
    <w:rsid w:val="00E57652"/>
    <w:rsid w:val="00E62C10"/>
    <w:rsid w:val="00E631C7"/>
    <w:rsid w:val="00E651E5"/>
    <w:rsid w:val="00E65BDD"/>
    <w:rsid w:val="00E66455"/>
    <w:rsid w:val="00E7054A"/>
    <w:rsid w:val="00E70C4B"/>
    <w:rsid w:val="00E73728"/>
    <w:rsid w:val="00E73C2F"/>
    <w:rsid w:val="00E73F9E"/>
    <w:rsid w:val="00E742E7"/>
    <w:rsid w:val="00E76013"/>
    <w:rsid w:val="00E76D64"/>
    <w:rsid w:val="00E76DD0"/>
    <w:rsid w:val="00E77B02"/>
    <w:rsid w:val="00E81CD9"/>
    <w:rsid w:val="00E81FD0"/>
    <w:rsid w:val="00E87FB5"/>
    <w:rsid w:val="00E91B88"/>
    <w:rsid w:val="00E9622C"/>
    <w:rsid w:val="00E96F1A"/>
    <w:rsid w:val="00E97FB0"/>
    <w:rsid w:val="00EA04BE"/>
    <w:rsid w:val="00EA0C20"/>
    <w:rsid w:val="00EA0C86"/>
    <w:rsid w:val="00EA2015"/>
    <w:rsid w:val="00EA2E7A"/>
    <w:rsid w:val="00EA3761"/>
    <w:rsid w:val="00EA3B8E"/>
    <w:rsid w:val="00EA4951"/>
    <w:rsid w:val="00EB03A0"/>
    <w:rsid w:val="00EB0D38"/>
    <w:rsid w:val="00EB23D0"/>
    <w:rsid w:val="00EB2CBD"/>
    <w:rsid w:val="00EB5263"/>
    <w:rsid w:val="00EB5408"/>
    <w:rsid w:val="00EB55EE"/>
    <w:rsid w:val="00EB5A79"/>
    <w:rsid w:val="00EB5E41"/>
    <w:rsid w:val="00EC5592"/>
    <w:rsid w:val="00EC5B1B"/>
    <w:rsid w:val="00EC77E0"/>
    <w:rsid w:val="00ED0181"/>
    <w:rsid w:val="00ED05A8"/>
    <w:rsid w:val="00ED0D83"/>
    <w:rsid w:val="00ED18C9"/>
    <w:rsid w:val="00ED1921"/>
    <w:rsid w:val="00ED1A5E"/>
    <w:rsid w:val="00ED21E1"/>
    <w:rsid w:val="00ED2C7A"/>
    <w:rsid w:val="00ED5E7E"/>
    <w:rsid w:val="00ED6D48"/>
    <w:rsid w:val="00ED716D"/>
    <w:rsid w:val="00EE084F"/>
    <w:rsid w:val="00EE2835"/>
    <w:rsid w:val="00EE2C9C"/>
    <w:rsid w:val="00EE336A"/>
    <w:rsid w:val="00EE4DB1"/>
    <w:rsid w:val="00EE59B5"/>
    <w:rsid w:val="00EE6A82"/>
    <w:rsid w:val="00EE75CC"/>
    <w:rsid w:val="00EE7C1A"/>
    <w:rsid w:val="00EF0420"/>
    <w:rsid w:val="00EF169E"/>
    <w:rsid w:val="00EF1F7B"/>
    <w:rsid w:val="00EF28A9"/>
    <w:rsid w:val="00EF2D58"/>
    <w:rsid w:val="00EF3258"/>
    <w:rsid w:val="00EF3F42"/>
    <w:rsid w:val="00EF4E3B"/>
    <w:rsid w:val="00EF5547"/>
    <w:rsid w:val="00EF5E27"/>
    <w:rsid w:val="00EF64D8"/>
    <w:rsid w:val="00EF6FEA"/>
    <w:rsid w:val="00F0076F"/>
    <w:rsid w:val="00F01990"/>
    <w:rsid w:val="00F04156"/>
    <w:rsid w:val="00F04D40"/>
    <w:rsid w:val="00F05E5B"/>
    <w:rsid w:val="00F0608C"/>
    <w:rsid w:val="00F06296"/>
    <w:rsid w:val="00F074DD"/>
    <w:rsid w:val="00F0774D"/>
    <w:rsid w:val="00F077AE"/>
    <w:rsid w:val="00F10061"/>
    <w:rsid w:val="00F10954"/>
    <w:rsid w:val="00F11955"/>
    <w:rsid w:val="00F11D29"/>
    <w:rsid w:val="00F128BC"/>
    <w:rsid w:val="00F16735"/>
    <w:rsid w:val="00F16AE2"/>
    <w:rsid w:val="00F172E0"/>
    <w:rsid w:val="00F2035B"/>
    <w:rsid w:val="00F2107D"/>
    <w:rsid w:val="00F2195A"/>
    <w:rsid w:val="00F21B2C"/>
    <w:rsid w:val="00F21BA2"/>
    <w:rsid w:val="00F21D09"/>
    <w:rsid w:val="00F224BB"/>
    <w:rsid w:val="00F24230"/>
    <w:rsid w:val="00F25C0B"/>
    <w:rsid w:val="00F26F3C"/>
    <w:rsid w:val="00F26F4E"/>
    <w:rsid w:val="00F301AD"/>
    <w:rsid w:val="00F3110C"/>
    <w:rsid w:val="00F33364"/>
    <w:rsid w:val="00F34431"/>
    <w:rsid w:val="00F34C8E"/>
    <w:rsid w:val="00F34CBA"/>
    <w:rsid w:val="00F3533F"/>
    <w:rsid w:val="00F3791E"/>
    <w:rsid w:val="00F42CA4"/>
    <w:rsid w:val="00F4315D"/>
    <w:rsid w:val="00F43A17"/>
    <w:rsid w:val="00F43A68"/>
    <w:rsid w:val="00F476A9"/>
    <w:rsid w:val="00F5101F"/>
    <w:rsid w:val="00F51E02"/>
    <w:rsid w:val="00F520D5"/>
    <w:rsid w:val="00F536CD"/>
    <w:rsid w:val="00F53A70"/>
    <w:rsid w:val="00F55F3A"/>
    <w:rsid w:val="00F574CC"/>
    <w:rsid w:val="00F6029C"/>
    <w:rsid w:val="00F6064F"/>
    <w:rsid w:val="00F61B1D"/>
    <w:rsid w:val="00F61C41"/>
    <w:rsid w:val="00F61F32"/>
    <w:rsid w:val="00F64812"/>
    <w:rsid w:val="00F65EC5"/>
    <w:rsid w:val="00F6751F"/>
    <w:rsid w:val="00F73D70"/>
    <w:rsid w:val="00F747B3"/>
    <w:rsid w:val="00F764CE"/>
    <w:rsid w:val="00F77855"/>
    <w:rsid w:val="00F80D0F"/>
    <w:rsid w:val="00F80E8A"/>
    <w:rsid w:val="00F84899"/>
    <w:rsid w:val="00F859F0"/>
    <w:rsid w:val="00F90DB0"/>
    <w:rsid w:val="00F91287"/>
    <w:rsid w:val="00F91CA1"/>
    <w:rsid w:val="00F92D53"/>
    <w:rsid w:val="00F93250"/>
    <w:rsid w:val="00F94805"/>
    <w:rsid w:val="00F94B44"/>
    <w:rsid w:val="00F9511B"/>
    <w:rsid w:val="00F95598"/>
    <w:rsid w:val="00F95FAB"/>
    <w:rsid w:val="00FA0BE5"/>
    <w:rsid w:val="00FA1420"/>
    <w:rsid w:val="00FA15DA"/>
    <w:rsid w:val="00FA1947"/>
    <w:rsid w:val="00FA28BF"/>
    <w:rsid w:val="00FA3221"/>
    <w:rsid w:val="00FA5C2A"/>
    <w:rsid w:val="00FA63A7"/>
    <w:rsid w:val="00FA6B54"/>
    <w:rsid w:val="00FB48C5"/>
    <w:rsid w:val="00FB5E3B"/>
    <w:rsid w:val="00FC08AD"/>
    <w:rsid w:val="00FC16AE"/>
    <w:rsid w:val="00FC4AF7"/>
    <w:rsid w:val="00FC5EB6"/>
    <w:rsid w:val="00FD1C4A"/>
    <w:rsid w:val="00FD2088"/>
    <w:rsid w:val="00FD27E8"/>
    <w:rsid w:val="00FD2829"/>
    <w:rsid w:val="00FD2EA3"/>
    <w:rsid w:val="00FD3F65"/>
    <w:rsid w:val="00FD461D"/>
    <w:rsid w:val="00FD46B4"/>
    <w:rsid w:val="00FD4AA4"/>
    <w:rsid w:val="00FD5F1B"/>
    <w:rsid w:val="00FD7084"/>
    <w:rsid w:val="00FD7D17"/>
    <w:rsid w:val="00FE07B7"/>
    <w:rsid w:val="00FE094E"/>
    <w:rsid w:val="00FE0B32"/>
    <w:rsid w:val="00FE141E"/>
    <w:rsid w:val="00FE1C75"/>
    <w:rsid w:val="00FE1E34"/>
    <w:rsid w:val="00FE38FF"/>
    <w:rsid w:val="00FE42ED"/>
    <w:rsid w:val="00FE4C26"/>
    <w:rsid w:val="00FE4EF2"/>
    <w:rsid w:val="00FE63C7"/>
    <w:rsid w:val="00FE6445"/>
    <w:rsid w:val="00FE759E"/>
    <w:rsid w:val="00FE7664"/>
    <w:rsid w:val="00FF1C68"/>
    <w:rsid w:val="00FF4164"/>
    <w:rsid w:val="00FF485B"/>
    <w:rsid w:val="00FF4CB9"/>
    <w:rsid w:val="00FF583A"/>
    <w:rsid w:val="19D94649"/>
    <w:rsid w:val="3B1BF6E6"/>
    <w:rsid w:val="434D2F1C"/>
    <w:rsid w:val="489DAED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B62"/>
    <w:pPr>
      <w:spacing w:before="0" w:after="0" w:line="240" w:lineRule="auto"/>
      <w:jc w:val="left"/>
    </w:pPr>
    <w:rPr>
      <w:rFonts w:ascii="Times New Roman" w:eastAsia="Times New Roman" w:hAnsi="Times New Roman" w:cs="Times New Roman"/>
      <w:sz w:val="24"/>
      <w:szCs w:val="24"/>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before="120" w:after="120" w:line="276" w:lineRule="auto"/>
      <w:jc w:val="both"/>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before="120" w:after="120" w:line="276" w:lineRule="auto"/>
      <w:jc w:val="both"/>
    </w:pPr>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before="120" w:after="120" w:line="276" w:lineRule="auto"/>
      <w:jc w:val="both"/>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spacing w:before="120" w:after="120" w:line="276" w:lineRule="auto"/>
      <w:ind w:left="720"/>
      <w:contextualSpacing/>
      <w:jc w:val="both"/>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76" w:lineRule="auto"/>
      <w:jc w:val="both"/>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jc w:val="both"/>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Re"/>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984AB9"/>
  </w:style>
  <w:style w:type="character" w:styleId="Textoennegrita">
    <w:name w:val="Strong"/>
    <w:basedOn w:val="Fuentedeprrafopredeter"/>
    <w:uiPriority w:val="22"/>
    <w:qFormat/>
    <w:rsid w:val="00792E66"/>
    <w:rPr>
      <w:b/>
      <w:bCs/>
    </w:rPr>
  </w:style>
  <w:style w:type="character" w:styleId="nfasis">
    <w:name w:val="Emphasis"/>
    <w:basedOn w:val="Fuentedeprrafopredeter"/>
    <w:uiPriority w:val="20"/>
    <w:qFormat/>
    <w:rsid w:val="00792E66"/>
    <w:rPr>
      <w:i/>
      <w:iCs/>
    </w:rPr>
  </w:style>
  <w:style w:type="paragraph" w:customStyle="1" w:styleId="Appelnotedebasde">
    <w:name w:val="Appel note de bas de..."/>
    <w:basedOn w:val="Normal"/>
    <w:link w:val="Refdenotaalpie"/>
    <w:uiPriority w:val="99"/>
    <w:rsid w:val="00E54365"/>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NormalWebCar">
    <w:name w:val="Normal (Web) Car"/>
    <w:link w:val="NormalWeb"/>
    <w:uiPriority w:val="99"/>
    <w:rsid w:val="00A957B9"/>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AE4C20"/>
    <w:rPr>
      <w:color w:val="605E5C"/>
      <w:shd w:val="clear" w:color="auto" w:fill="E1DFDD"/>
    </w:rPr>
  </w:style>
  <w:style w:type="paragraph" w:styleId="Textoindependiente">
    <w:name w:val="Body Text"/>
    <w:basedOn w:val="Normal"/>
    <w:link w:val="TextoindependienteCar"/>
    <w:uiPriority w:val="99"/>
    <w:semiHidden/>
    <w:unhideWhenUsed/>
    <w:rsid w:val="00A16FAB"/>
    <w:pPr>
      <w:spacing w:before="100" w:beforeAutospacing="1" w:after="100" w:afterAutospacing="1"/>
    </w:pPr>
    <w:rPr>
      <w:lang w:eastAsia="es-CO"/>
    </w:rPr>
  </w:style>
  <w:style w:type="character" w:customStyle="1" w:styleId="TextoindependienteCar">
    <w:name w:val="Texto independiente Car"/>
    <w:basedOn w:val="Fuentedeprrafopredeter"/>
    <w:link w:val="Textoindependiente"/>
    <w:uiPriority w:val="99"/>
    <w:semiHidden/>
    <w:rsid w:val="00A16FAB"/>
    <w:rPr>
      <w:rFonts w:ascii="Times New Roman" w:eastAsia="Times New Roman" w:hAnsi="Times New Roman" w:cs="Times New Roman"/>
      <w:sz w:val="24"/>
      <w:szCs w:val="24"/>
      <w:lang w:eastAsia="es-CO"/>
    </w:rPr>
  </w:style>
  <w:style w:type="character" w:customStyle="1" w:styleId="Mencinsinresolver2">
    <w:name w:val="Mención sin resolver2"/>
    <w:basedOn w:val="Fuentedeprrafopredeter"/>
    <w:uiPriority w:val="99"/>
    <w:semiHidden/>
    <w:unhideWhenUsed/>
    <w:rsid w:val="0076432E"/>
    <w:rPr>
      <w:color w:val="605E5C"/>
      <w:shd w:val="clear" w:color="auto" w:fill="E1DFDD"/>
    </w:rPr>
  </w:style>
  <w:style w:type="character" w:styleId="Refdenotaalfinal">
    <w:name w:val="endnote reference"/>
    <w:basedOn w:val="Fuentedeprrafopredeter"/>
    <w:uiPriority w:val="99"/>
    <w:semiHidden/>
    <w:unhideWhenUsed/>
    <w:rsid w:val="00FE1E34"/>
    <w:rPr>
      <w:vertAlign w:val="superscript"/>
    </w:rPr>
  </w:style>
  <w:style w:type="paragraph" w:styleId="Revisin">
    <w:name w:val="Revision"/>
    <w:hidden/>
    <w:uiPriority w:val="99"/>
    <w:semiHidden/>
    <w:rsid w:val="009246D0"/>
    <w:pPr>
      <w:spacing w:before="0" w:after="0" w:line="240" w:lineRule="auto"/>
      <w:jc w:val="left"/>
    </w:pPr>
    <w:rPr>
      <w:rFonts w:ascii="Times New Roman" w:eastAsia="Times New Roman" w:hAnsi="Times New Roman" w:cs="Times New Roman"/>
      <w:sz w:val="24"/>
      <w:szCs w:val="24"/>
      <w:lang w:eastAsia="en-GB"/>
    </w:rPr>
  </w:style>
  <w:style w:type="character" w:customStyle="1" w:styleId="Mencinsinresolver3">
    <w:name w:val="Mención sin resolver3"/>
    <w:basedOn w:val="Fuentedeprrafopredeter"/>
    <w:uiPriority w:val="99"/>
    <w:semiHidden/>
    <w:unhideWhenUsed/>
    <w:rsid w:val="00B55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75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9504353">
      <w:bodyDiv w:val="1"/>
      <w:marLeft w:val="0"/>
      <w:marRight w:val="0"/>
      <w:marTop w:val="0"/>
      <w:marBottom w:val="0"/>
      <w:divBdr>
        <w:top w:val="none" w:sz="0" w:space="0" w:color="auto"/>
        <w:left w:val="none" w:sz="0" w:space="0" w:color="auto"/>
        <w:bottom w:val="none" w:sz="0" w:space="0" w:color="auto"/>
        <w:right w:val="none" w:sz="0" w:space="0" w:color="auto"/>
      </w:divBdr>
    </w:div>
    <w:div w:id="85808315">
      <w:bodyDiv w:val="1"/>
      <w:marLeft w:val="0"/>
      <w:marRight w:val="0"/>
      <w:marTop w:val="0"/>
      <w:marBottom w:val="0"/>
      <w:divBdr>
        <w:top w:val="none" w:sz="0" w:space="0" w:color="auto"/>
        <w:left w:val="none" w:sz="0" w:space="0" w:color="auto"/>
        <w:bottom w:val="none" w:sz="0" w:space="0" w:color="auto"/>
        <w:right w:val="none" w:sz="0" w:space="0" w:color="auto"/>
      </w:divBdr>
    </w:div>
    <w:div w:id="93744512">
      <w:bodyDiv w:val="1"/>
      <w:marLeft w:val="0"/>
      <w:marRight w:val="0"/>
      <w:marTop w:val="0"/>
      <w:marBottom w:val="0"/>
      <w:divBdr>
        <w:top w:val="none" w:sz="0" w:space="0" w:color="auto"/>
        <w:left w:val="none" w:sz="0" w:space="0" w:color="auto"/>
        <w:bottom w:val="none" w:sz="0" w:space="0" w:color="auto"/>
        <w:right w:val="none" w:sz="0" w:space="0" w:color="auto"/>
      </w:divBdr>
    </w:div>
    <w:div w:id="94375242">
      <w:bodyDiv w:val="1"/>
      <w:marLeft w:val="0"/>
      <w:marRight w:val="0"/>
      <w:marTop w:val="0"/>
      <w:marBottom w:val="0"/>
      <w:divBdr>
        <w:top w:val="none" w:sz="0" w:space="0" w:color="auto"/>
        <w:left w:val="none" w:sz="0" w:space="0" w:color="auto"/>
        <w:bottom w:val="none" w:sz="0" w:space="0" w:color="auto"/>
        <w:right w:val="none" w:sz="0" w:space="0" w:color="auto"/>
      </w:divBdr>
    </w:div>
    <w:div w:id="108739752">
      <w:bodyDiv w:val="1"/>
      <w:marLeft w:val="0"/>
      <w:marRight w:val="0"/>
      <w:marTop w:val="0"/>
      <w:marBottom w:val="0"/>
      <w:divBdr>
        <w:top w:val="none" w:sz="0" w:space="0" w:color="auto"/>
        <w:left w:val="none" w:sz="0" w:space="0" w:color="auto"/>
        <w:bottom w:val="none" w:sz="0" w:space="0" w:color="auto"/>
        <w:right w:val="none" w:sz="0" w:space="0" w:color="auto"/>
      </w:divBdr>
    </w:div>
    <w:div w:id="154686247">
      <w:bodyDiv w:val="1"/>
      <w:marLeft w:val="0"/>
      <w:marRight w:val="0"/>
      <w:marTop w:val="0"/>
      <w:marBottom w:val="0"/>
      <w:divBdr>
        <w:top w:val="none" w:sz="0" w:space="0" w:color="auto"/>
        <w:left w:val="none" w:sz="0" w:space="0" w:color="auto"/>
        <w:bottom w:val="none" w:sz="0" w:space="0" w:color="auto"/>
        <w:right w:val="none" w:sz="0" w:space="0" w:color="auto"/>
      </w:divBdr>
    </w:div>
    <w:div w:id="156462446">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9442121">
      <w:bodyDiv w:val="1"/>
      <w:marLeft w:val="0"/>
      <w:marRight w:val="0"/>
      <w:marTop w:val="0"/>
      <w:marBottom w:val="0"/>
      <w:divBdr>
        <w:top w:val="none" w:sz="0" w:space="0" w:color="auto"/>
        <w:left w:val="none" w:sz="0" w:space="0" w:color="auto"/>
        <w:bottom w:val="none" w:sz="0" w:space="0" w:color="auto"/>
        <w:right w:val="none" w:sz="0" w:space="0" w:color="auto"/>
      </w:divBdr>
    </w:div>
    <w:div w:id="179929087">
      <w:bodyDiv w:val="1"/>
      <w:marLeft w:val="0"/>
      <w:marRight w:val="0"/>
      <w:marTop w:val="0"/>
      <w:marBottom w:val="0"/>
      <w:divBdr>
        <w:top w:val="none" w:sz="0" w:space="0" w:color="auto"/>
        <w:left w:val="none" w:sz="0" w:space="0" w:color="auto"/>
        <w:bottom w:val="none" w:sz="0" w:space="0" w:color="auto"/>
        <w:right w:val="none" w:sz="0" w:space="0" w:color="auto"/>
      </w:divBdr>
      <w:divsChild>
        <w:div w:id="404572909">
          <w:marLeft w:val="0"/>
          <w:marRight w:val="0"/>
          <w:marTop w:val="0"/>
          <w:marBottom w:val="0"/>
          <w:divBdr>
            <w:top w:val="none" w:sz="0" w:space="0" w:color="auto"/>
            <w:left w:val="none" w:sz="0" w:space="0" w:color="auto"/>
            <w:bottom w:val="none" w:sz="0" w:space="0" w:color="auto"/>
            <w:right w:val="none" w:sz="0" w:space="0" w:color="auto"/>
          </w:divBdr>
        </w:div>
        <w:div w:id="2088721344">
          <w:marLeft w:val="0"/>
          <w:marRight w:val="0"/>
          <w:marTop w:val="0"/>
          <w:marBottom w:val="0"/>
          <w:divBdr>
            <w:top w:val="none" w:sz="0" w:space="0" w:color="auto"/>
            <w:left w:val="none" w:sz="0" w:space="0" w:color="auto"/>
            <w:bottom w:val="none" w:sz="0" w:space="0" w:color="auto"/>
            <w:right w:val="none" w:sz="0" w:space="0" w:color="auto"/>
          </w:divBdr>
        </w:div>
        <w:div w:id="1807044410">
          <w:marLeft w:val="0"/>
          <w:marRight w:val="0"/>
          <w:marTop w:val="0"/>
          <w:marBottom w:val="0"/>
          <w:divBdr>
            <w:top w:val="none" w:sz="0" w:space="0" w:color="auto"/>
            <w:left w:val="none" w:sz="0" w:space="0" w:color="auto"/>
            <w:bottom w:val="none" w:sz="0" w:space="0" w:color="auto"/>
            <w:right w:val="none" w:sz="0" w:space="0" w:color="auto"/>
          </w:divBdr>
        </w:div>
      </w:divsChild>
    </w:div>
    <w:div w:id="186990070">
      <w:bodyDiv w:val="1"/>
      <w:marLeft w:val="0"/>
      <w:marRight w:val="0"/>
      <w:marTop w:val="0"/>
      <w:marBottom w:val="0"/>
      <w:divBdr>
        <w:top w:val="none" w:sz="0" w:space="0" w:color="auto"/>
        <w:left w:val="none" w:sz="0" w:space="0" w:color="auto"/>
        <w:bottom w:val="none" w:sz="0" w:space="0" w:color="auto"/>
        <w:right w:val="none" w:sz="0" w:space="0" w:color="auto"/>
      </w:divBdr>
    </w:div>
    <w:div w:id="2162033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7952074">
      <w:bodyDiv w:val="1"/>
      <w:marLeft w:val="0"/>
      <w:marRight w:val="0"/>
      <w:marTop w:val="0"/>
      <w:marBottom w:val="0"/>
      <w:divBdr>
        <w:top w:val="none" w:sz="0" w:space="0" w:color="auto"/>
        <w:left w:val="none" w:sz="0" w:space="0" w:color="auto"/>
        <w:bottom w:val="none" w:sz="0" w:space="0" w:color="auto"/>
        <w:right w:val="none" w:sz="0" w:space="0" w:color="auto"/>
      </w:divBdr>
    </w:div>
    <w:div w:id="346564690">
      <w:bodyDiv w:val="1"/>
      <w:marLeft w:val="0"/>
      <w:marRight w:val="0"/>
      <w:marTop w:val="0"/>
      <w:marBottom w:val="0"/>
      <w:divBdr>
        <w:top w:val="none" w:sz="0" w:space="0" w:color="auto"/>
        <w:left w:val="none" w:sz="0" w:space="0" w:color="auto"/>
        <w:bottom w:val="none" w:sz="0" w:space="0" w:color="auto"/>
        <w:right w:val="none" w:sz="0" w:space="0" w:color="auto"/>
      </w:divBdr>
    </w:div>
    <w:div w:id="362751634">
      <w:bodyDiv w:val="1"/>
      <w:marLeft w:val="0"/>
      <w:marRight w:val="0"/>
      <w:marTop w:val="0"/>
      <w:marBottom w:val="0"/>
      <w:divBdr>
        <w:top w:val="none" w:sz="0" w:space="0" w:color="auto"/>
        <w:left w:val="none" w:sz="0" w:space="0" w:color="auto"/>
        <w:bottom w:val="none" w:sz="0" w:space="0" w:color="auto"/>
        <w:right w:val="none" w:sz="0" w:space="0" w:color="auto"/>
      </w:divBdr>
    </w:div>
    <w:div w:id="388193450">
      <w:bodyDiv w:val="1"/>
      <w:marLeft w:val="0"/>
      <w:marRight w:val="0"/>
      <w:marTop w:val="0"/>
      <w:marBottom w:val="0"/>
      <w:divBdr>
        <w:top w:val="none" w:sz="0" w:space="0" w:color="auto"/>
        <w:left w:val="none" w:sz="0" w:space="0" w:color="auto"/>
        <w:bottom w:val="none" w:sz="0" w:space="0" w:color="auto"/>
        <w:right w:val="none" w:sz="0" w:space="0" w:color="auto"/>
      </w:divBdr>
    </w:div>
    <w:div w:id="394553061">
      <w:bodyDiv w:val="1"/>
      <w:marLeft w:val="0"/>
      <w:marRight w:val="0"/>
      <w:marTop w:val="0"/>
      <w:marBottom w:val="0"/>
      <w:divBdr>
        <w:top w:val="none" w:sz="0" w:space="0" w:color="auto"/>
        <w:left w:val="none" w:sz="0" w:space="0" w:color="auto"/>
        <w:bottom w:val="none" w:sz="0" w:space="0" w:color="auto"/>
        <w:right w:val="none" w:sz="0" w:space="0" w:color="auto"/>
      </w:divBdr>
    </w:div>
    <w:div w:id="410006999">
      <w:bodyDiv w:val="1"/>
      <w:marLeft w:val="0"/>
      <w:marRight w:val="0"/>
      <w:marTop w:val="0"/>
      <w:marBottom w:val="0"/>
      <w:divBdr>
        <w:top w:val="none" w:sz="0" w:space="0" w:color="auto"/>
        <w:left w:val="none" w:sz="0" w:space="0" w:color="auto"/>
        <w:bottom w:val="none" w:sz="0" w:space="0" w:color="auto"/>
        <w:right w:val="none" w:sz="0" w:space="0" w:color="auto"/>
      </w:divBdr>
      <w:divsChild>
        <w:div w:id="1549413466">
          <w:marLeft w:val="0"/>
          <w:marRight w:val="0"/>
          <w:marTop w:val="0"/>
          <w:marBottom w:val="0"/>
          <w:divBdr>
            <w:top w:val="none" w:sz="0" w:space="0" w:color="auto"/>
            <w:left w:val="none" w:sz="0" w:space="0" w:color="auto"/>
            <w:bottom w:val="none" w:sz="0" w:space="0" w:color="auto"/>
            <w:right w:val="none" w:sz="0" w:space="0" w:color="auto"/>
          </w:divBdr>
          <w:divsChild>
            <w:div w:id="1668316938">
              <w:marLeft w:val="0"/>
              <w:marRight w:val="0"/>
              <w:marTop w:val="0"/>
              <w:marBottom w:val="0"/>
              <w:divBdr>
                <w:top w:val="none" w:sz="0" w:space="0" w:color="auto"/>
                <w:left w:val="none" w:sz="0" w:space="0" w:color="auto"/>
                <w:bottom w:val="none" w:sz="0" w:space="0" w:color="auto"/>
                <w:right w:val="none" w:sz="0" w:space="0" w:color="auto"/>
              </w:divBdr>
              <w:divsChild>
                <w:div w:id="9720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03571">
      <w:bodyDiv w:val="1"/>
      <w:marLeft w:val="0"/>
      <w:marRight w:val="0"/>
      <w:marTop w:val="0"/>
      <w:marBottom w:val="0"/>
      <w:divBdr>
        <w:top w:val="none" w:sz="0" w:space="0" w:color="auto"/>
        <w:left w:val="none" w:sz="0" w:space="0" w:color="auto"/>
        <w:bottom w:val="none" w:sz="0" w:space="0" w:color="auto"/>
        <w:right w:val="none" w:sz="0" w:space="0" w:color="auto"/>
      </w:divBdr>
    </w:div>
    <w:div w:id="469787518">
      <w:bodyDiv w:val="1"/>
      <w:marLeft w:val="0"/>
      <w:marRight w:val="0"/>
      <w:marTop w:val="0"/>
      <w:marBottom w:val="0"/>
      <w:divBdr>
        <w:top w:val="none" w:sz="0" w:space="0" w:color="auto"/>
        <w:left w:val="none" w:sz="0" w:space="0" w:color="auto"/>
        <w:bottom w:val="none" w:sz="0" w:space="0" w:color="auto"/>
        <w:right w:val="none" w:sz="0" w:space="0" w:color="auto"/>
      </w:divBdr>
    </w:div>
    <w:div w:id="496309153">
      <w:bodyDiv w:val="1"/>
      <w:marLeft w:val="0"/>
      <w:marRight w:val="0"/>
      <w:marTop w:val="0"/>
      <w:marBottom w:val="0"/>
      <w:divBdr>
        <w:top w:val="none" w:sz="0" w:space="0" w:color="auto"/>
        <w:left w:val="none" w:sz="0" w:space="0" w:color="auto"/>
        <w:bottom w:val="none" w:sz="0" w:space="0" w:color="auto"/>
        <w:right w:val="none" w:sz="0" w:space="0" w:color="auto"/>
      </w:divBdr>
    </w:div>
    <w:div w:id="531654358">
      <w:bodyDiv w:val="1"/>
      <w:marLeft w:val="0"/>
      <w:marRight w:val="0"/>
      <w:marTop w:val="0"/>
      <w:marBottom w:val="0"/>
      <w:divBdr>
        <w:top w:val="none" w:sz="0" w:space="0" w:color="auto"/>
        <w:left w:val="none" w:sz="0" w:space="0" w:color="auto"/>
        <w:bottom w:val="none" w:sz="0" w:space="0" w:color="auto"/>
        <w:right w:val="none" w:sz="0" w:space="0" w:color="auto"/>
      </w:divBdr>
      <w:divsChild>
        <w:div w:id="1821338746">
          <w:marLeft w:val="0"/>
          <w:marRight w:val="0"/>
          <w:marTop w:val="0"/>
          <w:marBottom w:val="0"/>
          <w:divBdr>
            <w:top w:val="none" w:sz="0" w:space="0" w:color="auto"/>
            <w:left w:val="none" w:sz="0" w:space="0" w:color="auto"/>
            <w:bottom w:val="none" w:sz="0" w:space="0" w:color="auto"/>
            <w:right w:val="none" w:sz="0" w:space="0" w:color="auto"/>
          </w:divBdr>
          <w:divsChild>
            <w:div w:id="1848402016">
              <w:marLeft w:val="0"/>
              <w:marRight w:val="0"/>
              <w:marTop w:val="0"/>
              <w:marBottom w:val="0"/>
              <w:divBdr>
                <w:top w:val="none" w:sz="0" w:space="0" w:color="auto"/>
                <w:left w:val="none" w:sz="0" w:space="0" w:color="auto"/>
                <w:bottom w:val="none" w:sz="0" w:space="0" w:color="auto"/>
                <w:right w:val="none" w:sz="0" w:space="0" w:color="auto"/>
              </w:divBdr>
              <w:divsChild>
                <w:div w:id="17512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2670">
      <w:bodyDiv w:val="1"/>
      <w:marLeft w:val="0"/>
      <w:marRight w:val="0"/>
      <w:marTop w:val="0"/>
      <w:marBottom w:val="0"/>
      <w:divBdr>
        <w:top w:val="none" w:sz="0" w:space="0" w:color="auto"/>
        <w:left w:val="none" w:sz="0" w:space="0" w:color="auto"/>
        <w:bottom w:val="none" w:sz="0" w:space="0" w:color="auto"/>
        <w:right w:val="none" w:sz="0" w:space="0" w:color="auto"/>
      </w:divBdr>
    </w:div>
    <w:div w:id="610358860">
      <w:bodyDiv w:val="1"/>
      <w:marLeft w:val="0"/>
      <w:marRight w:val="0"/>
      <w:marTop w:val="0"/>
      <w:marBottom w:val="0"/>
      <w:divBdr>
        <w:top w:val="none" w:sz="0" w:space="0" w:color="auto"/>
        <w:left w:val="none" w:sz="0" w:space="0" w:color="auto"/>
        <w:bottom w:val="none" w:sz="0" w:space="0" w:color="auto"/>
        <w:right w:val="none" w:sz="0" w:space="0" w:color="auto"/>
      </w:divBdr>
    </w:div>
    <w:div w:id="614942659">
      <w:bodyDiv w:val="1"/>
      <w:marLeft w:val="0"/>
      <w:marRight w:val="0"/>
      <w:marTop w:val="0"/>
      <w:marBottom w:val="0"/>
      <w:divBdr>
        <w:top w:val="none" w:sz="0" w:space="0" w:color="auto"/>
        <w:left w:val="none" w:sz="0" w:space="0" w:color="auto"/>
        <w:bottom w:val="none" w:sz="0" w:space="0" w:color="auto"/>
        <w:right w:val="none" w:sz="0" w:space="0" w:color="auto"/>
      </w:divBdr>
    </w:div>
    <w:div w:id="616374217">
      <w:bodyDiv w:val="1"/>
      <w:marLeft w:val="0"/>
      <w:marRight w:val="0"/>
      <w:marTop w:val="0"/>
      <w:marBottom w:val="0"/>
      <w:divBdr>
        <w:top w:val="none" w:sz="0" w:space="0" w:color="auto"/>
        <w:left w:val="none" w:sz="0" w:space="0" w:color="auto"/>
        <w:bottom w:val="none" w:sz="0" w:space="0" w:color="auto"/>
        <w:right w:val="none" w:sz="0" w:space="0" w:color="auto"/>
      </w:divBdr>
    </w:div>
    <w:div w:id="636760311">
      <w:bodyDiv w:val="1"/>
      <w:marLeft w:val="0"/>
      <w:marRight w:val="0"/>
      <w:marTop w:val="0"/>
      <w:marBottom w:val="0"/>
      <w:divBdr>
        <w:top w:val="none" w:sz="0" w:space="0" w:color="auto"/>
        <w:left w:val="none" w:sz="0" w:space="0" w:color="auto"/>
        <w:bottom w:val="none" w:sz="0" w:space="0" w:color="auto"/>
        <w:right w:val="none" w:sz="0" w:space="0" w:color="auto"/>
      </w:divBdr>
    </w:div>
    <w:div w:id="660500369">
      <w:bodyDiv w:val="1"/>
      <w:marLeft w:val="0"/>
      <w:marRight w:val="0"/>
      <w:marTop w:val="0"/>
      <w:marBottom w:val="0"/>
      <w:divBdr>
        <w:top w:val="none" w:sz="0" w:space="0" w:color="auto"/>
        <w:left w:val="none" w:sz="0" w:space="0" w:color="auto"/>
        <w:bottom w:val="none" w:sz="0" w:space="0" w:color="auto"/>
        <w:right w:val="none" w:sz="0" w:space="0" w:color="auto"/>
      </w:divBdr>
    </w:div>
    <w:div w:id="674454366">
      <w:bodyDiv w:val="1"/>
      <w:marLeft w:val="0"/>
      <w:marRight w:val="0"/>
      <w:marTop w:val="0"/>
      <w:marBottom w:val="0"/>
      <w:divBdr>
        <w:top w:val="none" w:sz="0" w:space="0" w:color="auto"/>
        <w:left w:val="none" w:sz="0" w:space="0" w:color="auto"/>
        <w:bottom w:val="none" w:sz="0" w:space="0" w:color="auto"/>
        <w:right w:val="none" w:sz="0" w:space="0" w:color="auto"/>
      </w:divBdr>
    </w:div>
    <w:div w:id="686492545">
      <w:bodyDiv w:val="1"/>
      <w:marLeft w:val="0"/>
      <w:marRight w:val="0"/>
      <w:marTop w:val="0"/>
      <w:marBottom w:val="0"/>
      <w:divBdr>
        <w:top w:val="none" w:sz="0" w:space="0" w:color="auto"/>
        <w:left w:val="none" w:sz="0" w:space="0" w:color="auto"/>
        <w:bottom w:val="none" w:sz="0" w:space="0" w:color="auto"/>
        <w:right w:val="none" w:sz="0" w:space="0" w:color="auto"/>
      </w:divBdr>
    </w:div>
    <w:div w:id="695346960">
      <w:bodyDiv w:val="1"/>
      <w:marLeft w:val="0"/>
      <w:marRight w:val="0"/>
      <w:marTop w:val="0"/>
      <w:marBottom w:val="0"/>
      <w:divBdr>
        <w:top w:val="none" w:sz="0" w:space="0" w:color="auto"/>
        <w:left w:val="none" w:sz="0" w:space="0" w:color="auto"/>
        <w:bottom w:val="none" w:sz="0" w:space="0" w:color="auto"/>
        <w:right w:val="none" w:sz="0" w:space="0" w:color="auto"/>
      </w:divBdr>
      <w:divsChild>
        <w:div w:id="1337732821">
          <w:marLeft w:val="0"/>
          <w:marRight w:val="0"/>
          <w:marTop w:val="0"/>
          <w:marBottom w:val="0"/>
          <w:divBdr>
            <w:top w:val="none" w:sz="0" w:space="0" w:color="auto"/>
            <w:left w:val="none" w:sz="0" w:space="0" w:color="auto"/>
            <w:bottom w:val="none" w:sz="0" w:space="0" w:color="auto"/>
            <w:right w:val="none" w:sz="0" w:space="0" w:color="auto"/>
          </w:divBdr>
          <w:divsChild>
            <w:div w:id="1048838927">
              <w:marLeft w:val="0"/>
              <w:marRight w:val="0"/>
              <w:marTop w:val="0"/>
              <w:marBottom w:val="0"/>
              <w:divBdr>
                <w:top w:val="none" w:sz="0" w:space="0" w:color="auto"/>
                <w:left w:val="none" w:sz="0" w:space="0" w:color="auto"/>
                <w:bottom w:val="none" w:sz="0" w:space="0" w:color="auto"/>
                <w:right w:val="none" w:sz="0" w:space="0" w:color="auto"/>
              </w:divBdr>
              <w:divsChild>
                <w:div w:id="12870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16826">
      <w:bodyDiv w:val="1"/>
      <w:marLeft w:val="0"/>
      <w:marRight w:val="0"/>
      <w:marTop w:val="0"/>
      <w:marBottom w:val="0"/>
      <w:divBdr>
        <w:top w:val="none" w:sz="0" w:space="0" w:color="auto"/>
        <w:left w:val="none" w:sz="0" w:space="0" w:color="auto"/>
        <w:bottom w:val="none" w:sz="0" w:space="0" w:color="auto"/>
        <w:right w:val="none" w:sz="0" w:space="0" w:color="auto"/>
      </w:divBdr>
    </w:div>
    <w:div w:id="704867754">
      <w:bodyDiv w:val="1"/>
      <w:marLeft w:val="0"/>
      <w:marRight w:val="0"/>
      <w:marTop w:val="0"/>
      <w:marBottom w:val="0"/>
      <w:divBdr>
        <w:top w:val="none" w:sz="0" w:space="0" w:color="auto"/>
        <w:left w:val="none" w:sz="0" w:space="0" w:color="auto"/>
        <w:bottom w:val="none" w:sz="0" w:space="0" w:color="auto"/>
        <w:right w:val="none" w:sz="0" w:space="0" w:color="auto"/>
      </w:divBdr>
    </w:div>
    <w:div w:id="758253688">
      <w:bodyDiv w:val="1"/>
      <w:marLeft w:val="0"/>
      <w:marRight w:val="0"/>
      <w:marTop w:val="0"/>
      <w:marBottom w:val="0"/>
      <w:divBdr>
        <w:top w:val="none" w:sz="0" w:space="0" w:color="auto"/>
        <w:left w:val="none" w:sz="0" w:space="0" w:color="auto"/>
        <w:bottom w:val="none" w:sz="0" w:space="0" w:color="auto"/>
        <w:right w:val="none" w:sz="0" w:space="0" w:color="auto"/>
      </w:divBdr>
    </w:div>
    <w:div w:id="761217209">
      <w:bodyDiv w:val="1"/>
      <w:marLeft w:val="0"/>
      <w:marRight w:val="0"/>
      <w:marTop w:val="0"/>
      <w:marBottom w:val="0"/>
      <w:divBdr>
        <w:top w:val="none" w:sz="0" w:space="0" w:color="auto"/>
        <w:left w:val="none" w:sz="0" w:space="0" w:color="auto"/>
        <w:bottom w:val="none" w:sz="0" w:space="0" w:color="auto"/>
        <w:right w:val="none" w:sz="0" w:space="0" w:color="auto"/>
      </w:divBdr>
    </w:div>
    <w:div w:id="780993557">
      <w:bodyDiv w:val="1"/>
      <w:marLeft w:val="0"/>
      <w:marRight w:val="0"/>
      <w:marTop w:val="0"/>
      <w:marBottom w:val="0"/>
      <w:divBdr>
        <w:top w:val="none" w:sz="0" w:space="0" w:color="auto"/>
        <w:left w:val="none" w:sz="0" w:space="0" w:color="auto"/>
        <w:bottom w:val="none" w:sz="0" w:space="0" w:color="auto"/>
        <w:right w:val="none" w:sz="0" w:space="0" w:color="auto"/>
      </w:divBdr>
    </w:div>
    <w:div w:id="783965500">
      <w:bodyDiv w:val="1"/>
      <w:marLeft w:val="0"/>
      <w:marRight w:val="0"/>
      <w:marTop w:val="0"/>
      <w:marBottom w:val="0"/>
      <w:divBdr>
        <w:top w:val="none" w:sz="0" w:space="0" w:color="auto"/>
        <w:left w:val="none" w:sz="0" w:space="0" w:color="auto"/>
        <w:bottom w:val="none" w:sz="0" w:space="0" w:color="auto"/>
        <w:right w:val="none" w:sz="0" w:space="0" w:color="auto"/>
      </w:divBdr>
    </w:div>
    <w:div w:id="816410699">
      <w:bodyDiv w:val="1"/>
      <w:marLeft w:val="0"/>
      <w:marRight w:val="0"/>
      <w:marTop w:val="0"/>
      <w:marBottom w:val="0"/>
      <w:divBdr>
        <w:top w:val="none" w:sz="0" w:space="0" w:color="auto"/>
        <w:left w:val="none" w:sz="0" w:space="0" w:color="auto"/>
        <w:bottom w:val="none" w:sz="0" w:space="0" w:color="auto"/>
        <w:right w:val="none" w:sz="0" w:space="0" w:color="auto"/>
      </w:divBdr>
      <w:divsChild>
        <w:div w:id="232158434">
          <w:marLeft w:val="0"/>
          <w:marRight w:val="0"/>
          <w:marTop w:val="0"/>
          <w:marBottom w:val="0"/>
          <w:divBdr>
            <w:top w:val="none" w:sz="0" w:space="0" w:color="auto"/>
            <w:left w:val="none" w:sz="0" w:space="0" w:color="auto"/>
            <w:bottom w:val="none" w:sz="0" w:space="0" w:color="auto"/>
            <w:right w:val="none" w:sz="0" w:space="0" w:color="auto"/>
          </w:divBdr>
          <w:divsChild>
            <w:div w:id="1337803968">
              <w:marLeft w:val="0"/>
              <w:marRight w:val="0"/>
              <w:marTop w:val="0"/>
              <w:marBottom w:val="0"/>
              <w:divBdr>
                <w:top w:val="none" w:sz="0" w:space="0" w:color="auto"/>
                <w:left w:val="none" w:sz="0" w:space="0" w:color="auto"/>
                <w:bottom w:val="none" w:sz="0" w:space="0" w:color="auto"/>
                <w:right w:val="none" w:sz="0" w:space="0" w:color="auto"/>
              </w:divBdr>
              <w:divsChild>
                <w:div w:id="141158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7151">
      <w:bodyDiv w:val="1"/>
      <w:marLeft w:val="0"/>
      <w:marRight w:val="0"/>
      <w:marTop w:val="0"/>
      <w:marBottom w:val="0"/>
      <w:divBdr>
        <w:top w:val="none" w:sz="0" w:space="0" w:color="auto"/>
        <w:left w:val="none" w:sz="0" w:space="0" w:color="auto"/>
        <w:bottom w:val="none" w:sz="0" w:space="0" w:color="auto"/>
        <w:right w:val="none" w:sz="0" w:space="0" w:color="auto"/>
      </w:divBdr>
    </w:div>
    <w:div w:id="901673658">
      <w:bodyDiv w:val="1"/>
      <w:marLeft w:val="0"/>
      <w:marRight w:val="0"/>
      <w:marTop w:val="0"/>
      <w:marBottom w:val="0"/>
      <w:divBdr>
        <w:top w:val="none" w:sz="0" w:space="0" w:color="auto"/>
        <w:left w:val="none" w:sz="0" w:space="0" w:color="auto"/>
        <w:bottom w:val="none" w:sz="0" w:space="0" w:color="auto"/>
        <w:right w:val="none" w:sz="0" w:space="0" w:color="auto"/>
      </w:divBdr>
    </w:div>
    <w:div w:id="932467858">
      <w:bodyDiv w:val="1"/>
      <w:marLeft w:val="0"/>
      <w:marRight w:val="0"/>
      <w:marTop w:val="0"/>
      <w:marBottom w:val="0"/>
      <w:divBdr>
        <w:top w:val="none" w:sz="0" w:space="0" w:color="auto"/>
        <w:left w:val="none" w:sz="0" w:space="0" w:color="auto"/>
        <w:bottom w:val="none" w:sz="0" w:space="0" w:color="auto"/>
        <w:right w:val="none" w:sz="0" w:space="0" w:color="auto"/>
      </w:divBdr>
    </w:div>
    <w:div w:id="933126585">
      <w:bodyDiv w:val="1"/>
      <w:marLeft w:val="0"/>
      <w:marRight w:val="0"/>
      <w:marTop w:val="0"/>
      <w:marBottom w:val="0"/>
      <w:divBdr>
        <w:top w:val="none" w:sz="0" w:space="0" w:color="auto"/>
        <w:left w:val="none" w:sz="0" w:space="0" w:color="auto"/>
        <w:bottom w:val="none" w:sz="0" w:space="0" w:color="auto"/>
        <w:right w:val="none" w:sz="0" w:space="0" w:color="auto"/>
      </w:divBdr>
    </w:div>
    <w:div w:id="937715469">
      <w:bodyDiv w:val="1"/>
      <w:marLeft w:val="0"/>
      <w:marRight w:val="0"/>
      <w:marTop w:val="0"/>
      <w:marBottom w:val="0"/>
      <w:divBdr>
        <w:top w:val="none" w:sz="0" w:space="0" w:color="auto"/>
        <w:left w:val="none" w:sz="0" w:space="0" w:color="auto"/>
        <w:bottom w:val="none" w:sz="0" w:space="0" w:color="auto"/>
        <w:right w:val="none" w:sz="0" w:space="0" w:color="auto"/>
      </w:divBdr>
    </w:div>
    <w:div w:id="939676729">
      <w:bodyDiv w:val="1"/>
      <w:marLeft w:val="0"/>
      <w:marRight w:val="0"/>
      <w:marTop w:val="0"/>
      <w:marBottom w:val="0"/>
      <w:divBdr>
        <w:top w:val="none" w:sz="0" w:space="0" w:color="auto"/>
        <w:left w:val="none" w:sz="0" w:space="0" w:color="auto"/>
        <w:bottom w:val="none" w:sz="0" w:space="0" w:color="auto"/>
        <w:right w:val="none" w:sz="0" w:space="0" w:color="auto"/>
      </w:divBdr>
    </w:div>
    <w:div w:id="941376504">
      <w:bodyDiv w:val="1"/>
      <w:marLeft w:val="0"/>
      <w:marRight w:val="0"/>
      <w:marTop w:val="0"/>
      <w:marBottom w:val="0"/>
      <w:divBdr>
        <w:top w:val="none" w:sz="0" w:space="0" w:color="auto"/>
        <w:left w:val="none" w:sz="0" w:space="0" w:color="auto"/>
        <w:bottom w:val="none" w:sz="0" w:space="0" w:color="auto"/>
        <w:right w:val="none" w:sz="0" w:space="0" w:color="auto"/>
      </w:divBdr>
    </w:div>
    <w:div w:id="954755376">
      <w:bodyDiv w:val="1"/>
      <w:marLeft w:val="0"/>
      <w:marRight w:val="0"/>
      <w:marTop w:val="0"/>
      <w:marBottom w:val="0"/>
      <w:divBdr>
        <w:top w:val="none" w:sz="0" w:space="0" w:color="auto"/>
        <w:left w:val="none" w:sz="0" w:space="0" w:color="auto"/>
        <w:bottom w:val="none" w:sz="0" w:space="0" w:color="auto"/>
        <w:right w:val="none" w:sz="0" w:space="0" w:color="auto"/>
      </w:divBdr>
    </w:div>
    <w:div w:id="974527350">
      <w:bodyDiv w:val="1"/>
      <w:marLeft w:val="0"/>
      <w:marRight w:val="0"/>
      <w:marTop w:val="0"/>
      <w:marBottom w:val="0"/>
      <w:divBdr>
        <w:top w:val="none" w:sz="0" w:space="0" w:color="auto"/>
        <w:left w:val="none" w:sz="0" w:space="0" w:color="auto"/>
        <w:bottom w:val="none" w:sz="0" w:space="0" w:color="auto"/>
        <w:right w:val="none" w:sz="0" w:space="0" w:color="auto"/>
      </w:divBdr>
    </w:div>
    <w:div w:id="998535819">
      <w:bodyDiv w:val="1"/>
      <w:marLeft w:val="0"/>
      <w:marRight w:val="0"/>
      <w:marTop w:val="0"/>
      <w:marBottom w:val="0"/>
      <w:divBdr>
        <w:top w:val="none" w:sz="0" w:space="0" w:color="auto"/>
        <w:left w:val="none" w:sz="0" w:space="0" w:color="auto"/>
        <w:bottom w:val="none" w:sz="0" w:space="0" w:color="auto"/>
        <w:right w:val="none" w:sz="0" w:space="0" w:color="auto"/>
      </w:divBdr>
      <w:divsChild>
        <w:div w:id="1582371669">
          <w:marLeft w:val="0"/>
          <w:marRight w:val="0"/>
          <w:marTop w:val="120"/>
          <w:marBottom w:val="120"/>
          <w:divBdr>
            <w:top w:val="none" w:sz="0" w:space="0" w:color="auto"/>
            <w:left w:val="none" w:sz="0" w:space="0" w:color="auto"/>
            <w:bottom w:val="none" w:sz="0" w:space="0" w:color="auto"/>
            <w:right w:val="none" w:sz="0" w:space="0" w:color="auto"/>
          </w:divBdr>
          <w:divsChild>
            <w:div w:id="1431854296">
              <w:marLeft w:val="0"/>
              <w:marRight w:val="0"/>
              <w:marTop w:val="0"/>
              <w:marBottom w:val="0"/>
              <w:divBdr>
                <w:top w:val="none" w:sz="0" w:space="0" w:color="auto"/>
                <w:left w:val="none" w:sz="0" w:space="0" w:color="auto"/>
                <w:bottom w:val="none" w:sz="0" w:space="0" w:color="auto"/>
                <w:right w:val="none" w:sz="0" w:space="0" w:color="auto"/>
              </w:divBdr>
            </w:div>
          </w:divsChild>
        </w:div>
        <w:div w:id="190846579">
          <w:marLeft w:val="0"/>
          <w:marRight w:val="0"/>
          <w:marTop w:val="0"/>
          <w:marBottom w:val="120"/>
          <w:divBdr>
            <w:top w:val="none" w:sz="0" w:space="0" w:color="auto"/>
            <w:left w:val="none" w:sz="0" w:space="0" w:color="auto"/>
            <w:bottom w:val="none" w:sz="0" w:space="0" w:color="auto"/>
            <w:right w:val="none" w:sz="0" w:space="0" w:color="auto"/>
          </w:divBdr>
          <w:divsChild>
            <w:div w:id="6472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4996">
      <w:bodyDiv w:val="1"/>
      <w:marLeft w:val="0"/>
      <w:marRight w:val="0"/>
      <w:marTop w:val="0"/>
      <w:marBottom w:val="0"/>
      <w:divBdr>
        <w:top w:val="none" w:sz="0" w:space="0" w:color="auto"/>
        <w:left w:val="none" w:sz="0" w:space="0" w:color="auto"/>
        <w:bottom w:val="none" w:sz="0" w:space="0" w:color="auto"/>
        <w:right w:val="none" w:sz="0" w:space="0" w:color="auto"/>
      </w:divBdr>
    </w:div>
    <w:div w:id="1036738959">
      <w:bodyDiv w:val="1"/>
      <w:marLeft w:val="0"/>
      <w:marRight w:val="0"/>
      <w:marTop w:val="0"/>
      <w:marBottom w:val="0"/>
      <w:divBdr>
        <w:top w:val="none" w:sz="0" w:space="0" w:color="auto"/>
        <w:left w:val="none" w:sz="0" w:space="0" w:color="auto"/>
        <w:bottom w:val="none" w:sz="0" w:space="0" w:color="auto"/>
        <w:right w:val="none" w:sz="0" w:space="0" w:color="auto"/>
      </w:divBdr>
    </w:div>
    <w:div w:id="1046875568">
      <w:bodyDiv w:val="1"/>
      <w:marLeft w:val="0"/>
      <w:marRight w:val="0"/>
      <w:marTop w:val="0"/>
      <w:marBottom w:val="0"/>
      <w:divBdr>
        <w:top w:val="none" w:sz="0" w:space="0" w:color="auto"/>
        <w:left w:val="none" w:sz="0" w:space="0" w:color="auto"/>
        <w:bottom w:val="none" w:sz="0" w:space="0" w:color="auto"/>
        <w:right w:val="none" w:sz="0" w:space="0" w:color="auto"/>
      </w:divBdr>
      <w:divsChild>
        <w:div w:id="1765883146">
          <w:marLeft w:val="0"/>
          <w:marRight w:val="0"/>
          <w:marTop w:val="0"/>
          <w:marBottom w:val="0"/>
          <w:divBdr>
            <w:top w:val="none" w:sz="0" w:space="0" w:color="auto"/>
            <w:left w:val="none" w:sz="0" w:space="0" w:color="auto"/>
            <w:bottom w:val="none" w:sz="0" w:space="0" w:color="auto"/>
            <w:right w:val="none" w:sz="0" w:space="0" w:color="auto"/>
          </w:divBdr>
          <w:divsChild>
            <w:div w:id="1214732987">
              <w:marLeft w:val="0"/>
              <w:marRight w:val="0"/>
              <w:marTop w:val="0"/>
              <w:marBottom w:val="0"/>
              <w:divBdr>
                <w:top w:val="none" w:sz="0" w:space="0" w:color="auto"/>
                <w:left w:val="none" w:sz="0" w:space="0" w:color="auto"/>
                <w:bottom w:val="none" w:sz="0" w:space="0" w:color="auto"/>
                <w:right w:val="none" w:sz="0" w:space="0" w:color="auto"/>
              </w:divBdr>
              <w:divsChild>
                <w:div w:id="589043789">
                  <w:marLeft w:val="0"/>
                  <w:marRight w:val="0"/>
                  <w:marTop w:val="0"/>
                  <w:marBottom w:val="0"/>
                  <w:divBdr>
                    <w:top w:val="none" w:sz="0" w:space="0" w:color="auto"/>
                    <w:left w:val="none" w:sz="0" w:space="0" w:color="auto"/>
                    <w:bottom w:val="none" w:sz="0" w:space="0" w:color="auto"/>
                    <w:right w:val="none" w:sz="0" w:space="0" w:color="auto"/>
                  </w:divBdr>
                  <w:divsChild>
                    <w:div w:id="7917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54862">
      <w:bodyDiv w:val="1"/>
      <w:marLeft w:val="0"/>
      <w:marRight w:val="0"/>
      <w:marTop w:val="0"/>
      <w:marBottom w:val="0"/>
      <w:divBdr>
        <w:top w:val="none" w:sz="0" w:space="0" w:color="auto"/>
        <w:left w:val="none" w:sz="0" w:space="0" w:color="auto"/>
        <w:bottom w:val="none" w:sz="0" w:space="0" w:color="auto"/>
        <w:right w:val="none" w:sz="0" w:space="0" w:color="auto"/>
      </w:divBdr>
    </w:div>
    <w:div w:id="1089816314">
      <w:bodyDiv w:val="1"/>
      <w:marLeft w:val="0"/>
      <w:marRight w:val="0"/>
      <w:marTop w:val="0"/>
      <w:marBottom w:val="0"/>
      <w:divBdr>
        <w:top w:val="none" w:sz="0" w:space="0" w:color="auto"/>
        <w:left w:val="none" w:sz="0" w:space="0" w:color="auto"/>
        <w:bottom w:val="none" w:sz="0" w:space="0" w:color="auto"/>
        <w:right w:val="none" w:sz="0" w:space="0" w:color="auto"/>
      </w:divBdr>
    </w:div>
    <w:div w:id="1099066427">
      <w:bodyDiv w:val="1"/>
      <w:marLeft w:val="0"/>
      <w:marRight w:val="0"/>
      <w:marTop w:val="0"/>
      <w:marBottom w:val="0"/>
      <w:divBdr>
        <w:top w:val="none" w:sz="0" w:space="0" w:color="auto"/>
        <w:left w:val="none" w:sz="0" w:space="0" w:color="auto"/>
        <w:bottom w:val="none" w:sz="0" w:space="0" w:color="auto"/>
        <w:right w:val="none" w:sz="0" w:space="0" w:color="auto"/>
      </w:divBdr>
    </w:div>
    <w:div w:id="1099907042">
      <w:bodyDiv w:val="1"/>
      <w:marLeft w:val="0"/>
      <w:marRight w:val="0"/>
      <w:marTop w:val="0"/>
      <w:marBottom w:val="0"/>
      <w:divBdr>
        <w:top w:val="none" w:sz="0" w:space="0" w:color="auto"/>
        <w:left w:val="none" w:sz="0" w:space="0" w:color="auto"/>
        <w:bottom w:val="none" w:sz="0" w:space="0" w:color="auto"/>
        <w:right w:val="none" w:sz="0" w:space="0" w:color="auto"/>
      </w:divBdr>
      <w:divsChild>
        <w:div w:id="2032756475">
          <w:marLeft w:val="0"/>
          <w:marRight w:val="0"/>
          <w:marTop w:val="0"/>
          <w:marBottom w:val="0"/>
          <w:divBdr>
            <w:top w:val="none" w:sz="0" w:space="0" w:color="auto"/>
            <w:left w:val="none" w:sz="0" w:space="0" w:color="auto"/>
            <w:bottom w:val="none" w:sz="0" w:space="0" w:color="auto"/>
            <w:right w:val="none" w:sz="0" w:space="0" w:color="auto"/>
          </w:divBdr>
          <w:divsChild>
            <w:div w:id="242109588">
              <w:marLeft w:val="0"/>
              <w:marRight w:val="0"/>
              <w:marTop w:val="0"/>
              <w:marBottom w:val="0"/>
              <w:divBdr>
                <w:top w:val="none" w:sz="0" w:space="0" w:color="auto"/>
                <w:left w:val="none" w:sz="0" w:space="0" w:color="auto"/>
                <w:bottom w:val="none" w:sz="0" w:space="0" w:color="auto"/>
                <w:right w:val="none" w:sz="0" w:space="0" w:color="auto"/>
              </w:divBdr>
              <w:divsChild>
                <w:div w:id="5516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0964">
      <w:bodyDiv w:val="1"/>
      <w:marLeft w:val="0"/>
      <w:marRight w:val="0"/>
      <w:marTop w:val="0"/>
      <w:marBottom w:val="0"/>
      <w:divBdr>
        <w:top w:val="none" w:sz="0" w:space="0" w:color="auto"/>
        <w:left w:val="none" w:sz="0" w:space="0" w:color="auto"/>
        <w:bottom w:val="none" w:sz="0" w:space="0" w:color="auto"/>
        <w:right w:val="none" w:sz="0" w:space="0" w:color="auto"/>
      </w:divBdr>
    </w:div>
    <w:div w:id="1129082876">
      <w:bodyDiv w:val="1"/>
      <w:marLeft w:val="0"/>
      <w:marRight w:val="0"/>
      <w:marTop w:val="0"/>
      <w:marBottom w:val="0"/>
      <w:divBdr>
        <w:top w:val="none" w:sz="0" w:space="0" w:color="auto"/>
        <w:left w:val="none" w:sz="0" w:space="0" w:color="auto"/>
        <w:bottom w:val="none" w:sz="0" w:space="0" w:color="auto"/>
        <w:right w:val="none" w:sz="0" w:space="0" w:color="auto"/>
      </w:divBdr>
    </w:div>
    <w:div w:id="1142768902">
      <w:bodyDiv w:val="1"/>
      <w:marLeft w:val="0"/>
      <w:marRight w:val="0"/>
      <w:marTop w:val="0"/>
      <w:marBottom w:val="0"/>
      <w:divBdr>
        <w:top w:val="none" w:sz="0" w:space="0" w:color="auto"/>
        <w:left w:val="none" w:sz="0" w:space="0" w:color="auto"/>
        <w:bottom w:val="none" w:sz="0" w:space="0" w:color="auto"/>
        <w:right w:val="none" w:sz="0" w:space="0" w:color="auto"/>
      </w:divBdr>
      <w:divsChild>
        <w:div w:id="206242">
          <w:marLeft w:val="0"/>
          <w:marRight w:val="0"/>
          <w:marTop w:val="0"/>
          <w:marBottom w:val="0"/>
          <w:divBdr>
            <w:top w:val="none" w:sz="0" w:space="0" w:color="auto"/>
            <w:left w:val="none" w:sz="0" w:space="0" w:color="auto"/>
            <w:bottom w:val="none" w:sz="0" w:space="0" w:color="auto"/>
            <w:right w:val="none" w:sz="0" w:space="0" w:color="auto"/>
          </w:divBdr>
          <w:divsChild>
            <w:div w:id="1143624910">
              <w:marLeft w:val="0"/>
              <w:marRight w:val="0"/>
              <w:marTop w:val="0"/>
              <w:marBottom w:val="0"/>
              <w:divBdr>
                <w:top w:val="none" w:sz="0" w:space="0" w:color="auto"/>
                <w:left w:val="none" w:sz="0" w:space="0" w:color="auto"/>
                <w:bottom w:val="none" w:sz="0" w:space="0" w:color="auto"/>
                <w:right w:val="none" w:sz="0" w:space="0" w:color="auto"/>
              </w:divBdr>
              <w:divsChild>
                <w:div w:id="267198057">
                  <w:marLeft w:val="0"/>
                  <w:marRight w:val="0"/>
                  <w:marTop w:val="0"/>
                  <w:marBottom w:val="0"/>
                  <w:divBdr>
                    <w:top w:val="none" w:sz="0" w:space="0" w:color="auto"/>
                    <w:left w:val="none" w:sz="0" w:space="0" w:color="auto"/>
                    <w:bottom w:val="none" w:sz="0" w:space="0" w:color="auto"/>
                    <w:right w:val="none" w:sz="0" w:space="0" w:color="auto"/>
                  </w:divBdr>
                  <w:divsChild>
                    <w:div w:id="1482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06961">
      <w:bodyDiv w:val="1"/>
      <w:marLeft w:val="0"/>
      <w:marRight w:val="0"/>
      <w:marTop w:val="0"/>
      <w:marBottom w:val="0"/>
      <w:divBdr>
        <w:top w:val="none" w:sz="0" w:space="0" w:color="auto"/>
        <w:left w:val="none" w:sz="0" w:space="0" w:color="auto"/>
        <w:bottom w:val="none" w:sz="0" w:space="0" w:color="auto"/>
        <w:right w:val="none" w:sz="0" w:space="0" w:color="auto"/>
      </w:divBdr>
    </w:div>
    <w:div w:id="1170565204">
      <w:bodyDiv w:val="1"/>
      <w:marLeft w:val="0"/>
      <w:marRight w:val="0"/>
      <w:marTop w:val="0"/>
      <w:marBottom w:val="0"/>
      <w:divBdr>
        <w:top w:val="none" w:sz="0" w:space="0" w:color="auto"/>
        <w:left w:val="none" w:sz="0" w:space="0" w:color="auto"/>
        <w:bottom w:val="none" w:sz="0" w:space="0" w:color="auto"/>
        <w:right w:val="none" w:sz="0" w:space="0" w:color="auto"/>
      </w:divBdr>
    </w:div>
    <w:div w:id="1205874501">
      <w:bodyDiv w:val="1"/>
      <w:marLeft w:val="0"/>
      <w:marRight w:val="0"/>
      <w:marTop w:val="0"/>
      <w:marBottom w:val="0"/>
      <w:divBdr>
        <w:top w:val="none" w:sz="0" w:space="0" w:color="auto"/>
        <w:left w:val="none" w:sz="0" w:space="0" w:color="auto"/>
        <w:bottom w:val="none" w:sz="0" w:space="0" w:color="auto"/>
        <w:right w:val="none" w:sz="0" w:space="0" w:color="auto"/>
      </w:divBdr>
    </w:div>
    <w:div w:id="1207139070">
      <w:bodyDiv w:val="1"/>
      <w:marLeft w:val="0"/>
      <w:marRight w:val="0"/>
      <w:marTop w:val="0"/>
      <w:marBottom w:val="0"/>
      <w:divBdr>
        <w:top w:val="none" w:sz="0" w:space="0" w:color="auto"/>
        <w:left w:val="none" w:sz="0" w:space="0" w:color="auto"/>
        <w:bottom w:val="none" w:sz="0" w:space="0" w:color="auto"/>
        <w:right w:val="none" w:sz="0" w:space="0" w:color="auto"/>
      </w:divBdr>
    </w:div>
    <w:div w:id="1261793452">
      <w:bodyDiv w:val="1"/>
      <w:marLeft w:val="0"/>
      <w:marRight w:val="0"/>
      <w:marTop w:val="0"/>
      <w:marBottom w:val="0"/>
      <w:divBdr>
        <w:top w:val="none" w:sz="0" w:space="0" w:color="auto"/>
        <w:left w:val="none" w:sz="0" w:space="0" w:color="auto"/>
        <w:bottom w:val="none" w:sz="0" w:space="0" w:color="auto"/>
        <w:right w:val="none" w:sz="0" w:space="0" w:color="auto"/>
      </w:divBdr>
    </w:div>
    <w:div w:id="1267542854">
      <w:bodyDiv w:val="1"/>
      <w:marLeft w:val="0"/>
      <w:marRight w:val="0"/>
      <w:marTop w:val="0"/>
      <w:marBottom w:val="0"/>
      <w:divBdr>
        <w:top w:val="none" w:sz="0" w:space="0" w:color="auto"/>
        <w:left w:val="none" w:sz="0" w:space="0" w:color="auto"/>
        <w:bottom w:val="none" w:sz="0" w:space="0" w:color="auto"/>
        <w:right w:val="none" w:sz="0" w:space="0" w:color="auto"/>
      </w:divBdr>
    </w:div>
    <w:div w:id="1279216317">
      <w:bodyDiv w:val="1"/>
      <w:marLeft w:val="0"/>
      <w:marRight w:val="0"/>
      <w:marTop w:val="0"/>
      <w:marBottom w:val="0"/>
      <w:divBdr>
        <w:top w:val="none" w:sz="0" w:space="0" w:color="auto"/>
        <w:left w:val="none" w:sz="0" w:space="0" w:color="auto"/>
        <w:bottom w:val="none" w:sz="0" w:space="0" w:color="auto"/>
        <w:right w:val="none" w:sz="0" w:space="0" w:color="auto"/>
      </w:divBdr>
      <w:divsChild>
        <w:div w:id="25912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966155">
      <w:bodyDiv w:val="1"/>
      <w:marLeft w:val="0"/>
      <w:marRight w:val="0"/>
      <w:marTop w:val="0"/>
      <w:marBottom w:val="0"/>
      <w:divBdr>
        <w:top w:val="none" w:sz="0" w:space="0" w:color="auto"/>
        <w:left w:val="none" w:sz="0" w:space="0" w:color="auto"/>
        <w:bottom w:val="none" w:sz="0" w:space="0" w:color="auto"/>
        <w:right w:val="none" w:sz="0" w:space="0" w:color="auto"/>
      </w:divBdr>
    </w:div>
    <w:div w:id="128695894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58236228">
      <w:bodyDiv w:val="1"/>
      <w:marLeft w:val="0"/>
      <w:marRight w:val="0"/>
      <w:marTop w:val="0"/>
      <w:marBottom w:val="0"/>
      <w:divBdr>
        <w:top w:val="none" w:sz="0" w:space="0" w:color="auto"/>
        <w:left w:val="none" w:sz="0" w:space="0" w:color="auto"/>
        <w:bottom w:val="none" w:sz="0" w:space="0" w:color="auto"/>
        <w:right w:val="none" w:sz="0" w:space="0" w:color="auto"/>
      </w:divBdr>
    </w:div>
    <w:div w:id="1386833543">
      <w:bodyDiv w:val="1"/>
      <w:marLeft w:val="0"/>
      <w:marRight w:val="0"/>
      <w:marTop w:val="0"/>
      <w:marBottom w:val="0"/>
      <w:divBdr>
        <w:top w:val="none" w:sz="0" w:space="0" w:color="auto"/>
        <w:left w:val="none" w:sz="0" w:space="0" w:color="auto"/>
        <w:bottom w:val="none" w:sz="0" w:space="0" w:color="auto"/>
        <w:right w:val="none" w:sz="0" w:space="0" w:color="auto"/>
      </w:divBdr>
    </w:div>
    <w:div w:id="1432697115">
      <w:bodyDiv w:val="1"/>
      <w:marLeft w:val="0"/>
      <w:marRight w:val="0"/>
      <w:marTop w:val="0"/>
      <w:marBottom w:val="0"/>
      <w:divBdr>
        <w:top w:val="none" w:sz="0" w:space="0" w:color="auto"/>
        <w:left w:val="none" w:sz="0" w:space="0" w:color="auto"/>
        <w:bottom w:val="none" w:sz="0" w:space="0" w:color="auto"/>
        <w:right w:val="none" w:sz="0" w:space="0" w:color="auto"/>
      </w:divBdr>
    </w:div>
    <w:div w:id="1460761140">
      <w:bodyDiv w:val="1"/>
      <w:marLeft w:val="0"/>
      <w:marRight w:val="0"/>
      <w:marTop w:val="0"/>
      <w:marBottom w:val="0"/>
      <w:divBdr>
        <w:top w:val="none" w:sz="0" w:space="0" w:color="auto"/>
        <w:left w:val="none" w:sz="0" w:space="0" w:color="auto"/>
        <w:bottom w:val="none" w:sz="0" w:space="0" w:color="auto"/>
        <w:right w:val="none" w:sz="0" w:space="0" w:color="auto"/>
      </w:divBdr>
    </w:div>
    <w:div w:id="1502820155">
      <w:bodyDiv w:val="1"/>
      <w:marLeft w:val="0"/>
      <w:marRight w:val="0"/>
      <w:marTop w:val="0"/>
      <w:marBottom w:val="0"/>
      <w:divBdr>
        <w:top w:val="none" w:sz="0" w:space="0" w:color="auto"/>
        <w:left w:val="none" w:sz="0" w:space="0" w:color="auto"/>
        <w:bottom w:val="none" w:sz="0" w:space="0" w:color="auto"/>
        <w:right w:val="none" w:sz="0" w:space="0" w:color="auto"/>
      </w:divBdr>
      <w:divsChild>
        <w:div w:id="1332176088">
          <w:marLeft w:val="0"/>
          <w:marRight w:val="0"/>
          <w:marTop w:val="0"/>
          <w:marBottom w:val="0"/>
          <w:divBdr>
            <w:top w:val="none" w:sz="0" w:space="0" w:color="auto"/>
            <w:left w:val="none" w:sz="0" w:space="0" w:color="auto"/>
            <w:bottom w:val="none" w:sz="0" w:space="0" w:color="auto"/>
            <w:right w:val="none" w:sz="0" w:space="0" w:color="auto"/>
          </w:divBdr>
          <w:divsChild>
            <w:div w:id="2085176547">
              <w:marLeft w:val="0"/>
              <w:marRight w:val="0"/>
              <w:marTop w:val="0"/>
              <w:marBottom w:val="0"/>
              <w:divBdr>
                <w:top w:val="none" w:sz="0" w:space="0" w:color="auto"/>
                <w:left w:val="none" w:sz="0" w:space="0" w:color="auto"/>
                <w:bottom w:val="none" w:sz="0" w:space="0" w:color="auto"/>
                <w:right w:val="none" w:sz="0" w:space="0" w:color="auto"/>
              </w:divBdr>
              <w:divsChild>
                <w:div w:id="13598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09482">
      <w:bodyDiv w:val="1"/>
      <w:marLeft w:val="0"/>
      <w:marRight w:val="0"/>
      <w:marTop w:val="0"/>
      <w:marBottom w:val="0"/>
      <w:divBdr>
        <w:top w:val="none" w:sz="0" w:space="0" w:color="auto"/>
        <w:left w:val="none" w:sz="0" w:space="0" w:color="auto"/>
        <w:bottom w:val="none" w:sz="0" w:space="0" w:color="auto"/>
        <w:right w:val="none" w:sz="0" w:space="0" w:color="auto"/>
      </w:divBdr>
    </w:div>
    <w:div w:id="1510022868">
      <w:bodyDiv w:val="1"/>
      <w:marLeft w:val="0"/>
      <w:marRight w:val="0"/>
      <w:marTop w:val="0"/>
      <w:marBottom w:val="0"/>
      <w:divBdr>
        <w:top w:val="none" w:sz="0" w:space="0" w:color="auto"/>
        <w:left w:val="none" w:sz="0" w:space="0" w:color="auto"/>
        <w:bottom w:val="none" w:sz="0" w:space="0" w:color="auto"/>
        <w:right w:val="none" w:sz="0" w:space="0" w:color="auto"/>
      </w:divBdr>
    </w:div>
    <w:div w:id="1513495103">
      <w:bodyDiv w:val="1"/>
      <w:marLeft w:val="0"/>
      <w:marRight w:val="0"/>
      <w:marTop w:val="0"/>
      <w:marBottom w:val="0"/>
      <w:divBdr>
        <w:top w:val="none" w:sz="0" w:space="0" w:color="auto"/>
        <w:left w:val="none" w:sz="0" w:space="0" w:color="auto"/>
        <w:bottom w:val="none" w:sz="0" w:space="0" w:color="auto"/>
        <w:right w:val="none" w:sz="0" w:space="0" w:color="auto"/>
      </w:divBdr>
      <w:divsChild>
        <w:div w:id="651714656">
          <w:marLeft w:val="0"/>
          <w:marRight w:val="0"/>
          <w:marTop w:val="0"/>
          <w:marBottom w:val="0"/>
          <w:divBdr>
            <w:top w:val="none" w:sz="0" w:space="0" w:color="auto"/>
            <w:left w:val="none" w:sz="0" w:space="0" w:color="auto"/>
            <w:bottom w:val="none" w:sz="0" w:space="0" w:color="auto"/>
            <w:right w:val="none" w:sz="0" w:space="0" w:color="auto"/>
          </w:divBdr>
          <w:divsChild>
            <w:div w:id="691537461">
              <w:marLeft w:val="0"/>
              <w:marRight w:val="0"/>
              <w:marTop w:val="0"/>
              <w:marBottom w:val="0"/>
              <w:divBdr>
                <w:top w:val="none" w:sz="0" w:space="0" w:color="auto"/>
                <w:left w:val="none" w:sz="0" w:space="0" w:color="auto"/>
                <w:bottom w:val="none" w:sz="0" w:space="0" w:color="auto"/>
                <w:right w:val="none" w:sz="0" w:space="0" w:color="auto"/>
              </w:divBdr>
              <w:divsChild>
                <w:div w:id="5153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78415">
      <w:bodyDiv w:val="1"/>
      <w:marLeft w:val="0"/>
      <w:marRight w:val="0"/>
      <w:marTop w:val="0"/>
      <w:marBottom w:val="0"/>
      <w:divBdr>
        <w:top w:val="none" w:sz="0" w:space="0" w:color="auto"/>
        <w:left w:val="none" w:sz="0" w:space="0" w:color="auto"/>
        <w:bottom w:val="none" w:sz="0" w:space="0" w:color="auto"/>
        <w:right w:val="none" w:sz="0" w:space="0" w:color="auto"/>
      </w:divBdr>
    </w:div>
    <w:div w:id="1519924469">
      <w:bodyDiv w:val="1"/>
      <w:marLeft w:val="0"/>
      <w:marRight w:val="0"/>
      <w:marTop w:val="0"/>
      <w:marBottom w:val="0"/>
      <w:divBdr>
        <w:top w:val="none" w:sz="0" w:space="0" w:color="auto"/>
        <w:left w:val="none" w:sz="0" w:space="0" w:color="auto"/>
        <w:bottom w:val="none" w:sz="0" w:space="0" w:color="auto"/>
        <w:right w:val="none" w:sz="0" w:space="0" w:color="auto"/>
      </w:divBdr>
    </w:div>
    <w:div w:id="1522891932">
      <w:bodyDiv w:val="1"/>
      <w:marLeft w:val="0"/>
      <w:marRight w:val="0"/>
      <w:marTop w:val="0"/>
      <w:marBottom w:val="0"/>
      <w:divBdr>
        <w:top w:val="none" w:sz="0" w:space="0" w:color="auto"/>
        <w:left w:val="none" w:sz="0" w:space="0" w:color="auto"/>
        <w:bottom w:val="none" w:sz="0" w:space="0" w:color="auto"/>
        <w:right w:val="none" w:sz="0" w:space="0" w:color="auto"/>
      </w:divBdr>
    </w:div>
    <w:div w:id="1553615896">
      <w:bodyDiv w:val="1"/>
      <w:marLeft w:val="0"/>
      <w:marRight w:val="0"/>
      <w:marTop w:val="0"/>
      <w:marBottom w:val="0"/>
      <w:divBdr>
        <w:top w:val="none" w:sz="0" w:space="0" w:color="auto"/>
        <w:left w:val="none" w:sz="0" w:space="0" w:color="auto"/>
        <w:bottom w:val="none" w:sz="0" w:space="0" w:color="auto"/>
        <w:right w:val="none" w:sz="0" w:space="0" w:color="auto"/>
      </w:divBdr>
    </w:div>
    <w:div w:id="1563558216">
      <w:bodyDiv w:val="1"/>
      <w:marLeft w:val="0"/>
      <w:marRight w:val="0"/>
      <w:marTop w:val="0"/>
      <w:marBottom w:val="0"/>
      <w:divBdr>
        <w:top w:val="none" w:sz="0" w:space="0" w:color="auto"/>
        <w:left w:val="none" w:sz="0" w:space="0" w:color="auto"/>
        <w:bottom w:val="none" w:sz="0" w:space="0" w:color="auto"/>
        <w:right w:val="none" w:sz="0" w:space="0" w:color="auto"/>
      </w:divBdr>
    </w:div>
    <w:div w:id="1567372477">
      <w:bodyDiv w:val="1"/>
      <w:marLeft w:val="0"/>
      <w:marRight w:val="0"/>
      <w:marTop w:val="0"/>
      <w:marBottom w:val="0"/>
      <w:divBdr>
        <w:top w:val="none" w:sz="0" w:space="0" w:color="auto"/>
        <w:left w:val="none" w:sz="0" w:space="0" w:color="auto"/>
        <w:bottom w:val="none" w:sz="0" w:space="0" w:color="auto"/>
        <w:right w:val="none" w:sz="0" w:space="0" w:color="auto"/>
      </w:divBdr>
    </w:div>
    <w:div w:id="1594165652">
      <w:bodyDiv w:val="1"/>
      <w:marLeft w:val="0"/>
      <w:marRight w:val="0"/>
      <w:marTop w:val="0"/>
      <w:marBottom w:val="0"/>
      <w:divBdr>
        <w:top w:val="none" w:sz="0" w:space="0" w:color="auto"/>
        <w:left w:val="none" w:sz="0" w:space="0" w:color="auto"/>
        <w:bottom w:val="none" w:sz="0" w:space="0" w:color="auto"/>
        <w:right w:val="none" w:sz="0" w:space="0" w:color="auto"/>
      </w:divBdr>
    </w:div>
    <w:div w:id="1609851624">
      <w:bodyDiv w:val="1"/>
      <w:marLeft w:val="0"/>
      <w:marRight w:val="0"/>
      <w:marTop w:val="0"/>
      <w:marBottom w:val="0"/>
      <w:divBdr>
        <w:top w:val="none" w:sz="0" w:space="0" w:color="auto"/>
        <w:left w:val="none" w:sz="0" w:space="0" w:color="auto"/>
        <w:bottom w:val="none" w:sz="0" w:space="0" w:color="auto"/>
        <w:right w:val="none" w:sz="0" w:space="0" w:color="auto"/>
      </w:divBdr>
    </w:div>
    <w:div w:id="1611543459">
      <w:bodyDiv w:val="1"/>
      <w:marLeft w:val="0"/>
      <w:marRight w:val="0"/>
      <w:marTop w:val="0"/>
      <w:marBottom w:val="0"/>
      <w:divBdr>
        <w:top w:val="none" w:sz="0" w:space="0" w:color="auto"/>
        <w:left w:val="none" w:sz="0" w:space="0" w:color="auto"/>
        <w:bottom w:val="none" w:sz="0" w:space="0" w:color="auto"/>
        <w:right w:val="none" w:sz="0" w:space="0" w:color="auto"/>
      </w:divBdr>
    </w:div>
    <w:div w:id="1617979677">
      <w:bodyDiv w:val="1"/>
      <w:marLeft w:val="0"/>
      <w:marRight w:val="0"/>
      <w:marTop w:val="0"/>
      <w:marBottom w:val="0"/>
      <w:divBdr>
        <w:top w:val="none" w:sz="0" w:space="0" w:color="auto"/>
        <w:left w:val="none" w:sz="0" w:space="0" w:color="auto"/>
        <w:bottom w:val="none" w:sz="0" w:space="0" w:color="auto"/>
        <w:right w:val="none" w:sz="0" w:space="0" w:color="auto"/>
      </w:divBdr>
      <w:divsChild>
        <w:div w:id="1186483161">
          <w:marLeft w:val="0"/>
          <w:marRight w:val="0"/>
          <w:marTop w:val="0"/>
          <w:marBottom w:val="0"/>
          <w:divBdr>
            <w:top w:val="none" w:sz="0" w:space="0" w:color="auto"/>
            <w:left w:val="none" w:sz="0" w:space="0" w:color="auto"/>
            <w:bottom w:val="none" w:sz="0" w:space="0" w:color="auto"/>
            <w:right w:val="none" w:sz="0" w:space="0" w:color="auto"/>
          </w:divBdr>
          <w:divsChild>
            <w:div w:id="1722049108">
              <w:marLeft w:val="0"/>
              <w:marRight w:val="0"/>
              <w:marTop w:val="0"/>
              <w:marBottom w:val="0"/>
              <w:divBdr>
                <w:top w:val="none" w:sz="0" w:space="0" w:color="auto"/>
                <w:left w:val="none" w:sz="0" w:space="0" w:color="auto"/>
                <w:bottom w:val="none" w:sz="0" w:space="0" w:color="auto"/>
                <w:right w:val="none" w:sz="0" w:space="0" w:color="auto"/>
              </w:divBdr>
              <w:divsChild>
                <w:div w:id="1396734033">
                  <w:marLeft w:val="0"/>
                  <w:marRight w:val="0"/>
                  <w:marTop w:val="0"/>
                  <w:marBottom w:val="0"/>
                  <w:divBdr>
                    <w:top w:val="none" w:sz="0" w:space="0" w:color="auto"/>
                    <w:left w:val="none" w:sz="0" w:space="0" w:color="auto"/>
                    <w:bottom w:val="none" w:sz="0" w:space="0" w:color="auto"/>
                    <w:right w:val="none" w:sz="0" w:space="0" w:color="auto"/>
                  </w:divBdr>
                  <w:divsChild>
                    <w:div w:id="1297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971608">
      <w:bodyDiv w:val="1"/>
      <w:marLeft w:val="0"/>
      <w:marRight w:val="0"/>
      <w:marTop w:val="0"/>
      <w:marBottom w:val="0"/>
      <w:divBdr>
        <w:top w:val="none" w:sz="0" w:space="0" w:color="auto"/>
        <w:left w:val="none" w:sz="0" w:space="0" w:color="auto"/>
        <w:bottom w:val="none" w:sz="0" w:space="0" w:color="auto"/>
        <w:right w:val="none" w:sz="0" w:space="0" w:color="auto"/>
      </w:divBdr>
    </w:div>
    <w:div w:id="1682732533">
      <w:bodyDiv w:val="1"/>
      <w:marLeft w:val="0"/>
      <w:marRight w:val="0"/>
      <w:marTop w:val="0"/>
      <w:marBottom w:val="0"/>
      <w:divBdr>
        <w:top w:val="none" w:sz="0" w:space="0" w:color="auto"/>
        <w:left w:val="none" w:sz="0" w:space="0" w:color="auto"/>
        <w:bottom w:val="none" w:sz="0" w:space="0" w:color="auto"/>
        <w:right w:val="none" w:sz="0" w:space="0" w:color="auto"/>
      </w:divBdr>
    </w:div>
    <w:div w:id="1699315397">
      <w:bodyDiv w:val="1"/>
      <w:marLeft w:val="0"/>
      <w:marRight w:val="0"/>
      <w:marTop w:val="0"/>
      <w:marBottom w:val="0"/>
      <w:divBdr>
        <w:top w:val="none" w:sz="0" w:space="0" w:color="auto"/>
        <w:left w:val="none" w:sz="0" w:space="0" w:color="auto"/>
        <w:bottom w:val="none" w:sz="0" w:space="0" w:color="auto"/>
        <w:right w:val="none" w:sz="0" w:space="0" w:color="auto"/>
      </w:divBdr>
    </w:div>
    <w:div w:id="1701280684">
      <w:bodyDiv w:val="1"/>
      <w:marLeft w:val="0"/>
      <w:marRight w:val="0"/>
      <w:marTop w:val="0"/>
      <w:marBottom w:val="0"/>
      <w:divBdr>
        <w:top w:val="none" w:sz="0" w:space="0" w:color="auto"/>
        <w:left w:val="none" w:sz="0" w:space="0" w:color="auto"/>
        <w:bottom w:val="none" w:sz="0" w:space="0" w:color="auto"/>
        <w:right w:val="none" w:sz="0" w:space="0" w:color="auto"/>
      </w:divBdr>
    </w:div>
    <w:div w:id="1709334319">
      <w:bodyDiv w:val="1"/>
      <w:marLeft w:val="0"/>
      <w:marRight w:val="0"/>
      <w:marTop w:val="0"/>
      <w:marBottom w:val="0"/>
      <w:divBdr>
        <w:top w:val="none" w:sz="0" w:space="0" w:color="auto"/>
        <w:left w:val="none" w:sz="0" w:space="0" w:color="auto"/>
        <w:bottom w:val="none" w:sz="0" w:space="0" w:color="auto"/>
        <w:right w:val="none" w:sz="0" w:space="0" w:color="auto"/>
      </w:divBdr>
    </w:div>
    <w:div w:id="1724064044">
      <w:bodyDiv w:val="1"/>
      <w:marLeft w:val="0"/>
      <w:marRight w:val="0"/>
      <w:marTop w:val="0"/>
      <w:marBottom w:val="0"/>
      <w:divBdr>
        <w:top w:val="none" w:sz="0" w:space="0" w:color="auto"/>
        <w:left w:val="none" w:sz="0" w:space="0" w:color="auto"/>
        <w:bottom w:val="none" w:sz="0" w:space="0" w:color="auto"/>
        <w:right w:val="none" w:sz="0" w:space="0" w:color="auto"/>
      </w:divBdr>
    </w:div>
    <w:div w:id="1724600835">
      <w:bodyDiv w:val="1"/>
      <w:marLeft w:val="0"/>
      <w:marRight w:val="0"/>
      <w:marTop w:val="0"/>
      <w:marBottom w:val="0"/>
      <w:divBdr>
        <w:top w:val="none" w:sz="0" w:space="0" w:color="auto"/>
        <w:left w:val="none" w:sz="0" w:space="0" w:color="auto"/>
        <w:bottom w:val="none" w:sz="0" w:space="0" w:color="auto"/>
        <w:right w:val="none" w:sz="0" w:space="0" w:color="auto"/>
      </w:divBdr>
    </w:div>
    <w:div w:id="1744134616">
      <w:bodyDiv w:val="1"/>
      <w:marLeft w:val="0"/>
      <w:marRight w:val="0"/>
      <w:marTop w:val="0"/>
      <w:marBottom w:val="0"/>
      <w:divBdr>
        <w:top w:val="none" w:sz="0" w:space="0" w:color="auto"/>
        <w:left w:val="none" w:sz="0" w:space="0" w:color="auto"/>
        <w:bottom w:val="none" w:sz="0" w:space="0" w:color="auto"/>
        <w:right w:val="none" w:sz="0" w:space="0" w:color="auto"/>
      </w:divBdr>
    </w:div>
    <w:div w:id="1744721494">
      <w:bodyDiv w:val="1"/>
      <w:marLeft w:val="0"/>
      <w:marRight w:val="0"/>
      <w:marTop w:val="0"/>
      <w:marBottom w:val="0"/>
      <w:divBdr>
        <w:top w:val="none" w:sz="0" w:space="0" w:color="auto"/>
        <w:left w:val="none" w:sz="0" w:space="0" w:color="auto"/>
        <w:bottom w:val="none" w:sz="0" w:space="0" w:color="auto"/>
        <w:right w:val="none" w:sz="0" w:space="0" w:color="auto"/>
      </w:divBdr>
    </w:div>
    <w:div w:id="1757818829">
      <w:bodyDiv w:val="1"/>
      <w:marLeft w:val="0"/>
      <w:marRight w:val="0"/>
      <w:marTop w:val="0"/>
      <w:marBottom w:val="0"/>
      <w:divBdr>
        <w:top w:val="none" w:sz="0" w:space="0" w:color="auto"/>
        <w:left w:val="none" w:sz="0" w:space="0" w:color="auto"/>
        <w:bottom w:val="none" w:sz="0" w:space="0" w:color="auto"/>
        <w:right w:val="none" w:sz="0" w:space="0" w:color="auto"/>
      </w:divBdr>
    </w:div>
    <w:div w:id="1831631735">
      <w:bodyDiv w:val="1"/>
      <w:marLeft w:val="0"/>
      <w:marRight w:val="0"/>
      <w:marTop w:val="0"/>
      <w:marBottom w:val="0"/>
      <w:divBdr>
        <w:top w:val="none" w:sz="0" w:space="0" w:color="auto"/>
        <w:left w:val="none" w:sz="0" w:space="0" w:color="auto"/>
        <w:bottom w:val="none" w:sz="0" w:space="0" w:color="auto"/>
        <w:right w:val="none" w:sz="0" w:space="0" w:color="auto"/>
      </w:divBdr>
    </w:div>
    <w:div w:id="1869488785">
      <w:bodyDiv w:val="1"/>
      <w:marLeft w:val="0"/>
      <w:marRight w:val="0"/>
      <w:marTop w:val="0"/>
      <w:marBottom w:val="0"/>
      <w:divBdr>
        <w:top w:val="none" w:sz="0" w:space="0" w:color="auto"/>
        <w:left w:val="none" w:sz="0" w:space="0" w:color="auto"/>
        <w:bottom w:val="none" w:sz="0" w:space="0" w:color="auto"/>
        <w:right w:val="none" w:sz="0" w:space="0" w:color="auto"/>
      </w:divBdr>
    </w:div>
    <w:div w:id="1882009544">
      <w:bodyDiv w:val="1"/>
      <w:marLeft w:val="0"/>
      <w:marRight w:val="0"/>
      <w:marTop w:val="0"/>
      <w:marBottom w:val="0"/>
      <w:divBdr>
        <w:top w:val="none" w:sz="0" w:space="0" w:color="auto"/>
        <w:left w:val="none" w:sz="0" w:space="0" w:color="auto"/>
        <w:bottom w:val="none" w:sz="0" w:space="0" w:color="auto"/>
        <w:right w:val="none" w:sz="0" w:space="0" w:color="auto"/>
      </w:divBdr>
    </w:div>
    <w:div w:id="1889685721">
      <w:bodyDiv w:val="1"/>
      <w:marLeft w:val="0"/>
      <w:marRight w:val="0"/>
      <w:marTop w:val="0"/>
      <w:marBottom w:val="0"/>
      <w:divBdr>
        <w:top w:val="none" w:sz="0" w:space="0" w:color="auto"/>
        <w:left w:val="none" w:sz="0" w:space="0" w:color="auto"/>
        <w:bottom w:val="none" w:sz="0" w:space="0" w:color="auto"/>
        <w:right w:val="none" w:sz="0" w:space="0" w:color="auto"/>
      </w:divBdr>
    </w:div>
    <w:div w:id="1954940571">
      <w:bodyDiv w:val="1"/>
      <w:marLeft w:val="0"/>
      <w:marRight w:val="0"/>
      <w:marTop w:val="0"/>
      <w:marBottom w:val="0"/>
      <w:divBdr>
        <w:top w:val="none" w:sz="0" w:space="0" w:color="auto"/>
        <w:left w:val="none" w:sz="0" w:space="0" w:color="auto"/>
        <w:bottom w:val="none" w:sz="0" w:space="0" w:color="auto"/>
        <w:right w:val="none" w:sz="0" w:space="0" w:color="auto"/>
      </w:divBdr>
    </w:div>
    <w:div w:id="2016108594">
      <w:bodyDiv w:val="1"/>
      <w:marLeft w:val="0"/>
      <w:marRight w:val="0"/>
      <w:marTop w:val="0"/>
      <w:marBottom w:val="0"/>
      <w:divBdr>
        <w:top w:val="none" w:sz="0" w:space="0" w:color="auto"/>
        <w:left w:val="none" w:sz="0" w:space="0" w:color="auto"/>
        <w:bottom w:val="none" w:sz="0" w:space="0" w:color="auto"/>
        <w:right w:val="none" w:sz="0" w:space="0" w:color="auto"/>
      </w:divBdr>
    </w:div>
    <w:div w:id="2041316034">
      <w:bodyDiv w:val="1"/>
      <w:marLeft w:val="0"/>
      <w:marRight w:val="0"/>
      <w:marTop w:val="0"/>
      <w:marBottom w:val="0"/>
      <w:divBdr>
        <w:top w:val="none" w:sz="0" w:space="0" w:color="auto"/>
        <w:left w:val="none" w:sz="0" w:space="0" w:color="auto"/>
        <w:bottom w:val="none" w:sz="0" w:space="0" w:color="auto"/>
        <w:right w:val="none" w:sz="0" w:space="0" w:color="auto"/>
      </w:divBdr>
    </w:div>
    <w:div w:id="2082019158">
      <w:bodyDiv w:val="1"/>
      <w:marLeft w:val="0"/>
      <w:marRight w:val="0"/>
      <w:marTop w:val="0"/>
      <w:marBottom w:val="0"/>
      <w:divBdr>
        <w:top w:val="none" w:sz="0" w:space="0" w:color="auto"/>
        <w:left w:val="none" w:sz="0" w:space="0" w:color="auto"/>
        <w:bottom w:val="none" w:sz="0" w:space="0" w:color="auto"/>
        <w:right w:val="none" w:sz="0" w:space="0" w:color="auto"/>
      </w:divBdr>
    </w:div>
    <w:div w:id="2094011783">
      <w:bodyDiv w:val="1"/>
      <w:marLeft w:val="0"/>
      <w:marRight w:val="0"/>
      <w:marTop w:val="0"/>
      <w:marBottom w:val="0"/>
      <w:divBdr>
        <w:top w:val="none" w:sz="0" w:space="0" w:color="auto"/>
        <w:left w:val="none" w:sz="0" w:space="0" w:color="auto"/>
        <w:bottom w:val="none" w:sz="0" w:space="0" w:color="auto"/>
        <w:right w:val="none" w:sz="0" w:space="0" w:color="auto"/>
      </w:divBdr>
    </w:div>
    <w:div w:id="2097166973">
      <w:bodyDiv w:val="1"/>
      <w:marLeft w:val="0"/>
      <w:marRight w:val="0"/>
      <w:marTop w:val="0"/>
      <w:marBottom w:val="0"/>
      <w:divBdr>
        <w:top w:val="none" w:sz="0" w:space="0" w:color="auto"/>
        <w:left w:val="none" w:sz="0" w:space="0" w:color="auto"/>
        <w:bottom w:val="none" w:sz="0" w:space="0" w:color="auto"/>
        <w:right w:val="none" w:sz="0" w:space="0" w:color="auto"/>
      </w:divBdr>
      <w:divsChild>
        <w:div w:id="1772432827">
          <w:marLeft w:val="0"/>
          <w:marRight w:val="0"/>
          <w:marTop w:val="0"/>
          <w:marBottom w:val="0"/>
          <w:divBdr>
            <w:top w:val="none" w:sz="0" w:space="0" w:color="auto"/>
            <w:left w:val="none" w:sz="0" w:space="0" w:color="auto"/>
            <w:bottom w:val="none" w:sz="0" w:space="0" w:color="auto"/>
            <w:right w:val="none" w:sz="0" w:space="0" w:color="auto"/>
          </w:divBdr>
          <w:divsChild>
            <w:div w:id="835607488">
              <w:marLeft w:val="0"/>
              <w:marRight w:val="0"/>
              <w:marTop w:val="0"/>
              <w:marBottom w:val="0"/>
              <w:divBdr>
                <w:top w:val="none" w:sz="0" w:space="0" w:color="auto"/>
                <w:left w:val="none" w:sz="0" w:space="0" w:color="auto"/>
                <w:bottom w:val="none" w:sz="0" w:space="0" w:color="auto"/>
                <w:right w:val="none" w:sz="0" w:space="0" w:color="auto"/>
              </w:divBdr>
              <w:divsChild>
                <w:div w:id="9163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3238">
      <w:bodyDiv w:val="1"/>
      <w:marLeft w:val="0"/>
      <w:marRight w:val="0"/>
      <w:marTop w:val="0"/>
      <w:marBottom w:val="0"/>
      <w:divBdr>
        <w:top w:val="none" w:sz="0" w:space="0" w:color="auto"/>
        <w:left w:val="none" w:sz="0" w:space="0" w:color="auto"/>
        <w:bottom w:val="none" w:sz="0" w:space="0" w:color="auto"/>
        <w:right w:val="none" w:sz="0" w:space="0" w:color="auto"/>
      </w:divBdr>
    </w:div>
    <w:div w:id="211185506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436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funcionpublica.gov.co/eva/gestornormativo/norma.php?i=17360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4A06FADE-B3B5-4996-A7FE-4F438EE0879E}">
  <ds:schemaRefs>
    <ds:schemaRef ds:uri="http://schemas.openxmlformats.org/officeDocument/2006/bibliography"/>
  </ds:schemaRefs>
</ds:datastoreItem>
</file>

<file path=customXml/itemProps2.xml><?xml version="1.0" encoding="utf-8"?>
<ds:datastoreItem xmlns:ds="http://schemas.openxmlformats.org/officeDocument/2006/customXml" ds:itemID="{B385A48C-4A60-40CA-8CC2-98A720A52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E4D51A68-FED2-4540-A566-D7B47EE01F53}">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29</Pages>
  <Words>10840</Words>
  <Characters>59620</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70320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Edwin Johan Chocontá Quintero</cp:lastModifiedBy>
  <cp:revision>2</cp:revision>
  <cp:lastPrinted>2020-01-30T15:05:00Z</cp:lastPrinted>
  <dcterms:created xsi:type="dcterms:W3CDTF">2022-05-25T16:46:00Z</dcterms:created>
  <dcterms:modified xsi:type="dcterms:W3CDTF">2022-05-25T16:46:00Z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