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04B" w14:textId="760D339E" w:rsidR="00462864" w:rsidRPr="005B27CC" w:rsidRDefault="00462864" w:rsidP="00462864">
      <w:pPr>
        <w:spacing w:after="0" w:line="240" w:lineRule="auto"/>
        <w:jc w:val="right"/>
        <w:rPr>
          <w:rFonts w:ascii="Arial" w:eastAsia="Calibri" w:hAnsi="Arial" w:cs="Arial"/>
          <w:b/>
          <w:szCs w:val="24"/>
          <w:lang w:val="es-ES_tradnl" w:eastAsia="es-ES_tradnl"/>
        </w:rPr>
      </w:pPr>
      <w:r w:rsidRPr="005B27CC">
        <w:rPr>
          <w:rFonts w:ascii="Arial" w:hAnsi="Arial" w:cs="Arial"/>
          <w:b/>
          <w:sz w:val="16"/>
          <w:szCs w:val="16"/>
          <w:lang w:eastAsia="es-ES"/>
        </w:rPr>
        <w:t>CCE-DES-FM-17</w:t>
      </w:r>
    </w:p>
    <w:p w14:paraId="019FE7B1" w14:textId="77777777" w:rsidR="00462864" w:rsidRPr="005B27CC" w:rsidRDefault="00462864" w:rsidP="003C4C74">
      <w:pPr>
        <w:spacing w:after="0" w:line="240" w:lineRule="auto"/>
        <w:jc w:val="both"/>
        <w:rPr>
          <w:rFonts w:ascii="Arial" w:eastAsia="Calibri" w:hAnsi="Arial" w:cs="Arial"/>
          <w:b/>
          <w:szCs w:val="24"/>
          <w:lang w:val="es-ES_tradnl" w:eastAsia="es-ES_tradnl"/>
        </w:rPr>
      </w:pPr>
    </w:p>
    <w:p w14:paraId="7FE8F267" w14:textId="78C03AE2" w:rsidR="004F74AA" w:rsidRPr="005B27CC" w:rsidRDefault="004F74AA" w:rsidP="005B27CC">
      <w:pPr>
        <w:spacing w:after="0" w:line="240" w:lineRule="auto"/>
        <w:jc w:val="both"/>
        <w:rPr>
          <w:rFonts w:ascii="Arial" w:eastAsia="Calibri" w:hAnsi="Arial" w:cs="Arial"/>
          <w:b/>
          <w:szCs w:val="24"/>
          <w:lang w:val="es-ES_tradnl" w:eastAsia="es-ES_tradnl"/>
        </w:rPr>
      </w:pPr>
      <w:r w:rsidRPr="005B27CC">
        <w:rPr>
          <w:rFonts w:ascii="Arial" w:eastAsia="Calibri" w:hAnsi="Arial" w:cs="Arial"/>
          <w:b/>
          <w:szCs w:val="24"/>
          <w:lang w:val="es-ES_tradnl" w:eastAsia="es-ES_tradnl"/>
        </w:rPr>
        <w:t xml:space="preserve">DOCUMENTOS TIPO </w:t>
      </w:r>
      <w:r w:rsidRPr="005B27CC">
        <w:rPr>
          <w:rFonts w:ascii="Arial" w:eastAsia="Calibri" w:hAnsi="Arial" w:cs="Arial"/>
          <w:b/>
          <w:color w:val="000000"/>
          <w:szCs w:val="24"/>
          <w:lang w:val="es-ES_tradnl" w:eastAsia="es-ES_tradnl"/>
        </w:rPr>
        <w:t>–</w:t>
      </w:r>
      <w:r w:rsidRPr="005B27CC">
        <w:rPr>
          <w:rFonts w:ascii="Arial" w:eastAsia="Calibri" w:hAnsi="Arial" w:cs="Arial"/>
          <w:b/>
          <w:szCs w:val="24"/>
          <w:lang w:val="es-ES_tradnl" w:eastAsia="es-ES_tradnl"/>
        </w:rPr>
        <w:t xml:space="preserve"> Fundamento normativo </w:t>
      </w:r>
      <w:r w:rsidRPr="005B27CC">
        <w:rPr>
          <w:rFonts w:ascii="Arial" w:eastAsia="Calibri" w:hAnsi="Arial" w:cs="Arial"/>
          <w:b/>
          <w:color w:val="000000"/>
          <w:szCs w:val="24"/>
          <w:lang w:val="es-ES_tradnl" w:eastAsia="es-ES_tradnl"/>
        </w:rPr>
        <w:t xml:space="preserve">– </w:t>
      </w:r>
      <w:r w:rsidRPr="005B27CC">
        <w:rPr>
          <w:rFonts w:ascii="Arial" w:eastAsia="Calibri" w:hAnsi="Arial" w:cs="Arial"/>
          <w:b/>
          <w:szCs w:val="24"/>
          <w:lang w:val="es-ES_tradnl" w:eastAsia="es-ES_tradnl"/>
        </w:rPr>
        <w:t>Ley 2022 de 2020</w:t>
      </w:r>
    </w:p>
    <w:p w14:paraId="26A84A09" w14:textId="77777777" w:rsidR="004F74AA" w:rsidRPr="005B27CC" w:rsidRDefault="004F74AA" w:rsidP="005B27CC">
      <w:pPr>
        <w:spacing w:after="0" w:line="240" w:lineRule="auto"/>
        <w:jc w:val="both"/>
        <w:rPr>
          <w:rFonts w:ascii="Arial" w:eastAsia="Calibri" w:hAnsi="Arial" w:cs="Arial"/>
          <w:b/>
          <w:szCs w:val="24"/>
          <w:lang w:val="es-ES_tradnl" w:eastAsia="es-ES_tradnl"/>
        </w:rPr>
      </w:pPr>
    </w:p>
    <w:p w14:paraId="212D1569" w14:textId="1713B4D8" w:rsidR="004F74AA" w:rsidRPr="005B27CC" w:rsidRDefault="004F74AA" w:rsidP="005B27CC">
      <w:pPr>
        <w:spacing w:after="0" w:line="240" w:lineRule="auto"/>
        <w:jc w:val="both"/>
        <w:rPr>
          <w:rFonts w:ascii="Arial" w:eastAsia="Calibri" w:hAnsi="Arial" w:cs="Arial"/>
          <w:color w:val="000000"/>
          <w:sz w:val="20"/>
          <w:szCs w:val="20"/>
          <w:lang w:val="es-ES" w:eastAsia="es-ES"/>
        </w:rPr>
      </w:pPr>
      <w:r w:rsidRPr="005B27CC">
        <w:rPr>
          <w:rFonts w:ascii="Arial" w:eastAsia="Calibri" w:hAnsi="Arial" w:cs="Arial"/>
          <w:color w:val="000000"/>
          <w:sz w:val="20"/>
          <w:szCs w:val="20"/>
          <w:lang w:val="es-ES" w:eastAsia="es-ES"/>
        </w:rPr>
        <w:t xml:space="preserve">[…] </w:t>
      </w:r>
      <w:r w:rsidR="007813EE" w:rsidRPr="007813EE">
        <w:rPr>
          <w:rFonts w:ascii="Arial" w:eastAsia="Calibri" w:hAnsi="Arial" w:cs="Arial"/>
          <w:color w:val="000000"/>
          <w:sz w:val="20"/>
          <w:szCs w:val="20"/>
          <w:lang w:val="es-ES" w:eastAsia="es-ES"/>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pues antes se señalaba al Gobierno Nacional y ahora la entidad encargada directamente por la Ley es la Agencia Nacional de Contratación Pública – Colombia Compra Eficiente– o quien haga sus veces; </w:t>
      </w:r>
      <w:proofErr w:type="spellStart"/>
      <w:r w:rsidR="007813EE" w:rsidRPr="007813EE">
        <w:rPr>
          <w:rFonts w:ascii="Arial" w:eastAsia="Calibri" w:hAnsi="Arial" w:cs="Arial"/>
          <w:color w:val="000000"/>
          <w:sz w:val="20"/>
          <w:szCs w:val="20"/>
          <w:lang w:val="es-ES" w:eastAsia="es-ES"/>
        </w:rPr>
        <w:t>ii</w:t>
      </w:r>
      <w:proofErr w:type="spellEnd"/>
      <w:r w:rsidR="007813EE" w:rsidRPr="007813EE">
        <w:rPr>
          <w:rFonts w:ascii="Arial" w:eastAsia="Calibri" w:hAnsi="Arial" w:cs="Arial"/>
          <w:color w:val="000000"/>
          <w:sz w:val="20"/>
          <w:szCs w:val="20"/>
          <w:lang w:val="es-ES" w:eastAsia="es-E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007813EE" w:rsidRPr="007813EE">
        <w:rPr>
          <w:rFonts w:ascii="Arial" w:eastAsia="Calibri" w:hAnsi="Arial" w:cs="Arial"/>
          <w:color w:val="000000"/>
          <w:sz w:val="20"/>
          <w:szCs w:val="20"/>
          <w:lang w:val="es-ES" w:eastAsia="es-ES"/>
        </w:rPr>
        <w:t>iii</w:t>
      </w:r>
      <w:proofErr w:type="spellEnd"/>
      <w:r w:rsidR="007813EE" w:rsidRPr="007813EE">
        <w:rPr>
          <w:rFonts w:ascii="Arial" w:eastAsia="Calibri" w:hAnsi="Arial" w:cs="Arial"/>
          <w:color w:val="000000"/>
          <w:sz w:val="20"/>
          <w:szCs w:val="20"/>
          <w:lang w:val="es-ES" w:eastAsia="es-ES"/>
        </w:rPr>
        <w:t xml:space="preserve">) la implementación de procesos de capacitación en los municipios para la utilización de los documentos tipo buscando el desarrollo de la economía local; y </w:t>
      </w:r>
      <w:proofErr w:type="spellStart"/>
      <w:r w:rsidR="007813EE" w:rsidRPr="007813EE">
        <w:rPr>
          <w:rFonts w:ascii="Arial" w:eastAsia="Calibri" w:hAnsi="Arial" w:cs="Arial"/>
          <w:color w:val="000000"/>
          <w:sz w:val="20"/>
          <w:szCs w:val="20"/>
          <w:lang w:val="es-ES" w:eastAsia="es-ES"/>
        </w:rPr>
        <w:t>iv</w:t>
      </w:r>
      <w:proofErr w:type="spellEnd"/>
      <w:r w:rsidR="007813EE" w:rsidRPr="007813EE">
        <w:rPr>
          <w:rFonts w:ascii="Arial" w:eastAsia="Calibri" w:hAnsi="Arial" w:cs="Arial"/>
          <w:color w:val="000000"/>
          <w:sz w:val="20"/>
          <w:szCs w:val="20"/>
          <w:lang w:val="es-ES" w:eastAsia="es-E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5B27CC">
        <w:rPr>
          <w:rFonts w:ascii="Arial" w:eastAsia="Calibri" w:hAnsi="Arial" w:cs="Arial"/>
          <w:color w:val="000000"/>
          <w:sz w:val="20"/>
          <w:szCs w:val="20"/>
          <w:lang w:val="es-ES" w:eastAsia="es-ES"/>
        </w:rPr>
        <w:t>».</w:t>
      </w:r>
    </w:p>
    <w:p w14:paraId="3D37308E" w14:textId="77777777" w:rsidR="004F74AA" w:rsidRPr="005B27CC" w:rsidRDefault="004F74AA" w:rsidP="005B27CC">
      <w:pPr>
        <w:spacing w:after="0" w:line="240" w:lineRule="auto"/>
        <w:jc w:val="both"/>
        <w:rPr>
          <w:rFonts w:ascii="Arial" w:eastAsia="Arial" w:hAnsi="Arial" w:cs="Arial"/>
          <w:b/>
          <w:bCs/>
          <w:color w:val="000000"/>
          <w:lang w:val="es-ES_tradnl"/>
        </w:rPr>
      </w:pPr>
    </w:p>
    <w:p w14:paraId="695F5B21" w14:textId="0672B03D" w:rsidR="003C4C74" w:rsidRPr="005B27CC" w:rsidRDefault="003C4C74" w:rsidP="005B27CC">
      <w:pPr>
        <w:shd w:val="clear" w:color="auto" w:fill="FFFFFF"/>
        <w:spacing w:after="0" w:line="276" w:lineRule="auto"/>
        <w:jc w:val="both"/>
        <w:rPr>
          <w:rFonts w:ascii="Arial" w:eastAsia="Calibri" w:hAnsi="Arial" w:cs="Arial"/>
          <w:b/>
          <w:color w:val="000000"/>
          <w:lang w:eastAsia="es-ES_tradnl"/>
        </w:rPr>
      </w:pPr>
      <w:r w:rsidRPr="005B27CC">
        <w:rPr>
          <w:rFonts w:ascii="Arial" w:eastAsia="Calibri" w:hAnsi="Arial" w:cs="Arial"/>
          <w:b/>
          <w:color w:val="000000"/>
          <w:lang w:eastAsia="es-ES_tradnl"/>
        </w:rPr>
        <w:t xml:space="preserve">DOCUMENTOS TIPO − </w:t>
      </w:r>
      <w:r w:rsidR="00D71F24" w:rsidRPr="005B27CC">
        <w:rPr>
          <w:rFonts w:ascii="Arial" w:eastAsia="Calibri" w:hAnsi="Arial" w:cs="Arial"/>
          <w:b/>
          <w:color w:val="000000"/>
          <w:lang w:eastAsia="es-ES_tradnl"/>
        </w:rPr>
        <w:t xml:space="preserve">Ámbito de aplicación − </w:t>
      </w:r>
      <w:r w:rsidR="00F34691" w:rsidRPr="005B27CC">
        <w:rPr>
          <w:rFonts w:ascii="Arial" w:eastAsia="Calibri" w:hAnsi="Arial" w:cs="Arial"/>
          <w:b/>
          <w:color w:val="000000"/>
          <w:lang w:eastAsia="es-ES_tradnl"/>
        </w:rPr>
        <w:t>«</w:t>
      </w:r>
      <w:r w:rsidRPr="005B27CC">
        <w:rPr>
          <w:rFonts w:ascii="Arial" w:eastAsia="Calibri" w:hAnsi="Arial" w:cs="Arial"/>
          <w:b/>
          <w:color w:val="000000"/>
          <w:lang w:eastAsia="es-ES_tradnl"/>
        </w:rPr>
        <w:t>Matriz 1 – Experiencia</w:t>
      </w:r>
      <w:r w:rsidR="00F34691" w:rsidRPr="005B27CC">
        <w:rPr>
          <w:rFonts w:ascii="Arial" w:eastAsia="Calibri" w:hAnsi="Arial" w:cs="Arial"/>
          <w:b/>
          <w:color w:val="000000"/>
          <w:lang w:eastAsia="es-ES_tradnl"/>
        </w:rPr>
        <w:t>»</w:t>
      </w:r>
      <w:r w:rsidRPr="005B27CC">
        <w:rPr>
          <w:rFonts w:ascii="Arial" w:eastAsia="Calibri" w:hAnsi="Arial" w:cs="Arial"/>
          <w:b/>
          <w:color w:val="000000"/>
          <w:lang w:eastAsia="es-ES_tradnl"/>
        </w:rPr>
        <w:t xml:space="preserve"> </w:t>
      </w:r>
    </w:p>
    <w:p w14:paraId="39FFDED1" w14:textId="77777777" w:rsidR="00D71F24" w:rsidRPr="005B27CC" w:rsidRDefault="00D71F24" w:rsidP="005B27CC">
      <w:pPr>
        <w:shd w:val="clear" w:color="auto" w:fill="FFFFFF"/>
        <w:spacing w:after="0" w:line="276" w:lineRule="auto"/>
        <w:jc w:val="both"/>
        <w:rPr>
          <w:rFonts w:ascii="Arial" w:eastAsia="Calibri" w:hAnsi="Arial" w:cs="Arial"/>
          <w:lang w:val="es-MX"/>
        </w:rPr>
      </w:pPr>
    </w:p>
    <w:p w14:paraId="054F7DFA" w14:textId="77777777" w:rsidR="00831D53" w:rsidRPr="00831D53" w:rsidRDefault="00831D53" w:rsidP="00831D53">
      <w:pPr>
        <w:spacing w:after="0" w:line="240" w:lineRule="auto"/>
        <w:jc w:val="both"/>
        <w:rPr>
          <w:rFonts w:ascii="Arial" w:eastAsia="Calibri" w:hAnsi="Arial" w:cs="Arial"/>
          <w:color w:val="0D0D0D"/>
          <w:sz w:val="20"/>
          <w:szCs w:val="20"/>
          <w:lang w:val="es-MX"/>
        </w:rPr>
      </w:pPr>
      <w:r>
        <w:rPr>
          <w:rFonts w:ascii="Arial" w:eastAsia="Calibri" w:hAnsi="Arial" w:cs="Arial"/>
          <w:color w:val="0D0D0D"/>
          <w:sz w:val="20"/>
          <w:szCs w:val="20"/>
          <w:lang w:val="es-MX"/>
        </w:rPr>
        <w:t xml:space="preserve">[…] </w:t>
      </w:r>
      <w:r w:rsidRPr="00831D53">
        <w:rPr>
          <w:rFonts w:ascii="Arial" w:eastAsia="Calibri" w:hAnsi="Arial" w:cs="Arial"/>
          <w:color w:val="0D0D0D"/>
          <w:sz w:val="20"/>
          <w:szCs w:val="20"/>
          <w:lang w:val="es-MX"/>
        </w:rPr>
        <w:t>uno de los elementos comunes a los diferentes documentos tipo es la «Matriz 1 – Experiencia». Esta consta de unas celdas en las que se describe la experiencia requerida en relación con el objeto a contratar, definiendo además qué tipo de actividades relacionadas con cada sector deben acogerse a los pliegos tipo. Por otro lado, encontramos el «Anexo 3 – Glosario», el cual contiene las definiciones de los términos usados en los documentos del proceso. Utilizando estos dos documentos, la entidad estatal puede definir si el objeto a contratarse debe emplear los documentos tipo adoptados por esta Agencia.</w:t>
      </w:r>
    </w:p>
    <w:p w14:paraId="73C55F31" w14:textId="77777777" w:rsidR="00831D53" w:rsidRDefault="00831D53" w:rsidP="00831D53">
      <w:pPr>
        <w:spacing w:after="0" w:line="240" w:lineRule="auto"/>
        <w:jc w:val="both"/>
        <w:rPr>
          <w:rFonts w:ascii="Arial" w:eastAsia="Calibri" w:hAnsi="Arial" w:cs="Arial"/>
          <w:color w:val="0D0D0D"/>
          <w:sz w:val="20"/>
          <w:szCs w:val="20"/>
          <w:lang w:val="es-MX"/>
        </w:rPr>
      </w:pPr>
    </w:p>
    <w:p w14:paraId="55A0819D" w14:textId="43A388D6" w:rsidR="00831D53" w:rsidRPr="00831D53" w:rsidRDefault="00831D53" w:rsidP="00831D53">
      <w:pPr>
        <w:spacing w:after="0" w:line="240" w:lineRule="auto"/>
        <w:jc w:val="both"/>
        <w:rPr>
          <w:rFonts w:ascii="Arial" w:eastAsia="Calibri" w:hAnsi="Arial" w:cs="Arial"/>
          <w:color w:val="0D0D0D"/>
          <w:sz w:val="20"/>
          <w:szCs w:val="20"/>
          <w:lang w:val="es-MX"/>
        </w:rPr>
      </w:pPr>
      <w:r w:rsidRPr="00831D53">
        <w:rPr>
          <w:rFonts w:ascii="Arial" w:eastAsia="Calibri" w:hAnsi="Arial" w:cs="Arial"/>
          <w:color w:val="0D0D0D"/>
          <w:sz w:val="20"/>
          <w:szCs w:val="20"/>
          <w:lang w:val="es-MX"/>
        </w:rPr>
        <w:t>Conforme a lo anterior, la Matriz 1, cumple una doble función: por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74454AFD" w14:textId="77777777" w:rsidR="00831D53" w:rsidRDefault="00831D53" w:rsidP="00831D53">
      <w:pPr>
        <w:spacing w:after="0" w:line="240" w:lineRule="auto"/>
        <w:jc w:val="both"/>
        <w:rPr>
          <w:rFonts w:ascii="Arial" w:eastAsia="Calibri" w:hAnsi="Arial" w:cs="Arial"/>
          <w:color w:val="0D0D0D"/>
          <w:sz w:val="20"/>
          <w:szCs w:val="20"/>
          <w:lang w:val="es-MX"/>
        </w:rPr>
      </w:pPr>
    </w:p>
    <w:p w14:paraId="089F1150" w14:textId="75E1D8C1" w:rsidR="00F41B7F" w:rsidRPr="005B27CC" w:rsidRDefault="00831D53" w:rsidP="00831D53">
      <w:pPr>
        <w:spacing w:after="0" w:line="240" w:lineRule="auto"/>
        <w:jc w:val="both"/>
        <w:rPr>
          <w:rFonts w:ascii="Arial" w:eastAsia="Calibri" w:hAnsi="Arial" w:cs="Arial"/>
          <w:color w:val="0D0D0D"/>
          <w:sz w:val="20"/>
          <w:szCs w:val="20"/>
          <w:lang w:val="es-MX"/>
        </w:rPr>
      </w:pPr>
      <w:r w:rsidRPr="00831D53">
        <w:rPr>
          <w:rFonts w:ascii="Arial" w:eastAsia="Calibri" w:hAnsi="Arial" w:cs="Arial"/>
          <w:color w:val="0D0D0D"/>
          <w:sz w:val="20"/>
          <w:szCs w:val="20"/>
          <w:lang w:val="es-MX"/>
        </w:rPr>
        <w:t>De esta manera,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esta manera, si el objeto contractual a ejecutar se encuadra materialmente dentro de alguno de los tipos actividades concretas señaladas en cada una de las matrices de experiencia, se tendrán que aplicar los documentos tipo, mientras que en el caso contrario no será forzosa su aplicación. En este sentido, en los documentos base de los documentos tipo, se indica que la entidad establecerá las condiciones de experiencia, tanto general como específica en las actividades que van a contratar. En este contexto, la entidad no podrá incluir condiciones distintas a las previstas en la matriz de experiencia y, por tanto, deberá transcribir textualmente lo indicado en ésta</w:t>
      </w:r>
      <w:r w:rsidR="00F41B7F" w:rsidRPr="005B27CC">
        <w:rPr>
          <w:rFonts w:ascii="Arial" w:eastAsia="Calibri" w:hAnsi="Arial" w:cs="Arial"/>
          <w:sz w:val="20"/>
          <w:szCs w:val="20"/>
          <w:lang w:val="es-MX"/>
        </w:rPr>
        <w:t>.</w:t>
      </w:r>
    </w:p>
    <w:p w14:paraId="493C6BFB" w14:textId="10CDD57A" w:rsidR="003C4C74" w:rsidRPr="005B27CC" w:rsidRDefault="003C4C74" w:rsidP="003C4C74">
      <w:pPr>
        <w:spacing w:after="0" w:line="276" w:lineRule="auto"/>
        <w:jc w:val="both"/>
        <w:rPr>
          <w:rFonts w:ascii="Arial" w:eastAsia="Calibri" w:hAnsi="Arial" w:cs="Arial"/>
          <w:color w:val="000000"/>
          <w:lang w:eastAsia="es-ES_tradnl"/>
        </w:rPr>
      </w:pPr>
      <w:r w:rsidRPr="005B27CC">
        <w:rPr>
          <w:rFonts w:ascii="Arial" w:eastAsia="Calibri" w:hAnsi="Arial" w:cs="Arial"/>
          <w:lang w:val="es-MX"/>
        </w:rPr>
        <w:tab/>
      </w:r>
    </w:p>
    <w:p w14:paraId="24CA8A68" w14:textId="77777777" w:rsidR="000138DD" w:rsidRDefault="000138DD">
      <w:pPr>
        <w:rPr>
          <w:rFonts w:ascii="Arial" w:hAnsi="Arial" w:cs="Arial"/>
        </w:rPr>
      </w:pPr>
      <w:r>
        <w:rPr>
          <w:rFonts w:ascii="Arial" w:hAnsi="Arial" w:cs="Arial"/>
        </w:rPr>
        <w:br w:type="page"/>
      </w:r>
    </w:p>
    <w:p w14:paraId="2EB846FA" w14:textId="30D0E30B" w:rsidR="00872198" w:rsidRDefault="00920995" w:rsidP="00641C7A">
      <w:pPr>
        <w:widowControl w:val="0"/>
        <w:spacing w:after="0"/>
        <w:rPr>
          <w:rFonts w:ascii="Arial" w:hAnsi="Arial" w:cs="Arial"/>
        </w:rPr>
      </w:pPr>
      <w:r w:rsidRPr="00920995">
        <w:rPr>
          <w:rFonts w:ascii="Arial" w:hAnsi="Arial" w:cs="Arial"/>
          <w:noProof/>
        </w:rPr>
        <w:lastRenderedPageBreak/>
        <w:drawing>
          <wp:anchor distT="0" distB="0" distL="114300" distR="114300" simplePos="0" relativeHeight="251660288" behindDoc="1" locked="0" layoutInCell="1" allowOverlap="1" wp14:anchorId="5A890189" wp14:editId="13B85B5D">
            <wp:simplePos x="0" y="0"/>
            <wp:positionH relativeFrom="margin">
              <wp:posOffset>3583172</wp:posOffset>
            </wp:positionH>
            <wp:positionV relativeFrom="paragraph">
              <wp:posOffset>-542453</wp:posOffset>
            </wp:positionV>
            <wp:extent cx="2222205" cy="552157"/>
            <wp:effectExtent l="0" t="0" r="698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205" cy="5521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03C996" w14:textId="77777777" w:rsidR="00872198" w:rsidRDefault="00872198" w:rsidP="00641C7A">
      <w:pPr>
        <w:widowControl w:val="0"/>
        <w:spacing w:after="0"/>
        <w:rPr>
          <w:rFonts w:ascii="Arial" w:hAnsi="Arial" w:cs="Arial"/>
        </w:rPr>
      </w:pPr>
    </w:p>
    <w:p w14:paraId="21AEB9DC" w14:textId="77777777" w:rsidR="00920995" w:rsidRDefault="00920995" w:rsidP="00641C7A">
      <w:pPr>
        <w:spacing w:after="0"/>
        <w:rPr>
          <w:rFonts w:ascii="ArialMT" w:eastAsia="ArialMT" w:cs="ArialMT"/>
          <w:color w:val="4E4D4D"/>
        </w:rPr>
      </w:pPr>
    </w:p>
    <w:p w14:paraId="5A4CE613" w14:textId="7A581F1E" w:rsidR="00F34691" w:rsidRPr="005B27CC" w:rsidRDefault="00920995" w:rsidP="00641C7A">
      <w:pPr>
        <w:spacing w:after="0"/>
        <w:rPr>
          <w:rFonts w:ascii="Arial" w:hAnsi="Arial" w:cs="Arial"/>
          <w:b/>
        </w:rPr>
      </w:pPr>
      <w:r>
        <w:rPr>
          <w:rFonts w:ascii="ArialMT" w:eastAsia="ArialMT" w:cs="ArialMT"/>
          <w:color w:val="4E4D4D"/>
        </w:rPr>
        <w:t>Bogot</w:t>
      </w:r>
      <w:r>
        <w:rPr>
          <w:rFonts w:ascii="ArialMT" w:eastAsia="ArialMT" w:cs="ArialMT" w:hint="eastAsia"/>
          <w:color w:val="4E4D4D"/>
        </w:rPr>
        <w:t>á</w:t>
      </w:r>
      <w:r>
        <w:rPr>
          <w:rFonts w:ascii="ArialMT" w:eastAsia="ArialMT" w:cs="ArialMT"/>
          <w:color w:val="4E4D4D"/>
        </w:rPr>
        <w:t>, 29 Abril 2022</w:t>
      </w:r>
    </w:p>
    <w:p w14:paraId="234CFEDB" w14:textId="77777777" w:rsidR="00872198" w:rsidRPr="005B27CC" w:rsidRDefault="00872198">
      <w:pPr>
        <w:spacing w:after="0" w:line="240" w:lineRule="auto"/>
        <w:jc w:val="right"/>
        <w:rPr>
          <w:rFonts w:ascii="Arial" w:eastAsia="Calibri" w:hAnsi="Arial" w:cs="Arial"/>
          <w:lang w:val="es-MX"/>
        </w:rPr>
      </w:pPr>
    </w:p>
    <w:p w14:paraId="5D13E289" w14:textId="20371A52" w:rsidR="00932CDB" w:rsidRPr="00930DA0" w:rsidRDefault="00B749D1" w:rsidP="00932CDB">
      <w:pPr>
        <w:spacing w:after="0" w:line="240" w:lineRule="auto"/>
        <w:rPr>
          <w:rFonts w:ascii="Arial" w:eastAsia="Calibri" w:hAnsi="Arial" w:cs="Arial"/>
          <w:bCs/>
          <w:lang w:val="es-ES"/>
        </w:rPr>
      </w:pPr>
      <w:r w:rsidRPr="00930DA0">
        <w:rPr>
          <w:rFonts w:ascii="Arial" w:eastAsia="Calibri" w:hAnsi="Arial" w:cs="Arial"/>
          <w:lang w:val="es-MX"/>
        </w:rPr>
        <w:t>Señor</w:t>
      </w:r>
    </w:p>
    <w:p w14:paraId="5432362D" w14:textId="10B5E8D4" w:rsidR="00B749D1" w:rsidRPr="00930DA0" w:rsidRDefault="00F34691" w:rsidP="00932CDB">
      <w:pPr>
        <w:spacing w:after="0" w:line="240" w:lineRule="auto"/>
        <w:rPr>
          <w:rFonts w:ascii="Arial" w:eastAsia="Calibri" w:hAnsi="Arial" w:cs="Arial"/>
          <w:b/>
          <w:bCs/>
          <w:lang w:val="es-ES"/>
        </w:rPr>
      </w:pPr>
      <w:r w:rsidRPr="00930DA0">
        <w:rPr>
          <w:rFonts w:ascii="Arial" w:eastAsia="Calibri" w:hAnsi="Arial" w:cs="Arial"/>
          <w:b/>
          <w:bCs/>
          <w:lang w:val="es-ES"/>
        </w:rPr>
        <w:t>Oscar Ricardo Ramos Pardo</w:t>
      </w:r>
      <w:r w:rsidR="00932CDB" w:rsidRPr="00930DA0">
        <w:rPr>
          <w:rFonts w:ascii="Arial" w:eastAsia="Calibri" w:hAnsi="Arial" w:cs="Arial"/>
          <w:b/>
          <w:bCs/>
          <w:lang w:val="es-ES"/>
        </w:rPr>
        <w:t xml:space="preserve"> </w:t>
      </w:r>
    </w:p>
    <w:p w14:paraId="1ECF665A" w14:textId="3D652002" w:rsidR="00872198" w:rsidRPr="00930DA0" w:rsidRDefault="00872198" w:rsidP="00F34691">
      <w:pPr>
        <w:spacing w:after="0" w:line="240" w:lineRule="auto"/>
        <w:rPr>
          <w:rFonts w:ascii="Arial" w:eastAsia="Calibri" w:hAnsi="Arial" w:cs="Arial"/>
          <w:bCs/>
          <w:lang w:val="es-ES"/>
        </w:rPr>
      </w:pPr>
      <w:r w:rsidRPr="00930DA0">
        <w:rPr>
          <w:rFonts w:ascii="Arial" w:hAnsi="Arial" w:cs="Arial"/>
        </w:rPr>
        <w:t>Bogotá D.C.</w:t>
      </w:r>
    </w:p>
    <w:p w14:paraId="104405ED" w14:textId="77777777" w:rsidR="00872198" w:rsidRPr="00930DA0" w:rsidRDefault="00872198" w:rsidP="00F34691">
      <w:pPr>
        <w:spacing w:after="0" w:line="240" w:lineRule="auto"/>
        <w:rPr>
          <w:rFonts w:ascii="Arial" w:eastAsia="Calibri" w:hAnsi="Arial" w:cs="Arial"/>
          <w:b/>
          <w:lang w:val="es-ES"/>
        </w:rPr>
      </w:pPr>
    </w:p>
    <w:p w14:paraId="05363F2F" w14:textId="646A062F" w:rsidR="00B749D1" w:rsidRPr="00930DA0" w:rsidRDefault="00872198" w:rsidP="00641C7A">
      <w:pPr>
        <w:spacing w:after="0" w:line="240" w:lineRule="auto"/>
        <w:rPr>
          <w:rFonts w:ascii="Arial" w:eastAsia="Calibri" w:hAnsi="Arial" w:cs="Arial"/>
          <w:b/>
          <w:lang w:val="es-MX"/>
        </w:rPr>
      </w:pPr>
      <w:r w:rsidRPr="00930DA0">
        <w:rPr>
          <w:rFonts w:ascii="Arial" w:eastAsia="Calibri" w:hAnsi="Arial" w:cs="Arial"/>
          <w:lang w:val="es-MX"/>
        </w:rPr>
        <w:t xml:space="preserve">                                            </w:t>
      </w:r>
      <w:r w:rsidR="00B749D1" w:rsidRPr="00930DA0">
        <w:rPr>
          <w:rFonts w:ascii="Arial" w:eastAsia="Calibri" w:hAnsi="Arial" w:cs="Arial"/>
          <w:b/>
          <w:lang w:val="es-MX"/>
        </w:rPr>
        <w:t>Concepto C</w:t>
      </w:r>
      <w:r w:rsidR="005E0AA3" w:rsidRPr="00930DA0">
        <w:rPr>
          <w:rFonts w:ascii="Arial" w:eastAsia="Calibri" w:hAnsi="Arial" w:cs="Arial"/>
          <w:b/>
          <w:lang w:val="es-MX"/>
        </w:rPr>
        <w:t xml:space="preserve"> </w:t>
      </w:r>
      <w:r w:rsidR="00B749D1" w:rsidRPr="00930DA0">
        <w:rPr>
          <w:rFonts w:ascii="Arial" w:eastAsia="Calibri" w:hAnsi="Arial" w:cs="Arial"/>
          <w:b/>
          <w:lang w:val="es-MX"/>
        </w:rPr>
        <w:t>–</w:t>
      </w:r>
      <w:r w:rsidR="005E0AA3" w:rsidRPr="00930DA0">
        <w:rPr>
          <w:rFonts w:ascii="Arial" w:eastAsia="Calibri" w:hAnsi="Arial" w:cs="Arial"/>
          <w:b/>
          <w:lang w:val="es-MX"/>
        </w:rPr>
        <w:t xml:space="preserve"> </w:t>
      </w:r>
      <w:r w:rsidR="005B27CC" w:rsidRPr="00930DA0">
        <w:rPr>
          <w:rFonts w:ascii="Arial" w:eastAsia="Calibri" w:hAnsi="Arial" w:cs="Arial"/>
          <w:b/>
          <w:lang w:val="es-MX"/>
        </w:rPr>
        <w:t xml:space="preserve">224 </w:t>
      </w:r>
      <w:r w:rsidR="00B749D1" w:rsidRPr="00930DA0">
        <w:rPr>
          <w:rFonts w:ascii="Arial" w:eastAsia="Calibri" w:hAnsi="Arial" w:cs="Arial"/>
          <w:b/>
          <w:lang w:val="es-MX"/>
        </w:rPr>
        <w:t>de 202</w:t>
      </w:r>
      <w:r w:rsidR="0046135C" w:rsidRPr="00930DA0">
        <w:rPr>
          <w:rFonts w:ascii="Arial" w:eastAsia="Calibri" w:hAnsi="Arial" w:cs="Arial"/>
          <w:b/>
          <w:lang w:val="es-MX"/>
        </w:rPr>
        <w:t>2</w:t>
      </w:r>
    </w:p>
    <w:p w14:paraId="04B64EBC" w14:textId="77777777" w:rsidR="00B749D1" w:rsidRPr="00930DA0" w:rsidRDefault="00B749D1" w:rsidP="00B749D1">
      <w:pPr>
        <w:spacing w:after="0" w:line="240" w:lineRule="auto"/>
        <w:rPr>
          <w:rFonts w:ascii="Arial" w:eastAsia="Calibri" w:hAnsi="Arial" w:cs="Arial"/>
          <w:lang w:val="es-MX"/>
        </w:rPr>
      </w:pPr>
    </w:p>
    <w:tbl>
      <w:tblPr>
        <w:tblStyle w:val="Tablaconcuadrcula2"/>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B749D1" w:rsidRPr="00930DA0" w14:paraId="1CAF0548" w14:textId="77777777" w:rsidTr="00932CDB">
        <w:trPr>
          <w:trHeight w:val="866"/>
        </w:trPr>
        <w:tc>
          <w:tcPr>
            <w:tcW w:w="2689" w:type="dxa"/>
            <w:hideMark/>
          </w:tcPr>
          <w:p w14:paraId="60F73698" w14:textId="77777777" w:rsidR="00B749D1" w:rsidRPr="00930DA0" w:rsidRDefault="00B749D1" w:rsidP="00B749D1">
            <w:pPr>
              <w:rPr>
                <w:rFonts w:ascii="Arial" w:eastAsia="Calibri" w:hAnsi="Arial" w:cs="Arial"/>
                <w:lang w:val="es-MX"/>
              </w:rPr>
            </w:pPr>
            <w:r w:rsidRPr="00930DA0">
              <w:rPr>
                <w:rFonts w:ascii="Arial" w:eastAsia="Calibri" w:hAnsi="Arial" w:cs="Arial"/>
                <w:b/>
                <w:lang w:val="es-MX"/>
              </w:rPr>
              <w:t>Temas:</w:t>
            </w:r>
            <w:r w:rsidRPr="00930DA0">
              <w:rPr>
                <w:rFonts w:ascii="Arial" w:eastAsia="Calibri" w:hAnsi="Arial" w:cs="Arial"/>
                <w:lang w:val="es-MX"/>
              </w:rPr>
              <w:t xml:space="preserve">  </w:t>
            </w:r>
          </w:p>
          <w:p w14:paraId="06F65D2F" w14:textId="77777777" w:rsidR="00B749D1" w:rsidRPr="00930DA0" w:rsidRDefault="00B749D1" w:rsidP="00B749D1">
            <w:pPr>
              <w:rPr>
                <w:rFonts w:ascii="Arial" w:eastAsia="Calibri" w:hAnsi="Arial" w:cs="Arial"/>
                <w:lang w:val="es-MX"/>
              </w:rPr>
            </w:pPr>
            <w:r w:rsidRPr="00930DA0">
              <w:rPr>
                <w:rFonts w:ascii="Arial" w:eastAsia="Calibri" w:hAnsi="Arial" w:cs="Arial"/>
                <w:lang w:val="es-MX"/>
              </w:rPr>
              <w:t xml:space="preserve"> </w:t>
            </w:r>
          </w:p>
        </w:tc>
        <w:tc>
          <w:tcPr>
            <w:tcW w:w="6237" w:type="dxa"/>
            <w:hideMark/>
          </w:tcPr>
          <w:p w14:paraId="6BE3AE10" w14:textId="2F317234" w:rsidR="003C4C74" w:rsidRPr="00930DA0" w:rsidRDefault="003C4C74" w:rsidP="00E005C9">
            <w:pPr>
              <w:widowControl w:val="0"/>
              <w:autoSpaceDE w:val="0"/>
              <w:autoSpaceDN w:val="0"/>
              <w:adjustRightInd w:val="0"/>
              <w:spacing w:after="120" w:line="300" w:lineRule="atLeast"/>
              <w:jc w:val="both"/>
              <w:rPr>
                <w:rFonts w:ascii="Arial" w:hAnsi="Arial" w:cs="Arial"/>
                <w:color w:val="000000" w:themeColor="text1"/>
                <w:lang w:val="es-ES_tradnl"/>
              </w:rPr>
            </w:pPr>
            <w:r w:rsidRPr="00930DA0">
              <w:rPr>
                <w:rFonts w:ascii="Arial" w:hAnsi="Arial" w:cs="Arial"/>
                <w:color w:val="000000" w:themeColor="text1"/>
                <w:lang w:val="es-ES_tradnl"/>
              </w:rPr>
              <w:t xml:space="preserve">DOCUMENTOS TIPO – </w:t>
            </w:r>
            <w:r w:rsidR="00E005C9" w:rsidRPr="00930DA0">
              <w:rPr>
                <w:rFonts w:ascii="Arial" w:hAnsi="Arial" w:cs="Arial"/>
                <w:color w:val="000000" w:themeColor="text1"/>
                <w:lang w:val="es-ES_tradnl"/>
              </w:rPr>
              <w:t xml:space="preserve">Obra de Infraestructura de transporte - </w:t>
            </w:r>
            <w:r w:rsidRPr="00930DA0">
              <w:rPr>
                <w:rFonts w:ascii="Arial" w:hAnsi="Arial" w:cs="Arial"/>
                <w:color w:val="000000" w:themeColor="text1"/>
                <w:lang w:val="es-ES_tradnl"/>
              </w:rPr>
              <w:t xml:space="preserve">Fundamento normativo – Ley 2022 de 2020 / DOCUMENTOS TIPO − </w:t>
            </w:r>
            <w:r w:rsidR="00E005C9" w:rsidRPr="00930DA0">
              <w:rPr>
                <w:rFonts w:ascii="Arial" w:hAnsi="Arial" w:cs="Arial"/>
                <w:color w:val="000000" w:themeColor="text1"/>
                <w:lang w:val="es-ES_tradnl"/>
              </w:rPr>
              <w:t xml:space="preserve">Obra de Infraestructura de transporte – </w:t>
            </w:r>
            <w:r w:rsidR="00F34691" w:rsidRPr="00930DA0">
              <w:rPr>
                <w:rFonts w:ascii="Arial" w:hAnsi="Arial" w:cs="Arial"/>
                <w:color w:val="000000" w:themeColor="text1"/>
                <w:lang w:val="es-ES_tradnl"/>
              </w:rPr>
              <w:t>Ámbito de aplicación − «Matriz 1 – Experiencia»</w:t>
            </w:r>
          </w:p>
          <w:p w14:paraId="1B7D6AB3" w14:textId="77777777" w:rsidR="00B749D1" w:rsidRPr="00930DA0" w:rsidRDefault="00B749D1" w:rsidP="00021627">
            <w:pPr>
              <w:widowControl w:val="0"/>
              <w:autoSpaceDE w:val="0"/>
              <w:autoSpaceDN w:val="0"/>
              <w:adjustRightInd w:val="0"/>
              <w:spacing w:line="300" w:lineRule="atLeast"/>
              <w:rPr>
                <w:rFonts w:ascii="Arial" w:hAnsi="Arial" w:cs="Arial"/>
                <w:color w:val="000000" w:themeColor="text1"/>
                <w:lang w:val="es-ES_tradnl"/>
              </w:rPr>
            </w:pPr>
          </w:p>
        </w:tc>
        <w:tc>
          <w:tcPr>
            <w:tcW w:w="6237" w:type="dxa"/>
          </w:tcPr>
          <w:p w14:paraId="35732068" w14:textId="77777777" w:rsidR="00B749D1" w:rsidRPr="00930DA0" w:rsidRDefault="00B749D1" w:rsidP="00B749D1">
            <w:pPr>
              <w:spacing w:after="120" w:line="276" w:lineRule="auto"/>
              <w:jc w:val="both"/>
              <w:rPr>
                <w:rFonts w:ascii="Arial" w:eastAsia="Calibri" w:hAnsi="Arial" w:cs="Arial"/>
                <w:lang w:val="es-MX" w:eastAsia="es-ES"/>
              </w:rPr>
            </w:pPr>
          </w:p>
        </w:tc>
      </w:tr>
      <w:tr w:rsidR="00B749D1" w:rsidRPr="00930DA0" w14:paraId="161D72BB" w14:textId="77777777" w:rsidTr="00274E27">
        <w:tc>
          <w:tcPr>
            <w:tcW w:w="2689" w:type="dxa"/>
          </w:tcPr>
          <w:p w14:paraId="6A7C1ECD" w14:textId="77777777" w:rsidR="00B749D1" w:rsidRPr="00930DA0" w:rsidRDefault="00B749D1" w:rsidP="00B749D1">
            <w:pPr>
              <w:rPr>
                <w:rFonts w:ascii="Arial" w:eastAsia="Calibri" w:hAnsi="Arial" w:cs="Arial"/>
                <w:b/>
                <w:lang w:val="es-MX"/>
              </w:rPr>
            </w:pPr>
            <w:r w:rsidRPr="00930DA0">
              <w:rPr>
                <w:rFonts w:ascii="Arial" w:eastAsia="Calibri" w:hAnsi="Arial" w:cs="Arial"/>
                <w:b/>
                <w:lang w:val="es-MX"/>
              </w:rPr>
              <w:t>Radicación:</w:t>
            </w:r>
            <w:r w:rsidRPr="00930DA0">
              <w:rPr>
                <w:rFonts w:ascii="Arial" w:eastAsia="Calibri" w:hAnsi="Arial" w:cs="Arial"/>
                <w:lang w:val="es-MX"/>
              </w:rPr>
              <w:t xml:space="preserve"> </w:t>
            </w:r>
          </w:p>
        </w:tc>
        <w:tc>
          <w:tcPr>
            <w:tcW w:w="6237" w:type="dxa"/>
          </w:tcPr>
          <w:p w14:paraId="1334FB0D" w14:textId="6AC4EBC3" w:rsidR="00B749D1" w:rsidRPr="00930DA0" w:rsidRDefault="00B749D1" w:rsidP="00021627">
            <w:pPr>
              <w:widowControl w:val="0"/>
              <w:autoSpaceDE w:val="0"/>
              <w:autoSpaceDN w:val="0"/>
              <w:adjustRightInd w:val="0"/>
              <w:spacing w:line="300" w:lineRule="atLeast"/>
              <w:rPr>
                <w:rFonts w:ascii="Arial" w:hAnsi="Arial" w:cs="Arial"/>
                <w:color w:val="000000" w:themeColor="text1"/>
                <w:lang w:val="es-ES_tradnl"/>
              </w:rPr>
            </w:pPr>
            <w:r w:rsidRPr="00930DA0">
              <w:rPr>
                <w:rFonts w:ascii="Arial" w:hAnsi="Arial" w:cs="Arial"/>
                <w:color w:val="000000" w:themeColor="text1"/>
                <w:lang w:val="es-ES_tradnl"/>
              </w:rPr>
              <w:t xml:space="preserve">Respuesta a la consulta </w:t>
            </w:r>
            <w:r w:rsidR="00F34691" w:rsidRPr="00930DA0">
              <w:rPr>
                <w:rFonts w:ascii="Arial" w:hAnsi="Arial" w:cs="Arial"/>
                <w:color w:val="000000" w:themeColor="text1"/>
                <w:lang w:val="es-ES_tradnl"/>
              </w:rPr>
              <w:t>P20220314002507</w:t>
            </w:r>
          </w:p>
        </w:tc>
        <w:tc>
          <w:tcPr>
            <w:tcW w:w="6237" w:type="dxa"/>
          </w:tcPr>
          <w:p w14:paraId="728FEA53" w14:textId="77777777" w:rsidR="00B749D1" w:rsidRPr="00930DA0" w:rsidRDefault="00B749D1" w:rsidP="00B749D1">
            <w:pPr>
              <w:jc w:val="both"/>
              <w:rPr>
                <w:rFonts w:ascii="Arial" w:eastAsia="Calibri" w:hAnsi="Arial" w:cs="Arial"/>
                <w:lang w:val="es-MX"/>
              </w:rPr>
            </w:pPr>
          </w:p>
        </w:tc>
      </w:tr>
    </w:tbl>
    <w:p w14:paraId="5B962064" w14:textId="33BA4D75" w:rsidR="00B749D1" w:rsidRPr="00930DA0" w:rsidRDefault="00B749D1" w:rsidP="00B749D1">
      <w:pPr>
        <w:spacing w:after="0" w:line="276" w:lineRule="auto"/>
        <w:rPr>
          <w:rFonts w:ascii="Arial" w:eastAsia="Calibri" w:hAnsi="Arial" w:cs="Arial"/>
          <w:lang w:val="es-MX"/>
        </w:rPr>
      </w:pPr>
    </w:p>
    <w:p w14:paraId="0D3A51FB" w14:textId="77777777" w:rsidR="0046135C" w:rsidRPr="00930DA0" w:rsidRDefault="0046135C" w:rsidP="00B749D1">
      <w:pPr>
        <w:spacing w:after="0" w:line="276" w:lineRule="auto"/>
        <w:rPr>
          <w:rFonts w:ascii="Arial" w:eastAsia="Calibri" w:hAnsi="Arial" w:cs="Arial"/>
          <w:lang w:val="es-MX"/>
        </w:rPr>
      </w:pPr>
    </w:p>
    <w:p w14:paraId="296593D7" w14:textId="44FE11D1" w:rsidR="00B749D1" w:rsidRPr="00930DA0" w:rsidRDefault="00B749D1" w:rsidP="00B749D1">
      <w:pPr>
        <w:spacing w:after="0" w:line="276" w:lineRule="auto"/>
        <w:rPr>
          <w:rFonts w:ascii="Arial" w:eastAsia="Calibri" w:hAnsi="Arial" w:cs="Arial"/>
          <w:lang w:val="es-MX"/>
        </w:rPr>
      </w:pPr>
      <w:r w:rsidRPr="00930DA0">
        <w:rPr>
          <w:rFonts w:ascii="Arial" w:eastAsia="Calibri" w:hAnsi="Arial" w:cs="Arial"/>
          <w:lang w:val="es-MX"/>
        </w:rPr>
        <w:t>Estimad</w:t>
      </w:r>
      <w:r w:rsidR="00F34691" w:rsidRPr="00930DA0">
        <w:rPr>
          <w:rFonts w:ascii="Arial" w:eastAsia="Calibri" w:hAnsi="Arial" w:cs="Arial"/>
          <w:lang w:val="es-MX"/>
        </w:rPr>
        <w:t>o</w:t>
      </w:r>
      <w:r w:rsidRPr="00930DA0">
        <w:rPr>
          <w:rFonts w:ascii="Arial" w:eastAsia="Calibri" w:hAnsi="Arial" w:cs="Arial"/>
          <w:lang w:val="es-MX"/>
        </w:rPr>
        <w:t xml:space="preserve"> señor</w:t>
      </w:r>
      <w:r w:rsidR="00932CDB" w:rsidRPr="00930DA0">
        <w:rPr>
          <w:rFonts w:ascii="Arial" w:eastAsia="Calibri" w:hAnsi="Arial" w:cs="Arial"/>
          <w:lang w:val="es-MX"/>
        </w:rPr>
        <w:t xml:space="preserve"> </w:t>
      </w:r>
      <w:r w:rsidR="00F34691" w:rsidRPr="00930DA0">
        <w:rPr>
          <w:rFonts w:ascii="Arial" w:eastAsia="Calibri" w:hAnsi="Arial" w:cs="Arial"/>
          <w:lang w:val="es-MX"/>
        </w:rPr>
        <w:t>Ramos</w:t>
      </w:r>
      <w:r w:rsidR="00932CDB" w:rsidRPr="00930DA0">
        <w:rPr>
          <w:rFonts w:ascii="Arial" w:eastAsia="Calibri" w:hAnsi="Arial" w:cs="Arial"/>
          <w:lang w:val="es-ES"/>
        </w:rPr>
        <w:t>:</w:t>
      </w:r>
    </w:p>
    <w:p w14:paraId="38E56E15" w14:textId="77777777" w:rsidR="00B749D1" w:rsidRPr="00930DA0" w:rsidRDefault="00B749D1" w:rsidP="00B749D1">
      <w:pPr>
        <w:spacing w:after="0" w:line="276" w:lineRule="auto"/>
        <w:rPr>
          <w:rFonts w:ascii="Arial" w:eastAsia="Calibri" w:hAnsi="Arial" w:cs="Arial"/>
          <w:lang w:val="es-MX"/>
        </w:rPr>
      </w:pPr>
    </w:p>
    <w:p w14:paraId="54BCE056" w14:textId="33F76E0B" w:rsidR="00B749D1" w:rsidRPr="00930DA0" w:rsidRDefault="00B749D1" w:rsidP="00932CDB">
      <w:pPr>
        <w:spacing w:after="0" w:line="276" w:lineRule="auto"/>
        <w:jc w:val="both"/>
        <w:rPr>
          <w:rFonts w:ascii="Arial" w:eastAsia="Calibri" w:hAnsi="Arial" w:cs="Arial"/>
          <w:lang w:val="es-MX"/>
        </w:rPr>
      </w:pPr>
      <w:r w:rsidRPr="00930DA0">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w:t>
      </w:r>
      <w:r w:rsidR="00FD50F1" w:rsidRPr="00930DA0">
        <w:rPr>
          <w:rFonts w:ascii="Arial" w:eastAsia="Calibri" w:hAnsi="Arial" w:cs="Arial"/>
          <w:lang w:val="es-MX"/>
        </w:rPr>
        <w:t>su</w:t>
      </w:r>
      <w:r w:rsidRPr="00930DA0">
        <w:rPr>
          <w:rFonts w:ascii="Arial" w:eastAsia="Calibri" w:hAnsi="Arial" w:cs="Arial"/>
          <w:lang w:val="es-MX"/>
        </w:rPr>
        <w:t xml:space="preserve"> consulta del </w:t>
      </w:r>
      <w:r w:rsidR="00F34691" w:rsidRPr="00930DA0">
        <w:rPr>
          <w:rFonts w:ascii="Arial" w:eastAsia="Calibri" w:hAnsi="Arial" w:cs="Arial"/>
          <w:lang w:val="es-MX"/>
        </w:rPr>
        <w:t>14</w:t>
      </w:r>
      <w:r w:rsidRPr="00930DA0">
        <w:rPr>
          <w:rFonts w:ascii="Arial" w:eastAsia="Calibri" w:hAnsi="Arial" w:cs="Arial"/>
          <w:lang w:val="es-MX"/>
        </w:rPr>
        <w:t xml:space="preserve"> de </w:t>
      </w:r>
      <w:r w:rsidR="00F34691" w:rsidRPr="00930DA0">
        <w:rPr>
          <w:rFonts w:ascii="Arial" w:eastAsia="Calibri" w:hAnsi="Arial" w:cs="Arial"/>
          <w:lang w:val="es-MX"/>
        </w:rPr>
        <w:t>marzo</w:t>
      </w:r>
      <w:r w:rsidRPr="00930DA0">
        <w:rPr>
          <w:rFonts w:ascii="Arial" w:eastAsia="Calibri" w:hAnsi="Arial" w:cs="Arial"/>
          <w:lang w:val="es-MX"/>
        </w:rPr>
        <w:t xml:space="preserve"> de 202</w:t>
      </w:r>
      <w:r w:rsidR="00F34691" w:rsidRPr="00930DA0">
        <w:rPr>
          <w:rFonts w:ascii="Arial" w:eastAsia="Calibri" w:hAnsi="Arial" w:cs="Arial"/>
          <w:lang w:val="es-MX"/>
        </w:rPr>
        <w:t>2</w:t>
      </w:r>
      <w:r w:rsidRPr="00930DA0">
        <w:rPr>
          <w:rFonts w:ascii="Arial" w:eastAsia="Calibri" w:hAnsi="Arial" w:cs="Arial"/>
          <w:lang w:val="es-MX"/>
        </w:rPr>
        <w:t>.</w:t>
      </w:r>
    </w:p>
    <w:p w14:paraId="6CF732BC" w14:textId="77777777" w:rsidR="00B749D1" w:rsidRPr="00930DA0" w:rsidRDefault="00B749D1" w:rsidP="00932CDB">
      <w:pPr>
        <w:spacing w:after="0" w:line="276" w:lineRule="auto"/>
        <w:jc w:val="both"/>
        <w:rPr>
          <w:rFonts w:ascii="Arial" w:eastAsia="Calibri" w:hAnsi="Arial" w:cs="Arial"/>
          <w:lang w:val="es-MX"/>
        </w:rPr>
      </w:pPr>
    </w:p>
    <w:p w14:paraId="62623AEC" w14:textId="77777777" w:rsidR="00B749D1" w:rsidRPr="00930DA0" w:rsidRDefault="00B749D1" w:rsidP="00932CDB">
      <w:pPr>
        <w:tabs>
          <w:tab w:val="left" w:pos="284"/>
        </w:tabs>
        <w:spacing w:after="0" w:line="276" w:lineRule="auto"/>
        <w:contextualSpacing/>
        <w:jc w:val="both"/>
        <w:rPr>
          <w:rFonts w:ascii="Arial" w:eastAsia="Calibri" w:hAnsi="Arial" w:cs="Arial"/>
          <w:b/>
          <w:lang w:val="es-MX"/>
        </w:rPr>
      </w:pPr>
      <w:r w:rsidRPr="00930DA0">
        <w:rPr>
          <w:rFonts w:ascii="Arial" w:eastAsia="Calibri" w:hAnsi="Arial" w:cs="Arial"/>
          <w:b/>
          <w:lang w:val="es-MX"/>
        </w:rPr>
        <w:t>1. Problema planteado</w:t>
      </w:r>
    </w:p>
    <w:p w14:paraId="0B5E2F18" w14:textId="77777777" w:rsidR="00932CDB" w:rsidRPr="00930DA0" w:rsidRDefault="00932CDB" w:rsidP="00932CDB">
      <w:pPr>
        <w:spacing w:after="0" w:line="276" w:lineRule="auto"/>
        <w:ind w:right="709"/>
        <w:rPr>
          <w:rFonts w:ascii="Arial" w:hAnsi="Arial" w:cs="Arial"/>
        </w:rPr>
      </w:pPr>
    </w:p>
    <w:p w14:paraId="04669327" w14:textId="451C3956" w:rsidR="00932CDB" w:rsidRPr="00930DA0" w:rsidRDefault="009E77C3" w:rsidP="00641C7A">
      <w:pPr>
        <w:spacing w:after="0" w:line="276" w:lineRule="auto"/>
        <w:jc w:val="both"/>
        <w:rPr>
          <w:rFonts w:ascii="Arial" w:eastAsia="Calibri" w:hAnsi="Arial" w:cs="Arial"/>
          <w:b/>
          <w:sz w:val="21"/>
          <w:szCs w:val="21"/>
        </w:rPr>
      </w:pPr>
      <w:r w:rsidRPr="00930DA0">
        <w:rPr>
          <w:rFonts w:ascii="Arial" w:hAnsi="Arial" w:cs="Arial"/>
        </w:rPr>
        <w:t xml:space="preserve">Respecto de los </w:t>
      </w:r>
      <w:r w:rsidR="00872198" w:rsidRPr="00930DA0">
        <w:rPr>
          <w:rFonts w:ascii="Arial" w:hAnsi="Arial" w:cs="Arial"/>
        </w:rPr>
        <w:t>d</w:t>
      </w:r>
      <w:r w:rsidRPr="00930DA0">
        <w:rPr>
          <w:rFonts w:ascii="Arial" w:hAnsi="Arial" w:cs="Arial"/>
        </w:rPr>
        <w:t>ocumentos tipo</w:t>
      </w:r>
      <w:r w:rsidR="00872198" w:rsidRPr="00930DA0">
        <w:rPr>
          <w:rFonts w:ascii="Arial" w:hAnsi="Arial" w:cs="Arial"/>
        </w:rPr>
        <w:t xml:space="preserve"> de infraestructura de transporte</w:t>
      </w:r>
      <w:r w:rsidRPr="00930DA0">
        <w:rPr>
          <w:rFonts w:ascii="Arial" w:hAnsi="Arial" w:cs="Arial"/>
        </w:rPr>
        <w:t>, u</w:t>
      </w:r>
      <w:r w:rsidR="00932CDB" w:rsidRPr="00930DA0">
        <w:rPr>
          <w:rFonts w:ascii="Arial" w:hAnsi="Arial" w:cs="Arial"/>
        </w:rPr>
        <w:t xml:space="preserve">sted realiza la siguiente pregunta: </w:t>
      </w:r>
      <w:r w:rsidRPr="00930DA0">
        <w:rPr>
          <w:rFonts w:ascii="Arial" w:hAnsi="Arial" w:cs="Arial"/>
        </w:rPr>
        <w:t>«Si una entidad realiza la compra de señales de tr</w:t>
      </w:r>
      <w:r w:rsidR="00872198" w:rsidRPr="00930DA0">
        <w:rPr>
          <w:rFonts w:ascii="Arial" w:hAnsi="Arial" w:cs="Arial"/>
        </w:rPr>
        <w:t>á</w:t>
      </w:r>
      <w:r w:rsidRPr="00930DA0">
        <w:rPr>
          <w:rFonts w:ascii="Arial" w:hAnsi="Arial" w:cs="Arial"/>
        </w:rPr>
        <w:t xml:space="preserve">nsito debe utilizar pliegos tipo, solo requiere las señales y su personal realiza las instalaciones, esta compra se reconocería Como obra </w:t>
      </w:r>
      <w:proofErr w:type="spellStart"/>
      <w:r w:rsidRPr="00930DA0">
        <w:rPr>
          <w:rFonts w:ascii="Arial" w:hAnsi="Arial" w:cs="Arial"/>
        </w:rPr>
        <w:t>publica</w:t>
      </w:r>
      <w:proofErr w:type="spellEnd"/>
      <w:r w:rsidRPr="00930DA0">
        <w:rPr>
          <w:rFonts w:ascii="Arial" w:hAnsi="Arial" w:cs="Arial"/>
        </w:rPr>
        <w:t xml:space="preserve"> de infraestructura del transporte»</w:t>
      </w:r>
      <w:r w:rsidR="00872198" w:rsidRPr="00930DA0">
        <w:rPr>
          <w:rFonts w:ascii="Arial" w:hAnsi="Arial" w:cs="Arial"/>
          <w:sz w:val="21"/>
          <w:szCs w:val="21"/>
        </w:rPr>
        <w:t>.</w:t>
      </w:r>
    </w:p>
    <w:p w14:paraId="45198716" w14:textId="77777777" w:rsidR="00B749D1" w:rsidRPr="00930DA0" w:rsidRDefault="00B749D1" w:rsidP="00932CDB">
      <w:pPr>
        <w:tabs>
          <w:tab w:val="left" w:pos="426"/>
        </w:tabs>
        <w:spacing w:after="0" w:line="276" w:lineRule="auto"/>
        <w:ind w:left="1069" w:right="709"/>
        <w:contextualSpacing/>
        <w:rPr>
          <w:rFonts w:ascii="Arial" w:eastAsia="Calibri" w:hAnsi="Arial" w:cs="Arial"/>
          <w:sz w:val="21"/>
          <w:szCs w:val="21"/>
          <w:lang w:val="es-MX"/>
        </w:rPr>
      </w:pPr>
    </w:p>
    <w:p w14:paraId="7F602537" w14:textId="25C8DFE5" w:rsidR="00B749D1" w:rsidRPr="00930DA0" w:rsidRDefault="00B749D1" w:rsidP="00FC5423">
      <w:pPr>
        <w:tabs>
          <w:tab w:val="left" w:pos="426"/>
        </w:tabs>
        <w:spacing w:after="0" w:line="276" w:lineRule="auto"/>
        <w:jc w:val="both"/>
        <w:rPr>
          <w:rFonts w:ascii="Arial" w:eastAsia="Calibri" w:hAnsi="Arial" w:cs="Arial"/>
          <w:b/>
          <w:lang w:val="es-MX"/>
        </w:rPr>
      </w:pPr>
      <w:r w:rsidRPr="00930DA0">
        <w:rPr>
          <w:rFonts w:ascii="Arial" w:eastAsia="Calibri" w:hAnsi="Arial" w:cs="Arial"/>
          <w:b/>
          <w:lang w:val="es-MX"/>
        </w:rPr>
        <w:t xml:space="preserve">2. Consideraciones </w:t>
      </w:r>
    </w:p>
    <w:p w14:paraId="264222B8" w14:textId="77777777" w:rsidR="00932CDB" w:rsidRPr="00930DA0" w:rsidRDefault="00932CDB" w:rsidP="00FC5423">
      <w:pPr>
        <w:tabs>
          <w:tab w:val="left" w:pos="426"/>
        </w:tabs>
        <w:spacing w:after="0" w:line="276" w:lineRule="auto"/>
        <w:jc w:val="both"/>
        <w:rPr>
          <w:rFonts w:ascii="Arial" w:eastAsia="Calibri" w:hAnsi="Arial" w:cs="Arial"/>
          <w:b/>
          <w:lang w:val="es-MX"/>
        </w:rPr>
      </w:pPr>
    </w:p>
    <w:p w14:paraId="4B4F5E25" w14:textId="71AC5C08" w:rsidR="004835FA" w:rsidRPr="00930DA0" w:rsidRDefault="004835FA" w:rsidP="00641C7A">
      <w:pPr>
        <w:spacing w:after="120" w:line="276" w:lineRule="auto"/>
        <w:jc w:val="both"/>
        <w:rPr>
          <w:rFonts w:ascii="Arial" w:hAnsi="Arial" w:cs="Arial"/>
          <w:lang w:val="es-ES"/>
        </w:rPr>
      </w:pPr>
      <w:r w:rsidRPr="00930DA0">
        <w:rPr>
          <w:rFonts w:ascii="Arial" w:hAnsi="Arial" w:cs="Arial"/>
          <w:bCs/>
        </w:rPr>
        <w:t>En ejercicio de las competencias establecidas en los artículos 3.5 y 11.8 del Decreto 4170 de 2011, la Agencia Nacional de Contratación Pública – Colombia Compra Eficiente resuelve consultas</w:t>
      </w:r>
      <w:r w:rsidR="00F0418C" w:rsidRPr="00930DA0">
        <w:rPr>
          <w:rFonts w:ascii="Arial" w:hAnsi="Arial" w:cs="Arial"/>
          <w:bCs/>
        </w:rPr>
        <w:t xml:space="preserve"> generales</w:t>
      </w:r>
      <w:r w:rsidRPr="00930DA0">
        <w:rPr>
          <w:rFonts w:ascii="Arial" w:hAnsi="Arial" w:cs="Arial"/>
          <w:bCs/>
        </w:rPr>
        <w:t xml:space="preserve"> sobre sobre las temáticas de la contratación estatal y compras públicas relacionadas en los artículos citados.</w:t>
      </w:r>
      <w:bookmarkStart w:id="0" w:name="_Hlk61701014"/>
      <w:bookmarkStart w:id="1" w:name="_Hlk62136649"/>
      <w:r w:rsidRPr="00930DA0">
        <w:rPr>
          <w:rFonts w:ascii="Arial" w:hAnsi="Arial" w:cs="Arial"/>
          <w:bCs/>
        </w:rPr>
        <w:t xml:space="preserve"> </w:t>
      </w:r>
      <w:r w:rsidRPr="00930DA0">
        <w:rPr>
          <w:rFonts w:ascii="Arial" w:hAnsi="Arial" w:cs="Arial"/>
          <w:lang w:val="es-ES"/>
        </w:rPr>
        <w:t xml:space="preserve">Es necesario tener en cuenta que </w:t>
      </w:r>
      <w:bookmarkStart w:id="2" w:name="_Hlk61026958"/>
      <w:r w:rsidRPr="00930DA0">
        <w:rPr>
          <w:rFonts w:ascii="Arial" w:hAnsi="Arial" w:cs="Arial"/>
          <w:lang w:val="es-ES"/>
        </w:rPr>
        <w:t xml:space="preserve">esta entidad solo tiene </w:t>
      </w:r>
      <w:r w:rsidR="00F0418C" w:rsidRPr="00930DA0">
        <w:rPr>
          <w:rFonts w:ascii="Arial" w:hAnsi="Arial" w:cs="Arial"/>
          <w:lang w:val="es-ES"/>
        </w:rPr>
        <w:t>atribuciones</w:t>
      </w:r>
      <w:r w:rsidRPr="00930DA0">
        <w:rPr>
          <w:rFonts w:ascii="Arial" w:hAnsi="Arial" w:cs="Arial"/>
          <w:lang w:val="es-ES"/>
        </w:rPr>
        <w:t xml:space="preserve">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30DA0">
        <w:rPr>
          <w:rFonts w:ascii="Arial" w:hAnsi="Arial" w:cs="Arial"/>
          <w:bCs/>
        </w:rPr>
        <w:t xml:space="preserve"> de todos los partícipes de la contratación estatal.</w:t>
      </w:r>
    </w:p>
    <w:p w14:paraId="5C12F788" w14:textId="77777777" w:rsidR="00F0418C" w:rsidRPr="00930DA0" w:rsidRDefault="004835FA" w:rsidP="004835FA">
      <w:pPr>
        <w:spacing w:after="120" w:line="276" w:lineRule="auto"/>
        <w:ind w:firstLine="708"/>
        <w:jc w:val="both"/>
        <w:rPr>
          <w:rFonts w:ascii="Arial" w:hAnsi="Arial" w:cs="Arial"/>
          <w:lang w:val="es-ES"/>
        </w:rPr>
      </w:pPr>
      <w:r w:rsidRPr="00930DA0">
        <w:rPr>
          <w:rFonts w:ascii="Arial" w:hAnsi="Arial" w:cs="Arial"/>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30DA0">
        <w:rPr>
          <w:rFonts w:ascii="Arial" w:hAnsi="Arial" w:cs="Arial"/>
          <w:vertAlign w:val="superscript"/>
        </w:rPr>
        <w:footnoteReference w:id="1"/>
      </w:r>
      <w:r w:rsidRPr="00930DA0">
        <w:rPr>
          <w:rFonts w:ascii="Arial" w:hAnsi="Arial" w:cs="Arial"/>
          <w:lang w:val="es-ES"/>
        </w:rPr>
        <w:t xml:space="preserve">. Esta competencia de interpretación de normas generales, por definición, no puede extenderse a la resolución de controversias, ni a brindar asesorías sobre casos puntuales. Esto en la medida en </w:t>
      </w:r>
      <w:proofErr w:type="gramStart"/>
      <w:r w:rsidRPr="00930DA0">
        <w:rPr>
          <w:rFonts w:ascii="Arial" w:hAnsi="Arial" w:cs="Arial"/>
          <w:lang w:val="es-ES"/>
        </w:rPr>
        <w:t>que</w:t>
      </w:r>
      <w:proofErr w:type="gramEnd"/>
      <w:r w:rsidRPr="00930DA0">
        <w:rPr>
          <w:rFonts w:ascii="Arial" w:hAnsi="Arial" w:cs="Arial"/>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2"/>
      <w:r w:rsidRPr="00930DA0">
        <w:rPr>
          <w:rFonts w:ascii="Arial" w:hAnsi="Arial" w:cs="Arial"/>
          <w:lang w:val="es-ES"/>
        </w:rPr>
        <w:t xml:space="preserve">. </w:t>
      </w:r>
    </w:p>
    <w:p w14:paraId="1EF82776" w14:textId="0EE36E6F" w:rsidR="002660AE" w:rsidRPr="00930DA0" w:rsidRDefault="004835FA" w:rsidP="00641C7A">
      <w:pPr>
        <w:spacing w:after="120" w:line="276" w:lineRule="auto"/>
        <w:ind w:firstLine="708"/>
        <w:jc w:val="both"/>
        <w:rPr>
          <w:rFonts w:ascii="Arial" w:hAnsi="Arial" w:cs="Arial"/>
          <w:lang w:val="es-ES"/>
        </w:rPr>
      </w:pPr>
      <w:r w:rsidRPr="00930DA0">
        <w:rPr>
          <w:rFonts w:ascii="Arial" w:hAnsi="Arial" w:cs="Arial"/>
          <w:lang w:val="es-ES"/>
        </w:rPr>
        <w:t>Por lo anterior, previo concepto de sus órganos asesores, la solución de estos temas corresponde a la entidad que adelanta el procedimiento de selección y, en caso de conflicto, a las autoridades judiciales, fiscales y disciplinarias.</w:t>
      </w:r>
      <w:r w:rsidR="00F0418C" w:rsidRPr="00930DA0">
        <w:rPr>
          <w:rFonts w:ascii="Arial" w:hAnsi="Arial" w:cs="Arial"/>
          <w:lang w:val="es-ES"/>
        </w:rPr>
        <w:t xml:space="preserve"> </w:t>
      </w:r>
      <w:r w:rsidR="00F0418C" w:rsidRPr="00930DA0">
        <w:rPr>
          <w:rFonts w:ascii="Arial" w:eastAsia="Calibri" w:hAnsi="Arial" w:cs="Arial"/>
          <w:color w:val="000000" w:themeColor="text1"/>
        </w:rPr>
        <w:t xml:space="preserve">En todo caso, </w:t>
      </w:r>
      <w:r w:rsidR="00F0418C" w:rsidRPr="00930DA0">
        <w:rPr>
          <w:rFonts w:ascii="Arial" w:eastAsia="Calibri" w:hAnsi="Arial" w:cs="Arial"/>
          <w:color w:val="000000" w:themeColor="text1"/>
          <w:lang w:val="es-ES"/>
        </w:rPr>
        <w:t xml:space="preserve">la Subdirección –dentro de los límites de sus atribuciones, esto es, </w:t>
      </w:r>
      <w:bookmarkStart w:id="3" w:name="_Hlk61025408"/>
      <w:r w:rsidR="00F0418C" w:rsidRPr="00930DA0">
        <w:rPr>
          <w:rFonts w:ascii="Arial" w:eastAsia="Calibri" w:hAnsi="Arial" w:cs="Arial"/>
          <w:color w:val="000000" w:themeColor="text1"/>
          <w:lang w:val="es-ES"/>
        </w:rPr>
        <w:t>haciendo abstracción del caso particular expuesto por el peticionario</w:t>
      </w:r>
      <w:bookmarkEnd w:id="3"/>
      <w:r w:rsidR="00F0418C" w:rsidRPr="00930DA0">
        <w:rPr>
          <w:rFonts w:ascii="Arial" w:eastAsia="Calibri" w:hAnsi="Arial" w:cs="Arial"/>
          <w:color w:val="000000" w:themeColor="text1"/>
          <w:lang w:val="es-ES"/>
        </w:rPr>
        <w:t>– resolverá la consulta conforme a las normas generales en materia de contratación estatal.</w:t>
      </w:r>
      <w:r w:rsidRPr="00930DA0">
        <w:rPr>
          <w:rFonts w:ascii="Arial" w:hAnsi="Arial" w:cs="Arial"/>
          <w:lang w:val="es-ES"/>
        </w:rPr>
        <w:t xml:space="preserve"> </w:t>
      </w:r>
      <w:bookmarkEnd w:id="0"/>
      <w:bookmarkEnd w:id="1"/>
    </w:p>
    <w:p w14:paraId="2680A119" w14:textId="54B37D50" w:rsidR="00B749D1" w:rsidRPr="00930DA0" w:rsidRDefault="00F0418C" w:rsidP="00641C7A">
      <w:pPr>
        <w:spacing w:after="0" w:line="276" w:lineRule="auto"/>
        <w:ind w:firstLine="708"/>
        <w:jc w:val="both"/>
        <w:rPr>
          <w:rFonts w:ascii="Arial" w:eastAsia="Calibri" w:hAnsi="Arial" w:cs="Arial"/>
          <w:color w:val="000000"/>
          <w:lang w:val="es-ES_tradnl"/>
        </w:rPr>
      </w:pPr>
      <w:r w:rsidRPr="00930DA0">
        <w:rPr>
          <w:rFonts w:ascii="Arial" w:eastAsia="Calibri" w:hAnsi="Arial" w:cs="Arial"/>
          <w:color w:val="000000"/>
          <w:lang w:val="es-ES_tradnl"/>
        </w:rPr>
        <w:t>Al respecto, l</w:t>
      </w:r>
      <w:r w:rsidR="00B749D1" w:rsidRPr="00930DA0">
        <w:rPr>
          <w:rFonts w:ascii="Arial" w:eastAsia="Calibri" w:hAnsi="Arial" w:cs="Arial"/>
          <w:color w:val="000000"/>
          <w:lang w:val="es-ES_tradnl"/>
        </w:rPr>
        <w:t>a Agencia Nacional de Contratación Pública – Colombia Compra Eficiente ha estudiado 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w:t>
      </w:r>
      <w:r w:rsidR="00932CDB" w:rsidRPr="00930DA0">
        <w:rPr>
          <w:rFonts w:ascii="Arial" w:eastAsia="Calibri" w:hAnsi="Arial" w:cs="Arial"/>
          <w:color w:val="000000"/>
          <w:lang w:val="es-ES_tradnl"/>
        </w:rPr>
        <w:t xml:space="preserve">, </w:t>
      </w:r>
      <w:r w:rsidR="00B749D1" w:rsidRPr="00930DA0">
        <w:rPr>
          <w:rFonts w:ascii="Arial" w:eastAsia="Calibri" w:hAnsi="Arial" w:cs="Arial"/>
          <w:color w:val="000000"/>
          <w:lang w:val="es-ES_tradnl"/>
        </w:rPr>
        <w:t>C-380 del 29 de julio de 2021</w:t>
      </w:r>
      <w:r w:rsidR="009E77C3" w:rsidRPr="00930DA0">
        <w:rPr>
          <w:rFonts w:ascii="Arial" w:eastAsia="Calibri" w:hAnsi="Arial" w:cs="Arial"/>
          <w:color w:val="000000"/>
          <w:lang w:val="es-ES_tradnl"/>
        </w:rPr>
        <w:t xml:space="preserve">, </w:t>
      </w:r>
      <w:r w:rsidR="00932CDB" w:rsidRPr="00930DA0">
        <w:rPr>
          <w:rFonts w:ascii="Arial" w:eastAsia="Calibri" w:hAnsi="Arial" w:cs="Arial"/>
          <w:color w:val="000000"/>
          <w:lang w:val="es-ES_tradnl"/>
        </w:rPr>
        <w:t>C-643 del 17 de noviembre de 2021</w:t>
      </w:r>
      <w:r w:rsidR="009E77C3" w:rsidRPr="00930DA0">
        <w:rPr>
          <w:rFonts w:ascii="Arial" w:eastAsia="Calibri" w:hAnsi="Arial" w:cs="Arial"/>
          <w:color w:val="000000"/>
          <w:lang w:val="es-ES_tradnl"/>
        </w:rPr>
        <w:t xml:space="preserve"> y C-705 del 05 de enero de 2022</w:t>
      </w:r>
      <w:r w:rsidR="00932CDB" w:rsidRPr="00930DA0">
        <w:rPr>
          <w:rFonts w:ascii="Arial" w:eastAsia="Calibri" w:hAnsi="Arial" w:cs="Arial"/>
          <w:color w:val="000000"/>
          <w:lang w:val="es-ES_tradnl"/>
        </w:rPr>
        <w:t>,</w:t>
      </w:r>
      <w:r w:rsidR="00B749D1" w:rsidRPr="00930DA0">
        <w:rPr>
          <w:rFonts w:ascii="Arial" w:eastAsia="Calibri" w:hAnsi="Arial" w:cs="Arial"/>
          <w:color w:val="000000"/>
          <w:lang w:val="es-ES_tradnl"/>
        </w:rPr>
        <w:t xml:space="preserve"> entre otros. </w:t>
      </w:r>
      <w:r w:rsidR="009E77C3" w:rsidRPr="00930DA0">
        <w:rPr>
          <w:rFonts w:ascii="Arial" w:eastAsia="Calibri" w:hAnsi="Arial" w:cs="Arial"/>
          <w:color w:val="000000"/>
          <w:lang w:val="es-ES_tradnl"/>
        </w:rPr>
        <w:t xml:space="preserve"> L</w:t>
      </w:r>
      <w:r w:rsidR="00B749D1" w:rsidRPr="00930DA0">
        <w:rPr>
          <w:rFonts w:ascii="Arial" w:eastAsia="Calibri" w:hAnsi="Arial" w:cs="Arial"/>
          <w:color w:val="000000"/>
          <w:lang w:val="es-ES_tradnl"/>
        </w:rPr>
        <w:t>as tesis expuestas en</w:t>
      </w:r>
      <w:r w:rsidR="00F34691" w:rsidRPr="00930DA0">
        <w:rPr>
          <w:rFonts w:ascii="Arial" w:eastAsia="Calibri" w:hAnsi="Arial" w:cs="Arial"/>
          <w:color w:val="000000"/>
          <w:lang w:val="es-ES_tradnl"/>
        </w:rPr>
        <w:t xml:space="preserve"> estos conceptos </w:t>
      </w:r>
      <w:r w:rsidR="00B749D1" w:rsidRPr="00930DA0">
        <w:rPr>
          <w:rFonts w:ascii="Arial" w:eastAsia="Calibri" w:hAnsi="Arial" w:cs="Arial"/>
          <w:color w:val="000000"/>
          <w:lang w:val="es-ES_tradnl"/>
        </w:rPr>
        <w:t>se reiteran</w:t>
      </w:r>
      <w:r w:rsidR="009E77C3" w:rsidRPr="00930DA0">
        <w:rPr>
          <w:rFonts w:ascii="Arial" w:eastAsia="Calibri" w:hAnsi="Arial" w:cs="Arial"/>
          <w:color w:val="000000"/>
          <w:lang w:val="es-ES_tradnl"/>
        </w:rPr>
        <w:t xml:space="preserve"> y se complementan en lo pertinente a continuación</w:t>
      </w:r>
      <w:r w:rsidRPr="00930DA0">
        <w:rPr>
          <w:rFonts w:ascii="Arial" w:eastAsia="Calibri" w:hAnsi="Arial" w:cs="Arial"/>
          <w:color w:val="000000"/>
          <w:lang w:val="es-ES_tradnl"/>
        </w:rPr>
        <w:t>:</w:t>
      </w:r>
    </w:p>
    <w:p w14:paraId="7606953B" w14:textId="77777777" w:rsidR="00FC5423" w:rsidRPr="00930DA0" w:rsidRDefault="00FC5423" w:rsidP="00FC5423">
      <w:pPr>
        <w:spacing w:after="0" w:line="276" w:lineRule="auto"/>
        <w:jc w:val="both"/>
        <w:rPr>
          <w:rFonts w:ascii="Arial" w:eastAsia="Calibri" w:hAnsi="Arial" w:cs="Arial"/>
          <w:color w:val="000000"/>
          <w:lang w:val="es-ES_tradnl"/>
        </w:rPr>
      </w:pPr>
    </w:p>
    <w:p w14:paraId="24945848" w14:textId="0F3EB696" w:rsidR="00951D2A" w:rsidRPr="00930DA0" w:rsidRDefault="00951D2A" w:rsidP="00FC5423">
      <w:pPr>
        <w:spacing w:after="0" w:line="276" w:lineRule="auto"/>
        <w:jc w:val="both"/>
        <w:rPr>
          <w:rFonts w:ascii="Arial" w:eastAsia="Arial" w:hAnsi="Arial" w:cs="Arial"/>
          <w:b/>
          <w:bCs/>
          <w:color w:val="000000"/>
          <w:lang w:val="es-ES_tradnl"/>
        </w:rPr>
      </w:pPr>
      <w:r w:rsidRPr="00930DA0">
        <w:rPr>
          <w:rFonts w:ascii="Arial" w:eastAsia="Arial" w:hAnsi="Arial" w:cs="Arial"/>
          <w:b/>
          <w:bCs/>
          <w:color w:val="000000"/>
          <w:lang w:val="es-ES_tradnl"/>
        </w:rPr>
        <w:t>2.1. Fundamento normativo de los documentos tipo</w:t>
      </w:r>
      <w:r w:rsidR="00872198" w:rsidRPr="00930DA0">
        <w:rPr>
          <w:rFonts w:ascii="Arial" w:eastAsia="Arial" w:hAnsi="Arial" w:cs="Arial"/>
          <w:b/>
          <w:bCs/>
          <w:color w:val="000000"/>
          <w:lang w:val="es-ES_tradnl"/>
        </w:rPr>
        <w:t xml:space="preserve"> de infraestructura de transporte</w:t>
      </w:r>
      <w:r w:rsidRPr="00930DA0">
        <w:rPr>
          <w:rFonts w:ascii="Arial" w:eastAsia="Arial" w:hAnsi="Arial" w:cs="Arial"/>
          <w:b/>
          <w:bCs/>
          <w:color w:val="000000"/>
          <w:lang w:val="es-ES_tradnl"/>
        </w:rPr>
        <w:t xml:space="preserve"> </w:t>
      </w:r>
    </w:p>
    <w:p w14:paraId="6A0B8836" w14:textId="77777777" w:rsidR="00951D2A" w:rsidRPr="00930DA0" w:rsidRDefault="00951D2A" w:rsidP="00FC5423">
      <w:pPr>
        <w:spacing w:after="0" w:line="240" w:lineRule="auto"/>
        <w:jc w:val="both"/>
        <w:rPr>
          <w:rFonts w:ascii="Arial" w:eastAsia="Calibri" w:hAnsi="Arial" w:cs="Arial"/>
          <w:color w:val="000000"/>
          <w:lang w:val="es-ES_tradnl"/>
        </w:rPr>
      </w:pPr>
    </w:p>
    <w:p w14:paraId="2C595DFA" w14:textId="77777777" w:rsidR="000B16EA" w:rsidRPr="00930DA0" w:rsidRDefault="000B16EA" w:rsidP="00641C7A">
      <w:pPr>
        <w:shd w:val="clear" w:color="auto" w:fill="FFFFFF"/>
        <w:spacing w:line="276" w:lineRule="auto"/>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Los pliegos tipo surgen en el 2007 cuando el legislador facultó al Gobierno Nacional para adoptarlos en la compra o suministro de bienes de características técnicas uniformes</w:t>
      </w:r>
      <w:r w:rsidRPr="00930DA0">
        <w:rPr>
          <w:rStyle w:val="Refdenotaalpie"/>
          <w:rFonts w:ascii="Arial" w:hAnsi="Arial" w:cs="Arial"/>
          <w:color w:val="0D0D0D"/>
          <w:bdr w:val="none" w:sz="0" w:space="0" w:color="auto" w:frame="1"/>
          <w:lang w:eastAsia="es-CO"/>
        </w:rPr>
        <w:footnoteReference w:id="2"/>
      </w:r>
      <w:r w:rsidRPr="00930DA0">
        <w:rPr>
          <w:rFonts w:ascii="Arial" w:hAnsi="Arial" w:cs="Arial"/>
          <w:color w:val="0D0D0D"/>
          <w:bdr w:val="none" w:sz="0" w:space="0" w:color="auto" w:frame="1"/>
          <w:lang w:eastAsia="es-CO"/>
        </w:rPr>
        <w:t xml:space="preserve">. La orientación inicial del proyecto que se convirtió en la Ley 1150 de 2007 era facultar al </w:t>
      </w:r>
      <w:r w:rsidRPr="00930DA0">
        <w:rPr>
          <w:rFonts w:ascii="Arial" w:hAnsi="Arial" w:cs="Arial"/>
          <w:color w:val="0D0D0D"/>
          <w:bdr w:val="none" w:sz="0" w:space="0" w:color="auto" w:frame="1"/>
          <w:lang w:eastAsia="es-CO"/>
        </w:rPr>
        <w:lastRenderedPageBreak/>
        <w:t>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930DA0">
        <w:rPr>
          <w:rStyle w:val="Refdenotaalpie"/>
          <w:rFonts w:ascii="Arial" w:hAnsi="Arial" w:cs="Arial"/>
          <w:color w:val="0D0D0D"/>
          <w:bdr w:val="none" w:sz="0" w:space="0" w:color="auto" w:frame="1"/>
          <w:lang w:eastAsia="es-CO"/>
        </w:rPr>
        <w:footnoteReference w:id="3"/>
      </w:r>
      <w:r w:rsidRPr="00930DA0">
        <w:rPr>
          <w:rFonts w:ascii="Arial" w:hAnsi="Arial" w:cs="Arial"/>
          <w:color w:val="0D0D0D"/>
          <w:bdr w:val="none" w:sz="0" w:space="0" w:color="auto" w:frame="1"/>
          <w:lang w:eastAsia="es-CO"/>
        </w:rPr>
        <w:t>. </w:t>
      </w:r>
    </w:p>
    <w:p w14:paraId="7B771755" w14:textId="77777777" w:rsidR="000B16EA" w:rsidRPr="00930DA0" w:rsidRDefault="000B16EA" w:rsidP="000B16EA">
      <w:pPr>
        <w:shd w:val="clear" w:color="auto" w:fill="FFFFFF"/>
        <w:spacing w:before="120" w:line="276" w:lineRule="auto"/>
        <w:ind w:firstLine="708"/>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930DA0">
        <w:rPr>
          <w:rStyle w:val="Refdenotaalpie"/>
          <w:rFonts w:ascii="Arial" w:hAnsi="Arial" w:cs="Arial"/>
          <w:color w:val="0D0D0D"/>
          <w:bdr w:val="none" w:sz="0" w:space="0" w:color="auto" w:frame="1"/>
          <w:lang w:eastAsia="es-CO"/>
        </w:rPr>
        <w:footnoteReference w:id="4"/>
      </w:r>
      <w:r w:rsidRPr="00930DA0">
        <w:rPr>
          <w:rFonts w:ascii="Arial" w:hAnsi="Arial" w:cs="Arial"/>
          <w:color w:val="0D0D0D"/>
          <w:bdr w:val="none" w:sz="0" w:space="0" w:color="auto" w:frame="1"/>
          <w:lang w:eastAsia="es-CO"/>
        </w:rPr>
        <w:t>. Sin embargo, en el texto aprobado, los pliegos tipo se limitaron a la adquisición o suministro de bienes de características técnicas uniformes</w:t>
      </w:r>
      <w:r w:rsidRPr="00930DA0">
        <w:rPr>
          <w:rStyle w:val="Refdenotaalpie"/>
          <w:rFonts w:ascii="Arial" w:hAnsi="Arial" w:cs="Arial"/>
          <w:color w:val="0D0D0D"/>
          <w:bdr w:val="none" w:sz="0" w:space="0" w:color="auto" w:frame="1"/>
          <w:lang w:eastAsia="es-CO"/>
        </w:rPr>
        <w:footnoteReference w:id="5"/>
      </w:r>
      <w:r w:rsidRPr="00930DA0">
        <w:rPr>
          <w:rFonts w:ascii="Arial" w:hAnsi="Arial" w:cs="Arial"/>
          <w:color w:val="0D0D0D"/>
          <w:bdr w:val="none" w:sz="0" w:space="0" w:color="auto" w:frame="1"/>
          <w:lang w:eastAsia="es-CO"/>
        </w:rPr>
        <w:t>. </w:t>
      </w:r>
    </w:p>
    <w:p w14:paraId="22C71E14" w14:textId="77777777" w:rsidR="000B16EA" w:rsidRPr="00930DA0" w:rsidRDefault="000B16EA" w:rsidP="00641C7A">
      <w:pPr>
        <w:shd w:val="clear" w:color="auto" w:fill="FFFFFF"/>
        <w:spacing w:after="0" w:line="276" w:lineRule="auto"/>
        <w:ind w:firstLine="709"/>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4BD9A507" w14:textId="77777777" w:rsidR="000B16EA" w:rsidRPr="00930DA0" w:rsidRDefault="000B16EA" w:rsidP="00641C7A">
      <w:pPr>
        <w:shd w:val="clear" w:color="auto" w:fill="FFFFFF"/>
        <w:spacing w:after="0" w:line="276" w:lineRule="auto"/>
        <w:ind w:firstLine="709"/>
        <w:jc w:val="both"/>
        <w:rPr>
          <w:rFonts w:ascii="Arial" w:hAnsi="Arial" w:cs="Arial"/>
          <w:color w:val="000000"/>
          <w:lang w:eastAsia="es-CO"/>
        </w:rPr>
      </w:pPr>
    </w:p>
    <w:p w14:paraId="779CED7C" w14:textId="77777777" w:rsidR="000B16EA" w:rsidRPr="00930DA0" w:rsidRDefault="000B16EA" w:rsidP="00641C7A">
      <w:pPr>
        <w:shd w:val="clear" w:color="auto" w:fill="FFFFFF"/>
        <w:spacing w:after="0"/>
        <w:ind w:left="709" w:right="709"/>
        <w:jc w:val="both"/>
        <w:rPr>
          <w:rFonts w:ascii="Arial" w:hAnsi="Arial" w:cs="Arial"/>
          <w:color w:val="0D0D0D"/>
          <w:sz w:val="21"/>
          <w:szCs w:val="21"/>
          <w:bdr w:val="none" w:sz="0" w:space="0" w:color="auto" w:frame="1"/>
          <w:lang w:eastAsia="es-CO"/>
        </w:rPr>
      </w:pPr>
      <w:r w:rsidRPr="00930DA0">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930DA0">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30DA0">
        <w:rPr>
          <w:rFonts w:ascii="Arial" w:hAnsi="Arial" w:cs="Arial"/>
          <w:color w:val="0D0D0D"/>
          <w:sz w:val="21"/>
          <w:szCs w:val="21"/>
          <w:bdr w:val="none" w:sz="0" w:space="0" w:color="auto" w:frame="1"/>
          <w:lang w:eastAsia="es-CO"/>
        </w:rPr>
        <w:t> […] </w:t>
      </w:r>
      <w:r w:rsidRPr="00930DA0">
        <w:rPr>
          <w:rFonts w:ascii="Arial" w:hAnsi="Arial" w:cs="Arial"/>
          <w:i/>
          <w:iCs/>
          <w:color w:val="0D0D0D"/>
          <w:sz w:val="21"/>
          <w:szCs w:val="21"/>
          <w:bdr w:val="none" w:sz="0" w:space="0" w:color="auto" w:frame="1"/>
          <w:lang w:eastAsia="es-CO"/>
        </w:rPr>
        <w:t>teniendo en cuenta la naturaleza y cuantía de los contratos</w:t>
      </w:r>
      <w:r w:rsidRPr="00930DA0">
        <w:rPr>
          <w:rFonts w:ascii="Arial" w:hAnsi="Arial" w:cs="Arial"/>
          <w:color w:val="0D0D0D"/>
          <w:sz w:val="21"/>
          <w:szCs w:val="21"/>
          <w:bdr w:val="none" w:sz="0" w:space="0" w:color="auto" w:frame="1"/>
          <w:lang w:eastAsia="es-CO"/>
        </w:rPr>
        <w:t> […]. (Énfasis fuera de texto) </w:t>
      </w:r>
    </w:p>
    <w:p w14:paraId="5A4F961F" w14:textId="77777777" w:rsidR="000B16EA" w:rsidRPr="00930DA0" w:rsidRDefault="000B16EA" w:rsidP="00641C7A">
      <w:pPr>
        <w:shd w:val="clear" w:color="auto" w:fill="FFFFFF"/>
        <w:spacing w:after="0" w:line="276" w:lineRule="auto"/>
        <w:ind w:left="709" w:right="709"/>
        <w:jc w:val="both"/>
        <w:rPr>
          <w:rFonts w:ascii="Arial" w:hAnsi="Arial" w:cs="Arial"/>
          <w:color w:val="000000"/>
          <w:lang w:eastAsia="es-CO"/>
        </w:rPr>
      </w:pPr>
    </w:p>
    <w:p w14:paraId="3A3F08A4" w14:textId="77777777" w:rsidR="000B16EA" w:rsidRPr="00930DA0" w:rsidRDefault="000B16EA" w:rsidP="000B16EA">
      <w:pPr>
        <w:shd w:val="clear" w:color="auto" w:fill="FFFFFF"/>
        <w:spacing w:line="276" w:lineRule="auto"/>
        <w:ind w:firstLine="708"/>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pues antes se señalaba al Gobierno Nacional y ahora la entidad encargada directamente por la Ley es la Agencia Nacional de Contratación Pública – Colombia Compra Eficiente– o quien haga sus veces; </w:t>
      </w:r>
      <w:proofErr w:type="spellStart"/>
      <w:r w:rsidRPr="00930DA0">
        <w:rPr>
          <w:rFonts w:ascii="Arial" w:hAnsi="Arial" w:cs="Arial"/>
          <w:color w:val="0D0D0D"/>
          <w:bdr w:val="none" w:sz="0" w:space="0" w:color="auto" w:frame="1"/>
          <w:lang w:eastAsia="es-CO"/>
        </w:rPr>
        <w:t>ii</w:t>
      </w:r>
      <w:proofErr w:type="spellEnd"/>
      <w:r w:rsidRPr="00930DA0">
        <w:rPr>
          <w:rFonts w:ascii="Arial" w:hAnsi="Arial" w:cs="Arial"/>
          <w:color w:val="0D0D0D"/>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30DA0">
        <w:rPr>
          <w:rFonts w:ascii="Arial" w:hAnsi="Arial" w:cs="Arial"/>
          <w:color w:val="0D0D0D"/>
          <w:bdr w:val="none" w:sz="0" w:space="0" w:color="auto" w:frame="1"/>
          <w:lang w:eastAsia="es-CO"/>
        </w:rPr>
        <w:t>iii</w:t>
      </w:r>
      <w:proofErr w:type="spellEnd"/>
      <w:r w:rsidRPr="00930DA0">
        <w:rPr>
          <w:rFonts w:ascii="Arial" w:hAnsi="Arial" w:cs="Arial"/>
          <w:color w:val="0D0D0D"/>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930DA0">
        <w:rPr>
          <w:rFonts w:ascii="Arial" w:hAnsi="Arial" w:cs="Arial"/>
          <w:color w:val="0D0D0D"/>
          <w:bdr w:val="none" w:sz="0" w:space="0" w:color="auto" w:frame="1"/>
          <w:lang w:eastAsia="es-CO"/>
        </w:rPr>
        <w:t>iv</w:t>
      </w:r>
      <w:proofErr w:type="spellEnd"/>
      <w:r w:rsidRPr="00930DA0">
        <w:rPr>
          <w:rFonts w:ascii="Arial" w:hAnsi="Arial" w:cs="Arial"/>
          <w:color w:val="0D0D0D"/>
          <w:bdr w:val="none" w:sz="0" w:space="0" w:color="auto" w:frame="1"/>
          <w:lang w:eastAsia="es-CO"/>
        </w:rPr>
        <w:t xml:space="preserve">) las responsabilidades para Colombia Compra Eficiente en la definición del desarrollo e </w:t>
      </w:r>
      <w:r w:rsidRPr="00930DA0">
        <w:rPr>
          <w:rFonts w:ascii="Arial" w:hAnsi="Arial" w:cs="Arial"/>
          <w:color w:val="0D0D0D"/>
          <w:bdr w:val="none" w:sz="0" w:space="0" w:color="auto" w:frame="1"/>
          <w:lang w:eastAsia="es-CO"/>
        </w:rPr>
        <w:lastRenderedPageBreak/>
        <w:t>implementación de los documentos tipo mediante cronogramas, coordinación con otras entidades especializadas, recepción de comentarios de los interesados y revisión de los documentos tipo expedidos</w:t>
      </w:r>
      <w:r w:rsidRPr="00930DA0">
        <w:rPr>
          <w:rStyle w:val="Refdenotaalpie"/>
          <w:rFonts w:ascii="Arial" w:hAnsi="Arial" w:cs="Arial"/>
          <w:color w:val="0D0D0D"/>
          <w:bdr w:val="none" w:sz="0" w:space="0" w:color="auto" w:frame="1"/>
          <w:lang w:eastAsia="es-CO"/>
        </w:rPr>
        <w:footnoteReference w:id="6"/>
      </w:r>
      <w:r w:rsidRPr="00930DA0">
        <w:rPr>
          <w:rFonts w:ascii="Arial" w:hAnsi="Arial" w:cs="Arial"/>
          <w:color w:val="0D0D0D"/>
          <w:bdr w:val="none" w:sz="0" w:space="0" w:color="auto" w:frame="1"/>
          <w:lang w:eastAsia="es-CO"/>
        </w:rPr>
        <w:t>.  </w:t>
      </w:r>
    </w:p>
    <w:p w14:paraId="1F3B4C34" w14:textId="77777777" w:rsidR="000B16EA" w:rsidRPr="00930DA0" w:rsidRDefault="000B16EA" w:rsidP="000B16EA">
      <w:pPr>
        <w:shd w:val="clear" w:color="auto" w:fill="FFFFFF"/>
        <w:spacing w:before="120" w:line="276" w:lineRule="auto"/>
        <w:ind w:firstLine="703"/>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40E72B73" w14:textId="77777777" w:rsidR="000B16EA" w:rsidRPr="00930DA0" w:rsidRDefault="000B16EA" w:rsidP="000B16EA">
      <w:pPr>
        <w:shd w:val="clear" w:color="auto" w:fill="FFFFFF"/>
        <w:spacing w:before="120" w:line="276" w:lineRule="auto"/>
        <w:ind w:firstLine="705"/>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En ejercicio de la competencia conferida por el citado parágrafo, el Gobierno Nacional expidió el Decreto 342 de 2019, por medio del cual se adoptaron los documentos tipo de licitaciones públicas para la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7F7ABC55" w14:textId="77777777" w:rsidR="000B16EA" w:rsidRPr="00930DA0" w:rsidRDefault="000B16EA" w:rsidP="000B16EA">
      <w:pPr>
        <w:shd w:val="clear" w:color="auto" w:fill="FFFFFF"/>
        <w:spacing w:before="120" w:line="276" w:lineRule="auto"/>
        <w:ind w:firstLine="705"/>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w:t>
      </w:r>
      <w:r w:rsidRPr="00930DA0">
        <w:rPr>
          <w:rFonts w:ascii="Arial" w:hAnsi="Arial" w:cs="Arial"/>
          <w:color w:val="0D0D0D"/>
          <w:bdr w:val="none" w:sz="0" w:space="0" w:color="auto" w:frame="1"/>
          <w:lang w:eastAsia="es-CO"/>
        </w:rPr>
        <w:lastRenderedPageBreak/>
        <w:t>dispone que «contienen parámetros obligatorios para las entidades estatales sometidas al Estatuto General de la Contratación Pública que adelanten procesos de selección de licitación de obra pública de infraestructura de transporte».  </w:t>
      </w:r>
    </w:p>
    <w:p w14:paraId="2297F5C0" w14:textId="77777777" w:rsidR="000B16EA" w:rsidRPr="00930DA0" w:rsidRDefault="000B16EA" w:rsidP="000B16EA">
      <w:pPr>
        <w:shd w:val="clear" w:color="auto" w:fill="FFFFFF"/>
        <w:spacing w:before="120" w:line="276" w:lineRule="auto"/>
        <w:ind w:firstLine="705"/>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w:t>
      </w:r>
      <w:proofErr w:type="spellStart"/>
      <w:r w:rsidRPr="00930DA0">
        <w:rPr>
          <w:rFonts w:ascii="Arial" w:hAnsi="Arial" w:cs="Arial"/>
          <w:color w:val="0D0D0D"/>
          <w:bdr w:val="none" w:sz="0" w:space="0" w:color="auto" w:frame="1"/>
          <w:lang w:eastAsia="es-CO"/>
        </w:rPr>
        <w:t>DNP</w:t>
      </w:r>
      <w:proofErr w:type="spellEnd"/>
      <w:r w:rsidRPr="00930DA0">
        <w:rPr>
          <w:rFonts w:ascii="Arial" w:hAnsi="Arial" w:cs="Arial"/>
          <w:color w:val="0D0D0D"/>
          <w:bdr w:val="none" w:sz="0" w:space="0" w:color="auto" w:frame="1"/>
          <w:lang w:eastAsia="es-CO"/>
        </w:rPr>
        <w:t>– y el Ministerio de Transporte, desarrollara e implementara los Documentos Tipo. Lo anterior se materializó con la expedición de la Resolución No. 1798 del 1º de abril de 2019 que implementó la Versión 1 de los documentos tipo para procesos de licitación de obra pública de infraestructura de transporte. </w:t>
      </w:r>
    </w:p>
    <w:p w14:paraId="3ABB9DBE" w14:textId="77777777" w:rsidR="000B16EA" w:rsidRPr="00930DA0" w:rsidRDefault="000B16EA" w:rsidP="000B16EA">
      <w:pPr>
        <w:shd w:val="clear" w:color="auto" w:fill="FFFFFF"/>
        <w:spacing w:before="120" w:line="276" w:lineRule="auto"/>
        <w:ind w:firstLine="705"/>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con la finalidad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4A9F5771" w14:textId="77777777" w:rsidR="000B16EA" w:rsidRPr="00930DA0" w:rsidRDefault="000B16EA" w:rsidP="000B16EA">
      <w:pPr>
        <w:shd w:val="clear" w:color="auto" w:fill="FFFFFF"/>
        <w:spacing w:before="120" w:line="276" w:lineRule="auto"/>
        <w:ind w:firstLine="708"/>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El Gobierno Nacional ejerció nuevamente la competencia prevista en el citado artículo 4 de la Ley 1882 de 2018, expidiendo el Decreto 2096 de 2019. En este Decreto se autorizó la elaboración de los documentos tipo para procesos de contratación de obra pública de infraestructura de transporte adelantados bajo la modalidad de selección abreviada de menor cuantía. Este reglamento adicionó la Subsección 2 a la Sección 6 del Capítulo 2 del Título 1 de la parte 2 del Libro 2 del Decreto 1082 de 2015. </w:t>
      </w:r>
    </w:p>
    <w:p w14:paraId="5DEA6696" w14:textId="77777777" w:rsidR="000B16EA" w:rsidRPr="00930DA0" w:rsidRDefault="000B16EA" w:rsidP="000B16EA">
      <w:pPr>
        <w:shd w:val="clear" w:color="auto" w:fill="FFFFFF"/>
        <w:spacing w:before="120" w:line="276" w:lineRule="auto"/>
        <w:ind w:firstLine="708"/>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930DA0">
        <w:rPr>
          <w:rFonts w:ascii="Arial" w:hAnsi="Arial" w:cs="Arial"/>
          <w:i/>
          <w:iCs/>
          <w:color w:val="0D0D0D"/>
          <w:bdr w:val="none" w:sz="0" w:space="0" w:color="auto" w:frame="1"/>
          <w:lang w:eastAsia="es-CO"/>
        </w:rPr>
        <w:t>ibidem</w:t>
      </w:r>
      <w:r w:rsidRPr="00930DA0">
        <w:rPr>
          <w:rFonts w:ascii="Arial" w:hAnsi="Arial" w:cs="Arial"/>
          <w:color w:val="0D0D0D"/>
          <w:bdr w:val="none" w:sz="0" w:space="0" w:color="auto" w:frame="1"/>
          <w:lang w:eastAsia="es-CO"/>
        </w:rPr>
        <w:t> facultó a la Agencia Nacional de Contratación Pública – Colombia Compra Eficiente, para que, en coordinación con el Departamento Nacional de Planeación –</w:t>
      </w:r>
      <w:proofErr w:type="spellStart"/>
      <w:r w:rsidRPr="00930DA0">
        <w:rPr>
          <w:rFonts w:ascii="Arial" w:hAnsi="Arial" w:cs="Arial"/>
          <w:color w:val="0D0D0D"/>
          <w:bdr w:val="none" w:sz="0" w:space="0" w:color="auto" w:frame="1"/>
          <w:lang w:eastAsia="es-CO"/>
        </w:rPr>
        <w:t>DNP</w:t>
      </w:r>
      <w:proofErr w:type="spellEnd"/>
      <w:r w:rsidRPr="00930DA0">
        <w:rPr>
          <w:rFonts w:ascii="Arial" w:hAnsi="Arial" w:cs="Arial"/>
          <w:color w:val="0D0D0D"/>
          <w:bdr w:val="none" w:sz="0" w:space="0" w:color="auto" w:frame="1"/>
          <w:lang w:eastAsia="es-CO"/>
        </w:rPr>
        <w:t>–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046E6ED9" w14:textId="77777777" w:rsidR="000B16EA" w:rsidRPr="00930DA0" w:rsidRDefault="000B16EA" w:rsidP="000B16EA">
      <w:pPr>
        <w:shd w:val="clear" w:color="auto" w:fill="FFFFFF"/>
        <w:spacing w:before="120" w:line="276" w:lineRule="auto"/>
        <w:ind w:firstLine="708"/>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1B9F32F5" w14:textId="77777777" w:rsidR="000B16EA" w:rsidRPr="00930DA0" w:rsidRDefault="000B16EA" w:rsidP="000B16EA">
      <w:pPr>
        <w:shd w:val="clear" w:color="auto" w:fill="FFFFFF"/>
        <w:spacing w:before="120" w:line="276" w:lineRule="auto"/>
        <w:ind w:firstLine="708"/>
        <w:jc w:val="both"/>
        <w:rPr>
          <w:rFonts w:ascii="Arial" w:hAnsi="Arial" w:cs="Arial"/>
          <w:color w:val="0D0D0D"/>
          <w:bdr w:val="none" w:sz="0" w:space="0" w:color="auto" w:frame="1"/>
          <w:lang w:eastAsia="es-CO"/>
        </w:rPr>
      </w:pPr>
      <w:r w:rsidRPr="00930DA0">
        <w:rPr>
          <w:rFonts w:ascii="Arial" w:hAnsi="Arial" w:cs="Arial"/>
          <w:color w:val="0D0D0D"/>
          <w:bdr w:val="none" w:sz="0" w:space="0" w:color="auto" w:frame="1"/>
          <w:lang w:eastAsia="es-CO"/>
        </w:rPr>
        <w:lastRenderedPageBreak/>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w:t>
      </w:r>
      <w:proofErr w:type="spellStart"/>
      <w:r w:rsidRPr="00930DA0">
        <w:rPr>
          <w:rFonts w:ascii="Arial" w:hAnsi="Arial" w:cs="Arial"/>
          <w:color w:val="0D0D0D"/>
          <w:bdr w:val="none" w:sz="0" w:space="0" w:color="auto" w:frame="1"/>
          <w:lang w:eastAsia="es-CO"/>
        </w:rPr>
        <w:t>DNP</w:t>
      </w:r>
      <w:proofErr w:type="spellEnd"/>
      <w:r w:rsidRPr="00930DA0">
        <w:rPr>
          <w:rFonts w:ascii="Arial" w:hAnsi="Arial" w:cs="Arial"/>
          <w:color w:val="0D0D0D"/>
          <w:bdr w:val="none" w:sz="0" w:space="0" w:color="auto" w:frame="1"/>
          <w:lang w:eastAsia="es-CO"/>
        </w:rPr>
        <w:t>– y el Ministerio de Transporte, desarrollara e implementara los documentos tipo. Esta competencia fue ejercida mediante la expedición de la Resolución No. 094 del 21 de mayo de 2020 que implementó los documentos tipo para esta modalidad de selección. </w:t>
      </w:r>
    </w:p>
    <w:p w14:paraId="4572965A" w14:textId="77777777" w:rsidR="000B16EA" w:rsidRPr="00930DA0" w:rsidRDefault="000B16EA" w:rsidP="000B16EA">
      <w:pPr>
        <w:pStyle w:val="Normal11pt"/>
        <w:spacing w:before="120" w:after="120" w:line="276" w:lineRule="auto"/>
        <w:ind w:left="0" w:firstLine="709"/>
        <w:rPr>
          <w:color w:val="0D0D0D"/>
          <w:bdr w:val="none" w:sz="0" w:space="0" w:color="auto" w:frame="1"/>
          <w:lang w:eastAsia="es-CO"/>
        </w:rPr>
      </w:pPr>
      <w:r w:rsidRPr="00930DA0">
        <w:rPr>
          <w:color w:val="0D0D0D"/>
          <w:bdr w:val="none" w:sz="0" w:space="0" w:color="auto" w:frame="1"/>
          <w:lang w:eastAsia="es-CO"/>
        </w:rPr>
        <w:t xml:space="preserve">Esta Agencia, analizando la afectación económica que causaron las medidas adoptadas para contener la pandemia COVID – 19 en el país, decidió actualizar los documentos tipo para los procesos de licitación de obra pública y selección abreviada de menor cuantía de infraestructura de transporte y, en consecuencia, adoptó medidas en apoyo a la industria nacional. Por tanto, bajo la competencia prevista en la Ley 2022 de 2020, Colombia Compra Eficiente expidió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para adaptar los documentos tipo a los factores de desempate del artículo 35 de la Ley 2069 de 2020. </w:t>
      </w:r>
    </w:p>
    <w:p w14:paraId="57FEE11F" w14:textId="77777777" w:rsidR="000B16EA" w:rsidRPr="00930DA0" w:rsidRDefault="000B16EA" w:rsidP="00641C7A">
      <w:pPr>
        <w:spacing w:after="0" w:line="276" w:lineRule="auto"/>
        <w:jc w:val="both"/>
        <w:rPr>
          <w:rFonts w:ascii="Arial" w:hAnsi="Arial" w:cs="Arial"/>
          <w:spacing w:val="2"/>
          <w:lang w:eastAsia="es-CO"/>
        </w:rPr>
      </w:pPr>
      <w:r w:rsidRPr="00930DA0">
        <w:rPr>
          <w:rFonts w:ascii="Arial" w:hAnsi="Arial" w:cs="Arial"/>
          <w:spacing w:val="2"/>
          <w:lang w:eastAsia="es-CO"/>
        </w:rPr>
        <w:tab/>
        <w:t>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Ante este cambio normativo, se expidió la Resolución 304 del 13 de octubre de 2021, la cual modificó los documentos tipo a las nuevas reglas de origen aplicables a los servicios nacionales.</w:t>
      </w:r>
    </w:p>
    <w:p w14:paraId="723CD124" w14:textId="22304B8A" w:rsidR="008A5692" w:rsidRPr="00930DA0" w:rsidRDefault="008A5692" w:rsidP="00FC5423">
      <w:pPr>
        <w:shd w:val="clear" w:color="auto" w:fill="FFFFFF"/>
        <w:spacing w:after="0" w:line="276" w:lineRule="auto"/>
        <w:ind w:firstLine="709"/>
        <w:jc w:val="both"/>
        <w:textAlignment w:val="baseline"/>
        <w:rPr>
          <w:rFonts w:ascii="Arial" w:eastAsia="Calibri" w:hAnsi="Arial" w:cs="Arial"/>
          <w:color w:val="000000"/>
          <w:bdr w:val="none" w:sz="0" w:space="0" w:color="auto" w:frame="1"/>
        </w:rPr>
      </w:pPr>
    </w:p>
    <w:p w14:paraId="7AD39ADC" w14:textId="0CF413EF" w:rsidR="00300E95" w:rsidRPr="00930DA0" w:rsidRDefault="00882484" w:rsidP="00DB5B80">
      <w:pPr>
        <w:spacing w:after="0" w:line="276" w:lineRule="auto"/>
        <w:jc w:val="both"/>
        <w:rPr>
          <w:rFonts w:ascii="Arial" w:eastAsia="Calibri" w:hAnsi="Arial" w:cs="Arial"/>
          <w:b/>
          <w:color w:val="000000"/>
          <w:u w:val="single"/>
          <w:lang w:eastAsia="es-ES_tradnl"/>
        </w:rPr>
      </w:pPr>
      <w:r w:rsidRPr="00930DA0">
        <w:rPr>
          <w:rFonts w:ascii="Arial" w:eastAsia="Calibri" w:hAnsi="Arial" w:cs="Arial"/>
          <w:b/>
          <w:bCs/>
          <w:color w:val="000000"/>
          <w:szCs w:val="24"/>
          <w:lang w:eastAsia="en-GB"/>
        </w:rPr>
        <w:t>2.</w:t>
      </w:r>
      <w:r w:rsidR="00300E95" w:rsidRPr="00930DA0">
        <w:rPr>
          <w:rFonts w:ascii="Arial" w:eastAsia="Calibri" w:hAnsi="Arial" w:cs="Arial"/>
          <w:b/>
          <w:bCs/>
          <w:color w:val="000000"/>
          <w:szCs w:val="24"/>
          <w:lang w:eastAsia="en-GB"/>
        </w:rPr>
        <w:t>2</w:t>
      </w:r>
      <w:r w:rsidRPr="00930DA0">
        <w:rPr>
          <w:rFonts w:ascii="Arial" w:eastAsia="Calibri" w:hAnsi="Arial" w:cs="Arial"/>
          <w:b/>
          <w:bCs/>
          <w:color w:val="000000"/>
          <w:szCs w:val="24"/>
          <w:lang w:eastAsia="en-GB"/>
        </w:rPr>
        <w:t xml:space="preserve">. </w:t>
      </w:r>
      <w:r w:rsidR="000E45FA" w:rsidRPr="00930DA0">
        <w:rPr>
          <w:rFonts w:ascii="Arial" w:eastAsia="Calibri" w:hAnsi="Arial" w:cs="Arial"/>
          <w:b/>
          <w:color w:val="000000"/>
          <w:lang w:eastAsia="es-ES_tradnl"/>
        </w:rPr>
        <w:t>Ámbito de a</w:t>
      </w:r>
      <w:r w:rsidR="00300E95" w:rsidRPr="00930DA0">
        <w:rPr>
          <w:rFonts w:ascii="Arial" w:eastAsia="Calibri" w:hAnsi="Arial" w:cs="Arial"/>
          <w:b/>
          <w:color w:val="000000"/>
          <w:lang w:eastAsia="es-ES_tradnl"/>
        </w:rPr>
        <w:t>plicación de</w:t>
      </w:r>
      <w:r w:rsidR="00C638FC" w:rsidRPr="00930DA0">
        <w:rPr>
          <w:rFonts w:ascii="Arial" w:eastAsia="Calibri" w:hAnsi="Arial" w:cs="Arial"/>
          <w:b/>
          <w:color w:val="000000"/>
          <w:lang w:eastAsia="es-ES_tradnl"/>
        </w:rPr>
        <w:t xml:space="preserve"> los documentos tipo</w:t>
      </w:r>
      <w:r w:rsidR="00173362" w:rsidRPr="00930DA0">
        <w:rPr>
          <w:rFonts w:ascii="Arial" w:eastAsia="Calibri" w:hAnsi="Arial" w:cs="Arial"/>
          <w:b/>
          <w:color w:val="000000"/>
          <w:lang w:eastAsia="es-ES_tradnl"/>
        </w:rPr>
        <w:t xml:space="preserve"> de infraestructura de transporte</w:t>
      </w:r>
      <w:r w:rsidR="000E45FA" w:rsidRPr="00930DA0">
        <w:rPr>
          <w:rFonts w:ascii="Arial" w:eastAsia="Calibri" w:hAnsi="Arial" w:cs="Arial"/>
          <w:b/>
          <w:color w:val="000000"/>
          <w:lang w:eastAsia="es-ES_tradnl"/>
        </w:rPr>
        <w:t xml:space="preserve"> </w:t>
      </w:r>
    </w:p>
    <w:p w14:paraId="22E8E3E8" w14:textId="77777777" w:rsidR="00300E95" w:rsidRPr="00930DA0" w:rsidRDefault="00300E95" w:rsidP="00300E95">
      <w:pPr>
        <w:spacing w:after="0" w:line="276" w:lineRule="auto"/>
        <w:ind w:right="51"/>
        <w:jc w:val="both"/>
        <w:rPr>
          <w:rFonts w:ascii="Arial" w:eastAsia="Calibri" w:hAnsi="Arial" w:cs="Arial"/>
        </w:rPr>
      </w:pPr>
    </w:p>
    <w:p w14:paraId="4E3A11B6" w14:textId="1B653BE9" w:rsidR="00C77D5A" w:rsidRPr="00930DA0" w:rsidRDefault="00C77D5A" w:rsidP="00641C7A">
      <w:pPr>
        <w:spacing w:line="276" w:lineRule="auto"/>
        <w:jc w:val="both"/>
        <w:rPr>
          <w:rFonts w:ascii="Arial" w:hAnsi="Arial" w:cs="Arial"/>
        </w:rPr>
      </w:pPr>
      <w:r w:rsidRPr="00930DA0">
        <w:rPr>
          <w:rFonts w:ascii="Arial" w:hAnsi="Arial" w:cs="Arial"/>
        </w:rPr>
        <w:t xml:space="preserve">El Documento Base de cada proceso de selección hace referencia al ámbito de aplicación </w:t>
      </w:r>
      <w:r w:rsidR="005748ED" w:rsidRPr="00930DA0">
        <w:rPr>
          <w:rFonts w:ascii="Arial" w:hAnsi="Arial" w:cs="Arial"/>
        </w:rPr>
        <w:t>del</w:t>
      </w:r>
      <w:r w:rsidRPr="00930DA0">
        <w:rPr>
          <w:rFonts w:ascii="Arial" w:hAnsi="Arial" w:cs="Arial"/>
        </w:rPr>
        <w:t xml:space="preserve"> documento tipo</w:t>
      </w:r>
      <w:r w:rsidR="005748ED" w:rsidRPr="00930DA0">
        <w:rPr>
          <w:rFonts w:ascii="Arial" w:hAnsi="Arial" w:cs="Arial"/>
        </w:rPr>
        <w:t xml:space="preserve"> correspondiente</w:t>
      </w:r>
      <w:r w:rsidRPr="00930DA0">
        <w:rPr>
          <w:rFonts w:ascii="Arial" w:hAnsi="Arial" w:cs="Arial"/>
        </w:rPr>
        <w:t>. Por ejemplo, tratándose de la modalidad prevista en el artículo 2.1 de la Ley 1150 de 2007, el pliego de condiciones dispone que «</w:t>
      </w:r>
      <w:r w:rsidRPr="00930DA0">
        <w:rPr>
          <w:rFonts w:ascii="Arial" w:hAnsi="Arial" w:cs="Arial"/>
          <w:lang w:val="es-MX"/>
        </w:rPr>
        <w:t>Los Documentos Tipo aplica a los procesos de licitación de obra pública de infraestructura de transporte (versión 3), que correspondan a las actividades definidas en la Matriz 1 – Experiencia</w:t>
      </w:r>
      <w:r w:rsidRPr="00930DA0">
        <w:rPr>
          <w:rFonts w:ascii="Arial" w:hAnsi="Arial" w:cs="Arial"/>
        </w:rPr>
        <w:t>», manifestando además que «las actividades de infraestructura de transporte no contempladas en la Matriz 1 – Experiencia no tienen que aplicar los Documentos Tipo».</w:t>
      </w:r>
    </w:p>
    <w:p w14:paraId="24C66490" w14:textId="77777777" w:rsidR="00C77D5A" w:rsidRPr="00930DA0" w:rsidRDefault="00C77D5A" w:rsidP="00C77D5A">
      <w:pPr>
        <w:spacing w:before="120" w:line="276" w:lineRule="auto"/>
        <w:ind w:firstLine="709"/>
        <w:jc w:val="both"/>
        <w:rPr>
          <w:rFonts w:ascii="Arial" w:hAnsi="Arial" w:cs="Arial"/>
        </w:rPr>
      </w:pPr>
      <w:r w:rsidRPr="00930DA0">
        <w:rPr>
          <w:rFonts w:ascii="Arial" w:hAnsi="Arial" w:cs="Arial"/>
        </w:rPr>
        <w:lastRenderedPageBreak/>
        <w:t>Para determinar el ámbito de aplicación de los Documentos Tipo, entonces, debe acudirse a la «Matriz 1 ─ Experiencia».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6A0C9BF0" w14:textId="77777777" w:rsidR="00C77D5A" w:rsidRPr="00930DA0" w:rsidRDefault="00C77D5A" w:rsidP="00641C7A">
      <w:pPr>
        <w:spacing w:before="120" w:after="0" w:line="276" w:lineRule="auto"/>
        <w:ind w:firstLine="708"/>
        <w:jc w:val="both"/>
        <w:rPr>
          <w:rFonts w:ascii="Arial" w:hAnsi="Arial" w:cs="Arial"/>
        </w:rPr>
      </w:pPr>
      <w:r w:rsidRPr="00930DA0">
        <w:rPr>
          <w:rFonts w:ascii="Arial" w:hAnsi="Arial" w:cs="Arial"/>
        </w:rPr>
        <w:t>Con respecto a las «actividades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las «obras en vías terciarias» están subdivididas en tres actividades a contratar, a saber: «2.1 PROYECTOS DE CONSTRUCCIÓN DE VÍAS TERCIARIAS», «2.2 MEJORAMIENTO EN VÍAS TERCIARIAS», «2.3 MANTENIMIENTO O REHABILITACIÓN EN VÍAS TERCIARIAS» y «2.4. PROYECTOS DE SEÑALIZACIÓN Y/O DEMARCACIÓN DE VÍAS TERCIARIAS». Esta división es la misma en los Documentos Tipo de licitación pública y en los de selección abreviada de menor cuantía. De esta forma, si la entidad pretende contratar alguna de tales actividades debe aplicar los Documentos Tipo para el desarrollo del proceso de contratación. Esto sin perjuicio de la aplicación de lo establecido en el artículo 4 de la Resolución 240 de 2020, el cual prescribe lo siguiente:</w:t>
      </w:r>
    </w:p>
    <w:p w14:paraId="00C725CD" w14:textId="77777777" w:rsidR="00C77D5A" w:rsidRPr="00930DA0" w:rsidRDefault="00C77D5A" w:rsidP="00641C7A">
      <w:pPr>
        <w:spacing w:after="0"/>
        <w:jc w:val="both"/>
        <w:rPr>
          <w:rFonts w:ascii="Arial" w:hAnsi="Arial" w:cs="Arial"/>
        </w:rPr>
      </w:pPr>
    </w:p>
    <w:p w14:paraId="7301D441" w14:textId="77777777" w:rsidR="00C77D5A" w:rsidRPr="00930DA0" w:rsidRDefault="00C77D5A" w:rsidP="00641C7A">
      <w:pPr>
        <w:spacing w:after="0" w:line="240" w:lineRule="auto"/>
        <w:ind w:left="709" w:right="709"/>
        <w:jc w:val="both"/>
        <w:rPr>
          <w:rFonts w:ascii="Arial" w:hAnsi="Arial" w:cs="Arial"/>
          <w:sz w:val="21"/>
          <w:szCs w:val="21"/>
        </w:rPr>
      </w:pPr>
      <w:r w:rsidRPr="00930DA0">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838B6F4" w14:textId="77777777" w:rsidR="00C77D5A" w:rsidRPr="00930DA0" w:rsidRDefault="00C77D5A" w:rsidP="00641C7A">
      <w:pPr>
        <w:spacing w:after="120" w:line="240" w:lineRule="auto"/>
        <w:ind w:left="709" w:right="709"/>
        <w:jc w:val="both"/>
        <w:rPr>
          <w:rFonts w:ascii="Arial" w:hAnsi="Arial" w:cs="Arial"/>
          <w:sz w:val="21"/>
          <w:szCs w:val="21"/>
        </w:rPr>
      </w:pPr>
      <w:r w:rsidRPr="00930DA0">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22CF7EE4" w14:textId="77777777" w:rsidR="00C77D5A" w:rsidRPr="00930DA0" w:rsidRDefault="00C77D5A" w:rsidP="00641C7A">
      <w:pPr>
        <w:spacing w:after="120" w:line="240" w:lineRule="auto"/>
        <w:ind w:left="709" w:right="709"/>
        <w:jc w:val="both"/>
        <w:rPr>
          <w:rFonts w:ascii="Arial" w:hAnsi="Arial" w:cs="Arial"/>
          <w:sz w:val="21"/>
          <w:szCs w:val="21"/>
        </w:rPr>
      </w:pPr>
      <w:r w:rsidRPr="00930DA0">
        <w:rPr>
          <w:rFonts w:ascii="Arial" w:hAnsi="Arial" w:cs="Arial"/>
          <w:sz w:val="21"/>
          <w:szCs w:val="21"/>
        </w:rPr>
        <w:t>2. Conservar los requisitos exigidos en los Documentos Tipo.</w:t>
      </w:r>
    </w:p>
    <w:p w14:paraId="0D43B8EA" w14:textId="77777777" w:rsidR="00C77D5A" w:rsidRPr="00930DA0" w:rsidRDefault="00C77D5A" w:rsidP="00641C7A">
      <w:pPr>
        <w:spacing w:after="120" w:line="240" w:lineRule="auto"/>
        <w:ind w:left="709" w:right="709"/>
        <w:jc w:val="both"/>
        <w:rPr>
          <w:rFonts w:ascii="Arial" w:hAnsi="Arial" w:cs="Arial"/>
          <w:sz w:val="21"/>
          <w:szCs w:val="21"/>
        </w:rPr>
      </w:pPr>
      <w:r w:rsidRPr="00930DA0">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14:paraId="7A199271" w14:textId="77777777" w:rsidR="00C77D5A" w:rsidRPr="00930DA0" w:rsidRDefault="00C77D5A" w:rsidP="00641C7A">
      <w:pPr>
        <w:spacing w:after="0" w:line="240" w:lineRule="auto"/>
        <w:ind w:left="709" w:right="709"/>
        <w:jc w:val="both"/>
        <w:rPr>
          <w:rFonts w:ascii="Arial" w:hAnsi="Arial" w:cs="Arial"/>
          <w:sz w:val="21"/>
          <w:szCs w:val="21"/>
        </w:rPr>
      </w:pPr>
      <w:r w:rsidRPr="00930DA0">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14:paraId="4213E40C" w14:textId="77777777" w:rsidR="00C77D5A" w:rsidRPr="00930DA0" w:rsidRDefault="00C77D5A">
      <w:pPr>
        <w:pStyle w:val="Default"/>
        <w:spacing w:line="276" w:lineRule="auto"/>
        <w:rPr>
          <w:color w:val="auto"/>
          <w:sz w:val="22"/>
          <w:szCs w:val="22"/>
        </w:rPr>
      </w:pPr>
    </w:p>
    <w:p w14:paraId="102088E3" w14:textId="54617A22" w:rsidR="00C77D5A" w:rsidRPr="00930DA0" w:rsidRDefault="00C77D5A" w:rsidP="00641C7A">
      <w:pPr>
        <w:spacing w:after="0" w:line="276" w:lineRule="auto"/>
        <w:jc w:val="both"/>
        <w:rPr>
          <w:rFonts w:ascii="Arial" w:hAnsi="Arial" w:cs="Arial"/>
        </w:rPr>
      </w:pPr>
      <w:r w:rsidRPr="00930DA0">
        <w:rPr>
          <w:rFonts w:ascii="Arial" w:hAnsi="Arial" w:cs="Arial"/>
        </w:rPr>
        <w:tab/>
      </w:r>
      <w:bookmarkStart w:id="4" w:name="_Hlk40275772"/>
      <w:r w:rsidRPr="00930DA0">
        <w:rPr>
          <w:rFonts w:ascii="Arial" w:hAnsi="Arial" w:cs="Arial"/>
        </w:rPr>
        <w:t xml:space="preserve">El artículo citado establece de manera clara que en los casos en los que el objeto contractual, además de la intervención de infraestructura vial, involucre bienes o servicios adicionales a la obra pública de infraestructura de transporte, deberán aplicarse los </w:t>
      </w:r>
      <w:r w:rsidRPr="00930DA0">
        <w:rPr>
          <w:rFonts w:ascii="Arial" w:hAnsi="Arial" w:cs="Arial"/>
        </w:rPr>
        <w:lastRenderedPageBreak/>
        <w:t>Documentos Tipo, estableciendo además unos parámetros para la configuración de</w:t>
      </w:r>
      <w:r w:rsidR="005512DA" w:rsidRPr="00930DA0">
        <w:rPr>
          <w:rFonts w:ascii="Arial" w:hAnsi="Arial" w:cs="Arial"/>
        </w:rPr>
        <w:t xml:space="preserve"> los</w:t>
      </w:r>
      <w:r w:rsidRPr="00930DA0">
        <w:rPr>
          <w:rFonts w:ascii="Arial" w:hAnsi="Arial" w:cs="Arial"/>
        </w:rPr>
        <w:t xml:space="preserve"> requisitos de experiencia adicionales a los establecidos en la Matriz 1. Dichos </w:t>
      </w:r>
      <w:r w:rsidRPr="00930DA0">
        <w:rPr>
          <w:rFonts w:ascii="Arial" w:hAnsi="Arial" w:cs="Arial"/>
          <w:lang w:val="es-ES_tradnl"/>
        </w:rPr>
        <w:t>parámetros serían</w:t>
      </w:r>
      <w:r w:rsidRPr="00930DA0">
        <w:rPr>
          <w:rFonts w:ascii="Arial" w:hAnsi="Arial" w:cs="Arial"/>
        </w:rPr>
        <w:t xml:space="preserve"> aplicables cuando sean requeridos para evaluar la idoneidad de los proponentes en el desarrollo de los bienes o servicios adicionales a la obra pública de infraestructura de transporte que se pretenden contratar. Conforme a esto, el hecho que el objeto contractual abarque bienes o servicios adicionales a la obra pública de infraestructura de transporte, no es contraria a la aplicación obligatoria de los Documentos Tipo. </w:t>
      </w:r>
      <w:bookmarkEnd w:id="4"/>
    </w:p>
    <w:p w14:paraId="21B5539B" w14:textId="1FE9DD1A" w:rsidR="00C77D5A" w:rsidRPr="00930DA0" w:rsidRDefault="0031079C" w:rsidP="00641C7A">
      <w:pPr>
        <w:spacing w:before="120" w:line="276" w:lineRule="auto"/>
        <w:ind w:firstLine="708"/>
        <w:jc w:val="both"/>
        <w:rPr>
          <w:rFonts w:ascii="Arial" w:hAnsi="Arial" w:cs="Arial"/>
        </w:rPr>
      </w:pPr>
      <w:r w:rsidRPr="00930DA0">
        <w:rPr>
          <w:rFonts w:ascii="Arial" w:hAnsi="Arial" w:cs="Arial"/>
        </w:rPr>
        <w:t>Por ello</w:t>
      </w:r>
      <w:r w:rsidR="00C77D5A" w:rsidRPr="00930DA0">
        <w:rPr>
          <w:rFonts w:ascii="Arial" w:hAnsi="Arial" w:cs="Arial"/>
        </w:rPr>
        <w:t>, los Documentos Tipo son vinculantes para las entidades públicas sometidas al Estatuto General de Contratación de la Administración Pública. Así mismo el ámbito de aplicación de dichos documentos está determinado por las actividades a contratar establecidas en la Matriz 1, sin perjuicio de aplicar el artículo 4 de la Resolución 240 de 2020, en relación con la adquisición de bienes o servicios adicionales a la obra pública en procesos de licitación.</w:t>
      </w:r>
    </w:p>
    <w:p w14:paraId="138C924E" w14:textId="77777777" w:rsidR="00A07274" w:rsidRPr="00930DA0" w:rsidRDefault="00A07274" w:rsidP="00641C7A">
      <w:pPr>
        <w:spacing w:after="0" w:line="276" w:lineRule="auto"/>
        <w:ind w:firstLine="708"/>
        <w:jc w:val="both"/>
        <w:rPr>
          <w:rFonts w:ascii="Arial" w:eastAsia="Calibri" w:hAnsi="Arial" w:cs="Arial"/>
          <w:color w:val="0D0D0D"/>
          <w:lang w:val="es-MX"/>
        </w:rPr>
      </w:pPr>
      <w:r w:rsidRPr="00930DA0">
        <w:rPr>
          <w:rFonts w:ascii="Arial" w:eastAsia="Calibri" w:hAnsi="Arial" w:cs="Arial"/>
          <w:color w:val="0D0D0D"/>
          <w:lang w:val="es-MX"/>
        </w:rPr>
        <w:t>De acuerdo con lo expuesto, los documentos tipo establecen las condiciones habilitantes, los factores técnicos y económicos de escogencia y los sistemas de ponderación de carácter obligatorio para las entidades estatales sometidas al Estatuto General de la Contratación Pública que</w:t>
      </w:r>
      <w:r w:rsidRPr="00930DA0">
        <w:rPr>
          <w:rFonts w:ascii="Arial" w:eastAsia="Calibri" w:hAnsi="Arial" w:cs="Arial"/>
          <w:color w:val="000000"/>
          <w:bdr w:val="none" w:sz="0" w:space="0" w:color="auto" w:frame="1"/>
        </w:rPr>
        <w:t xml:space="preserve"> adelanten procesos de contratación mediante la modalidad que establecen los documentos tipo para cada sector</w:t>
      </w:r>
      <w:r w:rsidRPr="00930DA0">
        <w:rPr>
          <w:rFonts w:ascii="Arial" w:eastAsia="Calibri" w:hAnsi="Arial" w:cs="Arial"/>
          <w:color w:val="0D0D0D"/>
          <w:lang w:val="es-MX"/>
        </w:rPr>
        <w:t>. Estos consisten en un grupo de documentos, conformados por un documento base, anexos, matrices, formatos y formularios, que sirven tanto a las entidades para elaborar los documentos del proceso, como a los proponentes para conformar y presentar sus ofertas.</w:t>
      </w:r>
    </w:p>
    <w:p w14:paraId="12D56EB7" w14:textId="01976083" w:rsidR="00A07274" w:rsidRPr="00930DA0" w:rsidRDefault="00F0418C" w:rsidP="00A07274">
      <w:pPr>
        <w:spacing w:before="120" w:after="0" w:line="276" w:lineRule="auto"/>
        <w:ind w:firstLine="709"/>
        <w:jc w:val="both"/>
        <w:rPr>
          <w:rFonts w:ascii="Arial" w:eastAsia="Calibri" w:hAnsi="Arial" w:cs="Arial"/>
          <w:color w:val="0D0D0D"/>
          <w:lang w:val="es-MX"/>
        </w:rPr>
      </w:pPr>
      <w:r w:rsidRPr="00930DA0">
        <w:rPr>
          <w:rFonts w:ascii="Arial" w:eastAsia="Calibri" w:hAnsi="Arial" w:cs="Arial"/>
          <w:color w:val="0D0D0D"/>
          <w:lang w:val="es-MX"/>
        </w:rPr>
        <w:t>Como se indicó</w:t>
      </w:r>
      <w:r w:rsidR="00A07274" w:rsidRPr="00930DA0">
        <w:rPr>
          <w:rFonts w:ascii="Arial" w:eastAsia="Calibri" w:hAnsi="Arial" w:cs="Arial"/>
          <w:color w:val="0D0D0D"/>
          <w:lang w:val="es-MX"/>
        </w:rPr>
        <w:t>, uno de los elementos comunes a los diferentes documentos tipo es la «Matriz 1 – Experiencia». Esta consta de unas celdas en las que se describe la experiencia requerida en relación con el objeto a contratar, definiendo además qué tipo de actividades relacionadas con cada sector deben acogerse a los pliegos tipo. Por otro lado, encontramos el «Anexo 3 – Glosario», el cual contiene las definiciones de los términos usados en los documentos del proceso. Utilizando estos dos documentos, la entidad estatal puede definir si el objeto a contratarse debe emplear los documentos tipo adoptados por esta Agencia.</w:t>
      </w:r>
    </w:p>
    <w:p w14:paraId="210514AF" w14:textId="275E391D" w:rsidR="00A07274" w:rsidRPr="00930DA0" w:rsidRDefault="00A07274" w:rsidP="00A07274">
      <w:pPr>
        <w:spacing w:before="120" w:after="120" w:line="276" w:lineRule="auto"/>
        <w:ind w:firstLine="709"/>
        <w:jc w:val="both"/>
        <w:rPr>
          <w:rFonts w:ascii="Arial" w:eastAsia="Calibri" w:hAnsi="Arial" w:cs="Arial"/>
          <w:color w:val="0D0D0D"/>
          <w:lang w:val="es-MX"/>
        </w:rPr>
      </w:pPr>
      <w:r w:rsidRPr="00930DA0">
        <w:rPr>
          <w:rFonts w:ascii="Arial" w:eastAsia="Calibri" w:hAnsi="Arial" w:cs="Arial"/>
          <w:color w:val="0D0D0D"/>
          <w:lang w:val="es-MX"/>
        </w:rPr>
        <w:t xml:space="preserve">Conforme a lo anterior, la Matriz 1, cumple una doble función: </w:t>
      </w:r>
      <w:r w:rsidR="002D71A1" w:rsidRPr="00930DA0">
        <w:rPr>
          <w:rFonts w:ascii="Arial" w:eastAsia="Calibri" w:hAnsi="Arial" w:cs="Arial"/>
          <w:color w:val="0D0D0D"/>
          <w:lang w:val="es-MX"/>
        </w:rPr>
        <w:t>p</w:t>
      </w:r>
      <w:r w:rsidRPr="00930DA0">
        <w:rPr>
          <w:rFonts w:ascii="Arial" w:eastAsia="Calibri" w:hAnsi="Arial" w:cs="Arial"/>
          <w:color w:val="0D0D0D"/>
          <w:lang w:val="es-MX"/>
        </w:rPr>
        <w:t>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5AF74BDF" w14:textId="77777777" w:rsidR="00A07274" w:rsidRPr="00930DA0" w:rsidRDefault="00A07274" w:rsidP="00A07274">
      <w:pPr>
        <w:spacing w:before="120" w:after="120" w:line="276" w:lineRule="auto"/>
        <w:ind w:firstLine="709"/>
        <w:jc w:val="both"/>
        <w:rPr>
          <w:rFonts w:ascii="Arial" w:eastAsia="Calibri" w:hAnsi="Arial" w:cs="Arial"/>
          <w:color w:val="0D0D0D"/>
          <w:lang w:val="es-MX"/>
        </w:rPr>
      </w:pPr>
      <w:r w:rsidRPr="00930DA0">
        <w:rPr>
          <w:rFonts w:ascii="Arial" w:eastAsia="Calibri" w:hAnsi="Arial" w:cs="Arial"/>
          <w:color w:val="0D0D0D"/>
          <w:lang w:val="es-MX"/>
        </w:rPr>
        <w:t xml:space="preserve">De esta manera,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esta manera, si el objeto contractual a ejecutar se encuadra materialmente dentro de alguno de los tipos </w:t>
      </w:r>
      <w:r w:rsidRPr="00930DA0">
        <w:rPr>
          <w:rFonts w:ascii="Arial" w:eastAsia="Calibri" w:hAnsi="Arial" w:cs="Arial"/>
          <w:color w:val="0D0D0D"/>
          <w:lang w:val="es-MX"/>
        </w:rPr>
        <w:lastRenderedPageBreak/>
        <w:t>actividades concretas señaladas en cada una de las matrices de experiencia, se tendrán que aplicar los documentos tipo, mientras que en el caso contrario no será forzosa su aplicación. En este sentido, en los documentos base de los documentos tipo</w:t>
      </w:r>
      <w:r w:rsidRPr="00930DA0">
        <w:rPr>
          <w:rFonts w:ascii="Arial" w:eastAsia="Calibri" w:hAnsi="Arial" w:cs="Arial"/>
          <w:lang w:val="es-MX"/>
        </w:rPr>
        <w:t>, se indica que la entidad establecerá las condiciones de experiencia, tanto general como específica en las actividades que van a contratar. En este contexto, la entidad no podrá incluir condiciones distintas a las previstas en la matriz de experiencia y, por tanto, deberá transcribir textualmente lo indicado en ésta.</w:t>
      </w:r>
    </w:p>
    <w:p w14:paraId="5C26A318" w14:textId="714EB411" w:rsidR="00A07274" w:rsidRPr="00930DA0" w:rsidRDefault="00A07274" w:rsidP="00A07274">
      <w:pPr>
        <w:spacing w:after="0" w:line="276" w:lineRule="auto"/>
        <w:ind w:firstLine="708"/>
        <w:jc w:val="both"/>
        <w:rPr>
          <w:rFonts w:ascii="Arial" w:eastAsia="Times New Roman" w:hAnsi="Arial" w:cs="Arial"/>
          <w:color w:val="0D0D0D"/>
          <w:szCs w:val="24"/>
          <w:bdr w:val="none" w:sz="0" w:space="0" w:color="auto" w:frame="1"/>
          <w:lang w:eastAsia="es-CO"/>
        </w:rPr>
      </w:pPr>
      <w:r w:rsidRPr="00930DA0">
        <w:rPr>
          <w:rFonts w:ascii="Arial" w:eastAsia="Calibri" w:hAnsi="Arial" w:cs="Arial"/>
          <w:color w:val="000000"/>
          <w:lang w:eastAsia="es-ES_tradnl"/>
        </w:rPr>
        <w:t>Sin perjuicio de las aclaraciones anteriores</w:t>
      </w:r>
      <w:r w:rsidRPr="00930DA0">
        <w:rPr>
          <w:rFonts w:ascii="Arial" w:eastAsia="Times New Roman" w:hAnsi="Arial" w:cs="Arial"/>
          <w:szCs w:val="24"/>
          <w:lang w:eastAsia="es-ES_tradnl"/>
        </w:rPr>
        <w:t xml:space="preserve">, debe advertirse que es la entidad contratante, al momento de adelantar sus actividades de planeación de cada proceso contractual, quien debe determinar si de acuerdo con las particularidades del contrato a ejecutar, este </w:t>
      </w:r>
      <w:r w:rsidR="00C937F0" w:rsidRPr="00930DA0">
        <w:rPr>
          <w:rFonts w:ascii="Arial" w:eastAsia="Times New Roman" w:hAnsi="Arial" w:cs="Arial"/>
          <w:szCs w:val="24"/>
          <w:lang w:eastAsia="es-ES_tradnl"/>
        </w:rPr>
        <w:t>se encuadra</w:t>
      </w:r>
      <w:r w:rsidRPr="00930DA0">
        <w:rPr>
          <w:rFonts w:ascii="Arial" w:eastAsia="Times New Roman" w:hAnsi="Arial" w:cs="Arial"/>
          <w:szCs w:val="24"/>
          <w:lang w:eastAsia="es-ES_tradnl"/>
        </w:rPr>
        <w:t xml:space="preserve"> o no dentro de alguna de las actividades de la matriz 1 de cada documento tipo, y si en consecuencia deben aplicarse o no determinados documentos tipo, conforme a los parámetros indicados en este concepto. Lo anterior sin que pueda apartarse de su aplicación cuando materialmente el objeto a contratar corresponde con alguna actividad contemplada en dicha matriz</w:t>
      </w:r>
      <w:r w:rsidR="00F163E4" w:rsidRPr="00930DA0">
        <w:rPr>
          <w:rFonts w:ascii="Arial" w:eastAsia="Times New Roman" w:hAnsi="Arial" w:cs="Arial"/>
          <w:szCs w:val="24"/>
          <w:lang w:eastAsia="es-ES_tradnl"/>
        </w:rPr>
        <w:t>, y considerando que –sin perjuicio de lo dispuesto en cada resolución respecto a los bienes y servicios adicionales– l</w:t>
      </w:r>
      <w:r w:rsidR="00F163E4" w:rsidRPr="00930DA0">
        <w:rPr>
          <w:rFonts w:ascii="Arial" w:eastAsia="Calibri" w:hAnsi="Arial" w:cs="Arial"/>
          <w:color w:val="000000"/>
          <w:shd w:val="clear" w:color="auto" w:fill="FFFFFF"/>
          <w:lang w:val="es-MX"/>
        </w:rPr>
        <w:t xml:space="preserve">os documentos tipo de infraestructura de transporte están estructurados para contratos de </w:t>
      </w:r>
      <w:r w:rsidR="00F163E4" w:rsidRPr="00930DA0">
        <w:rPr>
          <w:rFonts w:ascii="Arial" w:eastAsia="Calibri" w:hAnsi="Arial" w:cs="Arial"/>
          <w:i/>
          <w:color w:val="000000"/>
          <w:shd w:val="clear" w:color="auto" w:fill="FFFFFF"/>
          <w:lang w:val="es-MX"/>
        </w:rPr>
        <w:t>obras públicas</w:t>
      </w:r>
      <w:r w:rsidRPr="00930DA0">
        <w:rPr>
          <w:rFonts w:ascii="Arial" w:eastAsia="Times New Roman" w:hAnsi="Arial" w:cs="Arial"/>
          <w:szCs w:val="24"/>
          <w:lang w:eastAsia="es-ES_tradnl"/>
        </w:rPr>
        <w:t xml:space="preserve">. </w:t>
      </w:r>
    </w:p>
    <w:p w14:paraId="51A941CD" w14:textId="77777777" w:rsidR="00300E95" w:rsidRPr="00930DA0" w:rsidRDefault="00300E95" w:rsidP="00FC5423">
      <w:pPr>
        <w:spacing w:after="0" w:line="276" w:lineRule="auto"/>
        <w:jc w:val="both"/>
        <w:rPr>
          <w:rFonts w:ascii="Arial" w:eastAsia="Times New Roman" w:hAnsi="Arial" w:cs="Arial"/>
          <w:color w:val="000000"/>
          <w:szCs w:val="24"/>
          <w:lang w:eastAsia="es-ES_tradnl"/>
        </w:rPr>
      </w:pPr>
    </w:p>
    <w:p w14:paraId="1AFFF24B" w14:textId="74C8F312" w:rsidR="00B749D1" w:rsidRPr="00930DA0" w:rsidRDefault="00B749D1" w:rsidP="00FC5423">
      <w:pPr>
        <w:spacing w:after="0" w:line="276" w:lineRule="auto"/>
        <w:jc w:val="both"/>
        <w:rPr>
          <w:rFonts w:ascii="Arial" w:eastAsia="Calibri" w:hAnsi="Arial" w:cs="Arial"/>
          <w:b/>
        </w:rPr>
      </w:pPr>
      <w:r w:rsidRPr="00930DA0">
        <w:rPr>
          <w:rFonts w:ascii="Arial" w:eastAsia="Calibri" w:hAnsi="Arial" w:cs="Arial"/>
          <w:b/>
        </w:rPr>
        <w:t xml:space="preserve">3. Respuesta </w:t>
      </w:r>
    </w:p>
    <w:p w14:paraId="388C9EB0" w14:textId="77777777" w:rsidR="00FA7C56" w:rsidRPr="00930DA0" w:rsidRDefault="00FA7C56" w:rsidP="00FC5423">
      <w:pPr>
        <w:spacing w:after="0" w:line="276" w:lineRule="auto"/>
        <w:ind w:left="709" w:right="709"/>
        <w:jc w:val="center"/>
        <w:rPr>
          <w:rFonts w:ascii="Arial" w:hAnsi="Arial" w:cs="Arial"/>
          <w:sz w:val="21"/>
          <w:szCs w:val="21"/>
        </w:rPr>
      </w:pPr>
    </w:p>
    <w:p w14:paraId="2755FDA2" w14:textId="77777777" w:rsidR="00F21239" w:rsidRPr="00930DA0" w:rsidRDefault="00F21239" w:rsidP="00FC5423">
      <w:pPr>
        <w:spacing w:after="0" w:line="276" w:lineRule="auto"/>
        <w:ind w:left="709" w:right="709"/>
        <w:jc w:val="both"/>
        <w:rPr>
          <w:rFonts w:ascii="Arial" w:hAnsi="Arial" w:cs="Arial"/>
          <w:sz w:val="21"/>
          <w:szCs w:val="21"/>
        </w:rPr>
      </w:pPr>
      <w:r w:rsidRPr="00930DA0">
        <w:rPr>
          <w:rFonts w:ascii="Arial" w:hAnsi="Arial" w:cs="Arial"/>
          <w:sz w:val="21"/>
          <w:szCs w:val="21"/>
        </w:rPr>
        <w:t xml:space="preserve">«Si una entidad realiza la compra de señales de </w:t>
      </w:r>
      <w:proofErr w:type="spellStart"/>
      <w:r w:rsidRPr="00930DA0">
        <w:rPr>
          <w:rFonts w:ascii="Arial" w:hAnsi="Arial" w:cs="Arial"/>
          <w:sz w:val="21"/>
          <w:szCs w:val="21"/>
        </w:rPr>
        <w:t>transito</w:t>
      </w:r>
      <w:proofErr w:type="spellEnd"/>
      <w:r w:rsidRPr="00930DA0">
        <w:rPr>
          <w:rFonts w:ascii="Arial" w:hAnsi="Arial" w:cs="Arial"/>
          <w:sz w:val="21"/>
          <w:szCs w:val="21"/>
        </w:rPr>
        <w:t xml:space="preserve"> debe utilizar pliegos tipo, solo requiere las señales y su personal realiza las instalaciones, esta compra se reconocería Como obra </w:t>
      </w:r>
      <w:proofErr w:type="spellStart"/>
      <w:r w:rsidRPr="00930DA0">
        <w:rPr>
          <w:rFonts w:ascii="Arial" w:hAnsi="Arial" w:cs="Arial"/>
          <w:sz w:val="21"/>
          <w:szCs w:val="21"/>
        </w:rPr>
        <w:t>publica</w:t>
      </w:r>
      <w:proofErr w:type="spellEnd"/>
      <w:r w:rsidRPr="00930DA0">
        <w:rPr>
          <w:rFonts w:ascii="Arial" w:hAnsi="Arial" w:cs="Arial"/>
          <w:sz w:val="21"/>
          <w:szCs w:val="21"/>
        </w:rPr>
        <w:t xml:space="preserve"> de infraestructura del transporte»</w:t>
      </w:r>
    </w:p>
    <w:p w14:paraId="2426AFEE" w14:textId="77777777" w:rsidR="003D7890" w:rsidRPr="00930DA0" w:rsidRDefault="003D7890" w:rsidP="00FC5423">
      <w:pPr>
        <w:spacing w:after="0" w:line="276" w:lineRule="auto"/>
        <w:ind w:left="709" w:right="709"/>
        <w:jc w:val="both"/>
        <w:rPr>
          <w:rFonts w:ascii="Arial" w:eastAsia="Calibri" w:hAnsi="Arial" w:cs="Arial"/>
          <w:b/>
          <w:sz w:val="21"/>
          <w:szCs w:val="21"/>
        </w:rPr>
      </w:pPr>
    </w:p>
    <w:p w14:paraId="730D3B7B" w14:textId="3BA2CE69" w:rsidR="005748ED" w:rsidRPr="00930DA0" w:rsidRDefault="00EC0249" w:rsidP="005748ED">
      <w:pPr>
        <w:spacing w:line="276" w:lineRule="auto"/>
        <w:jc w:val="both"/>
        <w:rPr>
          <w:rFonts w:ascii="Arial" w:hAnsi="Arial" w:cs="Arial"/>
        </w:rPr>
      </w:pPr>
      <w:r w:rsidRPr="00930DA0">
        <w:rPr>
          <w:rFonts w:ascii="Arial" w:hAnsi="Arial" w:cs="Arial"/>
        </w:rPr>
        <w:t>Conforme a la interpretación de las norma</w:t>
      </w:r>
      <w:r w:rsidR="005E0CE1" w:rsidRPr="00930DA0">
        <w:rPr>
          <w:rFonts w:ascii="Arial" w:hAnsi="Arial" w:cs="Arial"/>
        </w:rPr>
        <w:t>s</w:t>
      </w:r>
      <w:r w:rsidRPr="00930DA0">
        <w:rPr>
          <w:rFonts w:ascii="Arial" w:hAnsi="Arial" w:cs="Arial"/>
        </w:rPr>
        <w:t xml:space="preserve"> generales del sistema de compras públicas, e</w:t>
      </w:r>
      <w:r w:rsidR="005748ED" w:rsidRPr="00930DA0">
        <w:rPr>
          <w:rFonts w:ascii="Arial" w:hAnsi="Arial" w:cs="Arial"/>
        </w:rPr>
        <w:t>l Documento Base de cada proceso de selección hace referencia al ámbito de aplicación del documento tipo correspondiente. Por ejemplo, tratándose de la modalidad prevista en el artículo 2.1 de la Ley 1150 de 2007, el pliego de condiciones dispone que «</w:t>
      </w:r>
      <w:r w:rsidR="005748ED" w:rsidRPr="00930DA0">
        <w:rPr>
          <w:rFonts w:ascii="Arial" w:hAnsi="Arial" w:cs="Arial"/>
          <w:lang w:val="es-MX"/>
        </w:rPr>
        <w:t>Los Documentos Tipo aplica a los procesos de licitación de obra pública de infraestructura de transporte (versión 3), que correspondan a las actividades definidas en la Matriz 1 – Experiencia</w:t>
      </w:r>
      <w:r w:rsidR="005748ED" w:rsidRPr="00930DA0">
        <w:rPr>
          <w:rFonts w:ascii="Arial" w:hAnsi="Arial" w:cs="Arial"/>
        </w:rPr>
        <w:t>», manifestando además que «las actividades de infraestructura de transporte no contempladas en la Matriz 1 – Experiencia no tienen que aplicar los Documentos Tipo».</w:t>
      </w:r>
    </w:p>
    <w:p w14:paraId="5DAFE155" w14:textId="77777777" w:rsidR="005748ED" w:rsidRPr="00930DA0" w:rsidRDefault="005748ED" w:rsidP="005748ED">
      <w:pPr>
        <w:spacing w:before="120" w:line="276" w:lineRule="auto"/>
        <w:ind w:firstLine="709"/>
        <w:jc w:val="both"/>
        <w:rPr>
          <w:rFonts w:ascii="Arial" w:hAnsi="Arial" w:cs="Arial"/>
        </w:rPr>
      </w:pPr>
      <w:r w:rsidRPr="00930DA0">
        <w:rPr>
          <w:rFonts w:ascii="Arial" w:hAnsi="Arial" w:cs="Arial"/>
        </w:rPr>
        <w:t>Para determinar el ámbito de aplicación de los Documentos Tipo, entonces, debe acudirse a la «Matriz 1 ─ Experiencia».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2812C49B" w14:textId="223F547C" w:rsidR="005748ED" w:rsidRPr="00930DA0" w:rsidRDefault="005748ED" w:rsidP="00641C7A">
      <w:pPr>
        <w:spacing w:after="120" w:line="276" w:lineRule="auto"/>
        <w:ind w:firstLine="708"/>
        <w:jc w:val="both"/>
        <w:rPr>
          <w:rFonts w:ascii="Arial" w:eastAsia="Calibri" w:hAnsi="Arial" w:cs="Arial"/>
          <w:lang w:val="es-ES" w:eastAsia="es-ES" w:bidi="es-ES"/>
        </w:rPr>
      </w:pPr>
      <w:r w:rsidRPr="00930DA0">
        <w:rPr>
          <w:rFonts w:ascii="Arial" w:hAnsi="Arial" w:cs="Arial"/>
        </w:rPr>
        <w:lastRenderedPageBreak/>
        <w:t>Con respecto a las «actividades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Esta división es la misma en los Documentos Tipo de licitación pública y en los de selección abreviada de menor cuantía. De esta forma, si la entidad pretende contratar alguna de tales actividades debe aplicar los Documentos Tipo para el desarrollo del proceso de contratación. Esto sin perjuicio de la aplicación de lo establecido en el artículo 4 de la Resolución 240 de 2020</w:t>
      </w:r>
      <w:r w:rsidR="00EC0249" w:rsidRPr="00930DA0">
        <w:rPr>
          <w:rFonts w:ascii="Arial" w:hAnsi="Arial" w:cs="Arial"/>
        </w:rPr>
        <w:t xml:space="preserve"> para los bienes y servicios adicionales a la obra pública de infraestructura de transporte.</w:t>
      </w:r>
    </w:p>
    <w:p w14:paraId="2605E7B7" w14:textId="77777777" w:rsidR="005E0CE1" w:rsidRPr="00930DA0" w:rsidRDefault="005E0CE1" w:rsidP="005E0CE1">
      <w:pPr>
        <w:spacing w:before="120" w:after="120" w:line="276" w:lineRule="auto"/>
        <w:ind w:firstLine="709"/>
        <w:jc w:val="both"/>
        <w:rPr>
          <w:rFonts w:ascii="Arial" w:eastAsia="Calibri" w:hAnsi="Arial" w:cs="Arial"/>
          <w:color w:val="0D0D0D"/>
          <w:lang w:val="es-MX"/>
        </w:rPr>
      </w:pPr>
      <w:r w:rsidRPr="00930DA0">
        <w:rPr>
          <w:rFonts w:ascii="Arial" w:eastAsia="Calibri" w:hAnsi="Arial" w:cs="Arial"/>
          <w:color w:val="0D0D0D"/>
          <w:lang w:val="es-MX"/>
        </w:rPr>
        <w:t>De esta manera,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esta manera, si el objeto contractual a ejecutar se encuadra materialmente dentro de alguno de los tipos actividades concretas señaladas en cada una de las matrices de experiencia, se tendrán que aplicar los documentos tipo, mientras que en el caso contrario no será forzosa su aplicación. En este sentido, en los documentos base de los documentos tipo</w:t>
      </w:r>
      <w:r w:rsidRPr="00930DA0">
        <w:rPr>
          <w:rFonts w:ascii="Arial" w:eastAsia="Calibri" w:hAnsi="Arial" w:cs="Arial"/>
          <w:lang w:val="es-MX"/>
        </w:rPr>
        <w:t>, se indica que la entidad establecerá las condiciones de experiencia, tanto general como específica en las actividades que van a contratar. En este contexto, la entidad no podrá incluir condiciones distintas a las previstas en la matriz de experiencia y, por tanto, deberá transcribir textualmente lo indicado en ésta.</w:t>
      </w:r>
    </w:p>
    <w:p w14:paraId="2B34A434" w14:textId="4F4F37A4" w:rsidR="002C05D5" w:rsidRPr="00930DA0" w:rsidRDefault="005E0CE1">
      <w:pPr>
        <w:spacing w:after="0" w:line="276" w:lineRule="auto"/>
        <w:ind w:firstLine="708"/>
        <w:jc w:val="both"/>
        <w:rPr>
          <w:rFonts w:ascii="Arial" w:eastAsia="Calibri" w:hAnsi="Arial" w:cs="Arial"/>
          <w:color w:val="0D0D0D"/>
          <w:lang w:val="es-MX"/>
        </w:rPr>
      </w:pPr>
      <w:r w:rsidRPr="00930DA0">
        <w:rPr>
          <w:rFonts w:ascii="Arial" w:eastAsia="Calibri" w:hAnsi="Arial" w:cs="Arial"/>
          <w:color w:val="000000"/>
          <w:lang w:eastAsia="es-ES_tradnl"/>
        </w:rPr>
        <w:t>Sin perjuicio de las aclaraciones anteriores</w:t>
      </w:r>
      <w:r w:rsidRPr="00930DA0">
        <w:rPr>
          <w:rFonts w:ascii="Arial" w:eastAsia="Times New Roman" w:hAnsi="Arial" w:cs="Arial"/>
          <w:szCs w:val="24"/>
          <w:lang w:eastAsia="es-ES_tradnl"/>
        </w:rPr>
        <w:t xml:space="preserve">, debe advertirse que es la entidad contratante, al momento de adelantar sus actividades de planeación de cada proceso contractual, quien debe determinar si de acuerdo con las particularidades del contrato a ejecutar, este </w:t>
      </w:r>
      <w:r w:rsidR="00074095" w:rsidRPr="00930DA0">
        <w:rPr>
          <w:rFonts w:ascii="Arial" w:eastAsia="Times New Roman" w:hAnsi="Arial" w:cs="Arial"/>
          <w:szCs w:val="24"/>
          <w:lang w:eastAsia="es-ES_tradnl"/>
        </w:rPr>
        <w:t>se encuadra</w:t>
      </w:r>
      <w:r w:rsidRPr="00930DA0">
        <w:rPr>
          <w:rFonts w:ascii="Arial" w:eastAsia="Times New Roman" w:hAnsi="Arial" w:cs="Arial"/>
          <w:szCs w:val="24"/>
          <w:lang w:eastAsia="es-ES_tradnl"/>
        </w:rPr>
        <w:t xml:space="preserve"> o no dentro de alguna de las actividades de la matriz 1 de cada documento tipo, y si en consecuencia deben aplicarse o no determinados documentos tipo, conforme a los parámetros indicados en este concepto. Lo anterior sin que pueda apartarse de su aplicación cuando materialmente el objeto a contratar corresponde con alguna actividad de contemplada en dicha matriz</w:t>
      </w:r>
      <w:r w:rsidR="009E23EC" w:rsidRPr="00930DA0">
        <w:rPr>
          <w:rFonts w:ascii="Arial" w:eastAsia="Times New Roman" w:hAnsi="Arial" w:cs="Arial"/>
          <w:szCs w:val="24"/>
          <w:lang w:eastAsia="es-ES_tradnl"/>
        </w:rPr>
        <w:t>, y considerando que –sin perjuicio de lo dispuesto en cada resolución respecto a los bienes y servicios adicionales– l</w:t>
      </w:r>
      <w:r w:rsidR="002C05D5" w:rsidRPr="00930DA0">
        <w:rPr>
          <w:rFonts w:ascii="Arial" w:eastAsia="Calibri" w:hAnsi="Arial" w:cs="Arial"/>
          <w:color w:val="000000"/>
          <w:shd w:val="clear" w:color="auto" w:fill="FFFFFF"/>
          <w:lang w:val="es-MX"/>
        </w:rPr>
        <w:t xml:space="preserve">os documentos tipo </w:t>
      </w:r>
      <w:r w:rsidR="007A085E" w:rsidRPr="00930DA0">
        <w:rPr>
          <w:rFonts w:ascii="Arial" w:eastAsia="Calibri" w:hAnsi="Arial" w:cs="Arial"/>
          <w:color w:val="000000"/>
          <w:shd w:val="clear" w:color="auto" w:fill="FFFFFF"/>
          <w:lang w:val="es-MX"/>
        </w:rPr>
        <w:t>d</w:t>
      </w:r>
      <w:r w:rsidR="002C05D5" w:rsidRPr="00930DA0">
        <w:rPr>
          <w:rFonts w:ascii="Arial" w:eastAsia="Calibri" w:hAnsi="Arial" w:cs="Arial"/>
          <w:color w:val="000000"/>
          <w:shd w:val="clear" w:color="auto" w:fill="FFFFFF"/>
          <w:lang w:val="es-MX"/>
        </w:rPr>
        <w:t>e infraestructura de transporte están estructurados para</w:t>
      </w:r>
      <w:r w:rsidR="009E23EC" w:rsidRPr="00930DA0">
        <w:rPr>
          <w:rFonts w:ascii="Arial" w:eastAsia="Calibri" w:hAnsi="Arial" w:cs="Arial"/>
          <w:color w:val="000000"/>
          <w:shd w:val="clear" w:color="auto" w:fill="FFFFFF"/>
          <w:lang w:val="es-MX"/>
        </w:rPr>
        <w:t xml:space="preserve"> contratos de</w:t>
      </w:r>
      <w:r w:rsidR="002C05D5" w:rsidRPr="00930DA0">
        <w:rPr>
          <w:rFonts w:ascii="Arial" w:eastAsia="Calibri" w:hAnsi="Arial" w:cs="Arial"/>
          <w:color w:val="000000"/>
          <w:shd w:val="clear" w:color="auto" w:fill="FFFFFF"/>
          <w:lang w:val="es-MX"/>
        </w:rPr>
        <w:t xml:space="preserve"> </w:t>
      </w:r>
      <w:r w:rsidR="002C05D5" w:rsidRPr="00930DA0">
        <w:rPr>
          <w:rFonts w:ascii="Arial" w:eastAsia="Calibri" w:hAnsi="Arial" w:cs="Arial"/>
          <w:i/>
          <w:color w:val="000000"/>
          <w:shd w:val="clear" w:color="auto" w:fill="FFFFFF"/>
          <w:lang w:val="es-MX"/>
        </w:rPr>
        <w:t>obras públicas</w:t>
      </w:r>
      <w:r w:rsidR="00FE398B" w:rsidRPr="00930DA0">
        <w:rPr>
          <w:rFonts w:ascii="Arial" w:eastAsia="Calibri" w:hAnsi="Arial" w:cs="Arial"/>
          <w:color w:val="0D0D0D"/>
          <w:lang w:val="es-MX"/>
        </w:rPr>
        <w:t>.</w:t>
      </w:r>
    </w:p>
    <w:p w14:paraId="366A16AB" w14:textId="77777777" w:rsidR="003D7890" w:rsidRPr="00930DA0" w:rsidRDefault="003D7890" w:rsidP="00641C7A">
      <w:pPr>
        <w:spacing w:after="120"/>
      </w:pPr>
    </w:p>
    <w:p w14:paraId="79D99817" w14:textId="77777777" w:rsidR="00B749D1" w:rsidRPr="00930DA0" w:rsidRDefault="00B749D1" w:rsidP="003D7890">
      <w:pPr>
        <w:spacing w:after="0" w:line="276" w:lineRule="auto"/>
        <w:jc w:val="both"/>
        <w:rPr>
          <w:rFonts w:ascii="Arial" w:eastAsia="Calibri" w:hAnsi="Arial" w:cs="Arial"/>
          <w:color w:val="000000"/>
          <w:lang w:val="es-ES_tradnl"/>
        </w:rPr>
      </w:pPr>
      <w:r w:rsidRPr="00930DA0">
        <w:rPr>
          <w:rFonts w:ascii="Arial" w:eastAsia="Calibri" w:hAnsi="Arial" w:cs="Arial"/>
          <w:color w:val="000000"/>
          <w:lang w:val="es-ES_tradnl"/>
        </w:rPr>
        <w:t>Este concepto tiene el alcance previsto en el artículo 28 del Código de Procedimiento Administrativo y de lo Contencioso Administrativo.</w:t>
      </w:r>
    </w:p>
    <w:p w14:paraId="2BACA7DD" w14:textId="77777777" w:rsidR="00B749D1" w:rsidRPr="00930DA0" w:rsidRDefault="00B749D1" w:rsidP="00B749D1">
      <w:pPr>
        <w:spacing w:after="0" w:line="276" w:lineRule="auto"/>
        <w:jc w:val="both"/>
        <w:rPr>
          <w:rFonts w:ascii="Arial" w:eastAsia="Times New Roman" w:hAnsi="Arial" w:cs="Arial"/>
          <w:color w:val="000000"/>
          <w:lang w:val="es-ES_tradnl" w:eastAsia="es-CO"/>
        </w:rPr>
      </w:pPr>
    </w:p>
    <w:p w14:paraId="19B0865B" w14:textId="77777777" w:rsidR="00B749D1" w:rsidRPr="00930DA0" w:rsidRDefault="00B749D1" w:rsidP="00B749D1">
      <w:pPr>
        <w:spacing w:after="0" w:line="276" w:lineRule="auto"/>
        <w:jc w:val="both"/>
        <w:rPr>
          <w:rFonts w:ascii="Arial" w:eastAsia="Times New Roman" w:hAnsi="Arial" w:cs="Arial"/>
          <w:color w:val="000000"/>
          <w:lang w:val="es-ES_tradnl" w:eastAsia="es-CO"/>
        </w:rPr>
      </w:pPr>
    </w:p>
    <w:p w14:paraId="241F05F6" w14:textId="77777777" w:rsidR="00B749D1" w:rsidRPr="00930DA0" w:rsidRDefault="00B749D1" w:rsidP="00B749D1">
      <w:pPr>
        <w:spacing w:after="0" w:line="276" w:lineRule="auto"/>
        <w:jc w:val="both"/>
        <w:rPr>
          <w:rFonts w:ascii="Arial" w:eastAsia="Times New Roman" w:hAnsi="Arial" w:cs="Arial"/>
          <w:color w:val="000000"/>
          <w:lang w:val="es-ES_tradnl" w:eastAsia="es-CO"/>
        </w:rPr>
      </w:pPr>
      <w:r w:rsidRPr="00930DA0">
        <w:rPr>
          <w:rFonts w:ascii="Arial" w:eastAsia="Times New Roman" w:hAnsi="Arial" w:cs="Arial"/>
          <w:color w:val="000000"/>
          <w:lang w:val="es-ES_tradnl" w:eastAsia="es-CO"/>
        </w:rPr>
        <w:t>Atentamente,</w:t>
      </w:r>
    </w:p>
    <w:p w14:paraId="55346AFC" w14:textId="4C8997B0" w:rsidR="00B749D1" w:rsidRPr="00930DA0" w:rsidRDefault="00264694" w:rsidP="00B749D1">
      <w:pPr>
        <w:spacing w:after="0" w:line="276" w:lineRule="auto"/>
        <w:jc w:val="center"/>
        <w:rPr>
          <w:rFonts w:ascii="Arial" w:eastAsia="Times New Roman" w:hAnsi="Arial" w:cs="Arial"/>
          <w:color w:val="000000"/>
          <w:lang w:val="es-ES_tradnl" w:eastAsia="es-CO"/>
        </w:rPr>
      </w:pPr>
      <w:r w:rsidRPr="00930DA0">
        <w:rPr>
          <w:noProof/>
          <w:color w:val="000000" w:themeColor="text1"/>
          <w:lang w:val="en-US"/>
        </w:rPr>
        <w:lastRenderedPageBreak/>
        <w:drawing>
          <wp:anchor distT="0" distB="0" distL="0" distR="0" simplePos="0" relativeHeight="251659264" behindDoc="0" locked="0" layoutInCell="1" allowOverlap="1" wp14:anchorId="118C5590" wp14:editId="42F3C06E">
            <wp:simplePos x="0" y="0"/>
            <wp:positionH relativeFrom="page">
              <wp:posOffset>2860040</wp:posOffset>
            </wp:positionH>
            <wp:positionV relativeFrom="paragraph">
              <wp:posOffset>99695</wp:posOffset>
            </wp:positionV>
            <wp:extent cx="2453005" cy="1080135"/>
            <wp:effectExtent l="0" t="0" r="4445" b="571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2">
                      <a:extLst>
                        <a:ext uri="{28A0092B-C50C-407E-A947-70E740481C1C}">
                          <a14:useLocalDpi xmlns:a14="http://schemas.microsoft.com/office/drawing/2010/main" val="0"/>
                        </a:ext>
                      </a:extLst>
                    </a:blip>
                    <a:stretch>
                      <a:fillRect/>
                    </a:stretch>
                  </pic:blipFill>
                  <pic:spPr>
                    <a:xfrm>
                      <a:off x="0" y="0"/>
                      <a:ext cx="2453005" cy="1080135"/>
                    </a:xfrm>
                    <a:prstGeom prst="rect">
                      <a:avLst/>
                    </a:prstGeom>
                  </pic:spPr>
                </pic:pic>
              </a:graphicData>
            </a:graphic>
            <wp14:sizeRelV relativeFrom="margin">
              <wp14:pctHeight>0</wp14:pctHeight>
            </wp14:sizeRelV>
          </wp:anchor>
        </w:drawing>
      </w:r>
    </w:p>
    <w:p w14:paraId="56F91D5D" w14:textId="77777777" w:rsidR="00B749D1" w:rsidRPr="00930DA0" w:rsidRDefault="00B749D1" w:rsidP="00B749D1">
      <w:pPr>
        <w:spacing w:after="0" w:line="240" w:lineRule="auto"/>
        <w:rPr>
          <w:rFonts w:ascii="Arial" w:eastAsia="Calibri" w:hAnsi="Arial" w:cs="Arial"/>
          <w:color w:val="000000"/>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749D1" w:rsidRPr="00930DA0" w14:paraId="10410C90" w14:textId="77777777" w:rsidTr="00274E27">
        <w:trPr>
          <w:trHeight w:val="315"/>
        </w:trPr>
        <w:tc>
          <w:tcPr>
            <w:tcW w:w="812" w:type="dxa"/>
            <w:vAlign w:val="center"/>
            <w:hideMark/>
          </w:tcPr>
          <w:p w14:paraId="2DE84E21" w14:textId="77777777" w:rsidR="00B749D1" w:rsidRPr="00930DA0" w:rsidRDefault="00B749D1" w:rsidP="00B749D1">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440A1D8E" w14:textId="0546DBD0" w:rsidR="00B749D1" w:rsidRPr="00930DA0" w:rsidRDefault="00DB5B80" w:rsidP="00B749D1">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Guillermo Escolar Flórez</w:t>
            </w:r>
          </w:p>
          <w:p w14:paraId="531CBB0F" w14:textId="77777777" w:rsidR="00B749D1" w:rsidRPr="00930DA0" w:rsidRDefault="00B749D1" w:rsidP="00B749D1">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Contratista de la Subdirección de Gestión Contractual</w:t>
            </w:r>
          </w:p>
        </w:tc>
      </w:tr>
      <w:tr w:rsidR="00B749D1" w:rsidRPr="00930DA0" w14:paraId="27D1CD25" w14:textId="77777777" w:rsidTr="00274E27">
        <w:trPr>
          <w:trHeight w:val="330"/>
        </w:trPr>
        <w:tc>
          <w:tcPr>
            <w:tcW w:w="812" w:type="dxa"/>
            <w:vAlign w:val="center"/>
            <w:hideMark/>
          </w:tcPr>
          <w:p w14:paraId="2A8BA92F" w14:textId="77777777" w:rsidR="00B749D1" w:rsidRPr="00930DA0" w:rsidRDefault="00B749D1" w:rsidP="00B749D1">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24F8FCA" w14:textId="77777777" w:rsidR="00710868" w:rsidRPr="00930DA0" w:rsidRDefault="00710868" w:rsidP="00710868">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Juan David Montoya Penagos</w:t>
            </w:r>
          </w:p>
          <w:p w14:paraId="7EE8109A" w14:textId="414BF680" w:rsidR="00B749D1" w:rsidRPr="00930DA0" w:rsidRDefault="00710868" w:rsidP="00710868">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Gestor T1-15 de la Subdirección de Gestión Contractual</w:t>
            </w:r>
          </w:p>
        </w:tc>
      </w:tr>
      <w:tr w:rsidR="00B749D1" w:rsidRPr="00B749D1" w14:paraId="4A589570" w14:textId="77777777" w:rsidTr="00274E27">
        <w:trPr>
          <w:trHeight w:val="300"/>
        </w:trPr>
        <w:tc>
          <w:tcPr>
            <w:tcW w:w="812" w:type="dxa"/>
            <w:vAlign w:val="center"/>
            <w:hideMark/>
          </w:tcPr>
          <w:p w14:paraId="36B7DF2E" w14:textId="77777777" w:rsidR="00B749D1" w:rsidRPr="00930DA0" w:rsidRDefault="00B749D1" w:rsidP="00B749D1">
            <w:pPr>
              <w:rPr>
                <w:rFonts w:ascii="Arial" w:eastAsia="Calibri" w:hAnsi="Arial" w:cs="Arial"/>
                <w:sz w:val="16"/>
                <w:szCs w:val="16"/>
                <w:lang w:val="es-ES_tradnl" w:eastAsia="es-ES"/>
              </w:rPr>
            </w:pPr>
            <w:r w:rsidRPr="00930DA0">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6F9C047" w14:textId="77777777" w:rsidR="00B749D1" w:rsidRPr="00930DA0" w:rsidRDefault="00B749D1" w:rsidP="00B749D1">
            <w:pPr>
              <w:rPr>
                <w:rFonts w:ascii="Arial" w:eastAsia="Calibri" w:hAnsi="Arial" w:cs="Arial"/>
                <w:sz w:val="16"/>
                <w:szCs w:val="16"/>
                <w:lang w:val="pt-BR" w:eastAsia="es-ES"/>
              </w:rPr>
            </w:pPr>
            <w:r w:rsidRPr="00930DA0">
              <w:rPr>
                <w:rFonts w:ascii="Arial" w:eastAsia="Calibri" w:hAnsi="Arial" w:cs="Arial"/>
                <w:sz w:val="16"/>
                <w:szCs w:val="16"/>
                <w:lang w:val="pt-BR" w:eastAsia="es-ES"/>
              </w:rPr>
              <w:t>Jorge Augusto Tirado Navarro</w:t>
            </w:r>
          </w:p>
          <w:p w14:paraId="76523217" w14:textId="7D195C1C" w:rsidR="00B749D1" w:rsidRPr="00B749D1" w:rsidRDefault="00B749D1" w:rsidP="00B749D1">
            <w:pPr>
              <w:rPr>
                <w:rFonts w:ascii="Arial" w:eastAsia="Calibri" w:hAnsi="Arial" w:cs="Arial"/>
                <w:sz w:val="16"/>
                <w:szCs w:val="16"/>
                <w:lang w:val="pt-BR" w:eastAsia="es-ES"/>
              </w:rPr>
            </w:pPr>
            <w:proofErr w:type="spellStart"/>
            <w:r w:rsidRPr="00930DA0">
              <w:rPr>
                <w:rFonts w:ascii="Arial" w:eastAsia="Calibri" w:hAnsi="Arial" w:cs="Arial"/>
                <w:sz w:val="16"/>
                <w:szCs w:val="16"/>
                <w:lang w:val="pt-BR" w:eastAsia="es-ES"/>
              </w:rPr>
              <w:t>Subdirector</w:t>
            </w:r>
            <w:proofErr w:type="spellEnd"/>
            <w:r w:rsidRPr="00930DA0">
              <w:rPr>
                <w:rFonts w:ascii="Arial" w:eastAsia="Calibri" w:hAnsi="Arial" w:cs="Arial"/>
                <w:sz w:val="16"/>
                <w:szCs w:val="16"/>
                <w:lang w:val="pt-BR" w:eastAsia="es-ES"/>
              </w:rPr>
              <w:t xml:space="preserve"> de Gestión </w:t>
            </w:r>
            <w:proofErr w:type="spellStart"/>
            <w:r w:rsidRPr="00930DA0">
              <w:rPr>
                <w:rFonts w:ascii="Arial" w:eastAsia="Calibri" w:hAnsi="Arial" w:cs="Arial"/>
                <w:sz w:val="16"/>
                <w:szCs w:val="16"/>
                <w:lang w:val="pt-BR" w:eastAsia="es-ES"/>
              </w:rPr>
              <w:t>Contractual</w:t>
            </w:r>
            <w:proofErr w:type="spellEnd"/>
            <w:r w:rsidR="00E113DB" w:rsidRPr="00930DA0">
              <w:rPr>
                <w:rFonts w:ascii="Arial" w:eastAsia="Calibri" w:hAnsi="Arial" w:cs="Arial"/>
                <w:sz w:val="16"/>
                <w:szCs w:val="16"/>
                <w:lang w:val="pt-BR" w:eastAsia="es-ES"/>
              </w:rPr>
              <w:t xml:space="preserve"> ANCP – CCE</w:t>
            </w:r>
          </w:p>
        </w:tc>
      </w:tr>
    </w:tbl>
    <w:p w14:paraId="4369D7E8" w14:textId="77777777" w:rsidR="00B749D1" w:rsidRPr="00B749D1" w:rsidRDefault="00B749D1" w:rsidP="00B749D1">
      <w:pPr>
        <w:spacing w:after="0" w:line="240" w:lineRule="auto"/>
        <w:rPr>
          <w:rFonts w:ascii="Arial" w:eastAsia="Calibri" w:hAnsi="Arial" w:cs="Arial"/>
          <w:sz w:val="16"/>
          <w:szCs w:val="16"/>
          <w:lang w:val="pt-BR" w:eastAsia="es-ES"/>
        </w:rPr>
      </w:pPr>
    </w:p>
    <w:p w14:paraId="4B46E55A" w14:textId="77777777" w:rsidR="00B749D1" w:rsidRDefault="00B749D1"/>
    <w:sectPr w:rsidR="00B749D1">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E498" w14:textId="77777777" w:rsidR="0072494B" w:rsidRDefault="0072494B" w:rsidP="00951D2A">
      <w:pPr>
        <w:spacing w:after="0" w:line="240" w:lineRule="auto"/>
      </w:pPr>
      <w:r>
        <w:separator/>
      </w:r>
    </w:p>
  </w:endnote>
  <w:endnote w:type="continuationSeparator" w:id="0">
    <w:p w14:paraId="300D2E84" w14:textId="77777777" w:rsidR="0072494B" w:rsidRDefault="0072494B" w:rsidP="0095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242A" w14:textId="3629A256" w:rsidR="00951D2A" w:rsidRPr="008217B7" w:rsidRDefault="00951D2A" w:rsidP="00951D2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42DB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42DB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3A883BB8" w14:textId="77777777" w:rsidR="00951D2A" w:rsidRDefault="00951D2A" w:rsidP="00951D2A">
    <w:pPr>
      <w:pStyle w:val="Piedepgina"/>
      <w:jc w:val="center"/>
      <w:rPr>
        <w:lang w:val="es-ES"/>
      </w:rPr>
    </w:pPr>
    <w:r>
      <w:rPr>
        <w:noProof/>
        <w:lang w:val="en-US"/>
      </w:rPr>
      <w:drawing>
        <wp:inline distT="0" distB="0" distL="0" distR="0" wp14:anchorId="1767E13B" wp14:editId="073850AE">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8CADCF0" w14:textId="77777777" w:rsidR="00EA0A2C" w:rsidRDefault="00EA0A2C" w:rsidP="00951D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521E" w14:textId="77777777" w:rsidR="0072494B" w:rsidRDefault="0072494B" w:rsidP="00951D2A">
      <w:pPr>
        <w:spacing w:after="0" w:line="240" w:lineRule="auto"/>
      </w:pPr>
      <w:r>
        <w:separator/>
      </w:r>
    </w:p>
  </w:footnote>
  <w:footnote w:type="continuationSeparator" w:id="0">
    <w:p w14:paraId="562CADDE" w14:textId="77777777" w:rsidR="0072494B" w:rsidRDefault="0072494B" w:rsidP="00951D2A">
      <w:pPr>
        <w:spacing w:after="0" w:line="240" w:lineRule="auto"/>
      </w:pPr>
      <w:r>
        <w:continuationSeparator/>
      </w:r>
    </w:p>
  </w:footnote>
  <w:footnote w:id="1">
    <w:p w14:paraId="0558F367" w14:textId="77777777" w:rsidR="004835FA" w:rsidRDefault="004835FA" w:rsidP="004835F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80F47B6" w14:textId="77777777" w:rsidR="000B16EA" w:rsidRPr="005A5BF9" w:rsidRDefault="000B16EA" w:rsidP="009706D8">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3">
    <w:p w14:paraId="2D3F0F13" w14:textId="77777777" w:rsidR="000B16EA" w:rsidRPr="005A5BF9" w:rsidRDefault="000B16EA">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footnote>
  <w:footnote w:id="4">
    <w:p w14:paraId="67320C57" w14:textId="77777777" w:rsidR="000B16EA" w:rsidRPr="003567B6" w:rsidRDefault="000B16EA">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footnote>
  <w:footnote w:id="5">
    <w:p w14:paraId="0610478A" w14:textId="77777777" w:rsidR="000B16EA" w:rsidRPr="00C261F0" w:rsidRDefault="000B16EA" w:rsidP="00641C7A">
      <w:pPr>
        <w:shd w:val="clear" w:color="auto" w:fill="FFFFFF"/>
        <w:spacing w:after="0"/>
        <w:ind w:firstLine="709"/>
        <w:jc w:val="both"/>
        <w:textAlignment w:val="baseline"/>
        <w:rPr>
          <w:rFonts w:ascii="Arial"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footnote>
  <w:footnote w:id="6">
    <w:p w14:paraId="39953C1F" w14:textId="77777777" w:rsidR="000B16EA" w:rsidRPr="003567B6" w:rsidRDefault="000B16EA" w:rsidP="00641C7A">
      <w:pPr>
        <w:shd w:val="clear" w:color="auto" w:fill="FFFFFF"/>
        <w:spacing w:after="0"/>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D303393" w14:textId="77777777" w:rsidR="000B16EA" w:rsidRPr="003567B6" w:rsidRDefault="000B16EA" w:rsidP="00641C7A">
      <w:pPr>
        <w:shd w:val="clear" w:color="auto" w:fill="FFFFFF"/>
        <w:spacing w:after="0"/>
        <w:ind w:firstLine="709"/>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»Dentro</w:t>
      </w:r>
      <w:proofErr w:type="gramEnd"/>
      <w:r w:rsidRPr="005A5BF9">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D375EBA" w14:textId="77777777" w:rsidR="000B16EA" w:rsidRPr="003567B6" w:rsidRDefault="000B16EA" w:rsidP="00641C7A">
      <w:pPr>
        <w:shd w:val="clear" w:color="auto" w:fill="FFFFFF"/>
        <w:spacing w:after="0"/>
        <w:ind w:firstLine="709"/>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»Con</w:t>
      </w:r>
      <w:proofErr w:type="gramEnd"/>
      <w:r w:rsidRPr="005A5BF9">
        <w:rPr>
          <w:rFonts w:ascii="Arial" w:hAnsi="Arial" w:cs="Arial"/>
          <w:color w:val="000000"/>
          <w:sz w:val="19"/>
          <w:szCs w:val="19"/>
          <w:bdr w:val="none" w:sz="0" w:space="0" w:color="auto" w:frame="1"/>
          <w:lang w:eastAsia="es-CO"/>
        </w:rPr>
        <w:t xml:space="preserve">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039D49F" w14:textId="77777777" w:rsidR="000B16EA" w:rsidRPr="003567B6" w:rsidRDefault="000B16EA" w:rsidP="00641C7A">
      <w:pPr>
        <w:shd w:val="clear" w:color="auto" w:fill="FFFFFF"/>
        <w:spacing w:after="0"/>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59EA371" w14:textId="77777777" w:rsidR="000B16EA" w:rsidRPr="00C261F0" w:rsidRDefault="000B16EA" w:rsidP="00641C7A">
      <w:pPr>
        <w:shd w:val="clear" w:color="auto" w:fill="FFFFFF"/>
        <w:spacing w:after="0"/>
        <w:ind w:firstLine="708"/>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»En</w:t>
      </w:r>
      <w:proofErr w:type="gramEnd"/>
      <w:r w:rsidRPr="005A5BF9">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64A" w14:textId="63483025" w:rsidR="00951D2A" w:rsidRDefault="00951D2A">
    <w:pPr>
      <w:pStyle w:val="Encabezado"/>
    </w:pPr>
    <w:r>
      <w:rPr>
        <w:noProof/>
        <w:lang w:val="en-US"/>
      </w:rPr>
      <w:drawing>
        <wp:anchor distT="0" distB="0" distL="114300" distR="114300" simplePos="0" relativeHeight="251659264" behindDoc="1" locked="0" layoutInCell="1" allowOverlap="1" wp14:anchorId="636BE264" wp14:editId="3AF9D8B7">
          <wp:simplePos x="0" y="0"/>
          <wp:positionH relativeFrom="column">
            <wp:posOffset>4606180</wp:posOffset>
          </wp:positionH>
          <wp:positionV relativeFrom="paragraph">
            <wp:posOffset>-105686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8584F" w14:textId="77777777" w:rsidR="00EA0A2C" w:rsidRDefault="00EA0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16cid:durableId="11865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2A"/>
    <w:rsid w:val="00003FFE"/>
    <w:rsid w:val="00005A38"/>
    <w:rsid w:val="000138DD"/>
    <w:rsid w:val="00021627"/>
    <w:rsid w:val="0002675F"/>
    <w:rsid w:val="00074095"/>
    <w:rsid w:val="00090411"/>
    <w:rsid w:val="000A79D9"/>
    <w:rsid w:val="000B16EA"/>
    <w:rsid w:val="000E1588"/>
    <w:rsid w:val="000E45FA"/>
    <w:rsid w:val="0010277F"/>
    <w:rsid w:val="001425C6"/>
    <w:rsid w:val="00173362"/>
    <w:rsid w:val="00181A0F"/>
    <w:rsid w:val="001A5C14"/>
    <w:rsid w:val="001B3B73"/>
    <w:rsid w:val="00247C0B"/>
    <w:rsid w:val="00264694"/>
    <w:rsid w:val="002660AE"/>
    <w:rsid w:val="002C05D5"/>
    <w:rsid w:val="002D71A1"/>
    <w:rsid w:val="002F7AD4"/>
    <w:rsid w:val="00300E95"/>
    <w:rsid w:val="003011AF"/>
    <w:rsid w:val="0031079C"/>
    <w:rsid w:val="0034715B"/>
    <w:rsid w:val="003C4C74"/>
    <w:rsid w:val="003D7890"/>
    <w:rsid w:val="003E26D8"/>
    <w:rsid w:val="004335CD"/>
    <w:rsid w:val="0046135C"/>
    <w:rsid w:val="00462864"/>
    <w:rsid w:val="004835FA"/>
    <w:rsid w:val="00497541"/>
    <w:rsid w:val="004A096E"/>
    <w:rsid w:val="004A1DA1"/>
    <w:rsid w:val="004A21DA"/>
    <w:rsid w:val="004E14F8"/>
    <w:rsid w:val="004F74AA"/>
    <w:rsid w:val="005159BF"/>
    <w:rsid w:val="00540FB8"/>
    <w:rsid w:val="005512DA"/>
    <w:rsid w:val="005748ED"/>
    <w:rsid w:val="0058102C"/>
    <w:rsid w:val="00593013"/>
    <w:rsid w:val="005A3892"/>
    <w:rsid w:val="005B27CC"/>
    <w:rsid w:val="005B6262"/>
    <w:rsid w:val="005E0AA3"/>
    <w:rsid w:val="005E0CE1"/>
    <w:rsid w:val="00611396"/>
    <w:rsid w:val="00641C7A"/>
    <w:rsid w:val="006B4EF8"/>
    <w:rsid w:val="006B64DA"/>
    <w:rsid w:val="006D434B"/>
    <w:rsid w:val="00710868"/>
    <w:rsid w:val="0072494B"/>
    <w:rsid w:val="007813EE"/>
    <w:rsid w:val="007A085E"/>
    <w:rsid w:val="007D10CC"/>
    <w:rsid w:val="007F565A"/>
    <w:rsid w:val="008111E3"/>
    <w:rsid w:val="00831D53"/>
    <w:rsid w:val="00872198"/>
    <w:rsid w:val="00882484"/>
    <w:rsid w:val="00885329"/>
    <w:rsid w:val="00896973"/>
    <w:rsid w:val="008A5692"/>
    <w:rsid w:val="008C350A"/>
    <w:rsid w:val="008D512A"/>
    <w:rsid w:val="008D7D11"/>
    <w:rsid w:val="00920995"/>
    <w:rsid w:val="00930CA9"/>
    <w:rsid w:val="00930DA0"/>
    <w:rsid w:val="00932CDB"/>
    <w:rsid w:val="00943A00"/>
    <w:rsid w:val="0095024F"/>
    <w:rsid w:val="00951D2A"/>
    <w:rsid w:val="00963B1B"/>
    <w:rsid w:val="009706D8"/>
    <w:rsid w:val="00971D53"/>
    <w:rsid w:val="009B617E"/>
    <w:rsid w:val="009E23EC"/>
    <w:rsid w:val="009E77C3"/>
    <w:rsid w:val="00A05913"/>
    <w:rsid w:val="00A07274"/>
    <w:rsid w:val="00A81FD1"/>
    <w:rsid w:val="00A82B2B"/>
    <w:rsid w:val="00A977E4"/>
    <w:rsid w:val="00B50931"/>
    <w:rsid w:val="00B57024"/>
    <w:rsid w:val="00B749D1"/>
    <w:rsid w:val="00B9221E"/>
    <w:rsid w:val="00BA3A1E"/>
    <w:rsid w:val="00BC3CF6"/>
    <w:rsid w:val="00BD7664"/>
    <w:rsid w:val="00BE2F2B"/>
    <w:rsid w:val="00C57784"/>
    <w:rsid w:val="00C61F1D"/>
    <w:rsid w:val="00C638FC"/>
    <w:rsid w:val="00C745A6"/>
    <w:rsid w:val="00C77D5A"/>
    <w:rsid w:val="00C937F0"/>
    <w:rsid w:val="00CC1570"/>
    <w:rsid w:val="00CE6258"/>
    <w:rsid w:val="00D22557"/>
    <w:rsid w:val="00D442F0"/>
    <w:rsid w:val="00D71F24"/>
    <w:rsid w:val="00DB5B80"/>
    <w:rsid w:val="00DF78AC"/>
    <w:rsid w:val="00E005C9"/>
    <w:rsid w:val="00E113DB"/>
    <w:rsid w:val="00E1296B"/>
    <w:rsid w:val="00E25C8D"/>
    <w:rsid w:val="00E74C39"/>
    <w:rsid w:val="00E76696"/>
    <w:rsid w:val="00EA0A2C"/>
    <w:rsid w:val="00EC0249"/>
    <w:rsid w:val="00EE426E"/>
    <w:rsid w:val="00F0418C"/>
    <w:rsid w:val="00F0533E"/>
    <w:rsid w:val="00F163E4"/>
    <w:rsid w:val="00F21239"/>
    <w:rsid w:val="00F34691"/>
    <w:rsid w:val="00F41B7F"/>
    <w:rsid w:val="00F42DBE"/>
    <w:rsid w:val="00FA7C56"/>
    <w:rsid w:val="00FB347B"/>
    <w:rsid w:val="00FC5423"/>
    <w:rsid w:val="00FD50F1"/>
    <w:rsid w:val="00FE39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EB38"/>
  <w15:chartTrackingRefBased/>
  <w15:docId w15:val="{BFEA2C65-A057-44CC-AC7F-D911EF62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1D2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1D2A"/>
    <w:rPr>
      <w:vertAlign w:val="superscript"/>
    </w:rPr>
  </w:style>
  <w:style w:type="paragraph" w:customStyle="1" w:styleId="Appelnotedebasde">
    <w:name w:val="Appel note de bas de..."/>
    <w:basedOn w:val="Normal"/>
    <w:link w:val="Refdenotaalpie"/>
    <w:uiPriority w:val="99"/>
    <w:rsid w:val="00951D2A"/>
    <w:pPr>
      <w:spacing w:line="240" w:lineRule="exact"/>
    </w:pPr>
    <w:rPr>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51D2A"/>
    <w:pPr>
      <w:spacing w:after="0" w:line="240" w:lineRule="auto"/>
    </w:pPr>
    <w:rPr>
      <w:sz w:val="20"/>
      <w:szCs w:val="20"/>
      <w:lang w:val="es-MX"/>
    </w:rPr>
  </w:style>
  <w:style w:type="character" w:customStyle="1" w:styleId="TextonotapieCar1">
    <w:name w:val="Texto nota pie Car1"/>
    <w:basedOn w:val="Fuentedeprrafopredeter"/>
    <w:uiPriority w:val="99"/>
    <w:semiHidden/>
    <w:rsid w:val="00951D2A"/>
    <w:rPr>
      <w:sz w:val="20"/>
      <w:szCs w:val="20"/>
    </w:rPr>
  </w:style>
  <w:style w:type="paragraph" w:styleId="Encabezado">
    <w:name w:val="header"/>
    <w:basedOn w:val="Normal"/>
    <w:link w:val="EncabezadoCar"/>
    <w:uiPriority w:val="99"/>
    <w:unhideWhenUsed/>
    <w:rsid w:val="00951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D2A"/>
  </w:style>
  <w:style w:type="paragraph" w:styleId="Piedepgina">
    <w:name w:val="footer"/>
    <w:basedOn w:val="Normal"/>
    <w:link w:val="PiedepginaCar"/>
    <w:uiPriority w:val="99"/>
    <w:unhideWhenUsed/>
    <w:rsid w:val="00951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D2A"/>
  </w:style>
  <w:style w:type="paragraph" w:customStyle="1" w:styleId="Default">
    <w:name w:val="Default"/>
    <w:rsid w:val="00A81FD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A5692"/>
    <w:rPr>
      <w:sz w:val="16"/>
      <w:szCs w:val="16"/>
    </w:rPr>
  </w:style>
  <w:style w:type="paragraph" w:styleId="Textocomentario">
    <w:name w:val="annotation text"/>
    <w:basedOn w:val="Normal"/>
    <w:link w:val="TextocomentarioCar"/>
    <w:uiPriority w:val="99"/>
    <w:unhideWhenUsed/>
    <w:rsid w:val="008A5692"/>
    <w:pPr>
      <w:spacing w:line="240" w:lineRule="auto"/>
    </w:pPr>
    <w:rPr>
      <w:sz w:val="20"/>
      <w:szCs w:val="20"/>
    </w:rPr>
  </w:style>
  <w:style w:type="character" w:customStyle="1" w:styleId="TextocomentarioCar">
    <w:name w:val="Texto comentario Car"/>
    <w:basedOn w:val="Fuentedeprrafopredeter"/>
    <w:link w:val="Textocomentario"/>
    <w:uiPriority w:val="99"/>
    <w:rsid w:val="008A5692"/>
    <w:rPr>
      <w:sz w:val="20"/>
      <w:szCs w:val="20"/>
    </w:rPr>
  </w:style>
  <w:style w:type="paragraph" w:styleId="Asuntodelcomentario">
    <w:name w:val="annotation subject"/>
    <w:basedOn w:val="Textocomentario"/>
    <w:next w:val="Textocomentario"/>
    <w:link w:val="AsuntodelcomentarioCar"/>
    <w:uiPriority w:val="99"/>
    <w:semiHidden/>
    <w:unhideWhenUsed/>
    <w:rsid w:val="008A5692"/>
    <w:rPr>
      <w:b/>
      <w:bCs/>
    </w:rPr>
  </w:style>
  <w:style w:type="character" w:customStyle="1" w:styleId="AsuntodelcomentarioCar">
    <w:name w:val="Asunto del comentario Car"/>
    <w:basedOn w:val="TextocomentarioCar"/>
    <w:link w:val="Asuntodelcomentario"/>
    <w:uiPriority w:val="99"/>
    <w:semiHidden/>
    <w:rsid w:val="008A5692"/>
    <w:rPr>
      <w:b/>
      <w:bCs/>
      <w:sz w:val="20"/>
      <w:szCs w:val="20"/>
    </w:rPr>
  </w:style>
  <w:style w:type="paragraph" w:customStyle="1" w:styleId="xmsonospacing">
    <w:name w:val="x_msonospacing"/>
    <w:basedOn w:val="Normal"/>
    <w:rsid w:val="004F74A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B7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7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6135C"/>
    <w:pPr>
      <w:spacing w:after="0" w:line="240" w:lineRule="auto"/>
    </w:pPr>
  </w:style>
  <w:style w:type="character" w:styleId="Hipervnculo">
    <w:name w:val="Hyperlink"/>
    <w:basedOn w:val="Fuentedeprrafopredeter"/>
    <w:uiPriority w:val="99"/>
    <w:unhideWhenUsed/>
    <w:rsid w:val="00872198"/>
    <w:rPr>
      <w:color w:val="0563C1" w:themeColor="hyperlink"/>
      <w:u w:val="single"/>
    </w:rPr>
  </w:style>
  <w:style w:type="character" w:styleId="Mencinsinresolver">
    <w:name w:val="Unresolved Mention"/>
    <w:basedOn w:val="Fuentedeprrafopredeter"/>
    <w:uiPriority w:val="99"/>
    <w:semiHidden/>
    <w:unhideWhenUsed/>
    <w:rsid w:val="00872198"/>
    <w:rPr>
      <w:color w:val="605E5C"/>
      <w:shd w:val="clear" w:color="auto" w:fill="E1DFDD"/>
    </w:rPr>
  </w:style>
  <w:style w:type="paragraph" w:customStyle="1" w:styleId="Normal11pt">
    <w:name w:val="Normal + 11 pt"/>
    <w:aliases w:val="Negro,Justificado,Izquierda:  -0,95 cm,Derecha:  0,04 cm"/>
    <w:basedOn w:val="Normal"/>
    <w:uiPriority w:val="99"/>
    <w:rsid w:val="000B16EA"/>
    <w:pPr>
      <w:spacing w:after="0" w:line="240" w:lineRule="auto"/>
      <w:ind w:left="-540"/>
      <w:jc w:val="both"/>
    </w:pPr>
    <w:rPr>
      <w:rFonts w:ascii="Arial" w:eastAsia="Times New Roman"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7064">
      <w:bodyDiv w:val="1"/>
      <w:marLeft w:val="0"/>
      <w:marRight w:val="0"/>
      <w:marTop w:val="0"/>
      <w:marBottom w:val="0"/>
      <w:divBdr>
        <w:top w:val="none" w:sz="0" w:space="0" w:color="auto"/>
        <w:left w:val="none" w:sz="0" w:space="0" w:color="auto"/>
        <w:bottom w:val="none" w:sz="0" w:space="0" w:color="auto"/>
        <w:right w:val="none" w:sz="0" w:space="0" w:color="auto"/>
      </w:divBdr>
    </w:div>
    <w:div w:id="2434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44B7-FCC1-4CDD-A40C-39C0CE312A9B}">
  <ds:schemaRefs>
    <ds:schemaRef ds:uri="http://schemas.microsoft.com/sharepoint/v3/contenttype/forms"/>
  </ds:schemaRefs>
</ds:datastoreItem>
</file>

<file path=customXml/itemProps2.xml><?xml version="1.0" encoding="utf-8"?>
<ds:datastoreItem xmlns:ds="http://schemas.openxmlformats.org/officeDocument/2006/customXml" ds:itemID="{AAF3B328-A9C3-47F6-B5BD-EFB6BAADA68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4D5F74C-0C7F-4C8A-A919-4163C5A9B6BE}">
  <ds:schemaRefs>
    <ds:schemaRef ds:uri="http://schemas.openxmlformats.org/officeDocument/2006/bibliography"/>
  </ds:schemaRefs>
</ds:datastoreItem>
</file>

<file path=customXml/itemProps4.xml><?xml version="1.0" encoding="utf-8"?>
<ds:datastoreItem xmlns:ds="http://schemas.openxmlformats.org/officeDocument/2006/customXml" ds:itemID="{C180791A-9530-4A67-8B06-029A223E0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4801</Words>
  <Characters>26407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Andrea Ramírez Castañeda</cp:lastModifiedBy>
  <cp:revision>16</cp:revision>
  <dcterms:created xsi:type="dcterms:W3CDTF">2022-04-29T00:25:00Z</dcterms:created>
  <dcterms:modified xsi:type="dcterms:W3CDTF">2022-04-29T21:08:00Z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