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917" w14:textId="77777777" w:rsidR="00915830" w:rsidRPr="00213052" w:rsidRDefault="00915830" w:rsidP="00915830">
      <w:pPr>
        <w:jc w:val="right"/>
        <w:rPr>
          <w:rFonts w:ascii="Arial" w:hAnsi="Arial" w:cs="Arial"/>
          <w:b/>
          <w:sz w:val="16"/>
          <w:szCs w:val="16"/>
          <w:lang w:val="es-ES_tradnl" w:eastAsia="es-ES"/>
        </w:rPr>
      </w:pPr>
      <w:r w:rsidRPr="00213052">
        <w:rPr>
          <w:rFonts w:ascii="Arial" w:hAnsi="Arial" w:cs="Arial"/>
          <w:b/>
          <w:sz w:val="16"/>
          <w:szCs w:val="16"/>
          <w:lang w:val="es-ES_tradnl" w:eastAsia="es-ES"/>
        </w:rPr>
        <w:t>CCE-DES-FM-17</w:t>
      </w:r>
    </w:p>
    <w:p w14:paraId="20B310A3" w14:textId="77777777" w:rsidR="00915830" w:rsidRPr="00213052" w:rsidRDefault="00915830" w:rsidP="00915830">
      <w:pPr>
        <w:spacing w:line="276" w:lineRule="auto"/>
        <w:jc w:val="both"/>
        <w:rPr>
          <w:rFonts w:ascii="Arial" w:eastAsia="Calibri" w:hAnsi="Arial" w:cs="Arial"/>
          <w:b/>
          <w:sz w:val="16"/>
          <w:szCs w:val="16"/>
          <w:lang w:val="es-ES_tradnl"/>
        </w:rPr>
      </w:pPr>
    </w:p>
    <w:p w14:paraId="0131B507" w14:textId="2400AA17" w:rsidR="00915830" w:rsidRPr="00E36D20" w:rsidRDefault="00915830" w:rsidP="00915830">
      <w:pPr>
        <w:jc w:val="both"/>
        <w:rPr>
          <w:rFonts w:ascii="Arial" w:hAnsi="Arial" w:cs="Arial"/>
          <w:b/>
          <w:bCs/>
          <w:noProof/>
          <w:color w:val="000000" w:themeColor="text1"/>
          <w:sz w:val="20"/>
          <w:szCs w:val="20"/>
          <w:lang w:val="es-ES_tradnl"/>
        </w:rPr>
      </w:pPr>
      <w:r w:rsidRPr="00E36D20">
        <w:rPr>
          <w:rFonts w:ascii="Arial" w:eastAsia="Calibri" w:hAnsi="Arial" w:cs="Arial"/>
          <w:b/>
          <w:bCs/>
          <w:color w:val="000000" w:themeColor="text1"/>
          <w:sz w:val="20"/>
          <w:szCs w:val="20"/>
          <w:lang w:val="es-ES_tradnl"/>
        </w:rPr>
        <w:t xml:space="preserve">LEY 2195 DE 2022 – Aplicación de documentos tipo – </w:t>
      </w:r>
      <w:r w:rsidR="001E66F7">
        <w:rPr>
          <w:rFonts w:ascii="Arial" w:eastAsia="Calibri" w:hAnsi="Arial" w:cs="Arial"/>
          <w:b/>
          <w:bCs/>
          <w:color w:val="000000" w:themeColor="text1"/>
          <w:sz w:val="20"/>
          <w:szCs w:val="20"/>
          <w:lang w:val="es-ES_tradnl"/>
        </w:rPr>
        <w:t>E</w:t>
      </w:r>
      <w:r w:rsidRPr="00E36D20">
        <w:rPr>
          <w:rFonts w:ascii="Arial" w:eastAsia="Calibri" w:hAnsi="Arial" w:cs="Arial"/>
          <w:b/>
          <w:bCs/>
          <w:color w:val="000000" w:themeColor="text1"/>
          <w:sz w:val="20"/>
          <w:szCs w:val="20"/>
          <w:lang w:val="es-ES_tradnl"/>
        </w:rPr>
        <w:t xml:space="preserve">ntidades de régimen especial – </w:t>
      </w:r>
      <w:r w:rsidR="001E66F7">
        <w:rPr>
          <w:rFonts w:ascii="Arial" w:eastAsia="Calibri" w:hAnsi="Arial" w:cs="Arial"/>
          <w:b/>
          <w:bCs/>
          <w:color w:val="000000" w:themeColor="text1"/>
          <w:sz w:val="20"/>
          <w:szCs w:val="20"/>
          <w:lang w:val="es-ES_tradnl"/>
        </w:rPr>
        <w:t>A</w:t>
      </w:r>
      <w:r w:rsidRPr="00E36D20">
        <w:rPr>
          <w:rFonts w:ascii="Arial" w:eastAsia="Calibri" w:hAnsi="Arial" w:cs="Arial"/>
          <w:b/>
          <w:bCs/>
          <w:color w:val="000000" w:themeColor="text1"/>
          <w:sz w:val="20"/>
          <w:szCs w:val="20"/>
          <w:lang w:val="es-ES_tradnl"/>
        </w:rPr>
        <w:t>rtículo 56</w:t>
      </w:r>
    </w:p>
    <w:p w14:paraId="6AFA87FC" w14:textId="77777777" w:rsidR="00915830" w:rsidRPr="00E36D20" w:rsidRDefault="00915830" w:rsidP="00ED570E">
      <w:pPr>
        <w:jc w:val="both"/>
        <w:rPr>
          <w:rFonts w:ascii="Arial" w:hAnsi="Arial" w:cs="Arial"/>
          <w:noProof/>
          <w:color w:val="000000" w:themeColor="text1"/>
          <w:sz w:val="20"/>
          <w:szCs w:val="20"/>
          <w:lang w:val="es-ES_tradnl"/>
        </w:rPr>
      </w:pPr>
    </w:p>
    <w:p w14:paraId="670B4E40" w14:textId="77777777" w:rsidR="00ED570E" w:rsidRPr="00E36D20" w:rsidRDefault="00915830" w:rsidP="00ED570E">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 </w:t>
      </w:r>
      <w:r w:rsidR="00ED570E" w:rsidRPr="00E36D20">
        <w:rPr>
          <w:rFonts w:ascii="Arial" w:eastAsia="Calibri" w:hAnsi="Arial" w:cs="Arial"/>
          <w:bCs/>
          <w:sz w:val="20"/>
          <w:szCs w:val="20"/>
          <w:lang w:val="es-ES_tradnl"/>
        </w:rPr>
        <w:t xml:space="preserve">En ese sentido, el contenido normativo de la Ley 2022 de 2020, y en su momento también la Ley 1882 de 2018, excluía del ámbito de aplicación de los documentos tipo la contratación de entidades estatales de régimen exceptuado, por lo general, sujetas al derecho civil y comercial. </w:t>
      </w:r>
    </w:p>
    <w:p w14:paraId="37C5E5CF" w14:textId="3E08701B" w:rsidR="00ED570E" w:rsidRPr="00E36D20" w:rsidRDefault="00ED570E" w:rsidP="00ED570E">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5869A229" w14:textId="6FDF06C3" w:rsidR="00915830" w:rsidRPr="00E36D20" w:rsidRDefault="00ED570E" w:rsidP="00ED570E">
      <w:pPr>
        <w:jc w:val="both"/>
        <w:rPr>
          <w:rFonts w:ascii="Arial" w:eastAsia="Calibri" w:hAnsi="Arial" w:cs="Arial"/>
          <w:bCs/>
          <w:sz w:val="20"/>
          <w:szCs w:val="20"/>
          <w:lang w:val="es-ES_tradnl"/>
        </w:rPr>
      </w:pPr>
      <w:r w:rsidRPr="00E36D20">
        <w:rPr>
          <w:rFonts w:ascii="Arial" w:eastAsia="Calibri" w:hAnsi="Arial" w:cs="Arial"/>
          <w:bCs/>
          <w:sz w:val="20"/>
          <w:szCs w:val="20"/>
          <w:lang w:val="es-ES_tradnl"/>
        </w:rPr>
        <w:t>Entre las medidas adoptadas por la Ley mencionada se destaca el artículo 56, disposición que se refiere de manera expresa a los documentos tipo y a su aplicabilidad a sujetos diferentes de las entidades estatales sometidas al Estatuto General de Contratación de la Administración Pública.</w:t>
      </w:r>
    </w:p>
    <w:p w14:paraId="31F701A5" w14:textId="42499679" w:rsidR="00ED570E" w:rsidRPr="00E36D20" w:rsidRDefault="00ED570E" w:rsidP="00ED570E">
      <w:pPr>
        <w:jc w:val="both"/>
        <w:rPr>
          <w:rFonts w:ascii="Arial" w:eastAsia="Calibri" w:hAnsi="Arial" w:cs="Arial"/>
          <w:bCs/>
          <w:sz w:val="20"/>
          <w:szCs w:val="20"/>
          <w:lang w:val="es-ES_tradnl"/>
        </w:rPr>
      </w:pPr>
    </w:p>
    <w:p w14:paraId="1C1E71EE" w14:textId="7AEC20A6" w:rsidR="00B2066F" w:rsidRPr="00E36D20" w:rsidRDefault="00B2066F" w:rsidP="00ED570E">
      <w:pPr>
        <w:jc w:val="both"/>
        <w:rPr>
          <w:rFonts w:ascii="Arial" w:eastAsia="Calibri" w:hAnsi="Arial" w:cs="Arial"/>
          <w:b/>
          <w:sz w:val="20"/>
          <w:szCs w:val="20"/>
          <w:lang w:val="es-ES_tradnl"/>
        </w:rPr>
      </w:pPr>
      <w:r w:rsidRPr="00E36D20">
        <w:rPr>
          <w:rFonts w:ascii="Arial" w:eastAsia="Calibri" w:hAnsi="Arial" w:cs="Arial"/>
          <w:b/>
          <w:sz w:val="20"/>
          <w:szCs w:val="20"/>
          <w:lang w:val="es-ES_tradnl"/>
        </w:rPr>
        <w:t>LEY 2195 DE 2022 – Cambios en la implementación de documentos tipo</w:t>
      </w:r>
    </w:p>
    <w:p w14:paraId="46BCE901" w14:textId="4D87760E" w:rsidR="00B2066F" w:rsidRPr="00E36D20" w:rsidRDefault="00B2066F" w:rsidP="00ED570E">
      <w:pPr>
        <w:jc w:val="both"/>
        <w:rPr>
          <w:rFonts w:ascii="Arial" w:hAnsi="Arial" w:cs="Arial"/>
          <w:noProof/>
          <w:color w:val="000000" w:themeColor="text1"/>
          <w:sz w:val="20"/>
          <w:szCs w:val="20"/>
          <w:lang w:val="es-ES_tradnl"/>
        </w:rPr>
      </w:pPr>
    </w:p>
    <w:p w14:paraId="13826015" w14:textId="1DCA8DE3" w:rsidR="00B2066F" w:rsidRDefault="00B2066F" w:rsidP="00B2066F">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6B806CD4" w14:textId="4CC6AF05" w:rsidR="00FC3C59" w:rsidRDefault="00FC3C59" w:rsidP="00B2066F">
      <w:pPr>
        <w:tabs>
          <w:tab w:val="left" w:pos="0"/>
        </w:tabs>
        <w:spacing w:after="120"/>
        <w:jc w:val="both"/>
        <w:rPr>
          <w:rFonts w:ascii="Arial" w:eastAsia="Calibri" w:hAnsi="Arial" w:cs="Arial"/>
          <w:b/>
          <w:sz w:val="20"/>
          <w:szCs w:val="20"/>
          <w:lang w:val="es-ES_tradnl"/>
        </w:rPr>
      </w:pPr>
      <w:r w:rsidRPr="00FC3C59">
        <w:rPr>
          <w:rFonts w:ascii="Arial" w:eastAsia="Calibri" w:hAnsi="Arial" w:cs="Arial"/>
          <w:b/>
          <w:sz w:val="20"/>
          <w:szCs w:val="20"/>
          <w:lang w:val="es-ES_tradnl"/>
        </w:rPr>
        <w:t xml:space="preserve">RÉGIMEN CONTRACTUAL </w:t>
      </w:r>
      <w:r>
        <w:rPr>
          <w:rFonts w:ascii="Arial" w:eastAsia="Calibri" w:hAnsi="Arial" w:cs="Arial"/>
          <w:b/>
          <w:sz w:val="20"/>
          <w:szCs w:val="20"/>
          <w:lang w:val="es-ES_tradnl"/>
        </w:rPr>
        <w:t>–</w:t>
      </w:r>
      <w:r w:rsidRPr="00FC3C59">
        <w:rPr>
          <w:rFonts w:ascii="Arial" w:eastAsia="Calibri" w:hAnsi="Arial" w:cs="Arial"/>
          <w:b/>
          <w:sz w:val="20"/>
          <w:szCs w:val="20"/>
          <w:lang w:val="es-ES_tradnl"/>
        </w:rPr>
        <w:t xml:space="preserve"> </w:t>
      </w:r>
      <w:r>
        <w:rPr>
          <w:rFonts w:ascii="Arial" w:eastAsia="Calibri" w:hAnsi="Arial" w:cs="Arial"/>
          <w:b/>
          <w:sz w:val="20"/>
          <w:szCs w:val="20"/>
          <w:lang w:val="es-ES_tradnl"/>
        </w:rPr>
        <w:t>E</w:t>
      </w:r>
      <w:r w:rsidRPr="00FC3C59">
        <w:rPr>
          <w:rFonts w:ascii="Arial" w:eastAsia="Calibri" w:hAnsi="Arial" w:cs="Arial"/>
          <w:b/>
          <w:sz w:val="20"/>
          <w:szCs w:val="20"/>
          <w:lang w:val="es-ES_tradnl"/>
        </w:rPr>
        <w:t xml:space="preserve">mpresas </w:t>
      </w:r>
      <w:r>
        <w:rPr>
          <w:rFonts w:ascii="Arial" w:eastAsia="Calibri" w:hAnsi="Arial" w:cs="Arial"/>
          <w:b/>
          <w:sz w:val="20"/>
          <w:szCs w:val="20"/>
          <w:lang w:val="es-ES_tradnl"/>
        </w:rPr>
        <w:t>P</w:t>
      </w:r>
      <w:r w:rsidRPr="00FC3C59">
        <w:rPr>
          <w:rFonts w:ascii="Arial" w:eastAsia="Calibri" w:hAnsi="Arial" w:cs="Arial"/>
          <w:b/>
          <w:sz w:val="20"/>
          <w:szCs w:val="20"/>
          <w:lang w:val="es-ES_tradnl"/>
        </w:rPr>
        <w:t xml:space="preserve">restadoras de </w:t>
      </w:r>
      <w:r w:rsidR="001E66F7">
        <w:rPr>
          <w:rFonts w:ascii="Arial" w:eastAsia="Calibri" w:hAnsi="Arial" w:cs="Arial"/>
          <w:b/>
          <w:sz w:val="20"/>
          <w:szCs w:val="20"/>
          <w:lang w:val="es-ES_tradnl"/>
        </w:rPr>
        <w:t>s</w:t>
      </w:r>
      <w:r w:rsidRPr="00FC3C59">
        <w:rPr>
          <w:rFonts w:ascii="Arial" w:eastAsia="Calibri" w:hAnsi="Arial" w:cs="Arial"/>
          <w:b/>
          <w:sz w:val="20"/>
          <w:szCs w:val="20"/>
          <w:lang w:val="es-ES_tradnl"/>
        </w:rPr>
        <w:t xml:space="preserve">ervicios </w:t>
      </w:r>
      <w:r w:rsidR="001E66F7">
        <w:rPr>
          <w:rFonts w:ascii="Arial" w:eastAsia="Calibri" w:hAnsi="Arial" w:cs="Arial"/>
          <w:b/>
          <w:sz w:val="20"/>
          <w:szCs w:val="20"/>
          <w:lang w:val="es-ES_tradnl"/>
        </w:rPr>
        <w:t>p</w:t>
      </w:r>
      <w:r w:rsidRPr="00FC3C59">
        <w:rPr>
          <w:rFonts w:ascii="Arial" w:eastAsia="Calibri" w:hAnsi="Arial" w:cs="Arial"/>
          <w:b/>
          <w:sz w:val="20"/>
          <w:szCs w:val="20"/>
          <w:lang w:val="es-ES_tradnl"/>
        </w:rPr>
        <w:t xml:space="preserve">úblicos </w:t>
      </w:r>
      <w:r w:rsidR="001E66F7">
        <w:rPr>
          <w:rFonts w:ascii="Arial" w:eastAsia="Calibri" w:hAnsi="Arial" w:cs="Arial"/>
          <w:b/>
          <w:sz w:val="20"/>
          <w:szCs w:val="20"/>
          <w:lang w:val="es-ES_tradnl"/>
        </w:rPr>
        <w:t>d</w:t>
      </w:r>
      <w:r w:rsidRPr="00FC3C59">
        <w:rPr>
          <w:rFonts w:ascii="Arial" w:eastAsia="Calibri" w:hAnsi="Arial" w:cs="Arial"/>
          <w:b/>
          <w:sz w:val="20"/>
          <w:szCs w:val="20"/>
          <w:lang w:val="es-ES_tradnl"/>
        </w:rPr>
        <w:t xml:space="preserve">omiciliarios </w:t>
      </w:r>
    </w:p>
    <w:p w14:paraId="545E67F0" w14:textId="77777777" w:rsidR="006556A9" w:rsidRPr="006556A9" w:rsidRDefault="006556A9" w:rsidP="006556A9">
      <w:pPr>
        <w:spacing w:before="120"/>
        <w:jc w:val="both"/>
        <w:rPr>
          <w:rFonts w:ascii="Arial" w:eastAsia="Calibri" w:hAnsi="Arial" w:cs="Arial"/>
          <w:color w:val="000000"/>
          <w:sz w:val="20"/>
          <w:szCs w:val="20"/>
          <w:lang w:val="es-ES_tradnl" w:eastAsia="es-ES_tradnl"/>
        </w:rPr>
      </w:pPr>
      <w:r w:rsidRPr="006556A9">
        <w:rPr>
          <w:rFonts w:ascii="Arial" w:eastAsia="Calibri" w:hAnsi="Arial" w:cs="Arial"/>
          <w:color w:val="000000"/>
          <w:sz w:val="20"/>
          <w:szCs w:val="20"/>
          <w:lang w:val="es-ES_tradnl" w:eastAsia="es-ES_tradnl"/>
        </w:rPr>
        <w:t>El artículo 14 de dicha Ley clasificó a las empresas de servicios públicos domiciliarios así: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7B7C39FC" w14:textId="5A21D7DD" w:rsidR="00ED6688" w:rsidRPr="006556A9" w:rsidRDefault="006556A9" w:rsidP="006556A9">
      <w:pPr>
        <w:spacing w:before="120"/>
        <w:jc w:val="both"/>
        <w:rPr>
          <w:rFonts w:ascii="Arial" w:eastAsia="Calibri" w:hAnsi="Arial" w:cs="Arial"/>
          <w:color w:val="000000"/>
          <w:sz w:val="20"/>
          <w:szCs w:val="20"/>
          <w:lang w:val="es-ES_tradnl" w:eastAsia="es-ES_tradnl"/>
        </w:rPr>
      </w:pPr>
      <w:r w:rsidRPr="006556A9">
        <w:rPr>
          <w:rFonts w:ascii="Arial" w:eastAsia="Calibri" w:hAnsi="Arial" w:cs="Arial"/>
          <w:color w:val="000000"/>
          <w:sz w:val="20"/>
          <w:szCs w:val="20"/>
          <w:lang w:val="es-ES_tradnl" w:eastAsia="es-ES_tradnl"/>
        </w:rPr>
        <w:t>En lo que atañe específicamente al régimen de contratación, el artículo 31 de la Ley 142 de 1994, modificado por el artículo 3 de la Ley 689 de 2001, dispone que</w:t>
      </w:r>
      <w:r w:rsidRPr="006556A9">
        <w:rPr>
          <w:rFonts w:ascii="Arial" w:eastAsia="Calibri" w:hAnsi="Arial" w:cs="Arial"/>
          <w:color w:val="000000"/>
          <w:sz w:val="20"/>
          <w:szCs w:val="20"/>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6556A9">
        <w:rPr>
          <w:rFonts w:ascii="Arial" w:eastAsia="Calibri" w:hAnsi="Arial" w:cs="Arial"/>
          <w:color w:val="000000"/>
          <w:sz w:val="20"/>
          <w:szCs w:val="20"/>
          <w:lang w:val="es-ES_tradnl" w:eastAsia="es-ES_tradnl"/>
        </w:rPr>
        <w:t>. Por su parte, el artículo 32 de la Ley 142 consagra el régimen de derecho privado para las empresas de servicios públicos domiciliarios, indicando que sus actos se rigen por las reglas del derecho privado.</w:t>
      </w:r>
    </w:p>
    <w:p w14:paraId="3D7AB311" w14:textId="5D7C4632" w:rsidR="00ED1CB6" w:rsidRPr="00ED1CB6" w:rsidRDefault="00ED1CB6" w:rsidP="00ED1CB6">
      <w:pPr>
        <w:jc w:val="right"/>
        <w:rPr>
          <w:rFonts w:ascii="Times New Roman" w:eastAsia="Times New Roman" w:hAnsi="Times New Roman" w:cs="Times New Roman"/>
          <w:szCs w:val="24"/>
          <w:lang w:val="es-CO" w:eastAsia="es-MX"/>
        </w:rPr>
      </w:pPr>
      <w:r w:rsidRPr="00ED1CB6">
        <w:rPr>
          <w:rFonts w:ascii="Times New Roman" w:eastAsia="Times New Roman" w:hAnsi="Times New Roman" w:cs="Times New Roman"/>
          <w:szCs w:val="24"/>
          <w:lang w:val="es-CO" w:eastAsia="es-MX"/>
        </w:rPr>
        <w:lastRenderedPageBreak/>
        <w:fldChar w:fldCharType="begin"/>
      </w:r>
      <w:r w:rsidRPr="00ED1CB6">
        <w:rPr>
          <w:rFonts w:ascii="Times New Roman" w:eastAsia="Times New Roman" w:hAnsi="Times New Roman" w:cs="Times New Roman"/>
          <w:szCs w:val="24"/>
          <w:lang w:val="es-CO" w:eastAsia="es-MX"/>
        </w:rPr>
        <w:instrText xml:space="preserve"> INCLUDEPICTURE "/var/folders/tb/0fmk9b510f57pz5rwhv8lnpw0000gp/T/com.microsoft.Word/WebArchiveCopyPasteTempFiles/page1image11789664" \* MERGEFORMATINET </w:instrText>
      </w:r>
      <w:r w:rsidRPr="00ED1CB6">
        <w:rPr>
          <w:rFonts w:ascii="Times New Roman" w:eastAsia="Times New Roman" w:hAnsi="Times New Roman" w:cs="Times New Roman"/>
          <w:szCs w:val="24"/>
          <w:lang w:val="es-CO" w:eastAsia="es-MX"/>
        </w:rPr>
        <w:fldChar w:fldCharType="separate"/>
      </w:r>
      <w:r w:rsidRPr="00ED1CB6">
        <w:rPr>
          <w:rFonts w:ascii="Times New Roman" w:eastAsia="Times New Roman" w:hAnsi="Times New Roman" w:cs="Times New Roman"/>
          <w:noProof/>
          <w:szCs w:val="24"/>
          <w:lang w:val="es-CO" w:eastAsia="es-MX"/>
        </w:rPr>
        <w:drawing>
          <wp:inline distT="0" distB="0" distL="0" distR="0" wp14:anchorId="518A30B0" wp14:editId="3D2F5FD5">
            <wp:extent cx="2402205" cy="614045"/>
            <wp:effectExtent l="0" t="0" r="0" b="0"/>
            <wp:docPr id="1" name="Imagen 1" descr="page1image1178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7896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rsidRPr="00ED1CB6">
        <w:rPr>
          <w:rFonts w:ascii="Times New Roman" w:eastAsia="Times New Roman" w:hAnsi="Times New Roman" w:cs="Times New Roman"/>
          <w:szCs w:val="24"/>
          <w:lang w:val="es-CO" w:eastAsia="es-MX"/>
        </w:rPr>
        <w:fldChar w:fldCharType="end"/>
      </w:r>
    </w:p>
    <w:p w14:paraId="08796437" w14:textId="7D3524A2" w:rsidR="00915830" w:rsidRDefault="00915830" w:rsidP="00915830">
      <w:pPr>
        <w:rPr>
          <w:rFonts w:ascii="Arial" w:eastAsia="Calibri" w:hAnsi="Arial" w:cs="Arial"/>
          <w:sz w:val="22"/>
          <w:szCs w:val="20"/>
          <w:lang w:val="es-ES_tradnl"/>
        </w:rPr>
      </w:pPr>
    </w:p>
    <w:p w14:paraId="7ACB688A" w14:textId="392B4F8E" w:rsidR="001E66F7" w:rsidRDefault="001E66F7" w:rsidP="00915830">
      <w:pPr>
        <w:rPr>
          <w:rFonts w:ascii="Arial" w:eastAsia="Calibri" w:hAnsi="Arial" w:cs="Arial"/>
          <w:sz w:val="22"/>
          <w:szCs w:val="20"/>
          <w:lang w:val="es-ES_tradnl"/>
        </w:rPr>
      </w:pPr>
      <w:r>
        <w:rPr>
          <w:rFonts w:ascii="Arial" w:eastAsia="Calibri" w:hAnsi="Arial" w:cs="Arial"/>
          <w:sz w:val="22"/>
          <w:szCs w:val="20"/>
          <w:lang w:val="es-ES_tradnl"/>
        </w:rPr>
        <w:t>Bogotá D.C., 2 de mayo de 2022</w:t>
      </w:r>
    </w:p>
    <w:p w14:paraId="70B47EE3" w14:textId="38C5894B" w:rsidR="00915830" w:rsidRPr="00213052" w:rsidRDefault="00915830" w:rsidP="00915830">
      <w:pPr>
        <w:rPr>
          <w:rFonts w:ascii="Arial" w:eastAsia="Calibri" w:hAnsi="Arial" w:cs="Arial"/>
          <w:sz w:val="22"/>
          <w:szCs w:val="20"/>
          <w:lang w:val="es-ES_tradnl"/>
        </w:rPr>
      </w:pPr>
      <w:r w:rsidRPr="00213052">
        <w:rPr>
          <w:rFonts w:ascii="Arial" w:eastAsia="Calibri" w:hAnsi="Arial" w:cs="Arial"/>
          <w:sz w:val="22"/>
          <w:szCs w:val="20"/>
          <w:lang w:val="es-ES_tradnl"/>
        </w:rPr>
        <w:t>Señor</w:t>
      </w:r>
      <w:r w:rsidR="00686AFF">
        <w:rPr>
          <w:rFonts w:ascii="Arial" w:eastAsia="Calibri" w:hAnsi="Arial" w:cs="Arial"/>
          <w:sz w:val="22"/>
          <w:szCs w:val="20"/>
          <w:lang w:val="es-ES_tradnl"/>
        </w:rPr>
        <w:t>es</w:t>
      </w:r>
    </w:p>
    <w:p w14:paraId="5774C259" w14:textId="604C03B6" w:rsidR="00915830" w:rsidRPr="00213052" w:rsidRDefault="00686AFF" w:rsidP="00915830">
      <w:pPr>
        <w:rPr>
          <w:rFonts w:ascii="Arial" w:eastAsia="Calibri" w:hAnsi="Arial" w:cs="Arial"/>
          <w:b/>
          <w:sz w:val="22"/>
          <w:szCs w:val="20"/>
          <w:lang w:val="es-ES_tradnl"/>
        </w:rPr>
      </w:pPr>
      <w:r>
        <w:rPr>
          <w:rFonts w:ascii="Arial" w:eastAsia="Calibri" w:hAnsi="Arial" w:cs="Arial"/>
          <w:b/>
          <w:sz w:val="22"/>
          <w:szCs w:val="20"/>
          <w:lang w:val="es-ES_tradnl"/>
        </w:rPr>
        <w:t>OM Ingeniería S.A.S</w:t>
      </w:r>
    </w:p>
    <w:p w14:paraId="3550C226" w14:textId="7084F077" w:rsidR="00915830" w:rsidRPr="00213052" w:rsidRDefault="001F4246" w:rsidP="00915830">
      <w:pPr>
        <w:rPr>
          <w:rFonts w:ascii="Arial" w:eastAsia="Calibri" w:hAnsi="Arial" w:cs="Arial"/>
          <w:sz w:val="22"/>
          <w:szCs w:val="20"/>
          <w:lang w:val="es-ES_tradnl"/>
        </w:rPr>
      </w:pPr>
      <w:r>
        <w:rPr>
          <w:rFonts w:ascii="Arial" w:eastAsia="Calibri" w:hAnsi="Arial" w:cs="Arial"/>
          <w:sz w:val="22"/>
          <w:szCs w:val="20"/>
          <w:lang w:val="es-ES_tradnl"/>
        </w:rPr>
        <w:t xml:space="preserve">Pasto, Nariño </w:t>
      </w:r>
    </w:p>
    <w:p w14:paraId="76350245" w14:textId="77777777" w:rsidR="00915830" w:rsidRPr="00213052" w:rsidRDefault="00915830" w:rsidP="00915830">
      <w:pPr>
        <w:rPr>
          <w:rFonts w:ascii="Arial" w:eastAsia="Calibri" w:hAnsi="Arial" w:cs="Arial"/>
          <w:sz w:val="22"/>
          <w:szCs w:val="20"/>
          <w:lang w:val="es-ES_tradnl"/>
        </w:rPr>
      </w:pPr>
    </w:p>
    <w:p w14:paraId="6AA5026E" w14:textId="77777777" w:rsidR="00915830" w:rsidRPr="00213052" w:rsidRDefault="00915830" w:rsidP="00915830">
      <w:pPr>
        <w:rPr>
          <w:rFonts w:ascii="Arial" w:eastAsia="Calibri" w:hAnsi="Arial" w:cs="Arial"/>
          <w:sz w:val="22"/>
          <w:szCs w:val="20"/>
          <w:lang w:val="es-ES_tradnl"/>
        </w:rPr>
      </w:pPr>
    </w:p>
    <w:p w14:paraId="575B2F6B" w14:textId="39976424" w:rsidR="00915830" w:rsidRPr="00213052" w:rsidRDefault="00915830" w:rsidP="00915830">
      <w:pPr>
        <w:rPr>
          <w:rFonts w:ascii="Arial" w:eastAsia="Calibri" w:hAnsi="Arial" w:cs="Arial"/>
          <w:b/>
          <w:sz w:val="22"/>
          <w:lang w:val="es-ES_tradnl"/>
        </w:rPr>
      </w:pPr>
      <w:r w:rsidRPr="00213052">
        <w:rPr>
          <w:rFonts w:ascii="Arial" w:eastAsia="Calibri" w:hAnsi="Arial" w:cs="Arial"/>
          <w:b/>
          <w:sz w:val="22"/>
          <w:lang w:val="es-ES_tradnl"/>
        </w:rPr>
        <w:t xml:space="preserve">                                            Concepto C – </w:t>
      </w:r>
      <w:r w:rsidR="00686AFF">
        <w:rPr>
          <w:rFonts w:ascii="Arial" w:eastAsia="Calibri" w:hAnsi="Arial" w:cs="Arial"/>
          <w:b/>
          <w:sz w:val="22"/>
          <w:lang w:val="es-ES_tradnl"/>
        </w:rPr>
        <w:t>244</w:t>
      </w:r>
      <w:r w:rsidRPr="00213052">
        <w:rPr>
          <w:rFonts w:ascii="Arial" w:eastAsia="Calibri" w:hAnsi="Arial" w:cs="Arial"/>
          <w:b/>
          <w:sz w:val="22"/>
          <w:lang w:val="es-ES_tradnl"/>
        </w:rPr>
        <w:t xml:space="preserve"> de 202</w:t>
      </w:r>
      <w:r>
        <w:rPr>
          <w:rFonts w:ascii="Arial" w:eastAsia="Calibri" w:hAnsi="Arial" w:cs="Arial"/>
          <w:b/>
          <w:sz w:val="22"/>
          <w:lang w:val="es-ES_tradnl"/>
        </w:rPr>
        <w:t>2</w:t>
      </w:r>
    </w:p>
    <w:p w14:paraId="60370691" w14:textId="77777777" w:rsidR="00915830" w:rsidRPr="00213052" w:rsidRDefault="00915830" w:rsidP="00915830">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5830" w:rsidRPr="00213052" w14:paraId="3F2C6C4F" w14:textId="77777777" w:rsidTr="00E54AB5">
        <w:tc>
          <w:tcPr>
            <w:tcW w:w="2689" w:type="dxa"/>
            <w:hideMark/>
          </w:tcPr>
          <w:p w14:paraId="3A03DBB1" w14:textId="77777777" w:rsidR="00915830" w:rsidRPr="00213052" w:rsidRDefault="00915830" w:rsidP="00E54AB5">
            <w:pPr>
              <w:rPr>
                <w:rFonts w:ascii="Arial" w:eastAsia="Calibri" w:hAnsi="Arial" w:cs="Arial"/>
                <w:lang w:val="es-ES_tradnl"/>
              </w:rPr>
            </w:pPr>
            <w:r w:rsidRPr="00213052">
              <w:rPr>
                <w:rFonts w:ascii="Arial" w:eastAsia="Calibri" w:hAnsi="Arial" w:cs="Arial"/>
                <w:b/>
                <w:lang w:val="es-ES_tradnl"/>
              </w:rPr>
              <w:t>Temas:</w:t>
            </w:r>
            <w:r w:rsidRPr="00213052">
              <w:rPr>
                <w:rFonts w:ascii="Arial" w:eastAsia="Calibri" w:hAnsi="Arial" w:cs="Arial"/>
                <w:lang w:val="es-ES_tradnl"/>
              </w:rPr>
              <w:t xml:space="preserve">           </w:t>
            </w:r>
          </w:p>
          <w:p w14:paraId="410FE82C" w14:textId="77777777" w:rsidR="00915830" w:rsidRPr="00213052" w:rsidRDefault="00915830" w:rsidP="00E54AB5">
            <w:pPr>
              <w:rPr>
                <w:rFonts w:ascii="Arial" w:eastAsia="Calibri" w:hAnsi="Arial" w:cs="Arial"/>
                <w:lang w:val="es-ES_tradnl"/>
              </w:rPr>
            </w:pPr>
            <w:r w:rsidRPr="00213052">
              <w:rPr>
                <w:rFonts w:ascii="Arial" w:eastAsia="Calibri" w:hAnsi="Arial" w:cs="Arial"/>
                <w:lang w:val="es-ES_tradnl"/>
              </w:rPr>
              <w:t xml:space="preserve">                           </w:t>
            </w:r>
          </w:p>
        </w:tc>
        <w:tc>
          <w:tcPr>
            <w:tcW w:w="6237" w:type="dxa"/>
            <w:hideMark/>
          </w:tcPr>
          <w:p w14:paraId="58E964C8" w14:textId="77777777" w:rsidR="006556A9" w:rsidRPr="006556A9" w:rsidRDefault="00915830" w:rsidP="006556A9">
            <w:pPr>
              <w:tabs>
                <w:tab w:val="left" w:pos="0"/>
              </w:tabs>
              <w:spacing w:after="120"/>
              <w:jc w:val="both"/>
              <w:rPr>
                <w:rFonts w:ascii="Arial" w:eastAsia="Calibri" w:hAnsi="Arial" w:cs="Arial"/>
                <w:bCs/>
                <w:sz w:val="20"/>
                <w:szCs w:val="20"/>
                <w:lang w:val="es-ES_tradnl"/>
              </w:rPr>
            </w:pPr>
            <w:r>
              <w:rPr>
                <w:rFonts w:ascii="Arial" w:eastAsia="Calibri" w:hAnsi="Arial" w:cs="Arial"/>
                <w:color w:val="000000" w:themeColor="text1"/>
                <w:lang w:val="es-ES_tradnl"/>
              </w:rPr>
              <w:t xml:space="preserve">LEY 2195 DE 2022 – Aplicación de documentos tipo – entidades de régimen especial – artículo 56 / </w:t>
            </w:r>
            <w:r w:rsidR="00B2066F" w:rsidRPr="00B2066F">
              <w:rPr>
                <w:rFonts w:ascii="Arial" w:eastAsia="Calibri" w:hAnsi="Arial" w:cs="Arial"/>
                <w:bCs/>
                <w:lang w:val="es-ES_tradnl"/>
              </w:rPr>
              <w:t>LEY 2195 DE 2022 – Cambios en la implementación de documentos tipo</w:t>
            </w:r>
            <w:r w:rsidR="006556A9">
              <w:rPr>
                <w:rFonts w:ascii="Arial" w:eastAsia="Calibri" w:hAnsi="Arial" w:cs="Arial"/>
                <w:bCs/>
                <w:lang w:val="es-ES_tradnl"/>
              </w:rPr>
              <w:t xml:space="preserve"> / </w:t>
            </w:r>
            <w:r w:rsidR="006556A9" w:rsidRPr="006556A9">
              <w:rPr>
                <w:rFonts w:ascii="Arial" w:eastAsia="Calibri" w:hAnsi="Arial" w:cs="Arial"/>
                <w:bCs/>
                <w:sz w:val="20"/>
                <w:szCs w:val="20"/>
                <w:lang w:val="es-ES_tradnl"/>
              </w:rPr>
              <w:t xml:space="preserve">RÉGIMEN CONTRACTUAL – Empresas Prestadoras de Servicios Públicos Domiciliarios </w:t>
            </w:r>
          </w:p>
          <w:p w14:paraId="2203551E" w14:textId="0CCC41B3" w:rsidR="00B2066F" w:rsidRPr="00B2066F" w:rsidRDefault="00B2066F" w:rsidP="00B2066F">
            <w:pPr>
              <w:jc w:val="both"/>
              <w:rPr>
                <w:rFonts w:ascii="Arial" w:eastAsia="Calibri" w:hAnsi="Arial" w:cs="Arial"/>
                <w:bCs/>
                <w:sz w:val="20"/>
                <w:szCs w:val="20"/>
                <w:lang w:val="es-ES_tradnl"/>
              </w:rPr>
            </w:pPr>
          </w:p>
          <w:p w14:paraId="1A4AB5C8" w14:textId="74E53743" w:rsidR="00915830" w:rsidRPr="00213052" w:rsidRDefault="00915830" w:rsidP="00E54AB5">
            <w:pPr>
              <w:spacing w:after="120"/>
              <w:jc w:val="both"/>
              <w:rPr>
                <w:rFonts w:ascii="Arial" w:eastAsia="Calibri" w:hAnsi="Arial" w:cs="Arial"/>
                <w:highlight w:val="yellow"/>
                <w:lang w:val="es-ES_tradnl"/>
              </w:rPr>
            </w:pPr>
          </w:p>
        </w:tc>
      </w:tr>
      <w:tr w:rsidR="00915830" w:rsidRPr="00213052" w14:paraId="2E0C7B09" w14:textId="77777777" w:rsidTr="00E54AB5">
        <w:tc>
          <w:tcPr>
            <w:tcW w:w="2689" w:type="dxa"/>
          </w:tcPr>
          <w:p w14:paraId="2643E473" w14:textId="77777777" w:rsidR="00915830" w:rsidRPr="00213052" w:rsidRDefault="00915830" w:rsidP="00E54AB5">
            <w:pPr>
              <w:rPr>
                <w:rFonts w:ascii="Arial" w:eastAsia="Calibri" w:hAnsi="Arial" w:cs="Arial"/>
                <w:b/>
                <w:lang w:val="es-ES_tradnl"/>
              </w:rPr>
            </w:pPr>
            <w:r w:rsidRPr="00213052">
              <w:rPr>
                <w:rFonts w:ascii="Arial" w:eastAsia="Calibri" w:hAnsi="Arial" w:cs="Arial"/>
                <w:b/>
                <w:lang w:val="es-ES_tradnl"/>
              </w:rPr>
              <w:t>Radicación:</w:t>
            </w:r>
            <w:r w:rsidRPr="00213052">
              <w:rPr>
                <w:rFonts w:ascii="Arial" w:eastAsia="Calibri" w:hAnsi="Arial" w:cs="Arial"/>
                <w:lang w:val="es-ES_tradnl"/>
              </w:rPr>
              <w:t xml:space="preserve">                              </w:t>
            </w:r>
          </w:p>
        </w:tc>
        <w:tc>
          <w:tcPr>
            <w:tcW w:w="6237" w:type="dxa"/>
          </w:tcPr>
          <w:p w14:paraId="159FC9C6" w14:textId="4E790E29" w:rsidR="00915830" w:rsidRPr="00213052" w:rsidRDefault="00915830" w:rsidP="00E54AB5">
            <w:pPr>
              <w:rPr>
                <w:rFonts w:ascii="Arial" w:eastAsia="Calibri" w:hAnsi="Arial" w:cs="Arial"/>
                <w:lang w:val="es-ES_tradnl"/>
              </w:rPr>
            </w:pPr>
            <w:r w:rsidRPr="00B05FD8">
              <w:rPr>
                <w:rFonts w:ascii="Arial" w:eastAsia="Calibri" w:hAnsi="Arial" w:cs="Arial"/>
                <w:lang w:val="es-ES_tradnl"/>
              </w:rPr>
              <w:t>Respuesta a consulta</w:t>
            </w:r>
            <w:r w:rsidR="00686AFF" w:rsidRPr="00965E87">
              <w:rPr>
                <w:rFonts w:ascii="Arial" w:hAnsi="Arial" w:cs="Arial"/>
              </w:rPr>
              <w:t xml:space="preserve"> P20220316002612</w:t>
            </w:r>
          </w:p>
        </w:tc>
      </w:tr>
    </w:tbl>
    <w:p w14:paraId="2FD8D466" w14:textId="77777777" w:rsidR="00915830" w:rsidRDefault="00915830" w:rsidP="00915830">
      <w:pPr>
        <w:jc w:val="both"/>
        <w:rPr>
          <w:rFonts w:ascii="Arial" w:eastAsia="Calibri" w:hAnsi="Arial" w:cs="Arial"/>
          <w:sz w:val="22"/>
          <w:lang w:val="es-ES_tradnl"/>
        </w:rPr>
      </w:pPr>
    </w:p>
    <w:p w14:paraId="2C591583" w14:textId="77777777" w:rsidR="00915830" w:rsidRPr="00213052" w:rsidRDefault="00915830" w:rsidP="00915830">
      <w:pPr>
        <w:jc w:val="both"/>
        <w:rPr>
          <w:rFonts w:ascii="Arial" w:eastAsia="Calibri" w:hAnsi="Arial" w:cs="Arial"/>
          <w:sz w:val="22"/>
          <w:lang w:val="es-ES_tradnl"/>
        </w:rPr>
      </w:pPr>
    </w:p>
    <w:p w14:paraId="709B0EDD" w14:textId="695708B9" w:rsidR="00915830" w:rsidRPr="00B60BAC" w:rsidRDefault="00915830" w:rsidP="00915830">
      <w:pPr>
        <w:rPr>
          <w:rFonts w:ascii="Arial" w:hAnsi="Arial" w:cs="Arial"/>
          <w:sz w:val="22"/>
          <w:lang w:val="es-ES_tradnl"/>
        </w:rPr>
      </w:pPr>
      <w:r w:rsidRPr="00B60BAC">
        <w:rPr>
          <w:rFonts w:ascii="Arial" w:hAnsi="Arial" w:cs="Arial"/>
          <w:sz w:val="22"/>
          <w:lang w:val="es-ES_tradnl"/>
        </w:rPr>
        <w:t>Estimad</w:t>
      </w:r>
      <w:r w:rsidR="001F4246">
        <w:rPr>
          <w:rFonts w:ascii="Arial" w:hAnsi="Arial" w:cs="Arial"/>
          <w:sz w:val="22"/>
          <w:lang w:val="es-ES_tradnl"/>
        </w:rPr>
        <w:t xml:space="preserve">os señores OM Ingeniería S.A.S: </w:t>
      </w:r>
    </w:p>
    <w:p w14:paraId="0796310B" w14:textId="77777777" w:rsidR="00915830" w:rsidRPr="00213052" w:rsidRDefault="00915830" w:rsidP="00915830">
      <w:pPr>
        <w:rPr>
          <w:rFonts w:ascii="Arial" w:eastAsia="Calibri" w:hAnsi="Arial" w:cs="Arial"/>
          <w:sz w:val="22"/>
          <w:lang w:val="es-ES_tradnl"/>
        </w:rPr>
      </w:pPr>
    </w:p>
    <w:p w14:paraId="27E4371C" w14:textId="23FF5BDA" w:rsidR="00915830" w:rsidRPr="00213052" w:rsidRDefault="00915830" w:rsidP="00915830">
      <w:pPr>
        <w:spacing w:line="276" w:lineRule="auto"/>
        <w:ind w:right="51"/>
        <w:jc w:val="both"/>
        <w:rPr>
          <w:rFonts w:ascii="Arial" w:hAnsi="Arial" w:cs="Arial"/>
          <w:sz w:val="22"/>
          <w:lang w:val="es-ES_tradnl"/>
        </w:rPr>
      </w:pPr>
      <w:r w:rsidRPr="00213052">
        <w:rPr>
          <w:rFonts w:ascii="Arial" w:hAnsi="Arial" w:cs="Arial"/>
          <w:sz w:val="22"/>
          <w:lang w:val="es-ES_tradnl"/>
        </w:rPr>
        <w:t>La Agencia Nacional de Contratación Pública – Colombia Compra Eficiente, en ejercicio de la competencia otorgada por el numeral 8 del artículo 11 y el numeral 5 del artículo 3 del Decreto Ley 4170 de 2011</w:t>
      </w:r>
      <w:r>
        <w:rPr>
          <w:rFonts w:ascii="Arial" w:hAnsi="Arial" w:cs="Arial"/>
          <w:sz w:val="22"/>
          <w:lang w:val="es-ES_tradnl"/>
        </w:rPr>
        <w:t xml:space="preserve">, </w:t>
      </w:r>
      <w:r w:rsidRPr="00213052">
        <w:rPr>
          <w:rFonts w:ascii="Arial" w:hAnsi="Arial" w:cs="Arial"/>
          <w:sz w:val="22"/>
          <w:lang w:val="es-ES_tradnl"/>
        </w:rPr>
        <w:t xml:space="preserve">responde su consulta del </w:t>
      </w:r>
      <w:r>
        <w:rPr>
          <w:rFonts w:ascii="Arial" w:hAnsi="Arial" w:cs="Arial"/>
          <w:sz w:val="22"/>
          <w:lang w:val="es-ES_tradnl"/>
        </w:rPr>
        <w:t>1</w:t>
      </w:r>
      <w:r w:rsidR="00686AFF">
        <w:rPr>
          <w:rFonts w:ascii="Arial" w:hAnsi="Arial" w:cs="Arial"/>
          <w:sz w:val="22"/>
          <w:lang w:val="es-ES_tradnl"/>
        </w:rPr>
        <w:t>6</w:t>
      </w:r>
      <w:r>
        <w:rPr>
          <w:rFonts w:ascii="Arial" w:hAnsi="Arial" w:cs="Arial"/>
          <w:sz w:val="22"/>
          <w:lang w:val="es-ES_tradnl"/>
        </w:rPr>
        <w:t xml:space="preserve"> de </w:t>
      </w:r>
      <w:r w:rsidR="00686AFF">
        <w:rPr>
          <w:rFonts w:ascii="Arial" w:hAnsi="Arial" w:cs="Arial"/>
          <w:sz w:val="22"/>
          <w:lang w:val="es-ES_tradnl"/>
        </w:rPr>
        <w:t xml:space="preserve">marzo </w:t>
      </w:r>
      <w:r>
        <w:rPr>
          <w:rFonts w:ascii="Arial" w:hAnsi="Arial" w:cs="Arial"/>
          <w:sz w:val="22"/>
          <w:lang w:val="es-ES_tradnl"/>
        </w:rPr>
        <w:t>de 2022</w:t>
      </w:r>
      <w:r w:rsidRPr="00213052">
        <w:rPr>
          <w:rFonts w:ascii="Arial" w:hAnsi="Arial" w:cs="Arial"/>
          <w:sz w:val="22"/>
          <w:lang w:val="es-ES_tradnl"/>
        </w:rPr>
        <w:t xml:space="preserve">. </w:t>
      </w:r>
    </w:p>
    <w:p w14:paraId="7922E4EA" w14:textId="77777777" w:rsidR="00915830" w:rsidRPr="00213052" w:rsidRDefault="00915830" w:rsidP="00915830">
      <w:pPr>
        <w:pStyle w:val="Prrafodelista"/>
        <w:tabs>
          <w:tab w:val="left" w:pos="284"/>
        </w:tabs>
        <w:spacing w:line="276" w:lineRule="auto"/>
        <w:ind w:left="0"/>
        <w:jc w:val="both"/>
        <w:rPr>
          <w:rFonts w:ascii="Arial" w:hAnsi="Arial" w:cs="Arial"/>
          <w:sz w:val="22"/>
          <w:lang w:val="es-ES_tradnl"/>
        </w:rPr>
      </w:pPr>
    </w:p>
    <w:p w14:paraId="4AB4EA9B" w14:textId="77777777" w:rsidR="00915830" w:rsidRPr="00213052" w:rsidRDefault="00915830" w:rsidP="00915830">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1999110E" w14:textId="77777777" w:rsidR="00915830" w:rsidRDefault="00915830" w:rsidP="00915830">
      <w:pPr>
        <w:pStyle w:val="NormalWeb"/>
        <w:spacing w:before="0" w:beforeAutospacing="0" w:line="276" w:lineRule="auto"/>
        <w:contextualSpacing/>
        <w:jc w:val="both"/>
        <w:rPr>
          <w:rFonts w:ascii="Arial" w:hAnsi="Arial" w:cs="Arial"/>
          <w:color w:val="000000" w:themeColor="text1"/>
          <w:sz w:val="22"/>
          <w:lang w:val="es-ES_tradnl"/>
        </w:rPr>
      </w:pPr>
    </w:p>
    <w:p w14:paraId="3BCF2D99" w14:textId="0D46EEF2" w:rsidR="00686AFF" w:rsidRDefault="00915830" w:rsidP="00686AFF">
      <w:pPr>
        <w:pStyle w:val="NormalWeb"/>
        <w:spacing w:before="0" w:beforeAutospacing="0" w:after="0" w:afterAutospacing="0" w:line="276" w:lineRule="auto"/>
        <w:contextualSpacing/>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realiza </w:t>
      </w:r>
      <w:r w:rsidR="00686AFF">
        <w:rPr>
          <w:rFonts w:ascii="Arial" w:hAnsi="Arial" w:cs="Arial"/>
          <w:color w:val="000000" w:themeColor="text1"/>
          <w:sz w:val="22"/>
          <w:lang w:val="es-ES_tradnl"/>
        </w:rPr>
        <w:t xml:space="preserve">el siguiente cuestionamiento: </w:t>
      </w:r>
    </w:p>
    <w:p w14:paraId="7549612C" w14:textId="77777777" w:rsidR="00686AFF" w:rsidRDefault="00686AFF" w:rsidP="00686AFF">
      <w:pPr>
        <w:pStyle w:val="NormalWeb"/>
        <w:spacing w:before="0" w:beforeAutospacing="0" w:after="0" w:afterAutospacing="0" w:line="276" w:lineRule="auto"/>
        <w:contextualSpacing/>
        <w:jc w:val="both"/>
        <w:rPr>
          <w:rFonts w:ascii="Arial" w:hAnsi="Arial" w:cs="Arial"/>
          <w:color w:val="000000" w:themeColor="text1"/>
          <w:sz w:val="22"/>
          <w:lang w:val="es-ES_tradnl"/>
        </w:rPr>
      </w:pPr>
    </w:p>
    <w:p w14:paraId="5EC7FC83" w14:textId="1B21DC15" w:rsidR="00686AFF" w:rsidRDefault="00686AFF" w:rsidP="00686AFF">
      <w:pPr>
        <w:pStyle w:val="NormalWeb"/>
        <w:spacing w:before="0" w:beforeAutospacing="0" w:after="0" w:afterAutospacing="0"/>
        <w:ind w:left="709" w:right="709"/>
        <w:jc w:val="both"/>
        <w:rPr>
          <w:rFonts w:ascii="Arial" w:hAnsi="Arial" w:cs="Arial"/>
          <w:sz w:val="22"/>
          <w:szCs w:val="22"/>
        </w:rPr>
      </w:pPr>
      <w:r w:rsidRPr="002A5F17">
        <w:rPr>
          <w:rFonts w:ascii="Arial" w:hAnsi="Arial" w:cs="Arial"/>
          <w:sz w:val="22"/>
          <w:szCs w:val="22"/>
        </w:rPr>
        <w:t>«¿</w:t>
      </w:r>
      <w:r>
        <w:rPr>
          <w:rFonts w:ascii="Arial" w:hAnsi="Arial" w:cs="Arial"/>
          <w:sz w:val="22"/>
          <w:szCs w:val="22"/>
        </w:rPr>
        <w:t>L</w:t>
      </w:r>
      <w:r w:rsidRPr="002A5F17">
        <w:rPr>
          <w:rFonts w:ascii="Arial" w:hAnsi="Arial" w:cs="Arial"/>
          <w:sz w:val="22"/>
          <w:szCs w:val="22"/>
        </w:rPr>
        <w:t xml:space="preserve">os pliegos tipo de agua y saneamiento, son obligatorios para una empresa de servicios públicos domiciliarios que tiene régimen especial para la contratación, bajo la aplicación del art. 56 de la </w:t>
      </w:r>
      <w:r>
        <w:rPr>
          <w:rFonts w:ascii="Arial" w:hAnsi="Arial" w:cs="Arial"/>
          <w:sz w:val="22"/>
          <w:szCs w:val="22"/>
        </w:rPr>
        <w:t>L</w:t>
      </w:r>
      <w:r w:rsidRPr="002A5F17">
        <w:rPr>
          <w:rFonts w:ascii="Arial" w:hAnsi="Arial" w:cs="Arial"/>
          <w:sz w:val="22"/>
          <w:szCs w:val="22"/>
        </w:rPr>
        <w:t>ey 2195 de 2022?»</w:t>
      </w:r>
    </w:p>
    <w:p w14:paraId="433F78A1" w14:textId="77777777" w:rsidR="00915830" w:rsidRPr="00FB56AC" w:rsidRDefault="00915830" w:rsidP="00686AFF">
      <w:pPr>
        <w:pStyle w:val="NormalWeb"/>
        <w:spacing w:after="0" w:afterAutospacing="0" w:line="276" w:lineRule="auto"/>
        <w:contextualSpacing/>
        <w:jc w:val="both"/>
        <w:rPr>
          <w:rFonts w:ascii="Arial" w:hAnsi="Arial" w:cs="Arial"/>
          <w:sz w:val="21"/>
          <w:szCs w:val="21"/>
        </w:rPr>
      </w:pPr>
    </w:p>
    <w:p w14:paraId="7503988B" w14:textId="77777777" w:rsidR="00915830" w:rsidRPr="00213052" w:rsidRDefault="00915830" w:rsidP="0091583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26000775" w14:textId="77777777" w:rsidR="00915830" w:rsidRPr="00213052" w:rsidRDefault="00915830" w:rsidP="00915830">
      <w:pPr>
        <w:spacing w:line="276" w:lineRule="auto"/>
        <w:jc w:val="both"/>
        <w:rPr>
          <w:rFonts w:ascii="Arial" w:hAnsi="Arial" w:cs="Arial"/>
          <w:color w:val="000000" w:themeColor="text1"/>
          <w:sz w:val="22"/>
          <w:lang w:val="es-ES_tradnl"/>
        </w:rPr>
      </w:pPr>
    </w:p>
    <w:p w14:paraId="6A2AC9D3" w14:textId="3C6403D3" w:rsidR="00915830" w:rsidRPr="00213052" w:rsidRDefault="00915830" w:rsidP="00915830">
      <w:pPr>
        <w:spacing w:line="276" w:lineRule="auto"/>
        <w:jc w:val="both"/>
        <w:rPr>
          <w:rFonts w:ascii="Arial" w:hAnsi="Arial" w:cs="Arial"/>
          <w:b/>
          <w:color w:val="000000" w:themeColor="text1"/>
          <w:sz w:val="22"/>
          <w:lang w:val="es-ES_tradnl"/>
        </w:rPr>
      </w:pPr>
      <w:r w:rsidRPr="00213052">
        <w:rPr>
          <w:rFonts w:ascii="Arial" w:hAnsi="Arial" w:cs="Arial"/>
          <w:color w:val="000000" w:themeColor="text1"/>
          <w:sz w:val="22"/>
          <w:lang w:val="es-ES_tradnl"/>
        </w:rPr>
        <w:t xml:space="preserve">Para resolver esta consulta se </w:t>
      </w:r>
      <w:r>
        <w:rPr>
          <w:rFonts w:ascii="Arial" w:hAnsi="Arial" w:cs="Arial"/>
          <w:color w:val="000000" w:themeColor="text1"/>
          <w:sz w:val="22"/>
          <w:lang w:val="es-ES_tradnl"/>
        </w:rPr>
        <w:t>analizarán</w:t>
      </w:r>
      <w:r w:rsidRPr="00213052">
        <w:rPr>
          <w:rFonts w:ascii="Arial" w:hAnsi="Arial" w:cs="Arial"/>
          <w:color w:val="000000" w:themeColor="text1"/>
          <w:sz w:val="22"/>
          <w:lang w:val="es-ES_tradnl"/>
        </w:rPr>
        <w:t xml:space="preserve"> los siguientes temas: i)</w:t>
      </w:r>
      <w:r>
        <w:rPr>
          <w:rFonts w:ascii="Arial" w:hAnsi="Arial" w:cs="Arial"/>
          <w:bCs/>
          <w:color w:val="000000" w:themeColor="text1"/>
          <w:sz w:val="22"/>
          <w:lang w:val="es-ES_tradnl"/>
        </w:rPr>
        <w:t xml:space="preserve"> fundamento y ámbito de aplicación de los documentos tipo y ii) incidencia del artículo 56 de la Ley 2195 de 2022 en el régimen contractual y la aplicación de los documentos tipo para las entidades exceptuadas del Estatuto General de Contratación de la Administración Pública. </w:t>
      </w:r>
    </w:p>
    <w:p w14:paraId="06024D37" w14:textId="0B1CEE17" w:rsidR="00915830" w:rsidRDefault="00915830" w:rsidP="00815F33">
      <w:pPr>
        <w:spacing w:before="120" w:line="276" w:lineRule="auto"/>
        <w:ind w:firstLine="709"/>
        <w:jc w:val="both"/>
        <w:rPr>
          <w:rFonts w:ascii="Arial" w:hAnsi="Arial" w:cs="Arial"/>
          <w:bCs/>
          <w:color w:val="000000" w:themeColor="text1"/>
          <w:sz w:val="22"/>
          <w:lang w:val="es-CO"/>
        </w:rPr>
      </w:pPr>
      <w:r w:rsidRPr="000A617B">
        <w:rPr>
          <w:rFonts w:ascii="Arial" w:hAnsi="Arial" w:cs="Arial"/>
          <w:color w:val="000000" w:themeColor="text1"/>
          <w:sz w:val="22"/>
          <w:lang w:val="es-CO"/>
        </w:rPr>
        <w:lastRenderedPageBreak/>
        <w:t>La Agencia Nacional de Contratación Pública – Colombia Compra Eficiente</w:t>
      </w:r>
      <w:r>
        <w:rPr>
          <w:rFonts w:ascii="Arial" w:hAnsi="Arial" w:cs="Arial"/>
          <w:color w:val="000000" w:themeColor="text1"/>
          <w:sz w:val="22"/>
          <w:lang w:val="es-CO"/>
        </w:rPr>
        <w:t>,</w:t>
      </w:r>
      <w:r>
        <w:rPr>
          <w:rFonts w:ascii="Arial" w:hAnsi="Arial" w:cs="Arial"/>
          <w:bCs/>
          <w:color w:val="000000" w:themeColor="text1"/>
          <w:sz w:val="22"/>
          <w:lang w:val="es-ES_tradnl"/>
        </w:rPr>
        <w:t xml:space="preserve"> </w:t>
      </w:r>
      <w:r w:rsidRPr="007201D3">
        <w:rPr>
          <w:rFonts w:ascii="Arial" w:hAnsi="Arial" w:cs="Arial"/>
          <w:bCs/>
          <w:color w:val="000000" w:themeColor="text1"/>
          <w:sz w:val="22"/>
          <w:lang w:val="es-ES_tradnl"/>
        </w:rPr>
        <w:t xml:space="preserve">se ha pronunciado sobre el ámbito de aplicación de los documentos tipo en la contratación estatal, entre otros, en los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 xml:space="preserve">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hAnsi="Arial" w:cs="Arial"/>
          <w:bCs/>
          <w:color w:val="000000" w:themeColor="text1"/>
          <w:sz w:val="22"/>
          <w:lang w:val="es-ES_tradnl"/>
        </w:rPr>
        <w:t>Por lo demás</w:t>
      </w:r>
      <w:r w:rsidRPr="007201D3">
        <w:rPr>
          <w:rFonts w:ascii="Arial" w:hAnsi="Arial" w:cs="Arial"/>
          <w:bCs/>
          <w:color w:val="000000" w:themeColor="text1"/>
          <w:sz w:val="22"/>
          <w:lang w:val="es-ES_tradnl"/>
        </w:rPr>
        <w:t xml:space="preserve">, en </w:t>
      </w:r>
      <w:r>
        <w:rPr>
          <w:rFonts w:ascii="Arial" w:hAnsi="Arial" w:cs="Arial"/>
          <w:bCs/>
          <w:color w:val="000000" w:themeColor="text1"/>
          <w:sz w:val="22"/>
          <w:lang w:val="es-ES_tradnl"/>
        </w:rPr>
        <w:t>los</w:t>
      </w:r>
      <w:r w:rsidRPr="007201D3">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oncepto</w:t>
      </w:r>
      <w:r>
        <w:rPr>
          <w:rFonts w:ascii="Arial" w:hAnsi="Arial" w:cs="Arial"/>
          <w:bCs/>
          <w:color w:val="000000" w:themeColor="text1"/>
          <w:sz w:val="22"/>
          <w:lang w:val="es-ES_tradnl"/>
        </w:rPr>
        <w:t>s</w:t>
      </w:r>
      <w:r w:rsidRPr="007201D3">
        <w:rPr>
          <w:rFonts w:ascii="Arial" w:hAnsi="Arial" w:cs="Arial"/>
          <w:bCs/>
          <w:color w:val="000000" w:themeColor="text1"/>
          <w:sz w:val="22"/>
          <w:lang w:val="es-ES_tradnl"/>
        </w:rPr>
        <w:t xml:space="preserve"> C-066 del 28 de enero de 2022,</w:t>
      </w:r>
      <w:r>
        <w:rPr>
          <w:rFonts w:ascii="Arial" w:hAnsi="Arial" w:cs="Arial"/>
          <w:bCs/>
          <w:color w:val="000000" w:themeColor="text1"/>
          <w:sz w:val="22"/>
          <w:lang w:val="es-ES_tradnl"/>
        </w:rPr>
        <w:t xml:space="preserve"> C-033 del 4 de marzo de 2022, C-082 del 2 de marzo de 2022 y C-065 del 9 de marzo de 2022,</w:t>
      </w:r>
      <w:r w:rsidRPr="007201D3">
        <w:rPr>
          <w:rFonts w:ascii="Arial" w:hAnsi="Arial" w:cs="Arial"/>
          <w:bCs/>
          <w:color w:val="000000" w:themeColor="text1"/>
          <w:sz w:val="22"/>
          <w:lang w:val="es-ES_tradnl"/>
        </w:rPr>
        <w:t xml:space="preserve"> la Agencia se refirió al alcance de lo dispuesto en el artículo 56 de la Ley 2195 de 2022</w:t>
      </w:r>
      <w:r>
        <w:rPr>
          <w:rFonts w:ascii="Arial" w:hAnsi="Arial" w:cs="Arial"/>
          <w:bCs/>
          <w:color w:val="000000" w:themeColor="text1"/>
          <w:sz w:val="22"/>
          <w:lang w:val="es-ES_tradnl"/>
        </w:rPr>
        <w:t xml:space="preserve">. </w:t>
      </w:r>
      <w:r w:rsidRPr="00CB38DD">
        <w:rPr>
          <w:rFonts w:ascii="Arial" w:hAnsi="Arial" w:cs="Arial"/>
          <w:bCs/>
          <w:color w:val="000000" w:themeColor="text1"/>
          <w:sz w:val="22"/>
          <w:lang w:val="es-CO"/>
        </w:rPr>
        <w:t>La tesis desarrollada en estos conceptos se reitera y complementa a continuación</w:t>
      </w:r>
      <w:r w:rsidR="00815F33">
        <w:rPr>
          <w:rFonts w:ascii="Arial" w:hAnsi="Arial" w:cs="Arial"/>
          <w:bCs/>
          <w:color w:val="000000" w:themeColor="text1"/>
          <w:sz w:val="22"/>
          <w:lang w:val="es-CO"/>
        </w:rPr>
        <w:t>.</w:t>
      </w:r>
    </w:p>
    <w:p w14:paraId="1F9B8E6A" w14:textId="77777777" w:rsidR="00815F33" w:rsidRPr="00815F33" w:rsidRDefault="00815F33" w:rsidP="00815F33">
      <w:pPr>
        <w:spacing w:before="120" w:line="276" w:lineRule="auto"/>
        <w:ind w:firstLine="709"/>
        <w:jc w:val="both"/>
        <w:rPr>
          <w:rFonts w:ascii="Arial" w:hAnsi="Arial" w:cs="Arial"/>
          <w:bCs/>
          <w:color w:val="000000" w:themeColor="text1"/>
          <w:sz w:val="22"/>
          <w:lang w:val="es-ES_tradnl"/>
        </w:rPr>
      </w:pPr>
    </w:p>
    <w:p w14:paraId="2158DCF9" w14:textId="0FB27F05" w:rsidR="00915830" w:rsidRPr="00E858D2" w:rsidRDefault="00915830" w:rsidP="00915830">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sidR="001F4246">
        <w:rPr>
          <w:rFonts w:ascii="Arial" w:eastAsia="Arial" w:hAnsi="Arial" w:cs="Arial"/>
          <w:b/>
          <w:bCs/>
          <w:sz w:val="22"/>
          <w:lang w:val="es-ES_tradnl"/>
        </w:rPr>
        <w:t>1</w:t>
      </w:r>
      <w:r w:rsidRPr="00E858D2">
        <w:rPr>
          <w:rFonts w:ascii="Arial" w:eastAsia="Arial" w:hAnsi="Arial" w:cs="Arial"/>
          <w:b/>
          <w:bCs/>
          <w:sz w:val="22"/>
          <w:lang w:val="es-ES_tradnl"/>
        </w:rPr>
        <w:t xml:space="preserve">. Fundamento normativo y ámbito de aplicación de los documentos tipo </w:t>
      </w:r>
    </w:p>
    <w:p w14:paraId="6921F374" w14:textId="77777777" w:rsidR="00915830" w:rsidRPr="00E858D2" w:rsidRDefault="00915830" w:rsidP="00915830">
      <w:pPr>
        <w:spacing w:line="276" w:lineRule="auto"/>
        <w:jc w:val="both"/>
        <w:rPr>
          <w:rFonts w:ascii="Arial" w:eastAsia="Arial" w:hAnsi="Arial" w:cs="Arial"/>
          <w:b/>
          <w:bCs/>
          <w:sz w:val="22"/>
          <w:lang w:val="es-ES_tradnl"/>
        </w:rPr>
      </w:pPr>
    </w:p>
    <w:p w14:paraId="56858F6B" w14:textId="77777777" w:rsidR="00915830" w:rsidRPr="00E858D2" w:rsidRDefault="00915830" w:rsidP="00915830">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1"/>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CDBD363" w14:textId="77777777" w:rsidR="00915830" w:rsidRPr="00E858D2" w:rsidRDefault="00915830" w:rsidP="00915830">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78495CCC" w14:textId="77777777" w:rsidR="00915830" w:rsidRPr="00E858D2" w:rsidRDefault="00915830" w:rsidP="00915830">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2"/>
      </w:r>
      <w:r w:rsidRPr="00E858D2">
        <w:rPr>
          <w:rFonts w:ascii="Arial" w:eastAsia="Calibri" w:hAnsi="Arial" w:cs="Arial"/>
          <w:sz w:val="22"/>
          <w:lang w:val="es-ES_tradnl"/>
        </w:rPr>
        <w:t>.</w:t>
      </w:r>
    </w:p>
    <w:p w14:paraId="3179E42A"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C32E205"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715AD96"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0" w:name="_Hlk48665985"/>
      <w:r w:rsidRPr="00E858D2">
        <w:rPr>
          <w:rFonts w:ascii="Arial" w:eastAsia="Calibri" w:hAnsi="Arial" w:cs="Arial"/>
          <w:sz w:val="22"/>
          <w:lang w:val="es-ES_tradnl"/>
        </w:rPr>
        <w:t xml:space="preserve">y los criterios de escogencia, elementos propios del procedimiento de selección del contratista, materia en la que existe reserva de ley y que no se encuentra </w:t>
      </w:r>
      <w:r w:rsidRPr="00E858D2">
        <w:rPr>
          <w:rFonts w:ascii="Arial" w:eastAsia="Calibri" w:hAnsi="Arial" w:cs="Arial"/>
          <w:sz w:val="22"/>
          <w:lang w:val="es-ES_tradnl"/>
        </w:rPr>
        <w:lastRenderedPageBreak/>
        <w:t>atribuida a la regulación de las entidades territoriales</w:t>
      </w:r>
      <w:bookmarkEnd w:id="0"/>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3"/>
      </w:r>
      <w:r w:rsidRPr="00E858D2">
        <w:rPr>
          <w:rFonts w:ascii="Arial" w:eastAsia="Calibri" w:hAnsi="Arial" w:cs="Arial"/>
          <w:sz w:val="22"/>
          <w:lang w:val="es-ES_tradnl"/>
        </w:rPr>
        <w:t>.</w:t>
      </w:r>
    </w:p>
    <w:p w14:paraId="55B1302D"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099222A4"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46479D75" w14:textId="77777777" w:rsidR="00915830" w:rsidRPr="00E858D2" w:rsidRDefault="00915830" w:rsidP="00915830">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Finalmente, se profirió el Decreto 594 de 2020, frente a los documentos tipo para los contratos de obra pública</w:t>
      </w:r>
      <w:r w:rsidRPr="00E858D2" w:rsidDel="00A434AB">
        <w:rPr>
          <w:rFonts w:ascii="Arial" w:eastAsia="Calibri" w:hAnsi="Arial" w:cs="Arial"/>
          <w:sz w:val="22"/>
          <w:lang w:val="es-ES_tradnl"/>
        </w:rPr>
        <w:t xml:space="preserve"> </w:t>
      </w:r>
      <w:r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1" w:name="_Hlk37841850"/>
      <w:r w:rsidRPr="00E858D2">
        <w:rPr>
          <w:rFonts w:ascii="Arial" w:eastAsia="Calibri" w:hAnsi="Arial" w:cs="Arial"/>
          <w:sz w:val="22"/>
          <w:lang w:val="es-ES_tradnl"/>
        </w:rPr>
        <w:t xml:space="preserve">– Colombia Compra Eficiente, </w:t>
      </w:r>
      <w:bookmarkEnd w:id="1"/>
      <w:r w:rsidRPr="00E858D2">
        <w:rPr>
          <w:rFonts w:ascii="Arial" w:eastAsia="Calibri" w:hAnsi="Arial" w:cs="Arial"/>
          <w:sz w:val="22"/>
          <w:lang w:val="es-ES_tradnl"/>
        </w:rPr>
        <w:t>por medio de la Resolución 1798 de 2019 –derogada por la Resolución 045 de 2020–, la Resolución 044 de 2020 y la Resolución 094 de 2020.</w:t>
      </w:r>
    </w:p>
    <w:p w14:paraId="44706DF7" w14:textId="77777777" w:rsidR="00915830" w:rsidRPr="00E858D2" w:rsidRDefault="00915830" w:rsidP="00915830">
      <w:pPr>
        <w:pStyle w:val="Normal11pt"/>
        <w:spacing w:before="120" w:line="276" w:lineRule="auto"/>
        <w:ind w:left="0" w:firstLine="709"/>
        <w:rPr>
          <w:rFonts w:eastAsia="Calibri"/>
          <w:color w:val="auto"/>
        </w:rPr>
      </w:pPr>
      <w:r w:rsidRPr="00E858D2">
        <w:rPr>
          <w:rFonts w:eastAsia="Calibri"/>
          <w:color w:val="auto"/>
        </w:rPr>
        <w:t xml:space="preserve">Con posterioridad a la adopción de los anteriores documentos tipo, se expidió la Ley 2022 de 2020, norma que modificó el parágrafo 7 del artículo 2 de la Ley 1150 de 2007, </w:t>
      </w:r>
      <w:r w:rsidRPr="00E858D2">
        <w:rPr>
          <w:rFonts w:eastAsia="Calibri"/>
          <w:color w:val="auto"/>
        </w:rPr>
        <w:lastRenderedPageBreak/>
        <w:t>que había sido adicionado por la Ley 1882 de 2018</w:t>
      </w:r>
      <w:r w:rsidRPr="00E858D2">
        <w:rPr>
          <w:rStyle w:val="Refdenotaalpie"/>
          <w:rFonts w:eastAsia="Calibri"/>
        </w:rPr>
        <w:footnoteReference w:id="4"/>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5EC1B4F4" w14:textId="77777777" w:rsidR="00D05947" w:rsidRDefault="00915830" w:rsidP="00915830">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r w:rsidR="00D05947" w:rsidRPr="00E858D2">
        <w:rPr>
          <w:rFonts w:eastAsia="Calibri"/>
          <w:color w:val="auto"/>
        </w:rPr>
        <w:t>entró en vigor</w:t>
      </w:r>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w:t>
      </w:r>
    </w:p>
    <w:p w14:paraId="28377C1E" w14:textId="4E0374E5" w:rsidR="00915830" w:rsidRPr="00E858D2" w:rsidRDefault="00815F33" w:rsidP="00915830">
      <w:pPr>
        <w:pStyle w:val="Normal11pt"/>
        <w:spacing w:before="120" w:line="276" w:lineRule="auto"/>
        <w:ind w:left="0" w:firstLine="709"/>
        <w:rPr>
          <w:rFonts w:eastAsia="Calibri"/>
          <w:color w:val="auto"/>
        </w:rPr>
      </w:pPr>
      <w:r w:rsidRPr="00E858D2">
        <w:rPr>
          <w:rFonts w:eastAsia="Calibri"/>
          <w:color w:val="auto"/>
        </w:rPr>
        <w:lastRenderedPageBreak/>
        <w:t>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3A14723" w14:textId="77777777" w:rsidR="00915830" w:rsidRPr="00E858D2" w:rsidRDefault="00915830" w:rsidP="00915830">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0D330B6B" w14:textId="77777777" w:rsidR="00915830" w:rsidRPr="00E858D2" w:rsidRDefault="00915830" w:rsidP="00915830">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7A49CB87" w14:textId="77777777" w:rsidR="00915830" w:rsidRPr="00E858D2" w:rsidRDefault="00915830" w:rsidP="00915830">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w:t>
      </w:r>
      <w:r w:rsidRPr="00E858D2">
        <w:rPr>
          <w:rFonts w:ascii="Arial" w:hAnsi="Arial" w:cs="Arial"/>
          <w:sz w:val="22"/>
          <w:shd w:val="clear" w:color="auto" w:fill="FFFFFF"/>
          <w:lang w:val="es-ES_tradnl"/>
        </w:rPr>
        <w:lastRenderedPageBreak/>
        <w:t>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11FB11" w14:textId="77777777" w:rsidR="00915830" w:rsidRPr="00E858D2" w:rsidRDefault="00915830" w:rsidP="00915830">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58D9B349" w14:textId="77777777" w:rsidR="00915830" w:rsidRDefault="00915830" w:rsidP="00915830">
      <w:pPr>
        <w:spacing w:line="276" w:lineRule="auto"/>
        <w:jc w:val="both"/>
        <w:rPr>
          <w:rFonts w:ascii="Arial" w:eastAsia="Calibri" w:hAnsi="Arial" w:cs="Arial"/>
          <w:color w:val="000000" w:themeColor="text1"/>
          <w:sz w:val="22"/>
        </w:rPr>
      </w:pPr>
    </w:p>
    <w:p w14:paraId="32BFD7F4" w14:textId="4C3FF289" w:rsidR="00915830" w:rsidRPr="00E858D2" w:rsidRDefault="00915830" w:rsidP="00915830">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sidR="001F4246">
        <w:rPr>
          <w:rFonts w:ascii="Arial" w:eastAsia="Calibri" w:hAnsi="Arial" w:cs="Arial"/>
          <w:b/>
          <w:sz w:val="22"/>
          <w:lang w:val="es-ES_tradnl"/>
        </w:rPr>
        <w:t>2</w:t>
      </w:r>
      <w:r w:rsidRPr="00E858D2">
        <w:rPr>
          <w:rFonts w:ascii="Arial" w:eastAsia="Calibri" w:hAnsi="Arial" w:cs="Arial"/>
          <w:b/>
          <w:sz w:val="22"/>
          <w:lang w:val="es-ES_tradnl"/>
        </w:rPr>
        <w:t xml:space="preserve">. </w:t>
      </w:r>
      <w:bookmarkStart w:id="2"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2"/>
    <w:p w14:paraId="04CC7CB8"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3D9407D" w14:textId="68B44F0F" w:rsidR="00915830" w:rsidRPr="00E858D2" w:rsidRDefault="00815F33"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Conforme se explicó en el acápite anterior,</w:t>
      </w:r>
      <w:r w:rsidR="00915830" w:rsidRPr="00E858D2">
        <w:rPr>
          <w:rFonts w:ascii="Arial" w:eastAsia="Calibri" w:hAnsi="Arial" w:cs="Arial"/>
          <w:bCs/>
          <w:sz w:val="22"/>
          <w:lang w:val="es-ES_tradnl"/>
        </w:rPr>
        <w:t xml:space="preserve">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w:t>
      </w:r>
      <w:r w:rsidR="00915830">
        <w:rPr>
          <w:rFonts w:ascii="Arial" w:eastAsia="Calibri" w:hAnsi="Arial" w:cs="Arial"/>
          <w:bCs/>
          <w:sz w:val="22"/>
          <w:lang w:val="es-ES_tradnl"/>
        </w:rPr>
        <w:t>,</w:t>
      </w:r>
      <w:r w:rsidR="00915830"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sidR="00915830">
        <w:rPr>
          <w:rFonts w:ascii="Arial" w:eastAsia="Calibri" w:hAnsi="Arial" w:cs="Arial"/>
          <w:bCs/>
          <w:sz w:val="22"/>
          <w:lang w:val="es-ES_tradnl"/>
        </w:rPr>
        <w:t>civil y comercial</w:t>
      </w:r>
      <w:r w:rsidR="00915830" w:rsidRPr="00E858D2">
        <w:rPr>
          <w:rFonts w:ascii="Arial" w:eastAsia="Calibri" w:hAnsi="Arial" w:cs="Arial"/>
          <w:bCs/>
          <w:sz w:val="22"/>
          <w:lang w:val="es-ES_tradnl"/>
        </w:rPr>
        <w:t xml:space="preserve">. </w:t>
      </w:r>
    </w:p>
    <w:p w14:paraId="308BC43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CF44747"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w:t>
      </w:r>
      <w:r>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425F56F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E9747F8"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w:t>
      </w:r>
      <w:r w:rsidRPr="00E858D2">
        <w:rPr>
          <w:rFonts w:ascii="Arial" w:hAnsi="Arial" w:cs="Arial"/>
          <w:sz w:val="21"/>
          <w:szCs w:val="21"/>
          <w:lang w:val="es-ES_tradnl"/>
        </w:rPr>
        <w:lastRenderedPageBreak/>
        <w:t xml:space="preserve">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CB0EEED"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CAE146" w14:textId="6849EA2F"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C3C59">
        <w:rPr>
          <w:rFonts w:ascii="Arial" w:hAnsi="Arial" w:cs="Arial"/>
          <w:sz w:val="21"/>
          <w:szCs w:val="21"/>
          <w:lang w:val="es-ES_tradnl"/>
        </w:rPr>
        <w:t>giro ordinario</w:t>
      </w:r>
      <w:r w:rsidRPr="004E48D9">
        <w:rPr>
          <w:rFonts w:ascii="Arial" w:hAnsi="Arial" w:cs="Arial"/>
          <w:sz w:val="21"/>
          <w:szCs w:val="21"/>
          <w:lang w:val="es-ES_tradnl"/>
        </w:rPr>
        <w:t xml:space="preserve">. </w:t>
      </w:r>
      <w:r w:rsidRPr="00E858D2">
        <w:rPr>
          <w:rFonts w:ascii="Arial" w:hAnsi="Arial" w:cs="Arial"/>
          <w:sz w:val="21"/>
          <w:szCs w:val="21"/>
          <w:lang w:val="es-ES_tradnl"/>
        </w:rPr>
        <w:t>En estos casos, en los manuales de contratación de estas entidades, se fomentará como buena práctica la aplicación de los pliegos tipo.</w:t>
      </w:r>
    </w:p>
    <w:p w14:paraId="343118EA"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A95A4B8" w14:textId="68B5896A"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E942F2" w:rsidRPr="00E858D2">
        <w:rPr>
          <w:rFonts w:ascii="Arial" w:eastAsia="Calibri" w:hAnsi="Arial" w:cs="Arial"/>
          <w:bCs/>
          <w:sz w:val="22"/>
          <w:lang w:val="es-ES_tradnl"/>
        </w:rPr>
        <w:t>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w:t>
      </w:r>
      <w:r w:rsidRPr="00E858D2">
        <w:rPr>
          <w:rFonts w:ascii="Arial" w:eastAsia="Calibri" w:hAnsi="Arial" w:cs="Arial"/>
          <w:bCs/>
          <w:sz w:val="22"/>
          <w:lang w:val="es-ES_tradnl"/>
        </w:rPr>
        <w:t xml:space="preserve">    </w:t>
      </w:r>
    </w:p>
    <w:p w14:paraId="39DD0D45"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7052F584" w14:textId="77777777" w:rsidR="00915830" w:rsidRDefault="00915830" w:rsidP="00FC3C59">
      <w:pPr>
        <w:tabs>
          <w:tab w:val="left" w:pos="426"/>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 xml:space="preserve">2.2.1. </w:t>
      </w:r>
      <w:r w:rsidRPr="00E858D2">
        <w:rPr>
          <w:rFonts w:ascii="Arial" w:eastAsia="Calibri" w:hAnsi="Arial" w:cs="Arial"/>
          <w:b/>
          <w:sz w:val="22"/>
          <w:lang w:val="es-ES_tradnl"/>
        </w:rPr>
        <w:t>Ámbito de aplicación y finalidad de la norma</w:t>
      </w:r>
    </w:p>
    <w:p w14:paraId="39A1C6E9" w14:textId="77777777" w:rsidR="00915830" w:rsidRPr="00F0096D" w:rsidRDefault="00915830" w:rsidP="00915830">
      <w:pPr>
        <w:tabs>
          <w:tab w:val="left" w:pos="426"/>
        </w:tabs>
        <w:spacing w:line="276" w:lineRule="auto"/>
        <w:ind w:left="709"/>
        <w:jc w:val="both"/>
        <w:rPr>
          <w:rFonts w:ascii="Arial" w:eastAsia="Calibri" w:hAnsi="Arial" w:cs="Arial"/>
          <w:bCs/>
          <w:sz w:val="22"/>
          <w:lang w:val="es-ES_tradnl"/>
        </w:rPr>
      </w:pPr>
    </w:p>
    <w:p w14:paraId="0E589929"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77F87C6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w:t>
      </w:r>
      <w:r w:rsidRPr="00E858D2">
        <w:rPr>
          <w:rFonts w:ascii="Arial" w:eastAsia="Calibri" w:hAnsi="Arial" w:cs="Arial"/>
          <w:bCs/>
          <w:sz w:val="22"/>
          <w:lang w:val="es-ES_tradnl"/>
        </w:rPr>
        <w:lastRenderedPageBreak/>
        <w:t xml:space="preserve">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12CA6D31" w14:textId="2DC39A00"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00E942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E942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w:t>
      </w:r>
      <w:r w:rsidR="00E942F2">
        <w:rPr>
          <w:rFonts w:ascii="Arial" w:eastAsia="Calibri" w:hAnsi="Arial" w:cs="Arial"/>
          <w:bCs/>
          <w:sz w:val="22"/>
          <w:lang w:val="es-ES_tradnl"/>
        </w:rPr>
        <w:t>fuera</w:t>
      </w:r>
      <w:r w:rsidR="00E942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ACBB38F"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73B46F14"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w:t>
      </w:r>
      <w:r w:rsidRPr="00E858D2">
        <w:rPr>
          <w:rFonts w:ascii="Arial" w:eastAsia="Calibri" w:hAnsi="Arial" w:cs="Arial"/>
          <w:bCs/>
          <w:sz w:val="22"/>
          <w:lang w:val="es-ES_tradnl"/>
        </w:rPr>
        <w:lastRenderedPageBreak/>
        <w:t xml:space="preserve">dispuesto en el apartado normativo bajo examen, deberán celebrarse mediante documentos tipo.      </w:t>
      </w:r>
    </w:p>
    <w:p w14:paraId="6C165576"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2FD9922B" w14:textId="101AF968"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w:t>
      </w:r>
      <w:r w:rsidRPr="00397E5B">
        <w:rPr>
          <w:rFonts w:ascii="Arial" w:eastAsia="Calibri" w:hAnsi="Arial" w:cs="Arial"/>
          <w:bCs/>
          <w:sz w:val="22"/>
          <w:lang w:val="es-ES_tradnl"/>
        </w:rPr>
        <w:t xml:space="preserve">Esto significa que, ya sea una entidad estatal de régimen especial, un patrimonio autónomo o una persona natural o jurídica de derecho privado, en virtud de lo dispuesto en los incisos primero y segundo del artículo 56 </w:t>
      </w:r>
      <w:r w:rsidRPr="00397E5B">
        <w:rPr>
          <w:rFonts w:ascii="Arial" w:eastAsia="Calibri" w:hAnsi="Arial" w:cs="Arial"/>
          <w:bCs/>
          <w:i/>
          <w:iCs/>
          <w:sz w:val="22"/>
          <w:lang w:val="es-ES_tradnl"/>
        </w:rPr>
        <w:t xml:space="preserve">ejusdem, </w:t>
      </w:r>
      <w:r w:rsidRPr="00397E5B">
        <w:rPr>
          <w:rFonts w:ascii="Arial" w:eastAsia="Calibri" w:hAnsi="Arial" w:cs="Arial"/>
          <w:bCs/>
          <w:sz w:val="22"/>
          <w:lang w:val="es-ES_tradnl"/>
        </w:rPr>
        <w:t>si,</w:t>
      </w:r>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Pr="00E858D2">
        <w:rPr>
          <w:rFonts w:ascii="Arial" w:eastAsia="Calibri" w:hAnsi="Arial" w:cs="Arial"/>
          <w:bCs/>
          <w:sz w:val="22"/>
          <w:lang w:val="es-ES_tradnl"/>
        </w:rPr>
        <w:t xml:space="preserve"> </w:t>
      </w:r>
    </w:p>
    <w:p w14:paraId="48C950AA"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6E2869D0"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1F704B86"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w:t>
      </w:r>
      <w:r w:rsidRPr="00E858D2">
        <w:rPr>
          <w:rFonts w:ascii="Arial" w:eastAsia="Calibri" w:hAnsi="Arial" w:cs="Arial"/>
          <w:bCs/>
          <w:sz w:val="21"/>
          <w:szCs w:val="21"/>
          <w:lang w:val="es-ES_tradnl"/>
        </w:rPr>
        <w:lastRenderedPageBreak/>
        <w:t>contratos realizados en dichos negocios jurídicos deben regirse por las normas de contratación pública</w:t>
      </w:r>
      <w:r w:rsidRPr="00E858D2">
        <w:rPr>
          <w:rStyle w:val="Refdenotaalpie"/>
          <w:rFonts w:ascii="Arial" w:eastAsia="Calibri" w:hAnsi="Arial" w:cs="Arial"/>
          <w:sz w:val="21"/>
          <w:szCs w:val="21"/>
        </w:rPr>
        <w:footnoteReference w:id="5"/>
      </w:r>
      <w:r w:rsidRPr="00E858D2">
        <w:rPr>
          <w:rFonts w:ascii="Arial" w:eastAsia="Calibri" w:hAnsi="Arial" w:cs="Arial"/>
          <w:bCs/>
          <w:sz w:val="21"/>
          <w:szCs w:val="21"/>
          <w:lang w:val="es-ES_tradnl"/>
        </w:rPr>
        <w:t xml:space="preserve">. </w:t>
      </w:r>
    </w:p>
    <w:p w14:paraId="320E0A01"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5FA2964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7B6C6B1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09568717" w14:textId="75DECCCA"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93686"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5FDA339" w14:textId="5EADA2F6"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6"/>
      </w:r>
      <w:r w:rsidRPr="00E858D2">
        <w:rPr>
          <w:rFonts w:ascii="Arial" w:eastAsia="Calibri" w:hAnsi="Arial" w:cs="Arial"/>
          <w:bCs/>
          <w:sz w:val="22"/>
          <w:lang w:val="es-ES_tradnl"/>
        </w:rPr>
        <w:t xml:space="preserve">. Lo anterior por cuanto </w:t>
      </w:r>
      <w:r w:rsidRPr="00E858D2">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r>
        <w:rPr>
          <w:rFonts w:ascii="Arial" w:eastAsia="Calibri" w:hAnsi="Arial" w:cs="Arial"/>
          <w:bCs/>
          <w:sz w:val="22"/>
          <w:lang w:val="es-ES_tradnl"/>
        </w:rPr>
        <w:t>dado</w:t>
      </w:r>
      <w:r w:rsidRPr="00E858D2">
        <w:rPr>
          <w:rFonts w:ascii="Arial" w:eastAsia="Calibri" w:hAnsi="Arial" w:cs="Arial"/>
          <w:bCs/>
          <w:sz w:val="22"/>
          <w:lang w:val="es-ES_tradnl"/>
        </w:rPr>
        <w:t xml:space="preserve"> que</w:t>
      </w:r>
      <w:r w:rsidR="00E942F2">
        <w:rPr>
          <w:rFonts w:ascii="Arial" w:eastAsia="Calibri" w:hAnsi="Arial" w:cs="Arial"/>
          <w:bCs/>
          <w:sz w:val="22"/>
          <w:lang w:val="es-ES_tradnl"/>
        </w:rPr>
        <w:t>,</w:t>
      </w:r>
      <w:r w:rsidRPr="00E858D2">
        <w:rPr>
          <w:rFonts w:ascii="Arial" w:eastAsia="Calibri" w:hAnsi="Arial" w:cs="Arial"/>
          <w:bCs/>
          <w:sz w:val="22"/>
          <w:lang w:val="es-ES_tradnl"/>
        </w:rPr>
        <w:t xml:space="preserve"> en estos eventos, al tenor de lo dispuesto en esta última norma, deben aplicarse el EGCAP y los documentos tipo. </w:t>
      </w:r>
    </w:p>
    <w:p w14:paraId="2E6B94C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w:t>
      </w:r>
      <w:r>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7038672B"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7"/>
      </w:r>
      <w:r w:rsidRPr="00E858D2">
        <w:rPr>
          <w:rFonts w:ascii="Arial" w:eastAsia="Calibri" w:hAnsi="Arial" w:cs="Arial"/>
          <w:bCs/>
          <w:sz w:val="22"/>
          <w:lang w:val="es-ES_tradnl"/>
        </w:rPr>
        <w:t xml:space="preserve">–ambas son leyes ordinarias–, que coinciden en su ámbito de aplicación, debe </w:t>
      </w:r>
      <w:r>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w:t>
      </w:r>
      <w:r w:rsidRPr="00E858D2">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3EDACFA3" w14:textId="7F63628E"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6B5C7328" w14:textId="22C8E77C"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122EFA">
        <w:rPr>
          <w:rFonts w:ascii="Arial" w:eastAsia="Calibri" w:hAnsi="Arial" w:cs="Arial"/>
          <w:bCs/>
          <w:sz w:val="22"/>
          <w:lang w:val="es-ES_tradnl"/>
        </w:rPr>
        <w:t xml:space="preserve">aplicable al objeto contractual </w:t>
      </w:r>
      <w:r w:rsidRPr="00E858D2">
        <w:rPr>
          <w:rFonts w:ascii="Arial" w:eastAsia="Calibri" w:hAnsi="Arial" w:cs="Arial"/>
          <w:bCs/>
          <w:sz w:val="22"/>
          <w:lang w:val="es-ES_tradnl"/>
        </w:rPr>
        <w:t xml:space="preserve">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54BAC8A8" w14:textId="10654A4E"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122EFA">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22EFA">
        <w:rPr>
          <w:rFonts w:ascii="Arial" w:eastAsia="Calibri" w:hAnsi="Arial" w:cs="Arial"/>
          <w:bCs/>
          <w:sz w:val="22"/>
          <w:lang w:val="es-ES_tradnl"/>
        </w:rPr>
        <w:t>entidad exceptuada</w:t>
      </w:r>
      <w:r w:rsidR="00122EFA" w:rsidRPr="00E858D2">
        <w:rPr>
          <w:rFonts w:ascii="Arial" w:eastAsia="Calibri" w:hAnsi="Arial" w:cs="Arial"/>
          <w:bCs/>
          <w:sz w:val="22"/>
          <w:lang w:val="es-ES_tradnl"/>
        </w:rPr>
        <w:t xml:space="preserve"> </w:t>
      </w:r>
      <w:r w:rsidRPr="00E858D2">
        <w:rPr>
          <w:rFonts w:ascii="Arial" w:eastAsia="Calibri" w:hAnsi="Arial" w:cs="Arial"/>
          <w:bCs/>
          <w:sz w:val="22"/>
          <w:lang w:val="es-ES_tradnl"/>
        </w:rPr>
        <w:t>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w:t>
      </w:r>
      <w:r w:rsidR="001028A5">
        <w:rPr>
          <w:rFonts w:ascii="Arial" w:eastAsia="Calibri" w:hAnsi="Arial" w:cs="Arial"/>
          <w:bCs/>
          <w:sz w:val="22"/>
          <w:lang w:val="es-ES_tradnl"/>
        </w:rPr>
        <w:t>,</w:t>
      </w:r>
      <w:r w:rsidRPr="00E858D2">
        <w:rPr>
          <w:rFonts w:ascii="Arial" w:eastAsia="Calibri" w:hAnsi="Arial" w:cs="Arial"/>
          <w:bCs/>
          <w:sz w:val="22"/>
          <w:lang w:val="es-ES_tradnl"/>
        </w:rPr>
        <w:t xml:space="preserve"> sí estará sometido al EGCAP, al estar tales actividades incluidas dentro de los documentos tipo de infraestructura de transporte. Esto por supuesto puede cambiar si la Agencia, en el futuro, adopta más documentos tipo que incluyan los objetos mencionados. </w:t>
      </w:r>
    </w:p>
    <w:p w14:paraId="1CB0AA14"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0797AF6" w14:textId="18E0460A" w:rsidR="00915830" w:rsidRPr="00E858D2" w:rsidRDefault="00915830" w:rsidP="00915830">
      <w:pPr>
        <w:tabs>
          <w:tab w:val="left" w:pos="0"/>
        </w:tabs>
        <w:spacing w:line="276" w:lineRule="auto"/>
        <w:jc w:val="both"/>
        <w:rPr>
          <w:rFonts w:ascii="Arial" w:eastAsia="Calibri" w:hAnsi="Arial" w:cs="Arial"/>
          <w:b/>
          <w:sz w:val="22"/>
          <w:lang w:val="es-ES_tradnl"/>
        </w:rPr>
      </w:pPr>
      <w:r w:rsidRPr="00961964">
        <w:rPr>
          <w:rFonts w:ascii="Arial" w:eastAsia="Calibri" w:hAnsi="Arial" w:cs="Arial"/>
          <w:b/>
          <w:sz w:val="22"/>
          <w:lang w:val="es-ES_tradnl"/>
        </w:rPr>
        <w:t>2.2.3.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6F03F7"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0F7D0FB" w14:textId="5D6E0945" w:rsidR="00915830" w:rsidRPr="00E858D2" w:rsidRDefault="001028A5" w:rsidP="00915830">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Para una adecuada comprensión del artículo 56 de la Ley 2195 de 2022</w:t>
      </w:r>
      <w:r w:rsidR="00915830" w:rsidRPr="00E858D2">
        <w:rPr>
          <w:rFonts w:ascii="Arial" w:eastAsia="Calibri" w:hAnsi="Arial" w:cs="Arial"/>
          <w:bCs/>
          <w:sz w:val="22"/>
          <w:lang w:val="es-ES_tradnl"/>
        </w:rPr>
        <w:t xml:space="preserve">, es necesario precisar el alcance de lo dispuesto en </w:t>
      </w:r>
      <w:r>
        <w:rPr>
          <w:rFonts w:ascii="Arial" w:eastAsia="Calibri" w:hAnsi="Arial" w:cs="Arial"/>
          <w:bCs/>
          <w:sz w:val="22"/>
          <w:lang w:val="es-ES_tradnl"/>
        </w:rPr>
        <w:t>sus</w:t>
      </w:r>
      <w:r w:rsidRPr="00E858D2">
        <w:rPr>
          <w:rFonts w:ascii="Arial" w:eastAsia="Calibri" w:hAnsi="Arial" w:cs="Arial"/>
          <w:bCs/>
          <w:sz w:val="22"/>
          <w:lang w:val="es-ES_tradnl"/>
        </w:rPr>
        <w:t xml:space="preserve"> </w:t>
      </w:r>
      <w:r w:rsidR="00915830" w:rsidRPr="00E858D2">
        <w:rPr>
          <w:rFonts w:ascii="Arial" w:eastAsia="Calibri" w:hAnsi="Arial" w:cs="Arial"/>
          <w:bCs/>
          <w:sz w:val="22"/>
          <w:lang w:val="es-ES_tradnl"/>
        </w:rPr>
        <w:t xml:space="preserve">dos primeros incisos a luz de lo establecido en su parágrafo, el cual excluye de la aplicación de los primeros incisos del artículo 56, a cierto tipo de entidades, en lo relacionado con la contratación de su </w:t>
      </w:r>
      <w:r w:rsidR="00915830" w:rsidRPr="00E858D2">
        <w:rPr>
          <w:rFonts w:ascii="Arial" w:eastAsia="Calibri" w:hAnsi="Arial" w:cs="Arial"/>
          <w:bCs/>
          <w:i/>
          <w:iCs/>
          <w:sz w:val="22"/>
          <w:lang w:val="es-ES_tradnl"/>
        </w:rPr>
        <w:t>giro ordinario</w:t>
      </w:r>
      <w:r w:rsidR="00915830"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00915830" w:rsidRPr="00E858D2">
        <w:rPr>
          <w:rFonts w:ascii="Arial" w:eastAsia="Calibri" w:hAnsi="Arial" w:cs="Arial"/>
          <w:bCs/>
          <w:i/>
          <w:iCs/>
          <w:sz w:val="22"/>
          <w:lang w:val="es-ES_tradnl"/>
        </w:rPr>
        <w:t>giro ordinario.</w:t>
      </w:r>
      <w:r w:rsidR="00915830" w:rsidRPr="00E858D2">
        <w:rPr>
          <w:rFonts w:ascii="Arial" w:eastAsia="Calibri" w:hAnsi="Arial" w:cs="Arial"/>
          <w:bCs/>
          <w:sz w:val="22"/>
          <w:lang w:val="es-ES_tradnl"/>
        </w:rPr>
        <w:t xml:space="preserve"> Esto significa que en la contratación asociada a su </w:t>
      </w:r>
      <w:r w:rsidR="00915830" w:rsidRPr="00E858D2">
        <w:rPr>
          <w:rFonts w:ascii="Arial" w:eastAsia="Calibri" w:hAnsi="Arial" w:cs="Arial"/>
          <w:bCs/>
          <w:i/>
          <w:iCs/>
          <w:sz w:val="22"/>
          <w:lang w:val="es-ES_tradnl"/>
        </w:rPr>
        <w:t xml:space="preserve">giro ordinario, </w:t>
      </w:r>
      <w:r w:rsidR="00915830"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E18F424" w14:textId="77777777" w:rsidR="00915830" w:rsidRPr="00E858D2" w:rsidRDefault="00915830" w:rsidP="00915830">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8"/>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w:t>
      </w:r>
      <w:r w:rsidRPr="00E858D2">
        <w:rPr>
          <w:rFonts w:ascii="Arial" w:eastAsia="Arial" w:hAnsi="Arial" w:cs="Arial"/>
          <w:color w:val="000000"/>
          <w:sz w:val="22"/>
          <w:lang w:val="es-ES_tradnl"/>
        </w:rPr>
        <w:lastRenderedPageBreak/>
        <w:t xml:space="preserve">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0E5AE372" w14:textId="77777777" w:rsidR="00915830" w:rsidRPr="00E858D2" w:rsidRDefault="00915830" w:rsidP="00915830">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E858D2">
        <w:rPr>
          <w:rStyle w:val="Refdenotaalpie"/>
          <w:rFonts w:ascii="Arial" w:eastAsia="Arial" w:hAnsi="Arial" w:cs="Arial"/>
        </w:rPr>
        <w:footnoteReference w:id="9"/>
      </w:r>
      <w:r w:rsidRPr="00E858D2">
        <w:rPr>
          <w:rFonts w:ascii="Arial" w:eastAsia="Arial" w:hAnsi="Arial" w:cs="Arial"/>
          <w:color w:val="000000"/>
          <w:sz w:val="22"/>
          <w:lang w:val="es-ES_tradnl"/>
        </w:rPr>
        <w:t>.</w:t>
      </w:r>
    </w:p>
    <w:p w14:paraId="4FD44223" w14:textId="77777777" w:rsidR="00915830" w:rsidRPr="00E858D2" w:rsidRDefault="00915830" w:rsidP="00915830">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0"/>
      </w:r>
      <w:r w:rsidRPr="00E858D2">
        <w:rPr>
          <w:rFonts w:ascii="Arial" w:eastAsia="Calibri" w:hAnsi="Arial" w:cs="Arial"/>
          <w:bCs/>
          <w:sz w:val="22"/>
          <w:lang w:val="es-ES_tradnl"/>
        </w:rPr>
        <w:t xml:space="preserve">, la Sección Tercera manifestó lo siguiente: </w:t>
      </w:r>
    </w:p>
    <w:p w14:paraId="1CFA1B9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202739C" w14:textId="77777777" w:rsidR="00915830" w:rsidRPr="00E858D2" w:rsidRDefault="00915830" w:rsidP="00915830">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hAnsi="Arial" w:cs="Arial"/>
          <w:sz w:val="21"/>
          <w:szCs w:val="21"/>
          <w:lang w:val="es-ES_tradnl"/>
        </w:rPr>
        <w:t>.</w:t>
      </w:r>
      <w:r w:rsidRPr="00E858D2">
        <w:rPr>
          <w:rStyle w:val="Refdenotaalpie"/>
          <w:rFonts w:ascii="Arial" w:hAnsi="Arial" w:cs="Arial"/>
        </w:rPr>
        <w:footnoteReference w:id="11"/>
      </w:r>
    </w:p>
    <w:p w14:paraId="731A0122" w14:textId="77777777" w:rsidR="00915830" w:rsidRPr="00E858D2" w:rsidRDefault="00915830" w:rsidP="00915830">
      <w:pPr>
        <w:tabs>
          <w:tab w:val="left" w:pos="0"/>
        </w:tabs>
        <w:spacing w:line="276" w:lineRule="auto"/>
        <w:jc w:val="both"/>
        <w:rPr>
          <w:rFonts w:ascii="Arial" w:eastAsia="Calibri" w:hAnsi="Arial" w:cs="Arial"/>
          <w:bCs/>
          <w:i/>
          <w:iCs/>
          <w:sz w:val="22"/>
          <w:lang w:val="es-ES_tradnl"/>
        </w:rPr>
      </w:pPr>
    </w:p>
    <w:p w14:paraId="47AA70E8"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70BA625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395BEA04"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162D74B2"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68E290F3"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2"/>
      </w:r>
      <w:r w:rsidRPr="00E858D2">
        <w:rPr>
          <w:rFonts w:ascii="Arial" w:eastAsia="Calibri" w:hAnsi="Arial" w:cs="Arial"/>
          <w:bCs/>
          <w:sz w:val="21"/>
          <w:szCs w:val="21"/>
          <w:lang w:val="es-ES_tradnl"/>
        </w:rPr>
        <w:t xml:space="preserve">. </w:t>
      </w:r>
    </w:p>
    <w:p w14:paraId="56DFB4A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F219C71" w14:textId="4892B6FD" w:rsidR="00915830" w:rsidRDefault="00915830" w:rsidP="005636A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w:t>
      </w:r>
      <w:r w:rsidRPr="00E858D2">
        <w:rPr>
          <w:rFonts w:ascii="Arial" w:eastAsia="Calibri" w:hAnsi="Arial" w:cs="Arial"/>
          <w:bCs/>
          <w:sz w:val="22"/>
          <w:lang w:val="es-ES_tradnl"/>
        </w:rPr>
        <w:lastRenderedPageBreak/>
        <w:t>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13"/>
      </w:r>
      <w:r w:rsidRPr="00E858D2">
        <w:rPr>
          <w:rFonts w:ascii="Arial" w:eastAsia="Calibri" w:hAnsi="Arial" w:cs="Arial"/>
          <w:bCs/>
          <w:sz w:val="22"/>
          <w:lang w:val="es-ES_tradnl"/>
        </w:rPr>
        <w:t xml:space="preserve">. </w:t>
      </w:r>
    </w:p>
    <w:p w14:paraId="1B325364" w14:textId="77777777" w:rsidR="00E62261" w:rsidRPr="00E62261" w:rsidRDefault="00E62261" w:rsidP="00E62261">
      <w:pPr>
        <w:tabs>
          <w:tab w:val="left" w:pos="0"/>
        </w:tabs>
        <w:spacing w:line="276" w:lineRule="auto"/>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 xml:space="preserve">De otra parte, la doctrina societaria también se ha encargado de definir el </w:t>
      </w:r>
      <w:r w:rsidRPr="00E62261">
        <w:rPr>
          <w:rFonts w:ascii="Arial" w:eastAsia="Calibri" w:hAnsi="Arial" w:cs="Arial"/>
          <w:bCs/>
          <w:i/>
          <w:iCs/>
          <w:sz w:val="22"/>
          <w:lang w:val="es-ES_tradnl" w:eastAsia="es-ES_tradnl"/>
        </w:rPr>
        <w:t>objeto social</w:t>
      </w:r>
      <w:r w:rsidRPr="00E62261">
        <w:rPr>
          <w:rFonts w:ascii="Arial" w:eastAsia="Calibri" w:hAnsi="Arial" w:cs="Arial"/>
          <w:bCs/>
          <w:sz w:val="22"/>
          <w:lang w:val="es-ES_tradnl" w:eastAsia="es-ES_tradnl"/>
        </w:rPr>
        <w:t xml:space="preserve">, así como su relación con el concepto de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Al respecto, la Superintendencia de Sociedades, citando doctrina autorizada en la materia, ha señalado:</w:t>
      </w:r>
    </w:p>
    <w:p w14:paraId="74B5DBBF" w14:textId="77777777" w:rsidR="00E62261" w:rsidRPr="00E62261" w:rsidRDefault="00E62261" w:rsidP="00E62261">
      <w:pPr>
        <w:tabs>
          <w:tab w:val="left" w:pos="0"/>
        </w:tabs>
        <w:spacing w:line="276" w:lineRule="auto"/>
        <w:jc w:val="both"/>
        <w:rPr>
          <w:rFonts w:ascii="Arial" w:eastAsia="Calibri" w:hAnsi="Arial" w:cs="Arial"/>
          <w:bCs/>
          <w:sz w:val="22"/>
          <w:lang w:val="es-ES_tradnl" w:eastAsia="es-ES_tradnl"/>
        </w:rPr>
      </w:pPr>
    </w:p>
    <w:p w14:paraId="7FBC25F8" w14:textId="77777777" w:rsidR="00E62261" w:rsidRPr="00E62261" w:rsidRDefault="00E62261" w:rsidP="00E62261">
      <w:pPr>
        <w:tabs>
          <w:tab w:val="left" w:pos="0"/>
        </w:tabs>
        <w:spacing w:after="120"/>
        <w:ind w:left="709" w:right="709"/>
        <w:jc w:val="both"/>
        <w:rPr>
          <w:rFonts w:ascii="Arial" w:eastAsia="Times New Roman" w:hAnsi="Arial" w:cs="Arial"/>
          <w:sz w:val="21"/>
          <w:szCs w:val="21"/>
          <w:lang w:val="es-ES_tradnl" w:eastAsia="es-ES_tradnl"/>
        </w:rPr>
      </w:pPr>
      <w:r w:rsidRPr="00E62261">
        <w:rPr>
          <w:rFonts w:ascii="Arial" w:eastAsia="Times New Roman" w:hAnsi="Arial" w:cs="Arial"/>
          <w:sz w:val="21"/>
          <w:szCs w:val="21"/>
          <w:lang w:val="es-ES_tradnl" w:eastAsia="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70099766" w14:textId="77777777" w:rsidR="00E62261" w:rsidRPr="00E62261" w:rsidRDefault="00E62261" w:rsidP="00E62261">
      <w:pPr>
        <w:tabs>
          <w:tab w:val="left" w:pos="0"/>
        </w:tabs>
        <w:ind w:left="709" w:right="709"/>
        <w:jc w:val="both"/>
        <w:rPr>
          <w:rFonts w:ascii="Arial" w:eastAsia="Calibri" w:hAnsi="Arial" w:cs="Arial"/>
          <w:bCs/>
          <w:sz w:val="21"/>
          <w:szCs w:val="21"/>
          <w:lang w:val="es-ES_tradnl" w:eastAsia="es-ES_tradnl"/>
        </w:rPr>
      </w:pPr>
      <w:r w:rsidRPr="00E62261">
        <w:rPr>
          <w:rFonts w:ascii="Arial" w:eastAsia="Times New Roman" w:hAnsi="Arial" w:cs="Arial"/>
          <w:sz w:val="21"/>
          <w:szCs w:val="21"/>
          <w:lang w:val="es-ES_tradnl" w:eastAsia="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62261">
        <w:rPr>
          <w:rFonts w:ascii="Arial" w:eastAsia="Times New Roman" w:hAnsi="Arial" w:cs="Arial"/>
          <w:szCs w:val="24"/>
          <w:vertAlign w:val="superscript"/>
          <w:lang w:val="es-CO" w:eastAsia="es-ES_tradnl"/>
        </w:rPr>
        <w:footnoteReference w:id="14"/>
      </w:r>
      <w:r w:rsidRPr="00E62261">
        <w:rPr>
          <w:rFonts w:ascii="Arial" w:eastAsia="Times New Roman" w:hAnsi="Arial" w:cs="Arial"/>
          <w:sz w:val="21"/>
          <w:szCs w:val="21"/>
          <w:lang w:val="es-ES_tradnl" w:eastAsia="es-ES_tradnl"/>
        </w:rPr>
        <w:t>.</w:t>
      </w:r>
    </w:p>
    <w:p w14:paraId="3B020B15" w14:textId="77777777" w:rsidR="00E62261" w:rsidRPr="00E62261" w:rsidRDefault="00E62261" w:rsidP="00E62261">
      <w:pPr>
        <w:tabs>
          <w:tab w:val="left" w:pos="0"/>
        </w:tabs>
        <w:spacing w:line="276" w:lineRule="auto"/>
        <w:jc w:val="both"/>
        <w:rPr>
          <w:rFonts w:ascii="Arial" w:eastAsia="Calibri" w:hAnsi="Arial" w:cs="Arial"/>
          <w:bCs/>
          <w:sz w:val="22"/>
          <w:szCs w:val="24"/>
          <w:lang w:val="es-ES_tradnl" w:eastAsia="es-ES_tradnl"/>
        </w:rPr>
      </w:pPr>
    </w:p>
    <w:p w14:paraId="586FF52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 xml:space="preserve">De acuerdo con estas consideraciones, no hay una plena equivalencia entre las </w:t>
      </w:r>
      <w:bookmarkStart w:id="3" w:name="_Hlk95322109"/>
      <w:r w:rsidRPr="00E62261">
        <w:rPr>
          <w:rFonts w:ascii="Arial" w:eastAsia="Calibri" w:hAnsi="Arial" w:cs="Arial"/>
          <w:bCs/>
          <w:sz w:val="22"/>
          <w:szCs w:val="24"/>
          <w:lang w:val="es-ES_tradnl" w:eastAsia="es-ES_tradnl"/>
        </w:rPr>
        <w:t xml:space="preserve">actividades que hacen parte del desarrollo del </w:t>
      </w:r>
      <w:r w:rsidRPr="00E62261">
        <w:rPr>
          <w:rFonts w:ascii="Arial" w:eastAsia="Calibri" w:hAnsi="Arial" w:cs="Arial"/>
          <w:bCs/>
          <w:i/>
          <w:iCs/>
          <w:sz w:val="22"/>
          <w:szCs w:val="24"/>
          <w:lang w:val="es-ES_tradnl" w:eastAsia="es-ES_tradnl"/>
        </w:rPr>
        <w:t>objeto social</w:t>
      </w:r>
      <w:r w:rsidRPr="00E62261">
        <w:rPr>
          <w:rFonts w:ascii="Arial" w:eastAsia="Calibri" w:hAnsi="Arial" w:cs="Arial"/>
          <w:bCs/>
          <w:sz w:val="22"/>
          <w:szCs w:val="24"/>
          <w:lang w:val="es-ES_tradnl" w:eastAsia="es-ES_tradnl"/>
        </w:rPr>
        <w:t xml:space="preserve"> y las que comprende el </w:t>
      </w:r>
      <w:r w:rsidRPr="00E62261">
        <w:rPr>
          <w:rFonts w:ascii="Arial" w:eastAsia="Calibri" w:hAnsi="Arial" w:cs="Arial"/>
          <w:bCs/>
          <w:i/>
          <w:iCs/>
          <w:sz w:val="22"/>
          <w:szCs w:val="24"/>
          <w:lang w:val="es-ES_tradnl" w:eastAsia="es-ES_tradnl"/>
        </w:rPr>
        <w:t xml:space="preserve">giro </w:t>
      </w:r>
      <w:r w:rsidRPr="00E62261">
        <w:rPr>
          <w:rFonts w:ascii="Arial" w:eastAsia="Calibri" w:hAnsi="Arial" w:cs="Arial"/>
          <w:bCs/>
          <w:i/>
          <w:iCs/>
          <w:sz w:val="22"/>
          <w:szCs w:val="24"/>
          <w:lang w:val="es-ES_tradnl" w:eastAsia="es-ES_tradnl"/>
        </w:rPr>
        <w:lastRenderedPageBreak/>
        <w:t>ordinario</w:t>
      </w:r>
      <w:r w:rsidRPr="00E62261">
        <w:rPr>
          <w:rFonts w:ascii="Arial" w:eastAsia="Calibri" w:hAnsi="Arial" w:cs="Arial"/>
          <w:bCs/>
          <w:sz w:val="22"/>
          <w:szCs w:val="24"/>
          <w:lang w:val="es-ES_tradnl" w:eastAsia="es-ES_tradnl"/>
        </w:rPr>
        <w:t xml:space="preserve">, pues, como precisa la Superintendencia de Sociedades, entre lo que designan estas categorías existe una relación de género a especie. </w:t>
      </w:r>
    </w:p>
    <w:p w14:paraId="5A1DA34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62261">
        <w:rPr>
          <w:rFonts w:ascii="Arial" w:eastAsia="Calibri" w:hAnsi="Arial" w:cs="Arial"/>
          <w:bCs/>
          <w:i/>
          <w:iCs/>
          <w:sz w:val="22"/>
          <w:szCs w:val="24"/>
          <w:lang w:val="es-ES_tradnl" w:eastAsia="es-ES_tradnl"/>
        </w:rPr>
        <w:t xml:space="preserve">giro ordinario </w:t>
      </w:r>
      <w:r w:rsidRPr="00E62261">
        <w:rPr>
          <w:rFonts w:ascii="Arial" w:eastAsia="Calibri" w:hAnsi="Arial" w:cs="Arial"/>
          <w:bCs/>
          <w:sz w:val="22"/>
          <w:szCs w:val="24"/>
          <w:lang w:val="es-ES_tradnl" w:eastAsia="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62261">
        <w:rPr>
          <w:rFonts w:ascii="Arial" w:eastAsia="Calibri" w:hAnsi="Arial" w:cs="Arial"/>
          <w:bCs/>
          <w:i/>
          <w:iCs/>
          <w:sz w:val="22"/>
          <w:szCs w:val="24"/>
          <w:lang w:val="es-ES_tradnl" w:eastAsia="es-ES_tradnl"/>
        </w:rPr>
        <w:t>ejusdem</w:t>
      </w:r>
      <w:r w:rsidRPr="00E62261">
        <w:rPr>
          <w:rFonts w:ascii="Arial" w:eastAsia="Calibri" w:hAnsi="Arial" w:cs="Arial"/>
          <w:bCs/>
          <w:sz w:val="22"/>
          <w:szCs w:val="24"/>
          <w:lang w:val="es-ES_tradnl" w:eastAsia="es-ES_tradnl"/>
        </w:rPr>
        <w:t xml:space="preserve"> se limita a enunciar algunos tipos de entidades estatales, las cuales no solo difieren en su naturaleza jurídica, sino también en las actividades que realizan. </w:t>
      </w:r>
    </w:p>
    <w:p w14:paraId="3E0EA6A7" w14:textId="77777777" w:rsidR="00E62261" w:rsidRPr="00E62261" w:rsidRDefault="00E62261" w:rsidP="00E62261">
      <w:pPr>
        <w:tabs>
          <w:tab w:val="left" w:pos="0"/>
        </w:tabs>
        <w:spacing w:after="120" w:line="276" w:lineRule="auto"/>
        <w:ind w:firstLine="709"/>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3"/>
    <w:p w14:paraId="531C1AC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E62261">
        <w:rPr>
          <w:rFonts w:ascii="Arial" w:eastAsia="Calibri" w:hAnsi="Arial" w:cs="Arial"/>
          <w:bCs/>
          <w:i/>
          <w:iCs/>
          <w:sz w:val="22"/>
          <w:szCs w:val="24"/>
          <w:lang w:val="es-ES_tradnl" w:eastAsia="es-ES_tradnl"/>
        </w:rPr>
        <w:t xml:space="preserve">giro ordinario </w:t>
      </w:r>
      <w:r w:rsidRPr="00E62261">
        <w:rPr>
          <w:rFonts w:ascii="Arial" w:eastAsia="Calibri" w:hAnsi="Arial" w:cs="Arial"/>
          <w:bCs/>
          <w:sz w:val="22"/>
          <w:szCs w:val="24"/>
          <w:lang w:val="es-ES_tradnl" w:eastAsia="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62261">
        <w:rPr>
          <w:rFonts w:ascii="Arial" w:eastAsia="Calibri" w:hAnsi="Arial" w:cs="Arial"/>
          <w:bCs/>
          <w:i/>
          <w:iCs/>
          <w:sz w:val="22"/>
          <w:szCs w:val="24"/>
          <w:lang w:val="es-ES_tradnl" w:eastAsia="es-ES_tradnl"/>
        </w:rPr>
        <w:t>su giro ordinario</w:t>
      </w:r>
      <w:r w:rsidRPr="00E62261">
        <w:rPr>
          <w:rFonts w:ascii="Arial" w:eastAsia="Calibri" w:hAnsi="Arial" w:cs="Arial"/>
          <w:bCs/>
          <w:sz w:val="22"/>
          <w:szCs w:val="24"/>
          <w:lang w:val="es-ES_tradnl" w:eastAsia="es-ES_tradnl"/>
        </w:rPr>
        <w:t xml:space="preserve">, entendido este conforme a los criterios jurisprudenciales y doctrinarios aquí explicados. En otras palabras, ninguna entidad cuya naturaleza jurídica coincida con las </w:t>
      </w:r>
      <w:r w:rsidRPr="00E62261">
        <w:rPr>
          <w:rFonts w:ascii="Arial" w:eastAsia="Calibri" w:hAnsi="Arial" w:cs="Arial"/>
          <w:bCs/>
          <w:sz w:val="22"/>
          <w:szCs w:val="24"/>
          <w:lang w:val="es-ES_tradnl" w:eastAsia="es-ES_tradnl"/>
        </w:rPr>
        <w:lastRenderedPageBreak/>
        <w:t xml:space="preserve">mencionadas en el parágrafo del artículo 56, tendrá que someterse de manera obligatoria a los documentos tipo o el EGCAP para la contratación de obras o servicios asociadas a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a menos que su manual de contratación establezca lo contrario. De hacerlo, primará el principio de inderogabilidad singular del reglamento, que obliga a aplicarlo en las actuaciones concretas.  </w:t>
      </w:r>
    </w:p>
    <w:p w14:paraId="783D04E8"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62261">
        <w:rPr>
          <w:rFonts w:ascii="Arial" w:eastAsia="Calibri" w:hAnsi="Arial" w:cs="Arial"/>
          <w:szCs w:val="24"/>
          <w:vertAlign w:val="superscript"/>
          <w:lang w:val="es-CO" w:eastAsia="es-ES_tradnl"/>
        </w:rPr>
        <w:footnoteReference w:id="15"/>
      </w:r>
      <w:r w:rsidRPr="00E62261">
        <w:rPr>
          <w:rFonts w:ascii="Arial" w:eastAsia="Calibri" w:hAnsi="Arial" w:cs="Arial"/>
          <w:bCs/>
          <w:sz w:val="22"/>
          <w:szCs w:val="24"/>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E62261">
        <w:rPr>
          <w:rFonts w:ascii="Arial" w:eastAsia="Calibri" w:hAnsi="Arial" w:cs="Arial"/>
          <w:szCs w:val="24"/>
          <w:vertAlign w:val="superscript"/>
          <w:lang w:val="es-CO" w:eastAsia="es-ES_tradnl"/>
        </w:rPr>
        <w:footnoteReference w:id="16"/>
      </w:r>
      <w:r w:rsidRPr="00E62261">
        <w:rPr>
          <w:rFonts w:ascii="Arial" w:eastAsia="Calibri" w:hAnsi="Arial" w:cs="Arial"/>
          <w:bCs/>
          <w:sz w:val="22"/>
          <w:szCs w:val="24"/>
          <w:lang w:val="es-ES_tradnl" w:eastAsia="es-ES_tradnl"/>
        </w:rPr>
        <w:t xml:space="preserve">. En ese sentido, en virtud de esta potestad de configuración </w:t>
      </w:r>
      <w:r w:rsidRPr="00E62261">
        <w:rPr>
          <w:rFonts w:ascii="Arial" w:eastAsia="Calibri" w:hAnsi="Arial" w:cs="Arial"/>
          <w:bCs/>
          <w:sz w:val="22"/>
          <w:szCs w:val="24"/>
          <w:lang w:val="es-ES_tradnl" w:eastAsia="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62261">
        <w:rPr>
          <w:rFonts w:ascii="Arial" w:eastAsia="Calibri" w:hAnsi="Arial" w:cs="Arial"/>
          <w:szCs w:val="24"/>
          <w:vertAlign w:val="superscript"/>
          <w:lang w:val="es-CO" w:eastAsia="es-ES_tradnl"/>
        </w:rPr>
        <w:footnoteReference w:id="17"/>
      </w:r>
      <w:r w:rsidRPr="00E62261">
        <w:rPr>
          <w:rFonts w:ascii="Arial" w:eastAsia="Calibri" w:hAnsi="Arial" w:cs="Arial"/>
          <w:bCs/>
          <w:sz w:val="22"/>
          <w:szCs w:val="24"/>
          <w:lang w:val="es-ES_tradnl" w:eastAsia="es-ES_tradnl"/>
        </w:rPr>
        <w:t>.</w:t>
      </w:r>
    </w:p>
    <w:p w14:paraId="57F241B3" w14:textId="77777777" w:rsidR="00E62261" w:rsidRPr="00E62261" w:rsidRDefault="00E62261" w:rsidP="00E62261">
      <w:pPr>
        <w:tabs>
          <w:tab w:val="left" w:pos="0"/>
        </w:tabs>
        <w:spacing w:before="120" w:after="120" w:line="276" w:lineRule="auto"/>
        <w:ind w:firstLine="709"/>
        <w:jc w:val="both"/>
        <w:rPr>
          <w:rFonts w:ascii="Arial" w:eastAsia="Times New Roman" w:hAnsi="Arial" w:cs="Arial"/>
          <w:sz w:val="22"/>
          <w:lang w:val="es-CO" w:eastAsia="es-ES_tradnl"/>
        </w:rPr>
      </w:pPr>
      <w:r w:rsidRPr="00E62261">
        <w:rPr>
          <w:rFonts w:ascii="Arial" w:eastAsia="Calibri" w:hAnsi="Arial" w:cs="Arial"/>
          <w:bCs/>
          <w:sz w:val="22"/>
          <w:lang w:val="es-ES_tradnl" w:eastAsia="es-ES_tradnl"/>
        </w:rPr>
        <w:t>De acuerdo con esta interpretación restrictiva</w:t>
      </w:r>
      <w:r w:rsidRPr="00E62261">
        <w:rPr>
          <w:rFonts w:ascii="Arial" w:eastAsia="Calibri" w:hAnsi="Arial" w:cs="Arial"/>
          <w:szCs w:val="24"/>
          <w:vertAlign w:val="superscript"/>
          <w:lang w:val="es-CO" w:eastAsia="es-ES_tradnl"/>
        </w:rPr>
        <w:footnoteReference w:id="18"/>
      </w:r>
      <w:r w:rsidRPr="00E62261">
        <w:rPr>
          <w:rFonts w:ascii="Arial" w:eastAsia="Calibri" w:hAnsi="Arial" w:cs="Arial"/>
          <w:bCs/>
          <w:sz w:val="22"/>
          <w:lang w:val="es-ES_tradnl" w:eastAsia="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62261">
        <w:rPr>
          <w:rFonts w:ascii="Arial" w:eastAsia="Calibri" w:hAnsi="Arial" w:cs="Arial"/>
          <w:bCs/>
          <w:i/>
          <w:iCs/>
          <w:sz w:val="22"/>
          <w:lang w:val="es-ES_tradnl" w:eastAsia="es-ES_tradnl"/>
        </w:rPr>
        <w:t xml:space="preserve">giro ordinario, </w:t>
      </w:r>
      <w:r w:rsidRPr="00E62261">
        <w:rPr>
          <w:rFonts w:ascii="Arial" w:eastAsia="Calibri" w:hAnsi="Arial" w:cs="Arial"/>
          <w:bCs/>
          <w:sz w:val="22"/>
          <w:lang w:val="es-ES_tradnl" w:eastAsia="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62261">
        <w:rPr>
          <w:rFonts w:ascii="Arial" w:eastAsia="Times New Roman" w:hAnsi="Arial" w:cs="Arial"/>
          <w:szCs w:val="24"/>
          <w:vertAlign w:val="superscript"/>
          <w:lang w:val="es-CO" w:eastAsia="es-ES_tradnl"/>
        </w:rPr>
        <w:footnoteReference w:id="19"/>
      </w:r>
      <w:r w:rsidRPr="00E62261">
        <w:rPr>
          <w:rFonts w:ascii="Arial" w:eastAsia="Calibri" w:hAnsi="Arial" w:cs="Arial"/>
          <w:bCs/>
          <w:sz w:val="22"/>
          <w:lang w:val="es-ES_tradnl" w:eastAsia="es-ES_tradnl"/>
        </w:rPr>
        <w:t>, al igual que la regla según la cual «</w:t>
      </w:r>
      <w:r w:rsidRPr="00E62261">
        <w:rPr>
          <w:rFonts w:ascii="Arial" w:eastAsia="Times New Roman" w:hAnsi="Arial" w:cs="Arial"/>
          <w:sz w:val="22"/>
          <w:lang w:val="es-CO" w:eastAsia="es-ES_tradnl"/>
        </w:rPr>
        <w:t>Lo favorable u odioso de una disposición no se tomará en cuenta para ampliar o restringir su interpretación»</w:t>
      </w:r>
      <w:r w:rsidRPr="00E62261">
        <w:rPr>
          <w:rFonts w:ascii="Arial" w:eastAsia="Times New Roman" w:hAnsi="Arial" w:cs="Arial"/>
          <w:szCs w:val="24"/>
          <w:vertAlign w:val="superscript"/>
          <w:lang w:val="es-CO" w:eastAsia="es-ES_tradnl"/>
        </w:rPr>
        <w:footnoteReference w:id="20"/>
      </w:r>
      <w:r w:rsidRPr="00E62261">
        <w:rPr>
          <w:rFonts w:ascii="Arial" w:eastAsia="Times New Roman" w:hAnsi="Arial" w:cs="Arial"/>
          <w:sz w:val="22"/>
          <w:lang w:val="es-CO" w:eastAsia="es-ES_tradnl"/>
        </w:rPr>
        <w:t xml:space="preserve">. </w:t>
      </w:r>
    </w:p>
    <w:p w14:paraId="03CF4EF7" w14:textId="77777777" w:rsidR="00E62261" w:rsidRPr="00E62261" w:rsidRDefault="00E62261" w:rsidP="00E62261">
      <w:pPr>
        <w:tabs>
          <w:tab w:val="left" w:pos="0"/>
        </w:tabs>
        <w:spacing w:before="120" w:after="120" w:line="276" w:lineRule="auto"/>
        <w:ind w:firstLine="709"/>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lastRenderedPageBreak/>
        <w:t xml:space="preserve">En conclusión, a juicio de esta Agencia lo dispuesto en el parágrafo del artículo 56 de la Ley 2195 de 2022, es una manifestación de la voluntad del Legislador de relevar a las </w:t>
      </w:r>
      <w:r w:rsidRPr="00E62261">
        <w:rPr>
          <w:rFonts w:ascii="Arial" w:eastAsia="Calibri" w:hAnsi="Arial" w:cs="Arial"/>
          <w:bCs/>
          <w:sz w:val="22"/>
          <w:lang w:val="es-ES_tradnl" w:eastAsia="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Esto significa que tales entidades, </w:t>
      </w:r>
      <w:r w:rsidRPr="00E62261">
        <w:rPr>
          <w:rFonts w:ascii="Arial" w:eastAsia="Calibri" w:hAnsi="Arial" w:cs="Arial"/>
          <w:bCs/>
          <w:sz w:val="22"/>
          <w:szCs w:val="24"/>
          <w:lang w:val="es-ES_tradnl" w:eastAsia="es-ES_tradnl"/>
        </w:rPr>
        <w:t xml:space="preserve">cuando, en desarrollo de un contrato o un convenio con una entidad sometida al EGCAP, requieran contratar un objeto cobijado por algún documento tipo, que no esté comprendido dentro de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7F16A9FB" w14:textId="28E7356C" w:rsidR="005636AC" w:rsidRDefault="005636AC" w:rsidP="005636AC">
      <w:pPr>
        <w:tabs>
          <w:tab w:val="left" w:pos="0"/>
        </w:tabs>
        <w:spacing w:line="276" w:lineRule="auto"/>
        <w:jc w:val="both"/>
        <w:rPr>
          <w:rFonts w:ascii="Arial" w:eastAsia="Calibri" w:hAnsi="Arial" w:cs="Arial"/>
          <w:bCs/>
          <w:sz w:val="22"/>
          <w:lang w:val="es-ES_tradnl"/>
        </w:rPr>
      </w:pPr>
    </w:p>
    <w:p w14:paraId="7E5F9ECA" w14:textId="6D799F2A" w:rsidR="00961964" w:rsidRPr="00FC3C59" w:rsidRDefault="00961964" w:rsidP="00961964">
      <w:pPr>
        <w:spacing w:line="276" w:lineRule="auto"/>
        <w:jc w:val="both"/>
        <w:rPr>
          <w:rFonts w:ascii="Arial" w:hAnsi="Arial" w:cs="Arial"/>
          <w:b/>
          <w:bCs/>
          <w:sz w:val="22"/>
        </w:rPr>
      </w:pPr>
      <w:r w:rsidRPr="00FC3C59">
        <w:rPr>
          <w:rFonts w:ascii="Arial" w:eastAsia="Calibri" w:hAnsi="Arial" w:cs="Arial"/>
          <w:b/>
          <w:bCs/>
          <w:color w:val="000000" w:themeColor="text1"/>
          <w:sz w:val="22"/>
        </w:rPr>
        <w:t>2.3.</w:t>
      </w:r>
      <w:r w:rsidRPr="00FC3C59">
        <w:rPr>
          <w:rFonts w:ascii="Arial" w:hAnsi="Arial" w:cs="Arial"/>
          <w:b/>
          <w:bCs/>
          <w:sz w:val="22"/>
        </w:rPr>
        <w:t xml:space="preserve"> Régimen contractual de las empresas prestadoras de servicios públicos domiciliarios</w:t>
      </w:r>
    </w:p>
    <w:p w14:paraId="355BADFC" w14:textId="77777777" w:rsidR="00961964" w:rsidRPr="00FC3C59" w:rsidRDefault="00961964" w:rsidP="00961964">
      <w:pPr>
        <w:spacing w:line="276" w:lineRule="auto"/>
        <w:jc w:val="both"/>
        <w:rPr>
          <w:rFonts w:ascii="Arial" w:hAnsi="Arial" w:cs="Arial"/>
          <w:b/>
          <w:bCs/>
          <w:sz w:val="22"/>
        </w:rPr>
      </w:pPr>
    </w:p>
    <w:p w14:paraId="0AF93CA0" w14:textId="77777777" w:rsidR="00CE321B" w:rsidRPr="00FC3C59" w:rsidRDefault="00CE321B" w:rsidP="00CE321B">
      <w:pPr>
        <w:spacing w:line="276" w:lineRule="auto"/>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FC3C59">
        <w:rPr>
          <w:rFonts w:ascii="Arial" w:eastAsia="Calibri" w:hAnsi="Arial" w:cs="Arial"/>
          <w:color w:val="000000"/>
          <w:sz w:val="22"/>
          <w:szCs w:val="24"/>
          <w:vertAlign w:val="superscript"/>
          <w:lang w:val="es-ES_tradnl" w:eastAsia="es-ES_tradnl"/>
        </w:rPr>
        <w:footnoteReference w:id="21"/>
      </w:r>
      <w:r w:rsidRPr="00FC3C59">
        <w:rPr>
          <w:rFonts w:ascii="Arial" w:eastAsia="Calibri" w:hAnsi="Arial" w:cs="Arial"/>
          <w:color w:val="000000"/>
          <w:sz w:val="22"/>
          <w:szCs w:val="24"/>
          <w:lang w:val="es-ES_tradnl" w:eastAsia="es-ES_tradnl"/>
        </w:rPr>
        <w:t>. En tal sentido, el artículo 365 de la Constitución dispone lo siguiente:</w:t>
      </w:r>
    </w:p>
    <w:p w14:paraId="169774A9" w14:textId="77777777" w:rsidR="00CE321B" w:rsidRPr="00FC3C59" w:rsidRDefault="00CE321B" w:rsidP="00CE321B">
      <w:pPr>
        <w:ind w:left="709" w:right="709"/>
        <w:jc w:val="both"/>
        <w:rPr>
          <w:rFonts w:ascii="Arial" w:eastAsia="Calibri" w:hAnsi="Arial" w:cs="Arial"/>
          <w:color w:val="000000"/>
          <w:sz w:val="21"/>
          <w:szCs w:val="21"/>
          <w:lang w:val="es-ES_tradnl" w:eastAsia="es-ES_tradnl"/>
        </w:rPr>
      </w:pPr>
    </w:p>
    <w:p w14:paraId="4B632327" w14:textId="77777777" w:rsidR="00CE321B" w:rsidRPr="00FC3C59" w:rsidRDefault="00CE321B" w:rsidP="00CE321B">
      <w:pPr>
        <w:spacing w:after="120"/>
        <w:ind w:left="709" w:right="709"/>
        <w:jc w:val="both"/>
        <w:rPr>
          <w:rFonts w:ascii="Arial" w:eastAsia="Calibri" w:hAnsi="Arial" w:cs="Arial"/>
          <w:color w:val="000000"/>
          <w:sz w:val="21"/>
          <w:szCs w:val="21"/>
          <w:lang w:val="es-ES_tradnl" w:eastAsia="es-ES_tradnl"/>
        </w:rPr>
      </w:pPr>
      <w:r w:rsidRPr="00FC3C59">
        <w:rPr>
          <w:rFonts w:ascii="Arial" w:eastAsia="Calibri" w:hAnsi="Arial" w:cs="Arial"/>
          <w:color w:val="000000"/>
          <w:sz w:val="21"/>
          <w:szCs w:val="21"/>
          <w:lang w:val="es-ES_tradnl" w:eastAsia="es-ES_tradnl"/>
        </w:rPr>
        <w:t>Los servicios públicos son inherentes a la finalidad social del Estado. Es deber del Estado asegurar su prestación eficiente a todos los habitantes del territorio nacional.</w:t>
      </w:r>
    </w:p>
    <w:p w14:paraId="35486C01" w14:textId="77777777" w:rsidR="00CE321B" w:rsidRPr="00FC3C59" w:rsidRDefault="00CE321B" w:rsidP="00CE321B">
      <w:pPr>
        <w:ind w:left="709" w:right="709"/>
        <w:jc w:val="both"/>
        <w:rPr>
          <w:rFonts w:ascii="Arial" w:eastAsia="Calibri" w:hAnsi="Arial" w:cs="Arial"/>
          <w:color w:val="000000"/>
          <w:sz w:val="21"/>
          <w:szCs w:val="21"/>
          <w:lang w:val="es-ES_tradnl" w:eastAsia="es-ES_tradnl"/>
        </w:rPr>
      </w:pPr>
      <w:r w:rsidRPr="00FC3C59">
        <w:rPr>
          <w:rFonts w:ascii="Arial" w:eastAsia="Calibri" w:hAnsi="Arial" w:cs="Arial"/>
          <w:color w:val="000000"/>
          <w:sz w:val="21"/>
          <w:szCs w:val="21"/>
          <w:lang w:val="es-ES_tradnl" w:eastAsia="es-ES_tradnl"/>
        </w:rPr>
        <w:lastRenderedPageBreak/>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36643E3A" w14:textId="77777777" w:rsidR="00CE321B" w:rsidRPr="00FC3C59" w:rsidRDefault="00CE321B" w:rsidP="00CE321B">
      <w:pPr>
        <w:spacing w:line="276" w:lineRule="auto"/>
        <w:ind w:firstLine="709"/>
        <w:jc w:val="both"/>
        <w:rPr>
          <w:rFonts w:ascii="Arial" w:eastAsia="Calibri" w:hAnsi="Arial" w:cs="Arial"/>
          <w:color w:val="000000"/>
          <w:sz w:val="22"/>
          <w:szCs w:val="24"/>
          <w:lang w:val="es-ES_tradnl" w:eastAsia="es-ES_tradnl"/>
        </w:rPr>
      </w:pPr>
    </w:p>
    <w:p w14:paraId="3EB40512" w14:textId="77777777" w:rsidR="00CE321B" w:rsidRPr="00FC3C59" w:rsidRDefault="00CE321B" w:rsidP="00CE321B">
      <w:pPr>
        <w:spacing w:line="276" w:lineRule="auto"/>
        <w:ind w:firstLine="709"/>
        <w:jc w:val="both"/>
        <w:rPr>
          <w:rFonts w:ascii="Arial" w:eastAsia="Calibri" w:hAnsi="Arial" w:cs="Arial"/>
          <w:color w:val="000000"/>
          <w:sz w:val="22"/>
          <w:szCs w:val="24"/>
          <w:lang w:val="es-ES_tradnl" w:eastAsia="es-ES_tradnl"/>
        </w:rPr>
      </w:pPr>
      <w:bookmarkStart w:id="4" w:name="_Hlk71791168"/>
      <w:r w:rsidRPr="00FC3C59">
        <w:rPr>
          <w:rFonts w:ascii="Arial" w:eastAsia="Calibri" w:hAnsi="Arial" w:cs="Arial"/>
          <w:color w:val="000000"/>
          <w:sz w:val="22"/>
          <w:bdr w:val="none" w:sz="0" w:space="0" w:color="auto" w:frame="1"/>
        </w:rPr>
        <w:t xml:space="preserve">Con base en este presupuesto constitucional de liberalización de los servicios públicos domiciliarios el legislador expidió la Ley 142 de 1994, mediante la cual se establece el régimen de los servicios públicos domiciliarios. </w:t>
      </w:r>
      <w:r w:rsidRPr="00FC3C59">
        <w:rPr>
          <w:rFonts w:ascii="Arial" w:eastAsia="Calibri" w:hAnsi="Arial" w:cs="Arial"/>
          <w:color w:val="000000"/>
          <w:sz w:val="22"/>
          <w:szCs w:val="24"/>
          <w:lang w:eastAsia="es-ES_tradnl"/>
        </w:rPr>
        <w:t>E</w:t>
      </w:r>
      <w:r w:rsidRPr="00FC3C59">
        <w:rPr>
          <w:rFonts w:ascii="Arial" w:eastAsia="Calibri" w:hAnsi="Arial" w:cs="Arial"/>
          <w:color w:val="000000"/>
          <w:sz w:val="22"/>
          <w:szCs w:val="24"/>
          <w:lang w:val="es-ES_tradnl" w:eastAsia="es-ES_tradnl"/>
        </w:rPr>
        <w:t xml:space="preserve">l </w:t>
      </w:r>
      <w:bookmarkStart w:id="5" w:name="_Hlk71294880"/>
      <w:r w:rsidRPr="00FC3C59">
        <w:rPr>
          <w:rFonts w:ascii="Arial" w:eastAsia="Calibri" w:hAnsi="Arial" w:cs="Arial"/>
          <w:color w:val="000000"/>
          <w:sz w:val="22"/>
          <w:szCs w:val="24"/>
          <w:lang w:val="es-ES_tradnl" w:eastAsia="es-ES_tradnl"/>
        </w:rPr>
        <w:t xml:space="preserve">artículo 15 </w:t>
      </w:r>
      <w:bookmarkStart w:id="6" w:name="_Hlk71296753"/>
      <w:bookmarkEnd w:id="5"/>
      <w:r w:rsidRPr="00FC3C59">
        <w:rPr>
          <w:rFonts w:ascii="Arial" w:eastAsia="Calibri" w:hAnsi="Arial" w:cs="Arial"/>
          <w:i/>
          <w:iCs/>
          <w:color w:val="000000"/>
          <w:sz w:val="22"/>
          <w:szCs w:val="24"/>
          <w:lang w:val="es-ES_tradnl" w:eastAsia="es-ES_tradnl"/>
        </w:rPr>
        <w:t>ibídem</w:t>
      </w:r>
      <w:r w:rsidRPr="00FC3C59">
        <w:rPr>
          <w:rFonts w:ascii="Arial" w:eastAsia="Calibri" w:hAnsi="Arial" w:cs="Arial"/>
          <w:color w:val="000000"/>
          <w:sz w:val="22"/>
          <w:szCs w:val="24"/>
          <w:lang w:val="es-ES_tradnl" w:eastAsia="es-ES_tradnl"/>
        </w:rPr>
        <w:t xml:space="preserve"> enuncia las </w:t>
      </w:r>
      <w:bookmarkStart w:id="7" w:name="_Hlk71294901"/>
      <w:r w:rsidRPr="00FC3C59">
        <w:rPr>
          <w:rFonts w:ascii="Arial" w:eastAsia="Calibri" w:hAnsi="Arial" w:cs="Arial"/>
          <w:color w:val="000000"/>
          <w:sz w:val="22"/>
          <w:szCs w:val="24"/>
          <w:lang w:val="es-ES_tradnl" w:eastAsia="es-ES_tradnl"/>
        </w:rPr>
        <w:t xml:space="preserve">personas autorizadas para prestar los servicios públicos domiciliarios: </w:t>
      </w:r>
      <w:bookmarkEnd w:id="7"/>
      <w:r w:rsidRPr="00FC3C59">
        <w:rPr>
          <w:rFonts w:ascii="Arial" w:eastAsia="Calibri" w:hAnsi="Arial" w:cs="Arial"/>
          <w:color w:val="000000"/>
          <w:sz w:val="22"/>
          <w:szCs w:val="24"/>
          <w:lang w:val="es-ES_tradnl" w:eastAsia="es-ES_tradnl"/>
        </w:rPr>
        <w:t>i) las empresas de servicios públicos, ii) los productores marginales, iii) los municipios, en ciertos casos, iv) las organizaciones autorizadas y v) las entidades descentralizadas que se encontraran prestándolos y cumplan los requisitos establecidos en la le</w:t>
      </w:r>
      <w:bookmarkEnd w:id="6"/>
      <w:r w:rsidRPr="00FC3C59">
        <w:rPr>
          <w:rFonts w:ascii="Arial" w:eastAsia="Calibri" w:hAnsi="Arial" w:cs="Arial"/>
          <w:color w:val="000000"/>
          <w:sz w:val="22"/>
          <w:szCs w:val="24"/>
          <w:lang w:val="es-ES_tradnl" w:eastAsia="es-ES_tradnl"/>
        </w:rPr>
        <w:t>y</w:t>
      </w:r>
      <w:bookmarkEnd w:id="4"/>
      <w:r w:rsidRPr="00FC3C59">
        <w:rPr>
          <w:rFonts w:ascii="Arial" w:eastAsia="Calibri" w:hAnsi="Arial" w:cs="Arial"/>
          <w:color w:val="000000"/>
          <w:sz w:val="22"/>
          <w:szCs w:val="24"/>
          <w:vertAlign w:val="superscript"/>
          <w:lang w:val="es-ES_tradnl" w:eastAsia="es-ES_tradnl"/>
        </w:rPr>
        <w:footnoteReference w:id="22"/>
      </w:r>
      <w:r w:rsidRPr="00FC3C59">
        <w:rPr>
          <w:rFonts w:ascii="Arial" w:eastAsia="Calibri" w:hAnsi="Arial" w:cs="Arial"/>
          <w:color w:val="000000"/>
          <w:sz w:val="22"/>
          <w:szCs w:val="24"/>
          <w:lang w:val="es-ES_tradnl" w:eastAsia="es-ES_tradnl"/>
        </w:rPr>
        <w:t>.</w:t>
      </w:r>
    </w:p>
    <w:p w14:paraId="1B3360C1" w14:textId="5CE48FCC" w:rsidR="00CE321B" w:rsidRPr="00FC3C59" w:rsidRDefault="00CE321B" w:rsidP="00CE321B">
      <w:pPr>
        <w:spacing w:before="120" w:line="276" w:lineRule="auto"/>
        <w:ind w:firstLine="709"/>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t>El artículo 14 de dicha Ley clasificó a las empresas de servicios públicos domiciliarios así: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1D137E18" w14:textId="6C463823" w:rsidR="00CE321B" w:rsidRPr="00FC3C59" w:rsidRDefault="00CE321B" w:rsidP="00CE321B">
      <w:pPr>
        <w:spacing w:before="120" w:line="276" w:lineRule="auto"/>
        <w:ind w:firstLine="709"/>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t>En lo que atañe específicamente al régimen de contratación, el artículo 31 de la Ley 142 de 1994, modificado por el artículo 3 de la Ley 689 de 2001, dispone que</w:t>
      </w:r>
      <w:r w:rsidRPr="00FC3C59">
        <w:rPr>
          <w:rFonts w:ascii="Arial" w:eastAsia="Calibri" w:hAnsi="Arial" w:cs="Arial"/>
          <w:color w:val="000000"/>
          <w:sz w:val="22"/>
          <w:bdr w:val="none" w:sz="0" w:space="0" w:color="auto" w:frame="1"/>
        </w:rPr>
        <w:t xml:space="preserve"> los contratos </w:t>
      </w:r>
      <w:r w:rsidRPr="00FC3C59">
        <w:rPr>
          <w:rFonts w:ascii="Arial" w:eastAsia="Calibri" w:hAnsi="Arial" w:cs="Arial"/>
          <w:color w:val="000000"/>
          <w:sz w:val="22"/>
          <w:bdr w:val="none" w:sz="0" w:space="0" w:color="auto" w:frame="1"/>
        </w:rPr>
        <w:lastRenderedPageBreak/>
        <w:t>que celebren las entidades estatales que prestan los servicios públicos domiciliarios «no estarán sujetos a las disposiciones del Estatuto General de Contratación de la Administración Pública, salvo en lo que la presente ley disponga otra cosa»</w:t>
      </w:r>
      <w:r w:rsidRPr="00FC3C59">
        <w:rPr>
          <w:rFonts w:ascii="Arial" w:eastAsia="Calibri" w:hAnsi="Arial" w:cs="Arial"/>
          <w:color w:val="000000"/>
          <w:sz w:val="22"/>
          <w:szCs w:val="24"/>
          <w:lang w:val="es-ES_tradnl" w:eastAsia="es-ES_tradnl"/>
        </w:rPr>
        <w:t xml:space="preserve">. Por su parte, el artículo 32 de la Ley 142 consagra el régimen de derecho privado para las empresas de servicios públicos domiciliarios, indicando que sus actos se rigen por </w:t>
      </w:r>
      <w:r w:rsidR="00D0776D" w:rsidRPr="00FC3C59">
        <w:rPr>
          <w:rFonts w:ascii="Arial" w:eastAsia="Calibri" w:hAnsi="Arial" w:cs="Arial"/>
          <w:color w:val="000000"/>
          <w:sz w:val="22"/>
          <w:szCs w:val="24"/>
          <w:lang w:val="es-ES_tradnl" w:eastAsia="es-ES_tradnl"/>
        </w:rPr>
        <w:t>las</w:t>
      </w:r>
      <w:r w:rsidRPr="00FC3C59">
        <w:rPr>
          <w:rFonts w:ascii="Arial" w:eastAsia="Calibri" w:hAnsi="Arial" w:cs="Arial"/>
          <w:color w:val="000000"/>
          <w:sz w:val="22"/>
          <w:szCs w:val="24"/>
          <w:lang w:val="es-ES_tradnl" w:eastAsia="es-ES_tradnl"/>
        </w:rPr>
        <w:t xml:space="preserve"> reglas </w:t>
      </w:r>
      <w:r w:rsidR="00D0776D" w:rsidRPr="00FC3C59">
        <w:rPr>
          <w:rFonts w:ascii="Arial" w:eastAsia="Calibri" w:hAnsi="Arial" w:cs="Arial"/>
          <w:color w:val="000000"/>
          <w:sz w:val="22"/>
          <w:szCs w:val="24"/>
          <w:lang w:val="es-ES_tradnl" w:eastAsia="es-ES_tradnl"/>
        </w:rPr>
        <w:t>del derecho privado</w:t>
      </w:r>
      <w:r w:rsidRPr="00FC3C59">
        <w:rPr>
          <w:rFonts w:ascii="Arial" w:eastAsia="Calibri" w:hAnsi="Arial" w:cs="Arial"/>
          <w:color w:val="000000"/>
          <w:sz w:val="22"/>
          <w:szCs w:val="24"/>
          <w:vertAlign w:val="superscript"/>
          <w:lang w:val="es-ES_tradnl" w:eastAsia="es-ES_tradnl"/>
        </w:rPr>
        <w:footnoteReference w:id="23"/>
      </w:r>
      <w:r w:rsidRPr="00FC3C59">
        <w:rPr>
          <w:rFonts w:ascii="Arial" w:eastAsia="Calibri" w:hAnsi="Arial" w:cs="Arial"/>
          <w:color w:val="000000"/>
          <w:sz w:val="22"/>
          <w:szCs w:val="24"/>
          <w:lang w:val="es-ES_tradnl" w:eastAsia="es-ES_tradnl"/>
        </w:rPr>
        <w:t>.</w:t>
      </w:r>
    </w:p>
    <w:p w14:paraId="0FD9181E" w14:textId="77777777" w:rsidR="00CE321B" w:rsidRPr="00FC3C59" w:rsidRDefault="00CE321B" w:rsidP="00CE321B">
      <w:pPr>
        <w:spacing w:before="120" w:line="276" w:lineRule="auto"/>
        <w:ind w:firstLine="709"/>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FC3C59">
        <w:rPr>
          <w:rFonts w:ascii="Arial" w:eastAsia="Calibri" w:hAnsi="Arial" w:cs="Arial"/>
          <w:color w:val="000000"/>
          <w:sz w:val="21"/>
          <w:szCs w:val="21"/>
          <w:vertAlign w:val="superscript"/>
          <w:lang w:val="es-ES_tradnl" w:eastAsia="es-ES_tradnl"/>
        </w:rPr>
        <w:footnoteReference w:id="24"/>
      </w:r>
      <w:r w:rsidRPr="00FC3C59">
        <w:rPr>
          <w:rFonts w:ascii="Arial" w:eastAsia="Calibri" w:hAnsi="Arial" w:cs="Arial"/>
          <w:color w:val="000000"/>
          <w:sz w:val="21"/>
          <w:szCs w:val="21"/>
          <w:lang w:val="es-ES_tradnl" w:eastAsia="es-ES_tradnl"/>
        </w:rPr>
        <w:t>.</w:t>
      </w:r>
      <w:r w:rsidRPr="00FC3C59">
        <w:rPr>
          <w:rFonts w:ascii="Arial" w:eastAsia="Calibri" w:hAnsi="Arial" w:cs="Arial"/>
          <w:color w:val="000000"/>
          <w:sz w:val="22"/>
          <w:szCs w:val="24"/>
          <w:lang w:val="es-ES_tradnl" w:eastAsia="es-ES_tradnl"/>
        </w:rPr>
        <w:t xml:space="preserve"> En otras palabras, </w:t>
      </w:r>
      <w:bookmarkStart w:id="8" w:name="_Hlk71653647"/>
      <w:r w:rsidRPr="00FC3C59">
        <w:rPr>
          <w:rFonts w:ascii="Arial" w:eastAsia="Calibri" w:hAnsi="Arial" w:cs="Arial"/>
          <w:color w:val="000000"/>
          <w:sz w:val="22"/>
          <w:szCs w:val="24"/>
          <w:lang w:val="es-ES_tradnl" w:eastAsia="es-ES_tradnl"/>
        </w:rPr>
        <w:t xml:space="preserve">las empresas prestadoras de servicios públicos domiciliarios </w:t>
      </w:r>
      <w:bookmarkStart w:id="9" w:name="_Hlk71738505"/>
      <w:r w:rsidRPr="00FC3C59">
        <w:rPr>
          <w:rFonts w:ascii="Arial" w:eastAsia="Calibri" w:hAnsi="Arial" w:cs="Arial"/>
          <w:color w:val="000000"/>
          <w:sz w:val="22"/>
          <w:szCs w:val="24"/>
          <w:lang w:val="es-ES_tradnl" w:eastAsia="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8"/>
    <w:bookmarkEnd w:id="9"/>
    <w:p w14:paraId="167EEF9F" w14:textId="48B6479C" w:rsidR="00CE321B" w:rsidRPr="00FC3C59" w:rsidRDefault="00CE321B" w:rsidP="00CE321B">
      <w:pPr>
        <w:spacing w:before="120" w:line="276" w:lineRule="auto"/>
        <w:ind w:firstLine="709"/>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t>Lo anterior no significa que la actividad contractual de las empresas prestadoras de servicios públicos domiciliarios se rija por un «derecho privado puro», pues este se encuentra irrigado por los principios de la función administrativa y de la gestión fiscal, previstos en los artículos 209 y 267 de la Constitución, toda vez que así lo dispone el artículo 13 de la Ley 1150 de 2007</w:t>
      </w:r>
      <w:r w:rsidRPr="00FC3C59">
        <w:rPr>
          <w:rFonts w:ascii="Arial" w:eastAsia="Calibri" w:hAnsi="Arial" w:cs="Arial"/>
          <w:color w:val="000000"/>
          <w:sz w:val="22"/>
          <w:szCs w:val="24"/>
          <w:vertAlign w:val="superscript"/>
          <w:lang w:val="es-ES_tradnl" w:eastAsia="es-ES_tradnl"/>
        </w:rPr>
        <w:footnoteReference w:id="25"/>
      </w:r>
      <w:r w:rsidRPr="00FC3C59">
        <w:rPr>
          <w:rFonts w:ascii="Arial" w:eastAsia="Calibri" w:hAnsi="Arial" w:cs="Arial"/>
          <w:color w:val="000000"/>
          <w:sz w:val="22"/>
          <w:szCs w:val="24"/>
          <w:lang w:val="es-ES_tradnl" w:eastAsia="es-ES_tradnl"/>
        </w:rPr>
        <w:t>.</w:t>
      </w:r>
    </w:p>
    <w:p w14:paraId="13E61A45" w14:textId="55D68D29" w:rsidR="00CE321B" w:rsidRPr="00FC3C59" w:rsidRDefault="00CE321B" w:rsidP="00CE321B">
      <w:pPr>
        <w:spacing w:before="120" w:line="276" w:lineRule="auto"/>
        <w:ind w:firstLine="709"/>
        <w:jc w:val="both"/>
        <w:rPr>
          <w:rFonts w:ascii="Arial" w:eastAsia="Calibri" w:hAnsi="Arial" w:cs="Arial"/>
          <w:color w:val="000000"/>
          <w:sz w:val="22"/>
          <w:szCs w:val="24"/>
          <w:lang w:val="es-ES_tradnl" w:eastAsia="es-ES_tradnl"/>
        </w:rPr>
      </w:pPr>
      <w:r w:rsidRPr="00FC3C59">
        <w:rPr>
          <w:rFonts w:ascii="Arial" w:eastAsia="Calibri" w:hAnsi="Arial" w:cs="Arial"/>
          <w:color w:val="000000"/>
          <w:sz w:val="22"/>
          <w:szCs w:val="24"/>
          <w:lang w:val="es-ES_tradnl" w:eastAsia="es-ES_tradnl"/>
        </w:rPr>
        <w:lastRenderedPageBreak/>
        <w:t xml:space="preserve">En armonía con lo anterior, </w:t>
      </w:r>
      <w:r w:rsidR="001672CE" w:rsidRPr="00FC3C59">
        <w:rPr>
          <w:rFonts w:ascii="Arial" w:eastAsia="Calibri" w:hAnsi="Arial" w:cs="Arial"/>
          <w:color w:val="000000"/>
          <w:sz w:val="22"/>
          <w:szCs w:val="24"/>
          <w:lang w:val="es-ES_tradnl" w:eastAsia="es-ES_tradnl"/>
        </w:rPr>
        <w:t>al contar las empresas de servicios públicos domiciliarios con un régimen contractual distinto al establecido en el Estatuto General de Contratación de la Administración Pública</w:t>
      </w:r>
      <w:r w:rsidR="0083053B" w:rsidRPr="00FC3C59">
        <w:rPr>
          <w:rFonts w:ascii="Arial" w:eastAsia="Calibri" w:hAnsi="Arial" w:cs="Arial"/>
          <w:color w:val="000000"/>
          <w:sz w:val="22"/>
          <w:szCs w:val="24"/>
          <w:lang w:val="es-ES_tradnl" w:eastAsia="es-ES_tradnl"/>
        </w:rPr>
        <w:t xml:space="preserve">, esto es, al regirse por el derecho privado, serán destinatarias de los documentos tipo con fundamento en el artículo 56 de la Ley 2195 de 2022, siempre que se cumplan con los presupuestos para su aplicación, de conformidad con las explicaciones realizadas en este concepto respecto al contenido de dicha disposición. </w:t>
      </w:r>
    </w:p>
    <w:p w14:paraId="58513EA0" w14:textId="77777777" w:rsidR="00961964" w:rsidRPr="00FC3C59" w:rsidRDefault="00961964" w:rsidP="00961964">
      <w:pPr>
        <w:tabs>
          <w:tab w:val="left" w:pos="0"/>
        </w:tabs>
        <w:spacing w:line="276" w:lineRule="auto"/>
        <w:jc w:val="both"/>
        <w:rPr>
          <w:rFonts w:ascii="Arial" w:eastAsia="Calibri" w:hAnsi="Arial" w:cs="Arial"/>
          <w:bCs/>
          <w:sz w:val="22"/>
          <w:lang w:val="es-ES_tradnl"/>
        </w:rPr>
      </w:pPr>
    </w:p>
    <w:p w14:paraId="678E5196" w14:textId="56D10B2A" w:rsidR="00915830" w:rsidRPr="00FC3C59" w:rsidRDefault="00915830" w:rsidP="005636AC">
      <w:pPr>
        <w:tabs>
          <w:tab w:val="left" w:pos="0"/>
        </w:tabs>
        <w:spacing w:line="276" w:lineRule="auto"/>
        <w:jc w:val="both"/>
        <w:rPr>
          <w:rFonts w:ascii="Arial" w:eastAsia="Calibri" w:hAnsi="Arial" w:cs="Arial"/>
          <w:bCs/>
          <w:sz w:val="22"/>
          <w:lang w:val="es-ES_tradnl"/>
        </w:rPr>
      </w:pPr>
      <w:r w:rsidRPr="00FC3C59">
        <w:rPr>
          <w:rFonts w:ascii="Arial" w:eastAsia="Calibri" w:hAnsi="Arial" w:cs="Arial"/>
          <w:b/>
          <w:sz w:val="22"/>
          <w:lang w:val="es-ES_tradnl"/>
        </w:rPr>
        <w:t>3. Respuesta</w:t>
      </w:r>
    </w:p>
    <w:p w14:paraId="59DCD3EA" w14:textId="77777777" w:rsidR="00915830" w:rsidRPr="00FC3C59" w:rsidRDefault="00915830" w:rsidP="00915830">
      <w:pPr>
        <w:tabs>
          <w:tab w:val="left" w:pos="426"/>
        </w:tabs>
        <w:spacing w:line="276" w:lineRule="auto"/>
        <w:ind w:right="709"/>
        <w:jc w:val="both"/>
        <w:rPr>
          <w:rFonts w:ascii="Arial" w:eastAsia="Calibri" w:hAnsi="Arial" w:cs="Arial"/>
          <w:sz w:val="22"/>
          <w:lang w:val="es-ES_tradnl"/>
        </w:rPr>
      </w:pPr>
    </w:p>
    <w:p w14:paraId="38253EA9" w14:textId="77777777" w:rsidR="005636AC" w:rsidRPr="00FC3C59" w:rsidRDefault="005636AC" w:rsidP="005636AC">
      <w:pPr>
        <w:pStyle w:val="NormalWeb"/>
        <w:spacing w:before="0" w:beforeAutospacing="0" w:after="0" w:afterAutospacing="0"/>
        <w:ind w:left="709" w:right="709"/>
        <w:jc w:val="both"/>
        <w:rPr>
          <w:rFonts w:ascii="Arial" w:hAnsi="Arial" w:cs="Arial"/>
          <w:sz w:val="22"/>
          <w:szCs w:val="22"/>
        </w:rPr>
      </w:pPr>
      <w:r w:rsidRPr="00FC3C59">
        <w:rPr>
          <w:rFonts w:ascii="Arial" w:hAnsi="Arial" w:cs="Arial"/>
          <w:sz w:val="22"/>
          <w:szCs w:val="22"/>
        </w:rPr>
        <w:t>«¿Los pliegos tipo de agua y saneamiento, son obligatorios para una empresa de servicios públicos domiciliarios que tiene régimen especial para la contratación, bajo la aplicación del art. 56 de la Ley 2195 de 2022?»</w:t>
      </w:r>
    </w:p>
    <w:p w14:paraId="1A85AE80" w14:textId="77777777" w:rsidR="00915830" w:rsidRPr="00FC3C59" w:rsidRDefault="00915830" w:rsidP="00915830">
      <w:pPr>
        <w:tabs>
          <w:tab w:val="left" w:pos="426"/>
        </w:tabs>
        <w:spacing w:line="276" w:lineRule="auto"/>
        <w:ind w:right="709"/>
        <w:jc w:val="both"/>
        <w:rPr>
          <w:rFonts w:ascii="Arial" w:hAnsi="Arial" w:cs="Arial"/>
          <w:color w:val="000000" w:themeColor="text1"/>
          <w:sz w:val="22"/>
          <w:lang w:val="es-ES_tradnl"/>
        </w:rPr>
      </w:pPr>
    </w:p>
    <w:p w14:paraId="44DE25DD" w14:textId="183859AC" w:rsidR="00374D1B" w:rsidRPr="00FC3C59" w:rsidRDefault="00915830" w:rsidP="005636AC">
      <w:pPr>
        <w:tabs>
          <w:tab w:val="left" w:pos="426"/>
        </w:tabs>
        <w:spacing w:after="120" w:line="276" w:lineRule="auto"/>
        <w:jc w:val="both"/>
        <w:rPr>
          <w:rFonts w:ascii="Arial" w:hAnsi="Arial" w:cs="Arial"/>
          <w:sz w:val="22"/>
          <w:shd w:val="clear" w:color="auto" w:fill="FFFFFF"/>
          <w:lang w:val="es-ES_tradnl"/>
        </w:rPr>
      </w:pPr>
      <w:r w:rsidRPr="00FC3C59">
        <w:rPr>
          <w:rFonts w:ascii="Arial" w:eastAsia="Calibri" w:hAnsi="Arial" w:cs="Arial"/>
          <w:bCs/>
          <w:sz w:val="22"/>
          <w:lang w:val="es-ES_tradnl"/>
        </w:rPr>
        <w:t>De acuerdo con la</w:t>
      </w:r>
      <w:r w:rsidR="00DB67B0" w:rsidRPr="00FC3C59">
        <w:rPr>
          <w:rFonts w:ascii="Arial" w:eastAsia="Calibri" w:hAnsi="Arial" w:cs="Arial"/>
          <w:bCs/>
          <w:sz w:val="22"/>
          <w:lang w:val="es-ES_tradnl"/>
        </w:rPr>
        <w:t>s consideraciones</w:t>
      </w:r>
      <w:r w:rsidRPr="00FC3C59">
        <w:rPr>
          <w:rFonts w:ascii="Arial" w:eastAsia="Calibri" w:hAnsi="Arial" w:cs="Arial"/>
          <w:bCs/>
          <w:sz w:val="22"/>
          <w:lang w:val="es-ES_tradnl"/>
        </w:rPr>
        <w:t xml:space="preserve">, </w:t>
      </w:r>
      <w:r w:rsidR="005636AC" w:rsidRPr="00FC3C59">
        <w:rPr>
          <w:rFonts w:ascii="Arial" w:eastAsia="Calibri" w:hAnsi="Arial" w:cs="Arial"/>
          <w:color w:val="000000" w:themeColor="text1"/>
          <w:sz w:val="22"/>
        </w:rPr>
        <w:t>e</w:t>
      </w:r>
      <w:r w:rsidRPr="00FC3C59">
        <w:rPr>
          <w:rFonts w:ascii="Arial" w:hAnsi="Arial" w:cs="Arial"/>
          <w:sz w:val="22"/>
          <w:shd w:val="clear" w:color="auto" w:fill="FFFFFF"/>
          <w:lang w:val="es-ES_tradnl"/>
        </w:rPr>
        <w:t xml:space="preserv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w:t>
      </w:r>
    </w:p>
    <w:p w14:paraId="0065CB66" w14:textId="0A1B5E1D" w:rsidR="00DB67B0" w:rsidRPr="00FC3C59" w:rsidRDefault="00374D1B" w:rsidP="005636AC">
      <w:pPr>
        <w:tabs>
          <w:tab w:val="left" w:pos="426"/>
        </w:tabs>
        <w:spacing w:after="120" w:line="276" w:lineRule="auto"/>
        <w:jc w:val="both"/>
        <w:rPr>
          <w:rFonts w:ascii="Arial" w:eastAsia="Calibri" w:hAnsi="Arial" w:cs="Arial"/>
          <w:color w:val="000000" w:themeColor="text1"/>
          <w:sz w:val="22"/>
        </w:rPr>
      </w:pPr>
      <w:r w:rsidRPr="00FC3C59">
        <w:rPr>
          <w:rFonts w:ascii="Arial" w:hAnsi="Arial" w:cs="Arial"/>
          <w:sz w:val="22"/>
          <w:shd w:val="clear" w:color="auto" w:fill="FFFFFF"/>
          <w:lang w:val="es-ES_tradnl"/>
        </w:rPr>
        <w:tab/>
      </w:r>
      <w:r w:rsidRPr="00FC3C59">
        <w:rPr>
          <w:rFonts w:ascii="Arial" w:hAnsi="Arial" w:cs="Arial"/>
          <w:sz w:val="22"/>
          <w:shd w:val="clear" w:color="auto" w:fill="FFFFFF"/>
          <w:lang w:val="es-ES_tradnl"/>
        </w:rPr>
        <w:tab/>
      </w:r>
      <w:r w:rsidR="00DB67B0" w:rsidRPr="00FC3C59">
        <w:rPr>
          <w:rFonts w:ascii="Arial" w:hAnsi="Arial" w:cs="Arial"/>
          <w:sz w:val="22"/>
          <w:shd w:val="clear" w:color="auto" w:fill="FFFFFF"/>
          <w:lang w:val="es-ES_tradnl"/>
        </w:rPr>
        <w:t>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estos últimos también deberán aplicar documentos tipo, y en general, las disposiciones del Estatuto General de Contratación de la Administración Pública en los procedimientos de selección  y  los  contratos  que  realicen  en  desarrollo  de los anteriores negocios jurídicos.</w:t>
      </w:r>
    </w:p>
    <w:p w14:paraId="4C8C2D7E" w14:textId="260EE5F8" w:rsidR="00915830" w:rsidRPr="00FC3C59" w:rsidRDefault="00DB67B0" w:rsidP="00DB67B0">
      <w:pPr>
        <w:tabs>
          <w:tab w:val="left" w:pos="426"/>
        </w:tabs>
        <w:spacing w:after="120" w:line="276" w:lineRule="auto"/>
        <w:jc w:val="both"/>
        <w:rPr>
          <w:rFonts w:ascii="Arial" w:hAnsi="Arial" w:cs="Arial"/>
          <w:sz w:val="22"/>
          <w:shd w:val="clear" w:color="auto" w:fill="FFFFFF"/>
          <w:lang w:val="es-ES_tradnl"/>
        </w:rPr>
      </w:pPr>
      <w:r w:rsidRPr="00FC3C59">
        <w:rPr>
          <w:rFonts w:ascii="Arial" w:hAnsi="Arial" w:cs="Arial"/>
          <w:sz w:val="22"/>
          <w:shd w:val="clear" w:color="auto" w:fill="FFFFFF"/>
          <w:lang w:val="es-ES_tradnl"/>
        </w:rPr>
        <w:tab/>
      </w:r>
      <w:r w:rsidRPr="00FC3C59">
        <w:rPr>
          <w:rFonts w:ascii="Arial" w:hAnsi="Arial" w:cs="Arial"/>
          <w:sz w:val="22"/>
          <w:shd w:val="clear" w:color="auto" w:fill="FFFFFF"/>
          <w:lang w:val="es-ES_tradnl"/>
        </w:rPr>
        <w:tab/>
        <w:t>En este sentido</w:t>
      </w:r>
      <w:r w:rsidR="00915830" w:rsidRPr="00FC3C59">
        <w:rPr>
          <w:rFonts w:ascii="Arial" w:hAnsi="Arial" w:cs="Arial"/>
          <w:sz w:val="22"/>
          <w:shd w:val="clear" w:color="auto" w:fill="FFFFFF"/>
          <w:lang w:val="es-ES_tradnl"/>
        </w:rPr>
        <w:t xml:space="preserve">,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dado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w:t>
      </w:r>
      <w:r w:rsidR="00915830" w:rsidRPr="00FC3C59">
        <w:rPr>
          <w:rFonts w:ascii="Arial" w:hAnsi="Arial" w:cs="Arial"/>
          <w:sz w:val="22"/>
          <w:shd w:val="clear" w:color="auto" w:fill="FFFFFF"/>
          <w:lang w:val="es-ES_tradnl"/>
        </w:rPr>
        <w:lastRenderedPageBreak/>
        <w:t xml:space="preserve">una entidad sometida al Estatuto General, debe contratar una obra o servicio cobijado por algún documento tipo, </w:t>
      </w:r>
      <w:r w:rsidR="00915830" w:rsidRPr="00FC3C59">
        <w:rPr>
          <w:rFonts w:ascii="Arial" w:hAnsi="Arial" w:cs="Arial"/>
          <w:sz w:val="22"/>
          <w:lang w:val="es-ES_tradnl"/>
        </w:rPr>
        <w:t>estará obligada a</w:t>
      </w:r>
      <w:r w:rsidR="00915830" w:rsidRPr="00FC3C59">
        <w:rPr>
          <w:rFonts w:ascii="Arial" w:hAnsi="Arial" w:cs="Arial"/>
          <w:sz w:val="22"/>
          <w:shd w:val="clear" w:color="auto" w:fill="FFFFFF"/>
          <w:lang w:val="es-ES_tradnl"/>
        </w:rPr>
        <w:t xml:space="preserve"> hacerlo aplicando los mencionados documentos tipo, además de adelantar el </w:t>
      </w:r>
      <w:r w:rsidRPr="00FC3C59">
        <w:rPr>
          <w:rFonts w:ascii="Arial" w:hAnsi="Arial" w:cs="Arial"/>
          <w:sz w:val="22"/>
          <w:shd w:val="clear" w:color="auto" w:fill="FFFFFF"/>
          <w:lang w:val="es-ES_tradnl"/>
        </w:rPr>
        <w:t>p</w:t>
      </w:r>
      <w:r w:rsidR="00915830" w:rsidRPr="00FC3C59">
        <w:rPr>
          <w:rFonts w:ascii="Arial" w:hAnsi="Arial" w:cs="Arial"/>
          <w:sz w:val="22"/>
          <w:shd w:val="clear" w:color="auto" w:fill="FFFFFF"/>
          <w:lang w:val="es-ES_tradnl"/>
        </w:rPr>
        <w:t xml:space="preserve">roceso de </w:t>
      </w:r>
      <w:r w:rsidRPr="00FC3C59">
        <w:rPr>
          <w:rFonts w:ascii="Arial" w:hAnsi="Arial" w:cs="Arial"/>
          <w:sz w:val="22"/>
          <w:shd w:val="clear" w:color="auto" w:fill="FFFFFF"/>
          <w:lang w:val="es-ES_tradnl"/>
        </w:rPr>
        <w:t>c</w:t>
      </w:r>
      <w:r w:rsidR="00915830" w:rsidRPr="00FC3C59">
        <w:rPr>
          <w:rFonts w:ascii="Arial" w:hAnsi="Arial" w:cs="Arial"/>
          <w:sz w:val="22"/>
          <w:shd w:val="clear" w:color="auto" w:fill="FFFFFF"/>
          <w:lang w:val="es-ES_tradnl"/>
        </w:rPr>
        <w:t>ontratación y celebrar el contrato conforme al Estatuto General de Contratación de la Administración Públic</w:t>
      </w:r>
      <w:r w:rsidRPr="00FC3C59">
        <w:rPr>
          <w:rFonts w:ascii="Arial" w:hAnsi="Arial" w:cs="Arial"/>
          <w:sz w:val="22"/>
          <w:shd w:val="clear" w:color="auto" w:fill="FFFFFF"/>
          <w:lang w:val="es-ES_tradnl"/>
        </w:rPr>
        <w:t xml:space="preserve">a, </w:t>
      </w:r>
      <w:r w:rsidRPr="00FC3C59">
        <w:rPr>
          <w:rFonts w:ascii="Arial" w:eastAsia="Calibri" w:hAnsi="Arial" w:cs="Arial"/>
          <w:sz w:val="22"/>
          <w:lang w:val="es-ES" w:eastAsia="es-ES"/>
        </w:rPr>
        <w:t>todo lo anterior, siempre que exista un documento tipo aplicable al objeto a contratar.</w:t>
      </w:r>
      <w:r w:rsidR="00915830" w:rsidRPr="00FC3C59">
        <w:rPr>
          <w:rFonts w:ascii="Arial" w:hAnsi="Arial" w:cs="Arial"/>
          <w:sz w:val="22"/>
          <w:shd w:val="clear" w:color="auto" w:fill="FFFFFF"/>
          <w:lang w:val="es-ES_tradnl"/>
        </w:rPr>
        <w:t xml:space="preserve">  </w:t>
      </w:r>
    </w:p>
    <w:p w14:paraId="38BA1FDA" w14:textId="02F0A353" w:rsidR="00915830" w:rsidRPr="00FC3C59" w:rsidRDefault="00915830" w:rsidP="00DB67B0">
      <w:pPr>
        <w:spacing w:before="120" w:line="276" w:lineRule="auto"/>
        <w:ind w:firstLine="708"/>
        <w:jc w:val="both"/>
        <w:rPr>
          <w:rFonts w:ascii="Arial" w:hAnsi="Arial" w:cs="Arial"/>
          <w:sz w:val="22"/>
          <w:shd w:val="clear" w:color="auto" w:fill="FFFFFF"/>
          <w:lang w:val="es-ES_tradnl"/>
        </w:rPr>
      </w:pPr>
      <w:r w:rsidRPr="00FC3C59">
        <w:rPr>
          <w:rFonts w:ascii="Arial" w:hAnsi="Arial" w:cs="Arial"/>
          <w:sz w:val="22"/>
          <w:shd w:val="clear" w:color="auto" w:fill="FFFFFF"/>
          <w:lang w:val="es-ES_tradnl"/>
        </w:rPr>
        <w:t xml:space="preserve">No obstante, </w:t>
      </w:r>
      <w:r w:rsidR="00DB67B0" w:rsidRPr="00FC3C59">
        <w:rPr>
          <w:rFonts w:ascii="Arial" w:hAnsi="Arial" w:cs="Arial"/>
          <w:sz w:val="22"/>
          <w:shd w:val="clear" w:color="auto" w:fill="FFFFFF"/>
          <w:lang w:val="es-ES_tradnl"/>
        </w:rPr>
        <w:t xml:space="preserve">partiendo del esquema anterior, </w:t>
      </w:r>
      <w:r w:rsidRPr="00FC3C59">
        <w:rPr>
          <w:rFonts w:ascii="Arial" w:hAnsi="Arial" w:cs="Arial"/>
          <w:sz w:val="22"/>
          <w:shd w:val="clear" w:color="auto" w:fill="FFFFFF"/>
          <w:lang w:val="es-ES_tradnl"/>
        </w:rPr>
        <w:t xml:space="preserve">de conformidad con lo establecido en el parágrafo de dicha norma, </w:t>
      </w:r>
      <w:r w:rsidR="00DB67B0" w:rsidRPr="00FC3C59">
        <w:rPr>
          <w:rFonts w:ascii="Arial" w:hAnsi="Arial" w:cs="Arial"/>
          <w:sz w:val="22"/>
          <w:shd w:val="clear" w:color="auto" w:fill="FFFFFF"/>
          <w:lang w:val="es-ES_tradnl"/>
        </w:rPr>
        <w:t>«las Instituciones de Educación Superior públicas, las empresas sociales del Estado, las sociedades de economía mixta y las empresas industriales y comerciales del Estado»</w:t>
      </w:r>
      <w:r w:rsidRPr="00FC3C59">
        <w:rPr>
          <w:rFonts w:ascii="Arial" w:eastAsia="Calibri" w:hAnsi="Arial" w:cs="Arial"/>
          <w:bCs/>
          <w:sz w:val="22"/>
          <w:lang w:val="es-ES_tradnl"/>
        </w:rPr>
        <w:t>, están exceptuadas de la aplicación de lo</w:t>
      </w:r>
      <w:r w:rsidRPr="00FC3C59">
        <w:rPr>
          <w:rFonts w:ascii="Arial" w:hAnsi="Arial" w:cs="Arial"/>
          <w:sz w:val="22"/>
          <w:shd w:val="clear" w:color="auto" w:fill="FFFFFF"/>
          <w:lang w:val="es-ES_tradnl"/>
        </w:rPr>
        <w:t xml:space="preserve">s documentos tipo y del Estatuto General de Contratación de la Administración Pública, en la contratación relacionada con su </w:t>
      </w:r>
      <w:r w:rsidRPr="00FC3C59">
        <w:rPr>
          <w:rFonts w:ascii="Arial" w:hAnsi="Arial" w:cs="Arial"/>
          <w:i/>
          <w:iCs/>
          <w:sz w:val="22"/>
          <w:shd w:val="clear" w:color="auto" w:fill="FFFFFF"/>
          <w:lang w:val="es-ES_tradnl"/>
        </w:rPr>
        <w:t>giro ordinario</w:t>
      </w:r>
      <w:r w:rsidRPr="00FC3C59">
        <w:rPr>
          <w:rFonts w:ascii="Arial" w:hAnsi="Arial" w:cs="Arial"/>
          <w:sz w:val="22"/>
          <w:shd w:val="clear" w:color="auto" w:fill="FFFFFF"/>
          <w:lang w:val="es-ES_tradnl"/>
        </w:rPr>
        <w:t xml:space="preserve">. De acuerdo con lo señalado, en el marco del parágrafo del artículo 56, el </w:t>
      </w:r>
      <w:r w:rsidRPr="00FC3C59">
        <w:rPr>
          <w:rFonts w:ascii="Arial" w:hAnsi="Arial" w:cs="Arial"/>
          <w:i/>
          <w:iCs/>
          <w:sz w:val="22"/>
          <w:shd w:val="clear" w:color="auto" w:fill="FFFFFF"/>
          <w:lang w:val="es-ES_tradnl"/>
        </w:rPr>
        <w:t>giro ordinario</w:t>
      </w:r>
      <w:r w:rsidRPr="00FC3C59">
        <w:rPr>
          <w:rFonts w:ascii="Arial" w:hAnsi="Arial" w:cs="Arial"/>
          <w:sz w:val="22"/>
          <w:shd w:val="clear" w:color="auto" w:fill="FFFFFF"/>
          <w:lang w:val="es-ES_tradnl"/>
        </w:rPr>
        <w:t xml:space="preserve"> es un concepto jurídico indeterminado, </w:t>
      </w:r>
      <w:r w:rsidR="005739D5" w:rsidRPr="00FC3C59">
        <w:rPr>
          <w:rFonts w:ascii="Arial" w:hAnsi="Arial" w:cs="Arial"/>
          <w:sz w:val="22"/>
          <w:shd w:val="clear" w:color="auto" w:fill="FFFFFF"/>
          <w:lang w:val="es-ES_tradnl"/>
        </w:rPr>
        <w:t xml:space="preserve">cuya concreción debe realizarse en cada caso en particular, y </w:t>
      </w:r>
      <w:r w:rsidRPr="00FC3C59">
        <w:rPr>
          <w:rFonts w:ascii="Arial" w:hAnsi="Arial" w:cs="Arial"/>
          <w:sz w:val="22"/>
          <w:shd w:val="clear" w:color="auto" w:fill="FFFFFF"/>
          <w:lang w:val="es-ES_tradnl"/>
        </w:rPr>
        <w:t xml:space="preserve">que, de conformidad con la jurisprudencia contencioso-administrativa y el derecho societario, comprende todas aquellas actividades asociadas a la gestión habitual de una sociedad comercial, una empresa o una entidad pública, que guarden consonancia con su objeto social. </w:t>
      </w:r>
    </w:p>
    <w:p w14:paraId="0E2E8F4C" w14:textId="0AACF703" w:rsidR="005739D5" w:rsidRPr="00FC3C59" w:rsidRDefault="005739D5" w:rsidP="005739D5">
      <w:pPr>
        <w:spacing w:before="120" w:line="276" w:lineRule="auto"/>
        <w:ind w:firstLine="708"/>
        <w:jc w:val="both"/>
        <w:rPr>
          <w:rFonts w:ascii="Arial" w:hAnsi="Arial" w:cs="Arial"/>
          <w:sz w:val="22"/>
          <w:shd w:val="clear" w:color="auto" w:fill="FFFFFF"/>
          <w:lang w:val="es-ES_tradnl"/>
        </w:rPr>
      </w:pPr>
      <w:r w:rsidRPr="00FC3C59">
        <w:rPr>
          <w:rFonts w:ascii="Arial" w:hAnsi="Arial" w:cs="Arial"/>
          <w:sz w:val="22"/>
          <w:shd w:val="clear" w:color="auto" w:fill="FFFFFF"/>
          <w:lang w:val="es-ES_tradnl"/>
        </w:rPr>
        <w:t>De acuerdo con esto, el artículo 56 de la Ley 2195 de 2021, se limita a hacer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contratos o convenios con entidades sometidas</w:t>
      </w:r>
      <w:r w:rsidR="001F6B6F" w:rsidRPr="00FC3C59">
        <w:rPr>
          <w:rFonts w:ascii="Arial" w:hAnsi="Arial" w:cs="Arial"/>
          <w:sz w:val="22"/>
          <w:shd w:val="clear" w:color="auto" w:fill="FFFFFF"/>
          <w:lang w:val="es-ES_tradnl"/>
        </w:rPr>
        <w:t xml:space="preserve"> al EGCAP</w:t>
      </w:r>
      <w:r w:rsidRPr="00FC3C59">
        <w:rPr>
          <w:rFonts w:ascii="Arial" w:hAnsi="Arial" w:cs="Arial"/>
          <w:sz w:val="22"/>
          <w:shd w:val="clear" w:color="auto" w:fill="FFFFFF"/>
          <w:lang w:val="es-ES_tradnl"/>
        </w:rPr>
        <w:t>. Esto significa que la norma no modifica todo el régimen jurídico</w:t>
      </w:r>
      <w:r w:rsidR="001F6B6F" w:rsidRPr="00FC3C59">
        <w:rPr>
          <w:rFonts w:ascii="Arial" w:hAnsi="Arial" w:cs="Arial"/>
          <w:sz w:val="22"/>
          <w:shd w:val="clear" w:color="auto" w:fill="FFFFFF"/>
          <w:lang w:val="es-ES_tradnl"/>
        </w:rPr>
        <w:t xml:space="preserve"> contractual</w:t>
      </w:r>
      <w:r w:rsidRPr="00FC3C59">
        <w:rPr>
          <w:rFonts w:ascii="Arial" w:hAnsi="Arial" w:cs="Arial"/>
          <w:sz w:val="22"/>
          <w:shd w:val="clear" w:color="auto" w:fill="FFFFFF"/>
          <w:lang w:val="es-ES_tradnl"/>
        </w:rPr>
        <w:t xml:space="preserve"> de los mencionados tipos de entidades, sino que les aplica el régimen </w:t>
      </w:r>
      <w:r w:rsidR="001F6B6F" w:rsidRPr="00FC3C59">
        <w:rPr>
          <w:rFonts w:ascii="Arial" w:hAnsi="Arial" w:cs="Arial"/>
          <w:sz w:val="22"/>
          <w:shd w:val="clear" w:color="auto" w:fill="FFFFFF"/>
          <w:lang w:val="es-ES_tradnl"/>
        </w:rPr>
        <w:t xml:space="preserve">general </w:t>
      </w:r>
      <w:r w:rsidRPr="00FC3C59">
        <w:rPr>
          <w:rFonts w:ascii="Arial" w:hAnsi="Arial" w:cs="Arial"/>
          <w:sz w:val="22"/>
          <w:shd w:val="clear" w:color="auto" w:fill="FFFFFF"/>
          <w:lang w:val="es-ES_tradnl"/>
        </w:rPr>
        <w:t xml:space="preserve">de contratación estatal bajo las precisas circunstancias analizadas en este concepto.  </w:t>
      </w:r>
    </w:p>
    <w:p w14:paraId="4932289D" w14:textId="23061C62" w:rsidR="001078C5" w:rsidRPr="007A7AB8" w:rsidRDefault="00915830" w:rsidP="00FC3C59">
      <w:pPr>
        <w:tabs>
          <w:tab w:val="left" w:pos="0"/>
        </w:tabs>
        <w:spacing w:before="120" w:line="276" w:lineRule="auto"/>
        <w:jc w:val="both"/>
        <w:rPr>
          <w:rFonts w:ascii="Arial" w:eastAsia="Calibri" w:hAnsi="Arial" w:cs="Arial"/>
          <w:bCs/>
          <w:sz w:val="22"/>
          <w:lang w:val="es-ES_tradnl"/>
        </w:rPr>
      </w:pPr>
      <w:r w:rsidRPr="00FC3C59">
        <w:rPr>
          <w:rFonts w:ascii="Arial" w:eastAsia="Calibri" w:hAnsi="Arial" w:cs="Arial"/>
          <w:bCs/>
          <w:sz w:val="22"/>
          <w:lang w:val="es-ES_tradnl"/>
        </w:rPr>
        <w:tab/>
      </w:r>
      <w:r w:rsidR="005739D5" w:rsidRPr="00FC3C59">
        <w:rPr>
          <w:rFonts w:ascii="Arial" w:eastAsia="Calibri" w:hAnsi="Arial" w:cs="Arial"/>
          <w:bCs/>
          <w:sz w:val="22"/>
          <w:lang w:val="es-ES_tradnl"/>
        </w:rPr>
        <w:t xml:space="preserve">Ahora bien, </w:t>
      </w:r>
      <w:r w:rsidR="005739D5" w:rsidRPr="00FC3C59">
        <w:rPr>
          <w:rFonts w:ascii="Arial" w:eastAsia="Calibri" w:hAnsi="Arial" w:cs="Arial"/>
          <w:color w:val="000000"/>
          <w:sz w:val="22"/>
          <w:szCs w:val="24"/>
          <w:lang w:val="es-ES_tradnl" w:eastAsia="es-ES_tradnl"/>
        </w:rPr>
        <w:t>al contar las empresas de servicios públicos domiciliarios con un régimen contractual distinto al establecido en el Estatuto General de Contratación de la Administración Pública, esto es, al regirse por el derecho privado, serán destinatarias</w:t>
      </w:r>
      <w:r w:rsidR="001F6B6F" w:rsidRPr="00FC3C59">
        <w:rPr>
          <w:rFonts w:ascii="Arial" w:eastAsia="Calibri" w:hAnsi="Arial" w:cs="Arial"/>
          <w:color w:val="000000"/>
          <w:sz w:val="22"/>
          <w:szCs w:val="24"/>
          <w:lang w:val="es-ES_tradnl" w:eastAsia="es-ES_tradnl"/>
        </w:rPr>
        <w:t xml:space="preserve"> eventuales</w:t>
      </w:r>
      <w:r w:rsidR="005739D5" w:rsidRPr="00FC3C59">
        <w:rPr>
          <w:rFonts w:ascii="Arial" w:eastAsia="Calibri" w:hAnsi="Arial" w:cs="Arial"/>
          <w:color w:val="000000"/>
          <w:sz w:val="22"/>
          <w:szCs w:val="24"/>
          <w:lang w:val="es-ES_tradnl" w:eastAsia="es-ES_tradnl"/>
        </w:rPr>
        <w:t xml:space="preserve"> de los documentos tipo con fundamento en el artículo 56 de la Ley 2195 de 2022</w:t>
      </w:r>
      <w:r w:rsidR="00374D1B" w:rsidRPr="00FC3C59">
        <w:rPr>
          <w:rFonts w:ascii="Arial" w:eastAsia="Calibri" w:hAnsi="Arial" w:cs="Arial"/>
          <w:color w:val="000000"/>
          <w:sz w:val="22"/>
          <w:szCs w:val="24"/>
          <w:lang w:val="es-ES_tradnl" w:eastAsia="es-ES_tradnl"/>
        </w:rPr>
        <w:t>. Lo anterior,</w:t>
      </w:r>
      <w:r w:rsidR="005739D5" w:rsidRPr="00FC3C59">
        <w:rPr>
          <w:rFonts w:ascii="Arial" w:eastAsia="Calibri" w:hAnsi="Arial" w:cs="Arial"/>
          <w:color w:val="000000"/>
          <w:sz w:val="22"/>
          <w:szCs w:val="24"/>
          <w:lang w:val="es-ES_tradnl" w:eastAsia="es-ES_tradnl"/>
        </w:rPr>
        <w:t xml:space="preserve"> siempre que se cumplan con los presupuestos para su aplicación, de conformidad con las explicaciones realizadas en este concepto respecto al contenido de dicha disposición.</w:t>
      </w:r>
    </w:p>
    <w:p w14:paraId="4AE87F39" w14:textId="77777777" w:rsidR="00915830" w:rsidRPr="00987861" w:rsidRDefault="00915830" w:rsidP="00915830">
      <w:pPr>
        <w:pStyle w:val="NormalWeb"/>
        <w:spacing w:before="12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54658A51" w14:textId="77777777" w:rsidR="00915830" w:rsidRPr="00987861" w:rsidRDefault="00915830" w:rsidP="00915830">
      <w:pPr>
        <w:jc w:val="both"/>
        <w:rPr>
          <w:rFonts w:ascii="Arial" w:eastAsia="Calibri" w:hAnsi="Arial" w:cs="Arial"/>
          <w:sz w:val="22"/>
          <w:lang w:val="es-ES"/>
        </w:rPr>
      </w:pPr>
    </w:p>
    <w:p w14:paraId="567832BF" w14:textId="77777777" w:rsidR="00915830" w:rsidRDefault="00915830" w:rsidP="00915830">
      <w:pPr>
        <w:jc w:val="both"/>
        <w:rPr>
          <w:rFonts w:ascii="Arial" w:hAnsi="Arial" w:cs="Arial"/>
          <w:sz w:val="22"/>
          <w:lang w:val="es-ES" w:eastAsia="es-CO"/>
        </w:rPr>
      </w:pPr>
      <w:r w:rsidRPr="00987861">
        <w:rPr>
          <w:rFonts w:ascii="Arial" w:hAnsi="Arial" w:cs="Arial"/>
          <w:sz w:val="22"/>
          <w:lang w:val="es-ES" w:eastAsia="es-CO"/>
        </w:rPr>
        <w:t>Atentamente,</w:t>
      </w:r>
    </w:p>
    <w:p w14:paraId="5B689340" w14:textId="26B2DEA1" w:rsidR="00E55C5D" w:rsidRPr="007A7AB8" w:rsidRDefault="007A7AB8" w:rsidP="007A7AB8">
      <w:pPr>
        <w:jc w:val="center"/>
        <w:rPr>
          <w:rFonts w:ascii="Arial" w:hAnsi="Arial" w:cs="Arial"/>
          <w:sz w:val="22"/>
          <w:lang w:val="es-ES" w:eastAsia="es-CO"/>
        </w:rPr>
      </w:pPr>
      <w:r w:rsidRPr="009000E4">
        <w:rPr>
          <w:rFonts w:ascii="Arial" w:hAnsi="Arial" w:cs="Arial"/>
          <w:noProof/>
          <w:lang w:val="es-ES_tradnl" w:eastAsia="es-CO"/>
        </w:rPr>
        <w:lastRenderedPageBreak/>
        <w:drawing>
          <wp:inline distT="0" distB="0" distL="0" distR="0" wp14:anchorId="2222CD01" wp14:editId="74DEE98E">
            <wp:extent cx="2087251" cy="925032"/>
            <wp:effectExtent l="0" t="0" r="0" b="254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060" cy="930709"/>
                    </a:xfrm>
                    <a:prstGeom prst="rect">
                      <a:avLst/>
                    </a:prstGeom>
                    <a:noFill/>
                    <a:ln>
                      <a:noFill/>
                    </a:ln>
                  </pic:spPr>
                </pic:pic>
              </a:graphicData>
            </a:graphic>
          </wp:inline>
        </w:drawing>
      </w:r>
    </w:p>
    <w:p w14:paraId="489A2526" w14:textId="5C900196" w:rsidR="00E55C5D" w:rsidRDefault="00E55C5D" w:rsidP="00915830">
      <w:pPr>
        <w:rPr>
          <w:rFonts w:ascii="Arial" w:hAnsi="Arial" w:cs="Arial"/>
          <w:sz w:val="18"/>
          <w:szCs w:val="20"/>
          <w:lang w:val="es-ES" w:eastAsia="es-CO"/>
        </w:rPr>
      </w:pPr>
    </w:p>
    <w:p w14:paraId="1B99CF15" w14:textId="76AA0835" w:rsidR="00E55C5D" w:rsidRDefault="00E55C5D" w:rsidP="00915830">
      <w:pPr>
        <w:rPr>
          <w:rFonts w:ascii="Arial" w:hAnsi="Arial" w:cs="Arial"/>
          <w:sz w:val="18"/>
          <w:szCs w:val="20"/>
          <w:lang w:val="es-ES" w:eastAsia="es-CO"/>
        </w:rPr>
      </w:pPr>
    </w:p>
    <w:p w14:paraId="7409C034" w14:textId="77777777" w:rsidR="00E55C5D" w:rsidRDefault="00E55C5D" w:rsidP="00915830">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5830" w:rsidRPr="009F5860" w14:paraId="455C59FE" w14:textId="77777777" w:rsidTr="00E54AB5">
        <w:trPr>
          <w:trHeight w:val="315"/>
        </w:trPr>
        <w:tc>
          <w:tcPr>
            <w:tcW w:w="812" w:type="dxa"/>
            <w:vAlign w:val="center"/>
            <w:hideMark/>
          </w:tcPr>
          <w:p w14:paraId="32D4ED27"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D9ACAA2"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265C7E0C"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915830" w:rsidRPr="009F5860" w14:paraId="0D84D1AD" w14:textId="77777777" w:rsidTr="00E54AB5">
        <w:trPr>
          <w:trHeight w:val="330"/>
        </w:trPr>
        <w:tc>
          <w:tcPr>
            <w:tcW w:w="812" w:type="dxa"/>
            <w:vAlign w:val="center"/>
            <w:hideMark/>
          </w:tcPr>
          <w:p w14:paraId="02F531A1"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2209BF" w14:textId="6A8F7FED" w:rsidR="00915830" w:rsidRDefault="00C86A54" w:rsidP="00E54AB5">
            <w:pPr>
              <w:rPr>
                <w:rFonts w:ascii="Arial" w:hAnsi="Arial" w:cs="Arial"/>
                <w:sz w:val="16"/>
                <w:szCs w:val="16"/>
                <w:lang w:val="es-ES" w:eastAsia="es-ES"/>
              </w:rPr>
            </w:pPr>
            <w:r>
              <w:rPr>
                <w:rFonts w:ascii="Arial" w:hAnsi="Arial" w:cs="Arial"/>
                <w:sz w:val="16"/>
                <w:szCs w:val="16"/>
                <w:lang w:val="es-ES" w:eastAsia="es-ES"/>
              </w:rPr>
              <w:t>Sebastián Ramírez Grisales</w:t>
            </w:r>
          </w:p>
          <w:p w14:paraId="561C0F53" w14:textId="7D6A593D" w:rsidR="00C86A54" w:rsidRPr="009F5860" w:rsidRDefault="00C86A54" w:rsidP="00E54AB5">
            <w:pPr>
              <w:rPr>
                <w:rFonts w:ascii="Arial" w:hAnsi="Arial" w:cs="Arial"/>
                <w:sz w:val="16"/>
                <w:szCs w:val="16"/>
                <w:lang w:val="es-ES" w:eastAsia="es-ES"/>
              </w:rPr>
            </w:pPr>
            <w:r>
              <w:rPr>
                <w:rFonts w:ascii="Arial" w:hAnsi="Arial" w:cs="Arial"/>
                <w:sz w:val="16"/>
                <w:szCs w:val="16"/>
                <w:lang w:val="es-ES" w:eastAsia="es-ES"/>
              </w:rPr>
              <w:t xml:space="preserve">Contratista de la Subdirección de Gestión Contractual </w:t>
            </w:r>
          </w:p>
        </w:tc>
      </w:tr>
      <w:tr w:rsidR="00915830" w:rsidRPr="0008465D" w14:paraId="25E4FDE9" w14:textId="77777777" w:rsidTr="00E54AB5">
        <w:trPr>
          <w:trHeight w:val="300"/>
        </w:trPr>
        <w:tc>
          <w:tcPr>
            <w:tcW w:w="812" w:type="dxa"/>
            <w:vAlign w:val="center"/>
            <w:hideMark/>
          </w:tcPr>
          <w:p w14:paraId="3B6C8A40"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13C30" w14:textId="77777777" w:rsidR="00E55C5D" w:rsidRPr="00C01BE9" w:rsidRDefault="00E55C5D" w:rsidP="00E55C5D">
            <w:pPr>
              <w:rPr>
                <w:rFonts w:ascii="Arial" w:hAnsi="Arial" w:cs="Arial"/>
                <w:sz w:val="16"/>
                <w:szCs w:val="16"/>
                <w:lang w:eastAsia="es-ES"/>
              </w:rPr>
            </w:pPr>
            <w:r w:rsidRPr="00C01BE9">
              <w:rPr>
                <w:rFonts w:ascii="Arial" w:hAnsi="Arial" w:cs="Arial"/>
                <w:sz w:val="16"/>
                <w:szCs w:val="16"/>
                <w:lang w:eastAsia="es-ES"/>
              </w:rPr>
              <w:t>Jorge Augusto Tirado Navarro</w:t>
            </w:r>
          </w:p>
          <w:p w14:paraId="090BD487" w14:textId="490D222D" w:rsidR="00915830" w:rsidRPr="0008465D" w:rsidRDefault="00E55C5D" w:rsidP="00E54AB5">
            <w:pPr>
              <w:rPr>
                <w:rFonts w:ascii="Arial" w:hAnsi="Arial" w:cs="Arial"/>
                <w:sz w:val="16"/>
                <w:szCs w:val="16"/>
                <w:lang w:val="es-ES" w:eastAsia="es-ES"/>
              </w:rPr>
            </w:pPr>
            <w:r w:rsidRPr="00C01BE9">
              <w:rPr>
                <w:rFonts w:ascii="Arial" w:hAnsi="Arial" w:cs="Arial"/>
                <w:sz w:val="16"/>
                <w:szCs w:val="16"/>
                <w:lang w:eastAsia="es-ES"/>
              </w:rPr>
              <w:t>Subdirector de Gestión Contractual ANCP – CCE</w:t>
            </w:r>
          </w:p>
        </w:tc>
      </w:tr>
    </w:tbl>
    <w:p w14:paraId="6D3A2DFB" w14:textId="77777777" w:rsidR="00915830" w:rsidRDefault="00915830"/>
    <w:sectPr w:rsidR="00915830"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DAF6" w14:textId="77777777" w:rsidR="0030640E" w:rsidRDefault="0030640E" w:rsidP="00915830">
      <w:r>
        <w:separator/>
      </w:r>
    </w:p>
  </w:endnote>
  <w:endnote w:type="continuationSeparator" w:id="0">
    <w:p w14:paraId="6A153626" w14:textId="77777777" w:rsidR="0030640E" w:rsidRDefault="0030640E" w:rsidP="009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FF95" w14:textId="77777777" w:rsidR="000A47AF" w:rsidRDefault="0030640E" w:rsidP="00322937">
    <w:pPr>
      <w:pStyle w:val="Sinespaciado"/>
      <w:jc w:val="right"/>
      <w:rPr>
        <w:rFonts w:ascii="Arial" w:hAnsi="Arial" w:cs="Arial"/>
        <w:sz w:val="18"/>
        <w:szCs w:val="18"/>
      </w:rPr>
    </w:pPr>
  </w:p>
  <w:p w14:paraId="397BE640" w14:textId="77777777" w:rsidR="000A47AF" w:rsidRPr="008217B7" w:rsidRDefault="00BB65E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613CE709" w14:textId="77777777" w:rsidR="000A47AF" w:rsidRDefault="00BB65EC" w:rsidP="00322937">
    <w:pPr>
      <w:pStyle w:val="Piedepgina"/>
      <w:jc w:val="center"/>
      <w:rPr>
        <w:lang w:val="es-ES"/>
      </w:rPr>
    </w:pPr>
    <w:r>
      <w:rPr>
        <w:noProof/>
      </w:rPr>
      <w:drawing>
        <wp:inline distT="0" distB="0" distL="0" distR="0" wp14:anchorId="4FFE264D" wp14:editId="6410255F">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878308A" w14:textId="77777777" w:rsidR="000A47AF" w:rsidRDefault="0030640E" w:rsidP="007B0854">
    <w:pPr>
      <w:pStyle w:val="Piedepgina"/>
      <w:jc w:val="center"/>
      <w:rPr>
        <w:lang w:val="es-ES"/>
      </w:rPr>
    </w:pPr>
  </w:p>
  <w:p w14:paraId="35EB0A08" w14:textId="77777777" w:rsidR="000A47AF" w:rsidRPr="007B0854" w:rsidRDefault="0030640E" w:rsidP="007B0854">
    <w:pPr>
      <w:pStyle w:val="Piedepgina"/>
      <w:jc w:val="center"/>
      <w:rPr>
        <w:lang w:val="es-ES"/>
      </w:rPr>
    </w:pPr>
  </w:p>
  <w:p w14:paraId="1E911C55" w14:textId="77777777" w:rsidR="00183D77" w:rsidRDefault="00306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0838" w14:textId="77777777" w:rsidR="0030640E" w:rsidRDefault="0030640E" w:rsidP="00915830">
      <w:r>
        <w:separator/>
      </w:r>
    </w:p>
  </w:footnote>
  <w:footnote w:type="continuationSeparator" w:id="0">
    <w:p w14:paraId="582F0E2E" w14:textId="77777777" w:rsidR="0030640E" w:rsidRDefault="0030640E" w:rsidP="00915830">
      <w:r>
        <w:continuationSeparator/>
      </w:r>
    </w:p>
  </w:footnote>
  <w:footnote w:id="1">
    <w:p w14:paraId="35CD7879"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0A47BBC3" w14:textId="77777777" w:rsidR="00D05947" w:rsidRPr="00D05947" w:rsidRDefault="00D05947" w:rsidP="00915830">
      <w:pPr>
        <w:pStyle w:val="Textonotapie"/>
        <w:ind w:firstLine="709"/>
        <w:jc w:val="both"/>
        <w:rPr>
          <w:rFonts w:ascii="Arial" w:hAnsi="Arial" w:cs="Arial"/>
          <w:color w:val="000000" w:themeColor="text1"/>
          <w:sz w:val="19"/>
          <w:szCs w:val="19"/>
        </w:rPr>
      </w:pPr>
    </w:p>
    <w:p w14:paraId="26937E85" w14:textId="330CB9FC"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w:t>
      </w:r>
      <w:r w:rsidRPr="00D05947">
        <w:rPr>
          <w:rFonts w:ascii="Arial" w:hAnsi="Arial" w:cs="Arial"/>
          <w:color w:val="000000" w:themeColor="text1"/>
          <w:sz w:val="19"/>
          <w:szCs w:val="19"/>
          <w:lang w:val="es-CO"/>
        </w:rPr>
        <w:t xml:space="preserve">Ley 1882 de 2018: «Artículo 4. </w:t>
      </w:r>
      <w:r w:rsidRPr="00D05947">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3696F84"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r w:rsidRPr="00D05947">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EE7BB18"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r w:rsidRPr="00D05947">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3">
    <w:p w14:paraId="1B018500"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24581F74"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Ley 2022 de 2020: «</w:t>
      </w:r>
      <w:r w:rsidRPr="00D05947">
        <w:rPr>
          <w:rStyle w:val="Textoennegrita"/>
          <w:rFonts w:ascii="Arial" w:hAnsi="Arial" w:cs="Arial"/>
          <w:b w:val="0"/>
          <w:bCs w:val="0"/>
          <w:color w:val="000000" w:themeColor="text1"/>
          <w:sz w:val="19"/>
          <w:szCs w:val="19"/>
        </w:rPr>
        <w:t>Artículo 1º.</w:t>
      </w:r>
      <w:r w:rsidRPr="00D05947">
        <w:rPr>
          <w:rFonts w:ascii="Arial" w:hAnsi="Arial" w:cs="Arial"/>
          <w:color w:val="000000" w:themeColor="text1"/>
          <w:sz w:val="19"/>
          <w:szCs w:val="19"/>
        </w:rPr>
        <w:t> Modifíquese el artículo 4º de la Ley 1882 de 2018, el cual quedará así: </w:t>
      </w:r>
    </w:p>
    <w:p w14:paraId="63BB5F6F"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Style w:val="Textoennegrita"/>
          <w:rFonts w:ascii="Arial" w:hAnsi="Arial" w:cs="Arial"/>
          <w:b w:val="0"/>
          <w:bCs w:val="0"/>
          <w:color w:val="000000" w:themeColor="text1"/>
          <w:sz w:val="19"/>
          <w:szCs w:val="19"/>
        </w:rPr>
        <w:t>»Artículo 4º.</w:t>
      </w:r>
      <w:r w:rsidRPr="00D05947">
        <w:rPr>
          <w:rFonts w:ascii="Arial" w:hAnsi="Arial" w:cs="Arial"/>
          <w:color w:val="000000" w:themeColor="text1"/>
          <w:sz w:val="19"/>
          <w:szCs w:val="19"/>
        </w:rPr>
        <w:t> Adiciónese el siguiente parágrafo al artículo 2º de la Ley 1150 de 2007. </w:t>
      </w:r>
    </w:p>
    <w:p w14:paraId="26490B4E"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Style w:val="Textoennegrita"/>
          <w:rFonts w:ascii="Arial" w:hAnsi="Arial" w:cs="Arial"/>
          <w:b w:val="0"/>
          <w:bCs w:val="0"/>
          <w:color w:val="000000" w:themeColor="text1"/>
          <w:sz w:val="19"/>
          <w:szCs w:val="19"/>
        </w:rPr>
        <w:t>»Parágrafo 7º.</w:t>
      </w:r>
      <w:r w:rsidRPr="00D05947">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B436AFA"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46BE923"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ADBC844"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C9ECFC3"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53955DCE"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D05947">
        <w:rPr>
          <w:rFonts w:ascii="Arial" w:hAnsi="Arial" w:cs="Arial"/>
          <w:color w:val="000000" w:themeColor="text1"/>
          <w:sz w:val="19"/>
          <w:szCs w:val="19"/>
        </w:rPr>
        <w:cr/>
      </w:r>
    </w:p>
  </w:footnote>
  <w:footnote w:id="6">
    <w:p w14:paraId="243C8C3E"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w:t>
      </w:r>
      <w:r w:rsidRPr="00D05947">
        <w:rPr>
          <w:rStyle w:val="Textoennegrita"/>
          <w:rFonts w:ascii="Arial" w:hAnsi="Arial" w:cs="Arial"/>
          <w:b w:val="0"/>
          <w:bCs w:val="0"/>
          <w:color w:val="000000"/>
          <w:sz w:val="19"/>
          <w:szCs w:val="19"/>
        </w:rPr>
        <w:t>Artículo 2°.</w:t>
      </w:r>
      <w:r w:rsidRPr="00D05947">
        <w:rPr>
          <w:rStyle w:val="nfasis"/>
          <w:rFonts w:ascii="Arial" w:hAnsi="Arial" w:cs="Arial"/>
          <w:color w:val="000000"/>
          <w:sz w:val="19"/>
          <w:szCs w:val="19"/>
        </w:rPr>
        <w:t>De las modalidades de selección. </w:t>
      </w:r>
      <w:r w:rsidRPr="00D05947">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41DCE949"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Fonts w:ascii="Arial" w:hAnsi="Arial" w:cs="Arial"/>
          <w:color w:val="000000"/>
          <w:sz w:val="19"/>
          <w:szCs w:val="19"/>
        </w:rPr>
        <w:t>[…]</w:t>
      </w:r>
    </w:p>
    <w:p w14:paraId="52EE694A"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Fonts w:ascii="Arial" w:hAnsi="Arial" w:cs="Arial"/>
          <w:color w:val="000000"/>
          <w:sz w:val="19"/>
          <w:szCs w:val="19"/>
        </w:rPr>
        <w:t>»4. Contratación directa. La modalidad de selección de contratación directa, solamente procederá en los siguientes casos: </w:t>
      </w:r>
    </w:p>
    <w:p w14:paraId="1F4A1892"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  </w:t>
      </w:r>
    </w:p>
    <w:p w14:paraId="789D66F6" w14:textId="77777777" w:rsidR="00915830" w:rsidRPr="00D05947" w:rsidRDefault="00915830" w:rsidP="00915830">
      <w:pPr>
        <w:ind w:firstLine="708"/>
        <w:jc w:val="both"/>
        <w:rPr>
          <w:rFonts w:ascii="Arial" w:hAnsi="Arial" w:cs="Arial"/>
          <w:color w:val="000000"/>
          <w:sz w:val="19"/>
          <w:szCs w:val="19"/>
          <w:lang w:eastAsia="es-CO"/>
        </w:rPr>
      </w:pPr>
      <w:r w:rsidRPr="00D05947">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83E7F9"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646717FE"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21051A0"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718459D" w14:textId="77777777" w:rsidR="00915830" w:rsidRPr="00D05947" w:rsidRDefault="00915830" w:rsidP="00915830">
      <w:pPr>
        <w:jc w:val="both"/>
        <w:rPr>
          <w:rFonts w:ascii="Arial" w:hAnsi="Arial" w:cs="Arial"/>
          <w:sz w:val="19"/>
          <w:szCs w:val="19"/>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t>»Estarán exceptuados de la figura del contrato interadministrativo, los contratos de seguro de las entidades estatales[…]». </w:t>
      </w:r>
      <w:r w:rsidRPr="00D05947">
        <w:rPr>
          <w:rFonts w:ascii="Arial" w:hAnsi="Arial" w:cs="Arial"/>
          <w:sz w:val="19"/>
          <w:szCs w:val="19"/>
        </w:rPr>
        <w:t xml:space="preserve"> </w:t>
      </w:r>
    </w:p>
  </w:footnote>
  <w:footnote w:id="7">
    <w:p w14:paraId="69334D62" w14:textId="77777777" w:rsidR="00915830" w:rsidRPr="00D05947" w:rsidRDefault="00915830" w:rsidP="00915830">
      <w:pPr>
        <w:pStyle w:val="Textonotapie"/>
        <w:ind w:firstLine="708"/>
        <w:jc w:val="both"/>
        <w:rPr>
          <w:rFonts w:ascii="Arial" w:hAnsi="Arial" w:cs="Arial"/>
          <w:sz w:val="19"/>
          <w:szCs w:val="19"/>
          <w:lang w:val="es-CO"/>
        </w:rPr>
      </w:pPr>
      <w:r w:rsidRPr="00D05947">
        <w:rPr>
          <w:rStyle w:val="Refdenotaalpie"/>
          <w:rFonts w:ascii="Arial" w:hAnsi="Arial" w:cs="Arial"/>
          <w:sz w:val="19"/>
          <w:szCs w:val="19"/>
        </w:rPr>
        <w:footnoteRef/>
      </w:r>
      <w:r w:rsidRPr="00D05947">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D05947">
        <w:rPr>
          <w:rFonts w:ascii="Arial" w:hAnsi="Arial" w:cs="Arial"/>
          <w:i/>
          <w:iCs/>
          <w:sz w:val="19"/>
          <w:szCs w:val="19"/>
        </w:rPr>
        <w:t>lex posterior derogat legi priori</w:t>
      </w:r>
      <w:r w:rsidRPr="00D05947">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8">
    <w:p w14:paraId="702C8F07" w14:textId="77777777" w:rsidR="00915830" w:rsidRPr="00D05947" w:rsidRDefault="00915830" w:rsidP="00915830">
      <w:pPr>
        <w:pStyle w:val="Textonotapie"/>
        <w:ind w:firstLine="709"/>
        <w:jc w:val="both"/>
        <w:rPr>
          <w:rFonts w:ascii="Arial" w:hAnsi="Arial" w:cs="Arial"/>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w:t>
      </w:r>
      <w:r w:rsidRPr="00D05947">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9">
    <w:p w14:paraId="7877E4FE" w14:textId="77777777" w:rsidR="00915830" w:rsidRPr="00D05947" w:rsidRDefault="00915830" w:rsidP="00915830">
      <w:pPr>
        <w:pStyle w:val="Textonotapie"/>
        <w:ind w:firstLine="709"/>
        <w:rPr>
          <w:rFonts w:ascii="Arial" w:hAnsi="Arial" w:cs="Arial"/>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Sentencia C-382 de 2019, M.P. Alejandro Linares Cantillo.</w:t>
      </w:r>
    </w:p>
  </w:footnote>
  <w:footnote w:id="10">
    <w:p w14:paraId="2A98E261"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La redacción original del parágrafo primero del artículo 32 de la Ley 80 de 1993, incluía la expresión </w:t>
      </w:r>
      <w:r w:rsidRPr="00D05947">
        <w:rPr>
          <w:rFonts w:ascii="Arial" w:hAnsi="Arial" w:cs="Arial"/>
          <w:i/>
          <w:iCs/>
          <w:color w:val="000000" w:themeColor="text1"/>
          <w:sz w:val="19"/>
          <w:szCs w:val="19"/>
        </w:rPr>
        <w:t>giro ordinario</w:t>
      </w:r>
      <w:r w:rsidRPr="00D05947">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D05947">
        <w:rPr>
          <w:rFonts w:ascii="Arial" w:hAnsi="Arial" w:cs="Arial"/>
          <w:i/>
          <w:iCs/>
          <w:color w:val="000000" w:themeColor="text1"/>
          <w:sz w:val="19"/>
          <w:szCs w:val="19"/>
        </w:rPr>
        <w:t>al giro ordinario de las actividades propias de su objeto social,</w:t>
      </w:r>
      <w:r w:rsidRPr="00D05947">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11">
    <w:p w14:paraId="463171B0"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Consejo de Estado. Sección Tercera. Subsección B. Sentencia del 12 de octubre de 2011. Exp. No. 20070. C.P. Danilo Rojas Betancourt.</w:t>
      </w:r>
    </w:p>
  </w:footnote>
  <w:footnote w:id="12">
    <w:p w14:paraId="71E34D98" w14:textId="77777777" w:rsidR="00915830" w:rsidRPr="00D05947" w:rsidRDefault="00915830" w:rsidP="00915830">
      <w:pPr>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3824A632" w14:textId="77777777" w:rsidR="00915830" w:rsidRPr="00D05947" w:rsidRDefault="00915830" w:rsidP="00915830">
      <w:pPr>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 xml:space="preserve"> </w:t>
      </w:r>
    </w:p>
  </w:footnote>
  <w:footnote w:id="13">
    <w:p w14:paraId="7108AE3E"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751177CE"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4">
    <w:p w14:paraId="43151287" w14:textId="77777777" w:rsidR="00E62261" w:rsidRPr="00E62261" w:rsidRDefault="00E62261" w:rsidP="00E62261">
      <w:pPr>
        <w:pStyle w:val="Textonotapie"/>
        <w:ind w:firstLine="709"/>
        <w:jc w:val="both"/>
        <w:rPr>
          <w:rFonts w:ascii="Arial" w:hAnsi="Arial" w:cs="Arial"/>
          <w:color w:val="000000"/>
          <w:sz w:val="19"/>
          <w:szCs w:val="19"/>
        </w:rPr>
      </w:pPr>
    </w:p>
    <w:p w14:paraId="1A7492BF"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Superintendencia de Sociedades. Oficio 220-014111 del 18 de febrero de 2015. Consultado el 9 de febrero de 2022 en: </w:t>
      </w:r>
      <w:hyperlink r:id="rId1" w:history="1">
        <w:r w:rsidRPr="00E62261">
          <w:rPr>
            <w:rStyle w:val="Hipervnculo"/>
            <w:rFonts w:ascii="Arial" w:hAnsi="Arial" w:cs="Arial"/>
            <w:color w:val="000000"/>
            <w:sz w:val="19"/>
            <w:szCs w:val="19"/>
          </w:rPr>
          <w:t>https://www.supersociedades.gov.co/nuestra_entidad/normatividad/normatividad_conceptos_juridicos/OFICIO_220-014111_DE_2015.pdf</w:t>
        </w:r>
      </w:hyperlink>
    </w:p>
  </w:footnote>
  <w:footnote w:id="15">
    <w:p w14:paraId="052E6ABA"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E62261">
        <w:rPr>
          <w:rFonts w:ascii="Arial" w:hAnsi="Arial" w:cs="Arial"/>
          <w:color w:val="000000"/>
          <w:sz w:val="19"/>
          <w:szCs w:val="19"/>
        </w:rPr>
        <w:cr/>
      </w:r>
    </w:p>
  </w:footnote>
  <w:footnote w:id="16">
    <w:p w14:paraId="60C12408"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Al respecto ha señalado la Corte Constitucional: «En relación con el ámbito de configuración del legislador en materia contractual la jurisprudencia constitucional ha señalado los siguientes criterios:</w:t>
      </w:r>
    </w:p>
    <w:p w14:paraId="6C90252A"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70EEA96D"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E6AD77"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299733D"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 xml:space="preserve"> </w:t>
      </w:r>
    </w:p>
  </w:footnote>
  <w:footnote w:id="17">
    <w:p w14:paraId="13E6D02B"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E62261">
        <w:rPr>
          <w:rFonts w:ascii="Arial" w:hAnsi="Arial" w:cs="Arial"/>
          <w:color w:val="000000"/>
          <w:sz w:val="19"/>
          <w:szCs w:val="19"/>
        </w:rPr>
        <w:t>Consejo de Estado. Sección Tercera. Subsección A. Sentencia del 24 de junio de 2015. Exp. 40.635. Consejero Ponente: Hernán Andrade Rincón (E).</w:t>
      </w:r>
    </w:p>
    <w:p w14:paraId="18CCAF68" w14:textId="77777777" w:rsidR="00E62261" w:rsidRPr="00A966E6" w:rsidRDefault="00E62261" w:rsidP="00E62261">
      <w:pPr>
        <w:pStyle w:val="Textonotapie"/>
        <w:ind w:firstLine="709"/>
        <w:jc w:val="both"/>
        <w:rPr>
          <w:rFonts w:ascii="Arial" w:hAnsi="Arial" w:cs="Arial"/>
          <w:sz w:val="19"/>
          <w:szCs w:val="19"/>
          <w:lang w:val="es-ES"/>
        </w:rPr>
      </w:pPr>
    </w:p>
  </w:footnote>
  <w:footnote w:id="18">
    <w:p w14:paraId="7F71DB94" w14:textId="77777777" w:rsidR="00E62261" w:rsidRPr="00E62261" w:rsidRDefault="00E62261" w:rsidP="00E62261">
      <w:pPr>
        <w:pStyle w:val="Textonotapie"/>
        <w:ind w:firstLine="709"/>
        <w:jc w:val="both"/>
        <w:rPr>
          <w:rFonts w:ascii="Arial" w:hAnsi="Arial" w:cs="Arial"/>
          <w:color w:val="000000"/>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E62261">
        <w:rPr>
          <w:rFonts w:ascii="Arial" w:hAnsi="Arial" w:cs="Arial"/>
          <w:color w:val="000000"/>
          <w:sz w:val="19"/>
          <w:szCs w:val="19"/>
          <w:lang w:val="es-ES"/>
        </w:rPr>
        <w:t>Consejo de Estado. Sala de Consulta y Servicio Civil. Concepto del 30 de abril de 2015. Expediente: 2251. Consejero Ponente: Álvaro Namén Vargas.</w:t>
      </w:r>
    </w:p>
    <w:p w14:paraId="4E01C2D0" w14:textId="77777777" w:rsidR="00E62261" w:rsidRPr="00A966E6" w:rsidRDefault="00E62261" w:rsidP="00E62261">
      <w:pPr>
        <w:pStyle w:val="Textonotapie"/>
        <w:ind w:firstLine="709"/>
        <w:jc w:val="both"/>
        <w:rPr>
          <w:rFonts w:ascii="Arial" w:hAnsi="Arial" w:cs="Arial"/>
          <w:sz w:val="19"/>
          <w:szCs w:val="19"/>
          <w:lang w:val="es-ES"/>
        </w:rPr>
      </w:pPr>
    </w:p>
  </w:footnote>
  <w:footnote w:id="19">
    <w:p w14:paraId="349B7DC1"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Código Civil: «Artículo 27. Interpretación Gramatical. Cuando el sentido de la ley sea claro, no se desatenderá su tenor literal a pretexto de consultar su espíritu.</w:t>
      </w:r>
    </w:p>
    <w:p w14:paraId="4C3426EF"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»Pero bien se puede, para interpretar una expresión oscura de la ley, recurrir a su intención o espíritu, claramente manifestados en ella misma o en la historia fidedigna de su establecimiento».</w:t>
      </w:r>
    </w:p>
  </w:footnote>
  <w:footnote w:id="20">
    <w:p w14:paraId="07C68627" w14:textId="77777777" w:rsidR="00E62261" w:rsidRPr="00A966E6" w:rsidRDefault="00E62261" w:rsidP="00E62261">
      <w:pPr>
        <w:pStyle w:val="Textonotapie"/>
        <w:ind w:firstLine="708"/>
        <w:jc w:val="both"/>
        <w:rPr>
          <w:rFonts w:ascii="Arial" w:hAnsi="Arial" w:cs="Arial"/>
          <w:sz w:val="19"/>
          <w:szCs w:val="19"/>
        </w:rPr>
      </w:pPr>
    </w:p>
    <w:p w14:paraId="66154C26" w14:textId="77777777" w:rsidR="00E62261" w:rsidRPr="00A966E6" w:rsidRDefault="00E62261" w:rsidP="00E62261">
      <w:pPr>
        <w:ind w:firstLine="708"/>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5A1740AB" w14:textId="77777777" w:rsidR="00E62261" w:rsidRPr="00A966E6" w:rsidRDefault="00E62261" w:rsidP="00E62261">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 w:id="21">
    <w:p w14:paraId="1EBB6D7F" w14:textId="77777777" w:rsidR="00CE321B" w:rsidRPr="00CE321B" w:rsidRDefault="00CE321B" w:rsidP="00CE321B">
      <w:pPr>
        <w:pStyle w:val="Textonotapie"/>
        <w:ind w:firstLine="709"/>
        <w:jc w:val="both"/>
        <w:rPr>
          <w:rFonts w:ascii="Arial" w:hAnsi="Arial" w:cs="Arial"/>
          <w:color w:val="000000"/>
          <w:sz w:val="19"/>
          <w:szCs w:val="19"/>
          <w:lang w:val="es-ES_tradnl"/>
        </w:rPr>
      </w:pPr>
      <w:r w:rsidRPr="00CE321B">
        <w:rPr>
          <w:rStyle w:val="Refdenotaalpie"/>
          <w:rFonts w:ascii="Arial" w:hAnsi="Arial" w:cs="Arial"/>
          <w:color w:val="000000"/>
          <w:sz w:val="19"/>
          <w:szCs w:val="19"/>
          <w:lang w:val="es-ES_tradnl"/>
        </w:rPr>
        <w:footnoteRef/>
      </w:r>
      <w:r w:rsidRPr="00CE321B">
        <w:rPr>
          <w:rFonts w:ascii="Arial" w:hAnsi="Arial" w:cs="Arial"/>
          <w:color w:val="000000"/>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17646699" w14:textId="77777777" w:rsidR="00CE321B" w:rsidRPr="00CE321B" w:rsidRDefault="00CE321B" w:rsidP="00CE321B">
      <w:pPr>
        <w:pStyle w:val="Textonotapie"/>
        <w:ind w:firstLine="709"/>
        <w:jc w:val="both"/>
        <w:rPr>
          <w:rFonts w:ascii="Arial" w:hAnsi="Arial" w:cs="Arial"/>
          <w:color w:val="000000"/>
          <w:sz w:val="19"/>
          <w:szCs w:val="19"/>
          <w:lang w:val="es-ES_tradnl"/>
        </w:rPr>
      </w:pPr>
      <w:r w:rsidRPr="00CE321B">
        <w:rPr>
          <w:rFonts w:ascii="Arial" w:hAnsi="Arial" w:cs="Arial"/>
          <w:color w:val="000000"/>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01C0BDAC" w14:textId="77777777" w:rsidR="00CE321B" w:rsidRPr="00CE321B" w:rsidRDefault="00CE321B" w:rsidP="00CE321B">
      <w:pPr>
        <w:pStyle w:val="Textonotapie"/>
        <w:ind w:firstLine="709"/>
        <w:jc w:val="both"/>
        <w:rPr>
          <w:rFonts w:ascii="Arial" w:hAnsi="Arial" w:cs="Arial"/>
          <w:color w:val="000000"/>
          <w:sz w:val="19"/>
          <w:szCs w:val="19"/>
          <w:lang w:val="es-ES_tradnl"/>
        </w:rPr>
      </w:pPr>
      <w:r w:rsidRPr="00CE321B">
        <w:rPr>
          <w:rFonts w:ascii="Arial" w:hAnsi="Arial" w:cs="Arial"/>
          <w:color w:val="000000"/>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5A392AE7" w14:textId="77777777" w:rsidR="00CE321B" w:rsidRPr="00CE321B" w:rsidRDefault="00CE321B" w:rsidP="00CE321B">
      <w:pPr>
        <w:pStyle w:val="Textonotapie"/>
        <w:ind w:firstLine="709"/>
        <w:jc w:val="both"/>
        <w:rPr>
          <w:rFonts w:ascii="Arial" w:hAnsi="Arial" w:cs="Arial"/>
          <w:color w:val="000000"/>
          <w:sz w:val="19"/>
          <w:szCs w:val="19"/>
          <w:lang w:val="es-ES_tradnl"/>
        </w:rPr>
      </w:pPr>
    </w:p>
  </w:footnote>
  <w:footnote w:id="22">
    <w:p w14:paraId="5E2FBB55" w14:textId="77777777" w:rsidR="00CE321B" w:rsidRPr="00CE321B" w:rsidRDefault="00CE321B" w:rsidP="00CE321B">
      <w:pPr>
        <w:pStyle w:val="Textonotapie"/>
        <w:ind w:firstLine="709"/>
        <w:jc w:val="both"/>
        <w:rPr>
          <w:rFonts w:ascii="Arial" w:hAnsi="Arial" w:cs="Arial"/>
          <w:color w:val="000000"/>
          <w:sz w:val="19"/>
          <w:szCs w:val="19"/>
        </w:rPr>
      </w:pPr>
      <w:r w:rsidRPr="00CE321B">
        <w:rPr>
          <w:rStyle w:val="Refdenotaalpie"/>
          <w:rFonts w:ascii="Arial" w:hAnsi="Arial" w:cs="Arial"/>
          <w:color w:val="000000"/>
          <w:sz w:val="19"/>
          <w:szCs w:val="19"/>
        </w:rPr>
        <w:footnoteRef/>
      </w:r>
      <w:r w:rsidRPr="00CE321B">
        <w:rPr>
          <w:rFonts w:ascii="Arial" w:hAnsi="Arial" w:cs="Arial"/>
          <w:color w:val="000000"/>
          <w:sz w:val="19"/>
          <w:szCs w:val="19"/>
        </w:rPr>
        <w:t xml:space="preserve"> En efecto, dicho artículo establece: «Pueden prestar los servicios públicos:</w:t>
      </w:r>
    </w:p>
    <w:p w14:paraId="68328D6F"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»15.1. Las empresas de servicios públicos.</w:t>
      </w:r>
    </w:p>
    <w:p w14:paraId="7668C831"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»15.2. Las personas naturales o jurídicas que produzcan para ellas mismas, o como consecuencia o complemento de su actividad principal, los bienes y servicios propios del objeto de las empresas de servicios públicos.</w:t>
      </w:r>
    </w:p>
    <w:p w14:paraId="2CD4FD15"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»15.3. Los municipios cuando asuman en forma directa, a través de su administración central, la prestación de los servicios públicos, conforme a lo dispuesto en esta Ley.</w:t>
      </w:r>
    </w:p>
    <w:p w14:paraId="01FDDD15"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»15.4. Las organizaciones autorizadas conforme a esta Ley para prestar servicios públicos en municipios menores en zonas rurales y en áreas o zonas urbanas específicas.</w:t>
      </w:r>
    </w:p>
    <w:p w14:paraId="031728ED"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»15.5. Las entidades autorizadas para prestar servicios públicos durante los períodos de transición previstos en esta Ley.</w:t>
      </w:r>
    </w:p>
    <w:p w14:paraId="2A89CBB7"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0358FE20" w14:textId="77777777" w:rsidR="00CE321B" w:rsidRPr="00CE321B" w:rsidRDefault="00CE321B" w:rsidP="00CE321B">
      <w:pPr>
        <w:pStyle w:val="Textonotapie"/>
        <w:ind w:firstLine="709"/>
        <w:jc w:val="both"/>
        <w:rPr>
          <w:rFonts w:ascii="Arial" w:hAnsi="Arial" w:cs="Arial"/>
          <w:color w:val="000000"/>
          <w:sz w:val="19"/>
          <w:szCs w:val="19"/>
          <w:lang w:val="es-ES"/>
        </w:rPr>
      </w:pPr>
    </w:p>
  </w:footnote>
  <w:footnote w:id="23">
    <w:p w14:paraId="0819CAE0" w14:textId="77777777" w:rsidR="00CE321B" w:rsidRPr="00CE321B" w:rsidRDefault="00CE321B" w:rsidP="00CE321B">
      <w:pPr>
        <w:pStyle w:val="Textonotapie"/>
        <w:ind w:firstLine="709"/>
        <w:jc w:val="both"/>
        <w:rPr>
          <w:rFonts w:ascii="Arial" w:hAnsi="Arial" w:cs="Arial"/>
          <w:color w:val="000000"/>
          <w:sz w:val="19"/>
          <w:szCs w:val="19"/>
        </w:rPr>
      </w:pPr>
      <w:r w:rsidRPr="00CE321B">
        <w:rPr>
          <w:rStyle w:val="Refdenotaalpie"/>
          <w:rFonts w:ascii="Arial" w:hAnsi="Arial" w:cs="Arial"/>
          <w:color w:val="000000"/>
          <w:sz w:val="19"/>
          <w:szCs w:val="19"/>
        </w:rPr>
        <w:footnoteRef/>
      </w:r>
      <w:r w:rsidRPr="00CE321B">
        <w:rPr>
          <w:rFonts w:ascii="Arial" w:hAnsi="Arial" w:cs="Arial"/>
          <w:color w:val="000000"/>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60889E28"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742859DE" w14:textId="77777777" w:rsidR="00CE321B" w:rsidRPr="00CE321B" w:rsidRDefault="00CE321B" w:rsidP="00CE321B">
      <w:pPr>
        <w:pStyle w:val="Textonotapie"/>
        <w:ind w:firstLine="709"/>
        <w:jc w:val="both"/>
        <w:rPr>
          <w:rFonts w:ascii="Arial" w:hAnsi="Arial" w:cs="Arial"/>
          <w:color w:val="000000"/>
          <w:sz w:val="19"/>
          <w:szCs w:val="19"/>
        </w:rPr>
      </w:pPr>
      <w:r w:rsidRPr="00CE321B">
        <w:rPr>
          <w:rFonts w:ascii="Arial" w:hAnsi="Arial" w:cs="Arial"/>
          <w:color w:val="000000"/>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4B0C84B8" w14:textId="77777777" w:rsidR="00CE321B" w:rsidRPr="00CE321B" w:rsidRDefault="00CE321B" w:rsidP="00CE321B">
      <w:pPr>
        <w:pStyle w:val="Textonotapie"/>
        <w:ind w:firstLine="709"/>
        <w:jc w:val="both"/>
        <w:rPr>
          <w:rFonts w:ascii="Arial" w:hAnsi="Arial" w:cs="Arial"/>
          <w:color w:val="000000"/>
          <w:sz w:val="19"/>
          <w:szCs w:val="19"/>
        </w:rPr>
      </w:pPr>
    </w:p>
  </w:footnote>
  <w:footnote w:id="24">
    <w:p w14:paraId="3A4C766A" w14:textId="77777777" w:rsidR="00CE321B" w:rsidRPr="00CE321B" w:rsidRDefault="00CE321B" w:rsidP="00CE321B">
      <w:pPr>
        <w:ind w:firstLine="709"/>
        <w:jc w:val="both"/>
        <w:rPr>
          <w:rFonts w:ascii="Arial" w:hAnsi="Arial" w:cs="Arial"/>
          <w:color w:val="000000"/>
          <w:sz w:val="19"/>
          <w:szCs w:val="19"/>
          <w:lang w:val="es-ES_tradnl"/>
        </w:rPr>
      </w:pPr>
      <w:r w:rsidRPr="00CE321B">
        <w:rPr>
          <w:rStyle w:val="Refdenotaalpie"/>
          <w:rFonts w:ascii="Arial" w:hAnsi="Arial" w:cs="Arial"/>
          <w:color w:val="000000"/>
          <w:sz w:val="19"/>
          <w:szCs w:val="19"/>
          <w:lang w:val="es-ES_tradnl"/>
        </w:rPr>
        <w:footnoteRef/>
      </w:r>
      <w:r w:rsidRPr="00CE321B">
        <w:rPr>
          <w:rFonts w:ascii="Arial" w:hAnsi="Arial" w:cs="Arial"/>
          <w:color w:val="000000"/>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226785BE" w14:textId="77777777" w:rsidR="00CE321B" w:rsidRPr="00CE321B" w:rsidRDefault="00CE321B" w:rsidP="00CE321B">
      <w:pPr>
        <w:ind w:firstLine="709"/>
        <w:jc w:val="both"/>
        <w:rPr>
          <w:rFonts w:ascii="Arial" w:hAnsi="Arial" w:cs="Arial"/>
          <w:color w:val="000000"/>
          <w:sz w:val="19"/>
          <w:szCs w:val="19"/>
          <w:lang w:val="es-ES_tradnl"/>
        </w:rPr>
      </w:pPr>
    </w:p>
  </w:footnote>
  <w:footnote w:id="25">
    <w:p w14:paraId="78829D91" w14:textId="77777777" w:rsidR="00CE321B" w:rsidRPr="00CE321B" w:rsidRDefault="00CE321B" w:rsidP="00CE321B">
      <w:pPr>
        <w:ind w:firstLine="709"/>
        <w:jc w:val="both"/>
        <w:rPr>
          <w:rFonts w:ascii="Arial" w:eastAsia="Calibri" w:hAnsi="Arial" w:cs="Arial"/>
          <w:color w:val="000000"/>
          <w:sz w:val="19"/>
          <w:szCs w:val="19"/>
          <w:lang w:val="es-ES_tradnl"/>
        </w:rPr>
      </w:pPr>
      <w:r w:rsidRPr="00CE321B">
        <w:rPr>
          <w:rStyle w:val="Refdenotaalpie"/>
          <w:rFonts w:ascii="Arial" w:hAnsi="Arial" w:cs="Arial"/>
          <w:color w:val="000000"/>
          <w:sz w:val="19"/>
          <w:szCs w:val="19"/>
        </w:rPr>
        <w:footnoteRef/>
      </w:r>
      <w:r w:rsidRPr="00CE321B">
        <w:rPr>
          <w:rFonts w:ascii="Arial" w:hAnsi="Arial" w:cs="Arial"/>
          <w:color w:val="000000"/>
          <w:sz w:val="19"/>
          <w:szCs w:val="19"/>
        </w:rPr>
        <w:t xml:space="preserve"> </w:t>
      </w:r>
      <w:r w:rsidRPr="00CE321B">
        <w:rPr>
          <w:rFonts w:ascii="Arial" w:hAnsi="Arial" w:cs="Arial"/>
          <w:color w:val="000000"/>
          <w:sz w:val="19"/>
          <w:szCs w:val="19"/>
          <w:lang w:val="es-ES"/>
        </w:rPr>
        <w:t>Esta norma dispone: «</w:t>
      </w:r>
      <w:r w:rsidRPr="00CE321B">
        <w:rPr>
          <w:rFonts w:ascii="Arial" w:eastAsia="Calibri" w:hAnsi="Arial" w:cs="Arial"/>
          <w:color w:val="000000"/>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5E3B1D2" w14:textId="77777777" w:rsidR="00CE321B" w:rsidRPr="00CE321B" w:rsidRDefault="00CE321B" w:rsidP="00CE321B">
      <w:pPr>
        <w:ind w:firstLine="709"/>
        <w:jc w:val="both"/>
        <w:rPr>
          <w:rFonts w:ascii="Arial" w:eastAsia="Calibri" w:hAnsi="Arial" w:cs="Arial"/>
          <w:color w:val="000000"/>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1B9" w14:textId="77777777" w:rsidR="000A47AF" w:rsidRDefault="00BB65EC">
    <w:pPr>
      <w:pStyle w:val="Encabezado"/>
    </w:pPr>
    <w:r>
      <w:rPr>
        <w:noProof/>
        <w:lang w:val="en-US"/>
      </w:rPr>
      <w:drawing>
        <wp:anchor distT="0" distB="0" distL="114300" distR="114300" simplePos="0" relativeHeight="251659264" behindDoc="1" locked="0" layoutInCell="1" allowOverlap="1" wp14:anchorId="42815EFA" wp14:editId="782574C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2E722" w14:textId="77777777" w:rsidR="00183D77" w:rsidRDefault="0030640E"/>
  <w:p w14:paraId="06E9BD6D" w14:textId="77777777" w:rsidR="00183D77" w:rsidRDefault="0030640E"/>
  <w:p w14:paraId="5014A94E" w14:textId="77777777" w:rsidR="00183D77" w:rsidRDefault="003064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0"/>
    <w:rsid w:val="00051866"/>
    <w:rsid w:val="001028A5"/>
    <w:rsid w:val="001078C5"/>
    <w:rsid w:val="00122EFA"/>
    <w:rsid w:val="001672CE"/>
    <w:rsid w:val="001B308A"/>
    <w:rsid w:val="001E66F7"/>
    <w:rsid w:val="001E7B75"/>
    <w:rsid w:val="001F4246"/>
    <w:rsid w:val="001F6B6F"/>
    <w:rsid w:val="0030640E"/>
    <w:rsid w:val="00374D1B"/>
    <w:rsid w:val="004E48D9"/>
    <w:rsid w:val="004E5364"/>
    <w:rsid w:val="004F6FDA"/>
    <w:rsid w:val="005636AC"/>
    <w:rsid w:val="005739D5"/>
    <w:rsid w:val="005A1CF6"/>
    <w:rsid w:val="006556A9"/>
    <w:rsid w:val="00686AFF"/>
    <w:rsid w:val="007A7AB8"/>
    <w:rsid w:val="007B6B91"/>
    <w:rsid w:val="007F55E4"/>
    <w:rsid w:val="00807D91"/>
    <w:rsid w:val="00815F33"/>
    <w:rsid w:val="0083053B"/>
    <w:rsid w:val="00915830"/>
    <w:rsid w:val="00961964"/>
    <w:rsid w:val="00B2066F"/>
    <w:rsid w:val="00B87EEA"/>
    <w:rsid w:val="00BB65EC"/>
    <w:rsid w:val="00C86A54"/>
    <w:rsid w:val="00CE321B"/>
    <w:rsid w:val="00D05947"/>
    <w:rsid w:val="00D0776D"/>
    <w:rsid w:val="00DB67B0"/>
    <w:rsid w:val="00E34151"/>
    <w:rsid w:val="00E36D20"/>
    <w:rsid w:val="00E55C5D"/>
    <w:rsid w:val="00E62261"/>
    <w:rsid w:val="00E942F2"/>
    <w:rsid w:val="00ED1CB6"/>
    <w:rsid w:val="00ED570E"/>
    <w:rsid w:val="00ED6688"/>
    <w:rsid w:val="00F2031C"/>
    <w:rsid w:val="00F30577"/>
    <w:rsid w:val="00FC3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7C25E"/>
  <w15:chartTrackingRefBased/>
  <w15:docId w15:val="{9EA9BB93-8959-E44D-9E15-74B48888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30"/>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15830"/>
    <w:pPr>
      <w:tabs>
        <w:tab w:val="center" w:pos="4419"/>
        <w:tab w:val="right" w:pos="8838"/>
      </w:tabs>
    </w:pPr>
  </w:style>
  <w:style w:type="character" w:customStyle="1" w:styleId="PiedepginaCar">
    <w:name w:val="Pie de página Car"/>
    <w:basedOn w:val="Fuentedeprrafopredeter"/>
    <w:link w:val="Piedepgina"/>
    <w:uiPriority w:val="99"/>
    <w:rsid w:val="00915830"/>
    <w:rPr>
      <w:szCs w:val="22"/>
      <w:lang w:val="es-MX"/>
    </w:rPr>
  </w:style>
  <w:style w:type="paragraph" w:styleId="Encabezado">
    <w:name w:val="header"/>
    <w:basedOn w:val="Normal"/>
    <w:link w:val="EncabezadoCar"/>
    <w:uiPriority w:val="99"/>
    <w:unhideWhenUsed/>
    <w:rsid w:val="00915830"/>
    <w:pPr>
      <w:tabs>
        <w:tab w:val="center" w:pos="4252"/>
        <w:tab w:val="right" w:pos="8504"/>
      </w:tabs>
    </w:pPr>
  </w:style>
  <w:style w:type="character" w:customStyle="1" w:styleId="EncabezadoCar">
    <w:name w:val="Encabezado Car"/>
    <w:basedOn w:val="Fuentedeprrafopredeter"/>
    <w:link w:val="Encabezado"/>
    <w:uiPriority w:val="99"/>
    <w:rsid w:val="00915830"/>
    <w:rPr>
      <w:szCs w:val="22"/>
      <w:lang w:val="es-MX"/>
    </w:rPr>
  </w:style>
  <w:style w:type="table" w:styleId="Tablaconcuadrcula">
    <w:name w:val="Table Grid"/>
    <w:basedOn w:val="Tablanormal"/>
    <w:uiPriority w:val="59"/>
    <w:qFormat/>
    <w:rsid w:val="009158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15830"/>
    <w:pPr>
      <w:ind w:left="720"/>
      <w:contextualSpacing/>
    </w:pPr>
  </w:style>
  <w:style w:type="character" w:styleId="Hipervnculo">
    <w:name w:val="Hyperlink"/>
    <w:basedOn w:val="Fuentedeprrafopredeter"/>
    <w:uiPriority w:val="99"/>
    <w:unhideWhenUsed/>
    <w:rsid w:val="00915830"/>
    <w:rPr>
      <w:color w:val="0563C1" w:themeColor="hyperlink"/>
      <w:u w:val="single"/>
    </w:rPr>
  </w:style>
  <w:style w:type="paragraph" w:styleId="NormalWeb">
    <w:name w:val="Normal (Web)"/>
    <w:basedOn w:val="Normal"/>
    <w:link w:val="NormalWebCar"/>
    <w:uiPriority w:val="99"/>
    <w:unhideWhenUsed/>
    <w:rsid w:val="00915830"/>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91583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8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915830"/>
    <w:rPr>
      <w:sz w:val="20"/>
      <w:szCs w:val="20"/>
    </w:rPr>
  </w:style>
  <w:style w:type="character" w:customStyle="1" w:styleId="TextonotapieCar1">
    <w:name w:val="Texto nota pie Car1"/>
    <w:basedOn w:val="Fuentedeprrafopredeter"/>
    <w:uiPriority w:val="99"/>
    <w:semiHidden/>
    <w:rsid w:val="0091583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583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15830"/>
    <w:rPr>
      <w:vertAlign w:val="superscript"/>
    </w:rPr>
  </w:style>
  <w:style w:type="paragraph" w:styleId="Textoindependiente">
    <w:name w:val="Body Text"/>
    <w:basedOn w:val="Normal"/>
    <w:link w:val="TextoindependienteCar"/>
    <w:uiPriority w:val="99"/>
    <w:unhideWhenUsed/>
    <w:rsid w:val="00915830"/>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915830"/>
    <w:rPr>
      <w:rFonts w:eastAsiaTheme="minorEastAsia"/>
      <w:sz w:val="22"/>
      <w:szCs w:val="22"/>
      <w:lang w:eastAsia="es-CO"/>
    </w:rPr>
  </w:style>
  <w:style w:type="character" w:styleId="Textoennegrita">
    <w:name w:val="Strong"/>
    <w:basedOn w:val="Fuentedeprrafopredeter"/>
    <w:uiPriority w:val="22"/>
    <w:qFormat/>
    <w:rsid w:val="00915830"/>
    <w:rPr>
      <w:b/>
      <w:bCs/>
    </w:rPr>
  </w:style>
  <w:style w:type="character" w:styleId="nfasis">
    <w:name w:val="Emphasis"/>
    <w:basedOn w:val="Fuentedeprrafopredeter"/>
    <w:uiPriority w:val="20"/>
    <w:qFormat/>
    <w:rsid w:val="00915830"/>
    <w:rPr>
      <w:i/>
      <w:iCs/>
    </w:rPr>
  </w:style>
  <w:style w:type="character" w:customStyle="1" w:styleId="NormalWebCar">
    <w:name w:val="Normal (Web) Car"/>
    <w:link w:val="NormalWeb"/>
    <w:uiPriority w:val="99"/>
    <w:rsid w:val="00915830"/>
    <w:rPr>
      <w:rFonts w:ascii="Times New Roman" w:eastAsia="Times New Roman" w:hAnsi="Times New Roman" w:cs="Times New Roman"/>
      <w:lang w:eastAsia="es-CO"/>
    </w:rPr>
  </w:style>
  <w:style w:type="paragraph" w:customStyle="1" w:styleId="Appelnotedebasde">
    <w:name w:val="Appel note de bas de..."/>
    <w:basedOn w:val="Normal"/>
    <w:link w:val="Refdenotaalpie"/>
    <w:uiPriority w:val="99"/>
    <w:rsid w:val="00915830"/>
    <w:pPr>
      <w:spacing w:after="160" w:line="240" w:lineRule="exact"/>
    </w:pPr>
    <w:rPr>
      <w:szCs w:val="24"/>
      <w:vertAlign w:val="superscript"/>
      <w:lang w:val="es-CO"/>
    </w:rPr>
  </w:style>
  <w:style w:type="paragraph" w:customStyle="1" w:styleId="Normal11pt">
    <w:name w:val="Normal + 11 pt"/>
    <w:aliases w:val="Negro,Justificado,Izquierda:  -0,95 cm,Derecha:  0,04 cm"/>
    <w:basedOn w:val="Normal"/>
    <w:uiPriority w:val="99"/>
    <w:rsid w:val="00915830"/>
    <w:pPr>
      <w:ind w:left="-540"/>
      <w:jc w:val="both"/>
    </w:pPr>
    <w:rPr>
      <w:rFonts w:ascii="Arial" w:eastAsia="Times New Roman" w:hAnsi="Arial" w:cs="Arial"/>
      <w:color w:val="000000"/>
      <w:sz w:val="22"/>
      <w:lang w:val="es-ES_tradnl" w:eastAsia="es-ES"/>
    </w:rPr>
  </w:style>
  <w:style w:type="character" w:styleId="Refdecomentario">
    <w:name w:val="annotation reference"/>
    <w:basedOn w:val="Fuentedeprrafopredeter"/>
    <w:uiPriority w:val="99"/>
    <w:semiHidden/>
    <w:unhideWhenUsed/>
    <w:rsid w:val="00ED6688"/>
    <w:rPr>
      <w:sz w:val="16"/>
      <w:szCs w:val="16"/>
    </w:rPr>
  </w:style>
  <w:style w:type="paragraph" w:styleId="Textocomentario">
    <w:name w:val="annotation text"/>
    <w:basedOn w:val="Normal"/>
    <w:link w:val="TextocomentarioCar"/>
    <w:uiPriority w:val="99"/>
    <w:semiHidden/>
    <w:unhideWhenUsed/>
    <w:rsid w:val="00ED6688"/>
    <w:rPr>
      <w:sz w:val="20"/>
      <w:szCs w:val="20"/>
    </w:rPr>
  </w:style>
  <w:style w:type="character" w:customStyle="1" w:styleId="TextocomentarioCar">
    <w:name w:val="Texto comentario Car"/>
    <w:basedOn w:val="Fuentedeprrafopredeter"/>
    <w:link w:val="Textocomentario"/>
    <w:uiPriority w:val="99"/>
    <w:semiHidden/>
    <w:rsid w:val="00ED66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D6688"/>
    <w:rPr>
      <w:b/>
      <w:bCs/>
    </w:rPr>
  </w:style>
  <w:style w:type="character" w:customStyle="1" w:styleId="AsuntodelcomentarioCar">
    <w:name w:val="Asunto del comentario Car"/>
    <w:basedOn w:val="TextocomentarioCar"/>
    <w:link w:val="Asuntodelcomentario"/>
    <w:uiPriority w:val="99"/>
    <w:semiHidden/>
    <w:rsid w:val="00ED6688"/>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5644">
      <w:bodyDiv w:val="1"/>
      <w:marLeft w:val="0"/>
      <w:marRight w:val="0"/>
      <w:marTop w:val="0"/>
      <w:marBottom w:val="0"/>
      <w:divBdr>
        <w:top w:val="none" w:sz="0" w:space="0" w:color="auto"/>
        <w:left w:val="none" w:sz="0" w:space="0" w:color="auto"/>
        <w:bottom w:val="none" w:sz="0" w:space="0" w:color="auto"/>
        <w:right w:val="none" w:sz="0" w:space="0" w:color="auto"/>
      </w:divBdr>
      <w:divsChild>
        <w:div w:id="161363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E2B0C53-81DD-4100-914E-3FA7A6CEB91D}">
  <ds:schemaRefs>
    <ds:schemaRef ds:uri="http://schemas.microsoft.com/sharepoint/v3/contenttype/forms"/>
  </ds:schemaRefs>
</ds:datastoreItem>
</file>

<file path=customXml/itemProps2.xml><?xml version="1.0" encoding="utf-8"?>
<ds:datastoreItem xmlns:ds="http://schemas.openxmlformats.org/officeDocument/2006/customXml" ds:itemID="{A0D96443-8049-48D8-BC7B-8313686F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810C2-BD63-4520-AA85-D01ECB75B46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9564</Words>
  <Characters>52607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5</cp:revision>
  <dcterms:created xsi:type="dcterms:W3CDTF">2022-05-02T23:59:00Z</dcterms:created>
  <dcterms:modified xsi:type="dcterms:W3CDTF">2022-05-25T18:53:00Z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