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79A8A" w14:textId="77777777" w:rsidR="00D00727" w:rsidRPr="00213052" w:rsidRDefault="00D00727" w:rsidP="00D00727">
      <w:pPr>
        <w:jc w:val="right"/>
        <w:rPr>
          <w:rFonts w:ascii="Arial" w:hAnsi="Arial" w:cs="Arial"/>
          <w:b/>
          <w:sz w:val="16"/>
          <w:szCs w:val="16"/>
          <w:lang w:val="es-ES_tradnl" w:eastAsia="es-ES"/>
        </w:rPr>
      </w:pPr>
      <w:r w:rsidRPr="00213052">
        <w:rPr>
          <w:rFonts w:ascii="Arial" w:hAnsi="Arial" w:cs="Arial"/>
          <w:b/>
          <w:sz w:val="16"/>
          <w:szCs w:val="16"/>
          <w:lang w:val="es-ES_tradnl" w:eastAsia="es-ES"/>
        </w:rPr>
        <w:t>CCE-DES-FM-17</w:t>
      </w:r>
    </w:p>
    <w:p w14:paraId="69A095B1" w14:textId="77777777" w:rsidR="00D00727" w:rsidRPr="00213052" w:rsidRDefault="00D00727" w:rsidP="00D00727">
      <w:pPr>
        <w:spacing w:line="276" w:lineRule="auto"/>
        <w:jc w:val="both"/>
        <w:rPr>
          <w:rFonts w:ascii="Arial" w:eastAsia="Calibri" w:hAnsi="Arial" w:cs="Arial"/>
          <w:b/>
          <w:sz w:val="16"/>
          <w:szCs w:val="16"/>
          <w:lang w:val="es-ES_tradnl"/>
        </w:rPr>
      </w:pPr>
    </w:p>
    <w:p w14:paraId="509BA747" w14:textId="77777777" w:rsidR="00D00727" w:rsidRPr="008E7E10" w:rsidRDefault="00D00727" w:rsidP="00D00727">
      <w:pPr>
        <w:widowControl w:val="0"/>
        <w:autoSpaceDE w:val="0"/>
        <w:autoSpaceDN w:val="0"/>
        <w:jc w:val="both"/>
        <w:rPr>
          <w:rFonts w:ascii="Arial" w:eastAsia="Calibri" w:hAnsi="Arial" w:cs="Arial"/>
          <w:b/>
          <w:sz w:val="22"/>
          <w:lang w:val="es-ES" w:eastAsia="es-ES" w:bidi="es-ES"/>
        </w:rPr>
      </w:pPr>
      <w:r w:rsidRPr="008E7E10">
        <w:rPr>
          <w:rFonts w:ascii="Arial" w:eastAsia="Calibri" w:hAnsi="Arial" w:cs="Arial"/>
          <w:b/>
          <w:sz w:val="22"/>
          <w:lang w:val="es-ES" w:eastAsia="es-ES" w:bidi="es-ES"/>
        </w:rPr>
        <w:t xml:space="preserve">EMPRESAS SOCIALES DEL ESTADO – Régimen contractual </w:t>
      </w:r>
    </w:p>
    <w:p w14:paraId="7E6D31EB" w14:textId="77777777" w:rsidR="00D00727" w:rsidRPr="008E7E10" w:rsidRDefault="00D00727" w:rsidP="00D00727">
      <w:pPr>
        <w:widowControl w:val="0"/>
        <w:autoSpaceDE w:val="0"/>
        <w:autoSpaceDN w:val="0"/>
        <w:jc w:val="both"/>
        <w:rPr>
          <w:rFonts w:ascii="Arial" w:eastAsia="Calibri" w:hAnsi="Arial" w:cs="Arial"/>
          <w:b/>
          <w:sz w:val="22"/>
          <w:lang w:val="es-ES" w:eastAsia="es-ES" w:bidi="es-ES"/>
        </w:rPr>
      </w:pPr>
    </w:p>
    <w:p w14:paraId="3E21107D" w14:textId="77777777" w:rsidR="00D00727" w:rsidRPr="008E7E10" w:rsidRDefault="00D00727" w:rsidP="00D00727">
      <w:pPr>
        <w:widowControl w:val="0"/>
        <w:autoSpaceDE w:val="0"/>
        <w:autoSpaceDN w:val="0"/>
        <w:jc w:val="both"/>
        <w:rPr>
          <w:rFonts w:ascii="Arial" w:eastAsia="Arial" w:hAnsi="Arial" w:cs="Arial"/>
          <w:sz w:val="20"/>
          <w:szCs w:val="20"/>
          <w:lang w:val="es-ES" w:eastAsia="es-ES" w:bidi="es-ES"/>
        </w:rPr>
      </w:pPr>
      <w:r w:rsidRPr="008E7E10">
        <w:rPr>
          <w:rFonts w:ascii="Arial" w:eastAsia="Arial" w:hAnsi="Arial" w:cs="Arial"/>
          <w:sz w:val="20"/>
          <w:szCs w:val="20"/>
          <w:lang w:val="es-ES" w:eastAsia="es-ES" w:bidi="es-ES"/>
        </w:rPr>
        <w:t xml:space="preserve">[…] las Empresas Sociales del Estado son una categoría especial de entidades públicas que hacen parte de la estructura de la Rama Ejecutiva del poder público. En este mismo sentido, el artículo 38 de la Ley 489 de 1998, en el que se consagran los organismos y entidades que integran la rama ejecutiva del poder público, dispuso en el literal d) del numeral 2 que las Empresas Sociales del Estado hacen parte del sector descentralizado por servicios de esta rama del poder público. </w:t>
      </w:r>
    </w:p>
    <w:p w14:paraId="158258AA" w14:textId="77777777" w:rsidR="00D00727" w:rsidRPr="008E7E10" w:rsidRDefault="00D00727" w:rsidP="00D00727">
      <w:pPr>
        <w:widowControl w:val="0"/>
        <w:autoSpaceDE w:val="0"/>
        <w:autoSpaceDN w:val="0"/>
        <w:jc w:val="both"/>
        <w:rPr>
          <w:rFonts w:ascii="Arial" w:hAnsi="Arial" w:cs="Arial"/>
          <w:sz w:val="20"/>
          <w:szCs w:val="20"/>
        </w:rPr>
      </w:pPr>
      <w:r w:rsidRPr="008E7E10">
        <w:rPr>
          <w:rFonts w:ascii="Arial" w:hAnsi="Arial" w:cs="Arial"/>
          <w:sz w:val="20"/>
          <w:szCs w:val="20"/>
        </w:rPr>
        <w:t xml:space="preserve">Ahora, de conformidad con el numeral 6 del artículo 195 de la Ley 100 de 1993, el régimen de contratación de las Empresas Sociales del Estado – ESE es el de derecho privado, es decir, por las disposiciones contenidas en el Código de Comercio y el Código Civil aplicables en lo que resulten pertinentes, salvo en las materias particularmente reguladas </w:t>
      </w:r>
      <w:r w:rsidRPr="008E7E10">
        <w:rPr>
          <w:rFonts w:ascii="Arial" w:eastAsia="Calibri" w:hAnsi="Arial" w:cs="Arial"/>
          <w:color w:val="000000" w:themeColor="text1"/>
          <w:sz w:val="20"/>
          <w:szCs w:val="20"/>
        </w:rPr>
        <w:t xml:space="preserve">por el derecho público. </w:t>
      </w:r>
      <w:r w:rsidRPr="008E7E10">
        <w:rPr>
          <w:rFonts w:ascii="Arial" w:hAnsi="Arial" w:cs="Arial"/>
          <w:sz w:val="20"/>
          <w:szCs w:val="20"/>
        </w:rPr>
        <w:t>La norma referida prescribe que «En materia contractual se regirá por el derecho privado, pero podrá discrecionalmente utilizar las cláusulas exorbitantes previstas en el estatuto general de contratación de la administración pública».</w:t>
      </w:r>
    </w:p>
    <w:p w14:paraId="44902FA6" w14:textId="77777777" w:rsidR="00D00727" w:rsidRPr="008E7E10" w:rsidRDefault="00D00727" w:rsidP="00D00727">
      <w:pPr>
        <w:widowControl w:val="0"/>
        <w:autoSpaceDE w:val="0"/>
        <w:autoSpaceDN w:val="0"/>
        <w:jc w:val="both"/>
        <w:rPr>
          <w:rFonts w:ascii="Arial" w:hAnsi="Arial" w:cs="Arial"/>
          <w:sz w:val="20"/>
          <w:szCs w:val="20"/>
        </w:rPr>
      </w:pPr>
      <w:r w:rsidRPr="008E7E10">
        <w:rPr>
          <w:rFonts w:ascii="Arial" w:hAnsi="Arial" w:cs="Arial"/>
          <w:sz w:val="20"/>
          <w:szCs w:val="20"/>
        </w:rPr>
        <w:t>[…]</w:t>
      </w:r>
    </w:p>
    <w:p w14:paraId="6A80CE7D" w14:textId="77777777" w:rsidR="00D00727" w:rsidRPr="008E7E10" w:rsidRDefault="00D00727" w:rsidP="00D00727">
      <w:pPr>
        <w:jc w:val="both"/>
        <w:rPr>
          <w:rFonts w:ascii="Arial" w:eastAsia="Calibri" w:hAnsi="Arial" w:cs="Arial"/>
          <w:color w:val="000000" w:themeColor="text1"/>
          <w:sz w:val="20"/>
          <w:szCs w:val="20"/>
        </w:rPr>
      </w:pPr>
      <w:r w:rsidRPr="008E7E10">
        <w:rPr>
          <w:rFonts w:ascii="Arial" w:eastAsia="Calibri" w:hAnsi="Arial" w:cs="Arial"/>
          <w:color w:val="000000" w:themeColor="text1"/>
          <w:sz w:val="20"/>
          <w:szCs w:val="20"/>
        </w:rPr>
        <w:t>[…] De esta forma, aunque los contratos suscritos por las empresas sociales del Estado están excluidos del EGCAP, lo cierto es que no se rigen exclusivamente por el derecho civil y comercial, pues, conforme al artículo 13 de la Ley 1150 de 2007, a estos les aplican tanto los principios de la función administrativa y de la gestión fiscal, así como el régimen de inhabilidades e incompatibilidades, temáticas tratadas y reguladas en el referido estatuto.</w:t>
      </w:r>
    </w:p>
    <w:p w14:paraId="6A7E93C8" w14:textId="77777777" w:rsidR="00D00727" w:rsidRPr="008E7E10" w:rsidRDefault="00D00727" w:rsidP="00D00727">
      <w:pPr>
        <w:widowControl w:val="0"/>
        <w:autoSpaceDE w:val="0"/>
        <w:autoSpaceDN w:val="0"/>
        <w:jc w:val="both"/>
        <w:rPr>
          <w:rFonts w:ascii="Arial" w:hAnsi="Arial" w:cs="Arial"/>
          <w:sz w:val="20"/>
          <w:szCs w:val="20"/>
        </w:rPr>
      </w:pPr>
      <w:r w:rsidRPr="008E7E10">
        <w:rPr>
          <w:rFonts w:ascii="Arial" w:eastAsia="Arial" w:hAnsi="Arial" w:cs="Arial"/>
          <w:sz w:val="20"/>
          <w:szCs w:val="20"/>
          <w:lang w:val="es-ES"/>
        </w:rPr>
        <w:t xml:space="preserve">Por ello, si bien las empresas sociales del Estado tienen personería jurídica, autonomía administrativa y patrimonio propio, esto no significa que pierdan su característica de ser entidades descentralizadas, pues hacen parte de la estructura del Estado. </w:t>
      </w:r>
    </w:p>
    <w:p w14:paraId="14F861F6" w14:textId="77777777" w:rsidR="00D00727" w:rsidRDefault="00D00727" w:rsidP="00D00727">
      <w:pPr>
        <w:jc w:val="both"/>
        <w:rPr>
          <w:rFonts w:ascii="Arial" w:eastAsia="Calibri" w:hAnsi="Arial" w:cs="Arial"/>
          <w:b/>
          <w:sz w:val="22"/>
          <w:lang w:val="es-ES_tradnl"/>
        </w:rPr>
      </w:pPr>
    </w:p>
    <w:p w14:paraId="17D2C8FA" w14:textId="77777777" w:rsidR="00D00727" w:rsidRPr="00C01BE9" w:rsidRDefault="00D00727" w:rsidP="00D00727">
      <w:pPr>
        <w:jc w:val="both"/>
        <w:rPr>
          <w:rFonts w:ascii="Arial" w:eastAsia="Calibri" w:hAnsi="Arial" w:cs="Arial"/>
          <w:b/>
          <w:sz w:val="22"/>
          <w:lang w:val="es-ES_tradnl"/>
        </w:rPr>
      </w:pPr>
      <w:r w:rsidRPr="00C01BE9">
        <w:rPr>
          <w:rFonts w:ascii="Arial" w:eastAsia="Calibri" w:hAnsi="Arial" w:cs="Arial"/>
          <w:b/>
          <w:sz w:val="22"/>
          <w:lang w:val="es-ES_tradnl"/>
        </w:rPr>
        <w:t>DOCUMENTOS TIPO – Fundamento normativo – Ley 2022 de 2020</w:t>
      </w:r>
    </w:p>
    <w:p w14:paraId="0C74D18D" w14:textId="77777777" w:rsidR="00D00727" w:rsidRPr="00C01BE9" w:rsidRDefault="00D00727" w:rsidP="00D00727">
      <w:pPr>
        <w:jc w:val="both"/>
        <w:rPr>
          <w:rFonts w:ascii="Arial" w:eastAsia="Calibri" w:hAnsi="Arial" w:cs="Arial"/>
          <w:b/>
          <w:sz w:val="22"/>
          <w:lang w:val="es-ES_tradnl"/>
        </w:rPr>
      </w:pPr>
    </w:p>
    <w:p w14:paraId="7897C092" w14:textId="77777777" w:rsidR="00D00727" w:rsidRPr="00C01BE9" w:rsidRDefault="00D00727" w:rsidP="00D00727">
      <w:pPr>
        <w:jc w:val="both"/>
        <w:rPr>
          <w:rFonts w:ascii="Arial" w:eastAsia="Calibri" w:hAnsi="Arial" w:cs="Arial"/>
          <w:sz w:val="20"/>
          <w:szCs w:val="20"/>
          <w:lang w:val="es-ES_tradnl"/>
        </w:rPr>
      </w:pPr>
      <w:r w:rsidRPr="00C01BE9">
        <w:rPr>
          <w:rFonts w:ascii="Arial" w:eastAsia="Calibri" w:hAnsi="Arial" w:cs="Arial"/>
          <w:sz w:val="20"/>
          <w:szCs w:val="20"/>
          <w:lang w:val="es-ES_tradnl"/>
        </w:rPr>
        <w:t xml:space="preserve">[…], </w:t>
      </w:r>
      <w:r w:rsidRPr="00D32BB8">
        <w:rPr>
          <w:rFonts w:ascii="Arial" w:eastAsia="Calibri" w:hAnsi="Arial" w:cs="Arial"/>
          <w:sz w:val="20"/>
          <w:szCs w:val="20"/>
          <w:lang w:val="es-ES_tradnl"/>
        </w:rPr>
        <w:t>se expidió la Ley 2022 de 2020, norma que modificó el parágrafo 7 del artículo 2 de la Ley 1150 de 2007, que había sido adicionado por la Ley 1882 de 2018 . Con esta modificación, si bien se mantuvo el mandato de aplicación obligatoria de los documentos tipo por parte de las entidades sometidas al Estatuto General de Contratación de la Administración Pública, se atribuyó, específicamente, a la Agencia Nacional de Contratación Pública – Colombia Compra Eficiente la competencia para su adopción. En este marco, con la finalidad de realizar un desarrollo armónico y ajustado a la ley que otorgó esta competencia, esta Agencia emitió la Resolución 160 de 2020 «Por la cual se adopta el procedimiento para implementar los documentos tipo y se define el sistema para su revisión»</w:t>
      </w:r>
    </w:p>
    <w:p w14:paraId="70C3A3A3" w14:textId="77777777" w:rsidR="00D00727" w:rsidRPr="00C01BE9" w:rsidRDefault="00D00727" w:rsidP="00D00727">
      <w:pPr>
        <w:jc w:val="both"/>
        <w:rPr>
          <w:rFonts w:ascii="Arial" w:eastAsia="Calibri" w:hAnsi="Arial" w:cs="Arial"/>
          <w:sz w:val="20"/>
          <w:szCs w:val="20"/>
          <w:lang w:val="es-ES_tradnl"/>
        </w:rPr>
      </w:pPr>
    </w:p>
    <w:p w14:paraId="1C699522" w14:textId="77777777" w:rsidR="00D00727" w:rsidRPr="00C01BE9" w:rsidRDefault="00D00727" w:rsidP="00D00727">
      <w:pPr>
        <w:jc w:val="both"/>
        <w:rPr>
          <w:rFonts w:ascii="Arial" w:eastAsia="Calibri" w:hAnsi="Arial" w:cs="Arial"/>
          <w:sz w:val="20"/>
          <w:szCs w:val="20"/>
          <w:lang w:val="es-ES_tradnl"/>
        </w:rPr>
      </w:pPr>
      <w:r w:rsidRPr="00C01BE9">
        <w:rPr>
          <w:rFonts w:ascii="Arial" w:eastAsia="Calibri" w:hAnsi="Arial" w:cs="Arial"/>
          <w:b/>
          <w:sz w:val="22"/>
          <w:lang w:val="es-ES_tradnl"/>
        </w:rPr>
        <w:t>DOCUMENTOS TIPO – Ámbito de aplicación</w:t>
      </w:r>
    </w:p>
    <w:p w14:paraId="198B0901" w14:textId="77777777" w:rsidR="00D00727" w:rsidRPr="00C01BE9" w:rsidRDefault="00D00727" w:rsidP="00D00727">
      <w:pPr>
        <w:jc w:val="both"/>
        <w:rPr>
          <w:rFonts w:ascii="Arial" w:eastAsia="Calibri" w:hAnsi="Arial" w:cs="Arial"/>
          <w:sz w:val="20"/>
          <w:szCs w:val="20"/>
          <w:lang w:val="es-ES_tradnl"/>
        </w:rPr>
      </w:pPr>
    </w:p>
    <w:p w14:paraId="05E52211" w14:textId="77777777" w:rsidR="00D00727" w:rsidRPr="00C01BE9" w:rsidRDefault="00D00727" w:rsidP="00D00727">
      <w:pPr>
        <w:jc w:val="both"/>
        <w:rPr>
          <w:rFonts w:ascii="Arial" w:eastAsia="Calibri" w:hAnsi="Arial" w:cs="Arial"/>
          <w:sz w:val="20"/>
          <w:szCs w:val="20"/>
          <w:lang w:val="es-ES_tradnl"/>
        </w:rPr>
      </w:pPr>
      <w:r w:rsidRPr="00D32BB8">
        <w:rPr>
          <w:rFonts w:ascii="Arial" w:eastAsia="Calibri" w:hAnsi="Arial" w:cs="Arial"/>
          <w:sz w:val="20"/>
          <w:szCs w:val="20"/>
          <w:lang w:val="es-ES_tradnl"/>
        </w:rPr>
        <w:t xml:space="preserve">En cuanto al ámbito de aplicación de estos documentos, es preciso explicar que cada una de estas resoluciones está relacionada con un sector, un objeto contractual y una modalidad de selección específica. 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w:t>
      </w:r>
      <w:r w:rsidRPr="00D32BB8">
        <w:rPr>
          <w:rFonts w:ascii="Arial" w:eastAsia="Calibri" w:hAnsi="Arial" w:cs="Arial"/>
          <w:sz w:val="20"/>
          <w:szCs w:val="20"/>
          <w:lang w:val="es-ES_tradnl"/>
        </w:rPr>
        <w:lastRenderedPageBreak/>
        <w:t>objeto a contratar son o no subsumibles dentro de lo dispuesto en aquellos. De ser esto así, la entidad estará obligada a adelantar el proceso de contratación aplicando los documentos tipo del caso.</w:t>
      </w:r>
    </w:p>
    <w:p w14:paraId="42588A37" w14:textId="77777777" w:rsidR="00D00727" w:rsidRDefault="00D00727" w:rsidP="00D00727">
      <w:pPr>
        <w:jc w:val="both"/>
        <w:rPr>
          <w:rFonts w:ascii="Arial" w:eastAsia="Calibri" w:hAnsi="Arial" w:cs="Arial"/>
          <w:b/>
          <w:sz w:val="22"/>
          <w:lang w:val="es-ES_tradnl"/>
        </w:rPr>
      </w:pPr>
    </w:p>
    <w:p w14:paraId="59BB47FB" w14:textId="77777777" w:rsidR="00D00727" w:rsidRPr="00C01BE9" w:rsidRDefault="00D00727" w:rsidP="00D00727">
      <w:pPr>
        <w:jc w:val="both"/>
        <w:rPr>
          <w:rFonts w:ascii="Arial" w:eastAsia="Calibri" w:hAnsi="Arial" w:cs="Arial"/>
          <w:b/>
          <w:sz w:val="22"/>
          <w:lang w:val="es-ES_tradnl"/>
        </w:rPr>
      </w:pPr>
      <w:r w:rsidRPr="00C01BE9">
        <w:rPr>
          <w:rFonts w:ascii="Arial" w:eastAsia="Calibri" w:hAnsi="Arial" w:cs="Arial"/>
          <w:b/>
          <w:sz w:val="22"/>
          <w:lang w:val="es-ES_tradnl"/>
        </w:rPr>
        <w:t xml:space="preserve">LEY 2195 DE 2022 – Artículo 56 – </w:t>
      </w:r>
      <w:r>
        <w:rPr>
          <w:rFonts w:ascii="Arial" w:eastAsia="Calibri" w:hAnsi="Arial" w:cs="Arial"/>
          <w:b/>
          <w:sz w:val="22"/>
          <w:lang w:val="es-ES_tradnl"/>
        </w:rPr>
        <w:t xml:space="preserve">Aplicación del EGCAP y documentos tipo a entidades exceptuadas y particulares </w:t>
      </w:r>
    </w:p>
    <w:p w14:paraId="00C54686" w14:textId="77777777" w:rsidR="00D00727" w:rsidRPr="00C01BE9" w:rsidRDefault="00D00727" w:rsidP="00D00727">
      <w:pPr>
        <w:jc w:val="both"/>
        <w:rPr>
          <w:rFonts w:ascii="Arial" w:eastAsia="Calibri" w:hAnsi="Arial" w:cs="Arial"/>
          <w:b/>
          <w:sz w:val="22"/>
          <w:lang w:val="es-ES_tradnl"/>
        </w:rPr>
      </w:pPr>
    </w:p>
    <w:p w14:paraId="2B2F2A18" w14:textId="77777777" w:rsidR="00D00727" w:rsidRDefault="00D00727" w:rsidP="00D00727">
      <w:pPr>
        <w:tabs>
          <w:tab w:val="left" w:pos="0"/>
        </w:tabs>
        <w:spacing w:after="120"/>
        <w:jc w:val="both"/>
        <w:rPr>
          <w:rFonts w:ascii="Arial" w:eastAsia="Calibri" w:hAnsi="Arial" w:cs="Arial"/>
          <w:bCs/>
          <w:sz w:val="20"/>
          <w:lang w:val="es-ES_tradnl"/>
        </w:rPr>
      </w:pPr>
      <w:r>
        <w:rPr>
          <w:rFonts w:ascii="Arial" w:eastAsia="Calibri" w:hAnsi="Arial" w:cs="Arial"/>
          <w:bCs/>
          <w:sz w:val="20"/>
          <w:lang w:val="es-ES_tradnl"/>
        </w:rPr>
        <w:t>E</w:t>
      </w:r>
      <w:r w:rsidRPr="00D32BB8">
        <w:rPr>
          <w:rFonts w:ascii="Arial" w:eastAsia="Calibri" w:hAnsi="Arial" w:cs="Arial"/>
          <w:bCs/>
          <w:sz w:val="20"/>
          <w:lang w:val="es-ES_tradnl"/>
        </w:rPr>
        <w:t>l artículo 56, disposición que se refiere de manera expresa a los documentos tipo y a su aplicabilidad a sujetos diferentes de las entidades estatales sometidas al Estatuto General de Contratación de la Administración Pública</w:t>
      </w:r>
      <w:r>
        <w:rPr>
          <w:rFonts w:ascii="Arial" w:eastAsia="Calibri" w:hAnsi="Arial" w:cs="Arial"/>
          <w:bCs/>
          <w:sz w:val="20"/>
          <w:lang w:val="es-ES_tradnl"/>
        </w:rPr>
        <w:t xml:space="preserve">. […] </w:t>
      </w:r>
      <w:r w:rsidRPr="00686F0D">
        <w:rPr>
          <w:rFonts w:ascii="Arial" w:eastAsia="Calibri" w:hAnsi="Arial" w:cs="Arial"/>
          <w:bCs/>
          <w:sz w:val="20"/>
          <w:lang w:val="es-ES_tradnl"/>
        </w:rPr>
        <w:t xml:space="preserve">se refiere a la adquisición de bienes, obras o servicios por parte de entidades estatales sometidas al EGCAP, que celebren contratos, convenios interadministrativos o de cualquier otra índole con entidades estatales exceptuadas, patrimonios autónomos, personas naturales o jurídicas de derecho privado. En ese sentido, este primer inciso formula un mandato dirigido a las entidades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w:t>
      </w:r>
      <w:r>
        <w:rPr>
          <w:rFonts w:ascii="Arial" w:eastAsia="Calibri" w:hAnsi="Arial" w:cs="Arial"/>
          <w:bCs/>
          <w:sz w:val="20"/>
          <w:lang w:val="es-ES_tradnl"/>
        </w:rPr>
        <w:t xml:space="preserve">[…] </w:t>
      </w:r>
      <w:r w:rsidRPr="00686F0D">
        <w:rPr>
          <w:rFonts w:ascii="Arial" w:eastAsia="Calibri" w:hAnsi="Arial" w:cs="Arial"/>
          <w:bCs/>
          <w:sz w:val="20"/>
          <w:lang w:val="es-ES_tradnl"/>
        </w:rPr>
        <w:t xml:space="preserve">En este escenario, el primer inciso del artículo 56 de la Ley 2195 de 2022 surge como una disposición complementaria de la Ley 2022 de 2020, en la medida en que, según se desprende de su texto, de una parte, la norma busca extender la aplicación obligatoria de los documentos tipo a la celebración de contratos o convenios interadministrativos entre entidades regidas por EGCAP y otros sujetos cuyo régimen de contratación prevalente es el derecho privado. Esto de tal forma que cuando una entidad estatal regida por el EGCAP celebre contratos o convenios con otra i) entidad estatal de régimen especial o con ii) patrimonios autónomos o iii)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mediante documentos tipo.    </w:t>
      </w:r>
    </w:p>
    <w:p w14:paraId="4B6EA306" w14:textId="77777777" w:rsidR="00D00727" w:rsidRPr="00686F0D" w:rsidRDefault="00D00727" w:rsidP="00D00727">
      <w:pPr>
        <w:tabs>
          <w:tab w:val="left" w:pos="0"/>
        </w:tabs>
        <w:spacing w:after="120"/>
        <w:jc w:val="both"/>
        <w:rPr>
          <w:rFonts w:ascii="Arial" w:eastAsia="Calibri" w:hAnsi="Arial" w:cs="Arial"/>
          <w:bCs/>
          <w:sz w:val="20"/>
          <w:lang w:val="es-ES_tradnl"/>
        </w:rPr>
      </w:pPr>
      <w:r>
        <w:rPr>
          <w:rFonts w:ascii="Arial" w:eastAsia="Calibri" w:hAnsi="Arial" w:cs="Arial"/>
          <w:bCs/>
          <w:sz w:val="20"/>
          <w:lang w:val="es-ES_tradnl"/>
        </w:rPr>
        <w:t xml:space="preserve">  </w:t>
      </w:r>
    </w:p>
    <w:p w14:paraId="6E710D62" w14:textId="77777777" w:rsidR="00D00727" w:rsidRPr="00C01BE9" w:rsidRDefault="00D00727" w:rsidP="00D00727">
      <w:pPr>
        <w:tabs>
          <w:tab w:val="left" w:pos="0"/>
        </w:tabs>
        <w:spacing w:after="120" w:line="276" w:lineRule="auto"/>
        <w:jc w:val="both"/>
        <w:rPr>
          <w:rFonts w:ascii="Arial" w:eastAsia="Calibri" w:hAnsi="Arial" w:cs="Arial"/>
          <w:bCs/>
          <w:sz w:val="22"/>
          <w:lang w:val="es-ES_tradnl"/>
        </w:rPr>
      </w:pPr>
      <w:r>
        <w:rPr>
          <w:rFonts w:ascii="Arial" w:eastAsia="Calibri" w:hAnsi="Arial" w:cs="Arial"/>
          <w:b/>
          <w:sz w:val="22"/>
          <w:lang w:val="es-ES_tradnl"/>
        </w:rPr>
        <w:t xml:space="preserve">ARTÍCULO 56 DE LA </w:t>
      </w:r>
      <w:r w:rsidRPr="00C01BE9">
        <w:rPr>
          <w:rFonts w:ascii="Arial" w:eastAsia="Calibri" w:hAnsi="Arial" w:cs="Arial"/>
          <w:b/>
          <w:sz w:val="22"/>
          <w:lang w:val="es-ES_tradnl"/>
        </w:rPr>
        <w:t xml:space="preserve">LEY 2195 DE 2022 – </w:t>
      </w:r>
      <w:r>
        <w:rPr>
          <w:rFonts w:ascii="Arial" w:eastAsia="Calibri" w:hAnsi="Arial" w:cs="Arial"/>
          <w:b/>
          <w:sz w:val="22"/>
          <w:lang w:val="es-ES_tradnl"/>
        </w:rPr>
        <w:t xml:space="preserve">efecto modificatorio </w:t>
      </w:r>
    </w:p>
    <w:p w14:paraId="021B55DA" w14:textId="77777777" w:rsidR="00D00727" w:rsidRPr="00AD0A5E" w:rsidRDefault="00D00727" w:rsidP="00D00727">
      <w:pPr>
        <w:tabs>
          <w:tab w:val="left" w:pos="0"/>
        </w:tabs>
        <w:spacing w:after="120"/>
        <w:jc w:val="both"/>
        <w:rPr>
          <w:rFonts w:ascii="Arial" w:eastAsia="Calibri" w:hAnsi="Arial" w:cs="Arial"/>
          <w:bCs/>
          <w:sz w:val="20"/>
          <w:lang w:val="es-ES_tradnl"/>
        </w:rPr>
      </w:pPr>
      <w:r>
        <w:rPr>
          <w:rFonts w:ascii="Arial" w:eastAsia="Calibri" w:hAnsi="Arial" w:cs="Arial"/>
          <w:bCs/>
          <w:sz w:val="20"/>
          <w:lang w:val="es-ES_tradnl"/>
        </w:rPr>
        <w:t>E</w:t>
      </w:r>
      <w:r w:rsidRPr="00AD0A5E">
        <w:rPr>
          <w:rFonts w:ascii="Arial" w:eastAsia="Calibri" w:hAnsi="Arial" w:cs="Arial"/>
          <w:bCs/>
          <w:sz w:val="20"/>
          <w:lang w:val="es-ES_tradnl"/>
        </w:rPr>
        <w:t xml:space="preserve">l artículo 56 de la Ley 2195 de 2022 supuso una modificación tácita del artículo 2, numeral 4, literal c), de la Ley 1150 de 2007. De acuerdo con lo expuesto, los efectos de esta modificación no solo se proyectan a la celebración propiamente dicha del contrato o convenio entre la entidad sometida y la exceptuada, sino que se extienden a todos los contratos y procedimientos de selección que adelanten estos últimos en desarrollo de la relación primigenia, en los que deberán aplicarse el EGCAP y los documentos tipo vigentes. </w:t>
      </w:r>
    </w:p>
    <w:p w14:paraId="6DB93960" w14:textId="77777777" w:rsidR="00D00727" w:rsidRDefault="00D00727" w:rsidP="00D00727">
      <w:pPr>
        <w:tabs>
          <w:tab w:val="left" w:pos="0"/>
        </w:tabs>
        <w:spacing w:after="120"/>
        <w:jc w:val="both"/>
        <w:rPr>
          <w:rFonts w:ascii="Arial" w:eastAsia="Calibri" w:hAnsi="Arial" w:cs="Arial"/>
          <w:bCs/>
          <w:sz w:val="20"/>
          <w:lang w:val="es-ES_tradnl"/>
        </w:rPr>
      </w:pPr>
      <w:r w:rsidRPr="00AD0A5E">
        <w:rPr>
          <w:rFonts w:ascii="Arial" w:eastAsia="Calibri" w:hAnsi="Arial" w:cs="Arial"/>
          <w:bCs/>
          <w:sz w:val="20"/>
          <w:lang w:val="es-ES_tradnl"/>
        </w:rPr>
        <w:t>En tales términos, de lo analizado hasta aquí es posible concluir que un efecto importante de la norma bajo estudio es la ampliación del ámbito de aplicación de los documentos tipo, al hacerlos obligatorios para unos sujetos que, en principio, de acuerdo con la Ley 2022 de 2020, no estarían sometidos a esos documentos. Para complementar esta medida, la disposición además hace extensiva la aplicación del EGCAP a esto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w:t>
      </w:r>
    </w:p>
    <w:p w14:paraId="75DB0605" w14:textId="77777777" w:rsidR="00D00727" w:rsidRPr="00AD0A5E" w:rsidRDefault="00D00727" w:rsidP="00D00727">
      <w:pPr>
        <w:tabs>
          <w:tab w:val="left" w:pos="0"/>
        </w:tabs>
        <w:spacing w:after="120"/>
        <w:jc w:val="both"/>
        <w:rPr>
          <w:rFonts w:ascii="Arial" w:eastAsia="Calibri" w:hAnsi="Arial" w:cs="Arial"/>
          <w:bCs/>
          <w:sz w:val="20"/>
          <w:lang w:val="es-ES_tradnl"/>
        </w:rPr>
      </w:pPr>
      <w:r>
        <w:rPr>
          <w:rFonts w:ascii="Arial" w:eastAsia="Calibri" w:hAnsi="Arial" w:cs="Arial"/>
          <w:bCs/>
          <w:sz w:val="20"/>
          <w:lang w:val="es-ES_tradnl"/>
        </w:rPr>
        <w:lastRenderedPageBreak/>
        <w:t>[…]</w:t>
      </w:r>
    </w:p>
    <w:p w14:paraId="6E82DF2E" w14:textId="77777777" w:rsidR="00D00727" w:rsidRPr="00AD0A5E" w:rsidRDefault="00D00727" w:rsidP="00D00727">
      <w:pPr>
        <w:tabs>
          <w:tab w:val="left" w:pos="0"/>
        </w:tabs>
        <w:spacing w:after="120"/>
        <w:jc w:val="both"/>
        <w:rPr>
          <w:rFonts w:ascii="Arial" w:eastAsia="Calibri" w:hAnsi="Arial" w:cs="Arial"/>
          <w:bCs/>
          <w:sz w:val="20"/>
          <w:lang w:val="es-ES_tradnl"/>
        </w:rPr>
      </w:pPr>
      <w:r w:rsidRPr="00A2097D">
        <w:rPr>
          <w:rFonts w:ascii="Arial" w:eastAsia="Calibri" w:hAnsi="Arial" w:cs="Arial"/>
          <w:bCs/>
          <w:sz w:val="20"/>
          <w:lang w:val="es-ES_tradnl"/>
        </w:rPr>
        <w:t>En este punto conviene precisar que, de conformidad con el artículo 56, el hecho de que una entidad exceptuada, un patrimonio autónomo, una persona natural o una persona jurídica, tenga suscrito un contrato o convenio con una entidad sometida al EGCAP, no significa que mute su régimen jurídico de manera permanente</w:t>
      </w:r>
    </w:p>
    <w:p w14:paraId="2DB8E12C" w14:textId="77777777" w:rsidR="00D00727" w:rsidRPr="00C01BE9" w:rsidRDefault="00D00727" w:rsidP="00D00727">
      <w:pPr>
        <w:tabs>
          <w:tab w:val="left" w:pos="0"/>
        </w:tabs>
        <w:spacing w:line="276" w:lineRule="auto"/>
        <w:jc w:val="both"/>
        <w:rPr>
          <w:rFonts w:ascii="Arial" w:eastAsia="Calibri" w:hAnsi="Arial" w:cs="Arial"/>
          <w:bCs/>
          <w:sz w:val="22"/>
          <w:lang w:val="es-ES_tradnl"/>
        </w:rPr>
      </w:pPr>
      <w:r w:rsidRPr="00C01BE9">
        <w:rPr>
          <w:rFonts w:ascii="Arial" w:eastAsia="Calibri" w:hAnsi="Arial" w:cs="Arial"/>
          <w:b/>
          <w:sz w:val="22"/>
          <w:lang w:val="es-ES_tradnl"/>
        </w:rPr>
        <w:t xml:space="preserve">LEY 2195 DE 2022 – Artículo 56 – Parágrafo – </w:t>
      </w:r>
      <w:r>
        <w:rPr>
          <w:rFonts w:ascii="Arial" w:eastAsia="Calibri" w:hAnsi="Arial" w:cs="Arial"/>
          <w:b/>
          <w:sz w:val="22"/>
          <w:lang w:val="es-ES_tradnl"/>
        </w:rPr>
        <w:t xml:space="preserve">Excepción - </w:t>
      </w:r>
      <w:r w:rsidRPr="00C01BE9">
        <w:rPr>
          <w:rFonts w:ascii="Arial" w:eastAsia="Calibri" w:hAnsi="Arial" w:cs="Arial"/>
          <w:b/>
          <w:sz w:val="22"/>
          <w:lang w:val="es-ES_tradnl"/>
        </w:rPr>
        <w:t xml:space="preserve">Giro ordinario </w:t>
      </w:r>
    </w:p>
    <w:p w14:paraId="28A31965" w14:textId="77777777" w:rsidR="00D00727" w:rsidRPr="00C01BE9" w:rsidRDefault="00D00727" w:rsidP="00D00727">
      <w:pPr>
        <w:jc w:val="both"/>
        <w:rPr>
          <w:rFonts w:ascii="Arial" w:hAnsi="Arial" w:cs="Arial"/>
          <w:noProof/>
          <w:sz w:val="22"/>
          <w:lang w:val="es-ES_tradnl"/>
        </w:rPr>
      </w:pPr>
    </w:p>
    <w:p w14:paraId="14120B50" w14:textId="77777777" w:rsidR="00D00727" w:rsidRDefault="00D00727" w:rsidP="00D00727">
      <w:pPr>
        <w:jc w:val="both"/>
        <w:rPr>
          <w:rFonts w:ascii="Arial" w:hAnsi="Arial" w:cs="Arial"/>
          <w:noProof/>
          <w:sz w:val="20"/>
          <w:szCs w:val="20"/>
          <w:lang w:val="es-ES_tradnl"/>
        </w:rPr>
      </w:pPr>
      <w:r>
        <w:rPr>
          <w:rFonts w:ascii="Arial" w:hAnsi="Arial" w:cs="Arial"/>
          <w:noProof/>
          <w:sz w:val="20"/>
          <w:szCs w:val="20"/>
          <w:lang w:val="es-ES_tradnl"/>
        </w:rPr>
        <w:t>L</w:t>
      </w:r>
      <w:r w:rsidRPr="00A2097D">
        <w:rPr>
          <w:rFonts w:ascii="Arial" w:hAnsi="Arial" w:cs="Arial"/>
          <w:noProof/>
          <w:sz w:val="20"/>
          <w:szCs w:val="20"/>
          <w:lang w:val="es-ES_tradnl"/>
        </w:rPr>
        <w:t>o dispuesto en el parágrafo del artículo 56 implica que las instituciones de educación superior públicas, las empresas sociales del Estado, las sociedades de economía mixta y las empresas industriales y comerciales del Estado, no tendrán que implementar documentos tipo únicamente para la contratación relacionada con el giro ordinario de sus asuntos, salvo que los manuales internos de contratación de estas entidades dispongan la obligación de tener en cuenta los documentos tipo como una buena práctica contractual. De acuerdo con este entendimiento, estas entidades, en virtud de su enunciación en este parágrafo, quedan, en principio, exceptuadas de los documentos tipo, incluso para la contratación de obras o servicios cubiertos por documentos tipo, en el marco del cumplimiento de contratos o convenios con entidades sometidas al EGCAP y de los negocios jurídicos que se deriven de ellos, exclusivamente en lo que se refiere a su giro ordinario, entendido este conforme a los criterios jurisprudenciales y doctrinarios aquí explicados.</w:t>
      </w:r>
    </w:p>
    <w:p w14:paraId="1348CAD1" w14:textId="77777777" w:rsidR="00D00727" w:rsidRDefault="00D00727" w:rsidP="00D00727">
      <w:pPr>
        <w:jc w:val="both"/>
        <w:rPr>
          <w:rFonts w:ascii="Arial" w:hAnsi="Arial" w:cs="Arial"/>
          <w:noProof/>
          <w:sz w:val="20"/>
          <w:szCs w:val="20"/>
          <w:lang w:val="es-ES_tradnl"/>
        </w:rPr>
      </w:pPr>
      <w:r>
        <w:rPr>
          <w:rFonts w:ascii="Arial" w:hAnsi="Arial" w:cs="Arial"/>
          <w:noProof/>
          <w:sz w:val="20"/>
          <w:szCs w:val="20"/>
          <w:lang w:val="es-ES_tradnl"/>
        </w:rPr>
        <w:t>[…]</w:t>
      </w:r>
    </w:p>
    <w:p w14:paraId="6A9963BA" w14:textId="77777777" w:rsidR="00D00727" w:rsidRPr="00EB0DE7" w:rsidRDefault="00D00727" w:rsidP="00D00727">
      <w:pPr>
        <w:jc w:val="both"/>
        <w:rPr>
          <w:rFonts w:ascii="Arial" w:hAnsi="Arial" w:cs="Arial"/>
          <w:noProof/>
          <w:sz w:val="20"/>
          <w:szCs w:val="20"/>
          <w:lang w:val="es-ES_tradnl"/>
        </w:rPr>
      </w:pPr>
      <w:r w:rsidRPr="00EB0DE7">
        <w:rPr>
          <w:rFonts w:ascii="Arial" w:hAnsi="Arial" w:cs="Arial"/>
          <w:noProof/>
          <w:sz w:val="20"/>
          <w:szCs w:val="20"/>
          <w:lang w:val="es-ES_tradnl"/>
        </w:rPr>
        <w:t>En conclusión, a juicio de esta Agencia lo dispuesto en el parágrafo del artículo 56 de la Ley 2195 de 2022, es una manifestación de la voluntad del Legislador de relevar a las instituciones de educación superior públicas, las empresas sociales del Estado, las sociedades de economía mixta y las empresas industriales y comerciales del Estado, de la implementación de documentos tipo y de la aplicación del EGCAP, únicamente en lo que tiene que ver con su giro ordinario. Esto significa que tales entidades, cuando en desarrollo de un contrato o un convenio con una entidad sometida al EGCAP, requieran contratar un objeto cobijado por algún documento tipo, que no esté comprendido dentro de su giro ordinario, deberán regirse por lo establecido en los dos incisos del referido artículo</w:t>
      </w:r>
      <w:r>
        <w:rPr>
          <w:rFonts w:ascii="Arial" w:hAnsi="Arial" w:cs="Arial"/>
          <w:noProof/>
          <w:sz w:val="20"/>
          <w:szCs w:val="20"/>
          <w:lang w:val="es-ES_tradnl"/>
        </w:rPr>
        <w:t>.</w:t>
      </w:r>
    </w:p>
    <w:p w14:paraId="1993D26E" w14:textId="77777777" w:rsidR="00D00727" w:rsidRDefault="00D00727" w:rsidP="00D00727">
      <w:pPr>
        <w:jc w:val="both"/>
        <w:rPr>
          <w:rFonts w:ascii="Arial" w:eastAsia="Calibri" w:hAnsi="Arial" w:cs="Arial"/>
          <w:color w:val="000000" w:themeColor="text1"/>
          <w:sz w:val="22"/>
          <w:lang w:val="es-ES_tradnl"/>
        </w:rPr>
      </w:pPr>
    </w:p>
    <w:p w14:paraId="56FC831A" w14:textId="77777777" w:rsidR="00D00727" w:rsidRPr="00213052" w:rsidRDefault="00D00727" w:rsidP="00D00727">
      <w:pPr>
        <w:jc w:val="both"/>
        <w:rPr>
          <w:rFonts w:ascii="Arial" w:hAnsi="Arial" w:cs="Arial"/>
          <w:noProof/>
          <w:color w:val="000000" w:themeColor="text1"/>
          <w:sz w:val="22"/>
          <w:lang w:val="es-ES_tradnl"/>
        </w:rPr>
      </w:pPr>
    </w:p>
    <w:p w14:paraId="303E5EAD" w14:textId="77777777" w:rsidR="00D00727" w:rsidRPr="00213052" w:rsidRDefault="00D00727" w:rsidP="00D00727">
      <w:pPr>
        <w:jc w:val="both"/>
        <w:rPr>
          <w:rFonts w:ascii="Arial" w:hAnsi="Arial" w:cs="Arial"/>
          <w:noProof/>
          <w:color w:val="000000" w:themeColor="text1"/>
          <w:sz w:val="22"/>
          <w:lang w:val="es-ES_tradnl"/>
        </w:rPr>
      </w:pPr>
    </w:p>
    <w:p w14:paraId="63C2F1B4" w14:textId="77777777" w:rsidR="00D00727" w:rsidRDefault="00D00727" w:rsidP="00D00727">
      <w:pPr>
        <w:jc w:val="both"/>
        <w:rPr>
          <w:rFonts w:ascii="Arial" w:hAnsi="Arial" w:cs="Arial"/>
          <w:noProof/>
          <w:color w:val="000000" w:themeColor="text1"/>
          <w:sz w:val="22"/>
          <w:lang w:val="es-ES_tradnl"/>
        </w:rPr>
      </w:pPr>
    </w:p>
    <w:p w14:paraId="48BF84F2" w14:textId="77777777" w:rsidR="00D00727" w:rsidRDefault="00D00727" w:rsidP="00D00727">
      <w:pPr>
        <w:jc w:val="both"/>
        <w:rPr>
          <w:rFonts w:ascii="Arial" w:hAnsi="Arial" w:cs="Arial"/>
          <w:noProof/>
          <w:color w:val="000000" w:themeColor="text1"/>
          <w:sz w:val="22"/>
          <w:lang w:val="es-ES_tradnl"/>
        </w:rPr>
      </w:pPr>
    </w:p>
    <w:p w14:paraId="765C09BC" w14:textId="77777777" w:rsidR="00D00727" w:rsidRDefault="00D00727" w:rsidP="00D00727">
      <w:pPr>
        <w:jc w:val="both"/>
        <w:rPr>
          <w:rFonts w:ascii="Arial" w:hAnsi="Arial" w:cs="Arial"/>
          <w:noProof/>
          <w:color w:val="000000" w:themeColor="text1"/>
          <w:sz w:val="22"/>
          <w:lang w:val="es-ES_tradnl"/>
        </w:rPr>
      </w:pPr>
    </w:p>
    <w:p w14:paraId="43EE58A0" w14:textId="77777777" w:rsidR="00D00727" w:rsidRDefault="00D00727" w:rsidP="00D00727">
      <w:pPr>
        <w:jc w:val="both"/>
        <w:rPr>
          <w:rFonts w:ascii="Arial" w:hAnsi="Arial" w:cs="Arial"/>
          <w:noProof/>
          <w:color w:val="000000" w:themeColor="text1"/>
          <w:sz w:val="22"/>
          <w:lang w:val="es-ES_tradnl"/>
        </w:rPr>
      </w:pPr>
    </w:p>
    <w:p w14:paraId="29CAB82F" w14:textId="77777777" w:rsidR="00D00727" w:rsidRDefault="00D00727" w:rsidP="00D00727">
      <w:pPr>
        <w:rPr>
          <w:rFonts w:ascii="Arial" w:eastAsia="Calibri" w:hAnsi="Arial" w:cs="Arial"/>
          <w:sz w:val="22"/>
          <w:szCs w:val="20"/>
          <w:lang w:val="es-ES_tradnl"/>
        </w:rPr>
      </w:pPr>
    </w:p>
    <w:p w14:paraId="6108B68B" w14:textId="77777777" w:rsidR="00D00727" w:rsidRDefault="00D00727" w:rsidP="00D00727">
      <w:pPr>
        <w:rPr>
          <w:rFonts w:ascii="Arial" w:eastAsia="Calibri" w:hAnsi="Arial" w:cs="Arial"/>
          <w:sz w:val="22"/>
          <w:szCs w:val="20"/>
          <w:lang w:val="es-ES_tradnl"/>
        </w:rPr>
      </w:pPr>
    </w:p>
    <w:p w14:paraId="264FD9AD" w14:textId="77777777" w:rsidR="00D00727" w:rsidRDefault="00D00727" w:rsidP="00D00727">
      <w:pPr>
        <w:rPr>
          <w:rFonts w:ascii="Arial" w:eastAsia="Calibri" w:hAnsi="Arial" w:cs="Arial"/>
          <w:sz w:val="22"/>
          <w:szCs w:val="20"/>
          <w:lang w:val="es-ES_tradnl"/>
        </w:rPr>
      </w:pPr>
    </w:p>
    <w:p w14:paraId="605E79E4" w14:textId="77777777" w:rsidR="00D00727" w:rsidRDefault="00D00727" w:rsidP="00D00727">
      <w:pPr>
        <w:rPr>
          <w:rFonts w:ascii="Arial" w:eastAsia="Calibri" w:hAnsi="Arial" w:cs="Arial"/>
          <w:sz w:val="22"/>
          <w:szCs w:val="20"/>
          <w:lang w:val="es-ES_tradnl"/>
        </w:rPr>
      </w:pPr>
    </w:p>
    <w:p w14:paraId="23771AF0" w14:textId="77777777" w:rsidR="00D00727" w:rsidRDefault="00D00727" w:rsidP="00D00727">
      <w:pPr>
        <w:rPr>
          <w:rFonts w:ascii="Arial" w:eastAsia="Calibri" w:hAnsi="Arial" w:cs="Arial"/>
          <w:sz w:val="22"/>
          <w:szCs w:val="20"/>
          <w:lang w:val="es-ES_tradnl"/>
        </w:rPr>
      </w:pPr>
    </w:p>
    <w:p w14:paraId="2B512D60" w14:textId="77777777" w:rsidR="00D00727" w:rsidRDefault="00D00727" w:rsidP="00D00727">
      <w:pPr>
        <w:rPr>
          <w:rFonts w:ascii="Arial" w:eastAsia="Calibri" w:hAnsi="Arial" w:cs="Arial"/>
          <w:sz w:val="22"/>
          <w:szCs w:val="20"/>
          <w:lang w:val="es-ES_tradnl"/>
        </w:rPr>
      </w:pPr>
    </w:p>
    <w:p w14:paraId="64467A97" w14:textId="77777777" w:rsidR="00D00727" w:rsidRDefault="00D00727" w:rsidP="00D00727">
      <w:pPr>
        <w:rPr>
          <w:rFonts w:ascii="Arial" w:eastAsia="Calibri" w:hAnsi="Arial" w:cs="Arial"/>
          <w:sz w:val="22"/>
          <w:szCs w:val="20"/>
          <w:lang w:val="es-ES_tradnl"/>
        </w:rPr>
      </w:pPr>
    </w:p>
    <w:p w14:paraId="7ED9CDF7" w14:textId="77777777" w:rsidR="00D00727" w:rsidRDefault="00D00727" w:rsidP="00D00727">
      <w:pPr>
        <w:rPr>
          <w:rFonts w:ascii="Arial" w:eastAsia="Calibri" w:hAnsi="Arial" w:cs="Arial"/>
          <w:sz w:val="22"/>
          <w:szCs w:val="20"/>
          <w:lang w:val="es-ES_tradnl"/>
        </w:rPr>
      </w:pPr>
    </w:p>
    <w:p w14:paraId="04BF7824" w14:textId="77777777" w:rsidR="00D00727" w:rsidRDefault="00D00727" w:rsidP="00D00727">
      <w:pPr>
        <w:rPr>
          <w:rFonts w:ascii="Arial" w:eastAsia="Calibri" w:hAnsi="Arial" w:cs="Arial"/>
          <w:sz w:val="22"/>
          <w:szCs w:val="20"/>
          <w:lang w:val="es-ES_tradnl"/>
        </w:rPr>
      </w:pPr>
    </w:p>
    <w:p w14:paraId="4070B6D9" w14:textId="77777777" w:rsidR="00D00727" w:rsidRDefault="00D00727" w:rsidP="00D00727">
      <w:pPr>
        <w:rPr>
          <w:rFonts w:ascii="Arial" w:eastAsia="Calibri" w:hAnsi="Arial" w:cs="Arial"/>
          <w:sz w:val="22"/>
          <w:szCs w:val="20"/>
          <w:lang w:val="es-ES_tradnl"/>
        </w:rPr>
      </w:pPr>
    </w:p>
    <w:p w14:paraId="3F237E65" w14:textId="77777777" w:rsidR="00D00727" w:rsidRPr="00824B31" w:rsidRDefault="00D00727" w:rsidP="00D00727">
      <w:pPr>
        <w:jc w:val="right"/>
        <w:rPr>
          <w:rFonts w:ascii="Times New Roman" w:eastAsia="Times New Roman" w:hAnsi="Times New Roman" w:cs="Times New Roman"/>
          <w:szCs w:val="24"/>
          <w:lang w:val="es-CO" w:eastAsia="es-MX"/>
        </w:rPr>
      </w:pPr>
      <w:r w:rsidRPr="00824B31">
        <w:rPr>
          <w:rFonts w:ascii="Times New Roman" w:eastAsia="Times New Roman" w:hAnsi="Times New Roman" w:cs="Times New Roman"/>
          <w:szCs w:val="24"/>
          <w:lang w:val="es-CO" w:eastAsia="es-MX"/>
        </w:rPr>
        <w:lastRenderedPageBreak/>
        <w:fldChar w:fldCharType="begin"/>
      </w:r>
      <w:r w:rsidRPr="00824B31">
        <w:rPr>
          <w:rFonts w:ascii="Times New Roman" w:eastAsia="Times New Roman" w:hAnsi="Times New Roman" w:cs="Times New Roman"/>
          <w:szCs w:val="24"/>
          <w:lang w:val="es-CO" w:eastAsia="es-MX"/>
        </w:rPr>
        <w:instrText xml:space="preserve"> INCLUDEPICTURE "/var/folders/tb/0fmk9b510f57pz5rwhv8lnpw0000gp/T/com.microsoft.Word/WebArchiveCopyPasteTempFiles/page1image11594720" \* MERGEFORMATINET </w:instrText>
      </w:r>
      <w:r w:rsidRPr="00824B31">
        <w:rPr>
          <w:rFonts w:ascii="Times New Roman" w:eastAsia="Times New Roman" w:hAnsi="Times New Roman" w:cs="Times New Roman"/>
          <w:szCs w:val="24"/>
          <w:lang w:val="es-CO" w:eastAsia="es-MX"/>
        </w:rPr>
        <w:fldChar w:fldCharType="separate"/>
      </w:r>
      <w:r w:rsidRPr="00824B31">
        <w:rPr>
          <w:rFonts w:ascii="Times New Roman" w:eastAsia="Times New Roman" w:hAnsi="Times New Roman" w:cs="Times New Roman"/>
          <w:noProof/>
          <w:szCs w:val="24"/>
          <w:lang w:val="es-CO" w:eastAsia="es-MX"/>
        </w:rPr>
        <w:drawing>
          <wp:inline distT="0" distB="0" distL="0" distR="0" wp14:anchorId="50F08295" wp14:editId="35CE7348">
            <wp:extent cx="2402205" cy="614045"/>
            <wp:effectExtent l="0" t="0" r="0" b="0"/>
            <wp:docPr id="2" name="Imagen 2" descr="page1image11594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15947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2205" cy="614045"/>
                    </a:xfrm>
                    <a:prstGeom prst="rect">
                      <a:avLst/>
                    </a:prstGeom>
                    <a:noFill/>
                    <a:ln>
                      <a:noFill/>
                    </a:ln>
                  </pic:spPr>
                </pic:pic>
              </a:graphicData>
            </a:graphic>
          </wp:inline>
        </w:drawing>
      </w:r>
      <w:r w:rsidRPr="00824B31">
        <w:rPr>
          <w:rFonts w:ascii="Times New Roman" w:eastAsia="Times New Roman" w:hAnsi="Times New Roman" w:cs="Times New Roman"/>
          <w:szCs w:val="24"/>
          <w:lang w:val="es-CO" w:eastAsia="es-MX"/>
        </w:rPr>
        <w:fldChar w:fldCharType="end"/>
      </w:r>
    </w:p>
    <w:p w14:paraId="4FB4C12E" w14:textId="77777777" w:rsidR="00D00727" w:rsidRPr="00E95FC9" w:rsidRDefault="00D00727" w:rsidP="00D00727">
      <w:pPr>
        <w:rPr>
          <w:rFonts w:ascii="Arial" w:eastAsia="Calibri" w:hAnsi="Arial" w:cs="Arial"/>
          <w:sz w:val="22"/>
          <w:szCs w:val="20"/>
          <w:lang w:val="es-ES_tradnl"/>
        </w:rPr>
      </w:pPr>
      <w:r w:rsidRPr="00E95FC9">
        <w:rPr>
          <w:rFonts w:ascii="Arial" w:hAnsi="Arial" w:cs="Arial"/>
          <w:color w:val="4E4D4D"/>
          <w:sz w:val="22"/>
          <w:lang w:val="es-ES_tradnl"/>
        </w:rPr>
        <w:tab/>
      </w:r>
    </w:p>
    <w:p w14:paraId="6463EF67" w14:textId="77777777" w:rsidR="00D00727" w:rsidRDefault="00D00727" w:rsidP="00D00727">
      <w:pPr>
        <w:rPr>
          <w:rFonts w:ascii="Arial" w:eastAsia="Calibri" w:hAnsi="Arial" w:cs="Arial"/>
          <w:sz w:val="22"/>
          <w:szCs w:val="20"/>
          <w:lang w:val="es-ES_tradnl"/>
        </w:rPr>
      </w:pPr>
    </w:p>
    <w:p w14:paraId="68E43F9F" w14:textId="794D45F4" w:rsidR="00D00727" w:rsidRDefault="00DC22A5" w:rsidP="00D00727">
      <w:pPr>
        <w:rPr>
          <w:rFonts w:ascii="Arial" w:eastAsia="Calibri" w:hAnsi="Arial" w:cs="Arial"/>
          <w:sz w:val="22"/>
          <w:szCs w:val="20"/>
          <w:lang w:val="es-ES_tradnl"/>
        </w:rPr>
      </w:pPr>
      <w:r>
        <w:rPr>
          <w:rFonts w:ascii="Arial" w:eastAsia="Calibri" w:hAnsi="Arial" w:cs="Arial"/>
          <w:sz w:val="22"/>
          <w:szCs w:val="20"/>
          <w:lang w:val="es-ES_tradnl"/>
        </w:rPr>
        <w:t>Bogotá D.C. 4 de mayo de 2022</w:t>
      </w:r>
    </w:p>
    <w:p w14:paraId="2C3C326C" w14:textId="77777777" w:rsidR="00DC22A5" w:rsidRDefault="00DC22A5" w:rsidP="00D00727">
      <w:pPr>
        <w:rPr>
          <w:rFonts w:ascii="Arial" w:eastAsia="Calibri" w:hAnsi="Arial" w:cs="Arial"/>
          <w:sz w:val="22"/>
          <w:szCs w:val="20"/>
          <w:lang w:val="es-ES_tradnl"/>
        </w:rPr>
      </w:pPr>
    </w:p>
    <w:p w14:paraId="1769A49C" w14:textId="77777777" w:rsidR="00D00727" w:rsidRPr="00213052" w:rsidRDefault="00D00727" w:rsidP="00D00727">
      <w:pPr>
        <w:rPr>
          <w:rFonts w:ascii="Arial" w:eastAsia="Calibri" w:hAnsi="Arial" w:cs="Arial"/>
          <w:sz w:val="22"/>
          <w:szCs w:val="20"/>
          <w:lang w:val="es-ES_tradnl"/>
        </w:rPr>
      </w:pPr>
      <w:r>
        <w:rPr>
          <w:rFonts w:ascii="Arial" w:eastAsia="Calibri" w:hAnsi="Arial" w:cs="Arial"/>
          <w:sz w:val="22"/>
          <w:szCs w:val="20"/>
          <w:lang w:val="es-ES_tradnl"/>
        </w:rPr>
        <w:t>Señor</w:t>
      </w:r>
    </w:p>
    <w:p w14:paraId="4ADCB316" w14:textId="77777777" w:rsidR="00D00727" w:rsidRPr="00213052" w:rsidRDefault="00D00727" w:rsidP="00D00727">
      <w:pPr>
        <w:rPr>
          <w:rFonts w:ascii="Arial" w:eastAsia="Calibri" w:hAnsi="Arial" w:cs="Arial"/>
          <w:b/>
          <w:sz w:val="22"/>
          <w:szCs w:val="20"/>
          <w:lang w:val="es-ES_tradnl"/>
        </w:rPr>
      </w:pPr>
      <w:r>
        <w:rPr>
          <w:rFonts w:ascii="Arial" w:eastAsia="Calibri" w:hAnsi="Arial" w:cs="Arial"/>
          <w:b/>
          <w:sz w:val="22"/>
          <w:lang w:val="es-ES_tradnl"/>
        </w:rPr>
        <w:t>Miguel Ángel Lozano Vera</w:t>
      </w:r>
    </w:p>
    <w:p w14:paraId="0FCF3899" w14:textId="77777777" w:rsidR="00D00727" w:rsidRPr="00213052" w:rsidRDefault="00D00727" w:rsidP="00D00727">
      <w:pPr>
        <w:rPr>
          <w:rFonts w:ascii="Arial" w:eastAsia="Calibri" w:hAnsi="Arial" w:cs="Arial"/>
          <w:sz w:val="22"/>
          <w:szCs w:val="20"/>
          <w:lang w:val="es-ES_tradnl"/>
        </w:rPr>
      </w:pPr>
      <w:r w:rsidRPr="00972860">
        <w:rPr>
          <w:rFonts w:ascii="Arial" w:eastAsia="Calibri" w:hAnsi="Arial" w:cs="Arial"/>
          <w:sz w:val="22"/>
          <w:szCs w:val="20"/>
          <w:lang w:val="es-ES_tradnl"/>
        </w:rPr>
        <w:t>San Juan de Rioseco,</w:t>
      </w:r>
      <w:r>
        <w:rPr>
          <w:rFonts w:ascii="Arial" w:eastAsia="Calibri" w:hAnsi="Arial" w:cs="Arial"/>
          <w:sz w:val="22"/>
          <w:szCs w:val="20"/>
          <w:lang w:val="es-ES_tradnl"/>
        </w:rPr>
        <w:t xml:space="preserve"> </w:t>
      </w:r>
      <w:r w:rsidRPr="00972860">
        <w:rPr>
          <w:rFonts w:ascii="Arial" w:eastAsia="Calibri" w:hAnsi="Arial" w:cs="Arial"/>
          <w:sz w:val="22"/>
          <w:szCs w:val="20"/>
          <w:lang w:val="es-ES_tradnl"/>
        </w:rPr>
        <w:t>Cundinamarca</w:t>
      </w:r>
      <w:r>
        <w:rPr>
          <w:rFonts w:ascii="Arial" w:eastAsia="Calibri" w:hAnsi="Arial" w:cs="Arial"/>
          <w:sz w:val="22"/>
          <w:szCs w:val="20"/>
          <w:lang w:val="es-ES_tradnl"/>
        </w:rPr>
        <w:t xml:space="preserve"> </w:t>
      </w:r>
    </w:p>
    <w:p w14:paraId="1BBB04C0" w14:textId="77777777" w:rsidR="00D00727" w:rsidRPr="00213052" w:rsidRDefault="00D00727" w:rsidP="00D00727">
      <w:pPr>
        <w:rPr>
          <w:rFonts w:ascii="Arial" w:eastAsia="Calibri" w:hAnsi="Arial" w:cs="Arial"/>
          <w:sz w:val="22"/>
          <w:szCs w:val="20"/>
          <w:lang w:val="es-ES_tradnl"/>
        </w:rPr>
      </w:pPr>
    </w:p>
    <w:p w14:paraId="70B1F1F2" w14:textId="77777777" w:rsidR="00D00727" w:rsidRPr="00213052" w:rsidRDefault="00D00727" w:rsidP="00D00727">
      <w:pPr>
        <w:rPr>
          <w:rFonts w:ascii="Arial" w:eastAsia="Calibri" w:hAnsi="Arial" w:cs="Arial"/>
          <w:sz w:val="22"/>
          <w:szCs w:val="20"/>
          <w:lang w:val="es-ES_tradnl"/>
        </w:rPr>
      </w:pPr>
    </w:p>
    <w:p w14:paraId="759BB397" w14:textId="77777777" w:rsidR="00D00727" w:rsidRPr="00213052" w:rsidRDefault="00D00727" w:rsidP="00D00727">
      <w:pPr>
        <w:rPr>
          <w:rFonts w:ascii="Arial" w:eastAsia="Calibri" w:hAnsi="Arial" w:cs="Arial"/>
          <w:b/>
          <w:sz w:val="22"/>
          <w:lang w:val="es-ES_tradnl"/>
        </w:rPr>
      </w:pPr>
      <w:r w:rsidRPr="00213052">
        <w:rPr>
          <w:rFonts w:ascii="Arial" w:eastAsia="Calibri" w:hAnsi="Arial" w:cs="Arial"/>
          <w:b/>
          <w:sz w:val="22"/>
          <w:lang w:val="es-ES_tradnl"/>
        </w:rPr>
        <w:t xml:space="preserve">                                            Concepto C – </w:t>
      </w:r>
      <w:r>
        <w:rPr>
          <w:rFonts w:ascii="Arial" w:eastAsia="Calibri" w:hAnsi="Arial" w:cs="Arial"/>
          <w:b/>
          <w:sz w:val="22"/>
          <w:lang w:val="es-ES_tradnl"/>
        </w:rPr>
        <w:t>255</w:t>
      </w:r>
      <w:r w:rsidRPr="00213052">
        <w:rPr>
          <w:rFonts w:ascii="Arial" w:eastAsia="Calibri" w:hAnsi="Arial" w:cs="Arial"/>
          <w:b/>
          <w:sz w:val="22"/>
          <w:lang w:val="es-ES_tradnl"/>
        </w:rPr>
        <w:t xml:space="preserve"> de 202</w:t>
      </w:r>
      <w:r>
        <w:rPr>
          <w:rFonts w:ascii="Arial" w:eastAsia="Calibri" w:hAnsi="Arial" w:cs="Arial"/>
          <w:b/>
          <w:sz w:val="22"/>
          <w:lang w:val="es-ES_tradnl"/>
        </w:rPr>
        <w:t>2</w:t>
      </w:r>
    </w:p>
    <w:p w14:paraId="7145B099" w14:textId="77777777" w:rsidR="00D00727" w:rsidRPr="00213052" w:rsidRDefault="00D00727" w:rsidP="00D00727">
      <w:pPr>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00727" w:rsidRPr="00213052" w14:paraId="77632E1A" w14:textId="77777777" w:rsidTr="00971C52">
        <w:tc>
          <w:tcPr>
            <w:tcW w:w="2689" w:type="dxa"/>
            <w:hideMark/>
          </w:tcPr>
          <w:p w14:paraId="1994CA75" w14:textId="77777777" w:rsidR="00D00727" w:rsidRPr="00213052" w:rsidRDefault="00D00727" w:rsidP="00971C52">
            <w:pPr>
              <w:rPr>
                <w:rFonts w:ascii="Arial" w:eastAsia="Calibri" w:hAnsi="Arial" w:cs="Arial"/>
                <w:lang w:val="es-ES_tradnl"/>
              </w:rPr>
            </w:pPr>
            <w:r w:rsidRPr="00213052">
              <w:rPr>
                <w:rFonts w:ascii="Arial" w:eastAsia="Calibri" w:hAnsi="Arial" w:cs="Arial"/>
                <w:b/>
                <w:lang w:val="es-ES_tradnl"/>
              </w:rPr>
              <w:t>Temas:</w:t>
            </w:r>
            <w:r w:rsidRPr="00213052">
              <w:rPr>
                <w:rFonts w:ascii="Arial" w:eastAsia="Calibri" w:hAnsi="Arial" w:cs="Arial"/>
                <w:lang w:val="es-ES_tradnl"/>
              </w:rPr>
              <w:t xml:space="preserve">           </w:t>
            </w:r>
          </w:p>
          <w:p w14:paraId="7C279B21" w14:textId="77777777" w:rsidR="00D00727" w:rsidRPr="00213052" w:rsidRDefault="00D00727" w:rsidP="00971C52">
            <w:pPr>
              <w:rPr>
                <w:rFonts w:ascii="Arial" w:eastAsia="Calibri" w:hAnsi="Arial" w:cs="Arial"/>
                <w:lang w:val="es-ES_tradnl"/>
              </w:rPr>
            </w:pPr>
            <w:r w:rsidRPr="00213052">
              <w:rPr>
                <w:rFonts w:ascii="Arial" w:eastAsia="Calibri" w:hAnsi="Arial" w:cs="Arial"/>
                <w:lang w:val="es-ES_tradnl"/>
              </w:rPr>
              <w:t xml:space="preserve">                           </w:t>
            </w:r>
          </w:p>
        </w:tc>
        <w:tc>
          <w:tcPr>
            <w:tcW w:w="6237" w:type="dxa"/>
            <w:hideMark/>
          </w:tcPr>
          <w:p w14:paraId="16773CC6" w14:textId="77777777" w:rsidR="00D00727" w:rsidRPr="00213052" w:rsidRDefault="00D00727" w:rsidP="00971C52">
            <w:pPr>
              <w:spacing w:after="120"/>
              <w:jc w:val="both"/>
              <w:rPr>
                <w:rFonts w:ascii="Arial" w:eastAsia="Calibri" w:hAnsi="Arial" w:cs="Arial"/>
                <w:highlight w:val="yellow"/>
                <w:lang w:val="es-ES_tradnl"/>
              </w:rPr>
            </w:pPr>
            <w:r w:rsidRPr="00CA3A35">
              <w:rPr>
                <w:rFonts w:ascii="Arial" w:eastAsia="Calibri" w:hAnsi="Arial" w:cs="Arial"/>
                <w:bCs/>
                <w:color w:val="000000" w:themeColor="text1"/>
                <w:lang w:val="es-ES_tradnl"/>
              </w:rPr>
              <w:t xml:space="preserve">EMPRESAS SOCIALES DEL ESTADO – Régimen Contractual / DOCUMENTOS TIPO – Fundamento normativo – Ley 2022 de 2020 / DOCUMENTOS TIPO – Ámbito de aplicación / </w:t>
            </w:r>
            <w:r w:rsidRPr="000D2424">
              <w:rPr>
                <w:rFonts w:ascii="Arial" w:eastAsia="Calibri" w:hAnsi="Arial" w:cs="Arial"/>
                <w:bCs/>
                <w:color w:val="000000" w:themeColor="text1"/>
                <w:lang w:val="es-ES_tradnl"/>
              </w:rPr>
              <w:t xml:space="preserve">LEY 2195 DE 2022 – Artículo 56 – Aplicación del EGCAP y documentos tipo a entidades exceptuadas y particulares </w:t>
            </w:r>
            <w:r w:rsidRPr="00CA3A35">
              <w:rPr>
                <w:rFonts w:ascii="Arial" w:eastAsia="Calibri" w:hAnsi="Arial" w:cs="Arial"/>
                <w:bCs/>
                <w:color w:val="000000" w:themeColor="text1"/>
                <w:lang w:val="es-ES_tradnl"/>
              </w:rPr>
              <w:t xml:space="preserve">/ </w:t>
            </w:r>
            <w:r w:rsidRPr="000D2424">
              <w:rPr>
                <w:rFonts w:ascii="Arial" w:eastAsia="Calibri" w:hAnsi="Arial" w:cs="Arial"/>
                <w:bCs/>
                <w:color w:val="000000" w:themeColor="text1"/>
                <w:lang w:val="es-ES_tradnl"/>
              </w:rPr>
              <w:t xml:space="preserve">ARTÍCULO 56 DE LA LEY 2195 DE 2022 – efecto modificatorio </w:t>
            </w:r>
            <w:r w:rsidRPr="00CA3A35">
              <w:rPr>
                <w:rFonts w:ascii="Arial" w:eastAsia="Calibri" w:hAnsi="Arial" w:cs="Arial"/>
                <w:bCs/>
                <w:color w:val="000000" w:themeColor="text1"/>
                <w:lang w:val="es-ES_tradnl"/>
              </w:rPr>
              <w:t xml:space="preserve">/ </w:t>
            </w:r>
            <w:r w:rsidRPr="000D2424">
              <w:rPr>
                <w:rFonts w:ascii="Arial" w:eastAsia="Calibri" w:hAnsi="Arial" w:cs="Arial"/>
                <w:bCs/>
                <w:color w:val="000000" w:themeColor="text1"/>
                <w:lang w:val="es-ES_tradnl"/>
              </w:rPr>
              <w:t>LEY 2195 DE 2022 – Artículo 56 – Parágrafo – Excepción - Giro ordinario</w:t>
            </w:r>
          </w:p>
        </w:tc>
      </w:tr>
      <w:tr w:rsidR="00D00727" w:rsidRPr="00213052" w14:paraId="427F5BAC" w14:textId="77777777" w:rsidTr="00971C52">
        <w:tc>
          <w:tcPr>
            <w:tcW w:w="2689" w:type="dxa"/>
          </w:tcPr>
          <w:p w14:paraId="32EC81CC" w14:textId="77777777" w:rsidR="00D00727" w:rsidRPr="00213052" w:rsidRDefault="00D00727" w:rsidP="00971C52">
            <w:pPr>
              <w:rPr>
                <w:rFonts w:ascii="Arial" w:eastAsia="Calibri" w:hAnsi="Arial" w:cs="Arial"/>
                <w:b/>
                <w:lang w:val="es-ES_tradnl"/>
              </w:rPr>
            </w:pPr>
            <w:r w:rsidRPr="00213052">
              <w:rPr>
                <w:rFonts w:ascii="Arial" w:eastAsia="Calibri" w:hAnsi="Arial" w:cs="Arial"/>
                <w:b/>
                <w:lang w:val="es-ES_tradnl"/>
              </w:rPr>
              <w:t>Radicación:</w:t>
            </w:r>
            <w:r w:rsidRPr="00213052">
              <w:rPr>
                <w:rFonts w:ascii="Arial" w:eastAsia="Calibri" w:hAnsi="Arial" w:cs="Arial"/>
                <w:lang w:val="es-ES_tradnl"/>
              </w:rPr>
              <w:t xml:space="preserve">                              </w:t>
            </w:r>
          </w:p>
        </w:tc>
        <w:tc>
          <w:tcPr>
            <w:tcW w:w="6237" w:type="dxa"/>
          </w:tcPr>
          <w:p w14:paraId="363C4DBF" w14:textId="77777777" w:rsidR="00D00727" w:rsidRPr="00213052" w:rsidRDefault="00D00727" w:rsidP="00971C52">
            <w:pPr>
              <w:jc w:val="both"/>
              <w:rPr>
                <w:rFonts w:ascii="Arial" w:eastAsia="Calibri" w:hAnsi="Arial" w:cs="Arial"/>
                <w:lang w:val="es-ES_tradnl"/>
              </w:rPr>
            </w:pPr>
            <w:r w:rsidRPr="00B05FD8">
              <w:rPr>
                <w:rFonts w:ascii="Arial" w:eastAsia="Calibri" w:hAnsi="Arial" w:cs="Arial"/>
                <w:lang w:val="es-ES_tradnl"/>
              </w:rPr>
              <w:t>Respuesta a consulta</w:t>
            </w:r>
            <w:r>
              <w:rPr>
                <w:rFonts w:ascii="Arial" w:eastAsia="Calibri" w:hAnsi="Arial" w:cs="Arial"/>
                <w:lang w:val="es-ES_tradnl"/>
              </w:rPr>
              <w:t>s</w:t>
            </w:r>
            <w:r w:rsidRPr="00B05FD8">
              <w:rPr>
                <w:rFonts w:ascii="Arial" w:eastAsia="Calibri" w:hAnsi="Arial" w:cs="Arial"/>
                <w:lang w:val="es-ES_tradnl"/>
              </w:rPr>
              <w:t xml:space="preserve"> </w:t>
            </w:r>
            <w:r w:rsidRPr="00E95FC9">
              <w:rPr>
                <w:rFonts w:ascii="Arial" w:eastAsia="Calibri" w:hAnsi="Arial" w:cs="Arial"/>
                <w:lang w:val="es-ES_tradnl"/>
              </w:rPr>
              <w:t>P20220318002734</w:t>
            </w:r>
            <w:r>
              <w:rPr>
                <w:rFonts w:ascii="Arial" w:eastAsia="Calibri" w:hAnsi="Arial" w:cs="Arial"/>
                <w:lang w:val="es-ES_tradnl"/>
              </w:rPr>
              <w:t xml:space="preserve"> y </w:t>
            </w:r>
            <w:r w:rsidRPr="00E95FC9">
              <w:rPr>
                <w:rFonts w:ascii="Arial" w:eastAsia="Calibri" w:hAnsi="Arial" w:cs="Arial"/>
                <w:lang w:val="es-ES_tradnl"/>
              </w:rPr>
              <w:t>P20220318002737</w:t>
            </w:r>
          </w:p>
        </w:tc>
      </w:tr>
    </w:tbl>
    <w:p w14:paraId="2AECB3AC" w14:textId="77777777" w:rsidR="00D00727" w:rsidRDefault="00D00727" w:rsidP="00D00727">
      <w:pPr>
        <w:ind w:firstLine="2694"/>
        <w:jc w:val="both"/>
        <w:rPr>
          <w:rFonts w:ascii="Arial" w:eastAsia="Calibri" w:hAnsi="Arial" w:cs="Arial"/>
          <w:sz w:val="22"/>
          <w:lang w:val="es-ES_tradnl"/>
        </w:rPr>
      </w:pPr>
      <w:r>
        <w:rPr>
          <w:rFonts w:ascii="Arial" w:eastAsia="Calibri" w:hAnsi="Arial" w:cs="Arial"/>
          <w:sz w:val="22"/>
          <w:lang w:val="es-ES_tradnl"/>
        </w:rPr>
        <w:t>–Acumulados–</w:t>
      </w:r>
    </w:p>
    <w:p w14:paraId="55B58D53" w14:textId="77777777" w:rsidR="00D00727" w:rsidRDefault="00D00727" w:rsidP="00D00727">
      <w:pPr>
        <w:jc w:val="both"/>
        <w:rPr>
          <w:rFonts w:ascii="Arial" w:eastAsia="Calibri" w:hAnsi="Arial" w:cs="Arial"/>
          <w:sz w:val="22"/>
          <w:lang w:val="es-ES_tradnl"/>
        </w:rPr>
      </w:pPr>
    </w:p>
    <w:p w14:paraId="30FB79B4" w14:textId="77777777" w:rsidR="00D00727" w:rsidRPr="00213052" w:rsidRDefault="00D00727" w:rsidP="00D00727">
      <w:pPr>
        <w:jc w:val="both"/>
        <w:rPr>
          <w:rFonts w:ascii="Arial" w:eastAsia="Calibri" w:hAnsi="Arial" w:cs="Arial"/>
          <w:sz w:val="22"/>
          <w:lang w:val="es-ES_tradnl"/>
        </w:rPr>
      </w:pPr>
    </w:p>
    <w:p w14:paraId="3A78ABFB" w14:textId="77777777" w:rsidR="00D00727" w:rsidRPr="00B60BAC" w:rsidRDefault="00D00727" w:rsidP="00D00727">
      <w:pPr>
        <w:rPr>
          <w:rFonts w:ascii="Arial" w:hAnsi="Arial" w:cs="Arial"/>
          <w:sz w:val="22"/>
          <w:lang w:val="es-ES_tradnl"/>
        </w:rPr>
      </w:pPr>
      <w:r w:rsidRPr="00B60BAC">
        <w:rPr>
          <w:rFonts w:ascii="Arial" w:hAnsi="Arial" w:cs="Arial"/>
          <w:sz w:val="22"/>
          <w:lang w:val="es-ES_tradnl"/>
        </w:rPr>
        <w:t>Estimad</w:t>
      </w:r>
      <w:r>
        <w:rPr>
          <w:rFonts w:ascii="Arial" w:hAnsi="Arial" w:cs="Arial"/>
          <w:sz w:val="22"/>
          <w:lang w:val="es-ES_tradnl"/>
        </w:rPr>
        <w:t>o</w:t>
      </w:r>
      <w:r w:rsidRPr="00B60BAC">
        <w:rPr>
          <w:rFonts w:ascii="Arial" w:hAnsi="Arial" w:cs="Arial"/>
          <w:sz w:val="22"/>
          <w:lang w:val="es-ES_tradnl"/>
        </w:rPr>
        <w:t xml:space="preserve"> </w:t>
      </w:r>
      <w:r>
        <w:rPr>
          <w:rFonts w:ascii="Arial" w:hAnsi="Arial" w:cs="Arial"/>
          <w:sz w:val="22"/>
          <w:lang w:val="es-ES_tradnl"/>
        </w:rPr>
        <w:t>doctor</w:t>
      </w:r>
      <w:r w:rsidRPr="00B60BAC">
        <w:rPr>
          <w:rFonts w:ascii="Arial" w:hAnsi="Arial" w:cs="Arial"/>
          <w:sz w:val="22"/>
          <w:lang w:val="es-ES_tradnl"/>
        </w:rPr>
        <w:t xml:space="preserve"> </w:t>
      </w:r>
      <w:r w:rsidRPr="00972860">
        <w:rPr>
          <w:rFonts w:ascii="Arial" w:hAnsi="Arial" w:cs="Arial"/>
          <w:sz w:val="22"/>
          <w:lang w:val="es-ES_tradnl"/>
        </w:rPr>
        <w:t>Lozano Vera</w:t>
      </w:r>
      <w:r w:rsidRPr="00B60BAC">
        <w:rPr>
          <w:rFonts w:ascii="Arial" w:hAnsi="Arial" w:cs="Arial"/>
          <w:sz w:val="22"/>
          <w:lang w:val="es-ES_tradnl"/>
        </w:rPr>
        <w:t>:</w:t>
      </w:r>
    </w:p>
    <w:p w14:paraId="426AA1DD" w14:textId="77777777" w:rsidR="00D00727" w:rsidRPr="00213052" w:rsidRDefault="00D00727" w:rsidP="00D00727">
      <w:pPr>
        <w:rPr>
          <w:rFonts w:ascii="Arial" w:eastAsia="Calibri" w:hAnsi="Arial" w:cs="Arial"/>
          <w:sz w:val="22"/>
          <w:lang w:val="es-ES_tradnl"/>
        </w:rPr>
      </w:pPr>
    </w:p>
    <w:p w14:paraId="0FD0616C" w14:textId="77777777" w:rsidR="00D00727" w:rsidRPr="00213052" w:rsidRDefault="00D00727" w:rsidP="00D00727">
      <w:pPr>
        <w:spacing w:line="276" w:lineRule="auto"/>
        <w:ind w:right="51"/>
        <w:jc w:val="both"/>
        <w:rPr>
          <w:rFonts w:ascii="Arial" w:hAnsi="Arial" w:cs="Arial"/>
          <w:sz w:val="22"/>
          <w:lang w:val="es-ES_tradnl"/>
        </w:rPr>
      </w:pPr>
      <w:r w:rsidRPr="00213052">
        <w:rPr>
          <w:rFonts w:ascii="Arial" w:hAnsi="Arial" w:cs="Arial"/>
          <w:sz w:val="22"/>
          <w:lang w:val="es-ES_tradnl"/>
        </w:rPr>
        <w:t>La Agencia Nacional de Contratación Pública – Colombia Compra Eficiente, en ejercicio de la competencia otorgada por el numeral 8 del artículo 11 y el numeral 5 del artículo 3 del Decreto Ley 4170 de 2011</w:t>
      </w:r>
      <w:r>
        <w:rPr>
          <w:rFonts w:ascii="Arial" w:hAnsi="Arial" w:cs="Arial"/>
          <w:sz w:val="22"/>
          <w:lang w:val="es-ES_tradnl"/>
        </w:rPr>
        <w:t xml:space="preserve">, </w:t>
      </w:r>
      <w:r w:rsidRPr="00213052">
        <w:rPr>
          <w:rFonts w:ascii="Arial" w:hAnsi="Arial" w:cs="Arial"/>
          <w:sz w:val="22"/>
          <w:lang w:val="es-ES_tradnl"/>
        </w:rPr>
        <w:t xml:space="preserve">responde </w:t>
      </w:r>
      <w:r>
        <w:rPr>
          <w:rFonts w:ascii="Arial" w:hAnsi="Arial" w:cs="Arial"/>
          <w:sz w:val="22"/>
          <w:lang w:val="es-ES_tradnl"/>
        </w:rPr>
        <w:t>las consultas formuladas el 18 de marzo de 2022</w:t>
      </w:r>
      <w:r w:rsidRPr="00213052">
        <w:rPr>
          <w:rFonts w:ascii="Arial" w:hAnsi="Arial" w:cs="Arial"/>
          <w:sz w:val="22"/>
          <w:lang w:val="es-ES_tradnl"/>
        </w:rPr>
        <w:t xml:space="preserve">. </w:t>
      </w:r>
    </w:p>
    <w:p w14:paraId="4836204F" w14:textId="77777777" w:rsidR="00D00727" w:rsidRPr="00213052" w:rsidRDefault="00D00727" w:rsidP="00D00727">
      <w:pPr>
        <w:pStyle w:val="Prrafodelista"/>
        <w:tabs>
          <w:tab w:val="left" w:pos="284"/>
        </w:tabs>
        <w:spacing w:line="276" w:lineRule="auto"/>
        <w:ind w:left="0"/>
        <w:jc w:val="both"/>
        <w:rPr>
          <w:rFonts w:ascii="Arial" w:hAnsi="Arial" w:cs="Arial"/>
          <w:sz w:val="22"/>
          <w:lang w:val="es-ES_tradnl"/>
        </w:rPr>
      </w:pPr>
    </w:p>
    <w:p w14:paraId="5F8259C1" w14:textId="77777777" w:rsidR="00D00727" w:rsidRPr="00213052" w:rsidRDefault="00D00727" w:rsidP="00D00727">
      <w:pPr>
        <w:pStyle w:val="Prrafodelista"/>
        <w:tabs>
          <w:tab w:val="left" w:pos="284"/>
        </w:tabs>
        <w:spacing w:line="276" w:lineRule="auto"/>
        <w:ind w:left="0"/>
        <w:jc w:val="both"/>
        <w:rPr>
          <w:rFonts w:ascii="Arial" w:eastAsia="Calibri" w:hAnsi="Arial" w:cs="Arial"/>
          <w:b/>
          <w:sz w:val="22"/>
          <w:lang w:val="es-ES_tradnl"/>
        </w:rPr>
      </w:pPr>
      <w:r w:rsidRPr="00213052">
        <w:rPr>
          <w:rFonts w:ascii="Arial" w:eastAsia="Calibri" w:hAnsi="Arial" w:cs="Arial"/>
          <w:b/>
          <w:sz w:val="22"/>
          <w:lang w:val="es-ES_tradnl"/>
        </w:rPr>
        <w:t>1.</w:t>
      </w:r>
      <w:r w:rsidRPr="00213052">
        <w:rPr>
          <w:rFonts w:ascii="Arial" w:eastAsia="Calibri" w:hAnsi="Arial" w:cs="Arial"/>
          <w:sz w:val="22"/>
          <w:lang w:val="es-ES_tradnl"/>
        </w:rPr>
        <w:t xml:space="preserve"> </w:t>
      </w:r>
      <w:r w:rsidRPr="00213052">
        <w:rPr>
          <w:rFonts w:ascii="Arial" w:eastAsia="Calibri" w:hAnsi="Arial" w:cs="Arial"/>
          <w:b/>
          <w:sz w:val="22"/>
          <w:lang w:val="es-ES_tradnl"/>
        </w:rPr>
        <w:t xml:space="preserve">Problema planteado </w:t>
      </w:r>
    </w:p>
    <w:p w14:paraId="26BA1FE6" w14:textId="77777777" w:rsidR="00D00727" w:rsidRDefault="00D00727" w:rsidP="00D00727">
      <w:pPr>
        <w:pStyle w:val="NormalWeb"/>
        <w:spacing w:before="0" w:beforeAutospacing="0" w:line="276" w:lineRule="auto"/>
        <w:contextualSpacing/>
        <w:jc w:val="both"/>
        <w:rPr>
          <w:rFonts w:ascii="Arial" w:hAnsi="Arial" w:cs="Arial"/>
          <w:color w:val="000000" w:themeColor="text1"/>
          <w:sz w:val="22"/>
          <w:lang w:val="es-ES_tradnl"/>
        </w:rPr>
      </w:pPr>
    </w:p>
    <w:p w14:paraId="4D668BC7" w14:textId="77777777" w:rsidR="00D00727" w:rsidRDefault="00D00727" w:rsidP="00D00727">
      <w:pPr>
        <w:pStyle w:val="NormalWeb"/>
        <w:spacing w:before="0" w:beforeAutospacing="0" w:line="276" w:lineRule="auto"/>
        <w:contextualSpacing/>
        <w:jc w:val="both"/>
        <w:rPr>
          <w:rFonts w:ascii="Arial" w:hAnsi="Arial" w:cs="Arial"/>
          <w:color w:val="000000" w:themeColor="text1"/>
          <w:sz w:val="22"/>
          <w:lang w:val="es-ES_tradnl"/>
        </w:rPr>
      </w:pPr>
      <w:r>
        <w:rPr>
          <w:rFonts w:ascii="Arial" w:hAnsi="Arial" w:cs="Arial"/>
          <w:color w:val="000000" w:themeColor="text1"/>
          <w:sz w:val="22"/>
          <w:lang w:val="es-ES_tradnl"/>
        </w:rPr>
        <w:t>Usted realiza las siguientes preguntas: i) «</w:t>
      </w:r>
      <w:r w:rsidRPr="006B43F6">
        <w:rPr>
          <w:rFonts w:ascii="Arial" w:hAnsi="Arial" w:cs="Arial"/>
          <w:color w:val="000000" w:themeColor="text1"/>
          <w:sz w:val="22"/>
          <w:lang w:val="es-MX"/>
        </w:rPr>
        <w:t xml:space="preserve">El Parágrafo del artículo 56 Ley 2195 de 2022, señala “Se exceptúan del presente artículo las Instituciones de Educación Superior públicas, las empresas sociales del Estado, las sociedades de economía mixta y las empresas industriales y comerciales del Estado, </w:t>
      </w:r>
      <w:r w:rsidRPr="00FF77F7">
        <w:rPr>
          <w:rFonts w:ascii="Arial" w:hAnsi="Arial" w:cs="Arial"/>
          <w:b/>
          <w:bCs/>
          <w:color w:val="000000" w:themeColor="text1"/>
          <w:sz w:val="22"/>
          <w:lang w:val="es-MX"/>
        </w:rPr>
        <w:t>únicamente en cuanto a la contratación de su giro ordinario</w:t>
      </w:r>
      <w:r w:rsidRPr="006B43F6">
        <w:rPr>
          <w:rFonts w:ascii="Arial" w:hAnsi="Arial" w:cs="Arial"/>
          <w:color w:val="000000" w:themeColor="text1"/>
          <w:sz w:val="22"/>
          <w:lang w:val="es-MX"/>
        </w:rPr>
        <w:t xml:space="preserve">.” (Negrilla no corresponde al texto); de lo señalado en este aparte normativo, y atendiendo que el objeto misional de la Empresa Social del Estado Hospital </w:t>
      </w:r>
      <w:r w:rsidRPr="006B43F6">
        <w:rPr>
          <w:rFonts w:ascii="Arial" w:hAnsi="Arial" w:cs="Arial"/>
          <w:color w:val="000000" w:themeColor="text1"/>
          <w:sz w:val="22"/>
          <w:lang w:val="es-MX"/>
        </w:rPr>
        <w:lastRenderedPageBreak/>
        <w:t>San Vicente de Paúl de San Juan de Rioseco es brindar servicios de salud, agradecemos conceptuar ¿Qué enmarca, y a que hace referencia la expresión “la contratación de su giro ordinario,” respecto de la Empresa Social del Estado Hospital San Vicente de Paúl de San Juan de Rioseco”?</w:t>
      </w:r>
      <w:r>
        <w:rPr>
          <w:rFonts w:ascii="Arial" w:hAnsi="Arial" w:cs="Arial"/>
          <w:color w:val="000000" w:themeColor="text1"/>
          <w:sz w:val="22"/>
          <w:lang w:val="es-MX"/>
        </w:rPr>
        <w:t>», ii) «</w:t>
      </w:r>
      <w:r w:rsidRPr="006B43F6">
        <w:rPr>
          <w:rFonts w:ascii="Arial" w:hAnsi="Arial" w:cs="Arial"/>
          <w:color w:val="000000" w:themeColor="text1"/>
          <w:sz w:val="22"/>
          <w:lang w:val="es-MX"/>
        </w:rPr>
        <w:t>¿El contrato de obra civil que se deriva de los recursos financieros aportados por el Instituto de Infraestructura y Concesiones de Cundinamarca -ICCU, a través del Convenio Interadministrativo 855-2021, haría parte del giro ordinario de la contratación de la Empresa Social del Estado Hospital San Vicente de Paúl de San Juan de Rioseco?</w:t>
      </w:r>
      <w:r>
        <w:rPr>
          <w:rFonts w:ascii="Arial" w:hAnsi="Arial" w:cs="Arial"/>
          <w:color w:val="000000" w:themeColor="text1"/>
          <w:sz w:val="22"/>
          <w:lang w:val="es-MX"/>
        </w:rPr>
        <w:t>», iii) «</w:t>
      </w:r>
      <w:r w:rsidRPr="006B43F6">
        <w:rPr>
          <w:rFonts w:ascii="Arial" w:hAnsi="Arial" w:cs="Arial"/>
          <w:color w:val="000000" w:themeColor="text1"/>
          <w:sz w:val="22"/>
          <w:lang w:val="es-MX"/>
        </w:rPr>
        <w:t>¿Atendiendo que los recursos financieros para adelantar la infraestructura hospitalaria provienen de una entidad pública que en materia contractual se rigen por el Estatuto General de Contratación de la Administración Pública, a la Luz del artículo 56 Ley 2195 de 2022 se debe dar aplicación o no a los documentos tipo, para licitar la contratación y adjudicación del contrato de obra civil derivado del Convenio Interadministrativo 855-2021?</w:t>
      </w:r>
      <w:r>
        <w:rPr>
          <w:rFonts w:ascii="Arial" w:hAnsi="Arial" w:cs="Arial"/>
          <w:color w:val="000000" w:themeColor="text1"/>
          <w:sz w:val="22"/>
          <w:lang w:val="es-MX"/>
        </w:rPr>
        <w:t xml:space="preserve">», iv) </w:t>
      </w:r>
      <w:r w:rsidRPr="006B43F6">
        <w:rPr>
          <w:rFonts w:ascii="Arial" w:hAnsi="Arial" w:cs="Arial"/>
          <w:color w:val="000000" w:themeColor="text1"/>
          <w:sz w:val="22"/>
          <w:lang w:val="es-MX"/>
        </w:rPr>
        <w:t>Que otros aspectos relevantes debe tener en cuenta la institución para el evento planteado</w:t>
      </w:r>
      <w:r>
        <w:rPr>
          <w:rFonts w:ascii="Arial" w:hAnsi="Arial" w:cs="Arial"/>
          <w:color w:val="000000" w:themeColor="text1"/>
          <w:sz w:val="22"/>
          <w:lang w:val="es-MX"/>
        </w:rPr>
        <w:t>»</w:t>
      </w:r>
      <w:r w:rsidRPr="006B43F6">
        <w:rPr>
          <w:rFonts w:ascii="Arial" w:hAnsi="Arial" w:cs="Arial"/>
          <w:color w:val="000000" w:themeColor="text1"/>
          <w:sz w:val="22"/>
          <w:lang w:val="es-MX"/>
        </w:rPr>
        <w:t xml:space="preserve">. </w:t>
      </w:r>
      <w:r>
        <w:rPr>
          <w:rFonts w:ascii="Arial" w:hAnsi="Arial" w:cs="Arial"/>
          <w:color w:val="000000" w:themeColor="text1"/>
          <w:sz w:val="22"/>
          <w:lang w:val="es-ES_tradnl"/>
        </w:rPr>
        <w:t xml:space="preserve"> </w:t>
      </w:r>
    </w:p>
    <w:p w14:paraId="720D273C" w14:textId="77777777" w:rsidR="00D00727" w:rsidRPr="00FB56AC" w:rsidRDefault="00D00727" w:rsidP="00D00727">
      <w:pPr>
        <w:pStyle w:val="NormalWeb"/>
        <w:spacing w:after="0" w:afterAutospacing="0" w:line="276" w:lineRule="auto"/>
        <w:ind w:firstLine="709"/>
        <w:contextualSpacing/>
        <w:jc w:val="both"/>
        <w:rPr>
          <w:rFonts w:ascii="Arial" w:hAnsi="Arial" w:cs="Arial"/>
          <w:sz w:val="21"/>
          <w:szCs w:val="21"/>
        </w:rPr>
      </w:pPr>
    </w:p>
    <w:p w14:paraId="7DA70FBF" w14:textId="77777777" w:rsidR="00D00727" w:rsidRPr="00213052" w:rsidRDefault="00D00727" w:rsidP="00D00727">
      <w:pPr>
        <w:tabs>
          <w:tab w:val="left" w:pos="426"/>
        </w:tabs>
        <w:spacing w:line="276" w:lineRule="auto"/>
        <w:jc w:val="both"/>
        <w:rPr>
          <w:rFonts w:ascii="Arial" w:eastAsia="Calibri" w:hAnsi="Arial" w:cs="Arial"/>
          <w:b/>
          <w:sz w:val="22"/>
          <w:lang w:val="es-ES_tradnl"/>
        </w:rPr>
      </w:pPr>
      <w:r w:rsidRPr="00213052">
        <w:rPr>
          <w:rFonts w:ascii="Arial" w:eastAsia="Calibri" w:hAnsi="Arial" w:cs="Arial"/>
          <w:b/>
          <w:sz w:val="22"/>
          <w:lang w:val="es-ES_tradnl"/>
        </w:rPr>
        <w:t>2.</w:t>
      </w:r>
      <w:r w:rsidRPr="00213052">
        <w:rPr>
          <w:rFonts w:ascii="Arial" w:eastAsia="Calibri" w:hAnsi="Arial" w:cs="Arial"/>
          <w:sz w:val="22"/>
          <w:lang w:val="es-ES_tradnl"/>
        </w:rPr>
        <w:t xml:space="preserve"> </w:t>
      </w:r>
      <w:r w:rsidRPr="00213052">
        <w:rPr>
          <w:rFonts w:ascii="Arial" w:eastAsia="Calibri" w:hAnsi="Arial" w:cs="Arial"/>
          <w:b/>
          <w:sz w:val="22"/>
          <w:lang w:val="es-ES_tradnl"/>
        </w:rPr>
        <w:t>Consideraciones</w:t>
      </w:r>
    </w:p>
    <w:p w14:paraId="0D140268" w14:textId="77777777" w:rsidR="00D00727" w:rsidRPr="00213052" w:rsidRDefault="00D00727" w:rsidP="00D00727">
      <w:pPr>
        <w:spacing w:line="276" w:lineRule="auto"/>
        <w:jc w:val="both"/>
        <w:rPr>
          <w:rFonts w:ascii="Arial" w:hAnsi="Arial" w:cs="Arial"/>
          <w:color w:val="000000" w:themeColor="text1"/>
          <w:sz w:val="22"/>
          <w:lang w:val="es-ES_tradnl"/>
        </w:rPr>
      </w:pPr>
    </w:p>
    <w:p w14:paraId="53AD1889" w14:textId="77777777" w:rsidR="00D00727" w:rsidRPr="00671CAA" w:rsidRDefault="00D00727" w:rsidP="00D00727">
      <w:pPr>
        <w:spacing w:after="120" w:line="276" w:lineRule="auto"/>
        <w:jc w:val="both"/>
        <w:rPr>
          <w:rFonts w:ascii="Arial" w:hAnsi="Arial" w:cs="Arial"/>
          <w:sz w:val="22"/>
          <w:lang w:val="es-ES"/>
        </w:rPr>
      </w:pPr>
      <w:r w:rsidRPr="00671CAA">
        <w:rPr>
          <w:rFonts w:ascii="Arial" w:hAnsi="Arial" w:cs="Arial"/>
          <w:bCs/>
          <w:sz w:val="22"/>
        </w:rPr>
        <w:t xml:space="preserve">En ejercicio de las competencias establecidas en los artículos 3.5 y 11.8 del Decreto 4170 de 2011, la Agencia Nacional de Contratación Pública – Colombia Compra Eficiente resuelve consultas sobre </w:t>
      </w:r>
      <w:r w:rsidRPr="00671CAA">
        <w:rPr>
          <w:rFonts w:ascii="Arial" w:hAnsi="Arial" w:cs="Arial"/>
          <w:sz w:val="22"/>
          <w:lang w:val="es-ES"/>
        </w:rPr>
        <w:t xml:space="preserve">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w:t>
      </w:r>
      <w:r>
        <w:rPr>
          <w:rFonts w:ascii="Arial" w:hAnsi="Arial" w:cs="Arial"/>
          <w:sz w:val="22"/>
          <w:lang w:val="es-ES"/>
        </w:rPr>
        <w:t>concretos</w:t>
      </w:r>
      <w:r w:rsidRPr="00671CAA">
        <w:rPr>
          <w:rFonts w:ascii="Arial" w:hAnsi="Arial" w:cs="Arial"/>
          <w:bCs/>
          <w:sz w:val="22"/>
        </w:rPr>
        <w:t xml:space="preserve"> de todos los partícipes de la contratación estatal.</w:t>
      </w:r>
    </w:p>
    <w:p w14:paraId="329327EC" w14:textId="77777777" w:rsidR="00D00727" w:rsidRDefault="00D00727" w:rsidP="00D00727">
      <w:pPr>
        <w:spacing w:after="120" w:line="276" w:lineRule="auto"/>
        <w:ind w:firstLine="708"/>
        <w:jc w:val="both"/>
        <w:rPr>
          <w:rFonts w:ascii="Arial" w:hAnsi="Arial" w:cs="Arial"/>
          <w:sz w:val="22"/>
          <w:lang w:val="es-ES"/>
        </w:rPr>
      </w:pPr>
      <w:r w:rsidRPr="00671CAA">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71CAA">
        <w:rPr>
          <w:rFonts w:ascii="Arial" w:hAnsi="Arial" w:cs="Arial"/>
          <w:sz w:val="22"/>
          <w:vertAlign w:val="superscript"/>
          <w:lang w:val="es-ES"/>
        </w:rPr>
        <w:footnoteReference w:id="1"/>
      </w:r>
      <w:r w:rsidRPr="00671CAA">
        <w:rPr>
          <w:rFonts w:ascii="Arial" w:hAnsi="Arial" w:cs="Arial"/>
          <w:sz w:val="22"/>
          <w:lang w:val="es-ES"/>
        </w:rPr>
        <w:t xml:space="preserve">. Esta competencia de interpretación de normas generales, por definición, no puede extenderse a la resolución de controversias ni brindar asesorías sobre casos puntuales. Por lo anterior, previo concepto de sus órganos asesores, la solución de estos temas corresponde a la </w:t>
      </w:r>
      <w:r w:rsidRPr="00671CAA">
        <w:rPr>
          <w:rFonts w:ascii="Arial" w:hAnsi="Arial" w:cs="Arial"/>
          <w:sz w:val="22"/>
          <w:lang w:val="es-ES"/>
        </w:rPr>
        <w:lastRenderedPageBreak/>
        <w:t xml:space="preserve">entidad de adoptar la decisión correspondiente y, en caso de conflicto, a las autoridades judiciales, fiscales y disciplinarias. </w:t>
      </w:r>
    </w:p>
    <w:p w14:paraId="526F4EA4" w14:textId="77777777" w:rsidR="00D00727" w:rsidRPr="002A19F5" w:rsidRDefault="00D00727" w:rsidP="00D00727">
      <w:pPr>
        <w:spacing w:before="120" w:after="120" w:line="276" w:lineRule="auto"/>
        <w:ind w:firstLine="709"/>
        <w:jc w:val="both"/>
        <w:rPr>
          <w:rFonts w:ascii="Arial" w:eastAsia="Calibri" w:hAnsi="Arial" w:cs="Arial"/>
          <w:color w:val="000000"/>
          <w:sz w:val="22"/>
        </w:rPr>
      </w:pPr>
      <w:r>
        <w:rPr>
          <w:rFonts w:ascii="Arial" w:eastAsia="Calibri" w:hAnsi="Arial" w:cs="Arial"/>
          <w:bCs/>
          <w:color w:val="000000"/>
          <w:sz w:val="22"/>
          <w:lang w:eastAsia="es-CO"/>
        </w:rPr>
        <w:t xml:space="preserve">Bajo estas consideraciones, corresponde a </w:t>
      </w:r>
      <w:r w:rsidRPr="00524963">
        <w:rPr>
          <w:rFonts w:ascii="Arial" w:eastAsia="Calibri" w:hAnsi="Arial" w:cs="Arial"/>
          <w:bCs/>
          <w:color w:val="000000"/>
          <w:sz w:val="22"/>
          <w:lang w:eastAsia="es-CO"/>
        </w:rPr>
        <w:t xml:space="preserve">cada entidad pública, en ejercicio de su competencia y previa valoración de los elementos fácticos y jurídicos, determinar </w:t>
      </w:r>
      <w:r>
        <w:rPr>
          <w:rFonts w:ascii="Arial" w:eastAsia="Calibri" w:hAnsi="Arial" w:cs="Arial"/>
          <w:bCs/>
          <w:color w:val="000000"/>
          <w:sz w:val="22"/>
          <w:lang w:eastAsia="es-CO"/>
        </w:rPr>
        <w:t xml:space="preserve">la forma de adelantar un determinado contrato en específico. </w:t>
      </w:r>
      <w:r w:rsidRPr="00524963">
        <w:rPr>
          <w:rFonts w:ascii="Arial" w:eastAsia="Calibri" w:hAnsi="Arial" w:cs="Arial"/>
          <w:bCs/>
          <w:color w:val="000000"/>
          <w:sz w:val="22"/>
          <w:lang w:eastAsia="es-CO"/>
        </w:rPr>
        <w:t>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Pr>
          <w:rFonts w:ascii="Arial" w:eastAsia="Calibri" w:hAnsi="Arial" w:cs="Arial"/>
          <w:bCs/>
          <w:color w:val="000000"/>
          <w:sz w:val="22"/>
          <w:lang w:eastAsia="es-CO"/>
        </w:rPr>
        <w:t>.</w:t>
      </w:r>
    </w:p>
    <w:p w14:paraId="1328D57A" w14:textId="77777777" w:rsidR="00D00727" w:rsidRPr="00671CAA" w:rsidRDefault="00D00727" w:rsidP="00D00727">
      <w:pPr>
        <w:spacing w:line="276" w:lineRule="auto"/>
        <w:ind w:firstLine="708"/>
        <w:jc w:val="both"/>
        <w:rPr>
          <w:rFonts w:ascii="Arial" w:hAnsi="Arial" w:cs="Arial"/>
          <w:b/>
          <w:color w:val="000000" w:themeColor="text1"/>
          <w:sz w:val="22"/>
          <w:lang w:val="es-ES_tradnl"/>
        </w:rPr>
      </w:pPr>
      <w:r w:rsidRPr="00671CAA">
        <w:rPr>
          <w:rFonts w:ascii="Arial" w:eastAsia="Calibri" w:hAnsi="Arial" w:cs="Arial"/>
          <w:sz w:val="22"/>
        </w:rPr>
        <w:t xml:space="preserve">Sin perjuicio de lo anterior, </w:t>
      </w:r>
      <w:r w:rsidRPr="00671CAA">
        <w:rPr>
          <w:rFonts w:ascii="Arial" w:eastAsia="Calibri" w:hAnsi="Arial" w:cs="Arial"/>
          <w:sz w:val="22"/>
          <w:lang w:val="es-ES"/>
        </w:rPr>
        <w:t xml:space="preserve">la Agencia –dentro de los límites de sus atribuciones, es decir, </w:t>
      </w:r>
      <w:bookmarkStart w:id="0" w:name="_Hlk61025408"/>
      <w:r w:rsidRPr="00671CAA">
        <w:rPr>
          <w:rFonts w:ascii="Arial" w:eastAsia="Calibri" w:hAnsi="Arial" w:cs="Arial"/>
          <w:sz w:val="22"/>
          <w:lang w:val="es-ES"/>
        </w:rPr>
        <w:t xml:space="preserve">haciendo abstracción del caso particular </w:t>
      </w:r>
      <w:bookmarkEnd w:id="0"/>
      <w:r w:rsidRPr="00671CAA">
        <w:rPr>
          <w:rFonts w:ascii="Arial" w:eastAsia="Calibri" w:hAnsi="Arial" w:cs="Arial"/>
          <w:sz w:val="22"/>
          <w:lang w:val="es-ES"/>
        </w:rPr>
        <w:t>expuesto en la petición– resolverá la consulta conforme a las normas generales del sistema de compras públicas. Con este objetivo se analizarán los siguientes temas:</w:t>
      </w:r>
      <w:r w:rsidRPr="00671CAA">
        <w:rPr>
          <w:rFonts w:ascii="Arial" w:hAnsi="Arial" w:cs="Arial"/>
          <w:color w:val="000000" w:themeColor="text1"/>
          <w:sz w:val="22"/>
          <w:lang w:val="es-ES_tradnl"/>
        </w:rPr>
        <w:t xml:space="preserve"> i) </w:t>
      </w:r>
      <w:r>
        <w:rPr>
          <w:rFonts w:ascii="Arial" w:hAnsi="Arial" w:cs="Arial"/>
          <w:bCs/>
          <w:color w:val="000000" w:themeColor="text1"/>
          <w:sz w:val="22"/>
          <w:lang w:val="es-ES_tradnl"/>
        </w:rPr>
        <w:t>r</w:t>
      </w:r>
      <w:r w:rsidRPr="00671CAA">
        <w:rPr>
          <w:rFonts w:ascii="Arial" w:hAnsi="Arial" w:cs="Arial"/>
          <w:bCs/>
          <w:color w:val="000000" w:themeColor="text1"/>
          <w:sz w:val="22"/>
          <w:lang w:val="es-ES_tradnl"/>
        </w:rPr>
        <w:t xml:space="preserve">egímenes especiales en la contratación estatal: referencia particular a las empresas sociales del Estado, ii) fundamento y ámbito de aplicación de los documentos tipo e iii) incidencia del artículo 56 de la Ley 2195 de 2022 en el régimen contractual y la aplicación de los documentos tipo para las entidades exceptuadas del Estatuto General de Contratación de la Administración Pública. </w:t>
      </w:r>
    </w:p>
    <w:p w14:paraId="20927261" w14:textId="77777777" w:rsidR="00D00727" w:rsidRDefault="00D00727" w:rsidP="00D00727">
      <w:pPr>
        <w:spacing w:before="120" w:line="276" w:lineRule="auto"/>
        <w:ind w:firstLine="709"/>
        <w:jc w:val="both"/>
        <w:rPr>
          <w:rFonts w:ascii="Arial" w:hAnsi="Arial" w:cs="Arial"/>
          <w:color w:val="000000" w:themeColor="text1"/>
          <w:sz w:val="22"/>
          <w:lang w:val="es-ES_tradnl"/>
        </w:rPr>
      </w:pPr>
      <w:r w:rsidRPr="000A617B">
        <w:rPr>
          <w:rFonts w:ascii="Arial" w:hAnsi="Arial" w:cs="Arial"/>
          <w:color w:val="000000" w:themeColor="text1"/>
          <w:sz w:val="22"/>
          <w:lang w:val="es-CO"/>
        </w:rPr>
        <w:t>La Agencia Nacional de Contratación Pública – Colombia Compra Eficiente</w:t>
      </w:r>
      <w:r>
        <w:rPr>
          <w:rFonts w:ascii="Arial" w:hAnsi="Arial" w:cs="Arial"/>
          <w:color w:val="000000" w:themeColor="text1"/>
          <w:sz w:val="22"/>
          <w:lang w:val="es-CO"/>
        </w:rPr>
        <w:t>,</w:t>
      </w:r>
      <w:r w:rsidRPr="000A617B">
        <w:rPr>
          <w:rFonts w:ascii="Arial" w:hAnsi="Arial" w:cs="Arial"/>
          <w:color w:val="000000" w:themeColor="text1"/>
          <w:sz w:val="22"/>
          <w:lang w:val="es-CO"/>
        </w:rPr>
        <w:t xml:space="preserve"> en relación con los regímenes especiales de contratación, incluido el de las empresas sociales del Estado, </w:t>
      </w:r>
      <w:r>
        <w:rPr>
          <w:rFonts w:ascii="Arial" w:hAnsi="Arial" w:cs="Arial"/>
          <w:color w:val="000000" w:themeColor="text1"/>
          <w:sz w:val="22"/>
          <w:lang w:val="es-CO"/>
        </w:rPr>
        <w:t>ha expedido</w:t>
      </w:r>
      <w:r w:rsidRPr="000A617B">
        <w:rPr>
          <w:rFonts w:ascii="Arial" w:hAnsi="Arial" w:cs="Arial"/>
          <w:color w:val="000000" w:themeColor="text1"/>
          <w:sz w:val="22"/>
          <w:lang w:val="es-CO"/>
        </w:rPr>
        <w:t xml:space="preserve"> los Conceptos del 24 de diciembre de 2019 –Radicado Nos. 4201913000007479 y 4201913000007831–, así como los </w:t>
      </w:r>
      <w:r>
        <w:rPr>
          <w:rFonts w:ascii="Arial" w:hAnsi="Arial" w:cs="Arial"/>
          <w:color w:val="000000" w:themeColor="text1"/>
          <w:sz w:val="22"/>
          <w:lang w:val="es-CO"/>
        </w:rPr>
        <w:t>C</w:t>
      </w:r>
      <w:r w:rsidRPr="000A617B">
        <w:rPr>
          <w:rFonts w:ascii="Arial" w:hAnsi="Arial" w:cs="Arial"/>
          <w:color w:val="000000" w:themeColor="text1"/>
          <w:sz w:val="22"/>
          <w:lang w:val="es-CO"/>
        </w:rPr>
        <w:t>onceptos C-027 del 13 de febrero de 2020, C-179 del 16 de marzo de 2020, C-362 del 03 de julio del año 2020, C-462 de 24 de julio de 2020</w:t>
      </w:r>
      <w:r>
        <w:rPr>
          <w:rFonts w:ascii="Arial" w:hAnsi="Arial" w:cs="Arial"/>
          <w:color w:val="000000" w:themeColor="text1"/>
          <w:sz w:val="22"/>
          <w:lang w:val="es-CO"/>
        </w:rPr>
        <w:t>,</w:t>
      </w:r>
      <w:r w:rsidRPr="000A617B">
        <w:rPr>
          <w:rFonts w:ascii="Arial" w:hAnsi="Arial" w:cs="Arial"/>
          <w:color w:val="000000" w:themeColor="text1"/>
          <w:sz w:val="22"/>
          <w:lang w:val="es-CO"/>
        </w:rPr>
        <w:t xml:space="preserve"> C</w:t>
      </w:r>
      <w:r>
        <w:rPr>
          <w:rFonts w:ascii="Arial" w:hAnsi="Arial" w:cs="Arial"/>
          <w:color w:val="000000" w:themeColor="text1"/>
          <w:sz w:val="22"/>
          <w:lang w:val="es-CO"/>
        </w:rPr>
        <w:t>-</w:t>
      </w:r>
      <w:r w:rsidRPr="000A617B">
        <w:rPr>
          <w:rFonts w:ascii="Arial" w:hAnsi="Arial" w:cs="Arial"/>
          <w:color w:val="000000" w:themeColor="text1"/>
          <w:sz w:val="22"/>
          <w:lang w:val="es-CO"/>
        </w:rPr>
        <w:t>560 de 24 de agosto de 2020</w:t>
      </w:r>
      <w:r>
        <w:rPr>
          <w:rFonts w:ascii="Arial" w:hAnsi="Arial" w:cs="Arial"/>
          <w:color w:val="000000" w:themeColor="text1"/>
          <w:sz w:val="22"/>
          <w:lang w:val="es-CO"/>
        </w:rPr>
        <w:t xml:space="preserve"> y C-</w:t>
      </w:r>
      <w:r w:rsidRPr="000A617B">
        <w:rPr>
          <w:rFonts w:ascii="Arial" w:hAnsi="Arial" w:cs="Arial"/>
          <w:color w:val="000000" w:themeColor="text1"/>
          <w:sz w:val="22"/>
          <w:lang w:val="es-CO"/>
        </w:rPr>
        <w:t>484 de</w:t>
      </w:r>
      <w:r>
        <w:rPr>
          <w:rFonts w:ascii="Arial" w:hAnsi="Arial" w:cs="Arial"/>
          <w:color w:val="000000" w:themeColor="text1"/>
          <w:sz w:val="22"/>
          <w:lang w:val="es-CO"/>
        </w:rPr>
        <w:t>l 13 de septiembre de</w:t>
      </w:r>
      <w:r w:rsidRPr="000A617B">
        <w:rPr>
          <w:rFonts w:ascii="Arial" w:hAnsi="Arial" w:cs="Arial"/>
          <w:color w:val="000000" w:themeColor="text1"/>
          <w:sz w:val="22"/>
          <w:lang w:val="es-CO"/>
        </w:rPr>
        <w:t xml:space="preserve"> 2021</w:t>
      </w:r>
      <w:r>
        <w:rPr>
          <w:rFonts w:ascii="Arial" w:hAnsi="Arial" w:cs="Arial"/>
          <w:color w:val="000000" w:themeColor="text1"/>
          <w:sz w:val="22"/>
          <w:lang w:val="es-ES_tradnl"/>
        </w:rPr>
        <w:t xml:space="preserve">. </w:t>
      </w:r>
    </w:p>
    <w:p w14:paraId="2D3AAA89" w14:textId="77777777" w:rsidR="00D00727" w:rsidRDefault="00D00727" w:rsidP="00D00727">
      <w:pPr>
        <w:spacing w:before="120" w:line="276" w:lineRule="auto"/>
        <w:ind w:firstLine="709"/>
        <w:jc w:val="both"/>
        <w:rPr>
          <w:rFonts w:ascii="Arial" w:hAnsi="Arial" w:cs="Arial"/>
          <w:color w:val="000000" w:themeColor="text1"/>
          <w:sz w:val="22"/>
          <w:lang w:val="es-ES_tradnl"/>
        </w:rPr>
      </w:pPr>
      <w:r>
        <w:rPr>
          <w:rFonts w:ascii="Arial" w:hAnsi="Arial" w:cs="Arial"/>
          <w:bCs/>
          <w:color w:val="000000" w:themeColor="text1"/>
          <w:sz w:val="22"/>
          <w:lang w:val="es-ES_tradnl"/>
        </w:rPr>
        <w:t xml:space="preserve">Por otra parte, también </w:t>
      </w:r>
      <w:r w:rsidRPr="007201D3">
        <w:rPr>
          <w:rFonts w:ascii="Arial" w:hAnsi="Arial" w:cs="Arial"/>
          <w:bCs/>
          <w:color w:val="000000" w:themeColor="text1"/>
          <w:sz w:val="22"/>
          <w:lang w:val="es-ES_tradnl"/>
        </w:rPr>
        <w:t xml:space="preserve">se ha pronunciado sobre el ámbito de aplicación de los documentos tipo en la contratación estatal, entre otros, en los </w:t>
      </w:r>
      <w:r>
        <w:rPr>
          <w:rFonts w:ascii="Arial" w:hAnsi="Arial" w:cs="Arial"/>
          <w:bCs/>
          <w:color w:val="000000" w:themeColor="text1"/>
          <w:sz w:val="22"/>
          <w:lang w:val="es-ES_tradnl"/>
        </w:rPr>
        <w:t>C</w:t>
      </w:r>
      <w:r w:rsidRPr="007201D3">
        <w:rPr>
          <w:rFonts w:ascii="Arial" w:hAnsi="Arial" w:cs="Arial"/>
          <w:bCs/>
          <w:color w:val="000000" w:themeColor="text1"/>
          <w:sz w:val="22"/>
          <w:lang w:val="es-ES_tradnl"/>
        </w:rPr>
        <w:t xml:space="preserve">onceptos 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y C-744 del 22 de diciembre de 2020. </w:t>
      </w:r>
      <w:r>
        <w:rPr>
          <w:rFonts w:ascii="Arial" w:hAnsi="Arial" w:cs="Arial"/>
          <w:bCs/>
          <w:color w:val="000000" w:themeColor="text1"/>
          <w:sz w:val="22"/>
          <w:lang w:val="es-ES_tradnl"/>
        </w:rPr>
        <w:t>Por lo demás</w:t>
      </w:r>
      <w:r w:rsidRPr="007201D3">
        <w:rPr>
          <w:rFonts w:ascii="Arial" w:hAnsi="Arial" w:cs="Arial"/>
          <w:bCs/>
          <w:color w:val="000000" w:themeColor="text1"/>
          <w:sz w:val="22"/>
          <w:lang w:val="es-ES_tradnl"/>
        </w:rPr>
        <w:t xml:space="preserve">, en </w:t>
      </w:r>
      <w:r>
        <w:rPr>
          <w:rFonts w:ascii="Arial" w:hAnsi="Arial" w:cs="Arial"/>
          <w:bCs/>
          <w:color w:val="000000" w:themeColor="text1"/>
          <w:sz w:val="22"/>
          <w:lang w:val="es-ES_tradnl"/>
        </w:rPr>
        <w:t>los</w:t>
      </w:r>
      <w:r w:rsidRPr="007201D3">
        <w:rPr>
          <w:rFonts w:ascii="Arial" w:hAnsi="Arial" w:cs="Arial"/>
          <w:bCs/>
          <w:color w:val="000000" w:themeColor="text1"/>
          <w:sz w:val="22"/>
          <w:lang w:val="es-ES_tradnl"/>
        </w:rPr>
        <w:t xml:space="preserve"> </w:t>
      </w:r>
      <w:r>
        <w:rPr>
          <w:rFonts w:ascii="Arial" w:hAnsi="Arial" w:cs="Arial"/>
          <w:bCs/>
          <w:color w:val="000000" w:themeColor="text1"/>
          <w:sz w:val="22"/>
          <w:lang w:val="es-ES_tradnl"/>
        </w:rPr>
        <w:t>C</w:t>
      </w:r>
      <w:r w:rsidRPr="007201D3">
        <w:rPr>
          <w:rFonts w:ascii="Arial" w:hAnsi="Arial" w:cs="Arial"/>
          <w:bCs/>
          <w:color w:val="000000" w:themeColor="text1"/>
          <w:sz w:val="22"/>
          <w:lang w:val="es-ES_tradnl"/>
        </w:rPr>
        <w:t>oncepto</w:t>
      </w:r>
      <w:r>
        <w:rPr>
          <w:rFonts w:ascii="Arial" w:hAnsi="Arial" w:cs="Arial"/>
          <w:bCs/>
          <w:color w:val="000000" w:themeColor="text1"/>
          <w:sz w:val="22"/>
          <w:lang w:val="es-ES_tradnl"/>
        </w:rPr>
        <w:t>s</w:t>
      </w:r>
      <w:r w:rsidRPr="007201D3">
        <w:rPr>
          <w:rFonts w:ascii="Arial" w:hAnsi="Arial" w:cs="Arial"/>
          <w:bCs/>
          <w:color w:val="000000" w:themeColor="text1"/>
          <w:sz w:val="22"/>
          <w:lang w:val="es-ES_tradnl"/>
        </w:rPr>
        <w:t xml:space="preserve"> C-066 del 28 de enero de 2022,</w:t>
      </w:r>
      <w:r>
        <w:rPr>
          <w:rFonts w:ascii="Arial" w:hAnsi="Arial" w:cs="Arial"/>
          <w:bCs/>
          <w:color w:val="000000" w:themeColor="text1"/>
          <w:sz w:val="22"/>
          <w:lang w:val="es-ES_tradnl"/>
        </w:rPr>
        <w:t xml:space="preserve"> C-033 del 4 de marzo de 2022, C-082 del 2 de marzo de 2022, C-065 del 9 de marzo de 2022, C-168 del 5 de abril de 2022 y C-215 de 22 de abril de 2022,</w:t>
      </w:r>
      <w:r w:rsidRPr="007201D3">
        <w:rPr>
          <w:rFonts w:ascii="Arial" w:hAnsi="Arial" w:cs="Arial"/>
          <w:bCs/>
          <w:color w:val="000000" w:themeColor="text1"/>
          <w:sz w:val="22"/>
          <w:lang w:val="es-ES_tradnl"/>
        </w:rPr>
        <w:t xml:space="preserve"> la Agencia se refirió al alcance de lo dispuesto en el artículo 56 de la Ley 2195 de 2022</w:t>
      </w:r>
      <w:r>
        <w:rPr>
          <w:rFonts w:ascii="Arial" w:hAnsi="Arial" w:cs="Arial"/>
          <w:bCs/>
          <w:color w:val="000000" w:themeColor="text1"/>
          <w:sz w:val="22"/>
          <w:lang w:val="es-ES_tradnl"/>
        </w:rPr>
        <w:t xml:space="preserve">. </w:t>
      </w:r>
      <w:r w:rsidRPr="00CB38DD">
        <w:rPr>
          <w:rFonts w:ascii="Arial" w:hAnsi="Arial" w:cs="Arial"/>
          <w:bCs/>
          <w:color w:val="000000" w:themeColor="text1"/>
          <w:sz w:val="22"/>
          <w:lang w:val="es-CO"/>
        </w:rPr>
        <w:t>La tesis desarrollada en estos conceptos se reitera y complementa a continuación</w:t>
      </w:r>
      <w:r>
        <w:rPr>
          <w:rFonts w:ascii="Arial" w:hAnsi="Arial" w:cs="Arial"/>
          <w:bCs/>
          <w:color w:val="000000" w:themeColor="text1"/>
          <w:sz w:val="22"/>
          <w:lang w:val="es-CO"/>
        </w:rPr>
        <w:t>:</w:t>
      </w:r>
    </w:p>
    <w:p w14:paraId="3EAD258F" w14:textId="77777777" w:rsidR="00D00727" w:rsidRDefault="00D00727" w:rsidP="00D00727">
      <w:pPr>
        <w:spacing w:line="276" w:lineRule="auto"/>
        <w:jc w:val="both"/>
        <w:rPr>
          <w:rFonts w:ascii="Arial" w:hAnsi="Arial" w:cs="Arial"/>
          <w:b/>
          <w:color w:val="000000" w:themeColor="text1"/>
          <w:sz w:val="22"/>
          <w:lang w:val="es-ES_tradnl"/>
        </w:rPr>
      </w:pPr>
    </w:p>
    <w:p w14:paraId="1386A5FC" w14:textId="77777777" w:rsidR="00D00727" w:rsidRPr="0026168F" w:rsidRDefault="00D00727" w:rsidP="00D00727">
      <w:pPr>
        <w:spacing w:line="276" w:lineRule="auto"/>
        <w:jc w:val="both"/>
        <w:rPr>
          <w:rFonts w:ascii="Arial" w:hAnsi="Arial" w:cs="Arial"/>
          <w:b/>
          <w:color w:val="000000" w:themeColor="text1"/>
          <w:sz w:val="22"/>
          <w:lang w:val="es-ES_tradnl"/>
        </w:rPr>
      </w:pPr>
      <w:r w:rsidRPr="0026168F">
        <w:rPr>
          <w:rFonts w:ascii="Arial" w:hAnsi="Arial" w:cs="Arial"/>
          <w:b/>
          <w:color w:val="000000" w:themeColor="text1"/>
          <w:sz w:val="22"/>
          <w:lang w:val="es-ES_tradnl"/>
        </w:rPr>
        <w:t>2.1. Regímenes especiales en la contratación estatal</w:t>
      </w:r>
      <w:r>
        <w:rPr>
          <w:rFonts w:ascii="Arial" w:hAnsi="Arial" w:cs="Arial"/>
          <w:b/>
          <w:color w:val="000000" w:themeColor="text1"/>
          <w:sz w:val="22"/>
          <w:lang w:val="es-ES_tradnl"/>
        </w:rPr>
        <w:t>: referencia particular a las empresas sociales del Estado</w:t>
      </w:r>
    </w:p>
    <w:p w14:paraId="2F9A6F84" w14:textId="77777777" w:rsidR="00D00727" w:rsidRPr="0026168F" w:rsidRDefault="00D00727" w:rsidP="00D00727">
      <w:pPr>
        <w:tabs>
          <w:tab w:val="left" w:pos="426"/>
        </w:tabs>
        <w:spacing w:line="276" w:lineRule="auto"/>
        <w:jc w:val="both"/>
        <w:rPr>
          <w:rFonts w:ascii="Arial" w:eastAsia="Calibri" w:hAnsi="Arial" w:cs="Arial"/>
          <w:b/>
          <w:color w:val="000000" w:themeColor="text1"/>
          <w:sz w:val="22"/>
          <w:lang w:val="es-ES_tradnl"/>
        </w:rPr>
      </w:pPr>
    </w:p>
    <w:p w14:paraId="52B4F2EB" w14:textId="77777777" w:rsidR="00D00727" w:rsidRPr="0026168F" w:rsidRDefault="00D00727" w:rsidP="00D00727">
      <w:pPr>
        <w:tabs>
          <w:tab w:val="left" w:pos="426"/>
        </w:tabs>
        <w:spacing w:line="276" w:lineRule="auto"/>
        <w:jc w:val="both"/>
        <w:rPr>
          <w:rFonts w:ascii="Arial" w:eastAsia="Calibri" w:hAnsi="Arial" w:cs="Arial"/>
          <w:b/>
          <w:color w:val="000000" w:themeColor="text1"/>
          <w:sz w:val="22"/>
          <w:lang w:val="es-ES_tradnl"/>
        </w:rPr>
      </w:pPr>
      <w:bookmarkStart w:id="1" w:name="_Hlk96453635"/>
      <w:r w:rsidRPr="0026168F">
        <w:rPr>
          <w:rFonts w:ascii="Arial" w:eastAsia="Calibri" w:hAnsi="Arial" w:cs="Arial"/>
          <w:color w:val="000000" w:themeColor="text1"/>
          <w:sz w:val="22"/>
          <w:lang w:val="es-ES_tradnl"/>
        </w:rPr>
        <w:t xml:space="preserve">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por </w:t>
      </w:r>
      <w:r>
        <w:rPr>
          <w:rFonts w:ascii="Arial" w:eastAsia="Calibri" w:hAnsi="Arial" w:cs="Arial"/>
          <w:color w:val="000000" w:themeColor="text1"/>
          <w:sz w:val="22"/>
          <w:lang w:val="es-ES_tradnl"/>
        </w:rPr>
        <w:t>lo que</w:t>
      </w:r>
      <w:r w:rsidRPr="0026168F">
        <w:rPr>
          <w:rFonts w:ascii="Arial" w:eastAsia="Calibri" w:hAnsi="Arial" w:cs="Arial"/>
          <w:color w:val="000000" w:themeColor="text1"/>
          <w:sz w:val="22"/>
          <w:lang w:val="es-ES_tradnl"/>
        </w:rPr>
        <w:t xml:space="preserve"> sus procedimientos contractuales tienen su normativa propia para su desarrollo, esto es, el derecho privado</w:t>
      </w:r>
      <w:r>
        <w:rPr>
          <w:rFonts w:ascii="Arial" w:eastAsia="Calibri" w:hAnsi="Arial" w:cs="Arial"/>
          <w:color w:val="000000" w:themeColor="text1"/>
          <w:sz w:val="22"/>
          <w:lang w:val="es-ES_tradnl"/>
        </w:rPr>
        <w:t>. Este aspecto se determina</w:t>
      </w:r>
      <w:r w:rsidRPr="0026168F">
        <w:rPr>
          <w:rFonts w:ascii="Arial" w:eastAsia="Calibri" w:hAnsi="Arial" w:cs="Arial"/>
          <w:color w:val="000000" w:themeColor="text1"/>
          <w:sz w:val="22"/>
          <w:lang w:val="es-ES_tradnl"/>
        </w:rPr>
        <w:t xml:space="preserve"> en las normas de creación de las entidades de régimen especial y en sus manuales de contratación.</w:t>
      </w:r>
      <w:bookmarkEnd w:id="1"/>
    </w:p>
    <w:p w14:paraId="02D804A8" w14:textId="77777777" w:rsidR="00D00727" w:rsidRPr="0026168F" w:rsidRDefault="00D00727" w:rsidP="00D00727">
      <w:pPr>
        <w:spacing w:before="120" w:after="120" w:line="276" w:lineRule="auto"/>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ab/>
        <w:t xml:space="preserve">Teniendo en cuenta que las entidades de régimen especial están facultadas legalmente para aplicar reglas distintas a las establecidas en la Ley 80 de 1993 y sus normas complementarias, su régimen contractual estará definido en la noma que crea el régimen especial y será desarrollado en el manual de la respectiva entidad, con el fin de que se puedan identificar las </w:t>
      </w:r>
      <w:r>
        <w:rPr>
          <w:rFonts w:ascii="Arial" w:eastAsia="Calibri" w:hAnsi="Arial" w:cs="Arial"/>
          <w:color w:val="000000" w:themeColor="text1"/>
          <w:sz w:val="22"/>
          <w:lang w:val="es-ES_tradnl"/>
        </w:rPr>
        <w:t>normas</w:t>
      </w:r>
      <w:r w:rsidRPr="0026168F">
        <w:rPr>
          <w:rFonts w:ascii="Arial" w:eastAsia="Calibri" w:hAnsi="Arial" w:cs="Arial"/>
          <w:color w:val="000000" w:themeColor="text1"/>
          <w:sz w:val="22"/>
          <w:lang w:val="es-ES_tradnl"/>
        </w:rPr>
        <w:t xml:space="preserve"> que aplican en l</w:t>
      </w:r>
      <w:r>
        <w:rPr>
          <w:rFonts w:ascii="Arial" w:eastAsia="Calibri" w:hAnsi="Arial" w:cs="Arial"/>
          <w:color w:val="000000" w:themeColor="text1"/>
          <w:sz w:val="22"/>
          <w:lang w:val="es-ES_tradnl"/>
        </w:rPr>
        <w:t>os procesos de</w:t>
      </w:r>
      <w:r w:rsidRPr="0026168F">
        <w:rPr>
          <w:rFonts w:ascii="Arial" w:eastAsia="Calibri" w:hAnsi="Arial" w:cs="Arial"/>
          <w:color w:val="000000" w:themeColor="text1"/>
          <w:sz w:val="22"/>
          <w:lang w:val="es-ES_tradnl"/>
        </w:rPr>
        <w:t xml:space="preserve"> contratación. La Agencia Nacional de Contratación Pública – Colombia Compra Eficiente expidió la Guía para las entidades estatales con régimen especial de contratación, que las define como aquellas que contratan con un régimen distinto a las Leyes 80 de 1993 y 1150 de 2007</w:t>
      </w:r>
      <w:r w:rsidRPr="0026168F">
        <w:rPr>
          <w:rStyle w:val="Refdenotaalpie"/>
          <w:rFonts w:ascii="Arial" w:eastAsia="Calibri" w:hAnsi="Arial" w:cs="Arial"/>
          <w:color w:val="000000" w:themeColor="text1"/>
          <w:sz w:val="22"/>
          <w:lang w:val="es-ES_tradnl"/>
        </w:rPr>
        <w:footnoteReference w:id="2"/>
      </w:r>
      <w:r w:rsidRPr="0026168F">
        <w:rPr>
          <w:rFonts w:ascii="Arial" w:eastAsia="Calibri" w:hAnsi="Arial" w:cs="Arial"/>
          <w:color w:val="000000" w:themeColor="text1"/>
          <w:sz w:val="22"/>
          <w:lang w:val="es-ES_tradnl"/>
        </w:rPr>
        <w:t>.</w:t>
      </w:r>
    </w:p>
    <w:p w14:paraId="343747FF" w14:textId="77777777" w:rsidR="00D00727" w:rsidRPr="0026168F" w:rsidRDefault="00D00727" w:rsidP="00D00727">
      <w:pPr>
        <w:spacing w:line="276" w:lineRule="auto"/>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ab/>
        <w:t xml:space="preserve">No obstante, las entidades de régimen especial cumplen una finalidad pública y </w:t>
      </w:r>
      <w:r>
        <w:rPr>
          <w:rFonts w:ascii="Arial" w:eastAsia="Calibri" w:hAnsi="Arial" w:cs="Arial"/>
          <w:color w:val="000000" w:themeColor="text1"/>
          <w:sz w:val="22"/>
          <w:lang w:val="es-ES_tradnl"/>
        </w:rPr>
        <w:t>contratan con</w:t>
      </w:r>
      <w:r w:rsidRPr="0026168F">
        <w:rPr>
          <w:rFonts w:ascii="Arial" w:eastAsia="Calibri" w:hAnsi="Arial" w:cs="Arial"/>
          <w:color w:val="000000" w:themeColor="text1"/>
          <w:sz w:val="22"/>
          <w:lang w:val="es-ES_tradnl"/>
        </w:rPr>
        <w:t xml:space="preserve"> recursos públicos para lograrlo, por lo que no son ajenas a los principios de la función administrativa y de la gestión fiscal, entre otras reglas dispuestas en la normativa de contratación pública que son transversales a todas las entidades, sin importar su régimen contractual. Lo anterior es reafirmado por el Consejo de Estado, que destaca las reglas que sigue la contratación de las entidades de régimen especial:</w:t>
      </w:r>
    </w:p>
    <w:p w14:paraId="47D1C67F" w14:textId="77777777" w:rsidR="00D00727" w:rsidRPr="0026168F" w:rsidRDefault="00D00727" w:rsidP="00D00727">
      <w:pPr>
        <w:jc w:val="both"/>
        <w:rPr>
          <w:rFonts w:ascii="Arial" w:eastAsia="Calibri" w:hAnsi="Arial" w:cs="Arial"/>
          <w:color w:val="000000" w:themeColor="text1"/>
          <w:sz w:val="22"/>
          <w:lang w:val="es-ES_tradnl"/>
        </w:rPr>
      </w:pPr>
    </w:p>
    <w:p w14:paraId="55B8E435" w14:textId="77777777" w:rsidR="00D00727" w:rsidRPr="0026168F" w:rsidRDefault="00D00727" w:rsidP="00D00727">
      <w:pPr>
        <w:spacing w:after="120"/>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31179893" w14:textId="77777777" w:rsidR="00D00727" w:rsidRPr="0026168F" w:rsidRDefault="00D00727" w:rsidP="00D00727">
      <w:pPr>
        <w:spacing w:after="120"/>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lastRenderedPageBreak/>
        <w:t xml:space="preserve">La Sala entiende que el régimen preponderante domina y aporta el gran volumen de normas contractuales y que el régimen inspirador influye y ayuda a interpretar pero también transforma parte de esas instituciones, porque se suma a ellas, lo que no siempre se logra conservando intacta la institución privada sino introduciéndole modificaciones. </w:t>
      </w:r>
    </w:p>
    <w:p w14:paraId="714518A4" w14:textId="77777777" w:rsidR="00D00727" w:rsidRPr="0026168F" w:rsidRDefault="00D00727" w:rsidP="00D00727">
      <w:pPr>
        <w:ind w:left="709" w:right="709"/>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1"/>
          <w:szCs w:val="21"/>
          <w:lang w:val="es-ES_tradnl"/>
        </w:rPr>
        <w:t>La función que cumplen los principios públicos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de oportunidades de acceso a los negocios del Estado, la trasparencia y en general los demás valores propios de la gestión de lo público</w:t>
      </w:r>
      <w:r w:rsidRPr="0026168F">
        <w:rPr>
          <w:rStyle w:val="Refdenotaalpie"/>
          <w:rFonts w:ascii="Arial" w:eastAsia="Calibri" w:hAnsi="Arial" w:cs="Arial"/>
          <w:color w:val="000000" w:themeColor="text1"/>
          <w:sz w:val="22"/>
          <w:lang w:val="es-ES_tradnl"/>
        </w:rPr>
        <w:footnoteReference w:id="3"/>
      </w:r>
      <w:r w:rsidRPr="0026168F">
        <w:rPr>
          <w:rFonts w:ascii="Arial" w:eastAsia="Calibri" w:hAnsi="Arial" w:cs="Arial"/>
          <w:color w:val="000000" w:themeColor="text1"/>
          <w:sz w:val="22"/>
          <w:lang w:val="es-ES_tradnl"/>
        </w:rPr>
        <w:t>.</w:t>
      </w:r>
    </w:p>
    <w:p w14:paraId="02CF323C" w14:textId="77777777" w:rsidR="00D00727" w:rsidRPr="0026168F" w:rsidRDefault="00D00727" w:rsidP="00D00727">
      <w:pPr>
        <w:spacing w:line="276" w:lineRule="auto"/>
        <w:jc w:val="both"/>
        <w:rPr>
          <w:rFonts w:ascii="Arial" w:eastAsia="Calibri" w:hAnsi="Arial" w:cs="Arial"/>
          <w:color w:val="000000" w:themeColor="text1"/>
          <w:sz w:val="22"/>
          <w:lang w:val="es-ES_tradnl"/>
        </w:rPr>
      </w:pPr>
    </w:p>
    <w:p w14:paraId="61C6D594" w14:textId="77777777" w:rsidR="00D00727" w:rsidRPr="0026168F" w:rsidRDefault="00D00727" w:rsidP="00D00727">
      <w:pPr>
        <w:spacing w:line="276" w:lineRule="auto"/>
        <w:ind w:firstLine="708"/>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 xml:space="preserve">Teniendo en cuenta que las entidades de régimen especial administran recursos públicos, sus manuales de contratación deben </w:t>
      </w:r>
      <w:r>
        <w:rPr>
          <w:rFonts w:ascii="Arial" w:eastAsia="Calibri" w:hAnsi="Arial" w:cs="Arial"/>
          <w:color w:val="000000" w:themeColor="text1"/>
          <w:sz w:val="22"/>
          <w:lang w:val="es-ES_tradnl"/>
        </w:rPr>
        <w:t>sujetar</w:t>
      </w:r>
      <w:r w:rsidRPr="0026168F">
        <w:rPr>
          <w:rFonts w:ascii="Arial" w:eastAsia="Calibri" w:hAnsi="Arial" w:cs="Arial"/>
          <w:color w:val="000000" w:themeColor="text1"/>
          <w:sz w:val="22"/>
          <w:lang w:val="es-ES_tradnl"/>
        </w:rPr>
        <w:t xml:space="preserve">se a unas reglas mínimas que garanticen el cumplimiento de los principios de la función pública, el control fiscal y los principios rectores de la contratación estatal. </w:t>
      </w:r>
      <w:r>
        <w:rPr>
          <w:rFonts w:ascii="Arial" w:eastAsia="Calibri" w:hAnsi="Arial" w:cs="Arial"/>
          <w:color w:val="000000" w:themeColor="text1"/>
          <w:sz w:val="22"/>
          <w:lang w:val="es-ES_tradnl"/>
        </w:rPr>
        <w:t>E</w:t>
      </w:r>
      <w:r w:rsidRPr="0026168F">
        <w:rPr>
          <w:rFonts w:ascii="Arial" w:eastAsia="Calibri" w:hAnsi="Arial" w:cs="Arial"/>
          <w:color w:val="000000" w:themeColor="text1"/>
          <w:sz w:val="22"/>
          <w:lang w:val="es-ES_tradnl"/>
        </w:rPr>
        <w:t xml:space="preserve">stas reglas deben indicar el contenido de las propuestas y los procedimientos de selección, </w:t>
      </w:r>
      <w:r>
        <w:rPr>
          <w:rFonts w:ascii="Arial" w:eastAsia="Calibri" w:hAnsi="Arial" w:cs="Arial"/>
          <w:color w:val="000000" w:themeColor="text1"/>
          <w:sz w:val="22"/>
          <w:lang w:val="es-ES_tradnl"/>
        </w:rPr>
        <w:t>realizar</w:t>
      </w:r>
      <w:r w:rsidRPr="0026168F">
        <w:rPr>
          <w:rFonts w:ascii="Arial" w:eastAsia="Calibri" w:hAnsi="Arial" w:cs="Arial"/>
          <w:color w:val="000000" w:themeColor="text1"/>
          <w:sz w:val="22"/>
          <w:lang w:val="es-ES_tradnl"/>
        </w:rPr>
        <w:t xml:space="preserve"> una descripción precisa del procedimiento, los plazos de las etapas y los criterios de evaluación y desempate, </w:t>
      </w:r>
      <w:r>
        <w:rPr>
          <w:rFonts w:ascii="Arial" w:eastAsia="Calibri" w:hAnsi="Arial" w:cs="Arial"/>
          <w:color w:val="000000" w:themeColor="text1"/>
          <w:sz w:val="22"/>
          <w:lang w:val="es-ES_tradnl"/>
        </w:rPr>
        <w:t>así como</w:t>
      </w:r>
      <w:r w:rsidRPr="0026168F">
        <w:rPr>
          <w:rFonts w:ascii="Arial" w:eastAsia="Calibri" w:hAnsi="Arial" w:cs="Arial"/>
          <w:color w:val="000000" w:themeColor="text1"/>
          <w:sz w:val="22"/>
          <w:lang w:val="es-ES_tradnl"/>
        </w:rPr>
        <w:t xml:space="preserve"> todos los criterios necesarios para garantizar la selección objetiva y la protección del interés general. Lo anterior, sin perjuicio de que algunas de estas reglas se establezcan, complementen o detallen en los documentos que se expiden en desarrollo de sus procedimientos contractuales.</w:t>
      </w:r>
    </w:p>
    <w:p w14:paraId="23FC67EF" w14:textId="77777777" w:rsidR="00D00727" w:rsidRPr="0026168F" w:rsidRDefault="00D00727" w:rsidP="00D00727">
      <w:pPr>
        <w:spacing w:before="120" w:after="120" w:line="276" w:lineRule="auto"/>
        <w:ind w:firstLine="708"/>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 xml:space="preserve">Así mismo, estas entidades deben cumplir unas obligaciones transversales a la contratación pública, entre ellas la elaboración del Plan Anual de Adquisiciones, la publicación de sus procedimientos de selección a través de la herramienta SECOP </w:t>
      </w:r>
      <w:r>
        <w:rPr>
          <w:rFonts w:ascii="Arial" w:eastAsia="Calibri" w:hAnsi="Arial" w:cs="Arial"/>
          <w:color w:val="000000" w:themeColor="text1"/>
          <w:sz w:val="22"/>
          <w:lang w:val="es-ES_tradnl"/>
        </w:rPr>
        <w:t>–</w:t>
      </w:r>
      <w:r w:rsidRPr="0026168F">
        <w:rPr>
          <w:rFonts w:ascii="Arial" w:eastAsia="Calibri" w:hAnsi="Arial" w:cs="Arial"/>
          <w:color w:val="000000" w:themeColor="text1"/>
          <w:sz w:val="22"/>
          <w:lang w:val="es-ES_tradnl"/>
        </w:rPr>
        <w:t>en la sección Régimen Especial</w:t>
      </w:r>
      <w:r>
        <w:rPr>
          <w:rFonts w:ascii="Arial" w:eastAsia="Calibri" w:hAnsi="Arial" w:cs="Arial"/>
          <w:color w:val="000000" w:themeColor="text1"/>
          <w:sz w:val="22"/>
          <w:lang w:val="es-ES_tradnl"/>
        </w:rPr>
        <w:t>–</w:t>
      </w:r>
      <w:r w:rsidRPr="0026168F">
        <w:rPr>
          <w:rFonts w:ascii="Arial" w:eastAsia="Calibri" w:hAnsi="Arial" w:cs="Arial"/>
          <w:color w:val="000000" w:themeColor="text1"/>
          <w:sz w:val="22"/>
          <w:lang w:val="es-ES_tradnl"/>
        </w:rPr>
        <w:t>, hacer uso del clasificador de bienes y servicios de las Naciones Unidas, reportar inhabilidades e incompatibilidades de los proveedores de la entidad y analizar el sector económico de los oferentes, entre otras.</w:t>
      </w:r>
    </w:p>
    <w:p w14:paraId="252C0C26" w14:textId="77777777" w:rsidR="00D00727" w:rsidRDefault="00D00727" w:rsidP="00D00727">
      <w:pPr>
        <w:spacing w:after="120" w:line="276" w:lineRule="auto"/>
        <w:ind w:firstLine="709"/>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Además, debe tener</w:t>
      </w:r>
      <w:r>
        <w:rPr>
          <w:rFonts w:ascii="Arial" w:eastAsia="Calibri" w:hAnsi="Arial" w:cs="Arial"/>
          <w:color w:val="000000" w:themeColor="text1"/>
          <w:sz w:val="22"/>
          <w:lang w:val="es-ES_tradnl"/>
        </w:rPr>
        <w:t>se</w:t>
      </w:r>
      <w:r w:rsidRPr="0026168F">
        <w:rPr>
          <w:rFonts w:ascii="Arial" w:eastAsia="Calibri" w:hAnsi="Arial" w:cs="Arial"/>
          <w:color w:val="000000" w:themeColor="text1"/>
          <w:sz w:val="22"/>
          <w:lang w:val="es-ES_tradnl"/>
        </w:rPr>
        <w:t xml:space="preserve"> en cuenta que las cláusulas excepcionales no están contempladas en el derecho común. Estas se encuentran limitadas no solo al uso del Estatuto General de Contratación de la Administración Pública sino a algunos tipos de contratos específicos. En ese sentido, la única forma en que una entidad sujeta a un régimen especial pueda usar estas cláusulas es </w:t>
      </w:r>
      <w:r>
        <w:rPr>
          <w:rFonts w:ascii="Arial" w:eastAsia="Calibri" w:hAnsi="Arial" w:cs="Arial"/>
          <w:color w:val="000000" w:themeColor="text1"/>
          <w:sz w:val="22"/>
          <w:lang w:val="es-ES_tradnl"/>
        </w:rPr>
        <w:t>que una norma expresa las habilite</w:t>
      </w:r>
      <w:r w:rsidRPr="0026168F">
        <w:rPr>
          <w:rFonts w:ascii="Arial" w:eastAsia="Calibri" w:hAnsi="Arial" w:cs="Arial"/>
          <w:color w:val="000000" w:themeColor="text1"/>
          <w:sz w:val="22"/>
          <w:lang w:val="es-ES_tradnl"/>
        </w:rPr>
        <w:t xml:space="preserve">, como </w:t>
      </w:r>
      <w:r w:rsidRPr="0026168F">
        <w:rPr>
          <w:rFonts w:ascii="Arial" w:eastAsia="Calibri" w:hAnsi="Arial" w:cs="Arial"/>
          <w:color w:val="000000" w:themeColor="text1"/>
          <w:sz w:val="22"/>
          <w:lang w:val="es-ES_tradnl"/>
        </w:rPr>
        <w:lastRenderedPageBreak/>
        <w:t xml:space="preserve">sucede, por ejemplo, con las empresas </w:t>
      </w:r>
      <w:r>
        <w:rPr>
          <w:rFonts w:ascii="Arial" w:eastAsia="Calibri" w:hAnsi="Arial" w:cs="Arial"/>
          <w:color w:val="000000" w:themeColor="text1"/>
          <w:sz w:val="22"/>
          <w:lang w:val="es-ES_tradnl"/>
        </w:rPr>
        <w:t>de servicios públicos domiciliarios</w:t>
      </w:r>
      <w:r>
        <w:rPr>
          <w:rStyle w:val="Refdenotaalpie"/>
          <w:rFonts w:ascii="Arial" w:eastAsia="Calibri" w:hAnsi="Arial" w:cs="Arial"/>
          <w:color w:val="000000" w:themeColor="text1"/>
          <w:sz w:val="22"/>
          <w:lang w:val="es-ES_tradnl"/>
        </w:rPr>
        <w:footnoteReference w:id="4"/>
      </w:r>
      <w:r w:rsidRPr="0026168F">
        <w:rPr>
          <w:rFonts w:ascii="Arial" w:eastAsia="Calibri" w:hAnsi="Arial" w:cs="Arial"/>
          <w:color w:val="000000" w:themeColor="text1"/>
          <w:sz w:val="22"/>
          <w:lang w:val="es-ES_tradnl"/>
        </w:rPr>
        <w:t xml:space="preserve">. De modo que si una Entidad sujeta al régimen especial requiere sancionar </w:t>
      </w:r>
      <w:r>
        <w:rPr>
          <w:rFonts w:ascii="Arial" w:eastAsia="Calibri" w:hAnsi="Arial" w:cs="Arial"/>
          <w:color w:val="000000" w:themeColor="text1"/>
          <w:sz w:val="22"/>
          <w:lang w:val="es-ES_tradnl"/>
        </w:rPr>
        <w:t xml:space="preserve">al contratista </w:t>
      </w:r>
      <w:r w:rsidRPr="0026168F">
        <w:rPr>
          <w:rFonts w:ascii="Arial" w:eastAsia="Calibri" w:hAnsi="Arial" w:cs="Arial"/>
          <w:color w:val="000000" w:themeColor="text1"/>
          <w:sz w:val="22"/>
          <w:lang w:val="es-ES_tradnl"/>
        </w:rPr>
        <w:t>o termina</w:t>
      </w:r>
      <w:r>
        <w:rPr>
          <w:rFonts w:ascii="Arial" w:eastAsia="Calibri" w:hAnsi="Arial" w:cs="Arial"/>
          <w:color w:val="000000" w:themeColor="text1"/>
          <w:sz w:val="22"/>
          <w:lang w:val="es-ES_tradnl"/>
        </w:rPr>
        <w:t>r</w:t>
      </w:r>
      <w:r w:rsidRPr="0026168F">
        <w:rPr>
          <w:rFonts w:ascii="Arial" w:eastAsia="Calibri" w:hAnsi="Arial" w:cs="Arial"/>
          <w:color w:val="000000" w:themeColor="text1"/>
          <w:sz w:val="22"/>
          <w:lang w:val="es-ES_tradnl"/>
        </w:rPr>
        <w:t xml:space="preserve"> el contrato, por regla general, debe acudir al juez competente</w:t>
      </w:r>
      <w:r w:rsidRPr="0026168F">
        <w:rPr>
          <w:rStyle w:val="Refdenotaalpie"/>
          <w:rFonts w:ascii="Arial" w:eastAsia="Calibri" w:hAnsi="Arial" w:cs="Arial"/>
          <w:color w:val="000000" w:themeColor="text1"/>
          <w:sz w:val="22"/>
          <w:lang w:val="es-ES_tradnl"/>
        </w:rPr>
        <w:footnoteReference w:id="5"/>
      </w:r>
      <w:r w:rsidRPr="0026168F">
        <w:rPr>
          <w:rFonts w:ascii="Arial" w:eastAsia="Calibri" w:hAnsi="Arial" w:cs="Arial"/>
          <w:color w:val="000000" w:themeColor="text1"/>
          <w:sz w:val="22"/>
          <w:lang w:val="es-ES_tradnl"/>
        </w:rPr>
        <w:t>. Lo anterior, se reitera, salvo que una norma especial extienda la aplicación de alguna o algunas de las facultades o disposiciones establecidas en el Estatuto General de Contratación de la Administración Pública –en adelante Estatuto General de Contratación o EGCAP– a entidades con un régimen especial de contratación.</w:t>
      </w:r>
    </w:p>
    <w:p w14:paraId="25DADCDB" w14:textId="77777777" w:rsidR="00D00727" w:rsidRPr="003467EA" w:rsidRDefault="00D00727" w:rsidP="00D00727">
      <w:pPr>
        <w:spacing w:line="276" w:lineRule="auto"/>
        <w:ind w:firstLine="708"/>
        <w:jc w:val="both"/>
        <w:rPr>
          <w:rFonts w:ascii="Arial" w:eastAsia="Calibri" w:hAnsi="Arial" w:cs="Arial"/>
          <w:color w:val="000000" w:themeColor="text1"/>
          <w:sz w:val="22"/>
        </w:rPr>
      </w:pPr>
      <w:r w:rsidRPr="003467EA">
        <w:rPr>
          <w:rFonts w:ascii="Arial" w:hAnsi="Arial" w:cs="Arial"/>
          <w:sz w:val="22"/>
          <w:lang w:val="es-ES_tradnl"/>
        </w:rPr>
        <w:t>Particularmente, respecto al objeto de la consulta, es necesario tener en cuenta que l</w:t>
      </w:r>
      <w:r w:rsidRPr="003467EA">
        <w:rPr>
          <w:rFonts w:ascii="Arial" w:hAnsi="Arial" w:cs="Arial"/>
          <w:sz w:val="22"/>
        </w:rPr>
        <w:t>as empresas sociales del Estado – ESE son entidades públicas que, conforme al artículo 194 de la Ley 100 de 1993, son de categoría especial, descentralizada por servicios, con personería jurídica, patrimonio propio y autonomía administrativa</w:t>
      </w:r>
      <w:r w:rsidRPr="003467EA">
        <w:rPr>
          <w:rStyle w:val="Refdenotaalpie"/>
          <w:rFonts w:ascii="Arial" w:hAnsi="Arial" w:cs="Arial"/>
          <w:sz w:val="22"/>
        </w:rPr>
        <w:footnoteReference w:id="6"/>
      </w:r>
      <w:r w:rsidRPr="003467EA">
        <w:rPr>
          <w:rFonts w:ascii="Arial" w:hAnsi="Arial" w:cs="Arial"/>
          <w:sz w:val="22"/>
        </w:rPr>
        <w:t>. A través de ellas la Nación o las entidades territoriales prestan el servicio de salud de manera directa, es decir</w:t>
      </w:r>
      <w:r w:rsidRPr="003467EA">
        <w:rPr>
          <w:rFonts w:ascii="Arial" w:eastAsia="Calibri" w:hAnsi="Arial" w:cs="Arial"/>
          <w:color w:val="000000" w:themeColor="text1"/>
          <w:sz w:val="22"/>
        </w:rPr>
        <w:t xml:space="preserve">, las Empresas Sociales del Estado son, esencialmente, los hospitales públicos. El Consejo de Estado, sobre la naturaleza jurídica de estas entidades, precisó: </w:t>
      </w:r>
    </w:p>
    <w:p w14:paraId="5857893C" w14:textId="77777777" w:rsidR="00D00727" w:rsidRPr="003467EA" w:rsidRDefault="00D00727" w:rsidP="00D00727">
      <w:pPr>
        <w:spacing w:line="276" w:lineRule="auto"/>
        <w:jc w:val="both"/>
        <w:rPr>
          <w:rFonts w:ascii="Arial" w:eastAsia="Calibri" w:hAnsi="Arial" w:cs="Arial"/>
          <w:color w:val="000000" w:themeColor="text1"/>
          <w:sz w:val="22"/>
        </w:rPr>
      </w:pPr>
    </w:p>
    <w:p w14:paraId="3138AE2C" w14:textId="77777777" w:rsidR="00D00727" w:rsidRPr="003467EA" w:rsidRDefault="00D00727" w:rsidP="00D00727">
      <w:pPr>
        <w:ind w:left="709" w:right="709"/>
        <w:jc w:val="both"/>
        <w:rPr>
          <w:rFonts w:ascii="Arial" w:eastAsia="Calibri" w:hAnsi="Arial" w:cs="Arial"/>
          <w:color w:val="000000" w:themeColor="text1"/>
          <w:sz w:val="21"/>
          <w:szCs w:val="21"/>
        </w:rPr>
      </w:pPr>
      <w:r w:rsidRPr="003467EA">
        <w:rPr>
          <w:rFonts w:ascii="Arial" w:eastAsia="Calibri" w:hAnsi="Arial" w:cs="Arial"/>
          <w:color w:val="000000" w:themeColor="text1"/>
          <w:sz w:val="21"/>
          <w:szCs w:val="21"/>
        </w:rPr>
        <w:t>[…] Se tiene que las empresas sociales del Estado, es decir, los hospitales públicos a que se refiere la ley 100 de 1993, son entidades descentralizadas por servicios, de naturaleza jurídica especial, es decir, son entidades estatales que pertenecen a la estructura de la rama ejecutiva del poder público, porque así lo disponen los arts. 38 y 68 de la ley 489 de 1998 […]</w:t>
      </w:r>
      <w:r w:rsidRPr="003467EA">
        <w:rPr>
          <w:rStyle w:val="Refdenotaalpie"/>
          <w:rFonts w:ascii="Arial" w:eastAsia="Calibri" w:hAnsi="Arial" w:cs="Arial"/>
          <w:color w:val="000000" w:themeColor="text1"/>
          <w:sz w:val="21"/>
          <w:szCs w:val="21"/>
        </w:rPr>
        <w:footnoteReference w:id="7"/>
      </w:r>
      <w:r w:rsidRPr="003467EA">
        <w:rPr>
          <w:rFonts w:ascii="Arial" w:eastAsia="Calibri" w:hAnsi="Arial" w:cs="Arial"/>
          <w:color w:val="000000" w:themeColor="text1"/>
          <w:sz w:val="21"/>
          <w:szCs w:val="21"/>
        </w:rPr>
        <w:t xml:space="preserve">. </w:t>
      </w:r>
    </w:p>
    <w:p w14:paraId="667E8C9F" w14:textId="77777777" w:rsidR="00D00727" w:rsidRPr="003467EA" w:rsidRDefault="00D00727" w:rsidP="00D00727">
      <w:pPr>
        <w:spacing w:line="276" w:lineRule="auto"/>
        <w:ind w:left="709" w:right="709"/>
        <w:jc w:val="both"/>
        <w:rPr>
          <w:rFonts w:ascii="Arial" w:eastAsia="Calibri" w:hAnsi="Arial" w:cs="Arial"/>
          <w:color w:val="000000" w:themeColor="text1"/>
          <w:sz w:val="22"/>
        </w:rPr>
      </w:pPr>
    </w:p>
    <w:p w14:paraId="1FE5AA46" w14:textId="77777777" w:rsidR="00D00727" w:rsidRPr="003467EA" w:rsidRDefault="00D00727" w:rsidP="00D00727">
      <w:pPr>
        <w:pStyle w:val="Textoindependiente"/>
        <w:ind w:right="102" w:firstLine="709"/>
        <w:jc w:val="both"/>
        <w:rPr>
          <w:rFonts w:ascii="Arial" w:hAnsi="Arial" w:cs="Arial"/>
        </w:rPr>
      </w:pPr>
      <w:r w:rsidRPr="003467EA">
        <w:rPr>
          <w:rFonts w:ascii="Arial" w:hAnsi="Arial" w:cs="Arial"/>
        </w:rPr>
        <w:lastRenderedPageBreak/>
        <w:t xml:space="preserve">De la cita precedente puede concluirse que las empresas sociales del Estado son una categoría especial de entidades públicas que hacen parte de la estructura de la Rama Ejecutiva del poder público. En este mismo sentido, el artículo 38 de la Ley 489 de 1998, en el que se consagran los organismos y entidades que integran la rama ejecutiva del poder público, dispuso en el literal d) del numeral 2 que las empresas sociales del Estado hacen parte del sector descentralizado por servicios de esta rama del poder público. </w:t>
      </w:r>
    </w:p>
    <w:p w14:paraId="48C1F23B" w14:textId="77777777" w:rsidR="00D00727" w:rsidRPr="003467EA" w:rsidRDefault="00D00727" w:rsidP="00D00727">
      <w:pPr>
        <w:spacing w:after="120" w:line="276" w:lineRule="auto"/>
        <w:ind w:firstLine="709"/>
        <w:jc w:val="both"/>
        <w:rPr>
          <w:rFonts w:ascii="Arial" w:hAnsi="Arial" w:cs="Arial"/>
          <w:sz w:val="22"/>
        </w:rPr>
      </w:pPr>
      <w:r w:rsidRPr="003467EA">
        <w:rPr>
          <w:rFonts w:ascii="Arial" w:hAnsi="Arial" w:cs="Arial"/>
          <w:sz w:val="22"/>
        </w:rPr>
        <w:t xml:space="preserve">Ahora, de conformidad con el numeral 6 del artículo 195 de la Ley 100 de 1993, el régimen de contratación de las empresas sociales del Estado – ESE es el de derecho privado, es decir, se rige por las disposiciones contenidas en el Código de Comercio y el Código Civil aplicables en lo que resulten pertinentes, salvo en las materias particularmente reguladas </w:t>
      </w:r>
      <w:r w:rsidRPr="003467EA">
        <w:rPr>
          <w:rFonts w:ascii="Arial" w:eastAsia="Calibri" w:hAnsi="Arial" w:cs="Arial"/>
          <w:color w:val="000000" w:themeColor="text1"/>
          <w:sz w:val="22"/>
        </w:rPr>
        <w:t xml:space="preserve">por el derecho público. </w:t>
      </w:r>
      <w:r w:rsidRPr="003467EA">
        <w:rPr>
          <w:rFonts w:ascii="Arial" w:hAnsi="Arial" w:cs="Arial"/>
          <w:sz w:val="22"/>
        </w:rPr>
        <w:t xml:space="preserve">De manera análoga a lo explicado </w:t>
      </w:r>
      <w:r w:rsidRPr="003467EA">
        <w:rPr>
          <w:rFonts w:ascii="Arial" w:hAnsi="Arial" w:cs="Arial"/>
          <w:i/>
          <w:iCs/>
          <w:sz w:val="22"/>
        </w:rPr>
        <w:t>ut supra</w:t>
      </w:r>
      <w:r w:rsidRPr="003467EA">
        <w:rPr>
          <w:rFonts w:ascii="Arial" w:hAnsi="Arial" w:cs="Arial"/>
          <w:sz w:val="22"/>
        </w:rPr>
        <w:t xml:space="preserve"> con las empresas de servicios públicos domiciliarios, la norma referida prescribe que «En materia contractual se regirá por el derecho privado, pero podrá discrecionalmente utilizar las cláusulas exorbitantes previstas en el estatuto general de contratación de la administración pública».</w:t>
      </w:r>
    </w:p>
    <w:p w14:paraId="5376A11E" w14:textId="77777777" w:rsidR="00D00727" w:rsidRPr="003467EA" w:rsidRDefault="00D00727" w:rsidP="00D00727">
      <w:pPr>
        <w:pStyle w:val="Textoindependiente"/>
        <w:ind w:right="102" w:firstLine="709"/>
        <w:jc w:val="both"/>
        <w:rPr>
          <w:rFonts w:ascii="Arial" w:hAnsi="Arial" w:cs="Arial"/>
        </w:rPr>
      </w:pPr>
      <w:r w:rsidRPr="003467EA">
        <w:rPr>
          <w:rFonts w:ascii="Arial" w:hAnsi="Arial" w:cs="Arial"/>
        </w:rPr>
        <w:t>De acuerdo con esta norma, los contratos suscritos por empresas sociales del Estado se rigen por el derecho privado. Sin embargo, esto no implica la inobservancia de los principios de la función administrativa y la gestión fiscal, teniendo en cuenta que su objeto, conforme a la Sentencia C-555 de 2000, corresponde a la prestación del servicio de salud a cargo del Estado o como parte del servicio de seguridad social</w:t>
      </w:r>
      <w:r w:rsidRPr="003467EA">
        <w:rPr>
          <w:rStyle w:val="Refdenotaalpie"/>
          <w:rFonts w:ascii="Arial" w:hAnsi="Arial" w:cs="Arial"/>
        </w:rPr>
        <w:footnoteReference w:id="8"/>
      </w:r>
      <w:r w:rsidRPr="003467EA">
        <w:rPr>
          <w:rFonts w:ascii="Arial" w:hAnsi="Arial" w:cs="Arial"/>
        </w:rPr>
        <w:t>. En esta misma línea, el artículo 83 de la Ley 489 de 1998 dispuso que «Las empresas sociales del Estado, creadas por la Nación o por las entidades territoriales para la prestación en forma directa de servicios de salud, se sujetan al régimen previsto en la Ley 100 de 1993, la Ley 344 de 1996 y en la presente Ley en los aspectos no regulados por dichas leyes y a las normas que las complementen, sustituyan o</w:t>
      </w:r>
      <w:r w:rsidRPr="003467EA">
        <w:rPr>
          <w:rFonts w:ascii="Arial" w:hAnsi="Arial" w:cs="Arial"/>
          <w:spacing w:val="-1"/>
        </w:rPr>
        <w:t xml:space="preserve"> </w:t>
      </w:r>
      <w:r w:rsidRPr="003467EA">
        <w:rPr>
          <w:rFonts w:ascii="Arial" w:hAnsi="Arial" w:cs="Arial"/>
        </w:rPr>
        <w:t>adicionen».</w:t>
      </w:r>
    </w:p>
    <w:p w14:paraId="090FD405" w14:textId="77777777" w:rsidR="00D00727" w:rsidRPr="003467EA" w:rsidRDefault="00D00727" w:rsidP="00D00727">
      <w:pPr>
        <w:pStyle w:val="Textoindependiente"/>
        <w:spacing w:after="0"/>
        <w:ind w:right="102" w:firstLine="709"/>
        <w:jc w:val="both"/>
        <w:rPr>
          <w:rFonts w:ascii="Arial" w:hAnsi="Arial" w:cs="Arial"/>
        </w:rPr>
      </w:pPr>
      <w:r w:rsidRPr="003467EA">
        <w:rPr>
          <w:rFonts w:ascii="Arial" w:hAnsi="Arial" w:cs="Arial"/>
        </w:rPr>
        <w:t xml:space="preserve">En consecuencia, por mandato del legislador, el régimen jurídico de los contratos de las ESE es una de las excepciones legales existentes para la aplicación del Estatuto General de la Contratación Estatal, aspecto que permite que dichas empresas se sustraigan de las normas que regulan la actividad contractual de las entidades estatales a </w:t>
      </w:r>
      <w:r w:rsidRPr="003467EA">
        <w:rPr>
          <w:rFonts w:ascii="Arial" w:hAnsi="Arial" w:cs="Arial"/>
        </w:rPr>
        <w:lastRenderedPageBreak/>
        <w:t>que hace referencia el artículo 2° de la Ley 80 de 1993. De todas maneras, la exclusión de que gozan las ESE, frente al régimen jurídico contractual general de las entidades estatales, no ha sido absoluta, toda vez que intervienen en la prestación de servicios de salud, como actores dentro de un servicio público bajo responsabilidad del Estado, en los términos del artículo 49 de la Constitución Política. Además, de tiempo atrás en el ordenamiento jurídico colombiano se reconoció que las entidades exceptuadas del Estatuto General de Contratación debían respetar los principios de la función administrativa, tesis que luego fue acogida por el legislador con la expedición de la Ley 1150 de 2007. Sobre el particular, el Consejo de Estado ha sostenido lo siguiente:</w:t>
      </w:r>
    </w:p>
    <w:p w14:paraId="3F45684F" w14:textId="77777777" w:rsidR="00D00727" w:rsidRPr="003467EA" w:rsidRDefault="00D00727" w:rsidP="00D00727">
      <w:pPr>
        <w:pStyle w:val="Textoindependiente"/>
        <w:spacing w:after="0"/>
        <w:ind w:right="102" w:firstLine="709"/>
        <w:jc w:val="both"/>
        <w:rPr>
          <w:rFonts w:ascii="Arial" w:hAnsi="Arial" w:cs="Arial"/>
        </w:rPr>
      </w:pPr>
    </w:p>
    <w:p w14:paraId="64BF63C8" w14:textId="77777777" w:rsidR="00D00727" w:rsidRPr="003467EA" w:rsidRDefault="00D00727" w:rsidP="00D00727">
      <w:pPr>
        <w:ind w:left="709" w:right="709"/>
        <w:jc w:val="both"/>
        <w:rPr>
          <w:rFonts w:ascii="Arial" w:eastAsia="Calibri" w:hAnsi="Arial" w:cs="Arial"/>
          <w:color w:val="000000" w:themeColor="text1"/>
          <w:sz w:val="21"/>
          <w:szCs w:val="21"/>
        </w:rPr>
      </w:pPr>
      <w:r w:rsidRPr="003467EA">
        <w:rPr>
          <w:rFonts w:ascii="Arial" w:eastAsia="Calibri" w:hAnsi="Arial" w:cs="Arial"/>
          <w:color w:val="000000" w:themeColor="text1"/>
          <w:sz w:val="21"/>
          <w:szCs w:val="21"/>
        </w:rPr>
        <w:t>Siempre que esté de por medio la contratación estatal, con independencia de la normativa de prevalente aplicación al contrato, los servidores públicos responsables deben observar los principios de la Función Administrativa que establecen los artículos 209 y 210 de la Constitución Política , por lo tanto, el funcionario público no está en libertad de conceder y definir libremente el contrato, aunque se aplique el derecho privado, pues debe desarrollar en su actuar, precontractual y contractual, los principios que la Constitución Política le impone. Esta la razón por la cual el funcionario público tiene el deber de obrar con igualdad, moralidad, eficacia, economía, celeridad, imparcialidad y publicidad, en todas las etapas de la realización del contrato estatal, tanto antes de su celebración, en el momento de definir las necesidades y condiciones de la contratación y de elegir su contratista, así como en la ejecución y liquidación del contrato y éstos principios –se reitera- se deben aplicar y respetar aun cuando el contrato se rija por el derecho privado.</w:t>
      </w:r>
      <w:r w:rsidRPr="003467EA">
        <w:rPr>
          <w:rStyle w:val="Refdenotaalpie"/>
          <w:rFonts w:ascii="Arial" w:eastAsia="Calibri" w:hAnsi="Arial" w:cs="Arial"/>
          <w:color w:val="000000" w:themeColor="text1"/>
          <w:sz w:val="21"/>
          <w:szCs w:val="21"/>
        </w:rPr>
        <w:footnoteReference w:id="9"/>
      </w:r>
    </w:p>
    <w:p w14:paraId="1D63DBA1" w14:textId="77777777" w:rsidR="00D00727" w:rsidRPr="003467EA" w:rsidRDefault="00D00727" w:rsidP="00D00727">
      <w:pPr>
        <w:pStyle w:val="Textoindependiente"/>
        <w:spacing w:after="0"/>
        <w:ind w:firstLine="709"/>
        <w:jc w:val="both"/>
        <w:rPr>
          <w:rFonts w:ascii="Arial" w:hAnsi="Arial" w:cs="Arial"/>
        </w:rPr>
      </w:pPr>
    </w:p>
    <w:p w14:paraId="1AED7F84" w14:textId="77777777" w:rsidR="00D00727" w:rsidRPr="003467EA" w:rsidRDefault="00D00727" w:rsidP="00D00727">
      <w:pPr>
        <w:pStyle w:val="Textoindependiente"/>
        <w:ind w:right="102" w:firstLine="709"/>
        <w:jc w:val="both"/>
        <w:rPr>
          <w:rFonts w:ascii="Arial" w:hAnsi="Arial" w:cs="Arial"/>
        </w:rPr>
      </w:pPr>
      <w:r w:rsidRPr="003467EA">
        <w:rPr>
          <w:rFonts w:ascii="Arial" w:hAnsi="Arial" w:cs="Arial"/>
        </w:rPr>
        <w:t xml:space="preserve">De lo anterior se desprende que en la actualidad los contratos celebrados por las ESE, en cumplimiento de su objeto social, están regidos, </w:t>
      </w:r>
      <w:r>
        <w:rPr>
          <w:rFonts w:ascii="Arial" w:hAnsi="Arial" w:cs="Arial"/>
        </w:rPr>
        <w:t xml:space="preserve">de forma </w:t>
      </w:r>
      <w:r w:rsidRPr="003467EA">
        <w:rPr>
          <w:rFonts w:ascii="Arial" w:hAnsi="Arial" w:cs="Arial"/>
        </w:rPr>
        <w:t>preferente, por las normas de derecho privado. No obstante, dicho régimen no es exclusivo y, por consiguiente, el margen de libertad de configuración de la actividad contractual no se rige de forma absoluta por el principio de la autonomía privada, en la medida en que también le resultan aplicables normas y principios del derecho público.</w:t>
      </w:r>
    </w:p>
    <w:p w14:paraId="24419E22" w14:textId="77777777" w:rsidR="00D00727" w:rsidRPr="003467EA" w:rsidRDefault="00D00727" w:rsidP="00D00727">
      <w:pPr>
        <w:spacing w:line="276" w:lineRule="auto"/>
        <w:ind w:firstLine="709"/>
        <w:jc w:val="both"/>
        <w:rPr>
          <w:rFonts w:ascii="Arial" w:hAnsi="Arial" w:cs="Arial"/>
          <w:bCs/>
          <w:sz w:val="22"/>
          <w:lang w:val="es-ES"/>
        </w:rPr>
      </w:pPr>
      <w:r w:rsidRPr="003467EA">
        <w:rPr>
          <w:rFonts w:ascii="Arial" w:hAnsi="Arial" w:cs="Arial"/>
          <w:bCs/>
          <w:sz w:val="22"/>
          <w:lang w:val="es-ES"/>
        </w:rPr>
        <w:t xml:space="preserve">El régimen de derecho privado que, por regla general, caracteriza a los regímenes especiales no significa que dejen de existir elementos de derecho público que tienen como fin último garantizar que los regímenes especiales de contratación también se ordenen hacia la consecución de los fines del Estado. Estos elementos de derecho público encuentran su manifestación tanto en forma de reglas como de principios. En relación con </w:t>
      </w:r>
      <w:r w:rsidRPr="003467EA">
        <w:rPr>
          <w:rFonts w:ascii="Arial" w:hAnsi="Arial" w:cs="Arial"/>
          <w:bCs/>
          <w:sz w:val="22"/>
          <w:lang w:val="es-ES"/>
        </w:rPr>
        <w:lastRenderedPageBreak/>
        <w:t>este segundo tipo, esto es, principios de derecho público aplicables a regímenes especiales de contratación, la norma por antonomasia es el inciso primero del artículo 13 de la Ley 1150 de 2007 –modificado por el artículo 53 de la Ley 2195 de 2022– que preceptúa lo siguiente:</w:t>
      </w:r>
    </w:p>
    <w:p w14:paraId="045C3427" w14:textId="77777777" w:rsidR="00D00727" w:rsidRPr="003467EA" w:rsidRDefault="00D00727" w:rsidP="00D00727">
      <w:pPr>
        <w:spacing w:line="276" w:lineRule="auto"/>
        <w:ind w:firstLine="708"/>
        <w:jc w:val="both"/>
        <w:rPr>
          <w:rFonts w:ascii="Arial" w:hAnsi="Arial" w:cs="Arial"/>
          <w:bCs/>
          <w:sz w:val="22"/>
          <w:lang w:val="es-ES"/>
        </w:rPr>
      </w:pPr>
      <w:r w:rsidRPr="003467EA">
        <w:rPr>
          <w:rFonts w:ascii="Arial" w:hAnsi="Arial" w:cs="Arial"/>
          <w:bCs/>
          <w:sz w:val="22"/>
          <w:lang w:val="es-ES"/>
        </w:rPr>
        <w:t xml:space="preserve"> </w:t>
      </w:r>
    </w:p>
    <w:p w14:paraId="60497FAD" w14:textId="77777777" w:rsidR="00D00727" w:rsidRPr="003467EA" w:rsidRDefault="00D00727" w:rsidP="00D00727">
      <w:pPr>
        <w:ind w:left="709" w:right="709"/>
        <w:jc w:val="both"/>
        <w:rPr>
          <w:rFonts w:ascii="Arial" w:hAnsi="Arial" w:cs="Arial"/>
          <w:bCs/>
          <w:sz w:val="21"/>
          <w:szCs w:val="21"/>
          <w:lang w:val="es-ES"/>
        </w:rPr>
      </w:pPr>
      <w:r w:rsidRPr="003467EA">
        <w:rPr>
          <w:rFonts w:ascii="Arial" w:hAnsi="Arial" w:cs="Arial"/>
          <w:bCs/>
          <w:sz w:val="21"/>
          <w:szCs w:val="21"/>
          <w:lang w:val="es-ES"/>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7EB402EF" w14:textId="77777777" w:rsidR="00D00727" w:rsidRPr="003467EA" w:rsidRDefault="00D00727" w:rsidP="00D00727">
      <w:pPr>
        <w:ind w:left="709" w:right="709"/>
        <w:jc w:val="both"/>
        <w:rPr>
          <w:rFonts w:ascii="Arial" w:hAnsi="Arial" w:cs="Arial"/>
          <w:bCs/>
          <w:sz w:val="21"/>
          <w:szCs w:val="21"/>
          <w:lang w:val="es-ES"/>
        </w:rPr>
      </w:pPr>
      <w:r w:rsidRPr="003467EA">
        <w:rPr>
          <w:rFonts w:ascii="Arial" w:hAnsi="Arial" w:cs="Arial"/>
          <w:bCs/>
          <w:sz w:val="21"/>
          <w:szCs w:val="21"/>
          <w:lang w:val="es-ES"/>
        </w:rPr>
        <w:t>[…]</w:t>
      </w:r>
    </w:p>
    <w:p w14:paraId="5AE18B06" w14:textId="77777777" w:rsidR="00D00727" w:rsidRPr="003467EA" w:rsidRDefault="00D00727" w:rsidP="00D00727">
      <w:pPr>
        <w:spacing w:line="276" w:lineRule="auto"/>
        <w:ind w:left="709" w:right="709"/>
        <w:jc w:val="both"/>
        <w:rPr>
          <w:rFonts w:ascii="Arial" w:hAnsi="Arial" w:cs="Arial"/>
          <w:bCs/>
          <w:sz w:val="22"/>
          <w:lang w:val="es-ES"/>
        </w:rPr>
      </w:pPr>
    </w:p>
    <w:p w14:paraId="199F5D4B" w14:textId="77777777" w:rsidR="00D00727" w:rsidRPr="003467EA" w:rsidRDefault="00D00727" w:rsidP="00D00727">
      <w:pPr>
        <w:spacing w:after="120" w:line="276" w:lineRule="auto"/>
        <w:jc w:val="both"/>
        <w:rPr>
          <w:rFonts w:ascii="Arial" w:eastAsia="Calibri" w:hAnsi="Arial" w:cs="Arial"/>
          <w:color w:val="000000" w:themeColor="text1"/>
          <w:sz w:val="22"/>
        </w:rPr>
      </w:pPr>
      <w:r w:rsidRPr="003467EA">
        <w:rPr>
          <w:rFonts w:ascii="Arial" w:hAnsi="Arial" w:cs="Arial"/>
          <w:bCs/>
          <w:sz w:val="22"/>
          <w:lang w:val="es-ES"/>
        </w:rPr>
        <w:tab/>
      </w:r>
      <w:r w:rsidRPr="003467EA">
        <w:rPr>
          <w:rFonts w:ascii="Arial" w:eastAsia="Calibri" w:hAnsi="Arial" w:cs="Arial"/>
          <w:color w:val="000000" w:themeColor="text1"/>
          <w:sz w:val="22"/>
        </w:rPr>
        <w:t>Ahora bien, dentro de la estructura de la Administración pública se encuentran las entidades descentralizadas por servicios, y dentro de dicha categoría se ubican las empresas sociales del Estado, las cuales tienen personería jurídica, autonomía administrativa y patrimonio propio.</w:t>
      </w:r>
      <w:r w:rsidRPr="003467EA">
        <w:rPr>
          <w:rFonts w:ascii="Arial" w:eastAsia="Calibri" w:hAnsi="Arial" w:cs="Arial"/>
          <w:b/>
          <w:bCs/>
          <w:color w:val="000000" w:themeColor="text1"/>
          <w:sz w:val="22"/>
        </w:rPr>
        <w:t xml:space="preserve"> </w:t>
      </w:r>
      <w:r w:rsidRPr="003467EA">
        <w:rPr>
          <w:rFonts w:ascii="Arial" w:eastAsia="Calibri" w:hAnsi="Arial" w:cs="Arial"/>
          <w:color w:val="000000" w:themeColor="text1"/>
          <w:sz w:val="22"/>
        </w:rPr>
        <w:t xml:space="preserve">Estas entidades, de acuerdo con el artículo 83 de la Ley 489 de 1998, son «creadas por la Nación o por las entidades territoriales para la prestación en forma directa de servicios de salud». Su régimen jurídico lo conforman las Leyes 100 de 1993 y 344 de 1996, así como la Ley 489 de 1998 en relación con los asuntos no regulados en las dos leyes mencionadas. </w:t>
      </w:r>
    </w:p>
    <w:p w14:paraId="11CAC03E" w14:textId="77777777" w:rsidR="00D00727" w:rsidRPr="003467EA" w:rsidRDefault="00D00727" w:rsidP="00D00727">
      <w:pPr>
        <w:spacing w:after="120" w:line="276" w:lineRule="auto"/>
        <w:ind w:firstLine="709"/>
        <w:jc w:val="both"/>
        <w:rPr>
          <w:rFonts w:ascii="Arial" w:eastAsia="Calibri" w:hAnsi="Arial" w:cs="Arial"/>
          <w:color w:val="000000" w:themeColor="text1"/>
          <w:sz w:val="22"/>
          <w:lang w:val="es-ES"/>
        </w:rPr>
      </w:pPr>
      <w:r w:rsidRPr="003467EA">
        <w:rPr>
          <w:rFonts w:ascii="Arial" w:eastAsia="Calibri" w:hAnsi="Arial" w:cs="Arial"/>
          <w:color w:val="000000" w:themeColor="text1"/>
          <w:sz w:val="22"/>
        </w:rPr>
        <w:t xml:space="preserve">En esta medida, las empresas sociales del Estado no están sometidas al EGCAP ni a las normas que lo reglamentan o complementan, pues, por disposición expresa, sus contratos se rigen por el derecho privado. Con todo, tales entidades deben tener en cuenta y aplicar los «principios generales de la actividad contractual para entidades no sometidas al estatuto general de contratación de la administración pública», consagrados en el artículo 13 de la Ley 1150 de 2007, así como los principios de la función administrativa y de la gestión fiscal, contenidos, respectivamente, en los artículos 209 y 267 de la Constitución Política. </w:t>
      </w:r>
      <w:r w:rsidRPr="003467EA">
        <w:rPr>
          <w:rFonts w:ascii="Arial" w:eastAsia="Calibri" w:hAnsi="Arial" w:cs="Arial"/>
          <w:color w:val="000000" w:themeColor="text1"/>
          <w:sz w:val="22"/>
          <w:lang w:val="es-ES"/>
        </w:rPr>
        <w:t xml:space="preserve">Esta también ha sido la interpretación del Ministerio de la Protección Social, que en Concepto No. </w:t>
      </w:r>
      <w:r w:rsidRPr="003467EA">
        <w:rPr>
          <w:rFonts w:ascii="Arial" w:eastAsia="Calibri" w:hAnsi="Arial" w:cs="Arial"/>
          <w:color w:val="000000" w:themeColor="text1"/>
          <w:sz w:val="22"/>
        </w:rPr>
        <w:t>201942301304712</w:t>
      </w:r>
      <w:r w:rsidRPr="003467EA">
        <w:rPr>
          <w:rFonts w:ascii="Arial" w:eastAsia="Calibri" w:hAnsi="Arial" w:cs="Arial"/>
          <w:color w:val="000000" w:themeColor="text1"/>
          <w:sz w:val="22"/>
          <w:lang w:val="es-ES"/>
        </w:rPr>
        <w:t xml:space="preserve"> de 2019, en reiteración de lo expuesto por la Sala de Consulta y Servicio Civil del Consejo de Estado</w:t>
      </w:r>
      <w:r w:rsidRPr="003467EA">
        <w:rPr>
          <w:rStyle w:val="Refdenotaalpie"/>
          <w:rFonts w:ascii="Arial" w:eastAsia="Calibri" w:hAnsi="Arial" w:cs="Arial"/>
          <w:color w:val="000000" w:themeColor="text1"/>
          <w:sz w:val="22"/>
          <w:lang w:val="es-ES"/>
        </w:rPr>
        <w:footnoteReference w:id="10"/>
      </w:r>
      <w:r w:rsidRPr="003467EA">
        <w:rPr>
          <w:rFonts w:ascii="Arial" w:eastAsia="Calibri" w:hAnsi="Arial" w:cs="Arial"/>
          <w:color w:val="000000" w:themeColor="text1"/>
          <w:sz w:val="22"/>
          <w:lang w:val="es-ES"/>
        </w:rPr>
        <w:t xml:space="preserve">, explicó que «[…] </w:t>
      </w:r>
      <w:r w:rsidRPr="003467EA">
        <w:rPr>
          <w:rFonts w:ascii="Arial" w:eastAsia="Calibri" w:hAnsi="Arial" w:cs="Arial"/>
          <w:color w:val="000000" w:themeColor="text1"/>
          <w:sz w:val="22"/>
        </w:rPr>
        <w:t xml:space="preserve">el régimen de contratación de las Empresas Sociales del Estado, está sometido al derecho privado por </w:t>
      </w:r>
      <w:r w:rsidRPr="003467EA">
        <w:rPr>
          <w:rFonts w:ascii="Arial" w:eastAsia="Calibri" w:hAnsi="Arial" w:cs="Arial"/>
          <w:color w:val="000000" w:themeColor="text1"/>
          <w:sz w:val="22"/>
        </w:rPr>
        <w:lastRenderedPageBreak/>
        <w:t>disposición legal y la facultad discrecional de pactar las cláusulas excepcionales dota a las mentadas entidades de herramientas especiales para garantizar ciertos fines»</w:t>
      </w:r>
      <w:r w:rsidRPr="003467EA">
        <w:rPr>
          <w:rStyle w:val="Refdenotaalpie"/>
          <w:rFonts w:ascii="Arial" w:eastAsia="Calibri" w:hAnsi="Arial" w:cs="Arial"/>
          <w:color w:val="000000" w:themeColor="text1"/>
          <w:sz w:val="22"/>
          <w:lang w:val="es-ES"/>
        </w:rPr>
        <w:footnoteReference w:id="11"/>
      </w:r>
      <w:r w:rsidRPr="003467EA">
        <w:rPr>
          <w:rFonts w:ascii="Arial" w:eastAsia="Calibri" w:hAnsi="Arial" w:cs="Arial"/>
          <w:color w:val="000000" w:themeColor="text1"/>
          <w:sz w:val="22"/>
          <w:lang w:val="es-ES"/>
        </w:rPr>
        <w:t xml:space="preserve">. </w:t>
      </w:r>
    </w:p>
    <w:p w14:paraId="2A3DD4A1" w14:textId="77777777" w:rsidR="00D00727" w:rsidRPr="003467EA" w:rsidRDefault="00D00727" w:rsidP="00D00727">
      <w:pPr>
        <w:spacing w:after="120" w:line="276" w:lineRule="auto"/>
        <w:ind w:firstLine="709"/>
        <w:jc w:val="both"/>
        <w:rPr>
          <w:rFonts w:ascii="Arial" w:eastAsia="Calibri" w:hAnsi="Arial" w:cs="Arial"/>
          <w:color w:val="000000" w:themeColor="text1"/>
          <w:sz w:val="22"/>
        </w:rPr>
      </w:pPr>
      <w:r w:rsidRPr="003467EA">
        <w:rPr>
          <w:rFonts w:ascii="Arial" w:eastAsia="Calibri" w:hAnsi="Arial" w:cs="Arial"/>
          <w:color w:val="000000" w:themeColor="text1"/>
          <w:sz w:val="22"/>
        </w:rPr>
        <w:t>Al referirse al régimen contractual de las empresas sociales del Estado, la Sección Tercera del Consejo de Estado manifestó que «la entidad estatal debe observar en su actuación, precontractual y contractual, los principios que la Constitución Política le impone, en desarrollo de lo cual le asiste la obligación de obrar con igualdad, moralidad, eficacia, economía, celeridad, imparcialidad y publicidad, en todas las etapas de la realización del contrato estatal»</w:t>
      </w:r>
      <w:r w:rsidRPr="003467EA">
        <w:rPr>
          <w:rStyle w:val="Refdenotaalpie"/>
          <w:rFonts w:ascii="Arial" w:eastAsia="Calibri" w:hAnsi="Arial" w:cs="Arial"/>
          <w:color w:val="000000" w:themeColor="text1"/>
          <w:sz w:val="22"/>
        </w:rPr>
        <w:footnoteReference w:id="12"/>
      </w:r>
      <w:r w:rsidRPr="003467EA">
        <w:rPr>
          <w:rFonts w:ascii="Arial" w:eastAsia="Calibri" w:hAnsi="Arial" w:cs="Arial"/>
          <w:color w:val="000000" w:themeColor="text1"/>
          <w:sz w:val="22"/>
        </w:rPr>
        <w:t xml:space="preserve">. De esta forma, aunque los contratos suscritos por las empresas sociales del Estado están excluidos del EGCAP, lo cierto es que no se rigen exclusivamente por el derecho civil y comercial, pues, conforme al artículo 13 de la Ley 1150 de 2007, a estos les aplican tanto los principios de la función administrativa y de la gestión fiscal, así como el régimen de inhabilidades e incompatibilidades, temáticas tratadas y reguladas en el referido estatuto. </w:t>
      </w:r>
    </w:p>
    <w:p w14:paraId="2112F09E" w14:textId="77777777" w:rsidR="00D00727" w:rsidRDefault="00D00727" w:rsidP="00D00727">
      <w:pPr>
        <w:spacing w:line="276" w:lineRule="auto"/>
        <w:ind w:firstLine="709"/>
        <w:jc w:val="both"/>
        <w:rPr>
          <w:rFonts w:ascii="Arial" w:hAnsi="Arial" w:cs="Arial"/>
          <w:sz w:val="22"/>
          <w:lang w:val="es-ES_tradnl"/>
        </w:rPr>
      </w:pPr>
      <w:r w:rsidRPr="003467EA">
        <w:rPr>
          <w:rFonts w:ascii="Arial" w:eastAsia="Calibri" w:hAnsi="Arial" w:cs="Arial"/>
          <w:color w:val="000000" w:themeColor="text1"/>
          <w:sz w:val="22"/>
        </w:rPr>
        <w:t xml:space="preserve">Esta exclusión del EGCAP es una circunstancia jurídicamente relevante, ya que –conforme a la Ley 2022 de 2020– las entidades sometidas a la Ley 80 de 1993 son las principales destinatarias de los documentos tipo expedidos por la </w:t>
      </w:r>
      <w:r w:rsidRPr="003467EA">
        <w:rPr>
          <w:rFonts w:ascii="Arial" w:hAnsi="Arial" w:cs="Arial"/>
          <w:sz w:val="22"/>
          <w:lang w:val="es-ES_tradnl"/>
        </w:rPr>
        <w:t>Agencia Nacional de Contratación Pública – Colombia Compra Eficiente. Sin embargo, de acuerdo el artículo 56 de la Ley 2195 de 2022, es posible que algunos contratos de las entidades exceptuadas también se sujeten a estos documentos, caso el cual el régimen sustantivo del negocio jurídico será el del Estatuto General de Contratación. Dicho aspecto se analizará en los siguientes apartados.</w:t>
      </w:r>
    </w:p>
    <w:p w14:paraId="6EA5A5DA" w14:textId="77777777" w:rsidR="00D00727" w:rsidRDefault="00D00727" w:rsidP="00D00727">
      <w:pPr>
        <w:spacing w:line="276" w:lineRule="auto"/>
        <w:ind w:firstLine="709"/>
        <w:jc w:val="both"/>
        <w:rPr>
          <w:rFonts w:ascii="Arial" w:hAnsi="Arial" w:cs="Arial"/>
          <w:sz w:val="22"/>
          <w:lang w:val="es-ES_tradnl"/>
        </w:rPr>
      </w:pPr>
    </w:p>
    <w:p w14:paraId="63D88ED5" w14:textId="77777777" w:rsidR="00D00727" w:rsidRPr="00E858D2" w:rsidRDefault="00D00727" w:rsidP="00D00727">
      <w:pPr>
        <w:spacing w:line="276" w:lineRule="auto"/>
        <w:jc w:val="both"/>
        <w:rPr>
          <w:rFonts w:ascii="Arial" w:eastAsia="Arial" w:hAnsi="Arial" w:cs="Arial"/>
          <w:b/>
          <w:bCs/>
          <w:sz w:val="22"/>
          <w:lang w:val="es-ES_tradnl"/>
        </w:rPr>
      </w:pPr>
      <w:r w:rsidRPr="00E858D2">
        <w:rPr>
          <w:rFonts w:ascii="Arial" w:eastAsia="Arial" w:hAnsi="Arial" w:cs="Arial"/>
          <w:b/>
          <w:bCs/>
          <w:sz w:val="22"/>
          <w:lang w:val="es-ES_tradnl"/>
        </w:rPr>
        <w:t>2.</w:t>
      </w:r>
      <w:r>
        <w:rPr>
          <w:rFonts w:ascii="Arial" w:eastAsia="Arial" w:hAnsi="Arial" w:cs="Arial"/>
          <w:b/>
          <w:bCs/>
          <w:sz w:val="22"/>
          <w:lang w:val="es-ES_tradnl"/>
        </w:rPr>
        <w:t>2</w:t>
      </w:r>
      <w:r w:rsidRPr="00E858D2">
        <w:rPr>
          <w:rFonts w:ascii="Arial" w:eastAsia="Arial" w:hAnsi="Arial" w:cs="Arial"/>
          <w:b/>
          <w:bCs/>
          <w:sz w:val="22"/>
          <w:lang w:val="es-ES_tradnl"/>
        </w:rPr>
        <w:t xml:space="preserve">. Fundamento normativo y ámbito de aplicación de los documentos tipo </w:t>
      </w:r>
    </w:p>
    <w:p w14:paraId="05EC7E4A" w14:textId="77777777" w:rsidR="00D00727" w:rsidRPr="00E858D2" w:rsidRDefault="00D00727" w:rsidP="00D00727">
      <w:pPr>
        <w:spacing w:line="276" w:lineRule="auto"/>
        <w:jc w:val="both"/>
        <w:rPr>
          <w:rFonts w:ascii="Arial" w:eastAsia="Arial" w:hAnsi="Arial" w:cs="Arial"/>
          <w:b/>
          <w:bCs/>
          <w:sz w:val="22"/>
          <w:lang w:val="es-ES_tradnl"/>
        </w:rPr>
      </w:pPr>
    </w:p>
    <w:p w14:paraId="5CB5887D" w14:textId="77777777" w:rsidR="00D00727" w:rsidRPr="00E858D2" w:rsidRDefault="00D00727" w:rsidP="00D00727">
      <w:pPr>
        <w:spacing w:after="120" w:line="276" w:lineRule="auto"/>
        <w:jc w:val="both"/>
        <w:rPr>
          <w:rFonts w:ascii="Arial" w:eastAsia="Calibri" w:hAnsi="Arial" w:cs="Arial"/>
          <w:sz w:val="22"/>
          <w:lang w:val="es-ES_tradnl"/>
        </w:rPr>
      </w:pPr>
      <w:r w:rsidRPr="00E858D2">
        <w:rPr>
          <w:rFonts w:ascii="Arial" w:eastAsia="Calibri" w:hAnsi="Arial" w:cs="Arial"/>
          <w:sz w:val="22"/>
          <w:lang w:val="es-ES_tradnl"/>
        </w:rPr>
        <w:t>La adopción de los documentos tipo obligatorios en el ordenamiento jurídico colombiano se incluyó por primera vez en el parágrafo 3 del artículo 2 de la Ley 1150 de 2007</w:t>
      </w:r>
      <w:r w:rsidRPr="00E858D2">
        <w:rPr>
          <w:rStyle w:val="Refdenotaalpie"/>
          <w:rFonts w:ascii="Arial" w:eastAsia="Calibri" w:hAnsi="Arial" w:cs="Arial"/>
        </w:rPr>
        <w:footnoteReference w:id="13"/>
      </w:r>
      <w:r w:rsidRPr="00E858D2">
        <w:rPr>
          <w:rFonts w:ascii="Arial" w:eastAsia="Calibri" w:hAnsi="Arial" w:cs="Arial"/>
          <w:sz w:val="22"/>
          <w:lang w:val="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3B4218AC" w14:textId="77777777" w:rsidR="00D00727" w:rsidRPr="00E858D2" w:rsidRDefault="00D00727" w:rsidP="00D00727">
      <w:pPr>
        <w:spacing w:line="276" w:lineRule="auto"/>
        <w:ind w:firstLine="708"/>
        <w:jc w:val="both"/>
        <w:rPr>
          <w:rFonts w:ascii="Arial" w:eastAsia="Calibri" w:hAnsi="Arial" w:cs="Arial"/>
          <w:sz w:val="22"/>
          <w:lang w:val="es-ES_tradnl"/>
        </w:rPr>
      </w:pPr>
      <w:r w:rsidRPr="00E858D2">
        <w:rPr>
          <w:rFonts w:ascii="Arial" w:eastAsia="Calibri" w:hAnsi="Arial" w:cs="Arial"/>
          <w:sz w:val="22"/>
          <w:lang w:val="es-ES_tradnl"/>
        </w:rPr>
        <w:lastRenderedPageBreak/>
        <w:t xml:space="preserve">Debido a lo anterior, el artículo 4 de la Ley 1882 de 2018 es el antecedente más relevante respecto a los documentos tipo. A partir de esta norma se determinó la obligatoriedad para todas las entidades sometidas al Estatuto General de Contratación de la Administración Pública de aplicar los documentos tipo adoptados por el Gobierno Nacional. Debe señalarse que en virtud de la Ley 1882 de 2018 se expidieron varios documentos tipo para el sector de infraestructura de transporte y, por tanto, es importante explicar el proceso previsto en dicho cuerpo normativo. </w:t>
      </w:r>
    </w:p>
    <w:p w14:paraId="71B96296" w14:textId="77777777" w:rsidR="00D00727" w:rsidRPr="00E858D2" w:rsidRDefault="00D00727" w:rsidP="00D00727">
      <w:pPr>
        <w:spacing w:before="120" w:after="120" w:line="276" w:lineRule="auto"/>
        <w:ind w:firstLine="708"/>
        <w:jc w:val="both"/>
        <w:rPr>
          <w:rFonts w:ascii="Arial" w:eastAsia="Calibri" w:hAnsi="Arial" w:cs="Arial"/>
          <w:sz w:val="22"/>
          <w:lang w:val="es-ES_tradnl"/>
        </w:rPr>
      </w:pPr>
      <w:r w:rsidRPr="00E858D2">
        <w:rPr>
          <w:rFonts w:ascii="Arial" w:eastAsia="Calibri" w:hAnsi="Arial" w:cs="Arial"/>
          <w:sz w:val="22"/>
          <w:lang w:val="es-ES_tradnl"/>
        </w:rPr>
        <w:t>El artículo 4 de la Ley 1882 de 2018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Contratación que adelantaran</w:t>
      </w:r>
      <w:r w:rsidRPr="00E858D2">
        <w:rPr>
          <w:rStyle w:val="Refdenotaalpie"/>
          <w:rFonts w:ascii="Arial" w:eastAsia="Calibri" w:hAnsi="Arial" w:cs="Arial"/>
        </w:rPr>
        <w:footnoteReference w:id="14"/>
      </w:r>
      <w:r w:rsidRPr="00E858D2">
        <w:rPr>
          <w:rFonts w:ascii="Arial" w:eastAsia="Calibri" w:hAnsi="Arial" w:cs="Arial"/>
          <w:sz w:val="22"/>
          <w:lang w:val="es-ES_tradnl"/>
        </w:rPr>
        <w:t>.</w:t>
      </w:r>
    </w:p>
    <w:p w14:paraId="7008081B" w14:textId="77777777" w:rsidR="00D00727" w:rsidRPr="00E858D2" w:rsidRDefault="00D00727" w:rsidP="00D00727">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7F2BD822" w14:textId="77777777" w:rsidR="00D00727" w:rsidRPr="00E858D2" w:rsidRDefault="00D00727" w:rsidP="00D00727">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lastRenderedPageBreak/>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500F98F2" w14:textId="77777777" w:rsidR="00D00727" w:rsidRPr="00E858D2" w:rsidRDefault="00D00727" w:rsidP="00D00727">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2" w:name="_Hlk48665985"/>
      <w:r w:rsidRPr="00E858D2">
        <w:rPr>
          <w:rFonts w:ascii="Arial" w:eastAsia="Calibri" w:hAnsi="Arial" w:cs="Arial"/>
          <w:sz w:val="22"/>
          <w:lang w:val="es-ES_tradnl"/>
        </w:rPr>
        <w:t>y los criterios de escogencia, elementos propios del procedimiento de selección del contratista, materia en la que existe reserva de ley y que no se encuentra atribuida a la regulación de las entidades territoriales</w:t>
      </w:r>
      <w:bookmarkEnd w:id="2"/>
      <w:r w:rsidRPr="00E858D2">
        <w:rPr>
          <w:rFonts w:ascii="Arial" w:eastAsia="Calibri" w:hAnsi="Arial" w:cs="Arial"/>
          <w:sz w:val="22"/>
          <w:lang w:val="es-ES_tradnl"/>
        </w:rPr>
        <w:t>. De igual manera, se establece que esta autonomía se garantiza con la identificación autónoma de sus necesidades y la configuración de los elementos del contrato</w:t>
      </w:r>
      <w:r w:rsidRPr="00E858D2">
        <w:rPr>
          <w:rStyle w:val="Refdenotaalpie"/>
          <w:rFonts w:ascii="Arial" w:eastAsia="Calibri" w:hAnsi="Arial" w:cs="Arial"/>
        </w:rPr>
        <w:footnoteReference w:id="15"/>
      </w:r>
      <w:r w:rsidRPr="00E858D2">
        <w:rPr>
          <w:rFonts w:ascii="Arial" w:eastAsia="Calibri" w:hAnsi="Arial" w:cs="Arial"/>
          <w:sz w:val="22"/>
          <w:lang w:val="es-ES_tradnl"/>
        </w:rPr>
        <w:t>.</w:t>
      </w:r>
    </w:p>
    <w:p w14:paraId="016B5ADA" w14:textId="77777777" w:rsidR="00D00727" w:rsidRPr="00E858D2" w:rsidRDefault="00D00727" w:rsidP="00D00727">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De este modo, los documentos tipo no afectan la autonomía de las entidades territoriales. Lo anterior, debido a que la definición de los requisitos habilitantes y de aspectos técnicos de la escogencia del contratista en los Procesos de Contratación, son aspectos en los que el legislador tiene amplia libertad de configuración normativa y, por tanto, puede atribuir dicha regulación al Gobierno Nacional. Ahora, dicha autonomía se materializa cuando las entidades territoriales deciden iniciar una convocatoria para satisfacer sus necesidades para la adquisición de un bien, obra o servicio, y además se incluyen en la minuta del contrato las condiciones particulares del negocio jurídico a celebrar.</w:t>
      </w:r>
    </w:p>
    <w:p w14:paraId="0E8915FF" w14:textId="77777777" w:rsidR="00D00727" w:rsidRPr="00E858D2" w:rsidRDefault="00D00727" w:rsidP="00D00727">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lastRenderedPageBreak/>
        <w:tab/>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de documentos tipo mediante el Decreto 342 de 2019, relacionado con los documentos tipo para los procesos de selección de licitación de obra pública de infraestructura de transporte. Luego se expidió el Decreto 2096 de 2019, que permitió el desarrollo de los documentos tipo para los pliegos de condiciones de los procesos de obras públicas de infraestructura de transporte que se adelantaran por la modalidad de selección abreviada de menor cuantía. </w:t>
      </w:r>
    </w:p>
    <w:p w14:paraId="3C1D7EFA" w14:textId="77777777" w:rsidR="00D00727" w:rsidRPr="00E858D2" w:rsidRDefault="00D00727" w:rsidP="00D00727">
      <w:pPr>
        <w:spacing w:before="120" w:after="120" w:line="276" w:lineRule="auto"/>
        <w:ind w:firstLine="708"/>
        <w:jc w:val="both"/>
        <w:rPr>
          <w:rFonts w:ascii="Arial" w:eastAsia="Calibri" w:hAnsi="Arial" w:cs="Arial"/>
          <w:sz w:val="22"/>
          <w:lang w:val="es-ES_tradnl"/>
        </w:rPr>
      </w:pPr>
      <w:r w:rsidRPr="00E858D2">
        <w:rPr>
          <w:rFonts w:ascii="Arial" w:eastAsia="Calibri" w:hAnsi="Arial" w:cs="Arial"/>
          <w:sz w:val="22"/>
          <w:lang w:val="es-ES_tradnl"/>
        </w:rPr>
        <w:t>Finalmente, se profirió el Decreto 594 de 2020, frente a los documentos tipo para los contratos de obra pública</w:t>
      </w:r>
      <w:r w:rsidRPr="00E858D2" w:rsidDel="00A434AB">
        <w:rPr>
          <w:rFonts w:ascii="Arial" w:eastAsia="Calibri" w:hAnsi="Arial" w:cs="Arial"/>
          <w:sz w:val="22"/>
          <w:lang w:val="es-ES_tradnl"/>
        </w:rPr>
        <w:t xml:space="preserve"> </w:t>
      </w:r>
      <w:r w:rsidRPr="00E858D2">
        <w:rPr>
          <w:rFonts w:ascii="Arial" w:eastAsia="Calibri" w:hAnsi="Arial" w:cs="Arial"/>
          <w:sz w:val="22"/>
          <w:lang w:val="es-ES_tradnl"/>
        </w:rPr>
        <w:t xml:space="preserve">de infraestructura de transporte que se surtieran por la modalidad de mínima cuantía. Estos documentos fueron implementados y desarrollados por la Agencia Nacional de Contratación Pública </w:t>
      </w:r>
      <w:bookmarkStart w:id="3" w:name="_Hlk37841850"/>
      <w:r w:rsidRPr="00E858D2">
        <w:rPr>
          <w:rFonts w:ascii="Arial" w:eastAsia="Calibri" w:hAnsi="Arial" w:cs="Arial"/>
          <w:sz w:val="22"/>
          <w:lang w:val="es-ES_tradnl"/>
        </w:rPr>
        <w:t xml:space="preserve">– Colombia Compra Eficiente, </w:t>
      </w:r>
      <w:bookmarkEnd w:id="3"/>
      <w:r w:rsidRPr="00E858D2">
        <w:rPr>
          <w:rFonts w:ascii="Arial" w:eastAsia="Calibri" w:hAnsi="Arial" w:cs="Arial"/>
          <w:sz w:val="22"/>
          <w:lang w:val="es-ES_tradnl"/>
        </w:rPr>
        <w:t>por medio de la Resolución 1798 de 2019 –derogada por la Resolución 045 de 2020–, la Resolución 044 de 2020 y la Resolución 094 de 2020.</w:t>
      </w:r>
    </w:p>
    <w:p w14:paraId="529D09A9" w14:textId="77777777" w:rsidR="00D00727" w:rsidRPr="00E858D2" w:rsidRDefault="00D00727" w:rsidP="00D00727">
      <w:pPr>
        <w:pStyle w:val="Normal11pt"/>
        <w:spacing w:before="120" w:line="276" w:lineRule="auto"/>
        <w:ind w:left="0" w:firstLine="709"/>
        <w:rPr>
          <w:rFonts w:eastAsia="Calibri"/>
          <w:color w:val="auto"/>
        </w:rPr>
      </w:pPr>
      <w:r w:rsidRPr="00E858D2">
        <w:rPr>
          <w:rFonts w:eastAsia="Calibri"/>
          <w:color w:val="auto"/>
        </w:rPr>
        <w:t>Con posterioridad a la adopción de los anteriores documentos tipo, se expidió la Ley 2022 de 2020, norma que modificó el parágrafo 7 del artículo 2 de la Ley 1150 de 2007, que había sido adicionado por la Ley 1882 de 2018</w:t>
      </w:r>
      <w:r w:rsidRPr="00E858D2">
        <w:rPr>
          <w:rStyle w:val="Refdenotaalpie"/>
          <w:rFonts w:eastAsia="Calibri"/>
        </w:rPr>
        <w:footnoteReference w:id="16"/>
      </w:r>
      <w:r w:rsidRPr="00E858D2">
        <w:rPr>
          <w:rFonts w:eastAsia="Calibri"/>
          <w:color w:val="auto"/>
        </w:rPr>
        <w:t xml:space="preserve">. Con esta modificación, si bien se </w:t>
      </w:r>
      <w:r w:rsidRPr="00E858D2">
        <w:rPr>
          <w:rFonts w:eastAsia="Calibri"/>
          <w:color w:val="auto"/>
        </w:rPr>
        <w:lastRenderedPageBreak/>
        <w:t xml:space="preserve">mantuvo el mandato de aplicación obligatoria de los documentos tipo por parte de las entidades sometidas al Estatuto General de Contratación de la Administración Pública, se atribuyó, específicamente, a la </w:t>
      </w:r>
      <w:r w:rsidRPr="00E858D2">
        <w:rPr>
          <w:rFonts w:eastAsia="Calibri"/>
          <w:color w:val="auto"/>
          <w:lang w:eastAsia="en-US"/>
        </w:rPr>
        <w:t xml:space="preserve">Agencia Nacional de Contratación Pública – Colombia Compra Eficiente la competencia para su adopción. </w:t>
      </w:r>
      <w:r w:rsidRPr="00E858D2">
        <w:rPr>
          <w:rFonts w:eastAsia="Calibri"/>
          <w:color w:val="auto"/>
        </w:rPr>
        <w:t xml:space="preserve">En este marco, con la finalidad de realizar un desarrollo armónico y ajustado a la ley que otorgó esta competencia, esta Agencia emitió la Resolución 160 de 2020 «Por la cual se adopta el procedimiento para implementar los documentos tipo y se define el sistema para su revisión». Asimismo, con fundamento en dicha Ley, se profirió la Resolución 240 de 2020, «Por la cual se actualizan los Documentos Tipo para los procesos de selección de licitación de obra pública de infraestructura de transporte y se deroga la Resolución 0045 de 2020». </w:t>
      </w:r>
    </w:p>
    <w:p w14:paraId="6D886977" w14:textId="77777777" w:rsidR="00D00727" w:rsidRPr="00E858D2" w:rsidRDefault="00D00727" w:rsidP="00D00727">
      <w:pPr>
        <w:pStyle w:val="Normal11pt"/>
        <w:spacing w:before="120" w:line="276" w:lineRule="auto"/>
        <w:ind w:left="0" w:firstLine="709"/>
        <w:rPr>
          <w:rFonts w:eastAsia="Calibri"/>
          <w:color w:val="auto"/>
        </w:rPr>
      </w:pPr>
      <w:r w:rsidRPr="00E858D2">
        <w:rPr>
          <w:rFonts w:eastAsia="Calibri"/>
          <w:color w:val="auto"/>
        </w:rPr>
        <w:t>De igual manera, se expidió la Resolución 241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2542E89A" w14:textId="77777777" w:rsidR="00D00727" w:rsidRPr="00E858D2" w:rsidRDefault="00D00727" w:rsidP="00D00727">
      <w:pPr>
        <w:pStyle w:val="Normal11pt"/>
        <w:spacing w:before="120" w:line="276" w:lineRule="auto"/>
        <w:ind w:left="0" w:firstLine="709"/>
        <w:rPr>
          <w:color w:val="auto"/>
        </w:rPr>
      </w:pPr>
      <w:r w:rsidRPr="00E858D2">
        <w:rPr>
          <w:rFonts w:eastAsia="Calibri"/>
          <w:color w:val="auto"/>
        </w:rPr>
        <w:t xml:space="preserve">A los actos administrativos mencionados se suman: i) la Resolución 193 de 2021, </w:t>
      </w:r>
      <w:r w:rsidRPr="00E858D2">
        <w:rPr>
          <w:color w:val="auto"/>
        </w:rPr>
        <w:t>«Por la cual se adoptan los documentos tipo para los procesos de selección de concurso de méritos, para contratar la consultoría de estudios de ingeniería de infraestructura de transporte»,</w:t>
      </w:r>
      <w:r w:rsidRPr="00E858D2">
        <w:rPr>
          <w:rFonts w:eastAsia="Calibri"/>
          <w:color w:val="auto"/>
        </w:rPr>
        <w:t xml:space="preserve"> ii) la Resolución 219 de 2020,</w:t>
      </w:r>
      <w:r w:rsidRPr="00E858D2">
        <w:rPr>
          <w:color w:val="auto"/>
        </w:rPr>
        <w:t xml:space="preserve"> «Por la cual se adoptan los documentos tipo para los procesos de licitación de obra pública de infraestructura social», iii) la Resolución 220 de 2021, «Por la cual se adoptan los documentos tipo complementarios para los procesos de licitación de obra pública de infraestructura social relacionados con el sector educativo», iv) la Resolución 392 de 2021, «Por la cual se adoptan los documentos tipo complementarios para los procesos de licitación de obra pública de infraestructura social relacionados con el sector salud», y v) la Resolución 454 de 2021, «Por la cual se adoptan </w:t>
      </w:r>
      <w:r w:rsidRPr="00E858D2">
        <w:rPr>
          <w:color w:val="auto"/>
        </w:rPr>
        <w:lastRenderedPageBreak/>
        <w:t xml:space="preserve">los documentos tipo complementarios para los procesos de licitación de obra pública de infraestructura social relacionados con el sector cultura, recreación y deporte». </w:t>
      </w:r>
    </w:p>
    <w:p w14:paraId="12E224DB" w14:textId="77777777" w:rsidR="00D00727" w:rsidRPr="00E858D2" w:rsidRDefault="00D00727" w:rsidP="00D00727">
      <w:pPr>
        <w:pStyle w:val="Normal11pt"/>
        <w:spacing w:before="120" w:after="120" w:line="276" w:lineRule="auto"/>
        <w:ind w:left="0" w:firstLine="709"/>
        <w:rPr>
          <w:color w:val="auto"/>
        </w:rPr>
      </w:pPr>
      <w:r w:rsidRPr="00E858D2">
        <w:rPr>
          <w:color w:val="auto"/>
        </w:rPr>
        <w:t xml:space="preserve">En cuanto al ámbito de aplicación de estos documentos, es preciso explicar que cada una de estas resoluciones está relacionada con un sector, un objeto contractual y una modalidad de selección específica. 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aquellos. De ser esto así, la entidad estará obligada a adelantar el proceso de contratación aplicando los documentos tipo del caso. </w:t>
      </w:r>
    </w:p>
    <w:p w14:paraId="08AC8EEC" w14:textId="77777777" w:rsidR="00D00727" w:rsidRPr="00E858D2" w:rsidRDefault="00D00727" w:rsidP="00D00727">
      <w:pPr>
        <w:spacing w:line="276" w:lineRule="auto"/>
        <w:ind w:firstLine="708"/>
        <w:jc w:val="both"/>
        <w:rPr>
          <w:rFonts w:ascii="Arial" w:hAnsi="Arial" w:cs="Arial"/>
          <w:sz w:val="22"/>
          <w:shd w:val="clear" w:color="auto" w:fill="FFFFFF"/>
          <w:lang w:val="es-ES_tradnl"/>
        </w:rPr>
      </w:pPr>
      <w:r w:rsidRPr="00E858D2">
        <w:rPr>
          <w:rFonts w:ascii="Arial" w:hAnsi="Arial" w:cs="Arial"/>
          <w:sz w:val="22"/>
          <w:shd w:val="clear" w:color="auto" w:fill="FFFFFF"/>
          <w:lang w:val="es-ES_tradnl"/>
        </w:rPr>
        <w:t xml:space="preserve">Es importante advertir que todas las resoluciones mediante las que se han adoptado documentos tipo consagran la regla de la inalterabilidad. Esta prohibición consiste en que las entidades estatales no pueden incluir o modificar en los </w:t>
      </w:r>
      <w:r w:rsidRPr="00E858D2">
        <w:rPr>
          <w:rFonts w:ascii="Arial" w:hAnsi="Arial" w:cs="Arial"/>
          <w:i/>
          <w:iCs/>
          <w:sz w:val="22"/>
          <w:shd w:val="clear" w:color="auto" w:fill="FFFFFF"/>
          <w:lang w:val="es-ES_tradnl"/>
        </w:rPr>
        <w:t>Documentos del Proceso</w:t>
      </w:r>
      <w:r w:rsidRPr="00E858D2">
        <w:rPr>
          <w:rFonts w:ascii="Arial" w:hAnsi="Arial" w:cs="Arial"/>
          <w:sz w:val="22"/>
          <w:shd w:val="clear" w:color="auto" w:fill="FFFFFF"/>
          <w:lang w:val="es-ES_tradnl"/>
        </w:rPr>
        <w:t xml:space="preserve"> los requisitos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5EF3B166" w14:textId="77777777" w:rsidR="00D00727" w:rsidRPr="00E858D2" w:rsidRDefault="00D00727" w:rsidP="00D00727">
      <w:pPr>
        <w:pStyle w:val="Normal11pt"/>
        <w:spacing w:before="120" w:line="276" w:lineRule="auto"/>
        <w:ind w:left="0" w:firstLine="709"/>
        <w:rPr>
          <w:rFonts w:eastAsia="Calibri"/>
          <w:color w:val="auto"/>
          <w:lang w:eastAsia="en-US"/>
        </w:rPr>
      </w:pPr>
      <w:r w:rsidRPr="00E858D2">
        <w:rPr>
          <w:rFonts w:eastAsia="Calibri"/>
          <w:color w:val="auto"/>
        </w:rPr>
        <w:t>Por último, cabe aclarar que la Agencia Nacional de Contratación Pública sigue avanzando en nuevos documentos tipo. Sin embargo, debe tenerse en cuenta que estos exigen un minucioso desarrollo en el cual se consideran las observaciones de las entidades técnicas y especializadas con la finalidad de adoptar documentos tipo que contengan las mejores prácticas contractuales que procuren el adecuado desarrollo de los principios que rigen la contratación pública.</w:t>
      </w:r>
    </w:p>
    <w:p w14:paraId="45E982B3" w14:textId="77777777" w:rsidR="00D00727" w:rsidRDefault="00D00727" w:rsidP="00D00727">
      <w:pPr>
        <w:spacing w:line="276" w:lineRule="auto"/>
        <w:jc w:val="both"/>
        <w:rPr>
          <w:rFonts w:ascii="Arial" w:eastAsia="Calibri" w:hAnsi="Arial" w:cs="Arial"/>
          <w:color w:val="000000" w:themeColor="text1"/>
          <w:sz w:val="22"/>
        </w:rPr>
      </w:pPr>
    </w:p>
    <w:p w14:paraId="2A47F567" w14:textId="77777777" w:rsidR="00D00727" w:rsidRPr="00E858D2" w:rsidRDefault="00D00727" w:rsidP="00D00727">
      <w:pPr>
        <w:tabs>
          <w:tab w:val="left" w:pos="0"/>
        </w:tabs>
        <w:spacing w:line="276" w:lineRule="auto"/>
        <w:jc w:val="both"/>
        <w:rPr>
          <w:rFonts w:ascii="Arial" w:eastAsia="Calibri" w:hAnsi="Arial" w:cs="Arial"/>
          <w:b/>
          <w:sz w:val="22"/>
          <w:lang w:val="es-ES_tradnl"/>
        </w:rPr>
      </w:pPr>
      <w:r w:rsidRPr="00E858D2">
        <w:rPr>
          <w:rFonts w:ascii="Arial" w:eastAsia="Calibri" w:hAnsi="Arial" w:cs="Arial"/>
          <w:b/>
          <w:sz w:val="22"/>
          <w:lang w:val="es-ES_tradnl"/>
        </w:rPr>
        <w:t>2.</w:t>
      </w:r>
      <w:r>
        <w:rPr>
          <w:rFonts w:ascii="Arial" w:eastAsia="Calibri" w:hAnsi="Arial" w:cs="Arial"/>
          <w:b/>
          <w:sz w:val="22"/>
          <w:lang w:val="es-ES_tradnl"/>
        </w:rPr>
        <w:t>3</w:t>
      </w:r>
      <w:r w:rsidRPr="00E858D2">
        <w:rPr>
          <w:rFonts w:ascii="Arial" w:eastAsia="Calibri" w:hAnsi="Arial" w:cs="Arial"/>
          <w:b/>
          <w:sz w:val="22"/>
          <w:lang w:val="es-ES_tradnl"/>
        </w:rPr>
        <w:t xml:space="preserve">. </w:t>
      </w:r>
      <w:bookmarkStart w:id="4" w:name="_Hlk95322387"/>
      <w:r w:rsidRPr="00E858D2">
        <w:rPr>
          <w:rFonts w:ascii="Arial" w:eastAsia="Calibri" w:hAnsi="Arial" w:cs="Arial"/>
          <w:b/>
          <w:sz w:val="22"/>
          <w:lang w:val="es-ES_tradnl"/>
        </w:rPr>
        <w:t xml:space="preserve">Análisis del artículo 56 de la Ley 2195 de 2022. Aplicación obligatoria del Estatuto General de Contratación de la Administración Pública y de los documentos tipo en la contratación de las entidades estatales exceptuadas y de los particulares </w:t>
      </w:r>
    </w:p>
    <w:bookmarkEnd w:id="4"/>
    <w:p w14:paraId="259E4B3C" w14:textId="77777777" w:rsidR="00D00727" w:rsidRPr="00E858D2" w:rsidRDefault="00D00727" w:rsidP="00D00727">
      <w:pPr>
        <w:tabs>
          <w:tab w:val="left" w:pos="0"/>
        </w:tabs>
        <w:spacing w:line="276" w:lineRule="auto"/>
        <w:jc w:val="both"/>
        <w:rPr>
          <w:rFonts w:ascii="Arial" w:eastAsia="Calibri" w:hAnsi="Arial" w:cs="Arial"/>
          <w:b/>
          <w:sz w:val="22"/>
          <w:lang w:val="es-ES_tradnl"/>
        </w:rPr>
      </w:pPr>
    </w:p>
    <w:p w14:paraId="44B8F5F8" w14:textId="77777777" w:rsidR="00D00727" w:rsidRPr="00E858D2" w:rsidRDefault="00D00727" w:rsidP="00D00727">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 xml:space="preserve">Conforme </w:t>
      </w:r>
      <w:r>
        <w:rPr>
          <w:rFonts w:ascii="Arial" w:eastAsia="Calibri" w:hAnsi="Arial" w:cs="Arial"/>
          <w:bCs/>
          <w:sz w:val="22"/>
          <w:lang w:val="es-ES_tradnl"/>
        </w:rPr>
        <w:t>a</w:t>
      </w:r>
      <w:r w:rsidRPr="00E858D2">
        <w:rPr>
          <w:rFonts w:ascii="Arial" w:eastAsia="Calibri" w:hAnsi="Arial" w:cs="Arial"/>
          <w:bCs/>
          <w:sz w:val="22"/>
          <w:lang w:val="es-ES_tradnl"/>
        </w:rPr>
        <w:t xml:space="preserve">l acápite anterior, en virtud de la Ley 2022 de 2020, los documentos tipo expedidos por la Agencia Nacional de Contratación Pública son de aplicación obligatoria para las entidades estatales sometidas al Estatuto General de Contratación de la Administración Pública. En ese sentido, el contenido normativo de la Ley 2022 de 2020, y </w:t>
      </w:r>
      <w:r w:rsidRPr="00E858D2">
        <w:rPr>
          <w:rFonts w:ascii="Arial" w:eastAsia="Calibri" w:hAnsi="Arial" w:cs="Arial"/>
          <w:bCs/>
          <w:sz w:val="22"/>
          <w:lang w:val="es-ES_tradnl"/>
        </w:rPr>
        <w:lastRenderedPageBreak/>
        <w:t>en su momento también la Ley 1882 de 2018</w:t>
      </w:r>
      <w:r>
        <w:rPr>
          <w:rFonts w:ascii="Arial" w:eastAsia="Calibri" w:hAnsi="Arial" w:cs="Arial"/>
          <w:bCs/>
          <w:sz w:val="22"/>
          <w:lang w:val="es-ES_tradnl"/>
        </w:rPr>
        <w:t>,</w:t>
      </w:r>
      <w:r w:rsidRPr="00E858D2">
        <w:rPr>
          <w:rFonts w:ascii="Arial" w:eastAsia="Calibri" w:hAnsi="Arial" w:cs="Arial"/>
          <w:bCs/>
          <w:sz w:val="22"/>
          <w:lang w:val="es-ES_tradnl"/>
        </w:rPr>
        <w:t xml:space="preserve"> excluía del ámbito de aplicación de los documentos tipo la contratación de entidades estatales de régimen exceptuado, por lo general, sujetas al derecho </w:t>
      </w:r>
      <w:r>
        <w:rPr>
          <w:rFonts w:ascii="Arial" w:eastAsia="Calibri" w:hAnsi="Arial" w:cs="Arial"/>
          <w:bCs/>
          <w:sz w:val="22"/>
          <w:lang w:val="es-ES_tradnl"/>
        </w:rPr>
        <w:t>civil y comercial</w:t>
      </w:r>
      <w:r w:rsidRPr="00E858D2">
        <w:rPr>
          <w:rFonts w:ascii="Arial" w:eastAsia="Calibri" w:hAnsi="Arial" w:cs="Arial"/>
          <w:bCs/>
          <w:sz w:val="22"/>
          <w:lang w:val="es-ES_tradnl"/>
        </w:rPr>
        <w:t xml:space="preserve">. </w:t>
      </w:r>
    </w:p>
    <w:p w14:paraId="06C0F547" w14:textId="77777777" w:rsidR="00D00727" w:rsidRPr="00E858D2" w:rsidRDefault="00D00727" w:rsidP="00D00727">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
          <w:sz w:val="22"/>
          <w:lang w:val="es-ES_tradnl"/>
        </w:rPr>
        <w:tab/>
      </w:r>
      <w:r w:rsidRPr="00E858D2">
        <w:rPr>
          <w:rFonts w:ascii="Arial" w:eastAsia="Calibri" w:hAnsi="Arial" w:cs="Arial"/>
          <w:bCs/>
          <w:sz w:val="22"/>
          <w:lang w:val="es-ES_tradnl"/>
        </w:rPr>
        <w:t xml:space="preserve">No obstante, este panorama ha variado con la reciente expedición de la Ley 2195 de 2022, «Por medio de la cual se adoptan medidas en materia de transparencia, prevención y lucha contra la corrupción y se dictan otras disposiciones». De conformidad con su artículo 1, esta norma tiene por objeto la adopción de diferentes medidas tendientes a prevenir los actos de corrupción, reforzar la articulación de las entidades del Estado y a recuperar los daños ocasionados por la corrupción, promoviendo la cultura de la legalidad e integridad. </w:t>
      </w:r>
    </w:p>
    <w:p w14:paraId="338E5187" w14:textId="77777777" w:rsidR="00D00727" w:rsidRPr="00E858D2" w:rsidRDefault="00D00727" w:rsidP="00D00727">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Entre las medidas adoptadas por la Ley mencionada se destaca el artículo 56</w:t>
      </w:r>
      <w:r>
        <w:rPr>
          <w:rFonts w:ascii="Arial" w:eastAsia="Calibri" w:hAnsi="Arial" w:cs="Arial"/>
          <w:bCs/>
          <w:sz w:val="22"/>
          <w:lang w:val="es-ES_tradnl"/>
        </w:rPr>
        <w:t>,</w:t>
      </w:r>
      <w:r w:rsidRPr="00E858D2">
        <w:rPr>
          <w:rFonts w:ascii="Arial" w:eastAsia="Calibri" w:hAnsi="Arial" w:cs="Arial"/>
          <w:bCs/>
          <w:sz w:val="22"/>
          <w:lang w:val="es-ES_tradnl"/>
        </w:rPr>
        <w:t xml:space="preserve"> disposición </w:t>
      </w:r>
      <w:r>
        <w:rPr>
          <w:rFonts w:ascii="Arial" w:eastAsia="Calibri" w:hAnsi="Arial" w:cs="Arial"/>
          <w:bCs/>
          <w:sz w:val="22"/>
          <w:lang w:val="es-ES_tradnl"/>
        </w:rPr>
        <w:t xml:space="preserve">que </w:t>
      </w:r>
      <w:r w:rsidRPr="00E858D2">
        <w:rPr>
          <w:rFonts w:ascii="Arial" w:eastAsia="Calibri" w:hAnsi="Arial" w:cs="Arial"/>
          <w:bCs/>
          <w:sz w:val="22"/>
          <w:lang w:val="es-ES_tradnl"/>
        </w:rPr>
        <w:t xml:space="preserve">se refiere de manera expresa a los documentos tipo y a su aplicabilidad a sujetos diferentes de las entidades estatales sometidas al Estatuto General de Contratación de la Administración Pública. El tenor literal de este precepto </w:t>
      </w:r>
      <w:r>
        <w:rPr>
          <w:rFonts w:ascii="Arial" w:eastAsia="Calibri" w:hAnsi="Arial" w:cs="Arial"/>
          <w:bCs/>
          <w:sz w:val="22"/>
          <w:lang w:val="es-ES_tradnl"/>
        </w:rPr>
        <w:t>dispone</w:t>
      </w:r>
      <w:r w:rsidRPr="00E858D2">
        <w:rPr>
          <w:rFonts w:ascii="Arial" w:eastAsia="Calibri" w:hAnsi="Arial" w:cs="Arial"/>
          <w:bCs/>
          <w:sz w:val="22"/>
          <w:lang w:val="es-ES_tradnl"/>
        </w:rPr>
        <w:t xml:space="preserve"> lo siguiente:</w:t>
      </w:r>
    </w:p>
    <w:p w14:paraId="75DA6C60" w14:textId="77777777" w:rsidR="00D00727" w:rsidRPr="00E858D2" w:rsidRDefault="00D00727" w:rsidP="00D00727">
      <w:pPr>
        <w:tabs>
          <w:tab w:val="left" w:pos="0"/>
        </w:tabs>
        <w:spacing w:line="276" w:lineRule="auto"/>
        <w:jc w:val="both"/>
        <w:rPr>
          <w:rFonts w:ascii="Arial" w:eastAsia="Calibri" w:hAnsi="Arial" w:cs="Arial"/>
          <w:bCs/>
          <w:sz w:val="22"/>
          <w:lang w:val="es-ES_tradnl"/>
        </w:rPr>
      </w:pPr>
    </w:p>
    <w:p w14:paraId="577C91E4" w14:textId="77777777" w:rsidR="00D00727" w:rsidRPr="00E858D2" w:rsidRDefault="00D00727" w:rsidP="00D00727">
      <w:pPr>
        <w:tabs>
          <w:tab w:val="left" w:pos="0"/>
        </w:tabs>
        <w:spacing w:after="120"/>
        <w:ind w:left="709" w:right="709"/>
        <w:jc w:val="both"/>
        <w:rPr>
          <w:rFonts w:ascii="Arial" w:hAnsi="Arial" w:cs="Arial"/>
          <w:sz w:val="21"/>
          <w:szCs w:val="21"/>
          <w:lang w:val="es-ES_tradnl"/>
        </w:rPr>
      </w:pPr>
      <w:r w:rsidRPr="00E858D2">
        <w:rPr>
          <w:rFonts w:ascii="Arial" w:hAnsi="Arial" w:cs="Arial"/>
          <w:sz w:val="21"/>
          <w:szCs w:val="21"/>
          <w:lang w:val="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60F5AAC6" w14:textId="77777777" w:rsidR="00D00727" w:rsidRPr="00E858D2" w:rsidRDefault="00D00727" w:rsidP="00D00727">
      <w:pPr>
        <w:tabs>
          <w:tab w:val="left" w:pos="0"/>
        </w:tabs>
        <w:spacing w:after="120"/>
        <w:ind w:left="709" w:right="709"/>
        <w:jc w:val="both"/>
        <w:rPr>
          <w:rFonts w:ascii="Arial" w:hAnsi="Arial" w:cs="Arial"/>
          <w:sz w:val="21"/>
          <w:szCs w:val="21"/>
          <w:lang w:val="es-ES_tradnl"/>
        </w:rPr>
      </w:pPr>
      <w:r w:rsidRPr="00E858D2">
        <w:rPr>
          <w:rFonts w:ascii="Arial" w:hAnsi="Arial" w:cs="Arial"/>
          <w:sz w:val="21"/>
          <w:szCs w:val="21"/>
          <w:lang w:val="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4BA54AB1" w14:textId="77777777" w:rsidR="00D00727" w:rsidRPr="00E858D2" w:rsidRDefault="00D00727" w:rsidP="00D00727">
      <w:pPr>
        <w:tabs>
          <w:tab w:val="left" w:pos="0"/>
        </w:tabs>
        <w:ind w:left="709" w:right="709"/>
        <w:jc w:val="both"/>
        <w:rPr>
          <w:rFonts w:ascii="Arial" w:eastAsia="Calibri" w:hAnsi="Arial" w:cs="Arial"/>
          <w:bCs/>
          <w:sz w:val="21"/>
          <w:szCs w:val="21"/>
          <w:lang w:val="es-ES_tradnl"/>
        </w:rPr>
      </w:pPr>
      <w:r w:rsidRPr="00E858D2">
        <w:rPr>
          <w:rFonts w:ascii="Arial" w:hAnsi="Arial" w:cs="Arial"/>
          <w:sz w:val="21"/>
          <w:szCs w:val="21"/>
          <w:lang w:val="es-ES_tradnl"/>
        </w:rPr>
        <w:t xml:space="preserve">Parágrafo. Se exceptúan del presente artículo las Instituciones de Educación Superior públicas, las empresas sociales del Estado, las sociedades de economía mixta y las empresas industriales y comerciales del Estado, únicamente en cuanto a la contratación de su </w:t>
      </w:r>
      <w:r w:rsidRPr="00E858D2">
        <w:rPr>
          <w:rFonts w:ascii="Arial" w:hAnsi="Arial" w:cs="Arial"/>
          <w:i/>
          <w:iCs/>
          <w:sz w:val="21"/>
          <w:szCs w:val="21"/>
          <w:lang w:val="es-ES_tradnl"/>
        </w:rPr>
        <w:t>giro ordinario</w:t>
      </w:r>
      <w:r w:rsidRPr="00E858D2">
        <w:rPr>
          <w:rFonts w:ascii="Arial" w:hAnsi="Arial" w:cs="Arial"/>
          <w:sz w:val="21"/>
          <w:szCs w:val="21"/>
          <w:lang w:val="es-ES_tradnl"/>
        </w:rPr>
        <w:t>. En estos casos, en los manuales de contratación de estas entidades, se fomentará como buena práctica la aplicación de los pliegos tipo. (Énfasis fuera de texto)</w:t>
      </w:r>
    </w:p>
    <w:p w14:paraId="1F2F3D32" w14:textId="77777777" w:rsidR="00D00727" w:rsidRPr="00E858D2" w:rsidRDefault="00D00727" w:rsidP="00D00727">
      <w:pPr>
        <w:tabs>
          <w:tab w:val="left" w:pos="0"/>
        </w:tabs>
        <w:spacing w:line="276" w:lineRule="auto"/>
        <w:jc w:val="both"/>
        <w:rPr>
          <w:rFonts w:ascii="Arial" w:eastAsia="Calibri" w:hAnsi="Arial" w:cs="Arial"/>
          <w:bCs/>
          <w:sz w:val="22"/>
          <w:lang w:val="es-ES_tradnl"/>
        </w:rPr>
      </w:pPr>
    </w:p>
    <w:p w14:paraId="724B7948" w14:textId="77777777" w:rsidR="00D00727" w:rsidRPr="00E858D2" w:rsidRDefault="00D00727" w:rsidP="00D00727">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Las implicaciones de esta norma son variadas y se presentan en múltiples ámbitos de la actividad contractual de las entidades estatales, que como consecuencia de la entrada en vigor de la disposición </w:t>
      </w:r>
      <w:r>
        <w:rPr>
          <w:rFonts w:ascii="Arial" w:eastAsia="Calibri" w:hAnsi="Arial" w:cs="Arial"/>
          <w:bCs/>
          <w:sz w:val="22"/>
          <w:lang w:val="es-ES_tradnl"/>
        </w:rPr>
        <w:t>citada</w:t>
      </w:r>
      <w:r w:rsidRPr="00E858D2">
        <w:rPr>
          <w:rFonts w:ascii="Arial" w:eastAsia="Calibri" w:hAnsi="Arial" w:cs="Arial"/>
          <w:bCs/>
          <w:sz w:val="22"/>
          <w:lang w:val="es-ES_tradnl"/>
        </w:rPr>
        <w:t xml:space="preserve">, ven alterado su régimen jurídico. Es por esto por lo que una interpretación adecuada de esta disposición, orientada a establecer con precisión el </w:t>
      </w:r>
      <w:r w:rsidRPr="00E858D2">
        <w:rPr>
          <w:rFonts w:ascii="Arial" w:eastAsia="Calibri" w:hAnsi="Arial" w:cs="Arial"/>
          <w:bCs/>
          <w:sz w:val="22"/>
          <w:lang w:val="es-ES_tradnl"/>
        </w:rPr>
        <w:lastRenderedPageBreak/>
        <w:t xml:space="preserve">alcance de sus efectos, exige detenerse sobre ciertos aspectos, los cuales se desarrollan a continuación.     </w:t>
      </w:r>
    </w:p>
    <w:p w14:paraId="5478C25B" w14:textId="77777777" w:rsidR="00D00727" w:rsidRPr="00E858D2" w:rsidRDefault="00D00727" w:rsidP="00D00727">
      <w:pPr>
        <w:tabs>
          <w:tab w:val="left" w:pos="0"/>
        </w:tabs>
        <w:spacing w:line="276" w:lineRule="auto"/>
        <w:jc w:val="both"/>
        <w:rPr>
          <w:rFonts w:ascii="Arial" w:eastAsia="Calibri" w:hAnsi="Arial" w:cs="Arial"/>
          <w:b/>
          <w:sz w:val="22"/>
          <w:lang w:val="es-ES_tradnl"/>
        </w:rPr>
      </w:pPr>
    </w:p>
    <w:p w14:paraId="37C4F8FF" w14:textId="77777777" w:rsidR="00D00727" w:rsidRDefault="00D00727" w:rsidP="00D00727">
      <w:pPr>
        <w:tabs>
          <w:tab w:val="left" w:pos="426"/>
        </w:tabs>
        <w:spacing w:line="276" w:lineRule="auto"/>
        <w:ind w:left="709"/>
        <w:jc w:val="both"/>
        <w:rPr>
          <w:rFonts w:ascii="Arial" w:eastAsia="Calibri" w:hAnsi="Arial" w:cs="Arial"/>
          <w:b/>
          <w:sz w:val="22"/>
          <w:lang w:val="es-ES_tradnl"/>
        </w:rPr>
      </w:pPr>
      <w:r w:rsidRPr="00E858D2">
        <w:rPr>
          <w:rFonts w:ascii="Arial" w:eastAsia="Calibri" w:hAnsi="Arial" w:cs="Arial"/>
          <w:b/>
          <w:i/>
          <w:iCs/>
          <w:sz w:val="22"/>
          <w:lang w:val="es-ES_tradnl"/>
        </w:rPr>
        <w:t>2.</w:t>
      </w:r>
      <w:r>
        <w:rPr>
          <w:rFonts w:ascii="Arial" w:eastAsia="Calibri" w:hAnsi="Arial" w:cs="Arial"/>
          <w:b/>
          <w:i/>
          <w:iCs/>
          <w:sz w:val="22"/>
          <w:lang w:val="es-ES_tradnl"/>
        </w:rPr>
        <w:t>3</w:t>
      </w:r>
      <w:r w:rsidRPr="00E858D2">
        <w:rPr>
          <w:rFonts w:ascii="Arial" w:eastAsia="Calibri" w:hAnsi="Arial" w:cs="Arial"/>
          <w:b/>
          <w:i/>
          <w:iCs/>
          <w:sz w:val="22"/>
          <w:lang w:val="es-ES_tradnl"/>
        </w:rPr>
        <w:t xml:space="preserve">.1. </w:t>
      </w:r>
      <w:r w:rsidRPr="00E858D2">
        <w:rPr>
          <w:rFonts w:ascii="Arial" w:eastAsia="Calibri" w:hAnsi="Arial" w:cs="Arial"/>
          <w:b/>
          <w:sz w:val="22"/>
          <w:lang w:val="es-ES_tradnl"/>
        </w:rPr>
        <w:t>Ámbito de aplicación y finalidad de la norma</w:t>
      </w:r>
    </w:p>
    <w:p w14:paraId="1A91239C" w14:textId="77777777" w:rsidR="00D00727" w:rsidRPr="00EC26CF" w:rsidRDefault="00D00727" w:rsidP="00D00727">
      <w:pPr>
        <w:tabs>
          <w:tab w:val="left" w:pos="426"/>
        </w:tabs>
        <w:spacing w:line="276" w:lineRule="auto"/>
        <w:ind w:left="709"/>
        <w:jc w:val="both"/>
        <w:rPr>
          <w:rFonts w:ascii="Arial" w:eastAsia="Calibri" w:hAnsi="Arial" w:cs="Arial"/>
          <w:bCs/>
          <w:sz w:val="22"/>
          <w:lang w:val="es-ES_tradnl"/>
        </w:rPr>
      </w:pPr>
    </w:p>
    <w:p w14:paraId="4D0FCA66" w14:textId="77777777" w:rsidR="00D00727" w:rsidRPr="00E858D2" w:rsidRDefault="00D00727" w:rsidP="00D00727">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 xml:space="preserve">Como se desprende de la parte inicial de la norma citada, esta se refiere a la adquisición de bienes, obras o servicios por parte de entidades estatales sometidas al EGCAP, que celebren contratos, convenios interadministrativos o de cualquier otra índole con entidades estatales exceptuadas, patrimonios autónomos, personas naturales o jurídicas de derecho privado. En ese sentido, este primer inciso formula un mandato dirigido a las entidades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w:t>
      </w:r>
    </w:p>
    <w:p w14:paraId="71D483C4" w14:textId="77777777" w:rsidR="00D00727" w:rsidRPr="00E858D2" w:rsidRDefault="00D00727" w:rsidP="00D00727">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acuerdo con esto, el artículo 56 de la Ley 2195 de 2022 es una norma que complementa al parágrafo 7 del artículo 2 de la Ley 1150 de 2007, modificado por la Ley 2022 de 2020, que establece el mandato de aplicación obligatoria de los documentos tipo para las entidades sometidas al EGCAP. Si bien el texto de la Ley 2022 de 2020 establece con claridad la regla de aplicación obligatoria de los documentos tipo en los Procesos de Contratación adelantados por las entidades estatales regidas por el EGCAP, lo cierto es que sus efectos no eran los mismos en los procesos de selección adelantados por entidades exceptuadas o con regímenes especiales.  </w:t>
      </w:r>
    </w:p>
    <w:p w14:paraId="00CFF8CF" w14:textId="77777777" w:rsidR="00D00727" w:rsidRPr="00E858D2" w:rsidRDefault="00D00727" w:rsidP="00D00727">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Antes de la expedición del artículo 56 </w:t>
      </w:r>
      <w:r w:rsidRPr="00E858D2">
        <w:rPr>
          <w:rFonts w:ascii="Arial" w:eastAsia="Calibri" w:hAnsi="Arial" w:cs="Arial"/>
          <w:bCs/>
          <w:i/>
          <w:iCs/>
          <w:sz w:val="22"/>
          <w:lang w:val="es-ES_tradnl"/>
        </w:rPr>
        <w:t>ibídem</w:t>
      </w:r>
      <w:r w:rsidRPr="00E858D2">
        <w:rPr>
          <w:rFonts w:ascii="Arial" w:eastAsia="Calibri" w:hAnsi="Arial" w:cs="Arial"/>
          <w:bCs/>
          <w:sz w:val="22"/>
          <w:lang w:val="es-ES_tradnl"/>
        </w:rPr>
        <w:t xml:space="preserve">¸ la Ley 2022 de 2020 ya había establecido el mandato de aplicación obligatoria de los documentos tipo, atribuyendo a esta a Agencia la competencia para expedirlos. Dicha Ley restringe su aplicación en los Procesos de Contratación a través de los que una entidad estatal regida por el EGCAP debe adquirir una obra o servicio, por supuesto siempre que el objeto a contratar, al igual que la modalidad que se requiere emplear, estén cobijados por algún documento tipo vigente. Por el contrario, la aplicación de documentos tipo por parte de entidades con regímenes especiales o de derecho privado era un asunto que escapaba del ámbito de aplicación de lo establecido por la Ley 2022 de 2022, incluso tratándose de obras o servicios para cuya contratación hubieren documentos tipo vigentes, </w:t>
      </w:r>
      <w:r>
        <w:rPr>
          <w:rFonts w:ascii="Arial" w:eastAsia="Calibri" w:hAnsi="Arial" w:cs="Arial"/>
          <w:bCs/>
          <w:sz w:val="22"/>
          <w:lang w:val="es-ES_tradnl"/>
        </w:rPr>
        <w:t>dado</w:t>
      </w:r>
      <w:r w:rsidRPr="00E858D2">
        <w:rPr>
          <w:rFonts w:ascii="Arial" w:eastAsia="Calibri" w:hAnsi="Arial" w:cs="Arial"/>
          <w:bCs/>
          <w:sz w:val="22"/>
          <w:lang w:val="es-ES_tradnl"/>
        </w:rPr>
        <w:t xml:space="preserve"> que la aplicación de estos solo era procedente cuando el régimen de la entidad contratante es el EGCAP, toda vez que el parágrafo 7 del artículo 2 de la Ley 1150 de 2007 solo se refiere a la obligación de </w:t>
      </w:r>
      <w:r w:rsidRPr="00E858D2">
        <w:rPr>
          <w:rFonts w:ascii="Arial" w:eastAsia="Calibri" w:hAnsi="Arial" w:cs="Arial"/>
          <w:bCs/>
          <w:sz w:val="22"/>
          <w:lang w:val="es-ES_tradnl"/>
        </w:rPr>
        <w:lastRenderedPageBreak/>
        <w:t xml:space="preserve">aplicar los documentos tipo en los Procesos de Contratación que adelanten las entidades sometidas al EGCAP. </w:t>
      </w:r>
    </w:p>
    <w:p w14:paraId="4588C164" w14:textId="77777777" w:rsidR="00D00727" w:rsidRPr="00E858D2" w:rsidRDefault="00D00727" w:rsidP="00D00727">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Por tanto, la norma, por el hecho de estar dirigida únicamente a las entidades sometidas a la Ley 80 de 1993 y la Ley 1150 de 2007, solo permitía que los documentos tipo tuvieran que aplicarse de manera obligatoria cuando este era el régimen general de la contratación de la entidad que adelantaba el Proceso de Contratación. En estos términos, si bien la Ley 2022 de 2020 no limitó la aplicabilidad de los documentos tipo expedidos por esta Agencia a una modalidad en específico, sí estableció que su implementación debía hacerse en el marco del EGCAP.</w:t>
      </w:r>
    </w:p>
    <w:p w14:paraId="2A6FE8E8" w14:textId="77777777" w:rsidR="00D00727" w:rsidRPr="00E858D2" w:rsidRDefault="00D00727" w:rsidP="00D00727">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este escenario, el primer inciso del artículo 56 de la Ley 2195 de 2022 surge como una disposición complementaria de la Ley 2022 de 2020, en la medida en que, según se desprende de su texto, de una parte, la norma busca extender la aplicación obligatoria de los documentos tipo a la celebración de contratos o convenios interadministrativos entre entidades regidas por EGCAP y otros sujetos cuyo régimen de contratación prevalente es el derecho privado. Esto de tal forma que cuando una entidad estatal regida por el EGCAP celebre contratos o convenios con otra i) entidad estatal de régimen especial o con ii) patrimonios autónomos o iii)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mediante documentos tipo.      </w:t>
      </w:r>
    </w:p>
    <w:p w14:paraId="2246C77A" w14:textId="77777777" w:rsidR="00D00727" w:rsidRPr="00E858D2" w:rsidRDefault="00D00727" w:rsidP="00D00727">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Sin perjuicio de lo anterior, solo es posible comprender los efectos de lo dispuesto en el artículo 56 de la Ley 2195 de 2020 cuando se interpretan en conjunto todos sus componentes. Esto </w:t>
      </w:r>
      <w:r>
        <w:rPr>
          <w:rFonts w:ascii="Arial" w:eastAsia="Calibri" w:hAnsi="Arial" w:cs="Arial"/>
          <w:bCs/>
          <w:sz w:val="22"/>
          <w:lang w:val="es-ES_tradnl"/>
        </w:rPr>
        <w:t>dado</w:t>
      </w:r>
      <w:r w:rsidRPr="00E858D2">
        <w:rPr>
          <w:rFonts w:ascii="Arial" w:eastAsia="Calibri" w:hAnsi="Arial" w:cs="Arial"/>
          <w:bCs/>
          <w:sz w:val="22"/>
          <w:lang w:val="es-ES_tradnl"/>
        </w:rPr>
        <w:t xml:space="preserve"> que, </w:t>
      </w:r>
      <w:r>
        <w:rPr>
          <w:rFonts w:ascii="Arial" w:eastAsia="Calibri" w:hAnsi="Arial" w:cs="Arial"/>
          <w:bCs/>
          <w:sz w:val="22"/>
          <w:lang w:val="es-ES_tradnl"/>
        </w:rPr>
        <w:t>a las ideas precedentes se</w:t>
      </w:r>
      <w:r w:rsidRPr="00E858D2">
        <w:rPr>
          <w:rFonts w:ascii="Arial" w:eastAsia="Calibri" w:hAnsi="Arial" w:cs="Arial"/>
          <w:bCs/>
          <w:sz w:val="22"/>
          <w:lang w:val="es-ES_tradnl"/>
        </w:rPr>
        <w:t xml:space="preserve"> suman las implicaciones de lo ordenado por el segundo inciso de la norma, en referencia a los procedimientos de selección y contratos que deban celebrarse en desarrollo de los negocios a los que se refiere el primer inciso, en los que, además de la aplicación de los documentos tipo, se dispone la aplicación del EGCAP. </w:t>
      </w:r>
    </w:p>
    <w:p w14:paraId="105F59D5" w14:textId="77777777" w:rsidR="00D00727" w:rsidRPr="00E858D2" w:rsidRDefault="00D00727" w:rsidP="00D00727">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acuerdo con esto, el cambio normativo que supone el artículo en comento no se agota con el mandato de aplicación obligatoria de los documentos tipo en los convenios o contratos que celebren las entidades estatales regidas por el EGCAP con otras entidades de régimen especial, patrimonios autónomos, personas naturales o jurídicas de derecho privado, pues, según se desprende del segundo inciso de la norma, esta además ordena la aplicación del EGCAP  a los Procesos de Contratación que se adelanten y a los contratos </w:t>
      </w:r>
      <w:r w:rsidRPr="00E858D2">
        <w:rPr>
          <w:rFonts w:ascii="Arial" w:eastAsia="Calibri" w:hAnsi="Arial" w:cs="Arial"/>
          <w:bCs/>
          <w:sz w:val="22"/>
          <w:lang w:val="es-ES_tradnl"/>
        </w:rPr>
        <w:lastRenderedPageBreak/>
        <w:t xml:space="preserve">que se celebren  con ocasión de los contratos o convenios a los que se refiere el primer inciso. Esto significa que, ya sea una entidad estatal de régimen especial, un patrimonio autónomo o una persona natural o jurídica de derecho privado, en virtud de lo dispuesto en los incisos primero y segundo del artículo 56 </w:t>
      </w:r>
      <w:r w:rsidRPr="00E858D2">
        <w:rPr>
          <w:rFonts w:ascii="Arial" w:eastAsia="Calibri" w:hAnsi="Arial" w:cs="Arial"/>
          <w:bCs/>
          <w:i/>
          <w:iCs/>
          <w:sz w:val="22"/>
          <w:lang w:val="es-ES_tradnl"/>
        </w:rPr>
        <w:t xml:space="preserve">ejusdem, </w:t>
      </w:r>
      <w:r w:rsidRPr="00E858D2">
        <w:rPr>
          <w:rFonts w:ascii="Arial" w:eastAsia="Calibri" w:hAnsi="Arial" w:cs="Arial"/>
          <w:bCs/>
          <w:sz w:val="22"/>
          <w:lang w:val="es-ES_tradnl"/>
        </w:rPr>
        <w:t>si,</w:t>
      </w:r>
      <w:r w:rsidRPr="00E858D2">
        <w:rPr>
          <w:rFonts w:ascii="Arial" w:eastAsia="Calibri" w:hAnsi="Arial" w:cs="Arial"/>
          <w:bCs/>
          <w:i/>
          <w:iCs/>
          <w:sz w:val="22"/>
          <w:lang w:val="es-ES_tradnl"/>
        </w:rPr>
        <w:t xml:space="preserve"> </w:t>
      </w:r>
      <w:r w:rsidRPr="00E858D2">
        <w:rPr>
          <w:rFonts w:ascii="Arial" w:eastAsia="Calibri" w:hAnsi="Arial" w:cs="Arial"/>
          <w:bCs/>
          <w:sz w:val="22"/>
          <w:lang w:val="es-ES_tradnl"/>
        </w:rPr>
        <w:t xml:space="preserve">en efecto, deben subcontratar bienes, obras o servicios, en cumplimiento de un contrato o convenio con una entidad estatal sometida a la Ley 80 de 1993, deberá adelantar el procedimiento de selección, así como celebrar el respectivo contrato, implementando los documentos tipo  y aplicando las disposiciones del EGCAP. </w:t>
      </w:r>
    </w:p>
    <w:p w14:paraId="3505F0EF" w14:textId="77777777" w:rsidR="00D00727" w:rsidRDefault="00D00727" w:rsidP="00D00727">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Esta, además, es la interpretación que se desprende de la justificación del proyecto normativo que se convirtió en la Ley 2195 de 2022, en la que, respecto de los contratos ejecutados por entidades de derecho privado, se refirió a la «[..] obligatoriedad de aplicar los documentos tipo, aun si son ejecutados con entidades de régimen especial», como uno de los propósitos de la Ley.  Conforme se indica en la justificación jurídica del proyecto ley, este: </w:t>
      </w:r>
    </w:p>
    <w:p w14:paraId="3FF8CF46" w14:textId="77777777" w:rsidR="00D00727" w:rsidRPr="00E858D2" w:rsidRDefault="00D00727" w:rsidP="00D00727">
      <w:pPr>
        <w:tabs>
          <w:tab w:val="left" w:pos="0"/>
        </w:tabs>
        <w:spacing w:line="276" w:lineRule="auto"/>
        <w:jc w:val="both"/>
        <w:rPr>
          <w:rFonts w:ascii="Arial" w:eastAsia="Calibri" w:hAnsi="Arial" w:cs="Arial"/>
          <w:bCs/>
          <w:sz w:val="22"/>
          <w:lang w:val="es-ES_tradnl"/>
        </w:rPr>
      </w:pPr>
    </w:p>
    <w:p w14:paraId="47349116" w14:textId="77777777" w:rsidR="00D00727" w:rsidRPr="00E858D2" w:rsidRDefault="00D00727" w:rsidP="00D00727">
      <w:pPr>
        <w:tabs>
          <w:tab w:val="left" w:pos="0"/>
        </w:tabs>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 determina la aplicación de documentos tipo, en los términos del parágrafo 7 del artículo 2 de la Ley 1150 de 2007 o las normas que lo modifiquen o sustituyan, en los eventos en que entidades públicas sometidas al Estatuto General de Contratación de la Administración Pública celebren contratos o convenios interadministrativos o de cualquier otra índole con otras entidades estatales, patrimonios autónomos o personas naturales o jurídicas de derecho privado. Así mismo, se determina que los procedimientos de selección y los contratos realizados en dichos negocios jurídicos deben regirse por las normas de contratación pública</w:t>
      </w:r>
      <w:r w:rsidRPr="00E858D2">
        <w:rPr>
          <w:rStyle w:val="Refdenotaalpie"/>
          <w:rFonts w:ascii="Arial" w:eastAsia="Calibri" w:hAnsi="Arial" w:cs="Arial"/>
          <w:sz w:val="21"/>
          <w:szCs w:val="21"/>
        </w:rPr>
        <w:footnoteReference w:id="17"/>
      </w:r>
      <w:r w:rsidRPr="00E858D2">
        <w:rPr>
          <w:rFonts w:ascii="Arial" w:eastAsia="Calibri" w:hAnsi="Arial" w:cs="Arial"/>
          <w:bCs/>
          <w:sz w:val="21"/>
          <w:szCs w:val="21"/>
          <w:lang w:val="es-ES_tradnl"/>
        </w:rPr>
        <w:t xml:space="preserve">. </w:t>
      </w:r>
    </w:p>
    <w:p w14:paraId="46AEDEF8" w14:textId="77777777" w:rsidR="00D00727" w:rsidRPr="00E858D2" w:rsidRDefault="00D00727" w:rsidP="00D00727">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 </w:t>
      </w:r>
    </w:p>
    <w:p w14:paraId="3DACB21A" w14:textId="77777777" w:rsidR="00D00727" w:rsidRPr="00E858D2" w:rsidRDefault="00D00727" w:rsidP="00D00727">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lo anterior se desprende que el propósito del legislador con la expedición de la norma objeto, como se ha explicado, es que las entidades estatales que tienen como régimen principal el EGCAP no puedan eludir su aplicación, ni la de los documentos tipo que resulten obligatorios, celebrando convenios o contratos con entidades exceptuadas o particulares sometidos al derecho privado, para que sean estos últimos quienes, en el marco de sus regímenes especiales o de derecho privado, realicen la subcontratación de los bienes, obras o servicios que demanda la entidad estatal, en una suerte de tercerización de la contratación. Lo anterior teniendo en cuenta que, a la luz de lo dispuesto en el artículo 56 de la Ley 2195 de 2022, tales entidades exceptuadas, patrimonios autónomos o particulares, que han suscrito convenios o contratos de cualquier índole con entidades </w:t>
      </w:r>
      <w:r w:rsidRPr="00E858D2">
        <w:rPr>
          <w:rFonts w:ascii="Arial" w:eastAsia="Calibri" w:hAnsi="Arial" w:cs="Arial"/>
          <w:bCs/>
          <w:sz w:val="22"/>
          <w:lang w:val="es-ES_tradnl"/>
        </w:rPr>
        <w:lastRenderedPageBreak/>
        <w:t xml:space="preserve">sometidas al EGCAP, estarán obligadas a aplicar dicho estatuto para la subcontratación derivada de obras, bienes, obras o servicios, siempre que exista documento tipo en el sector en el que se adelanta la contratación.  </w:t>
      </w:r>
    </w:p>
    <w:p w14:paraId="25395967" w14:textId="77777777" w:rsidR="00D00727" w:rsidRPr="00E858D2" w:rsidRDefault="00D00727" w:rsidP="00D00727">
      <w:pPr>
        <w:tabs>
          <w:tab w:val="left" w:pos="0"/>
        </w:tabs>
        <w:spacing w:line="276" w:lineRule="auto"/>
        <w:jc w:val="both"/>
        <w:rPr>
          <w:rFonts w:ascii="Arial" w:eastAsia="Calibri" w:hAnsi="Arial" w:cs="Arial"/>
          <w:bCs/>
          <w:sz w:val="22"/>
          <w:lang w:val="es-ES_tradnl"/>
        </w:rPr>
      </w:pPr>
    </w:p>
    <w:p w14:paraId="2427829C" w14:textId="77777777" w:rsidR="00D00727" w:rsidRPr="00E858D2" w:rsidRDefault="00D00727" w:rsidP="00D00727">
      <w:pPr>
        <w:tabs>
          <w:tab w:val="left" w:pos="0"/>
        </w:tabs>
        <w:spacing w:line="276" w:lineRule="auto"/>
        <w:jc w:val="both"/>
        <w:rPr>
          <w:rFonts w:ascii="Arial" w:eastAsia="Calibri" w:hAnsi="Arial" w:cs="Arial"/>
          <w:bCs/>
          <w:sz w:val="22"/>
          <w:lang w:val="es-ES_tradnl"/>
        </w:rPr>
      </w:pPr>
      <w:r w:rsidRPr="00E858D2">
        <w:rPr>
          <w:rFonts w:ascii="Arial" w:eastAsia="Calibri" w:hAnsi="Arial" w:cs="Arial"/>
          <w:b/>
          <w:i/>
          <w:iCs/>
          <w:sz w:val="22"/>
          <w:lang w:val="es-ES_tradnl"/>
        </w:rPr>
        <w:tab/>
        <w:t>2.</w:t>
      </w:r>
      <w:r>
        <w:rPr>
          <w:rFonts w:ascii="Arial" w:eastAsia="Calibri" w:hAnsi="Arial" w:cs="Arial"/>
          <w:b/>
          <w:i/>
          <w:iCs/>
          <w:sz w:val="22"/>
          <w:lang w:val="es-ES_tradnl"/>
        </w:rPr>
        <w:t>3</w:t>
      </w:r>
      <w:r w:rsidRPr="00E858D2">
        <w:rPr>
          <w:rFonts w:ascii="Arial" w:eastAsia="Calibri" w:hAnsi="Arial" w:cs="Arial"/>
          <w:b/>
          <w:i/>
          <w:iCs/>
          <w:sz w:val="22"/>
          <w:lang w:val="es-ES_tradnl"/>
        </w:rPr>
        <w:t>.2.</w:t>
      </w:r>
      <w:r w:rsidRPr="00E858D2">
        <w:rPr>
          <w:rFonts w:ascii="Arial" w:eastAsia="Calibri" w:hAnsi="Arial" w:cs="Arial"/>
          <w:bCs/>
          <w:sz w:val="22"/>
          <w:lang w:val="es-ES_tradnl"/>
        </w:rPr>
        <w:t xml:space="preserve"> </w:t>
      </w:r>
      <w:r w:rsidRPr="00E858D2">
        <w:rPr>
          <w:rFonts w:ascii="Arial" w:eastAsia="Calibri" w:hAnsi="Arial" w:cs="Arial"/>
          <w:b/>
          <w:sz w:val="22"/>
          <w:lang w:val="es-ES_tradnl"/>
        </w:rPr>
        <w:t>Aplicación prevalente del Estatuto General de Contratación de la Administración Pública por parte entidades exceptuadas. Aparente tensión con el literal c) del artículo 2, numeral 4, de la Ley 1150 de 2007.</w:t>
      </w:r>
    </w:p>
    <w:p w14:paraId="1ACA6B5F" w14:textId="77777777" w:rsidR="00D00727" w:rsidRPr="00E858D2" w:rsidRDefault="00D00727" w:rsidP="00D00727">
      <w:pPr>
        <w:tabs>
          <w:tab w:val="left" w:pos="0"/>
        </w:tabs>
        <w:spacing w:line="276" w:lineRule="auto"/>
        <w:jc w:val="both"/>
        <w:rPr>
          <w:rFonts w:ascii="Arial" w:eastAsia="Calibri" w:hAnsi="Arial" w:cs="Arial"/>
          <w:bCs/>
          <w:sz w:val="22"/>
          <w:lang w:val="es-ES_tradnl"/>
        </w:rPr>
      </w:pPr>
    </w:p>
    <w:p w14:paraId="6285E70A" w14:textId="77777777" w:rsidR="00D00727" w:rsidRPr="00E858D2" w:rsidRDefault="00D00727" w:rsidP="00D00727">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En este punto es necesario analizar los efectos del artículo 56 de la Ley 2195 de 2022, respecto de lo dispuesto en el artículo 2, numeral 4, de la Ley 1150 de 2007, particularmente, de lo establecido en el tercer inciso del literal c)</w:t>
      </w:r>
      <w:r w:rsidRPr="00E858D2">
        <w:rPr>
          <w:rStyle w:val="Refdenotaalpie"/>
          <w:rFonts w:ascii="Arial" w:eastAsia="Calibri" w:hAnsi="Arial" w:cs="Arial"/>
        </w:rPr>
        <w:footnoteReference w:id="18"/>
      </w:r>
      <w:r w:rsidRPr="00E858D2">
        <w:rPr>
          <w:rFonts w:ascii="Arial" w:eastAsia="Calibri" w:hAnsi="Arial" w:cs="Arial"/>
          <w:bCs/>
          <w:sz w:val="22"/>
          <w:lang w:val="es-ES_tradnl"/>
        </w:rPr>
        <w:t xml:space="preserve">. Lo anterior por cuanto esta norma, al establecer como causal de contratación directa la celebración de convenios o contratos interadministrativos regulaba la normativa aplicable a estos cuando el régimen prevalente de la entidad encargada de la ejecución no fuera el de la Ley 80 de 1993, casos en los que la norma imponía la aplicación de esta normativa, a menos que la entidad ejecutora desarrollara su actividad en competencia con el sector privado, o cuando la </w:t>
      </w:r>
      <w:r w:rsidRPr="00E858D2">
        <w:rPr>
          <w:rFonts w:ascii="Arial" w:eastAsia="Calibri" w:hAnsi="Arial" w:cs="Arial"/>
          <w:bCs/>
          <w:sz w:val="22"/>
          <w:lang w:val="es-ES_tradnl"/>
        </w:rPr>
        <w:lastRenderedPageBreak/>
        <w:t xml:space="preserve">ejecución del contrato tuviere relación directa con el desarrollo de su actividad, evento en los que se imponía el derecho privado. En ese sentido, en este último evento el tercer inciso del literal c) del artículo 2-4 de la Ley 1150 de 2007, daba pie a la aplicación de normas de derecho privado, lo que evidencia una aparente tensión entre este y el artículo 56 de la Ley 2195 de 2022, en lo que se refiere al régimen aplicable en estas situaciones, </w:t>
      </w:r>
      <w:r>
        <w:rPr>
          <w:rFonts w:ascii="Arial" w:eastAsia="Calibri" w:hAnsi="Arial" w:cs="Arial"/>
          <w:bCs/>
          <w:sz w:val="22"/>
          <w:lang w:val="es-ES_tradnl"/>
        </w:rPr>
        <w:t>dado</w:t>
      </w:r>
      <w:r w:rsidRPr="00E858D2">
        <w:rPr>
          <w:rFonts w:ascii="Arial" w:eastAsia="Calibri" w:hAnsi="Arial" w:cs="Arial"/>
          <w:bCs/>
          <w:sz w:val="22"/>
          <w:lang w:val="es-ES_tradnl"/>
        </w:rPr>
        <w:t xml:space="preserve"> que en estos eventos, al tenor de lo dispuesto en esta última norma, deben aplicarse el EGCAP y los documentos tipo. </w:t>
      </w:r>
    </w:p>
    <w:p w14:paraId="45FD4811" w14:textId="77777777" w:rsidR="00D00727" w:rsidRPr="00E858D2" w:rsidRDefault="00D00727" w:rsidP="00D00727">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Esto supone una aparente antinomia entre el literal c) del artículo 2, numeral 4, de la Ley 1150 de 2007 y el artículo 56 de la Ley 2195 de 2022, en la medida en que para un mismo supuesto de hecho –la celebración de un convenio interadministrativo entre una entidad sometida al EGCAP y otra exceptuada, en la que la última es la ejecutora y desarrolla su actividad en competencia con el sector privado–, se establecen diferentes consecuencias jurídicas, ya que mientras que la primera norma dispone la aplicación del derecho privado, la última impone la aplicación de documentos tipo y del EGCAP. Esta aparente contradicción, necesariamente debe ser resuelta en favor del artículo 56 de la Ley 2195 de 2022, cuya aplicación debe privilegia</w:t>
      </w:r>
      <w:r>
        <w:rPr>
          <w:rFonts w:ascii="Arial" w:eastAsia="Calibri" w:hAnsi="Arial" w:cs="Arial"/>
          <w:bCs/>
          <w:sz w:val="22"/>
          <w:lang w:val="es-ES_tradnl"/>
        </w:rPr>
        <w:t>rse</w:t>
      </w:r>
      <w:r w:rsidRPr="00E858D2">
        <w:rPr>
          <w:rFonts w:ascii="Arial" w:eastAsia="Calibri" w:hAnsi="Arial" w:cs="Arial"/>
          <w:bCs/>
          <w:sz w:val="22"/>
          <w:lang w:val="es-ES_tradnl"/>
        </w:rPr>
        <w:t xml:space="preserve">, al ser esta la norma expedida más recientemente. </w:t>
      </w:r>
    </w:p>
    <w:p w14:paraId="20C2A16C" w14:textId="77777777" w:rsidR="00D00727" w:rsidRPr="00E858D2" w:rsidRDefault="00D00727" w:rsidP="00D00727">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En efecto, tratándose de disposiciones de igual jerarquía normativa</w:t>
      </w:r>
      <w:r w:rsidRPr="00E858D2">
        <w:rPr>
          <w:rStyle w:val="Refdenotaalpie"/>
          <w:rFonts w:ascii="Arial" w:eastAsia="Calibri" w:hAnsi="Arial" w:cs="Arial"/>
        </w:rPr>
        <w:footnoteReference w:id="19"/>
      </w:r>
      <w:r w:rsidRPr="00E858D2">
        <w:rPr>
          <w:rFonts w:ascii="Arial" w:eastAsia="Calibri" w:hAnsi="Arial" w:cs="Arial"/>
          <w:bCs/>
          <w:sz w:val="22"/>
          <w:lang w:val="es-ES_tradnl"/>
        </w:rPr>
        <w:t xml:space="preserve">–ambas son leyes ordinarias–, que coinciden en su ámbito de aplicación, debe </w:t>
      </w:r>
      <w:r>
        <w:rPr>
          <w:rFonts w:ascii="Arial" w:eastAsia="Calibri" w:hAnsi="Arial" w:cs="Arial"/>
          <w:bCs/>
          <w:sz w:val="22"/>
          <w:lang w:val="es-ES_tradnl"/>
        </w:rPr>
        <w:t>inferir</w:t>
      </w:r>
      <w:r w:rsidRPr="00E858D2">
        <w:rPr>
          <w:rFonts w:ascii="Arial" w:eastAsia="Calibri" w:hAnsi="Arial" w:cs="Arial"/>
          <w:bCs/>
          <w:sz w:val="22"/>
          <w:lang w:val="es-ES_tradnl"/>
        </w:rPr>
        <w:t xml:space="preserve">se que, en lo que respecta al régimen aplicable a los contratos con entidades exceptuadas ejecutoras de contratos o convenios interadministrativos, que desarrollen su actividad en competencia con el sector privado, el artículo 56 de la Ley 2195 de 2022 supuso una modificación tácita del artículo 2, numeral 4, literal c), de la Ley 1150 de 2007. De acuerdo con lo expuesto, los efectos de esta modificación no solo se proyectan a la celebración propiamente dicha del contrato o convenio entre la entidad sometida y la exceptuada, sino que se extienden a todos los contratos y procedimientos de selección que adelanten estos últimos en desarrollo </w:t>
      </w:r>
      <w:r w:rsidRPr="00E858D2">
        <w:rPr>
          <w:rFonts w:ascii="Arial" w:eastAsia="Calibri" w:hAnsi="Arial" w:cs="Arial"/>
          <w:bCs/>
          <w:sz w:val="22"/>
          <w:lang w:val="es-ES_tradnl"/>
        </w:rPr>
        <w:lastRenderedPageBreak/>
        <w:t xml:space="preserve">de la relación primigenia, en los que deberán aplicarse el EGCAP y los documentos tipo vigentes. </w:t>
      </w:r>
    </w:p>
    <w:p w14:paraId="65B77FA1" w14:textId="77777777" w:rsidR="00D00727" w:rsidRPr="00E858D2" w:rsidRDefault="00D00727" w:rsidP="00D00727">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tales términos, de lo analizado hasta aquí es posible concluir que un efecto importante de la norma bajo estudio es la ampliación del ámbito de aplicación de los documentos tipo, al hacerlos obligatorios para unos sujetos que, en principio, de acuerdo con la Ley 2022 de 2020, no estarían sometidos a esos documentos. Para complementar esta medida, la disposición además hace extensiva la aplicación del EGCAP a esto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w:t>
      </w:r>
    </w:p>
    <w:p w14:paraId="4BA823B2" w14:textId="77777777" w:rsidR="00D00727" w:rsidRPr="00E858D2" w:rsidRDefault="00D00727" w:rsidP="00D00727">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este punto conviene precisar que, de conformidad con el artículo 56, el hecho de que una entidad exceptuada, un patrimonio autónomo, una persona natural o una persona jurídica, tenga suscrito un contrato o convenio con una entidad sometida al EGCAP, no significa que mute su régimen jurídico de manera permanente. Al respecto, de una lectura conjunta de los incisos primero y segundo se desprende que estos introducen el mandato de aplicación obligatoria del EGCAP por parte de los mencionados sujetos de régimen de derecho privado solo en lo referido a la subcontratación de bienes, obras y servicios relacionados con un contrato o convenio suscrito con una entidad sometida al EGCAP, siempre que exista documento tipo en el sector en el que se planea contratar. Esto significa que los contratos no relacionados con los compromisos adquiridos con la entidad sometida al EGCAP no tendrían que aplicar el régimen contractual público ni los documentos tipo, salvo que quieran hacerlo como una buena práctica de contratación. </w:t>
      </w:r>
    </w:p>
    <w:p w14:paraId="0C6E4633" w14:textId="77777777" w:rsidR="00D00727" w:rsidRPr="00E858D2" w:rsidRDefault="00D00727" w:rsidP="00D00727">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acuerdo con esto, respecto de la aplicación del EGCAP por parte de entidades exceptuadas y particulares, es necesario recalcar que, conforme se interpreta de la redacción de la norma, esta solo es obligatoria en los casos en los que el objeto contractual derivado que se pretende contratar esté cobijado y sometido a algún documento tipo. Esto significa que la aplicación del EGCAP solo será forzosa cuando existe un documento tipo que contempla bienes, obras y servicios dentro de las que se subsume la actividad a contratar por parte de la entidad de régimen especial, patrimonio autónomo o particular. Por ejemplo, si en cumplimiento de un convenio con una entidad sometida al EGCAP, un particular debe contratar el desarrollo de un software o la compra de unos buses, no estará </w:t>
      </w:r>
      <w:r w:rsidRPr="00E858D2">
        <w:rPr>
          <w:rFonts w:ascii="Arial" w:eastAsia="Calibri" w:hAnsi="Arial" w:cs="Arial"/>
          <w:bCs/>
          <w:sz w:val="22"/>
          <w:lang w:val="es-ES_tradnl"/>
        </w:rPr>
        <w:lastRenderedPageBreak/>
        <w:t xml:space="preserve">obligado a seguirse por el EGCAP, al no ser estos objetos cobijados por los documentos tipo vigentes, mientras que si lo que requiere es el mantenimiento o la rehabilitación de una vía secundaría, por el contrario sí estará sometido al EGCAP, al estar tales actividades incluidas dentro de los documentos tipo de infraestructura de transporte. Esto por supuesto puede cambiar si la Agencia, en el futuro, adopta más documentos tipo que incluyan los objetos mencionados. </w:t>
      </w:r>
    </w:p>
    <w:p w14:paraId="7D87C088" w14:textId="77777777" w:rsidR="00D00727" w:rsidRPr="00E858D2" w:rsidRDefault="00D00727" w:rsidP="00D00727">
      <w:pPr>
        <w:tabs>
          <w:tab w:val="left" w:pos="0"/>
        </w:tabs>
        <w:spacing w:line="276" w:lineRule="auto"/>
        <w:jc w:val="both"/>
        <w:rPr>
          <w:rFonts w:ascii="Arial" w:eastAsia="Calibri" w:hAnsi="Arial" w:cs="Arial"/>
          <w:bCs/>
          <w:sz w:val="22"/>
          <w:lang w:val="es-ES_tradnl"/>
        </w:rPr>
      </w:pPr>
    </w:p>
    <w:p w14:paraId="5BF20F79" w14:textId="77777777" w:rsidR="00D00727" w:rsidRPr="00E858D2" w:rsidRDefault="00D00727" w:rsidP="00D00727">
      <w:pPr>
        <w:tabs>
          <w:tab w:val="left" w:pos="0"/>
        </w:tabs>
        <w:spacing w:line="276" w:lineRule="auto"/>
        <w:jc w:val="both"/>
        <w:rPr>
          <w:rFonts w:ascii="Arial" w:eastAsia="Calibri" w:hAnsi="Arial" w:cs="Arial"/>
          <w:b/>
          <w:sz w:val="22"/>
          <w:lang w:val="es-ES_tradnl"/>
        </w:rPr>
      </w:pPr>
      <w:r w:rsidRPr="00E858D2">
        <w:rPr>
          <w:rFonts w:ascii="Arial" w:eastAsia="Calibri" w:hAnsi="Arial" w:cs="Arial"/>
          <w:b/>
          <w:i/>
          <w:iCs/>
          <w:sz w:val="22"/>
          <w:lang w:val="es-ES_tradnl"/>
        </w:rPr>
        <w:tab/>
        <w:t>2.</w:t>
      </w:r>
      <w:r>
        <w:rPr>
          <w:rFonts w:ascii="Arial" w:eastAsia="Calibri" w:hAnsi="Arial" w:cs="Arial"/>
          <w:b/>
          <w:i/>
          <w:iCs/>
          <w:sz w:val="22"/>
          <w:lang w:val="es-ES_tradnl"/>
        </w:rPr>
        <w:t>3</w:t>
      </w:r>
      <w:r w:rsidRPr="00E858D2">
        <w:rPr>
          <w:rFonts w:ascii="Arial" w:eastAsia="Calibri" w:hAnsi="Arial" w:cs="Arial"/>
          <w:b/>
          <w:i/>
          <w:iCs/>
          <w:sz w:val="22"/>
          <w:lang w:val="es-ES_tradnl"/>
        </w:rPr>
        <w:t>.3.</w:t>
      </w:r>
      <w:r w:rsidRPr="00E858D2">
        <w:rPr>
          <w:rFonts w:ascii="Arial" w:eastAsia="Calibri" w:hAnsi="Arial" w:cs="Arial"/>
          <w:b/>
          <w:sz w:val="22"/>
          <w:lang w:val="es-ES_tradnl"/>
        </w:rPr>
        <w:t xml:space="preserve"> La noción de </w:t>
      </w:r>
      <w:r w:rsidRPr="00E858D2">
        <w:rPr>
          <w:rFonts w:ascii="Arial" w:eastAsia="Calibri" w:hAnsi="Arial" w:cs="Arial"/>
          <w:b/>
          <w:i/>
          <w:iCs/>
          <w:sz w:val="22"/>
          <w:lang w:val="es-ES_tradnl"/>
        </w:rPr>
        <w:t xml:space="preserve">giro ordinario </w:t>
      </w:r>
      <w:r w:rsidRPr="00E858D2">
        <w:rPr>
          <w:rFonts w:ascii="Arial" w:eastAsia="Calibri" w:hAnsi="Arial" w:cs="Arial"/>
          <w:b/>
          <w:sz w:val="22"/>
          <w:lang w:val="es-ES_tradnl"/>
        </w:rPr>
        <w:t>y su relevancia para la aplicación del artículo 56 de la Ley 2195 de 2022</w:t>
      </w:r>
    </w:p>
    <w:p w14:paraId="70488EB6" w14:textId="77777777" w:rsidR="00D00727" w:rsidRPr="00E858D2" w:rsidRDefault="00D00727" w:rsidP="00D00727">
      <w:pPr>
        <w:tabs>
          <w:tab w:val="left" w:pos="0"/>
        </w:tabs>
        <w:spacing w:line="276" w:lineRule="auto"/>
        <w:jc w:val="both"/>
        <w:rPr>
          <w:rFonts w:ascii="Arial" w:eastAsia="Calibri" w:hAnsi="Arial" w:cs="Arial"/>
          <w:b/>
          <w:sz w:val="22"/>
          <w:lang w:val="es-ES_tradnl"/>
        </w:rPr>
      </w:pPr>
    </w:p>
    <w:p w14:paraId="2A97E2B1" w14:textId="77777777" w:rsidR="00D00727" w:rsidRPr="00E858D2" w:rsidRDefault="00D00727" w:rsidP="00D00727">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 xml:space="preserve">Para responder la consulta, es necesario precisar el alcance de lo dispuesto en los dos primeros incisos del artículo 56 a luz de lo establecido en su parágrafo, el cual excluye de la aplicación de los primeros incisos del artículo 56, a cierto tipo de entidades, en lo relacionado con la contratación de su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Conforme se desprende del texto del referido parágrafo, se exceptúa de lo señalado en los dos primeros incisos a: i) las instituciones de educación superior públicas, ii) las empresas sociales del Estado, iii) las sociedades de economía mixta y iv) las empresas industriales y comerciales del Estado, únicamente, en la contratación relacionada con el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Esto significa que en la contratación asociada a su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1FE05C78" w14:textId="77777777" w:rsidR="00D00727" w:rsidRPr="00E858D2" w:rsidRDefault="00D00727" w:rsidP="00D00727">
      <w:pPr>
        <w:tabs>
          <w:tab w:val="left" w:pos="0"/>
        </w:tabs>
        <w:spacing w:after="120" w:line="276" w:lineRule="auto"/>
        <w:jc w:val="both"/>
        <w:rPr>
          <w:rFonts w:ascii="Arial" w:eastAsia="Arial" w:hAnsi="Arial" w:cs="Arial"/>
          <w:color w:val="000000"/>
          <w:sz w:val="22"/>
          <w:lang w:val="es-ES_tradnl"/>
        </w:rPr>
      </w:pPr>
      <w:r w:rsidRPr="00E858D2">
        <w:rPr>
          <w:rFonts w:ascii="Arial" w:eastAsia="Calibri" w:hAnsi="Arial" w:cs="Arial"/>
          <w:bCs/>
          <w:sz w:val="22"/>
          <w:lang w:val="es-ES_tradnl"/>
        </w:rPr>
        <w:tab/>
        <w:t xml:space="preserve">Ahora, es importante tener en cuenta que cuando la norma se refiere a la contratación del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emplea un concepto jurídico indeterminado</w:t>
      </w:r>
      <w:r w:rsidRPr="00E858D2">
        <w:rPr>
          <w:rStyle w:val="Refdenotaalpie"/>
          <w:rFonts w:ascii="Arial" w:eastAsia="Calibri" w:hAnsi="Arial" w:cs="Arial"/>
        </w:rPr>
        <w:footnoteReference w:id="20"/>
      </w:r>
      <w:r w:rsidRPr="00E858D2">
        <w:rPr>
          <w:rFonts w:ascii="Arial" w:eastAsia="Calibri" w:hAnsi="Arial" w:cs="Arial"/>
          <w:bCs/>
          <w:sz w:val="22"/>
          <w:lang w:val="es-ES_tradnl"/>
        </w:rPr>
        <w:t xml:space="preserve">. </w:t>
      </w:r>
      <w:r w:rsidRPr="00E858D2">
        <w:rPr>
          <w:rFonts w:ascii="Arial" w:eastAsia="Arial" w:hAnsi="Arial" w:cs="Arial"/>
          <w:color w:val="000000"/>
          <w:sz w:val="22"/>
          <w:lang w:val="es-ES_tradnl"/>
        </w:rPr>
        <w:t xml:space="preserve">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grado de discrecionalidad en su aplicación, pero deben respetar los límites previstos en las normas de orden público. Por ejemplo, no podrán </w:t>
      </w:r>
      <w:r w:rsidRPr="00E858D2">
        <w:rPr>
          <w:rFonts w:ascii="Arial" w:eastAsia="Arial" w:hAnsi="Arial" w:cs="Arial"/>
          <w:color w:val="000000"/>
          <w:sz w:val="22"/>
          <w:lang w:val="es-ES_tradnl"/>
        </w:rPr>
        <w:lastRenderedPageBreak/>
        <w:t xml:space="preserve">considerar que cualquier contrato que celebren hace parte del giro ordinario de sus negocios. </w:t>
      </w:r>
    </w:p>
    <w:p w14:paraId="7D483BF6" w14:textId="77777777" w:rsidR="00D00727" w:rsidRPr="00E858D2" w:rsidRDefault="00D00727" w:rsidP="00D00727">
      <w:pPr>
        <w:tabs>
          <w:tab w:val="left" w:pos="0"/>
        </w:tabs>
        <w:spacing w:line="276" w:lineRule="auto"/>
        <w:ind w:firstLine="709"/>
        <w:jc w:val="both"/>
        <w:rPr>
          <w:rFonts w:ascii="Arial" w:eastAsia="Calibri" w:hAnsi="Arial" w:cs="Arial"/>
          <w:bCs/>
          <w:sz w:val="22"/>
          <w:lang w:val="es-ES_tradnl"/>
        </w:rPr>
      </w:pPr>
      <w:r w:rsidRPr="00E858D2">
        <w:rPr>
          <w:rFonts w:ascii="Arial" w:eastAsia="Arial" w:hAnsi="Arial" w:cs="Arial"/>
          <w:color w:val="000000"/>
          <w:sz w:val="22"/>
          <w:lang w:val="es-ES_tradnl"/>
        </w:rPr>
        <w:t>La Corte Constitucional también ha reconocido que el Congreso de la República, dentro de su libertad de configuración legislativa, puede emplear este tipo de conceptos, que se caracterizan por tener un cierto halo de incertidumbre en su interpretación, quedando referida su determinación concreta a la actividad de los operadores jurídicos</w:t>
      </w:r>
      <w:r w:rsidRPr="00E858D2">
        <w:rPr>
          <w:rStyle w:val="Refdenotaalpie"/>
          <w:rFonts w:ascii="Arial" w:eastAsia="Arial" w:hAnsi="Arial" w:cs="Arial"/>
        </w:rPr>
        <w:footnoteReference w:id="21"/>
      </w:r>
      <w:r w:rsidRPr="00E858D2">
        <w:rPr>
          <w:rFonts w:ascii="Arial" w:eastAsia="Arial" w:hAnsi="Arial" w:cs="Arial"/>
          <w:color w:val="000000"/>
          <w:sz w:val="22"/>
          <w:lang w:val="es-ES_tradnl"/>
        </w:rPr>
        <w:t>.</w:t>
      </w:r>
    </w:p>
    <w:p w14:paraId="57313A70" w14:textId="77777777" w:rsidR="00D00727" w:rsidRPr="00E858D2" w:rsidRDefault="00D00727" w:rsidP="00D00727">
      <w:pPr>
        <w:tabs>
          <w:tab w:val="left" w:pos="0"/>
        </w:tabs>
        <w:spacing w:before="120" w:line="276" w:lineRule="auto"/>
        <w:ind w:firstLine="709"/>
        <w:jc w:val="both"/>
        <w:rPr>
          <w:rFonts w:ascii="Arial" w:eastAsia="Calibri" w:hAnsi="Arial" w:cs="Arial"/>
          <w:bCs/>
          <w:sz w:val="22"/>
          <w:lang w:val="es-ES_tradnl"/>
        </w:rPr>
      </w:pPr>
      <w:r w:rsidRPr="00E858D2">
        <w:rPr>
          <w:rFonts w:ascii="Arial" w:eastAsia="Calibri" w:hAnsi="Arial" w:cs="Arial"/>
          <w:bCs/>
          <w:sz w:val="22"/>
          <w:lang w:val="es-ES_tradnl"/>
        </w:rPr>
        <w:t xml:space="preserve">Aunque, como se indicó, la expresión giro ordinario de los negocios es un concepto jurídico indeterminado, el Consejo de Estado ha tenido la oportunidad de pronunciarse en distintas ocasiones sobre su alcance, estableciendo algunos criterios de interpretación.  En su momento, en relación con el alcance de la expresión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incluida en la redacción original del parágrafo 1 del artículo 32 de la Ley 80 de 1993</w:t>
      </w:r>
      <w:r w:rsidRPr="00E858D2">
        <w:rPr>
          <w:rStyle w:val="Refdenotaalpie"/>
          <w:rFonts w:ascii="Arial" w:eastAsia="Calibri" w:hAnsi="Arial" w:cs="Arial"/>
        </w:rPr>
        <w:footnoteReference w:id="22"/>
      </w:r>
      <w:r w:rsidRPr="00E858D2">
        <w:rPr>
          <w:rFonts w:ascii="Arial" w:eastAsia="Calibri" w:hAnsi="Arial" w:cs="Arial"/>
          <w:bCs/>
          <w:sz w:val="22"/>
          <w:lang w:val="es-ES_tradnl"/>
        </w:rPr>
        <w:t xml:space="preserve">, la Sección Tercera manifestó lo siguiente: </w:t>
      </w:r>
    </w:p>
    <w:p w14:paraId="169BAE16" w14:textId="77777777" w:rsidR="00D00727" w:rsidRPr="00E858D2" w:rsidRDefault="00D00727" w:rsidP="00D00727">
      <w:pPr>
        <w:tabs>
          <w:tab w:val="left" w:pos="0"/>
        </w:tabs>
        <w:spacing w:line="276" w:lineRule="auto"/>
        <w:jc w:val="both"/>
        <w:rPr>
          <w:rFonts w:ascii="Arial" w:eastAsia="Calibri" w:hAnsi="Arial" w:cs="Arial"/>
          <w:bCs/>
          <w:sz w:val="22"/>
          <w:lang w:val="es-ES_tradnl"/>
        </w:rPr>
      </w:pPr>
    </w:p>
    <w:p w14:paraId="6D723BD6" w14:textId="77777777" w:rsidR="00D00727" w:rsidRPr="00E858D2" w:rsidRDefault="00D00727" w:rsidP="00D00727">
      <w:pPr>
        <w:ind w:left="709" w:right="709"/>
        <w:jc w:val="both"/>
        <w:rPr>
          <w:rFonts w:ascii="Arial" w:hAnsi="Arial" w:cs="Arial"/>
          <w:sz w:val="21"/>
          <w:szCs w:val="21"/>
          <w:lang w:val="es-ES_tradnl" w:eastAsia="es-CO"/>
        </w:rPr>
      </w:pPr>
      <w:r w:rsidRPr="00E858D2">
        <w:rPr>
          <w:rFonts w:ascii="Arial" w:hAnsi="Arial" w:cs="Arial"/>
          <w:sz w:val="21"/>
          <w:szCs w:val="21"/>
          <w:lang w:val="es-ES_tradnl"/>
        </w:rPr>
        <w:t>[E]l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Siendo así las cosas, resulta que el concepto “giro ordinario de las actividades” […], hace relación tanto a las actividades o negocios realizados en cumplimiento del objeto social o de las funciones principales, expresamente definidas por la Ley, como también a todo aquello que es conexo con ellas y que se realiza para desarrollar la función principal, estableciéndose entre estos una relación de medio a fin, estrecha y complementaria</w:t>
      </w:r>
      <w:r>
        <w:rPr>
          <w:rFonts w:ascii="Arial" w:hAnsi="Arial" w:cs="Arial"/>
          <w:sz w:val="21"/>
          <w:szCs w:val="21"/>
          <w:lang w:val="es-ES_tradnl"/>
        </w:rPr>
        <w:t>.</w:t>
      </w:r>
      <w:r w:rsidRPr="00E858D2">
        <w:rPr>
          <w:rStyle w:val="Refdenotaalpie"/>
          <w:rFonts w:ascii="Arial" w:hAnsi="Arial" w:cs="Arial"/>
        </w:rPr>
        <w:footnoteReference w:id="23"/>
      </w:r>
    </w:p>
    <w:p w14:paraId="526E6346" w14:textId="77777777" w:rsidR="00D00727" w:rsidRPr="00E858D2" w:rsidRDefault="00D00727" w:rsidP="00D00727">
      <w:pPr>
        <w:tabs>
          <w:tab w:val="left" w:pos="0"/>
        </w:tabs>
        <w:spacing w:line="276" w:lineRule="auto"/>
        <w:jc w:val="both"/>
        <w:rPr>
          <w:rFonts w:ascii="Arial" w:eastAsia="Calibri" w:hAnsi="Arial" w:cs="Arial"/>
          <w:bCs/>
          <w:i/>
          <w:iCs/>
          <w:sz w:val="22"/>
          <w:lang w:val="es-ES_tradnl"/>
        </w:rPr>
      </w:pPr>
    </w:p>
    <w:p w14:paraId="6FE348DF" w14:textId="77777777" w:rsidR="00D00727" w:rsidRDefault="00D00727" w:rsidP="00D00727">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el mismo sentido se pronunció recientemente el Alto Tribunal de lo Contencioso Administrativo, reiterando las anteriores consideraciones, al expresar que: </w:t>
      </w:r>
    </w:p>
    <w:p w14:paraId="7D6F880C" w14:textId="77777777" w:rsidR="00D00727" w:rsidRPr="00E858D2" w:rsidRDefault="00D00727" w:rsidP="00D00727">
      <w:pPr>
        <w:tabs>
          <w:tab w:val="left" w:pos="0"/>
        </w:tabs>
        <w:spacing w:line="276" w:lineRule="auto"/>
        <w:jc w:val="both"/>
        <w:rPr>
          <w:rFonts w:ascii="Arial" w:eastAsia="Calibri" w:hAnsi="Arial" w:cs="Arial"/>
          <w:bCs/>
          <w:sz w:val="22"/>
          <w:lang w:val="es-ES_tradnl"/>
        </w:rPr>
      </w:pPr>
    </w:p>
    <w:p w14:paraId="3AC32A13" w14:textId="77777777" w:rsidR="00D00727" w:rsidRPr="00E858D2" w:rsidRDefault="00D00727" w:rsidP="00D00727">
      <w:pPr>
        <w:tabs>
          <w:tab w:val="left" w:pos="0"/>
        </w:tabs>
        <w:spacing w:after="120"/>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lastRenderedPageBreak/>
        <w:t>[E]l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p w14:paraId="6C31DC2A" w14:textId="77777777" w:rsidR="00D00727" w:rsidRPr="00E858D2" w:rsidRDefault="00D00727" w:rsidP="00D00727">
      <w:pPr>
        <w:tabs>
          <w:tab w:val="left" w:pos="0"/>
        </w:tabs>
        <w:spacing w:after="120"/>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 xml:space="preserve">Así las cosas, es razonable que el concepto de “giro ordinario de los negocios” sea compatible, de cara al sub lite, con el objeto y funciones de las empresas industriales y comerciales del estado –EICE– de carácter financiero, como lo es Fonade, dado que para el desarrollo de su ejercicio comercial ha sido autorizada para actuar en términos equivalentes a los particulares, de manera que al incursionar en el mercado como un partícipe más, el desarrollo de su gestión está atada al giro ordinario de tales negocios, en los mismos términos en los que se desarrolla el objeto social de las empresas privadas.   </w:t>
      </w:r>
    </w:p>
    <w:p w14:paraId="4FD8191D" w14:textId="77777777" w:rsidR="00D00727" w:rsidRPr="00E858D2" w:rsidRDefault="00D00727" w:rsidP="00D00727">
      <w:pPr>
        <w:tabs>
          <w:tab w:val="left" w:pos="0"/>
        </w:tabs>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7.8. De otra parte, y frente a las actividades conexas o complementarias al objeto social, existe plena compatibilidad respecto de los actos y contratos que puede desarrollar una EICE bajo el giro ordinario de sus negocios pues, al tenor de lo normado en el artículo 86 de la Ley 489 de 1998, dispuso el legislador que además de las actividades y funciones previstas en la ley, en las normas de creación y en sus estatutos internos, la empresas industriales y comerciales del estado están facultadas para “desarrollar y ejecutar todos aquellos que sean necesarios para el cumplimiento del objeto asignado”, previsión que ratifica la aplicación equivalente del giro ordinario de los negocios a las EICE, en sus dos categorías de actuación –objeto principal y actividades conexas»</w:t>
      </w:r>
      <w:r w:rsidRPr="00E858D2">
        <w:rPr>
          <w:rStyle w:val="Refdenotaalpie"/>
          <w:rFonts w:ascii="Arial" w:eastAsia="Calibri" w:hAnsi="Arial" w:cs="Arial"/>
        </w:rPr>
        <w:footnoteReference w:id="24"/>
      </w:r>
      <w:r w:rsidRPr="00E858D2">
        <w:rPr>
          <w:rFonts w:ascii="Arial" w:eastAsia="Calibri" w:hAnsi="Arial" w:cs="Arial"/>
          <w:bCs/>
          <w:sz w:val="21"/>
          <w:szCs w:val="21"/>
          <w:lang w:val="es-ES_tradnl"/>
        </w:rPr>
        <w:t xml:space="preserve">. </w:t>
      </w:r>
    </w:p>
    <w:p w14:paraId="30485011" w14:textId="77777777" w:rsidR="00D00727" w:rsidRPr="00E858D2" w:rsidRDefault="00D00727" w:rsidP="00D00727">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p>
    <w:p w14:paraId="6134708B" w14:textId="77777777" w:rsidR="00D00727" w:rsidRPr="00E858D2" w:rsidRDefault="00D00727" w:rsidP="00D00727">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Conforme con lo expresado en estas providencias, el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involucra los asuntos que integran el desarrollo del objeto social de una sociedad comercial, una empresa o entidad pública, lo cual comprende tanto unas actividades directamente relacionadas con dicho objeto social, así como otros actos conexos al mismo. Esta interpretación, en principio, es coherente con la regulación de la capacidad de las sociedades comerciales establecida en el Código de Comercio, cuyo artículo 99 dispone que «[</w:t>
      </w:r>
      <w:r w:rsidRPr="00E858D2">
        <w:rPr>
          <w:rFonts w:ascii="Arial" w:hAnsi="Arial" w:cs="Arial"/>
          <w:sz w:val="22"/>
          <w:lang w:val="es-ES_tradnl"/>
        </w:rPr>
        <w:t>S]e</w:t>
      </w:r>
      <w:r w:rsidRPr="00E858D2">
        <w:rPr>
          <w:rFonts w:ascii="Arial" w:eastAsia="Calibri" w:hAnsi="Arial" w:cs="Arial"/>
          <w:bCs/>
          <w:sz w:val="22"/>
          <w:lang w:val="es-ES_tradnl"/>
        </w:rPr>
        <w:t xml:space="preserve"> entenderán incluidos en el objeto social los actos directamente relacionados con </w:t>
      </w:r>
      <w:r w:rsidRPr="00E858D2">
        <w:rPr>
          <w:rFonts w:ascii="Arial" w:eastAsia="Calibri" w:hAnsi="Arial" w:cs="Arial"/>
          <w:bCs/>
          <w:sz w:val="22"/>
          <w:lang w:val="es-ES_tradnl"/>
        </w:rPr>
        <w:lastRenderedPageBreak/>
        <w:t>el mismo y los que tengan como finalidad ejercer los derechos o cumplir las obligaciones, legal o convencionalmente derivados de la existencia y actividad de la sociedad»</w:t>
      </w:r>
      <w:r w:rsidRPr="00E858D2">
        <w:rPr>
          <w:rStyle w:val="Refdenotaalpie"/>
          <w:rFonts w:ascii="Arial" w:eastAsia="Calibri" w:hAnsi="Arial" w:cs="Arial"/>
        </w:rPr>
        <w:footnoteReference w:id="25"/>
      </w:r>
      <w:r w:rsidRPr="00E858D2">
        <w:rPr>
          <w:rFonts w:ascii="Arial" w:eastAsia="Calibri" w:hAnsi="Arial" w:cs="Arial"/>
          <w:bCs/>
          <w:sz w:val="22"/>
          <w:lang w:val="es-ES_tradnl"/>
        </w:rPr>
        <w:t xml:space="preserve">. </w:t>
      </w:r>
    </w:p>
    <w:p w14:paraId="33CE7291" w14:textId="77777777" w:rsidR="00D00727" w:rsidRPr="00E858D2" w:rsidRDefault="00D00727" w:rsidP="00D00727">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otra parte, la doctrina societaria también se ha encargado de definir el </w:t>
      </w:r>
      <w:r w:rsidRPr="00E858D2">
        <w:rPr>
          <w:rFonts w:ascii="Arial" w:eastAsia="Calibri" w:hAnsi="Arial" w:cs="Arial"/>
          <w:bCs/>
          <w:i/>
          <w:iCs/>
          <w:sz w:val="22"/>
          <w:lang w:val="es-ES_tradnl"/>
        </w:rPr>
        <w:t>objeto social</w:t>
      </w:r>
      <w:r w:rsidRPr="00E858D2">
        <w:rPr>
          <w:rFonts w:ascii="Arial" w:eastAsia="Calibri" w:hAnsi="Arial" w:cs="Arial"/>
          <w:bCs/>
          <w:sz w:val="22"/>
          <w:lang w:val="es-ES_tradnl"/>
        </w:rPr>
        <w:t xml:space="preserve">, así como su relación con el concepto de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Al respecto, la Superintendencia de Sociedades, citando doctrina autorizada en la materia, ha señalado:</w:t>
      </w:r>
    </w:p>
    <w:p w14:paraId="120DF800" w14:textId="77777777" w:rsidR="00D00727" w:rsidRPr="00E858D2" w:rsidRDefault="00D00727" w:rsidP="00D00727">
      <w:pPr>
        <w:tabs>
          <w:tab w:val="left" w:pos="0"/>
        </w:tabs>
        <w:spacing w:line="276" w:lineRule="auto"/>
        <w:jc w:val="both"/>
        <w:rPr>
          <w:rFonts w:ascii="Arial" w:eastAsia="Calibri" w:hAnsi="Arial" w:cs="Arial"/>
          <w:bCs/>
          <w:sz w:val="22"/>
          <w:lang w:val="es-ES_tradnl"/>
        </w:rPr>
      </w:pPr>
    </w:p>
    <w:p w14:paraId="3CEFCAE0" w14:textId="77777777" w:rsidR="00D00727" w:rsidRPr="00E858D2" w:rsidRDefault="00D00727" w:rsidP="00D00727">
      <w:pPr>
        <w:tabs>
          <w:tab w:val="left" w:pos="0"/>
        </w:tabs>
        <w:spacing w:after="120"/>
        <w:ind w:left="709" w:right="709"/>
        <w:jc w:val="both"/>
        <w:rPr>
          <w:rFonts w:ascii="Arial" w:hAnsi="Arial" w:cs="Arial"/>
          <w:sz w:val="21"/>
          <w:szCs w:val="21"/>
          <w:lang w:val="es-ES_tradnl"/>
        </w:rPr>
      </w:pPr>
      <w:r w:rsidRPr="00E858D2">
        <w:rPr>
          <w:rFonts w:ascii="Arial" w:hAnsi="Arial" w:cs="Arial"/>
          <w:sz w:val="21"/>
          <w:szCs w:val="21"/>
          <w:lang w:val="es-ES_tradnl"/>
        </w:rPr>
        <w:t>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que en forma habitual u ordinaria, ejecuta la sociedad.</w:t>
      </w:r>
    </w:p>
    <w:p w14:paraId="5646DA07" w14:textId="77777777" w:rsidR="00D00727" w:rsidRPr="00E858D2" w:rsidRDefault="00D00727" w:rsidP="00D00727">
      <w:pPr>
        <w:tabs>
          <w:tab w:val="left" w:pos="0"/>
        </w:tabs>
        <w:ind w:left="709" w:right="709"/>
        <w:jc w:val="both"/>
        <w:rPr>
          <w:rFonts w:ascii="Arial" w:eastAsia="Calibri" w:hAnsi="Arial" w:cs="Arial"/>
          <w:bCs/>
          <w:sz w:val="21"/>
          <w:szCs w:val="21"/>
          <w:lang w:val="es-ES_tradnl"/>
        </w:rPr>
      </w:pPr>
      <w:r w:rsidRPr="00E858D2">
        <w:rPr>
          <w:rFonts w:ascii="Arial" w:hAnsi="Arial" w:cs="Arial"/>
          <w:sz w:val="21"/>
          <w:szCs w:val="21"/>
          <w:lang w:val="es-ES_tradnl"/>
        </w:rPr>
        <w:t>Advierte el profesor GAVIRIA GUTIÉRREZ (Lecciones de Derecho Comercial, Biblioteca Jurídica DIKE, Medellín, 1987, Pág. 251) que "el objeto social tiene un significado de mayor amplitud que el giro ordinario, pues aquel comprende cuanto acto sea necesario o conveniente para realizar el fin social propuesto, ya sea de simple gestión ordinaria, como la compra de materias primas y la venta de productos elaborados, ya de gestión extraordinaria, como un traslado de las instalaciones industriales, un despido masivo, un cambio de marcas y demás signos distintivos", de lo cual puede deducirse una relación de género a especie entre ambos conceptos, siendo el giro ordinario una especie que se enmarca al interior del genérico objeto social»</w:t>
      </w:r>
      <w:r w:rsidRPr="00E858D2">
        <w:rPr>
          <w:rStyle w:val="Refdenotaalpie"/>
          <w:rFonts w:ascii="Arial" w:hAnsi="Arial" w:cs="Arial"/>
        </w:rPr>
        <w:footnoteReference w:id="26"/>
      </w:r>
      <w:r w:rsidRPr="00E858D2">
        <w:rPr>
          <w:rFonts w:ascii="Arial" w:hAnsi="Arial" w:cs="Arial"/>
          <w:sz w:val="21"/>
          <w:szCs w:val="21"/>
          <w:lang w:val="es-ES_tradnl"/>
        </w:rPr>
        <w:t>.</w:t>
      </w:r>
    </w:p>
    <w:p w14:paraId="77271289" w14:textId="77777777" w:rsidR="00D00727" w:rsidRPr="00E858D2" w:rsidRDefault="00D00727" w:rsidP="00D00727">
      <w:pPr>
        <w:tabs>
          <w:tab w:val="left" w:pos="0"/>
        </w:tabs>
        <w:spacing w:line="276" w:lineRule="auto"/>
        <w:jc w:val="both"/>
        <w:rPr>
          <w:rFonts w:ascii="Arial" w:eastAsia="Calibri" w:hAnsi="Arial" w:cs="Arial"/>
          <w:bCs/>
          <w:sz w:val="22"/>
          <w:lang w:val="es-ES_tradnl"/>
        </w:rPr>
      </w:pPr>
    </w:p>
    <w:p w14:paraId="30FF035D" w14:textId="77777777" w:rsidR="00D00727" w:rsidRPr="00E858D2" w:rsidRDefault="00D00727" w:rsidP="00D00727">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lastRenderedPageBreak/>
        <w:tab/>
        <w:t xml:space="preserve">De acuerdo con estas consideraciones, no existe una plena equivalencia entre las </w:t>
      </w:r>
      <w:bookmarkStart w:id="5" w:name="_Hlk95322109"/>
      <w:r w:rsidRPr="00E858D2">
        <w:rPr>
          <w:rFonts w:ascii="Arial" w:eastAsia="Calibri" w:hAnsi="Arial" w:cs="Arial"/>
          <w:bCs/>
          <w:sz w:val="22"/>
          <w:lang w:val="es-ES_tradnl"/>
        </w:rPr>
        <w:t xml:space="preserve">actividades que hacen parte del desarrollo del </w:t>
      </w:r>
      <w:r w:rsidRPr="00E858D2">
        <w:rPr>
          <w:rFonts w:ascii="Arial" w:eastAsia="Calibri" w:hAnsi="Arial" w:cs="Arial"/>
          <w:bCs/>
          <w:i/>
          <w:iCs/>
          <w:sz w:val="22"/>
          <w:lang w:val="es-ES_tradnl"/>
        </w:rPr>
        <w:t>objeto social</w:t>
      </w:r>
      <w:r w:rsidRPr="00E858D2">
        <w:rPr>
          <w:rFonts w:ascii="Arial" w:eastAsia="Calibri" w:hAnsi="Arial" w:cs="Arial"/>
          <w:bCs/>
          <w:sz w:val="22"/>
          <w:lang w:val="es-ES_tradnl"/>
        </w:rPr>
        <w:t xml:space="preserve"> y las que comprende el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ya que como precisa la Superintendencia de Sociedades, entre lo que designan estas categorías existe una relación de género a especie. En ese sentido, de acuerdo con este criterio, las actividades que hacen parte del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 xml:space="preserve">no son solo aquellas que están efectivamente comprendidas dentro del objeto social, sino que, además, se extiende a todas aquellas conexas que se desarrollan en la gestión usual de los asuntos de la sociedad. Esto significa que las actividades que hacen parte del </w:t>
      </w:r>
      <w:r w:rsidRPr="00E858D2">
        <w:rPr>
          <w:rFonts w:ascii="Arial" w:eastAsia="Calibri" w:hAnsi="Arial" w:cs="Arial"/>
          <w:bCs/>
          <w:i/>
          <w:iCs/>
          <w:sz w:val="22"/>
          <w:lang w:val="es-ES_tradnl"/>
        </w:rPr>
        <w:t>giro ordinario</w:t>
      </w:r>
      <w:r w:rsidRPr="00E858D2">
        <w:rPr>
          <w:rFonts w:ascii="Arial" w:eastAsia="Calibri" w:hAnsi="Arial" w:cs="Arial"/>
          <w:sz w:val="22"/>
        </w:rPr>
        <w:t xml:space="preserve"> son todas aquellas que hacen parte del objeto social, así como todas aquellas conexas al mismo, siguiendo lo señalado por la jurisprudencia del Consejo de Estado.   </w:t>
      </w:r>
      <w:r w:rsidRPr="00E858D2">
        <w:rPr>
          <w:rFonts w:ascii="Arial" w:eastAsia="Calibri" w:hAnsi="Arial" w:cs="Arial"/>
          <w:bCs/>
          <w:sz w:val="22"/>
          <w:lang w:val="es-ES_tradnl"/>
        </w:rPr>
        <w:t xml:space="preserve"> </w:t>
      </w:r>
    </w:p>
    <w:p w14:paraId="4230C859" w14:textId="77777777" w:rsidR="00D00727" w:rsidRPr="00E858D2" w:rsidRDefault="00D00727" w:rsidP="00D00727">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relación con la aplicación de lo dispuesto en el parágrafo del artículo 56 de la Ley 2195 de 2022, conviene aclarar que, a juicio de esta Agencia, a menos que el Presidente de la República en ejercicio de la potestad reglamentaria atribuida por el artículo 189.11 de la Constitución Política, disponga algo diferente, la expresión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 xml:space="preserve">en dicha norma se usa para designar a la contratación directamente relacionada con los asuntos de la gestión habitual u ordinaria de los tipos de entidades mencionadas en el parágrafo. No obstante, la determinación de las actividades que comprenden el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r w:rsidRPr="00E858D2">
        <w:rPr>
          <w:rFonts w:ascii="Arial" w:eastAsia="Calibri" w:hAnsi="Arial" w:cs="Arial"/>
          <w:bCs/>
          <w:i/>
          <w:iCs/>
          <w:sz w:val="22"/>
          <w:lang w:val="es-ES_tradnl"/>
        </w:rPr>
        <w:t>ejusdem</w:t>
      </w:r>
      <w:r w:rsidRPr="00E858D2">
        <w:rPr>
          <w:rFonts w:ascii="Arial" w:eastAsia="Calibri" w:hAnsi="Arial" w:cs="Arial"/>
          <w:bCs/>
          <w:sz w:val="22"/>
          <w:lang w:val="es-ES_tradnl"/>
        </w:rPr>
        <w:t xml:space="preserve"> se limita a enunciar algunos tipos de entidades estatales, las cuales no solo difieren en su naturaleza jurídica, sino también en las actividades que llevan a cabo. </w:t>
      </w:r>
    </w:p>
    <w:p w14:paraId="6482D5B2" w14:textId="77777777" w:rsidR="00D00727" w:rsidRPr="00E858D2" w:rsidRDefault="00D00727" w:rsidP="00D00727">
      <w:pPr>
        <w:tabs>
          <w:tab w:val="left" w:pos="0"/>
        </w:tabs>
        <w:spacing w:after="120" w:line="276" w:lineRule="auto"/>
        <w:ind w:firstLine="709"/>
        <w:jc w:val="both"/>
        <w:rPr>
          <w:rFonts w:ascii="Arial" w:eastAsia="Calibri" w:hAnsi="Arial" w:cs="Arial"/>
          <w:bCs/>
          <w:sz w:val="22"/>
          <w:lang w:val="es-ES_tradnl"/>
        </w:rPr>
      </w:pPr>
      <w:r w:rsidRPr="00E858D2">
        <w:rPr>
          <w:rFonts w:ascii="Arial" w:eastAsia="Calibri" w:hAnsi="Arial" w:cs="Arial"/>
          <w:bCs/>
          <w:sz w:val="22"/>
          <w:lang w:val="es-ES_tradnl"/>
        </w:rPr>
        <w:t xml:space="preserve">Esto impide que la Agencia Nacional de Contratación Pública, en sede consultiva, pueda determinar, con un criterio universal y absoluto, qué actividades específicas hacen parte del giro ordinario de los negocios de dichas entidades y cuáles escapan de este, pues, como se indicó, al explicar la naturaleza de los conceptos jurídicos indeterminados, la concreción del alcance de la expresión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debe hacerse en el caso concreto, empleando un criterio de interpretación restrictiva. Ello en la medida en que el parágrafo del artículo 56 consagra una excepción a una regla general. Además, cada una de las entidades estatales señaladas en dicho parágrafo se encuentra circunscrita, hermenéuticamente –para acotar aquel concepto–, a lo que establezcan sus normas estatutarias –actos de creación y demás reglamentos–, así como a la realidad de los negocios que hacen parte de su dinámica habitual.</w:t>
      </w:r>
    </w:p>
    <w:bookmarkEnd w:id="5"/>
    <w:p w14:paraId="0A4D05ED" w14:textId="77777777" w:rsidR="00D00727" w:rsidRDefault="00D00727" w:rsidP="00D00727">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tales términos, lo dispuesto en el parágrafo del artículo 56 implica que las instituciones de educación superior públicas, las empresas sociales del Estado, las sociedades de economía mixta y las empresas industriales y comerciales del Estado, no </w:t>
      </w:r>
      <w:r w:rsidRPr="00E858D2">
        <w:rPr>
          <w:rFonts w:ascii="Arial" w:eastAsia="Calibri" w:hAnsi="Arial" w:cs="Arial"/>
          <w:bCs/>
          <w:sz w:val="22"/>
          <w:lang w:val="es-ES_tradnl"/>
        </w:rPr>
        <w:lastRenderedPageBreak/>
        <w:t xml:space="preserve">tendrán que implementar documentos tipo únicamente para la contratación relacionada con el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 xml:space="preserve">de sus asuntos, salvo que los manuales internos de contratación de estas entidades dispongan la obligación de tener en cuenta los documentos tipo como una buena práctica contractual. De acuerdo con este entendimiento, estas entidades, en virtud de su enunciación en este parágrafo, quedan, en principio, exceptuadas de los documentos tipo, incluso para la contratación de obras o servicios cubiertos por documentos tipo, en el marco del cumplimiento de contratos o convenios con entidades sometidas al EGCAP y de los </w:t>
      </w:r>
      <w:r w:rsidRPr="00431CAB">
        <w:rPr>
          <w:rFonts w:ascii="Arial" w:eastAsia="Calibri" w:hAnsi="Arial" w:cs="Arial"/>
          <w:bCs/>
          <w:sz w:val="22"/>
          <w:lang w:val="es-ES_tradnl"/>
        </w:rPr>
        <w:t xml:space="preserve">negocios jurídicos que se deriven de ellos, exclusivamente en lo que se refiere a </w:t>
      </w:r>
      <w:r w:rsidRPr="00431CAB">
        <w:rPr>
          <w:rFonts w:ascii="Arial" w:eastAsia="Calibri" w:hAnsi="Arial" w:cs="Arial"/>
          <w:bCs/>
          <w:i/>
          <w:iCs/>
          <w:sz w:val="22"/>
          <w:lang w:val="es-ES_tradnl"/>
        </w:rPr>
        <w:t>su giro ordinario</w:t>
      </w:r>
      <w:r w:rsidRPr="00431CAB">
        <w:rPr>
          <w:rFonts w:ascii="Arial" w:eastAsia="Calibri" w:hAnsi="Arial" w:cs="Arial"/>
          <w:bCs/>
          <w:sz w:val="22"/>
          <w:lang w:val="es-ES_tradnl"/>
        </w:rPr>
        <w:t xml:space="preserve">, entendido este conforme a los criterios jurisprudenciales y doctrinarios aquí explicados. </w:t>
      </w:r>
    </w:p>
    <w:p w14:paraId="47E91D07" w14:textId="77777777" w:rsidR="00D00727" w:rsidRPr="00E858D2" w:rsidRDefault="00D00727" w:rsidP="00D00727">
      <w:pPr>
        <w:tabs>
          <w:tab w:val="left" w:pos="0"/>
        </w:tabs>
        <w:spacing w:after="120" w:line="276" w:lineRule="auto"/>
        <w:jc w:val="both"/>
        <w:rPr>
          <w:rFonts w:ascii="Arial" w:eastAsia="Calibri" w:hAnsi="Arial" w:cs="Arial"/>
          <w:bCs/>
          <w:sz w:val="22"/>
          <w:lang w:val="es-ES_tradnl"/>
        </w:rPr>
      </w:pPr>
      <w:r>
        <w:rPr>
          <w:rFonts w:ascii="Arial" w:eastAsia="Calibri" w:hAnsi="Arial" w:cs="Arial"/>
          <w:bCs/>
          <w:sz w:val="22"/>
          <w:lang w:val="es-ES_tradnl"/>
        </w:rPr>
        <w:tab/>
      </w:r>
      <w:r w:rsidRPr="00B95436">
        <w:rPr>
          <w:rFonts w:ascii="Arial" w:eastAsia="Calibri" w:hAnsi="Arial" w:cs="Arial"/>
          <w:bCs/>
          <w:sz w:val="22"/>
          <w:lang w:val="es-ES_tradnl"/>
        </w:rPr>
        <w:t xml:space="preserve">En otras palabras, ninguna entidad cuya naturaleza jurídica coincida con las mencionadas en el parágrafo del artículo 56, tendrá que someterse de manera obligatoria a los documentos tipo o el EGCAP para la contratación de obras o servicios asociadas a su </w:t>
      </w:r>
      <w:r w:rsidRPr="00B95436">
        <w:rPr>
          <w:rFonts w:ascii="Arial" w:eastAsia="Calibri" w:hAnsi="Arial" w:cs="Arial"/>
          <w:bCs/>
          <w:i/>
          <w:iCs/>
          <w:sz w:val="22"/>
          <w:lang w:val="es-ES_tradnl"/>
        </w:rPr>
        <w:t>giro ordinario</w:t>
      </w:r>
      <w:r w:rsidRPr="00B95436">
        <w:rPr>
          <w:rFonts w:ascii="Arial" w:eastAsia="Calibri" w:hAnsi="Arial" w:cs="Arial"/>
          <w:bCs/>
          <w:sz w:val="22"/>
          <w:lang w:val="es-ES_tradnl"/>
        </w:rPr>
        <w:t>, a menos que su manual de contratación establezca lo contrario. De hacerlo, primará el principio de inderogabilidad singular del reglamento, que obliga a aplicarlo en las actuaciones concretas.</w:t>
      </w:r>
      <w:r w:rsidRPr="00E858D2">
        <w:rPr>
          <w:rFonts w:ascii="Arial" w:eastAsia="Calibri" w:hAnsi="Arial" w:cs="Arial"/>
          <w:bCs/>
          <w:sz w:val="22"/>
          <w:lang w:val="es-ES_tradnl"/>
        </w:rPr>
        <w:t xml:space="preserve">  </w:t>
      </w:r>
    </w:p>
    <w:p w14:paraId="550B7DC4" w14:textId="77777777" w:rsidR="00D00727" w:rsidRPr="00E858D2" w:rsidRDefault="00D00727" w:rsidP="00D00727">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Esta interpretación, a juicio de la Agencia, se desprende de la literalidad del texto de la norma en comento, sino que además está en armonía con la voluntad del órgano legislativo. Al respecto se estima que, si bien es cierto que entre los propósitos del artículo está la extensión de los documentos tipo a entidades exceptuadas –a través de las cuales se podría estar eludiendo la aplicación de documentos tipo</w:t>
      </w:r>
      <w:r w:rsidRPr="00E858D2">
        <w:rPr>
          <w:rStyle w:val="Refdenotaalpie"/>
          <w:rFonts w:ascii="Arial" w:eastAsia="Calibri" w:hAnsi="Arial" w:cs="Arial"/>
        </w:rPr>
        <w:footnoteReference w:id="27"/>
      </w:r>
      <w:r w:rsidRPr="00E858D2">
        <w:rPr>
          <w:rFonts w:ascii="Arial" w:eastAsia="Calibri" w:hAnsi="Arial" w:cs="Arial"/>
          <w:bCs/>
          <w:sz w:val="22"/>
          <w:lang w:val="es-ES_tradnl"/>
        </w:rPr>
        <w:t>–, no es menos cierto que el Legislador, en materia de contratación estatal, goza de un amplio margen de configuración normativa, de conformidad con lo dispuesto en el inciso final del artículo 150 de la Constitución Política</w:t>
      </w:r>
      <w:r w:rsidRPr="00E858D2">
        <w:rPr>
          <w:rStyle w:val="Refdenotaalpie"/>
          <w:rFonts w:ascii="Arial" w:eastAsia="Calibri" w:hAnsi="Arial" w:cs="Arial"/>
        </w:rPr>
        <w:footnoteReference w:id="28"/>
      </w:r>
      <w:r w:rsidRPr="00E858D2">
        <w:rPr>
          <w:rFonts w:ascii="Arial" w:eastAsia="Calibri" w:hAnsi="Arial" w:cs="Arial"/>
          <w:bCs/>
          <w:sz w:val="22"/>
          <w:lang w:val="es-ES_tradnl"/>
        </w:rPr>
        <w:t xml:space="preserve">. En ese sentido, en virtud de esta potestad de configuración </w:t>
      </w:r>
      <w:r w:rsidRPr="00E858D2">
        <w:rPr>
          <w:rFonts w:ascii="Arial" w:eastAsia="Calibri" w:hAnsi="Arial" w:cs="Arial"/>
          <w:bCs/>
          <w:sz w:val="22"/>
          <w:lang w:val="es-ES_tradnl"/>
        </w:rPr>
        <w:lastRenderedPageBreak/>
        <w:t xml:space="preserve">normativa, resulta perfectamente válido que se establezca una regla general y unas excepciones, como se hace, por ejemplo, en el artículo 56 de la Ley 2195 de 2022, en el que se consagra un mandato general en los primeros dos incisos, y una excepción en el parágrafo, para lo que enuncian unos tipos de entidades que se excluyen de la regla general, únicamente respecto de la contratación de su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A esto se suma el hecho de que el parágrafo bajo estudio es una norma restrictiva, por lo que, en virtud de dicho carácter, amerita una interpretación apegada a lo que literalmente se desprende del texto. Como lo ha establecido el Consejo de Estado,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r w:rsidRPr="00E858D2">
        <w:rPr>
          <w:rStyle w:val="Refdenotaalpie"/>
          <w:rFonts w:ascii="Arial" w:eastAsia="Calibri" w:hAnsi="Arial" w:cs="Arial"/>
        </w:rPr>
        <w:footnoteReference w:id="29"/>
      </w:r>
      <w:r w:rsidRPr="00E858D2">
        <w:rPr>
          <w:rFonts w:ascii="Arial" w:eastAsia="Calibri" w:hAnsi="Arial" w:cs="Arial"/>
          <w:bCs/>
          <w:sz w:val="22"/>
          <w:lang w:val="es-ES_tradnl"/>
        </w:rPr>
        <w:t>.</w:t>
      </w:r>
    </w:p>
    <w:p w14:paraId="34E4BB72" w14:textId="77777777" w:rsidR="00D00727" w:rsidRPr="00E858D2" w:rsidRDefault="00D00727" w:rsidP="00D00727">
      <w:pPr>
        <w:tabs>
          <w:tab w:val="left" w:pos="0"/>
        </w:tabs>
        <w:spacing w:before="120" w:after="120" w:line="276" w:lineRule="auto"/>
        <w:ind w:firstLine="709"/>
        <w:jc w:val="both"/>
        <w:rPr>
          <w:rFonts w:ascii="Arial" w:hAnsi="Arial" w:cs="Arial"/>
          <w:sz w:val="22"/>
        </w:rPr>
      </w:pPr>
      <w:r w:rsidRPr="00E858D2">
        <w:rPr>
          <w:rFonts w:ascii="Arial" w:eastAsia="Calibri" w:hAnsi="Arial" w:cs="Arial"/>
          <w:bCs/>
          <w:sz w:val="22"/>
          <w:lang w:val="es-ES_tradnl"/>
        </w:rPr>
        <w:t>De acuerdo con esta interpretación restrictiva</w:t>
      </w:r>
      <w:r w:rsidRPr="00E858D2">
        <w:rPr>
          <w:rStyle w:val="Refdenotaalpie"/>
          <w:rFonts w:ascii="Arial" w:eastAsia="Calibri" w:hAnsi="Arial" w:cs="Arial"/>
        </w:rPr>
        <w:footnoteReference w:id="30"/>
      </w:r>
      <w:r w:rsidRPr="00E858D2">
        <w:rPr>
          <w:rFonts w:ascii="Arial" w:eastAsia="Calibri" w:hAnsi="Arial" w:cs="Arial"/>
          <w:bCs/>
          <w:sz w:val="22"/>
          <w:lang w:val="es-ES_tradnl"/>
        </w:rPr>
        <w:t xml:space="preserve">¸ el parágrafo del artículo 56 de la Ley 2195 de 2022 es claro al excluir a las instituciones de educación superior públicas, las empresas sociales del Estado, las sociedades de economía mixta y las empresas industriales y comerciales del Estado, de la aplicación de los documentos tipo y del EGCAP, únicamente en la contratación asociada a su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 xml:space="preserve">derivada del cumplimiento de contratos y/o convenios con entidades sometidas al EGCAP. Por ello, no es posible sostener una interpretación teleológica que pretenda una aplicación extensiva de los </w:t>
      </w:r>
      <w:r w:rsidRPr="00E858D2">
        <w:rPr>
          <w:rFonts w:ascii="Arial" w:eastAsia="Calibri" w:hAnsi="Arial" w:cs="Arial"/>
          <w:bCs/>
          <w:sz w:val="22"/>
          <w:lang w:val="es-ES_tradnl"/>
        </w:rPr>
        <w:lastRenderedPageBreak/>
        <w:t>documentos tipo por parte de las entidades estatales que menciona el parágrafo, pues  ello además implicaría contrariar aquel mandato interpretativo según el cual «cuando el sentido de la ley sea claro, no se desatenderá su tenor literal a pretexto de consultar su espíritu»</w:t>
      </w:r>
      <w:r w:rsidRPr="00E858D2">
        <w:rPr>
          <w:rStyle w:val="Refdenotaalpie"/>
          <w:rFonts w:ascii="Arial" w:hAnsi="Arial" w:cs="Arial"/>
        </w:rPr>
        <w:footnoteReference w:id="31"/>
      </w:r>
      <w:r w:rsidRPr="00E858D2">
        <w:rPr>
          <w:rFonts w:ascii="Arial" w:eastAsia="Calibri" w:hAnsi="Arial" w:cs="Arial"/>
          <w:bCs/>
          <w:sz w:val="22"/>
          <w:lang w:val="es-ES_tradnl"/>
        </w:rPr>
        <w:t>, al igual que la regla según la cual «</w:t>
      </w:r>
      <w:r w:rsidRPr="00E858D2">
        <w:rPr>
          <w:rFonts w:ascii="Arial" w:hAnsi="Arial" w:cs="Arial"/>
          <w:sz w:val="22"/>
        </w:rPr>
        <w:t>Lo favorable u odioso de una disposición no se tomará en cuenta para ampliar o restringir su interpretación»</w:t>
      </w:r>
      <w:r w:rsidRPr="00E858D2">
        <w:rPr>
          <w:rStyle w:val="Refdenotaalpie"/>
          <w:rFonts w:ascii="Arial" w:hAnsi="Arial" w:cs="Arial"/>
        </w:rPr>
        <w:footnoteReference w:id="32"/>
      </w:r>
      <w:r w:rsidRPr="00E858D2">
        <w:rPr>
          <w:rFonts w:ascii="Arial" w:hAnsi="Arial" w:cs="Arial"/>
          <w:sz w:val="22"/>
        </w:rPr>
        <w:t xml:space="preserve">. </w:t>
      </w:r>
    </w:p>
    <w:p w14:paraId="45F7C5D4" w14:textId="77777777" w:rsidR="00D00727" w:rsidRPr="00E858D2" w:rsidRDefault="00D00727" w:rsidP="00D00727">
      <w:pPr>
        <w:tabs>
          <w:tab w:val="left" w:pos="0"/>
        </w:tabs>
        <w:spacing w:before="120" w:line="276" w:lineRule="auto"/>
        <w:ind w:firstLine="709"/>
        <w:jc w:val="both"/>
        <w:rPr>
          <w:rFonts w:ascii="Arial" w:eastAsia="Calibri" w:hAnsi="Arial" w:cs="Arial"/>
          <w:bCs/>
          <w:sz w:val="22"/>
          <w:lang w:val="es-ES_tradnl"/>
        </w:rPr>
      </w:pPr>
      <w:r w:rsidRPr="00E858D2">
        <w:rPr>
          <w:rFonts w:ascii="Arial" w:eastAsia="Calibri" w:hAnsi="Arial" w:cs="Arial"/>
          <w:bCs/>
          <w:sz w:val="22"/>
          <w:lang w:val="es-ES_tradnl"/>
        </w:rPr>
        <w:t xml:space="preserve">En conclusión, a juicio de esta Agencia lo dispuesto en el parágrafo del artículo 56 de la Ley 2195 de 2022, es una manifestación de la voluntad del Legislador de relevar a las instituciones de educación superior públicas, las empresas sociales del Estado, las sociedades de economía mixta y las empresas industriales y comerciales del Estado, de la implementación de documentos tipo y de la aplicación del EGCAP, únicamente en lo que tiene que ver con su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Esto significa que tales entidades, cuando en desarrollo de un contrato o un convenio con una entidad sometida al EGCAP, requieran contratar un objeto cobijado por algún documento tipo, que no esté comprendido dentro de su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deberán regirse por lo establecido en los dos incisos del referido artículo. </w:t>
      </w:r>
      <w:r>
        <w:rPr>
          <w:rFonts w:ascii="Arial" w:eastAsia="Calibri" w:hAnsi="Arial" w:cs="Arial"/>
          <w:bCs/>
          <w:sz w:val="22"/>
          <w:lang w:val="es-ES_tradnl"/>
        </w:rPr>
        <w:t xml:space="preserve">Esta interpretación </w:t>
      </w:r>
      <w:r w:rsidRPr="00942B09">
        <w:rPr>
          <w:rFonts w:ascii="Arial" w:eastAsia="Calibri" w:hAnsi="Arial" w:cs="Arial"/>
          <w:bCs/>
          <w:sz w:val="22"/>
          <w:lang w:val="es-ES_tradnl"/>
        </w:rPr>
        <w:t>encuentra sustento en el principio del efecto útil del artículo 56 de la Ley 2195 de 2022, pues refleja el alcance que el Legislador quiso darle a la norma en comento.</w:t>
      </w:r>
      <w:r w:rsidRPr="00E858D2">
        <w:rPr>
          <w:rFonts w:ascii="Arial" w:eastAsia="Calibri" w:hAnsi="Arial" w:cs="Arial"/>
          <w:bCs/>
          <w:sz w:val="22"/>
          <w:lang w:val="es-ES_tradnl"/>
        </w:rPr>
        <w:t xml:space="preserve">  </w:t>
      </w:r>
    </w:p>
    <w:p w14:paraId="4D6D1F72" w14:textId="77777777" w:rsidR="00D00727" w:rsidRDefault="00D00727" w:rsidP="00D00727">
      <w:pPr>
        <w:spacing w:line="276" w:lineRule="auto"/>
        <w:ind w:firstLine="709"/>
        <w:jc w:val="both"/>
        <w:rPr>
          <w:rFonts w:ascii="Arial" w:eastAsia="Calibri" w:hAnsi="Arial" w:cs="Arial"/>
          <w:bCs/>
          <w:sz w:val="22"/>
          <w:lang w:val="es-ES_tradnl"/>
        </w:rPr>
      </w:pPr>
    </w:p>
    <w:p w14:paraId="6E5C328D" w14:textId="77777777" w:rsidR="00D00727" w:rsidRPr="00213052" w:rsidRDefault="00D00727" w:rsidP="00D00727">
      <w:pPr>
        <w:pStyle w:val="Prrafodelista"/>
        <w:tabs>
          <w:tab w:val="left" w:pos="284"/>
        </w:tabs>
        <w:spacing w:line="276" w:lineRule="auto"/>
        <w:ind w:left="0"/>
        <w:jc w:val="both"/>
        <w:rPr>
          <w:rFonts w:ascii="Arial" w:eastAsia="Calibri" w:hAnsi="Arial" w:cs="Arial"/>
          <w:sz w:val="22"/>
          <w:lang w:val="es-ES_tradnl"/>
        </w:rPr>
      </w:pPr>
      <w:r w:rsidRPr="00213052">
        <w:rPr>
          <w:rFonts w:ascii="Arial" w:eastAsia="Calibri" w:hAnsi="Arial" w:cs="Arial"/>
          <w:b/>
          <w:sz w:val="22"/>
          <w:lang w:val="es-ES_tradnl"/>
        </w:rPr>
        <w:t>3. Respuesta</w:t>
      </w:r>
    </w:p>
    <w:p w14:paraId="620C38C4" w14:textId="77777777" w:rsidR="00D00727" w:rsidRPr="00213052" w:rsidRDefault="00D00727" w:rsidP="00D00727">
      <w:pPr>
        <w:tabs>
          <w:tab w:val="left" w:pos="426"/>
        </w:tabs>
        <w:spacing w:line="276" w:lineRule="auto"/>
        <w:ind w:right="709"/>
        <w:jc w:val="both"/>
        <w:rPr>
          <w:rFonts w:ascii="Arial" w:eastAsia="Calibri" w:hAnsi="Arial" w:cs="Arial"/>
          <w:sz w:val="22"/>
          <w:lang w:val="es-ES_tradnl"/>
        </w:rPr>
      </w:pPr>
    </w:p>
    <w:p w14:paraId="09EAA6A0" w14:textId="77777777" w:rsidR="00D00727" w:rsidRDefault="00D00727" w:rsidP="00D00727">
      <w:pPr>
        <w:tabs>
          <w:tab w:val="left" w:pos="426"/>
        </w:tabs>
        <w:spacing w:after="120"/>
        <w:ind w:left="709" w:right="709"/>
        <w:jc w:val="both"/>
        <w:rPr>
          <w:rFonts w:ascii="Arial" w:hAnsi="Arial" w:cs="Arial"/>
          <w:color w:val="000000" w:themeColor="text1"/>
          <w:sz w:val="21"/>
          <w:szCs w:val="21"/>
          <w:lang w:val="es-ES_tradnl"/>
        </w:rPr>
      </w:pPr>
      <w:r w:rsidRPr="00637451">
        <w:rPr>
          <w:rFonts w:ascii="Arial" w:hAnsi="Arial" w:cs="Arial"/>
          <w:color w:val="000000" w:themeColor="text1"/>
          <w:sz w:val="21"/>
          <w:szCs w:val="21"/>
          <w:lang w:val="es-ES_tradnl"/>
        </w:rPr>
        <w:t xml:space="preserve">i) «El Parágrafo del artículo 56 Ley 2195 de 2022, señala “Se exceptúan del presente artículo las Instituciones de Educación Superior públicas, las empresas sociales del Estado, las sociedades de economía mixta y las empresas industriales y comerciales del Estado, </w:t>
      </w:r>
      <w:r w:rsidRPr="00637451">
        <w:rPr>
          <w:rFonts w:ascii="Arial" w:hAnsi="Arial" w:cs="Arial"/>
          <w:b/>
          <w:bCs/>
          <w:color w:val="000000" w:themeColor="text1"/>
          <w:sz w:val="21"/>
          <w:szCs w:val="21"/>
          <w:lang w:val="es-ES_tradnl"/>
        </w:rPr>
        <w:t>únicamente en cuanto a la contratación de su giro ordinario</w:t>
      </w:r>
      <w:r w:rsidRPr="00637451">
        <w:rPr>
          <w:rFonts w:ascii="Arial" w:hAnsi="Arial" w:cs="Arial"/>
          <w:color w:val="000000" w:themeColor="text1"/>
          <w:sz w:val="21"/>
          <w:szCs w:val="21"/>
          <w:lang w:val="es-ES_tradnl"/>
        </w:rPr>
        <w:t>.” (Negrilla no corresponde al texto); de lo señalado en este aparte normativo, y atendiendo que el objeto misional de la Empresa Social del Estado Hospital San Vicente de Paúl de San Juan de Rioseco es brindar servicios de salud, agradecemos conceptuar ¿Qué enmarca, y a que hace referencia la expresión “la contratación de su giro ordinario,” respecto de la Empresa Social del Estado Hospital San Vicente de Paúl de San Juan de Rioseco”?»</w:t>
      </w:r>
      <w:r>
        <w:rPr>
          <w:rFonts w:ascii="Arial" w:hAnsi="Arial" w:cs="Arial"/>
          <w:color w:val="000000" w:themeColor="text1"/>
          <w:sz w:val="21"/>
          <w:szCs w:val="21"/>
          <w:lang w:val="es-ES_tradnl"/>
        </w:rPr>
        <w:t>.</w:t>
      </w:r>
    </w:p>
    <w:p w14:paraId="0A06FF6D" w14:textId="77777777" w:rsidR="00D00727" w:rsidRDefault="00D00727" w:rsidP="00D00727">
      <w:pPr>
        <w:tabs>
          <w:tab w:val="left" w:pos="426"/>
        </w:tabs>
        <w:spacing w:after="120"/>
        <w:ind w:left="709" w:right="709"/>
        <w:jc w:val="both"/>
        <w:rPr>
          <w:rFonts w:ascii="Arial" w:hAnsi="Arial" w:cs="Arial"/>
          <w:color w:val="000000" w:themeColor="text1"/>
          <w:sz w:val="21"/>
          <w:szCs w:val="21"/>
          <w:lang w:val="es-ES_tradnl"/>
        </w:rPr>
      </w:pPr>
      <w:r w:rsidRPr="00637451">
        <w:rPr>
          <w:rFonts w:ascii="Arial" w:hAnsi="Arial" w:cs="Arial"/>
          <w:color w:val="000000" w:themeColor="text1"/>
          <w:sz w:val="21"/>
          <w:szCs w:val="21"/>
          <w:lang w:val="es-ES_tradnl"/>
        </w:rPr>
        <w:lastRenderedPageBreak/>
        <w:t>ii) «¿El contrato de obra civil que se deriva de los recursos financieros aportados por el Instituto de Infraestructura y Concesiones de Cundinamarca -ICCU, a través del Convenio Interadministrativo 855-2021, haría parte del giro ordinario de la contratación de la Empresa Social del Estado Hospital San Vicente de Paúl de San Juan de Rioseco?»</w:t>
      </w:r>
      <w:r>
        <w:rPr>
          <w:rFonts w:ascii="Arial" w:hAnsi="Arial" w:cs="Arial"/>
          <w:color w:val="000000" w:themeColor="text1"/>
          <w:sz w:val="21"/>
          <w:szCs w:val="21"/>
          <w:lang w:val="es-ES_tradnl"/>
        </w:rPr>
        <w:t>.</w:t>
      </w:r>
    </w:p>
    <w:p w14:paraId="4981AE05" w14:textId="77777777" w:rsidR="00D00727" w:rsidRDefault="00D00727" w:rsidP="00D00727">
      <w:pPr>
        <w:tabs>
          <w:tab w:val="left" w:pos="426"/>
        </w:tabs>
        <w:spacing w:after="120"/>
        <w:ind w:left="709" w:right="709"/>
        <w:jc w:val="both"/>
        <w:rPr>
          <w:rFonts w:ascii="Arial" w:hAnsi="Arial" w:cs="Arial"/>
          <w:color w:val="000000" w:themeColor="text1"/>
          <w:sz w:val="21"/>
          <w:szCs w:val="21"/>
          <w:lang w:val="es-ES_tradnl"/>
        </w:rPr>
      </w:pPr>
      <w:r w:rsidRPr="00637451">
        <w:rPr>
          <w:rFonts w:ascii="Arial" w:hAnsi="Arial" w:cs="Arial"/>
          <w:color w:val="000000" w:themeColor="text1"/>
          <w:sz w:val="21"/>
          <w:szCs w:val="21"/>
          <w:lang w:val="es-ES_tradnl"/>
        </w:rPr>
        <w:t>iii) «¿Atendiendo que los recursos financieros para adelantar la infraestructura hospitalaria provienen de una entidad pública que en materia contractual se rigen por el Estatuto General de Contratación de la Administración Pública, a la Luz del artículo 56 Ley 2195 de 2022 se debe dar aplicación o no a los documentos tipo, para licitar la contratación y adjudicación del contrato de obra civil derivado del Convenio Interadministrativo 855-2021?»</w:t>
      </w:r>
      <w:r>
        <w:rPr>
          <w:rFonts w:ascii="Arial" w:hAnsi="Arial" w:cs="Arial"/>
          <w:color w:val="000000" w:themeColor="text1"/>
          <w:sz w:val="21"/>
          <w:szCs w:val="21"/>
          <w:lang w:val="es-ES_tradnl"/>
        </w:rPr>
        <w:t>.</w:t>
      </w:r>
    </w:p>
    <w:p w14:paraId="0EFDE337" w14:textId="77777777" w:rsidR="00D00727" w:rsidRPr="00431CAB" w:rsidRDefault="00D00727" w:rsidP="00D00727">
      <w:pPr>
        <w:tabs>
          <w:tab w:val="left" w:pos="426"/>
        </w:tabs>
        <w:ind w:left="709" w:right="709"/>
        <w:jc w:val="both"/>
        <w:rPr>
          <w:rFonts w:ascii="Arial" w:hAnsi="Arial" w:cs="Arial"/>
          <w:color w:val="000000" w:themeColor="text1"/>
          <w:sz w:val="21"/>
          <w:szCs w:val="21"/>
          <w:lang w:val="es-ES_tradnl"/>
        </w:rPr>
      </w:pPr>
      <w:r w:rsidRPr="00637451">
        <w:rPr>
          <w:rFonts w:ascii="Arial" w:hAnsi="Arial" w:cs="Arial"/>
          <w:color w:val="000000" w:themeColor="text1"/>
          <w:sz w:val="21"/>
          <w:szCs w:val="21"/>
          <w:lang w:val="es-ES_tradnl"/>
        </w:rPr>
        <w:t>iv) Que otros aspectos relevantes debe tener en cuenta la institución para el evento planteado»</w:t>
      </w:r>
      <w:r w:rsidRPr="00431CAB">
        <w:rPr>
          <w:rFonts w:ascii="Arial" w:hAnsi="Arial" w:cs="Arial"/>
          <w:color w:val="000000" w:themeColor="text1"/>
          <w:sz w:val="21"/>
          <w:szCs w:val="21"/>
          <w:lang w:val="es-ES_tradnl"/>
        </w:rPr>
        <w:t xml:space="preserve">. </w:t>
      </w:r>
    </w:p>
    <w:p w14:paraId="3D026FF3" w14:textId="77777777" w:rsidR="00D00727" w:rsidRPr="00431CAB" w:rsidRDefault="00D00727" w:rsidP="00D00727">
      <w:pPr>
        <w:tabs>
          <w:tab w:val="left" w:pos="426"/>
        </w:tabs>
        <w:spacing w:line="276" w:lineRule="auto"/>
        <w:ind w:right="709"/>
        <w:jc w:val="both"/>
        <w:rPr>
          <w:rFonts w:ascii="Arial" w:hAnsi="Arial" w:cs="Arial"/>
          <w:color w:val="000000" w:themeColor="text1"/>
          <w:sz w:val="22"/>
          <w:lang w:val="es-ES_tradnl"/>
        </w:rPr>
      </w:pPr>
    </w:p>
    <w:p w14:paraId="218D953F" w14:textId="77777777" w:rsidR="00D00727" w:rsidRPr="00431CAB" w:rsidRDefault="00D00727" w:rsidP="00D00727">
      <w:pPr>
        <w:tabs>
          <w:tab w:val="left" w:pos="426"/>
        </w:tabs>
        <w:spacing w:after="120" w:line="276" w:lineRule="auto"/>
        <w:jc w:val="both"/>
        <w:rPr>
          <w:rFonts w:ascii="Arial" w:eastAsia="Calibri" w:hAnsi="Arial" w:cs="Arial"/>
          <w:color w:val="000000" w:themeColor="text1"/>
          <w:sz w:val="22"/>
        </w:rPr>
      </w:pPr>
      <w:r>
        <w:rPr>
          <w:rFonts w:ascii="Arial" w:eastAsia="Calibri" w:hAnsi="Arial" w:cs="Arial"/>
          <w:bCs/>
          <w:sz w:val="22"/>
          <w:lang w:val="es-ES_tradnl"/>
        </w:rPr>
        <w:t>Conforme a la interpretación de las normas generales del sistema de compras y contratación públicas</w:t>
      </w:r>
      <w:r w:rsidRPr="00431CAB">
        <w:rPr>
          <w:rFonts w:ascii="Arial" w:eastAsia="Calibri" w:hAnsi="Arial" w:cs="Arial"/>
          <w:bCs/>
          <w:sz w:val="22"/>
          <w:lang w:val="es-ES_tradnl"/>
        </w:rPr>
        <w:t xml:space="preserve">, </w:t>
      </w:r>
      <w:r>
        <w:rPr>
          <w:rFonts w:ascii="Arial" w:hAnsi="Arial" w:cs="Arial"/>
          <w:sz w:val="22"/>
        </w:rPr>
        <w:t>de acuerdo con e</w:t>
      </w:r>
      <w:r w:rsidRPr="00431CAB">
        <w:rPr>
          <w:rFonts w:ascii="Arial" w:hAnsi="Arial" w:cs="Arial"/>
          <w:sz w:val="22"/>
        </w:rPr>
        <w:t xml:space="preserve">l numeral 6 del artículo 195 de la Ley 100 de 1993, el régimen de contratación de las empresas sociales del Estado – ESE es el de derecho privado. </w:t>
      </w:r>
      <w:r w:rsidRPr="00431CAB">
        <w:rPr>
          <w:rFonts w:ascii="Arial" w:eastAsia="Calibri" w:hAnsi="Arial" w:cs="Arial"/>
          <w:color w:val="000000" w:themeColor="text1"/>
          <w:sz w:val="22"/>
        </w:rPr>
        <w:t>Aunque los contratos suscritos están excluidos del EGCAP, lo cierto es que no se rigen exclusivamente por el derecho civil y comercial, pues, conforme al artículo 13 de la Ley 1150 de 2007, también les aplican tanto los principios de la función administrativa y de la gestión fiscal, así como el régimen de inhabilidades e incompatibilidades, temáticas tratadas y reguladas en el referido estatuto.</w:t>
      </w:r>
    </w:p>
    <w:p w14:paraId="4FA34ECE" w14:textId="77777777" w:rsidR="00D00727" w:rsidRPr="00431CAB" w:rsidRDefault="00D00727" w:rsidP="00D00727">
      <w:pPr>
        <w:spacing w:after="120" w:line="276" w:lineRule="auto"/>
        <w:jc w:val="both"/>
        <w:rPr>
          <w:rFonts w:ascii="Arial" w:hAnsi="Arial" w:cs="Arial"/>
          <w:sz w:val="22"/>
          <w:shd w:val="clear" w:color="auto" w:fill="FFFFFF"/>
          <w:lang w:val="es-ES_tradnl"/>
        </w:rPr>
      </w:pPr>
      <w:r w:rsidRPr="00431CAB">
        <w:rPr>
          <w:rFonts w:ascii="Arial" w:eastAsia="Calibri" w:hAnsi="Arial" w:cs="Arial"/>
          <w:color w:val="000000" w:themeColor="text1"/>
          <w:sz w:val="22"/>
        </w:rPr>
        <w:tab/>
        <w:t>E</w:t>
      </w:r>
      <w:r w:rsidRPr="00431CAB">
        <w:rPr>
          <w:rFonts w:ascii="Arial" w:hAnsi="Arial" w:cs="Arial"/>
          <w:sz w:val="22"/>
          <w:shd w:val="clear" w:color="auto" w:fill="FFFFFF"/>
          <w:lang w:val="es-ES_tradnl"/>
        </w:rPr>
        <w:t xml:space="preserve">n virtud de lo establecido en el parágrafo 7 del artículo 2 de la Ley 1150 de 2007, modificado por la Ley 2022 de 2020, las entidades estatales regidas por el Estatuto General de Contratación de la Administración Pública están obligadas a aplicar los documentos tipo en los procedimientos y contratos que adelanten en aplicación de dicha normativa. Sin embargo, cuando estas entidades suscriban convenios o contratos de cualquier índole con entidades estatales de régimen especial o exceptuado, patrimonios autónomos, personas naturales o jurídicas de derecho privado, en atención a lo dispuesto en los dos primeros incisos del artículo 56 de la Ley 2195 de 2022, estos últimos también deberán aplicar documentos tipo, y en general, las disposiciones del Estatuto General de Contratación de la Administración Pública. </w:t>
      </w:r>
    </w:p>
    <w:p w14:paraId="47130229" w14:textId="77777777" w:rsidR="00D00727" w:rsidRPr="00431CAB" w:rsidRDefault="00D00727" w:rsidP="00D00727">
      <w:pPr>
        <w:spacing w:after="120" w:line="276" w:lineRule="auto"/>
        <w:ind w:firstLine="708"/>
        <w:jc w:val="both"/>
        <w:rPr>
          <w:rFonts w:ascii="Arial" w:hAnsi="Arial" w:cs="Arial"/>
          <w:sz w:val="22"/>
          <w:shd w:val="clear" w:color="auto" w:fill="FFFFFF"/>
          <w:lang w:val="es-ES_tradnl"/>
        </w:rPr>
      </w:pPr>
      <w:r w:rsidRPr="00431CAB">
        <w:rPr>
          <w:rFonts w:ascii="Arial" w:hAnsi="Arial" w:cs="Arial"/>
          <w:sz w:val="22"/>
          <w:shd w:val="clear" w:color="auto" w:fill="FFFFFF"/>
          <w:lang w:val="es-ES_tradnl"/>
        </w:rPr>
        <w:t xml:space="preserve">De esta manera, la aplicación del régimen contractual público y de los documentos tipo que deviene del cumplimiento del artículo 56 no se agota en la celebración del convenio o contrato propiamente dicho, sino que, por el contrario, se extiende a los compromisos contractuales derivados de este. Esto dado que el segundo inciso de la norma dispone la aplicación del Estatuto General de Contratación de la Administración Pública y de los documentos tipo en todos los procedimientos de selección y los contratos que deban </w:t>
      </w:r>
      <w:r w:rsidRPr="00431CAB">
        <w:rPr>
          <w:rFonts w:ascii="Arial" w:hAnsi="Arial" w:cs="Arial"/>
          <w:sz w:val="22"/>
          <w:shd w:val="clear" w:color="auto" w:fill="FFFFFF"/>
          <w:lang w:val="es-ES_tradnl"/>
        </w:rPr>
        <w:lastRenderedPageBreak/>
        <w:t xml:space="preserve">celebrarse para cumplir con los contratos o convenios celebrados entre una entidad sometida a la Ley 80 de 1993 y uno de los sujetos antes mencionados. Esto implica que, si una entidad exceptuada, un patrimonio autónomo o una persona natural o jurídica de derecho privado, en cumplimiento de un compromiso asumido en el contrato interadministrativo celebrado con una entidad sometida al Estatuto General, debe subcontratar una obra o servicio cobijado por algún documento tipo, </w:t>
      </w:r>
      <w:r w:rsidRPr="00431CAB">
        <w:rPr>
          <w:rFonts w:ascii="Arial" w:hAnsi="Arial" w:cs="Arial"/>
          <w:sz w:val="22"/>
          <w:lang w:val="es-ES_tradnl"/>
        </w:rPr>
        <w:t>estará obligada a</w:t>
      </w:r>
      <w:r w:rsidRPr="00431CAB">
        <w:rPr>
          <w:rFonts w:ascii="Arial" w:hAnsi="Arial" w:cs="Arial"/>
          <w:sz w:val="22"/>
          <w:shd w:val="clear" w:color="auto" w:fill="FFFFFF"/>
          <w:lang w:val="es-ES_tradnl"/>
        </w:rPr>
        <w:t xml:space="preserve"> hacerlo aplicando los mencionados documentos tipo, además de adelantar el Proceso de Contratación y celebrar el contrato conforme al Estatuto General de Contratación de la Administración Pública.  </w:t>
      </w:r>
    </w:p>
    <w:p w14:paraId="3F46CA1E" w14:textId="77777777" w:rsidR="00D00727" w:rsidRDefault="00D00727" w:rsidP="00D00727">
      <w:pPr>
        <w:spacing w:before="120" w:line="276" w:lineRule="auto"/>
        <w:ind w:firstLine="708"/>
        <w:jc w:val="both"/>
        <w:rPr>
          <w:rFonts w:ascii="Arial" w:eastAsia="Calibri" w:hAnsi="Arial" w:cs="Arial"/>
          <w:bCs/>
          <w:sz w:val="22"/>
          <w:lang w:val="es-ES_tradnl"/>
        </w:rPr>
      </w:pPr>
      <w:r w:rsidRPr="00431CAB">
        <w:rPr>
          <w:rFonts w:ascii="Arial" w:hAnsi="Arial" w:cs="Arial"/>
          <w:sz w:val="22"/>
          <w:shd w:val="clear" w:color="auto" w:fill="FFFFFF"/>
          <w:lang w:val="es-ES_tradnl"/>
        </w:rPr>
        <w:t xml:space="preserve">No obstante, de conformidad con lo establecido en el parágrafo de dicha norma, </w:t>
      </w:r>
      <w:r w:rsidRPr="00431CAB">
        <w:rPr>
          <w:rFonts w:ascii="Arial" w:eastAsia="Calibri" w:hAnsi="Arial" w:cs="Arial"/>
          <w:bCs/>
          <w:sz w:val="22"/>
          <w:lang w:val="es-ES_tradnl"/>
        </w:rPr>
        <w:t>las instituciones de educación superior públicas, las empresas sociales del Estado, las sociedades de economía mixta y las empresas industriales y comerciales del Estado, están exceptuadas de la aplicación de lo</w:t>
      </w:r>
      <w:r w:rsidRPr="00431CAB">
        <w:rPr>
          <w:rFonts w:ascii="Arial" w:hAnsi="Arial" w:cs="Arial"/>
          <w:sz w:val="22"/>
          <w:shd w:val="clear" w:color="auto" w:fill="FFFFFF"/>
          <w:lang w:val="es-ES_tradnl"/>
        </w:rPr>
        <w:t xml:space="preserve">s documentos tipo y del Estatuto General de Contratación de la Administración Pública, únicamente en la contratación relacionada con su </w:t>
      </w:r>
      <w:r w:rsidRPr="00431CAB">
        <w:rPr>
          <w:rFonts w:ascii="Arial" w:hAnsi="Arial" w:cs="Arial"/>
          <w:i/>
          <w:iCs/>
          <w:sz w:val="22"/>
          <w:shd w:val="clear" w:color="auto" w:fill="FFFFFF"/>
          <w:lang w:val="es-ES_tradnl"/>
        </w:rPr>
        <w:t>giro ordinario</w:t>
      </w:r>
      <w:r w:rsidRPr="00431CAB">
        <w:rPr>
          <w:rFonts w:ascii="Arial" w:hAnsi="Arial" w:cs="Arial"/>
          <w:sz w:val="22"/>
          <w:shd w:val="clear" w:color="auto" w:fill="FFFFFF"/>
          <w:lang w:val="es-ES_tradnl"/>
        </w:rPr>
        <w:t xml:space="preserve">. </w:t>
      </w:r>
      <w:r w:rsidRPr="00E858D2">
        <w:rPr>
          <w:rFonts w:ascii="Arial" w:eastAsia="Calibri" w:hAnsi="Arial" w:cs="Arial"/>
          <w:bCs/>
          <w:sz w:val="22"/>
          <w:lang w:val="es-ES_tradnl"/>
        </w:rPr>
        <w:t xml:space="preserve">En relación con la aplicación de lo dispuesto en el parágrafo del artículo 56 de la Ley 2195 de 2022, conviene aclarar que, a juicio de esta Agencia, a menos que el Presidente de la República en ejercicio de la potestad reglamentaria atribuida por el artículo 189.11 de la Constitución Política, disponga algo diferente, la expresión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 xml:space="preserve">en dicha norma se usa para designar a la contratación directamente relacionada con los asuntos de la gestión habitual u ordinaria de los tipos de entidades mencionadas en el parágrafo. </w:t>
      </w:r>
    </w:p>
    <w:p w14:paraId="19C4B7F8" w14:textId="77777777" w:rsidR="00D00727" w:rsidRDefault="00D00727" w:rsidP="00D00727">
      <w:pPr>
        <w:spacing w:before="120" w:line="276" w:lineRule="auto"/>
        <w:ind w:firstLine="708"/>
        <w:jc w:val="both"/>
        <w:rPr>
          <w:rFonts w:ascii="Arial" w:eastAsia="Calibri" w:hAnsi="Arial" w:cs="Arial"/>
          <w:bCs/>
          <w:sz w:val="22"/>
          <w:lang w:val="es-ES_tradnl"/>
        </w:rPr>
      </w:pPr>
      <w:r w:rsidRPr="00E858D2">
        <w:rPr>
          <w:rFonts w:ascii="Arial" w:eastAsia="Calibri" w:hAnsi="Arial" w:cs="Arial"/>
          <w:bCs/>
          <w:sz w:val="22"/>
          <w:lang w:val="es-ES_tradnl"/>
        </w:rPr>
        <w:t xml:space="preserve">No obstante, la determinación de las actividades que comprenden el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r w:rsidRPr="00E858D2">
        <w:rPr>
          <w:rFonts w:ascii="Arial" w:eastAsia="Calibri" w:hAnsi="Arial" w:cs="Arial"/>
          <w:bCs/>
          <w:i/>
          <w:iCs/>
          <w:sz w:val="22"/>
          <w:lang w:val="es-ES_tradnl"/>
        </w:rPr>
        <w:t>ejusdem</w:t>
      </w:r>
      <w:r w:rsidRPr="00E858D2">
        <w:rPr>
          <w:rFonts w:ascii="Arial" w:eastAsia="Calibri" w:hAnsi="Arial" w:cs="Arial"/>
          <w:bCs/>
          <w:sz w:val="22"/>
          <w:lang w:val="es-ES_tradnl"/>
        </w:rPr>
        <w:t xml:space="preserve"> se limita a enunciar algunos tipos de entidades estatales, las cuales no solo difieren en su naturaleza jurídica, sino también en las actividades que llevan a cabo. Esto impide que la Agencia Nacional de Contratación Pública, en sede consultiva, pueda determinar, con un criterio universal y absoluto, qué actividades específicas hacen parte del giro ordinario de los negocios de dichas entidades y cuáles escapan de este, pues, como se indicó, al explicar la naturaleza de los conceptos jurídicos indeterminados, la concreción del alcance de la expresión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debe hacerse en el caso concreto, empleando un criterio de interpretación restrictiva. Ello en la medida en que el parágrafo del artículo 56 consagra una excepción a una regla general. Además, cada una de las entidades estatales señaladas en dicho parágrafo se encuentra circunscrita, hermenéuticamente –para acotar aquel concepto–, a lo que establezcan sus normas estatutarias –actos de creación y demás </w:t>
      </w:r>
      <w:r w:rsidRPr="00E858D2">
        <w:rPr>
          <w:rFonts w:ascii="Arial" w:eastAsia="Calibri" w:hAnsi="Arial" w:cs="Arial"/>
          <w:bCs/>
          <w:sz w:val="22"/>
          <w:lang w:val="es-ES_tradnl"/>
        </w:rPr>
        <w:lastRenderedPageBreak/>
        <w:t>reglamentos–, así como a la realidad de los negocios que hacen parte de su dinámica habitual.</w:t>
      </w:r>
    </w:p>
    <w:p w14:paraId="2AD25B1E" w14:textId="77777777" w:rsidR="00D00727" w:rsidRPr="002A19F5" w:rsidRDefault="00D00727" w:rsidP="00D00727">
      <w:pPr>
        <w:spacing w:before="120" w:after="120" w:line="276" w:lineRule="auto"/>
        <w:ind w:firstLine="709"/>
        <w:jc w:val="both"/>
        <w:rPr>
          <w:rFonts w:ascii="Arial" w:eastAsia="Calibri" w:hAnsi="Arial" w:cs="Arial"/>
          <w:color w:val="000000"/>
          <w:sz w:val="22"/>
        </w:rPr>
      </w:pPr>
      <w:r>
        <w:rPr>
          <w:rFonts w:ascii="Arial" w:eastAsia="Calibri" w:hAnsi="Arial" w:cs="Arial"/>
          <w:bCs/>
          <w:color w:val="000000"/>
          <w:sz w:val="22"/>
          <w:lang w:eastAsia="es-CO"/>
        </w:rPr>
        <w:t xml:space="preserve">Bajo estas consideraciones, corresponde a </w:t>
      </w:r>
      <w:r w:rsidRPr="00524963">
        <w:rPr>
          <w:rFonts w:ascii="Arial" w:eastAsia="Calibri" w:hAnsi="Arial" w:cs="Arial"/>
          <w:bCs/>
          <w:color w:val="000000"/>
          <w:sz w:val="22"/>
          <w:lang w:eastAsia="es-CO"/>
        </w:rPr>
        <w:t xml:space="preserve">cada entidad pública, en ejercicio de su competencia y previa valoración de los elementos fácticos y jurídicos, determinar </w:t>
      </w:r>
      <w:r>
        <w:rPr>
          <w:rFonts w:ascii="Arial" w:eastAsia="Calibri" w:hAnsi="Arial" w:cs="Arial"/>
          <w:bCs/>
          <w:color w:val="000000"/>
          <w:sz w:val="22"/>
          <w:lang w:eastAsia="es-CO"/>
        </w:rPr>
        <w:t xml:space="preserve">la forma de adelantar un determinado contrato en específico. </w:t>
      </w:r>
      <w:r w:rsidRPr="00524963">
        <w:rPr>
          <w:rFonts w:ascii="Arial" w:eastAsia="Calibri" w:hAnsi="Arial" w:cs="Arial"/>
          <w:bCs/>
          <w:color w:val="000000"/>
          <w:sz w:val="22"/>
          <w:lang w:eastAsia="es-CO"/>
        </w:rPr>
        <w:t>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Pr>
          <w:rFonts w:ascii="Arial" w:eastAsia="Calibri" w:hAnsi="Arial" w:cs="Arial"/>
          <w:bCs/>
          <w:color w:val="000000"/>
          <w:sz w:val="22"/>
          <w:lang w:eastAsia="es-CO"/>
        </w:rPr>
        <w:t>.</w:t>
      </w:r>
    </w:p>
    <w:p w14:paraId="62FE6650" w14:textId="77777777" w:rsidR="00D00727" w:rsidRDefault="00D00727" w:rsidP="00D00727">
      <w:pPr>
        <w:tabs>
          <w:tab w:val="left" w:pos="426"/>
        </w:tabs>
        <w:spacing w:line="276" w:lineRule="auto"/>
        <w:jc w:val="both"/>
        <w:rPr>
          <w:rFonts w:ascii="Arial" w:eastAsia="Calibri" w:hAnsi="Arial" w:cs="Arial"/>
          <w:bCs/>
          <w:sz w:val="22"/>
          <w:lang w:val="es-ES_tradnl"/>
        </w:rPr>
      </w:pPr>
    </w:p>
    <w:p w14:paraId="54A7F1CA" w14:textId="77777777" w:rsidR="00D00727" w:rsidRPr="00987861" w:rsidRDefault="00D00727" w:rsidP="00D00727">
      <w:pPr>
        <w:pStyle w:val="NormalWeb"/>
        <w:spacing w:before="0" w:beforeAutospacing="0" w:after="0" w:afterAutospacing="0" w:line="276" w:lineRule="auto"/>
        <w:jc w:val="both"/>
        <w:rPr>
          <w:rFonts w:ascii="Arial" w:eastAsia="Calibri" w:hAnsi="Arial" w:cs="Arial"/>
          <w:sz w:val="22"/>
          <w:szCs w:val="22"/>
          <w:lang w:val="es-ES"/>
        </w:rPr>
      </w:pPr>
      <w:r w:rsidRPr="00987861">
        <w:rPr>
          <w:rFonts w:ascii="Arial" w:eastAsia="Calibri" w:hAnsi="Arial" w:cs="Arial"/>
          <w:sz w:val="22"/>
          <w:szCs w:val="22"/>
          <w:lang w:val="es-ES"/>
        </w:rPr>
        <w:t>Este concepto tiene el alcance previsto en el artículo 28 del Código de Procedimiento Administrativo y de lo Contencioso Administrativo.</w:t>
      </w:r>
    </w:p>
    <w:p w14:paraId="49F3AD58" w14:textId="77777777" w:rsidR="00D00727" w:rsidRPr="00987861" w:rsidRDefault="00D00727" w:rsidP="00D00727">
      <w:pPr>
        <w:jc w:val="both"/>
        <w:rPr>
          <w:rFonts w:ascii="Arial" w:eastAsia="Calibri" w:hAnsi="Arial" w:cs="Arial"/>
          <w:sz w:val="22"/>
          <w:lang w:val="es-ES"/>
        </w:rPr>
      </w:pPr>
    </w:p>
    <w:p w14:paraId="244DF671" w14:textId="77777777" w:rsidR="00D00727" w:rsidRDefault="00D00727" w:rsidP="00D00727">
      <w:pPr>
        <w:jc w:val="both"/>
        <w:rPr>
          <w:rFonts w:ascii="Arial" w:hAnsi="Arial" w:cs="Arial"/>
          <w:sz w:val="22"/>
          <w:lang w:val="es-ES" w:eastAsia="es-CO"/>
        </w:rPr>
      </w:pPr>
      <w:r w:rsidRPr="00987861">
        <w:rPr>
          <w:rFonts w:ascii="Arial" w:hAnsi="Arial" w:cs="Arial"/>
          <w:sz w:val="22"/>
          <w:lang w:val="es-ES" w:eastAsia="es-CO"/>
        </w:rPr>
        <w:t>Atentamente,</w:t>
      </w:r>
    </w:p>
    <w:p w14:paraId="5DF40EFC" w14:textId="77777777" w:rsidR="00D00727" w:rsidRPr="009F5860" w:rsidRDefault="00D00727" w:rsidP="00D00727">
      <w:pPr>
        <w:jc w:val="center"/>
        <w:rPr>
          <w:rFonts w:ascii="Arial" w:hAnsi="Arial" w:cs="Arial"/>
          <w:sz w:val="22"/>
          <w:lang w:val="es-ES" w:eastAsia="es-CO"/>
        </w:rPr>
      </w:pPr>
      <w:r w:rsidRPr="009000E4">
        <w:rPr>
          <w:rFonts w:ascii="Arial" w:hAnsi="Arial" w:cs="Arial"/>
          <w:noProof/>
          <w:lang w:val="es-ES_tradnl" w:eastAsia="es-CO"/>
        </w:rPr>
        <w:drawing>
          <wp:inline distT="0" distB="0" distL="0" distR="0" wp14:anchorId="4C29733D" wp14:editId="6D36BC15">
            <wp:extent cx="2087251" cy="925032"/>
            <wp:effectExtent l="0" t="0" r="0" b="254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0060" cy="930709"/>
                    </a:xfrm>
                    <a:prstGeom prst="rect">
                      <a:avLst/>
                    </a:prstGeom>
                    <a:noFill/>
                    <a:ln>
                      <a:noFill/>
                    </a:ln>
                  </pic:spPr>
                </pic:pic>
              </a:graphicData>
            </a:graphic>
          </wp:inline>
        </w:drawing>
      </w:r>
    </w:p>
    <w:p w14:paraId="76EFD3C0" w14:textId="77777777" w:rsidR="00D00727" w:rsidRPr="009F5860" w:rsidRDefault="00D00727" w:rsidP="00D00727">
      <w:pPr>
        <w:jc w:val="center"/>
        <w:rPr>
          <w:rFonts w:ascii="Arial" w:hAnsi="Arial" w:cs="Arial"/>
          <w:sz w:val="18"/>
          <w:szCs w:val="20"/>
          <w:lang w:val="es-ES" w:eastAsia="es-CO"/>
        </w:rPr>
      </w:pPr>
    </w:p>
    <w:p w14:paraId="699B76C4" w14:textId="77777777" w:rsidR="00D00727" w:rsidRDefault="00D00727" w:rsidP="00D00727">
      <w:pP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00727" w:rsidRPr="009F5860" w14:paraId="447543B8" w14:textId="77777777" w:rsidTr="00971C52">
        <w:trPr>
          <w:trHeight w:val="315"/>
        </w:trPr>
        <w:tc>
          <w:tcPr>
            <w:tcW w:w="812" w:type="dxa"/>
            <w:vAlign w:val="center"/>
            <w:hideMark/>
          </w:tcPr>
          <w:p w14:paraId="0C282D86" w14:textId="77777777" w:rsidR="00D00727" w:rsidRPr="009F5860" w:rsidRDefault="00D00727" w:rsidP="00971C52">
            <w:pPr>
              <w:rPr>
                <w:rFonts w:ascii="Arial" w:hAnsi="Arial" w:cs="Arial"/>
                <w:sz w:val="16"/>
                <w:szCs w:val="16"/>
                <w:lang w:val="es-ES" w:eastAsia="es-ES"/>
              </w:rPr>
            </w:pPr>
            <w:r w:rsidRPr="009F5860">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7C672BDE" w14:textId="77777777" w:rsidR="00D00727" w:rsidRPr="005C5D24" w:rsidRDefault="00D00727" w:rsidP="00971C52">
            <w:pPr>
              <w:rPr>
                <w:rFonts w:ascii="Arial" w:hAnsi="Arial" w:cs="Arial"/>
                <w:sz w:val="16"/>
                <w:szCs w:val="16"/>
                <w:lang w:val="es-ES" w:eastAsia="es-ES"/>
              </w:rPr>
            </w:pPr>
            <w:r w:rsidRPr="005C5D24">
              <w:rPr>
                <w:rFonts w:ascii="Arial" w:hAnsi="Arial" w:cs="Arial"/>
                <w:sz w:val="16"/>
                <w:szCs w:val="16"/>
                <w:lang w:val="es-ES" w:eastAsia="es-ES"/>
              </w:rPr>
              <w:t xml:space="preserve">Camilo Perdomo Villamil </w:t>
            </w:r>
          </w:p>
          <w:p w14:paraId="1D0ADAB6" w14:textId="77777777" w:rsidR="00D00727" w:rsidRPr="009F5860" w:rsidRDefault="00D00727" w:rsidP="00971C52">
            <w:pPr>
              <w:rPr>
                <w:rFonts w:ascii="Arial" w:hAnsi="Arial" w:cs="Arial"/>
                <w:sz w:val="16"/>
                <w:szCs w:val="16"/>
                <w:lang w:val="es-ES" w:eastAsia="es-ES"/>
              </w:rPr>
            </w:pPr>
            <w:r w:rsidRPr="009F5860">
              <w:rPr>
                <w:rFonts w:ascii="Arial" w:hAnsi="Arial" w:cs="Arial"/>
                <w:sz w:val="16"/>
                <w:szCs w:val="16"/>
                <w:lang w:val="es-ES" w:eastAsia="es-ES"/>
              </w:rPr>
              <w:t>Contratista de la Subdirección de Gestión Contractual</w:t>
            </w:r>
          </w:p>
        </w:tc>
      </w:tr>
      <w:tr w:rsidR="00D00727" w:rsidRPr="009F5860" w14:paraId="7DD5F29B" w14:textId="77777777" w:rsidTr="00971C52">
        <w:trPr>
          <w:trHeight w:val="330"/>
        </w:trPr>
        <w:tc>
          <w:tcPr>
            <w:tcW w:w="812" w:type="dxa"/>
            <w:vAlign w:val="center"/>
            <w:hideMark/>
          </w:tcPr>
          <w:p w14:paraId="61B3CE3F" w14:textId="77777777" w:rsidR="00D00727" w:rsidRPr="009F5860" w:rsidRDefault="00D00727" w:rsidP="00971C52">
            <w:pPr>
              <w:rPr>
                <w:rFonts w:ascii="Arial" w:hAnsi="Arial" w:cs="Arial"/>
                <w:sz w:val="16"/>
                <w:szCs w:val="16"/>
                <w:lang w:val="es-ES" w:eastAsia="es-ES"/>
              </w:rPr>
            </w:pPr>
            <w:r w:rsidRPr="009F5860">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9FC3003" w14:textId="77777777" w:rsidR="00D00727" w:rsidRPr="00C00312" w:rsidRDefault="00D00727" w:rsidP="00971C52">
            <w:pPr>
              <w:rPr>
                <w:rFonts w:ascii="Arial" w:hAnsi="Arial" w:cs="Arial"/>
                <w:sz w:val="16"/>
                <w:szCs w:val="16"/>
                <w:lang w:val="es-ES" w:eastAsia="es-ES"/>
              </w:rPr>
            </w:pPr>
            <w:r w:rsidRPr="00C00312">
              <w:rPr>
                <w:rFonts w:ascii="Arial" w:hAnsi="Arial" w:cs="Arial"/>
                <w:sz w:val="16"/>
                <w:szCs w:val="16"/>
                <w:lang w:val="es-ES" w:eastAsia="es-ES"/>
              </w:rPr>
              <w:t>Juan David Montoya Penagos</w:t>
            </w:r>
          </w:p>
          <w:p w14:paraId="6ACAB6DB" w14:textId="77777777" w:rsidR="00D00727" w:rsidRPr="009F5860" w:rsidRDefault="00D00727" w:rsidP="00971C52">
            <w:pPr>
              <w:rPr>
                <w:rFonts w:ascii="Arial" w:hAnsi="Arial" w:cs="Arial"/>
                <w:sz w:val="16"/>
                <w:szCs w:val="16"/>
                <w:lang w:val="es-ES" w:eastAsia="es-ES"/>
              </w:rPr>
            </w:pPr>
            <w:r w:rsidRPr="00C00312">
              <w:rPr>
                <w:rFonts w:ascii="Arial" w:hAnsi="Arial" w:cs="Arial"/>
                <w:sz w:val="16"/>
                <w:szCs w:val="16"/>
                <w:lang w:val="es-ES" w:eastAsia="es-ES"/>
              </w:rPr>
              <w:t>Gestor T1-15 de la Subdirección de Gestión Contractual</w:t>
            </w:r>
          </w:p>
        </w:tc>
      </w:tr>
      <w:tr w:rsidR="00D00727" w:rsidRPr="0008465D" w14:paraId="7EC73402" w14:textId="77777777" w:rsidTr="00971C52">
        <w:trPr>
          <w:trHeight w:val="300"/>
        </w:trPr>
        <w:tc>
          <w:tcPr>
            <w:tcW w:w="812" w:type="dxa"/>
            <w:vAlign w:val="center"/>
            <w:hideMark/>
          </w:tcPr>
          <w:p w14:paraId="13C918AD" w14:textId="77777777" w:rsidR="00D00727" w:rsidRPr="009F5860" w:rsidRDefault="00D00727" w:rsidP="00971C52">
            <w:pPr>
              <w:rPr>
                <w:rFonts w:ascii="Arial" w:hAnsi="Arial" w:cs="Arial"/>
                <w:sz w:val="16"/>
                <w:szCs w:val="16"/>
                <w:lang w:val="es-ES" w:eastAsia="es-ES"/>
              </w:rPr>
            </w:pPr>
            <w:r w:rsidRPr="009F5860">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4C45BC6" w14:textId="77777777" w:rsidR="00D00727" w:rsidRPr="00150200" w:rsidRDefault="00D00727" w:rsidP="00971C52">
            <w:pPr>
              <w:rPr>
                <w:rFonts w:ascii="Arial" w:hAnsi="Arial" w:cs="Arial"/>
                <w:sz w:val="16"/>
                <w:szCs w:val="16"/>
                <w:lang w:val="es-ES_tradnl" w:eastAsia="es-ES"/>
              </w:rPr>
            </w:pPr>
            <w:r w:rsidRPr="00150200">
              <w:rPr>
                <w:rFonts w:ascii="Arial" w:hAnsi="Arial" w:cs="Arial"/>
                <w:sz w:val="16"/>
                <w:szCs w:val="16"/>
                <w:lang w:val="es-ES_tradnl" w:eastAsia="es-ES"/>
              </w:rPr>
              <w:t>Jorge Augusto Tirado Navarro</w:t>
            </w:r>
          </w:p>
          <w:p w14:paraId="1C0173E1" w14:textId="77777777" w:rsidR="00D00727" w:rsidRPr="0008465D" w:rsidRDefault="00D00727" w:rsidP="00971C52">
            <w:pPr>
              <w:rPr>
                <w:rFonts w:ascii="Arial" w:hAnsi="Arial" w:cs="Arial"/>
                <w:sz w:val="16"/>
                <w:szCs w:val="16"/>
                <w:lang w:val="es-ES" w:eastAsia="es-ES"/>
              </w:rPr>
            </w:pPr>
            <w:r w:rsidRPr="00150200">
              <w:rPr>
                <w:rFonts w:ascii="Arial" w:hAnsi="Arial" w:cs="Arial"/>
                <w:sz w:val="16"/>
                <w:szCs w:val="16"/>
                <w:lang w:val="es-ES_tradnl" w:eastAsia="es-ES"/>
              </w:rPr>
              <w:t>Subdirector de Gestión Contractual ANCP – CCE</w:t>
            </w:r>
          </w:p>
        </w:tc>
      </w:tr>
    </w:tbl>
    <w:p w14:paraId="3B23368D" w14:textId="77777777" w:rsidR="00D00727" w:rsidRPr="00B60BAC" w:rsidRDefault="00D00727" w:rsidP="00D00727">
      <w:pPr>
        <w:tabs>
          <w:tab w:val="left" w:pos="426"/>
        </w:tabs>
        <w:spacing w:before="120" w:after="120" w:line="276" w:lineRule="auto"/>
        <w:jc w:val="both"/>
        <w:rPr>
          <w:rFonts w:ascii="Arial" w:eastAsia="Calibri" w:hAnsi="Arial" w:cs="Arial"/>
          <w:bCs/>
          <w:sz w:val="22"/>
          <w:lang w:val="es-ES_tradnl"/>
        </w:rPr>
      </w:pPr>
    </w:p>
    <w:p w14:paraId="10C30A68" w14:textId="77777777" w:rsidR="00D00727" w:rsidRDefault="00D00727"/>
    <w:sectPr w:rsidR="00D00727" w:rsidSect="005D791B">
      <w:headerReference w:type="default" r:id="rId11"/>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6927" w14:textId="77777777" w:rsidR="00B50BA4" w:rsidRDefault="00B50BA4" w:rsidP="00D00727">
      <w:r>
        <w:separator/>
      </w:r>
    </w:p>
  </w:endnote>
  <w:endnote w:type="continuationSeparator" w:id="0">
    <w:p w14:paraId="71B58A35" w14:textId="77777777" w:rsidR="00B50BA4" w:rsidRDefault="00B50BA4" w:rsidP="00D0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EA2D" w14:textId="77777777" w:rsidR="000A47AF" w:rsidRDefault="00B50BA4" w:rsidP="00322937">
    <w:pPr>
      <w:pStyle w:val="Sinespaciado"/>
      <w:jc w:val="right"/>
      <w:rPr>
        <w:rFonts w:ascii="Arial" w:hAnsi="Arial" w:cs="Arial"/>
        <w:sz w:val="18"/>
        <w:szCs w:val="18"/>
      </w:rPr>
    </w:pPr>
  </w:p>
  <w:p w14:paraId="4CABAAF8" w14:textId="77777777" w:rsidR="000A47AF" w:rsidRPr="008217B7" w:rsidRDefault="00DE2DB9"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70CAD836" w14:textId="77777777" w:rsidR="000A47AF" w:rsidRDefault="00DE2DB9" w:rsidP="00322937">
    <w:pPr>
      <w:pStyle w:val="Piedepgina"/>
      <w:jc w:val="center"/>
      <w:rPr>
        <w:lang w:val="es-ES"/>
      </w:rPr>
    </w:pPr>
    <w:r>
      <w:rPr>
        <w:noProof/>
      </w:rPr>
      <w:drawing>
        <wp:inline distT="0" distB="0" distL="0" distR="0" wp14:anchorId="1C6AF7BE" wp14:editId="4EAEFA9B">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30D593F1" w14:textId="77777777" w:rsidR="000A47AF" w:rsidRDefault="00B50BA4" w:rsidP="007B0854">
    <w:pPr>
      <w:pStyle w:val="Piedepgina"/>
      <w:jc w:val="center"/>
      <w:rPr>
        <w:lang w:val="es-ES"/>
      </w:rPr>
    </w:pPr>
  </w:p>
  <w:p w14:paraId="0C995600" w14:textId="77777777" w:rsidR="000A47AF" w:rsidRPr="007B0854" w:rsidRDefault="00B50BA4" w:rsidP="007B0854">
    <w:pPr>
      <w:pStyle w:val="Piedepgina"/>
      <w:jc w:val="center"/>
      <w:rPr>
        <w:lang w:val="es-ES"/>
      </w:rPr>
    </w:pPr>
  </w:p>
  <w:p w14:paraId="7185027B" w14:textId="77777777" w:rsidR="00183D77" w:rsidRDefault="00B50BA4"/>
  <w:p w14:paraId="16BD29A3" w14:textId="77777777" w:rsidR="00183D77" w:rsidRDefault="00B50BA4"/>
  <w:p w14:paraId="71F31CEA" w14:textId="77777777" w:rsidR="00183D77" w:rsidRDefault="00B50B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79F6C" w14:textId="77777777" w:rsidR="00B50BA4" w:rsidRDefault="00B50BA4" w:rsidP="00D00727">
      <w:r>
        <w:separator/>
      </w:r>
    </w:p>
  </w:footnote>
  <w:footnote w:type="continuationSeparator" w:id="0">
    <w:p w14:paraId="49CB621B" w14:textId="77777777" w:rsidR="00B50BA4" w:rsidRDefault="00B50BA4" w:rsidP="00D00727">
      <w:r>
        <w:continuationSeparator/>
      </w:r>
    </w:p>
  </w:footnote>
  <w:footnote w:id="1">
    <w:p w14:paraId="67DA520F" w14:textId="77777777" w:rsidR="00D00727" w:rsidRPr="00CB149C" w:rsidRDefault="00D00727" w:rsidP="00D00727">
      <w:pPr>
        <w:pStyle w:val="Textonotapie"/>
        <w:ind w:firstLine="708"/>
        <w:jc w:val="both"/>
        <w:rPr>
          <w:rFonts w:ascii="Arial" w:hAnsi="Arial" w:cs="Arial"/>
          <w:sz w:val="16"/>
          <w:szCs w:val="16"/>
          <w:lang w:val="es-ES"/>
        </w:rPr>
      </w:pPr>
      <w:r w:rsidRPr="00CB149C">
        <w:rPr>
          <w:rStyle w:val="Refdenotaalpie"/>
          <w:rFonts w:ascii="Arial" w:hAnsi="Arial" w:cs="Arial"/>
          <w:sz w:val="16"/>
          <w:szCs w:val="16"/>
        </w:rPr>
        <w:footnoteRef/>
      </w:r>
      <w:r w:rsidRPr="00CB149C">
        <w:rPr>
          <w:rFonts w:ascii="Arial" w:hAnsi="Arial"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CB149C">
        <w:rPr>
          <w:rFonts w:ascii="Arial" w:hAnsi="Arial" w:cs="Arial"/>
          <w:i/>
          <w:iCs/>
          <w:sz w:val="16"/>
          <w:szCs w:val="16"/>
        </w:rPr>
        <w:t xml:space="preserve">ibidem </w:t>
      </w:r>
      <w:r w:rsidRPr="00CB149C">
        <w:rPr>
          <w:rFonts w:ascii="Arial" w:hAnsi="Arial"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3D8B00F6" w14:textId="77777777" w:rsidR="00D00727" w:rsidRPr="00F82312" w:rsidRDefault="00D00727" w:rsidP="00D00727">
      <w:pPr>
        <w:pStyle w:val="Textonotapie"/>
        <w:ind w:firstLine="709"/>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Agencia Nacional de Contratación Pública - Colombia Compra Eficiente. Guía para las Entidades Estatales con régimen especial de contratación: «Entidad Estatal de régimen especial: Entidad Estatal que realiza sus Procesos de Contratación con un régimen distinto al previsto en las Leyes 80 de 1993 y 1150 de 2007».</w:t>
      </w:r>
    </w:p>
  </w:footnote>
  <w:footnote w:id="3">
    <w:p w14:paraId="18B0AC58" w14:textId="77777777" w:rsidR="00D00727" w:rsidRPr="00F82312" w:rsidRDefault="00D00727" w:rsidP="00D00727">
      <w:pPr>
        <w:pStyle w:val="Textonotapie"/>
        <w:ind w:firstLine="709"/>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Consejo de Estado. Sección Tercera. Radicado No. 45.607 del 24 de octubre de 2016. Consejera Ponente: María Nubia Velásquez Rico.</w:t>
      </w:r>
    </w:p>
    <w:p w14:paraId="4CD070AD" w14:textId="77777777" w:rsidR="00D00727" w:rsidRPr="00F82312" w:rsidRDefault="00D00727" w:rsidP="00D00727">
      <w:pPr>
        <w:pStyle w:val="Textonotapie"/>
        <w:ind w:firstLine="709"/>
        <w:jc w:val="both"/>
        <w:rPr>
          <w:rFonts w:ascii="Arial" w:hAnsi="Arial" w:cs="Arial"/>
          <w:color w:val="000000" w:themeColor="text1"/>
          <w:sz w:val="19"/>
          <w:szCs w:val="19"/>
          <w:lang w:val="es-ES"/>
        </w:rPr>
      </w:pPr>
    </w:p>
  </w:footnote>
  <w:footnote w:id="4">
    <w:p w14:paraId="737F8C57" w14:textId="77777777" w:rsidR="00D00727" w:rsidRPr="00EC26CF" w:rsidRDefault="00D00727" w:rsidP="00D00727">
      <w:pPr>
        <w:pStyle w:val="Textonotapie"/>
        <w:ind w:firstLine="708"/>
        <w:jc w:val="both"/>
        <w:rPr>
          <w:rFonts w:ascii="Arial" w:hAnsi="Arial" w:cs="Arial"/>
          <w:sz w:val="19"/>
          <w:szCs w:val="19"/>
        </w:rPr>
      </w:pPr>
      <w:r w:rsidRPr="00EC26CF">
        <w:rPr>
          <w:rStyle w:val="Refdenotaalpie"/>
          <w:rFonts w:ascii="Arial" w:hAnsi="Arial" w:cs="Arial"/>
          <w:sz w:val="19"/>
          <w:szCs w:val="19"/>
        </w:rPr>
        <w:footnoteRef/>
      </w:r>
      <w:r w:rsidRPr="00EC26CF">
        <w:rPr>
          <w:rFonts w:ascii="Arial" w:hAnsi="Arial" w:cs="Arial"/>
          <w:sz w:val="19"/>
          <w:szCs w:val="19"/>
        </w:rPr>
        <w:t xml:space="preserve"> </w:t>
      </w:r>
      <w:r>
        <w:rPr>
          <w:rFonts w:ascii="Arial" w:hAnsi="Arial" w:cs="Arial"/>
          <w:sz w:val="19"/>
          <w:szCs w:val="19"/>
        </w:rPr>
        <w:t>El inciso segundo del artículo 31 de la Ley 142 de 1994 dispone lo siguiente: «</w:t>
      </w:r>
      <w:r w:rsidRPr="00EB3343">
        <w:rPr>
          <w:rFonts w:ascii="Arial" w:hAnsi="Arial" w:cs="Arial"/>
          <w:sz w:val="19"/>
          <w:szCs w:val="19"/>
        </w:rPr>
        <w:t>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w:t>
      </w:r>
      <w:r w:rsidRPr="00EC26CF">
        <w:t>Ley 80 de 1993</w:t>
      </w:r>
      <w:r w:rsidRPr="00EB3343">
        <w:rPr>
          <w:rFonts w:ascii="Arial" w:hAnsi="Arial" w:cs="Arial"/>
          <w:sz w:val="19"/>
          <w:szCs w:val="19"/>
        </w:rPr>
        <w:t>, y los actos y contratos en los que se utilicen esas cláusulas y/o se ejerciten esas facultades estarán sujetos al control de la jurisdicción contencioso administrativa.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r>
        <w:rPr>
          <w:rFonts w:ascii="Arial" w:hAnsi="Arial" w:cs="Arial"/>
          <w:sz w:val="19"/>
          <w:szCs w:val="19"/>
        </w:rPr>
        <w:t>».</w:t>
      </w:r>
    </w:p>
  </w:footnote>
  <w:footnote w:id="5">
    <w:p w14:paraId="7F37CA3B" w14:textId="77777777" w:rsidR="00D00727" w:rsidRPr="00F82312" w:rsidRDefault="00D00727" w:rsidP="00D00727">
      <w:pPr>
        <w:pStyle w:val="Textonotapie"/>
        <w:ind w:firstLine="709"/>
        <w:jc w:val="both"/>
        <w:rPr>
          <w:rFonts w:ascii="Arial" w:hAnsi="Arial" w:cs="Arial"/>
          <w:color w:val="000000" w:themeColor="text1"/>
          <w:sz w:val="19"/>
          <w:szCs w:val="19"/>
          <w:lang w:val="es-ES"/>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Sobre las entidades de régimen especial, se puede consultar su definición y un listado aproximado de este tipo de entidades en: BARRETO MORENO, Antonio A. El derecho de la compra pública. Primera edición. Bogotá: Legis - Universidad de la Sabana, 2019. </w:t>
      </w:r>
    </w:p>
  </w:footnote>
  <w:footnote w:id="6">
    <w:p w14:paraId="1A56378A" w14:textId="77777777" w:rsidR="00D00727" w:rsidRPr="000A1BE0" w:rsidRDefault="00D00727" w:rsidP="00D00727">
      <w:pPr>
        <w:pStyle w:val="Textonotapie"/>
        <w:ind w:firstLine="709"/>
        <w:jc w:val="both"/>
        <w:rPr>
          <w:rFonts w:ascii="Arial" w:hAnsi="Arial" w:cs="Arial"/>
          <w:sz w:val="19"/>
          <w:szCs w:val="19"/>
        </w:rPr>
      </w:pPr>
      <w:r w:rsidRPr="000A1BE0">
        <w:rPr>
          <w:rStyle w:val="Refdenotaalpie"/>
          <w:rFonts w:ascii="Arial" w:hAnsi="Arial" w:cs="Arial"/>
          <w:sz w:val="19"/>
          <w:szCs w:val="19"/>
        </w:rPr>
        <w:footnoteRef/>
      </w:r>
      <w:r w:rsidRPr="000A1BE0">
        <w:rPr>
          <w:rFonts w:ascii="Arial" w:hAnsi="Arial" w:cs="Arial"/>
          <w:sz w:val="19"/>
          <w:szCs w:val="19"/>
        </w:rPr>
        <w:t xml:space="preserve"> </w:t>
      </w:r>
      <w:r w:rsidRPr="00770A31">
        <w:rPr>
          <w:rFonts w:ascii="Arial" w:hAnsi="Arial" w:cs="Arial"/>
          <w:sz w:val="19"/>
          <w:szCs w:val="19"/>
          <w:lang w:val="es-ES"/>
        </w:rPr>
        <w:t>«</w:t>
      </w:r>
      <w:r w:rsidRPr="000A1BE0">
        <w:rPr>
          <w:rFonts w:ascii="Arial" w:hAnsi="Arial" w:cs="Arial"/>
          <w:sz w:val="19"/>
          <w:szCs w:val="19"/>
        </w:rPr>
        <w:t>ARTÍCULO  194. Naturaleza. La prestación de servicios de salud en forma directa por la Nación o por las entidades territoriales, se hará a través de las Empresas Sociales del Estado, que constituyen una categoría especial de entidad pública descentralizada, con personería jurídica, patrimonio propio y autonomía administrativa, creadas por la Ley o por las asambleas o concejos, según el caso, sometidas al régimen jur</w:t>
      </w:r>
      <w:r>
        <w:rPr>
          <w:rFonts w:ascii="Arial" w:hAnsi="Arial" w:cs="Arial"/>
          <w:sz w:val="19"/>
          <w:szCs w:val="19"/>
        </w:rPr>
        <w:t>ídico previsto en este capítulo</w:t>
      </w:r>
      <w:r w:rsidRPr="00770A31">
        <w:rPr>
          <w:rFonts w:ascii="Arial" w:hAnsi="Arial" w:cs="Arial"/>
          <w:sz w:val="19"/>
          <w:szCs w:val="19"/>
          <w:lang w:val="es-ES"/>
        </w:rPr>
        <w:t>»</w:t>
      </w:r>
      <w:r>
        <w:rPr>
          <w:rFonts w:ascii="Arial" w:hAnsi="Arial" w:cs="Arial"/>
          <w:sz w:val="19"/>
          <w:szCs w:val="19"/>
          <w:lang w:val="es-ES"/>
        </w:rPr>
        <w:t>.</w:t>
      </w:r>
    </w:p>
  </w:footnote>
  <w:footnote w:id="7">
    <w:p w14:paraId="789D7794" w14:textId="77777777" w:rsidR="00D00727" w:rsidRPr="000A1BE0" w:rsidRDefault="00D00727" w:rsidP="00D00727">
      <w:pPr>
        <w:pStyle w:val="Textonotapie"/>
        <w:ind w:firstLine="709"/>
        <w:jc w:val="both"/>
        <w:rPr>
          <w:rFonts w:ascii="Arial" w:hAnsi="Arial" w:cs="Arial"/>
          <w:sz w:val="19"/>
          <w:szCs w:val="19"/>
        </w:rPr>
      </w:pPr>
      <w:r w:rsidRPr="000A1BE0">
        <w:rPr>
          <w:rStyle w:val="Refdenotaalpie"/>
          <w:rFonts w:ascii="Arial" w:hAnsi="Arial" w:cs="Arial"/>
          <w:sz w:val="19"/>
          <w:szCs w:val="19"/>
        </w:rPr>
        <w:footnoteRef/>
      </w:r>
      <w:r w:rsidRPr="000A1BE0">
        <w:rPr>
          <w:rFonts w:ascii="Arial" w:hAnsi="Arial" w:cs="Arial"/>
          <w:sz w:val="19"/>
          <w:szCs w:val="19"/>
        </w:rPr>
        <w:t xml:space="preserve"> Consejo de Estado. Sección Tercera. Sentencia 18 de febrero de 2010. Rad: 11001-03-26-000-2009-00058-00(37004). CP: Enrique Gil Botero. </w:t>
      </w:r>
    </w:p>
  </w:footnote>
  <w:footnote w:id="8">
    <w:p w14:paraId="4C016FC9" w14:textId="77777777" w:rsidR="00D00727" w:rsidRPr="000A1BE0" w:rsidRDefault="00D00727" w:rsidP="00D00727">
      <w:pPr>
        <w:pStyle w:val="Textonotapie"/>
        <w:ind w:firstLine="709"/>
        <w:jc w:val="both"/>
        <w:rPr>
          <w:rFonts w:ascii="Arial" w:hAnsi="Arial" w:cs="Arial"/>
          <w:sz w:val="19"/>
          <w:szCs w:val="19"/>
        </w:rPr>
      </w:pPr>
      <w:r w:rsidRPr="000A1BE0">
        <w:rPr>
          <w:rStyle w:val="Refdenotaalpie"/>
          <w:rFonts w:ascii="Arial" w:hAnsi="Arial" w:cs="Arial"/>
          <w:sz w:val="19"/>
          <w:szCs w:val="19"/>
        </w:rPr>
        <w:footnoteRef/>
      </w:r>
      <w:r w:rsidRPr="000A1BE0">
        <w:rPr>
          <w:rFonts w:ascii="Arial" w:hAnsi="Arial" w:cs="Arial"/>
          <w:sz w:val="19"/>
          <w:szCs w:val="19"/>
        </w:rPr>
        <w:t xml:space="preserve"> En sentencia C-655 de 2000, la Corte Constitucional se pronunció, así: </w:t>
      </w:r>
      <w:r w:rsidRPr="000A1BE0">
        <w:rPr>
          <w:rFonts w:ascii="Arial" w:hAnsi="Arial" w:cs="Arial"/>
          <w:sz w:val="19"/>
          <w:szCs w:val="19"/>
          <w:lang w:val="es-ES_tradnl"/>
        </w:rPr>
        <w:t>«</w:t>
      </w:r>
      <w:r w:rsidRPr="000A1BE0">
        <w:rPr>
          <w:rFonts w:ascii="Arial" w:hAnsi="Arial" w:cs="Arial"/>
          <w:color w:val="000000"/>
          <w:sz w:val="19"/>
          <w:szCs w:val="19"/>
        </w:rPr>
        <w:t>En los términos del artículo 49 de la Constitución Política, la atención de la salud y el saneamiento ambiental son servicios públicos a cargo del Estado; al cual corresponde organizarlos, dirigirlos y reglamentarlos conforme a los principios de eficiencia, universalidad y solidaridad. Igualmente es deber del Estado establecer las políticas para la prestación de servicios de salud por entidades privadas y ejercer su vigilancia y control. Debe también el Estado señalar las competencias de la Nación, las entidades territoriales y los particulares y determinar los aportes a su cargo en los términos y condiciones señalados en la ley</w:t>
      </w:r>
      <w:r w:rsidRPr="000A1BE0">
        <w:rPr>
          <w:rFonts w:ascii="Arial" w:hAnsi="Arial" w:cs="Arial"/>
          <w:sz w:val="19"/>
          <w:szCs w:val="19"/>
          <w:lang w:val="es-ES_tradnl"/>
        </w:rPr>
        <w:t>»</w:t>
      </w:r>
      <w:r w:rsidRPr="000A1BE0">
        <w:rPr>
          <w:rFonts w:ascii="Arial" w:hAnsi="Arial" w:cs="Arial"/>
          <w:color w:val="000000"/>
          <w:sz w:val="19"/>
          <w:szCs w:val="19"/>
        </w:rPr>
        <w:t>.</w:t>
      </w:r>
    </w:p>
  </w:footnote>
  <w:footnote w:id="9">
    <w:p w14:paraId="6E2A5825" w14:textId="77777777" w:rsidR="00D00727" w:rsidRPr="00EC26CF" w:rsidRDefault="00D00727" w:rsidP="00D00727">
      <w:pPr>
        <w:ind w:firstLine="709"/>
        <w:jc w:val="both"/>
        <w:rPr>
          <w:rFonts w:ascii="Arial" w:hAnsi="Arial" w:cs="Arial"/>
          <w:sz w:val="19"/>
          <w:szCs w:val="19"/>
          <w:lang w:val="es-ES"/>
        </w:rPr>
      </w:pPr>
      <w:r w:rsidRPr="000A1BE0">
        <w:rPr>
          <w:rStyle w:val="Refdenotaalpie"/>
          <w:rFonts w:ascii="Arial" w:hAnsi="Arial" w:cs="Arial"/>
          <w:sz w:val="19"/>
          <w:szCs w:val="19"/>
        </w:rPr>
        <w:footnoteRef/>
      </w:r>
      <w:r w:rsidRPr="000A1BE0">
        <w:rPr>
          <w:rFonts w:ascii="Arial" w:hAnsi="Arial" w:cs="Arial"/>
          <w:sz w:val="19"/>
          <w:szCs w:val="19"/>
        </w:rPr>
        <w:t xml:space="preserve"> Consejo de Estado, Sección Tercera, sentencia de 27 de febrero de 2013, C.P: Mauricio Fajardo Gómez de Estado. Secc. 3ª, sentencia de 8 de abril de 2014, rad. No.</w:t>
      </w:r>
      <w:r w:rsidRPr="000A1BE0">
        <w:rPr>
          <w:rFonts w:ascii="Arial" w:hAnsi="Arial" w:cs="Arial"/>
          <w:spacing w:val="-2"/>
          <w:sz w:val="19"/>
          <w:szCs w:val="19"/>
        </w:rPr>
        <w:t xml:space="preserve"> </w:t>
      </w:r>
      <w:r w:rsidRPr="000A1BE0">
        <w:rPr>
          <w:rFonts w:ascii="Arial" w:hAnsi="Arial" w:cs="Arial"/>
          <w:sz w:val="19"/>
          <w:szCs w:val="19"/>
        </w:rPr>
        <w:t>2000-01561-01(25.590).</w:t>
      </w:r>
    </w:p>
  </w:footnote>
  <w:footnote w:id="10">
    <w:p w14:paraId="69847362" w14:textId="77777777" w:rsidR="00D00727" w:rsidRPr="000A1BE0" w:rsidRDefault="00D00727" w:rsidP="00D00727">
      <w:pPr>
        <w:pStyle w:val="Textonotapie"/>
        <w:ind w:firstLine="709"/>
        <w:jc w:val="both"/>
        <w:rPr>
          <w:rFonts w:ascii="Arial" w:hAnsi="Arial" w:cs="Arial"/>
          <w:color w:val="000000" w:themeColor="text1"/>
          <w:sz w:val="19"/>
          <w:szCs w:val="19"/>
        </w:rPr>
      </w:pPr>
      <w:r w:rsidRPr="000A1BE0">
        <w:rPr>
          <w:rStyle w:val="Refdenotaalpie"/>
          <w:rFonts w:ascii="Arial" w:hAnsi="Arial" w:cs="Arial"/>
          <w:color w:val="000000" w:themeColor="text1"/>
          <w:sz w:val="19"/>
          <w:szCs w:val="19"/>
        </w:rPr>
        <w:footnoteRef/>
      </w:r>
      <w:r w:rsidRPr="000A1BE0">
        <w:rPr>
          <w:rFonts w:ascii="Arial" w:hAnsi="Arial" w:cs="Arial"/>
          <w:color w:val="000000" w:themeColor="text1"/>
          <w:sz w:val="19"/>
          <w:szCs w:val="19"/>
        </w:rPr>
        <w:t xml:space="preserve"> Consejo de Estado. Sala de Consulta y Servicio Civil. Concepto del 27 de agosto de 1998, radicación No. 1.127, M.P. Javier Henao Hidrón; y concepto del 6 de abril de 2000. Radicación No. 1.263, M.P. Flavio Augusto Rodriguez Arce</w:t>
      </w:r>
    </w:p>
  </w:footnote>
  <w:footnote w:id="11">
    <w:p w14:paraId="194B5ED4" w14:textId="77777777" w:rsidR="00D00727" w:rsidRPr="000A1BE0" w:rsidRDefault="00D00727" w:rsidP="00D00727">
      <w:pPr>
        <w:pStyle w:val="Textonotapie"/>
        <w:ind w:firstLine="709"/>
        <w:jc w:val="both"/>
        <w:rPr>
          <w:rFonts w:ascii="Arial" w:hAnsi="Arial" w:cs="Arial"/>
          <w:color w:val="000000" w:themeColor="text1"/>
          <w:sz w:val="19"/>
          <w:szCs w:val="19"/>
        </w:rPr>
      </w:pPr>
      <w:r w:rsidRPr="000A1BE0">
        <w:rPr>
          <w:rStyle w:val="Refdenotaalpie"/>
          <w:rFonts w:ascii="Arial" w:hAnsi="Arial" w:cs="Arial"/>
          <w:color w:val="000000" w:themeColor="text1"/>
          <w:sz w:val="19"/>
          <w:szCs w:val="19"/>
        </w:rPr>
        <w:footnoteRef/>
      </w:r>
      <w:r w:rsidRPr="000A1BE0">
        <w:rPr>
          <w:rFonts w:ascii="Arial" w:hAnsi="Arial" w:cs="Arial"/>
          <w:color w:val="000000" w:themeColor="text1"/>
          <w:sz w:val="19"/>
          <w:szCs w:val="19"/>
        </w:rPr>
        <w:t xml:space="preserve"> Ministerio de Salud y la Protección Social. Concepto del 16 de agosto de 2019. E</w:t>
      </w:r>
      <w:r>
        <w:rPr>
          <w:rFonts w:ascii="Arial" w:hAnsi="Arial" w:cs="Arial"/>
          <w:color w:val="000000" w:themeColor="text1"/>
          <w:sz w:val="19"/>
          <w:szCs w:val="19"/>
        </w:rPr>
        <w:t xml:space="preserve">xpediente No. 201942301304712. </w:t>
      </w:r>
    </w:p>
  </w:footnote>
  <w:footnote w:id="12">
    <w:p w14:paraId="7B81B7E4" w14:textId="77777777" w:rsidR="00D00727" w:rsidRPr="000A1BE0" w:rsidRDefault="00D00727" w:rsidP="00D00727">
      <w:pPr>
        <w:pStyle w:val="Textonotapie"/>
        <w:ind w:firstLine="709"/>
        <w:jc w:val="both"/>
        <w:rPr>
          <w:rFonts w:ascii="Arial" w:hAnsi="Arial" w:cs="Arial"/>
          <w:color w:val="000000" w:themeColor="text1"/>
          <w:sz w:val="19"/>
          <w:szCs w:val="19"/>
          <w:lang w:val="es-ES"/>
        </w:rPr>
      </w:pPr>
      <w:r w:rsidRPr="000A1BE0">
        <w:rPr>
          <w:rStyle w:val="Refdenotaalpie"/>
          <w:rFonts w:ascii="Arial" w:hAnsi="Arial" w:cs="Arial"/>
          <w:color w:val="000000" w:themeColor="text1"/>
          <w:sz w:val="19"/>
          <w:szCs w:val="19"/>
        </w:rPr>
        <w:footnoteRef/>
      </w:r>
      <w:r w:rsidRPr="000A1BE0">
        <w:rPr>
          <w:rFonts w:ascii="Arial" w:hAnsi="Arial" w:cs="Arial"/>
          <w:color w:val="000000" w:themeColor="text1"/>
          <w:sz w:val="19"/>
          <w:szCs w:val="19"/>
        </w:rPr>
        <w:t xml:space="preserve"> </w:t>
      </w:r>
      <w:r w:rsidRPr="000A1BE0">
        <w:rPr>
          <w:rFonts w:ascii="Arial" w:hAnsi="Arial" w:cs="Arial"/>
          <w:color w:val="000000" w:themeColor="text1"/>
          <w:sz w:val="19"/>
          <w:szCs w:val="19"/>
          <w:lang w:val="es-ES"/>
        </w:rPr>
        <w:t>Consejo de Estado. Sección Tercera. Subsección “C”. Providencia del 8 de abril de 2014. Expediente No. 25801. C</w:t>
      </w:r>
      <w:r>
        <w:rPr>
          <w:rFonts w:ascii="Arial" w:hAnsi="Arial" w:cs="Arial"/>
          <w:color w:val="000000" w:themeColor="text1"/>
          <w:sz w:val="19"/>
          <w:szCs w:val="19"/>
          <w:lang w:val="es-ES"/>
        </w:rPr>
        <w:t>.P. Enrique Gil Botero.</w:t>
      </w:r>
    </w:p>
  </w:footnote>
  <w:footnote w:id="13">
    <w:p w14:paraId="3A788D9B" w14:textId="77777777" w:rsidR="00D00727" w:rsidRPr="00640E20" w:rsidRDefault="00D00727" w:rsidP="00D00727">
      <w:pPr>
        <w:pStyle w:val="Textonotapie"/>
        <w:ind w:firstLine="709"/>
        <w:jc w:val="both"/>
        <w:rPr>
          <w:rFonts w:ascii="Arial" w:hAnsi="Arial" w:cs="Arial"/>
          <w:color w:val="000000" w:themeColor="text1"/>
          <w:sz w:val="19"/>
          <w:szCs w:val="19"/>
          <w:lang w:val="es-CO"/>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w:t>
      </w:r>
      <w:r w:rsidRPr="00640E20">
        <w:rPr>
          <w:rFonts w:ascii="Arial" w:hAnsi="Arial" w:cs="Arial"/>
          <w:color w:val="000000" w:themeColor="text1"/>
          <w:sz w:val="19"/>
          <w:szCs w:val="19"/>
        </w:rPr>
        <w:t>as técnicas uniformes y de común utilización por parte de las entidades».</w:t>
      </w:r>
    </w:p>
  </w:footnote>
  <w:footnote w:id="14">
    <w:p w14:paraId="3DDD3CD0" w14:textId="77777777" w:rsidR="00D00727" w:rsidRPr="00640E20" w:rsidRDefault="00D00727" w:rsidP="00D00727">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w:t>
      </w:r>
      <w:r w:rsidRPr="00A83DE5">
        <w:rPr>
          <w:rFonts w:ascii="Arial" w:hAnsi="Arial" w:cs="Arial"/>
          <w:color w:val="000000" w:themeColor="text1"/>
          <w:sz w:val="19"/>
          <w:szCs w:val="19"/>
          <w:lang w:val="es-CO"/>
        </w:rPr>
        <w:t>Ley 1882 de 2018: «Artículo 4.</w:t>
      </w:r>
      <w:r w:rsidRPr="00640E20">
        <w:rPr>
          <w:rFonts w:ascii="Arial" w:hAnsi="Arial" w:cs="Arial"/>
          <w:color w:val="000000" w:themeColor="text1"/>
          <w:sz w:val="19"/>
          <w:szCs w:val="19"/>
          <w:lang w:val="es-CO"/>
        </w:rPr>
        <w:t xml:space="preserve"> </w:t>
      </w:r>
      <w:r w:rsidRPr="00640E20">
        <w:rPr>
          <w:rFonts w:ascii="Arial" w:hAnsi="Arial" w:cs="Arial"/>
          <w:color w:val="000000" w:themeColor="text1"/>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6B72D8AB" w14:textId="77777777" w:rsidR="00D00727" w:rsidRPr="00640E20" w:rsidRDefault="00D00727" w:rsidP="00D00727">
      <w:pPr>
        <w:pStyle w:val="Textonotapie"/>
        <w:ind w:firstLine="709"/>
        <w:jc w:val="both"/>
        <w:rPr>
          <w:rFonts w:ascii="Arial" w:hAnsi="Arial" w:cs="Arial"/>
          <w:color w:val="000000" w:themeColor="text1"/>
          <w:sz w:val="19"/>
          <w:szCs w:val="19"/>
          <w:lang w:val="es-CO"/>
        </w:rPr>
      </w:pPr>
      <w:r w:rsidRPr="00640E20">
        <w:rPr>
          <w:rFonts w:ascii="Arial" w:hAnsi="Arial" w:cs="Arial"/>
          <w:color w:val="000000" w:themeColor="text1"/>
          <w:sz w:val="19"/>
          <w:szCs w:val="19"/>
          <w:lang w:val="es-CO"/>
        </w:rPr>
        <w:t>»La facultad de adoptar documentos tipo la tendrá el Gobierno nacional, cuando lo considere necesario, en relación con otros contratos o procesos de selección.</w:t>
      </w:r>
    </w:p>
    <w:p w14:paraId="2FEF018C" w14:textId="77777777" w:rsidR="00D00727" w:rsidRPr="00640E20" w:rsidRDefault="00D00727" w:rsidP="00D00727">
      <w:pPr>
        <w:pStyle w:val="Textonotapie"/>
        <w:ind w:firstLine="709"/>
        <w:jc w:val="both"/>
        <w:rPr>
          <w:rFonts w:ascii="Arial" w:hAnsi="Arial" w:cs="Arial"/>
          <w:color w:val="000000" w:themeColor="text1"/>
          <w:sz w:val="19"/>
          <w:szCs w:val="19"/>
          <w:lang w:val="es-CO"/>
        </w:rPr>
      </w:pPr>
      <w:r w:rsidRPr="00640E20">
        <w:rPr>
          <w:rFonts w:ascii="Arial" w:hAnsi="Arial" w:cs="Arial"/>
          <w:color w:val="000000" w:themeColor="text1"/>
          <w:sz w:val="19"/>
          <w:szCs w:val="19"/>
          <w:lang w:val="es-CO"/>
        </w:rPr>
        <w:t>»Los pliegos tipo se adoptarán por categorías de acuerdo con la cuantía de la contratación, según la reglamentación que expida el Gobierno nacional».</w:t>
      </w:r>
    </w:p>
  </w:footnote>
  <w:footnote w:id="15">
    <w:p w14:paraId="7F1B2136" w14:textId="77777777" w:rsidR="00D00727" w:rsidRPr="00640E20" w:rsidRDefault="00D00727" w:rsidP="00D00727">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w:t>
      </w:r>
      <w:r w:rsidRPr="00640E20">
        <w:rPr>
          <w:rFonts w:ascii="Arial" w:hAnsi="Arial" w:cs="Arial"/>
          <w:color w:val="000000" w:themeColor="text1"/>
          <w:sz w:val="19"/>
          <w:szCs w:val="19"/>
        </w:rPr>
        <w:t>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16">
    <w:p w14:paraId="4ED60E26" w14:textId="77777777" w:rsidR="00D00727" w:rsidRPr="00640E20" w:rsidRDefault="00D00727" w:rsidP="00D00727">
      <w:pPr>
        <w:pStyle w:val="NormalWeb"/>
        <w:spacing w:before="0" w:beforeAutospacing="0" w:after="0" w:afterAutospacing="0"/>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Ley 2022 de 2020: «</w:t>
      </w:r>
      <w:r w:rsidRPr="00A83DE5">
        <w:rPr>
          <w:rStyle w:val="Textoennegrita"/>
          <w:rFonts w:ascii="Arial" w:hAnsi="Arial" w:cs="Arial"/>
          <w:color w:val="000000" w:themeColor="text1"/>
          <w:sz w:val="19"/>
          <w:szCs w:val="19"/>
        </w:rPr>
        <w:t>Artículo 1º.</w:t>
      </w:r>
      <w:r w:rsidRPr="00640E20">
        <w:rPr>
          <w:rFonts w:ascii="Arial" w:hAnsi="Arial" w:cs="Arial"/>
          <w:color w:val="000000" w:themeColor="text1"/>
          <w:sz w:val="19"/>
          <w:szCs w:val="19"/>
        </w:rPr>
        <w:t> Modifíquese el artículo 4º de la Ley 1882 de 2018, el cual quedará así: </w:t>
      </w:r>
    </w:p>
    <w:p w14:paraId="04E9B9A0" w14:textId="77777777" w:rsidR="00D00727" w:rsidRPr="00640E20" w:rsidRDefault="00D00727" w:rsidP="00D00727">
      <w:pPr>
        <w:pStyle w:val="NormalWeb"/>
        <w:spacing w:before="0" w:beforeAutospacing="0" w:after="0" w:afterAutospacing="0"/>
        <w:ind w:firstLine="709"/>
        <w:jc w:val="both"/>
        <w:rPr>
          <w:rFonts w:ascii="Arial" w:hAnsi="Arial" w:cs="Arial"/>
          <w:color w:val="000000" w:themeColor="text1"/>
          <w:sz w:val="19"/>
          <w:szCs w:val="19"/>
        </w:rPr>
      </w:pPr>
      <w:r w:rsidRPr="00640E20">
        <w:rPr>
          <w:rStyle w:val="Textoennegrita"/>
          <w:rFonts w:ascii="Arial" w:hAnsi="Arial" w:cs="Arial"/>
          <w:color w:val="000000" w:themeColor="text1"/>
          <w:sz w:val="19"/>
          <w:szCs w:val="19"/>
        </w:rPr>
        <w:t>»Artículo 4º.</w:t>
      </w:r>
      <w:r w:rsidRPr="00640E20">
        <w:rPr>
          <w:rFonts w:ascii="Arial" w:hAnsi="Arial" w:cs="Arial"/>
          <w:color w:val="000000" w:themeColor="text1"/>
          <w:sz w:val="19"/>
          <w:szCs w:val="19"/>
        </w:rPr>
        <w:t> Adiciónese el siguiente parágrafo al artículo 2º de la Ley 1150 de 2007. </w:t>
      </w:r>
    </w:p>
    <w:p w14:paraId="1582DF3B" w14:textId="77777777" w:rsidR="00D00727" w:rsidRPr="00640E20" w:rsidRDefault="00D00727" w:rsidP="00D00727">
      <w:pPr>
        <w:pStyle w:val="NormalWeb"/>
        <w:spacing w:before="0" w:beforeAutospacing="0" w:after="0" w:afterAutospacing="0"/>
        <w:ind w:firstLine="709"/>
        <w:jc w:val="both"/>
        <w:rPr>
          <w:rFonts w:ascii="Arial" w:hAnsi="Arial" w:cs="Arial"/>
          <w:color w:val="000000" w:themeColor="text1"/>
          <w:sz w:val="19"/>
          <w:szCs w:val="19"/>
        </w:rPr>
      </w:pPr>
      <w:r w:rsidRPr="00640E20">
        <w:rPr>
          <w:rStyle w:val="Textoennegrita"/>
          <w:rFonts w:ascii="Arial" w:hAnsi="Arial" w:cs="Arial"/>
          <w:color w:val="000000" w:themeColor="text1"/>
          <w:sz w:val="19"/>
          <w:szCs w:val="19"/>
        </w:rPr>
        <w:t>»Parágrafo 7º.</w:t>
      </w:r>
      <w:r w:rsidRPr="00640E20">
        <w:rPr>
          <w:rFonts w:ascii="Arial" w:hAnsi="Arial" w:cs="Arial"/>
          <w:color w:val="000000" w:themeColor="text1"/>
          <w:sz w:val="19"/>
          <w:szCs w:val="19"/>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58BAA570" w14:textId="77777777" w:rsidR="00D00727" w:rsidRPr="00640E20" w:rsidRDefault="00D00727" w:rsidP="00D00727">
      <w:pPr>
        <w:pStyle w:val="NormalWeb"/>
        <w:spacing w:before="0" w:beforeAutospacing="0" w:after="0" w:afterAutospacing="0"/>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0B698CB6" w14:textId="77777777" w:rsidR="00D00727" w:rsidRPr="00640E20" w:rsidRDefault="00D00727" w:rsidP="00D00727">
      <w:pPr>
        <w:pStyle w:val="NormalWeb"/>
        <w:spacing w:before="0" w:beforeAutospacing="0" w:after="0" w:afterAutospacing="0"/>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6B47DF7B" w14:textId="77777777" w:rsidR="00D00727" w:rsidRPr="00640E20" w:rsidRDefault="00D00727" w:rsidP="00D00727">
      <w:pPr>
        <w:pStyle w:val="NormalWeb"/>
        <w:spacing w:before="0" w:beforeAutospacing="0" w:after="0" w:afterAutospacing="0"/>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3F5568D2" w14:textId="77777777" w:rsidR="00D00727" w:rsidRPr="00640E20" w:rsidRDefault="00D00727" w:rsidP="00D00727">
      <w:pPr>
        <w:pStyle w:val="NormalWeb"/>
        <w:spacing w:before="0" w:beforeAutospacing="0" w:after="0" w:afterAutospacing="0"/>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17">
    <w:p w14:paraId="4AA312EF" w14:textId="77777777" w:rsidR="00D00727" w:rsidRPr="00B06FD5" w:rsidRDefault="00D00727" w:rsidP="00D00727">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 CONGRESO DE LA REPÚBLICA. Gaceta Nº 1677 del 23 de noviembre de 2021. Justificación jurídica del Proyecto de Ley No. 226 de 2021 Cámara. p. 15.</w:t>
      </w:r>
      <w:r w:rsidRPr="00640E20">
        <w:rPr>
          <w:rFonts w:ascii="Arial" w:hAnsi="Arial" w:cs="Arial"/>
          <w:color w:val="000000" w:themeColor="text1"/>
          <w:sz w:val="19"/>
          <w:szCs w:val="19"/>
        </w:rPr>
        <w:cr/>
      </w:r>
    </w:p>
  </w:footnote>
  <w:footnote w:id="18">
    <w:p w14:paraId="6D1A4213" w14:textId="77777777" w:rsidR="00D00727" w:rsidRPr="00640E20" w:rsidRDefault="00D00727" w:rsidP="00D00727">
      <w:pPr>
        <w:pStyle w:val="NormalWeb"/>
        <w:spacing w:before="0" w:beforeAutospacing="0" w:after="0" w:afterAutospacing="0"/>
        <w:ind w:firstLine="708"/>
        <w:jc w:val="both"/>
        <w:rPr>
          <w:rFonts w:ascii="Arial" w:hAnsi="Arial" w:cs="Arial"/>
          <w:color w:val="000000"/>
          <w:sz w:val="19"/>
          <w:szCs w:val="19"/>
        </w:rPr>
      </w:pPr>
      <w:r w:rsidRPr="00E858D2">
        <w:rPr>
          <w:rStyle w:val="Refdenotaalpie"/>
          <w:rFonts w:ascii="Arial" w:hAnsi="Arial" w:cs="Arial"/>
          <w:sz w:val="19"/>
          <w:szCs w:val="19"/>
        </w:rPr>
        <w:footnoteRef/>
      </w:r>
      <w:r w:rsidRPr="00640E20">
        <w:rPr>
          <w:rFonts w:ascii="Arial" w:hAnsi="Arial" w:cs="Arial"/>
          <w:sz w:val="19"/>
          <w:szCs w:val="19"/>
        </w:rPr>
        <w:t xml:space="preserve"> «</w:t>
      </w:r>
      <w:r w:rsidRPr="00B06FD5">
        <w:rPr>
          <w:rStyle w:val="Textoennegrita"/>
          <w:rFonts w:ascii="Arial" w:hAnsi="Arial" w:cs="Arial"/>
          <w:color w:val="000000"/>
          <w:sz w:val="19"/>
          <w:szCs w:val="19"/>
        </w:rPr>
        <w:t>Artículo 2°.</w:t>
      </w:r>
      <w:r w:rsidRPr="00B06FD5">
        <w:rPr>
          <w:rStyle w:val="nfasis"/>
          <w:rFonts w:ascii="Arial" w:hAnsi="Arial" w:cs="Arial"/>
          <w:color w:val="000000"/>
          <w:sz w:val="19"/>
          <w:szCs w:val="19"/>
        </w:rPr>
        <w:t>De las modalidades de selección</w:t>
      </w:r>
      <w:r w:rsidRPr="00B06FD5">
        <w:rPr>
          <w:rStyle w:val="nfasis"/>
          <w:rFonts w:ascii="Arial" w:hAnsi="Arial" w:cs="Arial"/>
          <w:b/>
          <w:bCs/>
          <w:color w:val="000000"/>
          <w:sz w:val="19"/>
          <w:szCs w:val="19"/>
        </w:rPr>
        <w:t>. </w:t>
      </w:r>
      <w:r w:rsidRPr="00B06FD5">
        <w:rPr>
          <w:rFonts w:ascii="Arial" w:hAnsi="Arial" w:cs="Arial"/>
          <w:color w:val="000000"/>
          <w:sz w:val="19"/>
          <w:szCs w:val="19"/>
        </w:rPr>
        <w:t xml:space="preserve">La escogencia del contratista se efectuará con arreglo a las modalidades de selección de licitación pública, selección abreviada, concurso de méritos y contratación directa, con base en las siguientes reglas:  </w:t>
      </w:r>
    </w:p>
    <w:p w14:paraId="2365B848" w14:textId="77777777" w:rsidR="00D00727" w:rsidRPr="00640E20" w:rsidRDefault="00D00727" w:rsidP="00D00727">
      <w:pPr>
        <w:pStyle w:val="NormalWeb"/>
        <w:spacing w:before="0" w:beforeAutospacing="0" w:after="0" w:afterAutospacing="0"/>
        <w:ind w:firstLine="708"/>
        <w:jc w:val="both"/>
        <w:rPr>
          <w:rFonts w:ascii="Arial" w:hAnsi="Arial" w:cs="Arial"/>
          <w:color w:val="000000"/>
          <w:sz w:val="19"/>
          <w:szCs w:val="19"/>
        </w:rPr>
      </w:pPr>
      <w:r w:rsidRPr="00640E20">
        <w:rPr>
          <w:rFonts w:ascii="Arial" w:hAnsi="Arial" w:cs="Arial"/>
          <w:color w:val="000000"/>
          <w:sz w:val="19"/>
          <w:szCs w:val="19"/>
        </w:rPr>
        <w:t>[…]</w:t>
      </w:r>
    </w:p>
    <w:p w14:paraId="105B72DB" w14:textId="77777777" w:rsidR="00D00727" w:rsidRPr="00640E20" w:rsidRDefault="00D00727" w:rsidP="00D00727">
      <w:pPr>
        <w:pStyle w:val="NormalWeb"/>
        <w:spacing w:before="0" w:beforeAutospacing="0" w:after="0" w:afterAutospacing="0"/>
        <w:ind w:firstLine="708"/>
        <w:jc w:val="both"/>
        <w:rPr>
          <w:rFonts w:ascii="Arial" w:hAnsi="Arial" w:cs="Arial"/>
          <w:color w:val="000000"/>
          <w:sz w:val="19"/>
          <w:szCs w:val="19"/>
        </w:rPr>
      </w:pPr>
      <w:r w:rsidRPr="00640E20">
        <w:rPr>
          <w:rFonts w:ascii="Arial" w:hAnsi="Arial" w:cs="Arial"/>
          <w:color w:val="000000"/>
          <w:sz w:val="19"/>
          <w:szCs w:val="19"/>
        </w:rPr>
        <w:t>»4. Contratación directa</w:t>
      </w:r>
      <w:r w:rsidRPr="00640E20">
        <w:rPr>
          <w:rFonts w:ascii="Arial" w:hAnsi="Arial" w:cs="Arial"/>
          <w:b/>
          <w:bCs/>
          <w:color w:val="000000"/>
          <w:sz w:val="19"/>
          <w:szCs w:val="19"/>
        </w:rPr>
        <w:t>. </w:t>
      </w:r>
      <w:r w:rsidRPr="00640E20">
        <w:rPr>
          <w:rFonts w:ascii="Arial" w:hAnsi="Arial" w:cs="Arial"/>
          <w:color w:val="000000"/>
          <w:sz w:val="19"/>
          <w:szCs w:val="19"/>
        </w:rPr>
        <w:t>La modalidad de selección de contratación directa, solamente procederá en los siguientes casos: </w:t>
      </w:r>
    </w:p>
    <w:p w14:paraId="1F520717" w14:textId="77777777" w:rsidR="00D00727" w:rsidRPr="00640E20" w:rsidRDefault="00D00727" w:rsidP="00D00727">
      <w:pPr>
        <w:jc w:val="both"/>
        <w:rPr>
          <w:rFonts w:ascii="Arial" w:hAnsi="Arial" w:cs="Arial"/>
          <w:color w:val="000000"/>
          <w:sz w:val="19"/>
          <w:szCs w:val="19"/>
          <w:lang w:eastAsia="es-CO"/>
        </w:rPr>
      </w:pPr>
      <w:r w:rsidRPr="00640E20">
        <w:rPr>
          <w:rFonts w:ascii="Arial" w:hAnsi="Arial" w:cs="Arial"/>
          <w:color w:val="000000"/>
          <w:sz w:val="19"/>
          <w:szCs w:val="19"/>
          <w:lang w:eastAsia="es-CO"/>
        </w:rPr>
        <w:t>  […]  </w:t>
      </w:r>
    </w:p>
    <w:p w14:paraId="28E6B46E" w14:textId="77777777" w:rsidR="00D00727" w:rsidRPr="00640E20" w:rsidRDefault="00D00727" w:rsidP="00D00727">
      <w:pPr>
        <w:ind w:firstLine="708"/>
        <w:jc w:val="both"/>
        <w:rPr>
          <w:rFonts w:ascii="Arial" w:hAnsi="Arial" w:cs="Arial"/>
          <w:color w:val="000000"/>
          <w:sz w:val="19"/>
          <w:szCs w:val="19"/>
          <w:lang w:eastAsia="es-CO"/>
        </w:rPr>
      </w:pPr>
      <w:r w:rsidRPr="00640E20">
        <w:rPr>
          <w:rFonts w:ascii="Arial" w:hAnsi="Arial" w:cs="Arial"/>
          <w:color w:val="000000"/>
          <w:sz w:val="19"/>
          <w:szCs w:val="19"/>
          <w:lang w:eastAsia="es-CO"/>
        </w:rPr>
        <w:t>»c) Contratos interadministrativos, siempre que las obligaciones derivadas del mismo tengan relación directa con el objeto de la entidad ejecutora señalado en la ley o en sus reglamentos.  </w:t>
      </w:r>
    </w:p>
    <w:p w14:paraId="35A4A6D8" w14:textId="77777777" w:rsidR="00D00727" w:rsidRPr="00640E20" w:rsidRDefault="00D00727" w:rsidP="00D00727">
      <w:pPr>
        <w:jc w:val="both"/>
        <w:rPr>
          <w:rFonts w:ascii="Arial" w:hAnsi="Arial" w:cs="Arial"/>
          <w:color w:val="000000"/>
          <w:sz w:val="19"/>
          <w:szCs w:val="19"/>
          <w:lang w:eastAsia="es-CO"/>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  </w:t>
      </w:r>
    </w:p>
    <w:p w14:paraId="08A17FDE" w14:textId="77777777" w:rsidR="00D00727" w:rsidRPr="00640E20" w:rsidRDefault="00D00727" w:rsidP="00D00727">
      <w:pPr>
        <w:jc w:val="both"/>
        <w:rPr>
          <w:rFonts w:ascii="Arial" w:hAnsi="Arial" w:cs="Arial"/>
          <w:color w:val="000000"/>
          <w:sz w:val="19"/>
          <w:szCs w:val="19"/>
          <w:lang w:eastAsia="es-CO"/>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14:paraId="36B3217E" w14:textId="77777777" w:rsidR="00D00727" w:rsidRPr="00640E20" w:rsidRDefault="00D00727" w:rsidP="00D00727">
      <w:pPr>
        <w:jc w:val="both"/>
        <w:rPr>
          <w:rFonts w:ascii="Arial" w:hAnsi="Arial" w:cs="Arial"/>
          <w:color w:val="000000"/>
          <w:sz w:val="19"/>
          <w:szCs w:val="19"/>
          <w:lang w:eastAsia="es-CO"/>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w:t>
      </w:r>
    </w:p>
    <w:p w14:paraId="1118C14F" w14:textId="77777777" w:rsidR="00D00727" w:rsidRPr="00640E20" w:rsidRDefault="00D00727" w:rsidP="00D00727">
      <w:pPr>
        <w:jc w:val="both"/>
        <w:rPr>
          <w:rFonts w:ascii="Arial" w:hAnsi="Arial" w:cs="Arial"/>
          <w:sz w:val="19"/>
          <w:szCs w:val="19"/>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t>»Estarán exceptuados de la figura del contrato interadministrativo, los contratos de seguro de las entidades estatales[…]». </w:t>
      </w:r>
      <w:r w:rsidRPr="00640E20">
        <w:rPr>
          <w:rFonts w:ascii="Arial" w:hAnsi="Arial" w:cs="Arial"/>
          <w:sz w:val="19"/>
          <w:szCs w:val="19"/>
        </w:rPr>
        <w:t xml:space="preserve"> </w:t>
      </w:r>
    </w:p>
  </w:footnote>
  <w:footnote w:id="19">
    <w:p w14:paraId="7DBCA1B4" w14:textId="77777777" w:rsidR="00D00727" w:rsidRPr="00640E20" w:rsidRDefault="00D00727" w:rsidP="00D00727">
      <w:pPr>
        <w:pStyle w:val="Textonotapie"/>
        <w:ind w:firstLine="708"/>
        <w:jc w:val="both"/>
        <w:rPr>
          <w:rFonts w:ascii="Arial" w:hAnsi="Arial" w:cs="Arial"/>
          <w:sz w:val="19"/>
          <w:szCs w:val="19"/>
          <w:lang w:val="es-CO"/>
        </w:rPr>
      </w:pPr>
      <w:r w:rsidRPr="00E858D2">
        <w:rPr>
          <w:rStyle w:val="Refdenotaalpie"/>
          <w:rFonts w:ascii="Arial" w:hAnsi="Arial" w:cs="Arial"/>
          <w:sz w:val="19"/>
          <w:szCs w:val="19"/>
        </w:rPr>
        <w:footnoteRef/>
      </w:r>
      <w:r w:rsidRPr="00640E20">
        <w:rPr>
          <w:rFonts w:ascii="Arial" w:hAnsi="Arial" w:cs="Arial"/>
          <w:sz w:val="19"/>
          <w:szCs w:val="19"/>
        </w:rPr>
        <w:t xml:space="preserve"> Este es uno de los casos típicos de antinomias que ha identificado la doctrina, que al respecto ha señalado: «Segundo caso: antinomias entre normas provenientes de dos fuentes distintas, pero del mismo tipo (por ejemplo, dos leyes estatales ordinarias) Ahora bien, dos fuentes del mismo tipo por lo general habrán sido promulgadas o emanadas en momentos distintos. En estos casos, la antinomia se resuelve dando la preferencia a la norma más reciente en el tiempo. La norma sucesiva debe ser aplicada, la anterior debe considerarse abrogada, ya no en vigencia […] Este modo de razonar constituye aplicación del principio cronológico: la norma sucesiva abroga la precedente («</w:t>
      </w:r>
      <w:r w:rsidRPr="00640E20">
        <w:rPr>
          <w:rFonts w:ascii="Arial" w:hAnsi="Arial" w:cs="Arial"/>
          <w:i/>
          <w:iCs/>
          <w:sz w:val="19"/>
          <w:szCs w:val="19"/>
        </w:rPr>
        <w:t>lex posterior derogat legi priori</w:t>
      </w:r>
      <w:r w:rsidRPr="00640E20">
        <w:rPr>
          <w:rFonts w:ascii="Arial" w:hAnsi="Arial" w:cs="Arial"/>
          <w:sz w:val="19"/>
          <w:szCs w:val="19"/>
        </w:rPr>
        <w:t xml:space="preserve">»)». GUASTINI, Ricardo. La interpretación de los documentos normativos. Trad. Cesar E. Moreno Primera Edición, Centro Iberoamericano de Investigaciones Jurídicas y Sociales: Derecho Global Editores, México, 2018. pp. 423 </w:t>
      </w:r>
    </w:p>
  </w:footnote>
  <w:footnote w:id="20">
    <w:p w14:paraId="48946476" w14:textId="77777777" w:rsidR="00D00727" w:rsidRPr="00640E20" w:rsidRDefault="00D00727" w:rsidP="00D00727">
      <w:pPr>
        <w:pStyle w:val="Textonotapie"/>
        <w:ind w:firstLine="709"/>
        <w:jc w:val="both"/>
        <w:rPr>
          <w:rFonts w:ascii="Arial" w:hAnsi="Arial" w:cs="Arial"/>
          <w:sz w:val="19"/>
          <w:szCs w:val="19"/>
        </w:rPr>
      </w:pPr>
      <w:r w:rsidRPr="00E858D2">
        <w:rPr>
          <w:rStyle w:val="Refdenotaalpie"/>
          <w:rFonts w:ascii="Arial" w:hAnsi="Arial" w:cs="Arial"/>
          <w:sz w:val="19"/>
          <w:szCs w:val="19"/>
        </w:rPr>
        <w:footnoteRef/>
      </w:r>
      <w:r w:rsidRPr="00640E20">
        <w:rPr>
          <w:rFonts w:ascii="Arial" w:hAnsi="Arial" w:cs="Arial"/>
          <w:sz w:val="19"/>
          <w:szCs w:val="19"/>
        </w:rPr>
        <w:t xml:space="preserve"> </w:t>
      </w:r>
      <w:r w:rsidRPr="006C108F">
        <w:rPr>
          <w:rFonts w:ascii="Arial" w:hAnsi="Arial" w:cs="Arial"/>
          <w:color w:val="000000" w:themeColor="text1"/>
          <w:sz w:val="19"/>
          <w:szCs w:val="19"/>
          <w:lang w:val="es-ES"/>
        </w:rPr>
        <w:t>Según García de Enterría, «Estos concepto jurídicos indeterminados, o que se contienen en lo que también se llaman las normas flexibles, son consustanciales a toda la técnica jurídica y no constituyen una particularidad del Derecho público […], son concept</w:t>
      </w:r>
      <w:r w:rsidRPr="00640E20">
        <w:rPr>
          <w:rFonts w:ascii="Arial" w:hAnsi="Arial" w:cs="Arial"/>
          <w:color w:val="000000" w:themeColor="text1"/>
          <w:sz w:val="19"/>
          <w:szCs w:val="19"/>
          <w:lang w:val="es-ES"/>
        </w:rPr>
        <w:t>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Civitas, 1983. pp. 33-34).</w:t>
      </w:r>
    </w:p>
  </w:footnote>
  <w:footnote w:id="21">
    <w:p w14:paraId="7FDED642" w14:textId="77777777" w:rsidR="00D00727" w:rsidRPr="00832CA9" w:rsidRDefault="00D00727" w:rsidP="00D00727">
      <w:pPr>
        <w:pStyle w:val="Textonotapie"/>
        <w:ind w:firstLine="709"/>
        <w:rPr>
          <w:rFonts w:ascii="Arial" w:hAnsi="Arial" w:cs="Arial"/>
          <w:sz w:val="19"/>
          <w:szCs w:val="19"/>
        </w:rPr>
      </w:pPr>
      <w:r w:rsidRPr="00E858D2">
        <w:rPr>
          <w:rStyle w:val="Refdenotaalpie"/>
          <w:rFonts w:ascii="Arial" w:hAnsi="Arial" w:cs="Arial"/>
          <w:sz w:val="19"/>
          <w:szCs w:val="19"/>
        </w:rPr>
        <w:footnoteRef/>
      </w:r>
      <w:r w:rsidRPr="00640E20">
        <w:rPr>
          <w:rFonts w:ascii="Arial" w:hAnsi="Arial" w:cs="Arial"/>
          <w:sz w:val="19"/>
          <w:szCs w:val="19"/>
        </w:rPr>
        <w:t xml:space="preserve"> </w:t>
      </w:r>
      <w:r w:rsidRPr="006C108F">
        <w:rPr>
          <w:rFonts w:ascii="Arial" w:hAnsi="Arial" w:cs="Arial"/>
          <w:sz w:val="19"/>
          <w:szCs w:val="19"/>
        </w:rPr>
        <w:t>Sentencia C-382 de 2019, M.P.</w:t>
      </w:r>
      <w:r w:rsidRPr="005A1626">
        <w:rPr>
          <w:rFonts w:ascii="Arial" w:hAnsi="Arial" w:cs="Arial"/>
          <w:sz w:val="19"/>
          <w:szCs w:val="19"/>
        </w:rPr>
        <w:t xml:space="preserve"> Alejandro Linares Cantillo.</w:t>
      </w:r>
    </w:p>
  </w:footnote>
  <w:footnote w:id="22">
    <w:p w14:paraId="22CEA88D" w14:textId="77777777" w:rsidR="00D00727" w:rsidRPr="00640E20" w:rsidRDefault="00D00727" w:rsidP="00D00727">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w:t>
      </w:r>
      <w:r w:rsidRPr="006C108F">
        <w:rPr>
          <w:rFonts w:ascii="Arial" w:hAnsi="Arial" w:cs="Arial"/>
          <w:color w:val="000000" w:themeColor="text1"/>
          <w:sz w:val="19"/>
          <w:szCs w:val="19"/>
        </w:rPr>
        <w:t>La redacción original del parágrafo</w:t>
      </w:r>
      <w:r w:rsidRPr="005A1626">
        <w:rPr>
          <w:rFonts w:ascii="Arial" w:hAnsi="Arial" w:cs="Arial"/>
          <w:color w:val="000000" w:themeColor="text1"/>
          <w:sz w:val="19"/>
          <w:szCs w:val="19"/>
        </w:rPr>
        <w:t xml:space="preserve"> primero</w:t>
      </w:r>
      <w:r w:rsidRPr="00832CA9">
        <w:rPr>
          <w:rFonts w:ascii="Arial" w:hAnsi="Arial" w:cs="Arial"/>
          <w:color w:val="000000" w:themeColor="text1"/>
          <w:sz w:val="19"/>
          <w:szCs w:val="19"/>
        </w:rPr>
        <w:t xml:space="preserve"> del artículo 32 de la Ley 80 d</w:t>
      </w:r>
      <w:r w:rsidRPr="00640E20">
        <w:rPr>
          <w:rFonts w:ascii="Arial" w:hAnsi="Arial" w:cs="Arial"/>
          <w:color w:val="000000" w:themeColor="text1"/>
          <w:sz w:val="19"/>
          <w:szCs w:val="19"/>
        </w:rPr>
        <w:t xml:space="preserve">e 1993, incluía la expresión </w:t>
      </w:r>
      <w:r w:rsidRPr="00640E20">
        <w:rPr>
          <w:rFonts w:ascii="Arial" w:hAnsi="Arial" w:cs="Arial"/>
          <w:i/>
          <w:iCs/>
          <w:color w:val="000000" w:themeColor="text1"/>
          <w:sz w:val="19"/>
          <w:szCs w:val="19"/>
        </w:rPr>
        <w:t>giro ordinario</w:t>
      </w:r>
      <w:r w:rsidRPr="00640E20">
        <w:rPr>
          <w:rFonts w:ascii="Arial" w:hAnsi="Arial" w:cs="Arial"/>
          <w:color w:val="000000" w:themeColor="text1"/>
          <w:sz w:val="19"/>
          <w:szCs w:val="19"/>
        </w:rPr>
        <w:t xml:space="preserve">, la cual servía de elemento calificante para la determinación del régimen aplicable a los contratos de los establecimientos de crédito público, las compañías de seguros y las demás entidades financieras públicas. Dicho parágrafo establecía «Sin perjuicio de lo dispuesto en esta ley sobre fiducia y encargo fiduciario, los contratos que celebren los establecimientos de crédito, las compañías de seguros y las demás entidades financieras de carácter estatal, que correspondan </w:t>
      </w:r>
      <w:r w:rsidRPr="00640E20">
        <w:rPr>
          <w:rFonts w:ascii="Arial" w:hAnsi="Arial" w:cs="Arial"/>
          <w:i/>
          <w:iCs/>
          <w:color w:val="000000" w:themeColor="text1"/>
          <w:sz w:val="19"/>
          <w:szCs w:val="19"/>
        </w:rPr>
        <w:t>al giro ordinario de las actividades propias de su objeto social,</w:t>
      </w:r>
      <w:r w:rsidRPr="00640E20">
        <w:rPr>
          <w:rFonts w:ascii="Arial" w:hAnsi="Arial" w:cs="Arial"/>
          <w:color w:val="000000" w:themeColor="text1"/>
          <w:sz w:val="19"/>
          <w:szCs w:val="19"/>
        </w:rPr>
        <w:t xml:space="preserve"> no estarán sujetos a las disposiciones del presente estatuto y se regirán por las disposiciones legales y reglamentarias aplicables a dichas actividades» [Énfasis fuera de texto].</w:t>
      </w:r>
    </w:p>
  </w:footnote>
  <w:footnote w:id="23">
    <w:p w14:paraId="6D24E563" w14:textId="77777777" w:rsidR="00D00727" w:rsidRPr="00EC26CF" w:rsidRDefault="00D00727" w:rsidP="00D00727">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Consejo de Estado</w:t>
      </w:r>
      <w:r w:rsidRPr="005A1626">
        <w:rPr>
          <w:rFonts w:ascii="Arial" w:hAnsi="Arial" w:cs="Arial"/>
          <w:color w:val="000000" w:themeColor="text1"/>
          <w:sz w:val="19"/>
          <w:szCs w:val="19"/>
        </w:rPr>
        <w:t>.</w:t>
      </w:r>
      <w:r w:rsidRPr="00832CA9">
        <w:rPr>
          <w:rFonts w:ascii="Arial" w:hAnsi="Arial" w:cs="Arial"/>
          <w:color w:val="000000" w:themeColor="text1"/>
          <w:sz w:val="19"/>
          <w:szCs w:val="19"/>
        </w:rPr>
        <w:t xml:space="preserve"> Sección Tercera</w:t>
      </w:r>
      <w:r w:rsidRPr="00640E20">
        <w:rPr>
          <w:rFonts w:ascii="Arial" w:hAnsi="Arial" w:cs="Arial"/>
          <w:color w:val="000000" w:themeColor="text1"/>
          <w:sz w:val="19"/>
          <w:szCs w:val="19"/>
        </w:rPr>
        <w:t>. Subsección B. Sentencia del 12 de octubre de 2011. Exp. No. 20070. C.P. Danilo Rojas Betancourt.</w:t>
      </w:r>
    </w:p>
  </w:footnote>
  <w:footnote w:id="24">
    <w:p w14:paraId="3B8101B3" w14:textId="77777777" w:rsidR="00D00727" w:rsidRPr="00640E20" w:rsidRDefault="00D00727" w:rsidP="00D00727">
      <w:pPr>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Consejo de Estado. Sección Tercera. Subsección A. Sentencia del 3 de marzo de 2021. Exp. No. 51373. C.P. José Roberto Sáchica Méndez.</w:t>
      </w:r>
    </w:p>
    <w:p w14:paraId="5F2AF7E2" w14:textId="77777777" w:rsidR="00D00727" w:rsidRPr="00640E20" w:rsidRDefault="00D00727" w:rsidP="00D00727">
      <w:pPr>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 xml:space="preserve"> </w:t>
      </w:r>
    </w:p>
  </w:footnote>
  <w:footnote w:id="25">
    <w:p w14:paraId="0E747A5D" w14:textId="77777777" w:rsidR="00D00727" w:rsidRPr="00640E20" w:rsidRDefault="00D00727" w:rsidP="00D00727">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w:t>
      </w:r>
      <w:r w:rsidRPr="005A1626">
        <w:rPr>
          <w:rFonts w:ascii="Arial" w:hAnsi="Arial" w:cs="Arial"/>
          <w:color w:val="000000" w:themeColor="text1"/>
          <w:sz w:val="19"/>
          <w:szCs w:val="19"/>
        </w:rPr>
        <w:t>E</w:t>
      </w:r>
      <w:r w:rsidRPr="00832CA9">
        <w:rPr>
          <w:rFonts w:ascii="Arial" w:hAnsi="Arial" w:cs="Arial"/>
          <w:color w:val="000000" w:themeColor="text1"/>
          <w:sz w:val="19"/>
          <w:szCs w:val="19"/>
        </w:rPr>
        <w:t>l Consejo de Estado ha precisado</w:t>
      </w:r>
      <w:r w:rsidRPr="00640E20">
        <w:rPr>
          <w:rFonts w:ascii="Arial" w:hAnsi="Arial" w:cs="Arial"/>
          <w:color w:val="000000" w:themeColor="text1"/>
          <w:sz w:val="19"/>
          <w:szCs w:val="19"/>
        </w:rPr>
        <w:t xml:space="preserve"> que: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2586EC6C" w14:textId="77777777" w:rsidR="00D00727" w:rsidRPr="00640E20" w:rsidRDefault="00D00727" w:rsidP="00D00727">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»En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Consejo de Estado. Sección Tercera. Sentencia del 6 de julio de 2005. Exp. No. 11575. C.P. Alier E. Hernández Enríquez.</w:t>
      </w:r>
    </w:p>
  </w:footnote>
  <w:footnote w:id="26">
    <w:p w14:paraId="4428AC46" w14:textId="77777777" w:rsidR="00D00727" w:rsidRPr="00640E20" w:rsidRDefault="00D00727" w:rsidP="00D00727">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Superintendencia de Sociedades. Oficio 220-014111 del 18 de febrero de 2015. Consultado el 9 de febrero de 2022 en: </w:t>
      </w:r>
      <w:hyperlink r:id="rId1" w:history="1">
        <w:r w:rsidRPr="00640E20">
          <w:rPr>
            <w:rStyle w:val="Hipervnculo"/>
            <w:rFonts w:ascii="Arial" w:hAnsi="Arial" w:cs="Arial"/>
            <w:color w:val="000000" w:themeColor="text1"/>
            <w:sz w:val="19"/>
            <w:szCs w:val="19"/>
          </w:rPr>
          <w:t>https://www.supersociedades.gov.co/nuestra_entidad/normatividad/normatividad_conceptos_juridicos/OFICIO_220-014111_DE_2015.pdf</w:t>
        </w:r>
      </w:hyperlink>
    </w:p>
  </w:footnote>
  <w:footnote w:id="27">
    <w:p w14:paraId="6765C661" w14:textId="77777777" w:rsidR="00D00727" w:rsidRPr="00640E20" w:rsidRDefault="00D00727" w:rsidP="00D00727">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En efecto, en audiencia </w:t>
      </w:r>
      <w:r w:rsidRPr="005A1626">
        <w:rPr>
          <w:rFonts w:ascii="Arial" w:hAnsi="Arial" w:cs="Arial"/>
          <w:color w:val="000000" w:themeColor="text1"/>
          <w:sz w:val="19"/>
          <w:szCs w:val="19"/>
        </w:rPr>
        <w:t xml:space="preserve">Pública del 18 de marzo de 2021, esta Agencia llamó la atención sobre la necesidad  de incluir en el Proyecto de Ley </w:t>
      </w:r>
      <w:r w:rsidRPr="00640E20">
        <w:rPr>
          <w:rFonts w:ascii="Arial" w:hAnsi="Arial" w:cs="Arial"/>
          <w:color w:val="000000" w:themeColor="text1"/>
          <w:sz w:val="19"/>
          <w:szCs w:val="19"/>
        </w:rPr>
        <w:t xml:space="preserve"> «[…] algunas disposiciones [..] relacionadas por ejemplo con 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algunos objetos en los cuales tienen un régimen especial y a patrimonios autónomos, así como empresas de servicios públicos». CONGRESO DE LA REPÚBLICA. Gaceta Nº 1677 del 23 de noviembre de 2021. Justificación jurídica del Proyecto de Ley No. 226 de 2021 Cámara. p. 15.</w:t>
      </w:r>
    </w:p>
  </w:footnote>
  <w:footnote w:id="28">
    <w:p w14:paraId="467865FB" w14:textId="77777777" w:rsidR="00D00727" w:rsidRPr="00640E20" w:rsidRDefault="00D00727" w:rsidP="00D00727">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Al respecto ha señalado la Corte Constitucional: «En relación con el ámbito de configuración del legislador en materia contractual la jurisprudencia constitucional ha señalado los siguientes criterios:</w:t>
      </w:r>
    </w:p>
    <w:p w14:paraId="13ED39DC" w14:textId="77777777" w:rsidR="00D00727" w:rsidRPr="00640E20" w:rsidRDefault="00D00727" w:rsidP="00D00727">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constitucional.[27]</w:t>
      </w:r>
    </w:p>
    <w:p w14:paraId="0ED16113" w14:textId="77777777" w:rsidR="00D00727" w:rsidRPr="00640E20" w:rsidRDefault="00D00727" w:rsidP="00D00727">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(ii)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Estado.[28]</w:t>
      </w:r>
    </w:p>
    <w:p w14:paraId="1185D991" w14:textId="77777777" w:rsidR="00D00727" w:rsidRPr="00640E20" w:rsidRDefault="00D00727" w:rsidP="00D00727">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(iii)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 Sentencia C-713 del 7 de octubre de 2009. M.P. María Victoria Calle Correa.</w:t>
      </w:r>
    </w:p>
  </w:footnote>
  <w:footnote w:id="29">
    <w:p w14:paraId="56F843FA" w14:textId="77777777" w:rsidR="00D00727" w:rsidRPr="00EC26CF" w:rsidRDefault="00D00727" w:rsidP="00D00727">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832CA9">
        <w:rPr>
          <w:rFonts w:ascii="Arial" w:hAnsi="Arial" w:cs="Arial"/>
          <w:sz w:val="19"/>
          <w:szCs w:val="19"/>
        </w:rPr>
        <w:t xml:space="preserve"> </w:t>
      </w:r>
      <w:r w:rsidRPr="00832CA9">
        <w:rPr>
          <w:rFonts w:ascii="Arial" w:hAnsi="Arial" w:cs="Arial"/>
          <w:color w:val="000000" w:themeColor="text1"/>
          <w:sz w:val="19"/>
          <w:szCs w:val="19"/>
        </w:rPr>
        <w:t>Consejo de Estado. Sección Tercera. Subsección A. Sentencia del 24 de junio de 2015. Exp. 40.635. Consejero Ponente:</w:t>
      </w:r>
      <w:r w:rsidRPr="00640E20">
        <w:rPr>
          <w:rFonts w:ascii="Arial" w:hAnsi="Arial" w:cs="Arial"/>
          <w:color w:val="000000" w:themeColor="text1"/>
          <w:sz w:val="19"/>
          <w:szCs w:val="19"/>
        </w:rPr>
        <w:t xml:space="preserve"> Hernán Andrade Rincón (E).</w:t>
      </w:r>
    </w:p>
  </w:footnote>
  <w:footnote w:id="30">
    <w:p w14:paraId="0D549F6C" w14:textId="77777777" w:rsidR="00D00727" w:rsidRPr="00EC26CF" w:rsidRDefault="00D00727" w:rsidP="00D00727">
      <w:pPr>
        <w:pStyle w:val="Textonotapie"/>
        <w:ind w:firstLine="709"/>
        <w:jc w:val="both"/>
        <w:rPr>
          <w:rFonts w:ascii="Arial" w:hAnsi="Arial" w:cs="Arial"/>
          <w:color w:val="000000" w:themeColor="text1"/>
          <w:sz w:val="19"/>
          <w:szCs w:val="19"/>
          <w:lang w:val="es-ES"/>
        </w:rPr>
      </w:pPr>
      <w:r w:rsidRPr="00E858D2">
        <w:rPr>
          <w:rStyle w:val="Refdenotaalpie"/>
          <w:rFonts w:ascii="Arial" w:hAnsi="Arial" w:cs="Arial"/>
          <w:sz w:val="19"/>
          <w:szCs w:val="19"/>
        </w:rPr>
        <w:footnoteRef/>
      </w:r>
      <w:r w:rsidRPr="00832CA9">
        <w:rPr>
          <w:rFonts w:ascii="Arial" w:hAnsi="Arial" w:cs="Arial"/>
          <w:sz w:val="19"/>
          <w:szCs w:val="19"/>
        </w:rPr>
        <w:t xml:space="preserve"> </w:t>
      </w:r>
      <w:r w:rsidRPr="00832CA9">
        <w:rPr>
          <w:rFonts w:ascii="Arial" w:hAnsi="Arial" w:cs="Arial"/>
          <w:color w:val="000000" w:themeColor="text1"/>
          <w:sz w:val="19"/>
          <w:szCs w:val="19"/>
          <w:lang w:val="es-ES"/>
        </w:rPr>
        <w:t>Consejo de Estado. Sala de Consulta y Servicio Civil. Concepto del 30 de abril de 2015. Expediente: 2251. Consejero Ponente: Álvaro Namén Vargas.</w:t>
      </w:r>
    </w:p>
  </w:footnote>
  <w:footnote w:id="31">
    <w:p w14:paraId="02749E4C" w14:textId="77777777" w:rsidR="00D00727" w:rsidRPr="00640E20" w:rsidRDefault="00D00727" w:rsidP="00D00727">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832CA9">
        <w:rPr>
          <w:rFonts w:ascii="Arial" w:hAnsi="Arial" w:cs="Arial"/>
          <w:color w:val="000000" w:themeColor="text1"/>
          <w:sz w:val="19"/>
          <w:szCs w:val="19"/>
        </w:rPr>
        <w:t xml:space="preserve"> Código Civil: «Artículo 27. Interpretación Gramatical. Cuando el sentido de la ley sea claro, no se desaten</w:t>
      </w:r>
      <w:r w:rsidRPr="00640E20">
        <w:rPr>
          <w:rFonts w:ascii="Arial" w:hAnsi="Arial" w:cs="Arial"/>
          <w:color w:val="000000" w:themeColor="text1"/>
          <w:sz w:val="19"/>
          <w:szCs w:val="19"/>
        </w:rPr>
        <w:t>derá su tenor literal a pretexto de consultar su espíritu.</w:t>
      </w:r>
    </w:p>
    <w:p w14:paraId="4EE97597" w14:textId="77777777" w:rsidR="00D00727" w:rsidRPr="00640E20" w:rsidRDefault="00D00727" w:rsidP="00D00727">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»Pero bien se puede, para interpretar una expresión oscura de la ley, recurrir a su intención o espíritu, claramente manifestados en ella misma o en la historia fidedigna de su establecimiento».</w:t>
      </w:r>
    </w:p>
  </w:footnote>
  <w:footnote w:id="32">
    <w:p w14:paraId="6D511399" w14:textId="77777777" w:rsidR="00D00727" w:rsidRPr="00EC26CF" w:rsidRDefault="00D00727" w:rsidP="00D00727">
      <w:pPr>
        <w:ind w:firstLine="708"/>
        <w:jc w:val="both"/>
        <w:rPr>
          <w:rFonts w:ascii="Arial" w:hAnsi="Arial" w:cs="Arial"/>
          <w:sz w:val="19"/>
          <w:szCs w:val="19"/>
        </w:rPr>
      </w:pPr>
      <w:r w:rsidRPr="00E858D2">
        <w:rPr>
          <w:rStyle w:val="Refdenotaalpie"/>
          <w:rFonts w:ascii="Arial" w:hAnsi="Arial" w:cs="Arial"/>
          <w:sz w:val="19"/>
          <w:szCs w:val="19"/>
        </w:rPr>
        <w:footnoteRef/>
      </w:r>
      <w:r w:rsidRPr="00832CA9">
        <w:rPr>
          <w:rFonts w:ascii="Arial" w:hAnsi="Arial" w:cs="Arial"/>
          <w:sz w:val="19"/>
          <w:szCs w:val="19"/>
        </w:rPr>
        <w:t xml:space="preserve"> Código Civil: «Artículo 31. Interpretación sobre la extensión de una ley. Lo favorable u odioso de una disposición no se tomará en cuenta para ampliar o restringir su interpretación. La extensión que deba darse a toda ley se determinará por su genuino sen</w:t>
      </w:r>
      <w:r w:rsidRPr="00640E20">
        <w:rPr>
          <w:rFonts w:ascii="Arial" w:hAnsi="Arial" w:cs="Arial"/>
          <w:sz w:val="19"/>
          <w:szCs w:val="19"/>
        </w:rPr>
        <w:t>tido, y según las reglas de interpretación precedentes».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BB15" w14:textId="77777777" w:rsidR="000A47AF" w:rsidRDefault="00DE2DB9">
    <w:pPr>
      <w:pStyle w:val="Encabezado"/>
    </w:pPr>
    <w:r>
      <w:rPr>
        <w:noProof/>
        <w:lang w:val="en-US"/>
      </w:rPr>
      <w:drawing>
        <wp:anchor distT="0" distB="0" distL="114300" distR="114300" simplePos="0" relativeHeight="251659264" behindDoc="1" locked="0" layoutInCell="1" allowOverlap="1" wp14:anchorId="762AEBF3" wp14:editId="67AABEEA">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3B010D" w14:textId="77777777" w:rsidR="00183D77" w:rsidRDefault="00B50BA4"/>
  <w:p w14:paraId="63A42331" w14:textId="77777777" w:rsidR="00183D77" w:rsidRDefault="00B50BA4"/>
  <w:p w14:paraId="2AE6F5FB" w14:textId="77777777" w:rsidR="00183D77" w:rsidRDefault="00B50BA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727"/>
    <w:rsid w:val="00B50BA4"/>
    <w:rsid w:val="00D00727"/>
    <w:rsid w:val="00DC22A5"/>
    <w:rsid w:val="00DE2D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53EE"/>
  <w15:chartTrackingRefBased/>
  <w15:docId w15:val="{D09138D0-F305-3945-AB35-4397D64A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727"/>
    <w:rPr>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00727"/>
    <w:pPr>
      <w:tabs>
        <w:tab w:val="center" w:pos="4419"/>
        <w:tab w:val="right" w:pos="8838"/>
      </w:tabs>
    </w:pPr>
  </w:style>
  <w:style w:type="character" w:customStyle="1" w:styleId="PiedepginaCar">
    <w:name w:val="Pie de página Car"/>
    <w:basedOn w:val="Fuentedeprrafopredeter"/>
    <w:link w:val="Piedepgina"/>
    <w:uiPriority w:val="99"/>
    <w:rsid w:val="00D00727"/>
    <w:rPr>
      <w:szCs w:val="22"/>
      <w:lang w:val="es-MX"/>
    </w:rPr>
  </w:style>
  <w:style w:type="paragraph" w:styleId="Encabezado">
    <w:name w:val="header"/>
    <w:basedOn w:val="Normal"/>
    <w:link w:val="EncabezadoCar"/>
    <w:uiPriority w:val="99"/>
    <w:unhideWhenUsed/>
    <w:rsid w:val="00D00727"/>
    <w:pPr>
      <w:tabs>
        <w:tab w:val="center" w:pos="4252"/>
        <w:tab w:val="right" w:pos="8504"/>
      </w:tabs>
    </w:pPr>
  </w:style>
  <w:style w:type="character" w:customStyle="1" w:styleId="EncabezadoCar">
    <w:name w:val="Encabezado Car"/>
    <w:basedOn w:val="Fuentedeprrafopredeter"/>
    <w:link w:val="Encabezado"/>
    <w:uiPriority w:val="99"/>
    <w:rsid w:val="00D00727"/>
    <w:rPr>
      <w:szCs w:val="22"/>
      <w:lang w:val="es-MX"/>
    </w:rPr>
  </w:style>
  <w:style w:type="table" w:styleId="Tablaconcuadrcula">
    <w:name w:val="Table Grid"/>
    <w:basedOn w:val="Tablanormal"/>
    <w:uiPriority w:val="59"/>
    <w:qFormat/>
    <w:rsid w:val="00D007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D00727"/>
    <w:pPr>
      <w:ind w:left="720"/>
      <w:contextualSpacing/>
    </w:pPr>
  </w:style>
  <w:style w:type="character" w:styleId="Hipervnculo">
    <w:name w:val="Hyperlink"/>
    <w:basedOn w:val="Fuentedeprrafopredeter"/>
    <w:uiPriority w:val="99"/>
    <w:unhideWhenUsed/>
    <w:rsid w:val="00D00727"/>
    <w:rPr>
      <w:color w:val="0563C1" w:themeColor="hyperlink"/>
      <w:u w:val="single"/>
    </w:rPr>
  </w:style>
  <w:style w:type="paragraph" w:styleId="NormalWeb">
    <w:name w:val="Normal (Web)"/>
    <w:basedOn w:val="Normal"/>
    <w:link w:val="NormalWebCar"/>
    <w:uiPriority w:val="99"/>
    <w:unhideWhenUsed/>
    <w:rsid w:val="00D00727"/>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D00727"/>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0072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D00727"/>
    <w:rPr>
      <w:sz w:val="20"/>
      <w:szCs w:val="20"/>
    </w:rPr>
  </w:style>
  <w:style w:type="character" w:customStyle="1" w:styleId="TextonotapieCar1">
    <w:name w:val="Texto nota pie Car1"/>
    <w:basedOn w:val="Fuentedeprrafopredeter"/>
    <w:uiPriority w:val="99"/>
    <w:semiHidden/>
    <w:rsid w:val="00D00727"/>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0072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D00727"/>
    <w:rPr>
      <w:vertAlign w:val="superscript"/>
    </w:rPr>
  </w:style>
  <w:style w:type="paragraph" w:styleId="Textoindependiente">
    <w:name w:val="Body Text"/>
    <w:basedOn w:val="Normal"/>
    <w:link w:val="TextoindependienteCar"/>
    <w:uiPriority w:val="99"/>
    <w:unhideWhenUsed/>
    <w:rsid w:val="00D00727"/>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D00727"/>
    <w:rPr>
      <w:rFonts w:eastAsiaTheme="minorEastAsia"/>
      <w:sz w:val="22"/>
      <w:szCs w:val="22"/>
      <w:lang w:eastAsia="es-CO"/>
    </w:rPr>
  </w:style>
  <w:style w:type="character" w:styleId="Textoennegrita">
    <w:name w:val="Strong"/>
    <w:basedOn w:val="Fuentedeprrafopredeter"/>
    <w:uiPriority w:val="22"/>
    <w:qFormat/>
    <w:rsid w:val="00D00727"/>
    <w:rPr>
      <w:b/>
      <w:bCs/>
    </w:rPr>
  </w:style>
  <w:style w:type="character" w:styleId="nfasis">
    <w:name w:val="Emphasis"/>
    <w:basedOn w:val="Fuentedeprrafopredeter"/>
    <w:uiPriority w:val="20"/>
    <w:qFormat/>
    <w:rsid w:val="00D00727"/>
    <w:rPr>
      <w:i/>
      <w:iCs/>
    </w:rPr>
  </w:style>
  <w:style w:type="character" w:customStyle="1" w:styleId="NormalWebCar">
    <w:name w:val="Normal (Web) Car"/>
    <w:link w:val="NormalWeb"/>
    <w:uiPriority w:val="99"/>
    <w:rsid w:val="00D00727"/>
    <w:rPr>
      <w:rFonts w:ascii="Times New Roman" w:eastAsia="Times New Roman" w:hAnsi="Times New Roman" w:cs="Times New Roman"/>
      <w:lang w:eastAsia="es-CO"/>
    </w:rPr>
  </w:style>
  <w:style w:type="paragraph" w:customStyle="1" w:styleId="Appelnotedebasde">
    <w:name w:val="Appel note de bas de..."/>
    <w:basedOn w:val="Normal"/>
    <w:link w:val="Refdenotaalpie"/>
    <w:uiPriority w:val="99"/>
    <w:rsid w:val="00D00727"/>
    <w:pPr>
      <w:spacing w:after="160" w:line="240" w:lineRule="exact"/>
    </w:pPr>
    <w:rPr>
      <w:szCs w:val="24"/>
      <w:vertAlign w:val="superscript"/>
      <w:lang w:val="es-CO"/>
    </w:rPr>
  </w:style>
  <w:style w:type="paragraph" w:customStyle="1" w:styleId="Normal11pt">
    <w:name w:val="Normal + 11 pt"/>
    <w:aliases w:val="Negro,Justificado,Izquierda:  -0,95 cm,Derecha:  0,04 cm"/>
    <w:basedOn w:val="Normal"/>
    <w:uiPriority w:val="99"/>
    <w:rsid w:val="00D00727"/>
    <w:pPr>
      <w:ind w:left="-540"/>
      <w:jc w:val="both"/>
    </w:pPr>
    <w:rPr>
      <w:rFonts w:ascii="Arial" w:eastAsia="Times New Roman" w:hAnsi="Arial" w:cs="Arial"/>
      <w:color w:val="000000"/>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supersociedades.gov.co/nuestra_entidad/normatividad/normatividad_conceptos_juridicos/OFICIO_220-014111_DE_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7CF43-58AC-47DA-92D5-222834D99306}">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022AB262-94A2-4C72-AAA8-AE1731AFE688}">
  <ds:schemaRefs>
    <ds:schemaRef ds:uri="http://schemas.microsoft.com/sharepoint/v3/contenttype/forms"/>
  </ds:schemaRefs>
</ds:datastoreItem>
</file>

<file path=customXml/itemProps3.xml><?xml version="1.0" encoding="utf-8"?>
<ds:datastoreItem xmlns:ds="http://schemas.openxmlformats.org/officeDocument/2006/customXml" ds:itemID="{F4478759-90FF-49B8-B9D4-2865FF4A8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13163</Words>
  <Characters>72398</Characters>
  <Application>Microsoft Office Word</Application>
  <DocSecurity>0</DocSecurity>
  <Lines>603</Lines>
  <Paragraphs>170</Paragraphs>
  <ScaleCrop>false</ScaleCrop>
  <Company/>
  <LinksUpToDate>false</LinksUpToDate>
  <CharactersWithSpaces>85391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Martin Rojas Mejia</cp:lastModifiedBy>
  <cp:revision>2</cp:revision>
  <dcterms:created xsi:type="dcterms:W3CDTF">2022-05-21T17:03:00Z</dcterms:created>
  <dcterms:modified xsi:type="dcterms:W3CDTF">2022-05-25T19:06:00Z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