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452B" w14:textId="77777777" w:rsidR="00B85EA4" w:rsidRDefault="00B85EA4" w:rsidP="001F6BFE">
      <w:pPr>
        <w:pStyle w:val="Textoindependiente"/>
        <w:ind w:right="102"/>
        <w:jc w:val="both"/>
        <w:rPr>
          <w:b/>
          <w:color w:val="000000" w:themeColor="text1"/>
        </w:rPr>
      </w:pPr>
      <w:bookmarkStart w:id="0" w:name="_Hlk28946138"/>
      <w:bookmarkStart w:id="1" w:name="_Hlk29548183"/>
    </w:p>
    <w:p w14:paraId="01452655" w14:textId="7B67A51D" w:rsidR="009D7FBD" w:rsidRPr="00DE7E39" w:rsidRDefault="009D7FBD" w:rsidP="001F6BFE">
      <w:pPr>
        <w:pStyle w:val="Textoindependiente"/>
        <w:ind w:right="102"/>
        <w:jc w:val="both"/>
        <w:rPr>
          <w:b/>
          <w:color w:val="000000" w:themeColor="text1"/>
        </w:rPr>
      </w:pPr>
      <w:r w:rsidRPr="00DE7E39">
        <w:rPr>
          <w:b/>
          <w:color w:val="000000" w:themeColor="text1"/>
        </w:rPr>
        <w:t xml:space="preserve">DECRETO 092 DE 2017 – Finalidad – Clases de contratos </w:t>
      </w:r>
    </w:p>
    <w:p w14:paraId="54DC3450" w14:textId="77777777" w:rsidR="009D7FBD" w:rsidRPr="00DE7E39" w:rsidRDefault="009D7FBD" w:rsidP="001F6BFE">
      <w:pPr>
        <w:pStyle w:val="Textoindependiente"/>
        <w:ind w:right="102"/>
        <w:jc w:val="both"/>
        <w:rPr>
          <w:color w:val="000000" w:themeColor="text1"/>
          <w:sz w:val="20"/>
          <w:szCs w:val="20"/>
        </w:rPr>
      </w:pPr>
    </w:p>
    <w:p w14:paraId="7FF85C6B" w14:textId="4D8F3950" w:rsidR="009D7FBD" w:rsidRPr="00DE7E39" w:rsidRDefault="00975518" w:rsidP="001F6BFE">
      <w:pPr>
        <w:jc w:val="both"/>
        <w:rPr>
          <w:rFonts w:ascii="Arial" w:eastAsia="Arial" w:hAnsi="Arial" w:cs="Arial"/>
          <w:color w:val="000000" w:themeColor="text1"/>
          <w:sz w:val="20"/>
          <w:szCs w:val="20"/>
          <w:lang w:val="es-ES"/>
        </w:rPr>
      </w:pPr>
      <w:r w:rsidRPr="00DE7E39">
        <w:rPr>
          <w:rFonts w:ascii="Arial" w:eastAsia="Arial" w:hAnsi="Arial" w:cs="Arial"/>
          <w:color w:val="000000" w:themeColor="text1"/>
          <w:sz w:val="20"/>
          <w:szCs w:val="20"/>
          <w:lang w:val="es-ES"/>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DE7E39">
        <w:rPr>
          <w:rFonts w:ascii="Arial" w:eastAsia="Arial" w:hAnsi="Arial" w:cs="Arial"/>
          <w:color w:val="000000" w:themeColor="text1"/>
          <w:sz w:val="20"/>
          <w:szCs w:val="20"/>
          <w:lang w:val="es-ES"/>
        </w:rPr>
        <w:t>ii</w:t>
      </w:r>
      <w:proofErr w:type="spellEnd"/>
      <w:r w:rsidRPr="00DE7E39">
        <w:rPr>
          <w:rFonts w:ascii="Arial" w:eastAsia="Arial" w:hAnsi="Arial" w:cs="Arial"/>
          <w:color w:val="000000" w:themeColor="text1"/>
          <w:sz w:val="20"/>
          <w:szCs w:val="20"/>
          <w:lang w:val="es-ES"/>
        </w:rPr>
        <w:t>) los convenios de asociación, para el desarrollo conjunto de actividades relacionadas con las funciones de las entidades estatales, en desarrollo del artículo 96 de la Ley 489 de 1998.</w:t>
      </w:r>
    </w:p>
    <w:p w14:paraId="0A96811E" w14:textId="77777777" w:rsidR="00975518" w:rsidRPr="00DE7E39" w:rsidRDefault="00975518" w:rsidP="001F6BFE">
      <w:pPr>
        <w:jc w:val="both"/>
        <w:rPr>
          <w:rFonts w:ascii="Arial" w:eastAsia="Calibri" w:hAnsi="Arial" w:cs="Arial"/>
          <w:b/>
          <w:color w:val="000000" w:themeColor="text1"/>
          <w:sz w:val="22"/>
        </w:rPr>
      </w:pPr>
    </w:p>
    <w:p w14:paraId="75FE61D0" w14:textId="77777777" w:rsidR="009D7FBD" w:rsidRPr="00DE7E39" w:rsidRDefault="009D7FBD" w:rsidP="001F6BFE">
      <w:pPr>
        <w:jc w:val="both"/>
        <w:rPr>
          <w:rFonts w:ascii="Arial" w:eastAsia="Calibri" w:hAnsi="Arial" w:cs="Arial"/>
          <w:b/>
          <w:color w:val="000000" w:themeColor="text1"/>
          <w:sz w:val="22"/>
        </w:rPr>
      </w:pPr>
      <w:r w:rsidRPr="00DE7E39">
        <w:rPr>
          <w:rFonts w:ascii="Arial" w:eastAsia="Calibri" w:hAnsi="Arial" w:cs="Arial"/>
          <w:b/>
          <w:color w:val="000000" w:themeColor="text1"/>
          <w:sz w:val="22"/>
        </w:rPr>
        <w:t xml:space="preserve">CONTRATACIÓN CON ESAL – Contrato de colaboración – Objeto – Alcance </w:t>
      </w:r>
    </w:p>
    <w:p w14:paraId="3AFB6CF6" w14:textId="77777777" w:rsidR="009D7FBD" w:rsidRPr="00DE7E39" w:rsidRDefault="009D7FBD" w:rsidP="001F6BFE">
      <w:pPr>
        <w:jc w:val="both"/>
        <w:rPr>
          <w:rFonts w:ascii="Arial" w:eastAsia="Calibri" w:hAnsi="Arial" w:cs="Arial"/>
          <w:bCs/>
          <w:color w:val="000000" w:themeColor="text1"/>
          <w:sz w:val="20"/>
          <w:szCs w:val="20"/>
        </w:rPr>
      </w:pPr>
    </w:p>
    <w:p w14:paraId="5F388C83" w14:textId="44D14AAE" w:rsidR="009D7FBD" w:rsidRPr="00DE7E39" w:rsidRDefault="00975518" w:rsidP="001F6BFE">
      <w:pPr>
        <w:jc w:val="both"/>
        <w:rPr>
          <w:rFonts w:ascii="Arial" w:hAnsi="Arial" w:cs="Arial"/>
          <w:color w:val="000000" w:themeColor="text1"/>
          <w:sz w:val="20"/>
          <w:szCs w:val="20"/>
        </w:rPr>
      </w:pPr>
      <w:r w:rsidRPr="00DE7E39">
        <w:rPr>
          <w:rFonts w:ascii="Arial" w:hAnsi="Arial" w:cs="Arial"/>
          <w:color w:val="000000" w:themeColor="text1"/>
          <w:sz w:val="20"/>
          <w:szCs w:val="20"/>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w:t>
      </w:r>
    </w:p>
    <w:p w14:paraId="2C2ADB31" w14:textId="77777777" w:rsidR="00975518" w:rsidRPr="00DE7E39" w:rsidRDefault="00975518" w:rsidP="001F6BFE">
      <w:pPr>
        <w:jc w:val="both"/>
        <w:rPr>
          <w:rFonts w:ascii="Arial" w:hAnsi="Arial" w:cs="Arial"/>
          <w:color w:val="000000" w:themeColor="text1"/>
          <w:sz w:val="21"/>
          <w:szCs w:val="21"/>
        </w:rPr>
      </w:pPr>
    </w:p>
    <w:p w14:paraId="17735CAD" w14:textId="77777777" w:rsidR="009D7FBD" w:rsidRPr="00DE7E39" w:rsidRDefault="009D7FBD" w:rsidP="001F6BFE">
      <w:pPr>
        <w:jc w:val="both"/>
        <w:rPr>
          <w:rFonts w:ascii="Arial" w:eastAsia="Calibri" w:hAnsi="Arial" w:cs="Arial"/>
          <w:b/>
          <w:color w:val="000000" w:themeColor="text1"/>
          <w:sz w:val="22"/>
        </w:rPr>
      </w:pPr>
      <w:r w:rsidRPr="00DE7E39">
        <w:rPr>
          <w:rFonts w:ascii="Arial" w:eastAsia="Calibri" w:hAnsi="Arial" w:cs="Arial"/>
          <w:b/>
          <w:color w:val="000000" w:themeColor="text1"/>
          <w:sz w:val="22"/>
        </w:rPr>
        <w:t xml:space="preserve">CONTRATACIÓN CON ESAL – Contrato de asociación – Objeto – Alcance </w:t>
      </w:r>
    </w:p>
    <w:p w14:paraId="3FB71F95" w14:textId="77777777" w:rsidR="009D7FBD" w:rsidRPr="00DE7E39" w:rsidRDefault="009D7FBD" w:rsidP="001F6BFE">
      <w:pPr>
        <w:jc w:val="both"/>
        <w:rPr>
          <w:rFonts w:ascii="Arial" w:eastAsia="Calibri" w:hAnsi="Arial" w:cs="Arial"/>
          <w:b/>
          <w:color w:val="000000" w:themeColor="text1"/>
          <w:sz w:val="22"/>
        </w:rPr>
      </w:pPr>
    </w:p>
    <w:p w14:paraId="0643CEF2" w14:textId="1A67116D" w:rsidR="009D7FBD" w:rsidRPr="00DE7E39" w:rsidRDefault="00975518" w:rsidP="001F6BFE">
      <w:pPr>
        <w:jc w:val="both"/>
        <w:rPr>
          <w:rFonts w:ascii="Arial" w:hAnsi="Arial" w:cs="Arial"/>
          <w:color w:val="000000" w:themeColor="text1"/>
          <w:sz w:val="20"/>
          <w:szCs w:val="20"/>
        </w:rPr>
      </w:pPr>
      <w:r w:rsidRPr="00DE7E39">
        <w:rPr>
          <w:rFonts w:ascii="Arial" w:hAnsi="Arial" w:cs="Arial"/>
          <w:color w:val="000000" w:themeColor="text1"/>
          <w:sz w:val="20"/>
          <w:szCs w:val="20"/>
        </w:rPr>
        <w:t>De otro lado, los convenios de asociación «[t]</w:t>
      </w:r>
      <w:proofErr w:type="spellStart"/>
      <w:r w:rsidRPr="00DE7E39">
        <w:rPr>
          <w:rFonts w:ascii="Arial" w:hAnsi="Arial" w:cs="Arial"/>
          <w:color w:val="000000" w:themeColor="text1"/>
          <w:sz w:val="20"/>
          <w:szCs w:val="20"/>
        </w:rPr>
        <w:t>ienen</w:t>
      </w:r>
      <w:proofErr w:type="spellEnd"/>
      <w:r w:rsidRPr="00DE7E39">
        <w:rPr>
          <w:rFonts w:ascii="Arial" w:hAnsi="Arial" w:cs="Arial"/>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E7E39">
        <w:rPr>
          <w:color w:val="000000" w:themeColor="text1"/>
          <w:sz w:val="20"/>
          <w:szCs w:val="20"/>
        </w:rPr>
        <w:footnoteReference w:id="1"/>
      </w:r>
      <w:r w:rsidRPr="00DE7E39">
        <w:rPr>
          <w:rFonts w:ascii="Arial" w:hAnsi="Arial" w:cs="Arial"/>
          <w:color w:val="000000" w:themeColor="text1"/>
          <w:sz w:val="20"/>
          <w:szCs w:val="20"/>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3A99B9E9" w14:textId="77777777" w:rsidR="00975518" w:rsidRPr="00DE7E39" w:rsidRDefault="00975518" w:rsidP="001F6BFE">
      <w:pPr>
        <w:jc w:val="both"/>
        <w:rPr>
          <w:rFonts w:ascii="Arial" w:hAnsi="Arial" w:cs="Arial"/>
          <w:color w:val="000000" w:themeColor="text1"/>
          <w:sz w:val="20"/>
          <w:szCs w:val="20"/>
        </w:rPr>
      </w:pPr>
    </w:p>
    <w:p w14:paraId="7266D57B" w14:textId="77777777" w:rsidR="009D7FBD" w:rsidRPr="00DE7E39" w:rsidRDefault="009D7FBD" w:rsidP="001F6BFE">
      <w:pPr>
        <w:jc w:val="both"/>
        <w:rPr>
          <w:rFonts w:ascii="Arial" w:eastAsia="Calibri" w:hAnsi="Arial" w:cs="Arial"/>
          <w:b/>
          <w:color w:val="000000" w:themeColor="text1"/>
          <w:sz w:val="22"/>
        </w:rPr>
      </w:pPr>
      <w:r w:rsidRPr="00DE7E39">
        <w:rPr>
          <w:rFonts w:ascii="Arial" w:eastAsia="Calibri" w:hAnsi="Arial" w:cs="Arial"/>
          <w:b/>
          <w:color w:val="000000" w:themeColor="text1"/>
          <w:sz w:val="22"/>
        </w:rPr>
        <w:t>CONVENIOS DE ASOCIACIÓN – Multiplicidad de sujetos – Límites legales</w:t>
      </w:r>
    </w:p>
    <w:p w14:paraId="6E18B908" w14:textId="77777777" w:rsidR="009D7FBD" w:rsidRPr="00DE7E39" w:rsidRDefault="009D7FBD" w:rsidP="001F6BFE">
      <w:pPr>
        <w:jc w:val="both"/>
        <w:rPr>
          <w:rFonts w:ascii="Arial" w:hAnsi="Arial" w:cs="Arial"/>
          <w:color w:val="000000" w:themeColor="text1"/>
          <w:sz w:val="20"/>
          <w:szCs w:val="20"/>
        </w:rPr>
      </w:pPr>
    </w:p>
    <w:p w14:paraId="457F50BB" w14:textId="04D2FE5D" w:rsidR="009D7FBD" w:rsidRPr="00DE7E39" w:rsidRDefault="009D7FBD" w:rsidP="001F6BFE">
      <w:pPr>
        <w:pStyle w:val="Sinespaciado"/>
        <w:jc w:val="both"/>
        <w:rPr>
          <w:rFonts w:ascii="Arial" w:hAnsi="Arial" w:cs="Arial"/>
          <w:color w:val="000000" w:themeColor="text1"/>
          <w:sz w:val="20"/>
          <w:szCs w:val="20"/>
        </w:rPr>
      </w:pPr>
      <w:r w:rsidRPr="00DE7E39">
        <w:rPr>
          <w:rFonts w:ascii="Arial" w:hAnsi="Arial" w:cs="Arial"/>
          <w:color w:val="000000" w:themeColor="text1"/>
          <w:sz w:val="20"/>
          <w:szCs w:val="20"/>
        </w:rPr>
        <w:t xml:space="preserve">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w:t>
      </w:r>
      <w:r w:rsidRPr="00DE7E39">
        <w:rPr>
          <w:rFonts w:ascii="Arial" w:hAnsi="Arial" w:cs="Arial"/>
          <w:color w:val="000000" w:themeColor="text1"/>
          <w:sz w:val="20"/>
          <w:szCs w:val="20"/>
        </w:rPr>
        <w:lastRenderedPageBreak/>
        <w:t xml:space="preserve">al inciso 2 del artículo 5 del Decreto </w:t>
      </w:r>
      <w:r w:rsidR="00085E6B" w:rsidRPr="00DE7E39">
        <w:rPr>
          <w:rFonts w:ascii="Arial" w:hAnsi="Arial" w:cs="Arial"/>
          <w:color w:val="000000" w:themeColor="text1"/>
          <w:sz w:val="20"/>
          <w:szCs w:val="20"/>
        </w:rPr>
        <w:t>0</w:t>
      </w:r>
      <w:r w:rsidRPr="00DE7E39">
        <w:rPr>
          <w:rFonts w:ascii="Arial" w:hAnsi="Arial" w:cs="Arial"/>
          <w:color w:val="000000" w:themeColor="text1"/>
          <w:sz w:val="20"/>
          <w:szCs w:val="20"/>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4048F445" w14:textId="77777777" w:rsidR="009D7FBD" w:rsidRPr="00DE7E39" w:rsidRDefault="009D7FBD" w:rsidP="001F6BFE">
      <w:pPr>
        <w:pStyle w:val="Sinespaciado"/>
        <w:jc w:val="both"/>
        <w:rPr>
          <w:rFonts w:ascii="Arial" w:hAnsi="Arial" w:cs="Arial"/>
          <w:color w:val="000000" w:themeColor="text1"/>
          <w:sz w:val="20"/>
          <w:szCs w:val="20"/>
        </w:rPr>
      </w:pPr>
    </w:p>
    <w:p w14:paraId="49CFC8D7" w14:textId="2D74E4D7" w:rsidR="009D7FBD" w:rsidRPr="00DE7E39" w:rsidRDefault="009D7FBD" w:rsidP="001F6BFE">
      <w:pPr>
        <w:jc w:val="both"/>
        <w:rPr>
          <w:rFonts w:ascii="Arial" w:eastAsia="Calibri" w:hAnsi="Arial" w:cs="Arial"/>
          <w:b/>
          <w:color w:val="000000" w:themeColor="text1"/>
          <w:sz w:val="22"/>
        </w:rPr>
      </w:pPr>
      <w:r w:rsidRPr="00DE7E39">
        <w:rPr>
          <w:rFonts w:ascii="Arial" w:eastAsia="Calibri" w:hAnsi="Arial" w:cs="Arial"/>
          <w:b/>
          <w:color w:val="000000" w:themeColor="text1"/>
          <w:sz w:val="22"/>
        </w:rPr>
        <w:t xml:space="preserve">DECRETO </w:t>
      </w:r>
      <w:r w:rsidR="00085E6B" w:rsidRPr="00DE7E39">
        <w:rPr>
          <w:rFonts w:ascii="Arial" w:eastAsia="Calibri" w:hAnsi="Arial" w:cs="Arial"/>
          <w:b/>
          <w:color w:val="000000" w:themeColor="text1"/>
          <w:sz w:val="22"/>
        </w:rPr>
        <w:t>0</w:t>
      </w:r>
      <w:r w:rsidRPr="00DE7E39">
        <w:rPr>
          <w:rFonts w:ascii="Arial" w:eastAsia="Calibri" w:hAnsi="Arial" w:cs="Arial"/>
          <w:b/>
          <w:color w:val="000000" w:themeColor="text1"/>
          <w:sz w:val="22"/>
        </w:rPr>
        <w:t xml:space="preserve">92 DE 2017 – Criterios – Aplicación </w:t>
      </w:r>
    </w:p>
    <w:p w14:paraId="4358CEC6" w14:textId="77777777" w:rsidR="009D7FBD" w:rsidRPr="00DE7E39" w:rsidRDefault="009D7FBD" w:rsidP="001F6BFE">
      <w:pPr>
        <w:jc w:val="both"/>
        <w:rPr>
          <w:rFonts w:ascii="Arial" w:hAnsi="Arial" w:cs="Arial"/>
          <w:color w:val="000000" w:themeColor="text1"/>
          <w:sz w:val="21"/>
          <w:szCs w:val="21"/>
        </w:rPr>
      </w:pPr>
    </w:p>
    <w:p w14:paraId="410166A2" w14:textId="63AAD99C" w:rsidR="009D7FBD" w:rsidRPr="00DE7E39" w:rsidRDefault="009D7FBD" w:rsidP="001F6BFE">
      <w:pPr>
        <w:jc w:val="both"/>
        <w:rPr>
          <w:rFonts w:ascii="Arial" w:hAnsi="Arial" w:cs="Arial"/>
          <w:color w:val="000000" w:themeColor="text1"/>
          <w:sz w:val="20"/>
          <w:szCs w:val="20"/>
        </w:rPr>
      </w:pPr>
      <w:r w:rsidRPr="00DE7E39">
        <w:rPr>
          <w:rFonts w:ascii="Arial" w:hAnsi="Arial" w:cs="Arial"/>
          <w:color w:val="000000" w:themeColor="text1"/>
          <w:sz w:val="20"/>
          <w:szCs w:val="20"/>
        </w:rPr>
        <w:t xml:space="preserve">[…] </w:t>
      </w:r>
      <w:r w:rsidR="00975518" w:rsidRPr="00DE7E39">
        <w:rPr>
          <w:rFonts w:ascii="Arial" w:hAnsi="Arial" w:cs="Arial"/>
          <w:color w:val="000000" w:themeColor="text1"/>
          <w:sz w:val="20"/>
          <w:szCs w:val="20"/>
        </w:rPr>
        <w:t>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6DCB337C" w14:textId="77777777" w:rsidR="009D7FBD" w:rsidRPr="00DE7E39" w:rsidRDefault="009D7FBD" w:rsidP="001F6BFE">
      <w:pPr>
        <w:pStyle w:val="Sinespaciado"/>
        <w:jc w:val="both"/>
        <w:rPr>
          <w:rFonts w:ascii="Arial" w:hAnsi="Arial" w:cs="Arial"/>
          <w:color w:val="000000" w:themeColor="text1"/>
          <w:sz w:val="20"/>
          <w:szCs w:val="20"/>
        </w:rPr>
      </w:pPr>
    </w:p>
    <w:p w14:paraId="278305B3" w14:textId="77777777" w:rsidR="009D7FBD" w:rsidRPr="00DE7E39" w:rsidRDefault="009D7FBD" w:rsidP="001F6BFE">
      <w:pPr>
        <w:pStyle w:val="Textoindependiente"/>
        <w:ind w:right="102"/>
        <w:jc w:val="both"/>
        <w:rPr>
          <w:b/>
          <w:bCs/>
          <w:color w:val="000000" w:themeColor="text1"/>
        </w:rPr>
      </w:pPr>
      <w:r w:rsidRPr="00DE7E39">
        <w:rPr>
          <w:b/>
          <w:bCs/>
          <w:color w:val="000000" w:themeColor="text1"/>
        </w:rPr>
        <w:t>DECRETO 092 DE 2017 – Suspensión Provisional – Artículos suspendidos</w:t>
      </w:r>
    </w:p>
    <w:p w14:paraId="687E5BFF" w14:textId="77777777" w:rsidR="009D7FBD" w:rsidRPr="00DE7E39" w:rsidRDefault="009D7FBD" w:rsidP="001F6BFE">
      <w:pPr>
        <w:pStyle w:val="Textoindependiente"/>
        <w:ind w:right="102"/>
        <w:jc w:val="both"/>
        <w:rPr>
          <w:b/>
          <w:color w:val="000000" w:themeColor="text1"/>
        </w:rPr>
      </w:pPr>
    </w:p>
    <w:p w14:paraId="529C39C6" w14:textId="787BE8A4" w:rsidR="009D7FBD" w:rsidRPr="00DE7E39" w:rsidRDefault="009D7FBD" w:rsidP="001F6BFE">
      <w:pPr>
        <w:pStyle w:val="Textoindependiente"/>
        <w:ind w:right="102"/>
        <w:jc w:val="both"/>
        <w:rPr>
          <w:color w:val="000000" w:themeColor="text1"/>
          <w:sz w:val="20"/>
          <w:szCs w:val="20"/>
        </w:rPr>
      </w:pPr>
      <w:r w:rsidRPr="00DE7E39">
        <w:rPr>
          <w:color w:val="000000" w:themeColor="text1"/>
          <w:sz w:val="20"/>
          <w:szCs w:val="20"/>
        </w:rPr>
        <w:t xml:space="preserve">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w:t>
      </w:r>
      <w:r w:rsidR="00085E6B" w:rsidRPr="00DE7E39">
        <w:rPr>
          <w:color w:val="000000" w:themeColor="text1"/>
          <w:sz w:val="20"/>
          <w:szCs w:val="20"/>
        </w:rPr>
        <w:t>0</w:t>
      </w:r>
      <w:r w:rsidRPr="00DE7E39">
        <w:rPr>
          <w:color w:val="000000" w:themeColor="text1"/>
          <w:sz w:val="20"/>
          <w:szCs w:val="20"/>
        </w:rPr>
        <w:t>92 de 2017. […] En virtud de este análisis, el Consejo de Estado suspendió provisionalmente el inciso 2 del artículo primero y el inciso 2 del artículo 3, lo que significa que los contratos celebrados con entidades sin ánimo de lucro no tienen que aplicar la «Guía para la contratación con entidades privadas sin ánimo de lucro y de reconocida idoneidad», expedida por la Agencia Nacional de Contratación Pública–Colombia Compra Eficiente. […]</w:t>
      </w:r>
    </w:p>
    <w:p w14:paraId="4E614F99" w14:textId="77777777" w:rsidR="009D7FBD" w:rsidRPr="00DE7E39" w:rsidRDefault="009D7FBD" w:rsidP="001F6BFE">
      <w:pPr>
        <w:pStyle w:val="Textoindependiente"/>
        <w:ind w:right="102"/>
        <w:jc w:val="both"/>
        <w:rPr>
          <w:color w:val="000000" w:themeColor="text1"/>
          <w:sz w:val="20"/>
          <w:szCs w:val="20"/>
        </w:rPr>
      </w:pPr>
    </w:p>
    <w:p w14:paraId="0637854A" w14:textId="4498C1EE" w:rsidR="009D7FBD" w:rsidRPr="00DE7E39" w:rsidRDefault="009D7FBD" w:rsidP="001F6BFE">
      <w:pPr>
        <w:jc w:val="both"/>
        <w:rPr>
          <w:rFonts w:ascii="Arial" w:eastAsia="Arial" w:hAnsi="Arial" w:cs="Arial"/>
          <w:color w:val="000000" w:themeColor="text1"/>
          <w:sz w:val="20"/>
          <w:szCs w:val="20"/>
          <w:lang w:val="es-ES"/>
        </w:rPr>
      </w:pPr>
      <w:r w:rsidRPr="00DE7E39">
        <w:rPr>
          <w:rFonts w:ascii="Arial" w:eastAsia="Arial" w:hAnsi="Arial" w:cs="Arial"/>
          <w:color w:val="000000" w:themeColor="text1"/>
          <w:sz w:val="20"/>
          <w:szCs w:val="20"/>
          <w:lang w:val="es-ES"/>
        </w:rPr>
        <w:t xml:space="preserve">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w:t>
      </w:r>
      <w:r w:rsidR="00085E6B" w:rsidRPr="00DE7E39">
        <w:rPr>
          <w:rFonts w:ascii="Arial" w:eastAsia="Arial" w:hAnsi="Arial" w:cs="Arial"/>
          <w:color w:val="000000" w:themeColor="text1"/>
          <w:sz w:val="20"/>
          <w:szCs w:val="20"/>
          <w:lang w:val="es-ES"/>
        </w:rPr>
        <w:t>0</w:t>
      </w:r>
      <w:r w:rsidRPr="00DE7E39">
        <w:rPr>
          <w:rFonts w:ascii="Arial" w:eastAsia="Arial" w:hAnsi="Arial" w:cs="Arial"/>
          <w:color w:val="000000" w:themeColor="text1"/>
          <w:sz w:val="20"/>
          <w:szCs w:val="20"/>
          <w:lang w:val="es-ES"/>
        </w:rPr>
        <w:t xml:space="preserve">92 de 2017. […] </w:t>
      </w:r>
    </w:p>
    <w:p w14:paraId="1B012028" w14:textId="77777777" w:rsidR="009D7FBD" w:rsidRPr="00DE7E39" w:rsidRDefault="009D7FBD" w:rsidP="001F6BFE">
      <w:pPr>
        <w:jc w:val="both"/>
        <w:rPr>
          <w:rFonts w:ascii="Arial" w:eastAsia="Arial" w:hAnsi="Arial" w:cs="Arial"/>
          <w:color w:val="000000" w:themeColor="text1"/>
          <w:sz w:val="20"/>
          <w:szCs w:val="20"/>
          <w:lang w:val="es-ES"/>
        </w:rPr>
      </w:pPr>
    </w:p>
    <w:p w14:paraId="22246D1D" w14:textId="3DE05D2E" w:rsidR="009D7FBD" w:rsidRPr="00DE7E39" w:rsidRDefault="00975518" w:rsidP="001F6BFE">
      <w:pPr>
        <w:jc w:val="both"/>
        <w:rPr>
          <w:rFonts w:ascii="Arial" w:eastAsia="Arial" w:hAnsi="Arial" w:cs="Arial"/>
          <w:color w:val="000000" w:themeColor="text1"/>
          <w:sz w:val="20"/>
          <w:szCs w:val="20"/>
          <w:lang w:val="es-ES"/>
        </w:rPr>
      </w:pPr>
      <w:r w:rsidRPr="00DE7E39">
        <w:rPr>
          <w:rFonts w:ascii="Arial" w:eastAsia="Arial" w:hAnsi="Arial" w:cs="Arial"/>
          <w:color w:val="000000" w:themeColor="text1"/>
          <w:sz w:val="20"/>
          <w:szCs w:val="20"/>
          <w:lang w:val="es-ES"/>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En estos procesos, entonces, se debe acudir a los criterios aplicables a los otros negocios jurídicos que regula el Decreto 092 de 2017, particularmente las exigencias del artículo 2 ibidem. Incluso, habría que tener en cuenta las exigencias del inciso 2 del artículo 4 </w:t>
      </w:r>
      <w:proofErr w:type="spellStart"/>
      <w:r w:rsidRPr="00DE7E39">
        <w:rPr>
          <w:rFonts w:ascii="Arial" w:eastAsia="Arial" w:hAnsi="Arial" w:cs="Arial"/>
          <w:color w:val="000000" w:themeColor="text1"/>
          <w:sz w:val="20"/>
          <w:szCs w:val="20"/>
          <w:lang w:val="es-ES"/>
        </w:rPr>
        <w:t>íbídem</w:t>
      </w:r>
      <w:proofErr w:type="spellEnd"/>
      <w:r w:rsidRPr="00DE7E39">
        <w:rPr>
          <w:rFonts w:ascii="Arial" w:eastAsia="Arial" w:hAnsi="Arial" w:cs="Arial"/>
          <w:color w:val="000000" w:themeColor="text1"/>
          <w:sz w:val="20"/>
          <w:szCs w:val="20"/>
          <w:lang w:val="es-ES"/>
        </w:rPr>
        <w:t>, claro está, siempre que se configuren los supuestos de aplicación de dicha normativa, esto es, siempre que exista más de una entidad sin ánimo de lucro de reconocida idoneidad.</w:t>
      </w:r>
    </w:p>
    <w:p w14:paraId="63638E5E" w14:textId="77777777" w:rsidR="00975518" w:rsidRPr="00DE7E39" w:rsidRDefault="00975518" w:rsidP="001F6BFE">
      <w:pPr>
        <w:jc w:val="both"/>
        <w:rPr>
          <w:rFonts w:ascii="Arial" w:eastAsia="Arial" w:hAnsi="Arial" w:cs="Arial"/>
          <w:color w:val="000000" w:themeColor="text1"/>
          <w:sz w:val="20"/>
          <w:szCs w:val="20"/>
          <w:lang w:val="es-ES"/>
        </w:rPr>
      </w:pPr>
    </w:p>
    <w:p w14:paraId="6A7AB15F" w14:textId="77777777" w:rsidR="009D7FBD" w:rsidRPr="00DE7E39" w:rsidRDefault="009D7FBD" w:rsidP="001F6BFE">
      <w:pPr>
        <w:jc w:val="both"/>
        <w:rPr>
          <w:rFonts w:ascii="Arial" w:eastAsia="Arial" w:hAnsi="Arial" w:cs="Arial"/>
          <w:b/>
          <w:bCs/>
          <w:color w:val="000000" w:themeColor="text1"/>
          <w:sz w:val="22"/>
          <w:lang w:val="es-ES"/>
        </w:rPr>
      </w:pPr>
      <w:r w:rsidRPr="00DE7E39">
        <w:rPr>
          <w:rFonts w:ascii="Arial" w:eastAsia="Arial" w:hAnsi="Arial" w:cs="Arial"/>
          <w:b/>
          <w:bCs/>
          <w:color w:val="000000" w:themeColor="text1"/>
          <w:sz w:val="22"/>
          <w:lang w:val="es-ES"/>
        </w:rPr>
        <w:t xml:space="preserve">DECRETO 092 DE 2017 – Normativa vigente </w:t>
      </w:r>
    </w:p>
    <w:p w14:paraId="7FF3806B" w14:textId="77777777" w:rsidR="009D7FBD" w:rsidRPr="00DE7E39" w:rsidRDefault="009D7FBD" w:rsidP="001F6BFE">
      <w:pPr>
        <w:jc w:val="both"/>
        <w:rPr>
          <w:rFonts w:ascii="Arial" w:eastAsia="Arial" w:hAnsi="Arial" w:cs="Arial"/>
          <w:b/>
          <w:bCs/>
          <w:color w:val="000000" w:themeColor="text1"/>
          <w:sz w:val="22"/>
          <w:lang w:val="es-ES"/>
        </w:rPr>
      </w:pPr>
    </w:p>
    <w:p w14:paraId="01257E45" w14:textId="3354A619" w:rsidR="009D7FBD" w:rsidRPr="00DE7E39" w:rsidRDefault="00975518" w:rsidP="001F6BFE">
      <w:pPr>
        <w:jc w:val="both"/>
        <w:rPr>
          <w:rFonts w:ascii="Arial" w:eastAsia="Arial" w:hAnsi="Arial" w:cs="Arial"/>
          <w:b/>
          <w:bCs/>
          <w:color w:val="000000" w:themeColor="text1"/>
          <w:sz w:val="22"/>
          <w:lang w:val="es-ES"/>
        </w:rPr>
      </w:pPr>
      <w:r w:rsidRPr="00DE7E39">
        <w:rPr>
          <w:rFonts w:ascii="Arial" w:hAnsi="Arial" w:cs="Arial"/>
          <w:color w:val="000000" w:themeColor="text1"/>
          <w:sz w:val="20"/>
          <w:szCs w:val="20"/>
        </w:rPr>
        <w:t xml:space="preserve">En este orden de ideas, la contratación con entidades sin ánimo de lucro se sigue rigiendo por el Decreto </w:t>
      </w:r>
      <w:r w:rsidR="00085E6B" w:rsidRPr="00DE7E39">
        <w:rPr>
          <w:rFonts w:ascii="Arial" w:hAnsi="Arial" w:cs="Arial"/>
          <w:color w:val="000000" w:themeColor="text1"/>
          <w:sz w:val="20"/>
          <w:szCs w:val="20"/>
        </w:rPr>
        <w:t>0</w:t>
      </w:r>
      <w:r w:rsidRPr="00DE7E39">
        <w:rPr>
          <w:rFonts w:ascii="Arial" w:hAnsi="Arial" w:cs="Arial"/>
          <w:color w:val="000000" w:themeColor="text1"/>
          <w:sz w:val="20"/>
          <w:szCs w:val="20"/>
        </w:rPr>
        <w:t xml:space="preserve">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DE7E39">
        <w:rPr>
          <w:rFonts w:ascii="Arial" w:hAnsi="Arial" w:cs="Arial"/>
          <w:color w:val="000000" w:themeColor="text1"/>
          <w:sz w:val="20"/>
          <w:szCs w:val="20"/>
        </w:rPr>
        <w:t>ii</w:t>
      </w:r>
      <w:proofErr w:type="spellEnd"/>
      <w:r w:rsidRPr="00DE7E39">
        <w:rPr>
          <w:rFonts w:ascii="Arial" w:hAnsi="Arial" w:cs="Arial"/>
          <w:color w:val="000000" w:themeColor="text1"/>
          <w:sz w:val="20"/>
          <w:szCs w:val="20"/>
        </w:rPr>
        <w:t xml:space="preserve">) tampoco </w:t>
      </w:r>
      <w:r w:rsidRPr="00DE7E39">
        <w:rPr>
          <w:rFonts w:ascii="Arial" w:hAnsi="Arial" w:cs="Arial"/>
          <w:color w:val="000000" w:themeColor="text1"/>
          <w:sz w:val="20"/>
          <w:szCs w:val="20"/>
        </w:rPr>
        <w:lastRenderedPageBreak/>
        <w:t xml:space="preserve">debe condicionarse a que la contratación con las ESAL garantice la optimización de los recursos públicos en términos de eficiencia, eficacia, economía y manejo del riesgo; </w:t>
      </w:r>
      <w:proofErr w:type="spellStart"/>
      <w:r w:rsidRPr="00DE7E39">
        <w:rPr>
          <w:rFonts w:ascii="Arial" w:hAnsi="Arial" w:cs="Arial"/>
          <w:color w:val="000000" w:themeColor="text1"/>
          <w:sz w:val="20"/>
          <w:szCs w:val="20"/>
        </w:rPr>
        <w:t>iii</w:t>
      </w:r>
      <w:proofErr w:type="spellEnd"/>
      <w:r w:rsidRPr="00DE7E39">
        <w:rPr>
          <w:rFonts w:ascii="Arial" w:hAnsi="Arial" w:cs="Arial"/>
          <w:color w:val="000000" w:themeColor="text1"/>
          <w:sz w:val="20"/>
          <w:szCs w:val="20"/>
        </w:rPr>
        <w:t xml:space="preserve">) el objeto del contrato debe estar acorde con el plan nacional o seccional de desarrollo; </w:t>
      </w:r>
      <w:proofErr w:type="spellStart"/>
      <w:r w:rsidRPr="00DE7E39">
        <w:rPr>
          <w:rFonts w:ascii="Arial" w:hAnsi="Arial" w:cs="Arial"/>
          <w:color w:val="000000" w:themeColor="text1"/>
          <w:sz w:val="20"/>
          <w:szCs w:val="20"/>
        </w:rPr>
        <w:t>iv</w:t>
      </w:r>
      <w:proofErr w:type="spellEnd"/>
      <w:r w:rsidRPr="00DE7E39">
        <w:rPr>
          <w:rFonts w:ascii="Arial" w:hAnsi="Arial" w:cs="Arial"/>
          <w:color w:val="000000" w:themeColor="text1"/>
          <w:sz w:val="20"/>
          <w:szCs w:val="20"/>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DE7E39">
        <w:rPr>
          <w:rFonts w:ascii="Arial" w:hAnsi="Arial" w:cs="Arial"/>
          <w:color w:val="000000" w:themeColor="text1"/>
          <w:sz w:val="20"/>
          <w:szCs w:val="20"/>
        </w:rPr>
        <w:t>iii</w:t>
      </w:r>
      <w:proofErr w:type="spellEnd"/>
      <w:r w:rsidRPr="00DE7E39">
        <w:rPr>
          <w:rFonts w:ascii="Arial" w:hAnsi="Arial" w:cs="Arial"/>
          <w:color w:val="000000" w:themeColor="text1"/>
          <w:sz w:val="20"/>
          <w:szCs w:val="20"/>
        </w:rPr>
        <w:t>); y v) el contrato no debe establecer una relación conmutativa en el cual haya una contraprestación directa a favor de la entidad, ni instrucciones precisas dadas por esta al contratista para cumplir con el objeto del contrato.</w:t>
      </w:r>
    </w:p>
    <w:p w14:paraId="53524EB3" w14:textId="77777777" w:rsidR="009D7FBD" w:rsidRPr="00DE7E39" w:rsidRDefault="009D7FBD" w:rsidP="001F6BFE">
      <w:pPr>
        <w:rPr>
          <w:rFonts w:ascii="Arial" w:hAnsi="Arial" w:cs="Arial"/>
          <w:b/>
          <w:color w:val="000000" w:themeColor="text1"/>
          <w:sz w:val="16"/>
          <w:szCs w:val="16"/>
          <w:lang w:eastAsia="es-ES"/>
        </w:rPr>
      </w:pPr>
    </w:p>
    <w:p w14:paraId="3FAD954B" w14:textId="1A1E863A" w:rsidR="00CF2D16" w:rsidRPr="00DE7E39" w:rsidRDefault="00CF2D16">
      <w:pPr>
        <w:spacing w:after="200" w:line="276" w:lineRule="auto"/>
        <w:rPr>
          <w:rFonts w:ascii="Arial" w:hAnsi="Arial" w:cs="Arial"/>
          <w:b/>
          <w:color w:val="000000" w:themeColor="text1"/>
          <w:sz w:val="16"/>
          <w:szCs w:val="16"/>
          <w:lang w:eastAsia="es-ES"/>
        </w:rPr>
      </w:pPr>
      <w:r w:rsidRPr="00DE7E39">
        <w:rPr>
          <w:rFonts w:ascii="Arial" w:hAnsi="Arial" w:cs="Arial"/>
          <w:b/>
          <w:color w:val="000000" w:themeColor="text1"/>
          <w:sz w:val="16"/>
          <w:szCs w:val="16"/>
          <w:lang w:eastAsia="es-ES"/>
        </w:rPr>
        <w:br w:type="page"/>
      </w:r>
    </w:p>
    <w:p w14:paraId="2F42EE3E" w14:textId="55362A2E" w:rsidR="00FA65E9" w:rsidRDefault="00FA65E9" w:rsidP="00FA65E9">
      <w:pPr>
        <w:autoSpaceDE w:val="0"/>
        <w:autoSpaceDN w:val="0"/>
        <w:adjustRightInd w:val="0"/>
        <w:rPr>
          <w:rFonts w:ascii="Arial" w:hAnsi="Arial" w:cs="Arial"/>
          <w:b/>
          <w:color w:val="000000" w:themeColor="text1"/>
          <w:sz w:val="16"/>
          <w:szCs w:val="16"/>
          <w:lang w:eastAsia="es-ES"/>
        </w:rPr>
      </w:pPr>
      <w:r w:rsidRPr="00FA65E9">
        <w:rPr>
          <w:rFonts w:ascii="Arial" w:hAnsi="Arial" w:cs="Arial"/>
          <w:b/>
          <w:noProof/>
          <w:color w:val="000000" w:themeColor="text1"/>
          <w:sz w:val="16"/>
          <w:szCs w:val="16"/>
          <w:lang w:eastAsia="es-ES"/>
        </w:rPr>
        <w:lastRenderedPageBreak/>
        <w:drawing>
          <wp:anchor distT="0" distB="0" distL="114300" distR="114300" simplePos="0" relativeHeight="251658240" behindDoc="1" locked="0" layoutInCell="1" allowOverlap="1" wp14:anchorId="48066AD9" wp14:editId="1A578378">
            <wp:simplePos x="0" y="0"/>
            <wp:positionH relativeFrom="margin">
              <wp:posOffset>2101755</wp:posOffset>
            </wp:positionH>
            <wp:positionV relativeFrom="paragraph">
              <wp:posOffset>-695676</wp:posOffset>
            </wp:positionV>
            <wp:extent cx="3766782" cy="932958"/>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6782" cy="932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9C2" w:rsidRPr="00DE7E39">
        <w:rPr>
          <w:rFonts w:ascii="Arial" w:hAnsi="Arial" w:cs="Arial"/>
          <w:b/>
          <w:color w:val="000000" w:themeColor="text1"/>
          <w:sz w:val="16"/>
          <w:szCs w:val="16"/>
          <w:lang w:eastAsia="es-ES"/>
        </w:rPr>
        <w:tab/>
      </w:r>
    </w:p>
    <w:p w14:paraId="5159639F" w14:textId="77777777" w:rsidR="00FA65E9" w:rsidRDefault="00FA65E9" w:rsidP="00FA65E9">
      <w:pPr>
        <w:autoSpaceDE w:val="0"/>
        <w:autoSpaceDN w:val="0"/>
        <w:adjustRightInd w:val="0"/>
        <w:rPr>
          <w:rFonts w:ascii="Arial" w:hAnsi="Arial" w:cs="Arial"/>
          <w:b/>
          <w:color w:val="000000" w:themeColor="text1"/>
          <w:sz w:val="16"/>
          <w:szCs w:val="16"/>
          <w:lang w:eastAsia="es-ES"/>
        </w:rPr>
      </w:pPr>
    </w:p>
    <w:p w14:paraId="0AAD0FC9" w14:textId="35BA90FF" w:rsidR="00FA65E9" w:rsidRDefault="00FA65E9" w:rsidP="00FA65E9">
      <w:pPr>
        <w:autoSpaceDE w:val="0"/>
        <w:autoSpaceDN w:val="0"/>
        <w:adjustRightInd w:val="0"/>
        <w:jc w:val="right"/>
        <w:rPr>
          <w:rFonts w:ascii="Arial-BoldMT" w:hAnsi="Arial-BoldMT" w:cs="Arial-BoldMT"/>
          <w:b/>
          <w:bCs/>
          <w:color w:val="595959"/>
          <w:sz w:val="18"/>
          <w:szCs w:val="18"/>
          <w:lang w:val="es-CO"/>
        </w:rPr>
      </w:pPr>
      <w:r>
        <w:rPr>
          <w:rFonts w:ascii="Arial-BoldMT" w:hAnsi="Arial-BoldMT" w:cs="Arial-BoldMT"/>
          <w:b/>
          <w:bCs/>
          <w:color w:val="595959"/>
          <w:sz w:val="18"/>
          <w:szCs w:val="18"/>
          <w:lang w:val="es-CO"/>
        </w:rPr>
        <w:t>CCE-DES-FM-17</w:t>
      </w:r>
    </w:p>
    <w:p w14:paraId="25CEBE13" w14:textId="77777777" w:rsidR="00FA65E9" w:rsidRDefault="00FA65E9" w:rsidP="00FA65E9">
      <w:pPr>
        <w:rPr>
          <w:rFonts w:ascii="ArialMT" w:eastAsia="ArialMT" w:hAnsi="Arial-BoldMT" w:cs="ArialMT"/>
          <w:color w:val="4E4D4D"/>
          <w:sz w:val="22"/>
          <w:lang w:val="es-CO"/>
        </w:rPr>
      </w:pPr>
    </w:p>
    <w:p w14:paraId="0DA2CEBD" w14:textId="6D4FB48F" w:rsidR="008F5656" w:rsidRPr="00DE7E39" w:rsidRDefault="00FA65E9" w:rsidP="00FA65E9">
      <w:pPr>
        <w:rPr>
          <w:rFonts w:ascii="Arial" w:hAnsi="Arial" w:cs="Arial"/>
          <w:sz w:val="22"/>
        </w:rPr>
      </w:pPr>
      <w:r>
        <w:rPr>
          <w:rFonts w:ascii="ArialMT" w:eastAsia="ArialMT" w:hAnsi="Arial-BoldMT" w:cs="ArialMT"/>
          <w:color w:val="4E4D4D"/>
          <w:sz w:val="22"/>
          <w:lang w:val="es-CO"/>
        </w:rPr>
        <w:t>Bogot</w:t>
      </w:r>
      <w:r>
        <w:rPr>
          <w:rFonts w:ascii="ArialMT" w:eastAsia="ArialMT" w:hAnsi="Arial-BoldMT" w:cs="ArialMT" w:hint="eastAsia"/>
          <w:color w:val="4E4D4D"/>
          <w:sz w:val="22"/>
          <w:lang w:val="es-CO"/>
        </w:rPr>
        <w:t>á</w:t>
      </w:r>
      <w:r>
        <w:rPr>
          <w:rFonts w:ascii="ArialMT" w:eastAsia="ArialMT" w:hAnsi="Arial-BoldMT" w:cs="ArialMT"/>
          <w:color w:val="4E4D4D"/>
          <w:sz w:val="22"/>
          <w:lang w:val="es-CO"/>
        </w:rPr>
        <w:t>, 05 Mayo 2022</w:t>
      </w:r>
    </w:p>
    <w:p w14:paraId="7119C379" w14:textId="77777777" w:rsidR="00404AFD" w:rsidRPr="00DE7E39" w:rsidRDefault="00404AFD" w:rsidP="0DDCC654">
      <w:pPr>
        <w:jc w:val="right"/>
        <w:rPr>
          <w:rFonts w:ascii="Arial" w:hAnsi="Arial" w:cs="Arial"/>
          <w:sz w:val="22"/>
        </w:rPr>
      </w:pPr>
    </w:p>
    <w:p w14:paraId="173799A3" w14:textId="77777777" w:rsidR="00956D8A" w:rsidRPr="00DE7E39" w:rsidRDefault="00956D8A" w:rsidP="00956D8A">
      <w:pPr>
        <w:rPr>
          <w:rFonts w:ascii="Arial" w:eastAsia="Calibri" w:hAnsi="Arial" w:cs="Arial"/>
          <w:color w:val="000000" w:themeColor="text1"/>
          <w:sz w:val="22"/>
        </w:rPr>
      </w:pPr>
      <w:r w:rsidRPr="00DE7E39">
        <w:rPr>
          <w:rFonts w:ascii="Arial" w:eastAsia="Calibri" w:hAnsi="Arial" w:cs="Arial"/>
          <w:color w:val="000000" w:themeColor="text1"/>
          <w:sz w:val="22"/>
        </w:rPr>
        <w:t>Señor</w:t>
      </w:r>
    </w:p>
    <w:p w14:paraId="176E8736" w14:textId="63DBFF08" w:rsidR="00C133B6" w:rsidRPr="00DE7E39" w:rsidRDefault="00956D8A" w:rsidP="00956D8A">
      <w:pPr>
        <w:rPr>
          <w:rFonts w:ascii="Arial" w:eastAsia="Calibri" w:hAnsi="Arial" w:cs="Arial"/>
          <w:b/>
          <w:color w:val="000000" w:themeColor="text1"/>
          <w:sz w:val="22"/>
        </w:rPr>
      </w:pPr>
      <w:r w:rsidRPr="00DE7E39">
        <w:rPr>
          <w:rFonts w:ascii="Arial" w:eastAsia="Calibri" w:hAnsi="Arial" w:cs="Arial"/>
          <w:b/>
          <w:color w:val="000000" w:themeColor="text1"/>
          <w:sz w:val="22"/>
        </w:rPr>
        <w:t xml:space="preserve">Arnulfo Meneses </w:t>
      </w:r>
      <w:proofErr w:type="spellStart"/>
      <w:r w:rsidRPr="00DE7E39">
        <w:rPr>
          <w:rFonts w:ascii="Arial" w:eastAsia="Calibri" w:hAnsi="Arial" w:cs="Arial"/>
          <w:b/>
          <w:color w:val="000000" w:themeColor="text1"/>
          <w:sz w:val="22"/>
        </w:rPr>
        <w:t>Villamarin</w:t>
      </w:r>
      <w:proofErr w:type="spellEnd"/>
    </w:p>
    <w:p w14:paraId="0645E755" w14:textId="186C1178" w:rsidR="00C133B6" w:rsidRPr="00DE7E39" w:rsidRDefault="008A1DDB" w:rsidP="00C133B6">
      <w:pPr>
        <w:rPr>
          <w:rFonts w:ascii="Arial" w:eastAsia="Calibri" w:hAnsi="Arial" w:cs="Arial"/>
          <w:bCs/>
          <w:color w:val="000000" w:themeColor="text1"/>
          <w:sz w:val="22"/>
        </w:rPr>
      </w:pPr>
      <w:r w:rsidRPr="00DE7E39">
        <w:rPr>
          <w:rFonts w:ascii="Arial" w:eastAsia="Calibri" w:hAnsi="Arial" w:cs="Arial"/>
          <w:bCs/>
          <w:color w:val="000000" w:themeColor="text1"/>
          <w:sz w:val="22"/>
        </w:rPr>
        <w:t>Armenia</w:t>
      </w:r>
      <w:r w:rsidR="00C133B6" w:rsidRPr="00DE7E39">
        <w:rPr>
          <w:rFonts w:ascii="Arial" w:eastAsia="Calibri" w:hAnsi="Arial" w:cs="Arial"/>
          <w:bCs/>
          <w:color w:val="000000" w:themeColor="text1"/>
          <w:sz w:val="22"/>
        </w:rPr>
        <w:t xml:space="preserve">, </w:t>
      </w:r>
      <w:r w:rsidRPr="00DE7E39">
        <w:rPr>
          <w:rFonts w:ascii="Arial" w:eastAsia="Calibri" w:hAnsi="Arial" w:cs="Arial"/>
          <w:bCs/>
          <w:color w:val="000000" w:themeColor="text1"/>
          <w:sz w:val="22"/>
        </w:rPr>
        <w:t xml:space="preserve">Quindío </w:t>
      </w:r>
    </w:p>
    <w:p w14:paraId="42C84AA5" w14:textId="77777777" w:rsidR="00C133B6" w:rsidRPr="00DE7E39" w:rsidRDefault="00C133B6" w:rsidP="00C133B6">
      <w:pPr>
        <w:rPr>
          <w:rFonts w:ascii="Arial" w:eastAsia="Calibri" w:hAnsi="Arial" w:cs="Arial"/>
          <w:bCs/>
          <w:color w:val="000000" w:themeColor="text1"/>
          <w:sz w:val="22"/>
        </w:rPr>
      </w:pPr>
    </w:p>
    <w:p w14:paraId="18E48093" w14:textId="77777777" w:rsidR="00C133B6" w:rsidRPr="00DE7E39" w:rsidRDefault="00C133B6" w:rsidP="00C133B6">
      <w:pPr>
        <w:rPr>
          <w:rFonts w:ascii="Arial" w:eastAsia="Calibri" w:hAnsi="Arial" w:cs="Arial"/>
          <w:bCs/>
          <w:color w:val="000000" w:themeColor="text1"/>
          <w:sz w:val="22"/>
        </w:rPr>
      </w:pPr>
    </w:p>
    <w:p w14:paraId="112538B5" w14:textId="7284BD27" w:rsidR="00C133B6" w:rsidRPr="00195545" w:rsidRDefault="00C133B6" w:rsidP="00195545">
      <w:pPr>
        <w:jc w:val="center"/>
        <w:rPr>
          <w:rFonts w:ascii="Arial" w:eastAsia="Calibri" w:hAnsi="Arial" w:cs="Arial"/>
          <w:b/>
          <w:sz w:val="22"/>
        </w:rPr>
      </w:pPr>
      <w:r w:rsidRPr="00195545">
        <w:rPr>
          <w:rFonts w:ascii="Arial" w:eastAsia="Calibri" w:hAnsi="Arial" w:cs="Arial"/>
          <w:b/>
          <w:sz w:val="22"/>
        </w:rPr>
        <w:t xml:space="preserve">Concepto C – </w:t>
      </w:r>
      <w:r w:rsidR="003E674F" w:rsidRPr="00195545">
        <w:rPr>
          <w:rFonts w:ascii="Arial" w:eastAsia="Calibri" w:hAnsi="Arial" w:cs="Arial"/>
          <w:b/>
          <w:sz w:val="22"/>
        </w:rPr>
        <w:t>274</w:t>
      </w:r>
      <w:r w:rsidRPr="00195545">
        <w:rPr>
          <w:rFonts w:ascii="Arial" w:eastAsia="Calibri" w:hAnsi="Arial" w:cs="Arial"/>
          <w:b/>
          <w:sz w:val="22"/>
        </w:rPr>
        <w:t xml:space="preserve"> de 2022</w:t>
      </w:r>
    </w:p>
    <w:p w14:paraId="5BFD3F29" w14:textId="77777777" w:rsidR="00C133B6" w:rsidRPr="00DE7E39" w:rsidRDefault="00C133B6" w:rsidP="00C133B6">
      <w:pPr>
        <w:rPr>
          <w:rFonts w:ascii="Arial" w:eastAsia="Calibri" w:hAnsi="Arial" w:cs="Arial"/>
          <w:color w:val="000000" w:themeColor="text1"/>
          <w:sz w:val="22"/>
        </w:rPr>
      </w:pPr>
    </w:p>
    <w:tbl>
      <w:tblPr>
        <w:tblStyle w:val="Tablaconcuadrcula"/>
        <w:tblW w:w="8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51"/>
        <w:gridCol w:w="6149"/>
      </w:tblGrid>
      <w:tr w:rsidR="00C133B6" w:rsidRPr="00DE7E39" w14:paraId="06691F2C" w14:textId="77777777" w:rsidTr="00A53405">
        <w:trPr>
          <w:trHeight w:val="1688"/>
        </w:trPr>
        <w:tc>
          <w:tcPr>
            <w:tcW w:w="2651" w:type="dxa"/>
            <w:hideMark/>
          </w:tcPr>
          <w:p w14:paraId="1D6CE5B5" w14:textId="77777777" w:rsidR="00C133B6" w:rsidRPr="00DE7E39" w:rsidRDefault="00C133B6" w:rsidP="00A53405">
            <w:pPr>
              <w:rPr>
                <w:rFonts w:ascii="Arial" w:eastAsia="Calibri" w:hAnsi="Arial" w:cs="Arial"/>
                <w:color w:val="000000" w:themeColor="text1"/>
                <w:sz w:val="22"/>
              </w:rPr>
            </w:pPr>
            <w:r w:rsidRPr="00DE7E39">
              <w:rPr>
                <w:rFonts w:ascii="Arial" w:eastAsia="Calibri" w:hAnsi="Arial" w:cs="Arial"/>
                <w:b/>
                <w:color w:val="000000" w:themeColor="text1"/>
                <w:sz w:val="22"/>
              </w:rPr>
              <w:t>Temas:</w:t>
            </w:r>
            <w:r w:rsidRPr="00DE7E39">
              <w:rPr>
                <w:rFonts w:ascii="Arial" w:eastAsia="Calibri" w:hAnsi="Arial" w:cs="Arial"/>
                <w:color w:val="000000" w:themeColor="text1"/>
                <w:sz w:val="22"/>
              </w:rPr>
              <w:t xml:space="preserve">           </w:t>
            </w:r>
          </w:p>
          <w:p w14:paraId="75B5141D" w14:textId="77777777" w:rsidR="00C133B6" w:rsidRPr="00DE7E39" w:rsidRDefault="00C133B6" w:rsidP="00A53405">
            <w:pPr>
              <w:rPr>
                <w:rFonts w:ascii="Arial" w:eastAsia="Calibri" w:hAnsi="Arial" w:cs="Arial"/>
                <w:color w:val="000000" w:themeColor="text1"/>
                <w:sz w:val="22"/>
              </w:rPr>
            </w:pPr>
            <w:r w:rsidRPr="00DE7E39">
              <w:rPr>
                <w:rFonts w:ascii="Arial" w:eastAsia="Calibri" w:hAnsi="Arial" w:cs="Arial"/>
                <w:color w:val="000000" w:themeColor="text1"/>
                <w:sz w:val="22"/>
              </w:rPr>
              <w:t xml:space="preserve">                           </w:t>
            </w:r>
          </w:p>
        </w:tc>
        <w:tc>
          <w:tcPr>
            <w:tcW w:w="6149" w:type="dxa"/>
            <w:hideMark/>
          </w:tcPr>
          <w:p w14:paraId="3ED181B0" w14:textId="77777777" w:rsidR="00C133B6" w:rsidRPr="008362AF" w:rsidRDefault="00C133B6" w:rsidP="008362AF">
            <w:pPr>
              <w:widowControl w:val="0"/>
              <w:autoSpaceDE w:val="0"/>
              <w:autoSpaceDN w:val="0"/>
              <w:adjustRightInd w:val="0"/>
              <w:spacing w:line="300" w:lineRule="atLeast"/>
              <w:rPr>
                <w:rFonts w:ascii="Arial" w:hAnsi="Arial" w:cs="Arial"/>
                <w:color w:val="000000" w:themeColor="text1"/>
                <w:sz w:val="22"/>
                <w:lang w:val="es-ES_tradnl"/>
              </w:rPr>
            </w:pPr>
            <w:r w:rsidRPr="008362AF">
              <w:rPr>
                <w:rFonts w:ascii="Arial" w:hAnsi="Arial" w:cs="Arial"/>
                <w:color w:val="000000" w:themeColor="text1"/>
                <w:sz w:val="22"/>
                <w:lang w:val="es-ES_tradnl"/>
              </w:rPr>
              <w:t xml:space="preserve">DECRETO 092 DE 2017 – Finalidad – Clases de contratos / CONTRATACIÓN CON ESAL – Contrato de colaboración – Objeto – Alcance / CONTRATACIÓN CON ESAL – Contrato de asociación – Objeto – Alcance / CONVENIOS DE ASOCIACIÓN – Multiplicidad de sujetos – Límites legales / DECRETO 092 DE 2017 – Criterios – Aplicación / DECRETO 092 DE 2017 – Suspensión Provisional – Artículos suspendidos / DECRETO 092 DE 2017 – Normativa vigente </w:t>
            </w:r>
          </w:p>
        </w:tc>
      </w:tr>
      <w:tr w:rsidR="00C133B6" w:rsidRPr="00DE7E39" w14:paraId="1B6E3C33" w14:textId="77777777" w:rsidTr="00A53405">
        <w:trPr>
          <w:trHeight w:val="256"/>
        </w:trPr>
        <w:tc>
          <w:tcPr>
            <w:tcW w:w="2651" w:type="dxa"/>
          </w:tcPr>
          <w:p w14:paraId="09DD937C" w14:textId="77777777" w:rsidR="00C133B6" w:rsidRPr="00DE7E39" w:rsidRDefault="00C133B6" w:rsidP="00A53405">
            <w:pPr>
              <w:rPr>
                <w:rFonts w:ascii="Arial" w:eastAsia="Calibri" w:hAnsi="Arial" w:cs="Arial"/>
                <w:b/>
                <w:color w:val="000000" w:themeColor="text1"/>
                <w:sz w:val="22"/>
              </w:rPr>
            </w:pPr>
            <w:r w:rsidRPr="00DE7E39">
              <w:rPr>
                <w:rFonts w:ascii="Arial" w:eastAsia="Calibri" w:hAnsi="Arial" w:cs="Arial"/>
                <w:b/>
                <w:color w:val="000000" w:themeColor="text1"/>
                <w:sz w:val="22"/>
              </w:rPr>
              <w:t>Radicación:</w:t>
            </w:r>
            <w:r w:rsidRPr="00DE7E39">
              <w:rPr>
                <w:rFonts w:ascii="Arial" w:eastAsia="Calibri" w:hAnsi="Arial" w:cs="Arial"/>
                <w:color w:val="000000" w:themeColor="text1"/>
                <w:sz w:val="22"/>
              </w:rPr>
              <w:t xml:space="preserve">                              </w:t>
            </w:r>
          </w:p>
        </w:tc>
        <w:tc>
          <w:tcPr>
            <w:tcW w:w="6149" w:type="dxa"/>
          </w:tcPr>
          <w:p w14:paraId="146FADE1" w14:textId="45B0249D" w:rsidR="00C133B6" w:rsidRPr="008362AF" w:rsidRDefault="00C133B6" w:rsidP="008362AF">
            <w:pPr>
              <w:widowControl w:val="0"/>
              <w:autoSpaceDE w:val="0"/>
              <w:autoSpaceDN w:val="0"/>
              <w:adjustRightInd w:val="0"/>
              <w:spacing w:line="300" w:lineRule="atLeast"/>
              <w:rPr>
                <w:rFonts w:ascii="Arial" w:hAnsi="Arial" w:cs="Arial"/>
                <w:color w:val="000000" w:themeColor="text1"/>
                <w:sz w:val="22"/>
                <w:lang w:val="es-ES_tradnl"/>
              </w:rPr>
            </w:pPr>
            <w:r w:rsidRPr="008362AF">
              <w:rPr>
                <w:rFonts w:ascii="Arial" w:hAnsi="Arial" w:cs="Arial"/>
                <w:color w:val="000000" w:themeColor="text1"/>
                <w:sz w:val="22"/>
                <w:lang w:val="es-ES_tradnl"/>
              </w:rPr>
              <w:t xml:space="preserve">Respuesta a consulta </w:t>
            </w:r>
            <w:r w:rsidR="0018462E" w:rsidRPr="00DE7E39">
              <w:rPr>
                <w:rFonts w:ascii="Arial" w:hAnsi="Arial" w:cs="Arial"/>
                <w:color w:val="000000" w:themeColor="text1"/>
                <w:sz w:val="22"/>
                <w:lang w:val="es-ES_tradnl"/>
              </w:rPr>
              <w:t>P20220324002915</w:t>
            </w:r>
          </w:p>
        </w:tc>
      </w:tr>
    </w:tbl>
    <w:p w14:paraId="6F08317D" w14:textId="77777777" w:rsidR="00C133B6" w:rsidRPr="00DE7E39" w:rsidRDefault="00C133B6" w:rsidP="00C133B6">
      <w:pPr>
        <w:rPr>
          <w:rFonts w:ascii="Arial" w:eastAsia="Calibri" w:hAnsi="Arial" w:cs="Arial"/>
          <w:color w:val="000000" w:themeColor="text1"/>
          <w:sz w:val="22"/>
        </w:rPr>
      </w:pPr>
    </w:p>
    <w:p w14:paraId="285F74C2" w14:textId="77777777" w:rsidR="00C133B6" w:rsidRPr="00DE7E39" w:rsidRDefault="00C133B6" w:rsidP="00C133B6">
      <w:pPr>
        <w:rPr>
          <w:rFonts w:ascii="Arial" w:eastAsia="Calibri" w:hAnsi="Arial" w:cs="Arial"/>
          <w:color w:val="000000" w:themeColor="text1"/>
          <w:sz w:val="22"/>
        </w:rPr>
      </w:pPr>
    </w:p>
    <w:p w14:paraId="710F0320" w14:textId="169CD922" w:rsidR="00C133B6" w:rsidRPr="00DE7E39" w:rsidRDefault="00C133B6" w:rsidP="00C133B6">
      <w:pPr>
        <w:rPr>
          <w:rFonts w:ascii="Arial" w:eastAsia="Calibri" w:hAnsi="Arial" w:cs="Arial"/>
          <w:color w:val="000000" w:themeColor="text1"/>
          <w:sz w:val="22"/>
        </w:rPr>
      </w:pPr>
      <w:r w:rsidRPr="00DE7E39">
        <w:rPr>
          <w:rFonts w:ascii="Arial" w:eastAsia="Calibri" w:hAnsi="Arial" w:cs="Arial"/>
          <w:color w:val="000000" w:themeColor="text1"/>
          <w:sz w:val="22"/>
        </w:rPr>
        <w:t>Estimado señor Peñaloza</w:t>
      </w:r>
      <w:r w:rsidR="00492090" w:rsidRPr="00DE7E39">
        <w:rPr>
          <w:rFonts w:ascii="Arial" w:eastAsia="Calibri" w:hAnsi="Arial" w:cs="Arial"/>
          <w:color w:val="000000" w:themeColor="text1"/>
          <w:sz w:val="22"/>
        </w:rPr>
        <w:t>:</w:t>
      </w:r>
    </w:p>
    <w:p w14:paraId="67F7DBDB" w14:textId="77777777" w:rsidR="00C133B6" w:rsidRPr="00DE7E39" w:rsidRDefault="00C133B6" w:rsidP="00C133B6">
      <w:pPr>
        <w:rPr>
          <w:rFonts w:ascii="Arial" w:eastAsia="Calibri" w:hAnsi="Arial" w:cs="Arial"/>
          <w:color w:val="000000" w:themeColor="text1"/>
          <w:sz w:val="22"/>
        </w:rPr>
      </w:pPr>
    </w:p>
    <w:p w14:paraId="2ABA5CDE" w14:textId="0C65484A" w:rsidR="00C133B6" w:rsidRPr="00DE7E39" w:rsidRDefault="00C133B6" w:rsidP="00C133B6">
      <w:pPr>
        <w:spacing w:line="276" w:lineRule="auto"/>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00BC0FEF" w:rsidRPr="00DE7E39">
        <w:rPr>
          <w:rFonts w:ascii="Arial" w:eastAsia="Calibri" w:hAnsi="Arial" w:cs="Arial"/>
          <w:color w:val="000000" w:themeColor="text1"/>
          <w:sz w:val="22"/>
        </w:rPr>
        <w:t>23 de febrero</w:t>
      </w:r>
      <w:r w:rsidRPr="00DE7E39">
        <w:rPr>
          <w:rFonts w:ascii="Arial" w:eastAsia="Calibri" w:hAnsi="Arial" w:cs="Arial"/>
          <w:color w:val="000000" w:themeColor="text1"/>
          <w:sz w:val="22"/>
        </w:rPr>
        <w:t xml:space="preserve"> de 2022. </w:t>
      </w:r>
    </w:p>
    <w:p w14:paraId="4A89713C" w14:textId="77777777" w:rsidR="00C133B6" w:rsidRPr="00DE7E39" w:rsidRDefault="00C133B6" w:rsidP="00C133B6">
      <w:pPr>
        <w:spacing w:line="276" w:lineRule="auto"/>
        <w:jc w:val="both"/>
        <w:rPr>
          <w:rFonts w:ascii="Arial" w:eastAsia="Calibri" w:hAnsi="Arial" w:cs="Arial"/>
          <w:color w:val="000000" w:themeColor="text1"/>
          <w:sz w:val="22"/>
        </w:rPr>
      </w:pPr>
    </w:p>
    <w:p w14:paraId="15C9FAAB" w14:textId="77777777" w:rsidR="00C133B6" w:rsidRPr="00DE7E39" w:rsidRDefault="00C133B6" w:rsidP="00C133B6">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DE7E39">
        <w:rPr>
          <w:rFonts w:ascii="Arial" w:eastAsia="Calibri" w:hAnsi="Arial" w:cs="Arial"/>
          <w:b/>
          <w:color w:val="000000" w:themeColor="text1"/>
          <w:sz w:val="22"/>
        </w:rPr>
        <w:t xml:space="preserve">Problemas planteados </w:t>
      </w:r>
    </w:p>
    <w:p w14:paraId="00A22CDE" w14:textId="77777777" w:rsidR="00C133B6" w:rsidRPr="00DE7E39" w:rsidRDefault="00C133B6" w:rsidP="00C133B6">
      <w:pPr>
        <w:tabs>
          <w:tab w:val="left" w:pos="426"/>
        </w:tabs>
        <w:spacing w:line="276" w:lineRule="auto"/>
        <w:jc w:val="both"/>
        <w:rPr>
          <w:rFonts w:ascii="Arial" w:eastAsia="Calibri" w:hAnsi="Arial" w:cs="Arial"/>
          <w:b/>
          <w:color w:val="000000" w:themeColor="text1"/>
          <w:sz w:val="22"/>
        </w:rPr>
      </w:pPr>
    </w:p>
    <w:p w14:paraId="68A003B5" w14:textId="703AFFCD" w:rsidR="00C133B6" w:rsidRPr="00DE7E39" w:rsidRDefault="00C133B6" w:rsidP="00325C67">
      <w:pPr>
        <w:tabs>
          <w:tab w:val="left" w:pos="426"/>
        </w:tabs>
        <w:spacing w:line="276" w:lineRule="auto"/>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Usted realiza las siguientes preguntas: </w:t>
      </w:r>
      <w:bookmarkStart w:id="2" w:name="_Hlk96419248"/>
      <w:r w:rsidRPr="00DE7E39">
        <w:rPr>
          <w:rFonts w:ascii="Arial" w:eastAsia="Calibri" w:hAnsi="Arial" w:cs="Arial"/>
          <w:color w:val="000000" w:themeColor="text1"/>
          <w:sz w:val="22"/>
        </w:rPr>
        <w:t>i) «</w:t>
      </w:r>
      <w:bookmarkEnd w:id="2"/>
      <w:r w:rsidR="006637C6" w:rsidRPr="00DE7E39">
        <w:rPr>
          <w:rFonts w:ascii="Arial" w:eastAsia="Calibri" w:hAnsi="Arial" w:cs="Arial"/>
          <w:color w:val="000000" w:themeColor="text1"/>
          <w:sz w:val="22"/>
        </w:rPr>
        <w:t xml:space="preserve">¿Una Entidad Estatal que requiera contratar programas y actividades de interés público previstos en el Plan de Desarrollo, con los cuales se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 puede hacer uso del artículo 5 del Decreto 092 de 2017, para llevar a cabo dicha contratación, en atención a que el literal a del artículo 2 del citado decreto, se encuentra actualmente suspendido?» y </w:t>
      </w:r>
      <w:proofErr w:type="spellStart"/>
      <w:r w:rsidR="006637C6" w:rsidRPr="00DE7E39">
        <w:rPr>
          <w:rFonts w:ascii="Arial" w:eastAsia="Calibri" w:hAnsi="Arial" w:cs="Arial"/>
          <w:color w:val="000000" w:themeColor="text1"/>
          <w:sz w:val="22"/>
        </w:rPr>
        <w:t>ii</w:t>
      </w:r>
      <w:proofErr w:type="spellEnd"/>
      <w:r w:rsidR="006637C6" w:rsidRPr="00DE7E39">
        <w:rPr>
          <w:rFonts w:ascii="Arial" w:eastAsia="Calibri" w:hAnsi="Arial" w:cs="Arial"/>
          <w:color w:val="000000" w:themeColor="text1"/>
          <w:sz w:val="22"/>
        </w:rPr>
        <w:t xml:space="preserve">) </w:t>
      </w:r>
      <w:r w:rsidR="00325C67" w:rsidRPr="00DE7E39">
        <w:rPr>
          <w:rFonts w:ascii="Arial" w:eastAsia="Calibri" w:hAnsi="Arial" w:cs="Arial"/>
          <w:color w:val="000000" w:themeColor="text1"/>
          <w:sz w:val="22"/>
        </w:rPr>
        <w:t xml:space="preserve">«¿Una Entidad Estatal que requiera contratar actividades artísticas, culturales, deportivas y de promoción de la diversidad étnica colombiana, puede hacer uso del artículo 5 del Decreto 092 de 2017, para llevar a cabo </w:t>
      </w:r>
      <w:r w:rsidR="00325C67" w:rsidRPr="00DE7E39">
        <w:rPr>
          <w:rFonts w:ascii="Arial" w:eastAsia="Calibri" w:hAnsi="Arial" w:cs="Arial"/>
          <w:color w:val="000000" w:themeColor="text1"/>
          <w:sz w:val="22"/>
        </w:rPr>
        <w:lastRenderedPageBreak/>
        <w:t>dicha contratación, en atención a que el inciso tercero del artículo 4 del citado decreto, se encuentra actualmente suspendido?».</w:t>
      </w:r>
    </w:p>
    <w:p w14:paraId="5DBB2666" w14:textId="77777777" w:rsidR="00C133B6" w:rsidRPr="00DE7E39" w:rsidRDefault="00C133B6" w:rsidP="00C133B6">
      <w:pPr>
        <w:tabs>
          <w:tab w:val="left" w:pos="426"/>
        </w:tabs>
        <w:spacing w:line="276" w:lineRule="auto"/>
        <w:jc w:val="both"/>
        <w:rPr>
          <w:rFonts w:ascii="Arial" w:eastAsia="Calibri" w:hAnsi="Arial" w:cs="Arial"/>
          <w:color w:val="000000" w:themeColor="text1"/>
          <w:sz w:val="22"/>
        </w:rPr>
      </w:pPr>
    </w:p>
    <w:p w14:paraId="6FBCEEB8" w14:textId="77777777" w:rsidR="00C133B6" w:rsidRPr="00DE7E39" w:rsidRDefault="00C133B6" w:rsidP="00C133B6">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DE7E39">
        <w:rPr>
          <w:rFonts w:ascii="Arial" w:eastAsia="Calibri" w:hAnsi="Arial" w:cs="Arial"/>
          <w:b/>
          <w:color w:val="000000" w:themeColor="text1"/>
          <w:sz w:val="22"/>
        </w:rPr>
        <w:t>Consideraciones</w:t>
      </w:r>
    </w:p>
    <w:p w14:paraId="3E1EF69D" w14:textId="77777777" w:rsidR="00C133B6" w:rsidRPr="00DE7E39" w:rsidRDefault="00C133B6" w:rsidP="00C133B6">
      <w:pPr>
        <w:tabs>
          <w:tab w:val="left" w:pos="426"/>
        </w:tabs>
        <w:spacing w:line="276" w:lineRule="auto"/>
        <w:jc w:val="both"/>
        <w:rPr>
          <w:rFonts w:ascii="Arial" w:eastAsia="Calibri" w:hAnsi="Arial" w:cs="Arial"/>
          <w:b/>
          <w:color w:val="000000" w:themeColor="text1"/>
          <w:sz w:val="22"/>
        </w:rPr>
      </w:pPr>
    </w:p>
    <w:p w14:paraId="7923E580" w14:textId="77777777" w:rsidR="001D5E8A" w:rsidRPr="00DE7E39" w:rsidRDefault="001D5E8A" w:rsidP="008362AF">
      <w:pPr>
        <w:spacing w:after="120" w:line="276" w:lineRule="auto"/>
        <w:jc w:val="both"/>
        <w:rPr>
          <w:rFonts w:ascii="Arial" w:hAnsi="Arial" w:cs="Arial"/>
          <w:sz w:val="22"/>
          <w:lang w:val="es-ES"/>
        </w:rPr>
      </w:pPr>
      <w:r w:rsidRPr="00DE7E39">
        <w:rPr>
          <w:rFonts w:ascii="Arial" w:hAnsi="Arial" w:cs="Arial"/>
          <w:bCs/>
          <w:sz w:val="22"/>
        </w:rPr>
        <w:t xml:space="preserve">En ejercicio de las competencias establecidas en los artículos 3.5 y 11.8 del Decreto 4170 de 2011, la Agencia Nacional de Contratación Pública – Colombia Compra Eficiente resuelve consultas sobre </w:t>
      </w:r>
      <w:r w:rsidRPr="00DE7E39">
        <w:rPr>
          <w:rFonts w:ascii="Arial" w:hAnsi="Arial" w:cs="Arial"/>
          <w:sz w:val="22"/>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DE7E39">
        <w:rPr>
          <w:rFonts w:ascii="Arial" w:hAnsi="Arial" w:cs="Arial"/>
          <w:bCs/>
          <w:sz w:val="22"/>
        </w:rPr>
        <w:t xml:space="preserve"> de todos los partícipes de la contratación estatal.</w:t>
      </w:r>
    </w:p>
    <w:p w14:paraId="71285CDA" w14:textId="77777777" w:rsidR="001D5E8A" w:rsidRPr="00DE7E39" w:rsidRDefault="001D5E8A" w:rsidP="008362AF">
      <w:pPr>
        <w:spacing w:after="120" w:line="276" w:lineRule="auto"/>
        <w:ind w:firstLine="708"/>
        <w:jc w:val="both"/>
        <w:rPr>
          <w:rFonts w:ascii="Arial" w:hAnsi="Arial" w:cs="Arial"/>
          <w:sz w:val="22"/>
          <w:lang w:val="es-ES"/>
        </w:rPr>
      </w:pPr>
      <w:r w:rsidRPr="00DE7E39">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DE7E39">
        <w:rPr>
          <w:rFonts w:ascii="Arial" w:hAnsi="Arial" w:cs="Arial"/>
          <w:sz w:val="22"/>
          <w:vertAlign w:val="superscript"/>
          <w:lang w:val="es-ES"/>
        </w:rPr>
        <w:footnoteReference w:id="2"/>
      </w:r>
      <w:r w:rsidRPr="00DE7E39">
        <w:rPr>
          <w:rFonts w:ascii="Arial" w:hAnsi="Arial" w:cs="Arial"/>
          <w:sz w:val="22"/>
          <w:lang w:val="es-ES"/>
        </w:rPr>
        <w:t xml:space="preserve">. Esta competencia de interpretación de normas generales, por definición, no puede extenderse a la resolución de controversias ni brindar asesorías sobre casos puntuales. Por lo anterior, previo concepto de sus órganos asesores, la solución de estos temas corresponde a la entidad de adoptar la decisión correspondiente y, en caso de conflicto, a las autoridades judiciales, fiscales y disciplinarias. </w:t>
      </w:r>
    </w:p>
    <w:p w14:paraId="347F130E" w14:textId="798D3C9F" w:rsidR="001D5E8A" w:rsidRPr="00DE7E39" w:rsidRDefault="001D5E8A" w:rsidP="001D5E8A">
      <w:pPr>
        <w:spacing w:before="120" w:after="120" w:line="276" w:lineRule="auto"/>
        <w:ind w:firstLine="709"/>
        <w:jc w:val="both"/>
        <w:rPr>
          <w:rFonts w:ascii="Arial" w:eastAsia="Calibri" w:hAnsi="Arial" w:cs="Arial"/>
          <w:bCs/>
          <w:color w:val="000000"/>
          <w:sz w:val="22"/>
          <w:lang w:eastAsia="es-CO"/>
        </w:rPr>
      </w:pPr>
      <w:r w:rsidRPr="00DE7E39">
        <w:rPr>
          <w:rFonts w:ascii="Arial" w:eastAsia="Calibri" w:hAnsi="Arial" w:cs="Arial"/>
          <w:bCs/>
          <w:color w:val="000000"/>
          <w:sz w:val="22"/>
          <w:lang w:eastAsia="es-CO"/>
        </w:rPr>
        <w:t xml:space="preserve">Bajo estas consideraciones, </w:t>
      </w:r>
      <w:r w:rsidR="001607EA" w:rsidRPr="00DE7E39">
        <w:rPr>
          <w:rFonts w:ascii="Arial" w:eastAsia="Calibri" w:hAnsi="Arial" w:cs="Arial"/>
          <w:bCs/>
          <w:color w:val="000000"/>
          <w:sz w:val="22"/>
          <w:lang w:eastAsia="es-CO"/>
        </w:rPr>
        <w:t>corresponde a cada entidad pública, en ejercicio de su competencia y previa valoración de los elementos fácticos y jurídicos, determinar la forma de adelantar un determinado objeto contractual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DE7E39">
        <w:rPr>
          <w:rFonts w:ascii="Arial" w:eastAsia="Calibri" w:hAnsi="Arial" w:cs="Arial"/>
          <w:bCs/>
          <w:color w:val="000000"/>
          <w:sz w:val="22"/>
          <w:lang w:eastAsia="es-CO"/>
        </w:rPr>
        <w:t>.</w:t>
      </w:r>
    </w:p>
    <w:p w14:paraId="2BA3E14E" w14:textId="07E70C2C" w:rsidR="000949BD" w:rsidRPr="00DE7E39" w:rsidRDefault="000949BD" w:rsidP="000949BD">
      <w:pPr>
        <w:spacing w:after="120" w:line="276" w:lineRule="auto"/>
        <w:ind w:firstLine="709"/>
        <w:jc w:val="both"/>
        <w:rPr>
          <w:rFonts w:ascii="Arial" w:hAnsi="Arial" w:cs="Arial"/>
          <w:b/>
          <w:color w:val="000000" w:themeColor="text1"/>
          <w:sz w:val="22"/>
          <w:lang w:val="es-ES_tradnl"/>
        </w:rPr>
      </w:pPr>
      <w:r w:rsidRPr="00DE7E39">
        <w:rPr>
          <w:rFonts w:ascii="Arial" w:eastAsia="Calibri" w:hAnsi="Arial" w:cs="Arial"/>
          <w:sz w:val="22"/>
        </w:rPr>
        <w:t xml:space="preserve">Sin perjuicio de lo anterior, </w:t>
      </w:r>
      <w:r w:rsidRPr="00DE7E39">
        <w:rPr>
          <w:rFonts w:ascii="Arial" w:eastAsia="Calibri" w:hAnsi="Arial" w:cs="Arial"/>
          <w:sz w:val="22"/>
          <w:lang w:val="es-ES"/>
        </w:rPr>
        <w:t xml:space="preserve">la Agencia –dentro de los límites de sus atribuciones, es decir, </w:t>
      </w:r>
      <w:bookmarkStart w:id="3" w:name="_Hlk61025408"/>
      <w:r w:rsidRPr="00DE7E39">
        <w:rPr>
          <w:rFonts w:ascii="Arial" w:eastAsia="Calibri" w:hAnsi="Arial" w:cs="Arial"/>
          <w:sz w:val="22"/>
          <w:lang w:val="es-ES"/>
        </w:rPr>
        <w:t xml:space="preserve">haciendo abstracción del caso particular </w:t>
      </w:r>
      <w:bookmarkEnd w:id="3"/>
      <w:r w:rsidRPr="00DE7E39">
        <w:rPr>
          <w:rFonts w:ascii="Arial" w:eastAsia="Calibri" w:hAnsi="Arial" w:cs="Arial"/>
          <w:sz w:val="22"/>
          <w:lang w:val="es-ES"/>
        </w:rPr>
        <w:t>expuesto en la petición– resolverá la consulta conforme a las normas generales del sistema de compras públicas. Con este objetivo se analizarán los siguientes temas:</w:t>
      </w:r>
      <w:r w:rsidRPr="00DE7E39">
        <w:rPr>
          <w:rFonts w:ascii="Arial" w:hAnsi="Arial" w:cs="Arial"/>
          <w:color w:val="000000" w:themeColor="text1"/>
          <w:sz w:val="22"/>
          <w:lang w:val="es-ES_tradnl"/>
        </w:rPr>
        <w:t xml:space="preserve"> i) </w:t>
      </w:r>
      <w:r w:rsidRPr="00DE7E39">
        <w:rPr>
          <w:rFonts w:ascii="Arial" w:hAnsi="Arial" w:cs="Arial"/>
          <w:bCs/>
          <w:color w:val="000000" w:themeColor="text1"/>
          <w:sz w:val="22"/>
          <w:lang w:val="es-ES_tradnl"/>
        </w:rPr>
        <w:t xml:space="preserve">diferencias entre los contratos del artículo 355 </w:t>
      </w:r>
      <w:r w:rsidRPr="00DE7E39">
        <w:rPr>
          <w:rFonts w:ascii="Arial" w:hAnsi="Arial" w:cs="Arial"/>
          <w:bCs/>
          <w:color w:val="000000" w:themeColor="text1"/>
          <w:sz w:val="22"/>
          <w:lang w:val="es-ES_tradnl"/>
        </w:rPr>
        <w:lastRenderedPageBreak/>
        <w:t xml:space="preserve">de la Constitución Política y los convenios de asociación del artículo 96 de la Ley 489 de 1998 y </w:t>
      </w:r>
      <w:proofErr w:type="spellStart"/>
      <w:r w:rsidRPr="00DE7E39">
        <w:rPr>
          <w:rFonts w:ascii="Arial" w:hAnsi="Arial" w:cs="Arial"/>
          <w:bCs/>
          <w:color w:val="000000" w:themeColor="text1"/>
          <w:sz w:val="22"/>
          <w:lang w:val="es-ES_tradnl"/>
        </w:rPr>
        <w:t>ii</w:t>
      </w:r>
      <w:proofErr w:type="spellEnd"/>
      <w:r w:rsidRPr="00DE7E39">
        <w:rPr>
          <w:rFonts w:ascii="Arial" w:hAnsi="Arial" w:cs="Arial"/>
          <w:bCs/>
          <w:color w:val="000000" w:themeColor="text1"/>
          <w:sz w:val="22"/>
          <w:lang w:val="es-ES_tradnl"/>
        </w:rPr>
        <w:t xml:space="preserve">) suspensión provisional de algunas normas del Decreto 092 de 2017. </w:t>
      </w:r>
    </w:p>
    <w:p w14:paraId="44E7C2EC" w14:textId="6059CB33" w:rsidR="00C133B6" w:rsidRPr="00DE7E39" w:rsidRDefault="00C133B6" w:rsidP="001D5E8A">
      <w:pPr>
        <w:spacing w:after="120" w:line="276" w:lineRule="auto"/>
        <w:ind w:firstLine="708"/>
        <w:jc w:val="both"/>
        <w:rPr>
          <w:rFonts w:ascii="Arial" w:hAnsi="Arial" w:cs="Arial"/>
          <w:sz w:val="22"/>
        </w:rPr>
      </w:pPr>
      <w:r w:rsidRPr="00DE7E39">
        <w:rPr>
          <w:rFonts w:ascii="Arial" w:hAnsi="Arial" w:cs="Arial"/>
          <w:sz w:val="22"/>
        </w:rPr>
        <w:t xml:space="preserve">La Agencia Nacional de Contratación Pública – Colombia Compra Eficiente se ha pronunciado en diferentes conceptos sobre la contratación con entidades privadas sin ánimo de lucro y de reconocida idoneidad –desde ahora ESAL–, con fundamento en el Decreto autónomo </w:t>
      </w:r>
      <w:r w:rsidR="00085E6B" w:rsidRPr="00DE7E39">
        <w:rPr>
          <w:rFonts w:ascii="Arial" w:hAnsi="Arial" w:cs="Arial"/>
          <w:sz w:val="22"/>
        </w:rPr>
        <w:t>0</w:t>
      </w:r>
      <w:r w:rsidRPr="00DE7E39">
        <w:rPr>
          <w:rFonts w:ascii="Arial" w:hAnsi="Arial" w:cs="Arial"/>
          <w:sz w:val="22"/>
        </w:rPr>
        <w:t>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w:t>
      </w:r>
      <w:r w:rsidR="0093136E" w:rsidRPr="00DE7E39">
        <w:rPr>
          <w:rFonts w:ascii="Arial" w:hAnsi="Arial" w:cs="Arial"/>
          <w:sz w:val="22"/>
        </w:rPr>
        <w:t>,</w:t>
      </w:r>
      <w:r w:rsidRPr="00DE7E39">
        <w:rPr>
          <w:rFonts w:ascii="Arial" w:hAnsi="Arial" w:cs="Arial"/>
          <w:sz w:val="22"/>
        </w:rPr>
        <w:t xml:space="preserve"> C- 537 del 27 de septiembre de 2021</w:t>
      </w:r>
      <w:r w:rsidR="0093136E" w:rsidRPr="00DE7E39">
        <w:rPr>
          <w:rFonts w:ascii="Arial" w:hAnsi="Arial" w:cs="Arial"/>
          <w:sz w:val="22"/>
        </w:rPr>
        <w:t xml:space="preserve"> y </w:t>
      </w:r>
      <w:r w:rsidR="00902133" w:rsidRPr="00DE7E39">
        <w:rPr>
          <w:rFonts w:ascii="Arial" w:hAnsi="Arial" w:cs="Arial"/>
          <w:sz w:val="22"/>
        </w:rPr>
        <w:t>C-021 del 22 de febrero de 2022</w:t>
      </w:r>
      <w:r w:rsidRPr="00DE7E39">
        <w:rPr>
          <w:rFonts w:ascii="Arial" w:hAnsi="Arial" w:cs="Arial"/>
          <w:sz w:val="22"/>
        </w:rPr>
        <w:t xml:space="preserve">. </w:t>
      </w:r>
    </w:p>
    <w:p w14:paraId="0A2DA211" w14:textId="28920ABD" w:rsidR="00C133B6" w:rsidRPr="00DE7E39" w:rsidRDefault="00C133B6" w:rsidP="00C133B6">
      <w:pPr>
        <w:spacing w:line="276" w:lineRule="auto"/>
        <w:ind w:firstLine="708"/>
        <w:jc w:val="both"/>
        <w:rPr>
          <w:rFonts w:ascii="Arial" w:hAnsi="Arial" w:cs="Arial"/>
          <w:bCs/>
          <w:color w:val="000000" w:themeColor="text1"/>
          <w:sz w:val="22"/>
        </w:rPr>
      </w:pPr>
      <w:r w:rsidRPr="00DE7E39">
        <w:rPr>
          <w:rFonts w:ascii="Arial" w:hAnsi="Arial" w:cs="Arial"/>
          <w:sz w:val="22"/>
        </w:rPr>
        <w:t xml:space="preserve">Adicionalmente, </w:t>
      </w:r>
      <w:r w:rsidRPr="00DE7E39">
        <w:rPr>
          <w:rFonts w:ascii="Arial" w:hAnsi="Arial" w:cs="Arial"/>
          <w:color w:val="000000" w:themeColor="text1"/>
          <w:sz w:val="22"/>
        </w:rPr>
        <w:t>esta entidad se pronunció respecto de la suspensión provisional de</w:t>
      </w:r>
      <w:r w:rsidR="0039301C" w:rsidRPr="00DE7E39">
        <w:rPr>
          <w:rFonts w:ascii="Arial" w:hAnsi="Arial" w:cs="Arial"/>
          <w:color w:val="000000" w:themeColor="text1"/>
          <w:sz w:val="22"/>
        </w:rPr>
        <w:t xml:space="preserve"> algunos contenidos de</w:t>
      </w:r>
      <w:r w:rsidRPr="00DE7E39">
        <w:rPr>
          <w:rFonts w:ascii="Arial" w:hAnsi="Arial" w:cs="Arial"/>
          <w:color w:val="000000" w:themeColor="text1"/>
          <w:sz w:val="22"/>
        </w:rPr>
        <w:t xml:space="preserve">l Decreto 092 de 2017, en el concepto No. </w:t>
      </w:r>
      <w:r w:rsidRPr="00DE7E39">
        <w:rPr>
          <w:rFonts w:ascii="Arial" w:eastAsia="Calibri" w:hAnsi="Arial" w:cs="Arial"/>
          <w:color w:val="000000" w:themeColor="text1"/>
          <w:sz w:val="22"/>
        </w:rPr>
        <w:t>2201913000006512</w:t>
      </w:r>
      <w:r w:rsidRPr="00DE7E39">
        <w:rPr>
          <w:rFonts w:ascii="Arial" w:hAnsi="Arial" w:cs="Arial"/>
          <w:color w:val="000000" w:themeColor="text1"/>
          <w:sz w:val="22"/>
        </w:rPr>
        <w:t xml:space="preserve"> del 3 de septiembre de 2019, cuyas consideraciones se reiteraron en los conceptos Nos. </w:t>
      </w:r>
      <w:r w:rsidRPr="00DE7E39">
        <w:rPr>
          <w:rFonts w:ascii="Arial" w:eastAsia="Calibri" w:hAnsi="Arial" w:cs="Arial"/>
          <w:color w:val="000000" w:themeColor="text1"/>
          <w:sz w:val="22"/>
        </w:rPr>
        <w:t xml:space="preserve">2201913000006681 </w:t>
      </w:r>
      <w:r w:rsidRPr="00DE7E39">
        <w:rPr>
          <w:rFonts w:ascii="Arial" w:hAnsi="Arial" w:cs="Arial"/>
          <w:color w:val="000000" w:themeColor="text1"/>
          <w:sz w:val="22"/>
        </w:rPr>
        <w:t xml:space="preserve">y 4201913000005551 del 9 de septiembre de 2019, 2201913000006843 del 16 de septiembre de 2019, </w:t>
      </w:r>
      <w:r w:rsidRPr="00DE7E39">
        <w:rPr>
          <w:rFonts w:ascii="Arial" w:eastAsia="Calibri" w:hAnsi="Arial" w:cs="Arial"/>
          <w:color w:val="000000" w:themeColor="text1"/>
          <w:sz w:val="22"/>
        </w:rPr>
        <w:t xml:space="preserve">2201913000009198 del 12 de diciembre de 2019, 2201913000009567 del 24 de diciembre de 2019, 2202013000001579 del 4 de marzo de 2020. </w:t>
      </w:r>
      <w:r w:rsidRPr="00DE7E39">
        <w:rPr>
          <w:rFonts w:ascii="Arial" w:hAnsi="Arial" w:cs="Arial"/>
          <w:sz w:val="22"/>
        </w:rPr>
        <w:t>Las tesis propuestas en tales conceptos se reiteran a continuación y se complementan en l</w:t>
      </w:r>
      <w:r w:rsidRPr="00DE7E39">
        <w:rPr>
          <w:rFonts w:ascii="Arial" w:hAnsi="Arial" w:cs="Arial"/>
          <w:bCs/>
          <w:color w:val="000000" w:themeColor="text1"/>
          <w:sz w:val="22"/>
        </w:rPr>
        <w:t>o pertinente</w:t>
      </w:r>
      <w:r w:rsidR="00F8085A" w:rsidRPr="00DE7E39">
        <w:rPr>
          <w:rFonts w:ascii="Arial" w:hAnsi="Arial" w:cs="Arial"/>
          <w:bCs/>
          <w:color w:val="000000" w:themeColor="text1"/>
          <w:sz w:val="22"/>
        </w:rPr>
        <w:t xml:space="preserve">, teniendo en cuenta que recientemente la Sala Plena </w:t>
      </w:r>
      <w:r w:rsidR="0033338E" w:rsidRPr="00DE7E39">
        <w:rPr>
          <w:rFonts w:ascii="Arial" w:hAnsi="Arial" w:cs="Arial"/>
          <w:bCs/>
          <w:color w:val="000000" w:themeColor="text1"/>
          <w:sz w:val="22"/>
        </w:rPr>
        <w:t>del Consejo de Estado resolvió el recurso de súplica</w:t>
      </w:r>
      <w:r w:rsidR="0050648B" w:rsidRPr="00DE7E39">
        <w:rPr>
          <w:rFonts w:ascii="Arial" w:hAnsi="Arial" w:cs="Arial"/>
          <w:bCs/>
          <w:color w:val="000000" w:themeColor="text1"/>
          <w:sz w:val="22"/>
        </w:rPr>
        <w:t xml:space="preserve"> interpuesto contra el Auto del 6 de agosto de 2019 de la Subsección A de la Sección Tercera</w:t>
      </w:r>
      <w:r w:rsidRPr="00DE7E39">
        <w:rPr>
          <w:rFonts w:ascii="Arial" w:hAnsi="Arial" w:cs="Arial"/>
          <w:bCs/>
          <w:color w:val="000000" w:themeColor="text1"/>
          <w:sz w:val="22"/>
        </w:rPr>
        <w:t>.</w:t>
      </w:r>
    </w:p>
    <w:p w14:paraId="13AF20D9" w14:textId="77777777" w:rsidR="00C133B6" w:rsidRPr="00DE7E39" w:rsidRDefault="00C133B6" w:rsidP="00C133B6">
      <w:pPr>
        <w:spacing w:line="276" w:lineRule="auto"/>
        <w:ind w:firstLine="708"/>
        <w:jc w:val="both"/>
        <w:rPr>
          <w:rFonts w:ascii="Arial" w:hAnsi="Arial" w:cs="Arial"/>
          <w:bCs/>
          <w:color w:val="000000" w:themeColor="text1"/>
          <w:sz w:val="22"/>
        </w:rPr>
      </w:pPr>
    </w:p>
    <w:p w14:paraId="408BE0ED" w14:textId="77777777" w:rsidR="00C133B6" w:rsidRPr="00DE7E39" w:rsidRDefault="00C133B6" w:rsidP="00C133B6">
      <w:pPr>
        <w:pStyle w:val="Sinespaciado"/>
        <w:tabs>
          <w:tab w:val="left" w:pos="426"/>
        </w:tabs>
        <w:spacing w:line="276" w:lineRule="auto"/>
        <w:jc w:val="both"/>
        <w:rPr>
          <w:rFonts w:ascii="Arial" w:hAnsi="Arial" w:cs="Arial"/>
          <w:b/>
          <w:bCs/>
          <w:color w:val="000000" w:themeColor="text1"/>
          <w:sz w:val="22"/>
        </w:rPr>
      </w:pPr>
      <w:r w:rsidRPr="00DE7E39">
        <w:rPr>
          <w:rFonts w:ascii="Arial" w:hAnsi="Arial" w:cs="Arial"/>
          <w:b/>
          <w:bCs/>
          <w:color w:val="000000" w:themeColor="text1"/>
          <w:sz w:val="22"/>
        </w:rPr>
        <w:t>2.1.</w:t>
      </w:r>
      <w:r w:rsidRPr="00DE7E39">
        <w:rPr>
          <w:rFonts w:ascii="Arial" w:hAnsi="Arial" w:cs="Arial"/>
          <w:b/>
          <w:bCs/>
          <w:color w:val="000000" w:themeColor="text1"/>
          <w:sz w:val="22"/>
        </w:rPr>
        <w:tab/>
      </w:r>
      <w:r w:rsidRPr="00DE7E39">
        <w:rPr>
          <w:rFonts w:ascii="Arial" w:eastAsia="Calibri" w:hAnsi="Arial" w:cs="Arial"/>
          <w:b/>
          <w:bCs/>
          <w:sz w:val="22"/>
          <w:lang w:val="es-ES_tradnl"/>
        </w:rPr>
        <w:t xml:space="preserve">Diferencias entre los contratos del </w:t>
      </w:r>
      <w:r w:rsidRPr="00DE7E39">
        <w:rPr>
          <w:rFonts w:ascii="Arial" w:hAnsi="Arial" w:cs="Arial"/>
          <w:b/>
          <w:bCs/>
          <w:color w:val="000000" w:themeColor="text1"/>
          <w:sz w:val="22"/>
        </w:rPr>
        <w:t>artículo 355 de la Constitución Política y los convenios de asociación del artículo 96 de la Ley 489 de 1998</w:t>
      </w:r>
    </w:p>
    <w:p w14:paraId="5140B17F" w14:textId="77777777" w:rsidR="00C133B6" w:rsidRPr="00DE7E39" w:rsidRDefault="00C133B6" w:rsidP="00C133B6">
      <w:pPr>
        <w:pStyle w:val="Sinespaciado"/>
        <w:spacing w:line="276" w:lineRule="auto"/>
        <w:jc w:val="both"/>
        <w:rPr>
          <w:rFonts w:ascii="Arial" w:hAnsi="Arial" w:cs="Arial"/>
          <w:color w:val="000000" w:themeColor="text1"/>
          <w:sz w:val="22"/>
        </w:rPr>
      </w:pPr>
    </w:p>
    <w:p w14:paraId="39E64754" w14:textId="77777777" w:rsidR="00C133B6" w:rsidRPr="00DE7E39" w:rsidRDefault="00C133B6" w:rsidP="00C133B6">
      <w:pPr>
        <w:spacing w:line="276" w:lineRule="auto"/>
        <w:jc w:val="both"/>
        <w:rPr>
          <w:rFonts w:ascii="Arial" w:eastAsia="Calibri" w:hAnsi="Arial" w:cs="Arial"/>
          <w:bCs/>
          <w:sz w:val="22"/>
          <w:lang w:val="es-ES_tradnl"/>
        </w:rPr>
      </w:pPr>
      <w:r w:rsidRPr="00DE7E39">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DE7E39">
        <w:rPr>
          <w:rStyle w:val="Refdenotaalpie"/>
          <w:rFonts w:ascii="Arial" w:hAnsi="Arial" w:cs="Arial"/>
          <w:sz w:val="22"/>
        </w:rPr>
        <w:footnoteReference w:id="3"/>
      </w:r>
      <w:r w:rsidRPr="00DE7E39">
        <w:rPr>
          <w:rFonts w:ascii="Arial" w:eastAsia="Calibri" w:hAnsi="Arial" w:cs="Arial"/>
          <w:bCs/>
          <w:sz w:val="22"/>
          <w:lang w:val="es-ES_tradnl"/>
        </w:rPr>
        <w:t xml:space="preserve">. Por otra parte, el artículo 96 de la Ley 489 de 1998 permite a las entidades </w:t>
      </w:r>
      <w:r w:rsidRPr="00DE7E39">
        <w:rPr>
          <w:rFonts w:ascii="Arial" w:eastAsia="Calibri" w:hAnsi="Arial" w:cs="Arial"/>
          <w:bCs/>
          <w:sz w:val="22"/>
          <w:lang w:val="es-ES_tradnl"/>
        </w:rPr>
        <w:lastRenderedPageBreak/>
        <w:t>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DE7E39">
        <w:rPr>
          <w:rStyle w:val="Refdenotaalpie"/>
          <w:rFonts w:ascii="Arial" w:eastAsia="Calibri" w:hAnsi="Arial" w:cs="Arial"/>
          <w:bCs/>
          <w:sz w:val="22"/>
          <w:lang w:val="es-ES_tradnl"/>
        </w:rPr>
        <w:footnoteReference w:id="4"/>
      </w:r>
      <w:r w:rsidRPr="00DE7E39">
        <w:rPr>
          <w:rFonts w:ascii="Arial" w:eastAsia="Calibri" w:hAnsi="Arial" w:cs="Arial"/>
          <w:bCs/>
          <w:sz w:val="22"/>
          <w:lang w:val="es-ES_tradnl"/>
        </w:rPr>
        <w:t>.</w:t>
      </w:r>
    </w:p>
    <w:p w14:paraId="524B3476" w14:textId="096A8456" w:rsidR="00C133B6" w:rsidRPr="00DE7E39" w:rsidRDefault="00C133B6" w:rsidP="00C133B6">
      <w:pPr>
        <w:spacing w:before="120" w:after="120" w:line="276" w:lineRule="auto"/>
        <w:ind w:firstLine="709"/>
        <w:jc w:val="both"/>
        <w:rPr>
          <w:rFonts w:ascii="Arial" w:eastAsia="Calibri" w:hAnsi="Arial" w:cs="Arial"/>
          <w:bCs/>
          <w:sz w:val="22"/>
          <w:lang w:val="es-ES_tradnl"/>
        </w:rPr>
      </w:pPr>
      <w:bookmarkStart w:id="5" w:name="_Hlk38819155"/>
      <w:r w:rsidRPr="00DE7E39">
        <w:rPr>
          <w:rFonts w:ascii="Arial" w:eastAsia="Calibri" w:hAnsi="Arial" w:cs="Arial"/>
          <w:bCs/>
          <w:sz w:val="22"/>
          <w:lang w:val="es-ES_tradnl"/>
        </w:rPr>
        <w:t xml:space="preserve">El Decreto </w:t>
      </w:r>
      <w:r w:rsidR="00085E6B" w:rsidRPr="00DE7E39">
        <w:rPr>
          <w:rFonts w:ascii="Arial" w:eastAsia="Calibri" w:hAnsi="Arial" w:cs="Arial"/>
          <w:bCs/>
          <w:sz w:val="22"/>
          <w:lang w:val="es-ES_tradnl"/>
        </w:rPr>
        <w:t>0</w:t>
      </w:r>
      <w:r w:rsidRPr="00DE7E39">
        <w:rPr>
          <w:rFonts w:ascii="Arial" w:eastAsia="Calibri" w:hAnsi="Arial" w:cs="Arial"/>
          <w:bCs/>
          <w:sz w:val="22"/>
          <w:lang w:val="es-ES_tradnl"/>
        </w:rPr>
        <w:t xml:space="preserve">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DE7E39">
        <w:rPr>
          <w:rFonts w:ascii="Arial" w:eastAsia="Calibri" w:hAnsi="Arial" w:cs="Arial"/>
          <w:bCs/>
          <w:sz w:val="22"/>
          <w:lang w:val="es-ES_tradnl"/>
        </w:rPr>
        <w:t>ii</w:t>
      </w:r>
      <w:proofErr w:type="spellEnd"/>
      <w:r w:rsidRPr="00DE7E39">
        <w:rPr>
          <w:rFonts w:ascii="Arial" w:eastAsia="Calibri" w:hAnsi="Arial" w:cs="Arial"/>
          <w:bCs/>
          <w:sz w:val="22"/>
          <w:lang w:val="es-ES_tradnl"/>
        </w:rPr>
        <w:t xml:space="preserve">) los convenios de asociación, para el desarrollo conjunto de actividades relacionadas con las funciones de las entidades estatales, en desarrollo del artículo 96 de la Ley 489 de 1998. </w:t>
      </w:r>
      <w:bookmarkEnd w:id="5"/>
    </w:p>
    <w:p w14:paraId="2A286FA1" w14:textId="5996DB88" w:rsidR="00C133B6" w:rsidRPr="00DE7E39" w:rsidRDefault="00C133B6" w:rsidP="00C133B6">
      <w:pPr>
        <w:spacing w:before="120" w:after="120" w:line="276" w:lineRule="auto"/>
        <w:ind w:firstLine="709"/>
        <w:jc w:val="both"/>
        <w:rPr>
          <w:rFonts w:ascii="Arial" w:eastAsia="Calibri" w:hAnsi="Arial" w:cs="Arial"/>
          <w:bCs/>
          <w:sz w:val="22"/>
          <w:lang w:val="es-ES_tradnl"/>
        </w:rPr>
      </w:pPr>
      <w:bookmarkStart w:id="6" w:name="_Hlk95756032"/>
      <w:r w:rsidRPr="00DE7E39">
        <w:rPr>
          <w:rFonts w:ascii="Arial" w:eastAsia="Calibri" w:hAnsi="Arial" w:cs="Arial"/>
          <w:bCs/>
          <w:sz w:val="22"/>
          <w:lang w:val="es-ES_tradnl"/>
        </w:rPr>
        <w:t xml:space="preserve">Los </w:t>
      </w:r>
      <w:r w:rsidRPr="00DE7E39">
        <w:rPr>
          <w:rFonts w:ascii="Arial" w:eastAsia="Calibri" w:hAnsi="Arial" w:cs="Arial"/>
          <w:bCs/>
          <w:i/>
          <w:sz w:val="22"/>
          <w:lang w:val="es-ES_tradnl"/>
        </w:rPr>
        <w:t>contratos del artículo 355 de la Constitución Política</w:t>
      </w:r>
      <w:r w:rsidRPr="00DE7E39">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w:t>
      </w:r>
      <w:r w:rsidR="00085E6B" w:rsidRPr="00DE7E39">
        <w:rPr>
          <w:rFonts w:ascii="Arial" w:eastAsia="Calibri" w:hAnsi="Arial" w:cs="Arial"/>
          <w:bCs/>
          <w:sz w:val="22"/>
          <w:lang w:val="es-ES_tradnl"/>
        </w:rPr>
        <w:t>0</w:t>
      </w:r>
      <w:r w:rsidRPr="00DE7E39">
        <w:rPr>
          <w:rFonts w:ascii="Arial" w:eastAsia="Calibri" w:hAnsi="Arial" w:cs="Arial"/>
          <w:bCs/>
          <w:sz w:val="22"/>
          <w:lang w:val="es-ES_tradnl"/>
        </w:rPr>
        <w:t xml:space="preserve">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DE7E39">
        <w:rPr>
          <w:rFonts w:ascii="Arial" w:eastAsia="Calibri" w:hAnsi="Arial" w:cs="Arial"/>
          <w:bCs/>
          <w:sz w:val="22"/>
          <w:lang w:val="es-ES_tradnl"/>
        </w:rPr>
        <w:t>ii</w:t>
      </w:r>
      <w:proofErr w:type="spellEnd"/>
      <w:r w:rsidRPr="00DE7E39">
        <w:rPr>
          <w:rFonts w:ascii="Arial" w:eastAsia="Calibri" w:hAnsi="Arial" w:cs="Arial"/>
          <w:bCs/>
          <w:sz w:val="22"/>
          <w:lang w:val="es-ES_tradnl"/>
        </w:rPr>
        <w:t xml:space="preserve">) que no haya una contraprestación directa a favor de la </w:t>
      </w:r>
      <w:r w:rsidR="004F08FB" w:rsidRPr="00DE7E39">
        <w:rPr>
          <w:rFonts w:ascii="Arial" w:eastAsia="Calibri" w:hAnsi="Arial" w:cs="Arial"/>
          <w:bCs/>
          <w:sz w:val="22"/>
          <w:lang w:val="es-ES_tradnl"/>
        </w:rPr>
        <w:t>entidad estatal</w:t>
      </w:r>
      <w:r w:rsidRPr="00DE7E39">
        <w:rPr>
          <w:rFonts w:ascii="Arial" w:eastAsia="Calibri" w:hAnsi="Arial" w:cs="Arial"/>
          <w:bCs/>
          <w:sz w:val="22"/>
          <w:lang w:val="es-ES_tradnl"/>
        </w:rPr>
        <w:t xml:space="preserve">, es decir, que el programa o actividad a desarrollar este dirigida al beneficio de la población en general, ya que cuando se adquieren bienes o servicios o </w:t>
      </w:r>
      <w:r w:rsidR="004F08FB" w:rsidRPr="00DE7E39">
        <w:rPr>
          <w:rFonts w:ascii="Arial" w:eastAsia="Calibri" w:hAnsi="Arial" w:cs="Arial"/>
          <w:bCs/>
          <w:sz w:val="22"/>
          <w:lang w:val="es-ES_tradnl"/>
        </w:rPr>
        <w:t xml:space="preserve">se </w:t>
      </w:r>
      <w:r w:rsidRPr="00DE7E39">
        <w:rPr>
          <w:rFonts w:ascii="Arial" w:eastAsia="Calibri" w:hAnsi="Arial" w:cs="Arial"/>
          <w:bCs/>
          <w:sz w:val="22"/>
          <w:lang w:val="es-ES_tradnl"/>
        </w:rPr>
        <w:t>ejecuta</w:t>
      </w:r>
      <w:r w:rsidR="004F08FB" w:rsidRPr="00DE7E39">
        <w:rPr>
          <w:rFonts w:ascii="Arial" w:eastAsia="Calibri" w:hAnsi="Arial" w:cs="Arial"/>
          <w:bCs/>
          <w:sz w:val="22"/>
          <w:lang w:val="es-ES_tradnl"/>
        </w:rPr>
        <w:t>n</w:t>
      </w:r>
      <w:r w:rsidRPr="00DE7E39">
        <w:rPr>
          <w:rFonts w:ascii="Arial" w:eastAsia="Calibri" w:hAnsi="Arial" w:cs="Arial"/>
          <w:bCs/>
          <w:sz w:val="22"/>
          <w:lang w:val="es-ES_tradnl"/>
        </w:rPr>
        <w:t xml:space="preserve">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bookmarkEnd w:id="6"/>
    <w:p w14:paraId="6C4F4861" w14:textId="77777777" w:rsidR="00C133B6" w:rsidRPr="00DE7E39" w:rsidRDefault="00C133B6" w:rsidP="00C133B6">
      <w:pPr>
        <w:spacing w:before="120" w:after="120" w:line="276" w:lineRule="auto"/>
        <w:ind w:firstLine="709"/>
        <w:jc w:val="both"/>
        <w:rPr>
          <w:rFonts w:ascii="Arial" w:eastAsia="Calibri" w:hAnsi="Arial" w:cs="Arial"/>
          <w:bCs/>
          <w:sz w:val="22"/>
          <w:lang w:val="es-ES_tradnl"/>
        </w:rPr>
      </w:pPr>
      <w:r w:rsidRPr="00DE7E39">
        <w:rPr>
          <w:rFonts w:ascii="Arial" w:eastAsia="Calibri" w:hAnsi="Arial" w:cs="Arial"/>
          <w:bCs/>
          <w:sz w:val="22"/>
          <w:lang w:val="es-ES_tradnl"/>
        </w:rPr>
        <w:t xml:space="preserve">De otro lado, los </w:t>
      </w:r>
      <w:r w:rsidRPr="00DE7E39">
        <w:rPr>
          <w:rFonts w:ascii="Arial" w:eastAsia="Calibri" w:hAnsi="Arial" w:cs="Arial"/>
          <w:bCs/>
          <w:i/>
          <w:sz w:val="22"/>
          <w:lang w:val="es-ES_tradnl"/>
        </w:rPr>
        <w:t>convenios de asociación</w:t>
      </w:r>
      <w:r w:rsidRPr="00DE7E39">
        <w:rPr>
          <w:rFonts w:ascii="Arial" w:eastAsia="Calibri" w:hAnsi="Arial" w:cs="Arial"/>
          <w:bCs/>
          <w:sz w:val="22"/>
          <w:lang w:val="es-ES_tradnl"/>
        </w:rPr>
        <w:t xml:space="preserve"> «[t]</w:t>
      </w:r>
      <w:proofErr w:type="spellStart"/>
      <w:r w:rsidRPr="00DE7E39">
        <w:rPr>
          <w:rFonts w:ascii="Arial" w:eastAsia="Calibri" w:hAnsi="Arial" w:cs="Arial"/>
          <w:bCs/>
          <w:sz w:val="22"/>
          <w:lang w:val="es-ES_tradnl"/>
        </w:rPr>
        <w:t>ienen</w:t>
      </w:r>
      <w:proofErr w:type="spellEnd"/>
      <w:r w:rsidRPr="00DE7E39">
        <w:rPr>
          <w:rFonts w:ascii="Arial" w:eastAsia="Calibri" w:hAnsi="Arial" w:cs="Arial"/>
          <w:bCs/>
          <w:sz w:val="22"/>
          <w:lang w:val="es-ES_tradnl"/>
        </w:rPr>
        <w:t xml:space="preserve"> como finalidad que la entidad estatal, cualquiera que sea su naturaleza y orden administrativo, se asocien con personas </w:t>
      </w:r>
      <w:r w:rsidRPr="00DE7E39">
        <w:rPr>
          <w:rFonts w:ascii="Arial" w:eastAsia="Calibri" w:hAnsi="Arial" w:cs="Arial"/>
          <w:bCs/>
          <w:sz w:val="22"/>
          <w:lang w:val="es-ES_tradnl"/>
        </w:rPr>
        <w:lastRenderedPageBreak/>
        <w:t>jurídicas particulares para el desarrollo conjunto de actividades relacionadas con los cometidos y funciones asignadas a aquellas conforme a la Constitución y a la Ley»</w:t>
      </w:r>
      <w:r w:rsidRPr="00DE7E39">
        <w:rPr>
          <w:rStyle w:val="Refdenotaalpie"/>
          <w:rFonts w:ascii="Arial" w:hAnsi="Arial" w:cs="Arial"/>
          <w:sz w:val="22"/>
        </w:rPr>
        <w:footnoteReference w:id="5"/>
      </w:r>
      <w:r w:rsidRPr="00DE7E39">
        <w:rPr>
          <w:rFonts w:ascii="Arial" w:eastAsia="Calibri" w:hAnsi="Arial" w:cs="Arial"/>
          <w:bCs/>
          <w:sz w:val="22"/>
          <w:lang w:val="es-ES_tradnl"/>
        </w:rPr>
        <w:t>.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r w:rsidRPr="00DE7E39">
        <w:rPr>
          <w:rStyle w:val="Refdenotaalpie"/>
          <w:rFonts w:ascii="Arial" w:hAnsi="Arial" w:cs="Arial"/>
          <w:sz w:val="22"/>
        </w:rPr>
        <w:footnoteReference w:id="6"/>
      </w:r>
      <w:r w:rsidRPr="00DE7E39">
        <w:rPr>
          <w:rFonts w:ascii="Arial" w:eastAsia="Calibri" w:hAnsi="Arial" w:cs="Arial"/>
          <w:bCs/>
          <w:sz w:val="22"/>
          <w:lang w:val="es-ES_tradnl"/>
        </w:rPr>
        <w:t>.</w:t>
      </w:r>
    </w:p>
    <w:p w14:paraId="3898A9B9" w14:textId="150DF271" w:rsidR="00C133B6" w:rsidRPr="00DE7E39" w:rsidRDefault="00C133B6" w:rsidP="00C133B6">
      <w:pPr>
        <w:spacing w:before="120" w:after="120" w:line="276" w:lineRule="auto"/>
        <w:ind w:firstLine="709"/>
        <w:jc w:val="both"/>
        <w:rPr>
          <w:rFonts w:ascii="Arial" w:eastAsia="Calibri" w:hAnsi="Arial" w:cs="Arial"/>
          <w:bCs/>
          <w:sz w:val="22"/>
        </w:rPr>
      </w:pPr>
      <w:r w:rsidRPr="00DE7E39">
        <w:rPr>
          <w:rFonts w:ascii="Arial" w:eastAsia="Calibri" w:hAnsi="Arial" w:cs="Arial"/>
          <w:bCs/>
          <w:sz w:val="22"/>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E7E39">
        <w:rPr>
          <w:rStyle w:val="Refdenotaalpie"/>
          <w:rFonts w:ascii="Arial" w:eastAsia="Calibri" w:hAnsi="Arial" w:cs="Arial"/>
          <w:sz w:val="22"/>
        </w:rPr>
        <w:footnoteReference w:id="7"/>
      </w:r>
      <w:r w:rsidRPr="00DE7E39">
        <w:rPr>
          <w:rFonts w:ascii="Arial" w:eastAsia="Calibri" w:hAnsi="Arial" w:cs="Arial"/>
          <w:bCs/>
          <w:sz w:val="22"/>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w:t>
      </w:r>
      <w:r w:rsidR="00085E6B" w:rsidRPr="00DE7E39">
        <w:rPr>
          <w:rFonts w:ascii="Arial" w:eastAsia="Calibri" w:hAnsi="Arial" w:cs="Arial"/>
          <w:bCs/>
          <w:sz w:val="22"/>
        </w:rPr>
        <w:t>0</w:t>
      </w:r>
      <w:r w:rsidRPr="00DE7E39">
        <w:rPr>
          <w:rFonts w:ascii="Arial" w:eastAsia="Calibri" w:hAnsi="Arial" w:cs="Arial"/>
          <w:bCs/>
          <w:sz w:val="22"/>
        </w:rPr>
        <w:t xml:space="preserve">92 de 2017, deben asegurarse </w:t>
      </w:r>
      <w:proofErr w:type="gramStart"/>
      <w:r w:rsidRPr="00DE7E39">
        <w:rPr>
          <w:rFonts w:ascii="Arial" w:eastAsia="Calibri" w:hAnsi="Arial" w:cs="Arial"/>
          <w:bCs/>
          <w:sz w:val="22"/>
        </w:rPr>
        <w:t>que</w:t>
      </w:r>
      <w:proofErr w:type="gramEnd"/>
      <w:r w:rsidRPr="00DE7E39">
        <w:rPr>
          <w:rFonts w:ascii="Arial" w:eastAsia="Calibri" w:hAnsi="Arial" w:cs="Arial"/>
          <w:bCs/>
          <w:sz w:val="22"/>
        </w:rPr>
        <w:t xml:space="preserv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53B3FB0B" w14:textId="57C8A981" w:rsidR="00C133B6" w:rsidRPr="00DE7E39" w:rsidRDefault="00C133B6" w:rsidP="00C133B6">
      <w:pPr>
        <w:spacing w:before="120" w:after="120" w:line="276" w:lineRule="auto"/>
        <w:ind w:firstLine="709"/>
        <w:jc w:val="both"/>
      </w:pPr>
      <w:r w:rsidRPr="00DE7E39">
        <w:rPr>
          <w:rFonts w:ascii="Arial" w:hAnsi="Arial" w:cs="Arial"/>
          <w:color w:val="000000" w:themeColor="text1"/>
          <w:sz w:val="22"/>
        </w:rPr>
        <w:t xml:space="preserve">La noción «seleccionar de forma objetiva», contenida en la disposición </w:t>
      </w:r>
      <w:r w:rsidRPr="00DE7E39">
        <w:rPr>
          <w:rFonts w:ascii="Arial" w:hAnsi="Arial" w:cs="Arial"/>
          <w:i/>
          <w:iCs/>
          <w:color w:val="000000" w:themeColor="text1"/>
          <w:sz w:val="22"/>
        </w:rPr>
        <w:t xml:space="preserve">sub examine </w:t>
      </w:r>
      <w:r w:rsidRPr="00DE7E39">
        <w:rPr>
          <w:rFonts w:ascii="Arial" w:hAnsi="Arial" w:cs="Arial"/>
          <w:color w:val="000000" w:themeColor="text1"/>
          <w:sz w:val="22"/>
        </w:rPr>
        <w:t xml:space="preserve">no puede ser entendida como una remisión </w:t>
      </w:r>
      <w:r w:rsidR="00CD6A95" w:rsidRPr="00DE7E39">
        <w:rPr>
          <w:rFonts w:ascii="Arial" w:hAnsi="Arial" w:cs="Arial"/>
          <w:color w:val="000000" w:themeColor="text1"/>
          <w:sz w:val="22"/>
        </w:rPr>
        <w:t xml:space="preserve">total </w:t>
      </w:r>
      <w:r w:rsidRPr="00DE7E39">
        <w:rPr>
          <w:rFonts w:ascii="Arial" w:hAnsi="Arial" w:cs="Arial"/>
          <w:color w:val="000000" w:themeColor="text1"/>
          <w:sz w:val="22"/>
        </w:rPr>
        <w:t xml:space="preserve">a las Leyes 80 de 1993 y 1150 de 2007. A </w:t>
      </w:r>
      <w:r w:rsidRPr="00DE7E39">
        <w:rPr>
          <w:rFonts w:ascii="Arial" w:hAnsi="Arial" w:cs="Arial"/>
          <w:color w:val="000000" w:themeColor="text1"/>
          <w:sz w:val="22"/>
        </w:rPr>
        <w:lastRenderedPageBreak/>
        <w:t xml:space="preserve">lo que se refiere la norma es a que la </w:t>
      </w:r>
      <w:r w:rsidR="00CD6A95" w:rsidRPr="00DE7E39">
        <w:rPr>
          <w:rFonts w:ascii="Arial" w:hAnsi="Arial" w:cs="Arial"/>
          <w:color w:val="000000" w:themeColor="text1"/>
          <w:sz w:val="22"/>
        </w:rPr>
        <w:t xml:space="preserve">entidad estatal </w:t>
      </w:r>
      <w:r w:rsidRPr="00DE7E39">
        <w:rPr>
          <w:rFonts w:ascii="Arial" w:hAnsi="Arial" w:cs="Arial"/>
          <w:color w:val="000000" w:themeColor="text1"/>
          <w:sz w:val="22"/>
        </w:rPr>
        <w:t>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3AB2B0DC" w14:textId="77777777" w:rsidR="00C133B6" w:rsidRPr="00DE7E39" w:rsidRDefault="00C133B6" w:rsidP="00A41DC4">
      <w:pPr>
        <w:pStyle w:val="Sinespaciado"/>
        <w:spacing w:line="276" w:lineRule="auto"/>
        <w:ind w:firstLine="708"/>
        <w:jc w:val="both"/>
        <w:rPr>
          <w:rFonts w:ascii="Arial" w:hAnsi="Arial" w:cs="Arial"/>
          <w:color w:val="000000" w:themeColor="text1"/>
          <w:sz w:val="22"/>
        </w:rPr>
      </w:pPr>
      <w:r w:rsidRPr="00DE7E39">
        <w:rPr>
          <w:rFonts w:ascii="Arial" w:hAnsi="Arial" w:cs="Arial"/>
          <w:color w:val="000000" w:themeColor="text1"/>
          <w:sz w:val="22"/>
        </w:rPr>
        <w:t xml:space="preserve">Es importante aclarar que los negocios jurídicos que regula el Decreto 092 de 2017 «[…] son esencialmente distintos a los contratos para la adquisición y aprovisionamiento de bienes, obras o servicios regulados por el estatuto de contratación </w:t>
      </w:r>
      <w:proofErr w:type="gramStart"/>
      <w:r w:rsidRPr="00DE7E39">
        <w:rPr>
          <w:rFonts w:ascii="Arial" w:hAnsi="Arial" w:cs="Arial"/>
          <w:color w:val="000000" w:themeColor="text1"/>
          <w:sz w:val="22"/>
        </w:rPr>
        <w:t>y[</w:t>
      </w:r>
      <w:proofErr w:type="gramEnd"/>
      <w:r w:rsidRPr="00DE7E39">
        <w:rPr>
          <w:rFonts w:ascii="Arial" w:hAnsi="Arial" w:cs="Arial"/>
          <w:color w:val="000000" w:themeColor="text1"/>
          <w:sz w:val="22"/>
        </w:rPr>
        <w:t>, como tal,] no hacen parte del sistema de compra pública. […] De acuerdo con lo anterior, si la entidad estatal adquiere o se abastece de un bien, obra o servicio en un contrato conmutativo en el cual el proveedor es una [ESAL], debe aplicar el régimen contenido en las Leyes 80 de 1993 y 1150 de 2007, y no el Decreto 092 de 2017»</w:t>
      </w:r>
      <w:r w:rsidRPr="00DE7E39">
        <w:rPr>
          <w:rStyle w:val="Refdenotaalpie"/>
          <w:rFonts w:ascii="Arial" w:hAnsi="Arial" w:cs="Arial"/>
          <w:color w:val="000000" w:themeColor="text1"/>
          <w:sz w:val="22"/>
        </w:rPr>
        <w:footnoteReference w:id="8"/>
      </w:r>
      <w:r w:rsidRPr="00DE7E39">
        <w:rPr>
          <w:rFonts w:ascii="Arial" w:hAnsi="Arial" w:cs="Arial"/>
          <w:color w:val="000000" w:themeColor="text1"/>
          <w:sz w:val="22"/>
        </w:rPr>
        <w:t>. Así lo consideró la Sala de Consulta y Servicio Civil del Consejo de Estado</w:t>
      </w:r>
      <w:r w:rsidRPr="00DE7E39">
        <w:rPr>
          <w:rStyle w:val="Refdenotaalpie"/>
          <w:rFonts w:ascii="Arial" w:hAnsi="Arial" w:cs="Arial"/>
          <w:color w:val="000000" w:themeColor="text1"/>
          <w:sz w:val="22"/>
        </w:rPr>
        <w:footnoteReference w:id="9"/>
      </w:r>
      <w:r w:rsidRPr="00DE7E39">
        <w:rPr>
          <w:rFonts w:ascii="Arial" w:hAnsi="Arial" w:cs="Arial"/>
          <w:color w:val="000000" w:themeColor="text1"/>
          <w:sz w:val="22"/>
        </w:rPr>
        <w:t>:</w:t>
      </w:r>
    </w:p>
    <w:p w14:paraId="7437B5EB" w14:textId="77777777" w:rsidR="00C133B6" w:rsidRPr="00DE7E39" w:rsidRDefault="00C133B6" w:rsidP="00A41DC4">
      <w:pPr>
        <w:pStyle w:val="Sinespaciado"/>
        <w:spacing w:line="276" w:lineRule="auto"/>
        <w:jc w:val="both"/>
        <w:rPr>
          <w:rFonts w:ascii="Arial" w:hAnsi="Arial" w:cs="Arial"/>
          <w:color w:val="000000" w:themeColor="text1"/>
          <w:sz w:val="22"/>
        </w:rPr>
      </w:pPr>
    </w:p>
    <w:p w14:paraId="184AFBF3" w14:textId="531A9571" w:rsidR="00C133B6" w:rsidRPr="00DE7E39" w:rsidRDefault="00C133B6" w:rsidP="00A41DC4">
      <w:pPr>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Como ya se indicó, el objeto de los contratos que autoriza el inciso segundo del artículo 355 Superior, se limita a la realización de actividades o programas de interés público que, conforme a los planes de desarrollo, adelanten instituciones privadas sin ánimo de lucro. Aquellos que generan una contraprestación directa a favor de la entidad contratante y los que tienen por objeto desarrollar proyectos específicos, corresponden al giro normal de las funciones propias de la entidad estatal, y por lo tanto, se tipifican dentro de cualquiera de las modalidades de contratación de la ley 80 de 1.993, debiendo sujetarse a los procedimientos allí previstos, en especial los de escogencia del contratista.</w:t>
      </w:r>
    </w:p>
    <w:p w14:paraId="5937F65C" w14:textId="77777777" w:rsidR="00A41DC4" w:rsidRDefault="00A41DC4" w:rsidP="00A41DC4">
      <w:pPr>
        <w:ind w:left="708" w:right="709"/>
        <w:jc w:val="both"/>
        <w:rPr>
          <w:rFonts w:ascii="Arial" w:eastAsia="Calibri" w:hAnsi="Arial" w:cs="Arial"/>
          <w:color w:val="000000" w:themeColor="text1"/>
          <w:sz w:val="21"/>
          <w:szCs w:val="21"/>
        </w:rPr>
      </w:pPr>
    </w:p>
    <w:p w14:paraId="0FB04B42" w14:textId="1AC02AD5" w:rsidR="00C133B6" w:rsidRPr="00DE7E39" w:rsidRDefault="00C133B6" w:rsidP="00A41DC4">
      <w:pPr>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Cuando el artículo 355 autoriza a las entidades estatales a celebrar contratos para «impulsar» programas y actividades de interés público, se refiere a los del ente privado y no a los del Estado, pues respecto de éste el deber constitucional es no sólo impulsarlos sino cumplirlos, conforme las disposiciones contractuales vigentes, como </w:t>
      </w:r>
      <w:proofErr w:type="gramStart"/>
      <w:r w:rsidRPr="00DE7E39">
        <w:rPr>
          <w:rFonts w:ascii="Arial" w:eastAsia="Calibri" w:hAnsi="Arial" w:cs="Arial"/>
          <w:color w:val="000000" w:themeColor="text1"/>
          <w:sz w:val="21"/>
          <w:szCs w:val="21"/>
        </w:rPr>
        <w:t>sería</w:t>
      </w:r>
      <w:proofErr w:type="gramEnd"/>
      <w:r w:rsidRPr="00DE7E39">
        <w:rPr>
          <w:rFonts w:ascii="Arial" w:eastAsia="Calibri" w:hAnsi="Arial" w:cs="Arial"/>
          <w:color w:val="000000" w:themeColor="text1"/>
          <w:sz w:val="21"/>
          <w:szCs w:val="21"/>
        </w:rPr>
        <w:t xml:space="preserve"> por ejemplo, contratos de prestación de servicios o de obra pública.</w:t>
      </w:r>
    </w:p>
    <w:p w14:paraId="7943DC5E" w14:textId="77777777" w:rsidR="00C133B6" w:rsidRPr="00DE7E39" w:rsidRDefault="00C133B6" w:rsidP="00A41DC4">
      <w:pPr>
        <w:jc w:val="both"/>
        <w:rPr>
          <w:rFonts w:ascii="Arial" w:eastAsia="Calibri" w:hAnsi="Arial" w:cs="Arial"/>
          <w:color w:val="000000" w:themeColor="text1"/>
          <w:sz w:val="22"/>
        </w:rPr>
      </w:pPr>
    </w:p>
    <w:p w14:paraId="3B6A0799" w14:textId="77777777" w:rsidR="00C133B6" w:rsidRPr="00DE7E39" w:rsidRDefault="00C133B6" w:rsidP="00C133B6">
      <w:pPr>
        <w:spacing w:line="276" w:lineRule="auto"/>
        <w:ind w:firstLine="708"/>
        <w:jc w:val="both"/>
        <w:rPr>
          <w:rFonts w:ascii="Arial" w:eastAsia="Calibri" w:hAnsi="Arial" w:cs="Arial"/>
          <w:color w:val="000000" w:themeColor="text1"/>
          <w:sz w:val="22"/>
        </w:rPr>
      </w:pPr>
      <w:bookmarkStart w:id="7" w:name="_Hlk95756200"/>
      <w:r w:rsidRPr="00DE7E39">
        <w:rPr>
          <w:rFonts w:ascii="Arial" w:eastAsia="Calibri" w:hAnsi="Arial" w:cs="Arial"/>
          <w:color w:val="000000" w:themeColor="text1"/>
          <w:sz w:val="22"/>
        </w:rPr>
        <w:t xml:space="preserve">De acuerdo con lo anterior, no todas las actividades que las entidades estatales deben desarrollar para alcanzar sus objetivos misionales deben ejecutarse a través de la celebración de contratos del artículo 355 superior o convenios de asociación. Debe tenerse en cuenta que lo que determina la aplicación del Decreto 092 de 2017 no es únicamente el carácter de las ESAL sino el objeto del contrato o convenio que la entidad pretende adelantar. Por tanto, el hecho de que se trate de una entidad sin ánimo de lucro no implica </w:t>
      </w:r>
      <w:r w:rsidRPr="00DE7E39">
        <w:rPr>
          <w:rFonts w:ascii="Arial" w:eastAsia="Calibri" w:hAnsi="Arial" w:cs="Arial"/>
          <w:color w:val="000000" w:themeColor="text1"/>
          <w:sz w:val="22"/>
        </w:rPr>
        <w:lastRenderedPageBreak/>
        <w:t xml:space="preserve">que necesariamente deba celebrarse un contrato de colaboración o un convenio de asociación. </w:t>
      </w:r>
      <w:bookmarkEnd w:id="7"/>
      <w:r w:rsidRPr="00DE7E39">
        <w:rPr>
          <w:rFonts w:ascii="Arial" w:eastAsia="Calibri" w:hAnsi="Arial" w:cs="Arial"/>
          <w:color w:val="000000" w:themeColor="text1"/>
          <w:sz w:val="22"/>
        </w:rPr>
        <w:t>Así lo reconoció la Corte Constitucional en la sentencia C-287 del 18 de abril de 2012, en la que sostuvo lo siguiente:</w:t>
      </w:r>
    </w:p>
    <w:p w14:paraId="6DB23F63" w14:textId="77777777" w:rsidR="00C133B6" w:rsidRPr="00DE7E39" w:rsidRDefault="00C133B6" w:rsidP="00C133B6">
      <w:pPr>
        <w:spacing w:line="276" w:lineRule="auto"/>
        <w:ind w:firstLine="708"/>
        <w:jc w:val="both"/>
        <w:rPr>
          <w:rFonts w:ascii="Arial" w:eastAsia="Calibri" w:hAnsi="Arial" w:cs="Arial"/>
          <w:color w:val="000000" w:themeColor="text1"/>
          <w:sz w:val="22"/>
        </w:rPr>
      </w:pPr>
    </w:p>
    <w:p w14:paraId="6A36ABC1" w14:textId="77777777" w:rsidR="00C133B6" w:rsidRPr="00DE7E39" w:rsidRDefault="00C133B6" w:rsidP="00C133B6">
      <w:pPr>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4E67EF71" w14:textId="77777777" w:rsidR="00C133B6" w:rsidRPr="00DE7E39" w:rsidRDefault="00C133B6" w:rsidP="00C133B6">
      <w:pPr>
        <w:ind w:left="709" w:right="709"/>
        <w:jc w:val="both"/>
        <w:rPr>
          <w:rFonts w:ascii="Arial" w:eastAsia="Calibri" w:hAnsi="Arial" w:cs="Arial"/>
          <w:color w:val="000000" w:themeColor="text1"/>
          <w:sz w:val="21"/>
          <w:szCs w:val="21"/>
        </w:rPr>
      </w:pPr>
    </w:p>
    <w:p w14:paraId="0459A436" w14:textId="77777777" w:rsidR="00C133B6" w:rsidRPr="00DE7E39" w:rsidRDefault="00C133B6" w:rsidP="00C133B6">
      <w:pPr>
        <w:ind w:left="709" w:right="709"/>
        <w:jc w:val="both"/>
        <w:rPr>
          <w:rFonts w:ascii="Arial" w:eastAsia="Calibri" w:hAnsi="Arial" w:cs="Arial"/>
          <w:color w:val="000000" w:themeColor="text1"/>
          <w:sz w:val="21"/>
          <w:szCs w:val="21"/>
        </w:rPr>
      </w:pPr>
      <w:r w:rsidRPr="00DE7E39">
        <w:rPr>
          <w:rFonts w:ascii="Arial" w:eastAsia="Calibri" w:hAnsi="Arial" w:cs="Arial"/>
          <w:i/>
          <w:iCs/>
          <w:color w:val="000000" w:themeColor="text1"/>
          <w:sz w:val="21"/>
          <w:szCs w:val="21"/>
        </w:rPr>
        <w:t xml:space="preserve">Sin embargo, el hecho que no persigan una finalidad </w:t>
      </w:r>
      <w:proofErr w:type="gramStart"/>
      <w:r w:rsidRPr="00DE7E39">
        <w:rPr>
          <w:rFonts w:ascii="Arial" w:eastAsia="Calibri" w:hAnsi="Arial" w:cs="Arial"/>
          <w:i/>
          <w:iCs/>
          <w:color w:val="000000" w:themeColor="text1"/>
          <w:sz w:val="21"/>
          <w:szCs w:val="21"/>
        </w:rPr>
        <w:t>lucrativa,</w:t>
      </w:r>
      <w:proofErr w:type="gramEnd"/>
      <w:r w:rsidRPr="00DE7E39">
        <w:rPr>
          <w:rFonts w:ascii="Arial" w:eastAsia="Calibri" w:hAnsi="Arial" w:cs="Arial"/>
          <w:i/>
          <w:iCs/>
          <w:color w:val="000000" w:themeColor="text1"/>
          <w:sz w:val="21"/>
          <w:szCs w:val="21"/>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w:t>
      </w:r>
      <w:r w:rsidRPr="00DE7E39">
        <w:rPr>
          <w:rFonts w:ascii="Arial" w:eastAsia="Calibri" w:hAnsi="Arial" w:cs="Arial"/>
          <w:color w:val="000000" w:themeColor="text1"/>
          <w:sz w:val="21"/>
          <w:szCs w:val="21"/>
        </w:rPr>
        <w:t xml:space="preserve">.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w:t>
      </w:r>
      <w:proofErr w:type="gramStart"/>
      <w:r w:rsidRPr="00DE7E39">
        <w:rPr>
          <w:rFonts w:ascii="Arial" w:eastAsia="Calibri" w:hAnsi="Arial" w:cs="Arial"/>
          <w:color w:val="000000" w:themeColor="text1"/>
          <w:sz w:val="21"/>
          <w:szCs w:val="21"/>
        </w:rPr>
        <w:t>del mismo</w:t>
      </w:r>
      <w:proofErr w:type="gramEnd"/>
      <w:r w:rsidRPr="00DE7E39">
        <w:rPr>
          <w:rFonts w:ascii="Arial" w:eastAsia="Calibri" w:hAnsi="Arial" w:cs="Arial"/>
          <w:color w:val="000000" w:themeColor="text1"/>
          <w:sz w:val="21"/>
          <w:szCs w:val="21"/>
        </w:rPr>
        <w:t xml:space="preserve"> en el momento de su disolución o liquidación. (Cursivas propias)</w:t>
      </w:r>
    </w:p>
    <w:p w14:paraId="7DFD5D24" w14:textId="77777777" w:rsidR="00C133B6" w:rsidRPr="00DE7E39" w:rsidRDefault="00C133B6" w:rsidP="00C133B6">
      <w:pPr>
        <w:spacing w:line="276" w:lineRule="auto"/>
        <w:ind w:firstLine="709"/>
        <w:jc w:val="both"/>
        <w:rPr>
          <w:rFonts w:ascii="Arial" w:eastAsia="Calibri" w:hAnsi="Arial" w:cs="Arial"/>
          <w:color w:val="000000" w:themeColor="text1"/>
          <w:sz w:val="22"/>
        </w:rPr>
      </w:pPr>
    </w:p>
    <w:p w14:paraId="7BEB30C0" w14:textId="77777777" w:rsidR="00C133B6" w:rsidRPr="00DE7E39" w:rsidRDefault="00C133B6" w:rsidP="00C133B6">
      <w:pPr>
        <w:spacing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Lo anterior se justifica en que la principal característica de las ESAL es la ausencia de lucro, es decir, las ganancias o beneficios económicos no están destinados a repartirse en favor de los miembros ni de terceros, sino que permanecen dentro de la entidad incrementando su patrimonio. Con todo, las ESAL pueden participar en igualdad de condiciones en procesos de contratación regidos por la Ley 80 de 1993, la Ley 1150 de 2007 y el Decreto 1082 de 2015, siempre y cuando cumplan con los requisitos exigidos en los documentos del proceso. De esta manera, ni los contratos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w:t>
      </w:r>
    </w:p>
    <w:p w14:paraId="08BA2D90" w14:textId="77777777" w:rsidR="00C133B6" w:rsidRPr="00DE7E39" w:rsidRDefault="00C133B6" w:rsidP="00C133B6">
      <w:pPr>
        <w:spacing w:line="276" w:lineRule="auto"/>
        <w:jc w:val="both"/>
        <w:rPr>
          <w:rFonts w:ascii="Arial" w:hAnsi="Arial" w:cs="Arial"/>
          <w:b/>
          <w:bCs/>
          <w:color w:val="000000" w:themeColor="text1"/>
          <w:sz w:val="22"/>
        </w:rPr>
      </w:pPr>
    </w:p>
    <w:p w14:paraId="6972B1DF" w14:textId="77777777" w:rsidR="00C133B6" w:rsidRPr="00DE7E39" w:rsidRDefault="00C133B6" w:rsidP="00C133B6">
      <w:pPr>
        <w:tabs>
          <w:tab w:val="left" w:pos="426"/>
        </w:tabs>
        <w:spacing w:line="276" w:lineRule="auto"/>
        <w:jc w:val="both"/>
        <w:rPr>
          <w:rFonts w:ascii="Arial" w:hAnsi="Arial" w:cs="Arial"/>
          <w:b/>
          <w:bCs/>
          <w:color w:val="000000" w:themeColor="text1"/>
          <w:sz w:val="22"/>
        </w:rPr>
      </w:pPr>
      <w:r w:rsidRPr="00DE7E39">
        <w:rPr>
          <w:rFonts w:ascii="Arial" w:hAnsi="Arial" w:cs="Arial"/>
          <w:b/>
          <w:bCs/>
          <w:color w:val="000000" w:themeColor="text1"/>
          <w:sz w:val="22"/>
        </w:rPr>
        <w:t>2.2.</w:t>
      </w:r>
      <w:r w:rsidRPr="00DE7E39">
        <w:rPr>
          <w:rFonts w:ascii="Arial" w:hAnsi="Arial" w:cs="Arial"/>
          <w:b/>
          <w:bCs/>
          <w:color w:val="000000" w:themeColor="text1"/>
          <w:sz w:val="22"/>
        </w:rPr>
        <w:tab/>
      </w:r>
      <w:bookmarkStart w:id="8" w:name="_Hlk102574734"/>
      <w:r w:rsidRPr="00DE7E39">
        <w:rPr>
          <w:rFonts w:ascii="Arial" w:hAnsi="Arial" w:cs="Arial"/>
          <w:b/>
          <w:bCs/>
          <w:color w:val="000000" w:themeColor="text1"/>
          <w:sz w:val="22"/>
        </w:rPr>
        <w:t>Suspensión provisional de algunas normas del Decreto 092 de 2017</w:t>
      </w:r>
      <w:bookmarkEnd w:id="8"/>
    </w:p>
    <w:p w14:paraId="701E9991" w14:textId="77777777" w:rsidR="00C133B6" w:rsidRPr="00DE7E39" w:rsidRDefault="00C133B6" w:rsidP="00C133B6">
      <w:pPr>
        <w:spacing w:line="276" w:lineRule="auto"/>
        <w:jc w:val="both"/>
        <w:rPr>
          <w:rFonts w:ascii="Arial" w:hAnsi="Arial" w:cs="Arial"/>
          <w:b/>
          <w:bCs/>
          <w:color w:val="000000" w:themeColor="text1"/>
          <w:sz w:val="22"/>
        </w:rPr>
      </w:pPr>
    </w:p>
    <w:p w14:paraId="60F63C8B" w14:textId="55054F3D" w:rsidR="00C133B6" w:rsidRPr="00DE7E39" w:rsidRDefault="00C133B6" w:rsidP="00832B83">
      <w:pPr>
        <w:spacing w:line="276" w:lineRule="auto"/>
        <w:jc w:val="both"/>
        <w:rPr>
          <w:rFonts w:ascii="Arial" w:eastAsia="Calibri" w:hAnsi="Arial" w:cs="Arial"/>
          <w:color w:val="000000" w:themeColor="text1"/>
          <w:sz w:val="22"/>
        </w:rPr>
      </w:pPr>
      <w:r w:rsidRPr="00DE7E39">
        <w:rPr>
          <w:rFonts w:ascii="Arial" w:eastAsia="Calibri" w:hAnsi="Arial" w:cs="Arial"/>
          <w:color w:val="000000" w:themeColor="text1"/>
          <w:sz w:val="22"/>
        </w:rPr>
        <w:t>El Consejo de Estado, en el Auto del 6 de agosto de 2019 de la Sección Tercera, Subsección A, radicado No. 11001-03-26-000-2018-00113-00 (62.003), Consejero Ponente Carlos Alberto Zambrano Barrera, estudió la solicitud de suspensión provisional del inciso 2 del artículo 1, literales a y c del artículo 2, inciso 5 del artículo 2, inciso 2 del artículo 3, inciso final del artículo 4 y artículo 5 del Decreto 092 de 2017</w:t>
      </w:r>
      <w:r w:rsidRPr="00DE7E39">
        <w:rPr>
          <w:rStyle w:val="Refdenotaalpie"/>
          <w:rFonts w:ascii="Arial" w:eastAsia="Calibri" w:hAnsi="Arial" w:cs="Arial"/>
          <w:color w:val="000000" w:themeColor="text1"/>
          <w:sz w:val="22"/>
        </w:rPr>
        <w:footnoteReference w:id="10"/>
      </w:r>
      <w:r w:rsidRPr="00DE7E39">
        <w:rPr>
          <w:rFonts w:ascii="Arial" w:eastAsia="Calibri" w:hAnsi="Arial" w:cs="Arial"/>
          <w:color w:val="000000" w:themeColor="text1"/>
          <w:sz w:val="22"/>
        </w:rPr>
        <w:t>.</w:t>
      </w:r>
      <w:r w:rsidR="00832B83" w:rsidRPr="00DE7E39">
        <w:rPr>
          <w:rFonts w:ascii="Arial" w:eastAsia="Calibri" w:hAnsi="Arial" w:cs="Arial"/>
          <w:color w:val="000000" w:themeColor="text1"/>
          <w:sz w:val="22"/>
        </w:rPr>
        <w:t xml:space="preserve"> Ahora bien, cabe precisar, </w:t>
      </w:r>
      <w:r w:rsidR="00832B83" w:rsidRPr="00DE7E39">
        <w:rPr>
          <w:rFonts w:ascii="Arial" w:eastAsia="Calibri" w:hAnsi="Arial" w:cs="Arial"/>
          <w:color w:val="000000" w:themeColor="text1"/>
          <w:sz w:val="22"/>
        </w:rPr>
        <w:lastRenderedPageBreak/>
        <w:t>previamente, que las decisiones adoptadas en el auto indicado fueron mantenidas en su mayoría en el reciente auto del 15 de marzo de 2022, de la Sala Plena del Consejo de Estado</w:t>
      </w:r>
      <w:r w:rsidR="00832B83" w:rsidRPr="00DE7E39">
        <w:rPr>
          <w:rFonts w:ascii="Arial" w:eastAsia="Calibri" w:hAnsi="Arial" w:cs="Arial"/>
          <w:color w:val="000000" w:themeColor="text1"/>
          <w:sz w:val="22"/>
          <w:vertAlign w:val="superscript"/>
        </w:rPr>
        <w:footnoteReference w:id="11"/>
      </w:r>
      <w:r w:rsidR="00832B83" w:rsidRPr="00DE7E39">
        <w:rPr>
          <w:rFonts w:ascii="Arial" w:eastAsia="Calibri" w:hAnsi="Arial" w:cs="Arial"/>
          <w:color w:val="000000" w:themeColor="text1"/>
          <w:sz w:val="22"/>
        </w:rPr>
        <w:t>, mediante el cual se resuelve el recurso de súplica frente al anterior auto que, como se explicará, suspendió provisionalmente varios apartes del Decreto 092 de 2017. En este sentido, en el último auto se levantó la suspensión provisional del inciso segundo del artículo 1 y del inciso segundo del artículo 3, manteniendo en lo demás la suspensión provisional, como se precisará a continuación.</w:t>
      </w:r>
      <w:r w:rsidRPr="00DE7E39">
        <w:rPr>
          <w:rFonts w:ascii="Arial" w:eastAsia="Calibri" w:hAnsi="Arial" w:cs="Arial"/>
          <w:color w:val="000000" w:themeColor="text1"/>
          <w:sz w:val="22"/>
        </w:rPr>
        <w:t xml:space="preserve"> </w:t>
      </w:r>
    </w:p>
    <w:p w14:paraId="579EE726" w14:textId="77777777" w:rsidR="008E12DB" w:rsidRPr="00DE7E39" w:rsidRDefault="008E12DB" w:rsidP="008E12DB">
      <w:pPr>
        <w:spacing w:before="120" w:line="276" w:lineRule="auto"/>
        <w:ind w:firstLine="708"/>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La </w:t>
      </w:r>
      <w:r w:rsidRPr="00DE7E39">
        <w:rPr>
          <w:rFonts w:ascii="Arial" w:eastAsia="Calibri" w:hAnsi="Arial" w:cs="Arial"/>
          <w:i/>
          <w:iCs/>
          <w:color w:val="000000" w:themeColor="text1"/>
          <w:sz w:val="22"/>
        </w:rPr>
        <w:t>primera</w:t>
      </w:r>
      <w:r w:rsidRPr="00DE7E39">
        <w:rPr>
          <w:rFonts w:ascii="Arial" w:eastAsia="Calibri" w:hAnsi="Arial" w:cs="Arial"/>
          <w:color w:val="000000" w:themeColor="text1"/>
          <w:sz w:val="22"/>
        </w:rPr>
        <w:t xml:space="preserve"> norma que estudió el Consejo de Estado en el auto del 6 de agosto de 2019 fue el inciso 2 del artículo 1 del Decreto 092 de 2017, el cual establece que la interpretación de las expresiones que se encuentran en mayúsculas en el Decreto 092 de 2017 se harían de conformidad con la guía que expida la Agencia Nacional de Contratación Pública</w:t>
      </w:r>
      <w:r w:rsidRPr="00DE7E39">
        <w:rPr>
          <w:rStyle w:val="Refdenotaalpie"/>
          <w:rFonts w:ascii="Arial" w:eastAsia="Calibri" w:hAnsi="Arial" w:cs="Arial"/>
          <w:color w:val="000000" w:themeColor="text1"/>
          <w:sz w:val="22"/>
        </w:rPr>
        <w:footnoteReference w:id="12"/>
      </w:r>
      <w:r w:rsidRPr="00DE7E39">
        <w:rPr>
          <w:rFonts w:ascii="Arial" w:eastAsia="Calibri" w:hAnsi="Arial" w:cs="Arial"/>
          <w:color w:val="000000" w:themeColor="text1"/>
          <w:sz w:val="22"/>
        </w:rPr>
        <w:t>. Señaló que esta disposición, así como el inciso segundo del artículo 3 del Decreto 092 de 2017</w:t>
      </w:r>
      <w:r w:rsidRPr="00DE7E39">
        <w:rPr>
          <w:rStyle w:val="Refdenotaalpie"/>
          <w:rFonts w:ascii="Arial" w:eastAsia="Calibri" w:hAnsi="Arial" w:cs="Arial"/>
          <w:color w:val="000000" w:themeColor="text1"/>
          <w:sz w:val="22"/>
        </w:rPr>
        <w:footnoteReference w:id="13"/>
      </w:r>
      <w:r w:rsidRPr="00DE7E39">
        <w:rPr>
          <w:rFonts w:ascii="Arial" w:eastAsia="Calibri" w:hAnsi="Arial" w:cs="Arial"/>
          <w:color w:val="000000" w:themeColor="text1"/>
          <w:sz w:val="22"/>
        </w:rPr>
        <w:t xml:space="preserve">, excedían la potestad reglamentaria, que estaba exclusivamente asignada al Presidente de la República, toda vez que la esencia de la facultad reglamentaria es de carácter permanente, inalienable, intransferible e irrenunciable, y el Presidente no la podía delegar en una entidad como la Agencia Nacional de Contratación Pública – Colombia Compra Eficiente, para que a través de una guía reglamentara los vacíos de un Decreto. Al respecto señaló: </w:t>
      </w:r>
    </w:p>
    <w:p w14:paraId="06166FAE" w14:textId="77777777" w:rsidR="008E12DB" w:rsidRPr="00DE7E39" w:rsidRDefault="008E12DB" w:rsidP="008E12DB">
      <w:pPr>
        <w:spacing w:line="276" w:lineRule="auto"/>
        <w:jc w:val="both"/>
        <w:rPr>
          <w:rFonts w:ascii="Arial" w:eastAsia="Calibri" w:hAnsi="Arial" w:cs="Arial"/>
          <w:color w:val="000000" w:themeColor="text1"/>
          <w:sz w:val="22"/>
        </w:rPr>
      </w:pPr>
    </w:p>
    <w:p w14:paraId="25C715A4" w14:textId="77777777" w:rsidR="008E12DB" w:rsidRPr="00DE7E39" w:rsidRDefault="008E12DB" w:rsidP="008E12DB">
      <w:pPr>
        <w:tabs>
          <w:tab w:val="left" w:pos="8789"/>
        </w:tabs>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w:t>
      </w:r>
      <w:r w:rsidRPr="00DE7E39">
        <w:rPr>
          <w:rFonts w:ascii="Arial" w:eastAsia="Calibri" w:hAnsi="Arial" w:cs="Arial"/>
          <w:color w:val="000000" w:themeColor="text1"/>
          <w:sz w:val="21"/>
          <w:szCs w:val="21"/>
        </w:rPr>
        <w:lastRenderedPageBreak/>
        <w:t>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61960D97" w14:textId="77777777" w:rsidR="008E12DB" w:rsidRPr="00DE7E39" w:rsidRDefault="008E12DB" w:rsidP="008E12DB">
      <w:pPr>
        <w:tabs>
          <w:tab w:val="left" w:pos="8789"/>
        </w:tabs>
        <w:spacing w:line="276" w:lineRule="auto"/>
        <w:ind w:left="708" w:right="709"/>
        <w:jc w:val="both"/>
        <w:rPr>
          <w:rFonts w:ascii="Arial" w:eastAsia="Calibri" w:hAnsi="Arial" w:cs="Arial"/>
          <w:color w:val="000000" w:themeColor="text1"/>
          <w:sz w:val="21"/>
          <w:szCs w:val="21"/>
        </w:rPr>
      </w:pPr>
    </w:p>
    <w:p w14:paraId="549451F7" w14:textId="77777777" w:rsidR="008E12DB" w:rsidRPr="00DE7E39" w:rsidRDefault="008E12DB" w:rsidP="008E12DB">
      <w:pPr>
        <w:spacing w:after="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En virtud de este análisis, el Consejo de Estado, en el auto del 9 de agosto de 2019 suspendió provisionalmente el inciso 2 del artículo primero y el inciso 2 del artículo 3, lo que significaba que los contratos celebrados con entidades sin ánimo de lucro no tenían que aplicar la «Guía para la contratación con entidades privadas sin ánimo de lucro y de reconocida idoneidad», expedida por la Agencia Nacional de Contratación Pública–Colombia Compra Eficiente. </w:t>
      </w:r>
    </w:p>
    <w:p w14:paraId="59195116" w14:textId="77777777" w:rsidR="008E12DB" w:rsidRPr="00DE7E39" w:rsidRDefault="008E12DB" w:rsidP="008E12DB">
      <w:pPr>
        <w:spacing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Sin embargo, mediante el auto del 15 de marzo de 2022 de la Sala Plena del Consejo de Estado, al que se hizo referencia en inicio de este acápite, se ordenó levantar la suspensión provisional del inciso segundo del artículo 1 y del inciso segundo del artículo 3, al considerar la Alta Corporación que:</w:t>
      </w:r>
    </w:p>
    <w:p w14:paraId="3B48A976" w14:textId="77777777" w:rsidR="008E12DB" w:rsidRPr="00DE7E39" w:rsidRDefault="008E12DB" w:rsidP="008E12DB">
      <w:pPr>
        <w:spacing w:line="276" w:lineRule="auto"/>
        <w:ind w:firstLine="709"/>
        <w:jc w:val="both"/>
        <w:rPr>
          <w:rFonts w:ascii="Arial" w:eastAsia="Calibri" w:hAnsi="Arial" w:cs="Arial"/>
          <w:color w:val="000000" w:themeColor="text1"/>
          <w:sz w:val="22"/>
        </w:rPr>
      </w:pPr>
    </w:p>
    <w:p w14:paraId="6D99DFFE" w14:textId="77777777" w:rsidR="008E12DB" w:rsidRPr="00DE7E39" w:rsidRDefault="008E12DB" w:rsidP="008E12DB">
      <w:pPr>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28. Contrario a la conclusión a la que se arribó en el auto suplicado, la Sala observa que de la simple confrontación de la norma no se advierte, prima facie, que lo ordenado en el inciso segundo del artículo 1, así como en el inciso segundo del artículo 3 del Decreto 092 de 2017, conlleve, per se, la delegación de la facultad reglamentaria directa de la Constitución, atribuida al Gobierno nacional en el artículo 355 superior.</w:t>
      </w:r>
    </w:p>
    <w:p w14:paraId="43330218" w14:textId="77777777" w:rsidR="008E12DB" w:rsidRPr="00DE7E39" w:rsidRDefault="008E12DB" w:rsidP="008E12DB">
      <w:pPr>
        <w:ind w:left="708" w:right="709"/>
        <w:jc w:val="both"/>
        <w:rPr>
          <w:rFonts w:ascii="Arial" w:eastAsia="Calibri" w:hAnsi="Arial" w:cs="Arial"/>
          <w:color w:val="000000" w:themeColor="text1"/>
          <w:sz w:val="21"/>
          <w:szCs w:val="21"/>
        </w:rPr>
      </w:pPr>
    </w:p>
    <w:p w14:paraId="16E41F13" w14:textId="77777777" w:rsidR="008E12DB" w:rsidRPr="00DE7E39" w:rsidRDefault="008E12DB" w:rsidP="008E12DB">
      <w:pPr>
        <w:spacing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En armonía con lo anterior, en relación con el inciso segundo del artículo primero del Decreto 092 de 2017, que establece que las expresiones utilizadas en el decreto con mayúscula inicial deben ser entendidas con el significado indicado en la guía que expida la Agencia Nacional de Contratación Pública – Colombia Compra Eficiente, el Consejo de Estado consideró procedente levantar la suspensión provisional, al considerar que: </w:t>
      </w:r>
    </w:p>
    <w:p w14:paraId="4888D2E6" w14:textId="77777777" w:rsidR="008E12DB" w:rsidRPr="00DE7E39" w:rsidRDefault="008E12DB" w:rsidP="008E12DB">
      <w:pPr>
        <w:spacing w:line="276" w:lineRule="auto"/>
        <w:ind w:firstLine="709"/>
        <w:jc w:val="both"/>
        <w:rPr>
          <w:rFonts w:ascii="Arial" w:eastAsia="Calibri" w:hAnsi="Arial" w:cs="Arial"/>
          <w:color w:val="000000" w:themeColor="text1"/>
          <w:sz w:val="22"/>
        </w:rPr>
      </w:pPr>
    </w:p>
    <w:p w14:paraId="440FA7D5" w14:textId="77777777" w:rsidR="008E12DB" w:rsidRPr="00DE7E39" w:rsidRDefault="008E12DB" w:rsidP="008E12DB">
      <w:pPr>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35. En esa medida determinó el Gobierno nacional que para la interpretación del decreto que nos ocupa, las expresiones utilizadas con mayúscula inicial deben ser entendidas con el significado indicado en la guía que expida la Agencia Nacional de Contratación Pública –Colombia Compra Eficiente– para su correspondiente aplicación, lo que implica una orientación tendiente a propiciar una integración normativa con definiciones que ya existen en el ordenamiento jurídico y que fundamentará la interpretación de dichas expresiones. En este orden de ideas, no existe habilitación a Colombia Compra Eficiente para crear definiciones normativas de estas expresiones, sino que de las que ya cuenta el ordenamiento jurídico realiza la guía. Por ello, no hay delegación de la competencia para crear el decreto constitucional que le compete al Gobierno nacional.</w:t>
      </w:r>
    </w:p>
    <w:p w14:paraId="27A66DE6" w14:textId="77777777" w:rsidR="008E12DB" w:rsidRPr="00DE7E39" w:rsidRDefault="008E12DB" w:rsidP="008E12DB">
      <w:pPr>
        <w:ind w:left="708" w:right="709"/>
        <w:jc w:val="both"/>
        <w:rPr>
          <w:rFonts w:ascii="Arial" w:eastAsia="Calibri" w:hAnsi="Arial" w:cs="Arial"/>
          <w:color w:val="000000" w:themeColor="text1"/>
          <w:sz w:val="21"/>
          <w:szCs w:val="21"/>
        </w:rPr>
      </w:pPr>
    </w:p>
    <w:p w14:paraId="36D2CA07" w14:textId="77777777" w:rsidR="008E12DB" w:rsidRPr="00DE7E39" w:rsidRDefault="008E12DB" w:rsidP="008E12DB">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lastRenderedPageBreak/>
        <w:t>Además, en relación con el inciso segundo del artículo 3, que establece que la entidad estatal debe definir en los documentos del proceso las características que debe acreditar la entidad sin ánimo de lucro, para lo que deberá tener en consideración los criterios establecidos en la guía que expida Colombia Compra Eficiente, el Consejo de Estado también resolvió levantar la suspensión provisional, al considerar que el análisis sobre su validez se debe reservar para el momento en que se profiera la sentencia respectiva, pues, a su juicio, no resulta evidente que se haya delegado indebidamente el ejercicio de la potestad reglamentaria</w:t>
      </w:r>
      <w:r w:rsidRPr="00DE7E39">
        <w:rPr>
          <w:rStyle w:val="Refdenotaalpie"/>
          <w:rFonts w:ascii="Arial" w:eastAsia="Calibri" w:hAnsi="Arial" w:cs="Arial"/>
          <w:color w:val="000000" w:themeColor="text1"/>
          <w:sz w:val="22"/>
        </w:rPr>
        <w:footnoteReference w:id="14"/>
      </w:r>
      <w:r w:rsidRPr="00DE7E39">
        <w:rPr>
          <w:rFonts w:ascii="Arial" w:eastAsia="Calibri" w:hAnsi="Arial" w:cs="Arial"/>
          <w:color w:val="000000" w:themeColor="text1"/>
          <w:sz w:val="22"/>
        </w:rPr>
        <w:t>.</w:t>
      </w:r>
    </w:p>
    <w:p w14:paraId="4F9D2E3B" w14:textId="77777777" w:rsidR="008E12DB" w:rsidRPr="00DE7E39" w:rsidRDefault="008E12DB" w:rsidP="008E12DB">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Ahora bien, cabe precisar que mediante el auto del 15 de marzo de 2022 de la Sala Plena del Consejo de Estado únicamente se levantó la suspensión provisional de las normas desarrolladas hasta este lugar, por lo que, en lo demás, se confirmó la decisión de suspensión provisional de los demás apartes del Decreto 019 de 2017 dictada en el auto del 6 de agosto de 2019, como se procede a explicar.</w:t>
      </w:r>
    </w:p>
    <w:p w14:paraId="4E294046" w14:textId="709CCDB8" w:rsidR="00C133B6" w:rsidRPr="00DE7E39" w:rsidRDefault="00C133B6" w:rsidP="00C133B6">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La </w:t>
      </w:r>
      <w:r w:rsidRPr="00DE7E39">
        <w:rPr>
          <w:rFonts w:ascii="Arial" w:eastAsia="Calibri" w:hAnsi="Arial" w:cs="Arial"/>
          <w:i/>
          <w:iCs/>
          <w:color w:val="000000" w:themeColor="text1"/>
          <w:sz w:val="22"/>
        </w:rPr>
        <w:t>segunda</w:t>
      </w:r>
      <w:r w:rsidRPr="00DE7E39">
        <w:rPr>
          <w:rFonts w:ascii="Arial" w:eastAsia="Calibri" w:hAnsi="Arial" w:cs="Arial"/>
          <w:color w:val="000000" w:themeColor="text1"/>
          <w:sz w:val="22"/>
        </w:rPr>
        <w:t xml:space="preserve"> norma que analizó el Consejo de Estado</w:t>
      </w:r>
      <w:r w:rsidR="00A95A94" w:rsidRPr="00DE7E39">
        <w:rPr>
          <w:rFonts w:ascii="Arial" w:eastAsia="Calibri" w:hAnsi="Arial" w:cs="Arial"/>
          <w:color w:val="000000" w:themeColor="text1"/>
          <w:sz w:val="22"/>
        </w:rPr>
        <w:t xml:space="preserve"> en el auto del 6 de agosto de 2019,</w:t>
      </w:r>
      <w:r w:rsidRPr="00DE7E39">
        <w:rPr>
          <w:rFonts w:ascii="Arial" w:eastAsia="Calibri" w:hAnsi="Arial" w:cs="Arial"/>
          <w:color w:val="000000" w:themeColor="text1"/>
          <w:sz w:val="22"/>
        </w:rPr>
        <w:t xml:space="preserve"> fue el literal a), del artículo 2, del Decreto 092,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DE7E39">
        <w:rPr>
          <w:rStyle w:val="Refdenotaalpie"/>
          <w:rFonts w:ascii="Arial" w:hAnsi="Arial" w:cs="Arial"/>
          <w:color w:val="000000" w:themeColor="text1"/>
          <w:sz w:val="22"/>
        </w:rPr>
        <w:footnoteReference w:id="15"/>
      </w:r>
      <w:r w:rsidRPr="00DE7E39">
        <w:rPr>
          <w:rFonts w:ascii="Arial" w:eastAsia="Calibri" w:hAnsi="Arial" w:cs="Arial"/>
          <w:color w:val="000000" w:themeColor="text1"/>
          <w:sz w:val="22"/>
        </w:rPr>
        <w:t xml:space="preserve">. </w:t>
      </w:r>
      <w:bookmarkStart w:id="9" w:name="_Hlk95756502"/>
      <w:r w:rsidRPr="00DE7E39">
        <w:rPr>
          <w:rFonts w:ascii="Arial" w:eastAsia="Calibri" w:hAnsi="Arial" w:cs="Arial"/>
          <w:color w:val="000000" w:themeColor="text1"/>
          <w:sz w:val="22"/>
        </w:rPr>
        <w:t xml:space="preserve">En relación con esta norma, encontró que el literal a) del artículo 2 establece dos condiciones contrarias al </w:t>
      </w:r>
      <w:r w:rsidRPr="00DE7E39">
        <w:rPr>
          <w:rFonts w:ascii="Arial" w:eastAsia="Calibri" w:hAnsi="Arial" w:cs="Arial"/>
          <w:color w:val="000000" w:themeColor="text1"/>
          <w:sz w:val="22"/>
        </w:rPr>
        <w:lastRenderedPageBreak/>
        <w:t xml:space="preserve">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w:t>
      </w:r>
      <w:bookmarkEnd w:id="9"/>
      <w:r w:rsidRPr="00DE7E39">
        <w:rPr>
          <w:rFonts w:ascii="Arial" w:eastAsia="Calibri" w:hAnsi="Arial" w:cs="Arial"/>
          <w:color w:val="000000" w:themeColor="text1"/>
          <w:sz w:val="22"/>
        </w:rPr>
        <w:t xml:space="preserve">En relación con lo anterior, el auto del Consejo de Estado explica que: </w:t>
      </w:r>
    </w:p>
    <w:p w14:paraId="1F93A3DC" w14:textId="77777777" w:rsidR="00C133B6" w:rsidRPr="00DE7E39" w:rsidRDefault="00C133B6" w:rsidP="00C133B6">
      <w:pPr>
        <w:spacing w:line="276" w:lineRule="auto"/>
        <w:jc w:val="both"/>
        <w:rPr>
          <w:rFonts w:ascii="Arial" w:eastAsia="Calibri" w:hAnsi="Arial" w:cs="Arial"/>
          <w:color w:val="000000" w:themeColor="text1"/>
          <w:sz w:val="22"/>
        </w:rPr>
      </w:pPr>
    </w:p>
    <w:p w14:paraId="7E01EE02" w14:textId="77777777" w:rsidR="00C133B6" w:rsidRPr="00DE7E39" w:rsidRDefault="00C133B6" w:rsidP="00C133B6">
      <w:pPr>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2B14C0AF" w14:textId="77777777" w:rsidR="00C133B6" w:rsidRPr="00DE7E39" w:rsidRDefault="00C133B6" w:rsidP="00C133B6">
      <w:pPr>
        <w:spacing w:line="276" w:lineRule="auto"/>
        <w:jc w:val="both"/>
        <w:rPr>
          <w:rFonts w:ascii="Arial" w:eastAsia="Calibri" w:hAnsi="Arial" w:cs="Arial"/>
          <w:color w:val="000000" w:themeColor="text1"/>
          <w:sz w:val="22"/>
        </w:rPr>
      </w:pPr>
    </w:p>
    <w:p w14:paraId="5630BA16" w14:textId="77777777" w:rsidR="00C133B6" w:rsidRPr="00DE7E39" w:rsidRDefault="00C133B6" w:rsidP="00C133B6">
      <w:pPr>
        <w:spacing w:line="276" w:lineRule="auto"/>
        <w:ind w:firstLine="708"/>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265FC6E5" w14:textId="77777777" w:rsidR="00C133B6" w:rsidRPr="00DE7E39" w:rsidRDefault="00C133B6" w:rsidP="00C133B6">
      <w:pPr>
        <w:spacing w:line="276" w:lineRule="auto"/>
        <w:jc w:val="both"/>
        <w:rPr>
          <w:rFonts w:ascii="Arial" w:eastAsia="Calibri" w:hAnsi="Arial" w:cs="Arial"/>
          <w:color w:val="000000" w:themeColor="text1"/>
          <w:sz w:val="22"/>
        </w:rPr>
      </w:pPr>
    </w:p>
    <w:p w14:paraId="435DFE0E" w14:textId="77777777" w:rsidR="00C133B6" w:rsidRPr="00DE7E39" w:rsidRDefault="00C133B6" w:rsidP="00C133B6">
      <w:pPr>
        <w:tabs>
          <w:tab w:val="left" w:pos="8080"/>
        </w:tabs>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14:paraId="07E84824" w14:textId="77777777" w:rsidR="00C133B6" w:rsidRPr="00DE7E39" w:rsidRDefault="00C133B6" w:rsidP="00C133B6">
      <w:pPr>
        <w:spacing w:line="276" w:lineRule="auto"/>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 </w:t>
      </w:r>
    </w:p>
    <w:p w14:paraId="75243383" w14:textId="77777777" w:rsidR="00C133B6" w:rsidRPr="00DE7E39" w:rsidRDefault="00C133B6" w:rsidP="00BB5B81">
      <w:pPr>
        <w:spacing w:line="276" w:lineRule="auto"/>
        <w:ind w:firstLine="709"/>
        <w:jc w:val="both"/>
        <w:rPr>
          <w:rFonts w:ascii="Arial" w:eastAsia="Calibri" w:hAnsi="Arial" w:cs="Arial"/>
          <w:color w:val="000000" w:themeColor="text1"/>
          <w:sz w:val="22"/>
        </w:rPr>
      </w:pPr>
      <w:bookmarkStart w:id="10" w:name="_Hlk95756534"/>
      <w:r w:rsidRPr="00DE7E39">
        <w:rPr>
          <w:rFonts w:ascii="Arial" w:eastAsia="Calibri" w:hAnsi="Arial" w:cs="Arial"/>
          <w:color w:val="000000" w:themeColor="text1"/>
          <w:sz w:val="22"/>
        </w:rPr>
        <w:t>Así las cosas, el Consejo de Estado suspendió provisionalmente el literal a), por lo cual el objeto de los contratos debe ser acorde con los planes nacionales o seccionales de desarrollo; y no necesariamente estar previstos directamente en ellos. Por lo demás, no solo se pueden celebrar contratos para los objetos específicos señalados en el Decreto 092 de 2017.</w:t>
      </w:r>
    </w:p>
    <w:bookmarkEnd w:id="10"/>
    <w:p w14:paraId="08D92FC4" w14:textId="1FB139F8" w:rsidR="00C133B6" w:rsidRPr="00DE7E39" w:rsidRDefault="00C133B6" w:rsidP="00C133B6">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lastRenderedPageBreak/>
        <w:t xml:space="preserve">El Consejo de Estado, </w:t>
      </w:r>
      <w:r w:rsidR="00160A01" w:rsidRPr="00DE7E39">
        <w:rPr>
          <w:rFonts w:ascii="Arial" w:eastAsia="Calibri" w:hAnsi="Arial" w:cs="Arial"/>
          <w:color w:val="000000" w:themeColor="text1"/>
          <w:sz w:val="22"/>
        </w:rPr>
        <w:t xml:space="preserve">en el auto del 6 de agosto de 2019, </w:t>
      </w:r>
      <w:r w:rsidRPr="00DE7E39">
        <w:rPr>
          <w:rFonts w:ascii="Arial" w:eastAsia="Calibri" w:hAnsi="Arial" w:cs="Arial"/>
          <w:color w:val="000000" w:themeColor="text1"/>
          <w:sz w:val="22"/>
        </w:rPr>
        <w:t xml:space="preserve">en </w:t>
      </w:r>
      <w:r w:rsidRPr="00DE7E39">
        <w:rPr>
          <w:rFonts w:ascii="Arial" w:eastAsia="Calibri" w:hAnsi="Arial" w:cs="Arial"/>
          <w:i/>
          <w:iCs/>
          <w:color w:val="000000" w:themeColor="text1"/>
          <w:sz w:val="22"/>
        </w:rPr>
        <w:t>tercer</w:t>
      </w:r>
      <w:r w:rsidRPr="00DE7E39">
        <w:rPr>
          <w:rFonts w:ascii="Arial" w:eastAsia="Calibri" w:hAnsi="Arial" w:cs="Arial"/>
          <w:color w:val="000000" w:themeColor="text1"/>
          <w:sz w:val="22"/>
        </w:rPr>
        <w:t xml:space="preserve"> lugar, examinó el literal c) y el inciso 5 del artículo 2 del Decreto</w:t>
      </w:r>
      <w:r w:rsidRPr="00DE7E39">
        <w:rPr>
          <w:rStyle w:val="Refdenotaalpie"/>
          <w:rFonts w:ascii="Arial" w:eastAsia="Calibri" w:hAnsi="Arial" w:cs="Arial"/>
          <w:color w:val="000000" w:themeColor="text1"/>
          <w:sz w:val="22"/>
        </w:rPr>
        <w:footnoteReference w:id="16"/>
      </w:r>
      <w:r w:rsidRPr="00DE7E39">
        <w:rPr>
          <w:rFonts w:ascii="Arial" w:eastAsia="Calibri" w:hAnsi="Arial" w:cs="Arial"/>
          <w:color w:val="000000" w:themeColor="text1"/>
          <w:sz w:val="22"/>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demás sociedades. En este sentido, el Consejo de Estado manifestó: </w:t>
      </w:r>
    </w:p>
    <w:p w14:paraId="0F0A1965" w14:textId="77777777" w:rsidR="00C133B6" w:rsidRPr="00DE7E39" w:rsidRDefault="00C133B6" w:rsidP="00C133B6">
      <w:pPr>
        <w:spacing w:line="276" w:lineRule="auto"/>
        <w:jc w:val="both"/>
        <w:rPr>
          <w:rFonts w:ascii="Arial" w:eastAsia="Calibri" w:hAnsi="Arial" w:cs="Arial"/>
          <w:color w:val="000000" w:themeColor="text1"/>
          <w:sz w:val="22"/>
        </w:rPr>
      </w:pPr>
    </w:p>
    <w:p w14:paraId="117CEB18" w14:textId="77777777" w:rsidR="00C133B6" w:rsidRPr="00DE7E39" w:rsidRDefault="00C133B6" w:rsidP="00C133B6">
      <w:pPr>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DE7E39">
        <w:rPr>
          <w:rFonts w:ascii="Arial" w:eastAsia="Calibri" w:hAnsi="Arial" w:cs="Arial"/>
          <w:color w:val="000000" w:themeColor="text1"/>
          <w:sz w:val="21"/>
          <w:szCs w:val="21"/>
        </w:rPr>
        <w:t>ii</w:t>
      </w:r>
      <w:proofErr w:type="spellEnd"/>
      <w:r w:rsidRPr="00DE7E39">
        <w:rPr>
          <w:rFonts w:ascii="Arial" w:eastAsia="Calibri" w:hAnsi="Arial" w:cs="Arial"/>
          <w:color w:val="000000" w:themeColor="text1"/>
          <w:sz w:val="21"/>
          <w:szCs w:val="21"/>
        </w:rPr>
        <w:t>) desarrollan programas y actividades de interés público con reconocida idoneidad. No son, entonces, entidades creadas para competir en el mercado.</w:t>
      </w:r>
    </w:p>
    <w:p w14:paraId="0053C26D" w14:textId="77777777" w:rsidR="00C133B6" w:rsidRPr="00DE7E39" w:rsidRDefault="00C133B6" w:rsidP="00C133B6">
      <w:pPr>
        <w:spacing w:line="276" w:lineRule="auto"/>
        <w:jc w:val="both"/>
        <w:rPr>
          <w:rFonts w:ascii="Arial" w:eastAsia="Calibri" w:hAnsi="Arial" w:cs="Arial"/>
          <w:color w:val="000000" w:themeColor="text1"/>
          <w:sz w:val="22"/>
        </w:rPr>
      </w:pPr>
    </w:p>
    <w:p w14:paraId="285686BF" w14:textId="77777777" w:rsidR="00C133B6" w:rsidRPr="00DE7E39" w:rsidRDefault="00C133B6" w:rsidP="00C133B6">
      <w:pPr>
        <w:spacing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Por tanto, suspendió provisionalmente el literal c) y el inciso 5º del artículo 2 del Decreto 092 de 2017, razón por la cual los procesos de contratación con entidades privadas sin ánimo de lucro no quedan condicionados a la inexistencia de oferta en el mercado de bienes y servicios, ni a que la ESAL garantice la mejor oferta y la optimización de los recursos públicos. Lo anterior, en la medida que estas condiciones son propias de la contratación del Estatuto General de Contratación de la Administración Pública, no del régimen jurídico especial que establece el artículo 355 de la Constitución Política.</w:t>
      </w:r>
    </w:p>
    <w:p w14:paraId="1A7C1B3E" w14:textId="3B0D5DC2" w:rsidR="00C133B6" w:rsidRPr="00DE7E39" w:rsidRDefault="00C133B6" w:rsidP="00C133B6">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La </w:t>
      </w:r>
      <w:r w:rsidRPr="00DE7E39">
        <w:rPr>
          <w:rFonts w:ascii="Arial" w:eastAsia="Calibri" w:hAnsi="Arial" w:cs="Arial"/>
          <w:i/>
          <w:iCs/>
          <w:color w:val="000000" w:themeColor="text1"/>
          <w:sz w:val="22"/>
        </w:rPr>
        <w:t>cuarta</w:t>
      </w:r>
      <w:r w:rsidRPr="00DE7E39">
        <w:rPr>
          <w:rFonts w:ascii="Arial" w:eastAsia="Calibri" w:hAnsi="Arial" w:cs="Arial"/>
          <w:color w:val="000000" w:themeColor="text1"/>
          <w:sz w:val="22"/>
        </w:rPr>
        <w:t xml:space="preserve"> norma que estudió el Consejo de Estado</w:t>
      </w:r>
      <w:r w:rsidR="00ED3F01" w:rsidRPr="00DE7E39">
        <w:rPr>
          <w:rFonts w:ascii="Arial" w:eastAsia="Calibri" w:hAnsi="Arial" w:cs="Arial"/>
          <w:color w:val="000000" w:themeColor="text1"/>
          <w:sz w:val="22"/>
        </w:rPr>
        <w:t xml:space="preserve"> en el auto del 6 de agosto de 2019</w:t>
      </w:r>
      <w:r w:rsidRPr="00DE7E39">
        <w:rPr>
          <w:rFonts w:ascii="Arial" w:eastAsia="Calibri" w:hAnsi="Arial" w:cs="Arial"/>
          <w:color w:val="000000" w:themeColor="text1"/>
          <w:sz w:val="22"/>
        </w:rPr>
        <w:t xml:space="preserve">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DE7E39">
        <w:rPr>
          <w:rStyle w:val="Refdenotaalpie"/>
          <w:rFonts w:ascii="Arial" w:eastAsia="Calibri" w:hAnsi="Arial" w:cs="Arial"/>
          <w:color w:val="000000" w:themeColor="text1"/>
          <w:sz w:val="22"/>
        </w:rPr>
        <w:footnoteReference w:id="17"/>
      </w:r>
      <w:r w:rsidRPr="00DE7E39">
        <w:rPr>
          <w:rFonts w:ascii="Arial" w:eastAsia="Calibri" w:hAnsi="Arial" w:cs="Arial"/>
          <w:color w:val="000000" w:themeColor="text1"/>
          <w:sz w:val="22"/>
        </w:rPr>
        <w:t xml:space="preserve">. Para la Sala, esta norma vulnera el principio de igualdad, por establecer un </w:t>
      </w:r>
      <w:r w:rsidRPr="00DE7E39">
        <w:rPr>
          <w:rFonts w:ascii="Arial" w:eastAsia="Calibri" w:hAnsi="Arial" w:cs="Arial"/>
          <w:color w:val="000000" w:themeColor="text1"/>
          <w:sz w:val="22"/>
        </w:rPr>
        <w:lastRenderedPageBreak/>
        <w:t xml:space="preserve">privilegio para determinadas personas jurídicas o naturales que ejecutaran únicamente las actividades allí previstas, contratándolas sin realizar un proceso competitivo. El Consejo de Estado se pronunció en los siguientes términos: </w:t>
      </w:r>
    </w:p>
    <w:p w14:paraId="262DD0D3" w14:textId="77777777" w:rsidR="00C133B6" w:rsidRPr="00DE7E39" w:rsidRDefault="00C133B6" w:rsidP="00C133B6">
      <w:pPr>
        <w:spacing w:line="276" w:lineRule="auto"/>
        <w:jc w:val="both"/>
        <w:rPr>
          <w:rFonts w:ascii="Arial" w:eastAsia="Calibri" w:hAnsi="Arial" w:cs="Arial"/>
          <w:color w:val="000000" w:themeColor="text1"/>
          <w:sz w:val="22"/>
        </w:rPr>
      </w:pPr>
    </w:p>
    <w:p w14:paraId="46B0E413" w14:textId="77777777" w:rsidR="00C133B6" w:rsidRPr="00DE7E39" w:rsidRDefault="00C133B6" w:rsidP="00C133B6">
      <w:pPr>
        <w:ind w:left="708"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Puestas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 </w:t>
      </w:r>
    </w:p>
    <w:p w14:paraId="0B2A9A4D" w14:textId="77777777" w:rsidR="00C133B6" w:rsidRPr="00DE7E39" w:rsidRDefault="00C133B6" w:rsidP="00C133B6">
      <w:pPr>
        <w:spacing w:line="276" w:lineRule="auto"/>
        <w:ind w:firstLine="709"/>
        <w:jc w:val="both"/>
        <w:rPr>
          <w:rFonts w:ascii="Arial" w:eastAsia="Calibri" w:hAnsi="Arial" w:cs="Arial"/>
          <w:color w:val="000000" w:themeColor="text1"/>
          <w:sz w:val="22"/>
        </w:rPr>
      </w:pPr>
      <w:bookmarkStart w:id="11" w:name="_Hlk95756891"/>
    </w:p>
    <w:p w14:paraId="7C6E36F0" w14:textId="77777777" w:rsidR="00C133B6" w:rsidRPr="00DE7E39" w:rsidRDefault="00C133B6" w:rsidP="00C133B6">
      <w:pPr>
        <w:spacing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Por consiguiente, se suspendió provisionalmente el inciso final del artículo 4 por violar el principio de igualdad, de manera que la contratación de actividades y programas de interés público debe realizarse a través de un proceso competitivo para escoger a la entidad sin ánimo de lucro. </w:t>
      </w:r>
      <w:bookmarkEnd w:id="11"/>
      <w:r w:rsidRPr="00DE7E39">
        <w:rPr>
          <w:rFonts w:ascii="Arial" w:eastAsia="Calibri" w:hAnsi="Arial" w:cs="Arial"/>
          <w:color w:val="000000" w:themeColor="text1"/>
          <w:sz w:val="22"/>
        </w:rPr>
        <w:t xml:space="preserve">En estos procesos, entonces, se debe acudir a los criterios aplicables a los otros negocios jurídicos que regula el Decreto 092 de 2017, particularmente las exigencias del artículo 2 </w:t>
      </w:r>
      <w:r w:rsidRPr="00DE7E39">
        <w:rPr>
          <w:rFonts w:ascii="Arial" w:eastAsia="Calibri" w:hAnsi="Arial" w:cs="Arial"/>
          <w:i/>
          <w:iCs/>
          <w:color w:val="000000" w:themeColor="text1"/>
          <w:sz w:val="22"/>
        </w:rPr>
        <w:t>ibidem</w:t>
      </w:r>
      <w:r w:rsidRPr="00DE7E39">
        <w:rPr>
          <w:rFonts w:ascii="Arial" w:eastAsia="Calibri" w:hAnsi="Arial" w:cs="Arial"/>
          <w:color w:val="000000" w:themeColor="text1"/>
          <w:sz w:val="22"/>
        </w:rPr>
        <w:t xml:space="preserve">. Incluso, habría que tener en cuenta las exigencias del inciso 2 del artículo 4 </w:t>
      </w:r>
      <w:proofErr w:type="spellStart"/>
      <w:r w:rsidRPr="00DE7E39">
        <w:rPr>
          <w:rFonts w:ascii="Arial" w:eastAsia="Calibri" w:hAnsi="Arial" w:cs="Arial"/>
          <w:i/>
          <w:iCs/>
          <w:color w:val="000000" w:themeColor="text1"/>
          <w:sz w:val="22"/>
        </w:rPr>
        <w:t>íbídem</w:t>
      </w:r>
      <w:proofErr w:type="spellEnd"/>
      <w:r w:rsidRPr="00DE7E39">
        <w:rPr>
          <w:rFonts w:ascii="Arial" w:eastAsia="Calibri" w:hAnsi="Arial" w:cs="Arial"/>
          <w:color w:val="000000" w:themeColor="text1"/>
          <w:sz w:val="22"/>
        </w:rPr>
        <w:t>, siempre que se configuren los supuestos de aplicación de dicha normativa, esto es, siempre que exista más de una entidad sin ánimo de lucro de reconocida idoneidad.</w:t>
      </w:r>
    </w:p>
    <w:p w14:paraId="2B3E9385" w14:textId="35032A71" w:rsidR="00C133B6" w:rsidRPr="00DE7E39" w:rsidRDefault="00C133B6" w:rsidP="00C133B6">
      <w:pPr>
        <w:spacing w:before="120" w:line="276" w:lineRule="auto"/>
        <w:ind w:firstLine="709"/>
        <w:jc w:val="both"/>
        <w:rPr>
          <w:rFonts w:ascii="Arial" w:eastAsia="Calibri" w:hAnsi="Arial" w:cs="Arial"/>
          <w:color w:val="000000" w:themeColor="text1"/>
          <w:sz w:val="22"/>
        </w:rPr>
      </w:pPr>
      <w:bookmarkStart w:id="12" w:name="_Hlk95757095"/>
      <w:r w:rsidRPr="00DE7E39">
        <w:rPr>
          <w:rFonts w:ascii="Arial" w:eastAsia="Calibri" w:hAnsi="Arial" w:cs="Arial"/>
          <w:color w:val="000000" w:themeColor="text1"/>
          <w:sz w:val="22"/>
        </w:rPr>
        <w:t xml:space="preserve">Por último, en </w:t>
      </w:r>
      <w:r w:rsidRPr="00DE7E39">
        <w:rPr>
          <w:rFonts w:ascii="Arial" w:eastAsia="Calibri" w:hAnsi="Arial" w:cs="Arial"/>
          <w:i/>
          <w:iCs/>
          <w:color w:val="000000" w:themeColor="text1"/>
          <w:sz w:val="22"/>
        </w:rPr>
        <w:t xml:space="preserve">quinto </w:t>
      </w:r>
      <w:r w:rsidRPr="00DE7E39">
        <w:rPr>
          <w:rFonts w:ascii="Arial" w:eastAsia="Calibri" w:hAnsi="Arial" w:cs="Arial"/>
          <w:color w:val="000000" w:themeColor="text1"/>
          <w:sz w:val="22"/>
        </w:rPr>
        <w:t>lugar, el Consejo de Estado</w:t>
      </w:r>
      <w:r w:rsidR="002465F9" w:rsidRPr="00DE7E39">
        <w:rPr>
          <w:rFonts w:ascii="Arial" w:eastAsia="Calibri" w:hAnsi="Arial" w:cs="Arial"/>
          <w:color w:val="000000" w:themeColor="text1"/>
          <w:sz w:val="22"/>
        </w:rPr>
        <w:t xml:space="preserve"> en el auto del 6 de agosto de 2019</w:t>
      </w:r>
      <w:r w:rsidRPr="00DE7E39">
        <w:rPr>
          <w:rFonts w:ascii="Arial" w:eastAsia="Calibri" w:hAnsi="Arial" w:cs="Arial"/>
          <w:color w:val="000000" w:themeColor="text1"/>
          <w:sz w:val="22"/>
        </w:rPr>
        <w:t xml:space="preserve"> analizó la solicitud de suspensión del artículo 5 del Decreto 092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14:paraId="611C64A4" w14:textId="2EFF1C77" w:rsidR="00154724" w:rsidRPr="00DE7E39" w:rsidRDefault="00D21F64" w:rsidP="00D97BF2">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 xml:space="preserve">Respecto a las normas objeto de consulta, </w:t>
      </w:r>
      <w:r w:rsidR="00B94842" w:rsidRPr="00DE7E39">
        <w:rPr>
          <w:rFonts w:ascii="Arial" w:eastAsia="Calibri" w:hAnsi="Arial" w:cs="Arial"/>
          <w:color w:val="000000" w:themeColor="text1"/>
          <w:sz w:val="22"/>
        </w:rPr>
        <w:t>la Sala Plena del Consejo de Estado</w:t>
      </w:r>
      <w:r w:rsidR="00D97BF2" w:rsidRPr="00DE7E39">
        <w:rPr>
          <w:rFonts w:ascii="Arial" w:eastAsia="Calibri" w:hAnsi="Arial" w:cs="Arial"/>
          <w:color w:val="000000" w:themeColor="text1"/>
          <w:sz w:val="22"/>
        </w:rPr>
        <w:t xml:space="preserve"> en Auto del 15 de marzo de 2022</w:t>
      </w:r>
      <w:r w:rsidR="00B94842" w:rsidRPr="00DE7E39">
        <w:rPr>
          <w:rFonts w:ascii="Arial" w:eastAsia="Calibri" w:hAnsi="Arial" w:cs="Arial"/>
          <w:color w:val="000000" w:themeColor="text1"/>
          <w:sz w:val="22"/>
        </w:rPr>
        <w:t xml:space="preserve"> </w:t>
      </w:r>
      <w:r w:rsidR="006873FC" w:rsidRPr="00DE7E39">
        <w:rPr>
          <w:rFonts w:ascii="Arial" w:eastAsia="Calibri" w:hAnsi="Arial" w:cs="Arial"/>
          <w:color w:val="000000" w:themeColor="text1"/>
          <w:sz w:val="22"/>
        </w:rPr>
        <w:t>estim</w:t>
      </w:r>
      <w:r w:rsidR="007A5185" w:rsidRPr="00DE7E39">
        <w:rPr>
          <w:rFonts w:ascii="Arial" w:eastAsia="Calibri" w:hAnsi="Arial" w:cs="Arial"/>
          <w:color w:val="000000" w:themeColor="text1"/>
          <w:sz w:val="22"/>
        </w:rPr>
        <w:t>a</w:t>
      </w:r>
      <w:r w:rsidR="006873FC" w:rsidRPr="00DE7E39">
        <w:rPr>
          <w:rFonts w:ascii="Arial" w:eastAsia="Calibri" w:hAnsi="Arial" w:cs="Arial"/>
          <w:color w:val="000000" w:themeColor="text1"/>
          <w:sz w:val="22"/>
        </w:rPr>
        <w:t xml:space="preserve"> que debe mantener</w:t>
      </w:r>
      <w:r w:rsidR="00BF7695" w:rsidRPr="00DE7E39">
        <w:rPr>
          <w:rFonts w:ascii="Arial" w:eastAsia="Calibri" w:hAnsi="Arial" w:cs="Arial"/>
          <w:color w:val="000000" w:themeColor="text1"/>
          <w:sz w:val="22"/>
        </w:rPr>
        <w:t>se</w:t>
      </w:r>
      <w:r w:rsidR="006873FC" w:rsidRPr="00DE7E39">
        <w:rPr>
          <w:rFonts w:ascii="Arial" w:eastAsia="Calibri" w:hAnsi="Arial" w:cs="Arial"/>
          <w:color w:val="000000" w:themeColor="text1"/>
          <w:sz w:val="22"/>
        </w:rPr>
        <w:t xml:space="preserve"> la suspensión provisional del literal a) del artículo 2 del Decreto 092 de 2017</w:t>
      </w:r>
      <w:r w:rsidR="00BF7695" w:rsidRPr="00DE7E39">
        <w:rPr>
          <w:rFonts w:ascii="Arial" w:eastAsia="Calibri" w:hAnsi="Arial" w:cs="Arial"/>
          <w:color w:val="000000" w:themeColor="text1"/>
          <w:sz w:val="22"/>
        </w:rPr>
        <w:t>. Lo anterior en la medida</w:t>
      </w:r>
      <w:r w:rsidR="00977B7C" w:rsidRPr="00DE7E39">
        <w:rPr>
          <w:rFonts w:ascii="Arial" w:eastAsia="Calibri" w:hAnsi="Arial" w:cs="Arial"/>
          <w:color w:val="000000" w:themeColor="text1"/>
          <w:sz w:val="22"/>
        </w:rPr>
        <w:t xml:space="preserve"> que</w:t>
      </w:r>
      <w:r w:rsidR="00404212" w:rsidRPr="00DE7E39">
        <w:rPr>
          <w:rFonts w:ascii="Arial" w:eastAsia="Calibri" w:hAnsi="Arial" w:cs="Arial"/>
          <w:color w:val="000000" w:themeColor="text1"/>
          <w:sz w:val="22"/>
        </w:rPr>
        <w:t xml:space="preserve"> esta</w:t>
      </w:r>
      <w:r w:rsidR="006873FC" w:rsidRPr="00DE7E39">
        <w:rPr>
          <w:rFonts w:ascii="Arial" w:eastAsia="Calibri" w:hAnsi="Arial" w:cs="Arial"/>
          <w:color w:val="000000" w:themeColor="text1"/>
          <w:sz w:val="22"/>
        </w:rPr>
        <w:t xml:space="preserve"> restringe y contraria la finalidad de apoyo y fomento prevista en el artículo 355 </w:t>
      </w:r>
      <w:r w:rsidR="00977B7C" w:rsidRPr="00DE7E39">
        <w:rPr>
          <w:rFonts w:ascii="Arial" w:eastAsia="Calibri" w:hAnsi="Arial" w:cs="Arial"/>
          <w:color w:val="000000" w:themeColor="text1"/>
          <w:sz w:val="22"/>
        </w:rPr>
        <w:t>de la Constitución Política</w:t>
      </w:r>
      <w:r w:rsidR="007665B0" w:rsidRPr="00DE7E39">
        <w:rPr>
          <w:rFonts w:ascii="Arial" w:eastAsia="Calibri" w:hAnsi="Arial" w:cs="Arial"/>
          <w:color w:val="000000" w:themeColor="text1"/>
          <w:sz w:val="22"/>
        </w:rPr>
        <w:t xml:space="preserve">, </w:t>
      </w:r>
      <w:r w:rsidR="00A07384" w:rsidRPr="00DE7E39">
        <w:rPr>
          <w:rFonts w:ascii="Arial" w:eastAsia="Calibri" w:hAnsi="Arial" w:cs="Arial"/>
          <w:color w:val="000000" w:themeColor="text1"/>
          <w:sz w:val="22"/>
        </w:rPr>
        <w:t xml:space="preserve">pues </w:t>
      </w:r>
      <w:r w:rsidR="00232D65" w:rsidRPr="00DE7E39">
        <w:rPr>
          <w:rFonts w:ascii="Arial" w:eastAsia="Calibri" w:hAnsi="Arial" w:cs="Arial"/>
          <w:color w:val="000000" w:themeColor="text1"/>
          <w:sz w:val="22"/>
        </w:rPr>
        <w:t>–pese a que la norma superior no hizo diferenciación alguna al respecto–</w:t>
      </w:r>
      <w:r w:rsidR="007665B0" w:rsidRPr="00DE7E39">
        <w:rPr>
          <w:rFonts w:ascii="Arial" w:eastAsia="Calibri" w:hAnsi="Arial" w:cs="Arial"/>
          <w:color w:val="000000" w:themeColor="text1"/>
          <w:sz w:val="22"/>
        </w:rPr>
        <w:t xml:space="preserve"> el </w:t>
      </w:r>
      <w:r w:rsidR="007665B0" w:rsidRPr="00DE7E39">
        <w:rPr>
          <w:rFonts w:ascii="Arial" w:eastAsia="Calibri" w:hAnsi="Arial" w:cs="Arial"/>
          <w:color w:val="000000" w:themeColor="text1"/>
          <w:sz w:val="22"/>
        </w:rPr>
        <w:lastRenderedPageBreak/>
        <w:t>decreto</w:t>
      </w:r>
      <w:r w:rsidR="006873FC" w:rsidRPr="00DE7E39">
        <w:rPr>
          <w:rFonts w:ascii="Arial" w:eastAsia="Calibri" w:hAnsi="Arial" w:cs="Arial"/>
          <w:color w:val="000000" w:themeColor="text1"/>
          <w:sz w:val="22"/>
        </w:rPr>
        <w:t xml:space="preserve"> limita su órbita de aplicación a un catálogo de actividades y programas de interés público susceptibles de este mecanismo</w:t>
      </w:r>
      <w:r w:rsidR="00946CFC" w:rsidRPr="00DE7E39">
        <w:rPr>
          <w:rStyle w:val="Refdenotaalpie"/>
          <w:rFonts w:ascii="Arial" w:eastAsia="Calibri" w:hAnsi="Arial" w:cs="Arial"/>
          <w:color w:val="000000" w:themeColor="text1"/>
          <w:sz w:val="22"/>
        </w:rPr>
        <w:footnoteReference w:id="18"/>
      </w:r>
      <w:r w:rsidR="00F81534" w:rsidRPr="00DE7E39">
        <w:rPr>
          <w:rFonts w:ascii="Arial" w:eastAsia="Calibri" w:hAnsi="Arial" w:cs="Arial"/>
          <w:color w:val="000000" w:themeColor="text1"/>
          <w:sz w:val="22"/>
        </w:rPr>
        <w:t xml:space="preserve">. </w:t>
      </w:r>
      <w:r w:rsidR="001A06FA" w:rsidRPr="00DE7E39">
        <w:rPr>
          <w:rFonts w:ascii="Arial" w:eastAsia="Calibri" w:hAnsi="Arial" w:cs="Arial"/>
          <w:color w:val="000000" w:themeColor="text1"/>
          <w:sz w:val="22"/>
        </w:rPr>
        <w:t xml:space="preserve">Por lo demás, </w:t>
      </w:r>
      <w:r w:rsidR="00C843BB" w:rsidRPr="00DE7E39">
        <w:rPr>
          <w:rFonts w:ascii="Arial" w:eastAsia="Calibri" w:hAnsi="Arial" w:cs="Arial"/>
          <w:color w:val="000000" w:themeColor="text1"/>
          <w:sz w:val="22"/>
        </w:rPr>
        <w:t xml:space="preserve">respecto al inciso </w:t>
      </w:r>
      <w:r w:rsidR="00D8599F" w:rsidRPr="00DE7E39">
        <w:rPr>
          <w:rFonts w:ascii="Arial" w:eastAsia="Calibri" w:hAnsi="Arial" w:cs="Arial"/>
          <w:color w:val="000000" w:themeColor="text1"/>
          <w:sz w:val="22"/>
        </w:rPr>
        <w:t xml:space="preserve">final del artículo 4 </w:t>
      </w:r>
      <w:r w:rsidR="00D8599F" w:rsidRPr="00DE7E39">
        <w:rPr>
          <w:rFonts w:ascii="Arial" w:eastAsia="Calibri" w:hAnsi="Arial" w:cs="Arial"/>
          <w:i/>
          <w:iCs/>
          <w:color w:val="000000" w:themeColor="text1"/>
          <w:sz w:val="22"/>
        </w:rPr>
        <w:t>ibidem</w:t>
      </w:r>
      <w:r w:rsidR="000828E5" w:rsidRPr="00DE7E39">
        <w:rPr>
          <w:rFonts w:ascii="Arial" w:eastAsia="Calibri" w:hAnsi="Arial" w:cs="Arial"/>
          <w:color w:val="000000" w:themeColor="text1"/>
          <w:sz w:val="22"/>
        </w:rPr>
        <w:t xml:space="preserve">, el Consejo de Estado mantiene la medida cautelar </w:t>
      </w:r>
      <w:r w:rsidR="00D30E6B" w:rsidRPr="00DE7E39">
        <w:rPr>
          <w:rFonts w:ascii="Arial" w:eastAsia="Calibri" w:hAnsi="Arial" w:cs="Arial"/>
          <w:color w:val="000000" w:themeColor="text1"/>
          <w:sz w:val="22"/>
        </w:rPr>
        <w:t xml:space="preserve">al </w:t>
      </w:r>
      <w:r w:rsidR="00BA6B2D" w:rsidRPr="00DE7E39">
        <w:rPr>
          <w:rFonts w:ascii="Arial" w:eastAsia="Calibri" w:hAnsi="Arial" w:cs="Arial"/>
          <w:color w:val="000000" w:themeColor="text1"/>
          <w:sz w:val="22"/>
        </w:rPr>
        <w:t>configurarse</w:t>
      </w:r>
      <w:r w:rsidR="00D30E6B" w:rsidRPr="00DE7E39">
        <w:rPr>
          <w:rFonts w:ascii="Arial" w:eastAsia="Calibri" w:hAnsi="Arial" w:cs="Arial"/>
          <w:color w:val="000000" w:themeColor="text1"/>
          <w:sz w:val="22"/>
        </w:rPr>
        <w:t xml:space="preserve"> el cargo de violación del principio de igualdad</w:t>
      </w:r>
      <w:r w:rsidR="00EF236D" w:rsidRPr="00DE7E39">
        <w:rPr>
          <w:rFonts w:ascii="Arial" w:eastAsia="Calibri" w:hAnsi="Arial" w:cs="Arial"/>
          <w:color w:val="000000" w:themeColor="text1"/>
          <w:sz w:val="22"/>
        </w:rPr>
        <w:t>.</w:t>
      </w:r>
      <w:r w:rsidR="00134F47" w:rsidRPr="00DE7E39">
        <w:rPr>
          <w:rFonts w:ascii="Arial" w:eastAsia="Calibri" w:hAnsi="Arial" w:cs="Arial"/>
          <w:color w:val="000000" w:themeColor="text1"/>
          <w:sz w:val="22"/>
        </w:rPr>
        <w:t xml:space="preserve"> Para estos efectos, </w:t>
      </w:r>
      <w:r w:rsidR="00154724" w:rsidRPr="00DE7E39">
        <w:rPr>
          <w:rFonts w:ascii="Arial" w:eastAsia="Calibri" w:hAnsi="Arial" w:cs="Arial"/>
          <w:color w:val="000000" w:themeColor="text1"/>
          <w:sz w:val="22"/>
        </w:rPr>
        <w:t>considera que:</w:t>
      </w:r>
    </w:p>
    <w:p w14:paraId="4AAB5F33" w14:textId="77777777" w:rsidR="003F1711" w:rsidRPr="00DE7E39" w:rsidRDefault="003F1711" w:rsidP="00DE7E39">
      <w:pPr>
        <w:spacing w:line="276" w:lineRule="auto"/>
        <w:ind w:firstLine="709"/>
        <w:jc w:val="both"/>
        <w:rPr>
          <w:rFonts w:ascii="Arial" w:eastAsia="Calibri" w:hAnsi="Arial" w:cs="Arial"/>
          <w:color w:val="000000" w:themeColor="text1"/>
          <w:sz w:val="22"/>
        </w:rPr>
      </w:pPr>
    </w:p>
    <w:p w14:paraId="5EBA817E" w14:textId="48F8C698" w:rsidR="003F1711" w:rsidRPr="00DE7E39" w:rsidRDefault="00155B86" w:rsidP="00DE7E39">
      <w:pPr>
        <w:spacing w:after="120"/>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 xml:space="preserve">73. </w:t>
      </w:r>
      <w:r w:rsidR="003F1711" w:rsidRPr="00DE7E39">
        <w:rPr>
          <w:rFonts w:ascii="Arial" w:eastAsia="Calibri" w:hAnsi="Arial" w:cs="Arial"/>
          <w:color w:val="000000" w:themeColor="text1"/>
          <w:sz w:val="21"/>
          <w:szCs w:val="21"/>
        </w:rPr>
        <w:t>[…]</w:t>
      </w:r>
      <w:r w:rsidRPr="00DE7E39">
        <w:rPr>
          <w:rFonts w:ascii="Arial" w:eastAsia="Calibri" w:hAnsi="Arial" w:cs="Arial"/>
          <w:color w:val="000000" w:themeColor="text1"/>
          <w:sz w:val="21"/>
          <w:szCs w:val="21"/>
        </w:rPr>
        <w:t xml:space="preserve"> la simple afirmación referida a que existe una relación inherente entre el producto del contrato y el contratista en las actividades exceptuadas del proceso competitivo de selección no permite concluir, razonablemente, que en las demás actividades de interés general aquello no se presente, o que, por ese simple hecho, merezcan un trato diferente. </w:t>
      </w:r>
    </w:p>
    <w:p w14:paraId="6779153F" w14:textId="707F32A4" w:rsidR="00143DE6" w:rsidRPr="00DE7E39" w:rsidRDefault="00155B86" w:rsidP="00DE7E39">
      <w:pPr>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74. En efecto, si en otros ámbitos de actividad de interés público que pueden adelantar entidades privadas sin ánimo de lucro se llega a presentar la situación de que sólo una de ellas esté en capacidad de realizarla, no será factible contratar directamente con ella, puesto que no hace parte de las actividades enunciadas en la norma: de índole artística, cultural, deportiva o de promoción de la diversidad étnica</w:t>
      </w:r>
      <w:r w:rsidR="003F1711" w:rsidRPr="00DE7E39">
        <w:rPr>
          <w:rStyle w:val="Refdenotaalpie"/>
          <w:rFonts w:ascii="Arial" w:eastAsia="Calibri" w:hAnsi="Arial" w:cs="Arial"/>
          <w:color w:val="000000" w:themeColor="text1"/>
          <w:sz w:val="21"/>
          <w:szCs w:val="21"/>
        </w:rPr>
        <w:footnoteReference w:id="19"/>
      </w:r>
      <w:r w:rsidRPr="00DE7E39">
        <w:rPr>
          <w:rFonts w:ascii="Arial" w:eastAsia="Calibri" w:hAnsi="Arial" w:cs="Arial"/>
          <w:color w:val="000000" w:themeColor="text1"/>
          <w:sz w:val="21"/>
          <w:szCs w:val="21"/>
        </w:rPr>
        <w:t>.</w:t>
      </w:r>
      <w:r w:rsidR="00EF236D" w:rsidRPr="00DE7E39">
        <w:rPr>
          <w:rFonts w:ascii="Arial" w:eastAsia="Calibri" w:hAnsi="Arial" w:cs="Arial"/>
          <w:color w:val="000000" w:themeColor="text1"/>
          <w:sz w:val="21"/>
          <w:szCs w:val="21"/>
        </w:rPr>
        <w:t xml:space="preserve"> </w:t>
      </w:r>
      <w:r w:rsidR="00D30E6B" w:rsidRPr="00DE7E39">
        <w:rPr>
          <w:rFonts w:ascii="Arial" w:eastAsia="Calibri" w:hAnsi="Arial" w:cs="Arial"/>
          <w:color w:val="000000" w:themeColor="text1"/>
          <w:sz w:val="21"/>
          <w:szCs w:val="21"/>
        </w:rPr>
        <w:t xml:space="preserve"> </w:t>
      </w:r>
    </w:p>
    <w:p w14:paraId="78730EA0" w14:textId="77777777" w:rsidR="003F1711" w:rsidRPr="00DE7E39" w:rsidRDefault="003F1711" w:rsidP="00DE7E39">
      <w:pPr>
        <w:spacing w:line="276" w:lineRule="auto"/>
        <w:ind w:firstLine="709"/>
        <w:jc w:val="both"/>
        <w:rPr>
          <w:rFonts w:ascii="Arial" w:eastAsia="Calibri" w:hAnsi="Arial" w:cs="Arial"/>
          <w:color w:val="000000" w:themeColor="text1"/>
          <w:sz w:val="22"/>
        </w:rPr>
      </w:pPr>
    </w:p>
    <w:p w14:paraId="1AAE1263" w14:textId="6D09AB98" w:rsidR="00C133B6" w:rsidRPr="00DE7E39" w:rsidRDefault="00C133B6" w:rsidP="00DE7E39">
      <w:pPr>
        <w:spacing w:line="276" w:lineRule="auto"/>
        <w:ind w:firstLine="709"/>
        <w:jc w:val="both"/>
        <w:rPr>
          <w:rFonts w:ascii="Arial" w:eastAsia="Calibri" w:hAnsi="Arial" w:cs="Arial"/>
          <w:color w:val="000000" w:themeColor="text1"/>
          <w:sz w:val="22"/>
        </w:rPr>
      </w:pPr>
      <w:bookmarkStart w:id="14" w:name="_Hlk95757157"/>
      <w:bookmarkEnd w:id="12"/>
      <w:r w:rsidRPr="00DE7E39">
        <w:rPr>
          <w:rFonts w:ascii="Arial" w:hAnsi="Arial" w:cs="Arial"/>
          <w:color w:val="000000" w:themeColor="text1"/>
          <w:sz w:val="22"/>
        </w:rPr>
        <w:t xml:space="preserve">De lo anterior se desprende que la contratación con entidades sin ánimo de lucro se sigue rigiendo por el Decreto 092 de 2017, salvo lo que fue objeto de suspensión provisional.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Pr="00DE7E39">
        <w:rPr>
          <w:rFonts w:ascii="Arial" w:hAnsi="Arial" w:cs="Arial"/>
          <w:color w:val="000000" w:themeColor="text1"/>
          <w:sz w:val="22"/>
        </w:rPr>
        <w:t>ii</w:t>
      </w:r>
      <w:proofErr w:type="spellEnd"/>
      <w:r w:rsidRPr="00DE7E39">
        <w:rPr>
          <w:rFonts w:ascii="Arial" w:hAnsi="Arial" w:cs="Arial"/>
          <w:color w:val="000000" w:themeColor="text1"/>
          <w:sz w:val="22"/>
        </w:rPr>
        <w:t xml:space="preserve">) tampoco debe condicionarse a que la contratación con las ESAL garantice la optimización de los recursos públicos en términos de eficiencia, eficacia, economía y manejo del riesgo; </w:t>
      </w:r>
      <w:proofErr w:type="spellStart"/>
      <w:r w:rsidRPr="00DE7E39">
        <w:rPr>
          <w:rFonts w:ascii="Arial" w:hAnsi="Arial" w:cs="Arial"/>
          <w:color w:val="000000" w:themeColor="text1"/>
          <w:sz w:val="22"/>
        </w:rPr>
        <w:t>iii</w:t>
      </w:r>
      <w:proofErr w:type="spellEnd"/>
      <w:r w:rsidRPr="00DE7E39">
        <w:rPr>
          <w:rFonts w:ascii="Arial" w:hAnsi="Arial" w:cs="Arial"/>
          <w:color w:val="000000" w:themeColor="text1"/>
          <w:sz w:val="22"/>
        </w:rPr>
        <w:t xml:space="preserve">) el objeto del contrato debe estar acorde con el plan nacional o seccional de desarrollo; </w:t>
      </w:r>
      <w:proofErr w:type="spellStart"/>
      <w:r w:rsidRPr="00DE7E39">
        <w:rPr>
          <w:rFonts w:ascii="Arial" w:hAnsi="Arial" w:cs="Arial"/>
          <w:color w:val="000000" w:themeColor="text1"/>
          <w:sz w:val="22"/>
        </w:rPr>
        <w:t>iv</w:t>
      </w:r>
      <w:proofErr w:type="spellEnd"/>
      <w:r w:rsidRPr="00DE7E39">
        <w:rPr>
          <w:rFonts w:ascii="Arial" w:hAnsi="Arial" w:cs="Arial"/>
          <w:color w:val="000000" w:themeColor="text1"/>
          <w:sz w:val="22"/>
        </w:rPr>
        <w:t xml:space="preserve">)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DE7E39">
        <w:rPr>
          <w:rFonts w:ascii="Arial" w:hAnsi="Arial" w:cs="Arial"/>
          <w:color w:val="000000" w:themeColor="text1"/>
          <w:sz w:val="22"/>
        </w:rPr>
        <w:t>iii</w:t>
      </w:r>
      <w:proofErr w:type="spellEnd"/>
      <w:r w:rsidRPr="00DE7E39">
        <w:rPr>
          <w:rFonts w:ascii="Arial" w:hAnsi="Arial" w:cs="Arial"/>
          <w:color w:val="000000" w:themeColor="text1"/>
          <w:sz w:val="22"/>
        </w:rPr>
        <w:t>); y v) el contrato no debe establecer una relación conmutativa en el cual haya una contraprestación directa a favor de la entidad, ni instrucciones precisas dadas por esta al contratista para cumplir con el objeto del contrato.</w:t>
      </w:r>
    </w:p>
    <w:p w14:paraId="230414DE" w14:textId="77777777" w:rsidR="00C133B6" w:rsidRPr="00DE7E39" w:rsidRDefault="00C133B6" w:rsidP="00C133B6">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lastRenderedPageBreak/>
        <w:t xml:space="preserve">Ahora, si se pretende realizar un </w:t>
      </w:r>
      <w:r w:rsidRPr="00DE7E39">
        <w:rPr>
          <w:rFonts w:ascii="Arial" w:eastAsia="Calibri" w:hAnsi="Arial" w:cs="Arial"/>
          <w:i/>
          <w:iCs/>
          <w:color w:val="000000" w:themeColor="text1"/>
          <w:sz w:val="22"/>
        </w:rPr>
        <w:t>convenio de asociación</w:t>
      </w:r>
      <w:r w:rsidRPr="00DE7E39">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092 de 2017. De esta manera, </w:t>
      </w:r>
      <w:bookmarkEnd w:id="14"/>
      <w:r w:rsidRPr="00DE7E39">
        <w:rPr>
          <w:rFonts w:ascii="Arial" w:eastAsia="Calibri" w:hAnsi="Arial" w:cs="Arial"/>
          <w:color w:val="000000" w:themeColor="text1"/>
          <w:sz w:val="22"/>
        </w:rPr>
        <w:t>deben estar sujetos a competencia, salvo en aquellos casos en que una entidad sin ánimo de lucro comprometa recursos en dinero por un valor igual o superior al 30% del valor total del convenio</w:t>
      </w:r>
      <w:r w:rsidRPr="00DE7E39">
        <w:rPr>
          <w:rStyle w:val="Refdenotaalpie"/>
          <w:rFonts w:ascii="Arial" w:hAnsi="Arial" w:cs="Arial"/>
          <w:color w:val="000000" w:themeColor="text1"/>
          <w:sz w:val="20"/>
          <w:szCs w:val="20"/>
        </w:rPr>
        <w:footnoteReference w:id="20"/>
      </w:r>
      <w:r w:rsidRPr="00DE7E39">
        <w:rPr>
          <w:rFonts w:ascii="Arial" w:eastAsia="Calibri" w:hAnsi="Arial" w:cs="Arial"/>
          <w:color w:val="000000" w:themeColor="text1"/>
          <w:sz w:val="22"/>
        </w:rPr>
        <w:t xml:space="preserve">, y siempre que la entidad estatal verifique previamente que no existe ninguna otra entidad sin ánimo de lucro que ofrezca aportes iguales o superiores al 30%. </w:t>
      </w:r>
      <w:r w:rsidRPr="00DE7E39">
        <w:rPr>
          <w:rFonts w:ascii="Arial" w:eastAsia="Calibri" w:hAnsi="Arial" w:cs="Arial"/>
          <w:color w:val="000000"/>
          <w:sz w:val="22"/>
        </w:rPr>
        <w:t>Lo anterior sin perjuicio de las restricciones previstas en el artículo 33 de la Ley de Garantías durante el periodo preelectoral de las elecciones presidenciales para los procesos no competitivos</w:t>
      </w:r>
      <w:r w:rsidRPr="00DE7E39">
        <w:rPr>
          <w:rFonts w:ascii="Arial" w:eastAsia="Calibri" w:hAnsi="Arial" w:cs="Arial"/>
          <w:color w:val="000000" w:themeColor="text1"/>
          <w:sz w:val="22"/>
        </w:rPr>
        <w:t>.</w:t>
      </w:r>
    </w:p>
    <w:p w14:paraId="6EA14543" w14:textId="77777777" w:rsidR="00C133B6" w:rsidRPr="00DE7E39" w:rsidRDefault="00C133B6" w:rsidP="00C133B6">
      <w:pPr>
        <w:spacing w:before="120" w:line="276" w:lineRule="auto"/>
        <w:ind w:firstLine="709"/>
        <w:jc w:val="both"/>
        <w:rPr>
          <w:rFonts w:ascii="Arial" w:eastAsia="Calibri" w:hAnsi="Arial" w:cs="Arial"/>
          <w:color w:val="000000" w:themeColor="text1"/>
          <w:sz w:val="22"/>
        </w:rPr>
      </w:pPr>
      <w:r w:rsidRPr="00DE7E39">
        <w:rPr>
          <w:rFonts w:ascii="Arial" w:eastAsia="Calibri" w:hAnsi="Arial" w:cs="Arial"/>
          <w:color w:val="000000" w:themeColor="text1"/>
          <w:sz w:val="22"/>
        </w:rPr>
        <w:t>Finalmente, el artículo 9 del Decreto 092 de 2017 exige a las ESAL de reconocida idoneidad estar inscritas en el SECOP para celebrar convenios con las entidades públicas, razón por la que se debe usar únicamente el SECOP II, pues es la única plataforma que por funcionalidad permite el registro de proveedores</w:t>
      </w:r>
      <w:r w:rsidRPr="00DE7E39">
        <w:rPr>
          <w:rStyle w:val="Refdenotaalpie"/>
          <w:rFonts w:ascii="Arial" w:eastAsia="Calibri" w:hAnsi="Arial" w:cs="Arial"/>
          <w:color w:val="000000" w:themeColor="text1"/>
          <w:sz w:val="22"/>
        </w:rPr>
        <w:footnoteReference w:id="21"/>
      </w:r>
      <w:r w:rsidRPr="00DE7E39">
        <w:rPr>
          <w:rFonts w:ascii="Arial" w:eastAsia="Calibri" w:hAnsi="Arial" w:cs="Arial"/>
          <w:color w:val="000000" w:themeColor="text1"/>
          <w:sz w:val="22"/>
        </w:rPr>
        <w:t xml:space="preserve">. </w:t>
      </w:r>
    </w:p>
    <w:p w14:paraId="3BEB1985" w14:textId="77777777" w:rsidR="00C133B6" w:rsidRPr="00DE7E39" w:rsidRDefault="00C133B6" w:rsidP="00C133B6">
      <w:pPr>
        <w:spacing w:line="276" w:lineRule="auto"/>
        <w:ind w:right="709"/>
        <w:jc w:val="both"/>
        <w:rPr>
          <w:rFonts w:ascii="Arial" w:hAnsi="Arial" w:cs="Arial"/>
          <w:color w:val="000000" w:themeColor="text1"/>
          <w:sz w:val="21"/>
          <w:szCs w:val="21"/>
          <w:lang w:val="es-CO"/>
        </w:rPr>
      </w:pPr>
    </w:p>
    <w:p w14:paraId="453ED8A9" w14:textId="77777777" w:rsidR="00C133B6" w:rsidRPr="00DE7E39" w:rsidRDefault="00C133B6" w:rsidP="00C133B6">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DE7E39">
        <w:rPr>
          <w:rFonts w:ascii="Arial" w:hAnsi="Arial" w:cs="Arial"/>
          <w:b/>
          <w:bCs/>
          <w:color w:val="000000" w:themeColor="text1"/>
          <w:sz w:val="22"/>
          <w:lang w:val="es-CO"/>
        </w:rPr>
        <w:t xml:space="preserve">Respuesta </w:t>
      </w:r>
    </w:p>
    <w:p w14:paraId="170AA0F7" w14:textId="77777777" w:rsidR="00C133B6" w:rsidRPr="00DE7E39" w:rsidRDefault="00C133B6" w:rsidP="00C133B6">
      <w:pPr>
        <w:jc w:val="both"/>
        <w:rPr>
          <w:rFonts w:ascii="Arial" w:hAnsi="Arial" w:cs="Arial"/>
          <w:color w:val="000000" w:themeColor="text1"/>
          <w:sz w:val="22"/>
          <w:lang w:val="es-CO"/>
        </w:rPr>
      </w:pPr>
    </w:p>
    <w:p w14:paraId="3265D869" w14:textId="77777777" w:rsidR="00722C02" w:rsidRDefault="00722C02" w:rsidP="00E24398">
      <w:pPr>
        <w:ind w:left="709" w:right="709"/>
        <w:jc w:val="both"/>
        <w:rPr>
          <w:rFonts w:ascii="Arial" w:eastAsia="Calibri" w:hAnsi="Arial" w:cs="Arial"/>
          <w:color w:val="000000" w:themeColor="text1"/>
          <w:sz w:val="21"/>
          <w:szCs w:val="21"/>
        </w:rPr>
      </w:pPr>
      <w:r w:rsidRPr="00DE7E39">
        <w:rPr>
          <w:rFonts w:ascii="Arial" w:eastAsia="Calibri" w:hAnsi="Arial" w:cs="Arial"/>
          <w:color w:val="000000" w:themeColor="text1"/>
          <w:sz w:val="21"/>
          <w:szCs w:val="21"/>
        </w:rPr>
        <w:t>i) «¿Una Entidad Estatal que requiera contratar programas y actividades de interés público previstos en el Plan de Desarrollo, con los cuales se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 puede hacer uso del artículo 5 del Decreto 092 de 2017, para llevar a cabo dicha contratación, en atención a que el literal a del artículo 2 del citado decreto, se encuentra actualmente suspendido?».</w:t>
      </w:r>
    </w:p>
    <w:p w14:paraId="5A5CBDA5" w14:textId="77777777" w:rsidR="003D098D" w:rsidRPr="00DE7E39" w:rsidRDefault="003D098D" w:rsidP="00E24398">
      <w:pPr>
        <w:ind w:left="709" w:right="709"/>
        <w:jc w:val="both"/>
        <w:rPr>
          <w:rFonts w:ascii="Arial" w:eastAsia="Calibri" w:hAnsi="Arial" w:cs="Arial"/>
          <w:color w:val="000000" w:themeColor="text1"/>
          <w:sz w:val="21"/>
          <w:szCs w:val="21"/>
        </w:rPr>
      </w:pPr>
    </w:p>
    <w:p w14:paraId="2F440137" w14:textId="1EA17081" w:rsidR="00C133B6" w:rsidRPr="00DE7E39" w:rsidRDefault="00722C02" w:rsidP="00E24398">
      <w:pPr>
        <w:ind w:left="709" w:right="709"/>
        <w:jc w:val="both"/>
        <w:rPr>
          <w:rFonts w:ascii="Arial" w:eastAsia="Calibri" w:hAnsi="Arial" w:cs="Arial"/>
          <w:color w:val="000000" w:themeColor="text1"/>
          <w:sz w:val="21"/>
          <w:szCs w:val="21"/>
        </w:rPr>
      </w:pPr>
      <w:proofErr w:type="spellStart"/>
      <w:r w:rsidRPr="00DE7E39">
        <w:rPr>
          <w:rFonts w:ascii="Arial" w:eastAsia="Calibri" w:hAnsi="Arial" w:cs="Arial"/>
          <w:color w:val="000000" w:themeColor="text1"/>
          <w:sz w:val="21"/>
          <w:szCs w:val="21"/>
        </w:rPr>
        <w:t>ii</w:t>
      </w:r>
      <w:proofErr w:type="spellEnd"/>
      <w:r w:rsidRPr="00DE7E39">
        <w:rPr>
          <w:rFonts w:ascii="Arial" w:eastAsia="Calibri" w:hAnsi="Arial" w:cs="Arial"/>
          <w:color w:val="000000" w:themeColor="text1"/>
          <w:sz w:val="21"/>
          <w:szCs w:val="21"/>
        </w:rPr>
        <w:t>) «¿Una Entidad Estatal que requiera contratar actividades artísticas, culturales, deportivas y de promoción de la diversidad étnica colombiana, puede hacer uso del artículo 5 del Decreto 092 de 2017, para llevar a cabo dicha contratación, en atención a que el inciso tercero del artículo 4 del citado decreto, se encuentra actualmente suspendido?»</w:t>
      </w:r>
      <w:r w:rsidR="00C133B6" w:rsidRPr="00DE7E39">
        <w:rPr>
          <w:rFonts w:ascii="Arial" w:eastAsia="Calibri" w:hAnsi="Arial" w:cs="Arial"/>
          <w:color w:val="000000" w:themeColor="text1"/>
          <w:sz w:val="21"/>
          <w:szCs w:val="21"/>
        </w:rPr>
        <w:t>.</w:t>
      </w:r>
    </w:p>
    <w:p w14:paraId="5EEF7A36" w14:textId="77777777" w:rsidR="00C133B6" w:rsidRPr="00DE7E39" w:rsidRDefault="00C133B6" w:rsidP="00C133B6">
      <w:pPr>
        <w:spacing w:line="276" w:lineRule="auto"/>
        <w:ind w:left="709" w:right="709"/>
        <w:jc w:val="both"/>
        <w:rPr>
          <w:rFonts w:ascii="Arial" w:eastAsia="Calibri" w:hAnsi="Arial" w:cs="Arial"/>
          <w:color w:val="000000" w:themeColor="text1"/>
          <w:sz w:val="22"/>
        </w:rPr>
      </w:pPr>
    </w:p>
    <w:p w14:paraId="243064A7" w14:textId="280D0FD0" w:rsidR="00C133B6" w:rsidRPr="00DE7E39" w:rsidRDefault="00B246D6" w:rsidP="00C133B6">
      <w:pPr>
        <w:spacing w:line="276" w:lineRule="auto"/>
        <w:jc w:val="both"/>
        <w:rPr>
          <w:rFonts w:ascii="Arial" w:eastAsia="Calibri" w:hAnsi="Arial" w:cs="Arial"/>
          <w:color w:val="000000" w:themeColor="text1"/>
          <w:sz w:val="22"/>
        </w:rPr>
      </w:pPr>
      <w:r w:rsidRPr="00DE7E39">
        <w:rPr>
          <w:rFonts w:ascii="Arial" w:hAnsi="Arial" w:cs="Arial"/>
          <w:color w:val="000000" w:themeColor="text1"/>
          <w:sz w:val="22"/>
        </w:rPr>
        <w:lastRenderedPageBreak/>
        <w:t>Conforme a la interpretación de las normas generales del sistema de compras públicas</w:t>
      </w:r>
      <w:r w:rsidR="00C133B6" w:rsidRPr="00DE7E39">
        <w:rPr>
          <w:rFonts w:ascii="Arial" w:hAnsi="Arial" w:cs="Arial"/>
          <w:color w:val="000000" w:themeColor="text1"/>
          <w:sz w:val="22"/>
        </w:rPr>
        <w:t xml:space="preserve">, la contratación con entidades sin ánimo de lucro se sigue rigiendo por el Decreto 092 de 2017, salvo lo que fue objeto de suspensión provisional por parte del Consejo de Estado. Por lo tanto, las entidades públicas que desean celebrar contratos de interés público, en los términos del artículo 355 de la Constitución Política, deberán contratar con ESAL de reconocida idoneidad, como ya se dijo, realizando un proceso competitivo, y teniendo en cuenta lo siguiente: i) no debe condicionarse el proceso de contratación a la inexistencia de oferta en el mercado de bienes y servicios; </w:t>
      </w:r>
      <w:proofErr w:type="spellStart"/>
      <w:r w:rsidR="00C133B6" w:rsidRPr="00DE7E39">
        <w:rPr>
          <w:rFonts w:ascii="Arial" w:hAnsi="Arial" w:cs="Arial"/>
          <w:color w:val="000000" w:themeColor="text1"/>
          <w:sz w:val="22"/>
        </w:rPr>
        <w:t>ii</w:t>
      </w:r>
      <w:proofErr w:type="spellEnd"/>
      <w:r w:rsidR="00C133B6" w:rsidRPr="00DE7E39">
        <w:rPr>
          <w:rFonts w:ascii="Arial" w:hAnsi="Arial" w:cs="Arial"/>
          <w:color w:val="000000" w:themeColor="text1"/>
          <w:sz w:val="22"/>
        </w:rPr>
        <w:t xml:space="preserve">) tampoco debe condicionarse a que la contratación con las ESAL garantice la optimización de los recursos públicos en términos de eficiencia, eficacia, economía y manejo del riesgo; </w:t>
      </w:r>
      <w:proofErr w:type="spellStart"/>
      <w:r w:rsidR="00C133B6" w:rsidRPr="00DE7E39">
        <w:rPr>
          <w:rFonts w:ascii="Arial" w:hAnsi="Arial" w:cs="Arial"/>
          <w:color w:val="000000" w:themeColor="text1"/>
          <w:sz w:val="22"/>
        </w:rPr>
        <w:t>iii</w:t>
      </w:r>
      <w:proofErr w:type="spellEnd"/>
      <w:r w:rsidR="00C133B6" w:rsidRPr="00DE7E39">
        <w:rPr>
          <w:rFonts w:ascii="Arial" w:hAnsi="Arial" w:cs="Arial"/>
          <w:color w:val="000000" w:themeColor="text1"/>
          <w:sz w:val="22"/>
        </w:rPr>
        <w:t xml:space="preserve">) el objeto del contrato debe estar acorde con el plan nacional o seccional de desarrollo; </w:t>
      </w:r>
      <w:proofErr w:type="spellStart"/>
      <w:r w:rsidR="00C133B6" w:rsidRPr="00DE7E39">
        <w:rPr>
          <w:rFonts w:ascii="Arial" w:hAnsi="Arial" w:cs="Arial"/>
          <w:color w:val="000000" w:themeColor="text1"/>
          <w:sz w:val="22"/>
        </w:rPr>
        <w:t>iv</w:t>
      </w:r>
      <w:proofErr w:type="spellEnd"/>
      <w:r w:rsidR="00C133B6" w:rsidRPr="00DE7E39">
        <w:rPr>
          <w:rFonts w:ascii="Arial" w:hAnsi="Arial" w:cs="Arial"/>
          <w:color w:val="000000" w:themeColor="text1"/>
          <w:sz w:val="22"/>
        </w:rPr>
        <w:t>) no puede condicionarse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00C133B6" w:rsidRPr="00DE7E39">
        <w:rPr>
          <w:rFonts w:ascii="Arial" w:hAnsi="Arial" w:cs="Arial"/>
          <w:color w:val="000000" w:themeColor="text1"/>
          <w:sz w:val="22"/>
        </w:rPr>
        <w:t>iii</w:t>
      </w:r>
      <w:proofErr w:type="spellEnd"/>
      <w:r w:rsidR="00C133B6" w:rsidRPr="00DE7E39">
        <w:rPr>
          <w:rFonts w:ascii="Arial" w:hAnsi="Arial" w:cs="Arial"/>
          <w:color w:val="000000" w:themeColor="text1"/>
          <w:sz w:val="22"/>
        </w:rPr>
        <w:t>); y v) el contrato no debe establecer una relación conmutativa en el cual haya una contraprestación directa a favor de la entidad, ni instrucciones precisas dadas por esta al contratista para cumplir con el objeto del contrato.</w:t>
      </w:r>
    </w:p>
    <w:p w14:paraId="6F9217E2" w14:textId="3F5014B4" w:rsidR="00C133B6" w:rsidRPr="00DE7E39" w:rsidRDefault="00C133B6" w:rsidP="00C133B6">
      <w:pPr>
        <w:spacing w:before="120" w:line="276" w:lineRule="auto"/>
        <w:ind w:firstLine="709"/>
        <w:jc w:val="both"/>
        <w:rPr>
          <w:rFonts w:ascii="Arial" w:eastAsia="Calibri" w:hAnsi="Arial" w:cs="Arial"/>
          <w:color w:val="000000"/>
          <w:sz w:val="22"/>
        </w:rPr>
      </w:pPr>
      <w:r w:rsidRPr="00DE7E39">
        <w:rPr>
          <w:rFonts w:ascii="Arial" w:eastAsia="Calibri" w:hAnsi="Arial" w:cs="Arial"/>
          <w:color w:val="000000" w:themeColor="text1"/>
          <w:sz w:val="22"/>
        </w:rPr>
        <w:t xml:space="preserve">Ahora, si se pretende realizar un </w:t>
      </w:r>
      <w:r w:rsidRPr="00DE7E39">
        <w:rPr>
          <w:rFonts w:ascii="Arial" w:eastAsia="Calibri" w:hAnsi="Arial" w:cs="Arial"/>
          <w:i/>
          <w:iCs/>
          <w:color w:val="000000" w:themeColor="text1"/>
          <w:sz w:val="22"/>
        </w:rPr>
        <w:t>convenio de asociación</w:t>
      </w:r>
      <w:r w:rsidRPr="00DE7E39">
        <w:rPr>
          <w:rFonts w:ascii="Arial" w:eastAsia="Calibri" w:hAnsi="Arial" w:cs="Arial"/>
          <w:color w:val="000000" w:themeColor="text1"/>
          <w:sz w:val="22"/>
        </w:rPr>
        <w:t xml:space="preserve"> con ESAL de reconocida idoneidad para el cumplimiento de las funciones que la ley les asigna a las entidades públicas, deberá aplicar lo dispuesto en el artículo 5 del Decreto 092 de 2017. De esta manera, deben estar sujetos a competencia, salvo en aquellos casos en que una entidad sin ánimo de lucro comprometa recursos en dinero por un valor igual o superior al 30% del valor total del convenio</w:t>
      </w:r>
      <w:r w:rsidRPr="00DE7E39">
        <w:rPr>
          <w:rStyle w:val="Refdenotaalpie"/>
          <w:rFonts w:ascii="Arial" w:hAnsi="Arial" w:cs="Arial"/>
          <w:color w:val="000000" w:themeColor="text1"/>
          <w:sz w:val="20"/>
          <w:szCs w:val="20"/>
        </w:rPr>
        <w:footnoteReference w:id="22"/>
      </w:r>
      <w:r w:rsidRPr="00DE7E39">
        <w:rPr>
          <w:rFonts w:ascii="Arial" w:eastAsia="Calibri" w:hAnsi="Arial" w:cs="Arial"/>
          <w:color w:val="000000" w:themeColor="text1"/>
          <w:sz w:val="22"/>
        </w:rPr>
        <w:t xml:space="preserve">, y siempre que la entidad estatal verifique previamente que no existe ninguna otra entidad sin ánimo de lucro que ofrezca aportes iguales o superiores al 30%. </w:t>
      </w:r>
      <w:r w:rsidRPr="00DE7E39">
        <w:rPr>
          <w:rFonts w:ascii="Arial" w:eastAsia="Calibri" w:hAnsi="Arial" w:cs="Arial"/>
          <w:color w:val="000000"/>
          <w:sz w:val="22"/>
        </w:rPr>
        <w:t>Lo anterior sin perjuicio de las restricciones previstas en el artículo 33 de la Ley de Garantías durante el periodo preelectoral de las elecciones presidenciales para los procesos no competitivos.</w:t>
      </w:r>
    </w:p>
    <w:p w14:paraId="2083382D" w14:textId="7E5D71D1" w:rsidR="007C5EFB" w:rsidRPr="00DE7E39" w:rsidRDefault="0052671B" w:rsidP="007C5EFB">
      <w:pPr>
        <w:spacing w:before="120" w:after="120" w:line="276" w:lineRule="auto"/>
        <w:ind w:firstLine="709"/>
        <w:jc w:val="both"/>
        <w:rPr>
          <w:rFonts w:ascii="Arial" w:eastAsia="Calibri" w:hAnsi="Arial" w:cs="Arial"/>
          <w:bCs/>
          <w:color w:val="000000"/>
          <w:sz w:val="22"/>
          <w:lang w:eastAsia="es-CO"/>
        </w:rPr>
      </w:pPr>
      <w:r w:rsidRPr="00DE7E39">
        <w:rPr>
          <w:rFonts w:ascii="Arial" w:eastAsia="Calibri" w:hAnsi="Arial" w:cs="Arial"/>
          <w:bCs/>
          <w:color w:val="000000"/>
          <w:sz w:val="22"/>
          <w:lang w:eastAsia="es-CO"/>
        </w:rPr>
        <w:t>Por ser</w:t>
      </w:r>
      <w:r w:rsidR="00BB2B1E" w:rsidRPr="00DE7E39">
        <w:rPr>
          <w:rFonts w:ascii="Arial" w:eastAsia="Calibri" w:hAnsi="Arial" w:cs="Arial"/>
          <w:bCs/>
          <w:color w:val="000000"/>
          <w:sz w:val="22"/>
          <w:lang w:eastAsia="es-CO"/>
        </w:rPr>
        <w:t xml:space="preserve"> dos (2) convenios completamente diferentes</w:t>
      </w:r>
      <w:r w:rsidR="007C5EFB" w:rsidRPr="00DE7E39">
        <w:rPr>
          <w:rFonts w:ascii="Arial" w:eastAsia="Calibri" w:hAnsi="Arial" w:cs="Arial"/>
          <w:bCs/>
          <w:color w:val="000000"/>
          <w:sz w:val="22"/>
          <w:lang w:eastAsia="es-CO"/>
        </w:rPr>
        <w:t xml:space="preserve">, corresponde a cada entidad pública, en ejercicio de su competencia y previa valoración de los elementos fácticos y jurídicos, determinar la forma de adelantar un determinado </w:t>
      </w:r>
      <w:r w:rsidR="00AE3841" w:rsidRPr="00DE7E39">
        <w:rPr>
          <w:rFonts w:ascii="Arial" w:eastAsia="Calibri" w:hAnsi="Arial" w:cs="Arial"/>
          <w:bCs/>
          <w:color w:val="000000"/>
          <w:sz w:val="22"/>
          <w:lang w:eastAsia="es-CO"/>
        </w:rPr>
        <w:t>objeto contractual</w:t>
      </w:r>
      <w:r w:rsidR="007C5EFB" w:rsidRPr="00DE7E39">
        <w:rPr>
          <w:rFonts w:ascii="Arial" w:eastAsia="Calibri" w:hAnsi="Arial" w:cs="Arial"/>
          <w:bCs/>
          <w:color w:val="000000"/>
          <w:sz w:val="22"/>
          <w:lang w:eastAsia="es-CO"/>
        </w:rPr>
        <w:t xml:space="preserve">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w:t>
      </w:r>
      <w:r w:rsidR="007C5EFB" w:rsidRPr="00DE7E39">
        <w:rPr>
          <w:rFonts w:ascii="Arial" w:eastAsia="Calibri" w:hAnsi="Arial" w:cs="Arial"/>
          <w:bCs/>
          <w:color w:val="000000"/>
          <w:sz w:val="22"/>
          <w:lang w:eastAsia="es-CO"/>
        </w:rPr>
        <w:lastRenderedPageBreak/>
        <w:t>contratación pública adopten la decisión que corresponda, lo cual es acorde con el principio de juridicidad.</w:t>
      </w:r>
    </w:p>
    <w:p w14:paraId="52AB224D" w14:textId="77777777" w:rsidR="00C133B6" w:rsidRPr="00DE7E39" w:rsidRDefault="00C133B6" w:rsidP="00C015A0">
      <w:pPr>
        <w:spacing w:line="276" w:lineRule="auto"/>
        <w:jc w:val="both"/>
        <w:rPr>
          <w:rFonts w:ascii="Arial" w:eastAsia="Calibri" w:hAnsi="Arial" w:cs="Arial"/>
          <w:color w:val="000000" w:themeColor="text1"/>
          <w:sz w:val="22"/>
        </w:rPr>
      </w:pPr>
    </w:p>
    <w:p w14:paraId="0A4FBEB7" w14:textId="77777777" w:rsidR="00C133B6" w:rsidRPr="00DE7E39" w:rsidRDefault="00C133B6" w:rsidP="00C133B6">
      <w:pPr>
        <w:spacing w:line="276" w:lineRule="auto"/>
        <w:jc w:val="both"/>
        <w:rPr>
          <w:rFonts w:ascii="Arial" w:eastAsia="Calibri" w:hAnsi="Arial" w:cs="Arial"/>
          <w:color w:val="000000" w:themeColor="text1"/>
          <w:sz w:val="22"/>
        </w:rPr>
      </w:pPr>
      <w:r w:rsidRPr="00DE7E39">
        <w:rPr>
          <w:rFonts w:ascii="Arial" w:eastAsia="Calibri" w:hAnsi="Arial" w:cs="Arial"/>
          <w:color w:val="000000" w:themeColor="text1"/>
          <w:sz w:val="22"/>
        </w:rPr>
        <w:t>Este concepto tiene el alcance previsto en el artículo 28 del Código de Procedimiento Administrativo y de lo Contencioso Administrativo.</w:t>
      </w:r>
    </w:p>
    <w:p w14:paraId="305424AF" w14:textId="77777777" w:rsidR="00C133B6" w:rsidRPr="00DE7E39" w:rsidRDefault="00C133B6" w:rsidP="00C133B6">
      <w:pPr>
        <w:rPr>
          <w:noProof/>
          <w:szCs w:val="20"/>
          <w:lang w:val="es-CO" w:eastAsia="es-CO"/>
        </w:rPr>
      </w:pPr>
    </w:p>
    <w:p w14:paraId="27101BE0" w14:textId="77777777" w:rsidR="00C133B6" w:rsidRPr="00DE7E39" w:rsidRDefault="00C133B6" w:rsidP="00C133B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E7E39">
        <w:rPr>
          <w:rFonts w:ascii="Arial" w:hAnsi="Arial" w:cs="Arial"/>
          <w:color w:val="000000" w:themeColor="text1"/>
          <w:sz w:val="22"/>
          <w:szCs w:val="22"/>
          <w:lang w:val="es-ES_tradnl"/>
        </w:rPr>
        <w:t>Atentamente,</w:t>
      </w:r>
    </w:p>
    <w:p w14:paraId="300A3319" w14:textId="77777777" w:rsidR="00C133B6" w:rsidRPr="00DE7E39" w:rsidRDefault="00C133B6" w:rsidP="00C133B6">
      <w:pPr>
        <w:rPr>
          <w:rFonts w:ascii="Arial" w:hAnsi="Arial" w:cs="Arial"/>
          <w:sz w:val="22"/>
          <w:lang w:eastAsia="es-CO"/>
        </w:rPr>
      </w:pPr>
    </w:p>
    <w:p w14:paraId="12570DF1" w14:textId="7D3F8461" w:rsidR="00C133B6" w:rsidRPr="00DE7E39" w:rsidRDefault="00C133B6" w:rsidP="00C133B6">
      <w:pPr>
        <w:jc w:val="center"/>
        <w:rPr>
          <w:rFonts w:ascii="Arial" w:hAnsi="Arial" w:cs="Arial"/>
          <w:sz w:val="22"/>
          <w:lang w:eastAsia="es-CO"/>
        </w:rPr>
      </w:pPr>
      <w:r w:rsidRPr="00DE7E39">
        <w:rPr>
          <w:noProof/>
        </w:rPr>
        <w:t xml:space="preserve"> </w:t>
      </w:r>
      <w:r w:rsidR="001845EB" w:rsidRPr="00DE7E39">
        <w:rPr>
          <w:noProof/>
          <w:lang w:val="es-CO"/>
        </w:rPr>
        <w:drawing>
          <wp:inline distT="0" distB="0" distL="0" distR="0" wp14:anchorId="08C68A55" wp14:editId="4B35BA30">
            <wp:extent cx="2524125" cy="111136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bwMode="auto">
                    <a:xfrm>
                      <a:off x="0" y="0"/>
                      <a:ext cx="2524125" cy="1111368"/>
                    </a:xfrm>
                    <a:prstGeom prst="rect">
                      <a:avLst/>
                    </a:prstGeom>
                    <a:noFill/>
                    <a:ln>
                      <a:noFill/>
                    </a:ln>
                  </pic:spPr>
                </pic:pic>
              </a:graphicData>
            </a:graphic>
          </wp:inline>
        </w:drawing>
      </w:r>
    </w:p>
    <w:p w14:paraId="30BE9172" w14:textId="77777777" w:rsidR="00C133B6" w:rsidRPr="00DE7E39" w:rsidRDefault="00C133B6" w:rsidP="00C133B6">
      <w:pPr>
        <w:jc w:val="center"/>
        <w:rPr>
          <w:rFonts w:ascii="Arial" w:hAnsi="Arial" w:cs="Arial"/>
          <w:sz w:val="18"/>
          <w:szCs w:val="20"/>
          <w:lang w:eastAsia="es-CO"/>
        </w:rPr>
      </w:pPr>
    </w:p>
    <w:p w14:paraId="19DE936A" w14:textId="77777777" w:rsidR="00C133B6" w:rsidRPr="00DE7E39" w:rsidRDefault="00C133B6" w:rsidP="00C133B6">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4794"/>
      </w:tblGrid>
      <w:tr w:rsidR="00C133B6" w:rsidRPr="00DE7E39" w14:paraId="026CC13A" w14:textId="77777777" w:rsidTr="00A53405">
        <w:trPr>
          <w:trHeight w:val="333"/>
        </w:trPr>
        <w:tc>
          <w:tcPr>
            <w:tcW w:w="882" w:type="dxa"/>
            <w:vAlign w:val="center"/>
            <w:hideMark/>
          </w:tcPr>
          <w:p w14:paraId="0ACA0A8D" w14:textId="77777777" w:rsidR="00C133B6" w:rsidRPr="00DE7E39" w:rsidRDefault="00C133B6" w:rsidP="00A53405">
            <w:pPr>
              <w:rPr>
                <w:rFonts w:ascii="Arial" w:hAnsi="Arial" w:cs="Arial"/>
                <w:sz w:val="16"/>
                <w:szCs w:val="16"/>
                <w:lang w:eastAsia="es-ES"/>
              </w:rPr>
            </w:pPr>
            <w:r w:rsidRPr="00DE7E39">
              <w:rPr>
                <w:rFonts w:ascii="Arial" w:hAnsi="Arial" w:cs="Arial"/>
                <w:sz w:val="16"/>
                <w:szCs w:val="16"/>
                <w:lang w:eastAsia="es-ES"/>
              </w:rPr>
              <w:t>Elaboró:</w:t>
            </w:r>
          </w:p>
        </w:tc>
        <w:tc>
          <w:tcPr>
            <w:tcW w:w="4794" w:type="dxa"/>
            <w:tcBorders>
              <w:top w:val="nil"/>
              <w:left w:val="nil"/>
              <w:bottom w:val="dotted" w:sz="4" w:space="0" w:color="7F7F7F" w:themeColor="text1" w:themeTint="80"/>
              <w:right w:val="nil"/>
            </w:tcBorders>
            <w:vAlign w:val="center"/>
            <w:hideMark/>
          </w:tcPr>
          <w:p w14:paraId="040369D1" w14:textId="6C5D397E" w:rsidR="00C133B6" w:rsidRPr="00DE7E39" w:rsidRDefault="00B7101B" w:rsidP="00B7101B">
            <w:pPr>
              <w:rPr>
                <w:rFonts w:ascii="Arial" w:hAnsi="Arial" w:cs="Arial"/>
                <w:sz w:val="16"/>
                <w:szCs w:val="16"/>
                <w:lang w:eastAsia="es-ES"/>
              </w:rPr>
            </w:pPr>
            <w:r w:rsidRPr="00DE7E39">
              <w:rPr>
                <w:rFonts w:ascii="Arial" w:hAnsi="Arial" w:cs="Arial"/>
                <w:sz w:val="16"/>
                <w:szCs w:val="16"/>
                <w:lang w:eastAsia="es-ES"/>
              </w:rPr>
              <w:t>Guillermo Escolar Flórez</w:t>
            </w:r>
          </w:p>
          <w:p w14:paraId="11FF18F2" w14:textId="77777777" w:rsidR="00C133B6" w:rsidRPr="00DE7E39" w:rsidRDefault="00C133B6" w:rsidP="00A53405">
            <w:pPr>
              <w:rPr>
                <w:rFonts w:ascii="Arial" w:hAnsi="Arial" w:cs="Arial"/>
                <w:sz w:val="16"/>
                <w:szCs w:val="16"/>
                <w:lang w:eastAsia="es-ES"/>
              </w:rPr>
            </w:pPr>
            <w:r w:rsidRPr="00DE7E39">
              <w:rPr>
                <w:rFonts w:ascii="Arial" w:hAnsi="Arial" w:cs="Arial"/>
                <w:sz w:val="16"/>
                <w:szCs w:val="16"/>
                <w:lang w:eastAsia="es-ES"/>
              </w:rPr>
              <w:t>Contratista de la Subdirección de Gestión Contractual</w:t>
            </w:r>
          </w:p>
        </w:tc>
      </w:tr>
      <w:tr w:rsidR="00C133B6" w:rsidRPr="00DE7E39" w14:paraId="011B6D76" w14:textId="77777777" w:rsidTr="00A53405">
        <w:trPr>
          <w:trHeight w:val="348"/>
        </w:trPr>
        <w:tc>
          <w:tcPr>
            <w:tcW w:w="882" w:type="dxa"/>
            <w:vAlign w:val="center"/>
            <w:hideMark/>
          </w:tcPr>
          <w:p w14:paraId="213D8239" w14:textId="77777777" w:rsidR="00C133B6" w:rsidRPr="00DE7E39" w:rsidRDefault="00C133B6" w:rsidP="00A53405">
            <w:pPr>
              <w:rPr>
                <w:rFonts w:ascii="Arial" w:hAnsi="Arial" w:cs="Arial"/>
                <w:sz w:val="16"/>
                <w:szCs w:val="16"/>
                <w:lang w:eastAsia="es-ES"/>
              </w:rPr>
            </w:pPr>
            <w:r w:rsidRPr="00DE7E39">
              <w:rPr>
                <w:rFonts w:ascii="Arial" w:hAnsi="Arial" w:cs="Arial"/>
                <w:sz w:val="16"/>
                <w:szCs w:val="16"/>
                <w:lang w:eastAsia="es-ES"/>
              </w:rPr>
              <w:t>Revisó:</w:t>
            </w:r>
          </w:p>
        </w:tc>
        <w:tc>
          <w:tcPr>
            <w:tcW w:w="4794" w:type="dxa"/>
            <w:tcBorders>
              <w:top w:val="dotted" w:sz="4" w:space="0" w:color="7F7F7F" w:themeColor="text1" w:themeTint="80"/>
              <w:left w:val="nil"/>
              <w:bottom w:val="dotted" w:sz="4" w:space="0" w:color="7F7F7F" w:themeColor="text1" w:themeTint="80"/>
              <w:right w:val="nil"/>
            </w:tcBorders>
            <w:vAlign w:val="center"/>
            <w:hideMark/>
          </w:tcPr>
          <w:p w14:paraId="4FB9885E" w14:textId="77777777" w:rsidR="00C133B6" w:rsidRPr="00DE7E39" w:rsidRDefault="00C133B6" w:rsidP="00A53405">
            <w:pPr>
              <w:rPr>
                <w:rFonts w:ascii="Arial" w:hAnsi="Arial" w:cs="Arial"/>
                <w:sz w:val="16"/>
                <w:szCs w:val="16"/>
                <w:lang w:eastAsia="es-ES"/>
              </w:rPr>
            </w:pPr>
            <w:r w:rsidRPr="00DE7E39">
              <w:rPr>
                <w:rFonts w:ascii="Arial" w:hAnsi="Arial" w:cs="Arial"/>
                <w:sz w:val="16"/>
                <w:szCs w:val="16"/>
                <w:lang w:eastAsia="es-ES"/>
              </w:rPr>
              <w:t>Juan David Montoya Penagos</w:t>
            </w:r>
          </w:p>
          <w:p w14:paraId="1BB16FD1" w14:textId="77777777" w:rsidR="00C133B6" w:rsidRPr="00DE7E39" w:rsidRDefault="00C133B6" w:rsidP="00A53405">
            <w:pPr>
              <w:rPr>
                <w:rFonts w:ascii="Arial" w:hAnsi="Arial" w:cs="Arial"/>
                <w:sz w:val="14"/>
                <w:szCs w:val="14"/>
                <w:lang w:eastAsia="es-ES"/>
              </w:rPr>
            </w:pPr>
            <w:r w:rsidRPr="00DE7E39">
              <w:rPr>
                <w:rFonts w:ascii="Arial" w:hAnsi="Arial" w:cs="Arial"/>
                <w:sz w:val="16"/>
                <w:szCs w:val="16"/>
                <w:lang w:eastAsia="es-ES"/>
              </w:rPr>
              <w:t xml:space="preserve">Gestor T1 Grado 15 de la Subdirección de Gestión Contractual </w:t>
            </w:r>
          </w:p>
        </w:tc>
      </w:tr>
      <w:tr w:rsidR="00C133B6" w:rsidRPr="00CE44D5" w14:paraId="38DE8EAA" w14:textId="77777777" w:rsidTr="00A53405">
        <w:trPr>
          <w:trHeight w:val="317"/>
        </w:trPr>
        <w:tc>
          <w:tcPr>
            <w:tcW w:w="882" w:type="dxa"/>
            <w:vAlign w:val="center"/>
            <w:hideMark/>
          </w:tcPr>
          <w:p w14:paraId="1442F4C1" w14:textId="77777777" w:rsidR="00C133B6" w:rsidRPr="00DE7E39" w:rsidRDefault="00C133B6" w:rsidP="00A53405">
            <w:pPr>
              <w:rPr>
                <w:rFonts w:ascii="Arial" w:hAnsi="Arial" w:cs="Arial"/>
                <w:sz w:val="16"/>
                <w:szCs w:val="16"/>
                <w:lang w:eastAsia="es-ES"/>
              </w:rPr>
            </w:pPr>
            <w:r w:rsidRPr="00DE7E39">
              <w:rPr>
                <w:rFonts w:ascii="Arial" w:hAnsi="Arial" w:cs="Arial"/>
                <w:sz w:val="16"/>
                <w:szCs w:val="16"/>
                <w:lang w:eastAsia="es-ES"/>
              </w:rPr>
              <w:t>Aprobó:</w:t>
            </w:r>
          </w:p>
        </w:tc>
        <w:tc>
          <w:tcPr>
            <w:tcW w:w="4794" w:type="dxa"/>
            <w:tcBorders>
              <w:top w:val="dotted" w:sz="4" w:space="0" w:color="7F7F7F" w:themeColor="text1" w:themeTint="80"/>
              <w:left w:val="nil"/>
              <w:bottom w:val="dotted" w:sz="4" w:space="0" w:color="7F7F7F" w:themeColor="text1" w:themeTint="80"/>
              <w:right w:val="nil"/>
            </w:tcBorders>
            <w:vAlign w:val="center"/>
            <w:hideMark/>
          </w:tcPr>
          <w:p w14:paraId="67B43C05" w14:textId="77777777" w:rsidR="00C133B6" w:rsidRPr="00DE7E39" w:rsidRDefault="00C133B6" w:rsidP="00A53405">
            <w:pPr>
              <w:rPr>
                <w:rFonts w:ascii="Arial" w:hAnsi="Arial" w:cs="Arial"/>
                <w:sz w:val="16"/>
                <w:szCs w:val="16"/>
                <w:lang w:eastAsia="es-ES"/>
              </w:rPr>
            </w:pPr>
            <w:r w:rsidRPr="00DE7E39">
              <w:rPr>
                <w:rFonts w:ascii="Arial" w:hAnsi="Arial" w:cs="Arial"/>
                <w:sz w:val="16"/>
                <w:szCs w:val="16"/>
                <w:lang w:eastAsia="es-ES"/>
              </w:rPr>
              <w:t>Jorge Augusto Tirado Navarro</w:t>
            </w:r>
          </w:p>
          <w:p w14:paraId="086F8218" w14:textId="77777777" w:rsidR="00C133B6" w:rsidRPr="00CE44D5" w:rsidRDefault="00C133B6" w:rsidP="00A53405">
            <w:pPr>
              <w:rPr>
                <w:rFonts w:ascii="Arial" w:hAnsi="Arial" w:cs="Arial"/>
                <w:sz w:val="16"/>
                <w:szCs w:val="16"/>
                <w:lang w:eastAsia="es-ES"/>
              </w:rPr>
            </w:pPr>
            <w:r w:rsidRPr="00DE7E39">
              <w:rPr>
                <w:rFonts w:ascii="Arial" w:hAnsi="Arial" w:cs="Arial"/>
                <w:sz w:val="16"/>
                <w:szCs w:val="16"/>
                <w:lang w:eastAsia="es-ES"/>
              </w:rPr>
              <w:t>Subdirector de Gestión Contractual ANCP – CCE</w:t>
            </w:r>
          </w:p>
        </w:tc>
      </w:tr>
    </w:tbl>
    <w:p w14:paraId="4D13CF39" w14:textId="77777777" w:rsidR="00C133B6" w:rsidRDefault="00C133B6" w:rsidP="00C133B6">
      <w:pPr>
        <w:pStyle w:val="NormalWeb"/>
        <w:spacing w:before="0" w:beforeAutospacing="0" w:after="0" w:afterAutospacing="0" w:line="276" w:lineRule="auto"/>
        <w:jc w:val="both"/>
        <w:rPr>
          <w:rFonts w:ascii="Arial" w:hAnsi="Arial" w:cs="Arial"/>
        </w:rPr>
      </w:pPr>
    </w:p>
    <w:p w14:paraId="0C0191C8" w14:textId="77777777" w:rsidR="00C133B6" w:rsidRPr="00F00D3C" w:rsidRDefault="00C133B6" w:rsidP="00C133B6">
      <w:pPr>
        <w:tabs>
          <w:tab w:val="left" w:pos="3795"/>
        </w:tabs>
        <w:rPr>
          <w:rFonts w:ascii="Arial" w:hAnsi="Arial" w:cs="Arial"/>
          <w:color w:val="000000" w:themeColor="text1"/>
        </w:rPr>
      </w:pPr>
    </w:p>
    <w:p w14:paraId="3342517E" w14:textId="77777777" w:rsidR="00C133B6" w:rsidRDefault="00C133B6" w:rsidP="00C133B6"/>
    <w:p w14:paraId="123D0C38" w14:textId="77777777" w:rsidR="00C133B6" w:rsidRPr="00162EE6" w:rsidRDefault="00C133B6" w:rsidP="00C133B6">
      <w:pPr>
        <w:rPr>
          <w:rFonts w:ascii="Arial" w:hAnsi="Arial" w:cs="Arial"/>
          <w:color w:val="000000" w:themeColor="text1"/>
          <w:sz w:val="20"/>
          <w:szCs w:val="20"/>
        </w:rPr>
      </w:pPr>
    </w:p>
    <w:p w14:paraId="4B0A71B9" w14:textId="77777777" w:rsidR="00C133B6" w:rsidRPr="00162EE6" w:rsidRDefault="00C133B6" w:rsidP="00C133B6">
      <w:pPr>
        <w:spacing w:line="276" w:lineRule="auto"/>
        <w:jc w:val="both"/>
        <w:rPr>
          <w:rFonts w:ascii="Arial" w:eastAsia="Calibri" w:hAnsi="Arial" w:cs="Arial"/>
          <w:b/>
          <w:color w:val="000000" w:themeColor="text1"/>
          <w:sz w:val="22"/>
        </w:rPr>
      </w:pPr>
    </w:p>
    <w:bookmarkEnd w:id="0"/>
    <w:bookmarkEnd w:id="1"/>
    <w:p w14:paraId="29BB5165" w14:textId="77777777" w:rsidR="008F5656" w:rsidRDefault="008F5656" w:rsidP="00A82DE0">
      <w:pPr>
        <w:rPr>
          <w:rFonts w:ascii="Arial" w:hAnsi="Arial" w:cs="Arial"/>
          <w:b/>
          <w:bCs/>
          <w:color w:val="000000" w:themeColor="text1"/>
          <w:sz w:val="22"/>
        </w:rPr>
      </w:pPr>
    </w:p>
    <w:sectPr w:rsidR="008F565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ABCA" w14:textId="77777777" w:rsidR="007928C8" w:rsidRDefault="007928C8">
      <w:r>
        <w:separator/>
      </w:r>
    </w:p>
  </w:endnote>
  <w:endnote w:type="continuationSeparator" w:id="0">
    <w:p w14:paraId="2E48EAB7" w14:textId="77777777" w:rsidR="007928C8" w:rsidRDefault="0079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217B7" w:rsidRDefault="008217B7" w:rsidP="00322937">
    <w:pPr>
      <w:pStyle w:val="Sinespaciado"/>
      <w:jc w:val="right"/>
      <w:rPr>
        <w:rFonts w:ascii="Arial" w:hAnsi="Arial" w:cs="Arial"/>
        <w:sz w:val="18"/>
        <w:szCs w:val="18"/>
      </w:rPr>
    </w:pPr>
  </w:p>
  <w:p w14:paraId="7A3785F3" w14:textId="01C12C82"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7369ED">
      <w:rPr>
        <w:rFonts w:ascii="Arial" w:hAnsi="Arial" w:cs="Arial"/>
        <w:b/>
        <w:bCs/>
        <w:noProof/>
        <w:color w:val="7F7F7F" w:themeColor="text1" w:themeTint="80"/>
        <w:sz w:val="16"/>
        <w:szCs w:val="16"/>
      </w:rPr>
      <w:t>20</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981CB1" w:rsidRDefault="004A34D2"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7AC2" w14:textId="77777777" w:rsidR="007928C8" w:rsidRDefault="007928C8">
      <w:r>
        <w:separator/>
      </w:r>
    </w:p>
  </w:footnote>
  <w:footnote w:type="continuationSeparator" w:id="0">
    <w:p w14:paraId="71EB1AB5" w14:textId="77777777" w:rsidR="007928C8" w:rsidRDefault="007928C8">
      <w:r>
        <w:continuationSeparator/>
      </w:r>
    </w:p>
  </w:footnote>
  <w:footnote w:id="1">
    <w:p w14:paraId="19A042CC" w14:textId="77777777" w:rsidR="00975518" w:rsidRPr="00B01474" w:rsidRDefault="00975518" w:rsidP="00975518">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Concepto del 3 de septiembre de 2019, con radicado No. 2201913000006512.</w:t>
      </w:r>
    </w:p>
    <w:p w14:paraId="342F53F7" w14:textId="77777777" w:rsidR="00975518" w:rsidRPr="00B01474" w:rsidRDefault="00975518" w:rsidP="00975518">
      <w:pPr>
        <w:pStyle w:val="Textonotapie"/>
        <w:ind w:firstLine="708"/>
        <w:jc w:val="both"/>
        <w:rPr>
          <w:rFonts w:ascii="Arial" w:hAnsi="Arial" w:cs="Arial"/>
          <w:sz w:val="19"/>
          <w:szCs w:val="19"/>
        </w:rPr>
      </w:pPr>
    </w:p>
  </w:footnote>
  <w:footnote w:id="2">
    <w:p w14:paraId="0A0ABD4E" w14:textId="77777777" w:rsidR="001D5E8A" w:rsidRPr="00CB149C" w:rsidRDefault="001D5E8A" w:rsidP="001D5E8A">
      <w:pPr>
        <w:pStyle w:val="Textonotapie"/>
        <w:ind w:firstLine="708"/>
        <w:jc w:val="both"/>
        <w:rPr>
          <w:rFonts w:ascii="Arial" w:hAnsi="Arial" w:cs="Arial"/>
          <w:sz w:val="16"/>
          <w:szCs w:val="16"/>
          <w:lang w:val="es-ES"/>
        </w:rPr>
      </w:pPr>
      <w:r w:rsidRPr="00CB149C">
        <w:rPr>
          <w:rStyle w:val="Refdenotaalpie"/>
          <w:rFonts w:ascii="Arial" w:hAnsi="Arial" w:cs="Arial"/>
          <w:sz w:val="16"/>
          <w:szCs w:val="16"/>
        </w:rPr>
        <w:footnoteRef/>
      </w:r>
      <w:r w:rsidRPr="00CB149C">
        <w:rPr>
          <w:rFonts w:ascii="Arial" w:hAnsi="Arial"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CB149C">
        <w:rPr>
          <w:rFonts w:ascii="Arial" w:hAnsi="Arial" w:cs="Arial"/>
          <w:i/>
          <w:iCs/>
          <w:sz w:val="16"/>
          <w:szCs w:val="16"/>
        </w:rPr>
        <w:t xml:space="preserve">ibidem </w:t>
      </w:r>
      <w:r w:rsidRPr="00CB149C">
        <w:rPr>
          <w:rFonts w:ascii="Arial" w:hAnsi="Arial" w:cs="Arial"/>
          <w:sz w:val="16"/>
          <w:szCs w:val="16"/>
        </w:rPr>
        <w:t>señala, de manera precisa, las funciones de Colombia Compra Eficiente. Concretamente, el numeral 5º de este artículo establece que le corresponde a esta entidad: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CB149C">
        <w:rPr>
          <w:rFonts w:ascii="Arial" w:hAnsi="Arial" w:cs="Arial"/>
          <w:sz w:val="16"/>
          <w:szCs w:val="16"/>
        </w:rPr>
        <w:t>bsolver</w:t>
      </w:r>
      <w:proofErr w:type="spellEnd"/>
      <w:r w:rsidRPr="00CB149C">
        <w:rPr>
          <w:rFonts w:ascii="Arial" w:hAnsi="Arial" w:cs="Arial"/>
          <w:sz w:val="16"/>
          <w:szCs w:val="16"/>
        </w:rPr>
        <w:t xml:space="preserve"> consultas sobre la aplicación de normas de carácter general».</w:t>
      </w:r>
    </w:p>
  </w:footnote>
  <w:footnote w:id="3">
    <w:p w14:paraId="699AC906" w14:textId="77777777" w:rsidR="00C133B6" w:rsidRPr="00B01474" w:rsidRDefault="00C133B6" w:rsidP="00C133B6">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Sobre esta norma, consultar los conceptos del 8 de octubre de 2019, con radicado No. 2201913000007532, y del 20 de diciembre de 2019, con radicado No. 4201913000008240.</w:t>
      </w:r>
    </w:p>
    <w:p w14:paraId="721ECCCF" w14:textId="77777777" w:rsidR="00C133B6" w:rsidRPr="00B01474" w:rsidRDefault="00C133B6" w:rsidP="00C133B6">
      <w:pPr>
        <w:pStyle w:val="Textonotapie"/>
        <w:jc w:val="both"/>
        <w:rPr>
          <w:rFonts w:ascii="Arial" w:hAnsi="Arial" w:cs="Arial"/>
          <w:sz w:val="19"/>
          <w:szCs w:val="19"/>
          <w:lang w:val="es-ES"/>
        </w:rPr>
      </w:pPr>
    </w:p>
  </w:footnote>
  <w:footnote w:id="4">
    <w:p w14:paraId="22A4150A" w14:textId="77777777" w:rsidR="00C133B6" w:rsidRPr="00B01474" w:rsidRDefault="00C133B6" w:rsidP="00C133B6">
      <w:pPr>
        <w:pStyle w:val="Textonotapie"/>
        <w:ind w:firstLine="708"/>
        <w:jc w:val="both"/>
        <w:rPr>
          <w:rFonts w:ascii="Arial" w:hAnsi="Arial" w:cs="Arial"/>
          <w:sz w:val="19"/>
          <w:szCs w:val="19"/>
        </w:rPr>
      </w:pPr>
      <w:r w:rsidRPr="00B01474">
        <w:rPr>
          <w:rStyle w:val="Refdenotaalpie"/>
        </w:rPr>
        <w:footnoteRef/>
      </w:r>
      <w:r w:rsidRPr="00B01474">
        <w:t xml:space="preserve"> </w:t>
      </w:r>
      <w:r w:rsidRPr="00B01474">
        <w:rPr>
          <w:rFonts w:ascii="Arial" w:hAnsi="Arial" w:cs="Arial"/>
          <w:sz w:val="19"/>
          <w:szCs w:val="19"/>
        </w:rPr>
        <w:t xml:space="preserve">Al respecto, la </w:t>
      </w:r>
      <w:r>
        <w:rPr>
          <w:rFonts w:ascii="Arial" w:hAnsi="Arial" w:cs="Arial"/>
          <w:sz w:val="19"/>
          <w:szCs w:val="19"/>
        </w:rPr>
        <w:t>Ley 489 de 1998</w:t>
      </w:r>
      <w:r w:rsidRPr="00B01474">
        <w:rPr>
          <w:rFonts w:ascii="Arial" w:hAnsi="Arial" w:cs="Arial"/>
          <w:sz w:val="19"/>
          <w:szCs w:val="19"/>
        </w:rPr>
        <w:t xml:space="preserve"> dispone que «</w:t>
      </w:r>
      <w:r>
        <w:rPr>
          <w:rFonts w:ascii="Arial" w:hAnsi="Arial" w:cs="Arial"/>
          <w:sz w:val="19"/>
          <w:szCs w:val="19"/>
        </w:rPr>
        <w:t xml:space="preserve">Art. 96. </w:t>
      </w:r>
      <w:r w:rsidRPr="00B01474">
        <w:rPr>
          <w:rFonts w:ascii="Arial" w:hAnsi="Arial" w:cs="Arial"/>
          <w:sz w:val="19"/>
          <w:szCs w:val="19"/>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BC7F395" w14:textId="77777777" w:rsidR="00C133B6" w:rsidRPr="00B01474" w:rsidRDefault="00C133B6" w:rsidP="00C133B6">
      <w:pPr>
        <w:pStyle w:val="Textonotapie"/>
        <w:ind w:firstLine="708"/>
        <w:jc w:val="both"/>
        <w:rPr>
          <w:rFonts w:ascii="Arial" w:hAnsi="Arial" w:cs="Arial"/>
          <w:sz w:val="19"/>
          <w:szCs w:val="19"/>
        </w:rPr>
      </w:pPr>
      <w:proofErr w:type="gramStart"/>
      <w:r w:rsidRPr="00B01474">
        <w:rPr>
          <w:rFonts w:ascii="Arial" w:hAnsi="Arial" w:cs="Arial"/>
          <w:sz w:val="19"/>
          <w:szCs w:val="19"/>
        </w:rPr>
        <w:t>»Los</w:t>
      </w:r>
      <w:proofErr w:type="gramEnd"/>
      <w:r w:rsidRPr="00B01474">
        <w:rPr>
          <w:rFonts w:ascii="Arial" w:hAnsi="Arial" w:cs="Arial"/>
          <w:sz w:val="19"/>
          <w:szCs w:val="19"/>
        </w:rPr>
        <w:t xml:space="preserve"> convenios de asociación a que se refiere el presente artículo </w:t>
      </w:r>
      <w:bookmarkStart w:id="4" w:name="_Hlk36023315"/>
      <w:r w:rsidRPr="00B01474">
        <w:rPr>
          <w:rFonts w:ascii="Arial" w:hAnsi="Arial" w:cs="Arial"/>
          <w:sz w:val="19"/>
          <w:szCs w:val="19"/>
        </w:rPr>
        <w:t>se celebrarán de conformidad con lo dispuesto en el artículo 355 de la Constitución Política</w:t>
      </w:r>
      <w:bookmarkEnd w:id="4"/>
      <w:r w:rsidRPr="00B01474">
        <w:rPr>
          <w:rFonts w:ascii="Arial" w:hAnsi="Arial" w:cs="Arial"/>
          <w:sz w:val="19"/>
          <w:szCs w:val="19"/>
        </w:rPr>
        <w:t>, en ellos se determinará con precisión su objeto, término, obligaciones de las partes, aportes, coordinación y todos aquellos aspectos que se consideren pertinentes».</w:t>
      </w:r>
    </w:p>
    <w:p w14:paraId="10D85188" w14:textId="77777777" w:rsidR="00C133B6" w:rsidRPr="00B01474" w:rsidRDefault="00C133B6" w:rsidP="00C133B6">
      <w:pPr>
        <w:pStyle w:val="Textonotapie"/>
        <w:ind w:firstLine="708"/>
        <w:rPr>
          <w:lang w:val="es-ES"/>
        </w:rPr>
      </w:pPr>
      <w:r w:rsidRPr="00B01474">
        <w:t xml:space="preserve"> </w:t>
      </w:r>
    </w:p>
  </w:footnote>
  <w:footnote w:id="5">
    <w:p w14:paraId="55BC7CF0" w14:textId="77777777" w:rsidR="00C133B6" w:rsidRPr="00B01474" w:rsidRDefault="00C133B6" w:rsidP="00C133B6">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Concepto del 3 de septiembre de 2019, con radicado No. 2201913000006512.</w:t>
      </w:r>
    </w:p>
    <w:p w14:paraId="3B11D54F" w14:textId="77777777" w:rsidR="00C133B6" w:rsidRPr="00B01474" w:rsidRDefault="00C133B6" w:rsidP="00C133B6">
      <w:pPr>
        <w:pStyle w:val="Textonotapie"/>
        <w:ind w:firstLine="708"/>
        <w:jc w:val="both"/>
        <w:rPr>
          <w:rFonts w:ascii="Arial" w:hAnsi="Arial" w:cs="Arial"/>
          <w:sz w:val="19"/>
          <w:szCs w:val="19"/>
        </w:rPr>
      </w:pPr>
    </w:p>
  </w:footnote>
  <w:footnote w:id="6">
    <w:p w14:paraId="36311489" w14:textId="77777777" w:rsidR="00C133B6" w:rsidRPr="00B01474" w:rsidRDefault="00C133B6" w:rsidP="00C133B6">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Sobre la naturaleza de los convenios de asociación, se reitera lo expuesto en el concepto del 19 de noviembre de 2019, con radicado No. 2201913000008611.</w:t>
      </w:r>
    </w:p>
    <w:p w14:paraId="13EDA7A2" w14:textId="77777777" w:rsidR="00C133B6" w:rsidRPr="00B01474" w:rsidRDefault="00C133B6" w:rsidP="00C133B6">
      <w:pPr>
        <w:pStyle w:val="Textonotapie"/>
        <w:ind w:firstLine="708"/>
        <w:jc w:val="both"/>
        <w:rPr>
          <w:rFonts w:ascii="Arial" w:hAnsi="Arial" w:cs="Arial"/>
          <w:sz w:val="19"/>
          <w:szCs w:val="19"/>
        </w:rPr>
      </w:pPr>
    </w:p>
  </w:footnote>
  <w:footnote w:id="7">
    <w:p w14:paraId="1F44BFDB" w14:textId="77777777" w:rsidR="00C133B6" w:rsidRPr="00B01474" w:rsidRDefault="00C133B6" w:rsidP="00C133B6">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2B80EB68" w14:textId="77777777" w:rsidR="00C133B6" w:rsidRPr="00B01474" w:rsidRDefault="00C133B6" w:rsidP="00C133B6">
      <w:pPr>
        <w:pStyle w:val="Textonotapie"/>
        <w:ind w:firstLine="708"/>
        <w:jc w:val="both"/>
        <w:rPr>
          <w:rFonts w:ascii="Arial" w:hAnsi="Arial" w:cs="Arial"/>
          <w:sz w:val="19"/>
          <w:szCs w:val="19"/>
        </w:rPr>
      </w:pPr>
    </w:p>
    <w:p w14:paraId="0BD3CD20" w14:textId="77777777" w:rsidR="00C133B6" w:rsidRPr="00B01474" w:rsidRDefault="00C133B6" w:rsidP="00C133B6">
      <w:pPr>
        <w:pStyle w:val="Textonotapie"/>
        <w:ind w:firstLine="708"/>
        <w:jc w:val="both"/>
        <w:rPr>
          <w:rFonts w:ascii="Arial" w:hAnsi="Arial" w:cs="Arial"/>
          <w:sz w:val="19"/>
          <w:szCs w:val="19"/>
          <w:lang w:val="es-ES"/>
        </w:rPr>
      </w:pPr>
    </w:p>
  </w:footnote>
  <w:footnote w:id="8">
    <w:p w14:paraId="5770FE05" w14:textId="77777777" w:rsidR="00C133B6" w:rsidRPr="00162EE6" w:rsidRDefault="00C133B6" w:rsidP="00C133B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Cfr. Concepto del 21 de agosto de 2019, dictado dentro del radicado No. 2201913000006047.</w:t>
      </w:r>
    </w:p>
    <w:p w14:paraId="24CDE4E7"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p>
  </w:footnote>
  <w:footnote w:id="9">
    <w:p w14:paraId="09D338A7"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Concepto del 24 de febrero de 2005, con radicado No. 1626, C.P. Dra. Gloria Duque Hernández</w:t>
      </w:r>
    </w:p>
  </w:footnote>
  <w:footnote w:id="10">
    <w:p w14:paraId="07312421" w14:textId="77777777" w:rsidR="00C133B6" w:rsidRPr="00162EE6" w:rsidRDefault="00C133B6" w:rsidP="00C133B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0343C814"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p>
  </w:footnote>
  <w:footnote w:id="11">
    <w:p w14:paraId="7C157E31" w14:textId="77777777" w:rsidR="00832B83" w:rsidRPr="00DE7E39" w:rsidRDefault="00832B83" w:rsidP="00832B83">
      <w:pPr>
        <w:pStyle w:val="Textonotapie"/>
        <w:ind w:firstLine="708"/>
        <w:rPr>
          <w:rFonts w:ascii="Arial" w:hAnsi="Arial" w:cs="Arial"/>
          <w:color w:val="000000" w:themeColor="text1"/>
          <w:sz w:val="19"/>
          <w:szCs w:val="19"/>
        </w:rPr>
      </w:pPr>
      <w:r>
        <w:rPr>
          <w:rStyle w:val="Refdenotaalpie"/>
        </w:rPr>
        <w:footnoteRef/>
      </w:r>
      <w:r>
        <w:t xml:space="preserve"> </w:t>
      </w:r>
      <w:r w:rsidRPr="00200ADB">
        <w:rPr>
          <w:rFonts w:ascii="Arial" w:hAnsi="Arial" w:cs="Arial"/>
          <w:color w:val="000000" w:themeColor="text1"/>
          <w:sz w:val="19"/>
          <w:szCs w:val="19"/>
        </w:rPr>
        <w:t xml:space="preserve">CONSEJO DE ESTADO. Sala Plena. Auto del 15 de marzo de 2022. </w:t>
      </w:r>
      <w:r w:rsidRPr="00DE7E39">
        <w:rPr>
          <w:rFonts w:ascii="Arial" w:hAnsi="Arial" w:cs="Arial"/>
          <w:color w:val="000000" w:themeColor="text1"/>
          <w:sz w:val="19"/>
          <w:szCs w:val="19"/>
        </w:rPr>
        <w:t>Exp. 11001-03-26-000-2018-00113-01 (62.003). C.P. Rocío Araújo Oñate.</w:t>
      </w:r>
    </w:p>
    <w:p w14:paraId="5F971D1A" w14:textId="77777777" w:rsidR="00832B83" w:rsidRPr="00DE7E39" w:rsidRDefault="00832B83" w:rsidP="00832B83">
      <w:pPr>
        <w:pStyle w:val="Textonotapie"/>
        <w:ind w:firstLine="708"/>
      </w:pPr>
    </w:p>
  </w:footnote>
  <w:footnote w:id="12">
    <w:p w14:paraId="5C037668" w14:textId="77777777" w:rsidR="008E12DB" w:rsidRPr="00162EE6" w:rsidRDefault="008E12DB" w:rsidP="008E12DB">
      <w:pPr>
        <w:pStyle w:val="Textonotapie"/>
        <w:ind w:firstLine="708"/>
        <w:jc w:val="both"/>
        <w:rPr>
          <w:rFonts w:ascii="Arial" w:eastAsia="Calibri"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0BE25FFB" w14:textId="77777777" w:rsidR="008E12DB" w:rsidRPr="00162EE6" w:rsidRDefault="008E12DB" w:rsidP="008E12DB">
      <w:pPr>
        <w:pStyle w:val="Textonotapie"/>
        <w:ind w:firstLine="708"/>
        <w:jc w:val="both"/>
        <w:rPr>
          <w:rFonts w:ascii="Arial" w:hAnsi="Arial" w:cs="Arial"/>
          <w:color w:val="000000" w:themeColor="text1"/>
          <w:sz w:val="19"/>
          <w:szCs w:val="19"/>
          <w:lang w:val="es-ES"/>
        </w:rPr>
      </w:pPr>
    </w:p>
  </w:footnote>
  <w:footnote w:id="13">
    <w:p w14:paraId="0688DEC1" w14:textId="77777777" w:rsidR="008E12DB" w:rsidRDefault="008E12DB" w:rsidP="008E12DB">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w:t>
      </w:r>
      <w:r w:rsidRPr="00162EE6">
        <w:rPr>
          <w:rFonts w:ascii="Arial" w:eastAsia="Calibri" w:hAnsi="Arial" w:cs="Arial"/>
          <w:color w:val="000000" w:themeColor="text1"/>
          <w:sz w:val="19"/>
          <w:szCs w:val="19"/>
        </w:rPr>
        <w:t>Decreto 092 de 2017, artículo 3, inciso 2: «</w:t>
      </w:r>
      <w:r w:rsidRPr="00162EE6">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p w14:paraId="4BD638ED" w14:textId="77777777" w:rsidR="008E12DB" w:rsidRPr="00162EE6" w:rsidRDefault="008E12DB" w:rsidP="008E12DB">
      <w:pPr>
        <w:pStyle w:val="Textonotapie"/>
        <w:ind w:firstLine="708"/>
        <w:jc w:val="both"/>
        <w:rPr>
          <w:rFonts w:ascii="Arial" w:hAnsi="Arial" w:cs="Arial"/>
          <w:color w:val="000000" w:themeColor="text1"/>
          <w:sz w:val="19"/>
          <w:szCs w:val="19"/>
          <w:lang w:val="es-ES"/>
        </w:rPr>
      </w:pPr>
    </w:p>
  </w:footnote>
  <w:footnote w:id="14">
    <w:p w14:paraId="7452B961" w14:textId="77777777" w:rsidR="008E12DB" w:rsidRPr="00200ADB" w:rsidRDefault="008E12DB" w:rsidP="008E12DB">
      <w:pPr>
        <w:ind w:firstLine="708"/>
        <w:jc w:val="both"/>
        <w:rPr>
          <w:rFonts w:ascii="Arial" w:hAnsi="Arial" w:cs="Arial"/>
          <w:color w:val="000000" w:themeColor="text1"/>
          <w:sz w:val="19"/>
          <w:szCs w:val="19"/>
        </w:rPr>
      </w:pPr>
      <w:r w:rsidRPr="00200ADB">
        <w:rPr>
          <w:rFonts w:ascii="Arial" w:hAnsi="Arial" w:cs="Arial"/>
          <w:color w:val="000000" w:themeColor="text1"/>
          <w:sz w:val="19"/>
          <w:szCs w:val="19"/>
        </w:rPr>
        <w:footnoteRef/>
      </w:r>
      <w:r w:rsidRPr="00200ADB">
        <w:rPr>
          <w:rFonts w:ascii="Arial" w:hAnsi="Arial" w:cs="Arial"/>
          <w:color w:val="000000" w:themeColor="text1"/>
          <w:sz w:val="19"/>
          <w:szCs w:val="19"/>
        </w:rPr>
        <w:t xml:space="preserve"> </w:t>
      </w:r>
      <w:r>
        <w:rPr>
          <w:rFonts w:ascii="Arial" w:hAnsi="Arial" w:cs="Arial"/>
          <w:color w:val="000000" w:themeColor="text1"/>
          <w:sz w:val="19"/>
          <w:szCs w:val="19"/>
        </w:rPr>
        <w:t>En el auto del 15 de marzo de 2022 se señalaron los siguientes argumentos para levantar la suspensión provisional del inciso segundo del artículo 3 del Decreto 092 de 2017: «</w:t>
      </w:r>
      <w:r w:rsidRPr="00200ADB">
        <w:rPr>
          <w:rFonts w:ascii="Arial" w:hAnsi="Arial" w:cs="Arial"/>
          <w:color w:val="000000" w:themeColor="text1"/>
          <w:sz w:val="19"/>
          <w:szCs w:val="19"/>
        </w:rPr>
        <w:t>43.</w:t>
      </w:r>
      <w:r>
        <w:rPr>
          <w:rFonts w:ascii="Arial" w:hAnsi="Arial" w:cs="Arial"/>
          <w:color w:val="000000" w:themeColor="text1"/>
          <w:sz w:val="19"/>
          <w:szCs w:val="19"/>
        </w:rPr>
        <w:t xml:space="preserve"> </w:t>
      </w:r>
      <w:r w:rsidRPr="00200ADB">
        <w:rPr>
          <w:rFonts w:ascii="Arial" w:hAnsi="Arial" w:cs="Arial"/>
          <w:color w:val="000000" w:themeColor="text1"/>
          <w:sz w:val="19"/>
          <w:szCs w:val="19"/>
        </w:rPr>
        <w:t>En</w:t>
      </w:r>
      <w:r>
        <w:rPr>
          <w:rFonts w:ascii="Arial" w:hAnsi="Arial" w:cs="Arial"/>
          <w:color w:val="000000" w:themeColor="text1"/>
          <w:sz w:val="19"/>
          <w:szCs w:val="19"/>
        </w:rPr>
        <w:t xml:space="preserve"> </w:t>
      </w:r>
      <w:r w:rsidRPr="00200ADB">
        <w:rPr>
          <w:rFonts w:ascii="Arial" w:hAnsi="Arial" w:cs="Arial"/>
          <w:color w:val="000000" w:themeColor="text1"/>
          <w:sz w:val="19"/>
          <w:szCs w:val="19"/>
        </w:rPr>
        <w:t>suma,</w:t>
      </w:r>
      <w:r>
        <w:rPr>
          <w:rFonts w:ascii="Arial" w:hAnsi="Arial" w:cs="Arial"/>
          <w:color w:val="000000" w:themeColor="text1"/>
          <w:sz w:val="19"/>
          <w:szCs w:val="19"/>
        </w:rPr>
        <w:t xml:space="preserve"> </w:t>
      </w:r>
      <w:r w:rsidRPr="00200ADB">
        <w:rPr>
          <w:rFonts w:ascii="Arial" w:hAnsi="Arial" w:cs="Arial"/>
          <w:color w:val="000000" w:themeColor="text1"/>
          <w:sz w:val="19"/>
          <w:szCs w:val="19"/>
        </w:rPr>
        <w:t>lo</w:t>
      </w:r>
      <w:r>
        <w:rPr>
          <w:rFonts w:ascii="Arial" w:hAnsi="Arial" w:cs="Arial"/>
          <w:color w:val="000000" w:themeColor="text1"/>
          <w:sz w:val="19"/>
          <w:szCs w:val="19"/>
        </w:rPr>
        <w:t xml:space="preserve"> </w:t>
      </w:r>
      <w:r w:rsidRPr="00200ADB">
        <w:rPr>
          <w:rFonts w:ascii="Arial" w:hAnsi="Arial" w:cs="Arial"/>
          <w:color w:val="000000" w:themeColor="text1"/>
          <w:sz w:val="19"/>
          <w:szCs w:val="19"/>
        </w:rPr>
        <w:t>que</w:t>
      </w:r>
      <w:r>
        <w:rPr>
          <w:rFonts w:ascii="Arial" w:hAnsi="Arial" w:cs="Arial"/>
          <w:color w:val="000000" w:themeColor="text1"/>
          <w:sz w:val="19"/>
          <w:szCs w:val="19"/>
        </w:rPr>
        <w:t xml:space="preserve"> </w:t>
      </w:r>
      <w:r w:rsidRPr="00200ADB">
        <w:rPr>
          <w:rFonts w:ascii="Arial" w:hAnsi="Arial" w:cs="Arial"/>
          <w:color w:val="000000" w:themeColor="text1"/>
          <w:sz w:val="19"/>
          <w:szCs w:val="19"/>
        </w:rPr>
        <w:t>advierte</w:t>
      </w:r>
      <w:r>
        <w:rPr>
          <w:rFonts w:ascii="Arial" w:hAnsi="Arial" w:cs="Arial"/>
          <w:color w:val="000000" w:themeColor="text1"/>
          <w:sz w:val="19"/>
          <w:szCs w:val="19"/>
        </w:rPr>
        <w:t xml:space="preserve"> </w:t>
      </w:r>
      <w:r w:rsidRPr="00200ADB">
        <w:rPr>
          <w:rFonts w:ascii="Arial" w:hAnsi="Arial" w:cs="Arial"/>
          <w:color w:val="000000" w:themeColor="text1"/>
          <w:sz w:val="19"/>
          <w:szCs w:val="19"/>
        </w:rPr>
        <w:t>la</w:t>
      </w:r>
      <w:r>
        <w:rPr>
          <w:rFonts w:ascii="Arial" w:hAnsi="Arial" w:cs="Arial"/>
          <w:color w:val="000000" w:themeColor="text1"/>
          <w:sz w:val="19"/>
          <w:szCs w:val="19"/>
        </w:rPr>
        <w:t xml:space="preserve"> </w:t>
      </w:r>
      <w:r w:rsidRPr="00200ADB">
        <w:rPr>
          <w:rFonts w:ascii="Arial" w:hAnsi="Arial" w:cs="Arial"/>
          <w:color w:val="000000" w:themeColor="text1"/>
          <w:sz w:val="19"/>
          <w:szCs w:val="19"/>
        </w:rPr>
        <w:t>Sala es</w:t>
      </w:r>
      <w:r>
        <w:rPr>
          <w:rFonts w:ascii="Arial" w:hAnsi="Arial" w:cs="Arial"/>
          <w:color w:val="000000" w:themeColor="text1"/>
          <w:sz w:val="19"/>
          <w:szCs w:val="19"/>
        </w:rPr>
        <w:t xml:space="preserve"> </w:t>
      </w:r>
      <w:r w:rsidRPr="00200ADB">
        <w:rPr>
          <w:rFonts w:ascii="Arial" w:hAnsi="Arial" w:cs="Arial"/>
          <w:color w:val="000000" w:themeColor="text1"/>
          <w:sz w:val="19"/>
          <w:szCs w:val="19"/>
        </w:rPr>
        <w:t>que</w:t>
      </w:r>
      <w:r>
        <w:rPr>
          <w:rFonts w:ascii="Arial" w:hAnsi="Arial" w:cs="Arial"/>
          <w:color w:val="000000" w:themeColor="text1"/>
          <w:sz w:val="19"/>
          <w:szCs w:val="19"/>
        </w:rPr>
        <w:t xml:space="preserve"> </w:t>
      </w:r>
      <w:r w:rsidRPr="00200ADB">
        <w:rPr>
          <w:rFonts w:ascii="Arial" w:hAnsi="Arial" w:cs="Arial"/>
          <w:color w:val="000000" w:themeColor="text1"/>
          <w:sz w:val="19"/>
          <w:szCs w:val="19"/>
        </w:rPr>
        <w:t>para</w:t>
      </w:r>
      <w:r>
        <w:rPr>
          <w:rFonts w:ascii="Arial" w:hAnsi="Arial" w:cs="Arial"/>
          <w:color w:val="000000" w:themeColor="text1"/>
          <w:sz w:val="19"/>
          <w:szCs w:val="19"/>
        </w:rPr>
        <w:t xml:space="preserve"> </w:t>
      </w:r>
      <w:r w:rsidRPr="00200ADB">
        <w:rPr>
          <w:rFonts w:ascii="Arial" w:hAnsi="Arial" w:cs="Arial"/>
          <w:color w:val="000000" w:themeColor="text1"/>
          <w:sz w:val="19"/>
          <w:szCs w:val="19"/>
        </w:rPr>
        <w:t>establecer si el Gobierno nacional delegó indebidamente el ejercicio de la potestad reglamentaria directa de la Constitución, es necesario realizar un estudio de fondo, que es propio de la sentencia,</w:t>
      </w:r>
      <w:r>
        <w:rPr>
          <w:rFonts w:ascii="Arial" w:hAnsi="Arial" w:cs="Arial"/>
          <w:color w:val="000000" w:themeColor="text1"/>
          <w:sz w:val="19"/>
          <w:szCs w:val="19"/>
        </w:rPr>
        <w:t xml:space="preserve"> </w:t>
      </w:r>
      <w:r w:rsidRPr="00200ADB">
        <w:rPr>
          <w:rFonts w:ascii="Arial" w:hAnsi="Arial" w:cs="Arial"/>
          <w:color w:val="000000" w:themeColor="text1"/>
          <w:sz w:val="19"/>
          <w:szCs w:val="19"/>
        </w:rPr>
        <w:t>pues</w:t>
      </w:r>
      <w:r>
        <w:rPr>
          <w:rFonts w:ascii="Arial" w:hAnsi="Arial" w:cs="Arial"/>
          <w:color w:val="000000" w:themeColor="text1"/>
          <w:sz w:val="19"/>
          <w:szCs w:val="19"/>
        </w:rPr>
        <w:t xml:space="preserve"> </w:t>
      </w:r>
      <w:r w:rsidRPr="00200ADB">
        <w:rPr>
          <w:rFonts w:ascii="Arial" w:hAnsi="Arial" w:cs="Arial"/>
          <w:color w:val="000000" w:themeColor="text1"/>
          <w:sz w:val="19"/>
          <w:szCs w:val="19"/>
        </w:rPr>
        <w:t>de</w:t>
      </w:r>
      <w:r>
        <w:rPr>
          <w:rFonts w:ascii="Arial" w:hAnsi="Arial" w:cs="Arial"/>
          <w:color w:val="000000" w:themeColor="text1"/>
          <w:sz w:val="19"/>
          <w:szCs w:val="19"/>
        </w:rPr>
        <w:t xml:space="preserve"> </w:t>
      </w:r>
      <w:r w:rsidRPr="00200ADB">
        <w:rPr>
          <w:rFonts w:ascii="Arial" w:hAnsi="Arial" w:cs="Arial"/>
          <w:color w:val="000000" w:themeColor="text1"/>
          <w:sz w:val="19"/>
          <w:szCs w:val="19"/>
        </w:rPr>
        <w:t>la</w:t>
      </w:r>
      <w:r>
        <w:rPr>
          <w:rFonts w:ascii="Arial" w:hAnsi="Arial" w:cs="Arial"/>
          <w:color w:val="000000" w:themeColor="text1"/>
          <w:sz w:val="19"/>
          <w:szCs w:val="19"/>
        </w:rPr>
        <w:t xml:space="preserve"> </w:t>
      </w:r>
      <w:r w:rsidRPr="00200ADB">
        <w:rPr>
          <w:rFonts w:ascii="Arial" w:hAnsi="Arial" w:cs="Arial"/>
          <w:color w:val="000000" w:themeColor="text1"/>
          <w:sz w:val="19"/>
          <w:szCs w:val="19"/>
        </w:rPr>
        <w:t>literalidad</w:t>
      </w:r>
      <w:r>
        <w:rPr>
          <w:rFonts w:ascii="Arial" w:hAnsi="Arial" w:cs="Arial"/>
          <w:color w:val="000000" w:themeColor="text1"/>
          <w:sz w:val="19"/>
          <w:szCs w:val="19"/>
        </w:rPr>
        <w:t xml:space="preserve"> </w:t>
      </w:r>
      <w:r w:rsidRPr="00200ADB">
        <w:rPr>
          <w:rFonts w:ascii="Arial" w:hAnsi="Arial" w:cs="Arial"/>
          <w:color w:val="000000" w:themeColor="text1"/>
          <w:sz w:val="19"/>
          <w:szCs w:val="19"/>
        </w:rPr>
        <w:t>de</w:t>
      </w:r>
      <w:r>
        <w:rPr>
          <w:rFonts w:ascii="Arial" w:hAnsi="Arial" w:cs="Arial"/>
          <w:color w:val="000000" w:themeColor="text1"/>
          <w:sz w:val="19"/>
          <w:szCs w:val="19"/>
        </w:rPr>
        <w:t xml:space="preserve"> </w:t>
      </w:r>
      <w:r w:rsidRPr="00200ADB">
        <w:rPr>
          <w:rFonts w:ascii="Arial" w:hAnsi="Arial" w:cs="Arial"/>
          <w:color w:val="000000" w:themeColor="text1"/>
          <w:sz w:val="19"/>
          <w:szCs w:val="19"/>
        </w:rPr>
        <w:t>las</w:t>
      </w:r>
      <w:r>
        <w:rPr>
          <w:rFonts w:ascii="Arial" w:hAnsi="Arial" w:cs="Arial"/>
          <w:color w:val="000000" w:themeColor="text1"/>
          <w:sz w:val="19"/>
          <w:szCs w:val="19"/>
        </w:rPr>
        <w:t xml:space="preserve"> </w:t>
      </w:r>
      <w:r w:rsidRPr="00200ADB">
        <w:rPr>
          <w:rFonts w:ascii="Arial" w:hAnsi="Arial" w:cs="Arial"/>
          <w:color w:val="000000" w:themeColor="text1"/>
          <w:sz w:val="19"/>
          <w:szCs w:val="19"/>
        </w:rPr>
        <w:t>normas</w:t>
      </w:r>
      <w:r>
        <w:rPr>
          <w:rFonts w:ascii="Arial" w:hAnsi="Arial" w:cs="Arial"/>
          <w:color w:val="000000" w:themeColor="text1"/>
          <w:sz w:val="19"/>
          <w:szCs w:val="19"/>
        </w:rPr>
        <w:t xml:space="preserve"> </w:t>
      </w:r>
      <w:r w:rsidRPr="00200ADB">
        <w:rPr>
          <w:rFonts w:ascii="Arial" w:hAnsi="Arial" w:cs="Arial"/>
          <w:color w:val="000000" w:themeColor="text1"/>
          <w:sz w:val="19"/>
          <w:szCs w:val="19"/>
        </w:rPr>
        <w:t>confrontadas</w:t>
      </w:r>
      <w:r>
        <w:rPr>
          <w:rFonts w:ascii="Arial" w:hAnsi="Arial" w:cs="Arial"/>
          <w:color w:val="000000" w:themeColor="text1"/>
          <w:sz w:val="19"/>
          <w:szCs w:val="19"/>
        </w:rPr>
        <w:t xml:space="preserve"> </w:t>
      </w:r>
      <w:r w:rsidRPr="00200ADB">
        <w:rPr>
          <w:rFonts w:ascii="Arial" w:hAnsi="Arial" w:cs="Arial"/>
          <w:color w:val="000000" w:themeColor="text1"/>
          <w:sz w:val="19"/>
          <w:szCs w:val="19"/>
        </w:rPr>
        <w:t>no</w:t>
      </w:r>
      <w:r>
        <w:rPr>
          <w:rFonts w:ascii="Arial" w:hAnsi="Arial" w:cs="Arial"/>
          <w:color w:val="000000" w:themeColor="text1"/>
          <w:sz w:val="19"/>
          <w:szCs w:val="19"/>
        </w:rPr>
        <w:t xml:space="preserve"> </w:t>
      </w:r>
      <w:r w:rsidRPr="00200ADB">
        <w:rPr>
          <w:rFonts w:ascii="Arial" w:hAnsi="Arial" w:cs="Arial"/>
          <w:color w:val="000000" w:themeColor="text1"/>
          <w:sz w:val="19"/>
          <w:szCs w:val="19"/>
        </w:rPr>
        <w:t>surge</w:t>
      </w:r>
      <w:r>
        <w:rPr>
          <w:rFonts w:ascii="Arial" w:hAnsi="Arial" w:cs="Arial"/>
          <w:color w:val="000000" w:themeColor="text1"/>
          <w:sz w:val="19"/>
          <w:szCs w:val="19"/>
        </w:rPr>
        <w:t xml:space="preserve"> </w:t>
      </w:r>
      <w:r w:rsidRPr="00200ADB">
        <w:rPr>
          <w:rFonts w:ascii="Arial" w:hAnsi="Arial" w:cs="Arial"/>
          <w:color w:val="000000" w:themeColor="text1"/>
          <w:sz w:val="19"/>
          <w:szCs w:val="19"/>
        </w:rPr>
        <w:t>que</w:t>
      </w:r>
      <w:r>
        <w:rPr>
          <w:rFonts w:ascii="Arial" w:hAnsi="Arial" w:cs="Arial"/>
          <w:color w:val="000000" w:themeColor="text1"/>
          <w:sz w:val="19"/>
          <w:szCs w:val="19"/>
        </w:rPr>
        <w:t xml:space="preserve"> </w:t>
      </w:r>
      <w:r w:rsidRPr="00200ADB">
        <w:rPr>
          <w:rFonts w:ascii="Arial" w:hAnsi="Arial" w:cs="Arial"/>
          <w:color w:val="000000" w:themeColor="text1"/>
          <w:sz w:val="19"/>
          <w:szCs w:val="19"/>
        </w:rPr>
        <w:t>la expedición de la guía, con el alcance orientador y de interpretación señalado en las disposiciones demandadas, corresponda al ejercicio incompleto y trasladado de esa potestad, como lo razona el demandante, o si se trata de la asignación de una función o tarea, dentro de la amplia esfera de configuración normativa que confieren</w:t>
      </w:r>
      <w:r>
        <w:rPr>
          <w:rFonts w:ascii="Arial" w:hAnsi="Arial" w:cs="Arial"/>
          <w:color w:val="000000" w:themeColor="text1"/>
          <w:sz w:val="19"/>
          <w:szCs w:val="19"/>
        </w:rPr>
        <w:t xml:space="preserve"> </w:t>
      </w:r>
      <w:r w:rsidRPr="00200ADB">
        <w:rPr>
          <w:rFonts w:ascii="Arial" w:hAnsi="Arial" w:cs="Arial"/>
          <w:color w:val="000000" w:themeColor="text1"/>
          <w:sz w:val="19"/>
          <w:szCs w:val="19"/>
        </w:rPr>
        <w:t>los</w:t>
      </w:r>
      <w:r>
        <w:rPr>
          <w:rFonts w:ascii="Arial" w:hAnsi="Arial" w:cs="Arial"/>
          <w:color w:val="000000" w:themeColor="text1"/>
          <w:sz w:val="19"/>
          <w:szCs w:val="19"/>
        </w:rPr>
        <w:t xml:space="preserve"> </w:t>
      </w:r>
      <w:r w:rsidRPr="00200ADB">
        <w:rPr>
          <w:rFonts w:ascii="Arial" w:hAnsi="Arial" w:cs="Arial"/>
          <w:color w:val="000000" w:themeColor="text1"/>
          <w:sz w:val="19"/>
          <w:szCs w:val="19"/>
        </w:rPr>
        <w:t>reglamentos</w:t>
      </w:r>
      <w:r>
        <w:rPr>
          <w:rFonts w:ascii="Arial" w:hAnsi="Arial" w:cs="Arial"/>
          <w:color w:val="000000" w:themeColor="text1"/>
          <w:sz w:val="19"/>
          <w:szCs w:val="19"/>
        </w:rPr>
        <w:t xml:space="preserve"> </w:t>
      </w:r>
      <w:r w:rsidRPr="00200ADB">
        <w:rPr>
          <w:rFonts w:ascii="Arial" w:hAnsi="Arial" w:cs="Arial"/>
          <w:color w:val="000000" w:themeColor="text1"/>
          <w:sz w:val="19"/>
          <w:szCs w:val="19"/>
        </w:rPr>
        <w:t>constitucionales</w:t>
      </w:r>
      <w:r>
        <w:rPr>
          <w:rFonts w:ascii="Arial" w:hAnsi="Arial" w:cs="Arial"/>
          <w:color w:val="000000" w:themeColor="text1"/>
          <w:sz w:val="19"/>
          <w:szCs w:val="19"/>
        </w:rPr>
        <w:t xml:space="preserve"> </w:t>
      </w:r>
      <w:r w:rsidRPr="00200ADB">
        <w:rPr>
          <w:rFonts w:ascii="Arial" w:hAnsi="Arial" w:cs="Arial"/>
          <w:color w:val="000000" w:themeColor="text1"/>
          <w:sz w:val="19"/>
          <w:szCs w:val="19"/>
        </w:rPr>
        <w:t>autónomos,</w:t>
      </w:r>
      <w:r>
        <w:rPr>
          <w:rFonts w:ascii="Arial" w:hAnsi="Arial" w:cs="Arial"/>
          <w:color w:val="000000" w:themeColor="text1"/>
          <w:sz w:val="19"/>
          <w:szCs w:val="19"/>
        </w:rPr>
        <w:t xml:space="preserve"> </w:t>
      </w:r>
      <w:r w:rsidRPr="00200ADB">
        <w:rPr>
          <w:rFonts w:ascii="Arial" w:hAnsi="Arial" w:cs="Arial"/>
          <w:color w:val="000000" w:themeColor="text1"/>
          <w:sz w:val="19"/>
          <w:szCs w:val="19"/>
        </w:rPr>
        <w:t>como</w:t>
      </w:r>
      <w:r>
        <w:rPr>
          <w:rFonts w:ascii="Arial" w:hAnsi="Arial" w:cs="Arial"/>
          <w:color w:val="000000" w:themeColor="text1"/>
          <w:sz w:val="19"/>
          <w:szCs w:val="19"/>
        </w:rPr>
        <w:t xml:space="preserve"> </w:t>
      </w:r>
      <w:r w:rsidRPr="00200ADB">
        <w:rPr>
          <w:rFonts w:ascii="Arial" w:hAnsi="Arial" w:cs="Arial"/>
          <w:color w:val="000000" w:themeColor="text1"/>
          <w:sz w:val="19"/>
          <w:szCs w:val="19"/>
        </w:rPr>
        <w:t>lo</w:t>
      </w:r>
      <w:r>
        <w:rPr>
          <w:rFonts w:ascii="Arial" w:hAnsi="Arial" w:cs="Arial"/>
          <w:color w:val="000000" w:themeColor="text1"/>
          <w:sz w:val="19"/>
          <w:szCs w:val="19"/>
        </w:rPr>
        <w:t xml:space="preserve"> </w:t>
      </w:r>
      <w:r w:rsidRPr="00200ADB">
        <w:rPr>
          <w:rFonts w:ascii="Arial" w:hAnsi="Arial" w:cs="Arial"/>
          <w:color w:val="000000" w:themeColor="text1"/>
          <w:sz w:val="19"/>
          <w:szCs w:val="19"/>
        </w:rPr>
        <w:t>entiende</w:t>
      </w:r>
      <w:r>
        <w:rPr>
          <w:rFonts w:ascii="Arial" w:hAnsi="Arial" w:cs="Arial"/>
          <w:color w:val="000000" w:themeColor="text1"/>
          <w:sz w:val="19"/>
          <w:szCs w:val="19"/>
        </w:rPr>
        <w:t xml:space="preserve"> </w:t>
      </w:r>
      <w:r w:rsidRPr="00200ADB">
        <w:rPr>
          <w:rFonts w:ascii="Arial" w:hAnsi="Arial" w:cs="Arial"/>
          <w:color w:val="000000" w:themeColor="text1"/>
          <w:sz w:val="19"/>
          <w:szCs w:val="19"/>
        </w:rPr>
        <w:t xml:space="preserve">el Departamento Nacional de Planeación. </w:t>
      </w:r>
    </w:p>
    <w:p w14:paraId="249EC3EA" w14:textId="77777777" w:rsidR="008E12DB" w:rsidRPr="00200ADB" w:rsidRDefault="008E12DB" w:rsidP="008E12DB">
      <w:pPr>
        <w:ind w:firstLine="708"/>
        <w:jc w:val="both"/>
        <w:rPr>
          <w:rFonts w:ascii="Arial" w:hAnsi="Arial" w:cs="Arial"/>
          <w:color w:val="000000" w:themeColor="text1"/>
          <w:sz w:val="19"/>
          <w:szCs w:val="19"/>
        </w:rPr>
      </w:pPr>
      <w:r w:rsidRPr="00200ADB">
        <w:rPr>
          <w:rFonts w:ascii="Arial" w:hAnsi="Arial" w:cs="Arial"/>
          <w:color w:val="000000" w:themeColor="text1"/>
          <w:sz w:val="19"/>
          <w:szCs w:val="19"/>
        </w:rPr>
        <w:t xml:space="preserve"> </w:t>
      </w:r>
      <w:r>
        <w:rPr>
          <w:rFonts w:ascii="Arial" w:hAnsi="Arial" w:cs="Arial"/>
          <w:color w:val="000000" w:themeColor="text1"/>
          <w:sz w:val="19"/>
          <w:szCs w:val="19"/>
        </w:rPr>
        <w:t>»</w:t>
      </w:r>
      <w:r w:rsidRPr="00200ADB">
        <w:rPr>
          <w:rFonts w:ascii="Arial" w:hAnsi="Arial" w:cs="Arial"/>
          <w:color w:val="000000" w:themeColor="text1"/>
          <w:sz w:val="19"/>
          <w:szCs w:val="19"/>
        </w:rPr>
        <w:t>44.</w:t>
      </w:r>
      <w:r>
        <w:rPr>
          <w:rFonts w:ascii="Arial" w:hAnsi="Arial" w:cs="Arial"/>
          <w:color w:val="000000" w:themeColor="text1"/>
          <w:sz w:val="19"/>
          <w:szCs w:val="19"/>
        </w:rPr>
        <w:t xml:space="preserve"> </w:t>
      </w:r>
      <w:r w:rsidRPr="00200ADB">
        <w:rPr>
          <w:rFonts w:ascii="Arial" w:hAnsi="Arial" w:cs="Arial"/>
          <w:color w:val="000000" w:themeColor="text1"/>
          <w:sz w:val="19"/>
          <w:szCs w:val="19"/>
        </w:rPr>
        <w:t>Así pues, al no evidenciarse ab initio la infracción constitucional aducida en los términos del artículo 231 de la Ley 1437 de 2011, no existe fundamento jurídico para suspender provisionalmente los efectos del inciso segundo del artículo 1 y del inciso segundo del artículo 3 del Decreto 092 de 2017. En consecuencia, la Sala</w:t>
      </w:r>
      <w:r>
        <w:rPr>
          <w:rFonts w:ascii="Arial" w:hAnsi="Arial" w:cs="Arial"/>
          <w:color w:val="000000" w:themeColor="text1"/>
          <w:sz w:val="19"/>
          <w:szCs w:val="19"/>
        </w:rPr>
        <w:t xml:space="preserve"> </w:t>
      </w:r>
      <w:r w:rsidRPr="00200ADB">
        <w:rPr>
          <w:rFonts w:ascii="Arial" w:hAnsi="Arial" w:cs="Arial"/>
          <w:color w:val="000000" w:themeColor="text1"/>
          <w:sz w:val="19"/>
          <w:szCs w:val="19"/>
        </w:rPr>
        <w:t>revocará</w:t>
      </w:r>
      <w:r>
        <w:rPr>
          <w:rFonts w:ascii="Arial" w:hAnsi="Arial" w:cs="Arial"/>
          <w:color w:val="000000" w:themeColor="text1"/>
          <w:sz w:val="19"/>
          <w:szCs w:val="19"/>
        </w:rPr>
        <w:t xml:space="preserve"> </w:t>
      </w:r>
      <w:r w:rsidRPr="00200ADB">
        <w:rPr>
          <w:rFonts w:ascii="Arial" w:hAnsi="Arial" w:cs="Arial"/>
          <w:color w:val="000000" w:themeColor="text1"/>
          <w:sz w:val="19"/>
          <w:szCs w:val="19"/>
        </w:rPr>
        <w:t>dicha</w:t>
      </w:r>
      <w:r>
        <w:rPr>
          <w:rFonts w:ascii="Arial" w:hAnsi="Arial" w:cs="Arial"/>
          <w:color w:val="000000" w:themeColor="text1"/>
          <w:sz w:val="19"/>
          <w:szCs w:val="19"/>
        </w:rPr>
        <w:t xml:space="preserve"> </w:t>
      </w:r>
      <w:r w:rsidRPr="00200ADB">
        <w:rPr>
          <w:rFonts w:ascii="Arial" w:hAnsi="Arial" w:cs="Arial"/>
          <w:color w:val="000000" w:themeColor="text1"/>
          <w:sz w:val="19"/>
          <w:szCs w:val="19"/>
        </w:rPr>
        <w:t>medida</w:t>
      </w:r>
      <w:r>
        <w:rPr>
          <w:rFonts w:ascii="Arial" w:hAnsi="Arial" w:cs="Arial"/>
          <w:color w:val="000000" w:themeColor="text1"/>
          <w:sz w:val="19"/>
          <w:szCs w:val="19"/>
        </w:rPr>
        <w:t xml:space="preserve"> </w:t>
      </w:r>
      <w:r w:rsidRPr="00200ADB">
        <w:rPr>
          <w:rFonts w:ascii="Arial" w:hAnsi="Arial" w:cs="Arial"/>
          <w:color w:val="000000" w:themeColor="text1"/>
          <w:sz w:val="19"/>
          <w:szCs w:val="19"/>
        </w:rPr>
        <w:t>cautelar</w:t>
      </w:r>
      <w:r>
        <w:rPr>
          <w:rFonts w:ascii="Arial" w:hAnsi="Arial" w:cs="Arial"/>
          <w:color w:val="000000" w:themeColor="text1"/>
          <w:sz w:val="19"/>
          <w:szCs w:val="19"/>
        </w:rPr>
        <w:t xml:space="preserve"> </w:t>
      </w:r>
      <w:r w:rsidRPr="00200ADB">
        <w:rPr>
          <w:rFonts w:ascii="Arial" w:hAnsi="Arial" w:cs="Arial"/>
          <w:color w:val="000000" w:themeColor="text1"/>
          <w:sz w:val="19"/>
          <w:szCs w:val="19"/>
        </w:rPr>
        <w:t>y</w:t>
      </w:r>
      <w:r>
        <w:rPr>
          <w:rFonts w:ascii="Arial" w:hAnsi="Arial" w:cs="Arial"/>
          <w:color w:val="000000" w:themeColor="text1"/>
          <w:sz w:val="19"/>
          <w:szCs w:val="19"/>
        </w:rPr>
        <w:t xml:space="preserve"> </w:t>
      </w:r>
      <w:r w:rsidRPr="00200ADB">
        <w:rPr>
          <w:rFonts w:ascii="Arial" w:hAnsi="Arial" w:cs="Arial"/>
          <w:color w:val="000000" w:themeColor="text1"/>
          <w:sz w:val="19"/>
          <w:szCs w:val="19"/>
        </w:rPr>
        <w:t>la</w:t>
      </w:r>
      <w:r>
        <w:rPr>
          <w:rFonts w:ascii="Arial" w:hAnsi="Arial" w:cs="Arial"/>
          <w:color w:val="000000" w:themeColor="text1"/>
          <w:sz w:val="19"/>
          <w:szCs w:val="19"/>
        </w:rPr>
        <w:t xml:space="preserve"> </w:t>
      </w:r>
      <w:r w:rsidRPr="00200ADB">
        <w:rPr>
          <w:rFonts w:ascii="Arial" w:hAnsi="Arial" w:cs="Arial"/>
          <w:color w:val="000000" w:themeColor="text1"/>
          <w:sz w:val="19"/>
          <w:szCs w:val="19"/>
        </w:rPr>
        <w:t>negará</w:t>
      </w:r>
      <w:r>
        <w:rPr>
          <w:rFonts w:ascii="Arial" w:hAnsi="Arial" w:cs="Arial"/>
          <w:color w:val="000000" w:themeColor="text1"/>
          <w:sz w:val="19"/>
          <w:szCs w:val="19"/>
        </w:rPr>
        <w:t xml:space="preserve"> </w:t>
      </w:r>
      <w:r w:rsidRPr="00200ADB">
        <w:rPr>
          <w:rFonts w:ascii="Arial" w:hAnsi="Arial" w:cs="Arial"/>
          <w:color w:val="000000" w:themeColor="text1"/>
          <w:sz w:val="19"/>
          <w:szCs w:val="19"/>
        </w:rPr>
        <w:t>en</w:t>
      </w:r>
      <w:r>
        <w:rPr>
          <w:rFonts w:ascii="Arial" w:hAnsi="Arial" w:cs="Arial"/>
          <w:color w:val="000000" w:themeColor="text1"/>
          <w:sz w:val="19"/>
          <w:szCs w:val="19"/>
        </w:rPr>
        <w:t xml:space="preserve"> </w:t>
      </w:r>
      <w:r w:rsidRPr="00200ADB">
        <w:rPr>
          <w:rFonts w:ascii="Arial" w:hAnsi="Arial" w:cs="Arial"/>
          <w:color w:val="000000" w:themeColor="text1"/>
          <w:sz w:val="19"/>
          <w:szCs w:val="19"/>
        </w:rPr>
        <w:t>relación</w:t>
      </w:r>
      <w:r>
        <w:rPr>
          <w:rFonts w:ascii="Arial" w:hAnsi="Arial" w:cs="Arial"/>
          <w:color w:val="000000" w:themeColor="text1"/>
          <w:sz w:val="19"/>
          <w:szCs w:val="19"/>
        </w:rPr>
        <w:t xml:space="preserve"> </w:t>
      </w:r>
      <w:r w:rsidRPr="00200ADB">
        <w:rPr>
          <w:rFonts w:ascii="Arial" w:hAnsi="Arial" w:cs="Arial"/>
          <w:color w:val="000000" w:themeColor="text1"/>
          <w:sz w:val="19"/>
          <w:szCs w:val="19"/>
        </w:rPr>
        <w:t>con</w:t>
      </w:r>
      <w:r>
        <w:rPr>
          <w:rFonts w:ascii="Arial" w:hAnsi="Arial" w:cs="Arial"/>
          <w:color w:val="000000" w:themeColor="text1"/>
          <w:sz w:val="19"/>
          <w:szCs w:val="19"/>
        </w:rPr>
        <w:t xml:space="preserve"> </w:t>
      </w:r>
      <w:r w:rsidRPr="00200ADB">
        <w:rPr>
          <w:rFonts w:ascii="Arial" w:hAnsi="Arial" w:cs="Arial"/>
          <w:color w:val="000000" w:themeColor="text1"/>
          <w:sz w:val="19"/>
          <w:szCs w:val="19"/>
        </w:rPr>
        <w:t>esas disposiciones</w:t>
      </w:r>
      <w:r>
        <w:rPr>
          <w:rFonts w:ascii="Arial" w:hAnsi="Arial" w:cs="Arial"/>
          <w:color w:val="000000" w:themeColor="text1"/>
          <w:sz w:val="19"/>
          <w:szCs w:val="19"/>
        </w:rPr>
        <w:t>»</w:t>
      </w:r>
      <w:r w:rsidRPr="00200ADB">
        <w:rPr>
          <w:rFonts w:ascii="Arial" w:hAnsi="Arial" w:cs="Arial"/>
          <w:color w:val="000000" w:themeColor="text1"/>
          <w:sz w:val="19"/>
          <w:szCs w:val="19"/>
        </w:rPr>
        <w:t>.</w:t>
      </w:r>
      <w:r>
        <w:rPr>
          <w:rFonts w:ascii="Arial" w:hAnsi="Arial" w:cs="Arial"/>
          <w:color w:val="000000" w:themeColor="text1"/>
          <w:sz w:val="19"/>
          <w:szCs w:val="19"/>
        </w:rPr>
        <w:t xml:space="preserve"> (</w:t>
      </w:r>
      <w:r w:rsidRPr="00A84593">
        <w:rPr>
          <w:rFonts w:ascii="Arial" w:hAnsi="Arial" w:cs="Arial"/>
          <w:color w:val="000000" w:themeColor="text1"/>
          <w:sz w:val="19"/>
          <w:szCs w:val="19"/>
        </w:rPr>
        <w:t xml:space="preserve">CONSEJO DE ESTADO. Sala Plena. Auto del 15 de marzo de 2022. </w:t>
      </w:r>
      <w:proofErr w:type="spellStart"/>
      <w:r w:rsidRPr="00195545">
        <w:rPr>
          <w:rFonts w:ascii="Arial" w:hAnsi="Arial" w:cs="Arial"/>
          <w:color w:val="000000" w:themeColor="text1"/>
          <w:sz w:val="19"/>
          <w:szCs w:val="19"/>
          <w:lang w:val="es-CO"/>
        </w:rPr>
        <w:t>Exp</w:t>
      </w:r>
      <w:proofErr w:type="spellEnd"/>
      <w:r w:rsidRPr="00195545">
        <w:rPr>
          <w:rFonts w:ascii="Arial" w:hAnsi="Arial" w:cs="Arial"/>
          <w:color w:val="000000" w:themeColor="text1"/>
          <w:sz w:val="19"/>
          <w:szCs w:val="19"/>
          <w:lang w:val="es-CO"/>
        </w:rPr>
        <w:t>. 11001-03-26-000-2018-00113-01 (62.003). C.P. Rocío Araújo Oñate).</w:t>
      </w:r>
    </w:p>
    <w:p w14:paraId="79CE9D47" w14:textId="77777777" w:rsidR="008E12DB" w:rsidRPr="009957EA" w:rsidRDefault="008E12DB" w:rsidP="008E12DB">
      <w:pPr>
        <w:pStyle w:val="Textonotapie"/>
        <w:ind w:firstLine="708"/>
      </w:pPr>
    </w:p>
  </w:footnote>
  <w:footnote w:id="15">
    <w:p w14:paraId="4979FF5D" w14:textId="77777777" w:rsidR="00C133B6" w:rsidRPr="00162EE6" w:rsidRDefault="00C133B6" w:rsidP="00C133B6">
      <w:pPr>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14:paraId="6846613C" w14:textId="77777777" w:rsidR="00C133B6" w:rsidRPr="00162EE6" w:rsidRDefault="00C133B6" w:rsidP="00C133B6">
      <w:pPr>
        <w:ind w:firstLine="708"/>
        <w:jc w:val="both"/>
        <w:rPr>
          <w:rFonts w:ascii="Arial" w:hAnsi="Arial" w:cs="Arial"/>
          <w:color w:val="000000" w:themeColor="text1"/>
          <w:sz w:val="19"/>
          <w:szCs w:val="19"/>
        </w:rPr>
      </w:pPr>
    </w:p>
  </w:footnote>
  <w:footnote w:id="16">
    <w:p w14:paraId="6F0D1B74" w14:textId="77777777" w:rsidR="00C133B6" w:rsidRPr="00162EE6" w:rsidRDefault="00C133B6" w:rsidP="00C133B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14:paraId="64E3171E"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p>
  </w:footnote>
  <w:footnote w:id="17">
    <w:p w14:paraId="76FABBFA"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 w:id="18">
    <w:p w14:paraId="203B49FA" w14:textId="3CC9B780" w:rsidR="00946CFC" w:rsidRPr="00DE7E39" w:rsidRDefault="00946CFC" w:rsidP="00DE7E39">
      <w:pPr>
        <w:pStyle w:val="Textonotapie"/>
        <w:ind w:firstLine="708"/>
        <w:jc w:val="both"/>
        <w:rPr>
          <w:rFonts w:ascii="Arial" w:hAnsi="Arial" w:cs="Arial"/>
          <w:sz w:val="19"/>
          <w:szCs w:val="19"/>
        </w:rPr>
      </w:pPr>
      <w:r w:rsidRPr="00DE7E39">
        <w:rPr>
          <w:rStyle w:val="Refdenotaalpie"/>
          <w:rFonts w:ascii="Arial" w:hAnsi="Arial" w:cs="Arial"/>
          <w:sz w:val="19"/>
          <w:szCs w:val="19"/>
        </w:rPr>
        <w:footnoteRef/>
      </w:r>
      <w:r w:rsidRPr="00DE7E39">
        <w:rPr>
          <w:rFonts w:ascii="Arial" w:hAnsi="Arial" w:cs="Arial"/>
          <w:sz w:val="19"/>
          <w:szCs w:val="19"/>
        </w:rPr>
        <w:t xml:space="preserve"> D</w:t>
      </w:r>
      <w:r>
        <w:rPr>
          <w:rFonts w:ascii="Arial" w:hAnsi="Arial" w:cs="Arial"/>
          <w:sz w:val="19"/>
          <w:szCs w:val="19"/>
        </w:rPr>
        <w:t>e esta manera, agrega que «</w:t>
      </w:r>
      <w:r w:rsidR="001D3532">
        <w:rPr>
          <w:rFonts w:ascii="Arial" w:hAnsi="Arial" w:cs="Arial"/>
          <w:sz w:val="19"/>
          <w:szCs w:val="19"/>
        </w:rPr>
        <w:t xml:space="preserve">[…] </w:t>
      </w:r>
      <w:r w:rsidR="001D3532" w:rsidRPr="001D3532">
        <w:rPr>
          <w:rFonts w:ascii="Arial" w:hAnsi="Arial" w:cs="Arial"/>
          <w:sz w:val="19"/>
          <w:szCs w:val="19"/>
        </w:rPr>
        <w:t>cuando el reglamento exige correspondencia directa entre los objetos de los contratos y las actividades y programas contenidos específicamente en los planes de desarrollo, excluye aquellos programas y actividades de interés público que desarrollan entidades sin ánimo de lucro y de reconocida idoneidad, que aun cuando acordes con los planes de desarrollo no encajan de manera precisa en alguna de las actividades o programas particulares contemplados en dichos planes</w:t>
      </w:r>
      <w:r w:rsidR="001D3532">
        <w:rPr>
          <w:rFonts w:ascii="Arial" w:hAnsi="Arial" w:cs="Arial"/>
          <w:sz w:val="19"/>
          <w:szCs w:val="19"/>
        </w:rPr>
        <w:t xml:space="preserve">» (Cfr. Consejo de Estado. Sala Plena. </w:t>
      </w:r>
      <w:bookmarkStart w:id="13" w:name="_Hlk102655636"/>
      <w:r w:rsidR="001D3532" w:rsidRPr="001D3532">
        <w:rPr>
          <w:rFonts w:ascii="Arial" w:hAnsi="Arial" w:cs="Arial"/>
          <w:sz w:val="19"/>
          <w:szCs w:val="19"/>
        </w:rPr>
        <w:t>Auto del 15 de marzo de 2022</w:t>
      </w:r>
      <w:bookmarkEnd w:id="13"/>
      <w:r w:rsidR="001D3532">
        <w:rPr>
          <w:rFonts w:ascii="Arial" w:hAnsi="Arial" w:cs="Arial"/>
          <w:sz w:val="19"/>
          <w:szCs w:val="19"/>
        </w:rPr>
        <w:t xml:space="preserve">. </w:t>
      </w:r>
      <w:proofErr w:type="spellStart"/>
      <w:r w:rsidR="001D3532">
        <w:rPr>
          <w:rFonts w:ascii="Arial" w:hAnsi="Arial" w:cs="Arial"/>
          <w:sz w:val="19"/>
          <w:szCs w:val="19"/>
        </w:rPr>
        <w:t>Exp</w:t>
      </w:r>
      <w:proofErr w:type="spellEnd"/>
      <w:r w:rsidR="001D3532">
        <w:rPr>
          <w:rFonts w:ascii="Arial" w:hAnsi="Arial" w:cs="Arial"/>
          <w:sz w:val="19"/>
          <w:szCs w:val="19"/>
        </w:rPr>
        <w:t xml:space="preserve">. 62.003. C.P. </w:t>
      </w:r>
      <w:r w:rsidR="0055159A" w:rsidRPr="0055159A">
        <w:rPr>
          <w:rFonts w:ascii="Arial" w:hAnsi="Arial" w:cs="Arial"/>
          <w:sz w:val="19"/>
          <w:szCs w:val="19"/>
        </w:rPr>
        <w:t>Rocío Araújo Oñate</w:t>
      </w:r>
      <w:r w:rsidR="0055159A">
        <w:rPr>
          <w:rFonts w:ascii="Arial" w:hAnsi="Arial" w:cs="Arial"/>
          <w:sz w:val="19"/>
          <w:szCs w:val="19"/>
        </w:rPr>
        <w:t>).</w:t>
      </w:r>
    </w:p>
  </w:footnote>
  <w:footnote w:id="19">
    <w:p w14:paraId="65384261" w14:textId="77777777" w:rsidR="003D098D" w:rsidRDefault="003D098D" w:rsidP="00DE7E39">
      <w:pPr>
        <w:pStyle w:val="Textonotapie"/>
        <w:ind w:firstLine="708"/>
        <w:rPr>
          <w:rFonts w:ascii="Arial" w:hAnsi="Arial" w:cs="Arial"/>
          <w:sz w:val="19"/>
          <w:szCs w:val="19"/>
        </w:rPr>
      </w:pPr>
    </w:p>
    <w:p w14:paraId="5AC6C19A" w14:textId="088158CC" w:rsidR="003F1711" w:rsidRPr="00DE7E39" w:rsidRDefault="003F1711" w:rsidP="00DE7E39">
      <w:pPr>
        <w:pStyle w:val="Textonotapie"/>
        <w:ind w:firstLine="708"/>
        <w:rPr>
          <w:rFonts w:ascii="Arial" w:hAnsi="Arial" w:cs="Arial"/>
          <w:sz w:val="19"/>
          <w:szCs w:val="19"/>
        </w:rPr>
      </w:pPr>
      <w:r w:rsidRPr="00DE7E39">
        <w:rPr>
          <w:rStyle w:val="Refdenotaalpie"/>
          <w:rFonts w:ascii="Arial" w:hAnsi="Arial" w:cs="Arial"/>
          <w:sz w:val="19"/>
          <w:szCs w:val="19"/>
        </w:rPr>
        <w:footnoteRef/>
      </w:r>
      <w:r w:rsidRPr="00DE7E39">
        <w:rPr>
          <w:rFonts w:ascii="Arial" w:hAnsi="Arial" w:cs="Arial"/>
          <w:sz w:val="19"/>
          <w:szCs w:val="19"/>
        </w:rPr>
        <w:t xml:space="preserve"> </w:t>
      </w:r>
      <w:r w:rsidR="00E87BF6" w:rsidRPr="00DE7E39">
        <w:rPr>
          <w:rFonts w:ascii="Arial" w:hAnsi="Arial" w:cs="Arial"/>
          <w:i/>
          <w:iCs/>
          <w:sz w:val="19"/>
          <w:szCs w:val="19"/>
        </w:rPr>
        <w:t>Ibidem</w:t>
      </w:r>
      <w:r w:rsidR="00E87BF6">
        <w:rPr>
          <w:rFonts w:ascii="Arial" w:hAnsi="Arial" w:cs="Arial"/>
          <w:sz w:val="19"/>
          <w:szCs w:val="19"/>
        </w:rPr>
        <w:t>.</w:t>
      </w:r>
    </w:p>
  </w:footnote>
  <w:footnote w:id="20">
    <w:p w14:paraId="0C0A5D1C" w14:textId="77777777" w:rsidR="00C133B6" w:rsidRPr="00162EE6" w:rsidRDefault="00C133B6" w:rsidP="00C133B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4A2B53F" w14:textId="77777777" w:rsidR="00C133B6" w:rsidRPr="00162EE6" w:rsidRDefault="00C133B6" w:rsidP="00C133B6">
      <w:pPr>
        <w:pStyle w:val="Textonotapie"/>
        <w:jc w:val="both"/>
        <w:rPr>
          <w:rFonts w:ascii="Arial" w:hAnsi="Arial" w:cs="Arial"/>
          <w:color w:val="000000" w:themeColor="text1"/>
          <w:sz w:val="19"/>
          <w:szCs w:val="19"/>
          <w:lang w:val="es-ES"/>
        </w:rPr>
      </w:pPr>
    </w:p>
  </w:footnote>
  <w:footnote w:id="21">
    <w:p w14:paraId="710FDC98" w14:textId="77777777" w:rsidR="00C133B6" w:rsidRPr="00162EE6" w:rsidRDefault="00C133B6" w:rsidP="00C133B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Agencia Nacional de Contratación Pública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088EA198" w14:textId="77777777" w:rsidR="00C133B6" w:rsidRPr="00162EE6" w:rsidRDefault="00C133B6" w:rsidP="00C133B6">
      <w:pPr>
        <w:pStyle w:val="Textonotapie"/>
        <w:ind w:firstLine="708"/>
        <w:jc w:val="both"/>
        <w:rPr>
          <w:rFonts w:ascii="Arial" w:hAnsi="Arial" w:cs="Arial"/>
          <w:color w:val="000000" w:themeColor="text1"/>
          <w:sz w:val="19"/>
          <w:szCs w:val="19"/>
          <w:lang w:val="es-ES"/>
        </w:rPr>
      </w:pPr>
    </w:p>
  </w:footnote>
  <w:footnote w:id="22">
    <w:p w14:paraId="62D9E6C2" w14:textId="77777777" w:rsidR="00C133B6" w:rsidRPr="00162EE6" w:rsidRDefault="00C133B6" w:rsidP="00C133B6">
      <w:pPr>
        <w:pStyle w:val="Textonotapie"/>
        <w:ind w:firstLine="708"/>
        <w:jc w:val="both"/>
        <w:rPr>
          <w:rFonts w:ascii="Arial" w:hAnsi="Arial" w:cs="Arial"/>
          <w:color w:val="000000" w:themeColor="text1"/>
          <w:sz w:val="19"/>
          <w:szCs w:val="19"/>
        </w:rPr>
      </w:pPr>
      <w:r w:rsidRPr="00162EE6">
        <w:rPr>
          <w:rStyle w:val="Refdenotaalpie"/>
          <w:rFonts w:ascii="Arial" w:hAnsi="Arial" w:cs="Arial"/>
          <w:color w:val="000000" w:themeColor="text1"/>
          <w:sz w:val="19"/>
          <w:szCs w:val="19"/>
        </w:rPr>
        <w:footnoteRef/>
      </w:r>
      <w:r w:rsidRPr="00162EE6">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C769690" w14:textId="77777777" w:rsidR="00C133B6" w:rsidRPr="00162EE6" w:rsidRDefault="00C133B6" w:rsidP="00C133B6">
      <w:pPr>
        <w:pStyle w:val="Textonotapie"/>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DF846BE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39285667">
    <w:abstractNumId w:val="2"/>
  </w:num>
  <w:num w:numId="2" w16cid:durableId="1716391890">
    <w:abstractNumId w:val="1"/>
  </w:num>
  <w:num w:numId="3" w16cid:durableId="525023262">
    <w:abstractNumId w:val="3"/>
  </w:num>
  <w:num w:numId="4" w16cid:durableId="85419854">
    <w:abstractNumId w:val="4"/>
  </w:num>
  <w:num w:numId="5" w16cid:durableId="1469785162">
    <w:abstractNumId w:val="6"/>
  </w:num>
  <w:num w:numId="6" w16cid:durableId="15817194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7469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1F7"/>
    <w:rsid w:val="00025A1A"/>
    <w:rsid w:val="00036413"/>
    <w:rsid w:val="00056935"/>
    <w:rsid w:val="00065732"/>
    <w:rsid w:val="0007342C"/>
    <w:rsid w:val="00076B79"/>
    <w:rsid w:val="000828E5"/>
    <w:rsid w:val="000834C1"/>
    <w:rsid w:val="000838BB"/>
    <w:rsid w:val="00083CF2"/>
    <w:rsid w:val="00084B97"/>
    <w:rsid w:val="0008599F"/>
    <w:rsid w:val="00085E6B"/>
    <w:rsid w:val="00091BA7"/>
    <w:rsid w:val="000942EB"/>
    <w:rsid w:val="000949BD"/>
    <w:rsid w:val="000967E9"/>
    <w:rsid w:val="000B103F"/>
    <w:rsid w:val="000B2A2A"/>
    <w:rsid w:val="000E18DA"/>
    <w:rsid w:val="000E5825"/>
    <w:rsid w:val="000E6959"/>
    <w:rsid w:val="000F14E8"/>
    <w:rsid w:val="000F20B9"/>
    <w:rsid w:val="00103915"/>
    <w:rsid w:val="00107833"/>
    <w:rsid w:val="00113AFA"/>
    <w:rsid w:val="00114677"/>
    <w:rsid w:val="0011596C"/>
    <w:rsid w:val="00122B23"/>
    <w:rsid w:val="001328DA"/>
    <w:rsid w:val="00134F47"/>
    <w:rsid w:val="00137FFA"/>
    <w:rsid w:val="00141B04"/>
    <w:rsid w:val="00143DE6"/>
    <w:rsid w:val="00145EFD"/>
    <w:rsid w:val="00154724"/>
    <w:rsid w:val="00155B86"/>
    <w:rsid w:val="001607EA"/>
    <w:rsid w:val="00160A01"/>
    <w:rsid w:val="00161425"/>
    <w:rsid w:val="00162EE6"/>
    <w:rsid w:val="00163404"/>
    <w:rsid w:val="001713FF"/>
    <w:rsid w:val="00182403"/>
    <w:rsid w:val="0018278A"/>
    <w:rsid w:val="001836DE"/>
    <w:rsid w:val="001845EB"/>
    <w:rsid w:val="0018462E"/>
    <w:rsid w:val="0018691C"/>
    <w:rsid w:val="00191193"/>
    <w:rsid w:val="00195545"/>
    <w:rsid w:val="001A06FA"/>
    <w:rsid w:val="001A0C43"/>
    <w:rsid w:val="001A0FBE"/>
    <w:rsid w:val="001A22AE"/>
    <w:rsid w:val="001B0444"/>
    <w:rsid w:val="001B2548"/>
    <w:rsid w:val="001B5F5D"/>
    <w:rsid w:val="001C13B2"/>
    <w:rsid w:val="001C549E"/>
    <w:rsid w:val="001C5B1A"/>
    <w:rsid w:val="001D2C36"/>
    <w:rsid w:val="001D3532"/>
    <w:rsid w:val="001D5997"/>
    <w:rsid w:val="001D5E8A"/>
    <w:rsid w:val="001E5499"/>
    <w:rsid w:val="001F55C4"/>
    <w:rsid w:val="001F61A5"/>
    <w:rsid w:val="001F6BFE"/>
    <w:rsid w:val="00200E9B"/>
    <w:rsid w:val="0020632A"/>
    <w:rsid w:val="0020690C"/>
    <w:rsid w:val="002110EB"/>
    <w:rsid w:val="00211338"/>
    <w:rsid w:val="00212D83"/>
    <w:rsid w:val="00222042"/>
    <w:rsid w:val="0022301C"/>
    <w:rsid w:val="0022368C"/>
    <w:rsid w:val="00223E31"/>
    <w:rsid w:val="00223F67"/>
    <w:rsid w:val="0022518A"/>
    <w:rsid w:val="00232D65"/>
    <w:rsid w:val="00234B84"/>
    <w:rsid w:val="00240B6D"/>
    <w:rsid w:val="002413F0"/>
    <w:rsid w:val="002465F9"/>
    <w:rsid w:val="00261AD4"/>
    <w:rsid w:val="0026230D"/>
    <w:rsid w:val="00281E30"/>
    <w:rsid w:val="00294AD5"/>
    <w:rsid w:val="002A18A4"/>
    <w:rsid w:val="002A6545"/>
    <w:rsid w:val="002B7E62"/>
    <w:rsid w:val="002C0864"/>
    <w:rsid w:val="002C2D63"/>
    <w:rsid w:val="002C4C0C"/>
    <w:rsid w:val="002D22BC"/>
    <w:rsid w:val="002D6F8E"/>
    <w:rsid w:val="002E285D"/>
    <w:rsid w:val="002E3436"/>
    <w:rsid w:val="002E60A2"/>
    <w:rsid w:val="002E7439"/>
    <w:rsid w:val="003033BA"/>
    <w:rsid w:val="00316A10"/>
    <w:rsid w:val="00322937"/>
    <w:rsid w:val="00323474"/>
    <w:rsid w:val="00325C67"/>
    <w:rsid w:val="00327C54"/>
    <w:rsid w:val="0033338E"/>
    <w:rsid w:val="00335BA6"/>
    <w:rsid w:val="00336379"/>
    <w:rsid w:val="003373DB"/>
    <w:rsid w:val="0034177C"/>
    <w:rsid w:val="0034499E"/>
    <w:rsid w:val="0034680A"/>
    <w:rsid w:val="00347808"/>
    <w:rsid w:val="0035109D"/>
    <w:rsid w:val="0035343E"/>
    <w:rsid w:val="00353DD5"/>
    <w:rsid w:val="00355363"/>
    <w:rsid w:val="003757C5"/>
    <w:rsid w:val="00382F0D"/>
    <w:rsid w:val="00386456"/>
    <w:rsid w:val="00391B30"/>
    <w:rsid w:val="00392937"/>
    <w:rsid w:val="0039301C"/>
    <w:rsid w:val="003965DB"/>
    <w:rsid w:val="003A017F"/>
    <w:rsid w:val="003A0878"/>
    <w:rsid w:val="003A2E9E"/>
    <w:rsid w:val="003A581E"/>
    <w:rsid w:val="003A66FD"/>
    <w:rsid w:val="003A6F22"/>
    <w:rsid w:val="003B451B"/>
    <w:rsid w:val="003D098D"/>
    <w:rsid w:val="003E4DCB"/>
    <w:rsid w:val="003E54EB"/>
    <w:rsid w:val="003E674F"/>
    <w:rsid w:val="003F1711"/>
    <w:rsid w:val="003F2CA8"/>
    <w:rsid w:val="003F5F9D"/>
    <w:rsid w:val="00404212"/>
    <w:rsid w:val="00404AFD"/>
    <w:rsid w:val="00405F24"/>
    <w:rsid w:val="00410C5B"/>
    <w:rsid w:val="0041776B"/>
    <w:rsid w:val="00423F9F"/>
    <w:rsid w:val="00426758"/>
    <w:rsid w:val="0044037B"/>
    <w:rsid w:val="00440E9B"/>
    <w:rsid w:val="004422D6"/>
    <w:rsid w:val="00455E76"/>
    <w:rsid w:val="004562B5"/>
    <w:rsid w:val="004606AB"/>
    <w:rsid w:val="00461A7B"/>
    <w:rsid w:val="00475EED"/>
    <w:rsid w:val="00492090"/>
    <w:rsid w:val="0049241A"/>
    <w:rsid w:val="004A1DAE"/>
    <w:rsid w:val="004A34D2"/>
    <w:rsid w:val="004B0A86"/>
    <w:rsid w:val="004C5013"/>
    <w:rsid w:val="004C77B0"/>
    <w:rsid w:val="004E2DDE"/>
    <w:rsid w:val="004E5107"/>
    <w:rsid w:val="004F08FB"/>
    <w:rsid w:val="004F6ADA"/>
    <w:rsid w:val="00506208"/>
    <w:rsid w:val="0050648B"/>
    <w:rsid w:val="0051074C"/>
    <w:rsid w:val="00512984"/>
    <w:rsid w:val="00513AF2"/>
    <w:rsid w:val="0052671B"/>
    <w:rsid w:val="00526E36"/>
    <w:rsid w:val="00532E81"/>
    <w:rsid w:val="00534601"/>
    <w:rsid w:val="0054413A"/>
    <w:rsid w:val="005500E1"/>
    <w:rsid w:val="0055159A"/>
    <w:rsid w:val="00554531"/>
    <w:rsid w:val="0055500F"/>
    <w:rsid w:val="005556D2"/>
    <w:rsid w:val="005564CA"/>
    <w:rsid w:val="0055668D"/>
    <w:rsid w:val="0056182B"/>
    <w:rsid w:val="00566FAC"/>
    <w:rsid w:val="00567797"/>
    <w:rsid w:val="00567BB2"/>
    <w:rsid w:val="005756AA"/>
    <w:rsid w:val="00582656"/>
    <w:rsid w:val="005931DB"/>
    <w:rsid w:val="005949CA"/>
    <w:rsid w:val="00596D67"/>
    <w:rsid w:val="005A3021"/>
    <w:rsid w:val="005A3A0C"/>
    <w:rsid w:val="005A690C"/>
    <w:rsid w:val="005B0316"/>
    <w:rsid w:val="005B4344"/>
    <w:rsid w:val="005B468D"/>
    <w:rsid w:val="005B6D84"/>
    <w:rsid w:val="005C02CC"/>
    <w:rsid w:val="005C6375"/>
    <w:rsid w:val="005C6B5E"/>
    <w:rsid w:val="005D13B5"/>
    <w:rsid w:val="005D4846"/>
    <w:rsid w:val="005D51FA"/>
    <w:rsid w:val="005D791B"/>
    <w:rsid w:val="005E04B0"/>
    <w:rsid w:val="005E0BCA"/>
    <w:rsid w:val="005E3BE3"/>
    <w:rsid w:val="005E6EAD"/>
    <w:rsid w:val="005E7A4E"/>
    <w:rsid w:val="005F28B6"/>
    <w:rsid w:val="00614817"/>
    <w:rsid w:val="00633DBF"/>
    <w:rsid w:val="00641E5D"/>
    <w:rsid w:val="00642600"/>
    <w:rsid w:val="006473BF"/>
    <w:rsid w:val="00647B6F"/>
    <w:rsid w:val="00650749"/>
    <w:rsid w:val="00652BC5"/>
    <w:rsid w:val="00655371"/>
    <w:rsid w:val="00655B5D"/>
    <w:rsid w:val="0066254E"/>
    <w:rsid w:val="006626D4"/>
    <w:rsid w:val="006637C6"/>
    <w:rsid w:val="006673D0"/>
    <w:rsid w:val="006713B9"/>
    <w:rsid w:val="00673D28"/>
    <w:rsid w:val="006830FC"/>
    <w:rsid w:val="006873FC"/>
    <w:rsid w:val="00691545"/>
    <w:rsid w:val="00694493"/>
    <w:rsid w:val="00697665"/>
    <w:rsid w:val="006A54E5"/>
    <w:rsid w:val="006A7CB5"/>
    <w:rsid w:val="006A7FD0"/>
    <w:rsid w:val="006B06BB"/>
    <w:rsid w:val="006B1EF1"/>
    <w:rsid w:val="006C3039"/>
    <w:rsid w:val="006D0903"/>
    <w:rsid w:val="006D7687"/>
    <w:rsid w:val="006D7C9A"/>
    <w:rsid w:val="006E0572"/>
    <w:rsid w:val="006F1414"/>
    <w:rsid w:val="00705631"/>
    <w:rsid w:val="007073C9"/>
    <w:rsid w:val="00711766"/>
    <w:rsid w:val="00715EAA"/>
    <w:rsid w:val="00716368"/>
    <w:rsid w:val="00722C02"/>
    <w:rsid w:val="007369ED"/>
    <w:rsid w:val="00742DD2"/>
    <w:rsid w:val="00742F78"/>
    <w:rsid w:val="00747C96"/>
    <w:rsid w:val="0075094E"/>
    <w:rsid w:val="007522E8"/>
    <w:rsid w:val="0075647A"/>
    <w:rsid w:val="007634AD"/>
    <w:rsid w:val="007665B0"/>
    <w:rsid w:val="007733E4"/>
    <w:rsid w:val="00777189"/>
    <w:rsid w:val="0078122E"/>
    <w:rsid w:val="007928C8"/>
    <w:rsid w:val="00794157"/>
    <w:rsid w:val="00795647"/>
    <w:rsid w:val="00796417"/>
    <w:rsid w:val="0079751C"/>
    <w:rsid w:val="007A219D"/>
    <w:rsid w:val="007A5185"/>
    <w:rsid w:val="007A5B47"/>
    <w:rsid w:val="007B0854"/>
    <w:rsid w:val="007C1E1A"/>
    <w:rsid w:val="007C5EFB"/>
    <w:rsid w:val="007C6A89"/>
    <w:rsid w:val="007C7A53"/>
    <w:rsid w:val="007D13AA"/>
    <w:rsid w:val="007E2796"/>
    <w:rsid w:val="007E403F"/>
    <w:rsid w:val="007F0A15"/>
    <w:rsid w:val="007F32D9"/>
    <w:rsid w:val="007F3A1C"/>
    <w:rsid w:val="007F6B46"/>
    <w:rsid w:val="007F72CB"/>
    <w:rsid w:val="008008E4"/>
    <w:rsid w:val="008160EE"/>
    <w:rsid w:val="008217B7"/>
    <w:rsid w:val="00822B6C"/>
    <w:rsid w:val="0083119B"/>
    <w:rsid w:val="00832B83"/>
    <w:rsid w:val="008362AF"/>
    <w:rsid w:val="00836EAB"/>
    <w:rsid w:val="00846496"/>
    <w:rsid w:val="00847D0E"/>
    <w:rsid w:val="0085092D"/>
    <w:rsid w:val="00850F79"/>
    <w:rsid w:val="008720CE"/>
    <w:rsid w:val="008735A6"/>
    <w:rsid w:val="0087580E"/>
    <w:rsid w:val="00885142"/>
    <w:rsid w:val="00895A32"/>
    <w:rsid w:val="0089774F"/>
    <w:rsid w:val="008A1DDB"/>
    <w:rsid w:val="008B2419"/>
    <w:rsid w:val="008B633A"/>
    <w:rsid w:val="008C3D80"/>
    <w:rsid w:val="008D4DEA"/>
    <w:rsid w:val="008E0ABD"/>
    <w:rsid w:val="008E12DB"/>
    <w:rsid w:val="008E1C15"/>
    <w:rsid w:val="008E1EA7"/>
    <w:rsid w:val="008E3AEA"/>
    <w:rsid w:val="008E41D9"/>
    <w:rsid w:val="008E47EA"/>
    <w:rsid w:val="008F538E"/>
    <w:rsid w:val="008F5656"/>
    <w:rsid w:val="00902133"/>
    <w:rsid w:val="009047C5"/>
    <w:rsid w:val="00905EF7"/>
    <w:rsid w:val="00907028"/>
    <w:rsid w:val="009079FB"/>
    <w:rsid w:val="00912FD9"/>
    <w:rsid w:val="009229DE"/>
    <w:rsid w:val="009250AC"/>
    <w:rsid w:val="00930ECE"/>
    <w:rsid w:val="0093136E"/>
    <w:rsid w:val="009354AF"/>
    <w:rsid w:val="009410B4"/>
    <w:rsid w:val="00943AA6"/>
    <w:rsid w:val="009461A5"/>
    <w:rsid w:val="00946CFC"/>
    <w:rsid w:val="0095385A"/>
    <w:rsid w:val="00956D8A"/>
    <w:rsid w:val="009648E9"/>
    <w:rsid w:val="009649C6"/>
    <w:rsid w:val="009661FE"/>
    <w:rsid w:val="0097456B"/>
    <w:rsid w:val="00975518"/>
    <w:rsid w:val="00977B7C"/>
    <w:rsid w:val="009816F3"/>
    <w:rsid w:val="00981CB1"/>
    <w:rsid w:val="009A3850"/>
    <w:rsid w:val="009A585B"/>
    <w:rsid w:val="009A784B"/>
    <w:rsid w:val="009B08AB"/>
    <w:rsid w:val="009B4D62"/>
    <w:rsid w:val="009B5533"/>
    <w:rsid w:val="009D0FA5"/>
    <w:rsid w:val="009D3700"/>
    <w:rsid w:val="009D4B75"/>
    <w:rsid w:val="009D7FBD"/>
    <w:rsid w:val="009F05B8"/>
    <w:rsid w:val="009F5146"/>
    <w:rsid w:val="009F59C2"/>
    <w:rsid w:val="00A07384"/>
    <w:rsid w:val="00A13855"/>
    <w:rsid w:val="00A24560"/>
    <w:rsid w:val="00A320AA"/>
    <w:rsid w:val="00A34538"/>
    <w:rsid w:val="00A37650"/>
    <w:rsid w:val="00A37FB6"/>
    <w:rsid w:val="00A41DC4"/>
    <w:rsid w:val="00A44B31"/>
    <w:rsid w:val="00A453DC"/>
    <w:rsid w:val="00A46832"/>
    <w:rsid w:val="00A52502"/>
    <w:rsid w:val="00A5542D"/>
    <w:rsid w:val="00A63FBD"/>
    <w:rsid w:val="00A6479F"/>
    <w:rsid w:val="00A7620B"/>
    <w:rsid w:val="00A810C8"/>
    <w:rsid w:val="00A82DE0"/>
    <w:rsid w:val="00A84D11"/>
    <w:rsid w:val="00A86A50"/>
    <w:rsid w:val="00A90500"/>
    <w:rsid w:val="00A95A94"/>
    <w:rsid w:val="00A96E98"/>
    <w:rsid w:val="00AA08E7"/>
    <w:rsid w:val="00AA09E4"/>
    <w:rsid w:val="00AA254B"/>
    <w:rsid w:val="00AA442B"/>
    <w:rsid w:val="00AA5D0D"/>
    <w:rsid w:val="00AA669D"/>
    <w:rsid w:val="00AB5925"/>
    <w:rsid w:val="00AB5B0B"/>
    <w:rsid w:val="00AC04FA"/>
    <w:rsid w:val="00AD00E8"/>
    <w:rsid w:val="00AD5367"/>
    <w:rsid w:val="00AE3841"/>
    <w:rsid w:val="00AE4AF7"/>
    <w:rsid w:val="00AE5BA8"/>
    <w:rsid w:val="00AF5CAC"/>
    <w:rsid w:val="00B01C30"/>
    <w:rsid w:val="00B059A7"/>
    <w:rsid w:val="00B078FE"/>
    <w:rsid w:val="00B13EC0"/>
    <w:rsid w:val="00B16CEC"/>
    <w:rsid w:val="00B16DE9"/>
    <w:rsid w:val="00B2243D"/>
    <w:rsid w:val="00B22E22"/>
    <w:rsid w:val="00B246D6"/>
    <w:rsid w:val="00B339EB"/>
    <w:rsid w:val="00B34437"/>
    <w:rsid w:val="00B4592B"/>
    <w:rsid w:val="00B51A81"/>
    <w:rsid w:val="00B525CB"/>
    <w:rsid w:val="00B53EBB"/>
    <w:rsid w:val="00B549A0"/>
    <w:rsid w:val="00B63872"/>
    <w:rsid w:val="00B63CAB"/>
    <w:rsid w:val="00B63CB2"/>
    <w:rsid w:val="00B64599"/>
    <w:rsid w:val="00B64EDB"/>
    <w:rsid w:val="00B7101B"/>
    <w:rsid w:val="00B72A12"/>
    <w:rsid w:val="00B744C8"/>
    <w:rsid w:val="00B75211"/>
    <w:rsid w:val="00B81B3B"/>
    <w:rsid w:val="00B84012"/>
    <w:rsid w:val="00B85EA4"/>
    <w:rsid w:val="00B91B8E"/>
    <w:rsid w:val="00B94842"/>
    <w:rsid w:val="00BA0531"/>
    <w:rsid w:val="00BA1F28"/>
    <w:rsid w:val="00BA5C22"/>
    <w:rsid w:val="00BA6B2D"/>
    <w:rsid w:val="00BA7D6C"/>
    <w:rsid w:val="00BB2B1E"/>
    <w:rsid w:val="00BB5B81"/>
    <w:rsid w:val="00BB7589"/>
    <w:rsid w:val="00BC0FEF"/>
    <w:rsid w:val="00BD249C"/>
    <w:rsid w:val="00BD51CC"/>
    <w:rsid w:val="00BD5C01"/>
    <w:rsid w:val="00BD62FE"/>
    <w:rsid w:val="00BD78FE"/>
    <w:rsid w:val="00BF45FB"/>
    <w:rsid w:val="00BF7276"/>
    <w:rsid w:val="00BF7695"/>
    <w:rsid w:val="00C015A0"/>
    <w:rsid w:val="00C11613"/>
    <w:rsid w:val="00C133B6"/>
    <w:rsid w:val="00C14C04"/>
    <w:rsid w:val="00C15E01"/>
    <w:rsid w:val="00C16A2E"/>
    <w:rsid w:val="00C24492"/>
    <w:rsid w:val="00C35C62"/>
    <w:rsid w:val="00C569EB"/>
    <w:rsid w:val="00C62A49"/>
    <w:rsid w:val="00C64292"/>
    <w:rsid w:val="00C67049"/>
    <w:rsid w:val="00C673F5"/>
    <w:rsid w:val="00C836D0"/>
    <w:rsid w:val="00C83735"/>
    <w:rsid w:val="00C843BB"/>
    <w:rsid w:val="00CA5D6A"/>
    <w:rsid w:val="00CB15A0"/>
    <w:rsid w:val="00CB3DD3"/>
    <w:rsid w:val="00CB4A8B"/>
    <w:rsid w:val="00CC00CD"/>
    <w:rsid w:val="00CC7FDE"/>
    <w:rsid w:val="00CD2D04"/>
    <w:rsid w:val="00CD3FEF"/>
    <w:rsid w:val="00CD69CD"/>
    <w:rsid w:val="00CD6A95"/>
    <w:rsid w:val="00CF2D16"/>
    <w:rsid w:val="00D01760"/>
    <w:rsid w:val="00D16E39"/>
    <w:rsid w:val="00D21F64"/>
    <w:rsid w:val="00D223B6"/>
    <w:rsid w:val="00D30E6B"/>
    <w:rsid w:val="00D3269C"/>
    <w:rsid w:val="00D36885"/>
    <w:rsid w:val="00D37026"/>
    <w:rsid w:val="00D4596D"/>
    <w:rsid w:val="00D60327"/>
    <w:rsid w:val="00D608A0"/>
    <w:rsid w:val="00D626F6"/>
    <w:rsid w:val="00D72E9D"/>
    <w:rsid w:val="00D7475A"/>
    <w:rsid w:val="00D82CE5"/>
    <w:rsid w:val="00D8599F"/>
    <w:rsid w:val="00D86914"/>
    <w:rsid w:val="00D90E3C"/>
    <w:rsid w:val="00D90FEF"/>
    <w:rsid w:val="00D97BF2"/>
    <w:rsid w:val="00DA5AB1"/>
    <w:rsid w:val="00DC141F"/>
    <w:rsid w:val="00DC62E5"/>
    <w:rsid w:val="00DC787B"/>
    <w:rsid w:val="00DD364E"/>
    <w:rsid w:val="00DD735D"/>
    <w:rsid w:val="00DE3119"/>
    <w:rsid w:val="00DE7A83"/>
    <w:rsid w:val="00DE7E39"/>
    <w:rsid w:val="00DF236B"/>
    <w:rsid w:val="00E13AB8"/>
    <w:rsid w:val="00E14F15"/>
    <w:rsid w:val="00E170E8"/>
    <w:rsid w:val="00E24398"/>
    <w:rsid w:val="00E25CB3"/>
    <w:rsid w:val="00E272ED"/>
    <w:rsid w:val="00E33B62"/>
    <w:rsid w:val="00E35CD0"/>
    <w:rsid w:val="00E4113D"/>
    <w:rsid w:val="00E4143A"/>
    <w:rsid w:val="00E44310"/>
    <w:rsid w:val="00E44C2D"/>
    <w:rsid w:val="00E5025C"/>
    <w:rsid w:val="00E50C6A"/>
    <w:rsid w:val="00E53154"/>
    <w:rsid w:val="00E53164"/>
    <w:rsid w:val="00E54256"/>
    <w:rsid w:val="00E6343A"/>
    <w:rsid w:val="00E641E5"/>
    <w:rsid w:val="00E64EED"/>
    <w:rsid w:val="00E74486"/>
    <w:rsid w:val="00E754B8"/>
    <w:rsid w:val="00E803FC"/>
    <w:rsid w:val="00E87BF6"/>
    <w:rsid w:val="00E9640A"/>
    <w:rsid w:val="00EA24A4"/>
    <w:rsid w:val="00EC2AAC"/>
    <w:rsid w:val="00ED3F01"/>
    <w:rsid w:val="00EE59B5"/>
    <w:rsid w:val="00EF236D"/>
    <w:rsid w:val="00F060DE"/>
    <w:rsid w:val="00F1135F"/>
    <w:rsid w:val="00F139AC"/>
    <w:rsid w:val="00F1676C"/>
    <w:rsid w:val="00F17F08"/>
    <w:rsid w:val="00F22B92"/>
    <w:rsid w:val="00F24D1B"/>
    <w:rsid w:val="00F365BF"/>
    <w:rsid w:val="00F36B49"/>
    <w:rsid w:val="00F4300A"/>
    <w:rsid w:val="00F43898"/>
    <w:rsid w:val="00F44331"/>
    <w:rsid w:val="00F539A8"/>
    <w:rsid w:val="00F557F3"/>
    <w:rsid w:val="00F57D33"/>
    <w:rsid w:val="00F61441"/>
    <w:rsid w:val="00F62BB8"/>
    <w:rsid w:val="00F63B59"/>
    <w:rsid w:val="00F63D5E"/>
    <w:rsid w:val="00F66181"/>
    <w:rsid w:val="00F8085A"/>
    <w:rsid w:val="00F81534"/>
    <w:rsid w:val="00F84899"/>
    <w:rsid w:val="00F859F0"/>
    <w:rsid w:val="00F93320"/>
    <w:rsid w:val="00F96961"/>
    <w:rsid w:val="00FA0E68"/>
    <w:rsid w:val="00FA17C7"/>
    <w:rsid w:val="00FA4FCB"/>
    <w:rsid w:val="00FA5BD7"/>
    <w:rsid w:val="00FA65E9"/>
    <w:rsid w:val="00FA7A3C"/>
    <w:rsid w:val="00FC3D49"/>
    <w:rsid w:val="00FD5779"/>
    <w:rsid w:val="00FE141E"/>
    <w:rsid w:val="00FE370A"/>
    <w:rsid w:val="00FE4021"/>
    <w:rsid w:val="00FE42ED"/>
    <w:rsid w:val="00FE60CF"/>
    <w:rsid w:val="00FF2E68"/>
    <w:rsid w:val="00FF5B4F"/>
    <w:rsid w:val="0DDCC65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405F24"/>
    <w:pPr>
      <w:spacing w:after="160" w:line="240" w:lineRule="exact"/>
    </w:pPr>
    <w:rPr>
      <w:sz w:val="22"/>
      <w:vertAlign w:val="superscript"/>
      <w:lang w:val="es-CO"/>
    </w:rPr>
  </w:style>
  <w:style w:type="paragraph" w:customStyle="1" w:styleId="Default">
    <w:name w:val="Default"/>
    <w:rsid w:val="006626D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E754B8"/>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E754B8"/>
    <w:rPr>
      <w:rFonts w:ascii="Arial" w:eastAsia="Arial" w:hAnsi="Arial" w:cs="Arial"/>
      <w:lang w:val="es-ES"/>
    </w:rPr>
  </w:style>
  <w:style w:type="character" w:customStyle="1" w:styleId="NormalWebCar">
    <w:name w:val="Normal (Web) Car"/>
    <w:link w:val="NormalWeb"/>
    <w:uiPriority w:val="99"/>
    <w:rsid w:val="009D7FBD"/>
    <w:rPr>
      <w:rFonts w:ascii="Times New Roman" w:eastAsia="Times New Roman" w:hAnsi="Times New Roman" w:cs="Times New Roman"/>
      <w:sz w:val="24"/>
      <w:szCs w:val="24"/>
      <w:lang w:eastAsia="es-CO"/>
    </w:rPr>
  </w:style>
  <w:style w:type="table" w:customStyle="1" w:styleId="Tablaconcuadrcula2">
    <w:name w:val="Tabla con cuadrícula2"/>
    <w:basedOn w:val="Tablanormal"/>
    <w:next w:val="Tablaconcuadrcula"/>
    <w:uiPriority w:val="59"/>
    <w:rsid w:val="009D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E285D"/>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8933922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45485575">
      <w:bodyDiv w:val="1"/>
      <w:marLeft w:val="0"/>
      <w:marRight w:val="0"/>
      <w:marTop w:val="0"/>
      <w:marBottom w:val="0"/>
      <w:divBdr>
        <w:top w:val="none" w:sz="0" w:space="0" w:color="auto"/>
        <w:left w:val="none" w:sz="0" w:space="0" w:color="auto"/>
        <w:bottom w:val="none" w:sz="0" w:space="0" w:color="auto"/>
        <w:right w:val="none" w:sz="0" w:space="0" w:color="auto"/>
      </w:divBdr>
    </w:div>
    <w:div w:id="626937294">
      <w:bodyDiv w:val="1"/>
      <w:marLeft w:val="0"/>
      <w:marRight w:val="0"/>
      <w:marTop w:val="0"/>
      <w:marBottom w:val="0"/>
      <w:divBdr>
        <w:top w:val="none" w:sz="0" w:space="0" w:color="auto"/>
        <w:left w:val="none" w:sz="0" w:space="0" w:color="auto"/>
        <w:bottom w:val="none" w:sz="0" w:space="0" w:color="auto"/>
        <w:right w:val="none" w:sz="0" w:space="0" w:color="auto"/>
      </w:divBdr>
    </w:div>
    <w:div w:id="837967795">
      <w:bodyDiv w:val="1"/>
      <w:marLeft w:val="0"/>
      <w:marRight w:val="0"/>
      <w:marTop w:val="0"/>
      <w:marBottom w:val="0"/>
      <w:divBdr>
        <w:top w:val="none" w:sz="0" w:space="0" w:color="auto"/>
        <w:left w:val="none" w:sz="0" w:space="0" w:color="auto"/>
        <w:bottom w:val="none" w:sz="0" w:space="0" w:color="auto"/>
        <w:right w:val="none" w:sz="0" w:space="0" w:color="auto"/>
      </w:divBdr>
    </w:div>
    <w:div w:id="910887421">
      <w:bodyDiv w:val="1"/>
      <w:marLeft w:val="0"/>
      <w:marRight w:val="0"/>
      <w:marTop w:val="0"/>
      <w:marBottom w:val="0"/>
      <w:divBdr>
        <w:top w:val="none" w:sz="0" w:space="0" w:color="auto"/>
        <w:left w:val="none" w:sz="0" w:space="0" w:color="auto"/>
        <w:bottom w:val="none" w:sz="0" w:space="0" w:color="auto"/>
        <w:right w:val="none" w:sz="0" w:space="0" w:color="auto"/>
      </w:divBdr>
    </w:div>
    <w:div w:id="17474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25D5E-9D4C-4CF3-93DD-5A12961BFA6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D5105F4-C15D-40C9-BD7C-3F71DF59EB4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87FC5CA-FA09-41A6-AC10-0A8C451D0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194</TotalTime>
  <Pages>20</Pages>
  <Words>7537</Words>
  <Characters>41454</Characters>
  <Application>Microsoft Office Word</Application>
  <DocSecurity>0</DocSecurity>
  <Lines>345</Lines>
  <Paragraphs>97</Paragraphs>
  <ScaleCrop>false</ScaleCrop>
  <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Andrea Ramírez Castañeda</cp:lastModifiedBy>
  <cp:revision>125</cp:revision>
  <cp:lastPrinted>2020-03-04T13:16:00Z</cp:lastPrinted>
  <dcterms:created xsi:type="dcterms:W3CDTF">2022-02-22T19:40:00Z</dcterms:created>
  <dcterms:modified xsi:type="dcterms:W3CDTF">2022-05-17T20:04:00Z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