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CE7C2" w14:textId="77777777" w:rsidR="004870E3" w:rsidRPr="004870E3" w:rsidRDefault="004870E3" w:rsidP="004870E3">
      <w:pPr>
        <w:contextualSpacing/>
        <w:jc w:val="both"/>
        <w:rPr>
          <w:rFonts w:ascii="Arial" w:eastAsia="Calibri" w:hAnsi="Arial" w:cs="Arial"/>
          <w:b/>
          <w:sz w:val="22"/>
          <w:szCs w:val="22"/>
          <w:lang w:val="es-ES_tradnl"/>
        </w:rPr>
      </w:pPr>
      <w:bookmarkStart w:id="0" w:name="_Hlk67491171"/>
      <w:bookmarkStart w:id="1" w:name="_Hlk79395594"/>
      <w:r w:rsidRPr="004870E3">
        <w:rPr>
          <w:rFonts w:ascii="Arial" w:eastAsia="Calibri" w:hAnsi="Arial" w:cs="Arial"/>
          <w:b/>
          <w:sz w:val="22"/>
          <w:szCs w:val="22"/>
          <w:lang w:val="es-ES_tradnl"/>
        </w:rPr>
        <w:t>SELECCIÓN OBJETIVA – Contratación estatal – Concepto</w:t>
      </w:r>
    </w:p>
    <w:bookmarkEnd w:id="0"/>
    <w:p w14:paraId="0C83D393" w14:textId="77777777" w:rsidR="004870E3" w:rsidRPr="003A44FB" w:rsidRDefault="004870E3" w:rsidP="004870E3">
      <w:pPr>
        <w:tabs>
          <w:tab w:val="left" w:pos="2235"/>
        </w:tabs>
        <w:contextualSpacing/>
        <w:jc w:val="both"/>
        <w:rPr>
          <w:rFonts w:ascii="Arial" w:eastAsia="Calibri" w:hAnsi="Arial" w:cs="Arial"/>
          <w:b/>
          <w:sz w:val="20"/>
          <w:szCs w:val="20"/>
          <w:lang w:val="es-ES_tradnl"/>
        </w:rPr>
      </w:pPr>
      <w:r w:rsidRPr="003A44FB">
        <w:rPr>
          <w:rFonts w:ascii="Arial" w:eastAsia="Calibri" w:hAnsi="Arial" w:cs="Arial"/>
          <w:b/>
          <w:sz w:val="20"/>
          <w:szCs w:val="20"/>
          <w:lang w:val="es-ES_tradnl"/>
        </w:rPr>
        <w:tab/>
      </w:r>
    </w:p>
    <w:p w14:paraId="38585691" w14:textId="77777777" w:rsidR="004870E3" w:rsidRPr="003A44FB" w:rsidRDefault="004870E3" w:rsidP="004870E3">
      <w:pPr>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al indicar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FFDB9F1" w14:textId="77777777" w:rsidR="004870E3" w:rsidRPr="003A44FB" w:rsidRDefault="004870E3" w:rsidP="004870E3">
      <w:pPr>
        <w:contextualSpacing/>
        <w:jc w:val="both"/>
        <w:rPr>
          <w:rFonts w:ascii="Arial" w:eastAsia="Calibri" w:hAnsi="Arial" w:cs="Arial"/>
          <w:b/>
          <w:sz w:val="20"/>
          <w:szCs w:val="20"/>
          <w:lang w:val="es-ES_tradnl"/>
        </w:rPr>
      </w:pPr>
    </w:p>
    <w:p w14:paraId="33D30E0B" w14:textId="77777777" w:rsidR="004870E3" w:rsidRPr="004870E3" w:rsidRDefault="004870E3" w:rsidP="004870E3">
      <w:pPr>
        <w:contextualSpacing/>
        <w:jc w:val="both"/>
        <w:rPr>
          <w:rFonts w:ascii="Arial" w:eastAsia="Calibri" w:hAnsi="Arial" w:cs="Arial"/>
          <w:b/>
          <w:sz w:val="22"/>
          <w:szCs w:val="22"/>
          <w:lang w:val="es-ES_tradnl"/>
        </w:rPr>
      </w:pPr>
      <w:bookmarkStart w:id="2" w:name="_Hlk67491186"/>
      <w:r w:rsidRPr="004870E3">
        <w:rPr>
          <w:rFonts w:ascii="Arial" w:eastAsia="Calibri" w:hAnsi="Arial" w:cs="Arial"/>
          <w:b/>
          <w:sz w:val="22"/>
          <w:szCs w:val="22"/>
          <w:lang w:val="es-ES_tradnl"/>
        </w:rPr>
        <w:t>EMPATE – Procedimiento de selección – Concepto</w:t>
      </w:r>
    </w:p>
    <w:bookmarkEnd w:id="2"/>
    <w:p w14:paraId="42CE9E61" w14:textId="77777777" w:rsidR="004870E3" w:rsidRPr="003A44FB" w:rsidRDefault="004870E3" w:rsidP="004870E3">
      <w:pPr>
        <w:contextualSpacing/>
        <w:jc w:val="both"/>
        <w:rPr>
          <w:rFonts w:ascii="Arial" w:eastAsia="Calibri" w:hAnsi="Arial" w:cs="Arial"/>
          <w:b/>
          <w:sz w:val="20"/>
          <w:szCs w:val="20"/>
          <w:lang w:val="es-ES_tradnl"/>
        </w:rPr>
      </w:pPr>
    </w:p>
    <w:p w14:paraId="0B9EB5AD" w14:textId="77777777" w:rsidR="004870E3" w:rsidRPr="003A44FB" w:rsidRDefault="004870E3" w:rsidP="004870E3">
      <w:pPr>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62AC576E" w14:textId="77777777" w:rsidR="004870E3" w:rsidRPr="003A44FB" w:rsidRDefault="004870E3" w:rsidP="004870E3">
      <w:pPr>
        <w:contextualSpacing/>
        <w:jc w:val="both"/>
        <w:rPr>
          <w:rFonts w:ascii="Arial" w:hAnsi="Arial" w:cs="Arial"/>
          <w:noProof/>
          <w:sz w:val="20"/>
          <w:szCs w:val="20"/>
          <w:lang w:val="es-ES_tradnl"/>
        </w:rPr>
      </w:pPr>
    </w:p>
    <w:p w14:paraId="08A30FE6" w14:textId="77777777" w:rsidR="004870E3" w:rsidRPr="004870E3" w:rsidRDefault="004870E3" w:rsidP="004870E3">
      <w:pPr>
        <w:contextualSpacing/>
        <w:jc w:val="both"/>
        <w:rPr>
          <w:rFonts w:ascii="Arial" w:eastAsia="Calibri" w:hAnsi="Arial" w:cs="Arial"/>
          <w:b/>
          <w:sz w:val="22"/>
          <w:szCs w:val="22"/>
          <w:lang w:val="es-ES_tradnl"/>
        </w:rPr>
      </w:pPr>
      <w:bookmarkStart w:id="3" w:name="_Hlk67491199"/>
      <w:r w:rsidRPr="004870E3">
        <w:rPr>
          <w:rFonts w:ascii="Arial" w:eastAsia="Calibri" w:hAnsi="Arial" w:cs="Arial"/>
          <w:b/>
          <w:sz w:val="22"/>
          <w:szCs w:val="22"/>
          <w:lang w:val="es-ES_tradnl"/>
        </w:rPr>
        <w:t>FACTORES DE DESEMPATE – Características – Límites</w:t>
      </w:r>
    </w:p>
    <w:bookmarkEnd w:id="3"/>
    <w:p w14:paraId="72A5A479" w14:textId="77777777" w:rsidR="004870E3" w:rsidRPr="003A44FB" w:rsidRDefault="004870E3" w:rsidP="004870E3">
      <w:pPr>
        <w:contextualSpacing/>
        <w:jc w:val="both"/>
        <w:rPr>
          <w:rFonts w:ascii="Arial" w:hAnsi="Arial" w:cs="Arial"/>
          <w:noProof/>
          <w:sz w:val="20"/>
          <w:szCs w:val="20"/>
          <w:lang w:val="es-ES_tradnl"/>
        </w:rPr>
      </w:pPr>
    </w:p>
    <w:p w14:paraId="57A39F74" w14:textId="77777777" w:rsidR="004870E3" w:rsidRPr="003A44FB" w:rsidRDefault="004870E3" w:rsidP="004870E3">
      <w:pPr>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encuentra el artículo 35 de la Ley 2069 de 2020. La jurisprudencia comparte la idea de que los criterios de desempate deben estar establecidos de antemano y constituyen un límite a la discrecionalidad administrativa en los procedimientos de selección. </w:t>
      </w:r>
    </w:p>
    <w:p w14:paraId="3B291BC1" w14:textId="77777777" w:rsidR="004870E3" w:rsidRPr="003A44FB" w:rsidRDefault="004870E3" w:rsidP="004870E3">
      <w:pPr>
        <w:contextualSpacing/>
        <w:jc w:val="both"/>
        <w:rPr>
          <w:rFonts w:ascii="Arial" w:eastAsia="Calibri" w:hAnsi="Arial" w:cs="Arial"/>
          <w:sz w:val="20"/>
          <w:szCs w:val="20"/>
          <w:lang w:val="es-ES_tradnl"/>
        </w:rPr>
      </w:pPr>
    </w:p>
    <w:p w14:paraId="331A8332" w14:textId="77777777" w:rsidR="004870E3" w:rsidRPr="003A44FB" w:rsidRDefault="004870E3" w:rsidP="004870E3">
      <w:pPr>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1B27E4F7" w14:textId="77777777" w:rsidR="004870E3" w:rsidRPr="003A44FB" w:rsidRDefault="004870E3" w:rsidP="004870E3">
      <w:pPr>
        <w:contextualSpacing/>
        <w:jc w:val="both"/>
        <w:rPr>
          <w:rFonts w:ascii="Arial" w:eastAsia="Calibri" w:hAnsi="Arial" w:cs="Arial"/>
          <w:b/>
          <w:sz w:val="20"/>
          <w:szCs w:val="20"/>
          <w:lang w:val="es-ES_tradnl"/>
        </w:rPr>
      </w:pPr>
    </w:p>
    <w:p w14:paraId="64879C5D" w14:textId="77777777" w:rsidR="004870E3" w:rsidRPr="004870E3" w:rsidRDefault="004870E3" w:rsidP="004870E3">
      <w:pPr>
        <w:contextualSpacing/>
        <w:jc w:val="both"/>
        <w:rPr>
          <w:rFonts w:ascii="Arial" w:eastAsia="Calibri" w:hAnsi="Arial" w:cs="Arial"/>
          <w:b/>
          <w:sz w:val="22"/>
          <w:szCs w:val="22"/>
          <w:lang w:val="es-ES_tradnl"/>
        </w:rPr>
      </w:pPr>
      <w:bookmarkStart w:id="4" w:name="_Hlk67491213"/>
      <w:r w:rsidRPr="004870E3">
        <w:rPr>
          <w:rFonts w:ascii="Arial" w:eastAsia="Calibri" w:hAnsi="Arial" w:cs="Arial"/>
          <w:b/>
          <w:sz w:val="22"/>
          <w:szCs w:val="22"/>
          <w:lang w:val="es-ES_tradnl"/>
        </w:rPr>
        <w:t xml:space="preserve">LEY DE EMPRENDIMIENTO – Ley 2069 de 2020 – Contenido </w:t>
      </w:r>
    </w:p>
    <w:bookmarkEnd w:id="4"/>
    <w:p w14:paraId="4186844F" w14:textId="77777777" w:rsidR="004870E3" w:rsidRPr="003A44FB" w:rsidRDefault="004870E3" w:rsidP="004870E3">
      <w:pPr>
        <w:contextualSpacing/>
        <w:jc w:val="both"/>
        <w:rPr>
          <w:rFonts w:ascii="Arial" w:eastAsia="Calibri" w:hAnsi="Arial" w:cs="Arial"/>
          <w:b/>
          <w:sz w:val="20"/>
          <w:szCs w:val="20"/>
          <w:lang w:val="es-ES_tradnl"/>
        </w:rPr>
      </w:pPr>
    </w:p>
    <w:p w14:paraId="608EB373" w14:textId="77777777" w:rsidR="004870E3" w:rsidRPr="003A44FB" w:rsidRDefault="004870E3" w:rsidP="004870E3">
      <w:pPr>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 xml:space="preserve">El 31 de diciembre de 2020 se promulgó la Ley 2069, «Por medio de la cual se impulsa el emprendimiento en Colombia». De acuerdo con el artículo 84, «La presente Ley rige a partir del </w:t>
      </w:r>
      <w:r w:rsidRPr="003A44FB">
        <w:rPr>
          <w:rFonts w:ascii="Arial" w:eastAsia="Calibri" w:hAnsi="Arial" w:cs="Arial"/>
          <w:sz w:val="20"/>
          <w:szCs w:val="20"/>
          <w:lang w:val="es-ES_tradnl"/>
        </w:rPr>
        <w:lastRenderedPageBreak/>
        <w:t xml:space="preserve">momento de su promulgación […]», lo que significa que es obligatoria para sus destinatarios desde esa fecha. </w:t>
      </w:r>
    </w:p>
    <w:p w14:paraId="5D871A11" w14:textId="77777777" w:rsidR="004870E3" w:rsidRPr="003A44FB" w:rsidRDefault="004870E3" w:rsidP="004870E3">
      <w:pPr>
        <w:contextualSpacing/>
        <w:jc w:val="both"/>
        <w:rPr>
          <w:rFonts w:ascii="Arial" w:eastAsia="Calibri" w:hAnsi="Arial" w:cs="Arial"/>
          <w:sz w:val="20"/>
          <w:szCs w:val="20"/>
          <w:lang w:val="es-ES_tradnl"/>
        </w:rPr>
      </w:pPr>
    </w:p>
    <w:p w14:paraId="22FFEF78" w14:textId="77777777" w:rsidR="004870E3" w:rsidRPr="003A44FB" w:rsidRDefault="004870E3" w:rsidP="004870E3">
      <w:pPr>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 </w:t>
      </w:r>
    </w:p>
    <w:p w14:paraId="4F929AA5" w14:textId="77777777" w:rsidR="004870E3" w:rsidRPr="003A44FB" w:rsidRDefault="004870E3" w:rsidP="004870E3">
      <w:pPr>
        <w:contextualSpacing/>
        <w:jc w:val="both"/>
        <w:rPr>
          <w:rFonts w:ascii="Arial" w:eastAsia="Calibri" w:hAnsi="Arial" w:cs="Arial"/>
          <w:b/>
          <w:sz w:val="20"/>
          <w:szCs w:val="20"/>
          <w:lang w:val="es-ES_tradnl"/>
        </w:rPr>
      </w:pPr>
    </w:p>
    <w:p w14:paraId="464393CB" w14:textId="77777777" w:rsidR="004870E3" w:rsidRPr="004870E3" w:rsidRDefault="004870E3" w:rsidP="004870E3">
      <w:pPr>
        <w:tabs>
          <w:tab w:val="left" w:pos="709"/>
        </w:tabs>
        <w:contextualSpacing/>
        <w:jc w:val="both"/>
        <w:rPr>
          <w:rFonts w:ascii="Arial" w:eastAsia="Calibri" w:hAnsi="Arial" w:cs="Arial"/>
          <w:sz w:val="22"/>
          <w:szCs w:val="22"/>
          <w:lang w:val="es-ES_tradnl"/>
        </w:rPr>
      </w:pPr>
      <w:r w:rsidRPr="004870E3">
        <w:rPr>
          <w:rFonts w:ascii="Arial" w:hAnsi="Arial" w:cs="Arial"/>
          <w:b/>
          <w:bCs/>
          <w:noProof/>
          <w:sz w:val="22"/>
          <w:szCs w:val="22"/>
          <w:lang w:val="es-ES_tradnl"/>
        </w:rPr>
        <w:t xml:space="preserve">FACTORES DE DESEMPATE </w:t>
      </w:r>
      <w:r w:rsidRPr="004870E3">
        <w:rPr>
          <w:rFonts w:ascii="Arial" w:hAnsi="Arial" w:cs="Arial"/>
          <w:b/>
          <w:bCs/>
          <w:noProof/>
          <w:sz w:val="22"/>
          <w:szCs w:val="22"/>
          <w:lang w:val="es-ES_tradnl"/>
        </w:rPr>
        <w:softHyphen/>
        <w:t xml:space="preserve">– Ley 2069 de 2020 – Artículo 35 </w:t>
      </w:r>
    </w:p>
    <w:p w14:paraId="2989A325" w14:textId="77777777" w:rsidR="004870E3" w:rsidRPr="003A44FB" w:rsidRDefault="004870E3" w:rsidP="004870E3">
      <w:pPr>
        <w:tabs>
          <w:tab w:val="left" w:pos="709"/>
        </w:tabs>
        <w:contextualSpacing/>
        <w:jc w:val="both"/>
        <w:rPr>
          <w:rFonts w:ascii="Arial" w:eastAsia="Calibri" w:hAnsi="Arial" w:cs="Arial"/>
          <w:sz w:val="20"/>
          <w:szCs w:val="20"/>
          <w:lang w:val="es-ES_tradnl"/>
        </w:rPr>
      </w:pPr>
    </w:p>
    <w:p w14:paraId="20449876" w14:textId="77777777" w:rsidR="004870E3" w:rsidRPr="003A44FB" w:rsidRDefault="004870E3" w:rsidP="004870E3">
      <w:pPr>
        <w:tabs>
          <w:tab w:val="left" w:pos="709"/>
        </w:tabs>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El artículo 35 de la Ley 2069 de 2020 define un nuevo marco jurídico en relación con los criterios de desempate previstos en los procesos de contratación realizados con cargo a recursos públicos, los procesos de contratación efectuados por las entidades estatales indistintamente de su régimen de contratación, así como los procesos de contratación adelantados por patrimonios autónomos constituidos por entidades estatales. […]</w:t>
      </w:r>
    </w:p>
    <w:p w14:paraId="0299AE6E" w14:textId="77777777" w:rsidR="004870E3" w:rsidRPr="003A44FB" w:rsidRDefault="004870E3" w:rsidP="004870E3">
      <w:pPr>
        <w:tabs>
          <w:tab w:val="left" w:pos="709"/>
        </w:tabs>
        <w:contextualSpacing/>
        <w:jc w:val="both"/>
        <w:rPr>
          <w:rFonts w:ascii="Arial" w:eastAsia="Calibri" w:hAnsi="Arial" w:cs="Arial"/>
          <w:sz w:val="20"/>
          <w:szCs w:val="20"/>
          <w:lang w:val="es-ES_tradnl"/>
        </w:rPr>
      </w:pPr>
    </w:p>
    <w:p w14:paraId="5CC550FB" w14:textId="77777777" w:rsidR="004870E3" w:rsidRPr="004870E3" w:rsidRDefault="004870E3" w:rsidP="004870E3">
      <w:pPr>
        <w:tabs>
          <w:tab w:val="left" w:pos="709"/>
        </w:tabs>
        <w:contextualSpacing/>
        <w:jc w:val="both"/>
        <w:rPr>
          <w:rFonts w:ascii="Arial" w:hAnsi="Arial" w:cs="Arial"/>
          <w:b/>
          <w:bCs/>
          <w:noProof/>
          <w:sz w:val="22"/>
          <w:szCs w:val="22"/>
          <w:lang w:val="es-ES_tradnl"/>
        </w:rPr>
      </w:pPr>
      <w:r w:rsidRPr="004870E3">
        <w:rPr>
          <w:rFonts w:ascii="Arial" w:hAnsi="Arial" w:cs="Arial"/>
          <w:b/>
          <w:bCs/>
          <w:noProof/>
          <w:sz w:val="22"/>
          <w:szCs w:val="22"/>
          <w:lang w:val="es-ES_tradnl"/>
        </w:rPr>
        <w:t xml:space="preserve">FACTORES DE DESEMPATE </w:t>
      </w:r>
      <w:r w:rsidRPr="004870E3">
        <w:rPr>
          <w:rFonts w:ascii="Arial" w:hAnsi="Arial" w:cs="Arial"/>
          <w:b/>
          <w:bCs/>
          <w:noProof/>
          <w:sz w:val="22"/>
          <w:szCs w:val="22"/>
          <w:lang w:val="es-ES_tradnl"/>
        </w:rPr>
        <w:softHyphen/>
        <w:t>– Decreto 1860 de 2021</w:t>
      </w:r>
    </w:p>
    <w:p w14:paraId="18C08EAC" w14:textId="77777777" w:rsidR="004870E3" w:rsidRPr="003A44FB" w:rsidRDefault="004870E3" w:rsidP="004870E3">
      <w:pPr>
        <w:tabs>
          <w:tab w:val="left" w:pos="709"/>
        </w:tabs>
        <w:contextualSpacing/>
        <w:jc w:val="both"/>
        <w:rPr>
          <w:rFonts w:ascii="Arial" w:eastAsia="Calibri" w:hAnsi="Arial" w:cs="Arial"/>
          <w:sz w:val="20"/>
          <w:szCs w:val="20"/>
          <w:lang w:val="es-ES_tradnl"/>
        </w:rPr>
      </w:pPr>
    </w:p>
    <w:p w14:paraId="2E2E0CAA" w14:textId="77777777" w:rsidR="004870E3" w:rsidRPr="003A44FB" w:rsidRDefault="004870E3" w:rsidP="004870E3">
      <w:pPr>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Si bien esta norma es de aplicación directa, como se mencionó en los párrafos anteriores, no establece la forma de acreditar las circunstancias a las que se refieren cada uno de sus numerales, por lo que se consideró necesario la intervención del reglamento para la debida aplicación de los factores de desempate, de manera que se estandarizara la forma en que se acreditan los mismos. En consecuencia, conforme la potestad reglamentaria asignada al gobierno nacional, el artículo 3 del Decreto 1860 de 2021, mediante el cual se adicionó el artículo 2.2.1.2.4.2.17. al Decreto 1082 de 2015, reglamentó el artículo 35 de la Ley 2069 de 2020 y determinó la forma en la cual se deben acreditar las circunstancias a las que se refieren cada uno de los numerales del citado artículo. De esta forma, a través del artículo en mención se permite la debida aplicación de los factores de desempate previstos y se garantiza la selección objetiva de los contratistas. Esta regulación impide que la forma de acreditación de los factores de desempate dependa de la discrecionalidad administrativa, por lo que pretende una regulación uniforme de la materia conforme al alcance de cada una de las causales contenidas en el artículo 35 de la Ley 2069 de 2021.</w:t>
      </w:r>
    </w:p>
    <w:p w14:paraId="37A8A7BB" w14:textId="77777777" w:rsidR="004870E3" w:rsidRPr="003A44FB" w:rsidRDefault="004870E3" w:rsidP="004870E3">
      <w:pPr>
        <w:tabs>
          <w:tab w:val="left" w:pos="709"/>
        </w:tabs>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ab/>
      </w:r>
    </w:p>
    <w:p w14:paraId="5C377FD5" w14:textId="77777777" w:rsidR="004870E3" w:rsidRPr="004870E3" w:rsidRDefault="004870E3" w:rsidP="004870E3">
      <w:pPr>
        <w:contextualSpacing/>
        <w:jc w:val="both"/>
        <w:rPr>
          <w:rFonts w:ascii="Arial" w:hAnsi="Arial" w:cs="Arial"/>
          <w:b/>
          <w:bCs/>
          <w:noProof/>
          <w:sz w:val="22"/>
          <w:szCs w:val="22"/>
          <w:lang w:val="es-ES_tradnl"/>
        </w:rPr>
      </w:pPr>
      <w:r w:rsidRPr="004870E3">
        <w:rPr>
          <w:rFonts w:ascii="Arial" w:hAnsi="Arial" w:cs="Arial"/>
          <w:b/>
          <w:bCs/>
          <w:noProof/>
          <w:sz w:val="22"/>
          <w:szCs w:val="22"/>
          <w:lang w:val="es-ES_tradnl"/>
        </w:rPr>
        <w:t xml:space="preserve">FACTORES DE DESEMPATE </w:t>
      </w:r>
      <w:r w:rsidRPr="004870E3">
        <w:rPr>
          <w:rFonts w:ascii="Arial" w:hAnsi="Arial" w:cs="Arial"/>
          <w:b/>
          <w:bCs/>
          <w:noProof/>
          <w:sz w:val="22"/>
          <w:szCs w:val="22"/>
          <w:lang w:val="es-ES_tradnl"/>
        </w:rPr>
        <w:softHyphen/>
        <w:t xml:space="preserve">– Mínima cuantía – Ley 2069 de 2020 – Artículo 35 –– Aplicación – Puntaje </w:t>
      </w:r>
    </w:p>
    <w:p w14:paraId="582FF27B" w14:textId="77777777" w:rsidR="004870E3" w:rsidRPr="003A44FB" w:rsidRDefault="004870E3" w:rsidP="004870E3">
      <w:pPr>
        <w:tabs>
          <w:tab w:val="left" w:pos="709"/>
        </w:tabs>
        <w:contextualSpacing/>
        <w:jc w:val="both"/>
        <w:rPr>
          <w:rFonts w:ascii="Arial" w:eastAsia="Calibri" w:hAnsi="Arial" w:cs="Arial"/>
          <w:sz w:val="20"/>
          <w:szCs w:val="20"/>
          <w:lang w:val="es-ES_tradnl"/>
        </w:rPr>
      </w:pPr>
    </w:p>
    <w:p w14:paraId="42764C4C" w14:textId="77777777" w:rsidR="004870E3" w:rsidRDefault="004870E3" w:rsidP="004870E3">
      <w:pPr>
        <w:tabs>
          <w:tab w:val="left" w:pos="0"/>
        </w:tabs>
        <w:contextualSpacing/>
        <w:jc w:val="both"/>
        <w:rPr>
          <w:rFonts w:ascii="Arial" w:eastAsiaTheme="minorHAnsi" w:hAnsi="Arial" w:cs="Arial"/>
          <w:sz w:val="20"/>
          <w:szCs w:val="20"/>
          <w:lang w:eastAsia="en-US"/>
        </w:rPr>
      </w:pPr>
      <w:r w:rsidRPr="003A44FB">
        <w:rPr>
          <w:rFonts w:ascii="Arial" w:eastAsia="Calibri" w:hAnsi="Arial" w:cs="Arial"/>
          <w:sz w:val="20"/>
          <w:szCs w:val="20"/>
          <w:lang w:val="es-ES_tradnl"/>
        </w:rPr>
        <w:t>En ese sentido, la Agencia ha estimado que la aplicación del artículo 35 de la Ley 2069 de 2020</w:t>
      </w:r>
      <w:r w:rsidRPr="003A44FB">
        <w:rPr>
          <w:rFonts w:ascii="Arial" w:eastAsiaTheme="minorHAnsi" w:hAnsi="Arial" w:cs="Arial"/>
          <w:sz w:val="20"/>
          <w:szCs w:val="20"/>
          <w:lang w:eastAsia="en-US"/>
        </w:rPr>
        <w:t xml:space="preserve"> es transversal a los diferentes actores del sistema de compras públicas, quienes –indistintamente del régimen de contractual y el proceso de selección– deben aplicar los criterios de desempate de esta norma, lo cual aplica a los procedimientos de subasta inversa y de mínima cuantía. </w:t>
      </w:r>
    </w:p>
    <w:p w14:paraId="4F59E3DD" w14:textId="77777777" w:rsidR="004870E3" w:rsidRPr="003A44FB" w:rsidRDefault="004870E3" w:rsidP="004870E3">
      <w:pPr>
        <w:tabs>
          <w:tab w:val="left" w:pos="0"/>
        </w:tabs>
        <w:contextualSpacing/>
        <w:jc w:val="both"/>
        <w:rPr>
          <w:rFonts w:ascii="Arial" w:eastAsia="Calibri" w:hAnsi="Arial" w:cs="Arial"/>
          <w:sz w:val="20"/>
          <w:szCs w:val="20"/>
          <w:lang w:val="es-ES_tradnl"/>
        </w:rPr>
      </w:pPr>
    </w:p>
    <w:p w14:paraId="46877079" w14:textId="77777777" w:rsidR="004870E3" w:rsidRDefault="004870E3" w:rsidP="004870E3">
      <w:pPr>
        <w:tabs>
          <w:tab w:val="left" w:pos="0"/>
        </w:tabs>
        <w:contextualSpacing/>
        <w:jc w:val="both"/>
        <w:rPr>
          <w:rFonts w:ascii="Arial" w:eastAsia="Calibri" w:hAnsi="Arial" w:cs="Arial"/>
          <w:bCs/>
          <w:sz w:val="20"/>
          <w:szCs w:val="20"/>
        </w:rPr>
      </w:pPr>
      <w:r w:rsidRPr="003A44FB">
        <w:rPr>
          <w:rFonts w:ascii="Arial" w:eastAsia="Calibri" w:hAnsi="Arial" w:cs="Arial"/>
          <w:sz w:val="20"/>
          <w:szCs w:val="20"/>
          <w:lang w:val="es-ES_tradnl"/>
        </w:rPr>
        <w:t>El hecho de que en este procedimiento la determinación de la oferta más favorable no esté mediada por el uso de «puntaje» y que el artículo 35 de la Ley 2069 de 2020 sea aplicable en «</w:t>
      </w:r>
      <w:r w:rsidRPr="003A44FB">
        <w:rPr>
          <w:rFonts w:ascii="Arial" w:hAnsi="Arial" w:cs="Arial"/>
          <w:sz w:val="20"/>
          <w:szCs w:val="20"/>
        </w:rPr>
        <w:t>[..] caso de empate en el puntaje total de dos o más ofertas […]»,</w:t>
      </w:r>
      <w:r w:rsidRPr="003A44FB">
        <w:rPr>
          <w:rFonts w:ascii="Arial" w:eastAsia="Calibri" w:hAnsi="Arial" w:cs="Arial"/>
          <w:sz w:val="20"/>
          <w:szCs w:val="20"/>
          <w:lang w:val="es-ES_tradnl"/>
        </w:rPr>
        <w:t xml:space="preserve"> no significa la inaplicación de dicha noma</w:t>
      </w:r>
      <w:r w:rsidRPr="003A44FB">
        <w:rPr>
          <w:rFonts w:ascii="Arial" w:eastAsia="Calibri" w:hAnsi="Arial" w:cs="Arial"/>
          <w:bCs/>
          <w:sz w:val="20"/>
          <w:szCs w:val="20"/>
        </w:rPr>
        <w:t xml:space="preserve">. </w:t>
      </w:r>
      <w:r w:rsidRPr="003A44FB">
        <w:rPr>
          <w:rFonts w:ascii="Arial" w:eastAsia="Calibri" w:hAnsi="Arial" w:cs="Arial"/>
          <w:sz w:val="20"/>
          <w:szCs w:val="20"/>
          <w:lang w:val="es-ES_tradnl"/>
        </w:rPr>
        <w:lastRenderedPageBreak/>
        <w:t xml:space="preserve">Esto dado que una interpretación exegética del artículo 35, según la cual este solo es aplicable en los procedimientos en los que se use el «puntaje» como mecanismo de evaluación, no corresponde con la finalidad transversal de la norma, puesto que los factores de desempate de la Ley de Emprendimiento están concebidos para </w:t>
      </w:r>
      <w:r w:rsidRPr="003A44FB">
        <w:rPr>
          <w:rFonts w:ascii="Arial" w:eastAsia="Calibri" w:hAnsi="Arial" w:cs="Arial"/>
          <w:bCs/>
          <w:sz w:val="20"/>
          <w:szCs w:val="20"/>
        </w:rPr>
        <w:t>«[…]</w:t>
      </w:r>
      <w:r w:rsidRPr="003A44FB">
        <w:rPr>
          <w:rFonts w:ascii="Arial" w:hAnsi="Arial" w:cs="Arial"/>
          <w:sz w:val="20"/>
          <w:szCs w:val="20"/>
        </w:rPr>
        <w:t xml:space="preserve">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w:t>
      </w:r>
      <w:r w:rsidRPr="003A44FB">
        <w:rPr>
          <w:rFonts w:ascii="Arial" w:eastAsia="Calibri" w:hAnsi="Arial" w:cs="Arial"/>
          <w:bCs/>
          <w:sz w:val="20"/>
          <w:szCs w:val="20"/>
        </w:rPr>
        <w:t>».</w:t>
      </w:r>
    </w:p>
    <w:p w14:paraId="54F2ADF8" w14:textId="77777777" w:rsidR="004870E3" w:rsidRPr="003A44FB" w:rsidRDefault="004870E3" w:rsidP="004870E3">
      <w:pPr>
        <w:tabs>
          <w:tab w:val="left" w:pos="0"/>
        </w:tabs>
        <w:contextualSpacing/>
        <w:jc w:val="both"/>
        <w:rPr>
          <w:rFonts w:ascii="Arial" w:eastAsia="Calibri" w:hAnsi="Arial" w:cs="Arial"/>
          <w:bCs/>
          <w:sz w:val="20"/>
          <w:szCs w:val="20"/>
        </w:rPr>
      </w:pPr>
    </w:p>
    <w:p w14:paraId="7D08DF07" w14:textId="77777777" w:rsidR="004870E3" w:rsidRPr="003A44FB" w:rsidRDefault="004870E3" w:rsidP="004870E3">
      <w:pPr>
        <w:tabs>
          <w:tab w:val="left" w:pos="0"/>
        </w:tabs>
        <w:contextualSpacing/>
        <w:jc w:val="both"/>
        <w:rPr>
          <w:rFonts w:ascii="Arial" w:eastAsia="Calibri" w:hAnsi="Arial" w:cs="Arial"/>
          <w:bCs/>
          <w:sz w:val="20"/>
          <w:szCs w:val="20"/>
        </w:rPr>
      </w:pPr>
      <w:r w:rsidRPr="003A44FB">
        <w:rPr>
          <w:rFonts w:ascii="Arial" w:eastAsia="Calibri" w:hAnsi="Arial" w:cs="Arial"/>
          <w:bCs/>
          <w:sz w:val="20"/>
          <w:szCs w:val="20"/>
        </w:rPr>
        <w:t xml:space="preserve">Por lo anterior, se considera que el alcance de la expresión </w:t>
      </w:r>
      <w:r w:rsidRPr="003A44FB">
        <w:rPr>
          <w:rFonts w:ascii="Arial" w:eastAsia="Calibri" w:hAnsi="Arial" w:cs="Arial"/>
          <w:bCs/>
          <w:i/>
          <w:iCs/>
          <w:sz w:val="20"/>
          <w:szCs w:val="20"/>
        </w:rPr>
        <w:t xml:space="preserve">puntaje total, </w:t>
      </w:r>
      <w:r w:rsidRPr="003A44FB">
        <w:rPr>
          <w:rFonts w:ascii="Arial" w:eastAsia="Calibri" w:hAnsi="Arial" w:cs="Arial"/>
          <w:bCs/>
          <w:sz w:val="20"/>
          <w:szCs w:val="20"/>
        </w:rPr>
        <w:t>contenida en el artículo 35 de la Ley 2069 de 2020, debe interpretarse sistemáticamente, propiciando una aplicación normativa coherente con otras disposiciones del sistema de compra pública y que satisfaga la finalidad transversal de la norma. Con este propósito, es necesario acudir al artículo 5 de la Ley 1150 de 2007, el cual regula el deber de selección objetiva, conforme al cual debe determinarse cuál es la oferta más favorable para la entidad y los fines de la contratación.</w:t>
      </w:r>
    </w:p>
    <w:p w14:paraId="58610AE0" w14:textId="77777777" w:rsidR="004870E3" w:rsidRPr="003A44FB" w:rsidRDefault="004870E3" w:rsidP="004870E3">
      <w:pPr>
        <w:contextualSpacing/>
        <w:jc w:val="both"/>
        <w:rPr>
          <w:rFonts w:ascii="Arial" w:hAnsi="Arial" w:cs="Arial"/>
          <w:b/>
          <w:bCs/>
          <w:noProof/>
          <w:sz w:val="20"/>
          <w:szCs w:val="20"/>
          <w:lang w:val="es-ES_tradnl"/>
        </w:rPr>
      </w:pPr>
    </w:p>
    <w:p w14:paraId="1DEB0C9E" w14:textId="77777777" w:rsidR="004870E3" w:rsidRPr="004870E3" w:rsidRDefault="004870E3" w:rsidP="004870E3">
      <w:pPr>
        <w:contextualSpacing/>
        <w:jc w:val="both"/>
        <w:rPr>
          <w:rFonts w:ascii="Arial" w:hAnsi="Arial" w:cs="Arial"/>
          <w:b/>
          <w:bCs/>
          <w:noProof/>
          <w:sz w:val="22"/>
          <w:szCs w:val="22"/>
          <w:lang w:val="es-ES_tradnl"/>
        </w:rPr>
      </w:pPr>
      <w:r w:rsidRPr="004870E3">
        <w:rPr>
          <w:rFonts w:ascii="Arial" w:hAnsi="Arial" w:cs="Arial"/>
          <w:b/>
          <w:bCs/>
          <w:noProof/>
          <w:sz w:val="22"/>
          <w:szCs w:val="22"/>
          <w:lang w:val="es-ES_tradnl"/>
        </w:rPr>
        <w:t xml:space="preserve">FACTORES DE DESEMPATE </w:t>
      </w:r>
      <w:r w:rsidRPr="004870E3">
        <w:rPr>
          <w:rFonts w:ascii="Arial" w:hAnsi="Arial" w:cs="Arial"/>
          <w:b/>
          <w:bCs/>
          <w:noProof/>
          <w:sz w:val="22"/>
          <w:szCs w:val="22"/>
          <w:lang w:val="es-ES_tradnl"/>
        </w:rPr>
        <w:softHyphen/>
        <w:t>– Mínima cuantía – Ley 2069 de 2020 – Artículo 35 – Factores de desempate – Aplicación – Decreto 1860 de 2021</w:t>
      </w:r>
    </w:p>
    <w:p w14:paraId="5D4FC9AF" w14:textId="77777777" w:rsidR="004870E3" w:rsidRPr="003A44FB" w:rsidRDefault="004870E3" w:rsidP="004870E3">
      <w:pPr>
        <w:contextualSpacing/>
        <w:jc w:val="both"/>
        <w:rPr>
          <w:rFonts w:ascii="Arial" w:eastAsia="Calibri" w:hAnsi="Arial" w:cs="Arial"/>
          <w:bCs/>
          <w:sz w:val="20"/>
          <w:szCs w:val="20"/>
        </w:rPr>
      </w:pPr>
    </w:p>
    <w:p w14:paraId="58F938EE" w14:textId="77777777" w:rsidR="004870E3" w:rsidRPr="003A44FB" w:rsidRDefault="004870E3" w:rsidP="004870E3">
      <w:pPr>
        <w:contextualSpacing/>
        <w:jc w:val="both"/>
        <w:rPr>
          <w:rFonts w:ascii="Arial" w:eastAsia="Calibri" w:hAnsi="Arial" w:cs="Arial"/>
          <w:sz w:val="20"/>
          <w:szCs w:val="20"/>
          <w:lang w:val="es-ES_tradnl"/>
        </w:rPr>
      </w:pPr>
      <w:r w:rsidRPr="003A44FB">
        <w:rPr>
          <w:rFonts w:ascii="Arial" w:eastAsia="Calibri" w:hAnsi="Arial" w:cs="Arial"/>
          <w:sz w:val="20"/>
          <w:szCs w:val="20"/>
          <w:lang w:val="es-ES_tradnl"/>
        </w:rPr>
        <w:t xml:space="preserve">Sumado a los argumentos antes expuestos, se debe tener en cuenta que el Decreto 1860 de 2021, mediante el cual se reglamentó la Ley 2069 de 2020, dispuso de forma expresa la aplicación de los factores de desempate dispuesto en el artículo 35 a los procedimientos de mínima cuantía. Así las cosas, el artículo 2.2.1.2.1.5.2 del Decreto 1082 de 2015, modificado por el artículo 2 del Decreto 1860 de 2021, regula el procedimiento aplicable para la modalidad de mínima cuantía y </w:t>
      </w:r>
      <w:r w:rsidRPr="003A44FB">
        <w:rPr>
          <w:rFonts w:ascii="Arial" w:eastAsia="Calibri" w:hAnsi="Arial" w:cs="Arial"/>
          <w:sz w:val="20"/>
          <w:szCs w:val="20"/>
          <w:lang w:val="es-ES_tradnl" w:eastAsia="es-CO"/>
        </w:rPr>
        <w:t>dispone, en su numeral 8, un factor de desempate aplicable a este procedimiento</w:t>
      </w:r>
      <w:r w:rsidRPr="003A44FB">
        <w:rPr>
          <w:rFonts w:ascii="Arial" w:eastAsia="Calibri" w:hAnsi="Arial" w:cs="Arial"/>
          <w:sz w:val="20"/>
          <w:szCs w:val="20"/>
          <w:lang w:val="es-ES_tradnl"/>
        </w:rPr>
        <w:t xml:space="preserve">, al indicar que en caso de empate se aplicaran los criterios de que trata el artículo 35 de la Ley 2069 de 2020, conforme lo medios de acreditación dispuestos en el artículo 2.2.1.2.4.2.17. del mismo Decreto. </w:t>
      </w:r>
    </w:p>
    <w:p w14:paraId="243FFAD0" w14:textId="77777777" w:rsidR="00884EC6" w:rsidRDefault="00884EC6">
      <w:pPr>
        <w:spacing w:after="160" w:line="259" w:lineRule="auto"/>
        <w:rPr>
          <w:rFonts w:ascii="Arial" w:eastAsia="Calibri" w:hAnsi="Arial" w:cs="Arial"/>
          <w:sz w:val="22"/>
          <w:szCs w:val="22"/>
          <w:lang w:val="es-ES_tradnl"/>
        </w:rPr>
      </w:pPr>
      <w:r>
        <w:rPr>
          <w:rFonts w:ascii="Arial" w:eastAsia="Calibri" w:hAnsi="Arial" w:cs="Arial"/>
          <w:sz w:val="22"/>
          <w:szCs w:val="22"/>
          <w:lang w:val="es-ES_tradnl"/>
        </w:rPr>
        <w:br w:type="page"/>
      </w:r>
    </w:p>
    <w:p w14:paraId="2FE688CF" w14:textId="3A1B3BF3" w:rsidR="002E2DD0" w:rsidRDefault="002E2DD0" w:rsidP="002E2DD0">
      <w:pPr>
        <w:spacing w:line="276" w:lineRule="auto"/>
        <w:contextualSpacing/>
        <w:jc w:val="right"/>
        <w:rPr>
          <w:rFonts w:ascii="Arial" w:eastAsia="Calibri" w:hAnsi="Arial" w:cs="Arial"/>
          <w:sz w:val="22"/>
          <w:szCs w:val="22"/>
          <w:lang w:val="es-ES_tradnl"/>
        </w:rPr>
      </w:pPr>
      <w:r>
        <w:rPr>
          <w:noProof/>
        </w:rPr>
        <w:lastRenderedPageBreak/>
        <w:drawing>
          <wp:inline distT="0" distB="0" distL="0" distR="0" wp14:anchorId="41D7AF72" wp14:editId="57DE2450">
            <wp:extent cx="3616770" cy="817039"/>
            <wp:effectExtent l="0" t="0" r="3175" b="0"/>
            <wp:docPr id="2091321007" name="Imagen 209132100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1007" name="Imagen 2091321007"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792300" cy="856692"/>
                    </a:xfrm>
                    <a:prstGeom prst="rect">
                      <a:avLst/>
                    </a:prstGeom>
                  </pic:spPr>
                </pic:pic>
              </a:graphicData>
            </a:graphic>
          </wp:inline>
        </w:drawing>
      </w:r>
    </w:p>
    <w:p w14:paraId="4BDFA07A" w14:textId="777A43E6" w:rsidR="00F97AAD" w:rsidRDefault="002E2DD0" w:rsidP="002E2DD0">
      <w:pPr>
        <w:spacing w:line="276" w:lineRule="auto"/>
        <w:contextualSpacing/>
        <w:jc w:val="right"/>
        <w:rPr>
          <w:rFonts w:ascii="Arial" w:eastAsia="Calibri" w:hAnsi="Arial" w:cs="Arial"/>
          <w:sz w:val="22"/>
          <w:szCs w:val="22"/>
          <w:lang w:val="es-ES_tradnl"/>
        </w:rPr>
      </w:pPr>
      <w:r>
        <w:rPr>
          <w:noProof/>
        </w:rPr>
        <w:drawing>
          <wp:inline distT="0" distB="0" distL="0" distR="0" wp14:anchorId="288BC82A" wp14:editId="75DB36E2">
            <wp:extent cx="3619500" cy="9775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19" t="4379" r="1301" b="7299"/>
                    <a:stretch/>
                  </pic:blipFill>
                  <pic:spPr bwMode="auto">
                    <a:xfrm>
                      <a:off x="0" y="0"/>
                      <a:ext cx="3659637" cy="988429"/>
                    </a:xfrm>
                    <a:prstGeom prst="rect">
                      <a:avLst/>
                    </a:prstGeom>
                    <a:ln>
                      <a:noFill/>
                    </a:ln>
                    <a:extLst>
                      <a:ext uri="{53640926-AAD7-44D8-BBD7-CCE9431645EC}">
                        <a14:shadowObscured xmlns:a14="http://schemas.microsoft.com/office/drawing/2010/main"/>
                      </a:ext>
                    </a:extLst>
                  </pic:spPr>
                </pic:pic>
              </a:graphicData>
            </a:graphic>
          </wp:inline>
        </w:drawing>
      </w:r>
    </w:p>
    <w:p w14:paraId="21FD3B3B" w14:textId="0AD60407" w:rsidR="00F97AAD" w:rsidRDefault="00F97AAD" w:rsidP="00893081">
      <w:pPr>
        <w:spacing w:line="276" w:lineRule="auto"/>
        <w:contextualSpacing/>
        <w:jc w:val="both"/>
        <w:rPr>
          <w:rFonts w:ascii="Arial" w:eastAsia="Calibri" w:hAnsi="Arial" w:cs="Arial"/>
          <w:sz w:val="22"/>
          <w:szCs w:val="22"/>
          <w:lang w:val="es-ES_tradnl"/>
        </w:rPr>
      </w:pPr>
    </w:p>
    <w:p w14:paraId="25F860AE" w14:textId="0D472CDD" w:rsidR="00F70E8B" w:rsidRDefault="00F97AAD" w:rsidP="00893081">
      <w:pPr>
        <w:spacing w:line="276" w:lineRule="auto"/>
        <w:contextualSpacing/>
        <w:jc w:val="both"/>
        <w:rPr>
          <w:rFonts w:ascii="Arial" w:eastAsia="Calibri" w:hAnsi="Arial" w:cs="Arial"/>
          <w:sz w:val="22"/>
          <w:szCs w:val="22"/>
          <w:lang w:val="es-ES_tradnl"/>
        </w:rPr>
      </w:pPr>
      <w:r>
        <w:rPr>
          <w:rFonts w:ascii="Arial" w:eastAsia="Calibri" w:hAnsi="Arial" w:cs="Arial"/>
          <w:sz w:val="22"/>
          <w:szCs w:val="22"/>
          <w:lang w:val="es-ES_tradnl"/>
        </w:rPr>
        <w:t>Bogotá D.C., 9 de mayo de 20222</w:t>
      </w:r>
    </w:p>
    <w:p w14:paraId="7E90E296" w14:textId="77777777" w:rsidR="00F97AAD" w:rsidRDefault="00F97AAD" w:rsidP="00893081">
      <w:pPr>
        <w:spacing w:line="276" w:lineRule="auto"/>
        <w:contextualSpacing/>
        <w:jc w:val="both"/>
        <w:rPr>
          <w:rFonts w:ascii="Arial" w:eastAsia="Calibri" w:hAnsi="Arial" w:cs="Arial"/>
          <w:sz w:val="22"/>
          <w:szCs w:val="22"/>
          <w:lang w:val="es-ES_tradnl"/>
        </w:rPr>
      </w:pPr>
    </w:p>
    <w:p w14:paraId="0971E138" w14:textId="46D2F471" w:rsidR="00F2564D" w:rsidRPr="003335CE" w:rsidRDefault="00F2564D" w:rsidP="00893081">
      <w:pPr>
        <w:spacing w:line="276" w:lineRule="auto"/>
        <w:contextualSpacing/>
        <w:jc w:val="both"/>
        <w:rPr>
          <w:rFonts w:ascii="Arial" w:eastAsia="Calibri" w:hAnsi="Arial" w:cs="Arial"/>
          <w:sz w:val="22"/>
          <w:szCs w:val="22"/>
          <w:lang w:val="es-ES_tradnl"/>
        </w:rPr>
      </w:pPr>
      <w:r w:rsidRPr="003335CE">
        <w:rPr>
          <w:rFonts w:ascii="Arial" w:eastAsia="Calibri" w:hAnsi="Arial" w:cs="Arial"/>
          <w:sz w:val="22"/>
          <w:szCs w:val="22"/>
          <w:lang w:val="es-ES_tradnl"/>
        </w:rPr>
        <w:t>Señor</w:t>
      </w:r>
    </w:p>
    <w:p w14:paraId="70D9C7C8" w14:textId="162326D5" w:rsidR="00F2564D" w:rsidRPr="003335CE" w:rsidRDefault="00504189" w:rsidP="00893081">
      <w:pPr>
        <w:spacing w:line="276" w:lineRule="auto"/>
        <w:contextualSpacing/>
        <w:jc w:val="both"/>
        <w:rPr>
          <w:rFonts w:ascii="Arial" w:hAnsi="Arial" w:cs="Arial"/>
          <w:b/>
          <w:bCs/>
          <w:sz w:val="22"/>
          <w:szCs w:val="22"/>
        </w:rPr>
      </w:pPr>
      <w:r w:rsidRPr="003335CE">
        <w:rPr>
          <w:rFonts w:ascii="Arial" w:hAnsi="Arial" w:cs="Arial"/>
          <w:b/>
          <w:bCs/>
          <w:sz w:val="22"/>
          <w:szCs w:val="22"/>
        </w:rPr>
        <w:t>Nicolay David Orlando Romanovsky Camacho</w:t>
      </w:r>
    </w:p>
    <w:p w14:paraId="6DD22476" w14:textId="69BF5532" w:rsidR="00F2564D" w:rsidRPr="003335CE" w:rsidRDefault="00504189" w:rsidP="00893081">
      <w:pPr>
        <w:spacing w:line="276" w:lineRule="auto"/>
        <w:contextualSpacing/>
        <w:jc w:val="both"/>
        <w:rPr>
          <w:rFonts w:ascii="Arial" w:eastAsia="Calibri" w:hAnsi="Arial" w:cs="Arial"/>
          <w:sz w:val="22"/>
          <w:szCs w:val="22"/>
          <w:lang w:val="es-ES_tradnl"/>
        </w:rPr>
      </w:pPr>
      <w:r w:rsidRPr="003335CE">
        <w:rPr>
          <w:rFonts w:ascii="Arial" w:eastAsia="Calibri" w:hAnsi="Arial" w:cs="Arial"/>
          <w:sz w:val="22"/>
          <w:szCs w:val="22"/>
          <w:lang w:val="es-ES_tradnl"/>
        </w:rPr>
        <w:t xml:space="preserve">Bogotá D.C. </w:t>
      </w:r>
    </w:p>
    <w:p w14:paraId="31CDB6C8" w14:textId="77777777" w:rsidR="00F2564D" w:rsidRPr="003335CE" w:rsidRDefault="00F2564D" w:rsidP="00504189">
      <w:pPr>
        <w:spacing w:line="276" w:lineRule="auto"/>
        <w:contextualSpacing/>
        <w:jc w:val="both"/>
        <w:rPr>
          <w:rFonts w:ascii="Arial" w:eastAsia="Calibri" w:hAnsi="Arial" w:cs="Arial"/>
          <w:sz w:val="22"/>
          <w:lang w:val="es-ES_tradnl"/>
        </w:rPr>
      </w:pPr>
    </w:p>
    <w:p w14:paraId="3BE9F07F" w14:textId="77777777" w:rsidR="00F2564D" w:rsidRPr="003335CE" w:rsidRDefault="00F2564D" w:rsidP="00504189">
      <w:pPr>
        <w:spacing w:line="276" w:lineRule="auto"/>
        <w:contextualSpacing/>
        <w:jc w:val="both"/>
        <w:rPr>
          <w:rFonts w:ascii="Arial" w:eastAsia="Calibri" w:hAnsi="Arial" w:cs="Arial"/>
          <w:sz w:val="22"/>
          <w:lang w:val="es-ES_tradnl"/>
        </w:rPr>
      </w:pPr>
    </w:p>
    <w:p w14:paraId="18BC09D0" w14:textId="30E958AF" w:rsidR="00F2564D" w:rsidRPr="003335CE" w:rsidRDefault="00F2564D" w:rsidP="00504189">
      <w:pPr>
        <w:spacing w:line="276" w:lineRule="auto"/>
        <w:contextualSpacing/>
        <w:rPr>
          <w:rFonts w:ascii="Arial" w:eastAsia="Calibri" w:hAnsi="Arial" w:cs="Arial"/>
          <w:b/>
          <w:bCs/>
          <w:sz w:val="22"/>
          <w:lang w:val="es-ES_tradnl"/>
        </w:rPr>
      </w:pPr>
      <w:r w:rsidRPr="003335CE">
        <w:rPr>
          <w:rFonts w:ascii="Arial" w:eastAsia="Calibri" w:hAnsi="Arial" w:cs="Arial"/>
          <w:b/>
          <w:bCs/>
          <w:sz w:val="22"/>
          <w:lang w:val="es-ES_tradnl"/>
        </w:rPr>
        <w:t xml:space="preserve">                                            Concepto C ‒ </w:t>
      </w:r>
      <w:r w:rsidR="00504189" w:rsidRPr="003335CE">
        <w:rPr>
          <w:rFonts w:ascii="Arial" w:eastAsia="Calibri" w:hAnsi="Arial" w:cs="Arial"/>
          <w:b/>
          <w:bCs/>
          <w:sz w:val="22"/>
          <w:lang w:val="es-ES_tradnl"/>
        </w:rPr>
        <w:t>295</w:t>
      </w:r>
      <w:r w:rsidRPr="003335CE">
        <w:rPr>
          <w:rFonts w:ascii="Arial" w:eastAsia="Calibri" w:hAnsi="Arial" w:cs="Arial"/>
          <w:b/>
          <w:bCs/>
          <w:sz w:val="22"/>
          <w:lang w:val="es-ES_tradnl"/>
        </w:rPr>
        <w:t xml:space="preserve"> de 202</w:t>
      </w:r>
      <w:r w:rsidR="00504189" w:rsidRPr="003335CE">
        <w:rPr>
          <w:rFonts w:ascii="Arial" w:eastAsia="Calibri" w:hAnsi="Arial" w:cs="Arial"/>
          <w:b/>
          <w:bCs/>
          <w:sz w:val="22"/>
          <w:lang w:val="es-ES_tradnl"/>
        </w:rPr>
        <w:t>2</w:t>
      </w:r>
    </w:p>
    <w:p w14:paraId="00D12398" w14:textId="77777777" w:rsidR="00F2564D" w:rsidRPr="003335CE" w:rsidRDefault="00F2564D" w:rsidP="00504189">
      <w:pPr>
        <w:spacing w:line="276" w:lineRule="auto"/>
        <w:contextualSpacing/>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335CE" w:rsidRPr="003335CE" w14:paraId="56DEEA31" w14:textId="77777777" w:rsidTr="002C04C6">
        <w:tc>
          <w:tcPr>
            <w:tcW w:w="2689" w:type="dxa"/>
          </w:tcPr>
          <w:p w14:paraId="724F2614" w14:textId="77777777" w:rsidR="00F2564D" w:rsidRPr="003335CE" w:rsidRDefault="00F2564D" w:rsidP="00504189">
            <w:pPr>
              <w:spacing w:line="276" w:lineRule="auto"/>
              <w:contextualSpacing/>
              <w:jc w:val="both"/>
              <w:rPr>
                <w:rFonts w:ascii="Arial" w:eastAsia="Calibri" w:hAnsi="Arial" w:cs="Arial"/>
                <w:sz w:val="22"/>
                <w:lang w:val="es-ES_tradnl"/>
              </w:rPr>
            </w:pPr>
            <w:r w:rsidRPr="003335CE">
              <w:rPr>
                <w:rFonts w:ascii="Arial" w:eastAsia="Calibri" w:hAnsi="Arial" w:cs="Arial"/>
                <w:b/>
                <w:sz w:val="22"/>
                <w:lang w:val="es-ES_tradnl"/>
              </w:rPr>
              <w:t>Temas:</w:t>
            </w:r>
            <w:r w:rsidRPr="003335CE">
              <w:rPr>
                <w:rFonts w:ascii="Arial" w:eastAsia="Calibri" w:hAnsi="Arial" w:cs="Arial"/>
                <w:sz w:val="22"/>
                <w:lang w:val="es-ES_tradnl"/>
              </w:rPr>
              <w:t xml:space="preserve">                                      </w:t>
            </w:r>
          </w:p>
        </w:tc>
        <w:tc>
          <w:tcPr>
            <w:tcW w:w="6237" w:type="dxa"/>
          </w:tcPr>
          <w:p w14:paraId="1E11FE16" w14:textId="77777777" w:rsidR="00031004" w:rsidRPr="00031004" w:rsidRDefault="00031004" w:rsidP="00031004">
            <w:pPr>
              <w:contextualSpacing/>
              <w:jc w:val="both"/>
              <w:rPr>
                <w:rFonts w:ascii="Arial" w:hAnsi="Arial" w:cs="Arial"/>
                <w:bCs/>
                <w:noProof/>
                <w:sz w:val="22"/>
                <w:szCs w:val="22"/>
                <w:lang w:val="es-ES_tradnl"/>
              </w:rPr>
            </w:pPr>
            <w:r w:rsidRPr="00031004">
              <w:rPr>
                <w:rFonts w:ascii="Arial" w:eastAsia="Calibri" w:hAnsi="Arial" w:cs="Arial"/>
                <w:bCs/>
                <w:sz w:val="22"/>
                <w:szCs w:val="22"/>
                <w:lang w:val="es-ES_tradnl"/>
              </w:rPr>
              <w:t xml:space="preserve">SELECCIÓN OBJETIVA – Contratación estatal – Concepto / EMPATE – Procedimiento de selección – Concepto / FACTORES DE DESEMPATE – Características – Límites / LEY DE EMPRENDIMIENTO – Ley 2069 de 2020 – Contenido / </w:t>
            </w:r>
            <w:r w:rsidRPr="00031004">
              <w:rPr>
                <w:rFonts w:ascii="Arial" w:hAnsi="Arial" w:cs="Arial"/>
                <w:bCs/>
                <w:noProof/>
                <w:sz w:val="22"/>
                <w:szCs w:val="22"/>
                <w:lang w:val="es-ES_tradnl"/>
              </w:rPr>
              <w:t xml:space="preserve">FACTORES DE DESEMPATE </w:t>
            </w:r>
            <w:r w:rsidRPr="00031004">
              <w:rPr>
                <w:rFonts w:ascii="Arial" w:hAnsi="Arial" w:cs="Arial"/>
                <w:bCs/>
                <w:noProof/>
                <w:sz w:val="22"/>
                <w:szCs w:val="22"/>
                <w:lang w:val="es-ES_tradnl"/>
              </w:rPr>
              <w:softHyphen/>
              <w:t xml:space="preserve">– Ley 2069 de 2020 – Artículo 35 / FACTORES DE DESEMPATE </w:t>
            </w:r>
            <w:r w:rsidRPr="00031004">
              <w:rPr>
                <w:rFonts w:ascii="Arial" w:hAnsi="Arial" w:cs="Arial"/>
                <w:bCs/>
                <w:noProof/>
                <w:sz w:val="22"/>
                <w:szCs w:val="22"/>
                <w:lang w:val="es-ES_tradnl"/>
              </w:rPr>
              <w:softHyphen/>
              <w:t xml:space="preserve">– Decreto 1860 de 2021 / FACTORES DE DESEMPATE </w:t>
            </w:r>
            <w:r w:rsidRPr="00031004">
              <w:rPr>
                <w:rFonts w:ascii="Arial" w:hAnsi="Arial" w:cs="Arial"/>
                <w:bCs/>
                <w:noProof/>
                <w:sz w:val="22"/>
                <w:szCs w:val="22"/>
                <w:lang w:val="es-ES_tradnl"/>
              </w:rPr>
              <w:softHyphen/>
              <w:t xml:space="preserve">– Mínima cuantía – Ley 2069 de 2020 – Artículo 35 –– Aplicación – Puntaje / FACTORES DE DESEMPATE </w:t>
            </w:r>
            <w:r w:rsidRPr="00031004">
              <w:rPr>
                <w:rFonts w:ascii="Arial" w:hAnsi="Arial" w:cs="Arial"/>
                <w:bCs/>
                <w:noProof/>
                <w:sz w:val="22"/>
                <w:szCs w:val="22"/>
                <w:lang w:val="es-ES_tradnl"/>
              </w:rPr>
              <w:softHyphen/>
              <w:t>– Mínima cuantía – Ley 2069 de 2020 – Artículo 35 – Factores de desempate – Aplicación – Decreto 1860 de 2021</w:t>
            </w:r>
          </w:p>
          <w:p w14:paraId="6174BF62" w14:textId="2D39AC59" w:rsidR="00504189" w:rsidRPr="003335CE" w:rsidRDefault="00504189" w:rsidP="00031004">
            <w:pPr>
              <w:contextualSpacing/>
              <w:jc w:val="both"/>
              <w:rPr>
                <w:rFonts w:ascii="Arial" w:eastAsia="Calibri" w:hAnsi="Arial" w:cs="Arial"/>
                <w:sz w:val="22"/>
                <w:lang w:val="es-ES_tradnl"/>
              </w:rPr>
            </w:pPr>
          </w:p>
        </w:tc>
      </w:tr>
      <w:tr w:rsidR="003335CE" w:rsidRPr="003335CE" w14:paraId="7B71BBB9" w14:textId="77777777" w:rsidTr="002C04C6">
        <w:tc>
          <w:tcPr>
            <w:tcW w:w="2689" w:type="dxa"/>
          </w:tcPr>
          <w:p w14:paraId="40CB409A" w14:textId="77777777" w:rsidR="00F2564D" w:rsidRPr="003335CE" w:rsidRDefault="00F2564D" w:rsidP="00504189">
            <w:pPr>
              <w:spacing w:line="276" w:lineRule="auto"/>
              <w:contextualSpacing/>
              <w:jc w:val="both"/>
              <w:rPr>
                <w:rFonts w:ascii="Arial" w:eastAsia="Calibri" w:hAnsi="Arial" w:cs="Arial"/>
                <w:b/>
                <w:sz w:val="22"/>
                <w:lang w:val="es-ES_tradnl"/>
              </w:rPr>
            </w:pPr>
            <w:r w:rsidRPr="003335CE">
              <w:rPr>
                <w:rFonts w:ascii="Arial" w:eastAsia="Calibri" w:hAnsi="Arial" w:cs="Arial"/>
                <w:b/>
                <w:sz w:val="22"/>
                <w:lang w:val="es-ES_tradnl"/>
              </w:rPr>
              <w:t>Radicación:</w:t>
            </w:r>
            <w:r w:rsidRPr="003335CE">
              <w:rPr>
                <w:rFonts w:ascii="Arial" w:eastAsia="Calibri" w:hAnsi="Arial" w:cs="Arial"/>
                <w:sz w:val="22"/>
                <w:lang w:val="es-ES_tradnl"/>
              </w:rPr>
              <w:t xml:space="preserve">                              </w:t>
            </w:r>
          </w:p>
        </w:tc>
        <w:tc>
          <w:tcPr>
            <w:tcW w:w="6237" w:type="dxa"/>
          </w:tcPr>
          <w:p w14:paraId="507A35E0" w14:textId="17D31F68" w:rsidR="00F2564D" w:rsidRPr="003335CE" w:rsidRDefault="00F2564D" w:rsidP="00504189">
            <w:pPr>
              <w:spacing w:line="276" w:lineRule="auto"/>
              <w:contextualSpacing/>
              <w:jc w:val="both"/>
              <w:rPr>
                <w:rFonts w:ascii="Arial" w:eastAsia="Calibri" w:hAnsi="Arial" w:cs="Arial"/>
                <w:sz w:val="22"/>
                <w:lang w:val="es-ES_tradnl"/>
              </w:rPr>
            </w:pPr>
            <w:r w:rsidRPr="003335CE">
              <w:rPr>
                <w:rFonts w:ascii="Arial" w:eastAsia="Calibri" w:hAnsi="Arial" w:cs="Arial"/>
                <w:sz w:val="22"/>
                <w:lang w:val="es-ES_tradnl"/>
              </w:rPr>
              <w:t xml:space="preserve">Respuesta a consulta # </w:t>
            </w:r>
            <w:r w:rsidR="00504189" w:rsidRPr="003335CE">
              <w:rPr>
                <w:rFonts w:ascii="Arial" w:eastAsia="Calibri" w:hAnsi="Arial" w:cs="Arial"/>
                <w:sz w:val="22"/>
                <w:lang w:val="es-ES_tradnl"/>
              </w:rPr>
              <w:t>P20220329003142</w:t>
            </w:r>
          </w:p>
        </w:tc>
      </w:tr>
    </w:tbl>
    <w:p w14:paraId="553B90E2" w14:textId="77777777" w:rsidR="00F2564D" w:rsidRPr="003335CE" w:rsidRDefault="00F2564D" w:rsidP="00504189">
      <w:pPr>
        <w:spacing w:line="276" w:lineRule="auto"/>
        <w:contextualSpacing/>
        <w:jc w:val="both"/>
        <w:rPr>
          <w:rFonts w:ascii="Arial" w:eastAsia="Calibri" w:hAnsi="Arial" w:cs="Arial"/>
          <w:sz w:val="22"/>
          <w:lang w:val="es-ES_tradnl"/>
        </w:rPr>
      </w:pPr>
    </w:p>
    <w:p w14:paraId="6931FE7F" w14:textId="77777777" w:rsidR="00F2564D" w:rsidRPr="003335CE" w:rsidRDefault="00F2564D" w:rsidP="00504189">
      <w:pPr>
        <w:spacing w:line="276" w:lineRule="auto"/>
        <w:contextualSpacing/>
        <w:jc w:val="both"/>
        <w:rPr>
          <w:rFonts w:ascii="Arial" w:eastAsia="Calibri" w:hAnsi="Arial" w:cs="Arial"/>
          <w:sz w:val="22"/>
          <w:lang w:val="es-ES_tradnl"/>
        </w:rPr>
      </w:pPr>
    </w:p>
    <w:p w14:paraId="3DFD4A85" w14:textId="764889A4" w:rsidR="00F2564D" w:rsidRPr="003335CE" w:rsidRDefault="00F2564D" w:rsidP="00504189">
      <w:pPr>
        <w:spacing w:line="276" w:lineRule="auto"/>
        <w:contextualSpacing/>
        <w:jc w:val="both"/>
        <w:rPr>
          <w:rFonts w:ascii="Arial" w:eastAsia="Calibri" w:hAnsi="Arial" w:cs="Arial"/>
          <w:sz w:val="22"/>
          <w:lang w:val="es-ES_tradnl"/>
        </w:rPr>
      </w:pPr>
      <w:r w:rsidRPr="003335CE">
        <w:rPr>
          <w:rFonts w:ascii="Arial" w:eastAsia="Calibri" w:hAnsi="Arial" w:cs="Arial"/>
          <w:sz w:val="22"/>
          <w:lang w:val="es-ES_tradnl"/>
        </w:rPr>
        <w:t>Estimad</w:t>
      </w:r>
      <w:r w:rsidR="00226E8B" w:rsidRPr="003335CE">
        <w:rPr>
          <w:rFonts w:ascii="Arial" w:eastAsia="Calibri" w:hAnsi="Arial" w:cs="Arial"/>
          <w:sz w:val="22"/>
          <w:lang w:val="es-ES_tradnl"/>
        </w:rPr>
        <w:t>o</w:t>
      </w:r>
      <w:r w:rsidRPr="003335CE">
        <w:rPr>
          <w:rFonts w:ascii="Arial" w:eastAsia="Calibri" w:hAnsi="Arial" w:cs="Arial"/>
          <w:sz w:val="22"/>
          <w:lang w:val="es-ES_tradnl"/>
        </w:rPr>
        <w:t xml:space="preserve"> señor </w:t>
      </w:r>
      <w:r w:rsidR="00226E8B" w:rsidRPr="003335CE">
        <w:rPr>
          <w:rFonts w:ascii="Arial" w:hAnsi="Arial" w:cs="Arial"/>
          <w:sz w:val="22"/>
          <w:szCs w:val="22"/>
        </w:rPr>
        <w:t>Romanovsky</w:t>
      </w:r>
      <w:r w:rsidRPr="003335CE">
        <w:rPr>
          <w:rFonts w:ascii="Arial" w:eastAsia="Calibri" w:hAnsi="Arial" w:cs="Arial"/>
          <w:sz w:val="22"/>
          <w:lang w:val="es-ES_tradnl"/>
        </w:rPr>
        <w:t>:</w:t>
      </w:r>
    </w:p>
    <w:p w14:paraId="392097E0" w14:textId="77777777" w:rsidR="00F2564D" w:rsidRPr="003335CE" w:rsidRDefault="00F2564D" w:rsidP="00504189">
      <w:pPr>
        <w:spacing w:line="276" w:lineRule="auto"/>
        <w:contextualSpacing/>
        <w:jc w:val="both"/>
        <w:rPr>
          <w:rFonts w:ascii="Arial" w:eastAsia="Calibri" w:hAnsi="Arial" w:cs="Arial"/>
          <w:sz w:val="22"/>
          <w:lang w:val="es-ES_tradnl"/>
        </w:rPr>
      </w:pPr>
    </w:p>
    <w:p w14:paraId="326F31C2" w14:textId="027808CC" w:rsidR="00F2564D" w:rsidRPr="003335CE" w:rsidRDefault="00F2564D" w:rsidP="00504189">
      <w:pPr>
        <w:spacing w:line="276" w:lineRule="auto"/>
        <w:contextualSpacing/>
        <w:jc w:val="both"/>
        <w:rPr>
          <w:rFonts w:ascii="Arial" w:eastAsia="Calibri" w:hAnsi="Arial" w:cs="Arial"/>
          <w:sz w:val="22"/>
          <w:lang w:val="es-ES_tradnl"/>
        </w:rPr>
      </w:pPr>
      <w:r w:rsidRPr="003335CE">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0576AA" w:rsidRPr="003335CE">
        <w:rPr>
          <w:rFonts w:ascii="Arial" w:eastAsia="Calibri" w:hAnsi="Arial" w:cs="Arial"/>
          <w:sz w:val="22"/>
          <w:lang w:val="es-ES_tradnl"/>
        </w:rPr>
        <w:t>29 de marzo</w:t>
      </w:r>
      <w:r w:rsidRPr="003335CE">
        <w:rPr>
          <w:rFonts w:ascii="Arial" w:eastAsia="Calibri" w:hAnsi="Arial" w:cs="Arial"/>
          <w:sz w:val="22"/>
          <w:lang w:val="es-ES_tradnl"/>
        </w:rPr>
        <w:t xml:space="preserve"> de 202</w:t>
      </w:r>
      <w:r w:rsidR="000576AA" w:rsidRPr="003335CE">
        <w:rPr>
          <w:rFonts w:ascii="Arial" w:eastAsia="Calibri" w:hAnsi="Arial" w:cs="Arial"/>
          <w:sz w:val="22"/>
          <w:lang w:val="es-ES_tradnl"/>
        </w:rPr>
        <w:t>2</w:t>
      </w:r>
      <w:r w:rsidRPr="003335CE">
        <w:rPr>
          <w:rFonts w:ascii="Arial" w:eastAsia="Calibri" w:hAnsi="Arial" w:cs="Arial"/>
          <w:sz w:val="22"/>
          <w:lang w:val="es-ES_tradnl"/>
        </w:rPr>
        <w:t xml:space="preserve">.  </w:t>
      </w:r>
    </w:p>
    <w:p w14:paraId="6ED4C0F5" w14:textId="77777777" w:rsidR="00F2564D" w:rsidRPr="003335CE" w:rsidRDefault="00F2564D" w:rsidP="00504189">
      <w:pPr>
        <w:spacing w:line="276" w:lineRule="auto"/>
        <w:contextualSpacing/>
        <w:jc w:val="both"/>
        <w:rPr>
          <w:rFonts w:ascii="Arial" w:eastAsia="Calibri" w:hAnsi="Arial" w:cs="Arial"/>
          <w:bCs/>
          <w:sz w:val="22"/>
          <w:lang w:val="es-ES_tradnl"/>
        </w:rPr>
      </w:pPr>
    </w:p>
    <w:p w14:paraId="72FB5CE7" w14:textId="77777777" w:rsidR="00F2564D" w:rsidRPr="003335CE" w:rsidRDefault="00F2564D" w:rsidP="00504189">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3335CE">
        <w:rPr>
          <w:rFonts w:ascii="Arial" w:eastAsia="Calibri" w:hAnsi="Arial" w:cs="Arial"/>
          <w:b/>
          <w:sz w:val="22"/>
          <w:lang w:val="es-ES_tradnl"/>
        </w:rPr>
        <w:t xml:space="preserve">Problema planteado </w:t>
      </w:r>
    </w:p>
    <w:p w14:paraId="30280B52" w14:textId="77777777" w:rsidR="00F2564D" w:rsidRPr="003335CE" w:rsidRDefault="00F2564D" w:rsidP="00504189">
      <w:pPr>
        <w:tabs>
          <w:tab w:val="left" w:pos="426"/>
        </w:tabs>
        <w:spacing w:line="276" w:lineRule="auto"/>
        <w:contextualSpacing/>
        <w:jc w:val="both"/>
        <w:rPr>
          <w:rFonts w:ascii="Arial" w:eastAsia="Calibri" w:hAnsi="Arial" w:cs="Arial"/>
          <w:bCs/>
          <w:sz w:val="22"/>
          <w:lang w:val="es-ES_tradnl"/>
        </w:rPr>
      </w:pPr>
    </w:p>
    <w:p w14:paraId="0B4716F1" w14:textId="02FF5938" w:rsidR="00F2564D" w:rsidRPr="003335CE" w:rsidRDefault="00C35FD4" w:rsidP="00504189">
      <w:pPr>
        <w:autoSpaceDE w:val="0"/>
        <w:autoSpaceDN w:val="0"/>
        <w:adjustRightInd w:val="0"/>
        <w:spacing w:line="276" w:lineRule="auto"/>
        <w:contextualSpacing/>
        <w:jc w:val="both"/>
        <w:rPr>
          <w:rFonts w:ascii="Arial" w:hAnsi="Arial" w:cs="Arial"/>
          <w:sz w:val="22"/>
          <w:szCs w:val="22"/>
          <w:lang w:val="es-ES_tradnl"/>
        </w:rPr>
      </w:pPr>
      <w:r w:rsidRPr="003335CE">
        <w:rPr>
          <w:rFonts w:ascii="Arial" w:hAnsi="Arial" w:cs="Arial"/>
          <w:sz w:val="22"/>
          <w:szCs w:val="22"/>
          <w:lang w:val="es-ES_tradnl"/>
        </w:rPr>
        <w:t xml:space="preserve">En relación a </w:t>
      </w:r>
      <w:r w:rsidR="00F2564D" w:rsidRPr="003335CE">
        <w:rPr>
          <w:rFonts w:ascii="Arial" w:hAnsi="Arial" w:cs="Arial"/>
          <w:sz w:val="22"/>
          <w:szCs w:val="22"/>
          <w:lang w:val="es-ES_tradnl"/>
        </w:rPr>
        <w:t>la aplicación del artículo 35 de la Ley 2069 de 2020 en procesos de selección adelantados en la modalidad de mínima cuantía</w:t>
      </w:r>
      <w:r w:rsidRPr="003335CE">
        <w:rPr>
          <w:rFonts w:ascii="Arial" w:hAnsi="Arial" w:cs="Arial"/>
          <w:sz w:val="22"/>
          <w:szCs w:val="22"/>
          <w:lang w:val="es-ES_tradnl"/>
        </w:rPr>
        <w:t>, usted realiza la siguiente consulta</w:t>
      </w:r>
      <w:r w:rsidR="00F2564D" w:rsidRPr="003335CE">
        <w:rPr>
          <w:rFonts w:ascii="Arial" w:hAnsi="Arial" w:cs="Arial"/>
          <w:sz w:val="22"/>
          <w:szCs w:val="22"/>
          <w:lang w:val="es-ES_tradnl"/>
        </w:rPr>
        <w:t xml:space="preserve">:  </w:t>
      </w:r>
    </w:p>
    <w:p w14:paraId="4147E056" w14:textId="77777777" w:rsidR="00F2564D" w:rsidRPr="003335CE" w:rsidRDefault="00F2564D" w:rsidP="00504189">
      <w:pPr>
        <w:autoSpaceDE w:val="0"/>
        <w:autoSpaceDN w:val="0"/>
        <w:adjustRightInd w:val="0"/>
        <w:spacing w:line="276" w:lineRule="auto"/>
        <w:contextualSpacing/>
        <w:jc w:val="both"/>
        <w:rPr>
          <w:rFonts w:ascii="Arial" w:hAnsi="Arial" w:cs="Arial"/>
          <w:sz w:val="22"/>
          <w:szCs w:val="22"/>
          <w:lang w:val="es-ES_tradnl"/>
        </w:rPr>
      </w:pPr>
    </w:p>
    <w:p w14:paraId="53913400" w14:textId="77777777" w:rsidR="00C35FD4" w:rsidRPr="003335CE" w:rsidRDefault="00F2564D" w:rsidP="00C35FD4">
      <w:pPr>
        <w:ind w:left="709" w:right="618"/>
        <w:contextualSpacing/>
        <w:jc w:val="both"/>
        <w:rPr>
          <w:rFonts w:ascii="Arial" w:eastAsia="Calibri" w:hAnsi="Arial" w:cs="Arial"/>
          <w:sz w:val="21"/>
          <w:szCs w:val="21"/>
          <w:lang w:val="es-ES"/>
        </w:rPr>
      </w:pPr>
      <w:r w:rsidRPr="003335CE">
        <w:rPr>
          <w:rFonts w:ascii="Arial" w:eastAsia="Calibri" w:hAnsi="Arial" w:cs="Arial"/>
          <w:sz w:val="21"/>
          <w:szCs w:val="21"/>
          <w:lang w:val="es-ES"/>
        </w:rPr>
        <w:t>«</w:t>
      </w:r>
      <w:r w:rsidR="00C35FD4" w:rsidRPr="003335CE">
        <w:rPr>
          <w:rFonts w:ascii="Arial" w:eastAsia="Calibri" w:hAnsi="Arial" w:cs="Arial"/>
          <w:sz w:val="21"/>
          <w:szCs w:val="21"/>
          <w:lang w:val="es-ES"/>
        </w:rPr>
        <w:t xml:space="preserve">Acudo a esa Agencia Nacional para consultar sobre el artículo 35 de la Ley 2069 de 2020, que dice "ARTÍCULO 35. FACTORES DE DESEMPATE. 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 " </w:t>
      </w:r>
    </w:p>
    <w:p w14:paraId="727C7DE6" w14:textId="77777777" w:rsidR="00C35FD4" w:rsidRPr="003335CE" w:rsidRDefault="00C35FD4" w:rsidP="00C35FD4">
      <w:pPr>
        <w:ind w:left="709" w:right="618"/>
        <w:contextualSpacing/>
        <w:jc w:val="both"/>
        <w:rPr>
          <w:rFonts w:ascii="Arial" w:eastAsia="Calibri" w:hAnsi="Arial" w:cs="Arial"/>
          <w:sz w:val="21"/>
          <w:szCs w:val="21"/>
          <w:lang w:val="es-ES"/>
        </w:rPr>
      </w:pPr>
    </w:p>
    <w:p w14:paraId="26F31D94" w14:textId="0484B766" w:rsidR="00F2564D" w:rsidRPr="003335CE" w:rsidRDefault="00C35FD4" w:rsidP="00C35FD4">
      <w:pPr>
        <w:ind w:left="709" w:right="618"/>
        <w:contextualSpacing/>
        <w:jc w:val="both"/>
        <w:rPr>
          <w:rFonts w:ascii="Arial" w:eastAsia="Calibri" w:hAnsi="Arial" w:cs="Arial"/>
          <w:sz w:val="21"/>
          <w:szCs w:val="21"/>
          <w:lang w:val="es-ES"/>
        </w:rPr>
      </w:pPr>
      <w:r w:rsidRPr="003335CE">
        <w:rPr>
          <w:rFonts w:ascii="Arial" w:eastAsia="Calibri" w:hAnsi="Arial" w:cs="Arial"/>
          <w:sz w:val="21"/>
          <w:szCs w:val="21"/>
          <w:lang w:val="es-ES"/>
        </w:rPr>
        <w:t>Teniendo que la norma indica "empate en el puntaje total", solicito si en criterio de esa Entidad, el artículo en comento rige para procesos de mínima cuantía</w:t>
      </w:r>
      <w:r w:rsidR="00F2564D" w:rsidRPr="003335CE">
        <w:rPr>
          <w:rFonts w:ascii="Arial" w:eastAsia="Calibri" w:hAnsi="Arial" w:cs="Arial"/>
          <w:sz w:val="21"/>
          <w:szCs w:val="21"/>
          <w:lang w:val="es-ES"/>
        </w:rPr>
        <w:t>»</w:t>
      </w:r>
    </w:p>
    <w:p w14:paraId="57C27AA6" w14:textId="77777777" w:rsidR="00F2564D" w:rsidRPr="003335CE" w:rsidRDefault="00F2564D" w:rsidP="00F2564D">
      <w:pPr>
        <w:spacing w:line="276" w:lineRule="auto"/>
        <w:ind w:right="709"/>
        <w:contextualSpacing/>
        <w:jc w:val="both"/>
        <w:rPr>
          <w:rFonts w:ascii="Arial" w:hAnsi="Arial" w:cs="Arial"/>
          <w:sz w:val="22"/>
          <w:szCs w:val="22"/>
          <w:lang w:val="es-ES_tradnl"/>
        </w:rPr>
      </w:pPr>
    </w:p>
    <w:p w14:paraId="3B5C5B38" w14:textId="77777777" w:rsidR="00F2564D" w:rsidRPr="003335CE" w:rsidRDefault="00F2564D" w:rsidP="00F2564D">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3335CE">
        <w:rPr>
          <w:rFonts w:ascii="Arial" w:eastAsia="Calibri" w:hAnsi="Arial" w:cs="Arial"/>
          <w:b/>
          <w:sz w:val="22"/>
          <w:lang w:val="es-ES_tradnl"/>
        </w:rPr>
        <w:t>Consideraciones</w:t>
      </w:r>
    </w:p>
    <w:p w14:paraId="61243B20" w14:textId="77777777" w:rsidR="00F2564D" w:rsidRPr="003335CE" w:rsidRDefault="00F2564D" w:rsidP="00F2564D">
      <w:pPr>
        <w:contextualSpacing/>
        <w:jc w:val="both"/>
        <w:rPr>
          <w:rFonts w:ascii="Arial" w:eastAsia="Calibri" w:hAnsi="Arial" w:cs="Arial"/>
          <w:sz w:val="22"/>
          <w:szCs w:val="22"/>
          <w:lang w:val="es-ES_tradnl"/>
        </w:rPr>
      </w:pPr>
    </w:p>
    <w:p w14:paraId="1DE06921" w14:textId="6D0DC7BE" w:rsidR="005A5516" w:rsidRPr="0084078D" w:rsidRDefault="005A5516" w:rsidP="005A5516">
      <w:pPr>
        <w:spacing w:after="120" w:line="276" w:lineRule="auto"/>
        <w:jc w:val="both"/>
        <w:rPr>
          <w:rFonts w:ascii="Arial" w:eastAsia="Calibri" w:hAnsi="Arial" w:cs="Arial"/>
          <w:sz w:val="22"/>
          <w:szCs w:val="22"/>
          <w:lang w:val="es-ES_tradnl"/>
        </w:rPr>
      </w:pPr>
      <w:r w:rsidRPr="00C75E45">
        <w:rPr>
          <w:rFonts w:ascii="Arial" w:eastAsia="Calibri" w:hAnsi="Arial" w:cs="Arial"/>
          <w:sz w:val="22"/>
          <w:szCs w:val="22"/>
        </w:rPr>
        <w:t xml:space="preserve">Para responder sus interrogantes, </w:t>
      </w:r>
      <w:r w:rsidRPr="00C75E45">
        <w:rPr>
          <w:rFonts w:ascii="Arial" w:eastAsia="Calibri" w:hAnsi="Arial" w:cs="Arial"/>
          <w:sz w:val="22"/>
          <w:szCs w:val="22"/>
          <w:lang w:val="es-ES"/>
        </w:rPr>
        <w:t>se analizarán los siguientes temas</w:t>
      </w:r>
      <w:r w:rsidRPr="00C75E45">
        <w:rPr>
          <w:rFonts w:ascii="Arial" w:eastAsia="Calibri" w:hAnsi="Arial" w:cs="Arial"/>
          <w:sz w:val="22"/>
          <w:szCs w:val="22"/>
        </w:rPr>
        <w:t>: i</w:t>
      </w:r>
      <w:r w:rsidRPr="00C75E45">
        <w:rPr>
          <w:rFonts w:ascii="Arial" w:eastAsia="Calibri" w:hAnsi="Arial" w:cs="Arial"/>
          <w:sz w:val="22"/>
          <w:szCs w:val="22"/>
          <w:lang w:val="es-ES_tradnl"/>
        </w:rPr>
        <w:t xml:space="preserve">) definición de los criterios de desempate en la contratación estatal, ii) </w:t>
      </w:r>
      <w:r w:rsidR="0084078D" w:rsidRPr="00572A74">
        <w:rPr>
          <w:rFonts w:ascii="Arial" w:eastAsia="Calibri" w:hAnsi="Arial" w:cs="Arial"/>
          <w:sz w:val="22"/>
          <w:szCs w:val="22"/>
          <w:lang w:val="es-ES_tradnl"/>
        </w:rPr>
        <w:t>ámbito</w:t>
      </w:r>
      <w:r w:rsidR="0084078D" w:rsidRPr="0084078D">
        <w:rPr>
          <w:rFonts w:ascii="Arial" w:eastAsia="Calibri" w:hAnsi="Arial" w:cs="Arial"/>
          <w:sz w:val="22"/>
          <w:szCs w:val="22"/>
          <w:lang w:val="es-ES_tradnl"/>
        </w:rPr>
        <w:t xml:space="preserve"> de aplicación de la Ley 2069 de 2020, iii) los factores de desempate del artículo 35 de la Ley 2069 de 2020 y su reglamentación en el Decreto 1860 de 2021 y iv) la aplicabilidad de los factores de desempate del artículo 35 de la Ley 2069 de 2015 a los procedimientos de mínima cuantía. </w:t>
      </w:r>
    </w:p>
    <w:p w14:paraId="45FD14EA" w14:textId="452DDBFF" w:rsidR="00F2564D" w:rsidRPr="003335CE" w:rsidRDefault="00F2564D" w:rsidP="005A5516">
      <w:pPr>
        <w:spacing w:line="276" w:lineRule="auto"/>
        <w:ind w:firstLine="709"/>
        <w:contextualSpacing/>
        <w:jc w:val="both"/>
        <w:rPr>
          <w:rFonts w:ascii="Arial" w:eastAsia="Calibri" w:hAnsi="Arial" w:cs="Arial"/>
          <w:sz w:val="22"/>
          <w:szCs w:val="22"/>
          <w:lang w:val="es-ES_tradnl"/>
        </w:rPr>
      </w:pPr>
      <w:r w:rsidRPr="003335CE">
        <w:rPr>
          <w:rFonts w:ascii="Arial" w:eastAsia="Calibri" w:hAnsi="Arial" w:cs="Arial"/>
          <w:sz w:val="22"/>
          <w:szCs w:val="22"/>
          <w:lang w:val="es-ES_tradnl"/>
        </w:rPr>
        <w:t>Es importante destacar que esta Agencia ha estudiado, en términos generales,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y C-586 del 14 de octubre de 2021, entre otros</w:t>
      </w:r>
      <w:r w:rsidRPr="003335CE">
        <w:rPr>
          <w:rFonts w:ascii="Arial" w:eastAsia="Calibri" w:hAnsi="Arial" w:cs="Arial"/>
          <w:sz w:val="22"/>
          <w:szCs w:val="22"/>
          <w:vertAlign w:val="superscript"/>
        </w:rPr>
        <w:footnoteReference w:id="1"/>
      </w:r>
      <w:r w:rsidRPr="003335CE">
        <w:rPr>
          <w:rFonts w:ascii="Arial" w:eastAsia="Calibri" w:hAnsi="Arial" w:cs="Arial"/>
          <w:sz w:val="22"/>
          <w:szCs w:val="22"/>
          <w:lang w:val="es-ES_tradnl"/>
        </w:rPr>
        <w:t>. Algunas de las consideraciones de estos conceptos se reiteran a continuación.</w:t>
      </w:r>
    </w:p>
    <w:p w14:paraId="19182A21" w14:textId="77777777" w:rsidR="00F2564D" w:rsidRPr="003335CE" w:rsidRDefault="00F2564D" w:rsidP="005A5516">
      <w:pPr>
        <w:spacing w:line="276" w:lineRule="auto"/>
        <w:ind w:firstLine="709"/>
        <w:contextualSpacing/>
        <w:jc w:val="both"/>
        <w:rPr>
          <w:rFonts w:ascii="Arial" w:eastAsia="Calibri" w:hAnsi="Arial" w:cs="Arial"/>
          <w:sz w:val="22"/>
          <w:szCs w:val="22"/>
          <w:lang w:val="es-ES_tradnl"/>
        </w:rPr>
      </w:pPr>
    </w:p>
    <w:p w14:paraId="4F14F4A7" w14:textId="77777777" w:rsidR="00F2564D" w:rsidRPr="003335CE" w:rsidRDefault="00F2564D" w:rsidP="005A5516">
      <w:pPr>
        <w:spacing w:line="276" w:lineRule="auto"/>
        <w:contextualSpacing/>
        <w:jc w:val="both"/>
        <w:rPr>
          <w:rFonts w:ascii="Arial" w:eastAsia="Calibri" w:hAnsi="Arial" w:cs="Arial"/>
          <w:b/>
          <w:bCs/>
          <w:sz w:val="22"/>
          <w:szCs w:val="22"/>
          <w:lang w:val="es-ES_tradnl"/>
        </w:rPr>
      </w:pPr>
      <w:r w:rsidRPr="003335CE">
        <w:rPr>
          <w:rFonts w:ascii="Arial" w:eastAsia="Calibri" w:hAnsi="Arial" w:cs="Arial"/>
          <w:b/>
          <w:bCs/>
          <w:sz w:val="22"/>
          <w:szCs w:val="22"/>
          <w:lang w:val="es-ES_tradnl"/>
        </w:rPr>
        <w:t>2.1. Factores de desempate en la contratación estatal: concepto y características</w:t>
      </w:r>
    </w:p>
    <w:p w14:paraId="71FA7B23" w14:textId="77777777" w:rsidR="00F2564D" w:rsidRPr="003335CE" w:rsidRDefault="00F2564D" w:rsidP="005A5516">
      <w:pPr>
        <w:spacing w:line="276" w:lineRule="auto"/>
        <w:contextualSpacing/>
        <w:jc w:val="both"/>
        <w:rPr>
          <w:rFonts w:ascii="Arial" w:eastAsia="Calibri" w:hAnsi="Arial" w:cs="Arial"/>
          <w:sz w:val="22"/>
          <w:szCs w:val="22"/>
          <w:lang w:val="es-ES_tradnl"/>
        </w:rPr>
      </w:pPr>
    </w:p>
    <w:p w14:paraId="3152F111" w14:textId="213DB6B2" w:rsidR="00F2564D" w:rsidRPr="003335CE" w:rsidRDefault="00F2564D" w:rsidP="00700227">
      <w:pPr>
        <w:spacing w:after="120" w:line="276" w:lineRule="auto"/>
        <w:jc w:val="both"/>
        <w:rPr>
          <w:rFonts w:ascii="Arial" w:eastAsia="Calibri" w:hAnsi="Arial" w:cs="Arial"/>
          <w:sz w:val="22"/>
          <w:szCs w:val="22"/>
          <w:lang w:val="es-ES_tradnl"/>
        </w:rPr>
      </w:pPr>
      <w:bookmarkStart w:id="5" w:name="_Hlk102387982"/>
      <w:r w:rsidRPr="003335CE">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w:t>
      </w:r>
      <w:r w:rsidR="000576BC" w:rsidRPr="003335CE">
        <w:rPr>
          <w:rFonts w:ascii="Arial" w:eastAsia="Calibri" w:hAnsi="Arial" w:cs="Arial"/>
          <w:sz w:val="22"/>
          <w:szCs w:val="22"/>
          <w:lang w:val="es-ES_tradnl"/>
        </w:rPr>
        <w:t>al indicar</w:t>
      </w:r>
      <w:r w:rsidRPr="003335CE">
        <w:rPr>
          <w:rFonts w:ascii="Arial" w:eastAsia="Calibri" w:hAnsi="Arial" w:cs="Arial"/>
          <w:sz w:val="22"/>
          <w:szCs w:val="22"/>
          <w:lang w:val="es-ES_tradnl"/>
        </w:rPr>
        <w:t xml:space="preserve">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55F6DCAF" w14:textId="77777777" w:rsidR="00F2564D" w:rsidRPr="003335CE" w:rsidRDefault="00F2564D" w:rsidP="00700227">
      <w:pPr>
        <w:spacing w:before="120" w:after="120" w:line="276" w:lineRule="auto"/>
        <w:ind w:firstLine="709"/>
        <w:jc w:val="both"/>
        <w:rPr>
          <w:rFonts w:ascii="Arial" w:eastAsia="Calibri" w:hAnsi="Arial" w:cs="Arial"/>
          <w:sz w:val="22"/>
          <w:szCs w:val="22"/>
          <w:lang w:val="es-ES_tradnl"/>
        </w:rPr>
      </w:pPr>
      <w:bookmarkStart w:id="6" w:name="_Hlk102387997"/>
      <w:bookmarkEnd w:id="5"/>
      <w:r w:rsidRPr="003335CE">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7A7D18A9" w14:textId="5E3C714E" w:rsidR="00F2564D" w:rsidRPr="003335CE" w:rsidRDefault="00F2564D" w:rsidP="00700227">
      <w:pPr>
        <w:spacing w:before="120" w:after="120" w:line="276" w:lineRule="auto"/>
        <w:ind w:firstLine="709"/>
        <w:jc w:val="both"/>
        <w:rPr>
          <w:rFonts w:ascii="Arial" w:eastAsia="Calibri" w:hAnsi="Arial" w:cs="Arial"/>
          <w:sz w:val="22"/>
          <w:szCs w:val="22"/>
          <w:lang w:val="es-ES_tradnl"/>
        </w:rPr>
      </w:pPr>
      <w:bookmarkStart w:id="7" w:name="_Hlk102388016"/>
      <w:bookmarkStart w:id="8" w:name="_Hlk102983840"/>
      <w:bookmarkEnd w:id="6"/>
      <w:r w:rsidRPr="003335CE">
        <w:rPr>
          <w:rFonts w:ascii="Arial" w:eastAsia="Calibri" w:hAnsi="Arial" w:cs="Arial"/>
          <w:sz w:val="22"/>
          <w:szCs w:val="22"/>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w:t>
      </w:r>
      <w:r w:rsidR="00723E01" w:rsidRPr="003335CE">
        <w:rPr>
          <w:rFonts w:ascii="Arial" w:eastAsia="Calibri" w:hAnsi="Arial" w:cs="Arial"/>
          <w:sz w:val="22"/>
          <w:szCs w:val="22"/>
          <w:lang w:val="es-ES_tradnl"/>
        </w:rPr>
        <w:t xml:space="preserve">encuentra </w:t>
      </w:r>
      <w:r w:rsidRPr="003335CE">
        <w:rPr>
          <w:rFonts w:ascii="Arial" w:eastAsia="Calibri" w:hAnsi="Arial" w:cs="Arial"/>
          <w:sz w:val="22"/>
          <w:szCs w:val="22"/>
          <w:lang w:val="es-ES_tradnl"/>
        </w:rPr>
        <w:t xml:space="preserve">el artículo </w:t>
      </w:r>
      <w:r w:rsidRPr="003335CE">
        <w:rPr>
          <w:rFonts w:ascii="Arial" w:eastAsia="Calibri" w:hAnsi="Arial" w:cs="Arial"/>
          <w:sz w:val="22"/>
          <w:szCs w:val="22"/>
          <w:lang w:val="es-ES_tradnl"/>
        </w:rPr>
        <w:lastRenderedPageBreak/>
        <w:t>35 de la Ley 2069 de 2020. La jurisprudencia comparte la idea de que los criterios de desempate deben estar establecidos de antemano y constituyen un límite a la discrecionalidad administrativa en los procedimientos de selección</w:t>
      </w:r>
      <w:r w:rsidRPr="003335CE">
        <w:rPr>
          <w:rFonts w:ascii="Arial" w:hAnsi="Arial" w:cs="Arial"/>
          <w:sz w:val="22"/>
          <w:szCs w:val="22"/>
          <w:vertAlign w:val="superscript"/>
          <w:lang w:val="es-ES_tradnl"/>
        </w:rPr>
        <w:footnoteReference w:id="2"/>
      </w:r>
      <w:r w:rsidRPr="003335CE">
        <w:rPr>
          <w:rFonts w:ascii="Arial" w:eastAsia="Calibri" w:hAnsi="Arial" w:cs="Arial"/>
          <w:sz w:val="22"/>
          <w:szCs w:val="22"/>
          <w:lang w:val="es-ES_tradnl"/>
        </w:rPr>
        <w:t xml:space="preserve">. </w:t>
      </w:r>
    </w:p>
    <w:p w14:paraId="2C280B99" w14:textId="77777777" w:rsidR="00F2564D" w:rsidRPr="003335CE" w:rsidRDefault="00F2564D" w:rsidP="00700227">
      <w:pPr>
        <w:spacing w:before="120" w:after="120" w:line="276" w:lineRule="auto"/>
        <w:ind w:firstLine="709"/>
        <w:jc w:val="both"/>
        <w:rPr>
          <w:rFonts w:ascii="Arial" w:eastAsia="Calibri" w:hAnsi="Arial" w:cs="Arial"/>
          <w:sz w:val="22"/>
          <w:szCs w:val="22"/>
          <w:lang w:val="es-ES_tradnl"/>
        </w:rPr>
      </w:pPr>
      <w:r w:rsidRPr="003335CE">
        <w:rPr>
          <w:rFonts w:ascii="Arial" w:eastAsia="Calibri" w:hAnsi="Arial" w:cs="Arial"/>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3335CE">
        <w:rPr>
          <w:rFonts w:ascii="Arial" w:eastAsia="Calibri" w:hAnsi="Arial" w:cs="Arial"/>
          <w:sz w:val="22"/>
          <w:szCs w:val="22"/>
          <w:vertAlign w:val="superscript"/>
          <w:lang w:val="es-ES_tradnl"/>
        </w:rPr>
        <w:footnoteReference w:id="3"/>
      </w:r>
      <w:r w:rsidRPr="003335CE">
        <w:rPr>
          <w:rFonts w:ascii="Arial" w:eastAsia="Calibri" w:hAnsi="Arial" w:cs="Arial"/>
          <w:sz w:val="22"/>
          <w:szCs w:val="22"/>
          <w:lang w:val="es-ES_tradnl"/>
        </w:rPr>
        <w:t>. Más aún, el Consejo de Estado ha señalado que contrariar los factores de desempate genera la nulidad del contrato, conforme al artículo 44, inciso 1º de la Ley 80 de 1993</w:t>
      </w:r>
      <w:bookmarkEnd w:id="7"/>
      <w:r w:rsidRPr="003335CE">
        <w:rPr>
          <w:rFonts w:ascii="Arial" w:eastAsia="Calibri" w:hAnsi="Arial" w:cs="Arial"/>
          <w:sz w:val="22"/>
          <w:szCs w:val="22"/>
          <w:vertAlign w:val="superscript"/>
          <w:lang w:val="es-ES_tradnl"/>
        </w:rPr>
        <w:footnoteReference w:id="4"/>
      </w:r>
      <w:r w:rsidRPr="003335CE">
        <w:rPr>
          <w:rFonts w:ascii="Arial" w:eastAsia="Calibri" w:hAnsi="Arial" w:cs="Arial"/>
          <w:sz w:val="22"/>
          <w:szCs w:val="22"/>
          <w:lang w:val="es-ES_tradnl"/>
        </w:rPr>
        <w:t>.</w:t>
      </w:r>
    </w:p>
    <w:bookmarkEnd w:id="8"/>
    <w:p w14:paraId="1751BE55" w14:textId="77777777" w:rsidR="00F2564D" w:rsidRPr="003335CE" w:rsidRDefault="00F2564D" w:rsidP="0063129A">
      <w:pPr>
        <w:spacing w:before="120" w:line="276" w:lineRule="auto"/>
        <w:ind w:firstLine="709"/>
        <w:jc w:val="both"/>
        <w:rPr>
          <w:rFonts w:ascii="Arial" w:eastAsia="Calibri" w:hAnsi="Arial" w:cs="Arial"/>
          <w:sz w:val="22"/>
          <w:szCs w:val="22"/>
          <w:lang w:val="es-ES_tradnl"/>
        </w:rPr>
      </w:pPr>
      <w:r w:rsidRPr="003335CE">
        <w:rPr>
          <w:rFonts w:ascii="Arial" w:eastAsia="Calibri" w:hAnsi="Arial" w:cs="Arial"/>
          <w:sz w:val="22"/>
          <w:szCs w:val="22"/>
          <w:lang w:val="es-ES_tradnl"/>
        </w:rPr>
        <w:t xml:space="preserve">Ahora bien, en cumplimiento de los principios de reciprocidad y de </w:t>
      </w:r>
      <w:r w:rsidRPr="003335CE">
        <w:rPr>
          <w:rFonts w:ascii="Arial" w:eastAsia="Calibri" w:hAnsi="Arial" w:cs="Arial"/>
          <w:i/>
          <w:iCs/>
          <w:sz w:val="22"/>
          <w:szCs w:val="22"/>
          <w:lang w:val="es-ES_tradnl"/>
        </w:rPr>
        <w:t>pacta sunt servanda</w:t>
      </w:r>
      <w:r w:rsidRPr="003335CE">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35FF7CE0" w14:textId="77777777" w:rsidR="00F2564D" w:rsidRPr="003335CE" w:rsidRDefault="00F2564D" w:rsidP="00F2564D">
      <w:pPr>
        <w:spacing w:line="276" w:lineRule="auto"/>
        <w:contextualSpacing/>
        <w:jc w:val="both"/>
        <w:rPr>
          <w:rFonts w:ascii="Arial" w:eastAsia="Calibri" w:hAnsi="Arial" w:cs="Arial"/>
          <w:b/>
          <w:bCs/>
          <w:sz w:val="22"/>
          <w:szCs w:val="22"/>
          <w:lang w:val="es-ES_tradnl"/>
        </w:rPr>
      </w:pPr>
    </w:p>
    <w:p w14:paraId="2566677B" w14:textId="51ABD22E" w:rsidR="00F2564D" w:rsidRPr="003335CE" w:rsidRDefault="00F2564D" w:rsidP="00F2564D">
      <w:pPr>
        <w:spacing w:line="276" w:lineRule="auto"/>
        <w:contextualSpacing/>
        <w:jc w:val="both"/>
        <w:rPr>
          <w:rFonts w:ascii="Arial" w:eastAsia="Calibri" w:hAnsi="Arial" w:cs="Arial"/>
          <w:b/>
          <w:bCs/>
          <w:sz w:val="22"/>
          <w:szCs w:val="22"/>
          <w:lang w:val="es-ES_tradnl"/>
        </w:rPr>
      </w:pPr>
      <w:r w:rsidRPr="003335CE">
        <w:rPr>
          <w:rFonts w:ascii="Arial" w:eastAsia="Calibri" w:hAnsi="Arial" w:cs="Arial"/>
          <w:b/>
          <w:bCs/>
          <w:sz w:val="22"/>
          <w:szCs w:val="22"/>
          <w:lang w:val="es-ES_tradnl"/>
        </w:rPr>
        <w:t>2.2. Vigencia y ámbito de aplicación de la Ley 2069 de 2020</w:t>
      </w:r>
    </w:p>
    <w:p w14:paraId="649CA5CF" w14:textId="77777777" w:rsidR="00F2564D" w:rsidRPr="003335CE" w:rsidRDefault="00F2564D" w:rsidP="00F2564D">
      <w:pPr>
        <w:spacing w:line="276" w:lineRule="auto"/>
        <w:contextualSpacing/>
        <w:jc w:val="both"/>
        <w:rPr>
          <w:rFonts w:ascii="Arial" w:eastAsia="Calibri" w:hAnsi="Arial" w:cs="Arial"/>
          <w:sz w:val="22"/>
          <w:szCs w:val="22"/>
          <w:lang w:val="es-ES_tradnl"/>
        </w:rPr>
      </w:pPr>
    </w:p>
    <w:p w14:paraId="6891E504" w14:textId="3E770252" w:rsidR="00F2564D" w:rsidRPr="003335CE" w:rsidRDefault="00F2564D" w:rsidP="00505F71">
      <w:pPr>
        <w:spacing w:after="120" w:line="276" w:lineRule="auto"/>
        <w:jc w:val="both"/>
        <w:rPr>
          <w:rFonts w:ascii="Arial" w:eastAsia="Calibri" w:hAnsi="Arial" w:cs="Arial"/>
          <w:sz w:val="22"/>
          <w:szCs w:val="22"/>
          <w:lang w:val="es-ES_tradnl"/>
        </w:rPr>
      </w:pPr>
      <w:bookmarkStart w:id="9" w:name="_Hlk102388074"/>
      <w:bookmarkStart w:id="10" w:name="_Hlk102983874"/>
      <w:r w:rsidRPr="003335CE">
        <w:rPr>
          <w:rFonts w:ascii="Arial" w:eastAsia="Calibri" w:hAnsi="Arial" w:cs="Arial"/>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400BBD18" w14:textId="6231F1F5" w:rsidR="00F2564D" w:rsidRPr="003335CE" w:rsidRDefault="00F2564D" w:rsidP="00505F71">
      <w:pPr>
        <w:spacing w:before="120" w:after="120" w:line="276" w:lineRule="auto"/>
        <w:ind w:firstLine="709"/>
        <w:jc w:val="both"/>
        <w:rPr>
          <w:rFonts w:ascii="Arial" w:eastAsia="Calibri" w:hAnsi="Arial" w:cs="Arial"/>
          <w:sz w:val="22"/>
          <w:szCs w:val="22"/>
          <w:lang w:val="es-ES_tradnl"/>
        </w:rPr>
      </w:pPr>
      <w:bookmarkStart w:id="11" w:name="_Hlk102388095"/>
      <w:bookmarkEnd w:id="9"/>
      <w:r w:rsidRPr="003335CE">
        <w:rPr>
          <w:rFonts w:ascii="Arial" w:eastAsia="Calibri" w:hAnsi="Arial" w:cs="Arial"/>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r w:rsidR="00577158" w:rsidRPr="003335CE">
        <w:rPr>
          <w:rFonts w:ascii="Arial" w:eastAsia="Calibri" w:hAnsi="Arial" w:cs="Arial"/>
          <w:sz w:val="22"/>
          <w:szCs w:val="22"/>
          <w:lang w:val="es-ES_tradnl"/>
        </w:rPr>
        <w:lastRenderedPageBreak/>
        <w:t>Mipymes</w:t>
      </w:r>
      <w:r w:rsidRPr="003335CE">
        <w:rPr>
          <w:rFonts w:ascii="Arial" w:eastAsia="Calibri" w:hAnsi="Arial" w:cs="Arial"/>
          <w:sz w:val="22"/>
          <w:szCs w:val="22"/>
          <w:lang w:val="es-ES_tradnl"/>
        </w:rPr>
        <w:t>–, mediante la racionalización y simplificación de los trámites y tarifas</w:t>
      </w:r>
      <w:r w:rsidRPr="003335CE">
        <w:rPr>
          <w:rStyle w:val="Refdenotaalpie"/>
          <w:rFonts w:ascii="Arial" w:eastAsia="Calibri" w:hAnsi="Arial" w:cs="Arial"/>
          <w:sz w:val="22"/>
          <w:szCs w:val="22"/>
          <w:lang w:val="es-ES_tradnl"/>
        </w:rPr>
        <w:footnoteReference w:id="5"/>
      </w:r>
      <w:r w:rsidRPr="003335CE">
        <w:rPr>
          <w:rFonts w:ascii="Arial" w:eastAsia="Calibri" w:hAnsi="Arial" w:cs="Arial"/>
          <w:sz w:val="22"/>
          <w:szCs w:val="22"/>
          <w:lang w:val="es-ES_tradnl"/>
        </w:rPr>
        <w:t>, así como incentivos a favor de aquellas dentro del sistema de compras y contratación pública</w:t>
      </w:r>
      <w:r w:rsidRPr="003335CE">
        <w:rPr>
          <w:rStyle w:val="Refdenotaalpie"/>
          <w:rFonts w:ascii="Arial" w:eastAsia="Calibri" w:hAnsi="Arial" w:cs="Arial"/>
          <w:sz w:val="22"/>
          <w:szCs w:val="22"/>
          <w:lang w:val="es-ES_tradnl"/>
        </w:rPr>
        <w:footnoteReference w:id="6"/>
      </w:r>
      <w:r w:rsidRPr="003335CE">
        <w:rPr>
          <w:rFonts w:ascii="Arial" w:eastAsia="Calibri" w:hAnsi="Arial" w:cs="Arial"/>
          <w:sz w:val="22"/>
          <w:szCs w:val="22"/>
          <w:lang w:val="es-ES_tradnl"/>
        </w:rPr>
        <w:t>. También se consagran mecanismos de acceso al financiamiento</w:t>
      </w:r>
      <w:r w:rsidRPr="003335CE">
        <w:rPr>
          <w:rStyle w:val="Refdenotaalpie"/>
          <w:rFonts w:ascii="Arial" w:eastAsia="Calibri" w:hAnsi="Arial" w:cs="Arial"/>
          <w:sz w:val="22"/>
          <w:szCs w:val="22"/>
          <w:lang w:val="es-ES_tradnl"/>
        </w:rPr>
        <w:footnoteReference w:id="7"/>
      </w:r>
      <w:r w:rsidRPr="003335CE">
        <w:rPr>
          <w:rFonts w:ascii="Arial" w:eastAsia="Calibri" w:hAnsi="Arial" w:cs="Arial"/>
          <w:sz w:val="22"/>
          <w:szCs w:val="22"/>
          <w:lang w:val="es-ES_tradnl"/>
        </w:rPr>
        <w:t>, se unifican las fuentes de emprendimiento y de desarrollo empresarial, para fortalecer y promover los distintos sectores de la economía</w:t>
      </w:r>
      <w:r w:rsidRPr="003335CE">
        <w:rPr>
          <w:rStyle w:val="Refdenotaalpie"/>
          <w:rFonts w:ascii="Arial" w:eastAsia="Calibri" w:hAnsi="Arial" w:cs="Arial"/>
          <w:sz w:val="22"/>
          <w:szCs w:val="22"/>
          <w:lang w:val="es-ES_tradnl"/>
        </w:rPr>
        <w:footnoteReference w:id="8"/>
      </w:r>
      <w:r w:rsidRPr="003335CE">
        <w:rPr>
          <w:rFonts w:ascii="Arial" w:eastAsia="Calibri" w:hAnsi="Arial" w:cs="Arial"/>
          <w:sz w:val="22"/>
          <w:szCs w:val="22"/>
          <w:lang w:val="es-ES_tradnl"/>
        </w:rPr>
        <w:t xml:space="preserve"> y se prevén medidas de educación para el emprendimiento y la innovación</w:t>
      </w:r>
      <w:bookmarkEnd w:id="10"/>
      <w:r w:rsidRPr="003335CE">
        <w:rPr>
          <w:rStyle w:val="Refdenotaalpie"/>
          <w:rFonts w:ascii="Arial" w:eastAsia="Calibri" w:hAnsi="Arial" w:cs="Arial"/>
          <w:sz w:val="22"/>
          <w:szCs w:val="22"/>
          <w:lang w:val="es-ES_tradnl"/>
        </w:rPr>
        <w:footnoteReference w:id="9"/>
      </w:r>
      <w:r w:rsidRPr="003335CE">
        <w:rPr>
          <w:rFonts w:ascii="Arial" w:eastAsia="Calibri" w:hAnsi="Arial" w:cs="Arial"/>
          <w:sz w:val="22"/>
          <w:szCs w:val="22"/>
          <w:lang w:val="es-ES_tradnl"/>
        </w:rPr>
        <w:t>.</w:t>
      </w:r>
      <w:bookmarkEnd w:id="11"/>
    </w:p>
    <w:p w14:paraId="1D62181D" w14:textId="369BE980" w:rsidR="00F2564D" w:rsidRPr="003335CE" w:rsidRDefault="00F2564D" w:rsidP="00505F71">
      <w:pPr>
        <w:spacing w:before="120" w:after="120" w:line="276" w:lineRule="auto"/>
        <w:ind w:firstLine="709"/>
        <w:jc w:val="both"/>
        <w:rPr>
          <w:rFonts w:ascii="Arial" w:eastAsia="Calibri" w:hAnsi="Arial" w:cs="Arial"/>
          <w:sz w:val="22"/>
          <w:szCs w:val="22"/>
          <w:lang w:val="es-ES_tradnl"/>
        </w:rPr>
      </w:pPr>
      <w:bookmarkStart w:id="12" w:name="_Hlk63883948"/>
      <w:r w:rsidRPr="003335CE">
        <w:rPr>
          <w:rFonts w:ascii="Arial" w:eastAsia="Calibri" w:hAnsi="Arial" w:cs="Arial"/>
          <w:sz w:val="22"/>
          <w:szCs w:val="22"/>
          <w:lang w:val="es-ES_tradnl"/>
        </w:rPr>
        <w:t xml:space="preserve">La Ley 2069 de 2020 guarda </w:t>
      </w:r>
      <w:r w:rsidRPr="003335CE">
        <w:rPr>
          <w:rFonts w:ascii="Arial" w:eastAsia="Calibri" w:hAnsi="Arial" w:cs="Arial"/>
          <w:bCs/>
          <w:sz w:val="22"/>
        </w:rPr>
        <w:t xml:space="preserve">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w:t>
      </w:r>
      <w:r w:rsidR="00BF1ED3" w:rsidRPr="003335CE">
        <w:rPr>
          <w:rFonts w:ascii="Arial" w:eastAsia="Calibri" w:hAnsi="Arial" w:cs="Arial"/>
          <w:bCs/>
          <w:sz w:val="22"/>
        </w:rPr>
        <w:t xml:space="preserve">Ley </w:t>
      </w:r>
      <w:r w:rsidRPr="003335CE">
        <w:rPr>
          <w:rFonts w:ascii="Arial" w:eastAsia="Calibri" w:hAnsi="Arial" w:cs="Arial"/>
          <w:bCs/>
          <w:sz w:val="22"/>
        </w:rPr>
        <w:t xml:space="preserve">en comento también concreta la </w:t>
      </w:r>
      <w:bookmarkStart w:id="13" w:name="_Hlk63692496"/>
      <w:r w:rsidRPr="003335CE">
        <w:rPr>
          <w:rFonts w:ascii="Arial" w:eastAsia="Calibri" w:hAnsi="Arial" w:cs="Arial"/>
          <w:bCs/>
          <w:sz w:val="22"/>
        </w:rPr>
        <w:t>«Política de formalización empresarial»</w:t>
      </w:r>
      <w:bookmarkEnd w:id="13"/>
      <w:r w:rsidRPr="003335CE">
        <w:rPr>
          <w:rFonts w:ascii="Arial" w:eastAsia="Calibri" w:hAnsi="Arial" w:cs="Arial"/>
          <w:bCs/>
          <w:sz w:val="22"/>
        </w:rPr>
        <w:t xml:space="preserve"> del Documento CONPES 3956 del 8 de enero de 2019</w:t>
      </w:r>
      <w:r w:rsidRPr="003335CE">
        <w:rPr>
          <w:rStyle w:val="Refdenotaalpie"/>
          <w:rFonts w:ascii="Arial" w:eastAsia="Calibri" w:hAnsi="Arial" w:cs="Arial"/>
          <w:bCs/>
          <w:sz w:val="22"/>
        </w:rPr>
        <w:footnoteReference w:id="10"/>
      </w:r>
      <w:r w:rsidRPr="003335CE">
        <w:rPr>
          <w:rFonts w:ascii="Arial" w:eastAsia="Calibri" w:hAnsi="Arial" w:cs="Arial"/>
          <w:bCs/>
          <w:sz w:val="22"/>
        </w:rPr>
        <w:t>.</w:t>
      </w:r>
      <w:bookmarkEnd w:id="12"/>
    </w:p>
    <w:p w14:paraId="5743D492" w14:textId="1BCCE8A6" w:rsidR="00F2564D" w:rsidRPr="003335CE" w:rsidRDefault="00F2564D" w:rsidP="00505F71">
      <w:pPr>
        <w:tabs>
          <w:tab w:val="left" w:pos="709"/>
        </w:tabs>
        <w:spacing w:before="120" w:after="120" w:line="276" w:lineRule="auto"/>
        <w:jc w:val="both"/>
        <w:rPr>
          <w:rFonts w:ascii="Arial" w:eastAsia="Calibri" w:hAnsi="Arial" w:cs="Arial"/>
          <w:bCs/>
          <w:sz w:val="22"/>
        </w:rPr>
      </w:pPr>
      <w:r w:rsidRPr="003335CE">
        <w:rPr>
          <w:rFonts w:ascii="Arial" w:eastAsia="Calibri" w:hAnsi="Arial" w:cs="Arial"/>
          <w:bCs/>
          <w:sz w:val="22"/>
        </w:rPr>
        <w:tab/>
        <w:t xml:space="preserve">De esta manera, la </w:t>
      </w:r>
      <w:r w:rsidR="00BF1ED3" w:rsidRPr="003335CE">
        <w:rPr>
          <w:rFonts w:ascii="Arial" w:eastAsia="Calibri" w:hAnsi="Arial" w:cs="Arial"/>
          <w:bCs/>
          <w:sz w:val="22"/>
        </w:rPr>
        <w:t xml:space="preserve">Ley </w:t>
      </w:r>
      <w:r w:rsidRPr="003335CE">
        <w:rPr>
          <w:rFonts w:ascii="Arial" w:eastAsia="Calibri" w:hAnsi="Arial" w:cs="Arial"/>
          <w:bCs/>
          <w:sz w:val="22"/>
        </w:rPr>
        <w:t>impulsa medidas para</w:t>
      </w:r>
      <w:r w:rsidR="00BF1ED3" w:rsidRPr="003335CE">
        <w:rPr>
          <w:rFonts w:ascii="Arial" w:eastAsia="Calibri" w:hAnsi="Arial" w:cs="Arial"/>
          <w:bCs/>
          <w:sz w:val="22"/>
        </w:rPr>
        <w:t xml:space="preserve">: </w:t>
      </w:r>
      <w:r w:rsidRPr="003335CE">
        <w:rPr>
          <w:rFonts w:ascii="Arial" w:eastAsia="Calibri" w:hAnsi="Arial" w:cs="Arial"/>
          <w:bCs/>
          <w:sz w:val="22"/>
        </w:rPr>
        <w:t xml:space="preserve">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w:t>
      </w:r>
      <w:r w:rsidRPr="003335CE">
        <w:rPr>
          <w:rFonts w:ascii="Arial" w:eastAsia="Calibri" w:hAnsi="Arial" w:cs="Arial"/>
          <w:bCs/>
          <w:sz w:val="22"/>
        </w:rPr>
        <w:lastRenderedPageBreak/>
        <w:t>colombiana, así como vi) otorgar beneficios para emprendedores, especialmente, estableciendo un enfoque diferencial respecto a los miembros de las poblaciones más vulnerables, que les permita avanzar en su actividad y desarrollar sus iniciativas</w:t>
      </w:r>
      <w:r w:rsidRPr="003335CE">
        <w:rPr>
          <w:rStyle w:val="Refdenotaalpie"/>
          <w:rFonts w:ascii="Arial" w:eastAsia="Calibri" w:hAnsi="Arial" w:cs="Arial"/>
          <w:bCs/>
          <w:sz w:val="22"/>
        </w:rPr>
        <w:footnoteReference w:id="11"/>
      </w:r>
      <w:r w:rsidRPr="003335CE">
        <w:rPr>
          <w:rFonts w:ascii="Arial" w:eastAsia="Calibri" w:hAnsi="Arial" w:cs="Arial"/>
          <w:bCs/>
          <w:sz w:val="22"/>
        </w:rPr>
        <w:t>.</w:t>
      </w:r>
    </w:p>
    <w:p w14:paraId="603EBC2E" w14:textId="31686ADA" w:rsidR="00F2564D" w:rsidRPr="003335CE" w:rsidRDefault="00F2564D" w:rsidP="00F2564D">
      <w:pPr>
        <w:spacing w:before="120" w:line="276" w:lineRule="auto"/>
        <w:ind w:firstLine="709"/>
        <w:jc w:val="both"/>
        <w:rPr>
          <w:rFonts w:ascii="Arial" w:eastAsia="Calibri" w:hAnsi="Arial" w:cs="Arial"/>
          <w:sz w:val="22"/>
          <w:szCs w:val="22"/>
          <w:lang w:val="es-ES_tradnl"/>
        </w:rPr>
      </w:pPr>
      <w:r w:rsidRPr="003335CE">
        <w:rPr>
          <w:rFonts w:ascii="Arial" w:eastAsia="Calibri" w:hAnsi="Arial" w:cs="Arial"/>
          <w:sz w:val="22"/>
          <w:szCs w:val="22"/>
          <w:lang w:val="es-ES_tradnl"/>
        </w:rPr>
        <w:t>Además, parte de la Ley 2069</w:t>
      </w:r>
      <w:r w:rsidR="00505F71" w:rsidRPr="003335CE">
        <w:rPr>
          <w:rFonts w:ascii="Arial" w:eastAsia="Calibri" w:hAnsi="Arial" w:cs="Arial"/>
          <w:sz w:val="22"/>
          <w:szCs w:val="22"/>
          <w:lang w:val="es-ES_tradnl"/>
        </w:rPr>
        <w:t xml:space="preserve"> de 2020</w:t>
      </w:r>
      <w:r w:rsidRPr="003335CE">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r w:rsidR="00BF1ED3" w:rsidRPr="003335CE">
        <w:rPr>
          <w:rFonts w:ascii="Arial" w:eastAsia="Calibri" w:hAnsi="Arial" w:cs="Arial"/>
          <w:sz w:val="22"/>
          <w:szCs w:val="22"/>
          <w:lang w:val="es-ES_tradnl"/>
        </w:rPr>
        <w:t xml:space="preserve">Mipymes </w:t>
      </w:r>
      <w:r w:rsidRPr="003335CE">
        <w:rPr>
          <w:rFonts w:ascii="Arial" w:eastAsia="Calibri" w:hAnsi="Arial" w:cs="Arial"/>
          <w:sz w:val="22"/>
          <w:szCs w:val="22"/>
          <w:lang w:val="es-ES_tradnl"/>
        </w:rPr>
        <w:t xml:space="preserve">en el procedimiento de mínima cuantía, ii) criterios diferenciales para </w:t>
      </w:r>
      <w:r w:rsidR="00BF1ED3" w:rsidRPr="003335CE">
        <w:rPr>
          <w:rFonts w:ascii="Arial" w:eastAsia="Calibri" w:hAnsi="Arial" w:cs="Arial"/>
          <w:sz w:val="22"/>
          <w:szCs w:val="22"/>
          <w:lang w:val="es-ES_tradnl"/>
        </w:rPr>
        <w:t xml:space="preserve">Mipymes </w:t>
      </w:r>
      <w:r w:rsidRPr="003335CE">
        <w:rPr>
          <w:rFonts w:ascii="Arial" w:eastAsia="Calibri" w:hAnsi="Arial" w:cs="Arial"/>
          <w:sz w:val="22"/>
          <w:szCs w:val="22"/>
          <w:lang w:val="es-ES_tradnl"/>
        </w:rPr>
        <w:t xml:space="preserve">en el sistema de compras públicas, iii) criterios diferenciales para emprendimientos y empresas de mujeres en el sistema de compras públicas, iv) promoción del acceso de las </w:t>
      </w:r>
      <w:r w:rsidR="00505F71" w:rsidRPr="003335CE">
        <w:rPr>
          <w:rFonts w:ascii="Arial" w:eastAsia="Calibri" w:hAnsi="Arial" w:cs="Arial"/>
          <w:sz w:val="22"/>
          <w:szCs w:val="22"/>
          <w:lang w:val="es-ES_tradnl"/>
        </w:rPr>
        <w:t xml:space="preserve">Mipymes </w:t>
      </w:r>
      <w:r w:rsidRPr="003335CE">
        <w:rPr>
          <w:rFonts w:ascii="Arial" w:eastAsia="Calibri" w:hAnsi="Arial" w:cs="Arial"/>
          <w:sz w:val="22"/>
          <w:szCs w:val="22"/>
          <w:lang w:val="es-ES_tradnl"/>
        </w:rPr>
        <w:t xml:space="preserve">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61C61410" w14:textId="77777777" w:rsidR="00F2564D" w:rsidRPr="003335CE" w:rsidRDefault="00F2564D" w:rsidP="00F2564D">
      <w:pPr>
        <w:spacing w:line="276" w:lineRule="auto"/>
        <w:ind w:firstLine="709"/>
        <w:contextualSpacing/>
        <w:jc w:val="both"/>
        <w:rPr>
          <w:rFonts w:ascii="Arial" w:eastAsia="Calibri" w:hAnsi="Arial" w:cs="Arial"/>
          <w:sz w:val="22"/>
          <w:szCs w:val="22"/>
          <w:lang w:val="es-ES_tradnl"/>
        </w:rPr>
      </w:pPr>
    </w:p>
    <w:p w14:paraId="06FCA479" w14:textId="60727F5F" w:rsidR="00F2564D" w:rsidRPr="003335CE" w:rsidRDefault="00F2564D" w:rsidP="005836C4">
      <w:pPr>
        <w:spacing w:line="276" w:lineRule="auto"/>
        <w:contextualSpacing/>
        <w:jc w:val="both"/>
        <w:rPr>
          <w:rFonts w:ascii="Arial" w:eastAsia="Calibri" w:hAnsi="Arial" w:cs="Arial"/>
          <w:b/>
          <w:bCs/>
          <w:sz w:val="22"/>
          <w:szCs w:val="22"/>
          <w:lang w:val="es-ES_tradnl"/>
        </w:rPr>
      </w:pPr>
      <w:r w:rsidRPr="003335CE">
        <w:rPr>
          <w:rFonts w:ascii="Arial" w:eastAsia="Calibri" w:hAnsi="Arial" w:cs="Arial"/>
          <w:b/>
          <w:bCs/>
          <w:sz w:val="22"/>
          <w:szCs w:val="22"/>
          <w:lang w:val="es-ES_tradnl"/>
        </w:rPr>
        <w:t>2.3. Los factores de desempate del artículo 35 de la Ley 2069 de 2020</w:t>
      </w:r>
      <w:r w:rsidR="005836C4" w:rsidRPr="003335CE">
        <w:rPr>
          <w:rFonts w:ascii="Arial" w:eastAsia="Calibri" w:hAnsi="Arial" w:cs="Arial"/>
          <w:b/>
          <w:bCs/>
          <w:sz w:val="22"/>
          <w:szCs w:val="22"/>
          <w:lang w:val="es-ES_tradnl"/>
        </w:rPr>
        <w:t xml:space="preserve"> y su reglamentación en el Decreto 1860 de 2021</w:t>
      </w:r>
    </w:p>
    <w:p w14:paraId="253E76B2" w14:textId="77777777" w:rsidR="00F2564D" w:rsidRPr="003335CE" w:rsidRDefault="00F2564D" w:rsidP="00F2564D">
      <w:pPr>
        <w:spacing w:line="276" w:lineRule="auto"/>
        <w:contextualSpacing/>
        <w:jc w:val="both"/>
        <w:rPr>
          <w:rFonts w:ascii="Arial" w:eastAsia="Calibri" w:hAnsi="Arial" w:cs="Arial"/>
          <w:b/>
          <w:bCs/>
          <w:sz w:val="22"/>
          <w:szCs w:val="22"/>
          <w:lang w:val="es-ES_tradnl"/>
        </w:rPr>
      </w:pPr>
    </w:p>
    <w:p w14:paraId="685C621A" w14:textId="712742E0" w:rsidR="00F2564D" w:rsidRPr="003335CE" w:rsidRDefault="00F2564D" w:rsidP="001F0C10">
      <w:pPr>
        <w:spacing w:after="120" w:line="276" w:lineRule="auto"/>
        <w:jc w:val="both"/>
        <w:rPr>
          <w:rFonts w:ascii="Arial" w:eastAsia="Calibri" w:hAnsi="Arial" w:cs="Arial"/>
          <w:sz w:val="22"/>
          <w:szCs w:val="22"/>
          <w:lang w:val="es-ES_tradnl"/>
        </w:rPr>
      </w:pPr>
      <w:bookmarkStart w:id="15" w:name="_Hlk102388186"/>
      <w:r w:rsidRPr="003335CE">
        <w:rPr>
          <w:rFonts w:ascii="Arial" w:eastAsia="Calibri" w:hAnsi="Arial" w:cs="Arial"/>
          <w:sz w:val="22"/>
          <w:szCs w:val="22"/>
          <w:lang w:val="es-ES_tradnl"/>
        </w:rPr>
        <w:t xml:space="preserve">El artículo 35 de la Ley 2069 de 2020 </w:t>
      </w:r>
      <w:r w:rsidR="00911940" w:rsidRPr="003335CE">
        <w:rPr>
          <w:rFonts w:ascii="Arial" w:eastAsia="Calibri" w:hAnsi="Arial" w:cs="Arial"/>
          <w:sz w:val="22"/>
          <w:szCs w:val="22"/>
          <w:lang w:val="es-ES_tradnl"/>
        </w:rPr>
        <w:t xml:space="preserve">define un nuevo marco jurídico en relación con los criterios de desempate previstos en los procesos de contratación </w:t>
      </w:r>
      <w:r w:rsidR="00C61710" w:rsidRPr="003335CE">
        <w:rPr>
          <w:rFonts w:ascii="Arial" w:eastAsia="Calibri" w:hAnsi="Arial" w:cs="Arial"/>
          <w:sz w:val="22"/>
          <w:szCs w:val="22"/>
          <w:lang w:val="es-ES_tradnl"/>
        </w:rPr>
        <w:t xml:space="preserve">realizados </w:t>
      </w:r>
      <w:r w:rsidR="00911940" w:rsidRPr="003335CE">
        <w:rPr>
          <w:rFonts w:ascii="Arial" w:eastAsia="Calibri" w:hAnsi="Arial" w:cs="Arial"/>
          <w:sz w:val="22"/>
          <w:szCs w:val="22"/>
          <w:lang w:val="es-ES_tradnl"/>
        </w:rPr>
        <w:t>con cargo a recursos públicos, los procesos de contratación efectuados por</w:t>
      </w:r>
      <w:r w:rsidR="00C61710" w:rsidRPr="003335CE">
        <w:rPr>
          <w:rFonts w:ascii="Arial" w:eastAsia="Calibri" w:hAnsi="Arial" w:cs="Arial"/>
          <w:sz w:val="22"/>
          <w:szCs w:val="22"/>
          <w:lang w:val="es-ES_tradnl"/>
        </w:rPr>
        <w:t xml:space="preserve"> las</w:t>
      </w:r>
      <w:r w:rsidR="00911940" w:rsidRPr="003335CE">
        <w:rPr>
          <w:rFonts w:ascii="Arial" w:eastAsia="Calibri" w:hAnsi="Arial" w:cs="Arial"/>
          <w:sz w:val="22"/>
          <w:szCs w:val="22"/>
          <w:lang w:val="es-ES_tradnl"/>
        </w:rPr>
        <w:t xml:space="preserve"> entidades estatales indistintamente de su régimen de contratación, así como los procesos de contratación adelantados por </w:t>
      </w:r>
      <w:r w:rsidR="00960860" w:rsidRPr="003335CE">
        <w:rPr>
          <w:rFonts w:ascii="Arial" w:eastAsia="Calibri" w:hAnsi="Arial" w:cs="Arial"/>
          <w:sz w:val="22"/>
          <w:szCs w:val="22"/>
          <w:lang w:val="es-ES_tradnl"/>
        </w:rPr>
        <w:t>patrimonios autónomos constituidos por entidades estatales.</w:t>
      </w:r>
      <w:r w:rsidR="00C61710" w:rsidRPr="003335CE">
        <w:rPr>
          <w:rFonts w:ascii="Arial" w:eastAsia="Calibri" w:hAnsi="Arial" w:cs="Arial"/>
          <w:sz w:val="22"/>
          <w:szCs w:val="22"/>
          <w:lang w:val="es-ES_tradnl"/>
        </w:rPr>
        <w:t xml:space="preserve"> </w:t>
      </w:r>
      <w:bookmarkEnd w:id="15"/>
      <w:r w:rsidRPr="003335CE">
        <w:rPr>
          <w:rFonts w:ascii="Arial" w:eastAsia="Calibri" w:hAnsi="Arial" w:cs="Arial"/>
          <w:sz w:val="22"/>
          <w:szCs w:val="22"/>
          <w:lang w:val="es-ES_tradnl"/>
        </w:rPr>
        <w:t xml:space="preserve">En consideración a que en la consulta se </w:t>
      </w:r>
      <w:r w:rsidR="00BD1A4F" w:rsidRPr="003335CE">
        <w:rPr>
          <w:rFonts w:ascii="Arial" w:eastAsia="Calibri" w:hAnsi="Arial" w:cs="Arial"/>
          <w:sz w:val="22"/>
          <w:szCs w:val="22"/>
          <w:lang w:val="es-ES_tradnl"/>
        </w:rPr>
        <w:t xml:space="preserve">le </w:t>
      </w:r>
      <w:r w:rsidRPr="003335CE">
        <w:rPr>
          <w:rFonts w:ascii="Arial" w:eastAsia="Calibri" w:hAnsi="Arial" w:cs="Arial"/>
          <w:sz w:val="22"/>
          <w:szCs w:val="22"/>
          <w:lang w:val="es-ES_tradnl"/>
        </w:rPr>
        <w:t xml:space="preserve">solicita </w:t>
      </w:r>
      <w:r w:rsidR="00AE65A4" w:rsidRPr="003335CE">
        <w:rPr>
          <w:rFonts w:ascii="Arial" w:eastAsia="Calibri" w:hAnsi="Arial" w:cs="Arial"/>
          <w:sz w:val="22"/>
          <w:szCs w:val="22"/>
          <w:lang w:val="es-ES_tradnl"/>
        </w:rPr>
        <w:t>a</w:t>
      </w:r>
      <w:r w:rsidRPr="003335CE">
        <w:rPr>
          <w:rFonts w:ascii="Arial" w:eastAsia="Calibri" w:hAnsi="Arial" w:cs="Arial"/>
          <w:sz w:val="22"/>
          <w:szCs w:val="22"/>
          <w:lang w:val="es-ES_tradnl"/>
        </w:rPr>
        <w:t xml:space="preserve"> la Agencia Nacional de Contratación Pública – Colombia Compra Eficiente </w:t>
      </w:r>
      <w:r w:rsidR="00AE65A4" w:rsidRPr="003335CE">
        <w:rPr>
          <w:rFonts w:ascii="Arial" w:eastAsia="Calibri" w:hAnsi="Arial" w:cs="Arial"/>
          <w:sz w:val="22"/>
          <w:szCs w:val="22"/>
          <w:lang w:val="es-ES_tradnl"/>
        </w:rPr>
        <w:t xml:space="preserve">que </w:t>
      </w:r>
      <w:r w:rsidRPr="003335CE">
        <w:rPr>
          <w:rFonts w:ascii="Arial" w:eastAsia="Calibri" w:hAnsi="Arial" w:cs="Arial"/>
          <w:sz w:val="22"/>
          <w:szCs w:val="22"/>
          <w:lang w:val="es-ES_tradnl"/>
        </w:rPr>
        <w:t>efectúe ciertas precisiones hermenéuticas sobre la aplicación de dicho artículo a los procedimientos de mínima cuantía, la Agencia se pronunciará sobre el alcance que otorga a tales disposiciones, sin pasar por alto la novedad de la Ley 2069 de 2020 y la ausencia de pronunciamientos jurisprudenciales o estudios doctrinarios sobre el tema, que seguramente contribuirán a decantar la interpretación de las normas en comento.</w:t>
      </w:r>
    </w:p>
    <w:p w14:paraId="3B2C7EAD" w14:textId="02C7065A" w:rsidR="00F2564D" w:rsidRPr="003335CE" w:rsidRDefault="00F2564D" w:rsidP="001F0C10">
      <w:pPr>
        <w:spacing w:before="120" w:after="120" w:line="276" w:lineRule="auto"/>
        <w:ind w:firstLine="709"/>
        <w:jc w:val="both"/>
        <w:rPr>
          <w:rFonts w:ascii="Arial" w:eastAsia="Calibri" w:hAnsi="Arial" w:cs="Arial"/>
          <w:sz w:val="22"/>
          <w:szCs w:val="22"/>
          <w:lang w:val="es-ES_tradnl"/>
        </w:rPr>
      </w:pPr>
      <w:r w:rsidRPr="003335CE">
        <w:rPr>
          <w:rFonts w:ascii="Arial" w:eastAsia="Calibri" w:hAnsi="Arial" w:cs="Arial"/>
          <w:sz w:val="22"/>
          <w:szCs w:val="22"/>
          <w:lang w:val="es-ES_tradnl"/>
        </w:rPr>
        <w:t xml:space="preserve">Al respecto, pese a que el parágrafo 3 dispone que el </w:t>
      </w:r>
      <w:r w:rsidR="001C7C7B" w:rsidRPr="003335CE">
        <w:rPr>
          <w:rFonts w:ascii="Arial" w:eastAsia="Calibri" w:hAnsi="Arial" w:cs="Arial"/>
          <w:sz w:val="22"/>
          <w:szCs w:val="22"/>
          <w:lang w:val="es-ES_tradnl"/>
        </w:rPr>
        <w:t xml:space="preserve">gobierno nacional </w:t>
      </w:r>
      <w:r w:rsidRPr="003335CE">
        <w:rPr>
          <w:rFonts w:ascii="Arial" w:eastAsia="Calibri" w:hAnsi="Arial" w:cs="Arial"/>
          <w:sz w:val="22"/>
          <w:szCs w:val="22"/>
          <w:lang w:val="es-ES_tradnl"/>
        </w:rPr>
        <w:t>podrá regular los supuestos en que concurran dos o más factores de desempate, se considera que el artículo 35 de la Ley 2069 de 2020 goza de aplicación directa desde la fecha de su promulgación, es decir, no requ</w:t>
      </w:r>
      <w:r w:rsidR="001C7C7B" w:rsidRPr="003335CE">
        <w:rPr>
          <w:rFonts w:ascii="Arial" w:eastAsia="Calibri" w:hAnsi="Arial" w:cs="Arial"/>
          <w:sz w:val="22"/>
          <w:szCs w:val="22"/>
          <w:lang w:val="es-ES_tradnl"/>
        </w:rPr>
        <w:t>ería</w:t>
      </w:r>
      <w:r w:rsidRPr="003335CE">
        <w:rPr>
          <w:rFonts w:ascii="Arial" w:eastAsia="Calibri" w:hAnsi="Arial" w:cs="Arial"/>
          <w:sz w:val="22"/>
          <w:szCs w:val="22"/>
          <w:lang w:val="es-ES_tradnl"/>
        </w:rPr>
        <w:t xml:space="preserv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350476A9" w14:textId="656A7EB3" w:rsidR="00F2564D" w:rsidRPr="003335CE" w:rsidRDefault="00F2564D" w:rsidP="001F0C10">
      <w:pPr>
        <w:spacing w:before="120" w:after="120" w:line="276" w:lineRule="auto"/>
        <w:ind w:firstLine="709"/>
        <w:jc w:val="both"/>
        <w:rPr>
          <w:rFonts w:ascii="Arial" w:eastAsia="Calibri" w:hAnsi="Arial" w:cs="Arial"/>
          <w:sz w:val="22"/>
          <w:szCs w:val="22"/>
          <w:lang w:val="es-ES_tradnl"/>
        </w:rPr>
      </w:pPr>
      <w:r w:rsidRPr="003335CE">
        <w:rPr>
          <w:rFonts w:ascii="Arial" w:eastAsia="Calibri" w:hAnsi="Arial" w:cs="Arial"/>
          <w:sz w:val="22"/>
          <w:szCs w:val="22"/>
          <w:lang w:val="es-ES_tradnl"/>
        </w:rPr>
        <w:lastRenderedPageBreak/>
        <w:t xml:space="preserve">Por ejemplo, en lo que a las compras públicas se refiere, el parágrafo primero del artículo 30, que alude a la participación de </w:t>
      </w:r>
      <w:r w:rsidR="00D85564" w:rsidRPr="003335CE">
        <w:rPr>
          <w:rFonts w:ascii="Arial" w:eastAsia="Calibri" w:hAnsi="Arial" w:cs="Arial"/>
          <w:sz w:val="22"/>
          <w:szCs w:val="22"/>
          <w:lang w:val="es-ES_tradnl"/>
        </w:rPr>
        <w:t xml:space="preserve">Mipymes </w:t>
      </w:r>
      <w:r w:rsidRPr="003335CE">
        <w:rPr>
          <w:rFonts w:ascii="Arial" w:eastAsia="Calibri" w:hAnsi="Arial" w:cs="Arial"/>
          <w:sz w:val="22"/>
          <w:szCs w:val="22"/>
          <w:lang w:val="es-ES_tradnl"/>
        </w:rPr>
        <w:t xml:space="preserve">en procedimientos de mínima cuantía, establece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0748F3A3" w14:textId="77777777" w:rsidR="00F2564D" w:rsidRPr="003335CE" w:rsidRDefault="00F2564D" w:rsidP="001F0C10">
      <w:pPr>
        <w:spacing w:before="120" w:after="120" w:line="276" w:lineRule="auto"/>
        <w:ind w:firstLine="709"/>
        <w:jc w:val="both"/>
        <w:rPr>
          <w:rFonts w:ascii="Arial" w:eastAsia="Calibri" w:hAnsi="Arial" w:cs="Arial"/>
          <w:sz w:val="22"/>
          <w:szCs w:val="22"/>
          <w:lang w:val="es-ES_tradnl"/>
        </w:rPr>
      </w:pPr>
      <w:r w:rsidRPr="003335CE">
        <w:rPr>
          <w:rFonts w:ascii="Arial" w:eastAsia="Calibri" w:hAnsi="Arial" w:cs="Arial"/>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14B75736" w14:textId="77777777" w:rsidR="00F2564D" w:rsidRPr="003335CE" w:rsidRDefault="00F2564D" w:rsidP="001F0C10">
      <w:pPr>
        <w:spacing w:before="120" w:after="120" w:line="276" w:lineRule="auto"/>
        <w:ind w:firstLine="708"/>
        <w:jc w:val="both"/>
        <w:rPr>
          <w:rFonts w:ascii="Arial" w:eastAsia="Calibri" w:hAnsi="Arial" w:cs="Arial"/>
          <w:sz w:val="22"/>
          <w:szCs w:val="22"/>
          <w:lang w:val="es-ES_tradnl"/>
        </w:rPr>
      </w:pPr>
      <w:r w:rsidRPr="003335CE">
        <w:rPr>
          <w:rFonts w:ascii="Arial" w:eastAsia="Calibri" w:hAnsi="Arial" w:cs="Arial"/>
          <w:sz w:val="22"/>
          <w:szCs w:val="22"/>
          <w:lang w:val="es-ES_tradnl"/>
        </w:rPr>
        <w:t xml:space="preserve">Lo mismo no sucede con el artículo 35. En efecto, </w:t>
      </w:r>
      <w:r w:rsidRPr="003335CE">
        <w:rPr>
          <w:rFonts w:ascii="Arial" w:hAnsi="Arial" w:cs="Arial"/>
          <w:sz w:val="22"/>
          <w:szCs w:val="22"/>
          <w:lang w:val="es-ES_tradnl"/>
        </w:rPr>
        <w:t xml:space="preserve">si bien los factores de desempate regulados en el artículo 35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3335CE">
        <w:rPr>
          <w:rFonts w:ascii="Arial" w:eastAsia="Calibri" w:hAnsi="Arial" w:cs="Arial"/>
          <w:sz w:val="22"/>
          <w:szCs w:val="22"/>
          <w:lang w:val="es-ES_tradnl"/>
        </w:rPr>
        <w:t xml:space="preserve"> </w:t>
      </w:r>
    </w:p>
    <w:p w14:paraId="7F643F45" w14:textId="77777777" w:rsidR="009700C3" w:rsidRPr="003335CE" w:rsidRDefault="00F2564D" w:rsidP="001F0C10">
      <w:pPr>
        <w:spacing w:before="120" w:after="120" w:line="276" w:lineRule="auto"/>
        <w:ind w:firstLine="709"/>
        <w:jc w:val="both"/>
        <w:rPr>
          <w:rFonts w:ascii="Arial" w:eastAsia="Calibri" w:hAnsi="Arial" w:cs="Arial"/>
          <w:sz w:val="22"/>
          <w:szCs w:val="22"/>
          <w:lang w:val="es-ES_tradnl"/>
        </w:rPr>
      </w:pPr>
      <w:r w:rsidRPr="003335CE">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3335CE">
        <w:rPr>
          <w:rFonts w:ascii="Arial" w:eastAsia="Calibri" w:hAnsi="Arial" w:cs="Arial"/>
          <w:i/>
          <w:iCs/>
          <w:sz w:val="22"/>
          <w:szCs w:val="22"/>
          <w:lang w:val="es-ES_tradnl"/>
        </w:rPr>
        <w:t>podrá reglamentar</w:t>
      </w:r>
      <w:r w:rsidRPr="003335CE">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7E1850D6" w14:textId="3897C8C3" w:rsidR="00E848ED" w:rsidRPr="003335CE" w:rsidRDefault="009700C3" w:rsidP="001F0C10">
      <w:pPr>
        <w:spacing w:before="120" w:after="120" w:line="276" w:lineRule="auto"/>
        <w:ind w:firstLine="709"/>
        <w:jc w:val="both"/>
        <w:rPr>
          <w:rFonts w:ascii="Arial" w:eastAsia="Calibri" w:hAnsi="Arial" w:cs="Arial"/>
          <w:sz w:val="22"/>
          <w:szCs w:val="22"/>
          <w:lang w:val="es-ES_tradnl"/>
        </w:rPr>
      </w:pPr>
      <w:bookmarkStart w:id="16" w:name="_Hlk102388229"/>
      <w:r w:rsidRPr="003335CE">
        <w:rPr>
          <w:rFonts w:ascii="Arial" w:eastAsia="Calibri" w:hAnsi="Arial" w:cs="Arial"/>
          <w:sz w:val="22"/>
          <w:szCs w:val="22"/>
          <w:lang w:val="es-ES_tradnl"/>
        </w:rPr>
        <w:t xml:space="preserve">Si bien esta norma es de aplicación directa, como se mencionó en los párrafos anteriores, no establece la forma de acreditar las circunstancias a las que se refieren cada uno de sus numerales, por lo que se consideró necesario la intervención del reglamento para la debida aplicación de los factores de desempate, de manera que se estandarizara la </w:t>
      </w:r>
      <w:r w:rsidRPr="003335CE">
        <w:rPr>
          <w:rFonts w:ascii="Arial" w:eastAsia="Calibri" w:hAnsi="Arial" w:cs="Arial"/>
          <w:sz w:val="22"/>
          <w:szCs w:val="22"/>
          <w:lang w:val="es-ES_tradnl"/>
        </w:rPr>
        <w:lastRenderedPageBreak/>
        <w:t xml:space="preserve">forma en que se acreditan los mismos. </w:t>
      </w:r>
      <w:r w:rsidR="001F2FE4" w:rsidRPr="003335CE">
        <w:rPr>
          <w:rFonts w:ascii="Arial" w:eastAsia="Calibri" w:hAnsi="Arial" w:cs="Arial"/>
          <w:sz w:val="22"/>
          <w:szCs w:val="22"/>
          <w:lang w:val="es-ES_tradnl"/>
        </w:rPr>
        <w:t>En consecuencia, c</w:t>
      </w:r>
      <w:r w:rsidR="00E848ED" w:rsidRPr="003335CE">
        <w:rPr>
          <w:rFonts w:ascii="Arial" w:eastAsia="Calibri" w:hAnsi="Arial" w:cs="Arial"/>
          <w:sz w:val="22"/>
          <w:szCs w:val="22"/>
          <w:lang w:val="es-ES_tradnl"/>
        </w:rPr>
        <w:t xml:space="preserve">onforme la potestad reglamentaria asignada al </w:t>
      </w:r>
      <w:r w:rsidR="00E01ED5" w:rsidRPr="003335CE">
        <w:rPr>
          <w:rFonts w:ascii="Arial" w:eastAsia="Calibri" w:hAnsi="Arial" w:cs="Arial"/>
          <w:sz w:val="22"/>
          <w:szCs w:val="22"/>
          <w:lang w:val="es-ES_tradnl"/>
        </w:rPr>
        <w:t>gobierno nacional</w:t>
      </w:r>
      <w:r w:rsidR="00E848ED" w:rsidRPr="003335CE">
        <w:rPr>
          <w:rFonts w:ascii="Arial" w:eastAsia="Calibri" w:hAnsi="Arial" w:cs="Arial"/>
          <w:sz w:val="22"/>
          <w:szCs w:val="22"/>
          <w:lang w:val="es-ES_tradnl"/>
        </w:rPr>
        <w:t>, el artículo 3 del Decreto 1860 de 2021, mediante el cual se adicionó el artículo 2.2.1.2.4.2.17</w:t>
      </w:r>
      <w:r w:rsidR="001F2FE4" w:rsidRPr="003335CE">
        <w:rPr>
          <w:rFonts w:ascii="Arial" w:eastAsia="Calibri" w:hAnsi="Arial" w:cs="Arial"/>
          <w:sz w:val="22"/>
          <w:szCs w:val="22"/>
          <w:lang w:val="es-ES_tradnl"/>
        </w:rPr>
        <w:t xml:space="preserve">. </w:t>
      </w:r>
      <w:r w:rsidR="00E848ED" w:rsidRPr="003335CE">
        <w:rPr>
          <w:rFonts w:ascii="Arial" w:eastAsia="Calibri" w:hAnsi="Arial" w:cs="Arial"/>
          <w:sz w:val="22"/>
          <w:szCs w:val="22"/>
          <w:lang w:val="es-ES_tradnl"/>
        </w:rPr>
        <w:t>al Decreto 1082 de 2015, reglament</w:t>
      </w:r>
      <w:r w:rsidR="00011647" w:rsidRPr="003335CE">
        <w:rPr>
          <w:rFonts w:ascii="Arial" w:eastAsia="Calibri" w:hAnsi="Arial" w:cs="Arial"/>
          <w:sz w:val="22"/>
          <w:szCs w:val="22"/>
          <w:lang w:val="es-ES_tradnl"/>
        </w:rPr>
        <w:t>ó</w:t>
      </w:r>
      <w:r w:rsidR="00E848ED" w:rsidRPr="003335CE">
        <w:rPr>
          <w:rFonts w:ascii="Arial" w:eastAsia="Calibri" w:hAnsi="Arial" w:cs="Arial"/>
          <w:sz w:val="22"/>
          <w:szCs w:val="22"/>
          <w:lang w:val="es-ES_tradnl"/>
        </w:rPr>
        <w:t xml:space="preserve"> el artículo 35 de la Ley 2069 de 2020 y determin</w:t>
      </w:r>
      <w:r w:rsidR="00011647" w:rsidRPr="003335CE">
        <w:rPr>
          <w:rFonts w:ascii="Arial" w:eastAsia="Calibri" w:hAnsi="Arial" w:cs="Arial"/>
          <w:sz w:val="22"/>
          <w:szCs w:val="22"/>
          <w:lang w:val="es-ES_tradnl"/>
        </w:rPr>
        <w:t>ó</w:t>
      </w:r>
      <w:r w:rsidR="00E848ED" w:rsidRPr="003335CE">
        <w:rPr>
          <w:rFonts w:ascii="Arial" w:eastAsia="Calibri" w:hAnsi="Arial" w:cs="Arial"/>
          <w:sz w:val="22"/>
          <w:szCs w:val="22"/>
          <w:lang w:val="es-ES_tradnl"/>
        </w:rPr>
        <w:t xml:space="preserve"> la forma </w:t>
      </w:r>
      <w:r w:rsidR="00011647" w:rsidRPr="003335CE">
        <w:rPr>
          <w:rFonts w:ascii="Arial" w:eastAsia="Calibri" w:hAnsi="Arial" w:cs="Arial"/>
          <w:sz w:val="22"/>
          <w:szCs w:val="22"/>
          <w:lang w:val="es-ES_tradnl"/>
        </w:rPr>
        <w:t>en la cual se deben</w:t>
      </w:r>
      <w:r w:rsidR="00E848ED" w:rsidRPr="003335CE">
        <w:rPr>
          <w:rFonts w:ascii="Arial" w:eastAsia="Calibri" w:hAnsi="Arial" w:cs="Arial"/>
          <w:sz w:val="22"/>
          <w:szCs w:val="22"/>
          <w:lang w:val="es-ES_tradnl"/>
        </w:rPr>
        <w:t xml:space="preserve"> acreditar las circunstancias a las que se refieren cada uno de los numerales del citado artículo. De esta forma, </w:t>
      </w:r>
      <w:r w:rsidR="00011647" w:rsidRPr="003335CE">
        <w:rPr>
          <w:rFonts w:ascii="Arial" w:eastAsia="Calibri" w:hAnsi="Arial" w:cs="Arial"/>
          <w:sz w:val="22"/>
          <w:szCs w:val="22"/>
          <w:lang w:val="es-ES_tradnl"/>
        </w:rPr>
        <w:t xml:space="preserve">a través del artículo en </w:t>
      </w:r>
      <w:r w:rsidR="0043355F" w:rsidRPr="003335CE">
        <w:rPr>
          <w:rFonts w:ascii="Arial" w:eastAsia="Calibri" w:hAnsi="Arial" w:cs="Arial"/>
          <w:sz w:val="22"/>
          <w:szCs w:val="22"/>
          <w:lang w:val="es-ES_tradnl"/>
        </w:rPr>
        <w:t>mención se</w:t>
      </w:r>
      <w:r w:rsidR="00E848ED" w:rsidRPr="003335CE">
        <w:rPr>
          <w:rFonts w:ascii="Arial" w:eastAsia="Calibri" w:hAnsi="Arial" w:cs="Arial"/>
          <w:sz w:val="22"/>
          <w:szCs w:val="22"/>
          <w:lang w:val="es-ES_tradnl"/>
        </w:rPr>
        <w:t xml:space="preserve"> permite la debida aplicación de los factores de desempate previstos y se garantiza la selección objetiva de los contratistas. Esta regulación impide que la forma de acreditación de los factores de desempate dependa de la discrecionalidad administrativa, por lo que pretende una regulación uniforme de la materia conforme al alcance de cada una de las causales contenidas en el artículo 35 de la Ley 2069 de 2021.</w:t>
      </w:r>
    </w:p>
    <w:bookmarkEnd w:id="16"/>
    <w:p w14:paraId="6946446A" w14:textId="6E9415F7" w:rsidR="001044AD" w:rsidRPr="003335CE" w:rsidRDefault="007E35AD" w:rsidP="001F0C10">
      <w:pPr>
        <w:spacing w:before="120" w:after="120" w:line="276" w:lineRule="auto"/>
        <w:ind w:firstLine="709"/>
        <w:jc w:val="both"/>
        <w:rPr>
          <w:rFonts w:ascii="Arial" w:hAnsi="Arial" w:cs="Arial"/>
          <w:sz w:val="22"/>
          <w:szCs w:val="22"/>
          <w:lang w:val="es-ES_tradnl"/>
        </w:rPr>
      </w:pPr>
      <w:r w:rsidRPr="003335CE">
        <w:rPr>
          <w:rFonts w:ascii="Arial" w:eastAsia="Calibri" w:hAnsi="Arial" w:cs="Arial"/>
          <w:sz w:val="22"/>
          <w:szCs w:val="22"/>
          <w:lang w:val="es-ES_tradnl"/>
        </w:rPr>
        <w:t>E</w:t>
      </w:r>
      <w:r w:rsidR="0043355F" w:rsidRPr="003335CE">
        <w:rPr>
          <w:rFonts w:ascii="Arial" w:eastAsia="Calibri" w:hAnsi="Arial" w:cs="Arial"/>
          <w:sz w:val="22"/>
          <w:szCs w:val="22"/>
          <w:lang w:val="es-ES_tradnl"/>
        </w:rPr>
        <w:t>l parágrafo primero del artículo 2.2.1.2.4.2.17</w:t>
      </w:r>
      <w:r w:rsidRPr="003335CE">
        <w:rPr>
          <w:rFonts w:ascii="Arial" w:eastAsia="Calibri" w:hAnsi="Arial" w:cs="Arial"/>
          <w:sz w:val="22"/>
          <w:szCs w:val="22"/>
          <w:lang w:val="es-ES_tradnl"/>
        </w:rPr>
        <w:t xml:space="preserve"> reitera</w:t>
      </w:r>
      <w:r w:rsidR="0043355F" w:rsidRPr="003335CE">
        <w:rPr>
          <w:rFonts w:ascii="Arial" w:eastAsia="Calibri" w:hAnsi="Arial" w:cs="Arial"/>
          <w:sz w:val="22"/>
          <w:szCs w:val="22"/>
          <w:lang w:val="es-ES_tradnl"/>
        </w:rPr>
        <w:t>, en línea con lo dispuesto en el artículo 35 de la Ley 2069 de 2020,</w:t>
      </w:r>
      <w:r w:rsidRPr="003335CE">
        <w:rPr>
          <w:rFonts w:ascii="Arial" w:eastAsia="Calibri" w:hAnsi="Arial" w:cs="Arial"/>
          <w:sz w:val="22"/>
          <w:szCs w:val="22"/>
          <w:lang w:val="es-ES_tradnl"/>
        </w:rPr>
        <w:t xml:space="preserve"> que</w:t>
      </w:r>
      <w:r w:rsidR="0043355F" w:rsidRPr="003335CE">
        <w:rPr>
          <w:rFonts w:ascii="Arial" w:eastAsia="Calibri" w:hAnsi="Arial" w:cs="Arial"/>
          <w:sz w:val="22"/>
          <w:szCs w:val="22"/>
          <w:lang w:val="es-ES_tradnl"/>
        </w:rPr>
        <w:t xml:space="preserve"> la aplicación de los factores de desempate debe darse en armonía </w:t>
      </w:r>
      <w:r w:rsidRPr="003335CE">
        <w:rPr>
          <w:rFonts w:ascii="Arial" w:eastAsia="Calibri" w:hAnsi="Arial" w:cs="Arial"/>
          <w:sz w:val="22"/>
          <w:szCs w:val="22"/>
          <w:lang w:val="es-ES_tradnl"/>
        </w:rPr>
        <w:t xml:space="preserve">con los Acuerdos Comerciales vigentes suscritos por Colombia y señala que </w:t>
      </w:r>
      <w:r w:rsidR="004F37B2" w:rsidRPr="003335CE">
        <w:rPr>
          <w:rFonts w:ascii="Arial" w:hAnsi="Arial" w:cs="Arial"/>
          <w:sz w:val="22"/>
          <w:szCs w:val="22"/>
          <w:lang w:val="es-ES_tradnl"/>
        </w:rPr>
        <w:t xml:space="preserve">en el evento en que el empate se presente entre ofertas cubiertas por un Acuerdo Comercial se aplicarán los factores de desempate que sean compatibles con los mencionados Acuerdos. </w:t>
      </w:r>
      <w:r w:rsidR="001044AD" w:rsidRPr="003335CE">
        <w:rPr>
          <w:rFonts w:ascii="Arial" w:hAnsi="Arial" w:cs="Arial"/>
          <w:sz w:val="22"/>
          <w:szCs w:val="22"/>
          <w:lang w:val="es-ES_tradnl"/>
        </w:rPr>
        <w:t>Además,</w:t>
      </w:r>
      <w:r w:rsidR="004F37B2" w:rsidRPr="003335CE">
        <w:rPr>
          <w:rFonts w:ascii="Arial" w:hAnsi="Arial" w:cs="Arial"/>
          <w:sz w:val="22"/>
          <w:szCs w:val="22"/>
          <w:lang w:val="es-ES_tradnl"/>
        </w:rPr>
        <w:t xml:space="preserve"> indica </w:t>
      </w:r>
      <w:r w:rsidR="0043355F" w:rsidRPr="003335CE">
        <w:rPr>
          <w:rFonts w:ascii="Arial" w:hAnsi="Arial" w:cs="Arial"/>
          <w:sz w:val="22"/>
          <w:szCs w:val="22"/>
          <w:lang w:val="es-ES_tradnl"/>
        </w:rPr>
        <w:t>que,</w:t>
      </w:r>
      <w:r w:rsidR="004F37B2" w:rsidRPr="003335CE">
        <w:rPr>
          <w:rFonts w:ascii="Arial" w:hAnsi="Arial" w:cs="Arial"/>
          <w:sz w:val="22"/>
          <w:szCs w:val="22"/>
          <w:lang w:val="es-ES_tradnl"/>
        </w:rPr>
        <w:t xml:space="preserve"> si el empate se presenta con un proponente, bien o servicio extranjero cuyo país de origen no tiene Acuerdo Comercial con Colombia, ni trato nacional por reciprocidad o con ocasión de la normativa comunitaria, se dará aplicación a todos los criterios de desempate previstos en el </w:t>
      </w:r>
      <w:r w:rsidR="0043355F" w:rsidRPr="003335CE">
        <w:rPr>
          <w:rFonts w:ascii="Arial" w:hAnsi="Arial" w:cs="Arial"/>
          <w:sz w:val="22"/>
          <w:szCs w:val="22"/>
          <w:lang w:val="es-ES_tradnl"/>
        </w:rPr>
        <w:t>Decreto</w:t>
      </w:r>
      <w:r w:rsidR="001053AF" w:rsidRPr="003335CE">
        <w:rPr>
          <w:rFonts w:ascii="Arial" w:hAnsi="Arial" w:cs="Arial"/>
          <w:sz w:val="22"/>
          <w:szCs w:val="22"/>
          <w:lang w:val="es-ES_tradnl"/>
        </w:rPr>
        <w:t xml:space="preserve">. </w:t>
      </w:r>
    </w:p>
    <w:p w14:paraId="1564C1B7" w14:textId="55788F01" w:rsidR="009700C3" w:rsidRPr="003335CE" w:rsidRDefault="004F37B2" w:rsidP="001F0C10">
      <w:pPr>
        <w:spacing w:before="120" w:line="276" w:lineRule="auto"/>
        <w:ind w:firstLine="709"/>
        <w:jc w:val="both"/>
        <w:rPr>
          <w:rFonts w:ascii="Arial" w:hAnsi="Arial" w:cs="Arial"/>
          <w:sz w:val="22"/>
          <w:szCs w:val="22"/>
          <w:lang w:val="es-ES_tradnl"/>
        </w:rPr>
      </w:pPr>
      <w:r w:rsidRPr="003335CE">
        <w:rPr>
          <w:rFonts w:ascii="Arial" w:hAnsi="Arial" w:cs="Arial"/>
          <w:sz w:val="22"/>
          <w:szCs w:val="22"/>
          <w:lang w:val="es-ES_tradnl"/>
        </w:rPr>
        <w:t xml:space="preserve">Finalmente, el parágrafo </w:t>
      </w:r>
      <w:r w:rsidR="001053AF" w:rsidRPr="003335CE">
        <w:rPr>
          <w:rFonts w:ascii="Arial" w:hAnsi="Arial" w:cs="Arial"/>
          <w:sz w:val="22"/>
          <w:szCs w:val="22"/>
          <w:lang w:val="es-ES_tradnl"/>
        </w:rPr>
        <w:t>tercero</w:t>
      </w:r>
      <w:r w:rsidRPr="003335CE">
        <w:rPr>
          <w:rFonts w:ascii="Arial" w:hAnsi="Arial" w:cs="Arial"/>
          <w:sz w:val="22"/>
          <w:szCs w:val="22"/>
          <w:lang w:val="es-ES_tradnl"/>
        </w:rPr>
        <w:t xml:space="preserve"> del artículo objeto de estudio</w:t>
      </w:r>
      <w:r w:rsidR="001053AF" w:rsidRPr="003335CE">
        <w:rPr>
          <w:rFonts w:ascii="Arial" w:hAnsi="Arial" w:cs="Arial"/>
          <w:sz w:val="22"/>
          <w:szCs w:val="22"/>
          <w:lang w:val="es-ES_tradnl"/>
        </w:rPr>
        <w:t xml:space="preserve"> consagra</w:t>
      </w:r>
      <w:r w:rsidRPr="003335CE">
        <w:rPr>
          <w:rFonts w:ascii="Arial" w:hAnsi="Arial" w:cs="Arial"/>
          <w:sz w:val="22"/>
          <w:szCs w:val="22"/>
          <w:lang w:val="es-ES_tradnl"/>
        </w:rPr>
        <w:t xml:space="preserve"> </w:t>
      </w:r>
      <w:r w:rsidR="001044AD" w:rsidRPr="003335CE">
        <w:rPr>
          <w:rFonts w:ascii="Arial" w:hAnsi="Arial" w:cs="Arial"/>
          <w:sz w:val="22"/>
          <w:szCs w:val="22"/>
          <w:lang w:val="es-ES_tradnl"/>
        </w:rPr>
        <w:t>la</w:t>
      </w:r>
      <w:r w:rsidRPr="003335CE">
        <w:rPr>
          <w:rFonts w:ascii="Arial" w:hAnsi="Arial" w:cs="Arial"/>
          <w:sz w:val="22"/>
          <w:szCs w:val="22"/>
          <w:lang w:val="es-ES_tradnl"/>
        </w:rPr>
        <w:t xml:space="preserve"> obligación de las entidades estatales de garantizar el derecho a la reserva legal de toda la información que </w:t>
      </w:r>
      <w:r w:rsidR="001044AD" w:rsidRPr="003335CE">
        <w:rPr>
          <w:rFonts w:ascii="Arial" w:hAnsi="Arial" w:cs="Arial"/>
          <w:sz w:val="22"/>
          <w:szCs w:val="22"/>
          <w:lang w:val="es-ES_tradnl"/>
        </w:rPr>
        <w:t>acredite</w:t>
      </w:r>
      <w:r w:rsidRPr="003335CE">
        <w:rPr>
          <w:rFonts w:ascii="Arial" w:hAnsi="Arial" w:cs="Arial"/>
          <w:sz w:val="22"/>
          <w:szCs w:val="22"/>
          <w:lang w:val="es-ES_tradnl"/>
        </w:rPr>
        <w:t xml:space="preserve"> el </w:t>
      </w:r>
      <w:r w:rsidR="001044AD" w:rsidRPr="003335CE">
        <w:rPr>
          <w:rFonts w:ascii="Arial" w:hAnsi="Arial" w:cs="Arial"/>
          <w:sz w:val="22"/>
          <w:szCs w:val="22"/>
          <w:lang w:val="es-ES_tradnl"/>
        </w:rPr>
        <w:t>cumplimiento</w:t>
      </w:r>
      <w:r w:rsidRPr="003335CE">
        <w:rPr>
          <w:rFonts w:ascii="Arial" w:hAnsi="Arial" w:cs="Arial"/>
          <w:sz w:val="22"/>
          <w:szCs w:val="22"/>
          <w:lang w:val="es-ES_tradnl"/>
        </w:rPr>
        <w:t xml:space="preserve"> de los factores de desempate de: i) mujeres víctimas de violencia </w:t>
      </w:r>
      <w:r w:rsidR="001D53D6" w:rsidRPr="003335CE">
        <w:rPr>
          <w:rFonts w:ascii="Arial" w:hAnsi="Arial" w:cs="Arial"/>
          <w:sz w:val="22"/>
          <w:szCs w:val="22"/>
          <w:lang w:val="es-ES_tradnl"/>
        </w:rPr>
        <w:t xml:space="preserve">intrafamiliar; ii) las personas en proceso de reincorporación y/o reintegración y; iii) la población indígena, negra, afrocolombiana, raizal, palenquera, Rrom o gitana. </w:t>
      </w:r>
      <w:r w:rsidR="001044AD" w:rsidRPr="003335CE">
        <w:rPr>
          <w:rFonts w:ascii="Arial" w:hAnsi="Arial" w:cs="Arial"/>
          <w:sz w:val="22"/>
          <w:szCs w:val="22"/>
          <w:lang w:val="es-ES_tradnl"/>
        </w:rPr>
        <w:t xml:space="preserve">En consonancia con </w:t>
      </w:r>
      <w:r w:rsidR="001053AF" w:rsidRPr="003335CE">
        <w:rPr>
          <w:rFonts w:ascii="Arial" w:hAnsi="Arial" w:cs="Arial"/>
          <w:sz w:val="22"/>
          <w:szCs w:val="22"/>
          <w:lang w:val="es-ES_tradnl"/>
        </w:rPr>
        <w:t>lo anterior</w:t>
      </w:r>
      <w:r w:rsidR="001044AD" w:rsidRPr="003335CE">
        <w:rPr>
          <w:rFonts w:ascii="Arial" w:hAnsi="Arial" w:cs="Arial"/>
          <w:sz w:val="22"/>
          <w:szCs w:val="22"/>
          <w:lang w:val="es-ES_tradnl"/>
        </w:rPr>
        <w:t xml:space="preserve">, </w:t>
      </w:r>
      <w:r w:rsidR="001053AF" w:rsidRPr="003335CE">
        <w:rPr>
          <w:rFonts w:ascii="Arial" w:hAnsi="Arial" w:cs="Arial"/>
          <w:sz w:val="22"/>
          <w:szCs w:val="22"/>
          <w:lang w:val="es-ES_tradnl"/>
        </w:rPr>
        <w:t xml:space="preserve">dispone que </w:t>
      </w:r>
      <w:r w:rsidR="001044AD" w:rsidRPr="003335CE">
        <w:rPr>
          <w:rFonts w:ascii="Arial" w:hAnsi="Arial" w:cs="Arial"/>
          <w:sz w:val="22"/>
          <w:szCs w:val="22"/>
          <w:lang w:val="es-ES_tradnl"/>
        </w:rPr>
        <w:t>en la plataforma del SECOP no se publicará para el conocimiento de terceros la información relacionada con los factores de desempate de personas en procesos de reincorporación o reintegración o mujeres victimas de violencia intrafamiliar o la población indígena, negra, afrocolombiana, raizal, palenquera, Rrom o gitana, puesto que su público conocimiento puede afectar el derecho a la intimidad de los oferentes o de sus trabajadores o socios o accionistas.</w:t>
      </w:r>
    </w:p>
    <w:p w14:paraId="5B1EB66B" w14:textId="77777777" w:rsidR="00F2564D" w:rsidRPr="003335CE" w:rsidRDefault="00F2564D" w:rsidP="00F2564D">
      <w:pPr>
        <w:tabs>
          <w:tab w:val="left" w:pos="709"/>
        </w:tabs>
        <w:spacing w:line="276" w:lineRule="auto"/>
        <w:contextualSpacing/>
        <w:jc w:val="both"/>
        <w:rPr>
          <w:rFonts w:ascii="Arial" w:eastAsia="Calibri" w:hAnsi="Arial" w:cs="Arial"/>
          <w:b/>
          <w:sz w:val="22"/>
        </w:rPr>
      </w:pPr>
      <w:bookmarkStart w:id="17" w:name="_Hlk64292850"/>
    </w:p>
    <w:bookmarkEnd w:id="17"/>
    <w:p w14:paraId="44491CE2" w14:textId="77777777" w:rsidR="00F2564D" w:rsidRPr="003335CE" w:rsidRDefault="00F2564D" w:rsidP="00F2564D">
      <w:pPr>
        <w:pStyle w:val="NormalWeb"/>
        <w:spacing w:before="0" w:beforeAutospacing="0" w:after="0" w:afterAutospacing="0" w:line="276" w:lineRule="auto"/>
        <w:contextualSpacing/>
        <w:jc w:val="both"/>
        <w:rPr>
          <w:rFonts w:ascii="Arial" w:eastAsia="Calibri" w:hAnsi="Arial" w:cs="Arial"/>
          <w:b/>
          <w:bCs/>
          <w:sz w:val="22"/>
          <w:szCs w:val="22"/>
          <w:lang w:val="es-ES_tradnl"/>
        </w:rPr>
      </w:pPr>
      <w:r w:rsidRPr="003335CE">
        <w:rPr>
          <w:rFonts w:ascii="Arial" w:eastAsia="Calibri" w:hAnsi="Arial" w:cs="Arial"/>
          <w:b/>
          <w:bCs/>
          <w:sz w:val="22"/>
          <w:szCs w:val="22"/>
          <w:lang w:val="es-ES_tradnl"/>
        </w:rPr>
        <w:t>2.4.</w:t>
      </w:r>
      <w:r w:rsidRPr="003335CE">
        <w:rPr>
          <w:rFonts w:ascii="Arial" w:eastAsia="Calibri" w:hAnsi="Arial" w:cs="Arial"/>
          <w:sz w:val="22"/>
          <w:szCs w:val="22"/>
          <w:lang w:val="es-ES_tradnl"/>
        </w:rPr>
        <w:t xml:space="preserve"> </w:t>
      </w:r>
      <w:r w:rsidRPr="003335CE">
        <w:rPr>
          <w:rFonts w:ascii="Arial" w:eastAsia="Calibri" w:hAnsi="Arial" w:cs="Arial"/>
          <w:b/>
          <w:bCs/>
          <w:sz w:val="22"/>
          <w:szCs w:val="22"/>
          <w:lang w:val="es-ES_tradnl"/>
        </w:rPr>
        <w:t>Aplicabilidad de los factores de desempate del artículo 35 de la Ley 2069 de 2015 a los procedimientos de mínima cuantía</w:t>
      </w:r>
      <w:r w:rsidRPr="003335CE" w:rsidDel="00E76EA1">
        <w:rPr>
          <w:rFonts w:ascii="Arial" w:eastAsia="Calibri" w:hAnsi="Arial" w:cs="Arial"/>
          <w:b/>
          <w:bCs/>
          <w:sz w:val="22"/>
          <w:szCs w:val="22"/>
          <w:lang w:val="es-ES_tradnl"/>
        </w:rPr>
        <w:t xml:space="preserve"> </w:t>
      </w:r>
    </w:p>
    <w:p w14:paraId="43E5E72A" w14:textId="77777777" w:rsidR="00F2564D" w:rsidRPr="003335CE" w:rsidRDefault="00F2564D" w:rsidP="00F2564D">
      <w:pPr>
        <w:pStyle w:val="NormalWeb"/>
        <w:spacing w:before="0" w:beforeAutospacing="0" w:after="0" w:afterAutospacing="0" w:line="276" w:lineRule="auto"/>
        <w:contextualSpacing/>
        <w:jc w:val="both"/>
        <w:rPr>
          <w:rFonts w:ascii="Arial" w:hAnsi="Arial" w:cs="Arial"/>
          <w:sz w:val="22"/>
          <w:szCs w:val="22"/>
          <w:lang w:val="es-ES_tradnl"/>
        </w:rPr>
      </w:pPr>
    </w:p>
    <w:p w14:paraId="65E200A9" w14:textId="3E6A7364" w:rsidR="00F2564D" w:rsidRPr="003335CE" w:rsidRDefault="00F2564D" w:rsidP="00120BF0">
      <w:pPr>
        <w:spacing w:after="120" w:line="276" w:lineRule="auto"/>
        <w:jc w:val="both"/>
        <w:rPr>
          <w:rFonts w:ascii="Arial" w:hAnsi="Arial" w:cs="Arial"/>
          <w:sz w:val="22"/>
          <w:szCs w:val="22"/>
          <w:lang w:val="es-ES_tradnl"/>
        </w:rPr>
      </w:pPr>
      <w:r w:rsidRPr="003335CE">
        <w:rPr>
          <w:rFonts w:ascii="Arial" w:hAnsi="Arial" w:cs="Arial"/>
          <w:sz w:val="22"/>
          <w:szCs w:val="22"/>
          <w:lang w:val="es-ES_tradnl"/>
        </w:rPr>
        <w:t xml:space="preserve">Lo explicado en los párrafos precedentes también aplica </w:t>
      </w:r>
      <w:r w:rsidRPr="003335CE">
        <w:rPr>
          <w:rFonts w:ascii="Arial" w:hAnsi="Arial" w:cs="Arial"/>
          <w:i/>
          <w:iCs/>
          <w:sz w:val="22"/>
          <w:szCs w:val="22"/>
          <w:lang w:val="es-ES_tradnl"/>
        </w:rPr>
        <w:t>mutatis mutandis</w:t>
      </w:r>
      <w:r w:rsidRPr="003335CE">
        <w:rPr>
          <w:rFonts w:ascii="Arial" w:hAnsi="Arial" w:cs="Arial"/>
          <w:sz w:val="22"/>
          <w:szCs w:val="22"/>
          <w:lang w:val="es-ES_tradnl"/>
        </w:rPr>
        <w:t xml:space="preserve"> a los factores de desempate previstos en el Decreto Único Reglamentario del Sector Administrativo de Planeación Nacional para</w:t>
      </w:r>
      <w:r w:rsidR="004E1758" w:rsidRPr="003335CE">
        <w:rPr>
          <w:rFonts w:ascii="Arial" w:hAnsi="Arial" w:cs="Arial"/>
          <w:sz w:val="22"/>
          <w:szCs w:val="22"/>
          <w:lang w:val="es-ES_tradnl"/>
        </w:rPr>
        <w:t xml:space="preserve"> los procedimientos de</w:t>
      </w:r>
      <w:r w:rsidRPr="003335CE">
        <w:rPr>
          <w:rFonts w:ascii="Arial" w:hAnsi="Arial" w:cs="Arial"/>
          <w:sz w:val="22"/>
          <w:szCs w:val="22"/>
          <w:lang w:val="es-ES_tradnl"/>
        </w:rPr>
        <w:t xml:space="preserve"> mínima cuantía. En efecto, si bien el parágrafo 2 del artículo 30 de la Ley de Emprendimiento dispone que «La contratación a </w:t>
      </w:r>
      <w:r w:rsidRPr="003335CE">
        <w:rPr>
          <w:rFonts w:ascii="Arial" w:hAnsi="Arial" w:cs="Arial"/>
          <w:sz w:val="22"/>
          <w:szCs w:val="22"/>
          <w:lang w:val="es-ES_tradnl"/>
        </w:rPr>
        <w:lastRenderedPageBreak/>
        <w:t>que se refiere el presente artículo se realizará exclusivamente con las reglas en él contempladas y en su reglamentación […]</w:t>
      </w:r>
      <w:r w:rsidR="004E1758" w:rsidRPr="003335CE">
        <w:rPr>
          <w:rFonts w:ascii="Arial" w:hAnsi="Arial" w:cs="Arial"/>
          <w:sz w:val="22"/>
          <w:szCs w:val="22"/>
          <w:lang w:val="es-ES_tradnl"/>
        </w:rPr>
        <w:t>»</w:t>
      </w:r>
      <w:r w:rsidRPr="003335CE">
        <w:rPr>
          <w:rFonts w:ascii="Arial" w:hAnsi="Arial" w:cs="Arial"/>
          <w:sz w:val="22"/>
          <w:szCs w:val="22"/>
          <w:lang w:val="es-ES_tradnl"/>
        </w:rPr>
        <w:t xml:space="preserve">,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7D337006" w14:textId="77777777" w:rsidR="00F2564D" w:rsidRPr="003335CE" w:rsidRDefault="00F2564D" w:rsidP="00120BF0">
      <w:pPr>
        <w:pStyle w:val="NormalWeb"/>
        <w:spacing w:before="0" w:beforeAutospacing="0" w:after="120" w:afterAutospacing="0" w:line="276" w:lineRule="auto"/>
        <w:ind w:firstLine="708"/>
        <w:jc w:val="both"/>
        <w:rPr>
          <w:rFonts w:ascii="Arial" w:eastAsia="Calibri" w:hAnsi="Arial" w:cs="Arial"/>
          <w:sz w:val="22"/>
          <w:szCs w:val="22"/>
          <w:lang w:val="es-ES_tradnl"/>
        </w:rPr>
      </w:pPr>
      <w:r w:rsidRPr="003335CE">
        <w:rPr>
          <w:rFonts w:ascii="Arial" w:eastAsia="Calibri" w:hAnsi="Arial" w:cs="Arial"/>
          <w:sz w:val="22"/>
          <w:szCs w:val="22"/>
          <w:lang w:val="es-ES_tradnl"/>
        </w:rPr>
        <w:t>Como se precisó en el considerando anterior del presente concepto, los factores de desempate del artículo 35 de la Ley de Emprendimiento</w:t>
      </w:r>
      <w:r w:rsidRPr="003335CE">
        <w:rPr>
          <w:rFonts w:ascii="Arial" w:eastAsia="Calibri" w:hAnsi="Arial" w:cs="Arial"/>
          <w:i/>
          <w:iCs/>
          <w:sz w:val="22"/>
          <w:szCs w:val="22"/>
          <w:lang w:val="es-ES_tradnl"/>
        </w:rPr>
        <w:t xml:space="preserve"> </w:t>
      </w:r>
      <w:r w:rsidRPr="003335CE">
        <w:rPr>
          <w:rFonts w:ascii="Arial" w:eastAsia="Calibri" w:hAnsi="Arial" w:cs="Arial"/>
          <w:sz w:val="22"/>
          <w:szCs w:val="22"/>
          <w:lang w:val="es-ES_tradnl"/>
        </w:rPr>
        <w:t>no solo son aplicables a la contratación de las entidades regidas por el EGCAP, sino también a los procesos de selección de las entidades exceptuadas, a los que realicen los patrimonios autónomos constituidos por entidades estatales, y en general, en los procesos de selección realizados con cargo a recursos públicos. Debido a que la norma no distingue entre modalidades o procedimientos, los factores de desempate son aplicables en todos los procesos de selección que celebren los sujetos mencionados.</w:t>
      </w:r>
    </w:p>
    <w:p w14:paraId="3B31212A" w14:textId="696DFFB3" w:rsidR="00F2564D" w:rsidRPr="003335CE" w:rsidRDefault="00F2564D" w:rsidP="00120BF0">
      <w:pPr>
        <w:tabs>
          <w:tab w:val="left" w:pos="0"/>
        </w:tabs>
        <w:spacing w:after="120" w:line="276" w:lineRule="auto"/>
        <w:jc w:val="both"/>
        <w:rPr>
          <w:rFonts w:ascii="Arial" w:eastAsia="Calibri" w:hAnsi="Arial" w:cs="Arial"/>
          <w:sz w:val="22"/>
          <w:szCs w:val="22"/>
          <w:lang w:val="es-ES_tradnl"/>
        </w:rPr>
      </w:pPr>
      <w:r w:rsidRPr="003335CE">
        <w:rPr>
          <w:rFonts w:ascii="Arial" w:eastAsia="Calibri" w:hAnsi="Arial" w:cs="Arial"/>
          <w:sz w:val="22"/>
          <w:szCs w:val="22"/>
          <w:lang w:val="es-ES_tradnl"/>
        </w:rPr>
        <w:tab/>
      </w:r>
      <w:bookmarkStart w:id="18" w:name="_Hlk102388390"/>
      <w:bookmarkStart w:id="19" w:name="_Hlk102984001"/>
      <w:r w:rsidRPr="003335CE">
        <w:rPr>
          <w:rFonts w:ascii="Arial" w:eastAsia="Calibri" w:hAnsi="Arial" w:cs="Arial"/>
          <w:sz w:val="22"/>
          <w:szCs w:val="22"/>
          <w:lang w:val="es-ES_tradnl"/>
        </w:rPr>
        <w:t>En ese sentido, la Agencia ha estimado que la aplicación del artículo 35 de la Ley 2069 de 2020</w:t>
      </w:r>
      <w:r w:rsidRPr="003335CE">
        <w:rPr>
          <w:rFonts w:ascii="Arial" w:eastAsiaTheme="minorHAnsi" w:hAnsi="Arial" w:cs="Arial"/>
          <w:sz w:val="22"/>
          <w:szCs w:val="22"/>
          <w:lang w:eastAsia="en-US"/>
        </w:rPr>
        <w:t xml:space="preserve"> es transversal a los diferentes actores del sistema de compras públicas, quienes –indistintamente del régimen de contractual y el proceso de selección– deben aplicar los criterios de desempate de esta norma, lo cual aplica a los procedimientos de subasta inversa y de mínima cuantía. </w:t>
      </w:r>
    </w:p>
    <w:p w14:paraId="66D21EA6" w14:textId="3BF76885" w:rsidR="00F2564D" w:rsidRPr="003335CE" w:rsidRDefault="00F2564D" w:rsidP="00120BF0">
      <w:pPr>
        <w:tabs>
          <w:tab w:val="left" w:pos="0"/>
        </w:tabs>
        <w:spacing w:after="120" w:line="276" w:lineRule="auto"/>
        <w:jc w:val="both"/>
        <w:rPr>
          <w:rFonts w:ascii="Arial" w:eastAsia="Calibri" w:hAnsi="Arial" w:cs="Arial"/>
          <w:bCs/>
          <w:sz w:val="22"/>
          <w:szCs w:val="22"/>
        </w:rPr>
      </w:pPr>
      <w:r w:rsidRPr="003335CE">
        <w:rPr>
          <w:rFonts w:ascii="Arial" w:eastAsia="Calibri" w:hAnsi="Arial" w:cs="Arial"/>
          <w:sz w:val="22"/>
          <w:szCs w:val="22"/>
          <w:lang w:val="es-ES_tradnl"/>
        </w:rPr>
        <w:tab/>
        <w:t>El hecho de que en este procedimiento la determinación de la oferta más favorable no esté mediada por el uso de «puntaje» y que el artículo 35 de la Ley 2069 de 2020 sea aplicable en «</w:t>
      </w:r>
      <w:r w:rsidRPr="003335CE">
        <w:rPr>
          <w:rFonts w:ascii="Arial" w:hAnsi="Arial" w:cs="Arial"/>
          <w:sz w:val="22"/>
          <w:szCs w:val="22"/>
        </w:rPr>
        <w:t>[..] caso de empate en el puntaje total de dos o más ofertas […]»,</w:t>
      </w:r>
      <w:r w:rsidRPr="003335CE">
        <w:rPr>
          <w:rFonts w:ascii="Arial" w:eastAsia="Calibri" w:hAnsi="Arial" w:cs="Arial"/>
          <w:sz w:val="22"/>
          <w:szCs w:val="22"/>
          <w:lang w:val="es-ES_tradnl"/>
        </w:rPr>
        <w:t xml:space="preserve"> no significa la inaplicación de dicha noma</w:t>
      </w:r>
      <w:r w:rsidRPr="003335CE">
        <w:rPr>
          <w:rFonts w:ascii="Arial" w:eastAsia="Calibri" w:hAnsi="Arial" w:cs="Arial"/>
          <w:bCs/>
          <w:sz w:val="22"/>
          <w:szCs w:val="22"/>
        </w:rPr>
        <w:t xml:space="preserve">. </w:t>
      </w:r>
      <w:r w:rsidRPr="003335CE">
        <w:rPr>
          <w:rFonts w:ascii="Arial" w:eastAsia="Calibri" w:hAnsi="Arial" w:cs="Arial"/>
          <w:sz w:val="22"/>
          <w:szCs w:val="22"/>
          <w:lang w:val="es-ES_tradnl"/>
        </w:rPr>
        <w:t xml:space="preserve">Esto dado que una interpretación exegética del artículo 35, según la cual este solo es aplicable en los procedimientos en los que se use el «puntaje» como mecanismo de evaluación, no corresponde con la finalidad transversal de la norma, puesto que los factores de desempate de la Ley de Emprendimiento están concebidos para </w:t>
      </w:r>
      <w:r w:rsidRPr="003335CE">
        <w:rPr>
          <w:rFonts w:ascii="Arial" w:eastAsia="Calibri" w:hAnsi="Arial" w:cs="Arial"/>
          <w:bCs/>
          <w:sz w:val="22"/>
          <w:szCs w:val="22"/>
        </w:rPr>
        <w:t>«[…]</w:t>
      </w:r>
      <w:r w:rsidRPr="003335CE">
        <w:rPr>
          <w:rFonts w:ascii="Arial" w:hAnsi="Arial" w:cs="Arial"/>
          <w:sz w:val="22"/>
          <w:szCs w:val="22"/>
        </w:rPr>
        <w:t xml:space="preserve">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w:t>
      </w:r>
      <w:r w:rsidRPr="003335CE">
        <w:rPr>
          <w:rFonts w:ascii="Arial" w:eastAsia="Calibri" w:hAnsi="Arial" w:cs="Arial"/>
          <w:bCs/>
          <w:sz w:val="22"/>
          <w:szCs w:val="22"/>
        </w:rPr>
        <w:t>».</w:t>
      </w:r>
    </w:p>
    <w:bookmarkEnd w:id="18"/>
    <w:p w14:paraId="25EEB0B4" w14:textId="77777777" w:rsidR="00F2564D" w:rsidRPr="003335CE" w:rsidRDefault="00F2564D" w:rsidP="00120BF0">
      <w:pPr>
        <w:tabs>
          <w:tab w:val="left" w:pos="0"/>
        </w:tabs>
        <w:spacing w:after="120" w:line="276" w:lineRule="auto"/>
        <w:jc w:val="both"/>
        <w:rPr>
          <w:rFonts w:ascii="Arial" w:eastAsia="Calibri" w:hAnsi="Arial" w:cs="Arial"/>
          <w:bCs/>
          <w:sz w:val="22"/>
          <w:szCs w:val="22"/>
        </w:rPr>
      </w:pPr>
      <w:r w:rsidRPr="003335CE">
        <w:rPr>
          <w:rFonts w:ascii="Arial" w:eastAsia="Calibri" w:hAnsi="Arial" w:cs="Arial"/>
          <w:bCs/>
          <w:sz w:val="22"/>
          <w:szCs w:val="22"/>
        </w:rPr>
        <w:tab/>
      </w:r>
      <w:bookmarkStart w:id="20" w:name="_Hlk102388416"/>
      <w:r w:rsidRPr="003335CE">
        <w:rPr>
          <w:rFonts w:ascii="Arial" w:eastAsia="Calibri" w:hAnsi="Arial" w:cs="Arial"/>
          <w:bCs/>
          <w:sz w:val="22"/>
          <w:szCs w:val="22"/>
        </w:rPr>
        <w:t xml:space="preserve">Por lo anterior, se considera que el alcance de la expresión </w:t>
      </w:r>
      <w:r w:rsidRPr="003335CE">
        <w:rPr>
          <w:rFonts w:ascii="Arial" w:eastAsia="Calibri" w:hAnsi="Arial" w:cs="Arial"/>
          <w:bCs/>
          <w:i/>
          <w:iCs/>
          <w:sz w:val="22"/>
          <w:szCs w:val="22"/>
        </w:rPr>
        <w:t xml:space="preserve">puntaje total, </w:t>
      </w:r>
      <w:r w:rsidRPr="003335CE">
        <w:rPr>
          <w:rFonts w:ascii="Arial" w:eastAsia="Calibri" w:hAnsi="Arial" w:cs="Arial"/>
          <w:bCs/>
          <w:sz w:val="22"/>
          <w:szCs w:val="22"/>
        </w:rPr>
        <w:t>contenida en el artículo 35 de la Ley 2069 de 2020, debe interpretarse sistemáticamente, propiciando una aplicación normativa coherente con otras disposiciones del sistema de compra pública y que satisfaga la finalidad transversal de la norma. Con este propósito, es necesario acudir al artículo 5 de la Ley 1150 de 2007, el cual regula el deber de selección objetiva, conforme al cual debe determinarse cuál es la oferta más favorable para la entidad y los fines de la contratación.</w:t>
      </w:r>
    </w:p>
    <w:bookmarkEnd w:id="19"/>
    <w:bookmarkEnd w:id="20"/>
    <w:p w14:paraId="50FDC088" w14:textId="77777777" w:rsidR="00F2564D" w:rsidRPr="003335CE" w:rsidRDefault="00F2564D" w:rsidP="00120BF0">
      <w:pPr>
        <w:tabs>
          <w:tab w:val="left" w:pos="0"/>
        </w:tabs>
        <w:spacing w:after="120" w:line="276" w:lineRule="auto"/>
        <w:jc w:val="both"/>
        <w:rPr>
          <w:rFonts w:ascii="Arial" w:eastAsia="Calibri" w:hAnsi="Arial" w:cs="Arial"/>
          <w:bCs/>
          <w:sz w:val="22"/>
          <w:szCs w:val="22"/>
        </w:rPr>
      </w:pPr>
      <w:r w:rsidRPr="003335CE">
        <w:rPr>
          <w:rFonts w:ascii="Arial" w:eastAsia="Calibri" w:hAnsi="Arial" w:cs="Arial"/>
          <w:bCs/>
          <w:sz w:val="22"/>
          <w:szCs w:val="22"/>
        </w:rPr>
        <w:lastRenderedPageBreak/>
        <w:tab/>
        <w:t xml:space="preserve">De acuerdo con el artículo 5 de la Ley 1150 de 2007, el deber de selección objetiva supone que las entidades escojan en los procesos de selección el «[…] ofrecimiento más favorable a la entidad y a los fines que ella busca </w:t>
      </w:r>
      <w:r w:rsidRPr="003335CE">
        <w:rPr>
          <w:rFonts w:ascii="Arial" w:hAnsi="Arial" w:cs="Arial"/>
          <w:sz w:val="22"/>
          <w:szCs w:val="22"/>
        </w:rPr>
        <w:t>[…]</w:t>
      </w:r>
      <w:r w:rsidRPr="003335CE">
        <w:rPr>
          <w:rFonts w:ascii="Arial" w:eastAsia="Calibri" w:hAnsi="Arial" w:cs="Arial"/>
          <w:bCs/>
          <w:sz w:val="22"/>
          <w:szCs w:val="22"/>
        </w:rPr>
        <w:t>»</w:t>
      </w:r>
      <w:r w:rsidRPr="003335CE">
        <w:rPr>
          <w:rStyle w:val="Refdenotaalpie"/>
          <w:rFonts w:ascii="Arial" w:eastAsia="Calibri" w:hAnsi="Arial" w:cs="Arial"/>
          <w:bCs/>
          <w:sz w:val="22"/>
          <w:szCs w:val="22"/>
        </w:rPr>
        <w:footnoteReference w:id="12"/>
      </w:r>
      <w:r w:rsidRPr="003335CE">
        <w:rPr>
          <w:rFonts w:ascii="Arial" w:eastAsia="Calibri" w:hAnsi="Arial" w:cs="Arial"/>
          <w:bCs/>
          <w:sz w:val="22"/>
          <w:szCs w:val="22"/>
        </w:rPr>
        <w:t xml:space="preserve">. Esta favorabilidad debe </w:t>
      </w:r>
      <w:r w:rsidRPr="003335CE">
        <w:rPr>
          <w:rFonts w:ascii="Arial" w:eastAsia="Calibri" w:hAnsi="Arial" w:cs="Arial"/>
          <w:bCs/>
          <w:sz w:val="22"/>
          <w:szCs w:val="22"/>
        </w:rPr>
        <w:lastRenderedPageBreak/>
        <w:t xml:space="preserve">determinarse a partir de criterios que pueden variar de acuerdo con el objeto contractual o la modalidad de selección aplicable, los cuales, en todo caso, para que la selección sea objetiva, deben indicarse en el pliego de condiciones o documento equivalente. </w:t>
      </w:r>
    </w:p>
    <w:p w14:paraId="31D004C3" w14:textId="77777777" w:rsidR="00F2564D" w:rsidRPr="003335CE" w:rsidRDefault="00F2564D" w:rsidP="00120BF0">
      <w:pPr>
        <w:tabs>
          <w:tab w:val="left" w:pos="0"/>
        </w:tabs>
        <w:spacing w:after="120" w:line="276" w:lineRule="auto"/>
        <w:jc w:val="both"/>
        <w:rPr>
          <w:rFonts w:ascii="Arial" w:eastAsia="Calibri" w:hAnsi="Arial" w:cs="Arial"/>
          <w:bCs/>
          <w:sz w:val="22"/>
          <w:szCs w:val="22"/>
        </w:rPr>
      </w:pPr>
      <w:r w:rsidRPr="003335CE">
        <w:rPr>
          <w:rFonts w:ascii="Arial" w:eastAsia="Calibri" w:hAnsi="Arial" w:cs="Arial"/>
          <w:bCs/>
          <w:sz w:val="22"/>
          <w:szCs w:val="22"/>
        </w:rPr>
        <w:tab/>
        <w:t>Al respecto, el numeral 1 del artículo 5 de la Ley 1150 de 2007 regula los requisitos exigibles en la generalidad de procesos de selección adelantados conforme al EGCAP, tales como la capacidad jurídica, las condiciones de experiencia, la capacidad financiera y de organización, denominados requisitos habilitantes, los cuales –por expresa disposición legal– no otorgan puntaje. Lo anterior, teniendo en cuenta que no se refieren a la oferta misma, sino a la idoneidad del oferente para asumir adecuadamente la ejecución del contrato</w:t>
      </w:r>
      <w:r w:rsidRPr="003335CE">
        <w:rPr>
          <w:rStyle w:val="Refdenotaalpie"/>
          <w:rFonts w:ascii="Arial" w:eastAsia="Calibri" w:hAnsi="Arial" w:cs="Arial"/>
          <w:bCs/>
          <w:sz w:val="22"/>
          <w:szCs w:val="22"/>
        </w:rPr>
        <w:footnoteReference w:id="13"/>
      </w:r>
      <w:r w:rsidRPr="003335CE">
        <w:rPr>
          <w:rFonts w:ascii="Arial" w:eastAsia="Calibri" w:hAnsi="Arial" w:cs="Arial"/>
          <w:bCs/>
          <w:sz w:val="22"/>
          <w:szCs w:val="22"/>
        </w:rPr>
        <w:t>. Los oferentes que cumplan estos requisitos habilitantes son considerados idóneos para ejecutar el objeto contractual, de manera que sus ofertas pueden ser tenidas en cuenta en la evaluación dirigida a determinar cuál es la más favorable para la entidad y los fines de la contratación.</w:t>
      </w:r>
    </w:p>
    <w:p w14:paraId="14538123" w14:textId="77777777" w:rsidR="00F2564D" w:rsidRPr="003335CE" w:rsidRDefault="00F2564D" w:rsidP="00120BF0">
      <w:pPr>
        <w:tabs>
          <w:tab w:val="left" w:pos="0"/>
        </w:tabs>
        <w:spacing w:after="120" w:line="276" w:lineRule="auto"/>
        <w:jc w:val="both"/>
        <w:rPr>
          <w:rFonts w:ascii="Arial" w:hAnsi="Arial" w:cs="Arial"/>
          <w:sz w:val="22"/>
          <w:szCs w:val="22"/>
        </w:rPr>
      </w:pPr>
      <w:r w:rsidRPr="003335CE">
        <w:rPr>
          <w:rFonts w:ascii="Arial" w:eastAsia="Calibri" w:hAnsi="Arial" w:cs="Arial"/>
          <w:bCs/>
          <w:sz w:val="22"/>
          <w:szCs w:val="22"/>
        </w:rPr>
        <w:tab/>
        <w:t xml:space="preserve">En contraposición a los requisitos habilitantes, el artículo 5 de la Ley 1150 de 2007 regula los factores dirigidos a determinar cuál es la propuesta más favorable. En ese sentido, el inciso primero dispone los factores de escogencia y calificación que deben indicarse en los pliegos de condiciones. El numeral 2 de esta norma establece que la oferta más favorable es aquella que resulte ser la más ventajosa para la entidad, una vez se realice la ponderación precisa y detallada de </w:t>
      </w:r>
      <w:r w:rsidRPr="003335CE">
        <w:rPr>
          <w:rFonts w:ascii="Arial" w:hAnsi="Arial" w:cs="Arial"/>
          <w:sz w:val="22"/>
          <w:szCs w:val="22"/>
        </w:rPr>
        <w:t xml:space="preserve">los factores técnicos y económicos de escogencia, de acuerdo con los parámetros establecidos en los pliegos de condiciones o equivalentes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a la elección de la oferta que represente la mejor relación costo – beneficio para la entidad. </w:t>
      </w:r>
    </w:p>
    <w:p w14:paraId="628DDC73" w14:textId="77777777" w:rsidR="00F2564D" w:rsidRPr="003335CE" w:rsidRDefault="00F2564D" w:rsidP="00120BF0">
      <w:pPr>
        <w:tabs>
          <w:tab w:val="left" w:pos="0"/>
        </w:tabs>
        <w:spacing w:after="120" w:line="276" w:lineRule="auto"/>
        <w:jc w:val="both"/>
        <w:rPr>
          <w:rFonts w:ascii="Arial" w:hAnsi="Arial" w:cs="Arial"/>
          <w:sz w:val="22"/>
          <w:szCs w:val="22"/>
        </w:rPr>
      </w:pPr>
      <w:r w:rsidRPr="003335CE">
        <w:rPr>
          <w:rFonts w:ascii="Arial" w:hAnsi="Arial" w:cs="Arial"/>
          <w:sz w:val="22"/>
          <w:szCs w:val="22"/>
        </w:rPr>
        <w:lastRenderedPageBreak/>
        <w:tab/>
        <w:t>Por su parte, el numeral 3 establece que en los procesos de selección de bienes y servicios de características técnicas uniformes y de común utilización el único factor de evaluación consiste en el menor precio. Por último, el numeral 4, referente a procedimientos para selección de consultores, señala que debe hacerse uso de factores de calificación, para valorar los aspectos técnicos de la oferta, permitiendo que entre ellos se pondere la experiencia.</w:t>
      </w:r>
    </w:p>
    <w:p w14:paraId="774F2594" w14:textId="77777777" w:rsidR="00F2564D" w:rsidRPr="003335CE" w:rsidRDefault="00F2564D" w:rsidP="00120BF0">
      <w:pPr>
        <w:tabs>
          <w:tab w:val="left" w:pos="0"/>
        </w:tabs>
        <w:spacing w:line="276" w:lineRule="auto"/>
        <w:jc w:val="both"/>
        <w:rPr>
          <w:rFonts w:ascii="Arial" w:eastAsiaTheme="minorHAnsi" w:hAnsi="Arial" w:cs="Arial"/>
          <w:sz w:val="22"/>
          <w:szCs w:val="22"/>
          <w:lang w:eastAsia="en-US"/>
        </w:rPr>
      </w:pPr>
      <w:r w:rsidRPr="003335CE">
        <w:rPr>
          <w:rFonts w:ascii="Arial" w:hAnsi="Arial" w:cs="Arial"/>
          <w:sz w:val="22"/>
          <w:szCs w:val="22"/>
        </w:rPr>
        <w:tab/>
        <w:t xml:space="preserve">Conforme a lo anterior, el artículo 5 de la Ley 1150 de 2007 alude a diferentes conceptos, como factores de escogencia, de calificación, técnicos y económicos de escogencia, de evaluación y calificación. Además, el artículo se refiere a unos factores que no otorgan puntaje y a otros que inciden en la comparación de ofertas. En línea con esto último, la doctrina define los requisitos o factores ponderables como </w:t>
      </w:r>
      <w:r w:rsidRPr="003335CE">
        <w:rPr>
          <w:rFonts w:ascii="Arial" w:hAnsi="Arial" w:cs="Arial"/>
          <w:sz w:val="22"/>
          <w:szCs w:val="22"/>
          <w:lang w:val="es-ES_tradnl"/>
        </w:rPr>
        <w:t>«[…]</w:t>
      </w:r>
      <w:r w:rsidRPr="003335CE">
        <w:rPr>
          <w:rFonts w:ascii="Arial" w:eastAsiaTheme="minorHAnsi" w:hAnsi="Arial" w:cs="Arial"/>
          <w:sz w:val="22"/>
          <w:szCs w:val="22"/>
          <w:lang w:eastAsia="en-US"/>
        </w:rPr>
        <w:t xml:space="preserve"> </w:t>
      </w:r>
      <w:r w:rsidRPr="003335CE">
        <w:rPr>
          <w:rFonts w:ascii="Arial" w:hAnsi="Arial" w:cs="Arial"/>
          <w:sz w:val="22"/>
          <w:szCs w:val="22"/>
        </w:rPr>
        <w:t>aquellas condiciones de la oferta y no de quien la presenta, que sí entrarán a ser evaluadas por la Administración y que, en consecuencia, darán lugar a la escogencia objetiva de la mejor propuesta para la entidad</w:t>
      </w:r>
      <w:r w:rsidRPr="003335CE">
        <w:rPr>
          <w:rFonts w:ascii="Arial" w:eastAsiaTheme="minorHAnsi" w:hAnsi="Arial" w:cs="Arial"/>
          <w:sz w:val="22"/>
          <w:szCs w:val="22"/>
          <w:lang w:eastAsia="en-US"/>
        </w:rPr>
        <w:t>»</w:t>
      </w:r>
      <w:r w:rsidRPr="003335CE">
        <w:rPr>
          <w:rStyle w:val="Refdenotaalpie"/>
          <w:rFonts w:ascii="Arial" w:hAnsi="Arial" w:cs="Arial"/>
          <w:sz w:val="22"/>
          <w:szCs w:val="22"/>
        </w:rPr>
        <w:footnoteReference w:id="14"/>
      </w:r>
      <w:r w:rsidRPr="003335CE">
        <w:rPr>
          <w:rFonts w:ascii="Arial" w:eastAsiaTheme="minorHAnsi" w:hAnsi="Arial" w:cs="Arial"/>
          <w:sz w:val="22"/>
          <w:szCs w:val="22"/>
          <w:lang w:eastAsia="en-US"/>
        </w:rPr>
        <w:t xml:space="preserve">. Todas estas categorías designan los </w:t>
      </w:r>
      <w:r w:rsidRPr="003335CE">
        <w:rPr>
          <w:rFonts w:ascii="Arial" w:hAnsi="Arial" w:cs="Arial"/>
          <w:sz w:val="22"/>
          <w:szCs w:val="22"/>
          <w:lang w:val="es-ES_tradnl"/>
        </w:rPr>
        <w:t>«[…]</w:t>
      </w:r>
      <w:r w:rsidRPr="003335CE">
        <w:rPr>
          <w:rFonts w:ascii="Arial" w:eastAsiaTheme="minorHAnsi" w:hAnsi="Arial" w:cs="Arial"/>
          <w:sz w:val="22"/>
          <w:szCs w:val="22"/>
          <w:lang w:eastAsia="en-US"/>
        </w:rPr>
        <w:t xml:space="preserve"> factores a los cuales cabe otorgarles puntajes o que pueden ser ponderados, precisamente, pues estos son los factores que en últimas permiten una comparación de ofertas y una diferenciación entre ellas»</w:t>
      </w:r>
      <w:r w:rsidRPr="003335CE">
        <w:rPr>
          <w:rStyle w:val="Refdenotaalpie"/>
          <w:rFonts w:ascii="Arial" w:eastAsiaTheme="minorHAnsi" w:hAnsi="Arial" w:cs="Arial"/>
          <w:sz w:val="22"/>
          <w:szCs w:val="22"/>
          <w:lang w:eastAsia="en-US"/>
        </w:rPr>
        <w:footnoteReference w:id="15"/>
      </w:r>
      <w:r w:rsidRPr="003335CE">
        <w:rPr>
          <w:rFonts w:ascii="Arial" w:eastAsiaTheme="minorHAnsi" w:hAnsi="Arial" w:cs="Arial"/>
          <w:sz w:val="22"/>
          <w:szCs w:val="22"/>
          <w:lang w:eastAsia="en-US"/>
        </w:rPr>
        <w:t>. Conforme a esto, la doctrina explica que:</w:t>
      </w:r>
    </w:p>
    <w:p w14:paraId="32619DFF" w14:textId="77777777" w:rsidR="00F2564D" w:rsidRPr="003335CE" w:rsidRDefault="00F2564D" w:rsidP="00120BF0">
      <w:pPr>
        <w:tabs>
          <w:tab w:val="left" w:pos="0"/>
        </w:tabs>
        <w:ind w:left="709" w:right="709"/>
        <w:contextualSpacing/>
        <w:jc w:val="both"/>
        <w:rPr>
          <w:rFonts w:ascii="Arial" w:eastAsia="Calibri" w:hAnsi="Arial" w:cs="Arial"/>
          <w:bCs/>
          <w:sz w:val="21"/>
          <w:szCs w:val="21"/>
        </w:rPr>
      </w:pPr>
    </w:p>
    <w:p w14:paraId="65F70398" w14:textId="016C74B8" w:rsidR="00F2564D" w:rsidRPr="003335CE" w:rsidRDefault="00F2564D" w:rsidP="00120BF0">
      <w:pPr>
        <w:tabs>
          <w:tab w:val="left" w:pos="0"/>
        </w:tabs>
        <w:ind w:left="709" w:right="709"/>
        <w:contextualSpacing/>
        <w:jc w:val="both"/>
        <w:rPr>
          <w:rFonts w:ascii="Arial" w:eastAsia="Calibri" w:hAnsi="Arial" w:cs="Arial"/>
          <w:bCs/>
          <w:sz w:val="21"/>
          <w:szCs w:val="21"/>
        </w:rPr>
      </w:pPr>
      <w:r w:rsidRPr="003335CE">
        <w:rPr>
          <w:rFonts w:ascii="Arial" w:eastAsia="Calibri" w:hAnsi="Arial" w:cs="Arial"/>
          <w:bCs/>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38C67569" w14:textId="77777777" w:rsidR="00120BF0" w:rsidRPr="003335CE" w:rsidRDefault="00120BF0" w:rsidP="00120BF0">
      <w:pPr>
        <w:tabs>
          <w:tab w:val="left" w:pos="0"/>
        </w:tabs>
        <w:ind w:left="709" w:right="709"/>
        <w:contextualSpacing/>
        <w:jc w:val="both"/>
        <w:rPr>
          <w:rFonts w:ascii="Arial" w:eastAsia="Calibri" w:hAnsi="Arial" w:cs="Arial"/>
          <w:bCs/>
          <w:sz w:val="21"/>
          <w:szCs w:val="21"/>
        </w:rPr>
      </w:pPr>
    </w:p>
    <w:p w14:paraId="5051D4C1" w14:textId="77777777" w:rsidR="00F2564D" w:rsidRPr="003335CE" w:rsidRDefault="00F2564D" w:rsidP="00120BF0">
      <w:pPr>
        <w:tabs>
          <w:tab w:val="left" w:pos="0"/>
        </w:tabs>
        <w:ind w:left="709" w:right="709"/>
        <w:contextualSpacing/>
        <w:jc w:val="both"/>
        <w:rPr>
          <w:rFonts w:ascii="Arial" w:eastAsia="Calibri" w:hAnsi="Arial" w:cs="Arial"/>
          <w:bCs/>
          <w:sz w:val="21"/>
          <w:szCs w:val="21"/>
        </w:rPr>
      </w:pPr>
      <w:r w:rsidRPr="003335CE">
        <w:rPr>
          <w:rFonts w:ascii="Arial" w:eastAsia="Calibri" w:hAnsi="Arial" w:cs="Arial"/>
          <w:bCs/>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13FFD48B" w14:textId="77777777" w:rsidR="00120BF0" w:rsidRPr="003335CE" w:rsidRDefault="00120BF0" w:rsidP="00120BF0">
      <w:pPr>
        <w:tabs>
          <w:tab w:val="left" w:pos="0"/>
        </w:tabs>
        <w:ind w:left="709" w:right="709"/>
        <w:contextualSpacing/>
        <w:jc w:val="both"/>
        <w:rPr>
          <w:rFonts w:ascii="Arial" w:eastAsia="Calibri" w:hAnsi="Arial" w:cs="Arial"/>
          <w:bCs/>
          <w:sz w:val="21"/>
          <w:szCs w:val="21"/>
        </w:rPr>
      </w:pPr>
    </w:p>
    <w:p w14:paraId="6E5BD796" w14:textId="30930A53" w:rsidR="00F2564D" w:rsidRPr="003335CE" w:rsidRDefault="00F2564D" w:rsidP="00120BF0">
      <w:pPr>
        <w:tabs>
          <w:tab w:val="left" w:pos="0"/>
        </w:tabs>
        <w:ind w:left="709" w:right="709"/>
        <w:contextualSpacing/>
        <w:jc w:val="both"/>
        <w:rPr>
          <w:rFonts w:ascii="Arial" w:eastAsia="Calibri" w:hAnsi="Arial" w:cs="Arial"/>
          <w:bCs/>
          <w:sz w:val="21"/>
          <w:szCs w:val="21"/>
        </w:rPr>
      </w:pPr>
      <w:r w:rsidRPr="003335CE">
        <w:rPr>
          <w:rFonts w:ascii="Arial" w:eastAsia="Calibri" w:hAnsi="Arial" w:cs="Arial"/>
          <w:bCs/>
          <w:sz w:val="21"/>
          <w:szCs w:val="21"/>
        </w:rPr>
        <w:lastRenderedPageBreak/>
        <w:t>[…]</w:t>
      </w:r>
    </w:p>
    <w:p w14:paraId="2F69E587" w14:textId="77777777" w:rsidR="00120BF0" w:rsidRPr="003335CE" w:rsidRDefault="00120BF0" w:rsidP="00120BF0">
      <w:pPr>
        <w:tabs>
          <w:tab w:val="left" w:pos="0"/>
        </w:tabs>
        <w:ind w:left="709" w:right="709"/>
        <w:contextualSpacing/>
        <w:jc w:val="both"/>
        <w:rPr>
          <w:rFonts w:ascii="Arial" w:eastAsia="Calibri" w:hAnsi="Arial" w:cs="Arial"/>
          <w:bCs/>
          <w:sz w:val="21"/>
          <w:szCs w:val="21"/>
        </w:rPr>
      </w:pPr>
    </w:p>
    <w:p w14:paraId="546A8FC6" w14:textId="5889896C" w:rsidR="00F2564D" w:rsidRPr="003335CE" w:rsidRDefault="00F2564D" w:rsidP="00120BF0">
      <w:pPr>
        <w:tabs>
          <w:tab w:val="left" w:pos="0"/>
        </w:tabs>
        <w:ind w:left="709" w:right="709"/>
        <w:contextualSpacing/>
        <w:jc w:val="both"/>
        <w:rPr>
          <w:rFonts w:ascii="Arial" w:eastAsia="Calibri" w:hAnsi="Arial" w:cs="Arial"/>
          <w:bCs/>
          <w:sz w:val="21"/>
          <w:szCs w:val="21"/>
        </w:rPr>
      </w:pPr>
      <w:r w:rsidRPr="003335CE">
        <w:rPr>
          <w:rFonts w:ascii="Arial" w:eastAsia="Calibri" w:hAnsi="Arial" w:cs="Arial"/>
          <w:bCs/>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3335CE">
        <w:rPr>
          <w:rStyle w:val="Refdenotaalpie"/>
          <w:rFonts w:ascii="Arial" w:eastAsia="Calibri" w:hAnsi="Arial" w:cs="Arial"/>
          <w:bCs/>
          <w:sz w:val="21"/>
          <w:szCs w:val="21"/>
        </w:rPr>
        <w:footnoteReference w:id="16"/>
      </w:r>
      <w:r w:rsidRPr="003335CE">
        <w:rPr>
          <w:rFonts w:ascii="Arial" w:eastAsia="Calibri" w:hAnsi="Arial" w:cs="Arial"/>
          <w:bCs/>
          <w:sz w:val="21"/>
          <w:szCs w:val="21"/>
        </w:rPr>
        <w:t>.</w:t>
      </w:r>
    </w:p>
    <w:p w14:paraId="171A898E" w14:textId="77777777" w:rsidR="00F2564D" w:rsidRPr="003335CE" w:rsidRDefault="00F2564D" w:rsidP="00120BF0">
      <w:pPr>
        <w:tabs>
          <w:tab w:val="left" w:pos="0"/>
        </w:tabs>
        <w:ind w:left="709" w:right="709"/>
        <w:contextualSpacing/>
        <w:jc w:val="both"/>
        <w:rPr>
          <w:rFonts w:ascii="Arial" w:eastAsia="Calibri" w:hAnsi="Arial" w:cs="Arial"/>
          <w:bCs/>
          <w:sz w:val="21"/>
          <w:szCs w:val="21"/>
        </w:rPr>
      </w:pPr>
    </w:p>
    <w:p w14:paraId="701BD244" w14:textId="77777777" w:rsidR="00F2564D" w:rsidRPr="003335CE" w:rsidRDefault="00F2564D" w:rsidP="00124810">
      <w:pPr>
        <w:tabs>
          <w:tab w:val="left" w:pos="0"/>
        </w:tabs>
        <w:spacing w:after="120" w:line="276" w:lineRule="auto"/>
        <w:jc w:val="both"/>
        <w:rPr>
          <w:rFonts w:ascii="Arial" w:eastAsia="Calibri" w:hAnsi="Arial" w:cs="Arial"/>
          <w:bCs/>
          <w:sz w:val="22"/>
          <w:szCs w:val="22"/>
        </w:rPr>
      </w:pPr>
      <w:r w:rsidRPr="003335CE">
        <w:rPr>
          <w:rFonts w:ascii="Arial" w:eastAsia="Calibri" w:hAnsi="Arial" w:cs="Arial"/>
          <w:bCs/>
          <w:sz w:val="22"/>
          <w:szCs w:val="22"/>
        </w:rPr>
        <w:tab/>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debe hacer adjudicatario a quien la presentó en debida forma. Es frente a estos factores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765E780E" w14:textId="77777777" w:rsidR="00F2564D" w:rsidRPr="003335CE" w:rsidRDefault="00F2564D" w:rsidP="00124810">
      <w:pPr>
        <w:tabs>
          <w:tab w:val="left" w:pos="0"/>
        </w:tabs>
        <w:spacing w:after="120" w:line="276" w:lineRule="auto"/>
        <w:jc w:val="both"/>
        <w:rPr>
          <w:rFonts w:ascii="Arial" w:eastAsia="Calibri" w:hAnsi="Arial" w:cs="Arial"/>
          <w:bCs/>
          <w:sz w:val="22"/>
          <w:szCs w:val="22"/>
        </w:rPr>
      </w:pPr>
      <w:r w:rsidRPr="003335CE">
        <w:rPr>
          <w:rFonts w:ascii="Arial" w:eastAsia="Calibri" w:hAnsi="Arial" w:cs="Arial"/>
          <w:bCs/>
          <w:sz w:val="22"/>
          <w:szCs w:val="22"/>
        </w:rPr>
        <w:tab/>
        <w:t>En ese sentido, la asignación de puntaje es un mecanismo mediante el cual las entidades ponderan los factores de calificación ꟷ</w:t>
      </w:r>
      <w:r w:rsidRPr="003335CE">
        <w:rPr>
          <w:rFonts w:ascii="Arial" w:eastAsia="Calibri" w:hAnsi="Arial" w:cs="Arial"/>
          <w:bCs/>
          <w:i/>
          <w:iCs/>
          <w:sz w:val="22"/>
          <w:szCs w:val="22"/>
        </w:rPr>
        <w:t>v.g.</w:t>
      </w:r>
      <w:r w:rsidRPr="003335CE">
        <w:rPr>
          <w:rFonts w:ascii="Arial" w:eastAsia="Calibri" w:hAnsi="Arial" w:cs="Arial"/>
          <w:bCs/>
          <w:sz w:val="22"/>
          <w:szCs w:val="22"/>
        </w:rPr>
        <w:t xml:space="preserve"> técnicos y económicos, de calidad y precio</w:t>
      </w:r>
      <w:r w:rsidRPr="003335CE">
        <w:rPr>
          <w:rFonts w:ascii="Arial" w:eastAsia="Calibri" w:hAnsi="Arial" w:cs="Arial"/>
          <w:bCs/>
          <w:sz w:val="22"/>
          <w:szCs w:val="22"/>
        </w:rPr>
        <w:softHyphen/>
        <w:t>, etc.ꟷ en un determinado proceso de selección, como se desprende del literal a) del numeral 2 del artículo 5 de la Ley 1150 de 2007, en el que expresamente se alude al puntaje. Sin embargo, no es este el único mecanismo de ponderación que tienen a su alcance las entidades estatales para determinar el ofrecimiento más favorable, pues el propio literal b) del artículo 5.2 posibilita que el ofrecimiento más favorable se determine con un análisis de la relación costo-beneficio, evento en el que no habría necesidad de acudir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2130ACF2" w14:textId="77777777" w:rsidR="00F2564D" w:rsidRPr="003335CE" w:rsidRDefault="00F2564D" w:rsidP="00124810">
      <w:pPr>
        <w:spacing w:after="120" w:line="276" w:lineRule="auto"/>
        <w:jc w:val="both"/>
        <w:rPr>
          <w:rFonts w:ascii="Arial" w:hAnsi="Arial" w:cs="Arial"/>
          <w:sz w:val="22"/>
          <w:szCs w:val="22"/>
          <w:lang w:eastAsia="es-CO"/>
        </w:rPr>
      </w:pPr>
      <w:r w:rsidRPr="003335CE">
        <w:rPr>
          <w:rFonts w:ascii="Arial" w:eastAsia="Calibri" w:hAnsi="Arial" w:cs="Arial"/>
          <w:bCs/>
          <w:sz w:val="22"/>
          <w:szCs w:val="22"/>
        </w:rPr>
        <w:tab/>
        <w:t>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w:t>
      </w:r>
      <w:r w:rsidRPr="003335CE">
        <w:rPr>
          <w:rFonts w:ascii="Arial" w:eastAsia="Calibri" w:hAnsi="Arial" w:cs="Arial"/>
          <w:bCs/>
          <w:sz w:val="22"/>
          <w:szCs w:val="22"/>
        </w:rPr>
        <w:softHyphen/>
        <w:t>.2 de la Ley 1150 de 2007, estableciendo unas pautas para la p</w:t>
      </w:r>
      <w:r w:rsidRPr="003335CE">
        <w:rPr>
          <w:rFonts w:ascii="Arial" w:hAnsi="Arial" w:cs="Arial"/>
          <w:sz w:val="22"/>
          <w:szCs w:val="22"/>
        </w:rPr>
        <w:t xml:space="preserve">onderación de los elementos de calidad y precio que representen la mejor relación de costo-beneficio. Conforme a este artículo, la oferta más favorable en estos casos debe determinarse ponderando en las ofertas: i) </w:t>
      </w:r>
      <w:r w:rsidRPr="003335CE">
        <w:rPr>
          <w:rFonts w:ascii="Arial" w:hAnsi="Arial" w:cs="Arial"/>
          <w:sz w:val="22"/>
          <w:szCs w:val="22"/>
          <w:lang w:eastAsia="es-CO"/>
        </w:rPr>
        <w:t xml:space="preserve">las condiciones técnicas y económicas mínimas, ii) las condiciones técnicas adicionales que representan </w:t>
      </w:r>
      <w:r w:rsidRPr="003335CE">
        <w:rPr>
          <w:rFonts w:ascii="Arial" w:hAnsi="Arial" w:cs="Arial"/>
          <w:sz w:val="22"/>
          <w:szCs w:val="22"/>
          <w:lang w:eastAsia="es-CO"/>
        </w:rPr>
        <w:lastRenderedPageBreak/>
        <w:t xml:space="preserve">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w:t>
      </w:r>
      <w:r w:rsidRPr="003335CE">
        <w:rPr>
          <w:rFonts w:ascii="Arial" w:eastAsia="Calibri" w:hAnsi="Arial" w:cs="Arial"/>
          <w:bCs/>
          <w:sz w:val="22"/>
          <w:szCs w:val="22"/>
        </w:rPr>
        <w:t xml:space="preserve">«[…] </w:t>
      </w:r>
      <w:r w:rsidRPr="003335CE">
        <w:rPr>
          <w:rFonts w:ascii="Arial" w:hAnsi="Arial" w:cs="Arial"/>
          <w:sz w:val="22"/>
          <w:szCs w:val="22"/>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Pr="003335CE">
        <w:rPr>
          <w:rFonts w:ascii="Arial" w:eastAsia="Calibri" w:hAnsi="Arial" w:cs="Arial"/>
          <w:bCs/>
          <w:sz w:val="22"/>
          <w:szCs w:val="22"/>
        </w:rPr>
        <w:t xml:space="preserve"> </w:t>
      </w:r>
      <w:r w:rsidRPr="003335CE">
        <w:rPr>
          <w:rFonts w:ascii="Arial" w:hAnsi="Arial" w:cs="Arial"/>
          <w:sz w:val="22"/>
          <w:szCs w:val="22"/>
        </w:rPr>
        <w:t>[…]</w:t>
      </w:r>
      <w:r w:rsidRPr="003335CE">
        <w:rPr>
          <w:rFonts w:ascii="Arial" w:eastAsia="Calibri" w:hAnsi="Arial" w:cs="Arial"/>
          <w:bCs/>
          <w:sz w:val="22"/>
          <w:szCs w:val="22"/>
        </w:rPr>
        <w:t>»</w:t>
      </w:r>
      <w:r w:rsidRPr="003335CE">
        <w:rPr>
          <w:rStyle w:val="Refdenotaalpie"/>
          <w:rFonts w:ascii="Arial" w:hAnsi="Arial" w:cs="Arial"/>
          <w:sz w:val="22"/>
          <w:szCs w:val="22"/>
          <w:lang w:eastAsia="es-CO"/>
        </w:rPr>
        <w:footnoteReference w:id="17"/>
      </w:r>
      <w:r w:rsidRPr="003335CE">
        <w:rPr>
          <w:rFonts w:ascii="Arial" w:eastAsia="Calibri" w:hAnsi="Arial" w:cs="Arial"/>
          <w:bCs/>
          <w:sz w:val="22"/>
          <w:szCs w:val="22"/>
        </w:rPr>
        <w:t>.</w:t>
      </w:r>
    </w:p>
    <w:p w14:paraId="63677D21" w14:textId="77777777" w:rsidR="00F2564D" w:rsidRPr="003335CE" w:rsidRDefault="00F2564D" w:rsidP="00124810">
      <w:pPr>
        <w:spacing w:after="120" w:line="276" w:lineRule="auto"/>
        <w:jc w:val="both"/>
        <w:rPr>
          <w:rFonts w:ascii="Arial" w:hAnsi="Arial" w:cs="Arial"/>
          <w:sz w:val="22"/>
          <w:szCs w:val="22"/>
          <w:lang w:eastAsia="es-CO"/>
        </w:rPr>
      </w:pPr>
      <w:r w:rsidRPr="003335CE">
        <w:rPr>
          <w:rFonts w:ascii="Arial" w:hAnsi="Arial" w:cs="Arial"/>
          <w:sz w:val="22"/>
          <w:szCs w:val="22"/>
          <w:lang w:eastAsia="es-CO"/>
        </w:rPr>
        <w:tab/>
        <w:t xml:space="preserve">Así,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 </w:t>
      </w:r>
    </w:p>
    <w:p w14:paraId="14384431" w14:textId="77777777" w:rsidR="00F2564D" w:rsidRPr="003335CE" w:rsidRDefault="00F2564D" w:rsidP="00124810">
      <w:pPr>
        <w:tabs>
          <w:tab w:val="left" w:pos="0"/>
        </w:tabs>
        <w:spacing w:after="120" w:line="276" w:lineRule="auto"/>
        <w:jc w:val="both"/>
        <w:rPr>
          <w:rFonts w:ascii="Arial" w:eastAsia="Calibri" w:hAnsi="Arial" w:cs="Arial"/>
          <w:bCs/>
          <w:sz w:val="22"/>
          <w:lang w:val="es-ES_tradnl"/>
        </w:rPr>
      </w:pPr>
      <w:r w:rsidRPr="003335CE">
        <w:rPr>
          <w:rFonts w:ascii="Arial" w:eastAsia="Calibri" w:hAnsi="Arial" w:cs="Arial"/>
          <w:b/>
          <w:sz w:val="22"/>
          <w:lang w:val="es-ES_tradnl"/>
        </w:rPr>
        <w:lastRenderedPageBreak/>
        <w:tab/>
      </w:r>
      <w:r w:rsidRPr="003335CE">
        <w:rPr>
          <w:rFonts w:ascii="Arial" w:eastAsia="Calibri" w:hAnsi="Arial" w:cs="Arial"/>
          <w:bCs/>
          <w:sz w:val="22"/>
          <w:lang w:val="es-ES_tradnl"/>
        </w:rPr>
        <w:t xml:space="preserve">En gracia de discusión, asumir que los factores de desempate del artículo 35 de la Ley 2069 de 2020 únicamente son aplicables a los procesos de selección en los que se empleen sistemas de asignación de puntaje para determinar la oferta más favorable, conduciría a entender que estos no rigen en otros procedimientos de selección. Esto dado que no habría lugar a aplicar los referidos factores de desempate en procedimientos en los que no se comparen las ofertas usando puntajes, como es el caso de los procesos en los que ponderan condiciones técnicas y económicas mínimas y adicionales para escoger la oferta que represente la mejor relación costo beneficio, procedimientos en los que también es posible que se presenten empates. </w:t>
      </w:r>
    </w:p>
    <w:p w14:paraId="4D9CC02D" w14:textId="77777777" w:rsidR="00F2564D" w:rsidRPr="003335CE" w:rsidRDefault="00F2564D" w:rsidP="00124810">
      <w:pPr>
        <w:tabs>
          <w:tab w:val="left" w:pos="0"/>
        </w:tabs>
        <w:spacing w:after="120" w:line="276" w:lineRule="auto"/>
        <w:jc w:val="both"/>
        <w:rPr>
          <w:rFonts w:ascii="Arial" w:eastAsia="Calibri" w:hAnsi="Arial" w:cs="Arial"/>
          <w:bCs/>
          <w:sz w:val="22"/>
          <w:lang w:val="es-ES_tradnl"/>
        </w:rPr>
      </w:pPr>
      <w:r w:rsidRPr="003335CE">
        <w:rPr>
          <w:rFonts w:ascii="Arial" w:eastAsia="Calibri" w:hAnsi="Arial" w:cs="Arial"/>
          <w:bCs/>
          <w:sz w:val="22"/>
          <w:lang w:val="es-ES_tradnl"/>
        </w:rPr>
        <w:tab/>
        <w:t>Las entidades estatales tendrían a su alcance la posibilidad de determinar si aplica o no el artículo 35 de la Ley de Emprendimiento, pues al elaborar los pliegos de condiciones están facultadas para prescindir de la asignación de puntaje, optando, por ejemplo, por alternativas en las que se valore la relación costo beneficio, lo que relevaría a la entidad de aplicar los factores de desempate. Esta consecuencia también se aprecia en el caso de las entidades exceptuadas, quienes, al no estar sujetas al artículo 5 de la Ley 1150 de 2007, tendrían la posibilidad de configurar procesos de selección en los que no se utilicen puntajes para escoger la oferta ganadora, inaplicando los factores de desempate del artículo 35 de la Ley 2069 de 2020.</w:t>
      </w:r>
    </w:p>
    <w:p w14:paraId="118556EB" w14:textId="77777777" w:rsidR="00F2564D" w:rsidRPr="003335CE" w:rsidRDefault="00F2564D" w:rsidP="00124810">
      <w:pPr>
        <w:tabs>
          <w:tab w:val="left" w:pos="0"/>
        </w:tabs>
        <w:spacing w:after="120" w:line="276" w:lineRule="auto"/>
        <w:jc w:val="both"/>
        <w:rPr>
          <w:rFonts w:ascii="Arial" w:eastAsia="Calibri" w:hAnsi="Arial" w:cs="Arial"/>
          <w:bCs/>
          <w:sz w:val="22"/>
          <w:lang w:val="es-ES_tradnl"/>
        </w:rPr>
      </w:pPr>
      <w:r w:rsidRPr="003335CE">
        <w:rPr>
          <w:rFonts w:ascii="Arial" w:eastAsia="Calibri" w:hAnsi="Arial" w:cs="Arial"/>
          <w:bCs/>
          <w:sz w:val="22"/>
          <w:lang w:val="es-ES_tradnl"/>
        </w:rPr>
        <w:tab/>
        <w:t xml:space="preserve">Conforme a estas consideraciones, con el entendimiento literal de la expresión </w:t>
      </w:r>
      <w:r w:rsidRPr="003335CE">
        <w:rPr>
          <w:rFonts w:ascii="Arial" w:eastAsia="Calibri" w:hAnsi="Arial" w:cs="Arial"/>
          <w:bCs/>
          <w:i/>
          <w:iCs/>
          <w:sz w:val="22"/>
          <w:lang w:val="es-ES_tradnl"/>
        </w:rPr>
        <w:t>puntaje total</w:t>
      </w:r>
      <w:r w:rsidRPr="003335CE">
        <w:rPr>
          <w:rFonts w:ascii="Arial" w:eastAsia="Calibri" w:hAnsi="Arial" w:cs="Arial"/>
          <w:bCs/>
          <w:sz w:val="22"/>
          <w:lang w:val="es-ES_tradnl"/>
        </w:rPr>
        <w:t xml:space="preserve"> contenida en el artículo 35 de la 2069 de 2020 se restringiría el alcance y los efectos de la norma referida, al permitir que los destinatarios eludan su aplicación. Esto implicaría que la finalidad transversal del artículo 35 de la Ley 2069 de 2020 quedaría cercenada por su interpretación exegética, generando consecuencias absurdas como las descritas en el párrafo precedente.  </w:t>
      </w:r>
    </w:p>
    <w:p w14:paraId="43641D4F" w14:textId="77777777" w:rsidR="00F2564D" w:rsidRPr="003335CE" w:rsidRDefault="00F2564D" w:rsidP="00124810">
      <w:pPr>
        <w:tabs>
          <w:tab w:val="left" w:pos="0"/>
        </w:tabs>
        <w:spacing w:after="120" w:line="276" w:lineRule="auto"/>
        <w:jc w:val="both"/>
        <w:rPr>
          <w:rFonts w:ascii="Arial" w:hAnsi="Arial" w:cs="Arial"/>
          <w:sz w:val="22"/>
          <w:szCs w:val="22"/>
        </w:rPr>
      </w:pPr>
      <w:r w:rsidRPr="003335CE">
        <w:rPr>
          <w:rFonts w:ascii="Arial" w:eastAsia="Calibri" w:hAnsi="Arial" w:cs="Arial"/>
          <w:bCs/>
          <w:sz w:val="22"/>
          <w:szCs w:val="22"/>
          <w:lang w:val="es-ES_tradnl"/>
        </w:rPr>
        <w:tab/>
        <w:t xml:space="preserve">Por eso, la Agencia no comparte la posición según la cual el artículo 35 de la Ley de Emprendimiento solo es aplicable en caso de empate en el puntaje total entre dos o más ofertas. Por el contrario, </w:t>
      </w:r>
      <w:bookmarkStart w:id="21" w:name="_Hlk69752682"/>
      <w:r w:rsidRPr="003335CE">
        <w:rPr>
          <w:rFonts w:ascii="Arial" w:eastAsia="Calibri" w:hAnsi="Arial" w:cs="Arial"/>
          <w:bCs/>
          <w:sz w:val="22"/>
          <w:szCs w:val="22"/>
          <w:lang w:val="es-ES_tradnl"/>
        </w:rPr>
        <w:t xml:space="preserve">debe interpretarse de manera sistemática con las demás disposiciones del EGCAP, particularmente, con el artículo 5 de la Ley 1150 de 2007. Conforme a esta interpretación, la expresión </w:t>
      </w:r>
      <w:r w:rsidRPr="003335CE">
        <w:rPr>
          <w:rFonts w:ascii="Arial" w:hAnsi="Arial" w:cs="Arial"/>
          <w:i/>
          <w:iCs/>
          <w:sz w:val="22"/>
          <w:szCs w:val="22"/>
        </w:rPr>
        <w:t>empate en el puntaje total</w:t>
      </w:r>
      <w:r w:rsidRPr="003335CE">
        <w:rPr>
          <w:rFonts w:ascii="Arial" w:hAnsi="Arial" w:cs="Arial"/>
          <w:sz w:val="22"/>
          <w:szCs w:val="22"/>
        </w:rPr>
        <w:t xml:space="preserve"> apunta a las situaciones en la evaluación final de las ofertas, en las que, realizándose la comparación de acuerdo con los factores de calificación, evaluación o ponderación aplicables al respectivo procedimiento, se presenta un empate entre dos o más propuestas. </w:t>
      </w:r>
    </w:p>
    <w:p w14:paraId="72C5326B" w14:textId="77777777" w:rsidR="00F2564D" w:rsidRPr="003335CE" w:rsidRDefault="00F2564D" w:rsidP="00124810">
      <w:pPr>
        <w:tabs>
          <w:tab w:val="left" w:pos="0"/>
        </w:tabs>
        <w:spacing w:after="120" w:line="276" w:lineRule="auto"/>
        <w:jc w:val="both"/>
        <w:rPr>
          <w:rFonts w:ascii="Arial" w:hAnsi="Arial" w:cs="Arial"/>
          <w:sz w:val="22"/>
          <w:szCs w:val="22"/>
        </w:rPr>
      </w:pPr>
      <w:r w:rsidRPr="003335CE">
        <w:rPr>
          <w:rFonts w:ascii="Arial" w:hAnsi="Arial" w:cs="Arial"/>
          <w:sz w:val="22"/>
          <w:szCs w:val="22"/>
        </w:rPr>
        <w:tab/>
        <w:t xml:space="preserve">En ese entendido, con independencia de que la ponderación emplee puntajes,  fórmulas, criterios de relación costo – beneficio o de que el único criterio de evaluación sea el menor precio, deben aplicarse los factores de desempate del artículo 35 de la Ley 2069 de 2020 en los procesos de contratación realizados con cargo a recursos públicos, los procesos de contratación realizados por las entidades estatales indistintamente de su </w:t>
      </w:r>
      <w:r w:rsidRPr="003335CE">
        <w:rPr>
          <w:rFonts w:ascii="Arial" w:hAnsi="Arial" w:cs="Arial"/>
          <w:sz w:val="22"/>
          <w:szCs w:val="22"/>
        </w:rPr>
        <w:lastRenderedPageBreak/>
        <w:t>régimen de contratación, así como los celebrados por los procesos de contratación de los patrimonios autónomos constituidos por entidades estatales.</w:t>
      </w:r>
    </w:p>
    <w:bookmarkEnd w:id="21"/>
    <w:p w14:paraId="41FE50B0" w14:textId="36C226AC" w:rsidR="00F2564D" w:rsidRPr="003335CE" w:rsidRDefault="00F2564D" w:rsidP="00124810">
      <w:pPr>
        <w:tabs>
          <w:tab w:val="left" w:pos="0"/>
        </w:tabs>
        <w:spacing w:after="120" w:line="276" w:lineRule="auto"/>
        <w:jc w:val="both"/>
        <w:rPr>
          <w:rFonts w:ascii="Arial" w:eastAsia="Calibri" w:hAnsi="Arial" w:cs="Arial"/>
          <w:b/>
          <w:sz w:val="22"/>
          <w:lang w:val="es-ES_tradnl"/>
        </w:rPr>
      </w:pPr>
      <w:r w:rsidRPr="003335CE">
        <w:rPr>
          <w:rFonts w:ascii="Arial" w:eastAsia="Calibri" w:hAnsi="Arial" w:cs="Arial"/>
          <w:bCs/>
          <w:sz w:val="22"/>
          <w:szCs w:val="22"/>
          <w:lang w:val="es-ES_tradnl"/>
        </w:rPr>
        <w:tab/>
        <w:t>Esta interpretación garantiza que el artículo 35 de la Ley 2069 de 2020 cumpla la finalidad transversal con la que fue concebido, a diferencia de la interpretación literal del mismo, que restringiría en gran medida su ámbito de aplicación. En ese sentido, la interpretación sistemática está respaldada por la aplicación del principio hermenéutico del</w:t>
      </w:r>
      <w:r w:rsidRPr="003335CE">
        <w:rPr>
          <w:rFonts w:ascii="Arial" w:eastAsia="Calibri" w:hAnsi="Arial" w:cs="Arial"/>
          <w:bCs/>
          <w:i/>
          <w:iCs/>
          <w:sz w:val="22"/>
          <w:szCs w:val="22"/>
          <w:lang w:val="es-ES_tradnl"/>
        </w:rPr>
        <w:t xml:space="preserve"> efecto útil de las normas</w:t>
      </w:r>
      <w:r w:rsidRPr="003335CE">
        <w:rPr>
          <w:rStyle w:val="Refdenotaalpie"/>
          <w:rFonts w:ascii="Arial" w:eastAsiaTheme="minorHAnsi" w:hAnsi="Arial" w:cs="Arial"/>
          <w:sz w:val="22"/>
          <w:szCs w:val="22"/>
          <w:lang w:eastAsia="en-US"/>
        </w:rPr>
        <w:footnoteReference w:id="18"/>
      </w:r>
      <w:r w:rsidRPr="003335CE">
        <w:rPr>
          <w:rFonts w:ascii="Arial" w:eastAsiaTheme="minorHAnsi" w:hAnsi="Arial" w:cs="Arial"/>
          <w:sz w:val="22"/>
          <w:szCs w:val="22"/>
          <w:lang w:eastAsia="en-US"/>
        </w:rPr>
        <w:t>.</w:t>
      </w:r>
      <w:r w:rsidRPr="003335CE">
        <w:rPr>
          <w:rFonts w:ascii="Arial" w:eastAsia="Calibri" w:hAnsi="Arial" w:cs="Arial"/>
          <w:b/>
          <w:sz w:val="22"/>
          <w:lang w:val="es-ES_tradnl"/>
        </w:rPr>
        <w:t xml:space="preserve"> </w:t>
      </w:r>
      <w:r w:rsidRPr="003335CE">
        <w:rPr>
          <w:rFonts w:ascii="Arial" w:eastAsia="Calibri" w:hAnsi="Arial" w:cs="Arial"/>
          <w:bCs/>
          <w:sz w:val="22"/>
          <w:lang w:val="es-ES_tradnl"/>
        </w:rPr>
        <w:t xml:space="preserve">Por tanto, los factores de desempate de la Ley de Emprendimiento aplican a todos los procesos de selección de las entidades estatales sin importar su régimen contractual, en los que se presente empate entre varias ofertas, una vez comparadas las mismas ponderando los factores de evaluación de acuerdo con las reglas establecidas en el pliego de condiciones o documento equivalente. </w:t>
      </w:r>
    </w:p>
    <w:p w14:paraId="4EFB2705" w14:textId="7E17B922" w:rsidR="009B7A99" w:rsidRPr="003335CE" w:rsidRDefault="00897B0F" w:rsidP="00A37750">
      <w:pPr>
        <w:spacing w:line="276" w:lineRule="auto"/>
        <w:ind w:firstLine="709"/>
        <w:jc w:val="both"/>
        <w:rPr>
          <w:rFonts w:ascii="Arial" w:eastAsia="Calibri" w:hAnsi="Arial" w:cs="Arial"/>
          <w:sz w:val="22"/>
          <w:szCs w:val="22"/>
          <w:lang w:val="es-ES_tradnl"/>
        </w:rPr>
      </w:pPr>
      <w:bookmarkStart w:id="22" w:name="_Hlk102388433"/>
      <w:r w:rsidRPr="003335CE">
        <w:rPr>
          <w:rFonts w:ascii="Arial" w:eastAsia="Calibri" w:hAnsi="Arial" w:cs="Arial"/>
          <w:sz w:val="22"/>
          <w:szCs w:val="22"/>
          <w:lang w:val="es-ES_tradnl"/>
        </w:rPr>
        <w:t xml:space="preserve">Sumado a los argumentos antes expuestos, se debe tener en cuenta que el Decreto 1860 de 2021, mediante el cual se reglamentó la Ley 2069 </w:t>
      </w:r>
      <w:r w:rsidR="00CF355D" w:rsidRPr="003335CE">
        <w:rPr>
          <w:rFonts w:ascii="Arial" w:eastAsia="Calibri" w:hAnsi="Arial" w:cs="Arial"/>
          <w:sz w:val="22"/>
          <w:szCs w:val="22"/>
          <w:lang w:val="es-ES_tradnl"/>
        </w:rPr>
        <w:t xml:space="preserve">de 2020, dispuso de forma expresa la aplicación de los factores de desempate dispuesto en el artículo 35 a los procedimientos de mínima cuantía. </w:t>
      </w:r>
      <w:r w:rsidR="00A37750" w:rsidRPr="003335CE">
        <w:rPr>
          <w:rFonts w:ascii="Arial" w:eastAsia="Calibri" w:hAnsi="Arial" w:cs="Arial"/>
          <w:sz w:val="22"/>
          <w:szCs w:val="22"/>
          <w:lang w:val="es-ES_tradnl"/>
        </w:rPr>
        <w:t xml:space="preserve">Así las cosas, </w:t>
      </w:r>
      <w:r w:rsidR="00CF355D" w:rsidRPr="003335CE">
        <w:rPr>
          <w:rFonts w:ascii="Arial" w:eastAsia="Calibri" w:hAnsi="Arial" w:cs="Arial"/>
          <w:sz w:val="22"/>
          <w:szCs w:val="22"/>
          <w:lang w:val="es-ES_tradnl"/>
        </w:rPr>
        <w:t xml:space="preserve">el </w:t>
      </w:r>
      <w:r w:rsidR="009B7A99" w:rsidRPr="003335CE">
        <w:rPr>
          <w:rFonts w:ascii="Arial" w:eastAsia="Calibri" w:hAnsi="Arial" w:cs="Arial"/>
          <w:sz w:val="22"/>
          <w:szCs w:val="22"/>
          <w:lang w:val="es-ES_tradnl"/>
        </w:rPr>
        <w:t xml:space="preserve">artículo 2.2.1.2.1.5.2 del Decreto 1082 de 2015, modificado por el artículo 2 del Decreto 1860 de 2021, regula el procedimiento aplicable para la modalidad de mínima cuantía y </w:t>
      </w:r>
      <w:r w:rsidR="009B7A99" w:rsidRPr="003335CE">
        <w:rPr>
          <w:rFonts w:ascii="Arial" w:eastAsia="Calibri" w:hAnsi="Arial" w:cs="Arial"/>
          <w:sz w:val="22"/>
          <w:szCs w:val="22"/>
          <w:lang w:val="es-ES_tradnl" w:eastAsia="es-CO"/>
        </w:rPr>
        <w:t>dispone, en su numeral 8</w:t>
      </w:r>
      <w:r w:rsidR="009B7A99" w:rsidRPr="003335CE">
        <w:rPr>
          <w:rStyle w:val="Refdenotaalpie"/>
          <w:rFonts w:ascii="Arial" w:eastAsia="Calibri" w:hAnsi="Arial" w:cs="Arial"/>
          <w:sz w:val="22"/>
          <w:szCs w:val="22"/>
          <w:lang w:val="es-ES_tradnl" w:eastAsia="es-CO"/>
        </w:rPr>
        <w:footnoteReference w:id="19"/>
      </w:r>
      <w:r w:rsidR="009B7A99" w:rsidRPr="003335CE">
        <w:rPr>
          <w:rFonts w:ascii="Arial" w:eastAsia="Calibri" w:hAnsi="Arial" w:cs="Arial"/>
          <w:sz w:val="22"/>
          <w:szCs w:val="22"/>
          <w:lang w:val="es-ES_tradnl" w:eastAsia="es-CO"/>
        </w:rPr>
        <w:t>, un factor de desempate aplicable a este procedimiento</w:t>
      </w:r>
      <w:r w:rsidR="009B7A99" w:rsidRPr="003335CE">
        <w:rPr>
          <w:rFonts w:ascii="Arial" w:eastAsia="Calibri" w:hAnsi="Arial" w:cs="Arial"/>
          <w:sz w:val="22"/>
          <w:szCs w:val="22"/>
          <w:lang w:val="es-ES_tradnl"/>
        </w:rPr>
        <w:t xml:space="preserve">, al indicar que en caso de empate se aplicaran los criterios de que trata el artículo 35 de la Ley 2069 de 2020, conforme lo medios de acreditación dispuestos en el artículo 2.2.1.2.4.2.17. del mismo Decreto. </w:t>
      </w:r>
    </w:p>
    <w:bookmarkEnd w:id="22"/>
    <w:p w14:paraId="0C554C34" w14:textId="77777777" w:rsidR="00F2564D" w:rsidRPr="003335CE" w:rsidRDefault="00F2564D" w:rsidP="00F2564D">
      <w:pPr>
        <w:tabs>
          <w:tab w:val="left" w:pos="0"/>
        </w:tabs>
        <w:contextualSpacing/>
        <w:jc w:val="both"/>
        <w:rPr>
          <w:rFonts w:ascii="Arial" w:eastAsia="Calibri" w:hAnsi="Arial" w:cs="Arial"/>
          <w:b/>
          <w:sz w:val="22"/>
          <w:lang w:val="es-ES_tradnl"/>
        </w:rPr>
      </w:pPr>
    </w:p>
    <w:p w14:paraId="3F590DDB" w14:textId="77777777" w:rsidR="00F2564D" w:rsidRPr="003335CE" w:rsidRDefault="00F2564D" w:rsidP="00F2564D">
      <w:pPr>
        <w:tabs>
          <w:tab w:val="left" w:pos="0"/>
        </w:tabs>
        <w:contextualSpacing/>
        <w:jc w:val="both"/>
        <w:rPr>
          <w:rFonts w:ascii="Arial" w:eastAsia="Calibri" w:hAnsi="Arial" w:cs="Arial"/>
          <w:b/>
          <w:sz w:val="22"/>
          <w:lang w:val="es-ES_tradnl"/>
        </w:rPr>
      </w:pPr>
      <w:r w:rsidRPr="003335CE">
        <w:rPr>
          <w:rFonts w:ascii="Arial" w:eastAsia="Calibri" w:hAnsi="Arial" w:cs="Arial"/>
          <w:b/>
          <w:sz w:val="22"/>
          <w:lang w:val="es-ES_tradnl"/>
        </w:rPr>
        <w:t>3. Respuesta</w:t>
      </w:r>
    </w:p>
    <w:p w14:paraId="56754F6B" w14:textId="77777777" w:rsidR="00F2564D" w:rsidRPr="003335CE" w:rsidRDefault="00F2564D" w:rsidP="00F2564D">
      <w:pPr>
        <w:ind w:right="709"/>
        <w:contextualSpacing/>
        <w:jc w:val="both"/>
        <w:rPr>
          <w:rFonts w:ascii="Arial" w:hAnsi="Arial" w:cs="Arial"/>
          <w:sz w:val="21"/>
          <w:szCs w:val="21"/>
          <w:lang w:val="es-ES_tradnl"/>
        </w:rPr>
      </w:pPr>
    </w:p>
    <w:p w14:paraId="0D5EBB55" w14:textId="77777777" w:rsidR="00A37750" w:rsidRPr="003335CE" w:rsidRDefault="00A37750" w:rsidP="00A37750">
      <w:pPr>
        <w:ind w:left="709" w:right="618"/>
        <w:contextualSpacing/>
        <w:jc w:val="both"/>
        <w:rPr>
          <w:rFonts w:ascii="Arial" w:eastAsia="Calibri" w:hAnsi="Arial" w:cs="Arial"/>
          <w:sz w:val="21"/>
          <w:szCs w:val="21"/>
          <w:lang w:val="es-ES"/>
        </w:rPr>
      </w:pPr>
      <w:r w:rsidRPr="003335CE">
        <w:rPr>
          <w:rFonts w:ascii="Arial" w:eastAsia="Calibri" w:hAnsi="Arial" w:cs="Arial"/>
          <w:sz w:val="21"/>
          <w:szCs w:val="21"/>
          <w:lang w:val="es-ES"/>
        </w:rPr>
        <w:t xml:space="preserve">«Acudo a esa Agencia Nacional para consultar sobre el artículo 35 de la Ley 2069 de 2020, que dice "ARTÍCULO 35. FACTORES DE DESEMPATE. 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 " </w:t>
      </w:r>
    </w:p>
    <w:p w14:paraId="064565E1" w14:textId="77777777" w:rsidR="00A37750" w:rsidRPr="003335CE" w:rsidRDefault="00A37750" w:rsidP="00A37750">
      <w:pPr>
        <w:ind w:left="709" w:right="618"/>
        <w:contextualSpacing/>
        <w:jc w:val="both"/>
        <w:rPr>
          <w:rFonts w:ascii="Arial" w:eastAsia="Calibri" w:hAnsi="Arial" w:cs="Arial"/>
          <w:sz w:val="21"/>
          <w:szCs w:val="21"/>
          <w:lang w:val="es-ES"/>
        </w:rPr>
      </w:pPr>
    </w:p>
    <w:p w14:paraId="2F620C7B" w14:textId="77777777" w:rsidR="00A37750" w:rsidRPr="003335CE" w:rsidRDefault="00A37750" w:rsidP="00A37750">
      <w:pPr>
        <w:ind w:left="709" w:right="618"/>
        <w:contextualSpacing/>
        <w:jc w:val="both"/>
        <w:rPr>
          <w:rFonts w:ascii="Arial" w:eastAsia="Calibri" w:hAnsi="Arial" w:cs="Arial"/>
          <w:sz w:val="21"/>
          <w:szCs w:val="21"/>
          <w:lang w:val="es-ES"/>
        </w:rPr>
      </w:pPr>
      <w:r w:rsidRPr="003335CE">
        <w:rPr>
          <w:rFonts w:ascii="Arial" w:eastAsia="Calibri" w:hAnsi="Arial" w:cs="Arial"/>
          <w:sz w:val="21"/>
          <w:szCs w:val="21"/>
          <w:lang w:val="es-ES"/>
        </w:rPr>
        <w:t>Teniendo que la norma indica "empate en el puntaje total", solicito si en criterio de esa Entidad, el artículo en comento rige para procesos de mínima cuantía»</w:t>
      </w:r>
    </w:p>
    <w:p w14:paraId="0167A087" w14:textId="77777777" w:rsidR="00F2564D" w:rsidRPr="003335CE" w:rsidRDefault="00F2564D" w:rsidP="00F2564D">
      <w:pPr>
        <w:spacing w:line="276" w:lineRule="auto"/>
        <w:ind w:left="709" w:right="709"/>
        <w:contextualSpacing/>
        <w:jc w:val="both"/>
        <w:rPr>
          <w:rFonts w:ascii="Arial" w:hAnsi="Arial" w:cs="Arial"/>
          <w:sz w:val="22"/>
          <w:szCs w:val="22"/>
          <w:lang w:val="es-ES_tradnl"/>
        </w:rPr>
      </w:pPr>
    </w:p>
    <w:p w14:paraId="16BDA5C5" w14:textId="626CF7B4" w:rsidR="003335CE" w:rsidRPr="009774A3" w:rsidRDefault="003A7EB4" w:rsidP="009774A3">
      <w:pPr>
        <w:spacing w:after="120" w:line="276" w:lineRule="auto"/>
        <w:jc w:val="both"/>
        <w:rPr>
          <w:rFonts w:ascii="Arial" w:hAnsi="Arial" w:cs="Arial"/>
          <w:sz w:val="22"/>
          <w:szCs w:val="22"/>
          <w:lang w:val="es-ES_tradnl"/>
        </w:rPr>
      </w:pPr>
      <w:bookmarkStart w:id="23" w:name="_Hlk69487468"/>
      <w:bookmarkStart w:id="24" w:name="_Hlk79145750"/>
      <w:r w:rsidRPr="009774A3">
        <w:rPr>
          <w:rFonts w:ascii="Arial" w:eastAsia="Calibri" w:hAnsi="Arial" w:cs="Arial"/>
          <w:sz w:val="22"/>
          <w:szCs w:val="22"/>
          <w:lang w:val="es-ES_tradnl"/>
        </w:rPr>
        <w:t>Mediante e</w:t>
      </w:r>
      <w:r w:rsidR="00F2564D" w:rsidRPr="009774A3">
        <w:rPr>
          <w:rFonts w:ascii="Arial" w:eastAsia="Calibri" w:hAnsi="Arial" w:cs="Arial"/>
          <w:sz w:val="22"/>
          <w:szCs w:val="22"/>
          <w:lang w:val="es-ES_tradnl"/>
        </w:rPr>
        <w:t>l artículo 35 de la Ley 2069 de 2020</w:t>
      </w:r>
      <w:r w:rsidRPr="009774A3">
        <w:rPr>
          <w:rFonts w:ascii="Arial" w:eastAsia="Calibri" w:hAnsi="Arial" w:cs="Arial"/>
          <w:sz w:val="22"/>
          <w:szCs w:val="22"/>
          <w:lang w:val="es-ES_tradnl"/>
        </w:rPr>
        <w:t xml:space="preserve">, «Por medio de la cual se impulsa el emprendimiento en Colombia», se </w:t>
      </w:r>
      <w:r w:rsidR="00F2564D" w:rsidRPr="009774A3">
        <w:rPr>
          <w:rFonts w:ascii="Arial" w:eastAsia="Calibri" w:hAnsi="Arial" w:cs="Arial"/>
          <w:sz w:val="22"/>
          <w:szCs w:val="22"/>
          <w:lang w:val="es-ES_tradnl"/>
        </w:rPr>
        <w:t>modific</w:t>
      </w:r>
      <w:r w:rsidR="00BB6924" w:rsidRPr="009774A3">
        <w:rPr>
          <w:rFonts w:ascii="Arial" w:eastAsia="Calibri" w:hAnsi="Arial" w:cs="Arial"/>
          <w:sz w:val="22"/>
          <w:szCs w:val="22"/>
          <w:lang w:val="es-ES_tradnl"/>
        </w:rPr>
        <w:t>ó</w:t>
      </w:r>
      <w:r w:rsidR="00F2564D" w:rsidRPr="009774A3">
        <w:rPr>
          <w:rFonts w:ascii="Arial" w:eastAsia="Calibri" w:hAnsi="Arial" w:cs="Arial"/>
          <w:sz w:val="22"/>
          <w:szCs w:val="22"/>
          <w:lang w:val="es-ES_tradnl"/>
        </w:rPr>
        <w:t xml:space="preserve"> el régimen de los factores de desempate en la contratación estatal</w:t>
      </w:r>
      <w:r w:rsidR="003A71DE" w:rsidRPr="009774A3">
        <w:rPr>
          <w:rFonts w:ascii="Arial" w:eastAsia="Calibri" w:hAnsi="Arial" w:cs="Arial"/>
          <w:sz w:val="22"/>
          <w:szCs w:val="22"/>
          <w:lang w:val="es-ES_tradnl"/>
        </w:rPr>
        <w:t xml:space="preserve">. Los criterios de desempate consagrados en el citado artículo son aplicables </w:t>
      </w:r>
      <w:r w:rsidR="003A71DE" w:rsidRPr="009774A3">
        <w:rPr>
          <w:rFonts w:ascii="Arial" w:hAnsi="Arial" w:cs="Arial"/>
          <w:sz w:val="22"/>
          <w:szCs w:val="22"/>
          <w:lang w:val="es-ES_tradnl"/>
        </w:rPr>
        <w:t xml:space="preserve">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w:t>
      </w:r>
      <w:r w:rsidR="003A71DE" w:rsidRPr="009774A3">
        <w:rPr>
          <w:rFonts w:ascii="Arial" w:eastAsia="Calibri" w:hAnsi="Arial" w:cs="Arial"/>
          <w:sz w:val="22"/>
          <w:szCs w:val="22"/>
          <w:lang w:val="es-ES_tradnl"/>
        </w:rPr>
        <w:t xml:space="preserve">independientemente de su régimen de contratación y </w:t>
      </w:r>
      <w:r w:rsidR="003A71DE" w:rsidRPr="009774A3">
        <w:rPr>
          <w:rFonts w:ascii="Arial" w:hAnsi="Arial" w:cs="Arial"/>
          <w:sz w:val="22"/>
          <w:szCs w:val="22"/>
          <w:lang w:val="es-ES_tradnl"/>
        </w:rPr>
        <w:t>sin distinguir entre modalidades de selección.</w:t>
      </w:r>
    </w:p>
    <w:p w14:paraId="4090902C" w14:textId="670BB358" w:rsidR="00F2564D" w:rsidRPr="009774A3" w:rsidRDefault="003335CE" w:rsidP="009774A3">
      <w:pPr>
        <w:tabs>
          <w:tab w:val="left" w:pos="0"/>
        </w:tabs>
        <w:spacing w:after="120" w:line="276" w:lineRule="auto"/>
        <w:jc w:val="both"/>
        <w:rPr>
          <w:rFonts w:ascii="Arial" w:eastAsia="Calibri" w:hAnsi="Arial" w:cs="Arial"/>
          <w:sz w:val="22"/>
          <w:szCs w:val="22"/>
          <w:lang w:val="es-ES_tradnl"/>
        </w:rPr>
      </w:pPr>
      <w:r w:rsidRPr="009774A3">
        <w:rPr>
          <w:rFonts w:ascii="Arial" w:eastAsia="Calibri" w:hAnsi="Arial" w:cs="Arial"/>
          <w:sz w:val="22"/>
          <w:szCs w:val="22"/>
          <w:lang w:val="es-ES_tradnl"/>
        </w:rPr>
        <w:tab/>
        <w:t>E</w:t>
      </w:r>
      <w:r w:rsidR="00F2564D" w:rsidRPr="009774A3">
        <w:rPr>
          <w:rFonts w:ascii="Arial" w:eastAsia="Calibri" w:hAnsi="Arial" w:cs="Arial"/>
          <w:sz w:val="22"/>
          <w:szCs w:val="22"/>
          <w:lang w:val="es-ES_tradnl"/>
        </w:rPr>
        <w:t>l artículo 35 de la Ley 2069 de 2020 regula la institución de los factores de desempate en los procesos de contratación estatal de manera integral</w:t>
      </w:r>
      <w:r w:rsidR="00C44D93">
        <w:rPr>
          <w:rFonts w:ascii="Arial" w:eastAsia="Calibri" w:hAnsi="Arial" w:cs="Arial"/>
          <w:sz w:val="22"/>
          <w:szCs w:val="22"/>
          <w:lang w:val="es-ES_tradnl"/>
        </w:rPr>
        <w:t xml:space="preserve">, sin hacer distinción entre las </w:t>
      </w:r>
      <w:r w:rsidR="00C44D93" w:rsidRPr="009774A3">
        <w:rPr>
          <w:rFonts w:ascii="Arial" w:eastAsia="Calibri" w:hAnsi="Arial" w:cs="Arial"/>
          <w:sz w:val="22"/>
          <w:szCs w:val="22"/>
          <w:lang w:val="es-ES_tradnl"/>
        </w:rPr>
        <w:t>modalidades de selección</w:t>
      </w:r>
      <w:r w:rsidR="00F2564D" w:rsidRPr="009774A3">
        <w:rPr>
          <w:rFonts w:ascii="Arial" w:eastAsia="Calibri" w:hAnsi="Arial" w:cs="Arial"/>
          <w:sz w:val="22"/>
          <w:szCs w:val="22"/>
          <w:lang w:val="es-ES_tradnl"/>
        </w:rPr>
        <w:t xml:space="preserve">. En consecuencia, por tratarse de una norma transversal al sistema de compras y contratación pública, el </w:t>
      </w:r>
      <w:r w:rsidR="00E15CB6" w:rsidRPr="009774A3">
        <w:rPr>
          <w:rFonts w:ascii="Arial" w:eastAsia="Calibri" w:hAnsi="Arial" w:cs="Arial"/>
          <w:sz w:val="22"/>
          <w:szCs w:val="22"/>
          <w:lang w:val="es-ES_tradnl"/>
        </w:rPr>
        <w:t>citado</w:t>
      </w:r>
      <w:r w:rsidR="00BC65E3">
        <w:rPr>
          <w:rFonts w:ascii="Arial" w:eastAsia="Calibri" w:hAnsi="Arial" w:cs="Arial"/>
          <w:sz w:val="22"/>
          <w:szCs w:val="22"/>
          <w:lang w:val="es-ES_tradnl"/>
        </w:rPr>
        <w:t xml:space="preserve"> artículo</w:t>
      </w:r>
      <w:r w:rsidR="00F2564D" w:rsidRPr="009774A3">
        <w:rPr>
          <w:rFonts w:ascii="Arial" w:eastAsia="Calibri" w:hAnsi="Arial" w:cs="Arial"/>
          <w:sz w:val="22"/>
          <w:szCs w:val="22"/>
          <w:lang w:val="es-ES_tradnl"/>
        </w:rPr>
        <w:t xml:space="preserve"> es aplicable a los procedimientos de mínima cuantía</w:t>
      </w:r>
      <w:r w:rsidRPr="009774A3">
        <w:rPr>
          <w:rFonts w:ascii="Arial" w:eastAsia="Calibri" w:hAnsi="Arial" w:cs="Arial"/>
          <w:sz w:val="22"/>
          <w:szCs w:val="22"/>
          <w:lang w:val="es-ES_tradnl"/>
        </w:rPr>
        <w:t>, aun cuando en este procedimiento la determinación de la oferta más favorable no esté mediada por el uso de «puntaje»</w:t>
      </w:r>
      <w:r w:rsidR="00E15CB6" w:rsidRPr="009774A3">
        <w:rPr>
          <w:rFonts w:ascii="Arial" w:eastAsia="Calibri" w:hAnsi="Arial" w:cs="Arial"/>
          <w:sz w:val="22"/>
          <w:szCs w:val="22"/>
          <w:lang w:val="es-ES_tradnl"/>
        </w:rPr>
        <w:t>.</w:t>
      </w:r>
      <w:r w:rsidRPr="009774A3">
        <w:rPr>
          <w:rFonts w:ascii="Arial" w:eastAsia="Calibri" w:hAnsi="Arial" w:cs="Arial"/>
          <w:sz w:val="22"/>
          <w:szCs w:val="22"/>
          <w:lang w:val="es-ES_tradnl"/>
        </w:rPr>
        <w:t xml:space="preserve"> </w:t>
      </w:r>
      <w:r w:rsidR="00E15CB6" w:rsidRPr="009774A3">
        <w:rPr>
          <w:rFonts w:ascii="Arial" w:eastAsia="Calibri" w:hAnsi="Arial" w:cs="Arial"/>
          <w:sz w:val="22"/>
          <w:szCs w:val="22"/>
          <w:lang w:val="es-ES_tradnl"/>
        </w:rPr>
        <w:t xml:space="preserve">Lo anterior, </w:t>
      </w:r>
      <w:r w:rsidRPr="009774A3">
        <w:rPr>
          <w:rFonts w:ascii="Arial" w:eastAsia="Calibri" w:hAnsi="Arial" w:cs="Arial"/>
          <w:sz w:val="22"/>
          <w:szCs w:val="22"/>
          <w:lang w:val="es-ES_tradnl"/>
        </w:rPr>
        <w:t>dado que una interpretación exegética del artículo 35, según la cual este solo es aplicable en los procedimientos en los que se use el «puntaje» como mecanismo de evaluación, no corresponde con la finalidad transversal de la norma</w:t>
      </w:r>
    </w:p>
    <w:p w14:paraId="33C83CCE" w14:textId="6E3E6DF7" w:rsidR="00BB6924" w:rsidRPr="009774A3" w:rsidRDefault="00E15CB6" w:rsidP="009774A3">
      <w:pPr>
        <w:spacing w:before="120" w:after="120" w:line="276" w:lineRule="auto"/>
        <w:ind w:firstLine="709"/>
        <w:jc w:val="both"/>
        <w:rPr>
          <w:rFonts w:ascii="Arial" w:hAnsi="Arial" w:cs="Arial"/>
          <w:sz w:val="22"/>
          <w:szCs w:val="22"/>
        </w:rPr>
      </w:pPr>
      <w:r w:rsidRPr="009774A3">
        <w:rPr>
          <w:rFonts w:ascii="Arial" w:eastAsia="Calibri" w:hAnsi="Arial" w:cs="Arial"/>
          <w:bCs/>
          <w:sz w:val="22"/>
          <w:szCs w:val="22"/>
        </w:rPr>
        <w:t xml:space="preserve">Así las cosas, esta Agencia </w:t>
      </w:r>
      <w:r w:rsidR="003335CE" w:rsidRPr="009774A3">
        <w:rPr>
          <w:rFonts w:ascii="Arial" w:eastAsia="Calibri" w:hAnsi="Arial" w:cs="Arial"/>
          <w:bCs/>
          <w:sz w:val="22"/>
          <w:szCs w:val="22"/>
        </w:rPr>
        <w:t xml:space="preserve">considera que el alcance de la expresión </w:t>
      </w:r>
      <w:r w:rsidR="003335CE" w:rsidRPr="009774A3">
        <w:rPr>
          <w:rFonts w:ascii="Arial" w:eastAsia="Calibri" w:hAnsi="Arial" w:cs="Arial"/>
          <w:bCs/>
          <w:i/>
          <w:iCs/>
          <w:sz w:val="22"/>
          <w:szCs w:val="22"/>
        </w:rPr>
        <w:t xml:space="preserve">puntaje total, </w:t>
      </w:r>
      <w:r w:rsidR="003335CE" w:rsidRPr="009774A3">
        <w:rPr>
          <w:rFonts w:ascii="Arial" w:eastAsia="Calibri" w:hAnsi="Arial" w:cs="Arial"/>
          <w:bCs/>
          <w:sz w:val="22"/>
          <w:szCs w:val="22"/>
        </w:rPr>
        <w:t xml:space="preserve">contenida en el artículo 35 de la Ley 2069 de 2020, debe interpretarse sistemáticamente, propiciando una aplicación normativa coherente con otras disposiciones del sistema de compra pública y que satisfaga la finalidad transversal de la norma. </w:t>
      </w:r>
      <w:r w:rsidR="003335CE" w:rsidRPr="009774A3">
        <w:rPr>
          <w:rFonts w:ascii="Arial" w:eastAsia="Calibri" w:hAnsi="Arial" w:cs="Arial"/>
          <w:bCs/>
          <w:sz w:val="22"/>
          <w:szCs w:val="22"/>
          <w:lang w:val="es-ES_tradnl"/>
        </w:rPr>
        <w:t xml:space="preserve">Conforme a esta interpretación, la expresión </w:t>
      </w:r>
      <w:r w:rsidR="003335CE" w:rsidRPr="009774A3">
        <w:rPr>
          <w:rFonts w:ascii="Arial" w:hAnsi="Arial" w:cs="Arial"/>
          <w:i/>
          <w:iCs/>
          <w:sz w:val="22"/>
          <w:szCs w:val="22"/>
        </w:rPr>
        <w:t>empate en el puntaje total</w:t>
      </w:r>
      <w:r w:rsidR="003335CE" w:rsidRPr="009774A3">
        <w:rPr>
          <w:rFonts w:ascii="Arial" w:hAnsi="Arial" w:cs="Arial"/>
          <w:sz w:val="22"/>
          <w:szCs w:val="22"/>
        </w:rPr>
        <w:t xml:space="preserve"> apunta a las situaciones en la evaluación final de las ofertas, en las que, realizándose la comparación de acuerdo con los factores de calificación, evaluación o ponderación aplicables al respectivo procedimiento, se presenta un empate entre dos o más propuestas. </w:t>
      </w:r>
      <w:r w:rsidR="00BB6924" w:rsidRPr="009774A3">
        <w:rPr>
          <w:rFonts w:ascii="Arial" w:hAnsi="Arial" w:cs="Arial"/>
          <w:sz w:val="22"/>
          <w:szCs w:val="22"/>
        </w:rPr>
        <w:t>En ese entendido, con independencia de que la ponderación emplee puntajes,  fórmulas, criterios de relación costo – beneficio o de que el único criterio de evaluación sea el menor precio, deben aplicarse los factores de desempate del artículo 35 de la Ley 2069 de 2020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p>
    <w:p w14:paraId="4A1B7582" w14:textId="0FFA61B4" w:rsidR="00CF355D" w:rsidRPr="009774A3" w:rsidRDefault="009774A3" w:rsidP="009774A3">
      <w:pPr>
        <w:spacing w:line="276" w:lineRule="auto"/>
        <w:ind w:firstLine="709"/>
        <w:jc w:val="both"/>
        <w:rPr>
          <w:rFonts w:ascii="Arial" w:eastAsia="Calibri" w:hAnsi="Arial" w:cs="Arial"/>
          <w:sz w:val="22"/>
          <w:szCs w:val="22"/>
          <w:lang w:val="es-ES_tradnl" w:eastAsia="es-CO"/>
        </w:rPr>
      </w:pPr>
      <w:r w:rsidRPr="009774A3">
        <w:rPr>
          <w:rFonts w:ascii="Arial" w:eastAsia="Calibri" w:hAnsi="Arial" w:cs="Arial"/>
          <w:sz w:val="22"/>
          <w:szCs w:val="22"/>
          <w:lang w:val="es-ES_tradnl"/>
        </w:rPr>
        <w:t>Sumado a lo anterior</w:t>
      </w:r>
      <w:r w:rsidR="00CF355D" w:rsidRPr="009774A3">
        <w:rPr>
          <w:rFonts w:ascii="Arial" w:eastAsia="Calibri" w:hAnsi="Arial" w:cs="Arial"/>
          <w:sz w:val="22"/>
          <w:szCs w:val="22"/>
          <w:lang w:val="es-ES_tradnl"/>
        </w:rPr>
        <w:t xml:space="preserve">, el </w:t>
      </w:r>
      <w:r w:rsidRPr="009774A3">
        <w:rPr>
          <w:rFonts w:ascii="Arial" w:eastAsia="Calibri" w:hAnsi="Arial" w:cs="Arial"/>
          <w:sz w:val="22"/>
          <w:szCs w:val="22"/>
          <w:lang w:val="es-ES_tradnl"/>
        </w:rPr>
        <w:t xml:space="preserve">numeral 8 del </w:t>
      </w:r>
      <w:r w:rsidR="00CF355D" w:rsidRPr="009774A3">
        <w:rPr>
          <w:rFonts w:ascii="Arial" w:eastAsia="Calibri" w:hAnsi="Arial" w:cs="Arial"/>
          <w:sz w:val="22"/>
          <w:szCs w:val="22"/>
          <w:lang w:val="es-ES_tradnl"/>
        </w:rPr>
        <w:t xml:space="preserve">artículo 2.2.1.2.1.5.2 del Decreto 1082 de 2015, modificado por el artículo 2 del Decreto 1860 de 2021, </w:t>
      </w:r>
      <w:r w:rsidRPr="009774A3">
        <w:rPr>
          <w:rFonts w:ascii="Arial" w:eastAsia="Calibri" w:hAnsi="Arial" w:cs="Arial"/>
          <w:sz w:val="22"/>
          <w:szCs w:val="22"/>
          <w:lang w:val="es-ES_tradnl" w:eastAsia="es-CO"/>
        </w:rPr>
        <w:t xml:space="preserve">realiza una remisión expresa </w:t>
      </w:r>
      <w:r w:rsidRPr="009774A3">
        <w:rPr>
          <w:rFonts w:ascii="Arial" w:eastAsia="Calibri" w:hAnsi="Arial" w:cs="Arial"/>
          <w:sz w:val="22"/>
          <w:szCs w:val="22"/>
          <w:lang w:val="es-ES_tradnl" w:eastAsia="es-CO"/>
        </w:rPr>
        <w:lastRenderedPageBreak/>
        <w:t xml:space="preserve">a los factores de desempate consagrados en el artículo 35 de la Ley </w:t>
      </w:r>
      <w:r w:rsidRPr="009774A3">
        <w:rPr>
          <w:rFonts w:ascii="Arial" w:eastAsia="Calibri" w:hAnsi="Arial" w:cs="Arial"/>
          <w:sz w:val="22"/>
          <w:szCs w:val="22"/>
          <w:lang w:val="es-ES_tradnl"/>
        </w:rPr>
        <w:t>2069 de 2020 para los procedimientos de mínima cuantía</w:t>
      </w:r>
      <w:r w:rsidR="00BC65E3">
        <w:rPr>
          <w:rFonts w:ascii="Arial" w:eastAsia="Calibri" w:hAnsi="Arial" w:cs="Arial"/>
          <w:sz w:val="22"/>
          <w:szCs w:val="22"/>
          <w:lang w:val="es-ES_tradnl"/>
        </w:rPr>
        <w:t xml:space="preserve">, con lo cual se reafirma la conclusión según la cual que el régimen de los factores de desempate consagrado en el artículo 35 de la Ley de Emprendimiento es aplicable </w:t>
      </w:r>
      <w:r w:rsidR="0017064C">
        <w:rPr>
          <w:rFonts w:ascii="Arial" w:eastAsia="Calibri" w:hAnsi="Arial" w:cs="Arial"/>
          <w:sz w:val="22"/>
          <w:szCs w:val="22"/>
          <w:lang w:val="es-ES_tradnl"/>
        </w:rPr>
        <w:t>a la modalidad</w:t>
      </w:r>
      <w:r w:rsidR="00BC65E3">
        <w:rPr>
          <w:rFonts w:ascii="Arial" w:eastAsia="Calibri" w:hAnsi="Arial" w:cs="Arial"/>
          <w:sz w:val="22"/>
          <w:szCs w:val="22"/>
          <w:lang w:val="es-ES_tradnl"/>
        </w:rPr>
        <w:t xml:space="preserve"> de mínima cuantía. </w:t>
      </w:r>
    </w:p>
    <w:p w14:paraId="42700B0C" w14:textId="77777777" w:rsidR="009774A3" w:rsidRPr="009774A3" w:rsidRDefault="009774A3" w:rsidP="009774A3">
      <w:pPr>
        <w:spacing w:line="276" w:lineRule="auto"/>
        <w:ind w:firstLine="708"/>
        <w:contextualSpacing/>
        <w:jc w:val="both"/>
        <w:rPr>
          <w:rFonts w:ascii="Arial" w:eastAsia="Calibri" w:hAnsi="Arial" w:cs="Arial"/>
          <w:sz w:val="22"/>
          <w:szCs w:val="22"/>
          <w:lang w:val="es-ES_tradnl" w:eastAsia="es-CO"/>
        </w:rPr>
      </w:pPr>
    </w:p>
    <w:bookmarkEnd w:id="23"/>
    <w:bookmarkEnd w:id="24"/>
    <w:p w14:paraId="2E74DD1A" w14:textId="77777777" w:rsidR="00F2564D" w:rsidRPr="003335CE" w:rsidRDefault="00F2564D" w:rsidP="009774A3">
      <w:pPr>
        <w:spacing w:line="276" w:lineRule="auto"/>
        <w:contextualSpacing/>
        <w:jc w:val="both"/>
        <w:rPr>
          <w:rFonts w:ascii="Arial" w:hAnsi="Arial" w:cs="Arial"/>
          <w:sz w:val="22"/>
          <w:szCs w:val="22"/>
          <w:lang w:val="es-ES_tradnl"/>
        </w:rPr>
      </w:pPr>
      <w:r w:rsidRPr="009774A3">
        <w:rPr>
          <w:rFonts w:ascii="Arial" w:hAnsi="Arial" w:cs="Arial"/>
          <w:sz w:val="22"/>
          <w:szCs w:val="22"/>
          <w:lang w:val="es-ES_tradnl"/>
        </w:rPr>
        <w:t>Este concepto tiene el alcance previsto en el artículo 28 del Código de Procedimiento Administrativo y de lo Contencioso Administrativo.</w:t>
      </w:r>
    </w:p>
    <w:p w14:paraId="54530BE1" w14:textId="77777777" w:rsidR="00F2564D" w:rsidRPr="003335CE" w:rsidRDefault="00F2564D" w:rsidP="009774A3">
      <w:pPr>
        <w:spacing w:line="276" w:lineRule="auto"/>
        <w:contextualSpacing/>
        <w:rPr>
          <w:rFonts w:ascii="Arial" w:hAnsi="Arial" w:cs="Arial"/>
          <w:sz w:val="22"/>
          <w:szCs w:val="22"/>
          <w:lang w:eastAsia="es-CO"/>
        </w:rPr>
      </w:pPr>
    </w:p>
    <w:p w14:paraId="10FBA3FD" w14:textId="77777777" w:rsidR="00F2564D" w:rsidRPr="003335CE" w:rsidRDefault="00F2564D" w:rsidP="009774A3">
      <w:pPr>
        <w:spacing w:line="276" w:lineRule="auto"/>
        <w:contextualSpacing/>
        <w:rPr>
          <w:rFonts w:ascii="Arial" w:hAnsi="Arial" w:cs="Arial"/>
          <w:sz w:val="22"/>
          <w:szCs w:val="22"/>
        </w:rPr>
      </w:pPr>
      <w:r w:rsidRPr="003335CE">
        <w:rPr>
          <w:rFonts w:ascii="Arial" w:hAnsi="Arial" w:cs="Arial"/>
          <w:sz w:val="22"/>
          <w:szCs w:val="22"/>
          <w:lang w:eastAsia="es-CO"/>
        </w:rPr>
        <w:t>Atentamente,</w:t>
      </w:r>
    </w:p>
    <w:p w14:paraId="163B8E46" w14:textId="579962A5" w:rsidR="009774A3" w:rsidRDefault="002E2DD0" w:rsidP="009774A3">
      <w:pPr>
        <w:spacing w:line="276" w:lineRule="auto"/>
        <w:jc w:val="center"/>
        <w:rPr>
          <w:rFonts w:ascii="Arial" w:eastAsiaTheme="minorHAnsi" w:hAnsi="Arial" w:cs="Arial"/>
          <w:noProof/>
          <w:szCs w:val="22"/>
          <w:lang w:val="en-US" w:eastAsia="en-US"/>
        </w:rPr>
      </w:pPr>
      <w:r>
        <w:rPr>
          <w:rFonts w:ascii="Arial" w:hAnsi="Arial" w:cs="Arial"/>
          <w:noProof/>
          <w:color w:val="000000"/>
          <w:lang w:val="es-419" w:eastAsia="es-419"/>
        </w:rPr>
        <w:drawing>
          <wp:inline distT="0" distB="0" distL="0" distR="0" wp14:anchorId="0B994834" wp14:editId="1273B7C1">
            <wp:extent cx="2514600" cy="11144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9774A3" w:rsidRPr="009774A3" w14:paraId="73AF0B96" w14:textId="77777777" w:rsidTr="002C04C6">
        <w:trPr>
          <w:trHeight w:val="315"/>
        </w:trPr>
        <w:tc>
          <w:tcPr>
            <w:tcW w:w="812" w:type="dxa"/>
            <w:vAlign w:val="center"/>
            <w:hideMark/>
          </w:tcPr>
          <w:p w14:paraId="05CDE388" w14:textId="77777777" w:rsidR="009774A3" w:rsidRPr="009774A3" w:rsidRDefault="009774A3" w:rsidP="009774A3">
            <w:pPr>
              <w:rPr>
                <w:rFonts w:ascii="Arial" w:hAnsi="Arial" w:cs="Arial"/>
                <w:sz w:val="16"/>
                <w:szCs w:val="16"/>
                <w:lang w:eastAsia="es-ES"/>
              </w:rPr>
            </w:pPr>
            <w:r w:rsidRPr="009774A3">
              <w:rPr>
                <w:rFonts w:ascii="Arial"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469E928D" w14:textId="77777777" w:rsidR="009774A3" w:rsidRPr="009774A3" w:rsidRDefault="009774A3" w:rsidP="009774A3">
            <w:pPr>
              <w:rPr>
                <w:rFonts w:ascii="Arial" w:hAnsi="Arial" w:cs="Arial"/>
                <w:sz w:val="16"/>
                <w:szCs w:val="16"/>
                <w:lang w:eastAsia="es-ES"/>
              </w:rPr>
            </w:pPr>
            <w:r w:rsidRPr="009774A3">
              <w:rPr>
                <w:rFonts w:ascii="Arial" w:hAnsi="Arial" w:cs="Arial"/>
                <w:sz w:val="16"/>
                <w:szCs w:val="16"/>
                <w:lang w:eastAsia="es-ES"/>
              </w:rPr>
              <w:t>Diana Lucia Saavedra Castañeda</w:t>
            </w:r>
          </w:p>
          <w:p w14:paraId="4C690343" w14:textId="77777777" w:rsidR="009774A3" w:rsidRPr="009774A3" w:rsidRDefault="009774A3" w:rsidP="009774A3">
            <w:pPr>
              <w:rPr>
                <w:rFonts w:ascii="Arial" w:hAnsi="Arial" w:cs="Arial"/>
                <w:sz w:val="16"/>
                <w:szCs w:val="16"/>
                <w:lang w:eastAsia="es-ES"/>
              </w:rPr>
            </w:pPr>
            <w:r w:rsidRPr="009774A3">
              <w:rPr>
                <w:rFonts w:ascii="Arial" w:hAnsi="Arial" w:cs="Arial"/>
                <w:sz w:val="16"/>
                <w:szCs w:val="16"/>
                <w:lang w:eastAsia="es-ES"/>
              </w:rPr>
              <w:t>Contratista de la Subdirección de Gestión Contractual</w:t>
            </w:r>
          </w:p>
        </w:tc>
      </w:tr>
      <w:tr w:rsidR="009774A3" w:rsidRPr="009774A3" w14:paraId="5FDD88F4" w14:textId="77777777" w:rsidTr="002C04C6">
        <w:trPr>
          <w:trHeight w:val="330"/>
        </w:trPr>
        <w:tc>
          <w:tcPr>
            <w:tcW w:w="812" w:type="dxa"/>
            <w:vAlign w:val="center"/>
            <w:hideMark/>
          </w:tcPr>
          <w:p w14:paraId="1D5C6910" w14:textId="77777777" w:rsidR="009774A3" w:rsidRPr="009774A3" w:rsidRDefault="009774A3" w:rsidP="009774A3">
            <w:pPr>
              <w:rPr>
                <w:rFonts w:ascii="Arial" w:hAnsi="Arial" w:cs="Arial"/>
                <w:sz w:val="16"/>
                <w:szCs w:val="16"/>
                <w:lang w:eastAsia="es-ES"/>
              </w:rPr>
            </w:pPr>
            <w:r w:rsidRPr="009774A3">
              <w:rPr>
                <w:rFonts w:ascii="Arial"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D37501E" w14:textId="77777777" w:rsidR="009774A3" w:rsidRPr="009774A3" w:rsidRDefault="009774A3" w:rsidP="009774A3">
            <w:pPr>
              <w:rPr>
                <w:rFonts w:asciiTheme="minorHAnsi" w:hAnsiTheme="minorHAnsi" w:cstheme="minorBidi"/>
                <w:sz w:val="16"/>
                <w:szCs w:val="16"/>
                <w:lang w:eastAsia="es-ES"/>
              </w:rPr>
            </w:pPr>
            <w:r w:rsidRPr="009774A3">
              <w:rPr>
                <w:rFonts w:ascii="Arial" w:hAnsi="Arial" w:cs="Arial"/>
                <w:sz w:val="16"/>
                <w:szCs w:val="16"/>
                <w:lang w:eastAsia="es-ES"/>
              </w:rPr>
              <w:t>Alejandro Sarmiento Cantillo</w:t>
            </w:r>
            <w:r w:rsidRPr="009774A3">
              <w:rPr>
                <w:rFonts w:asciiTheme="minorHAnsi" w:hAnsiTheme="minorHAnsi" w:cstheme="minorBidi"/>
                <w:sz w:val="16"/>
                <w:szCs w:val="16"/>
                <w:lang w:eastAsia="es-ES"/>
              </w:rPr>
              <w:t> </w:t>
            </w:r>
          </w:p>
          <w:p w14:paraId="4E098FC6" w14:textId="77777777" w:rsidR="009774A3" w:rsidRPr="009774A3" w:rsidRDefault="009774A3" w:rsidP="009774A3">
            <w:pPr>
              <w:rPr>
                <w:rFonts w:ascii="Arial" w:hAnsi="Arial" w:cs="Arial"/>
                <w:sz w:val="16"/>
                <w:szCs w:val="16"/>
                <w:lang w:eastAsia="es-ES"/>
              </w:rPr>
            </w:pPr>
            <w:r w:rsidRPr="009774A3">
              <w:rPr>
                <w:rFonts w:ascii="Arial" w:hAnsi="Arial" w:cs="Arial"/>
                <w:sz w:val="16"/>
                <w:szCs w:val="16"/>
                <w:lang w:eastAsia="es-ES"/>
              </w:rPr>
              <w:t>Gestor T1-15 de la Subdirección de Gestión Contractual</w:t>
            </w:r>
          </w:p>
        </w:tc>
      </w:tr>
      <w:tr w:rsidR="009774A3" w:rsidRPr="009774A3" w14:paraId="0A90E23D" w14:textId="77777777" w:rsidTr="002C04C6">
        <w:trPr>
          <w:trHeight w:val="300"/>
        </w:trPr>
        <w:tc>
          <w:tcPr>
            <w:tcW w:w="812" w:type="dxa"/>
            <w:vAlign w:val="center"/>
            <w:hideMark/>
          </w:tcPr>
          <w:p w14:paraId="50DBD34E" w14:textId="77777777" w:rsidR="009774A3" w:rsidRPr="009774A3" w:rsidRDefault="009774A3" w:rsidP="009774A3">
            <w:pPr>
              <w:rPr>
                <w:rFonts w:ascii="Arial" w:hAnsi="Arial" w:cs="Arial"/>
                <w:sz w:val="16"/>
                <w:szCs w:val="16"/>
                <w:lang w:eastAsia="es-ES"/>
              </w:rPr>
            </w:pPr>
            <w:r w:rsidRPr="009774A3">
              <w:rPr>
                <w:rFonts w:ascii="Arial"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C4628EF" w14:textId="77777777" w:rsidR="009774A3" w:rsidRPr="009774A3" w:rsidRDefault="009774A3" w:rsidP="009774A3">
            <w:pPr>
              <w:rPr>
                <w:rFonts w:ascii="Arial" w:hAnsi="Arial" w:cs="Arial"/>
                <w:sz w:val="16"/>
                <w:szCs w:val="16"/>
                <w:lang w:eastAsia="es-ES"/>
              </w:rPr>
            </w:pPr>
            <w:r w:rsidRPr="009774A3">
              <w:rPr>
                <w:rFonts w:ascii="Arial" w:hAnsi="Arial" w:cs="Arial"/>
                <w:sz w:val="16"/>
                <w:szCs w:val="16"/>
                <w:lang w:eastAsia="es-ES"/>
              </w:rPr>
              <w:t>Jorge Augusto Tirado Navarro</w:t>
            </w:r>
          </w:p>
          <w:p w14:paraId="4A9D2B3F" w14:textId="77777777" w:rsidR="009774A3" w:rsidRPr="009774A3" w:rsidRDefault="009774A3" w:rsidP="009774A3">
            <w:pPr>
              <w:rPr>
                <w:rFonts w:ascii="Arial" w:hAnsi="Arial" w:cs="Arial"/>
                <w:sz w:val="16"/>
                <w:szCs w:val="16"/>
                <w:lang w:eastAsia="es-ES"/>
              </w:rPr>
            </w:pPr>
            <w:r w:rsidRPr="009774A3">
              <w:rPr>
                <w:rFonts w:ascii="Arial" w:hAnsi="Arial" w:cs="Arial"/>
                <w:sz w:val="16"/>
                <w:szCs w:val="16"/>
                <w:lang w:eastAsia="es-ES"/>
              </w:rPr>
              <w:t>Subdirector de Gestión Contractual ANCP – CCE</w:t>
            </w:r>
          </w:p>
        </w:tc>
      </w:tr>
      <w:bookmarkEnd w:id="1"/>
    </w:tbl>
    <w:p w14:paraId="7343E32C" w14:textId="77777777" w:rsidR="009774A3" w:rsidRPr="009774A3" w:rsidRDefault="009774A3" w:rsidP="009774A3">
      <w:pPr>
        <w:spacing w:before="120" w:after="160" w:line="276" w:lineRule="auto"/>
        <w:rPr>
          <w:rFonts w:ascii="Arial" w:eastAsiaTheme="minorHAnsi" w:hAnsi="Arial" w:cs="Arial"/>
          <w:color w:val="FF0000"/>
          <w:szCs w:val="22"/>
          <w:lang w:val="es-MX" w:eastAsia="en-US"/>
        </w:rPr>
      </w:pPr>
    </w:p>
    <w:sectPr w:rsidR="009774A3" w:rsidRPr="009774A3" w:rsidSect="005D791B">
      <w:headerReference w:type="default" r:id="rId11"/>
      <w:footerReference w:type="default" r:id="rId12"/>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12372" w14:textId="77777777" w:rsidR="0018430D" w:rsidRDefault="0018430D" w:rsidP="00F2564D">
      <w:r>
        <w:separator/>
      </w:r>
    </w:p>
  </w:endnote>
  <w:endnote w:type="continuationSeparator" w:id="0">
    <w:p w14:paraId="2BCF547E" w14:textId="77777777" w:rsidR="0018430D" w:rsidRDefault="0018430D" w:rsidP="00F2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1DB09" w14:textId="77777777" w:rsidR="007B1929" w:rsidRDefault="00A86F12" w:rsidP="00322937">
    <w:pPr>
      <w:pStyle w:val="Sinespaciado"/>
      <w:jc w:val="right"/>
      <w:rPr>
        <w:rFonts w:ascii="Arial" w:hAnsi="Arial" w:cs="Arial"/>
        <w:sz w:val="18"/>
        <w:szCs w:val="18"/>
      </w:rPr>
    </w:pPr>
  </w:p>
  <w:p w14:paraId="337C966D" w14:textId="77777777" w:rsidR="007B1929" w:rsidRPr="008217B7" w:rsidRDefault="00416D7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DA3A93E" w14:textId="77777777" w:rsidR="007B1929" w:rsidRDefault="00416D78" w:rsidP="00322937">
    <w:pPr>
      <w:pStyle w:val="Piedepgina"/>
      <w:jc w:val="center"/>
      <w:rPr>
        <w:lang w:val="es-ES"/>
      </w:rPr>
    </w:pPr>
    <w:r>
      <w:rPr>
        <w:noProof/>
      </w:rPr>
      <w:drawing>
        <wp:inline distT="0" distB="0" distL="0" distR="0" wp14:anchorId="7F07EB8C" wp14:editId="6DE4671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AA0919B" w14:textId="77777777" w:rsidR="007B1929" w:rsidRDefault="00A86F12" w:rsidP="007B0854">
    <w:pPr>
      <w:pStyle w:val="Piedepgina"/>
      <w:jc w:val="center"/>
      <w:rPr>
        <w:lang w:val="es-ES"/>
      </w:rPr>
    </w:pPr>
  </w:p>
  <w:p w14:paraId="1CFEB83C" w14:textId="77777777" w:rsidR="007B1929" w:rsidRPr="007B0854" w:rsidRDefault="00A86F1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FA664" w14:textId="77777777" w:rsidR="0018430D" w:rsidRDefault="0018430D" w:rsidP="00F2564D">
      <w:r>
        <w:separator/>
      </w:r>
    </w:p>
  </w:footnote>
  <w:footnote w:type="continuationSeparator" w:id="0">
    <w:p w14:paraId="3B4DFD01" w14:textId="77777777" w:rsidR="0018430D" w:rsidRDefault="0018430D" w:rsidP="00F2564D">
      <w:r>
        <w:continuationSeparator/>
      </w:r>
    </w:p>
  </w:footnote>
  <w:footnote w:id="1">
    <w:p w14:paraId="2CCB4944" w14:textId="2C4B979E" w:rsidR="00F2564D" w:rsidRPr="00E15CB6" w:rsidRDefault="00F2564D" w:rsidP="00E15CB6">
      <w:pPr>
        <w:pStyle w:val="Textonotapie"/>
        <w:ind w:firstLine="708"/>
        <w:contextualSpacing/>
        <w:jc w:val="both"/>
        <w:rPr>
          <w:rFonts w:ascii="Arial" w:hAnsi="Arial" w:cs="Arial"/>
          <w:sz w:val="19"/>
          <w:szCs w:val="19"/>
          <w:lang w:val="es-CO"/>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footnote>
  <w:footnote w:id="2">
    <w:p w14:paraId="1469A596" w14:textId="74FDD42A" w:rsidR="00F2564D" w:rsidRPr="00E15CB6" w:rsidRDefault="00F2564D" w:rsidP="00E15CB6">
      <w:pPr>
        <w:pStyle w:val="Car1"/>
        <w:ind w:firstLine="709"/>
        <w:contextualSpacing/>
        <w:jc w:val="both"/>
        <w:rPr>
          <w:rFonts w:ascii="Arial" w:hAnsi="Arial" w:cs="Arial"/>
          <w:sz w:val="19"/>
          <w:szCs w:val="19"/>
          <w:lang w:val="es-ES"/>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ES"/>
        </w:rPr>
        <w:t>Consejo de Estado. Sección Tercera. Sentencia del 29 de octubre de 2.015. Consejera Ponente: Stella Conto Díaz Del Castillo. Expediente: 31.918.</w:t>
      </w:r>
    </w:p>
  </w:footnote>
  <w:footnote w:id="3">
    <w:p w14:paraId="52258DD9" w14:textId="09348BD3" w:rsidR="00F2564D" w:rsidRDefault="00F2564D" w:rsidP="00E15CB6">
      <w:pPr>
        <w:pStyle w:val="Car1"/>
        <w:ind w:firstLine="709"/>
        <w:contextualSpacing/>
        <w:jc w:val="both"/>
        <w:rPr>
          <w:rFonts w:ascii="Arial" w:hAnsi="Arial" w:cs="Arial"/>
          <w:sz w:val="19"/>
          <w:szCs w:val="19"/>
          <w:lang w:val="es-ES"/>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ES"/>
        </w:rPr>
        <w:t>Corte Constitucional. Sentencia T-684A del 14 de septiembre de 2011. Magistrado Ponente: Mauricio González Cuervo.</w:t>
      </w:r>
    </w:p>
    <w:p w14:paraId="3FE4E090" w14:textId="77777777" w:rsidR="005C43D8" w:rsidRPr="00C75E45" w:rsidRDefault="005C43D8" w:rsidP="00C75E45">
      <w:pPr>
        <w:pStyle w:val="Textonotapie"/>
        <w:rPr>
          <w:lang w:val="es-ES"/>
        </w:rPr>
      </w:pPr>
    </w:p>
  </w:footnote>
  <w:footnote w:id="4">
    <w:p w14:paraId="24B9D5AC" w14:textId="48C13276" w:rsidR="00F2564D" w:rsidRPr="00E15CB6" w:rsidRDefault="00F2564D" w:rsidP="00E15CB6">
      <w:pPr>
        <w:pStyle w:val="Car1"/>
        <w:ind w:firstLine="709"/>
        <w:contextualSpacing/>
        <w:jc w:val="both"/>
        <w:rPr>
          <w:rFonts w:ascii="Arial" w:hAnsi="Arial" w:cs="Arial"/>
          <w:sz w:val="19"/>
          <w:szCs w:val="19"/>
          <w:lang w:val="es-ES"/>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5">
    <w:p w14:paraId="582A5242" w14:textId="77777777" w:rsidR="005C43D8" w:rsidRDefault="005C43D8" w:rsidP="00E15CB6">
      <w:pPr>
        <w:pStyle w:val="Textonotapie"/>
        <w:ind w:firstLine="709"/>
        <w:contextualSpacing/>
        <w:jc w:val="both"/>
        <w:rPr>
          <w:rFonts w:ascii="Arial" w:hAnsi="Arial" w:cs="Arial"/>
          <w:sz w:val="19"/>
          <w:szCs w:val="19"/>
        </w:rPr>
      </w:pPr>
    </w:p>
    <w:p w14:paraId="24250031" w14:textId="4A87D605" w:rsidR="00F2564D" w:rsidRPr="00E15CB6" w:rsidRDefault="00F2564D" w:rsidP="00E15CB6">
      <w:pPr>
        <w:pStyle w:val="Textonotapie"/>
        <w:ind w:firstLine="709"/>
        <w:contextualSpacing/>
        <w:jc w:val="both"/>
        <w:rPr>
          <w:rFonts w:ascii="Arial" w:hAnsi="Arial" w:cs="Arial"/>
          <w:sz w:val="19"/>
          <w:szCs w:val="19"/>
          <w:lang w:val="es-ES"/>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ES"/>
        </w:rPr>
        <w:t>Artículos 2 al 29.</w:t>
      </w:r>
    </w:p>
  </w:footnote>
  <w:footnote w:id="6">
    <w:p w14:paraId="7C549FA6" w14:textId="77777777" w:rsidR="005C43D8" w:rsidRDefault="005C43D8" w:rsidP="00E15CB6">
      <w:pPr>
        <w:pStyle w:val="Textonotapie"/>
        <w:ind w:firstLine="709"/>
        <w:contextualSpacing/>
        <w:jc w:val="both"/>
        <w:rPr>
          <w:rFonts w:ascii="Arial" w:hAnsi="Arial" w:cs="Arial"/>
          <w:sz w:val="19"/>
          <w:szCs w:val="19"/>
        </w:rPr>
      </w:pPr>
    </w:p>
    <w:p w14:paraId="211945E9" w14:textId="6AA2A303" w:rsidR="00F2564D" w:rsidRPr="00E15CB6" w:rsidRDefault="00F2564D" w:rsidP="00E15CB6">
      <w:pPr>
        <w:pStyle w:val="Textonotapie"/>
        <w:ind w:firstLine="709"/>
        <w:contextualSpacing/>
        <w:jc w:val="both"/>
        <w:rPr>
          <w:rFonts w:ascii="Arial" w:hAnsi="Arial" w:cs="Arial"/>
          <w:sz w:val="19"/>
          <w:szCs w:val="19"/>
          <w:lang w:val="es-ES"/>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ES"/>
        </w:rPr>
        <w:t>Artículos 30 al 36.</w:t>
      </w:r>
    </w:p>
  </w:footnote>
  <w:footnote w:id="7">
    <w:p w14:paraId="4FEDE449" w14:textId="77777777" w:rsidR="005C43D8" w:rsidRDefault="005C43D8" w:rsidP="00E15CB6">
      <w:pPr>
        <w:pStyle w:val="Textonotapie"/>
        <w:ind w:firstLine="709"/>
        <w:contextualSpacing/>
        <w:jc w:val="both"/>
        <w:rPr>
          <w:rFonts w:ascii="Arial" w:hAnsi="Arial" w:cs="Arial"/>
          <w:sz w:val="19"/>
          <w:szCs w:val="19"/>
        </w:rPr>
      </w:pPr>
    </w:p>
    <w:p w14:paraId="2E6BB4FC" w14:textId="557DA348" w:rsidR="00F2564D" w:rsidRPr="00E15CB6" w:rsidRDefault="00F2564D" w:rsidP="00E15CB6">
      <w:pPr>
        <w:pStyle w:val="Textonotapie"/>
        <w:ind w:firstLine="709"/>
        <w:contextualSpacing/>
        <w:jc w:val="both"/>
        <w:rPr>
          <w:rFonts w:ascii="Arial" w:hAnsi="Arial" w:cs="Arial"/>
          <w:sz w:val="19"/>
          <w:szCs w:val="19"/>
          <w:lang w:val="es-ES"/>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ES"/>
        </w:rPr>
        <w:t>Artículos 37 al 45.</w:t>
      </w:r>
    </w:p>
  </w:footnote>
  <w:footnote w:id="8">
    <w:p w14:paraId="3FDFA00E" w14:textId="01B9143D" w:rsidR="00F2564D" w:rsidRPr="00E15CB6" w:rsidRDefault="00F2564D" w:rsidP="00E15CB6">
      <w:pPr>
        <w:pStyle w:val="Textonotapie"/>
        <w:ind w:firstLine="709"/>
        <w:contextualSpacing/>
        <w:jc w:val="both"/>
        <w:rPr>
          <w:rFonts w:ascii="Arial" w:hAnsi="Arial" w:cs="Arial"/>
          <w:sz w:val="19"/>
          <w:szCs w:val="19"/>
          <w:lang w:val="es-ES"/>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ES"/>
        </w:rPr>
        <w:t>Artículos 46 al 73.</w:t>
      </w:r>
    </w:p>
  </w:footnote>
  <w:footnote w:id="9">
    <w:p w14:paraId="45E5EF4A" w14:textId="344A0875" w:rsidR="00F2564D" w:rsidRPr="00E15CB6" w:rsidRDefault="00F2564D" w:rsidP="00E15CB6">
      <w:pPr>
        <w:pStyle w:val="Textonotapie"/>
        <w:ind w:firstLine="709"/>
        <w:contextualSpacing/>
        <w:jc w:val="both"/>
        <w:rPr>
          <w:rFonts w:ascii="Arial" w:hAnsi="Arial" w:cs="Arial"/>
          <w:sz w:val="19"/>
          <w:szCs w:val="19"/>
          <w:lang w:val="es-ES"/>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ES"/>
        </w:rPr>
        <w:t>Artículos 74 al 83.</w:t>
      </w:r>
    </w:p>
  </w:footnote>
  <w:footnote w:id="10">
    <w:p w14:paraId="73C4355C" w14:textId="219EC9DA" w:rsidR="00F2564D" w:rsidRPr="00E15CB6" w:rsidRDefault="00F2564D" w:rsidP="00E15CB6">
      <w:pPr>
        <w:pStyle w:val="Textonotapie"/>
        <w:ind w:firstLine="708"/>
        <w:contextualSpacing/>
        <w:jc w:val="both"/>
        <w:rPr>
          <w:rFonts w:ascii="Arial" w:hAnsi="Arial" w:cs="Arial"/>
          <w:bCs/>
          <w:color w:val="000000" w:themeColor="text1"/>
          <w:sz w:val="19"/>
          <w:szCs w:val="19"/>
        </w:rPr>
      </w:pPr>
      <w:r w:rsidRPr="00E15CB6">
        <w:rPr>
          <w:rStyle w:val="Refdenotaalpie"/>
          <w:rFonts w:ascii="Arial" w:hAnsi="Arial" w:cs="Arial"/>
          <w:color w:val="000000" w:themeColor="text1"/>
          <w:sz w:val="19"/>
          <w:szCs w:val="19"/>
        </w:rPr>
        <w:footnoteRef/>
      </w:r>
      <w:r w:rsidRPr="00E15CB6">
        <w:rPr>
          <w:rFonts w:ascii="Arial" w:hAnsi="Arial" w:cs="Arial"/>
          <w:color w:val="000000" w:themeColor="text1"/>
          <w:sz w:val="19"/>
          <w:szCs w:val="19"/>
        </w:rPr>
        <w:t xml:space="preserve"> </w:t>
      </w:r>
      <w:r w:rsidRPr="00E15CB6">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E15CB6">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E15CB6">
          <w:rPr>
            <w:rStyle w:val="Hipervnculo"/>
            <w:rFonts w:ascii="Arial" w:hAnsi="Arial" w:cs="Arial"/>
            <w:color w:val="000000" w:themeColor="text1"/>
            <w:sz w:val="19"/>
            <w:szCs w:val="19"/>
          </w:rPr>
          <w:t>https://colaboracion.dnp.gov.co/CDT/Conpes/Econ%C3%B3micos/3956.pdf</w:t>
        </w:r>
      </w:hyperlink>
      <w:r w:rsidRPr="00E15CB6">
        <w:rPr>
          <w:rFonts w:ascii="Arial" w:hAnsi="Arial" w:cs="Arial"/>
          <w:color w:val="000000" w:themeColor="text1"/>
          <w:sz w:val="19"/>
          <w:szCs w:val="19"/>
        </w:rPr>
        <w:t xml:space="preserve">).  </w:t>
      </w:r>
      <w:r w:rsidR="00A574A5" w:rsidRPr="00E15CB6">
        <w:rPr>
          <w:rFonts w:ascii="Arial" w:hAnsi="Arial" w:cs="Arial"/>
          <w:bCs/>
          <w:color w:val="000000" w:themeColor="text1"/>
          <w:sz w:val="19"/>
          <w:szCs w:val="19"/>
        </w:rPr>
        <w:t xml:space="preserve"> </w:t>
      </w:r>
    </w:p>
  </w:footnote>
  <w:footnote w:id="11">
    <w:p w14:paraId="493FF51F" w14:textId="77777777" w:rsidR="00F2564D" w:rsidRPr="00E15CB6" w:rsidRDefault="00F2564D" w:rsidP="00E15CB6">
      <w:pPr>
        <w:pStyle w:val="Textonotapie"/>
        <w:ind w:firstLine="708"/>
        <w:contextualSpacing/>
        <w:jc w:val="both"/>
        <w:rPr>
          <w:rFonts w:ascii="Arial" w:hAnsi="Arial" w:cs="Arial"/>
          <w:sz w:val="19"/>
          <w:szCs w:val="19"/>
          <w:lang w:val="es-ES"/>
        </w:rPr>
      </w:pPr>
      <w:r w:rsidRPr="00E15CB6">
        <w:rPr>
          <w:rStyle w:val="Refdenotaalpie"/>
          <w:rFonts w:ascii="Arial" w:hAnsi="Arial" w:cs="Arial"/>
          <w:sz w:val="19"/>
          <w:szCs w:val="19"/>
        </w:rPr>
        <w:footnoteRef/>
      </w:r>
      <w:r w:rsidRPr="00E15CB6">
        <w:rPr>
          <w:rFonts w:ascii="Arial" w:hAnsi="Arial" w:cs="Arial"/>
          <w:sz w:val="19"/>
          <w:szCs w:val="19"/>
        </w:rPr>
        <w:t xml:space="preserve"> </w:t>
      </w:r>
      <w:bookmarkStart w:id="14" w:name="_Hlk63862868"/>
      <w:r w:rsidRPr="00E15CB6">
        <w:rPr>
          <w:rFonts w:ascii="Arial" w:hAnsi="Arial" w:cs="Arial"/>
          <w:sz w:val="19"/>
          <w:szCs w:val="19"/>
        </w:rPr>
        <w:t xml:space="preserve">CONGRESO DE LA REPÚBLICA. Gaceta No. 670 del 11 de agosto de 2020. Exposición de motivos del Proyecto de Ley No. 122 de 2020 Cámara. p. 13. </w:t>
      </w:r>
      <w:bookmarkEnd w:id="14"/>
    </w:p>
  </w:footnote>
  <w:footnote w:id="12">
    <w:p w14:paraId="0D644DE2" w14:textId="77777777" w:rsidR="00F2564D" w:rsidRPr="00E15CB6" w:rsidRDefault="00F2564D" w:rsidP="00E15CB6">
      <w:pPr>
        <w:pStyle w:val="NormalWeb"/>
        <w:spacing w:before="0" w:beforeAutospacing="0" w:after="0" w:afterAutospacing="0"/>
        <w:ind w:firstLine="708"/>
        <w:contextualSpacing/>
        <w:jc w:val="both"/>
        <w:rPr>
          <w:rFonts w:ascii="Arial" w:hAnsi="Arial" w:cs="Arial"/>
          <w:sz w:val="19"/>
          <w:szCs w:val="19"/>
        </w:rPr>
      </w:pPr>
      <w:r w:rsidRPr="00E15CB6">
        <w:rPr>
          <w:rStyle w:val="Refdenotaalpie"/>
          <w:rFonts w:ascii="Arial" w:hAnsi="Arial" w:cs="Arial"/>
          <w:sz w:val="19"/>
          <w:szCs w:val="19"/>
        </w:rPr>
        <w:footnoteRef/>
      </w:r>
      <w:r w:rsidRPr="00E15CB6">
        <w:rPr>
          <w:rFonts w:ascii="Arial" w:hAnsi="Arial" w:cs="Arial"/>
          <w:sz w:val="19"/>
          <w:szCs w:val="19"/>
        </w:rPr>
        <w:t xml:space="preserve"> Ley 1150 de 2007: </w:t>
      </w:r>
      <w:r w:rsidRPr="00E15CB6">
        <w:rPr>
          <w:rFonts w:ascii="Arial" w:eastAsia="Calibri" w:hAnsi="Arial" w:cs="Arial"/>
          <w:bCs/>
          <w:sz w:val="19"/>
          <w:szCs w:val="19"/>
        </w:rPr>
        <w:t>«</w:t>
      </w:r>
      <w:r w:rsidRPr="00E15CB6">
        <w:rPr>
          <w:rFonts w:ascii="Arial" w:hAnsi="Arial" w:cs="Arial"/>
          <w:sz w:val="19"/>
          <w:szCs w:val="19"/>
        </w:rPr>
        <w:t>Artículo 5°.</w:t>
      </w:r>
      <w:r w:rsidRPr="00E15CB6">
        <w:rPr>
          <w:rFonts w:ascii="Arial" w:hAnsi="Arial" w:cs="Arial"/>
          <w:i/>
          <w:iCs/>
          <w:sz w:val="19"/>
          <w:szCs w:val="19"/>
        </w:rPr>
        <w:t xml:space="preserve"> </w:t>
      </w:r>
      <w:r w:rsidRPr="00E15CB6">
        <w:rPr>
          <w:rFonts w:ascii="Arial" w:hAnsi="Arial" w:cs="Arial"/>
          <w:sz w:val="19"/>
          <w:szCs w:val="19"/>
        </w:rPr>
        <w:t>De la selección objetiva.</w:t>
      </w:r>
      <w:r w:rsidRPr="00E15CB6">
        <w:rPr>
          <w:rFonts w:ascii="Arial" w:hAnsi="Arial" w:cs="Arial"/>
          <w:i/>
          <w:iCs/>
          <w:sz w:val="19"/>
          <w:szCs w:val="19"/>
        </w:rPr>
        <w:t> </w:t>
      </w:r>
      <w:r w:rsidRPr="00E15CB6">
        <w:rPr>
          <w:rFonts w:ascii="Arial" w:hAnsi="Arial" w:cs="Arial"/>
          <w:sz w:val="19"/>
          <w:szCs w:val="19"/>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5C0C8688"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6791E86B"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638E48FB"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En los procesos de selección en los que se tenga en cuenta los factores técnicos y económicos, la oferta más ventajosa será la que resulte de aplicar alguna de las siguientes alternativas:  </w:t>
      </w:r>
    </w:p>
    <w:p w14:paraId="6492A58A"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a) La ponderación de los elementos de calidad y precio soportados en puntajes o fórmulas señaladas en el pliego de condiciones; o  </w:t>
      </w:r>
    </w:p>
    <w:p w14:paraId="68E58F99"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b) La ponderación de los elementos de calidad y precio que representen la mejor relación de costo-beneficio para la entidad.  </w:t>
      </w:r>
    </w:p>
    <w:p w14:paraId="49C2D312"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5228485B"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6E6CBDB2"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En ningún caso se podrá incluir el precio, como factor de escogencia para la selección de consultores. </w:t>
      </w:r>
    </w:p>
    <w:p w14:paraId="5CB6526B"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Parágrafo 1°.</w:t>
      </w:r>
      <w:r w:rsidRPr="00E15CB6">
        <w:rPr>
          <w:rFonts w:ascii="Arial" w:hAnsi="Arial" w:cs="Arial"/>
          <w:b/>
          <w:bCs/>
          <w:sz w:val="19"/>
          <w:szCs w:val="19"/>
          <w:lang w:eastAsia="es-CO"/>
        </w:rPr>
        <w:t> </w:t>
      </w:r>
      <w:r w:rsidRPr="00E15CB6">
        <w:rPr>
          <w:rFonts w:ascii="Arial" w:hAnsi="Arial" w:cs="Arial"/>
          <w:sz w:val="19"/>
          <w:szCs w:val="19"/>
          <w:lang w:eastAsia="es-CO"/>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5984BD58" w14:textId="77777777" w:rsidR="00F2564D" w:rsidRPr="00E15CB6" w:rsidRDefault="00F2564D" w:rsidP="00E15CB6">
      <w:pPr>
        <w:ind w:firstLine="708"/>
        <w:contextualSpacing/>
        <w:jc w:val="both"/>
        <w:rPr>
          <w:rFonts w:ascii="Arial" w:hAnsi="Arial" w:cs="Arial"/>
          <w:sz w:val="19"/>
          <w:szCs w:val="19"/>
          <w:lang w:eastAsia="es-CO"/>
        </w:rPr>
      </w:pPr>
      <w:r w:rsidRPr="00E15CB6">
        <w:rPr>
          <w:rFonts w:ascii="Arial" w:eastAsia="Calibri" w:hAnsi="Arial" w:cs="Arial"/>
          <w:bCs/>
          <w:sz w:val="19"/>
          <w:szCs w:val="19"/>
        </w:rPr>
        <w:t>»</w:t>
      </w:r>
      <w:r w:rsidRPr="00E15CB6">
        <w:rPr>
          <w:rFonts w:ascii="Arial" w:hAnsi="Arial" w:cs="Arial"/>
          <w:sz w:val="19"/>
          <w:szCs w:val="19"/>
          <w:lang w:eastAsia="es-CO"/>
        </w:rPr>
        <w:t>Durante el término otorgado para subsanar las ofertas, los proponentes no podrán acreditar circunstancias ocurridas con posterioridad al cierre del proceso. </w:t>
      </w:r>
    </w:p>
    <w:p w14:paraId="5460B714"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Parágrafo 2°. Las certificaciones de sistemas de gestión de calidad no serán objeto de calificación, ni podrán establecerse como documento habilitante para participar en licitaciones o concursos. </w:t>
      </w:r>
    </w:p>
    <w:p w14:paraId="1D5C5980" w14:textId="77777777" w:rsidR="00F2564D" w:rsidRPr="00E15CB6" w:rsidRDefault="00F2564D" w:rsidP="00E15CB6">
      <w:pPr>
        <w:ind w:firstLine="708"/>
        <w:contextualSpacing/>
        <w:jc w:val="both"/>
        <w:rPr>
          <w:rFonts w:ascii="Arial" w:hAnsi="Arial" w:cs="Arial"/>
          <w:sz w:val="19"/>
          <w:szCs w:val="19"/>
          <w:lang w:eastAsia="es-CO"/>
        </w:rPr>
      </w:pPr>
      <w:r w:rsidRPr="00E15CB6">
        <w:rPr>
          <w:rFonts w:ascii="Arial" w:eastAsia="Calibri" w:hAnsi="Arial" w:cs="Arial"/>
          <w:bCs/>
          <w:sz w:val="19"/>
          <w:szCs w:val="19"/>
        </w:rPr>
        <w:t>»</w:t>
      </w:r>
      <w:r w:rsidRPr="00E15CB6">
        <w:rPr>
          <w:rFonts w:ascii="Arial" w:hAnsi="Arial" w:cs="Arial"/>
          <w:sz w:val="19"/>
          <w:szCs w:val="19"/>
          <w:lang w:eastAsia="es-CO"/>
        </w:rPr>
        <w:t>Parágrafo 3°. La no entrega de la garantía de seriedad junto con la propuesta no será subsanable y será causal de rechazo de la misma. </w:t>
      </w:r>
    </w:p>
    <w:p w14:paraId="7AE2582A" w14:textId="77777777" w:rsidR="00F2564D" w:rsidRPr="00E15CB6" w:rsidRDefault="00F2564D" w:rsidP="00E15CB6">
      <w:pPr>
        <w:ind w:firstLine="708"/>
        <w:contextualSpacing/>
        <w:jc w:val="both"/>
        <w:rPr>
          <w:rFonts w:ascii="Arial" w:hAnsi="Arial" w:cs="Arial"/>
          <w:sz w:val="19"/>
          <w:szCs w:val="19"/>
          <w:lang w:eastAsia="es-CO"/>
        </w:rPr>
      </w:pPr>
      <w:r w:rsidRPr="00E15CB6">
        <w:rPr>
          <w:rFonts w:ascii="Arial" w:eastAsia="Calibri" w:hAnsi="Arial" w:cs="Arial"/>
          <w:bCs/>
          <w:sz w:val="19"/>
          <w:szCs w:val="19"/>
        </w:rPr>
        <w:t>»</w:t>
      </w:r>
      <w:r w:rsidRPr="00E15CB6">
        <w:rPr>
          <w:rFonts w:ascii="Arial" w:hAnsi="Arial" w:cs="Arial"/>
          <w:sz w:val="19"/>
          <w:szCs w:val="19"/>
          <w:lang w:eastAsia="es-CO"/>
        </w:rPr>
        <w:t>Parágrafo 4°.</w:t>
      </w:r>
      <w:r w:rsidRPr="00E15CB6">
        <w:rPr>
          <w:rFonts w:ascii="Arial" w:hAnsi="Arial" w:cs="Arial"/>
          <w:b/>
          <w:bCs/>
          <w:sz w:val="19"/>
          <w:szCs w:val="19"/>
          <w:lang w:eastAsia="es-CO"/>
        </w:rPr>
        <w:t> </w:t>
      </w:r>
      <w:r w:rsidRPr="00E15CB6">
        <w:rPr>
          <w:rFonts w:ascii="Arial" w:hAnsi="Arial" w:cs="Arial"/>
          <w:sz w:val="19"/>
          <w:szCs w:val="19"/>
          <w:lang w:eastAsia="es-CO"/>
        </w:rPr>
        <w:t>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14:paraId="585D4D33" w14:textId="77777777" w:rsidR="00F2564D" w:rsidRPr="00E15CB6" w:rsidRDefault="00F2564D" w:rsidP="00E15CB6">
      <w:pPr>
        <w:contextualSpacing/>
        <w:jc w:val="both"/>
        <w:rPr>
          <w:rFonts w:ascii="Arial" w:hAnsi="Arial" w:cs="Arial"/>
          <w:sz w:val="19"/>
          <w:szCs w:val="19"/>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Parágrafo 5°. En los procesos de contratación, las entidades estatales deberán aceptar la experiencia adquirida por los proponentes a través de la ejecución de contratos con particulares</w:t>
      </w:r>
      <w:r w:rsidRPr="00E15CB6">
        <w:rPr>
          <w:rFonts w:ascii="Arial" w:eastAsia="Calibri" w:hAnsi="Arial" w:cs="Arial"/>
          <w:bCs/>
          <w:sz w:val="19"/>
          <w:szCs w:val="19"/>
        </w:rPr>
        <w:t>».</w:t>
      </w:r>
      <w:r w:rsidRPr="00E15CB6">
        <w:rPr>
          <w:rFonts w:ascii="Arial" w:hAnsi="Arial" w:cs="Arial"/>
          <w:sz w:val="19"/>
          <w:szCs w:val="19"/>
        </w:rPr>
        <w:t xml:space="preserve"> </w:t>
      </w:r>
    </w:p>
    <w:p w14:paraId="0E6786CE" w14:textId="77777777" w:rsidR="00F2564D" w:rsidRPr="00E15CB6" w:rsidRDefault="00F2564D" w:rsidP="00E15CB6">
      <w:pPr>
        <w:contextualSpacing/>
        <w:jc w:val="both"/>
        <w:rPr>
          <w:rFonts w:ascii="Arial" w:hAnsi="Arial" w:cs="Arial"/>
          <w:sz w:val="19"/>
          <w:szCs w:val="19"/>
        </w:rPr>
      </w:pPr>
    </w:p>
  </w:footnote>
  <w:footnote w:id="13">
    <w:p w14:paraId="34AB482E" w14:textId="77777777" w:rsidR="00F2564D" w:rsidRPr="00E15CB6" w:rsidRDefault="00F2564D" w:rsidP="00E15CB6">
      <w:pPr>
        <w:pStyle w:val="Textonotapie"/>
        <w:ind w:firstLine="708"/>
        <w:contextualSpacing/>
        <w:jc w:val="both"/>
        <w:rPr>
          <w:rFonts w:ascii="Arial" w:hAnsi="Arial" w:cs="Arial"/>
          <w:sz w:val="19"/>
          <w:szCs w:val="19"/>
          <w:lang w:val="es-CO"/>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hAnsi="Arial" w:cs="Arial"/>
          <w:sz w:val="19"/>
          <w:szCs w:val="19"/>
          <w:lang w:val="es-CO"/>
        </w:rPr>
        <w:t>DÁVILA VINUEZA, Luis Guillermo. Régimen jurídico de la contratación estatal, Tercera edición, Legis Editores, 2016, Bogotá, pág. 355.</w:t>
      </w:r>
    </w:p>
    <w:p w14:paraId="29FCE128" w14:textId="77777777" w:rsidR="00F2564D" w:rsidRPr="00E15CB6" w:rsidRDefault="00F2564D" w:rsidP="00E15CB6">
      <w:pPr>
        <w:pStyle w:val="Textonotapie"/>
        <w:ind w:firstLine="708"/>
        <w:contextualSpacing/>
        <w:jc w:val="both"/>
        <w:rPr>
          <w:rFonts w:ascii="Arial" w:hAnsi="Arial" w:cs="Arial"/>
          <w:sz w:val="19"/>
          <w:szCs w:val="19"/>
          <w:lang w:val="es-CO"/>
        </w:rPr>
      </w:pPr>
    </w:p>
  </w:footnote>
  <w:footnote w:id="14">
    <w:p w14:paraId="65568A34" w14:textId="77777777" w:rsidR="00F2564D" w:rsidRPr="00E15CB6" w:rsidRDefault="00F2564D" w:rsidP="00E15CB6">
      <w:pPr>
        <w:pStyle w:val="Textonotapie"/>
        <w:ind w:firstLine="708"/>
        <w:contextualSpacing/>
        <w:jc w:val="both"/>
        <w:rPr>
          <w:rFonts w:ascii="Arial" w:eastAsia="Calibri" w:hAnsi="Arial" w:cs="Arial"/>
          <w:sz w:val="19"/>
          <w:szCs w:val="19"/>
          <w:lang w:val="es-ES_tradnl"/>
        </w:rPr>
      </w:pPr>
      <w:r w:rsidRPr="00E15CB6">
        <w:rPr>
          <w:rStyle w:val="Refdenotaalpie"/>
          <w:rFonts w:ascii="Arial" w:hAnsi="Arial" w:cs="Arial"/>
          <w:sz w:val="19"/>
          <w:szCs w:val="19"/>
        </w:rPr>
        <w:footnoteRef/>
      </w:r>
      <w:r w:rsidRPr="00E15CB6">
        <w:rPr>
          <w:rFonts w:ascii="Arial" w:hAnsi="Arial" w:cs="Arial"/>
          <w:sz w:val="19"/>
          <w:szCs w:val="19"/>
        </w:rPr>
        <w:t xml:space="preserve"> </w:t>
      </w:r>
      <w:r w:rsidRPr="00E15CB6">
        <w:rPr>
          <w:rFonts w:ascii="Arial" w:eastAsia="Calibri" w:hAnsi="Arial" w:cs="Arial"/>
          <w:sz w:val="19"/>
          <w:szCs w:val="19"/>
          <w:lang w:val="es-ES_tradnl"/>
        </w:rPr>
        <w:t>RODRÍGUEZ TAMAYO, Mauricio F. Evaluación y rechazo de ofertas en la Ley 80 de 1993. Primera edición, Editorial Librería Jurídica Sánchez, Medellín, 2016, págs. 110-111.</w:t>
      </w:r>
    </w:p>
    <w:p w14:paraId="4400E274" w14:textId="77777777" w:rsidR="00F2564D" w:rsidRPr="00E15CB6" w:rsidRDefault="00F2564D" w:rsidP="00E15CB6">
      <w:pPr>
        <w:pStyle w:val="Textonotapie"/>
        <w:ind w:firstLine="708"/>
        <w:contextualSpacing/>
        <w:jc w:val="both"/>
        <w:rPr>
          <w:rFonts w:ascii="Arial" w:hAnsi="Arial" w:cs="Arial"/>
          <w:sz w:val="19"/>
          <w:szCs w:val="19"/>
          <w:lang w:val="es-CO"/>
        </w:rPr>
      </w:pPr>
    </w:p>
  </w:footnote>
  <w:footnote w:id="15">
    <w:p w14:paraId="70FC55C1" w14:textId="77777777" w:rsidR="00F2564D" w:rsidRPr="00E15CB6" w:rsidRDefault="00F2564D" w:rsidP="00E15CB6">
      <w:pPr>
        <w:pStyle w:val="Textonotapie"/>
        <w:ind w:firstLine="708"/>
        <w:contextualSpacing/>
        <w:jc w:val="both"/>
        <w:rPr>
          <w:rFonts w:ascii="Arial" w:hAnsi="Arial" w:cs="Arial"/>
          <w:sz w:val="19"/>
          <w:szCs w:val="19"/>
        </w:rPr>
      </w:pPr>
      <w:r w:rsidRPr="00E15CB6">
        <w:rPr>
          <w:rStyle w:val="Refdenotaalpie"/>
          <w:rFonts w:ascii="Arial" w:hAnsi="Arial" w:cs="Arial"/>
          <w:sz w:val="19"/>
          <w:szCs w:val="19"/>
        </w:rPr>
        <w:footnoteRef/>
      </w:r>
      <w:r w:rsidRPr="00E15CB6">
        <w:rPr>
          <w:rFonts w:ascii="Arial" w:hAnsi="Arial" w:cs="Arial"/>
          <w:sz w:val="19"/>
          <w:szCs w:val="19"/>
        </w:rPr>
        <w:t xml:space="preserve"> EXPÓSITO VELEZ, Juan C., El deber de selección objetiva, en: Del contrato estatal a los sistemas de compras públicas, por COVILLA MARTINEZ Juan C. y LOZANO VILLEGAS Germán (Eds.). Universidad Externado de Colombia, Bogotá, 2019, págs. 118-184.</w:t>
      </w:r>
    </w:p>
    <w:p w14:paraId="1B72B03F" w14:textId="77777777" w:rsidR="00F2564D" w:rsidRPr="00E15CB6" w:rsidRDefault="00F2564D" w:rsidP="00E15CB6">
      <w:pPr>
        <w:pStyle w:val="Textonotapie"/>
        <w:ind w:firstLine="708"/>
        <w:contextualSpacing/>
        <w:jc w:val="both"/>
        <w:rPr>
          <w:rFonts w:ascii="Arial" w:hAnsi="Arial" w:cs="Arial"/>
          <w:sz w:val="19"/>
          <w:szCs w:val="19"/>
          <w:lang w:val="es-CO"/>
        </w:rPr>
      </w:pPr>
    </w:p>
  </w:footnote>
  <w:footnote w:id="16">
    <w:p w14:paraId="19E0205B" w14:textId="77777777" w:rsidR="00F2564D" w:rsidRPr="00E15CB6" w:rsidRDefault="00F2564D" w:rsidP="00E15CB6">
      <w:pPr>
        <w:pStyle w:val="Textonotapie"/>
        <w:ind w:firstLine="708"/>
        <w:contextualSpacing/>
        <w:rPr>
          <w:rFonts w:ascii="Arial" w:hAnsi="Arial" w:cs="Arial"/>
          <w:sz w:val="19"/>
          <w:szCs w:val="19"/>
          <w:lang w:val="es-CO"/>
        </w:rPr>
      </w:pPr>
      <w:r w:rsidRPr="00E15CB6">
        <w:rPr>
          <w:rStyle w:val="Refdenotaalpie"/>
          <w:rFonts w:ascii="Arial" w:hAnsi="Arial" w:cs="Arial"/>
          <w:sz w:val="19"/>
          <w:szCs w:val="19"/>
        </w:rPr>
        <w:footnoteRef/>
      </w:r>
      <w:r w:rsidRPr="00E15CB6">
        <w:rPr>
          <w:rFonts w:ascii="Arial" w:hAnsi="Arial" w:cs="Arial"/>
          <w:i/>
          <w:iCs/>
          <w:sz w:val="19"/>
          <w:szCs w:val="19"/>
        </w:rPr>
        <w:t xml:space="preserve"> </w:t>
      </w:r>
      <w:r w:rsidRPr="00E15CB6">
        <w:rPr>
          <w:rFonts w:ascii="Arial" w:hAnsi="Arial" w:cs="Arial"/>
          <w:i/>
          <w:iCs/>
          <w:sz w:val="19"/>
          <w:szCs w:val="19"/>
          <w:lang w:val="es-CO"/>
        </w:rPr>
        <w:t>Ibídem.</w:t>
      </w:r>
    </w:p>
  </w:footnote>
  <w:footnote w:id="17">
    <w:p w14:paraId="4645F0C4" w14:textId="77777777" w:rsidR="00F2564D" w:rsidRPr="00E15CB6" w:rsidRDefault="00F2564D" w:rsidP="00E15CB6">
      <w:pPr>
        <w:ind w:firstLine="708"/>
        <w:contextualSpacing/>
        <w:jc w:val="both"/>
        <w:rPr>
          <w:rFonts w:ascii="Arial" w:hAnsi="Arial" w:cs="Arial"/>
          <w:sz w:val="19"/>
          <w:szCs w:val="19"/>
          <w:lang w:eastAsia="es-CO"/>
        </w:rPr>
      </w:pPr>
      <w:r w:rsidRPr="00E15CB6">
        <w:rPr>
          <w:rStyle w:val="Refdenotaalpie"/>
          <w:rFonts w:ascii="Arial" w:hAnsi="Arial" w:cs="Arial"/>
          <w:sz w:val="19"/>
          <w:szCs w:val="19"/>
        </w:rPr>
        <w:footnoteRef/>
      </w:r>
      <w:r w:rsidRPr="00E15CB6">
        <w:rPr>
          <w:rFonts w:ascii="Arial" w:hAnsi="Arial" w:cs="Arial"/>
          <w:sz w:val="19"/>
          <w:szCs w:val="19"/>
        </w:rPr>
        <w:t xml:space="preserve"> Decreto 1082 de 2015 </w:t>
      </w:r>
      <w:r w:rsidRPr="00E15CB6">
        <w:rPr>
          <w:rFonts w:ascii="Arial" w:eastAsia="Calibri" w:hAnsi="Arial" w:cs="Arial"/>
          <w:bCs/>
          <w:sz w:val="19"/>
          <w:szCs w:val="19"/>
        </w:rPr>
        <w:t>«</w:t>
      </w:r>
      <w:r w:rsidRPr="00E15CB6">
        <w:rPr>
          <w:rFonts w:ascii="Arial" w:hAnsi="Arial" w:cs="Arial"/>
          <w:sz w:val="19"/>
          <w:szCs w:val="19"/>
          <w:lang w:eastAsia="es-CO"/>
        </w:rPr>
        <w:t>Artículo 2.2.1.1.2.2.2. Ofrecimiento más favorable. La Entidad Estatal debe determinar la oferta más favorable teniendo en cuenta las normas aplicables a cada modalidad de selección del contratista. </w:t>
      </w:r>
    </w:p>
    <w:p w14:paraId="04326167"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1BCF69DD"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1. Las condiciones técnicas y económicas mínimas de la oferta. </w:t>
      </w:r>
    </w:p>
    <w:p w14:paraId="7F1CF4A9"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2. Las condiciones técnicas adicionales que representan ventajas de calidad o de funcionamiento, tales como el uso de tecnología o materiales que generen mayor eficiencia, rendimiento o duración del bien, obra o servicio. </w:t>
      </w:r>
    </w:p>
    <w:p w14:paraId="14E2EC23"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6089AE30"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4. El valor en dinero que la Entidad Estatal asigna a cada ofrecimiento técnico o económico adicional, para permitir la ponderación de las ofertas presentadas. </w:t>
      </w:r>
    </w:p>
    <w:p w14:paraId="1CEC5F7A" w14:textId="77777777" w:rsidR="00F2564D" w:rsidRPr="00E15CB6" w:rsidRDefault="00F2564D" w:rsidP="00E15CB6">
      <w:pPr>
        <w:contextualSpacing/>
        <w:jc w:val="both"/>
        <w:rPr>
          <w:rFonts w:ascii="Arial" w:hAnsi="Arial" w:cs="Arial"/>
          <w:sz w:val="19"/>
          <w:szCs w:val="19"/>
          <w:lang w:eastAsia="es-CO"/>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33177E59" w14:textId="77777777" w:rsidR="00F2564D" w:rsidRPr="00E15CB6" w:rsidRDefault="00F2564D" w:rsidP="00E15CB6">
      <w:pPr>
        <w:contextualSpacing/>
        <w:jc w:val="both"/>
        <w:rPr>
          <w:rFonts w:ascii="Arial" w:hAnsi="Arial" w:cs="Arial"/>
          <w:sz w:val="19"/>
          <w:szCs w:val="19"/>
        </w:rPr>
      </w:pPr>
      <w:r w:rsidRPr="00E15CB6">
        <w:rPr>
          <w:rFonts w:ascii="Arial" w:hAnsi="Arial" w:cs="Arial"/>
          <w:sz w:val="19"/>
          <w:szCs w:val="19"/>
          <w:lang w:eastAsia="es-CO"/>
        </w:rPr>
        <w:t>  </w:t>
      </w:r>
      <w:r w:rsidRPr="00E15CB6">
        <w:rPr>
          <w:rFonts w:ascii="Arial" w:hAnsi="Arial" w:cs="Arial"/>
          <w:sz w:val="19"/>
          <w:szCs w:val="19"/>
          <w:lang w:eastAsia="es-CO"/>
        </w:rPr>
        <w:tab/>
      </w:r>
      <w:r w:rsidRPr="00E15CB6">
        <w:rPr>
          <w:rFonts w:ascii="Arial" w:eastAsia="Calibri" w:hAnsi="Arial" w:cs="Arial"/>
          <w:bCs/>
          <w:sz w:val="19"/>
          <w:szCs w:val="19"/>
        </w:rPr>
        <w:t>»</w:t>
      </w:r>
      <w:r w:rsidRPr="00E15CB6">
        <w:rPr>
          <w:rFonts w:ascii="Arial" w:hAnsi="Arial" w:cs="Arial"/>
          <w:sz w:val="19"/>
          <w:szCs w:val="19"/>
          <w:lang w:eastAsia="es-CO"/>
        </w:rPr>
        <w:t>La Entidad Estatal debe adjudicar al oferente que presentó la oferta con la mejor relación costo-beneficio y suscribir el contrato por el precio total ofrecido</w:t>
      </w:r>
      <w:r w:rsidRPr="00E15CB6">
        <w:rPr>
          <w:rFonts w:ascii="Arial" w:eastAsia="Calibri" w:hAnsi="Arial" w:cs="Arial"/>
          <w:bCs/>
          <w:sz w:val="19"/>
          <w:szCs w:val="19"/>
        </w:rPr>
        <w:t>»</w:t>
      </w:r>
      <w:r w:rsidRPr="00E15CB6">
        <w:rPr>
          <w:rFonts w:ascii="Arial" w:hAnsi="Arial" w:cs="Arial"/>
          <w:sz w:val="19"/>
          <w:szCs w:val="19"/>
          <w:lang w:eastAsia="es-CO"/>
        </w:rPr>
        <w:t>. </w:t>
      </w:r>
    </w:p>
  </w:footnote>
  <w:footnote w:id="18">
    <w:p w14:paraId="2756EA8F" w14:textId="77777777" w:rsidR="00F2564D" w:rsidRPr="00E15CB6" w:rsidRDefault="00F2564D" w:rsidP="00E15CB6">
      <w:pPr>
        <w:pStyle w:val="Textonotapie"/>
        <w:ind w:firstLine="708"/>
        <w:contextualSpacing/>
        <w:jc w:val="both"/>
        <w:rPr>
          <w:rFonts w:ascii="Arial" w:hAnsi="Arial" w:cs="Arial"/>
          <w:sz w:val="19"/>
          <w:szCs w:val="19"/>
          <w:lang w:val="es-CO"/>
        </w:rPr>
      </w:pPr>
      <w:r w:rsidRPr="00E15CB6">
        <w:rPr>
          <w:rStyle w:val="Refdenotaalpie"/>
          <w:rFonts w:ascii="Arial" w:hAnsi="Arial" w:cs="Arial"/>
          <w:sz w:val="19"/>
          <w:szCs w:val="19"/>
        </w:rPr>
        <w:footnoteRef/>
      </w:r>
      <w:r w:rsidRPr="00E15CB6">
        <w:rPr>
          <w:rFonts w:ascii="Arial" w:hAnsi="Arial" w:cs="Arial"/>
          <w:sz w:val="19"/>
          <w:szCs w:val="19"/>
        </w:rPr>
        <w:t xml:space="preserve"> Según este principio, «[…] en caso de perplejidades hermenéuticas, el operador jurídico debe preferir, entre las diversas interpretaciones de las disposiciones aplicables al caso, aquella que produzca efectos, sobre aquella que no, o sobre aquella que sea superflua o irrazonable […]» (</w:t>
      </w:r>
      <w:r w:rsidRPr="00E15CB6">
        <w:rPr>
          <w:rFonts w:ascii="Arial" w:hAnsi="Arial" w:cs="Arial"/>
          <w:sz w:val="19"/>
          <w:szCs w:val="19"/>
          <w:lang w:val="es-CO"/>
        </w:rPr>
        <w:t xml:space="preserve">CORTE CONSTITUCIONAL. Sentencia C-569 del 8 de junio de 2004. M.P. (E). </w:t>
      </w:r>
      <w:r w:rsidRPr="00E15CB6">
        <w:rPr>
          <w:rFonts w:ascii="Arial" w:hAnsi="Arial" w:cs="Arial"/>
          <w:sz w:val="19"/>
          <w:szCs w:val="19"/>
          <w:shd w:val="clear" w:color="auto" w:fill="FFFFFF"/>
        </w:rPr>
        <w:t>Rodrigo Uprimny Yepes).</w:t>
      </w:r>
    </w:p>
  </w:footnote>
  <w:footnote w:id="19">
    <w:p w14:paraId="1414BBAB" w14:textId="77777777" w:rsidR="009B7A99" w:rsidRPr="00E15CB6" w:rsidRDefault="009B7A99" w:rsidP="00E15CB6">
      <w:pPr>
        <w:pStyle w:val="NormalWeb"/>
        <w:spacing w:before="0" w:beforeAutospacing="0" w:after="0" w:afterAutospacing="0"/>
        <w:ind w:firstLine="708"/>
        <w:contextualSpacing/>
        <w:jc w:val="both"/>
        <w:rPr>
          <w:rFonts w:ascii="Arial" w:hAnsi="Arial" w:cs="Arial"/>
          <w:sz w:val="19"/>
          <w:szCs w:val="19"/>
        </w:rPr>
      </w:pPr>
      <w:r w:rsidRPr="00E15CB6">
        <w:rPr>
          <w:rStyle w:val="Refdenotaalpie"/>
          <w:rFonts w:ascii="Arial" w:eastAsiaTheme="minorHAnsi" w:hAnsi="Arial" w:cs="Arial"/>
          <w:sz w:val="19"/>
          <w:szCs w:val="19"/>
          <w:lang w:val="es-MX" w:eastAsia="en-US"/>
        </w:rPr>
        <w:footnoteRef/>
      </w:r>
      <w:r w:rsidRPr="00E15CB6">
        <w:rPr>
          <w:rFonts w:ascii="Arial" w:hAnsi="Arial" w:cs="Arial"/>
          <w:sz w:val="19"/>
          <w:szCs w:val="19"/>
        </w:rPr>
        <w:t xml:space="preserve"> Decreto 1082 de 2015, modificado por el Decreto 1860 de 2021: «Artículo 2.2.1.2.1.5.2. Procedimiento para la contratación de mínima cuantía. La Entidad Estatal debe elaborar unos estudios previos que deben contener, como mínimo, lo siguiente:</w:t>
      </w:r>
    </w:p>
    <w:p w14:paraId="7A704238" w14:textId="77777777" w:rsidR="009B7A99" w:rsidRPr="00E15CB6" w:rsidRDefault="009B7A99" w:rsidP="00E15CB6">
      <w:pPr>
        <w:pStyle w:val="NormalWeb"/>
        <w:spacing w:before="0" w:beforeAutospacing="0" w:after="0" w:afterAutospacing="0"/>
        <w:ind w:firstLine="708"/>
        <w:contextualSpacing/>
        <w:jc w:val="both"/>
        <w:rPr>
          <w:rFonts w:ascii="Arial" w:hAnsi="Arial" w:cs="Arial"/>
          <w:sz w:val="19"/>
          <w:szCs w:val="19"/>
        </w:rPr>
      </w:pPr>
      <w:r w:rsidRPr="00E15CB6">
        <w:rPr>
          <w:rFonts w:ascii="Arial" w:hAnsi="Arial" w:cs="Arial"/>
          <w:sz w:val="19"/>
          <w:szCs w:val="19"/>
        </w:rPr>
        <w:t>» […] 8. En caso de empate, la Entidad Estatal aplicará los criterios de que trata el artículo </w:t>
      </w:r>
      <w:hyperlink r:id="rId2" w:anchor="35" w:history="1">
        <w:r w:rsidRPr="00E15CB6">
          <w:rPr>
            <w:rFonts w:ascii="Arial" w:hAnsi="Arial" w:cs="Arial"/>
            <w:sz w:val="19"/>
            <w:szCs w:val="19"/>
          </w:rPr>
          <w:t>35 </w:t>
        </w:r>
      </w:hyperlink>
      <w:r w:rsidRPr="00E15CB6">
        <w:rPr>
          <w:rFonts w:ascii="Arial" w:hAnsi="Arial" w:cs="Arial"/>
          <w:sz w:val="19"/>
          <w:szCs w:val="19"/>
        </w:rPr>
        <w:t>de la Ley 2069 de 2020, conforme a los medíos de acreditación del artículo 2.2.1.2.4.2.17. del presente Decreto o las normas que los modifiquen, adicionen o sustituyan.»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13BB4" w14:textId="77777777" w:rsidR="007B1929" w:rsidRDefault="00416D78">
    <w:pPr>
      <w:pStyle w:val="Encabezado"/>
    </w:pPr>
    <w:r>
      <w:rPr>
        <w:noProof/>
        <w:lang w:val="es-ES_tradnl" w:eastAsia="es-ES_tradnl"/>
      </w:rPr>
      <w:drawing>
        <wp:anchor distT="0" distB="0" distL="114300" distR="114300" simplePos="0" relativeHeight="251659264" behindDoc="1" locked="0" layoutInCell="1" allowOverlap="1" wp14:anchorId="451208B9" wp14:editId="5FE5695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56C482"/>
    <w:multiLevelType w:val="hybridMultilevel"/>
    <w:tmpl w:val="3CB335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41B15B5"/>
    <w:multiLevelType w:val="hybridMultilevel"/>
    <w:tmpl w:val="B90A31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4"/>
  </w:num>
  <w:num w:numId="20">
    <w:abstractNumId w:val="24"/>
  </w:num>
  <w:num w:numId="21">
    <w:abstractNumId w:val="16"/>
  </w:num>
  <w:num w:numId="22">
    <w:abstractNumId w:val="7"/>
  </w:num>
  <w:num w:numId="23">
    <w:abstractNumId w:val="6"/>
  </w:num>
  <w:num w:numId="24">
    <w:abstractNumId w:val="22"/>
  </w:num>
  <w:num w:numId="25">
    <w:abstractNumId w:val="18"/>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4D"/>
    <w:rsid w:val="00011647"/>
    <w:rsid w:val="00031004"/>
    <w:rsid w:val="000576AA"/>
    <w:rsid w:val="000576BC"/>
    <w:rsid w:val="000E1660"/>
    <w:rsid w:val="000E67DC"/>
    <w:rsid w:val="001044AD"/>
    <w:rsid w:val="001053AF"/>
    <w:rsid w:val="00120BF0"/>
    <w:rsid w:val="00124810"/>
    <w:rsid w:val="00145348"/>
    <w:rsid w:val="0017064C"/>
    <w:rsid w:val="0018430D"/>
    <w:rsid w:val="001A5273"/>
    <w:rsid w:val="001C7C7B"/>
    <w:rsid w:val="001D53D6"/>
    <w:rsid w:val="001F0C10"/>
    <w:rsid w:val="001F2FE4"/>
    <w:rsid w:val="00226E8B"/>
    <w:rsid w:val="00243CB8"/>
    <w:rsid w:val="002B55EE"/>
    <w:rsid w:val="002E2DD0"/>
    <w:rsid w:val="003335CE"/>
    <w:rsid w:val="0035234D"/>
    <w:rsid w:val="003A71DE"/>
    <w:rsid w:val="003A7EB4"/>
    <w:rsid w:val="00412167"/>
    <w:rsid w:val="00416D78"/>
    <w:rsid w:val="0043355F"/>
    <w:rsid w:val="004870E3"/>
    <w:rsid w:val="004E1758"/>
    <w:rsid w:val="004F37B2"/>
    <w:rsid w:val="00504189"/>
    <w:rsid w:val="00505F71"/>
    <w:rsid w:val="00562216"/>
    <w:rsid w:val="00572A74"/>
    <w:rsid w:val="00577158"/>
    <w:rsid w:val="005836C4"/>
    <w:rsid w:val="005A5516"/>
    <w:rsid w:val="005A6F8D"/>
    <w:rsid w:val="005C43D8"/>
    <w:rsid w:val="005F1ACD"/>
    <w:rsid w:val="00605D65"/>
    <w:rsid w:val="00612C5C"/>
    <w:rsid w:val="0063129A"/>
    <w:rsid w:val="00650A37"/>
    <w:rsid w:val="00700227"/>
    <w:rsid w:val="00723E01"/>
    <w:rsid w:val="007C3D10"/>
    <w:rsid w:val="007E2AD6"/>
    <w:rsid w:val="007E35AD"/>
    <w:rsid w:val="0083011F"/>
    <w:rsid w:val="0084078D"/>
    <w:rsid w:val="00884EC6"/>
    <w:rsid w:val="00893081"/>
    <w:rsid w:val="00897B0F"/>
    <w:rsid w:val="00911940"/>
    <w:rsid w:val="00960860"/>
    <w:rsid w:val="009700C3"/>
    <w:rsid w:val="009774A3"/>
    <w:rsid w:val="009B7A99"/>
    <w:rsid w:val="00A37750"/>
    <w:rsid w:val="00A5567B"/>
    <w:rsid w:val="00A574A5"/>
    <w:rsid w:val="00A86F12"/>
    <w:rsid w:val="00A908B0"/>
    <w:rsid w:val="00AB5B84"/>
    <w:rsid w:val="00AE65A4"/>
    <w:rsid w:val="00AF0C79"/>
    <w:rsid w:val="00B04944"/>
    <w:rsid w:val="00B12EEC"/>
    <w:rsid w:val="00B8420B"/>
    <w:rsid w:val="00BA3858"/>
    <w:rsid w:val="00BB6924"/>
    <w:rsid w:val="00BC65E3"/>
    <w:rsid w:val="00BD1A4F"/>
    <w:rsid w:val="00BF1ED3"/>
    <w:rsid w:val="00C35FD4"/>
    <w:rsid w:val="00C36C34"/>
    <w:rsid w:val="00C44D93"/>
    <w:rsid w:val="00C61710"/>
    <w:rsid w:val="00C75E45"/>
    <w:rsid w:val="00CF355D"/>
    <w:rsid w:val="00D6657B"/>
    <w:rsid w:val="00D85564"/>
    <w:rsid w:val="00E01ED5"/>
    <w:rsid w:val="00E15CB6"/>
    <w:rsid w:val="00E848ED"/>
    <w:rsid w:val="00F10EDA"/>
    <w:rsid w:val="00F24D51"/>
    <w:rsid w:val="00F2564D"/>
    <w:rsid w:val="00F70E8B"/>
    <w:rsid w:val="00F97A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48CE"/>
  <w15:chartTrackingRefBased/>
  <w15:docId w15:val="{1214B7EE-920E-4AE5-8753-C02F7F6E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64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F2564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F256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2564D"/>
    <w:rPr>
      <w:rFonts w:ascii="Arial" w:eastAsia="Arial" w:hAnsi="Arial" w:cs="Arial"/>
      <w:b/>
      <w:bCs/>
      <w:lang w:val="es-ES"/>
    </w:rPr>
  </w:style>
  <w:style w:type="character" w:customStyle="1" w:styleId="Ttulo2Car">
    <w:name w:val="Título 2 Car"/>
    <w:basedOn w:val="Fuentedeprrafopredeter"/>
    <w:link w:val="Ttulo2"/>
    <w:uiPriority w:val="9"/>
    <w:semiHidden/>
    <w:rsid w:val="00F2564D"/>
    <w:rPr>
      <w:rFonts w:asciiTheme="majorHAnsi" w:eastAsiaTheme="majorEastAsia" w:hAnsiTheme="majorHAnsi" w:cstheme="majorBidi"/>
      <w:color w:val="2F5496" w:themeColor="accent1" w:themeShade="BF"/>
      <w:sz w:val="26"/>
      <w:szCs w:val="26"/>
      <w:lang w:eastAsia="es-ES_tradnl"/>
    </w:rPr>
  </w:style>
  <w:style w:type="paragraph" w:styleId="Piedepgina">
    <w:name w:val="footer"/>
    <w:basedOn w:val="Normal"/>
    <w:link w:val="PiedepginaCar"/>
    <w:uiPriority w:val="99"/>
    <w:unhideWhenUsed/>
    <w:rsid w:val="00F2564D"/>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F2564D"/>
    <w:rPr>
      <w:sz w:val="24"/>
      <w:lang w:val="es-MX"/>
    </w:rPr>
  </w:style>
  <w:style w:type="paragraph" w:styleId="Textodeglobo">
    <w:name w:val="Balloon Text"/>
    <w:basedOn w:val="Normal"/>
    <w:link w:val="TextodegloboCar"/>
    <w:uiPriority w:val="99"/>
    <w:semiHidden/>
    <w:unhideWhenUsed/>
    <w:rsid w:val="00F2564D"/>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F2564D"/>
    <w:rPr>
      <w:rFonts w:ascii="Tahoma" w:hAnsi="Tahoma" w:cs="Tahoma"/>
      <w:sz w:val="16"/>
      <w:szCs w:val="16"/>
      <w:lang w:val="es-MX"/>
    </w:rPr>
  </w:style>
  <w:style w:type="paragraph" w:styleId="Encabezado">
    <w:name w:val="header"/>
    <w:basedOn w:val="Normal"/>
    <w:link w:val="EncabezadoCar"/>
    <w:uiPriority w:val="99"/>
    <w:unhideWhenUsed/>
    <w:rsid w:val="00F2564D"/>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F2564D"/>
    <w:rPr>
      <w:sz w:val="24"/>
      <w:lang w:val="es-MX"/>
    </w:rPr>
  </w:style>
  <w:style w:type="table" w:styleId="Tablaconcuadrcula">
    <w:name w:val="Table Grid"/>
    <w:basedOn w:val="Tablanormal"/>
    <w:uiPriority w:val="59"/>
    <w:rsid w:val="00F25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2564D"/>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F2564D"/>
    <w:rPr>
      <w:sz w:val="16"/>
      <w:szCs w:val="16"/>
    </w:rPr>
  </w:style>
  <w:style w:type="paragraph" w:styleId="Textocomentario">
    <w:name w:val="annotation text"/>
    <w:basedOn w:val="Normal"/>
    <w:link w:val="TextocomentarioCar"/>
    <w:uiPriority w:val="99"/>
    <w:unhideWhenUsed/>
    <w:rsid w:val="00F2564D"/>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F2564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2564D"/>
    <w:rPr>
      <w:b/>
      <w:bCs/>
    </w:rPr>
  </w:style>
  <w:style w:type="character" w:customStyle="1" w:styleId="AsuntodelcomentarioCar">
    <w:name w:val="Asunto del comentario Car"/>
    <w:basedOn w:val="TextocomentarioCar"/>
    <w:link w:val="Asuntodelcomentario"/>
    <w:uiPriority w:val="99"/>
    <w:semiHidden/>
    <w:rsid w:val="00F2564D"/>
    <w:rPr>
      <w:b/>
      <w:bCs/>
      <w:sz w:val="20"/>
      <w:szCs w:val="20"/>
      <w:lang w:val="es-MX"/>
    </w:rPr>
  </w:style>
  <w:style w:type="character" w:styleId="Hipervnculo">
    <w:name w:val="Hyperlink"/>
    <w:basedOn w:val="Fuentedeprrafopredeter"/>
    <w:uiPriority w:val="99"/>
    <w:unhideWhenUsed/>
    <w:rsid w:val="00F2564D"/>
    <w:rPr>
      <w:color w:val="0563C1" w:themeColor="hyperlink"/>
      <w:u w:val="single"/>
    </w:rPr>
  </w:style>
  <w:style w:type="paragraph" w:styleId="NormalWeb">
    <w:name w:val="Normal (Web)"/>
    <w:basedOn w:val="Normal"/>
    <w:link w:val="NormalWebCar"/>
    <w:uiPriority w:val="99"/>
    <w:unhideWhenUsed/>
    <w:rsid w:val="00F2564D"/>
    <w:pPr>
      <w:spacing w:before="100" w:beforeAutospacing="1" w:after="100" w:afterAutospacing="1"/>
    </w:pPr>
    <w:rPr>
      <w:lang w:eastAsia="es-CO"/>
    </w:rPr>
  </w:style>
  <w:style w:type="paragraph" w:styleId="Sinespaciado">
    <w:name w:val="No Spacing"/>
    <w:aliases w:val="No Indent"/>
    <w:uiPriority w:val="3"/>
    <w:qFormat/>
    <w:rsid w:val="00F2564D"/>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2564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2564D"/>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F2564D"/>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2564D"/>
    <w:rPr>
      <w:sz w:val="24"/>
      <w:lang w:val="es-MX"/>
    </w:rPr>
  </w:style>
  <w:style w:type="paragraph" w:customStyle="1" w:styleId="Capitulo1">
    <w:name w:val="Capitulo 1"/>
    <w:basedOn w:val="Normal"/>
    <w:qFormat/>
    <w:rsid w:val="00F2564D"/>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2564D"/>
    <w:rPr>
      <w:vertAlign w:val="superscript"/>
    </w:rPr>
  </w:style>
  <w:style w:type="table" w:customStyle="1" w:styleId="Tablaconcuadrcula1">
    <w:name w:val="Tabla con cuadrícula1"/>
    <w:basedOn w:val="Tablanormal"/>
    <w:next w:val="Tablaconcuadrcula"/>
    <w:uiPriority w:val="59"/>
    <w:rsid w:val="00F2564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2564D"/>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2564D"/>
    <w:rPr>
      <w:rFonts w:eastAsiaTheme="minorEastAsia"/>
      <w:lang w:eastAsia="es-CO"/>
    </w:rPr>
  </w:style>
  <w:style w:type="character" w:customStyle="1" w:styleId="Mencinsinresolver1">
    <w:name w:val="Mención sin resolver1"/>
    <w:basedOn w:val="Fuentedeprrafopredeter"/>
    <w:uiPriority w:val="99"/>
    <w:semiHidden/>
    <w:unhideWhenUsed/>
    <w:rsid w:val="00F2564D"/>
    <w:rPr>
      <w:color w:val="605E5C"/>
      <w:shd w:val="clear" w:color="auto" w:fill="E1DFDD"/>
    </w:rPr>
  </w:style>
  <w:style w:type="character" w:customStyle="1" w:styleId="Mencinsinresolver2">
    <w:name w:val="Mención sin resolver2"/>
    <w:basedOn w:val="Fuentedeprrafopredeter"/>
    <w:uiPriority w:val="99"/>
    <w:semiHidden/>
    <w:unhideWhenUsed/>
    <w:rsid w:val="00F2564D"/>
    <w:rPr>
      <w:color w:val="605E5C"/>
      <w:shd w:val="clear" w:color="auto" w:fill="E1DFDD"/>
    </w:rPr>
  </w:style>
  <w:style w:type="character" w:styleId="Mencinsinresolver">
    <w:name w:val="Unresolved Mention"/>
    <w:basedOn w:val="Fuentedeprrafopredeter"/>
    <w:uiPriority w:val="99"/>
    <w:rsid w:val="00F2564D"/>
    <w:rPr>
      <w:color w:val="605E5C"/>
      <w:shd w:val="clear" w:color="auto" w:fill="E1DFDD"/>
    </w:rPr>
  </w:style>
  <w:style w:type="paragraph" w:customStyle="1" w:styleId="Default">
    <w:name w:val="Default"/>
    <w:rsid w:val="00F2564D"/>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F2564D"/>
    <w:pPr>
      <w:spacing w:before="100" w:beforeAutospacing="1" w:after="100" w:afterAutospacing="1"/>
    </w:pPr>
    <w:rPr>
      <w:lang w:eastAsia="es-CO"/>
    </w:rPr>
  </w:style>
  <w:style w:type="character" w:customStyle="1" w:styleId="textrun">
    <w:name w:val="textrun"/>
    <w:basedOn w:val="Fuentedeprrafopredeter"/>
    <w:rsid w:val="00F2564D"/>
  </w:style>
  <w:style w:type="character" w:customStyle="1" w:styleId="normaltextrun">
    <w:name w:val="normaltextrun"/>
    <w:basedOn w:val="Fuentedeprrafopredeter"/>
    <w:rsid w:val="00F2564D"/>
  </w:style>
  <w:style w:type="character" w:customStyle="1" w:styleId="eop">
    <w:name w:val="eop"/>
    <w:basedOn w:val="Fuentedeprrafopredeter"/>
    <w:rsid w:val="00F2564D"/>
  </w:style>
  <w:style w:type="character" w:customStyle="1" w:styleId="spellingerror">
    <w:name w:val="spellingerror"/>
    <w:basedOn w:val="Fuentedeprrafopredeter"/>
    <w:rsid w:val="00F2564D"/>
  </w:style>
  <w:style w:type="character" w:styleId="Nmerodepgina">
    <w:name w:val="page number"/>
    <w:basedOn w:val="Fuentedeprrafopredeter"/>
    <w:uiPriority w:val="99"/>
    <w:semiHidden/>
    <w:unhideWhenUsed/>
    <w:rsid w:val="00F2564D"/>
  </w:style>
  <w:style w:type="paragraph" w:customStyle="1" w:styleId="Appelnotedebasde">
    <w:name w:val="Appel note de bas de..."/>
    <w:basedOn w:val="Normal"/>
    <w:link w:val="Refdenotaalpie"/>
    <w:uiPriority w:val="99"/>
    <w:rsid w:val="00F2564D"/>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F2564D"/>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F2564D"/>
    <w:rPr>
      <w:sz w:val="24"/>
      <w:lang w:val="es-MX"/>
    </w:rPr>
  </w:style>
  <w:style w:type="character" w:styleId="Textoennegrita">
    <w:name w:val="Strong"/>
    <w:basedOn w:val="Fuentedeprrafopredeter"/>
    <w:uiPriority w:val="22"/>
    <w:qFormat/>
    <w:rsid w:val="00F2564D"/>
    <w:rPr>
      <w:b/>
      <w:bCs/>
    </w:rPr>
  </w:style>
  <w:style w:type="character" w:styleId="nfasis">
    <w:name w:val="Emphasis"/>
    <w:basedOn w:val="Fuentedeprrafopredeter"/>
    <w:uiPriority w:val="20"/>
    <w:qFormat/>
    <w:rsid w:val="00F2564D"/>
    <w:rPr>
      <w:i/>
      <w:iCs/>
    </w:rPr>
  </w:style>
  <w:style w:type="character" w:customStyle="1" w:styleId="NormalWebCar">
    <w:name w:val="Normal (Web) Car"/>
    <w:link w:val="NormalWeb"/>
    <w:uiPriority w:val="99"/>
    <w:rsid w:val="00F2564D"/>
    <w:rPr>
      <w:rFonts w:ascii="Times New Roman" w:eastAsia="Times New Roman" w:hAnsi="Times New Roman" w:cs="Times New Roman"/>
      <w:sz w:val="24"/>
      <w:szCs w:val="24"/>
      <w:lang w:eastAsia="es-CO"/>
    </w:rPr>
  </w:style>
  <w:style w:type="character" w:customStyle="1" w:styleId="baj">
    <w:name w:val="b_aj"/>
    <w:basedOn w:val="Fuentedeprrafopredeter"/>
    <w:rsid w:val="00F2564D"/>
  </w:style>
  <w:style w:type="paragraph" w:styleId="Textonotaalfinal">
    <w:name w:val="endnote text"/>
    <w:basedOn w:val="Normal"/>
    <w:link w:val="TextonotaalfinalCar"/>
    <w:uiPriority w:val="99"/>
    <w:semiHidden/>
    <w:unhideWhenUsed/>
    <w:rsid w:val="00F2564D"/>
    <w:rPr>
      <w:sz w:val="20"/>
      <w:szCs w:val="20"/>
    </w:rPr>
  </w:style>
  <w:style w:type="character" w:customStyle="1" w:styleId="TextonotaalfinalCar">
    <w:name w:val="Texto nota al final Car"/>
    <w:basedOn w:val="Fuentedeprrafopredeter"/>
    <w:link w:val="Textonotaalfinal"/>
    <w:uiPriority w:val="99"/>
    <w:semiHidden/>
    <w:rsid w:val="00F2564D"/>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F2564D"/>
    <w:rPr>
      <w:vertAlign w:val="superscript"/>
    </w:rPr>
  </w:style>
  <w:style w:type="paragraph" w:customStyle="1" w:styleId="Car1">
    <w:name w:val="Car1"/>
    <w:basedOn w:val="Normal"/>
    <w:next w:val="Textonotapie"/>
    <w:uiPriority w:val="99"/>
    <w:unhideWhenUsed/>
    <w:qFormat/>
    <w:rsid w:val="00F2564D"/>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160966"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4D181AD-3243-4741-A251-4BDE00AD2F33}">
  <ds:schemaRefs>
    <ds:schemaRef ds:uri="http://schemas.openxmlformats.org/officeDocument/2006/bibliography"/>
  </ds:schemaRefs>
</ds:datastoreItem>
</file>

<file path=customXml/itemProps2.xml><?xml version="1.0" encoding="utf-8"?>
<ds:datastoreItem xmlns:ds="http://schemas.openxmlformats.org/officeDocument/2006/customXml" ds:itemID="{38FE5BC1-8A36-4600-A5FC-6E321E98C20B}"/>
</file>

<file path=customXml/itemProps3.xml><?xml version="1.0" encoding="utf-8"?>
<ds:datastoreItem xmlns:ds="http://schemas.openxmlformats.org/officeDocument/2006/customXml" ds:itemID="{DC9BE9C3-60FB-480E-BA61-0A1DB42AEC48}"/>
</file>

<file path=customXml/itemProps4.xml><?xml version="1.0" encoding="utf-8"?>
<ds:datastoreItem xmlns:ds="http://schemas.openxmlformats.org/officeDocument/2006/customXml" ds:itemID="{F71B73F9-EE9F-4227-AEDB-2D89B5BA53F1}"/>
</file>

<file path=docProps/app.xml><?xml version="1.0" encoding="utf-8"?>
<Properties xmlns="http://schemas.openxmlformats.org/officeDocument/2006/extended-properties" xmlns:vt="http://schemas.openxmlformats.org/officeDocument/2006/docPropsVTypes">
  <Template>Normal</Template>
  <TotalTime>43</TotalTime>
  <Pages>21</Pages>
  <Words>7814</Words>
  <Characters>42982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6</cp:revision>
  <dcterms:created xsi:type="dcterms:W3CDTF">2022-05-09T15:23:00Z</dcterms:created>
  <dcterms:modified xsi:type="dcterms:W3CDTF">2022-05-16T17:15:00Z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