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6566B" w14:textId="77777777" w:rsidR="0082011E" w:rsidRPr="00F375E2" w:rsidRDefault="0082011E" w:rsidP="0082011E">
      <w:pPr>
        <w:jc w:val="right"/>
        <w:rPr>
          <w:rFonts w:ascii="Arial" w:eastAsia="Calibri" w:hAnsi="Arial" w:cs="Arial"/>
          <w:b/>
          <w:color w:val="000000" w:themeColor="text1"/>
          <w:sz w:val="20"/>
          <w:szCs w:val="20"/>
          <w:lang w:val="es-ES_tradnl"/>
        </w:rPr>
      </w:pPr>
      <w:bookmarkStart w:id="0" w:name="_Hlk28946138"/>
      <w:bookmarkStart w:id="1" w:name="_Hlk29548183"/>
      <w:bookmarkStart w:id="2" w:name="_Hlk47949675"/>
      <w:r w:rsidRPr="00F375E2">
        <w:rPr>
          <w:rFonts w:ascii="Arial" w:hAnsi="Arial" w:cs="Arial"/>
          <w:bCs/>
          <w:color w:val="000000" w:themeColor="text1"/>
          <w:sz w:val="16"/>
          <w:szCs w:val="16"/>
          <w:lang w:val="es-ES_tradnl" w:eastAsia="es-ES"/>
        </w:rPr>
        <w:t>CCE-DES-FM-17</w:t>
      </w:r>
      <w:bookmarkEnd w:id="0"/>
      <w:bookmarkEnd w:id="1"/>
    </w:p>
    <w:p w14:paraId="3E5A2E8F" w14:textId="78B165AB" w:rsidR="00FE4C26" w:rsidRPr="00F375E2" w:rsidRDefault="00FE4C26" w:rsidP="0022167B">
      <w:pPr>
        <w:jc w:val="right"/>
        <w:rPr>
          <w:rFonts w:ascii="Arial" w:eastAsia="Calibri" w:hAnsi="Arial" w:cs="Arial"/>
          <w:b/>
          <w:bCs/>
          <w:color w:val="000000" w:themeColor="text1"/>
          <w:sz w:val="22"/>
          <w:szCs w:val="22"/>
          <w:lang w:val="es-ES_tradnl"/>
        </w:rPr>
      </w:pPr>
    </w:p>
    <w:p w14:paraId="706978B7" w14:textId="1059AFB3" w:rsidR="00D04192" w:rsidRPr="00F375E2" w:rsidRDefault="00D04192" w:rsidP="00D04192">
      <w:pPr>
        <w:tabs>
          <w:tab w:val="left" w:pos="426"/>
        </w:tabs>
        <w:rPr>
          <w:rFonts w:ascii="Arial" w:hAnsi="Arial" w:cs="Arial"/>
          <w:b/>
          <w:color w:val="000000" w:themeColor="text1"/>
          <w:sz w:val="20"/>
          <w:szCs w:val="20"/>
          <w:lang w:val="es-ES" w:eastAsia="es-CO"/>
        </w:rPr>
      </w:pPr>
      <w:bookmarkStart w:id="3" w:name="_Hlk77152637"/>
      <w:bookmarkStart w:id="4" w:name="_Hlk77157066"/>
      <w:bookmarkEnd w:id="2"/>
      <w:r w:rsidRPr="00F375E2">
        <w:rPr>
          <w:rFonts w:ascii="Arial" w:hAnsi="Arial" w:cs="Arial"/>
          <w:b/>
          <w:color w:val="000000" w:themeColor="text1"/>
          <w:sz w:val="20"/>
          <w:szCs w:val="20"/>
          <w:lang w:val="es-ES" w:eastAsia="es-CO"/>
        </w:rPr>
        <w:t>LEY DE GARANTÍAS ELECTORALES ‒</w:t>
      </w:r>
      <w:bookmarkEnd w:id="3"/>
      <w:r w:rsidRPr="00F375E2">
        <w:rPr>
          <w:rFonts w:ascii="Arial" w:hAnsi="Arial" w:cs="Arial"/>
          <w:b/>
          <w:color w:val="000000" w:themeColor="text1"/>
          <w:sz w:val="20"/>
          <w:szCs w:val="20"/>
          <w:lang w:val="es-ES" w:eastAsia="es-CO"/>
        </w:rPr>
        <w:t xml:space="preserve"> </w:t>
      </w:r>
      <w:r w:rsidR="004102D2" w:rsidRPr="00F375E2">
        <w:rPr>
          <w:rFonts w:ascii="Arial" w:hAnsi="Arial" w:cs="Arial"/>
          <w:b/>
          <w:color w:val="000000" w:themeColor="text1"/>
          <w:sz w:val="20"/>
          <w:szCs w:val="20"/>
          <w:lang w:val="es-ES" w:eastAsia="es-CO"/>
        </w:rPr>
        <w:t>Definición</w:t>
      </w:r>
      <w:r w:rsidRPr="00F375E2">
        <w:rPr>
          <w:rFonts w:ascii="Arial" w:hAnsi="Arial" w:cs="Arial"/>
          <w:b/>
          <w:color w:val="000000" w:themeColor="text1"/>
          <w:sz w:val="20"/>
          <w:szCs w:val="20"/>
          <w:lang w:val="es-ES" w:eastAsia="es-CO"/>
        </w:rPr>
        <w:t xml:space="preserve"> </w:t>
      </w:r>
      <w:r w:rsidR="008D36DB" w:rsidRPr="00F375E2">
        <w:rPr>
          <w:rFonts w:ascii="Arial" w:hAnsi="Arial" w:cs="Arial"/>
          <w:b/>
          <w:color w:val="000000" w:themeColor="text1"/>
          <w:sz w:val="20"/>
          <w:szCs w:val="20"/>
          <w:lang w:val="es-ES" w:eastAsia="es-CO"/>
        </w:rPr>
        <w:t>– Finalidad</w:t>
      </w:r>
    </w:p>
    <w:p w14:paraId="1948F999" w14:textId="77777777" w:rsidR="00D04192" w:rsidRPr="00F375E2" w:rsidRDefault="00D04192" w:rsidP="00D04192">
      <w:pPr>
        <w:tabs>
          <w:tab w:val="left" w:pos="426"/>
        </w:tabs>
        <w:rPr>
          <w:rFonts w:ascii="Arial" w:eastAsia="Calibri" w:hAnsi="Arial" w:cs="Arial"/>
          <w:b/>
          <w:bCs/>
          <w:color w:val="000000" w:themeColor="text1"/>
          <w:sz w:val="20"/>
          <w:szCs w:val="20"/>
        </w:rPr>
      </w:pPr>
    </w:p>
    <w:bookmarkEnd w:id="4"/>
    <w:p w14:paraId="20618E72" w14:textId="29835829" w:rsidR="00423405" w:rsidRPr="00F375E2" w:rsidRDefault="00D04192" w:rsidP="00423405">
      <w:pPr>
        <w:tabs>
          <w:tab w:val="left" w:pos="426"/>
        </w:tabs>
        <w:jc w:val="both"/>
        <w:rPr>
          <w:rFonts w:ascii="Arial" w:eastAsia="Calibri" w:hAnsi="Arial" w:cs="Arial"/>
          <w:noProof/>
          <w:color w:val="000000" w:themeColor="text1"/>
          <w:sz w:val="20"/>
          <w:szCs w:val="20"/>
          <w:lang w:val="es-ES_tradnl"/>
        </w:rPr>
      </w:pPr>
      <w:r w:rsidRPr="00F375E2">
        <w:rPr>
          <w:rFonts w:ascii="Arial" w:eastAsia="Calibri" w:hAnsi="Arial" w:cs="Arial"/>
          <w:noProof/>
          <w:color w:val="000000" w:themeColor="text1"/>
          <w:sz w:val="20"/>
          <w:szCs w:val="20"/>
          <w:lang w:val="es-ES_tradnl"/>
        </w:rPr>
        <w:t>[…] la Ley 996 de 2005 establece dos (2) tipos de restricciones en materia de contratación, las cuales coinciden parcialmente. En primer lugar,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En segundo lugar,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r w:rsidR="00423405" w:rsidRPr="00F375E2">
        <w:rPr>
          <w:rFonts w:ascii="Arial" w:eastAsia="Calibri" w:hAnsi="Arial" w:cs="Arial"/>
          <w:noProof/>
          <w:color w:val="000000" w:themeColor="text1"/>
          <w:sz w:val="20"/>
          <w:szCs w:val="20"/>
        </w:rPr>
        <w:t xml:space="preserve"> </w:t>
      </w:r>
    </w:p>
    <w:p w14:paraId="59A27F42" w14:textId="77777777" w:rsidR="00423405" w:rsidRPr="00F375E2" w:rsidRDefault="00423405" w:rsidP="00423405">
      <w:pPr>
        <w:tabs>
          <w:tab w:val="left" w:pos="426"/>
        </w:tabs>
        <w:jc w:val="both"/>
        <w:rPr>
          <w:rFonts w:ascii="Arial" w:eastAsia="Calibri" w:hAnsi="Arial" w:cs="Arial"/>
          <w:b/>
          <w:bCs/>
          <w:color w:val="000000" w:themeColor="text1"/>
          <w:sz w:val="22"/>
          <w:szCs w:val="22"/>
          <w:lang w:val="es-ES_tradnl"/>
        </w:rPr>
      </w:pPr>
      <w:bookmarkStart w:id="5" w:name="_Hlk77165666"/>
      <w:bookmarkStart w:id="6" w:name="_Hlk97039670"/>
    </w:p>
    <w:bookmarkEnd w:id="5"/>
    <w:bookmarkEnd w:id="6"/>
    <w:p w14:paraId="17DA3023" w14:textId="0551E90E" w:rsidR="00E034F0" w:rsidRPr="00F375E2" w:rsidRDefault="00E034F0" w:rsidP="00E034F0">
      <w:pPr>
        <w:tabs>
          <w:tab w:val="left" w:pos="426"/>
        </w:tabs>
        <w:jc w:val="both"/>
        <w:rPr>
          <w:rFonts w:ascii="Arial" w:eastAsia="Calibri" w:hAnsi="Arial" w:cs="Arial"/>
          <w:b/>
          <w:bCs/>
          <w:color w:val="000000" w:themeColor="text1"/>
          <w:sz w:val="20"/>
          <w:szCs w:val="20"/>
          <w:lang w:val="es-ES_tradnl"/>
        </w:rPr>
      </w:pPr>
      <w:r w:rsidRPr="00F375E2">
        <w:rPr>
          <w:rFonts w:ascii="Arial" w:eastAsia="Calibri" w:hAnsi="Arial" w:cs="Arial"/>
          <w:b/>
          <w:bCs/>
          <w:color w:val="000000" w:themeColor="text1"/>
          <w:sz w:val="20"/>
          <w:szCs w:val="20"/>
          <w:lang w:val="es-ES_tradnl"/>
        </w:rPr>
        <w:t>LEY DE GARANTÍAS ELECTORALES</w:t>
      </w:r>
      <w:r w:rsidRPr="00F375E2">
        <w:rPr>
          <w:rFonts w:ascii="Arial" w:eastAsia="Calibri" w:hAnsi="Arial" w:cs="Arial"/>
          <w:b/>
          <w:color w:val="000000" w:themeColor="text1"/>
          <w:sz w:val="20"/>
          <w:szCs w:val="20"/>
          <w:lang w:val="es-ES_tradnl"/>
        </w:rPr>
        <w:t xml:space="preserve"> –</w:t>
      </w:r>
      <w:r w:rsidRPr="00F375E2">
        <w:rPr>
          <w:rFonts w:ascii="Arial" w:eastAsia="Calibri" w:hAnsi="Arial" w:cs="Arial"/>
          <w:b/>
          <w:bCs/>
          <w:color w:val="000000" w:themeColor="text1"/>
          <w:sz w:val="20"/>
          <w:szCs w:val="20"/>
          <w:lang w:val="es-ES_tradnl"/>
        </w:rPr>
        <w:t xml:space="preserve"> P</w:t>
      </w:r>
      <w:r w:rsidRPr="00F375E2">
        <w:rPr>
          <w:rFonts w:ascii="Arial" w:hAnsi="Arial" w:cs="Arial"/>
          <w:b/>
          <w:color w:val="000000" w:themeColor="text1"/>
          <w:sz w:val="20"/>
          <w:szCs w:val="20"/>
          <w:lang w:val="es-ES" w:eastAsia="es-CO"/>
        </w:rPr>
        <w:t>rohibición – Contratación directa – Alcance</w:t>
      </w:r>
    </w:p>
    <w:p w14:paraId="287568F0" w14:textId="77777777" w:rsidR="00E034F0" w:rsidRPr="00F375E2" w:rsidRDefault="00E034F0" w:rsidP="00E034F0">
      <w:pPr>
        <w:tabs>
          <w:tab w:val="left" w:pos="426"/>
        </w:tabs>
        <w:rPr>
          <w:rFonts w:ascii="Arial" w:eastAsia="Calibri" w:hAnsi="Arial" w:cs="Arial"/>
          <w:noProof/>
          <w:color w:val="000000" w:themeColor="text1"/>
          <w:sz w:val="22"/>
          <w:szCs w:val="22"/>
          <w:lang w:val="es-ES_tradnl"/>
        </w:rPr>
      </w:pPr>
    </w:p>
    <w:p w14:paraId="2190E546" w14:textId="77777777" w:rsidR="007C4E7C" w:rsidRDefault="00E034F0" w:rsidP="001F3DEF">
      <w:pPr>
        <w:tabs>
          <w:tab w:val="left" w:pos="426"/>
        </w:tabs>
        <w:jc w:val="both"/>
        <w:rPr>
          <w:rFonts w:ascii="Arial" w:eastAsia="Calibri" w:hAnsi="Arial" w:cs="Arial"/>
          <w:noProof/>
          <w:color w:val="000000" w:themeColor="text1"/>
          <w:sz w:val="20"/>
          <w:szCs w:val="20"/>
          <w:lang w:val="es-ES_tradnl"/>
        </w:rPr>
      </w:pPr>
      <w:r w:rsidRPr="00F375E2">
        <w:rPr>
          <w:rFonts w:ascii="Arial" w:eastAsia="Calibri" w:hAnsi="Arial" w:cs="Arial"/>
          <w:noProof/>
          <w:color w:val="000000" w:themeColor="text1"/>
          <w:sz w:val="20"/>
          <w:szCs w:val="20"/>
          <w:lang w:val="es-ES_tradnl"/>
        </w:rPr>
        <w:t xml:space="preserve">[…] </w:t>
      </w:r>
      <w:r w:rsidR="001F3DEF" w:rsidRPr="001F3DEF">
        <w:rPr>
          <w:rFonts w:ascii="Arial" w:eastAsia="Calibri" w:hAnsi="Arial" w:cs="Arial"/>
          <w:noProof/>
          <w:color w:val="000000" w:themeColor="text1"/>
          <w:sz w:val="20"/>
          <w:szCs w:val="20"/>
          <w:lang w:val="es-ES_tradnl"/>
        </w:rPr>
        <w:t xml:space="preserve">la prohibición del artículo 33 de la Ley de Garantías Electorales se refiere a «cualquier sistema que no implique convocatoria pública y posibilidad de pluralidad de oferentes», por lo que excluye las demás modalidades de contratación previstas en la Ley 1150 de 2007, es decir, la licitación pública, la selección abreviada, el concurso de méritos y la mínima cuantía u otros previstos en normas especiales, que contemplen en alguna de sus etapas la posible participación de pluralidad de oferentes. </w:t>
      </w:r>
    </w:p>
    <w:p w14:paraId="13EF832E" w14:textId="77777777" w:rsidR="007C4E7C" w:rsidRDefault="007C4E7C" w:rsidP="001F3DEF">
      <w:pPr>
        <w:tabs>
          <w:tab w:val="left" w:pos="426"/>
        </w:tabs>
        <w:jc w:val="both"/>
        <w:rPr>
          <w:rFonts w:ascii="Arial" w:eastAsia="Calibri" w:hAnsi="Arial" w:cs="Arial"/>
          <w:noProof/>
          <w:color w:val="000000" w:themeColor="text1"/>
          <w:sz w:val="20"/>
          <w:szCs w:val="20"/>
          <w:lang w:val="es-ES_tradnl"/>
        </w:rPr>
      </w:pPr>
    </w:p>
    <w:p w14:paraId="2DD6E6EA" w14:textId="7A0FC07C" w:rsidR="00E034F0" w:rsidRPr="00F375E2" w:rsidRDefault="001F3DEF" w:rsidP="001F3DEF">
      <w:pPr>
        <w:tabs>
          <w:tab w:val="left" w:pos="426"/>
        </w:tabs>
        <w:jc w:val="both"/>
        <w:rPr>
          <w:rFonts w:ascii="Arial" w:eastAsia="Calibri" w:hAnsi="Arial" w:cs="Arial"/>
          <w:noProof/>
          <w:color w:val="000000" w:themeColor="text1"/>
          <w:sz w:val="20"/>
          <w:szCs w:val="20"/>
          <w:lang w:val="es-ES_tradnl"/>
        </w:rPr>
      </w:pPr>
      <w:r w:rsidRPr="001F3DEF">
        <w:rPr>
          <w:rFonts w:ascii="Arial" w:eastAsia="Calibri" w:hAnsi="Arial" w:cs="Arial"/>
          <w:noProof/>
          <w:color w:val="000000" w:themeColor="text1"/>
          <w:sz w:val="20"/>
          <w:szCs w:val="20"/>
          <w:lang w:val="es-ES_tradnl"/>
        </w:rPr>
        <w:t>Esta posición es congruente con la expedición de la Ley 1150 de 2007 que, entre otras reformas, introdujo la selección abreviada, rediseñó el concurso de méritos y sistematizó las causales de contratación directa, además lo es con la posterior creación de la modalidad de mínima cuantía establecida actualmente en el numeral 5 del artículo 2 de la Ley 1150 de 2007, de acuerdo con las modificaciones realizadas por leyes posteriores</w:t>
      </w:r>
      <w:r w:rsidR="00725F33">
        <w:rPr>
          <w:rFonts w:ascii="Arial" w:eastAsia="Calibri" w:hAnsi="Arial" w:cs="Arial"/>
          <w:noProof/>
          <w:color w:val="000000" w:themeColor="text1"/>
          <w:sz w:val="20"/>
          <w:szCs w:val="20"/>
          <w:lang w:val="es-ES_tradnl"/>
        </w:rPr>
        <w:t>.</w:t>
      </w:r>
    </w:p>
    <w:p w14:paraId="42F7EDEC" w14:textId="77777777" w:rsidR="003861CA" w:rsidRPr="00F375E2" w:rsidRDefault="003861CA" w:rsidP="00E034F0">
      <w:pPr>
        <w:rPr>
          <w:rFonts w:ascii="Arial" w:hAnsi="Arial" w:cs="Arial"/>
          <w:b/>
          <w:bCs/>
          <w:color w:val="000000" w:themeColor="text1"/>
          <w:sz w:val="20"/>
          <w:szCs w:val="20"/>
          <w:lang w:eastAsia="es-CO"/>
        </w:rPr>
      </w:pPr>
    </w:p>
    <w:p w14:paraId="28655DF3" w14:textId="2F6EFD9B" w:rsidR="00E034F0" w:rsidRPr="00F375E2" w:rsidRDefault="00E034F0" w:rsidP="00B85857">
      <w:pPr>
        <w:jc w:val="both"/>
        <w:rPr>
          <w:rFonts w:ascii="Arial" w:hAnsi="Arial" w:cs="Arial"/>
          <w:b/>
          <w:color w:val="000000" w:themeColor="text1"/>
          <w:sz w:val="20"/>
          <w:szCs w:val="20"/>
          <w:lang w:val="es-ES" w:eastAsia="es-CO"/>
        </w:rPr>
      </w:pPr>
      <w:r w:rsidRPr="00F375E2">
        <w:rPr>
          <w:rFonts w:ascii="Arial" w:hAnsi="Arial" w:cs="Arial"/>
          <w:b/>
          <w:bCs/>
          <w:color w:val="000000" w:themeColor="text1"/>
          <w:sz w:val="20"/>
          <w:szCs w:val="20"/>
          <w:lang w:eastAsia="es-CO"/>
        </w:rPr>
        <w:t xml:space="preserve">LEY DE GARANTÍAS ELECTORALES </w:t>
      </w:r>
      <w:bookmarkStart w:id="7" w:name="_Hlk77166669"/>
      <w:r w:rsidRPr="00F375E2">
        <w:rPr>
          <w:rFonts w:ascii="Arial" w:hAnsi="Arial" w:cs="Arial"/>
          <w:b/>
          <w:bCs/>
          <w:color w:val="000000" w:themeColor="text1"/>
          <w:sz w:val="20"/>
          <w:szCs w:val="20"/>
          <w:lang w:eastAsia="es-CO"/>
        </w:rPr>
        <w:t>‒</w:t>
      </w:r>
      <w:bookmarkEnd w:id="7"/>
      <w:r w:rsidRPr="00F375E2">
        <w:rPr>
          <w:rFonts w:ascii="Arial" w:hAnsi="Arial" w:cs="Arial"/>
          <w:b/>
          <w:bCs/>
          <w:color w:val="000000" w:themeColor="text1"/>
          <w:sz w:val="20"/>
          <w:szCs w:val="20"/>
          <w:lang w:eastAsia="es-CO"/>
        </w:rPr>
        <w:t xml:space="preserve"> </w:t>
      </w:r>
      <w:r w:rsidRPr="00F375E2">
        <w:rPr>
          <w:rFonts w:ascii="Arial" w:hAnsi="Arial" w:cs="Arial"/>
          <w:b/>
          <w:color w:val="000000" w:themeColor="text1"/>
          <w:sz w:val="20"/>
          <w:szCs w:val="20"/>
          <w:lang w:val="es-ES" w:eastAsia="es-CO"/>
        </w:rPr>
        <w:t xml:space="preserve">Prohibición del artículo 33 </w:t>
      </w:r>
      <w:r w:rsidRPr="00F375E2">
        <w:rPr>
          <w:rFonts w:ascii="Arial" w:hAnsi="Arial" w:cs="Arial"/>
          <w:b/>
          <w:bCs/>
          <w:color w:val="000000" w:themeColor="text1"/>
          <w:sz w:val="20"/>
          <w:szCs w:val="20"/>
          <w:lang w:eastAsia="es-CO"/>
        </w:rPr>
        <w:t>‒ Destinatarios</w:t>
      </w:r>
      <w:r w:rsidR="00604A86" w:rsidRPr="00F375E2">
        <w:rPr>
          <w:rFonts w:ascii="Arial" w:hAnsi="Arial" w:cs="Arial"/>
          <w:b/>
          <w:bCs/>
          <w:color w:val="000000" w:themeColor="text1"/>
          <w:sz w:val="20"/>
          <w:szCs w:val="20"/>
          <w:lang w:eastAsia="es-CO"/>
        </w:rPr>
        <w:t xml:space="preserve"> </w:t>
      </w:r>
      <w:r w:rsidR="00B85857" w:rsidRPr="00F375E2">
        <w:rPr>
          <w:rFonts w:ascii="Arial" w:hAnsi="Arial" w:cs="Arial"/>
          <w:b/>
          <w:bCs/>
          <w:color w:val="000000" w:themeColor="text1"/>
          <w:sz w:val="20"/>
          <w:szCs w:val="20"/>
          <w:lang w:eastAsia="es-CO"/>
        </w:rPr>
        <w:t xml:space="preserve">‒Excepciones </w:t>
      </w:r>
    </w:p>
    <w:p w14:paraId="53D1FCEE" w14:textId="77777777" w:rsidR="00E034F0" w:rsidRPr="00F375E2" w:rsidRDefault="00E034F0" w:rsidP="00E034F0">
      <w:pPr>
        <w:tabs>
          <w:tab w:val="left" w:pos="426"/>
        </w:tabs>
        <w:rPr>
          <w:rFonts w:ascii="Arial" w:eastAsia="Calibri" w:hAnsi="Arial" w:cs="Arial"/>
          <w:noProof/>
          <w:color w:val="000000" w:themeColor="text1"/>
          <w:sz w:val="20"/>
          <w:szCs w:val="20"/>
          <w:lang w:val="es-ES" w:eastAsia="en-US"/>
        </w:rPr>
      </w:pPr>
    </w:p>
    <w:p w14:paraId="39E12581" w14:textId="0846F203" w:rsidR="00E034F0" w:rsidRPr="00F375E2" w:rsidRDefault="00E034F0" w:rsidP="00E034F0">
      <w:pPr>
        <w:tabs>
          <w:tab w:val="left" w:pos="426"/>
        </w:tabs>
        <w:jc w:val="both"/>
        <w:rPr>
          <w:rFonts w:ascii="Arial" w:eastAsia="Calibri" w:hAnsi="Arial" w:cs="Arial"/>
          <w:noProof/>
          <w:color w:val="000000" w:themeColor="text1"/>
          <w:sz w:val="20"/>
          <w:szCs w:val="20"/>
        </w:rPr>
      </w:pPr>
      <w:r w:rsidRPr="00F375E2">
        <w:rPr>
          <w:rFonts w:ascii="Arial" w:eastAsia="Calibri" w:hAnsi="Arial" w:cs="Arial"/>
          <w:noProof/>
          <w:color w:val="000000" w:themeColor="text1"/>
          <w:sz w:val="20"/>
          <w:szCs w:val="20"/>
          <w:lang w:val="es-ES_tradnl"/>
        </w:rPr>
        <w:t xml:space="preserve">[…] </w:t>
      </w:r>
      <w:r w:rsidRPr="00F375E2">
        <w:rPr>
          <w:rFonts w:ascii="Arial" w:eastAsia="Calibri" w:hAnsi="Arial" w:cs="Arial"/>
          <w:noProof/>
          <w:color w:val="000000" w:themeColor="text1"/>
          <w:sz w:val="20"/>
          <w:szCs w:val="20"/>
        </w:rPr>
        <w:t>El artículo 33 de la Ley 996 de 2005 señala expresamente a los destinatarios de la prohibición, en el sentido de que son «todos los entes del Estado», expresión que contempla a los diferentes organismos o entidades autorizadas por la ley para suscribir contratos. En efecto, tal como lo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24BF07F3" w14:textId="4FA0CB38" w:rsidR="004E0B45" w:rsidRPr="00F375E2" w:rsidRDefault="004E0B45" w:rsidP="00E034F0">
      <w:pPr>
        <w:tabs>
          <w:tab w:val="left" w:pos="426"/>
        </w:tabs>
        <w:jc w:val="both"/>
        <w:rPr>
          <w:rFonts w:ascii="Arial" w:eastAsia="Calibri" w:hAnsi="Arial" w:cs="Arial"/>
          <w:noProof/>
          <w:color w:val="000000" w:themeColor="text1"/>
          <w:sz w:val="20"/>
          <w:szCs w:val="20"/>
        </w:rPr>
      </w:pPr>
    </w:p>
    <w:p w14:paraId="4006B901" w14:textId="1F6810E4" w:rsidR="004E0B45" w:rsidRPr="00F375E2" w:rsidRDefault="004E0B45" w:rsidP="004E0B45">
      <w:pPr>
        <w:tabs>
          <w:tab w:val="left" w:pos="426"/>
        </w:tabs>
        <w:jc w:val="both"/>
        <w:rPr>
          <w:rFonts w:ascii="Arial" w:eastAsia="Calibri" w:hAnsi="Arial" w:cs="Arial"/>
          <w:noProof/>
          <w:color w:val="000000" w:themeColor="text1"/>
          <w:sz w:val="20"/>
          <w:szCs w:val="20"/>
        </w:rPr>
      </w:pPr>
      <w:r w:rsidRPr="00F375E2">
        <w:rPr>
          <w:rFonts w:ascii="Arial" w:eastAsia="Calibri" w:hAnsi="Arial" w:cs="Arial"/>
          <w:noProof/>
          <w:color w:val="000000" w:themeColor="text1"/>
          <w:sz w:val="20"/>
          <w:szCs w:val="20"/>
        </w:rPr>
        <w:t xml:space="preserve">Para efectos de la consulta es relevante el quinto evento exceptuado de la prohibición, relacionado con la contratación por parte de las entidades sanitarias y hospitalarias. La aplicación de esta excepción a la restricción impuesta como regla general por el primer inciso del artículo 33, permite que las entidades sanitarias y hospitalarias, ante la importancia de los servicios que prestan para el grueso de la ciudadanía, puedan seguir realizando las compras y adquisiciones que requieren para </w:t>
      </w:r>
      <w:r w:rsidRPr="00F375E2">
        <w:rPr>
          <w:rFonts w:ascii="Arial" w:eastAsia="Calibri" w:hAnsi="Arial" w:cs="Arial"/>
          <w:noProof/>
          <w:color w:val="000000" w:themeColor="text1"/>
          <w:sz w:val="20"/>
          <w:szCs w:val="20"/>
        </w:rPr>
        <w:lastRenderedPageBreak/>
        <w:t xml:space="preserve">prestarlos, incluso de manera directa, durante los periodos prelectorales, con lo que se busca garantizar que el interés público no se vea afectado por el rigor de la regla general. </w:t>
      </w:r>
    </w:p>
    <w:p w14:paraId="765CC6CD" w14:textId="6043ADB7" w:rsidR="004E0B45" w:rsidRPr="00F375E2" w:rsidRDefault="004E0B45" w:rsidP="004E0B45">
      <w:pPr>
        <w:tabs>
          <w:tab w:val="left" w:pos="426"/>
        </w:tabs>
        <w:jc w:val="both"/>
        <w:rPr>
          <w:rFonts w:ascii="Arial" w:eastAsia="Calibri" w:hAnsi="Arial" w:cs="Arial"/>
          <w:noProof/>
          <w:color w:val="000000" w:themeColor="text1"/>
          <w:sz w:val="20"/>
          <w:szCs w:val="20"/>
        </w:rPr>
      </w:pPr>
    </w:p>
    <w:p w14:paraId="1F6C4071" w14:textId="0605799F" w:rsidR="004E0B45" w:rsidRPr="00F375E2" w:rsidRDefault="004E0B45" w:rsidP="004E0B45">
      <w:pPr>
        <w:tabs>
          <w:tab w:val="left" w:pos="426"/>
        </w:tabs>
        <w:jc w:val="both"/>
        <w:rPr>
          <w:rFonts w:ascii="Arial" w:eastAsia="Calibri" w:hAnsi="Arial" w:cs="Arial"/>
          <w:noProof/>
          <w:color w:val="000000" w:themeColor="text1"/>
          <w:sz w:val="20"/>
          <w:szCs w:val="20"/>
        </w:rPr>
      </w:pPr>
      <w:r w:rsidRPr="00F375E2">
        <w:rPr>
          <w:rFonts w:ascii="Arial" w:eastAsia="Calibri" w:hAnsi="Arial" w:cs="Arial"/>
          <w:noProof/>
          <w:color w:val="000000" w:themeColor="text1"/>
          <w:sz w:val="20"/>
          <w:szCs w:val="20"/>
        </w:rPr>
        <w:t>El alcance de esta excepción está determinado por la prestación de servicios sanitarios y hospitalarios, por lo que son las entidades públicas directamente encargadas de prestar estos servicios quienes estarían cobijadas por la excepción.</w:t>
      </w:r>
    </w:p>
    <w:p w14:paraId="0D68A70C" w14:textId="77777777" w:rsidR="00E034F0" w:rsidRPr="00F375E2" w:rsidRDefault="00E034F0" w:rsidP="00E034F0">
      <w:pPr>
        <w:tabs>
          <w:tab w:val="left" w:pos="426"/>
        </w:tabs>
        <w:jc w:val="both"/>
        <w:rPr>
          <w:rFonts w:ascii="Arial" w:eastAsia="Calibri" w:hAnsi="Arial" w:cs="Arial"/>
          <w:noProof/>
          <w:color w:val="000000" w:themeColor="text1"/>
          <w:sz w:val="20"/>
          <w:szCs w:val="20"/>
        </w:rPr>
      </w:pPr>
    </w:p>
    <w:p w14:paraId="02DD4165" w14:textId="77777777" w:rsidR="00E034F0" w:rsidRPr="00F375E2" w:rsidRDefault="00E034F0" w:rsidP="00E034F0">
      <w:pPr>
        <w:tabs>
          <w:tab w:val="left" w:pos="426"/>
        </w:tabs>
        <w:jc w:val="both"/>
        <w:rPr>
          <w:rFonts w:ascii="Arial" w:eastAsia="Calibri" w:hAnsi="Arial" w:cs="Arial"/>
          <w:b/>
          <w:bCs/>
          <w:noProof/>
          <w:color w:val="000000" w:themeColor="text1"/>
          <w:sz w:val="20"/>
          <w:szCs w:val="20"/>
        </w:rPr>
      </w:pPr>
      <w:r w:rsidRPr="00F375E2">
        <w:rPr>
          <w:rFonts w:ascii="Arial" w:eastAsia="Calibri" w:hAnsi="Arial" w:cs="Arial"/>
          <w:b/>
          <w:bCs/>
          <w:noProof/>
          <w:color w:val="000000" w:themeColor="text1"/>
          <w:sz w:val="20"/>
          <w:szCs w:val="20"/>
        </w:rPr>
        <w:t>LEY DE GARANTÍAS ELECTORALES ‒ Prohibición por elección de cargos populares – Convenios y contratos interadministrativos – Definición – Criterio orgánico</w:t>
      </w:r>
    </w:p>
    <w:p w14:paraId="7D225E7C" w14:textId="77777777" w:rsidR="00E034F0" w:rsidRPr="00F375E2" w:rsidRDefault="00E034F0" w:rsidP="00E034F0">
      <w:pPr>
        <w:tabs>
          <w:tab w:val="left" w:pos="426"/>
        </w:tabs>
        <w:jc w:val="both"/>
        <w:rPr>
          <w:rFonts w:ascii="Arial" w:eastAsia="Calibri" w:hAnsi="Arial" w:cs="Arial"/>
          <w:noProof/>
          <w:color w:val="000000" w:themeColor="text1"/>
          <w:sz w:val="20"/>
          <w:szCs w:val="20"/>
        </w:rPr>
      </w:pPr>
    </w:p>
    <w:p w14:paraId="2A8FADFE" w14:textId="77777777" w:rsidR="00E034F0" w:rsidRPr="00F375E2" w:rsidRDefault="00E034F0" w:rsidP="00E034F0">
      <w:pPr>
        <w:tabs>
          <w:tab w:val="left" w:pos="426"/>
        </w:tabs>
        <w:jc w:val="both"/>
        <w:rPr>
          <w:rFonts w:ascii="Arial" w:eastAsia="Calibri" w:hAnsi="Arial" w:cs="Arial"/>
          <w:noProof/>
          <w:color w:val="000000" w:themeColor="text1"/>
          <w:sz w:val="20"/>
          <w:szCs w:val="20"/>
        </w:rPr>
      </w:pPr>
      <w:r w:rsidRPr="00F375E2">
        <w:rPr>
          <w:rFonts w:ascii="Arial" w:eastAsia="Calibri" w:hAnsi="Arial" w:cs="Arial"/>
          <w:noProof/>
          <w:color w:val="000000" w:themeColor="text1"/>
          <w:sz w:val="20"/>
          <w:szCs w:val="20"/>
        </w:rPr>
        <w:t>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p>
    <w:p w14:paraId="6512A5E3" w14:textId="77777777" w:rsidR="00E034F0" w:rsidRPr="00F375E2" w:rsidRDefault="00E034F0" w:rsidP="00E034F0">
      <w:pPr>
        <w:tabs>
          <w:tab w:val="left" w:pos="426"/>
        </w:tabs>
        <w:jc w:val="both"/>
        <w:rPr>
          <w:rFonts w:ascii="Arial" w:eastAsia="Calibri" w:hAnsi="Arial" w:cs="Arial"/>
          <w:noProof/>
          <w:color w:val="000000" w:themeColor="text1"/>
          <w:sz w:val="20"/>
          <w:szCs w:val="20"/>
        </w:rPr>
      </w:pPr>
    </w:p>
    <w:p w14:paraId="1772F3A6" w14:textId="77777777" w:rsidR="00E034F0" w:rsidRPr="00F375E2" w:rsidRDefault="00E034F0" w:rsidP="00E034F0">
      <w:pPr>
        <w:tabs>
          <w:tab w:val="left" w:pos="426"/>
        </w:tabs>
        <w:jc w:val="both"/>
        <w:rPr>
          <w:rFonts w:ascii="Arial" w:eastAsia="Calibri" w:hAnsi="Arial" w:cs="Arial"/>
          <w:noProof/>
          <w:color w:val="000000" w:themeColor="text1"/>
          <w:sz w:val="20"/>
          <w:szCs w:val="20"/>
        </w:rPr>
      </w:pPr>
      <w:r w:rsidRPr="00F375E2">
        <w:rPr>
          <w:rFonts w:ascii="Arial" w:eastAsia="Calibri" w:hAnsi="Arial" w:cs="Arial"/>
          <w:noProof/>
          <w:color w:val="000000" w:themeColor="text1"/>
          <w:sz w:val="20"/>
          <w:szCs w:val="20"/>
        </w:rPr>
        <w:t>[…] para determinar el alcance de la prohibición consagrada por la Ley de Garantías Electorales, conviene precisar la tipología de convenios o contratos interadministrativos. Aunque la ley no la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2FF9D649" w14:textId="77777777" w:rsidR="00E034F0" w:rsidRPr="00F375E2" w:rsidRDefault="00E034F0" w:rsidP="00E034F0">
      <w:pPr>
        <w:tabs>
          <w:tab w:val="left" w:pos="426"/>
        </w:tabs>
        <w:jc w:val="both"/>
        <w:rPr>
          <w:rFonts w:ascii="Arial" w:eastAsia="Calibri" w:hAnsi="Arial" w:cs="Arial"/>
          <w:noProof/>
          <w:color w:val="000000" w:themeColor="text1"/>
          <w:sz w:val="20"/>
          <w:szCs w:val="20"/>
        </w:rPr>
      </w:pPr>
    </w:p>
    <w:p w14:paraId="41A3E9D7" w14:textId="77777777" w:rsidR="00E034F0" w:rsidRPr="00F375E2" w:rsidRDefault="00E034F0" w:rsidP="00E034F0">
      <w:pPr>
        <w:rPr>
          <w:rFonts w:ascii="Arial" w:eastAsiaTheme="minorHAnsi" w:hAnsi="Arial" w:cs="Arial"/>
          <w:color w:val="000000" w:themeColor="text1"/>
          <w:sz w:val="20"/>
          <w:szCs w:val="20"/>
        </w:rPr>
      </w:pPr>
    </w:p>
    <w:p w14:paraId="27324F50" w14:textId="6456CA95" w:rsidR="009F7970" w:rsidRPr="00F375E2" w:rsidRDefault="009F7970">
      <w:pPr>
        <w:spacing w:before="120" w:after="120" w:line="276" w:lineRule="auto"/>
        <w:jc w:val="both"/>
        <w:rPr>
          <w:rFonts w:ascii="Arial" w:hAnsi="Arial" w:cs="Arial"/>
          <w:color w:val="000000" w:themeColor="text1"/>
          <w:sz w:val="22"/>
          <w:szCs w:val="22"/>
          <w:lang w:val="es-ES_tradnl"/>
        </w:rPr>
      </w:pPr>
      <w:bookmarkStart w:id="8" w:name="_Hlk70510939"/>
      <w:r w:rsidRPr="00F375E2">
        <w:rPr>
          <w:rFonts w:ascii="Arial" w:hAnsi="Arial" w:cs="Arial"/>
          <w:color w:val="000000" w:themeColor="text1"/>
          <w:sz w:val="22"/>
          <w:szCs w:val="22"/>
          <w:lang w:val="es-ES_tradnl"/>
        </w:rPr>
        <w:br w:type="page"/>
      </w:r>
    </w:p>
    <w:p w14:paraId="7F4CCF68" w14:textId="40BDD605" w:rsidR="006A13BE" w:rsidRDefault="006A13BE" w:rsidP="000164B2">
      <w:pPr>
        <w:spacing w:before="120"/>
        <w:jc w:val="both"/>
        <w:rPr>
          <w:rFonts w:ascii="Arial" w:hAnsi="Arial" w:cs="Arial"/>
          <w:color w:val="000000" w:themeColor="text1"/>
          <w:sz w:val="22"/>
          <w:szCs w:val="22"/>
          <w:lang w:val="es-ES_tradnl"/>
        </w:rPr>
      </w:pPr>
    </w:p>
    <w:p w14:paraId="4DC866CA" w14:textId="33D3DE11" w:rsidR="006A13BE" w:rsidRDefault="006A13BE" w:rsidP="006A13BE">
      <w:pPr>
        <w:spacing w:before="120"/>
        <w:jc w:val="right"/>
        <w:rPr>
          <w:rFonts w:ascii="Arial" w:hAnsi="Arial" w:cs="Arial"/>
          <w:color w:val="000000" w:themeColor="text1"/>
          <w:sz w:val="22"/>
          <w:szCs w:val="22"/>
          <w:lang w:val="es-ES_tradnl"/>
        </w:rPr>
      </w:pPr>
      <w:r>
        <w:rPr>
          <w:noProof/>
        </w:rPr>
        <w:drawing>
          <wp:inline distT="0" distB="0" distL="0" distR="0" wp14:anchorId="2B95C820" wp14:editId="31562D32">
            <wp:extent cx="3114675" cy="8096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2587" t="58563" r="11913" b="15778"/>
                    <a:stretch/>
                  </pic:blipFill>
                  <pic:spPr bwMode="auto">
                    <a:xfrm>
                      <a:off x="0" y="0"/>
                      <a:ext cx="3114675" cy="809625"/>
                    </a:xfrm>
                    <a:prstGeom prst="rect">
                      <a:avLst/>
                    </a:prstGeom>
                    <a:ln>
                      <a:noFill/>
                    </a:ln>
                    <a:extLst>
                      <a:ext uri="{53640926-AAD7-44D8-BBD7-CCE9431645EC}">
                        <a14:shadowObscured xmlns:a14="http://schemas.microsoft.com/office/drawing/2010/main"/>
                      </a:ext>
                    </a:extLst>
                  </pic:spPr>
                </pic:pic>
              </a:graphicData>
            </a:graphic>
          </wp:inline>
        </w:drawing>
      </w:r>
    </w:p>
    <w:p w14:paraId="127326CC" w14:textId="77777777" w:rsidR="000847E8" w:rsidRDefault="000847E8" w:rsidP="000847E8">
      <w:pPr>
        <w:spacing w:before="120"/>
        <w:jc w:val="both"/>
        <w:rPr>
          <w:rFonts w:ascii="Arial" w:hAnsi="Arial" w:cs="Arial"/>
          <w:color w:val="000000" w:themeColor="text1"/>
          <w:sz w:val="22"/>
          <w:szCs w:val="22"/>
          <w:lang w:val="es-ES_tradnl"/>
        </w:rPr>
      </w:pPr>
    </w:p>
    <w:p w14:paraId="1025873F" w14:textId="54F69306" w:rsidR="000847E8" w:rsidRDefault="000847E8" w:rsidP="000847E8">
      <w:pPr>
        <w:spacing w:before="120"/>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Bogotá, 12 mayo 2022</w:t>
      </w:r>
    </w:p>
    <w:p w14:paraId="38D9A1EB" w14:textId="77777777" w:rsidR="000847E8" w:rsidRDefault="000847E8" w:rsidP="000164B2">
      <w:pPr>
        <w:spacing w:before="120"/>
        <w:jc w:val="both"/>
        <w:rPr>
          <w:rFonts w:ascii="Arial" w:hAnsi="Arial" w:cs="Arial"/>
          <w:color w:val="000000" w:themeColor="text1"/>
          <w:sz w:val="22"/>
          <w:szCs w:val="22"/>
          <w:lang w:val="es-ES_tradnl"/>
        </w:rPr>
      </w:pPr>
    </w:p>
    <w:p w14:paraId="6E444D61" w14:textId="55E7CE13" w:rsidR="00E54365" w:rsidRPr="00F375E2" w:rsidRDefault="00E54365" w:rsidP="000164B2">
      <w:pPr>
        <w:spacing w:before="120"/>
        <w:jc w:val="both"/>
        <w:rPr>
          <w:rFonts w:ascii="Arial" w:hAnsi="Arial" w:cs="Arial"/>
          <w:color w:val="000000" w:themeColor="text1"/>
          <w:sz w:val="22"/>
          <w:szCs w:val="22"/>
          <w:lang w:val="es-ES_tradnl"/>
        </w:rPr>
      </w:pPr>
      <w:r w:rsidRPr="00F375E2">
        <w:rPr>
          <w:rFonts w:ascii="Arial" w:hAnsi="Arial" w:cs="Arial"/>
          <w:color w:val="000000" w:themeColor="text1"/>
          <w:sz w:val="22"/>
          <w:szCs w:val="22"/>
          <w:lang w:val="es-ES_tradnl"/>
        </w:rPr>
        <w:t>Señor</w:t>
      </w:r>
    </w:p>
    <w:p w14:paraId="12F5A1EE" w14:textId="34A830C7" w:rsidR="00DB7DAF" w:rsidRPr="00F375E2" w:rsidRDefault="00DB7DAF" w:rsidP="000164B2">
      <w:pPr>
        <w:rPr>
          <w:rFonts w:ascii="Arial" w:hAnsi="Arial" w:cs="Arial"/>
          <w:b/>
          <w:color w:val="000000" w:themeColor="text1"/>
          <w:sz w:val="22"/>
          <w:szCs w:val="22"/>
          <w:lang w:val="es-ES_tradnl"/>
        </w:rPr>
      </w:pPr>
      <w:r w:rsidRPr="00F375E2">
        <w:rPr>
          <w:rFonts w:ascii="Arial" w:hAnsi="Arial" w:cs="Arial"/>
          <w:b/>
          <w:color w:val="000000" w:themeColor="text1"/>
          <w:sz w:val="22"/>
          <w:szCs w:val="22"/>
          <w:lang w:val="es-ES_tradnl"/>
        </w:rPr>
        <w:t>John Eduar Noguera Urbano</w:t>
      </w:r>
    </w:p>
    <w:p w14:paraId="207B3DB4" w14:textId="137CEB59" w:rsidR="00C64E43" w:rsidRPr="00F375E2" w:rsidRDefault="005B7143" w:rsidP="0022167B">
      <w:pPr>
        <w:rPr>
          <w:rFonts w:ascii="Arial" w:hAnsi="Arial" w:cs="Arial"/>
          <w:bCs/>
          <w:color w:val="000000" w:themeColor="text1"/>
          <w:sz w:val="22"/>
          <w:szCs w:val="22"/>
          <w:lang w:val="es-ES_tradnl"/>
        </w:rPr>
      </w:pPr>
      <w:r w:rsidRPr="00F375E2">
        <w:rPr>
          <w:rFonts w:ascii="Arial" w:hAnsi="Arial" w:cs="Arial"/>
          <w:bCs/>
          <w:color w:val="000000" w:themeColor="text1"/>
          <w:sz w:val="22"/>
          <w:szCs w:val="22"/>
          <w:lang w:val="es-ES_tradnl"/>
        </w:rPr>
        <w:t>Popayán</w:t>
      </w:r>
      <w:r w:rsidR="005D5AC2" w:rsidRPr="00F375E2">
        <w:rPr>
          <w:rFonts w:ascii="Arial" w:hAnsi="Arial" w:cs="Arial"/>
          <w:bCs/>
          <w:color w:val="000000" w:themeColor="text1"/>
          <w:sz w:val="22"/>
          <w:szCs w:val="22"/>
          <w:lang w:val="es-ES_tradnl"/>
        </w:rPr>
        <w:t>, Cauca</w:t>
      </w:r>
    </w:p>
    <w:p w14:paraId="462F7397" w14:textId="77777777" w:rsidR="0076432E" w:rsidRPr="00F375E2" w:rsidRDefault="0076432E" w:rsidP="0022167B">
      <w:pPr>
        <w:ind w:left="2124" w:firstLine="708"/>
        <w:rPr>
          <w:rFonts w:ascii="Arial" w:hAnsi="Arial" w:cs="Arial"/>
          <w:b/>
          <w:bCs/>
          <w:color w:val="000000" w:themeColor="text1"/>
          <w:sz w:val="22"/>
          <w:szCs w:val="22"/>
          <w:lang w:val="es-ES_tradnl"/>
        </w:rPr>
      </w:pPr>
    </w:p>
    <w:p w14:paraId="485E729F" w14:textId="77777777" w:rsidR="00E034F0" w:rsidRPr="00F375E2" w:rsidRDefault="00E034F0" w:rsidP="0022167B">
      <w:pPr>
        <w:ind w:left="2124" w:firstLine="708"/>
        <w:rPr>
          <w:rFonts w:ascii="Arial" w:hAnsi="Arial" w:cs="Arial"/>
          <w:b/>
          <w:bCs/>
          <w:color w:val="000000" w:themeColor="text1"/>
          <w:sz w:val="22"/>
          <w:szCs w:val="22"/>
          <w:lang w:val="es-ES_tradnl"/>
        </w:rPr>
      </w:pPr>
    </w:p>
    <w:p w14:paraId="17BA6817" w14:textId="7F505875" w:rsidR="00E54365" w:rsidRPr="00F375E2" w:rsidRDefault="00E54365" w:rsidP="0022167B">
      <w:pPr>
        <w:ind w:left="2124" w:firstLine="708"/>
        <w:rPr>
          <w:rFonts w:ascii="Arial" w:hAnsi="Arial" w:cs="Arial"/>
          <w:b/>
          <w:bCs/>
          <w:color w:val="000000" w:themeColor="text1"/>
          <w:sz w:val="22"/>
          <w:szCs w:val="22"/>
          <w:lang w:val="es-ES_tradnl"/>
        </w:rPr>
      </w:pPr>
      <w:r w:rsidRPr="00F375E2">
        <w:rPr>
          <w:rFonts w:ascii="Arial" w:hAnsi="Arial" w:cs="Arial"/>
          <w:b/>
          <w:bCs/>
          <w:color w:val="000000" w:themeColor="text1"/>
          <w:sz w:val="22"/>
          <w:szCs w:val="22"/>
          <w:lang w:val="es-ES_tradnl"/>
        </w:rPr>
        <w:t>Concepto</w:t>
      </w:r>
      <w:r w:rsidR="006559E3" w:rsidRPr="00F375E2">
        <w:rPr>
          <w:rFonts w:ascii="Arial" w:hAnsi="Arial" w:cs="Arial"/>
          <w:b/>
          <w:bCs/>
          <w:color w:val="000000" w:themeColor="text1"/>
          <w:sz w:val="22"/>
          <w:szCs w:val="22"/>
          <w:lang w:val="es-ES_tradnl"/>
        </w:rPr>
        <w:t xml:space="preserve"> </w:t>
      </w:r>
      <w:r w:rsidRPr="00F375E2">
        <w:rPr>
          <w:rFonts w:ascii="Arial" w:hAnsi="Arial" w:cs="Arial"/>
          <w:b/>
          <w:bCs/>
          <w:color w:val="000000" w:themeColor="text1"/>
          <w:sz w:val="22"/>
          <w:szCs w:val="22"/>
          <w:lang w:val="es-ES_tradnl"/>
        </w:rPr>
        <w:t>C</w:t>
      </w:r>
      <w:r w:rsidR="00766A70" w:rsidRPr="00F375E2">
        <w:rPr>
          <w:rFonts w:ascii="Arial" w:hAnsi="Arial" w:cs="Arial"/>
          <w:b/>
          <w:bCs/>
          <w:color w:val="000000" w:themeColor="text1"/>
          <w:sz w:val="22"/>
          <w:szCs w:val="22"/>
          <w:lang w:val="es-ES_tradnl"/>
        </w:rPr>
        <w:t xml:space="preserve"> </w:t>
      </w:r>
      <w:r w:rsidR="00BA61CC" w:rsidRPr="00F375E2">
        <w:rPr>
          <w:rFonts w:ascii="Arial" w:eastAsia="Calibri" w:hAnsi="Arial" w:cs="Arial"/>
          <w:b/>
          <w:color w:val="000000" w:themeColor="text1"/>
          <w:sz w:val="22"/>
          <w:szCs w:val="22"/>
          <w:lang w:val="es-ES_tradnl"/>
        </w:rPr>
        <w:t>‒</w:t>
      </w:r>
      <w:r w:rsidR="00BA61CC" w:rsidRPr="00F375E2">
        <w:rPr>
          <w:rFonts w:ascii="Arial" w:hAnsi="Arial" w:cs="Arial"/>
          <w:b/>
          <w:bCs/>
          <w:color w:val="000000" w:themeColor="text1"/>
          <w:sz w:val="22"/>
          <w:szCs w:val="22"/>
          <w:lang w:val="es-ES_tradnl"/>
        </w:rPr>
        <w:t xml:space="preserve"> </w:t>
      </w:r>
      <w:r w:rsidR="00EE050B" w:rsidRPr="00F375E2">
        <w:rPr>
          <w:rFonts w:ascii="Arial" w:hAnsi="Arial" w:cs="Arial"/>
          <w:b/>
          <w:bCs/>
          <w:color w:val="000000" w:themeColor="text1"/>
          <w:sz w:val="22"/>
          <w:szCs w:val="22"/>
          <w:lang w:val="es-ES_tradnl"/>
        </w:rPr>
        <w:t>264</w:t>
      </w:r>
      <w:r w:rsidR="00423405" w:rsidRPr="00F375E2">
        <w:rPr>
          <w:rFonts w:ascii="Arial" w:hAnsi="Arial" w:cs="Arial"/>
          <w:b/>
          <w:bCs/>
          <w:color w:val="000000" w:themeColor="text1"/>
          <w:sz w:val="22"/>
          <w:szCs w:val="22"/>
          <w:lang w:val="es-ES_tradnl"/>
        </w:rPr>
        <w:t xml:space="preserve"> de 2022</w:t>
      </w:r>
    </w:p>
    <w:p w14:paraId="3C57C781" w14:textId="77777777" w:rsidR="00FE4C26" w:rsidRPr="00F375E2" w:rsidRDefault="00FE4C26" w:rsidP="0022167B">
      <w:pPr>
        <w:ind w:left="2824" w:hanging="2818"/>
        <w:jc w:val="both"/>
        <w:rPr>
          <w:rFonts w:ascii="Arial" w:eastAsia="Calibri" w:hAnsi="Arial" w:cs="Arial"/>
          <w:b/>
          <w:noProof/>
          <w:color w:val="000000" w:themeColor="text1"/>
          <w:sz w:val="22"/>
          <w:szCs w:val="22"/>
          <w:lang w:val="es-ES_tradnl" w:eastAsia="en-US"/>
        </w:rPr>
      </w:pPr>
    </w:p>
    <w:p w14:paraId="2795527E" w14:textId="070793D3" w:rsidR="00160CB0" w:rsidRPr="00F375E2" w:rsidRDefault="00E54365" w:rsidP="0022167B">
      <w:pPr>
        <w:ind w:left="2824" w:hanging="2818"/>
        <w:jc w:val="both"/>
        <w:rPr>
          <w:rFonts w:ascii="Arial" w:eastAsia="Calibri" w:hAnsi="Arial" w:cs="Arial"/>
          <w:bCs/>
          <w:color w:val="000000" w:themeColor="text1"/>
          <w:sz w:val="22"/>
          <w:szCs w:val="22"/>
          <w:lang w:val="es-MX"/>
        </w:rPr>
      </w:pPr>
      <w:r w:rsidRPr="00F375E2">
        <w:rPr>
          <w:rFonts w:ascii="Arial" w:eastAsia="Calibri" w:hAnsi="Arial" w:cs="Arial"/>
          <w:b/>
          <w:noProof/>
          <w:color w:val="000000" w:themeColor="text1"/>
          <w:sz w:val="22"/>
          <w:szCs w:val="22"/>
          <w:lang w:val="es-ES_tradnl" w:eastAsia="en-US"/>
        </w:rPr>
        <w:t>Temas</w:t>
      </w:r>
      <w:r w:rsidRPr="00F375E2">
        <w:rPr>
          <w:rFonts w:ascii="Arial" w:eastAsia="Calibri" w:hAnsi="Arial" w:cs="Arial"/>
          <w:bCs/>
          <w:noProof/>
          <w:color w:val="000000" w:themeColor="text1"/>
          <w:sz w:val="22"/>
          <w:szCs w:val="22"/>
          <w:lang w:val="es-ES_tradnl" w:eastAsia="en-US"/>
        </w:rPr>
        <w:t xml:space="preserve">: </w:t>
      </w:r>
      <w:r w:rsidRPr="00F375E2">
        <w:rPr>
          <w:rFonts w:ascii="Arial" w:eastAsia="Calibri" w:hAnsi="Arial" w:cs="Arial"/>
          <w:bCs/>
          <w:noProof/>
          <w:color w:val="000000" w:themeColor="text1"/>
          <w:sz w:val="22"/>
          <w:szCs w:val="22"/>
          <w:lang w:val="es-ES_tradnl" w:eastAsia="en-US"/>
        </w:rPr>
        <w:tab/>
      </w:r>
      <w:r w:rsidR="008B5BDA" w:rsidRPr="00F375E2">
        <w:rPr>
          <w:rFonts w:ascii="Arial" w:eastAsia="Calibri" w:hAnsi="Arial" w:cs="Arial"/>
          <w:bCs/>
          <w:color w:val="000000" w:themeColor="text1"/>
          <w:sz w:val="22"/>
          <w:szCs w:val="22"/>
          <w:lang w:val="es-ES_tradnl"/>
        </w:rPr>
        <w:t xml:space="preserve">LEY DE GARANTÍAS ELECTORALES ‒ Definición ‒ Finalidad / LEY DE GARANTÍAS ELECTORALES ‒ Prohibición ‒ Contratación directa ‒ Alcance </w:t>
      </w:r>
      <w:r w:rsidR="00423405" w:rsidRPr="00F375E2">
        <w:rPr>
          <w:rFonts w:ascii="Arial" w:eastAsia="Calibri" w:hAnsi="Arial" w:cs="Arial"/>
          <w:bCs/>
          <w:color w:val="000000" w:themeColor="text1"/>
          <w:sz w:val="22"/>
          <w:szCs w:val="22"/>
          <w:lang w:val="es-ES_tradnl"/>
        </w:rPr>
        <w:t>/ LEY DE GARANTÍAS ELECTORALES ‒ Prohibición del artículo 33 ‒ Destinatarios</w:t>
      </w:r>
      <w:r w:rsidR="00BB0864" w:rsidRPr="00F375E2">
        <w:rPr>
          <w:rFonts w:ascii="Arial" w:eastAsia="Calibri" w:hAnsi="Arial" w:cs="Arial"/>
          <w:bCs/>
          <w:color w:val="000000" w:themeColor="text1"/>
          <w:sz w:val="22"/>
          <w:szCs w:val="22"/>
          <w:lang w:val="es-ES_tradnl"/>
        </w:rPr>
        <w:t>– Excepciones</w:t>
      </w:r>
      <w:r w:rsidR="00423405" w:rsidRPr="00F375E2">
        <w:rPr>
          <w:rFonts w:ascii="Arial" w:eastAsia="Calibri" w:hAnsi="Arial" w:cs="Arial"/>
          <w:bCs/>
          <w:color w:val="000000" w:themeColor="text1"/>
          <w:sz w:val="22"/>
          <w:szCs w:val="22"/>
          <w:lang w:val="es-ES_tradnl"/>
        </w:rPr>
        <w:t xml:space="preserve"> / </w:t>
      </w:r>
      <w:r w:rsidR="00E034F0" w:rsidRPr="00F375E2">
        <w:rPr>
          <w:rFonts w:ascii="Arial" w:eastAsia="Calibri" w:hAnsi="Arial" w:cs="Arial"/>
          <w:bCs/>
          <w:color w:val="000000" w:themeColor="text1"/>
          <w:sz w:val="22"/>
          <w:szCs w:val="22"/>
          <w:lang w:val="es-ES_tradnl"/>
        </w:rPr>
        <w:t xml:space="preserve">LEY DE GARANTÍAS ELECTORALES ‒ Prohibición por elección de cargos populares – Convenios y contratos interadministrativos – Definición – Criterio orgánico </w:t>
      </w:r>
    </w:p>
    <w:p w14:paraId="18EF2AD1" w14:textId="54042E74" w:rsidR="0076432E" w:rsidRPr="00F375E2" w:rsidRDefault="0076432E" w:rsidP="0022167B">
      <w:pPr>
        <w:ind w:left="2824" w:hanging="2818"/>
        <w:jc w:val="both"/>
        <w:rPr>
          <w:rFonts w:ascii="Arial" w:eastAsia="Calibri" w:hAnsi="Arial" w:cs="Arial"/>
          <w:bCs/>
          <w:noProof/>
          <w:color w:val="000000" w:themeColor="text1"/>
          <w:sz w:val="22"/>
          <w:szCs w:val="22"/>
          <w:lang w:val="es-ES_tradnl" w:eastAsia="en-US"/>
        </w:rPr>
      </w:pPr>
    </w:p>
    <w:p w14:paraId="30A873A7" w14:textId="5652A9DC" w:rsidR="00E54365" w:rsidRPr="00F375E2" w:rsidRDefault="00E54365" w:rsidP="0022167B">
      <w:pPr>
        <w:ind w:left="2835" w:hanging="2835"/>
        <w:jc w:val="both"/>
        <w:rPr>
          <w:rFonts w:ascii="Arial" w:eastAsia="Calibri" w:hAnsi="Arial" w:cs="Arial"/>
          <w:bCs/>
          <w:noProof/>
          <w:color w:val="000000" w:themeColor="text1"/>
          <w:sz w:val="22"/>
          <w:szCs w:val="22"/>
          <w:lang w:val="es-ES_tradnl" w:eastAsia="en-US"/>
        </w:rPr>
      </w:pPr>
      <w:r w:rsidRPr="00F375E2">
        <w:rPr>
          <w:rFonts w:ascii="Arial" w:eastAsia="Calibri" w:hAnsi="Arial" w:cs="Arial"/>
          <w:b/>
          <w:noProof/>
          <w:color w:val="000000" w:themeColor="text1"/>
          <w:sz w:val="22"/>
          <w:szCs w:val="22"/>
          <w:lang w:val="es-ES_tradnl" w:eastAsia="en-US"/>
        </w:rPr>
        <w:t>Radicación</w:t>
      </w:r>
      <w:r w:rsidRPr="00F375E2">
        <w:rPr>
          <w:rFonts w:ascii="Arial" w:eastAsia="Calibri" w:hAnsi="Arial" w:cs="Arial"/>
          <w:bCs/>
          <w:noProof/>
          <w:color w:val="000000" w:themeColor="text1"/>
          <w:sz w:val="22"/>
          <w:szCs w:val="22"/>
          <w:lang w:val="es-ES_tradnl" w:eastAsia="en-US"/>
        </w:rPr>
        <w:t>:</w:t>
      </w:r>
      <w:r w:rsidRPr="00F375E2">
        <w:rPr>
          <w:rFonts w:ascii="Arial" w:eastAsia="Calibri" w:hAnsi="Arial" w:cs="Arial"/>
          <w:bCs/>
          <w:noProof/>
          <w:color w:val="000000" w:themeColor="text1"/>
          <w:sz w:val="22"/>
          <w:szCs w:val="22"/>
          <w:lang w:val="es-ES_tradnl" w:eastAsia="en-US"/>
        </w:rPr>
        <w:tab/>
        <w:t>Respuesta a consulta</w:t>
      </w:r>
      <w:r w:rsidR="00FB5E3B" w:rsidRPr="00F375E2">
        <w:rPr>
          <w:rFonts w:ascii="Arial" w:eastAsia="Calibri" w:hAnsi="Arial" w:cs="Arial"/>
          <w:bCs/>
          <w:noProof/>
          <w:color w:val="000000" w:themeColor="text1"/>
          <w:sz w:val="22"/>
          <w:szCs w:val="22"/>
          <w:lang w:val="es-ES_tradnl" w:eastAsia="en-US"/>
        </w:rPr>
        <w:t xml:space="preserve"> </w:t>
      </w:r>
      <w:r w:rsidR="00BC3A5B" w:rsidRPr="00F375E2">
        <w:rPr>
          <w:rFonts w:ascii="Arial" w:eastAsia="Calibri" w:hAnsi="Arial" w:cs="Arial"/>
          <w:bCs/>
          <w:noProof/>
          <w:color w:val="000000" w:themeColor="text1"/>
          <w:sz w:val="22"/>
          <w:szCs w:val="22"/>
          <w:lang w:val="es-ES_tradnl" w:eastAsia="en-US"/>
        </w:rPr>
        <w:t>P20220322002814</w:t>
      </w:r>
    </w:p>
    <w:p w14:paraId="6502F989" w14:textId="77777777" w:rsidR="00C366C4" w:rsidRPr="00F375E2" w:rsidRDefault="00C366C4" w:rsidP="0022167B">
      <w:pPr>
        <w:rPr>
          <w:rFonts w:ascii="Arial" w:hAnsi="Arial" w:cs="Arial"/>
          <w:color w:val="000000" w:themeColor="text1"/>
          <w:sz w:val="22"/>
          <w:szCs w:val="22"/>
          <w:lang w:val="es-ES_tradnl"/>
        </w:rPr>
      </w:pPr>
    </w:p>
    <w:p w14:paraId="430D12B4" w14:textId="77777777" w:rsidR="000502EC" w:rsidRPr="00F375E2" w:rsidRDefault="000502EC" w:rsidP="0022167B">
      <w:pPr>
        <w:rPr>
          <w:rFonts w:ascii="Arial" w:hAnsi="Arial" w:cs="Arial"/>
          <w:color w:val="000000" w:themeColor="text1"/>
          <w:sz w:val="22"/>
          <w:szCs w:val="22"/>
          <w:lang w:val="es-ES_tradnl"/>
        </w:rPr>
      </w:pPr>
    </w:p>
    <w:p w14:paraId="60D2C28E" w14:textId="489AAFD8" w:rsidR="006F56C4" w:rsidRPr="00F375E2" w:rsidRDefault="00E54365" w:rsidP="009D07A2">
      <w:pPr>
        <w:spacing w:before="240"/>
        <w:rPr>
          <w:rFonts w:ascii="Arial" w:hAnsi="Arial" w:cs="Arial"/>
          <w:color w:val="000000" w:themeColor="text1"/>
          <w:sz w:val="22"/>
          <w:szCs w:val="22"/>
          <w:lang w:val="es-ES_tradnl"/>
        </w:rPr>
      </w:pPr>
      <w:r w:rsidRPr="00F375E2">
        <w:rPr>
          <w:rFonts w:ascii="Arial" w:hAnsi="Arial" w:cs="Arial"/>
          <w:color w:val="000000" w:themeColor="text1"/>
          <w:sz w:val="22"/>
          <w:szCs w:val="22"/>
          <w:lang w:val="es-ES_tradnl"/>
        </w:rPr>
        <w:t>Estimad</w:t>
      </w:r>
      <w:r w:rsidR="00DB7DAF" w:rsidRPr="00F375E2">
        <w:rPr>
          <w:rFonts w:ascii="Arial" w:hAnsi="Arial" w:cs="Arial"/>
          <w:color w:val="000000" w:themeColor="text1"/>
          <w:sz w:val="22"/>
          <w:szCs w:val="22"/>
          <w:lang w:val="es-ES_tradnl"/>
        </w:rPr>
        <w:t xml:space="preserve">o </w:t>
      </w:r>
      <w:r w:rsidR="007168C5" w:rsidRPr="00F375E2">
        <w:rPr>
          <w:rFonts w:ascii="Arial" w:hAnsi="Arial" w:cs="Arial"/>
          <w:color w:val="000000" w:themeColor="text1"/>
          <w:sz w:val="22"/>
          <w:szCs w:val="22"/>
          <w:lang w:val="es-ES_tradnl"/>
        </w:rPr>
        <w:t>Señor</w:t>
      </w:r>
      <w:r w:rsidR="00DB7DAF" w:rsidRPr="00F375E2">
        <w:rPr>
          <w:rFonts w:ascii="Arial" w:hAnsi="Arial" w:cs="Arial"/>
          <w:color w:val="000000" w:themeColor="text1"/>
          <w:sz w:val="22"/>
          <w:szCs w:val="22"/>
          <w:lang w:val="es-ES_tradnl"/>
        </w:rPr>
        <w:t xml:space="preserve"> </w:t>
      </w:r>
      <w:r w:rsidR="00DB7DAF" w:rsidRPr="00F375E2">
        <w:rPr>
          <w:rFonts w:ascii="Arial" w:hAnsi="Arial" w:cs="Arial"/>
          <w:bCs/>
          <w:color w:val="000000" w:themeColor="text1"/>
          <w:sz w:val="22"/>
          <w:szCs w:val="22"/>
          <w:lang w:val="es-ES_tradnl"/>
        </w:rPr>
        <w:t>Noguera</w:t>
      </w:r>
      <w:r w:rsidR="007168C5" w:rsidRPr="00F375E2">
        <w:rPr>
          <w:rFonts w:ascii="Arial" w:hAnsi="Arial" w:cs="Arial"/>
          <w:color w:val="000000" w:themeColor="text1"/>
          <w:sz w:val="22"/>
          <w:szCs w:val="22"/>
          <w:lang w:val="es-ES_tradnl"/>
        </w:rPr>
        <w:t xml:space="preserve">, </w:t>
      </w:r>
      <w:r w:rsidR="006D2519" w:rsidRPr="00F375E2">
        <w:rPr>
          <w:rFonts w:ascii="Arial" w:hAnsi="Arial" w:cs="Arial"/>
          <w:color w:val="000000" w:themeColor="text1"/>
          <w:sz w:val="22"/>
          <w:szCs w:val="22"/>
          <w:lang w:val="es-ES_tradnl"/>
        </w:rPr>
        <w:t xml:space="preserve"> </w:t>
      </w:r>
      <w:r w:rsidRPr="00F375E2">
        <w:rPr>
          <w:rFonts w:ascii="Arial" w:hAnsi="Arial" w:cs="Arial"/>
          <w:color w:val="000000" w:themeColor="text1"/>
          <w:sz w:val="22"/>
          <w:szCs w:val="22"/>
          <w:lang w:val="es-ES_tradnl"/>
        </w:rPr>
        <w:t xml:space="preserve"> </w:t>
      </w:r>
    </w:p>
    <w:p w14:paraId="7163A7AF" w14:textId="7158DD23" w:rsidR="00015E80" w:rsidRPr="00F375E2" w:rsidRDefault="00E54365" w:rsidP="009D07A2">
      <w:pPr>
        <w:spacing w:before="240" w:line="276" w:lineRule="auto"/>
        <w:jc w:val="both"/>
        <w:rPr>
          <w:rFonts w:ascii="Arial" w:hAnsi="Arial" w:cs="Arial"/>
          <w:color w:val="000000" w:themeColor="text1"/>
          <w:sz w:val="22"/>
          <w:szCs w:val="22"/>
          <w:lang w:val="es-ES_tradnl"/>
        </w:rPr>
      </w:pPr>
      <w:r w:rsidRPr="00F375E2">
        <w:rPr>
          <w:rFonts w:ascii="Arial" w:hAnsi="Arial" w:cs="Arial"/>
          <w:color w:val="000000" w:themeColor="text1"/>
          <w:sz w:val="22"/>
          <w:szCs w:val="22"/>
          <w:lang w:val="es-ES_tradnl"/>
        </w:rPr>
        <w:t xml:space="preserve">En ejercicio de la competencia otorgada por el numeral 8 del artículo 11 y el numeral 5 del artículo 3 del Decreto Ley 4170 de 2011, la Agencia Nacional de Contratación Pública− Colombia Compra Eficiente responde su consulta </w:t>
      </w:r>
      <w:r w:rsidR="00584D9E" w:rsidRPr="00F375E2">
        <w:rPr>
          <w:rFonts w:ascii="Arial" w:hAnsi="Arial" w:cs="Arial"/>
          <w:color w:val="000000" w:themeColor="text1"/>
          <w:sz w:val="22"/>
          <w:szCs w:val="22"/>
          <w:lang w:val="es-ES_tradnl"/>
        </w:rPr>
        <w:t xml:space="preserve">remitida el </w:t>
      </w:r>
      <w:r w:rsidR="00EA2015" w:rsidRPr="00F375E2">
        <w:rPr>
          <w:rFonts w:ascii="Arial" w:hAnsi="Arial" w:cs="Arial"/>
          <w:color w:val="000000" w:themeColor="text1"/>
          <w:sz w:val="22"/>
          <w:szCs w:val="22"/>
          <w:lang w:val="es-ES_tradnl"/>
        </w:rPr>
        <w:t>2</w:t>
      </w:r>
      <w:r w:rsidR="00C97401" w:rsidRPr="00F375E2">
        <w:rPr>
          <w:rFonts w:ascii="Arial" w:hAnsi="Arial" w:cs="Arial"/>
          <w:color w:val="000000" w:themeColor="text1"/>
          <w:sz w:val="22"/>
          <w:szCs w:val="22"/>
          <w:lang w:val="es-ES_tradnl"/>
        </w:rPr>
        <w:t xml:space="preserve">2 </w:t>
      </w:r>
      <w:r w:rsidR="00EA2015" w:rsidRPr="00F375E2">
        <w:rPr>
          <w:rFonts w:ascii="Arial" w:hAnsi="Arial" w:cs="Arial"/>
          <w:color w:val="000000" w:themeColor="text1"/>
          <w:sz w:val="22"/>
          <w:szCs w:val="22"/>
          <w:lang w:val="es-ES_tradnl"/>
        </w:rPr>
        <w:t xml:space="preserve">de </w:t>
      </w:r>
      <w:r w:rsidR="00C97401" w:rsidRPr="00F375E2">
        <w:rPr>
          <w:rFonts w:ascii="Arial" w:hAnsi="Arial" w:cs="Arial"/>
          <w:color w:val="000000" w:themeColor="text1"/>
          <w:sz w:val="22"/>
          <w:szCs w:val="22"/>
          <w:lang w:val="es-ES_tradnl"/>
        </w:rPr>
        <w:t xml:space="preserve">marzo </w:t>
      </w:r>
      <w:r w:rsidR="00EA2015" w:rsidRPr="00F375E2">
        <w:rPr>
          <w:rFonts w:ascii="Arial" w:hAnsi="Arial" w:cs="Arial"/>
          <w:color w:val="000000" w:themeColor="text1"/>
          <w:sz w:val="22"/>
          <w:szCs w:val="22"/>
          <w:lang w:val="es-ES_tradnl"/>
        </w:rPr>
        <w:t>de 2022</w:t>
      </w:r>
      <w:r w:rsidR="00C97401" w:rsidRPr="00F375E2">
        <w:rPr>
          <w:rFonts w:ascii="Arial" w:hAnsi="Arial" w:cs="Arial"/>
          <w:color w:val="000000" w:themeColor="text1"/>
          <w:sz w:val="22"/>
          <w:szCs w:val="22"/>
          <w:lang w:val="es-ES_tradnl"/>
        </w:rPr>
        <w:t>.</w:t>
      </w:r>
    </w:p>
    <w:p w14:paraId="5834083C" w14:textId="79288897" w:rsidR="00695B70" w:rsidRPr="00F375E2" w:rsidRDefault="00E54365" w:rsidP="009D07A2">
      <w:pPr>
        <w:spacing w:before="240"/>
        <w:rPr>
          <w:rFonts w:ascii="Arial" w:hAnsi="Arial" w:cs="Arial"/>
          <w:b/>
          <w:color w:val="000000" w:themeColor="text1"/>
          <w:sz w:val="22"/>
          <w:szCs w:val="22"/>
          <w:lang w:val="es-ES_tradnl"/>
        </w:rPr>
      </w:pPr>
      <w:r w:rsidRPr="00F375E2">
        <w:rPr>
          <w:rFonts w:ascii="Arial" w:hAnsi="Arial" w:cs="Arial"/>
          <w:b/>
          <w:color w:val="000000" w:themeColor="text1"/>
          <w:sz w:val="22"/>
          <w:szCs w:val="22"/>
          <w:lang w:val="es-ES_tradnl"/>
        </w:rPr>
        <w:t xml:space="preserve">1. Problema planteado </w:t>
      </w:r>
    </w:p>
    <w:p w14:paraId="6275C7F7" w14:textId="230CF2E2" w:rsidR="00F26F3C" w:rsidRPr="00F375E2" w:rsidRDefault="00FB5E3B" w:rsidP="009D07A2">
      <w:pPr>
        <w:spacing w:before="240"/>
        <w:jc w:val="both"/>
        <w:rPr>
          <w:rFonts w:ascii="Arial" w:hAnsi="Arial" w:cs="Arial"/>
          <w:color w:val="000000" w:themeColor="text1"/>
          <w:sz w:val="22"/>
          <w:szCs w:val="22"/>
          <w:lang w:val="es-ES_tradnl"/>
        </w:rPr>
      </w:pPr>
      <w:r w:rsidRPr="00F375E2">
        <w:rPr>
          <w:rFonts w:ascii="Arial" w:hAnsi="Arial" w:cs="Arial"/>
          <w:color w:val="000000" w:themeColor="text1"/>
          <w:sz w:val="22"/>
          <w:szCs w:val="22"/>
          <w:lang w:val="es-ES_tradnl"/>
        </w:rPr>
        <w:t xml:space="preserve">Usted </w:t>
      </w:r>
      <w:r w:rsidR="00EF64D8" w:rsidRPr="00F375E2">
        <w:rPr>
          <w:rFonts w:ascii="Arial" w:hAnsi="Arial" w:cs="Arial"/>
          <w:color w:val="000000" w:themeColor="text1"/>
          <w:sz w:val="22"/>
          <w:szCs w:val="22"/>
          <w:lang w:val="es-ES_tradnl"/>
        </w:rPr>
        <w:t>formula</w:t>
      </w:r>
      <w:r w:rsidRPr="00F375E2">
        <w:rPr>
          <w:rFonts w:ascii="Arial" w:hAnsi="Arial" w:cs="Arial"/>
          <w:color w:val="000000" w:themeColor="text1"/>
          <w:sz w:val="22"/>
          <w:szCs w:val="22"/>
          <w:lang w:val="es-ES_tradnl"/>
        </w:rPr>
        <w:t xml:space="preserve"> la siguiente consulta</w:t>
      </w:r>
      <w:r w:rsidR="00A74544" w:rsidRPr="00F375E2">
        <w:rPr>
          <w:rFonts w:ascii="Arial" w:hAnsi="Arial" w:cs="Arial"/>
          <w:color w:val="000000" w:themeColor="text1"/>
          <w:sz w:val="22"/>
          <w:szCs w:val="22"/>
          <w:lang w:val="es-ES_tradnl"/>
        </w:rPr>
        <w:t>:</w:t>
      </w:r>
      <w:r w:rsidR="00880D11" w:rsidRPr="00F375E2">
        <w:rPr>
          <w:rFonts w:ascii="Arial" w:hAnsi="Arial" w:cs="Arial"/>
          <w:color w:val="000000" w:themeColor="text1"/>
          <w:sz w:val="22"/>
          <w:szCs w:val="22"/>
          <w:lang w:val="es-ES_tradnl"/>
        </w:rPr>
        <w:t xml:space="preserve"> </w:t>
      </w:r>
    </w:p>
    <w:p w14:paraId="161924BE" w14:textId="42CE7C7A" w:rsidR="00DB7DAF" w:rsidRPr="00F375E2" w:rsidRDefault="00B94548" w:rsidP="009D07A2">
      <w:pPr>
        <w:spacing w:before="240"/>
        <w:ind w:left="709" w:right="709"/>
        <w:jc w:val="both"/>
        <w:rPr>
          <w:rFonts w:ascii="Arial" w:hAnsi="Arial" w:cs="Arial"/>
          <w:color w:val="000000" w:themeColor="text1"/>
          <w:sz w:val="21"/>
          <w:szCs w:val="21"/>
          <w:lang w:val="es-ES_tradnl"/>
        </w:rPr>
      </w:pPr>
      <w:r w:rsidRPr="00F375E2">
        <w:rPr>
          <w:rFonts w:ascii="Arial" w:hAnsi="Arial" w:cs="Arial"/>
          <w:color w:val="000000" w:themeColor="text1"/>
          <w:sz w:val="21"/>
          <w:szCs w:val="21"/>
          <w:lang w:val="es-ES_tradnl"/>
        </w:rPr>
        <w:t>«</w:t>
      </w:r>
      <w:r w:rsidR="004B7D5F" w:rsidRPr="00F375E2">
        <w:rPr>
          <w:rFonts w:ascii="Arial" w:hAnsi="Arial" w:cs="Arial"/>
          <w:color w:val="000000" w:themeColor="text1"/>
          <w:sz w:val="21"/>
          <w:szCs w:val="21"/>
          <w:lang w:val="es-ES_tradnl"/>
        </w:rPr>
        <w:t>[…]</w:t>
      </w:r>
      <w:r w:rsidR="00DB7DAF" w:rsidRPr="00F375E2">
        <w:rPr>
          <w:rFonts w:ascii="Arial" w:hAnsi="Arial" w:cs="Arial"/>
          <w:color w:val="000000" w:themeColor="text1"/>
          <w:sz w:val="21"/>
          <w:szCs w:val="21"/>
          <w:lang w:val="es-ES_tradnl"/>
        </w:rPr>
        <w:t xml:space="preserve"> La presente es con el fin de consultar si una entidad territorial en especial el Municipio, puede realizar contratos o convenios con la única empresa social del estado radicada en su territorio, cuyo objeto radicaría en la prestación de servicios de salud a la población pobre, convenio que se financiaría con recursos </w:t>
      </w:r>
      <w:r w:rsidR="00DB7DAF" w:rsidRPr="00F375E2">
        <w:rPr>
          <w:rFonts w:ascii="Arial" w:hAnsi="Arial" w:cs="Arial"/>
          <w:color w:val="000000" w:themeColor="text1"/>
          <w:sz w:val="21"/>
          <w:szCs w:val="21"/>
          <w:lang w:val="es-ES_tradnl"/>
        </w:rPr>
        <w:lastRenderedPageBreak/>
        <w:t>del sistema general de participaciones, en el entendido que actualmente esta en curso la ley de garantías electorales que prohibe tales convenios o contratos interadministrativos entre entidades territoriales hasta el mes de junio de presentarse segunda vuelta para elegir presidente.</w:t>
      </w:r>
    </w:p>
    <w:p w14:paraId="45977BEA" w14:textId="068A2CE4" w:rsidR="00EA4714" w:rsidRPr="00F375E2" w:rsidRDefault="00DB7DAF" w:rsidP="009D07A2">
      <w:pPr>
        <w:spacing w:before="240"/>
        <w:ind w:left="709" w:right="709"/>
        <w:jc w:val="both"/>
        <w:rPr>
          <w:rFonts w:ascii="Arial" w:hAnsi="Arial" w:cs="Arial"/>
          <w:color w:val="000000" w:themeColor="text1"/>
          <w:sz w:val="21"/>
          <w:szCs w:val="21"/>
          <w:lang w:val="es-ES_tradnl"/>
        </w:rPr>
      </w:pPr>
      <w:proofErr w:type="gramStart"/>
      <w:r w:rsidRPr="00F375E2">
        <w:rPr>
          <w:rFonts w:ascii="Arial" w:hAnsi="Arial" w:cs="Arial"/>
          <w:color w:val="000000" w:themeColor="text1"/>
          <w:sz w:val="21"/>
          <w:szCs w:val="21"/>
          <w:lang w:val="es-ES_tradnl"/>
        </w:rPr>
        <w:t xml:space="preserve">Sabemos que la excepción a la aplicación de la ley de garantías se presenta en las entidades de salud, pero no es claro cuando quien tiene que adelantar el convenio o contrato </w:t>
      </w:r>
      <w:r w:rsidR="00966479" w:rsidRPr="00F375E2">
        <w:rPr>
          <w:rFonts w:ascii="Arial" w:hAnsi="Arial" w:cs="Arial"/>
          <w:color w:val="000000" w:themeColor="text1"/>
          <w:sz w:val="21"/>
          <w:szCs w:val="21"/>
          <w:lang w:val="es-ES_tradnl"/>
        </w:rPr>
        <w:t>interadministrativo</w:t>
      </w:r>
      <w:r w:rsidRPr="00F375E2">
        <w:rPr>
          <w:rFonts w:ascii="Arial" w:hAnsi="Arial" w:cs="Arial"/>
          <w:color w:val="000000" w:themeColor="text1"/>
          <w:sz w:val="21"/>
          <w:szCs w:val="21"/>
          <w:lang w:val="es-ES_tradnl"/>
        </w:rPr>
        <w:t xml:space="preserve"> es El Municipio, también gozaría de tal excepción?</w:t>
      </w:r>
      <w:proofErr w:type="gramEnd"/>
      <w:r w:rsidRPr="00F375E2">
        <w:rPr>
          <w:rFonts w:ascii="Arial" w:hAnsi="Arial" w:cs="Arial"/>
          <w:color w:val="000000" w:themeColor="text1"/>
          <w:sz w:val="21"/>
          <w:szCs w:val="21"/>
          <w:lang w:val="es-ES_tradnl"/>
        </w:rPr>
        <w:t>, por tratarse de un convenio para prestara servicios de salud a una población que lo requiere, sin tener que esperar a que pasen las elecciones</w:t>
      </w:r>
      <w:r w:rsidR="00074D1E" w:rsidRPr="00F375E2">
        <w:rPr>
          <w:rFonts w:ascii="Arial" w:hAnsi="Arial" w:cs="Arial"/>
          <w:color w:val="000000" w:themeColor="text1"/>
          <w:sz w:val="21"/>
          <w:szCs w:val="21"/>
          <w:lang w:val="es-ES_tradnl"/>
        </w:rPr>
        <w:t>»</w:t>
      </w:r>
      <w:r w:rsidR="00DD5A52" w:rsidRPr="00F375E2">
        <w:rPr>
          <w:rFonts w:ascii="Arial" w:hAnsi="Arial" w:cs="Arial"/>
          <w:color w:val="000000" w:themeColor="text1"/>
          <w:sz w:val="21"/>
          <w:szCs w:val="21"/>
          <w:lang w:val="es-ES_tradnl"/>
        </w:rPr>
        <w:t>.</w:t>
      </w:r>
    </w:p>
    <w:p w14:paraId="48BDC962" w14:textId="7DE8CEC3" w:rsidR="00A91BEA" w:rsidRPr="00F375E2" w:rsidRDefault="00E54365" w:rsidP="009D07A2">
      <w:pPr>
        <w:spacing w:before="240"/>
        <w:rPr>
          <w:rFonts w:ascii="Arial" w:hAnsi="Arial" w:cs="Arial"/>
          <w:b/>
          <w:color w:val="000000" w:themeColor="text1"/>
          <w:sz w:val="22"/>
          <w:szCs w:val="22"/>
          <w:lang w:val="es-ES_tradnl"/>
        </w:rPr>
      </w:pPr>
      <w:r w:rsidRPr="00F375E2">
        <w:rPr>
          <w:rFonts w:ascii="Arial" w:hAnsi="Arial" w:cs="Arial"/>
          <w:b/>
          <w:color w:val="000000" w:themeColor="text1"/>
          <w:sz w:val="22"/>
          <w:szCs w:val="22"/>
          <w:lang w:val="es-ES_tradnl"/>
        </w:rPr>
        <w:t xml:space="preserve">2. Consideraciones </w:t>
      </w:r>
    </w:p>
    <w:p w14:paraId="0E7E83E0" w14:textId="675107EC" w:rsidR="00504A42" w:rsidRPr="00F375E2" w:rsidRDefault="0032144D" w:rsidP="009D07A2">
      <w:pPr>
        <w:tabs>
          <w:tab w:val="left" w:pos="426"/>
        </w:tabs>
        <w:spacing w:before="240" w:line="276" w:lineRule="auto"/>
        <w:jc w:val="both"/>
        <w:rPr>
          <w:rFonts w:ascii="Arial" w:hAnsi="Arial" w:cs="Arial"/>
          <w:bCs/>
          <w:color w:val="000000" w:themeColor="text1"/>
          <w:sz w:val="22"/>
        </w:rPr>
      </w:pPr>
      <w:r w:rsidRPr="00F375E2">
        <w:rPr>
          <w:rFonts w:ascii="Arial" w:hAnsi="Arial" w:cs="Arial"/>
          <w:color w:val="000000" w:themeColor="text1"/>
          <w:sz w:val="22"/>
          <w:lang w:val="es-ES"/>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F375E2">
        <w:rPr>
          <w:rFonts w:ascii="Arial" w:hAnsi="Arial" w:cs="Arial"/>
          <w:bCs/>
          <w:color w:val="000000" w:themeColor="text1"/>
          <w:sz w:val="22"/>
        </w:rPr>
        <w:t xml:space="preserve"> de todos los partícipes de la contratación estatal.</w:t>
      </w:r>
    </w:p>
    <w:p w14:paraId="66A08A34" w14:textId="03DE9ECB" w:rsidR="00FD2088" w:rsidRPr="00F375E2" w:rsidRDefault="0032144D" w:rsidP="009D07A2">
      <w:pPr>
        <w:spacing w:before="240" w:line="276" w:lineRule="auto"/>
        <w:ind w:firstLine="709"/>
        <w:jc w:val="both"/>
        <w:rPr>
          <w:rFonts w:ascii="Arial" w:eastAsia="Calibri" w:hAnsi="Arial" w:cs="Arial"/>
          <w:color w:val="000000" w:themeColor="text1"/>
          <w:sz w:val="22"/>
          <w:szCs w:val="22"/>
          <w:lang w:val="es-ES_tradnl"/>
        </w:rPr>
      </w:pPr>
      <w:r w:rsidRPr="00F375E2">
        <w:rPr>
          <w:rFonts w:ascii="Arial" w:hAnsi="Arial" w:cs="Arial"/>
          <w:color w:val="000000" w:themeColor="text1"/>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F375E2">
        <w:rPr>
          <w:rStyle w:val="Refdenotaalpie"/>
          <w:rFonts w:ascii="Arial" w:hAnsi="Arial" w:cs="Arial"/>
          <w:color w:val="000000" w:themeColor="text1"/>
          <w:sz w:val="22"/>
          <w:lang w:val="es-ES"/>
        </w:rPr>
        <w:footnoteReference w:id="1"/>
      </w:r>
      <w:r w:rsidRPr="00F375E2">
        <w:rPr>
          <w:rFonts w:ascii="Arial" w:hAnsi="Arial" w:cs="Arial"/>
          <w:color w:val="000000" w:themeColor="text1"/>
          <w:sz w:val="22"/>
          <w:lang w:val="es-ES"/>
        </w:rPr>
        <w:t>.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 razón por la cual, corresponde cada entidad estatal definir la viabilidad técnica, jurídica y financiera de celebrar determinado negocio jurídico en específico.</w:t>
      </w:r>
    </w:p>
    <w:p w14:paraId="572FEBDA" w14:textId="79D8BA29" w:rsidR="007C0AB3" w:rsidRPr="00F375E2" w:rsidRDefault="00554A77" w:rsidP="009D07A2">
      <w:pPr>
        <w:tabs>
          <w:tab w:val="left" w:pos="426"/>
        </w:tabs>
        <w:spacing w:before="240" w:line="276" w:lineRule="auto"/>
        <w:ind w:firstLine="709"/>
        <w:jc w:val="both"/>
        <w:rPr>
          <w:rFonts w:ascii="Arial" w:hAnsi="Arial" w:cs="Arial"/>
          <w:color w:val="000000" w:themeColor="text1"/>
          <w:sz w:val="22"/>
          <w:szCs w:val="22"/>
          <w:lang w:val="es-ES_tradnl"/>
        </w:rPr>
      </w:pPr>
      <w:r w:rsidRPr="00F375E2">
        <w:rPr>
          <w:rFonts w:ascii="Arial" w:eastAsia="Calibri" w:hAnsi="Arial" w:cs="Arial"/>
          <w:color w:val="000000" w:themeColor="text1"/>
          <w:sz w:val="22"/>
          <w:szCs w:val="22"/>
          <w:lang w:val="es-ES_tradnl"/>
        </w:rPr>
        <w:t xml:space="preserve">Es </w:t>
      </w:r>
      <w:r w:rsidR="00A91BEA" w:rsidRPr="00F375E2">
        <w:rPr>
          <w:rFonts w:ascii="Arial" w:eastAsia="Calibri" w:hAnsi="Arial" w:cs="Arial"/>
          <w:color w:val="000000" w:themeColor="text1"/>
          <w:sz w:val="22"/>
          <w:szCs w:val="22"/>
          <w:lang w:val="es-ES_tradnl"/>
        </w:rPr>
        <w:t>preciso advertir que los conceptos contienen la posición hermenéutica de la Subdirección de Gestión Contractual</w:t>
      </w:r>
      <w:r w:rsidR="001041A9" w:rsidRPr="00F375E2">
        <w:rPr>
          <w:rFonts w:ascii="Arial" w:eastAsia="Calibri" w:hAnsi="Arial" w:cs="Arial"/>
          <w:color w:val="000000" w:themeColor="text1"/>
          <w:sz w:val="22"/>
          <w:szCs w:val="22"/>
          <w:lang w:val="es-ES_tradnl"/>
        </w:rPr>
        <w:t>,</w:t>
      </w:r>
      <w:r w:rsidR="00A91BEA" w:rsidRPr="00F375E2">
        <w:rPr>
          <w:rFonts w:ascii="Arial" w:eastAsia="Calibri" w:hAnsi="Arial" w:cs="Arial"/>
          <w:color w:val="000000" w:themeColor="text1"/>
          <w:sz w:val="22"/>
          <w:szCs w:val="22"/>
          <w:lang w:val="es-ES_tradnl"/>
        </w:rPr>
        <w:t xml:space="preserve"> en relación con determinado aspecto del ordenamiento jurídico. Esta competencia de interpretación de normas generales, por </w:t>
      </w:r>
      <w:r w:rsidR="00A91BEA" w:rsidRPr="00F375E2">
        <w:rPr>
          <w:rFonts w:ascii="Arial" w:eastAsia="Calibri" w:hAnsi="Arial" w:cs="Arial"/>
          <w:color w:val="000000" w:themeColor="text1"/>
          <w:sz w:val="22"/>
          <w:szCs w:val="22"/>
          <w:lang w:val="es-ES_tradnl"/>
        </w:rPr>
        <w:lastRenderedPageBreak/>
        <w:t xml:space="preserve">definición, no puede extenderse a la resolución de controversias, ni a brindar asesorías sobre casos puntuales. En otras palabras, los conceptos de esta Agencia tienen como objeto la interpretación de normas de carácter general, esto es, del ordenamiento jurídico en abstracto, no la resolución de controversias o la asesoría para casos concretos, de acuerdo con lo indicado respecto a las normas que otorgan competencia consultiva a esta Subdirección. Además, no son vinculantes o </w:t>
      </w:r>
      <w:r w:rsidRPr="00F375E2">
        <w:rPr>
          <w:rFonts w:ascii="Arial" w:eastAsia="Arial" w:hAnsi="Arial" w:cs="Arial"/>
          <w:color w:val="000000" w:themeColor="text1"/>
          <w:sz w:val="22"/>
          <w:szCs w:val="22"/>
          <w:lang w:val="es-ES_tradnl"/>
        </w:rPr>
        <w:t>de obligatorio cumplimiento para el destinatario, sino que expresan la posición interpretativa del ente que elabora el concepto.</w:t>
      </w:r>
    </w:p>
    <w:p w14:paraId="0D66D14D" w14:textId="2AA9D6F5" w:rsidR="00565AA1" w:rsidRPr="00F375E2" w:rsidRDefault="00075FA6" w:rsidP="009D07A2">
      <w:pPr>
        <w:tabs>
          <w:tab w:val="left" w:pos="426"/>
        </w:tabs>
        <w:spacing w:before="240" w:line="276" w:lineRule="auto"/>
        <w:ind w:firstLine="709"/>
        <w:jc w:val="both"/>
        <w:rPr>
          <w:rFonts w:ascii="Arial" w:eastAsia="Calibri" w:hAnsi="Arial" w:cs="Arial"/>
          <w:color w:val="000000" w:themeColor="text1"/>
          <w:sz w:val="22"/>
          <w:szCs w:val="22"/>
          <w:lang w:val="es-ES_tradnl"/>
        </w:rPr>
      </w:pPr>
      <w:r w:rsidRPr="00F375E2">
        <w:rPr>
          <w:rFonts w:ascii="Arial" w:eastAsia="Calibri" w:hAnsi="Arial" w:cs="Arial"/>
          <w:color w:val="000000" w:themeColor="text1"/>
          <w:sz w:val="22"/>
          <w:szCs w:val="22"/>
          <w:lang w:val="es-ES_tradnl"/>
        </w:rPr>
        <w:t>Teniendo en cuenta las precisiones anteriores, l</w:t>
      </w:r>
      <w:r w:rsidR="00B16829" w:rsidRPr="00F375E2">
        <w:rPr>
          <w:rFonts w:ascii="Arial" w:eastAsia="Calibri" w:hAnsi="Arial" w:cs="Arial"/>
          <w:color w:val="000000" w:themeColor="text1"/>
          <w:sz w:val="22"/>
          <w:szCs w:val="22"/>
          <w:lang w:val="es-ES_tradnl"/>
        </w:rPr>
        <w:t xml:space="preserve">a Agencia Nacional de Contratación Pública ‒ Colombia Compra Eficiente </w:t>
      </w:r>
      <w:r w:rsidR="00B04E6F" w:rsidRPr="00F375E2">
        <w:rPr>
          <w:rFonts w:ascii="Arial" w:eastAsia="Calibri" w:hAnsi="Arial" w:cs="Arial"/>
          <w:color w:val="000000" w:themeColor="text1"/>
          <w:sz w:val="22"/>
          <w:szCs w:val="22"/>
          <w:lang w:val="es-ES_tradnl"/>
        </w:rPr>
        <w:t>estudió el ámbito de aplicación de la ley 996 de 2005 y la restricción específica contenida en su artículo 33</w:t>
      </w:r>
      <w:r w:rsidR="00B16829" w:rsidRPr="00F375E2">
        <w:rPr>
          <w:rFonts w:ascii="Arial" w:eastAsia="Calibri" w:hAnsi="Arial" w:cs="Arial"/>
          <w:color w:val="000000" w:themeColor="text1"/>
          <w:sz w:val="22"/>
          <w:szCs w:val="22"/>
          <w:lang w:val="es-ES_tradnl"/>
        </w:rPr>
        <w:t>, entre otros</w:t>
      </w:r>
      <w:r w:rsidR="00B04E6F" w:rsidRPr="00F375E2">
        <w:rPr>
          <w:rFonts w:ascii="Arial" w:eastAsia="Calibri" w:hAnsi="Arial" w:cs="Arial"/>
          <w:color w:val="000000" w:themeColor="text1"/>
          <w:sz w:val="22"/>
          <w:szCs w:val="22"/>
          <w:lang w:val="es-ES_tradnl"/>
        </w:rPr>
        <w:t xml:space="preserve"> pronunciamientos</w:t>
      </w:r>
      <w:r w:rsidR="00B16829" w:rsidRPr="00F375E2">
        <w:rPr>
          <w:rFonts w:ascii="Arial" w:eastAsia="Calibri" w:hAnsi="Arial" w:cs="Arial"/>
          <w:color w:val="000000" w:themeColor="text1"/>
          <w:sz w:val="22"/>
          <w:szCs w:val="22"/>
          <w:lang w:val="es-ES_tradnl"/>
        </w:rPr>
        <w:t>, en los conceptos</w:t>
      </w:r>
      <w:r w:rsidR="001A217F" w:rsidRPr="00F375E2">
        <w:rPr>
          <w:rFonts w:ascii="Arial" w:eastAsia="Calibri" w:hAnsi="Arial" w:cs="Arial"/>
          <w:color w:val="000000" w:themeColor="text1"/>
          <w:sz w:val="22"/>
          <w:szCs w:val="22"/>
          <w:lang w:val="es-ES_tradnl"/>
        </w:rPr>
        <w:t>:</w:t>
      </w:r>
      <w:r w:rsidR="00B16829" w:rsidRPr="00F375E2">
        <w:rPr>
          <w:rFonts w:ascii="Arial" w:eastAsia="Calibri" w:hAnsi="Arial" w:cs="Arial"/>
          <w:color w:val="000000" w:themeColor="text1"/>
          <w:sz w:val="22"/>
          <w:szCs w:val="22"/>
          <w:lang w:val="es-ES_tradnl"/>
        </w:rPr>
        <w:t xml:space="preserve"> </w:t>
      </w:r>
      <w:r w:rsidR="00B16829" w:rsidRPr="00F375E2">
        <w:rPr>
          <w:rFonts w:ascii="Arial" w:eastAsia="Arial" w:hAnsi="Arial" w:cs="Arial"/>
          <w:color w:val="000000" w:themeColor="text1"/>
          <w:sz w:val="22"/>
          <w:szCs w:val="22"/>
          <w:lang w:val="es-ES_tradnl"/>
        </w:rPr>
        <w:t xml:space="preserve">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w:t>
      </w:r>
      <w:r w:rsidR="001B6E10" w:rsidRPr="00F375E2">
        <w:rPr>
          <w:rFonts w:ascii="Arial" w:eastAsia="Arial" w:hAnsi="Arial" w:cs="Arial"/>
          <w:color w:val="000000" w:themeColor="text1"/>
          <w:sz w:val="22"/>
          <w:szCs w:val="22"/>
          <w:lang w:val="es-ES_tradnl"/>
        </w:rPr>
        <w:t xml:space="preserve">2201913000009312 del 17 de diciembre de 2019, </w:t>
      </w:r>
      <w:r w:rsidR="00B16829" w:rsidRPr="00F375E2">
        <w:rPr>
          <w:rFonts w:ascii="Arial" w:eastAsia="Calibri" w:hAnsi="Arial" w:cs="Arial"/>
          <w:bCs/>
          <w:color w:val="000000" w:themeColor="text1"/>
          <w:sz w:val="22"/>
          <w:szCs w:val="22"/>
          <w:lang w:val="es-ES_tradnl"/>
        </w:rPr>
        <w:t>C-074 del 17 de marzo de 2021, C-075 del 16 de marzo de 2021, C-227 de 2021 del 5 de mayo de 2021, C-259 del 2 de junio de 2021, C-296 del 22 de junio de 2021, C-337 del 13 de julio de 2021, C-350 del 16 de julio de 2021, C-352 del 27 de julio de 2021, C-374 del 16 de septiembre de 2021, C-381 del 2 de agosto de 2021, C-391 del 11 de agosto de 2021, C-396 del 13 de agosto de 2021, C-401 del 10 de agosto de 2021, C-413 del 17 de agosto de 2021, C-439  del 27 de agosto de 2021, C-456 del 3 de septiembre de 2021, C-481 del 98 de septiembre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C-636 del 16 de noviembre de 2021, C-677 del 4 de diciembre de 2021, C-695 del 22 de diciembre de 2021</w:t>
      </w:r>
      <w:r w:rsidR="001A217F" w:rsidRPr="00F375E2">
        <w:rPr>
          <w:rFonts w:ascii="Arial" w:eastAsia="Calibri" w:hAnsi="Arial" w:cs="Arial"/>
          <w:bCs/>
          <w:color w:val="000000" w:themeColor="text1"/>
          <w:sz w:val="22"/>
          <w:szCs w:val="22"/>
          <w:lang w:val="es-ES_tradnl"/>
        </w:rPr>
        <w:t>,</w:t>
      </w:r>
      <w:r w:rsidR="00B16829" w:rsidRPr="00F375E2">
        <w:rPr>
          <w:rFonts w:ascii="Arial" w:eastAsia="Calibri" w:hAnsi="Arial" w:cs="Arial"/>
          <w:bCs/>
          <w:color w:val="000000" w:themeColor="text1"/>
          <w:sz w:val="22"/>
          <w:szCs w:val="22"/>
          <w:lang w:val="es-ES_tradnl"/>
        </w:rPr>
        <w:t xml:space="preserve"> </w:t>
      </w:r>
      <w:r w:rsidR="00D17985" w:rsidRPr="00F375E2">
        <w:rPr>
          <w:rFonts w:ascii="Arial" w:eastAsia="Calibri" w:hAnsi="Arial" w:cs="Arial"/>
          <w:bCs/>
          <w:color w:val="000000" w:themeColor="text1"/>
          <w:sz w:val="22"/>
        </w:rPr>
        <w:t xml:space="preserve">C-015 del 12 de enero de 2022, C-037 del 21 de enero de 2022, </w:t>
      </w:r>
      <w:r w:rsidR="00D17985" w:rsidRPr="00F375E2">
        <w:rPr>
          <w:rFonts w:ascii="Arial" w:eastAsia="Calibri" w:hAnsi="Arial" w:cs="Arial"/>
          <w:color w:val="000000" w:themeColor="text1"/>
          <w:sz w:val="22"/>
          <w:szCs w:val="22"/>
          <w:lang w:val="es-ES_tradnl"/>
        </w:rPr>
        <w:t xml:space="preserve">C-715 del 21 de enero de 2022, C-718 del 24 de enero de 2022, C-726 del 24 de enero de 2022, </w:t>
      </w:r>
      <w:r w:rsidR="0061796C" w:rsidRPr="00F375E2">
        <w:rPr>
          <w:rFonts w:ascii="Arial" w:eastAsia="Calibri" w:hAnsi="Arial" w:cs="Arial"/>
          <w:color w:val="000000" w:themeColor="text1"/>
          <w:sz w:val="22"/>
          <w:szCs w:val="22"/>
          <w:lang w:val="es-ES_tradnl"/>
        </w:rPr>
        <w:t xml:space="preserve">C-014 de 18 de febrero de 2022, </w:t>
      </w:r>
      <w:r w:rsidR="00D17985" w:rsidRPr="00F375E2">
        <w:rPr>
          <w:rFonts w:ascii="Arial" w:eastAsia="Calibri" w:hAnsi="Arial" w:cs="Arial"/>
          <w:color w:val="000000" w:themeColor="text1"/>
          <w:sz w:val="22"/>
          <w:szCs w:val="22"/>
          <w:lang w:val="es-ES_tradnl"/>
        </w:rPr>
        <w:t xml:space="preserve">C- 023 del 22 de febrero de 2022, </w:t>
      </w:r>
      <w:r w:rsidR="00D17985" w:rsidRPr="00F375E2">
        <w:rPr>
          <w:rFonts w:ascii="Arial" w:eastAsia="Calibri" w:hAnsi="Arial" w:cs="Arial"/>
          <w:bCs/>
          <w:color w:val="000000" w:themeColor="text1"/>
          <w:sz w:val="22"/>
        </w:rPr>
        <w:t>C-107 del 18 de marzo de 2022, C-122 del 18 de marzo de 2022</w:t>
      </w:r>
      <w:r w:rsidR="00337158" w:rsidRPr="00F375E2">
        <w:rPr>
          <w:rFonts w:ascii="Arial" w:eastAsia="Calibri" w:hAnsi="Arial" w:cs="Arial"/>
          <w:bCs/>
          <w:color w:val="000000" w:themeColor="text1"/>
          <w:sz w:val="22"/>
        </w:rPr>
        <w:t xml:space="preserve">, </w:t>
      </w:r>
      <w:r w:rsidR="00D17985" w:rsidRPr="00F375E2">
        <w:rPr>
          <w:rFonts w:ascii="Arial" w:eastAsia="Calibri" w:hAnsi="Arial" w:cs="Arial"/>
          <w:bCs/>
          <w:color w:val="000000" w:themeColor="text1"/>
          <w:sz w:val="22"/>
        </w:rPr>
        <w:t>C-156 del 28 de marzo de 2022</w:t>
      </w:r>
      <w:r w:rsidR="00337158" w:rsidRPr="00F375E2">
        <w:rPr>
          <w:rFonts w:ascii="Arial" w:eastAsia="Calibri" w:hAnsi="Arial" w:cs="Arial"/>
          <w:bCs/>
          <w:color w:val="000000" w:themeColor="text1"/>
          <w:sz w:val="22"/>
        </w:rPr>
        <w:t xml:space="preserve"> y C-183 del 7 de abril de 2022 </w:t>
      </w:r>
      <w:r w:rsidR="00D17985" w:rsidRPr="00F375E2">
        <w:rPr>
          <w:rFonts w:ascii="Arial" w:eastAsia="Calibri" w:hAnsi="Arial" w:cs="Arial"/>
          <w:color w:val="000000" w:themeColor="text1"/>
          <w:sz w:val="22"/>
          <w:szCs w:val="22"/>
          <w:lang w:val="es-ES_tradnl"/>
        </w:rPr>
        <w:t>. La tesis desarrollada en estos conceptos se reitera y complementa a continuación</w:t>
      </w:r>
      <w:r w:rsidR="00FD3E1B" w:rsidRPr="00F375E2">
        <w:rPr>
          <w:rFonts w:ascii="Arial" w:eastAsia="Calibri" w:hAnsi="Arial" w:cs="Arial"/>
          <w:color w:val="000000" w:themeColor="text1"/>
          <w:sz w:val="22"/>
          <w:szCs w:val="22"/>
          <w:lang w:val="es-ES_tradnl"/>
        </w:rPr>
        <w:t>.</w:t>
      </w:r>
      <w:bookmarkStart w:id="9" w:name="_Hlk75783800"/>
    </w:p>
    <w:p w14:paraId="04FBD66A" w14:textId="77777777" w:rsidR="009F290C" w:rsidRPr="00F375E2" w:rsidRDefault="009F290C" w:rsidP="009D07A2">
      <w:pPr>
        <w:spacing w:before="240" w:line="276" w:lineRule="auto"/>
        <w:jc w:val="both"/>
        <w:rPr>
          <w:rFonts w:ascii="Arial" w:eastAsia="Calibri" w:hAnsi="Arial" w:cs="Arial"/>
          <w:b/>
          <w:color w:val="000000" w:themeColor="text1"/>
          <w:sz w:val="22"/>
          <w:szCs w:val="22"/>
          <w:lang w:val="es-ES_tradnl"/>
        </w:rPr>
      </w:pPr>
      <w:r w:rsidRPr="00F375E2">
        <w:rPr>
          <w:rFonts w:ascii="Arial" w:eastAsia="Calibri" w:hAnsi="Arial" w:cs="Arial"/>
          <w:b/>
          <w:color w:val="000000" w:themeColor="text1"/>
          <w:sz w:val="22"/>
          <w:szCs w:val="22"/>
          <w:lang w:val="es-ES_tradnl"/>
        </w:rPr>
        <w:t xml:space="preserve">2.1. Definición y finalidad de la Ley de Garantías Electorales: alcance de las restricciones </w:t>
      </w:r>
    </w:p>
    <w:p w14:paraId="3F5FAF13" w14:textId="77777777" w:rsidR="00960E56" w:rsidRPr="00F375E2" w:rsidRDefault="00960E56" w:rsidP="009D07A2">
      <w:pPr>
        <w:tabs>
          <w:tab w:val="left" w:pos="426"/>
        </w:tabs>
        <w:spacing w:before="240" w:line="276" w:lineRule="auto"/>
        <w:jc w:val="both"/>
        <w:rPr>
          <w:rFonts w:ascii="Arial" w:hAnsi="Arial" w:cs="Arial"/>
          <w:bCs/>
          <w:color w:val="000000" w:themeColor="text1"/>
          <w:sz w:val="22"/>
          <w:szCs w:val="22"/>
          <w:lang w:val="es-ES_tradnl" w:eastAsia="es-CO"/>
        </w:rPr>
      </w:pPr>
      <w:r w:rsidRPr="00F375E2">
        <w:rPr>
          <w:rFonts w:ascii="Arial" w:eastAsia="Calibri" w:hAnsi="Arial" w:cs="Arial"/>
          <w:bCs/>
          <w:color w:val="000000" w:themeColor="text1"/>
          <w:sz w:val="22"/>
          <w:szCs w:val="22"/>
          <w:lang w:val="es-ES_tradnl" w:eastAsia="en-US"/>
        </w:rPr>
        <w:lastRenderedPageBreak/>
        <w:t>El ordenamiento jurídico colombiano contempla previsiones claras para evitar la obtención de beneficios personales en asuntos propios de la administración pública</w:t>
      </w:r>
      <w:r w:rsidRPr="00F375E2">
        <w:rPr>
          <w:rFonts w:ascii="Arial" w:eastAsia="Calibri" w:hAnsi="Arial" w:cs="Arial"/>
          <w:bCs/>
          <w:i/>
          <w:iCs/>
          <w:color w:val="000000" w:themeColor="text1"/>
          <w:sz w:val="22"/>
          <w:szCs w:val="22"/>
          <w:lang w:val="es-ES_tradnl" w:eastAsia="en-US"/>
        </w:rPr>
        <w:t xml:space="preserve">. </w:t>
      </w:r>
      <w:r w:rsidRPr="00F375E2">
        <w:rPr>
          <w:rFonts w:ascii="Arial" w:eastAsia="Calibri" w:hAnsi="Arial" w:cs="Arial"/>
          <w:bCs/>
          <w:color w:val="000000" w:themeColor="text1"/>
          <w:sz w:val="22"/>
          <w:szCs w:val="22"/>
          <w:lang w:val="es-ES_tradnl" w:eastAsia="en-US"/>
        </w:rPr>
        <w:t>Por ejemplo, el artículo 127 de la Constitución Política establece una prohibición contractual a los servidores públicos y, en cuanto a aspectos políticos, establece restricciones a ciertos empleados del Estado, incluso en época no electoral</w:t>
      </w:r>
      <w:r w:rsidRPr="00F375E2">
        <w:rPr>
          <w:rFonts w:ascii="Arial" w:eastAsia="Calibri" w:hAnsi="Arial" w:cs="Arial"/>
          <w:bCs/>
          <w:color w:val="000000" w:themeColor="text1"/>
          <w:sz w:val="22"/>
          <w:szCs w:val="22"/>
          <w:vertAlign w:val="superscript"/>
          <w:lang w:val="es-ES_tradnl" w:eastAsia="en-US"/>
        </w:rPr>
        <w:footnoteReference w:id="2"/>
      </w:r>
      <w:r w:rsidRPr="00F375E2">
        <w:rPr>
          <w:rFonts w:ascii="Arial" w:eastAsia="Calibri" w:hAnsi="Arial" w:cs="Arial"/>
          <w:bCs/>
          <w:color w:val="000000" w:themeColor="text1"/>
          <w:sz w:val="22"/>
          <w:szCs w:val="22"/>
          <w:lang w:val="es-ES_tradnl" w:eastAsia="en-US"/>
        </w:rPr>
        <w:t xml:space="preserve">. </w:t>
      </w:r>
    </w:p>
    <w:p w14:paraId="3D096B45" w14:textId="50A82FE6" w:rsidR="00960E56" w:rsidRPr="00F375E2" w:rsidRDefault="00960E56" w:rsidP="009D07A2">
      <w:pPr>
        <w:tabs>
          <w:tab w:val="left" w:pos="426"/>
        </w:tabs>
        <w:spacing w:before="240" w:line="276" w:lineRule="auto"/>
        <w:ind w:firstLine="709"/>
        <w:jc w:val="both"/>
        <w:rPr>
          <w:rFonts w:ascii="Arial" w:hAnsi="Arial" w:cs="Arial"/>
          <w:bCs/>
          <w:color w:val="000000" w:themeColor="text1"/>
          <w:sz w:val="22"/>
          <w:szCs w:val="22"/>
          <w:lang w:val="es-ES_tradnl" w:eastAsia="es-CO"/>
        </w:rPr>
      </w:pPr>
      <w:r w:rsidRPr="00F375E2">
        <w:rPr>
          <w:rFonts w:ascii="Arial" w:hAnsi="Arial" w:cs="Arial"/>
          <w:bCs/>
          <w:color w:val="000000" w:themeColor="text1"/>
          <w:sz w:val="22"/>
          <w:szCs w:val="22"/>
          <w:lang w:val="es-ES_tradnl" w:eastAsia="es-CO"/>
        </w:rPr>
        <w:t>En el mismo sentido, la Ley 996 de 2005, conocida como «Ley de Garantías Electorales», se suma a la normatividad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F375E2">
        <w:rPr>
          <w:rFonts w:ascii="Arial" w:hAnsi="Arial" w:cs="Arial"/>
          <w:bCs/>
          <w:color w:val="000000" w:themeColor="text1"/>
          <w:sz w:val="22"/>
          <w:szCs w:val="22"/>
          <w:vertAlign w:val="superscript"/>
          <w:lang w:val="es-ES_tradnl" w:eastAsia="es-CO"/>
        </w:rPr>
        <w:footnoteReference w:id="3"/>
      </w:r>
      <w:r w:rsidRPr="00F375E2">
        <w:rPr>
          <w:rFonts w:ascii="Arial" w:hAnsi="Arial" w:cs="Arial"/>
          <w:bCs/>
          <w:color w:val="000000" w:themeColor="text1"/>
          <w:sz w:val="22"/>
          <w:szCs w:val="22"/>
          <w:lang w:val="es-ES_tradnl" w:eastAsia="es-CO"/>
        </w:rPr>
        <w:t>. En esta medida, introduce limitaciones para realizar nombramientos, postulaciones, contrataciones o cualquier otro tipo de actividad que implique destinación de recursos públicos bajo el devenir propio de las entidades estatales.</w:t>
      </w:r>
      <w:r w:rsidRPr="00F375E2">
        <w:rPr>
          <w:rFonts w:ascii="Arial" w:eastAsia="Calibri" w:hAnsi="Arial" w:cs="Arial"/>
          <w:noProof/>
          <w:color w:val="000000" w:themeColor="text1"/>
          <w:sz w:val="22"/>
          <w:szCs w:val="22"/>
          <w:lang w:val="es-ES_tradnl" w:eastAsia="en-US"/>
        </w:rPr>
        <w:t xml:space="preserve"> </w:t>
      </w:r>
      <w:r w:rsidRPr="00F375E2">
        <w:rPr>
          <w:rFonts w:ascii="Arial" w:hAnsi="Arial" w:cs="Arial"/>
          <w:bCs/>
          <w:color w:val="000000" w:themeColor="text1"/>
          <w:sz w:val="22"/>
          <w:szCs w:val="22"/>
          <w:lang w:val="es-ES_tradnl" w:eastAsia="es-CO"/>
        </w:rPr>
        <w:t>En armonía con lo anterior, la Corte Constitucional ha abordado la definición de la Ley de Garantías Electorales. De esta manera, explica que tiene como propósito:</w:t>
      </w:r>
    </w:p>
    <w:p w14:paraId="2D651D2B" w14:textId="77777777" w:rsidR="00960E56" w:rsidRPr="00F375E2" w:rsidRDefault="00960E56" w:rsidP="009D07A2">
      <w:pPr>
        <w:spacing w:before="240"/>
        <w:ind w:left="709" w:right="709"/>
        <w:jc w:val="both"/>
        <w:rPr>
          <w:rFonts w:ascii="Arial" w:hAnsi="Arial" w:cs="Arial"/>
          <w:bCs/>
          <w:color w:val="000000" w:themeColor="text1"/>
          <w:sz w:val="21"/>
          <w:szCs w:val="21"/>
          <w:lang w:val="es-ES_tradnl" w:eastAsia="es-CO"/>
        </w:rPr>
      </w:pPr>
      <w:r w:rsidRPr="00F375E2">
        <w:rPr>
          <w:rFonts w:ascii="Arial" w:hAnsi="Arial" w:cs="Arial"/>
          <w:color w:val="000000" w:themeColor="text1"/>
          <w:sz w:val="21"/>
          <w:szCs w:val="21"/>
          <w:lang w:val="es-ES_tradnl" w:eastAsia="es-CO"/>
        </w:rPr>
        <w:t xml:space="preserve">[…] </w:t>
      </w:r>
      <w:r w:rsidRPr="00F375E2">
        <w:rPr>
          <w:rFonts w:ascii="Arial" w:hAnsi="Arial" w:cs="Arial"/>
          <w:bCs/>
          <w:color w:val="000000" w:themeColor="text1"/>
          <w:sz w:val="21"/>
          <w:szCs w:val="21"/>
          <w:lang w:val="es-ES_tradnl" w:eastAsia="es-CO"/>
        </w:rPr>
        <w:t>la definición de reglas claras que permitan acceder a los canales de expresión democrática de manera efectiva e igualitaria. El objetivo de una ley de garantías es definir esas reglas.</w:t>
      </w:r>
    </w:p>
    <w:p w14:paraId="1B1CD211" w14:textId="77777777" w:rsidR="00960E56" w:rsidRPr="00F375E2" w:rsidRDefault="00960E56" w:rsidP="009D07A2">
      <w:pPr>
        <w:spacing w:before="240"/>
        <w:ind w:left="709" w:right="709"/>
        <w:jc w:val="both"/>
        <w:rPr>
          <w:rFonts w:ascii="Arial" w:hAnsi="Arial" w:cs="Arial"/>
          <w:bCs/>
          <w:color w:val="000000" w:themeColor="text1"/>
          <w:sz w:val="21"/>
          <w:szCs w:val="21"/>
          <w:lang w:val="es-ES_tradnl" w:eastAsia="es-CO"/>
        </w:rPr>
      </w:pPr>
      <w:r w:rsidRPr="00F375E2">
        <w:rPr>
          <w:rFonts w:ascii="Arial" w:hAnsi="Arial" w:cs="Arial"/>
          <w:bCs/>
          <w:color w:val="000000" w:themeColor="text1"/>
          <w:sz w:val="21"/>
          <w:szCs w:val="21"/>
          <w:lang w:val="es-ES_tradnl" w:eastAsia="es-CO"/>
        </w:rPr>
        <w:t xml:space="preserve">[…] </w:t>
      </w:r>
    </w:p>
    <w:p w14:paraId="718F3F05" w14:textId="5F425B8D" w:rsidR="00960E56" w:rsidRPr="00F375E2" w:rsidRDefault="00960E56" w:rsidP="009D07A2">
      <w:pPr>
        <w:spacing w:before="240"/>
        <w:ind w:left="709" w:right="709"/>
        <w:jc w:val="both"/>
        <w:rPr>
          <w:rFonts w:ascii="Arial" w:hAnsi="Arial" w:cs="Arial"/>
          <w:bCs/>
          <w:color w:val="000000" w:themeColor="text1"/>
          <w:sz w:val="21"/>
          <w:szCs w:val="21"/>
          <w:lang w:val="es-ES_tradnl" w:eastAsia="es-CO"/>
        </w:rPr>
      </w:pPr>
      <w:r w:rsidRPr="00F375E2">
        <w:rPr>
          <w:rFonts w:ascii="Arial" w:hAnsi="Arial" w:cs="Arial"/>
          <w:bCs/>
          <w:color w:val="000000" w:themeColor="text1"/>
          <w:sz w:val="21"/>
          <w:szCs w:val="21"/>
          <w:lang w:val="es-ES_tradnl"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F375E2">
        <w:rPr>
          <w:rFonts w:ascii="Arial" w:eastAsiaTheme="minorHAnsi" w:hAnsi="Arial" w:cs="Arial"/>
          <w:color w:val="000000" w:themeColor="text1"/>
          <w:sz w:val="20"/>
          <w:szCs w:val="20"/>
          <w:vertAlign w:val="superscript"/>
          <w:lang w:val="es-ES_tradnl" w:eastAsia="en-US"/>
        </w:rPr>
        <w:footnoteReference w:id="4"/>
      </w:r>
    </w:p>
    <w:p w14:paraId="61FE5139" w14:textId="0FBF17A1" w:rsidR="00960E56" w:rsidRPr="00F375E2" w:rsidRDefault="00960E56" w:rsidP="009D07A2">
      <w:pPr>
        <w:spacing w:before="240" w:line="276" w:lineRule="auto"/>
        <w:ind w:firstLine="709"/>
        <w:jc w:val="both"/>
        <w:rPr>
          <w:rFonts w:ascii="Arial" w:hAnsi="Arial" w:cs="Arial"/>
          <w:bCs/>
          <w:color w:val="000000" w:themeColor="text1"/>
          <w:sz w:val="22"/>
          <w:szCs w:val="22"/>
          <w:lang w:val="es-ES_tradnl" w:eastAsia="es-CO"/>
        </w:rPr>
      </w:pPr>
      <w:r w:rsidRPr="00F375E2">
        <w:rPr>
          <w:rFonts w:ascii="Arial" w:hAnsi="Arial" w:cs="Arial"/>
          <w:bCs/>
          <w:color w:val="000000" w:themeColor="text1"/>
          <w:sz w:val="22"/>
          <w:szCs w:val="22"/>
          <w:lang w:val="es-ES_tradnl" w:eastAsia="es-CO"/>
        </w:rPr>
        <w:lastRenderedPageBreak/>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747EF13D" w14:textId="77777777" w:rsidR="00960E56" w:rsidRPr="00F375E2" w:rsidRDefault="00960E56" w:rsidP="009D07A2">
      <w:pPr>
        <w:spacing w:before="240"/>
        <w:ind w:left="709" w:right="709"/>
        <w:jc w:val="both"/>
        <w:rPr>
          <w:rFonts w:ascii="Arial" w:hAnsi="Arial" w:cs="Arial"/>
          <w:bCs/>
          <w:color w:val="000000" w:themeColor="text1"/>
          <w:sz w:val="21"/>
          <w:szCs w:val="21"/>
          <w:lang w:val="es-ES_tradnl" w:eastAsia="es-CO"/>
        </w:rPr>
      </w:pPr>
      <w:r w:rsidRPr="00F375E2">
        <w:rPr>
          <w:rFonts w:ascii="Arial" w:hAnsi="Arial" w:cs="Arial"/>
          <w:bCs/>
          <w:color w:val="000000" w:themeColor="text1"/>
          <w:sz w:val="21"/>
          <w:szCs w:val="21"/>
          <w:lang w:val="es-ES_tradnl"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F375E2">
        <w:rPr>
          <w:rFonts w:ascii="Arial" w:hAnsi="Arial" w:cs="Arial"/>
          <w:bCs/>
          <w:color w:val="000000" w:themeColor="text1"/>
          <w:sz w:val="21"/>
          <w:szCs w:val="21"/>
          <w:lang w:val="es-ES_tradnl" w:eastAsia="es-CO"/>
        </w:rPr>
        <w:t>legis</w:t>
      </w:r>
      <w:proofErr w:type="spellEnd"/>
      <w:r w:rsidRPr="00F375E2">
        <w:rPr>
          <w:rFonts w:ascii="Arial" w:hAnsi="Arial" w:cs="Arial"/>
          <w:bCs/>
          <w:color w:val="000000" w:themeColor="text1"/>
          <w:sz w:val="21"/>
          <w:szCs w:val="21"/>
          <w:lang w:val="es-ES_tradnl"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37E8679F" w14:textId="30FA2214" w:rsidR="00960E56" w:rsidRPr="00F375E2" w:rsidRDefault="00960E56" w:rsidP="009D07A2">
      <w:pPr>
        <w:spacing w:before="240"/>
        <w:ind w:left="709" w:right="709"/>
        <w:jc w:val="both"/>
        <w:rPr>
          <w:rFonts w:ascii="Arial" w:hAnsi="Arial" w:cs="Arial"/>
          <w:bCs/>
          <w:color w:val="000000" w:themeColor="text1"/>
          <w:sz w:val="21"/>
          <w:szCs w:val="21"/>
          <w:lang w:val="es-ES_tradnl" w:eastAsia="es-CO"/>
        </w:rPr>
      </w:pPr>
      <w:r w:rsidRPr="00F375E2">
        <w:rPr>
          <w:rFonts w:ascii="Arial" w:hAnsi="Arial" w:cs="Arial"/>
          <w:bCs/>
          <w:color w:val="000000" w:themeColor="text1"/>
          <w:sz w:val="21"/>
          <w:szCs w:val="21"/>
          <w:lang w:val="es-ES_tradnl" w:eastAsia="es-CO"/>
        </w:rPr>
        <w:t>La jurisprudencia de la Corte Constitucional</w:t>
      </w:r>
      <w:r w:rsidRPr="00F375E2">
        <w:rPr>
          <w:rFonts w:ascii="Arial" w:hAnsi="Arial" w:cs="Arial"/>
          <w:bCs/>
          <w:color w:val="000000" w:themeColor="text1"/>
          <w:sz w:val="21"/>
          <w:szCs w:val="21"/>
          <w:vertAlign w:val="superscript"/>
          <w:lang w:val="es-ES_tradnl" w:eastAsia="es-CO"/>
        </w:rPr>
        <w:footnoteReference w:id="5"/>
      </w:r>
      <w:r w:rsidRPr="00F375E2">
        <w:rPr>
          <w:rFonts w:ascii="Arial" w:hAnsi="Arial" w:cs="Arial"/>
          <w:bCs/>
          <w:color w:val="000000" w:themeColor="text1"/>
          <w:sz w:val="21"/>
          <w:szCs w:val="21"/>
          <w:lang w:val="es-ES_tradnl" w:eastAsia="es-CO"/>
        </w:rPr>
        <w:t> y del Consejo de Estado</w:t>
      </w:r>
      <w:r w:rsidRPr="00F375E2">
        <w:rPr>
          <w:rFonts w:ascii="Arial" w:hAnsi="Arial" w:cs="Arial"/>
          <w:bCs/>
          <w:color w:val="000000" w:themeColor="text1"/>
          <w:sz w:val="21"/>
          <w:szCs w:val="21"/>
          <w:vertAlign w:val="superscript"/>
          <w:lang w:val="es-ES_tradnl" w:eastAsia="es-CO"/>
        </w:rPr>
        <w:footnoteReference w:id="6"/>
      </w:r>
      <w:r w:rsidRPr="00F375E2">
        <w:rPr>
          <w:rFonts w:ascii="Arial" w:hAnsi="Arial" w:cs="Arial"/>
          <w:bCs/>
          <w:color w:val="000000" w:themeColor="text1"/>
          <w:sz w:val="21"/>
          <w:szCs w:val="21"/>
          <w:lang w:val="es-ES_tradnl"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F375E2">
        <w:rPr>
          <w:rFonts w:ascii="Arial" w:hAnsi="Arial" w:cs="Arial"/>
          <w:bCs/>
          <w:color w:val="000000" w:themeColor="text1"/>
          <w:sz w:val="22"/>
          <w:szCs w:val="22"/>
          <w:vertAlign w:val="superscript"/>
          <w:lang w:val="es-ES_tradnl" w:eastAsia="es-CO"/>
        </w:rPr>
        <w:footnoteReference w:id="7"/>
      </w:r>
      <w:r w:rsidRPr="00F375E2">
        <w:rPr>
          <w:rFonts w:ascii="Arial" w:hAnsi="Arial" w:cs="Arial"/>
          <w:bCs/>
          <w:color w:val="000000" w:themeColor="text1"/>
          <w:sz w:val="21"/>
          <w:szCs w:val="21"/>
          <w:lang w:val="es-ES_tradnl" w:eastAsia="es-CO"/>
        </w:rPr>
        <w:t>.</w:t>
      </w:r>
    </w:p>
    <w:p w14:paraId="69DC18F9" w14:textId="77777777" w:rsidR="00960E56" w:rsidRPr="00F375E2" w:rsidRDefault="00960E56" w:rsidP="009D07A2">
      <w:pPr>
        <w:spacing w:before="240" w:line="276" w:lineRule="auto"/>
        <w:jc w:val="both"/>
        <w:rPr>
          <w:rFonts w:ascii="Arial" w:eastAsia="Arial" w:hAnsi="Arial" w:cs="Arial"/>
          <w:color w:val="000000" w:themeColor="text1"/>
          <w:sz w:val="22"/>
          <w:szCs w:val="22"/>
          <w:lang w:val="es-ES_tradnl" w:eastAsia="es-ES" w:bidi="es-ES"/>
        </w:rPr>
      </w:pPr>
      <w:r w:rsidRPr="00F375E2">
        <w:rPr>
          <w:rFonts w:ascii="Arial" w:hAnsi="Arial" w:cs="Arial"/>
          <w:bCs/>
          <w:color w:val="000000" w:themeColor="text1"/>
          <w:sz w:val="22"/>
          <w:szCs w:val="22"/>
          <w:lang w:val="es-ES_tradnl" w:eastAsia="es-CO"/>
        </w:rPr>
        <w:tab/>
        <w:t>De</w:t>
      </w:r>
      <w:r w:rsidRPr="00F375E2">
        <w:rPr>
          <w:rFonts w:ascii="Arial" w:eastAsia="Arial" w:hAnsi="Arial" w:cs="Arial"/>
          <w:color w:val="000000" w:themeColor="text1"/>
          <w:sz w:val="22"/>
          <w:szCs w:val="22"/>
          <w:lang w:val="es-ES_tradnl" w:eastAsia="es-ES" w:bidi="es-ES"/>
        </w:rPr>
        <w:t xml:space="preserve"> conformidad con lo anterior, 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w:t>
      </w:r>
      <w:r w:rsidRPr="00F375E2">
        <w:rPr>
          <w:rFonts w:ascii="Arial" w:eastAsia="Arial" w:hAnsi="Arial" w:cs="Arial"/>
          <w:color w:val="000000" w:themeColor="text1"/>
          <w:sz w:val="22"/>
          <w:szCs w:val="22"/>
          <w:lang w:val="es-ES_tradnl" w:eastAsia="es-ES" w:bidi="es-ES"/>
        </w:rPr>
        <w:lastRenderedPageBreak/>
        <w:t>en los períodos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p>
    <w:p w14:paraId="3BB6FCF9" w14:textId="77777777" w:rsidR="00960E56" w:rsidRPr="00F375E2" w:rsidRDefault="00960E56" w:rsidP="009D07A2">
      <w:pPr>
        <w:spacing w:before="240" w:line="276" w:lineRule="auto"/>
        <w:ind w:firstLine="708"/>
        <w:jc w:val="both"/>
        <w:rPr>
          <w:rFonts w:ascii="Arial" w:eastAsia="Calibri" w:hAnsi="Arial" w:cs="Arial"/>
          <w:color w:val="000000" w:themeColor="text1"/>
          <w:sz w:val="22"/>
          <w:szCs w:val="22"/>
          <w:lang w:val="es-ES_tradnl" w:eastAsia="en-US"/>
        </w:rPr>
      </w:pPr>
      <w:r w:rsidRPr="00F375E2">
        <w:rPr>
          <w:rFonts w:ascii="Arial" w:eastAsia="Calibri" w:hAnsi="Arial" w:cs="Arial"/>
          <w:color w:val="000000" w:themeColor="text1"/>
          <w:sz w:val="22"/>
          <w:szCs w:val="22"/>
          <w:lang w:val="es-ES_tradnl" w:eastAsia="en-US"/>
        </w:rPr>
        <w:t xml:space="preserve">Por un lado, el artículo 33 de la Ley 996 de 2005 prohíbe </w:t>
      </w:r>
      <w:r w:rsidRPr="00F375E2">
        <w:rPr>
          <w:rFonts w:ascii="Arial" w:eastAsia="Calibri" w:hAnsi="Arial" w:cs="Arial"/>
          <w:bCs/>
          <w:color w:val="000000" w:themeColor="text1"/>
          <w:sz w:val="22"/>
          <w:szCs w:val="22"/>
          <w:lang w:val="es-ES_tradnl" w:eastAsia="en-US"/>
        </w:rPr>
        <w:t xml:space="preserve">«[…] </w:t>
      </w:r>
      <w:r w:rsidRPr="00F375E2">
        <w:rPr>
          <w:rFonts w:ascii="Arial" w:eastAsia="Calibri" w:hAnsi="Arial" w:cs="Arial"/>
          <w:color w:val="000000" w:themeColor="text1"/>
          <w:sz w:val="22"/>
          <w:szCs w:val="22"/>
          <w:lang w:val="es-ES_tradnl" w:eastAsia="en-US"/>
        </w:rPr>
        <w:t>la contratación directa por parte de todos los entes del Estado</w:t>
      </w:r>
      <w:r w:rsidRPr="00F375E2">
        <w:rPr>
          <w:rFonts w:ascii="Arial" w:eastAsia="Calibri" w:hAnsi="Arial" w:cs="Arial"/>
          <w:bCs/>
          <w:color w:val="000000" w:themeColor="text1"/>
          <w:sz w:val="22"/>
          <w:szCs w:val="22"/>
          <w:lang w:val="es-ES_tradnl" w:eastAsia="en-US"/>
        </w:rPr>
        <w:t>»</w:t>
      </w:r>
      <w:r w:rsidRPr="00F375E2">
        <w:rPr>
          <w:rFonts w:ascii="Arial" w:eastAsia="Calibri" w:hAnsi="Arial" w:cs="Arial"/>
          <w:color w:val="000000" w:themeColor="text1"/>
          <w:sz w:val="22"/>
          <w:szCs w:val="22"/>
          <w:lang w:val="es-ES_tradnl" w:eastAsia="en-US"/>
        </w:rPr>
        <w:t xml:space="preserve"> durante los cuatro (4) meses anteriores a las elecciones presidenciales, salvo </w:t>
      </w:r>
      <w:r w:rsidRPr="00F375E2">
        <w:rPr>
          <w:rFonts w:ascii="Arial" w:eastAsia="Calibri" w:hAnsi="Arial" w:cs="Arial"/>
          <w:bCs/>
          <w:color w:val="000000" w:themeColor="text1"/>
          <w:sz w:val="22"/>
          <w:szCs w:val="22"/>
          <w:lang w:val="es-ES_tradnl" w:eastAsia="en-US"/>
        </w:rPr>
        <w:t xml:space="preserve">«[…] </w:t>
      </w:r>
      <w:r w:rsidRPr="00F375E2">
        <w:rPr>
          <w:rFonts w:ascii="Arial" w:eastAsia="Calibri" w:hAnsi="Arial" w:cs="Arial"/>
          <w:color w:val="000000" w:themeColor="text1"/>
          <w:sz w:val="22"/>
          <w:szCs w:val="22"/>
          <w:lang w:val="es-ES_tradnl" w:eastAsia="en-US"/>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F375E2">
        <w:rPr>
          <w:rFonts w:ascii="Arial" w:eastAsia="Calibri" w:hAnsi="Arial" w:cs="Arial"/>
          <w:bCs/>
          <w:color w:val="000000" w:themeColor="text1"/>
          <w:sz w:val="22"/>
          <w:szCs w:val="22"/>
          <w:lang w:val="es-ES_tradnl" w:eastAsia="en-US"/>
        </w:rPr>
        <w:t>»</w:t>
      </w:r>
      <w:r w:rsidRPr="00F375E2">
        <w:rPr>
          <w:rFonts w:ascii="Arial" w:eastAsia="Calibri" w:hAnsi="Arial" w:cs="Arial"/>
          <w:bCs/>
          <w:color w:val="000000" w:themeColor="text1"/>
          <w:sz w:val="22"/>
          <w:szCs w:val="22"/>
          <w:vertAlign w:val="superscript"/>
          <w:lang w:val="es-ES_tradnl" w:eastAsia="en-US"/>
        </w:rPr>
        <w:footnoteReference w:id="8"/>
      </w:r>
      <w:r w:rsidRPr="00F375E2">
        <w:rPr>
          <w:rFonts w:ascii="Arial" w:eastAsia="Calibri" w:hAnsi="Arial" w:cs="Arial"/>
          <w:color w:val="000000" w:themeColor="text1"/>
          <w:sz w:val="22"/>
          <w:szCs w:val="22"/>
          <w:lang w:val="es-ES_tradnl" w:eastAsia="en-US"/>
        </w:rPr>
        <w:t>.</w:t>
      </w:r>
    </w:p>
    <w:p w14:paraId="6A1D979F" w14:textId="06FA21A6" w:rsidR="00960E56" w:rsidRPr="00F375E2" w:rsidRDefault="00960E56" w:rsidP="009D07A2">
      <w:pPr>
        <w:widowControl w:val="0"/>
        <w:autoSpaceDE w:val="0"/>
        <w:autoSpaceDN w:val="0"/>
        <w:spacing w:before="240" w:line="276" w:lineRule="auto"/>
        <w:ind w:right="113" w:firstLine="708"/>
        <w:jc w:val="both"/>
        <w:rPr>
          <w:rFonts w:ascii="Arial" w:eastAsia="Arial" w:hAnsi="Arial" w:cs="Arial"/>
          <w:color w:val="000000" w:themeColor="text1"/>
          <w:sz w:val="22"/>
          <w:szCs w:val="22"/>
          <w:lang w:val="es-ES_tradnl" w:eastAsia="es-ES" w:bidi="es-ES"/>
        </w:rPr>
      </w:pPr>
      <w:r w:rsidRPr="00F375E2">
        <w:rPr>
          <w:rFonts w:ascii="Arial" w:eastAsia="Calibri" w:hAnsi="Arial" w:cs="Arial"/>
          <w:color w:val="000000" w:themeColor="text1"/>
          <w:sz w:val="22"/>
          <w:szCs w:val="22"/>
          <w:lang w:val="es-ES_tradnl" w:eastAsia="en-US"/>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F375E2">
        <w:rPr>
          <w:rFonts w:ascii="Arial" w:eastAsia="Calibri" w:hAnsi="Arial" w:cs="Arial"/>
          <w:bCs/>
          <w:color w:val="000000" w:themeColor="text1"/>
          <w:sz w:val="22"/>
          <w:szCs w:val="22"/>
          <w:lang w:val="es-ES_tradnl" w:eastAsia="en-US"/>
        </w:rPr>
        <w:t xml:space="preserve">«[…] </w:t>
      </w:r>
      <w:r w:rsidRPr="00F375E2">
        <w:rPr>
          <w:rFonts w:ascii="Arial" w:eastAsia="Calibri" w:hAnsi="Arial" w:cs="Arial"/>
          <w:color w:val="000000" w:themeColor="text1"/>
          <w:sz w:val="22"/>
          <w:szCs w:val="22"/>
          <w:lang w:val="es-ES_tradnl" w:eastAsia="en-US"/>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F375E2">
        <w:rPr>
          <w:rFonts w:ascii="Arial" w:eastAsia="Calibri" w:hAnsi="Arial" w:cs="Arial"/>
          <w:bCs/>
          <w:color w:val="000000" w:themeColor="text1"/>
          <w:sz w:val="19"/>
          <w:szCs w:val="19"/>
          <w:lang w:val="es-ES_tradnl" w:eastAsia="en-US"/>
        </w:rPr>
        <w:t>»</w:t>
      </w:r>
      <w:r w:rsidRPr="00F375E2">
        <w:rPr>
          <w:rFonts w:ascii="Arial" w:eastAsia="Calibri" w:hAnsi="Arial" w:cs="Arial"/>
          <w:bCs/>
          <w:color w:val="000000" w:themeColor="text1"/>
          <w:sz w:val="19"/>
          <w:szCs w:val="19"/>
          <w:vertAlign w:val="superscript"/>
          <w:lang w:val="es-ES_tradnl" w:eastAsia="en-US"/>
        </w:rPr>
        <w:footnoteReference w:id="9"/>
      </w:r>
      <w:r w:rsidRPr="00F375E2">
        <w:rPr>
          <w:rFonts w:ascii="Arial" w:eastAsia="Calibri" w:hAnsi="Arial" w:cs="Arial"/>
          <w:color w:val="000000" w:themeColor="text1"/>
          <w:sz w:val="22"/>
          <w:szCs w:val="22"/>
          <w:lang w:val="es-ES_tradnl" w:eastAsia="en-US"/>
        </w:rPr>
        <w:t>.</w:t>
      </w:r>
      <w:r w:rsidRPr="00F375E2">
        <w:rPr>
          <w:rFonts w:ascii="Arial" w:eastAsia="Arial" w:hAnsi="Arial" w:cs="Arial"/>
          <w:color w:val="000000" w:themeColor="text1"/>
          <w:sz w:val="22"/>
          <w:szCs w:val="22"/>
          <w:lang w:val="es-ES_tradnl"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3CDE01FA" w14:textId="7E0AFF5A" w:rsidR="00960E56" w:rsidRPr="00F375E2" w:rsidRDefault="00960E56" w:rsidP="00F375E2">
      <w:pPr>
        <w:widowControl w:val="0"/>
        <w:autoSpaceDE w:val="0"/>
        <w:autoSpaceDN w:val="0"/>
        <w:spacing w:before="240"/>
        <w:ind w:left="709" w:right="709"/>
        <w:jc w:val="both"/>
        <w:rPr>
          <w:rFonts w:ascii="Arial" w:eastAsia="Arial" w:hAnsi="Arial" w:cs="Arial"/>
          <w:color w:val="000000" w:themeColor="text1"/>
          <w:sz w:val="21"/>
          <w:szCs w:val="21"/>
          <w:lang w:val="es-ES_tradnl" w:eastAsia="es-ES" w:bidi="es-ES"/>
        </w:rPr>
      </w:pPr>
      <w:r w:rsidRPr="00F375E2">
        <w:rPr>
          <w:rFonts w:ascii="Arial" w:eastAsia="Arial" w:hAnsi="Arial" w:cs="Arial"/>
          <w:color w:val="000000" w:themeColor="text1"/>
          <w:sz w:val="21"/>
          <w:szCs w:val="21"/>
          <w:lang w:val="es-ES_tradnl" w:eastAsia="es-ES" w:bidi="es-ES"/>
        </w:rPr>
        <w:lastRenderedPageBreak/>
        <w:t xml:space="preserve">La interpretación sistemática de las disposiciones consagradas en los artículos 32, 33 y el parágrafo del artículo 38 de la ley 996 de 2.005 lleva a concluir que dichas normas contienen restricciones y prohibiciones para períodos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se integran parcialmente,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F375E2">
        <w:rPr>
          <w:rFonts w:ascii="Arial" w:eastAsia="Arial" w:hAnsi="Arial" w:cs="Arial"/>
          <w:bCs/>
          <w:color w:val="000000" w:themeColor="text1"/>
          <w:sz w:val="21"/>
          <w:szCs w:val="21"/>
          <w:lang w:val="es-ES_tradnl" w:eastAsia="es-ES" w:bidi="es-ES"/>
        </w:rPr>
        <w:t xml:space="preserve">En cambio, para elecciones en general, excluyendo las correspondientes a </w:t>
      </w:r>
      <w:proofErr w:type="gramStart"/>
      <w:r w:rsidRPr="00F375E2">
        <w:rPr>
          <w:rFonts w:ascii="Arial" w:eastAsia="Arial" w:hAnsi="Arial" w:cs="Arial"/>
          <w:bCs/>
          <w:color w:val="000000" w:themeColor="text1"/>
          <w:sz w:val="21"/>
          <w:szCs w:val="21"/>
          <w:lang w:val="es-ES_tradnl" w:eastAsia="es-ES" w:bidi="es-ES"/>
        </w:rPr>
        <w:t>Presidente</w:t>
      </w:r>
      <w:proofErr w:type="gramEnd"/>
      <w:r w:rsidRPr="00F375E2">
        <w:rPr>
          <w:rFonts w:ascii="Arial" w:eastAsia="Arial" w:hAnsi="Arial" w:cs="Arial"/>
          <w:bCs/>
          <w:color w:val="000000" w:themeColor="text1"/>
          <w:sz w:val="21"/>
          <w:szCs w:val="21"/>
          <w:lang w:val="es-ES_tradnl" w:eastAsia="es-ES" w:bidi="es-ES"/>
        </w:rPr>
        <w:t xml:space="preserve"> de la República, a las autoridades territoriales allí mencionadas sólo se aplican las restricciones contenidas en el parágrafo del artículo 38</w:t>
      </w:r>
      <w:r w:rsidRPr="00F375E2">
        <w:rPr>
          <w:rFonts w:ascii="Arial" w:eastAsia="Arial" w:hAnsi="Arial" w:cs="Arial"/>
          <w:color w:val="000000" w:themeColor="text1"/>
          <w:sz w:val="21"/>
          <w:szCs w:val="21"/>
          <w:vertAlign w:val="superscript"/>
          <w:lang w:val="es-ES_tradnl" w:eastAsia="es-ES" w:bidi="es-ES"/>
        </w:rPr>
        <w:footnoteReference w:id="10"/>
      </w:r>
      <w:r w:rsidRPr="00F375E2">
        <w:rPr>
          <w:rFonts w:ascii="Arial" w:eastAsia="Arial" w:hAnsi="Arial" w:cs="Arial"/>
          <w:bCs/>
          <w:color w:val="000000" w:themeColor="text1"/>
          <w:sz w:val="21"/>
          <w:szCs w:val="21"/>
          <w:lang w:val="es-ES_tradnl" w:eastAsia="es-ES" w:bidi="es-ES"/>
        </w:rPr>
        <w:t>.</w:t>
      </w:r>
    </w:p>
    <w:p w14:paraId="2BFEB9F3" w14:textId="77777777" w:rsidR="00960E56" w:rsidRPr="00F375E2" w:rsidRDefault="00960E56" w:rsidP="009D07A2">
      <w:pPr>
        <w:spacing w:before="240" w:line="276" w:lineRule="auto"/>
        <w:ind w:firstLine="709"/>
        <w:jc w:val="both"/>
        <w:rPr>
          <w:rFonts w:ascii="Arial" w:eastAsia="Arial" w:hAnsi="Arial" w:cs="Arial"/>
          <w:color w:val="000000" w:themeColor="text1"/>
          <w:sz w:val="22"/>
          <w:szCs w:val="22"/>
          <w:lang w:val="es-ES_tradnl" w:eastAsia="es-ES" w:bidi="es-ES"/>
        </w:rPr>
      </w:pPr>
      <w:r w:rsidRPr="00F375E2">
        <w:rPr>
          <w:rFonts w:ascii="Arial" w:eastAsia="Arial" w:hAnsi="Arial" w:cs="Arial"/>
          <w:color w:val="000000" w:themeColor="text1"/>
          <w:sz w:val="22"/>
          <w:szCs w:val="22"/>
          <w:lang w:val="es-ES_tradnl" w:eastAsia="es-ES" w:bidi="es-ES"/>
        </w:rPr>
        <w:t xml:space="preserve">De lo anterior se desprende que la Ley 996 de 2005 establece dos (2) tipos de restricciones en materia de contratación, las cuales coinciden parcialmente. </w:t>
      </w:r>
      <w:r w:rsidRPr="00F375E2">
        <w:rPr>
          <w:rFonts w:ascii="Arial" w:eastAsia="Arial" w:hAnsi="Arial" w:cs="Arial"/>
          <w:i/>
          <w:iCs/>
          <w:color w:val="000000" w:themeColor="text1"/>
          <w:sz w:val="22"/>
          <w:szCs w:val="22"/>
          <w:lang w:val="es-ES_tradnl" w:eastAsia="es-ES" w:bidi="es-ES"/>
        </w:rPr>
        <w:t>En primer lugar</w:t>
      </w:r>
      <w:r w:rsidRPr="00F375E2">
        <w:rPr>
          <w:rFonts w:ascii="Arial" w:eastAsia="Arial" w:hAnsi="Arial" w:cs="Arial"/>
          <w:color w:val="000000" w:themeColor="text1"/>
          <w:sz w:val="22"/>
          <w:szCs w:val="22"/>
          <w:lang w:val="es-ES_tradnl"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conforme al artículo 190 de la Constitución Política. Para estos efectos, la restricción se extenderá hasta la fecha en la que se realice la segunda vuelta. </w:t>
      </w:r>
      <w:r w:rsidRPr="00F375E2">
        <w:rPr>
          <w:rFonts w:ascii="Arial" w:eastAsia="Arial" w:hAnsi="Arial" w:cs="Arial"/>
          <w:i/>
          <w:iCs/>
          <w:color w:val="000000" w:themeColor="text1"/>
          <w:sz w:val="22"/>
          <w:szCs w:val="22"/>
          <w:lang w:val="es-ES_tradnl" w:eastAsia="es-ES" w:bidi="es-ES"/>
        </w:rPr>
        <w:t>En segundo lugar</w:t>
      </w:r>
      <w:r w:rsidRPr="00F375E2">
        <w:rPr>
          <w:rFonts w:ascii="Arial" w:eastAsia="Arial" w:hAnsi="Arial" w:cs="Arial"/>
          <w:color w:val="000000" w:themeColor="text1"/>
          <w:sz w:val="22"/>
          <w:szCs w:val="22"/>
          <w:lang w:val="es-ES_tradnl"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663068DB" w14:textId="37230364" w:rsidR="00960E56" w:rsidRPr="00F375E2" w:rsidRDefault="00960E56" w:rsidP="009D07A2">
      <w:pPr>
        <w:spacing w:before="240" w:line="276" w:lineRule="auto"/>
        <w:ind w:firstLine="709"/>
        <w:jc w:val="both"/>
        <w:rPr>
          <w:rFonts w:ascii="Arial" w:eastAsia="Arial" w:hAnsi="Arial" w:cs="Arial"/>
          <w:color w:val="000000" w:themeColor="text1"/>
          <w:sz w:val="22"/>
          <w:szCs w:val="22"/>
          <w:lang w:val="es-ES_tradnl" w:eastAsia="es-ES" w:bidi="es-ES"/>
        </w:rPr>
      </w:pPr>
      <w:r w:rsidRPr="00F375E2">
        <w:rPr>
          <w:rFonts w:ascii="Arial" w:eastAsia="Arial" w:hAnsi="Arial" w:cs="Arial"/>
          <w:color w:val="000000" w:themeColor="text1"/>
          <w:sz w:val="22"/>
          <w:szCs w:val="22"/>
          <w:lang w:val="es-ES_tradnl" w:eastAsia="es-ES" w:bidi="es-ES"/>
        </w:rPr>
        <w:t xml:space="preserve">Ambas restricciones no son excluyentes, lo que permite concluir que en el período preelectoral para elección de </w:t>
      </w:r>
      <w:proofErr w:type="gramStart"/>
      <w:r w:rsidRPr="00F375E2">
        <w:rPr>
          <w:rFonts w:ascii="Arial" w:eastAsia="Arial" w:hAnsi="Arial" w:cs="Arial"/>
          <w:color w:val="000000" w:themeColor="text1"/>
          <w:sz w:val="22"/>
          <w:szCs w:val="22"/>
          <w:lang w:val="es-ES_tradnl" w:eastAsia="es-ES" w:bidi="es-ES"/>
        </w:rPr>
        <w:t>Presidente</w:t>
      </w:r>
      <w:proofErr w:type="gramEnd"/>
      <w:r w:rsidRPr="00F375E2">
        <w:rPr>
          <w:rFonts w:ascii="Arial" w:eastAsia="Arial" w:hAnsi="Arial" w:cs="Arial"/>
          <w:color w:val="000000" w:themeColor="text1"/>
          <w:sz w:val="22"/>
          <w:szCs w:val="22"/>
          <w:lang w:val="es-ES_tradnl" w:eastAsia="es-ES" w:bidi="es-ES"/>
        </w:rPr>
        <w:t xml:space="preserve"> de la República, a todos los entes del Estado, incluidos los territoriales, aplican las restricciones del artículo 33 con sus excepciones, así como las del parágrafo del artículo 38. En cambio, tratándose de elecciones en general, excluyendo las correspondientes al </w:t>
      </w:r>
      <w:proofErr w:type="gramStart"/>
      <w:r w:rsidRPr="00F375E2">
        <w:rPr>
          <w:rFonts w:ascii="Arial" w:eastAsia="Arial" w:hAnsi="Arial" w:cs="Arial"/>
          <w:color w:val="000000" w:themeColor="text1"/>
          <w:sz w:val="22"/>
          <w:szCs w:val="22"/>
          <w:lang w:val="es-ES_tradnl" w:eastAsia="es-ES" w:bidi="es-ES"/>
        </w:rPr>
        <w:t>Presidente</w:t>
      </w:r>
      <w:proofErr w:type="gramEnd"/>
      <w:r w:rsidRPr="00F375E2">
        <w:rPr>
          <w:rFonts w:ascii="Arial" w:eastAsia="Arial" w:hAnsi="Arial" w:cs="Arial"/>
          <w:color w:val="000000" w:themeColor="text1"/>
          <w:sz w:val="22"/>
          <w:szCs w:val="22"/>
          <w:lang w:val="es-ES_tradnl" w:eastAsia="es-ES" w:bidi="es-ES"/>
        </w:rPr>
        <w:t xml:space="preserve"> de la República, las autoridades allí mencionadas solo deben aplicar las restricciones contenidas en el parágrafo del artículo 38.</w:t>
      </w:r>
    </w:p>
    <w:p w14:paraId="0736449E" w14:textId="06F30899" w:rsidR="009F290C" w:rsidRPr="00F375E2" w:rsidRDefault="00960E56" w:rsidP="00F375E2">
      <w:pPr>
        <w:spacing w:before="240" w:line="276" w:lineRule="auto"/>
        <w:ind w:firstLine="708"/>
        <w:jc w:val="both"/>
        <w:rPr>
          <w:rFonts w:ascii="Arial" w:eastAsia="Arial" w:hAnsi="Arial" w:cs="Arial"/>
          <w:color w:val="000000" w:themeColor="text1"/>
          <w:sz w:val="22"/>
          <w:szCs w:val="22"/>
          <w:lang w:val="es-ES_tradnl" w:eastAsia="es-ES" w:bidi="es-ES"/>
        </w:rPr>
      </w:pPr>
      <w:r w:rsidRPr="00F375E2">
        <w:rPr>
          <w:rFonts w:ascii="Arial" w:eastAsia="Arial" w:hAnsi="Arial" w:cs="Arial"/>
          <w:color w:val="000000" w:themeColor="text1"/>
          <w:sz w:val="22"/>
          <w:szCs w:val="22"/>
          <w:lang w:val="es-ES_tradnl" w:eastAsia="es-ES" w:bidi="es-ES"/>
        </w:rPr>
        <w:t xml:space="preserve">La Corte Constitucional, en la Sentencia C-1153 del 11 de noviembre de 2005, señaló que, para que la garantía sea plena, era necesario que la prohibición se aplicara </w:t>
      </w:r>
      <w:r w:rsidRPr="00F375E2">
        <w:rPr>
          <w:rFonts w:ascii="Arial" w:eastAsia="Arial" w:hAnsi="Arial" w:cs="Arial"/>
          <w:color w:val="000000" w:themeColor="text1"/>
          <w:sz w:val="22"/>
          <w:szCs w:val="22"/>
          <w:lang w:val="es-ES_tradnl" w:eastAsia="es-ES" w:bidi="es-ES"/>
        </w:rPr>
        <w:lastRenderedPageBreak/>
        <w:t xml:space="preserve">para el </w:t>
      </w:r>
      <w:proofErr w:type="gramStart"/>
      <w:r w:rsidRPr="00F375E2">
        <w:rPr>
          <w:rFonts w:ascii="Arial" w:eastAsia="Arial" w:hAnsi="Arial" w:cs="Arial"/>
          <w:color w:val="000000" w:themeColor="text1"/>
          <w:sz w:val="22"/>
          <w:szCs w:val="22"/>
          <w:lang w:val="es-ES_tradnl" w:eastAsia="es-ES" w:bidi="es-ES"/>
        </w:rPr>
        <w:t>Presidente</w:t>
      </w:r>
      <w:proofErr w:type="gramEnd"/>
      <w:r w:rsidRPr="00F375E2">
        <w:rPr>
          <w:rFonts w:ascii="Arial" w:eastAsia="Arial" w:hAnsi="Arial" w:cs="Arial"/>
          <w:color w:val="000000" w:themeColor="text1"/>
          <w:sz w:val="22"/>
          <w:szCs w:val="22"/>
          <w:lang w:val="es-ES_tradnl" w:eastAsia="es-ES" w:bidi="es-ES"/>
        </w:rPr>
        <w:t xml:space="preserv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w:t>
      </w:r>
    </w:p>
    <w:p w14:paraId="6071C368" w14:textId="349D9473" w:rsidR="009F7970" w:rsidRPr="00F375E2" w:rsidRDefault="009F290C" w:rsidP="00F375E2">
      <w:pPr>
        <w:tabs>
          <w:tab w:val="left" w:pos="426"/>
        </w:tabs>
        <w:spacing w:before="240" w:line="276" w:lineRule="auto"/>
        <w:jc w:val="both"/>
        <w:rPr>
          <w:rFonts w:ascii="Arial" w:eastAsia="Calibri" w:hAnsi="Arial" w:cs="Arial"/>
          <w:b/>
          <w:bCs/>
          <w:color w:val="000000" w:themeColor="text1"/>
          <w:sz w:val="22"/>
          <w:szCs w:val="22"/>
          <w:lang w:val="es-ES_tradnl"/>
        </w:rPr>
      </w:pPr>
      <w:r w:rsidRPr="00F375E2">
        <w:rPr>
          <w:rFonts w:ascii="Arial" w:hAnsi="Arial" w:cs="Arial"/>
          <w:b/>
          <w:color w:val="000000" w:themeColor="text1"/>
          <w:sz w:val="22"/>
          <w:szCs w:val="22"/>
          <w:lang w:val="es-ES_tradnl" w:eastAsia="es-CO"/>
        </w:rPr>
        <w:t xml:space="preserve">2.2. Análisis de la </w:t>
      </w:r>
      <w:r w:rsidRPr="00F375E2">
        <w:rPr>
          <w:rFonts w:ascii="Arial" w:eastAsia="Calibri" w:hAnsi="Arial" w:cs="Arial"/>
          <w:b/>
          <w:bCs/>
          <w:color w:val="000000" w:themeColor="text1"/>
          <w:sz w:val="22"/>
          <w:szCs w:val="22"/>
          <w:lang w:val="es-ES_tradnl"/>
        </w:rPr>
        <w:t>prohibición a la contratación directa contenida en la Ley de Garantías Electorales</w:t>
      </w:r>
      <w:r w:rsidR="009F7970" w:rsidRPr="00F375E2">
        <w:rPr>
          <w:rFonts w:ascii="Arial" w:eastAsia="Calibri" w:hAnsi="Arial" w:cs="Arial"/>
          <w:b/>
          <w:bCs/>
          <w:color w:val="000000" w:themeColor="text1"/>
          <w:sz w:val="22"/>
          <w:szCs w:val="22"/>
          <w:lang w:val="es-ES_tradnl"/>
        </w:rPr>
        <w:t>: prohibición del artículo 33 de la Ley 996 de 2005</w:t>
      </w:r>
    </w:p>
    <w:p w14:paraId="55C7AC46" w14:textId="04B9A168" w:rsidR="009F290C" w:rsidRPr="00F375E2" w:rsidRDefault="009F290C" w:rsidP="009D07A2">
      <w:pPr>
        <w:spacing w:before="240" w:line="276" w:lineRule="auto"/>
        <w:jc w:val="both"/>
        <w:rPr>
          <w:rFonts w:ascii="Arial" w:hAnsi="Arial" w:cs="Arial"/>
          <w:bCs/>
          <w:color w:val="000000" w:themeColor="text1"/>
          <w:sz w:val="22"/>
          <w:szCs w:val="22"/>
          <w:lang w:val="es-ES_tradnl" w:eastAsia="es-CO"/>
        </w:rPr>
      </w:pPr>
      <w:r w:rsidRPr="00F375E2">
        <w:rPr>
          <w:rFonts w:ascii="Arial" w:hAnsi="Arial" w:cs="Arial"/>
          <w:bCs/>
          <w:color w:val="000000" w:themeColor="text1"/>
          <w:sz w:val="22"/>
          <w:szCs w:val="22"/>
          <w:lang w:val="es-ES_tradnl" w:eastAsia="x-none"/>
        </w:rPr>
        <w:t xml:space="preserve">El ámbito material de la prohibición contenida </w:t>
      </w:r>
      <w:bookmarkStart w:id="10" w:name="_Hlk75628761"/>
      <w:r w:rsidRPr="00F375E2">
        <w:rPr>
          <w:rFonts w:ascii="Arial" w:hAnsi="Arial" w:cs="Arial"/>
          <w:bCs/>
          <w:color w:val="000000" w:themeColor="text1"/>
          <w:sz w:val="22"/>
          <w:szCs w:val="22"/>
          <w:lang w:val="es-ES_tradnl" w:eastAsia="x-none"/>
        </w:rPr>
        <w:t>en el artículo 33 de la ley 996 de 2005</w:t>
      </w:r>
      <w:bookmarkEnd w:id="10"/>
      <w:r w:rsidRPr="00F375E2">
        <w:rPr>
          <w:rFonts w:ascii="Arial" w:hAnsi="Arial" w:cs="Arial"/>
          <w:bCs/>
          <w:color w:val="000000" w:themeColor="text1"/>
          <w:sz w:val="22"/>
          <w:szCs w:val="22"/>
          <w:lang w:val="es-ES_tradnl" w:eastAsia="x-none"/>
        </w:rPr>
        <w:t xml:space="preserve">, está delimitado por la expresión </w:t>
      </w:r>
      <w:r w:rsidRPr="00F375E2">
        <w:rPr>
          <w:rFonts w:ascii="Arial" w:eastAsia="Calibri" w:hAnsi="Arial" w:cs="Arial"/>
          <w:bCs/>
          <w:color w:val="000000" w:themeColor="text1"/>
          <w:sz w:val="22"/>
          <w:szCs w:val="22"/>
          <w:lang w:val="es-ES_tradnl"/>
        </w:rPr>
        <w:t>«</w:t>
      </w:r>
      <w:r w:rsidRPr="00F375E2">
        <w:rPr>
          <w:rFonts w:ascii="Arial" w:hAnsi="Arial" w:cs="Arial"/>
          <w:bCs/>
          <w:color w:val="000000" w:themeColor="text1"/>
          <w:sz w:val="22"/>
          <w:szCs w:val="22"/>
          <w:lang w:val="es-ES_tradnl" w:eastAsia="x-none"/>
        </w:rPr>
        <w:t>queda prohibida la contratación directa</w:t>
      </w:r>
      <w:r w:rsidRPr="00F375E2">
        <w:rPr>
          <w:rFonts w:ascii="Arial" w:hAnsi="Arial" w:cs="Arial"/>
          <w:color w:val="000000" w:themeColor="text1"/>
          <w:sz w:val="22"/>
          <w:szCs w:val="22"/>
          <w:lang w:val="es-ES_tradnl"/>
        </w:rPr>
        <w:t>»</w:t>
      </w:r>
      <w:r w:rsidRPr="00F375E2">
        <w:rPr>
          <w:rFonts w:ascii="Arial" w:hAnsi="Arial" w:cs="Arial"/>
          <w:bCs/>
          <w:color w:val="000000" w:themeColor="text1"/>
          <w:sz w:val="22"/>
          <w:szCs w:val="22"/>
          <w:lang w:val="es-ES_tradnl" w:eastAsia="x-none"/>
        </w:rPr>
        <w:t xml:space="preserve">. </w:t>
      </w:r>
      <w:r w:rsidRPr="00F375E2">
        <w:rPr>
          <w:rFonts w:ascii="Arial" w:hAnsi="Arial" w:cs="Arial"/>
          <w:color w:val="000000" w:themeColor="text1"/>
          <w:sz w:val="22"/>
          <w:szCs w:val="22"/>
          <w:lang w:val="es-ES_tradnl" w:eastAsia="es-CO"/>
        </w:rPr>
        <w:t>A propósito de esta restricción de la Ley de Garantías Electorales, la Sala de Consulta y Servicio Civil del Consejo de Estado ha considerado que:</w:t>
      </w:r>
    </w:p>
    <w:p w14:paraId="6828F01D" w14:textId="77777777" w:rsidR="009F290C" w:rsidRPr="00F375E2" w:rsidRDefault="009F290C" w:rsidP="009D07A2">
      <w:pPr>
        <w:spacing w:before="240"/>
        <w:ind w:left="709" w:right="709"/>
        <w:jc w:val="both"/>
        <w:rPr>
          <w:rFonts w:ascii="Arial" w:hAnsi="Arial" w:cs="Arial"/>
          <w:color w:val="000000" w:themeColor="text1"/>
          <w:sz w:val="21"/>
          <w:szCs w:val="21"/>
          <w:lang w:val="es-ES_tradnl"/>
        </w:rPr>
      </w:pPr>
      <w:r w:rsidRPr="00F375E2">
        <w:rPr>
          <w:rFonts w:ascii="Arial" w:hAnsi="Arial" w:cs="Arial"/>
          <w:color w:val="000000" w:themeColor="text1"/>
          <w:sz w:val="21"/>
          <w:szCs w:val="21"/>
          <w:lang w:val="es-ES_tradnl"/>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F375E2">
        <w:rPr>
          <w:rStyle w:val="Refdenotaalpie"/>
          <w:color w:val="000000" w:themeColor="text1"/>
        </w:rPr>
        <w:footnoteReference w:id="11"/>
      </w:r>
      <w:r w:rsidRPr="00F375E2">
        <w:rPr>
          <w:rFonts w:ascii="Arial" w:hAnsi="Arial" w:cs="Arial"/>
          <w:color w:val="000000" w:themeColor="text1"/>
          <w:sz w:val="21"/>
          <w:szCs w:val="21"/>
          <w:lang w:val="es-ES_tradnl"/>
        </w:rPr>
        <w:t>.</w:t>
      </w:r>
    </w:p>
    <w:p w14:paraId="133C9EF5" w14:textId="77777777" w:rsidR="009F290C" w:rsidRPr="00F375E2" w:rsidRDefault="009F290C" w:rsidP="009D07A2">
      <w:pPr>
        <w:spacing w:before="240"/>
        <w:ind w:left="709" w:right="709"/>
        <w:jc w:val="both"/>
        <w:rPr>
          <w:rFonts w:ascii="Arial" w:hAnsi="Arial" w:cs="Arial"/>
          <w:color w:val="000000" w:themeColor="text1"/>
          <w:sz w:val="21"/>
          <w:szCs w:val="21"/>
          <w:lang w:val="es-ES_tradnl"/>
        </w:rPr>
      </w:pPr>
      <w:r w:rsidRPr="00F375E2">
        <w:rPr>
          <w:rFonts w:ascii="Arial" w:hAnsi="Arial" w:cs="Arial"/>
          <w:color w:val="000000" w:themeColor="text1"/>
          <w:sz w:val="21"/>
          <w:szCs w:val="21"/>
          <w:lang w:val="es-ES_tradnl"/>
        </w:rPr>
        <w:t xml:space="preserve">Esta Sala ha entendido que para los efectos de la ley de garantías, y dada su finalidad, el enunciado «contratación directa» es sinónimo </w:t>
      </w:r>
      <w:bookmarkStart w:id="13" w:name="_Hlk75741738"/>
      <w:r w:rsidRPr="00F375E2">
        <w:rPr>
          <w:rFonts w:ascii="Arial" w:hAnsi="Arial" w:cs="Arial"/>
          <w:color w:val="000000" w:themeColor="text1"/>
          <w:sz w:val="21"/>
          <w:szCs w:val="21"/>
          <w:lang w:val="es-ES_tradnl"/>
        </w:rPr>
        <w:t xml:space="preserve">de cualquier sistema que no implique convocatoria pública y posibilidad de pluralidad de oferentes, </w:t>
      </w:r>
      <w:bookmarkEnd w:id="13"/>
      <w:r w:rsidRPr="00F375E2">
        <w:rPr>
          <w:rFonts w:ascii="Arial" w:hAnsi="Arial" w:cs="Arial"/>
          <w:color w:val="000000" w:themeColor="text1"/>
          <w:sz w:val="21"/>
          <w:szCs w:val="21"/>
          <w:lang w:val="es-ES_tradnl"/>
        </w:rPr>
        <w:t>y que, además, no necesariamente hace referencia al procedimiento especial regulado por la ley de contratación estatal, sino a cualquier otro que prescinda de un proceso de licitación pública o concurso</w:t>
      </w:r>
      <w:r w:rsidRPr="00F375E2">
        <w:rPr>
          <w:rStyle w:val="Refdenotaalpie"/>
          <w:color w:val="000000" w:themeColor="text1"/>
        </w:rPr>
        <w:footnoteReference w:id="12"/>
      </w:r>
      <w:r w:rsidRPr="00F375E2">
        <w:rPr>
          <w:rFonts w:ascii="Arial" w:hAnsi="Arial" w:cs="Arial"/>
          <w:color w:val="000000" w:themeColor="text1"/>
          <w:sz w:val="21"/>
          <w:szCs w:val="21"/>
          <w:vertAlign w:val="superscript"/>
          <w:lang w:val="es-ES_tradnl"/>
        </w:rPr>
        <w:t>.</w:t>
      </w:r>
      <w:r w:rsidRPr="00F375E2">
        <w:rPr>
          <w:rFonts w:ascii="Arial" w:hAnsi="Arial" w:cs="Arial"/>
          <w:color w:val="000000" w:themeColor="text1"/>
          <w:sz w:val="21"/>
          <w:szCs w:val="21"/>
          <w:lang w:val="es-ES_tradnl"/>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w:t>
      </w:r>
      <w:r w:rsidRPr="00F375E2">
        <w:rPr>
          <w:rStyle w:val="Refdenotaalpie"/>
          <w:color w:val="000000" w:themeColor="text1"/>
        </w:rPr>
        <w:footnoteReference w:id="13"/>
      </w:r>
      <w:r w:rsidRPr="00F375E2">
        <w:rPr>
          <w:rFonts w:ascii="Arial" w:hAnsi="Arial" w:cs="Arial"/>
          <w:color w:val="000000" w:themeColor="text1"/>
          <w:sz w:val="21"/>
          <w:szCs w:val="21"/>
          <w:lang w:val="es-ES_tradnl"/>
        </w:rPr>
        <w:t xml:space="preserve"> </w:t>
      </w:r>
    </w:p>
    <w:p w14:paraId="162D05B8" w14:textId="2138CE95" w:rsidR="009F7970" w:rsidRPr="00F375E2" w:rsidRDefault="009F7970" w:rsidP="009D07A2">
      <w:pPr>
        <w:spacing w:before="240" w:line="276" w:lineRule="auto"/>
        <w:ind w:firstLine="709"/>
        <w:jc w:val="both"/>
        <w:rPr>
          <w:rFonts w:ascii="Arial" w:hAnsi="Arial" w:cs="Arial"/>
          <w:color w:val="000000" w:themeColor="text1"/>
          <w:sz w:val="22"/>
          <w:szCs w:val="22"/>
          <w:lang w:val="es-ES_tradnl" w:eastAsia="x-none"/>
        </w:rPr>
      </w:pPr>
      <w:r w:rsidRPr="00F375E2">
        <w:rPr>
          <w:rFonts w:ascii="Arial" w:hAnsi="Arial" w:cs="Arial"/>
          <w:color w:val="000000" w:themeColor="text1"/>
          <w:sz w:val="22"/>
          <w:szCs w:val="22"/>
          <w:lang w:val="es-ES_tradnl" w:eastAsia="x-none"/>
        </w:rPr>
        <w:lastRenderedPageBreak/>
        <w:t xml:space="preserve">De acuerdo con el citado concepto, la prohibición del artículo 33 de la Ley de Garantías Electorales se refiere a </w:t>
      </w:r>
      <w:r w:rsidRPr="00F375E2">
        <w:rPr>
          <w:rFonts w:ascii="Arial" w:hAnsi="Arial" w:cs="Arial"/>
          <w:color w:val="000000" w:themeColor="text1"/>
          <w:sz w:val="19"/>
          <w:szCs w:val="19"/>
          <w:lang w:val="es-ES_tradnl"/>
        </w:rPr>
        <w:t>«</w:t>
      </w:r>
      <w:r w:rsidRPr="00F375E2">
        <w:rPr>
          <w:rFonts w:ascii="Arial" w:hAnsi="Arial" w:cs="Arial"/>
          <w:color w:val="000000" w:themeColor="text1"/>
          <w:sz w:val="22"/>
          <w:szCs w:val="22"/>
          <w:lang w:val="es-ES_tradnl" w:eastAsia="x-none"/>
        </w:rPr>
        <w:t>cualquier sistema que no implique convocatoria pública y posibilidad de pluralidad de oferentes</w:t>
      </w:r>
      <w:r w:rsidRPr="00F375E2">
        <w:rPr>
          <w:rFonts w:ascii="Arial" w:hAnsi="Arial" w:cs="Arial"/>
          <w:color w:val="000000" w:themeColor="text1"/>
          <w:sz w:val="22"/>
          <w:szCs w:val="22"/>
          <w:lang w:val="es-ES_tradnl"/>
        </w:rPr>
        <w:t>»</w:t>
      </w:r>
      <w:r w:rsidRPr="00F375E2">
        <w:rPr>
          <w:rFonts w:ascii="Arial" w:hAnsi="Arial" w:cs="Arial"/>
          <w:color w:val="000000" w:themeColor="text1"/>
          <w:sz w:val="22"/>
          <w:szCs w:val="22"/>
          <w:lang w:val="es-ES_tradnl" w:eastAsia="x-none"/>
        </w:rPr>
        <w:t>, por lo que excluye las demás modalidades de contratación previstas en la Ley 1150 de 2007, es decir, la licitación pública, la selección abreviada, el concurso de méritos y la mínima cuantía u otros previstos en normas especiales, que contemplen en alguna de sus etapas la posible participación de pluralidad de oferentes. Esta posición es congruente con la expedición de la Ley 1150 de 2007 que, entre otras reformas, introdujo la selección abreviada, rediseñó el concurso de méritos</w:t>
      </w:r>
      <w:r w:rsidRPr="00F375E2">
        <w:rPr>
          <w:rFonts w:ascii="Arial" w:hAnsi="Arial" w:cs="Arial"/>
          <w:color w:val="000000" w:themeColor="text1"/>
          <w:sz w:val="22"/>
          <w:szCs w:val="22"/>
          <w:vertAlign w:val="superscript"/>
          <w:lang w:val="es-ES_tradnl" w:eastAsia="x-none"/>
        </w:rPr>
        <w:footnoteReference w:id="14"/>
      </w:r>
      <w:r w:rsidRPr="00F375E2">
        <w:rPr>
          <w:rFonts w:ascii="Arial" w:hAnsi="Arial" w:cs="Arial"/>
          <w:color w:val="000000" w:themeColor="text1"/>
          <w:sz w:val="22"/>
          <w:szCs w:val="22"/>
          <w:lang w:val="es-ES_tradnl" w:eastAsia="x-none"/>
        </w:rPr>
        <w:t xml:space="preserve"> y sistematizó las causales de contratación directa</w:t>
      </w:r>
      <w:r w:rsidRPr="00F375E2">
        <w:rPr>
          <w:rFonts w:ascii="Arial" w:hAnsi="Arial" w:cs="Arial"/>
          <w:color w:val="000000" w:themeColor="text1"/>
          <w:sz w:val="22"/>
          <w:szCs w:val="22"/>
          <w:vertAlign w:val="superscript"/>
          <w:lang w:val="es-ES_tradnl" w:eastAsia="x-none"/>
        </w:rPr>
        <w:footnoteReference w:id="15"/>
      </w:r>
      <w:r w:rsidRPr="00F375E2">
        <w:rPr>
          <w:rFonts w:ascii="Arial" w:hAnsi="Arial" w:cs="Arial"/>
          <w:color w:val="000000" w:themeColor="text1"/>
          <w:sz w:val="22"/>
          <w:szCs w:val="22"/>
          <w:lang w:val="es-ES_tradnl" w:eastAsia="x-none"/>
        </w:rPr>
        <w:t xml:space="preserve">, </w:t>
      </w:r>
      <w:r w:rsidRPr="00F375E2">
        <w:rPr>
          <w:rFonts w:ascii="Arial" w:eastAsiaTheme="minorHAnsi" w:hAnsi="Arial" w:cs="Arial"/>
          <w:color w:val="000000" w:themeColor="text1"/>
          <w:sz w:val="22"/>
          <w:lang w:eastAsia="x-none"/>
        </w:rPr>
        <w:t>además lo es con la posterior creación de la modalidad de mínima cuantía establecida actualmente en el numeral 5 del artículo 2 de la Ley 1150 de 2007, de acuerdo con las modificaciones realizadas por leyes posteriores.</w:t>
      </w:r>
      <w:r w:rsidRPr="00F375E2">
        <w:rPr>
          <w:rFonts w:ascii="Arial" w:hAnsi="Arial" w:cs="Arial"/>
          <w:color w:val="000000" w:themeColor="text1"/>
          <w:sz w:val="22"/>
          <w:szCs w:val="22"/>
          <w:lang w:val="es-ES_tradnl" w:eastAsia="x-none"/>
        </w:rPr>
        <w:t xml:space="preserve"> </w:t>
      </w:r>
    </w:p>
    <w:p w14:paraId="11AD7219" w14:textId="77777777" w:rsidR="009F290C" w:rsidRPr="00F375E2" w:rsidRDefault="009F290C" w:rsidP="009D07A2">
      <w:pPr>
        <w:spacing w:before="240" w:line="276" w:lineRule="auto"/>
        <w:ind w:firstLine="709"/>
        <w:jc w:val="both"/>
        <w:rPr>
          <w:rFonts w:ascii="Arial" w:hAnsi="Arial" w:cs="Arial"/>
          <w:color w:val="000000" w:themeColor="text1"/>
          <w:sz w:val="22"/>
          <w:szCs w:val="22"/>
          <w:lang w:val="es-ES_tradnl" w:eastAsia="x-none"/>
        </w:rPr>
      </w:pPr>
      <w:r w:rsidRPr="00F375E2">
        <w:rPr>
          <w:rFonts w:ascii="Arial" w:hAnsi="Arial" w:cs="Arial"/>
          <w:color w:val="000000" w:themeColor="text1"/>
          <w:sz w:val="22"/>
          <w:szCs w:val="22"/>
          <w:lang w:val="es-ES_tradnl" w:eastAsia="x-none"/>
        </w:rPr>
        <w:t xml:space="preserve">De esta forma, con fundamento en la evolución de la normativa sobre la contratación pública, se ha depurado la noción de </w:t>
      </w:r>
      <w:r w:rsidRPr="00F375E2">
        <w:rPr>
          <w:rFonts w:ascii="Arial" w:hAnsi="Arial" w:cs="Arial"/>
          <w:color w:val="000000" w:themeColor="text1"/>
          <w:sz w:val="22"/>
          <w:szCs w:val="22"/>
          <w:lang w:val="es-ES_tradnl"/>
        </w:rPr>
        <w:t>«</w:t>
      </w:r>
      <w:r w:rsidRPr="00F375E2">
        <w:rPr>
          <w:rFonts w:ascii="Arial" w:hAnsi="Arial" w:cs="Arial"/>
          <w:color w:val="000000" w:themeColor="text1"/>
          <w:sz w:val="22"/>
          <w:szCs w:val="22"/>
          <w:lang w:val="es-ES_tradnl" w:eastAsia="x-none"/>
        </w:rPr>
        <w:t>contratación directa</w:t>
      </w:r>
      <w:r w:rsidRPr="00F375E2">
        <w:rPr>
          <w:rFonts w:ascii="Arial" w:hAnsi="Arial" w:cs="Arial"/>
          <w:color w:val="000000" w:themeColor="text1"/>
          <w:sz w:val="22"/>
          <w:szCs w:val="22"/>
          <w:lang w:val="es-ES_tradnl"/>
        </w:rPr>
        <w:t>»</w:t>
      </w:r>
      <w:r w:rsidRPr="00F375E2">
        <w:rPr>
          <w:rFonts w:ascii="Arial" w:hAnsi="Arial" w:cs="Arial"/>
          <w:color w:val="000000" w:themeColor="text1"/>
          <w:sz w:val="22"/>
          <w:szCs w:val="22"/>
          <w:lang w:val="es-ES_tradnl"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F375E2">
        <w:rPr>
          <w:rStyle w:val="Refdenotaalpie"/>
          <w:color w:val="000000" w:themeColor="text1"/>
        </w:rPr>
        <w:footnoteReference w:id="16"/>
      </w:r>
      <w:r w:rsidRPr="00F375E2">
        <w:rPr>
          <w:rFonts w:ascii="Arial" w:hAnsi="Arial" w:cs="Arial"/>
          <w:color w:val="000000" w:themeColor="text1"/>
          <w:sz w:val="22"/>
          <w:szCs w:val="22"/>
          <w:lang w:val="es-ES_tradnl" w:eastAsia="x-none"/>
        </w:rPr>
        <w:t>, han establecido sistemas de contratación que implican convocatoria pública y participación de varios oferentes</w:t>
      </w:r>
      <w:r w:rsidRPr="00F375E2">
        <w:rPr>
          <w:rFonts w:ascii="Arial" w:hAnsi="Arial" w:cs="Arial"/>
          <w:color w:val="000000" w:themeColor="text1"/>
          <w:sz w:val="22"/>
          <w:szCs w:val="22"/>
          <w:lang w:val="es-ES_tradnl"/>
        </w:rPr>
        <w:t>»</w:t>
      </w:r>
      <w:r w:rsidRPr="00F375E2">
        <w:rPr>
          <w:rFonts w:ascii="Arial" w:hAnsi="Arial" w:cs="Arial"/>
          <w:color w:val="000000" w:themeColor="text1"/>
          <w:sz w:val="22"/>
          <w:szCs w:val="22"/>
          <w:lang w:val="es-ES_tradnl" w:eastAsia="x-none"/>
        </w:rPr>
        <w:t xml:space="preserve">. </w:t>
      </w:r>
    </w:p>
    <w:p w14:paraId="45FED6DD" w14:textId="77777777" w:rsidR="009F290C" w:rsidRPr="00F375E2" w:rsidRDefault="009F290C" w:rsidP="009D07A2">
      <w:pPr>
        <w:spacing w:before="240" w:line="276" w:lineRule="auto"/>
        <w:ind w:firstLine="709"/>
        <w:jc w:val="both"/>
        <w:rPr>
          <w:rFonts w:ascii="Arial" w:hAnsi="Arial" w:cs="Arial"/>
          <w:color w:val="000000" w:themeColor="text1"/>
          <w:sz w:val="22"/>
          <w:szCs w:val="22"/>
          <w:lang w:val="es-ES_tradnl" w:eastAsia="x-none"/>
        </w:rPr>
      </w:pPr>
      <w:r w:rsidRPr="00F375E2">
        <w:rPr>
          <w:rFonts w:ascii="Arial" w:hAnsi="Arial" w:cs="Arial"/>
          <w:bCs/>
          <w:color w:val="000000" w:themeColor="text1"/>
          <w:sz w:val="22"/>
          <w:szCs w:val="22"/>
          <w:lang w:val="es-ES_tradnl" w:eastAsia="x-none"/>
        </w:rPr>
        <w:t>E</w:t>
      </w:r>
      <w:r w:rsidRPr="00F375E2">
        <w:rPr>
          <w:rFonts w:ascii="Arial" w:hAnsi="Arial" w:cs="Arial"/>
          <w:color w:val="000000" w:themeColor="text1"/>
          <w:sz w:val="22"/>
          <w:szCs w:val="22"/>
          <w:lang w:val="es-ES_tradnl" w:eastAsia="x-none"/>
        </w:rPr>
        <w:t xml:space="preserve">n efecto, vale la pena mencionar que, </w:t>
      </w:r>
      <w:bookmarkStart w:id="16" w:name="_Hlk75636073"/>
      <w:r w:rsidRPr="00F375E2">
        <w:rPr>
          <w:rFonts w:ascii="Arial" w:hAnsi="Arial" w:cs="Arial"/>
          <w:color w:val="000000" w:themeColor="text1"/>
          <w:sz w:val="22"/>
          <w:szCs w:val="22"/>
          <w:lang w:val="es-ES_tradnl" w:eastAsia="x-none"/>
        </w:rPr>
        <w:t>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bookmarkEnd w:id="16"/>
      <w:r w:rsidRPr="00F375E2">
        <w:rPr>
          <w:rStyle w:val="Refdenotaalpie"/>
          <w:color w:val="000000" w:themeColor="text1"/>
        </w:rPr>
        <w:footnoteReference w:id="17"/>
      </w:r>
      <w:r w:rsidRPr="00F375E2">
        <w:rPr>
          <w:rFonts w:ascii="Arial" w:hAnsi="Arial" w:cs="Arial"/>
          <w:color w:val="000000" w:themeColor="text1"/>
          <w:sz w:val="22"/>
          <w:szCs w:val="22"/>
          <w:lang w:val="es-ES_tradnl" w:eastAsia="x-none"/>
        </w:rPr>
        <w:t xml:space="preserve">. </w:t>
      </w:r>
    </w:p>
    <w:p w14:paraId="5C85B573" w14:textId="1B59EA58" w:rsidR="009F290C" w:rsidRPr="00F375E2" w:rsidRDefault="009F290C" w:rsidP="009D07A2">
      <w:pPr>
        <w:spacing w:before="240" w:line="276" w:lineRule="auto"/>
        <w:ind w:firstLine="709"/>
        <w:jc w:val="both"/>
        <w:rPr>
          <w:rFonts w:ascii="Arial" w:hAnsi="Arial" w:cs="Arial"/>
          <w:bCs/>
          <w:color w:val="000000" w:themeColor="text1"/>
          <w:sz w:val="22"/>
          <w:szCs w:val="22"/>
          <w:lang w:val="es-ES_tradnl" w:eastAsia="es-CO"/>
        </w:rPr>
      </w:pPr>
      <w:r w:rsidRPr="00F375E2">
        <w:rPr>
          <w:rFonts w:ascii="Arial" w:hAnsi="Arial" w:cs="Arial"/>
          <w:bCs/>
          <w:color w:val="000000" w:themeColor="text1"/>
          <w:sz w:val="22"/>
          <w:szCs w:val="22"/>
          <w:lang w:val="es-ES_tradnl" w:eastAsia="es-CO"/>
        </w:rPr>
        <w:t xml:space="preserve">Como se advierte de lo anterior, el Consejo de Estado realiza una interpretación amplia de la contratación directa, para efectos de aplicar las restricciones establecidas en </w:t>
      </w:r>
      <w:r w:rsidRPr="00F375E2">
        <w:rPr>
          <w:rFonts w:ascii="Arial" w:hAnsi="Arial" w:cs="Arial"/>
          <w:bCs/>
          <w:color w:val="000000" w:themeColor="text1"/>
          <w:sz w:val="22"/>
          <w:szCs w:val="22"/>
          <w:lang w:val="es-ES_tradnl" w:eastAsia="es-CO"/>
        </w:rPr>
        <w:lastRenderedPageBreak/>
        <w:t xml:space="preserve">la Ley de Garantías, al señalar que no solo aplica frente a las entidades sometidas al Estatuto </w:t>
      </w:r>
      <w:r w:rsidR="00BD5F2C" w:rsidRPr="00F375E2">
        <w:rPr>
          <w:rFonts w:ascii="Arial" w:hAnsi="Arial" w:cs="Arial"/>
          <w:bCs/>
          <w:color w:val="000000" w:themeColor="text1"/>
          <w:sz w:val="22"/>
          <w:szCs w:val="22"/>
          <w:lang w:val="es-ES_tradnl" w:eastAsia="es-CO"/>
        </w:rPr>
        <w:t>G</w:t>
      </w:r>
      <w:r w:rsidRPr="00F375E2">
        <w:rPr>
          <w:rFonts w:ascii="Arial" w:hAnsi="Arial" w:cs="Arial"/>
          <w:bCs/>
          <w:color w:val="000000" w:themeColor="text1"/>
          <w:sz w:val="22"/>
          <w:szCs w:val="22"/>
          <w:lang w:val="es-ES_tradnl" w:eastAsia="es-CO"/>
        </w:rPr>
        <w:t>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108EDC77" w14:textId="77777777" w:rsidR="009F290C" w:rsidRPr="00F375E2" w:rsidRDefault="009F290C" w:rsidP="009D07A2">
      <w:pPr>
        <w:spacing w:before="240" w:line="276" w:lineRule="auto"/>
        <w:ind w:firstLine="709"/>
        <w:jc w:val="both"/>
        <w:rPr>
          <w:rFonts w:ascii="Arial" w:hAnsi="Arial" w:cs="Arial"/>
          <w:color w:val="000000" w:themeColor="text1"/>
          <w:sz w:val="22"/>
          <w:szCs w:val="22"/>
          <w:vertAlign w:val="superscript"/>
          <w:lang w:val="es-ES_tradnl" w:eastAsia="x-none"/>
        </w:rPr>
      </w:pPr>
      <w:bookmarkStart w:id="17" w:name="_Hlk78818796"/>
      <w:r w:rsidRPr="00F375E2">
        <w:rPr>
          <w:rFonts w:ascii="Arial" w:hAnsi="Arial" w:cs="Arial"/>
          <w:bCs/>
          <w:color w:val="000000" w:themeColor="text1"/>
          <w:sz w:val="22"/>
          <w:szCs w:val="22"/>
          <w:lang w:val="es-ES_tradnl" w:eastAsia="x-none"/>
        </w:rPr>
        <w:t>Así las cosas,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F375E2">
        <w:rPr>
          <w:rStyle w:val="Refdenotaalpie"/>
          <w:color w:val="000000" w:themeColor="text1"/>
        </w:rPr>
        <w:footnoteReference w:id="18"/>
      </w:r>
      <w:r w:rsidRPr="00F375E2">
        <w:rPr>
          <w:rFonts w:ascii="Arial" w:hAnsi="Arial" w:cs="Arial"/>
          <w:bCs/>
          <w:color w:val="000000" w:themeColor="text1"/>
          <w:sz w:val="22"/>
          <w:szCs w:val="22"/>
          <w:lang w:val="es-ES_tradnl" w:eastAsia="x-none"/>
        </w:rPr>
        <w:t>.</w:t>
      </w:r>
      <w:r w:rsidRPr="00F375E2">
        <w:rPr>
          <w:rFonts w:ascii="Arial" w:hAnsi="Arial" w:cs="Arial"/>
          <w:color w:val="000000" w:themeColor="text1"/>
          <w:sz w:val="22"/>
          <w:szCs w:val="22"/>
          <w:vertAlign w:val="superscript"/>
          <w:lang w:val="es-ES_tradnl" w:eastAsia="x-none"/>
        </w:rPr>
        <w:t xml:space="preserve"> </w:t>
      </w:r>
    </w:p>
    <w:bookmarkEnd w:id="17"/>
    <w:p w14:paraId="53AC72FB" w14:textId="637FFEFE" w:rsidR="009F290C" w:rsidRPr="00F375E2" w:rsidRDefault="009F290C" w:rsidP="009D07A2">
      <w:pPr>
        <w:spacing w:before="240" w:line="276" w:lineRule="auto"/>
        <w:ind w:firstLine="709"/>
        <w:jc w:val="both"/>
        <w:rPr>
          <w:rFonts w:ascii="Arial" w:hAnsi="Arial" w:cs="Arial"/>
          <w:color w:val="000000" w:themeColor="text1"/>
          <w:sz w:val="22"/>
          <w:szCs w:val="22"/>
          <w:lang w:val="es-ES_tradnl" w:eastAsia="x-none"/>
        </w:rPr>
      </w:pPr>
      <w:r w:rsidRPr="00F375E2">
        <w:rPr>
          <w:rFonts w:ascii="Arial" w:hAnsi="Arial" w:cs="Arial"/>
          <w:bCs/>
          <w:color w:val="000000" w:themeColor="text1"/>
          <w:sz w:val="22"/>
          <w:szCs w:val="22"/>
          <w:lang w:val="es-ES_tradnl" w:eastAsia="x-none"/>
        </w:rPr>
        <w:t>De lo anterior se desprende que la restricción aplica, sin perjuicio de las excepciones establecidas en la misma ley, para celebrar cualquier contrato de forma directa, esto es, sin que exista un proceso abierto y competitivo.</w:t>
      </w:r>
      <w:r w:rsidRPr="00F375E2">
        <w:rPr>
          <w:rFonts w:ascii="Arial" w:hAnsi="Arial" w:cs="Arial"/>
          <w:color w:val="000000" w:themeColor="text1"/>
          <w:sz w:val="22"/>
          <w:szCs w:val="22"/>
          <w:lang w:val="es-ES_tradnl" w:eastAsia="x-none"/>
        </w:rPr>
        <w:t xml:space="preserve"> Por tanto, no son materia de la prohibición las demás modalidades de selección previstas en la Ley 1150 de 2007, es decir, la licitación pública, el concurso de méritos, la selección abreviada y la mínima cuantía, razón por la cual en ese período preelectoral de que trata la disposición las entidades públicas </w:t>
      </w:r>
      <w:r w:rsidR="00BD5F2C" w:rsidRPr="00F375E2">
        <w:rPr>
          <w:rFonts w:ascii="Arial" w:hAnsi="Arial" w:cs="Arial"/>
          <w:color w:val="000000" w:themeColor="text1"/>
          <w:sz w:val="22"/>
          <w:szCs w:val="22"/>
          <w:lang w:val="es-ES_tradnl" w:eastAsia="x-none"/>
        </w:rPr>
        <w:t xml:space="preserve">pueden </w:t>
      </w:r>
      <w:r w:rsidRPr="00F375E2">
        <w:rPr>
          <w:rFonts w:ascii="Arial" w:hAnsi="Arial" w:cs="Arial"/>
          <w:color w:val="000000" w:themeColor="text1"/>
          <w:sz w:val="22"/>
          <w:szCs w:val="22"/>
          <w:lang w:val="es-ES_tradnl" w:eastAsia="x-none"/>
        </w:rPr>
        <w:t>seguir contratando bajo estos sistemas.</w:t>
      </w:r>
    </w:p>
    <w:p w14:paraId="19C3F867" w14:textId="77777777" w:rsidR="009F290C" w:rsidRPr="00F375E2" w:rsidRDefault="009F290C" w:rsidP="009D07A2">
      <w:pPr>
        <w:spacing w:before="240" w:line="276" w:lineRule="auto"/>
        <w:ind w:firstLine="709"/>
        <w:jc w:val="both"/>
        <w:rPr>
          <w:rFonts w:ascii="Arial" w:hAnsi="Arial" w:cs="Arial"/>
          <w:color w:val="000000" w:themeColor="text1"/>
          <w:sz w:val="22"/>
          <w:szCs w:val="22"/>
          <w:lang w:eastAsia="x-none"/>
        </w:rPr>
      </w:pPr>
      <w:r w:rsidRPr="00F375E2">
        <w:rPr>
          <w:rFonts w:ascii="Arial" w:hAnsi="Arial" w:cs="Arial"/>
          <w:color w:val="000000" w:themeColor="text1"/>
          <w:sz w:val="22"/>
          <w:szCs w:val="22"/>
          <w:lang w:eastAsia="x-none"/>
        </w:rPr>
        <w:t>Como en otras oportunidades lo ha manifestado esta Agencia, las prórrogas, modificaciones o adiciones de los contratos suscritos antes de la entrada en vigencia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p>
    <w:p w14:paraId="0E1D4C81" w14:textId="56E6008D" w:rsidR="009F290C" w:rsidRPr="00F375E2" w:rsidRDefault="009F290C" w:rsidP="009D07A2">
      <w:pPr>
        <w:spacing w:before="240" w:line="276" w:lineRule="auto"/>
        <w:ind w:firstLine="709"/>
        <w:jc w:val="both"/>
        <w:rPr>
          <w:rFonts w:ascii="Arial" w:hAnsi="Arial" w:cs="Arial"/>
          <w:color w:val="000000" w:themeColor="text1"/>
          <w:sz w:val="22"/>
          <w:szCs w:val="22"/>
          <w:lang w:val="es-ES_tradnl" w:eastAsia="x-none"/>
        </w:rPr>
      </w:pPr>
      <w:r w:rsidRPr="00F375E2">
        <w:rPr>
          <w:rFonts w:ascii="Arial" w:hAnsi="Arial" w:cs="Arial"/>
          <w:color w:val="000000" w:themeColor="text1"/>
          <w:sz w:val="22"/>
          <w:szCs w:val="22"/>
          <w:lang w:val="es-ES_tradnl" w:eastAsia="x-none"/>
        </w:rPr>
        <w:t xml:space="preserve">De hecho, esta fue la postura que asumió en su momento Colombia Compra Eficiente en la Circular No. 3 del 16 de agosto de 2013, expedida con el fin de establecer unas pautas para el cumplimiento de las restricciones a la contratación pública establecidas en la Ley 996 de 2005, en los meses anteriores a las elecciones presidenciales que tuvieron lugar en el 2014. En el texto de la mencionada Circular, en relación con la restricción del artículo 33 ibidem, la Agencia sostuvo que «Las prórrogas, modificaciones o adiciones, y la cesión de los contratos suscritos antes del período de la campaña presidencial están permitidas durante la campaña de acuerdo con lo establecido en las normas aplicables, siempre que tales prórrogas, modificaciones o adiciones, y cesiones cumplan los principios </w:t>
      </w:r>
      <w:r w:rsidRPr="00F375E2">
        <w:rPr>
          <w:rFonts w:ascii="Arial" w:hAnsi="Arial" w:cs="Arial"/>
          <w:color w:val="000000" w:themeColor="text1"/>
          <w:sz w:val="22"/>
          <w:szCs w:val="22"/>
          <w:lang w:val="es-ES_tradnl" w:eastAsia="x-none"/>
        </w:rPr>
        <w:lastRenderedPageBreak/>
        <w:t>de planeación, transparencia y responsabilidad»</w:t>
      </w:r>
      <w:r w:rsidRPr="00F375E2">
        <w:rPr>
          <w:rStyle w:val="Refdenotaalpie"/>
          <w:rFonts w:ascii="Arial" w:hAnsi="Arial" w:cs="Arial"/>
          <w:color w:val="000000" w:themeColor="text1"/>
          <w:sz w:val="22"/>
          <w:szCs w:val="22"/>
          <w:lang w:val="es-ES_tradnl" w:eastAsia="x-none"/>
        </w:rPr>
        <w:footnoteReference w:id="19"/>
      </w:r>
      <w:r w:rsidR="009F7970" w:rsidRPr="00F375E2">
        <w:rPr>
          <w:rFonts w:ascii="Arial" w:hAnsi="Arial" w:cs="Arial"/>
          <w:color w:val="000000" w:themeColor="text1"/>
          <w:sz w:val="22"/>
          <w:szCs w:val="22"/>
          <w:lang w:val="es-ES_tradnl" w:eastAsia="x-none"/>
        </w:rPr>
        <w:t>.</w:t>
      </w:r>
      <w:r w:rsidR="00BD5F2C" w:rsidRPr="00F375E2">
        <w:rPr>
          <w:rFonts w:ascii="Arial" w:hAnsi="Arial" w:cs="Arial"/>
          <w:color w:val="000000" w:themeColor="text1"/>
          <w:sz w:val="22"/>
          <w:szCs w:val="22"/>
          <w:lang w:val="es-ES_tradnl" w:eastAsia="x-none"/>
        </w:rPr>
        <w:t xml:space="preserve"> Dicha postura, además, se ratifica en la Circular Externa Única de Colombia Compra Eficiente</w:t>
      </w:r>
      <w:r w:rsidR="00C863ED" w:rsidRPr="00F375E2">
        <w:rPr>
          <w:rStyle w:val="Refdenotaalpie"/>
          <w:rFonts w:ascii="Arial" w:hAnsi="Arial" w:cs="Arial"/>
          <w:color w:val="000000" w:themeColor="text1"/>
          <w:sz w:val="22"/>
          <w:szCs w:val="22"/>
          <w:lang w:val="es-ES_tradnl" w:eastAsia="x-none"/>
        </w:rPr>
        <w:footnoteReference w:id="20"/>
      </w:r>
      <w:r w:rsidR="00BD5F2C" w:rsidRPr="00F375E2">
        <w:rPr>
          <w:rFonts w:ascii="Arial" w:hAnsi="Arial" w:cs="Arial"/>
          <w:color w:val="000000" w:themeColor="text1"/>
          <w:sz w:val="22"/>
          <w:szCs w:val="22"/>
          <w:lang w:val="es-ES_tradnl" w:eastAsia="x-none"/>
        </w:rPr>
        <w:t>.</w:t>
      </w:r>
    </w:p>
    <w:p w14:paraId="150CB67A" w14:textId="40664BFC" w:rsidR="009F290C" w:rsidRPr="00F375E2" w:rsidRDefault="009F290C" w:rsidP="009D07A2">
      <w:pPr>
        <w:spacing w:before="240" w:line="276" w:lineRule="auto"/>
        <w:ind w:firstLine="709"/>
        <w:jc w:val="both"/>
        <w:rPr>
          <w:rFonts w:ascii="Arial" w:hAnsi="Arial" w:cs="Arial"/>
          <w:color w:val="000000" w:themeColor="text1"/>
          <w:sz w:val="22"/>
          <w:szCs w:val="22"/>
          <w:lang w:eastAsia="x-none"/>
        </w:rPr>
      </w:pPr>
      <w:r w:rsidRPr="00F375E2">
        <w:rPr>
          <w:rFonts w:ascii="Arial" w:hAnsi="Arial" w:cs="Arial"/>
          <w:color w:val="000000" w:themeColor="text1"/>
          <w:sz w:val="22"/>
          <w:szCs w:val="22"/>
          <w:lang w:eastAsia="x-none"/>
        </w:rPr>
        <w:t>De otro lado, las excepciones a la restricción prevista en la Ley de Garantías, con fundamento en las cuales podrán las entidades públicas adelantar procedimientos de selección directa en períodos previos a la contienda electoral por la Presidencia, se encuentran consagradas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23C10FFC" w14:textId="4095C367" w:rsidR="009F290C" w:rsidRPr="00F375E2" w:rsidRDefault="009F290C" w:rsidP="009D07A2">
      <w:pPr>
        <w:spacing w:before="240" w:line="276" w:lineRule="auto"/>
        <w:ind w:firstLine="709"/>
        <w:jc w:val="both"/>
        <w:rPr>
          <w:rFonts w:ascii="Arial" w:hAnsi="Arial" w:cs="Arial"/>
          <w:color w:val="000000" w:themeColor="text1"/>
          <w:sz w:val="22"/>
          <w:szCs w:val="22"/>
          <w:lang w:eastAsia="x-none"/>
        </w:rPr>
      </w:pPr>
      <w:r w:rsidRPr="00F375E2">
        <w:rPr>
          <w:rFonts w:ascii="Arial" w:hAnsi="Arial" w:cs="Arial"/>
          <w:color w:val="000000" w:themeColor="text1"/>
          <w:sz w:val="22"/>
          <w:szCs w:val="22"/>
          <w:lang w:eastAsia="x-none"/>
        </w:rPr>
        <w:t>En esta labor es importante tener en cuenta, como lo anotó la Corte Constitucional, en Sentencia C-1153 de noviembre 11 de 2005, que «si bien la limitación garantiza la igualdad de condiciones, también es necesario que tal limitación que pretende la igualdad no termine yendo en detrimento de intereses públicos, cuya garantía está en cabeza del ejecutivo, como son los inmersos en las excepciones para la prohibición de contratación»</w:t>
      </w:r>
      <w:r w:rsidR="004E0B45" w:rsidRPr="00F375E2">
        <w:rPr>
          <w:rFonts w:ascii="Arial" w:hAnsi="Arial" w:cs="Arial"/>
          <w:color w:val="000000" w:themeColor="text1"/>
          <w:sz w:val="22"/>
          <w:szCs w:val="22"/>
          <w:lang w:eastAsia="x-none"/>
        </w:rPr>
        <w:t xml:space="preserve">. </w:t>
      </w:r>
      <w:r w:rsidRPr="00F375E2">
        <w:rPr>
          <w:rFonts w:ascii="Arial" w:hAnsi="Arial" w:cs="Arial"/>
          <w:color w:val="000000" w:themeColor="text1"/>
          <w:sz w:val="22"/>
          <w:szCs w:val="22"/>
          <w:lang w:eastAsia="x-none"/>
        </w:rPr>
        <w:t>De ahí que la Corte haya hecho particular énfasis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p>
    <w:p w14:paraId="45A93A5E" w14:textId="77777777" w:rsidR="009F290C" w:rsidRPr="00F375E2" w:rsidRDefault="009F290C" w:rsidP="009D07A2">
      <w:pPr>
        <w:spacing w:before="240" w:line="276" w:lineRule="auto"/>
        <w:ind w:firstLine="708"/>
        <w:jc w:val="both"/>
        <w:rPr>
          <w:rFonts w:ascii="Arial" w:hAnsi="Arial" w:cs="Arial"/>
          <w:bCs/>
          <w:color w:val="000000" w:themeColor="text1"/>
          <w:sz w:val="22"/>
          <w:lang w:eastAsia="x-none"/>
        </w:rPr>
      </w:pPr>
      <w:r w:rsidRPr="00F375E2">
        <w:rPr>
          <w:rFonts w:ascii="Arial" w:hAnsi="Arial" w:cs="Arial"/>
          <w:bCs/>
          <w:color w:val="000000" w:themeColor="text1"/>
          <w:sz w:val="22"/>
          <w:lang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F375E2">
        <w:rPr>
          <w:color w:val="000000" w:themeColor="text1"/>
        </w:rPr>
        <w:t xml:space="preserve"> </w:t>
      </w:r>
      <w:r w:rsidRPr="00F375E2">
        <w:rPr>
          <w:rFonts w:ascii="Arial" w:hAnsi="Arial" w:cs="Arial"/>
          <w:bCs/>
          <w:color w:val="000000" w:themeColor="text1"/>
          <w:sz w:val="22"/>
          <w:lang w:eastAsia="x-none"/>
        </w:rPr>
        <w:t xml:space="preserve">En efecto, tal como lo ha sostenido el Consejo de Estado, el vocablo </w:t>
      </w:r>
      <w:bookmarkStart w:id="18" w:name="_Hlk75632581"/>
      <w:r w:rsidRPr="00F375E2">
        <w:rPr>
          <w:rFonts w:ascii="Arial" w:hAnsi="Arial" w:cs="Arial"/>
          <w:bCs/>
          <w:color w:val="000000" w:themeColor="text1"/>
          <w:sz w:val="22"/>
          <w:lang w:eastAsia="x-none"/>
        </w:rPr>
        <w:t>«</w:t>
      </w:r>
      <w:bookmarkEnd w:id="18"/>
      <w:r w:rsidRPr="00F375E2">
        <w:rPr>
          <w:rFonts w:ascii="Arial" w:hAnsi="Arial" w:cs="Arial"/>
          <w:bCs/>
          <w:color w:val="000000" w:themeColor="text1"/>
          <w:sz w:val="22"/>
          <w:lang w:eastAsia="x-none"/>
        </w:rPr>
        <w:t>todos» utilizado por el legislador comprende</w:t>
      </w:r>
      <w:r w:rsidRPr="00F375E2">
        <w:rPr>
          <w:color w:val="000000" w:themeColor="text1"/>
        </w:rPr>
        <w:t xml:space="preserve"> </w:t>
      </w:r>
      <w:r w:rsidRPr="00F375E2">
        <w:rPr>
          <w:rFonts w:ascii="Arial" w:hAnsi="Arial" w:cs="Arial"/>
          <w:bCs/>
          <w:color w:val="000000" w:themeColor="text1"/>
          <w:sz w:val="22"/>
          <w:lang w:eastAsia="x-none"/>
        </w:rPr>
        <w:t xml:space="preserve">a la totalidad de los entes del Estado, sin distinción del régimen jurídico, forma de organización o naturaleza, su pertenencia a una u otra rama del poder </w:t>
      </w:r>
      <w:r w:rsidRPr="00F375E2">
        <w:rPr>
          <w:rFonts w:ascii="Arial" w:hAnsi="Arial" w:cs="Arial"/>
          <w:bCs/>
          <w:color w:val="000000" w:themeColor="text1"/>
          <w:sz w:val="22"/>
          <w:lang w:eastAsia="x-none"/>
        </w:rPr>
        <w:lastRenderedPageBreak/>
        <w:t xml:space="preserve">público o su autonomía, e incluso si las entidades estatales tienen régimen especial de contratación y están exceptuadas del ámbito de aplicación del Estatuto General de Contratación de la Administración Pública. El Consejo de Estado, en Concepto con radicado 1727 de fecha 20 de febrero de 2006, consideró que: </w:t>
      </w:r>
    </w:p>
    <w:p w14:paraId="08311207" w14:textId="77777777" w:rsidR="009F290C" w:rsidRPr="00F375E2" w:rsidRDefault="009F290C" w:rsidP="009D07A2">
      <w:pPr>
        <w:spacing w:before="240"/>
        <w:ind w:left="708" w:right="709"/>
        <w:jc w:val="both"/>
        <w:rPr>
          <w:rFonts w:ascii="Arial" w:hAnsi="Arial" w:cs="Arial"/>
          <w:bCs/>
          <w:color w:val="000000" w:themeColor="text1"/>
          <w:sz w:val="21"/>
          <w:szCs w:val="21"/>
          <w:lang w:eastAsia="es-CO"/>
        </w:rPr>
      </w:pPr>
      <w:r w:rsidRPr="00F375E2">
        <w:rPr>
          <w:rFonts w:ascii="Arial" w:hAnsi="Arial" w:cs="Arial"/>
          <w:bCs/>
          <w:color w:val="000000" w:themeColor="text1"/>
          <w:sz w:val="21"/>
          <w:szCs w:val="21"/>
          <w:lang w:eastAsia="x-none"/>
        </w:rPr>
        <w:t xml:space="preserve">El artículo 33 de la ley 996 de 2005, </w:t>
      </w:r>
      <w:bookmarkStart w:id="19" w:name="_Hlk75787147"/>
      <w:r w:rsidRPr="00F375E2">
        <w:rPr>
          <w:rFonts w:ascii="Arial" w:hAnsi="Arial" w:cs="Arial"/>
          <w:bCs/>
          <w:color w:val="000000" w:themeColor="text1"/>
          <w:sz w:val="21"/>
          <w:szCs w:val="21"/>
          <w:lang w:eastAsia="x-none"/>
        </w:rPr>
        <w:t xml:space="preserve">efectivamente se aplica </w:t>
      </w:r>
      <w:bookmarkStart w:id="20" w:name="_Hlk76074089"/>
      <w:r w:rsidRPr="00F375E2">
        <w:rPr>
          <w:rFonts w:ascii="Arial" w:hAnsi="Arial" w:cs="Arial"/>
          <w:bCs/>
          <w:color w:val="000000" w:themeColor="text1"/>
          <w:sz w:val="21"/>
          <w:szCs w:val="21"/>
          <w:lang w:eastAsia="x-none"/>
        </w:rPr>
        <w:t>incluso a las entidades estatales con régimen especial de contratación y que están exceptuadas del ámbito de aplicación del Estatuto General de Contratación de la Administración Pública</w:t>
      </w:r>
      <w:bookmarkEnd w:id="20"/>
      <w:r w:rsidRPr="00F375E2">
        <w:rPr>
          <w:rFonts w:ascii="Arial" w:hAnsi="Arial" w:cs="Arial"/>
          <w:bCs/>
          <w:color w:val="000000" w:themeColor="text1"/>
          <w:sz w:val="21"/>
          <w:szCs w:val="21"/>
          <w:lang w:eastAsia="x-none"/>
        </w:rPr>
        <w:t>,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F375E2">
        <w:rPr>
          <w:rStyle w:val="Refdenotaalpie"/>
          <w:rFonts w:ascii="Arial" w:hAnsi="Arial" w:cs="Arial"/>
          <w:bCs/>
          <w:color w:val="000000" w:themeColor="text1"/>
          <w:sz w:val="21"/>
          <w:szCs w:val="21"/>
          <w:lang w:eastAsia="x-none"/>
        </w:rPr>
        <w:footnoteReference w:id="21"/>
      </w:r>
      <w:r w:rsidRPr="00F375E2">
        <w:rPr>
          <w:rFonts w:ascii="Arial" w:hAnsi="Arial" w:cs="Arial"/>
          <w:bCs/>
          <w:color w:val="000000" w:themeColor="text1"/>
          <w:sz w:val="21"/>
          <w:szCs w:val="21"/>
          <w:lang w:eastAsia="x-none"/>
        </w:rPr>
        <w:t>.</w:t>
      </w:r>
      <w:r w:rsidRPr="00F375E2">
        <w:rPr>
          <w:rFonts w:ascii="Arial" w:hAnsi="Arial" w:cs="Arial"/>
          <w:bCs/>
          <w:color w:val="000000" w:themeColor="text1"/>
          <w:sz w:val="21"/>
          <w:szCs w:val="21"/>
          <w:lang w:eastAsia="es-CO"/>
        </w:rPr>
        <w:t xml:space="preserve"> </w:t>
      </w:r>
    </w:p>
    <w:p w14:paraId="5D8D3CE8" w14:textId="77777777" w:rsidR="009F290C" w:rsidRPr="00F375E2" w:rsidRDefault="009F290C" w:rsidP="009D07A2">
      <w:pPr>
        <w:spacing w:before="240" w:line="276" w:lineRule="auto"/>
        <w:ind w:firstLine="708"/>
        <w:jc w:val="both"/>
        <w:rPr>
          <w:rFonts w:ascii="Arial" w:hAnsi="Arial" w:cs="Arial"/>
          <w:color w:val="000000" w:themeColor="text1"/>
          <w:sz w:val="22"/>
        </w:rPr>
      </w:pPr>
      <w:r w:rsidRPr="00F375E2">
        <w:rPr>
          <w:rFonts w:ascii="Arial" w:hAnsi="Arial" w:cs="Arial"/>
          <w:bCs/>
          <w:color w:val="000000" w:themeColor="text1"/>
          <w:sz w:val="22"/>
          <w:lang w:eastAsia="x-none"/>
        </w:rPr>
        <w:t>En Concepto con radicado 1738 de 6 de abril de 2006, esa misma Corporación manifestó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bookmarkStart w:id="21" w:name="_Hlk75635823"/>
      <w:r w:rsidRPr="00F375E2">
        <w:rPr>
          <w:rFonts w:ascii="Arial" w:hAnsi="Arial" w:cs="Arial"/>
          <w:bCs/>
          <w:color w:val="000000" w:themeColor="text1"/>
          <w:sz w:val="22"/>
          <w:lang w:eastAsia="x-none"/>
        </w:rPr>
        <w:t>»</w:t>
      </w:r>
      <w:bookmarkStart w:id="22" w:name="_Hlk75758868"/>
      <w:bookmarkStart w:id="23" w:name="_Hlk75741220"/>
      <w:bookmarkEnd w:id="21"/>
      <w:r w:rsidRPr="00F375E2">
        <w:rPr>
          <w:rStyle w:val="Refdenotaalpie"/>
          <w:rFonts w:ascii="Arial" w:hAnsi="Arial" w:cs="Arial"/>
          <w:color w:val="000000" w:themeColor="text1"/>
        </w:rPr>
        <w:footnoteReference w:id="22"/>
      </w:r>
      <w:bookmarkEnd w:id="22"/>
      <w:bookmarkEnd w:id="23"/>
      <w:r w:rsidRPr="00F375E2">
        <w:rPr>
          <w:rFonts w:ascii="Arial" w:hAnsi="Arial" w:cs="Arial"/>
          <w:bCs/>
          <w:color w:val="000000" w:themeColor="text1"/>
          <w:sz w:val="22"/>
          <w:lang w:eastAsia="x-none"/>
        </w:rPr>
        <w:t>.</w:t>
      </w:r>
      <w:r w:rsidRPr="00F375E2">
        <w:rPr>
          <w:rFonts w:ascii="Arial" w:hAnsi="Arial" w:cs="Arial"/>
          <w:color w:val="000000" w:themeColor="text1"/>
          <w:sz w:val="22"/>
        </w:rPr>
        <w:t xml:space="preserve"> Sin embargo, debe precisarse el siguiente aspecto que distinguió la Sala de Consulta y Servicio Civil:</w:t>
      </w:r>
    </w:p>
    <w:p w14:paraId="0E666A20" w14:textId="77777777" w:rsidR="009F290C" w:rsidRPr="00F375E2" w:rsidRDefault="009F290C" w:rsidP="009D07A2">
      <w:pPr>
        <w:spacing w:before="240"/>
        <w:ind w:left="708" w:right="709"/>
        <w:jc w:val="both"/>
        <w:rPr>
          <w:rFonts w:ascii="Arial" w:hAnsi="Arial" w:cs="Arial"/>
          <w:color w:val="000000" w:themeColor="text1"/>
          <w:sz w:val="21"/>
          <w:szCs w:val="21"/>
        </w:rPr>
      </w:pPr>
      <w:bookmarkStart w:id="25" w:name="_Hlk75811446"/>
      <w:r w:rsidRPr="00F375E2">
        <w:rPr>
          <w:rFonts w:ascii="Arial" w:hAnsi="Arial" w:cs="Arial"/>
          <w:color w:val="000000" w:themeColor="text1"/>
          <w:sz w:val="21"/>
          <w:szCs w:val="21"/>
        </w:rPr>
        <w:t xml:space="preserve">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w:t>
      </w:r>
      <w:r w:rsidRPr="00F375E2">
        <w:rPr>
          <w:rFonts w:ascii="Arial" w:hAnsi="Arial" w:cs="Arial"/>
          <w:color w:val="000000" w:themeColor="text1"/>
          <w:sz w:val="21"/>
          <w:szCs w:val="21"/>
        </w:rPr>
        <w:lastRenderedPageBreak/>
        <w:t>los contratos existentes, pues significaría la parálisis de una actividad propia de la administración, que incluso podría desconocer los derechos fundamentales</w:t>
      </w:r>
      <w:bookmarkEnd w:id="25"/>
      <w:r w:rsidRPr="00F375E2">
        <w:rPr>
          <w:rStyle w:val="Refdenotaalpie"/>
          <w:rFonts w:ascii="Arial" w:hAnsi="Arial" w:cs="Arial"/>
          <w:color w:val="000000" w:themeColor="text1"/>
        </w:rPr>
        <w:footnoteReference w:id="23"/>
      </w:r>
      <w:r w:rsidRPr="00F375E2">
        <w:rPr>
          <w:rFonts w:ascii="Arial" w:hAnsi="Arial" w:cs="Arial"/>
          <w:bCs/>
          <w:color w:val="000000" w:themeColor="text1"/>
          <w:sz w:val="22"/>
          <w:lang w:eastAsia="x-none"/>
        </w:rPr>
        <w:t>.</w:t>
      </w:r>
    </w:p>
    <w:p w14:paraId="0A01F8F0" w14:textId="77777777" w:rsidR="009F290C" w:rsidRPr="00F375E2" w:rsidRDefault="009F290C" w:rsidP="009D07A2">
      <w:pPr>
        <w:spacing w:before="240" w:line="276" w:lineRule="auto"/>
        <w:ind w:firstLine="709"/>
        <w:jc w:val="both"/>
        <w:rPr>
          <w:rFonts w:ascii="Arial" w:hAnsi="Arial" w:cs="Arial"/>
          <w:bCs/>
          <w:color w:val="000000" w:themeColor="text1"/>
          <w:sz w:val="22"/>
          <w:lang w:eastAsia="x-none"/>
        </w:rPr>
      </w:pPr>
      <w:r w:rsidRPr="00F375E2">
        <w:rPr>
          <w:rFonts w:ascii="Arial" w:hAnsi="Arial" w:cs="Arial"/>
          <w:color w:val="000000" w:themeColor="text1"/>
          <w:sz w:val="22"/>
        </w:rPr>
        <w:t>Aplicando este razonamiento,</w:t>
      </w:r>
      <w:bookmarkStart w:id="26" w:name="_Hlk75811096"/>
      <w:r w:rsidRPr="00F375E2">
        <w:rPr>
          <w:rFonts w:ascii="Arial" w:hAnsi="Arial" w:cs="Arial"/>
          <w:color w:val="000000" w:themeColor="text1"/>
          <w:sz w:val="22"/>
        </w:rPr>
        <w:t xml:space="preserve"> se tiene que las empresas industriales y comerciales del estado y las empresas de servicios públicos oficiales y mixtas no pueden adquirir los suministros de bienes y servicios necesarios para la realización de su actividad por contratación directa sino por mecanismos competitivos que impliquen convocatoria pública y la posibilidad de pluralidad de oferentes, pero, «es obvio que si una de estas entidades va a prestar un servicio a un particular, lo puede hacer, pues estos se ofrecen a toda la comunidad en condiciones de igualdad. Si se supusiera que está prohibida su contratación directa, significaría la parálisis de tal actividad de interés público, lo que de ninguna manera es lo querido por la ley 996 de 2005</w:t>
      </w:r>
      <w:bookmarkEnd w:id="26"/>
      <w:r w:rsidRPr="00F375E2">
        <w:rPr>
          <w:rFonts w:ascii="Arial" w:hAnsi="Arial" w:cs="Arial"/>
          <w:color w:val="000000" w:themeColor="text1"/>
          <w:sz w:val="22"/>
        </w:rPr>
        <w:t>»</w:t>
      </w:r>
      <w:r w:rsidRPr="00F375E2">
        <w:rPr>
          <w:rStyle w:val="Refdenotaalpie"/>
          <w:rFonts w:ascii="Arial" w:hAnsi="Arial" w:cs="Arial"/>
          <w:color w:val="000000" w:themeColor="text1"/>
        </w:rPr>
        <w:t xml:space="preserve"> </w:t>
      </w:r>
      <w:r w:rsidRPr="00F375E2">
        <w:rPr>
          <w:rStyle w:val="Refdenotaalpie"/>
          <w:rFonts w:ascii="Arial" w:hAnsi="Arial" w:cs="Arial"/>
          <w:color w:val="000000" w:themeColor="text1"/>
          <w:sz w:val="22"/>
        </w:rPr>
        <w:footnoteReference w:id="24"/>
      </w:r>
      <w:r w:rsidRPr="00F375E2">
        <w:rPr>
          <w:rFonts w:ascii="Arial" w:hAnsi="Arial" w:cs="Arial"/>
          <w:color w:val="000000" w:themeColor="text1"/>
          <w:sz w:val="22"/>
        </w:rPr>
        <w:t>.</w:t>
      </w:r>
    </w:p>
    <w:p w14:paraId="08B7C238" w14:textId="55A47EC5" w:rsidR="009F290C" w:rsidRPr="00F375E2" w:rsidRDefault="009F290C" w:rsidP="009D07A2">
      <w:pPr>
        <w:spacing w:before="240" w:line="276" w:lineRule="auto"/>
        <w:ind w:firstLine="708"/>
        <w:jc w:val="both"/>
        <w:rPr>
          <w:rFonts w:ascii="Arial" w:hAnsi="Arial" w:cs="Arial"/>
          <w:bCs/>
          <w:color w:val="000000" w:themeColor="text1"/>
          <w:sz w:val="22"/>
          <w:lang w:eastAsia="x-none"/>
        </w:rPr>
      </w:pPr>
      <w:bookmarkStart w:id="27" w:name="_Hlk77237229"/>
      <w:bookmarkEnd w:id="19"/>
      <w:r w:rsidRPr="00F375E2">
        <w:rPr>
          <w:rFonts w:ascii="Arial" w:hAnsi="Arial" w:cs="Arial"/>
          <w:color w:val="000000" w:themeColor="text1"/>
          <w:sz w:val="22"/>
        </w:rPr>
        <w:t>Por lo tanto, la restricción prevista en la Ley 996 de 200</w:t>
      </w:r>
      <w:bookmarkStart w:id="28" w:name="_Hlk75741539"/>
      <w:r w:rsidRPr="00F375E2">
        <w:rPr>
          <w:rFonts w:ascii="Arial" w:hAnsi="Arial" w:cs="Arial"/>
          <w:color w:val="000000" w:themeColor="text1"/>
          <w:sz w:val="22"/>
        </w:rPr>
        <w:t xml:space="preserve">5, </w:t>
      </w:r>
      <w:r w:rsidRPr="00F375E2">
        <w:rPr>
          <w:rFonts w:ascii="Arial" w:hAnsi="Arial" w:cs="Arial"/>
          <w:bCs/>
          <w:color w:val="000000" w:themeColor="text1"/>
          <w:sz w:val="22"/>
          <w:lang w:eastAsia="x-none"/>
        </w:rPr>
        <w:t>teniendo en cuenta la finalidad de la ley de garantías electorales, cobija a cualquier ente público que pueda a través de la contratación directa romper el equilibrio entre los partidos y los candidatos en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p>
    <w:p w14:paraId="5966E8D0" w14:textId="721D8488" w:rsidR="00003882" w:rsidRPr="00F375E2" w:rsidRDefault="00BC3A5B" w:rsidP="009D07A2">
      <w:pPr>
        <w:spacing w:before="240" w:line="276" w:lineRule="auto"/>
        <w:ind w:firstLine="709"/>
        <w:jc w:val="both"/>
        <w:rPr>
          <w:rFonts w:ascii="Arial" w:eastAsia="Arial" w:hAnsi="Arial" w:cs="Arial"/>
          <w:bCs/>
          <w:color w:val="000000" w:themeColor="text1"/>
          <w:sz w:val="22"/>
          <w:szCs w:val="22"/>
        </w:rPr>
      </w:pPr>
      <w:r w:rsidRPr="00F375E2">
        <w:rPr>
          <w:rFonts w:ascii="Arial" w:eastAsia="Arial" w:hAnsi="Arial" w:cs="Arial"/>
          <w:bCs/>
          <w:color w:val="000000" w:themeColor="text1"/>
          <w:sz w:val="22"/>
          <w:szCs w:val="22"/>
        </w:rPr>
        <w:t xml:space="preserve">No </w:t>
      </w:r>
      <w:proofErr w:type="gramStart"/>
      <w:r w:rsidRPr="00F375E2">
        <w:rPr>
          <w:rFonts w:ascii="Arial" w:eastAsia="Arial" w:hAnsi="Arial" w:cs="Arial"/>
          <w:bCs/>
          <w:color w:val="000000" w:themeColor="text1"/>
          <w:sz w:val="22"/>
          <w:szCs w:val="22"/>
        </w:rPr>
        <w:t>obstante</w:t>
      </w:r>
      <w:proofErr w:type="gramEnd"/>
      <w:r w:rsidRPr="00F375E2">
        <w:rPr>
          <w:rFonts w:ascii="Arial" w:eastAsia="Arial" w:hAnsi="Arial" w:cs="Arial"/>
          <w:bCs/>
          <w:color w:val="000000" w:themeColor="text1"/>
          <w:sz w:val="22"/>
          <w:szCs w:val="22"/>
        </w:rPr>
        <w:t xml:space="preserve"> lo anterior, </w:t>
      </w:r>
      <w:r w:rsidR="00003882" w:rsidRPr="00F375E2">
        <w:rPr>
          <w:rFonts w:ascii="Arial" w:eastAsia="Arial" w:hAnsi="Arial" w:cs="Arial"/>
          <w:bCs/>
          <w:color w:val="000000" w:themeColor="text1"/>
          <w:sz w:val="22"/>
          <w:szCs w:val="22"/>
        </w:rPr>
        <w:t>es necesario señalar que el inciso 2 del mismo artículo consagra excepciones a dicha prohibición sin hacer distingo entre entidades sino como se explicó, atendiendo a la naturaleza de las funciones y actividades que ellas desarrollen. Así las cosas, no es relevante ni la nominación ni el régimen aplicable para la respectiva entidad, sino que basta con que la misma desarrolle cierto tipo de actividades cuya contratación, por su naturaleza especialmente sensible, no admiten postergación, entre ellas las realizadas por entidades sanitarias u hospitalarias.</w:t>
      </w:r>
    </w:p>
    <w:p w14:paraId="5BFE6BAC" w14:textId="77777777" w:rsidR="00003882" w:rsidRPr="00F375E2" w:rsidRDefault="00003882" w:rsidP="009D07A2">
      <w:pPr>
        <w:tabs>
          <w:tab w:val="left" w:pos="426"/>
        </w:tabs>
        <w:spacing w:before="240" w:line="276" w:lineRule="auto"/>
        <w:jc w:val="both"/>
        <w:rPr>
          <w:rFonts w:ascii="Arial" w:hAnsi="Arial" w:cs="Arial"/>
          <w:bCs/>
          <w:color w:val="000000" w:themeColor="text1"/>
          <w:sz w:val="22"/>
          <w:lang w:val="es-ES_tradnl"/>
        </w:rPr>
      </w:pPr>
      <w:r w:rsidRPr="00F375E2">
        <w:rPr>
          <w:rFonts w:ascii="Arial" w:eastAsia="Arial" w:hAnsi="Arial" w:cs="Arial"/>
          <w:bCs/>
          <w:color w:val="000000" w:themeColor="text1"/>
          <w:sz w:val="22"/>
          <w:szCs w:val="22"/>
        </w:rPr>
        <w:tab/>
      </w:r>
      <w:r w:rsidRPr="00F375E2">
        <w:rPr>
          <w:rFonts w:ascii="Arial" w:eastAsia="Arial" w:hAnsi="Arial" w:cs="Arial"/>
          <w:bCs/>
          <w:color w:val="000000" w:themeColor="text1"/>
          <w:sz w:val="22"/>
          <w:szCs w:val="22"/>
        </w:rPr>
        <w:tab/>
        <w:t xml:space="preserve">Al respecto, es importante reiterar que </w:t>
      </w:r>
      <w:r w:rsidRPr="00F375E2">
        <w:rPr>
          <w:rFonts w:ascii="Arial" w:hAnsi="Arial" w:cs="Arial"/>
          <w:bCs/>
          <w:color w:val="000000" w:themeColor="text1"/>
          <w:sz w:val="22"/>
          <w:lang w:val="es-ES_tradnl"/>
        </w:rPr>
        <w:t>el segundo inciso del artículo 33 de la Ley de Garantías Electorales consagró las excepciones aplicables a la prohibición de contratación directa establecida en el mismo artículo. Como se indicó, las excepciones a la prohibición del artículo 33 de la norma mencionada son las siguientes:</w:t>
      </w:r>
    </w:p>
    <w:p w14:paraId="4A7585D8" w14:textId="77777777" w:rsidR="00003882" w:rsidRPr="00F375E2" w:rsidRDefault="00003882" w:rsidP="009D07A2">
      <w:pPr>
        <w:tabs>
          <w:tab w:val="left" w:pos="709"/>
        </w:tabs>
        <w:spacing w:before="240" w:line="276" w:lineRule="auto"/>
        <w:jc w:val="both"/>
        <w:rPr>
          <w:rFonts w:ascii="Arial" w:hAnsi="Arial" w:cs="Arial"/>
          <w:bCs/>
          <w:color w:val="000000" w:themeColor="text1"/>
          <w:sz w:val="22"/>
          <w:lang w:val="es-ES_tradnl"/>
        </w:rPr>
      </w:pPr>
      <w:r w:rsidRPr="00F375E2">
        <w:rPr>
          <w:rFonts w:ascii="Arial" w:hAnsi="Arial" w:cs="Arial"/>
          <w:bCs/>
          <w:color w:val="000000" w:themeColor="text1"/>
          <w:sz w:val="22"/>
          <w:lang w:val="es-ES_tradnl"/>
        </w:rPr>
        <w:tab/>
        <w:t>i) La contratación referente a la defensa y seguridad del Estado;</w:t>
      </w:r>
    </w:p>
    <w:p w14:paraId="199C7993" w14:textId="77777777" w:rsidR="00003882" w:rsidRPr="00F375E2" w:rsidRDefault="00003882" w:rsidP="009D07A2">
      <w:pPr>
        <w:tabs>
          <w:tab w:val="left" w:pos="709"/>
        </w:tabs>
        <w:spacing w:before="240" w:line="276" w:lineRule="auto"/>
        <w:jc w:val="both"/>
        <w:rPr>
          <w:rFonts w:ascii="Arial" w:hAnsi="Arial" w:cs="Arial"/>
          <w:bCs/>
          <w:color w:val="000000" w:themeColor="text1"/>
          <w:sz w:val="22"/>
          <w:lang w:val="es-ES_tradnl"/>
        </w:rPr>
      </w:pPr>
      <w:r w:rsidRPr="00F375E2">
        <w:rPr>
          <w:rFonts w:ascii="Arial" w:hAnsi="Arial" w:cs="Arial"/>
          <w:bCs/>
          <w:color w:val="000000" w:themeColor="text1"/>
          <w:sz w:val="22"/>
          <w:lang w:val="es-ES_tradnl"/>
        </w:rPr>
        <w:lastRenderedPageBreak/>
        <w:tab/>
        <w:t>ii) Los contratos de crédito público;</w:t>
      </w:r>
    </w:p>
    <w:p w14:paraId="22F0C888" w14:textId="77777777" w:rsidR="00003882" w:rsidRPr="00F375E2" w:rsidRDefault="00003882" w:rsidP="009D07A2">
      <w:pPr>
        <w:tabs>
          <w:tab w:val="left" w:pos="709"/>
        </w:tabs>
        <w:spacing w:before="240" w:line="276" w:lineRule="auto"/>
        <w:jc w:val="both"/>
        <w:rPr>
          <w:rFonts w:ascii="Arial" w:hAnsi="Arial" w:cs="Arial"/>
          <w:bCs/>
          <w:color w:val="000000" w:themeColor="text1"/>
          <w:sz w:val="22"/>
          <w:lang w:val="es-ES_tradnl"/>
        </w:rPr>
      </w:pPr>
      <w:r w:rsidRPr="00F375E2">
        <w:rPr>
          <w:rFonts w:ascii="Arial" w:hAnsi="Arial" w:cs="Arial"/>
          <w:bCs/>
          <w:color w:val="000000" w:themeColor="text1"/>
          <w:sz w:val="22"/>
          <w:lang w:val="es-ES_tradnl"/>
        </w:rPr>
        <w:tab/>
        <w:t xml:space="preserve">iii) Los contratos requeridos para cubrir las emergencias educativas, sanitarias y desastres; </w:t>
      </w:r>
    </w:p>
    <w:p w14:paraId="0A49D1DE" w14:textId="77777777" w:rsidR="00003882" w:rsidRPr="00F375E2" w:rsidRDefault="00003882" w:rsidP="009D07A2">
      <w:pPr>
        <w:tabs>
          <w:tab w:val="left" w:pos="709"/>
        </w:tabs>
        <w:spacing w:before="240" w:line="276" w:lineRule="auto"/>
        <w:jc w:val="both"/>
        <w:rPr>
          <w:rFonts w:ascii="Arial" w:hAnsi="Arial" w:cs="Arial"/>
          <w:bCs/>
          <w:color w:val="000000" w:themeColor="text1"/>
          <w:sz w:val="22"/>
          <w:lang w:val="es-ES_tradnl"/>
        </w:rPr>
      </w:pPr>
      <w:r w:rsidRPr="00F375E2">
        <w:rPr>
          <w:rFonts w:ascii="Arial" w:hAnsi="Arial" w:cs="Arial"/>
          <w:bCs/>
          <w:color w:val="000000" w:themeColor="text1"/>
          <w:sz w:val="22"/>
          <w:lang w:val="es-ES_tradnl"/>
        </w:rPr>
        <w:tab/>
        <w:t>iv) La contratación para la reconstrucción de vías, puentes, carreteras, infraestructura energética y de comunicaciones, en caso de que hayan sido objeto de atentados, acciones terroristas, desastres naturales o casos de fuerza mayor y;</w:t>
      </w:r>
    </w:p>
    <w:p w14:paraId="4D04D790" w14:textId="77777777" w:rsidR="00003882" w:rsidRPr="00F375E2" w:rsidRDefault="00003882" w:rsidP="009D07A2">
      <w:pPr>
        <w:tabs>
          <w:tab w:val="left" w:pos="709"/>
        </w:tabs>
        <w:spacing w:before="240" w:line="276" w:lineRule="auto"/>
        <w:jc w:val="both"/>
        <w:rPr>
          <w:rFonts w:ascii="Arial" w:hAnsi="Arial" w:cs="Arial"/>
          <w:bCs/>
          <w:color w:val="000000" w:themeColor="text1"/>
          <w:sz w:val="22"/>
          <w:lang w:val="es-ES_tradnl"/>
        </w:rPr>
      </w:pPr>
      <w:r w:rsidRPr="00F375E2">
        <w:rPr>
          <w:rFonts w:ascii="Arial" w:hAnsi="Arial" w:cs="Arial"/>
          <w:bCs/>
          <w:color w:val="000000" w:themeColor="text1"/>
          <w:sz w:val="22"/>
          <w:lang w:val="es-ES_tradnl"/>
        </w:rPr>
        <w:tab/>
        <w:t xml:space="preserve">v) La contratación que deban realizar las entidades sanitarias y hospitalarias. </w:t>
      </w:r>
    </w:p>
    <w:p w14:paraId="06EC34CB" w14:textId="1C54C277" w:rsidR="00003882" w:rsidRPr="00F375E2" w:rsidRDefault="00003882" w:rsidP="00F375E2">
      <w:pPr>
        <w:tabs>
          <w:tab w:val="left" w:pos="426"/>
        </w:tabs>
        <w:spacing w:before="240" w:line="276" w:lineRule="auto"/>
        <w:ind w:firstLine="709"/>
        <w:jc w:val="both"/>
        <w:rPr>
          <w:rFonts w:ascii="Arial" w:hAnsi="Arial" w:cs="Arial"/>
          <w:bCs/>
          <w:color w:val="000000" w:themeColor="text1"/>
          <w:sz w:val="22"/>
          <w:lang w:val="es-ES_tradnl"/>
        </w:rPr>
      </w:pPr>
      <w:r w:rsidRPr="00F375E2">
        <w:rPr>
          <w:rFonts w:ascii="Arial" w:hAnsi="Arial" w:cs="Arial"/>
          <w:bCs/>
          <w:color w:val="000000" w:themeColor="text1"/>
          <w:sz w:val="22"/>
          <w:lang w:val="es-ES_tradnl"/>
        </w:rPr>
        <w:t xml:space="preserve">La Sala de Consulta y Servicio Civil del Consejo de Estado, en concepto del 4 de febrero de 2010, se pronunció frente a las razones por las que el legislador consagró excepciones al artículo 33 de la Ley de Garantías Electorales: </w:t>
      </w:r>
    </w:p>
    <w:p w14:paraId="7DCAF808" w14:textId="7AB51C07" w:rsidR="00003882" w:rsidRPr="00F375E2" w:rsidRDefault="00003882" w:rsidP="00F375E2">
      <w:pPr>
        <w:shd w:val="clear" w:color="auto" w:fill="FFFFFF"/>
        <w:spacing w:before="240"/>
        <w:ind w:left="709" w:right="709"/>
        <w:jc w:val="both"/>
        <w:rPr>
          <w:rFonts w:ascii="Arial" w:hAnsi="Arial" w:cs="Arial"/>
          <w:color w:val="000000" w:themeColor="text1"/>
          <w:sz w:val="21"/>
          <w:szCs w:val="21"/>
          <w:lang w:val="es-ES_tradnl" w:eastAsia="es-CO"/>
        </w:rPr>
      </w:pPr>
      <w:r w:rsidRPr="00F375E2">
        <w:rPr>
          <w:rFonts w:ascii="Arial" w:hAnsi="Arial" w:cs="Arial"/>
          <w:color w:val="000000" w:themeColor="text1"/>
          <w:sz w:val="21"/>
          <w:szCs w:val="21"/>
          <w:lang w:val="es-ES_tradnl" w:eastAsia="es-CO"/>
        </w:rPr>
        <w:t>[…] Las excepciones establecidas en los artículos 32 y 33 en comento, guardan relación, exclusivamente, con algunos servicios públicos que por su naturaleza no admiten postergaciones en la atención de sus necesidades de personal, bienes y servicios [...]</w:t>
      </w:r>
      <w:r w:rsidRPr="00F375E2">
        <w:rPr>
          <w:rStyle w:val="Refdenotaalpie"/>
          <w:rFonts w:ascii="Arial" w:hAnsi="Arial" w:cs="Arial"/>
          <w:color w:val="000000" w:themeColor="text1"/>
          <w:sz w:val="21"/>
          <w:szCs w:val="21"/>
          <w:lang w:val="es-ES_tradnl" w:eastAsia="es-CO"/>
        </w:rPr>
        <w:footnoteReference w:id="25"/>
      </w:r>
      <w:r w:rsidRPr="00F375E2">
        <w:rPr>
          <w:rFonts w:ascii="Arial" w:hAnsi="Arial" w:cs="Arial"/>
          <w:color w:val="000000" w:themeColor="text1"/>
          <w:sz w:val="21"/>
          <w:szCs w:val="21"/>
          <w:lang w:val="es-ES_tradnl" w:eastAsia="es-CO"/>
        </w:rPr>
        <w:t xml:space="preserve">. </w:t>
      </w:r>
    </w:p>
    <w:p w14:paraId="6E9A4590" w14:textId="77777777" w:rsidR="00003882" w:rsidRPr="00F375E2" w:rsidRDefault="00003882" w:rsidP="009D07A2">
      <w:pPr>
        <w:shd w:val="clear" w:color="auto" w:fill="FFFFFF"/>
        <w:spacing w:before="240" w:line="276" w:lineRule="auto"/>
        <w:ind w:firstLine="709"/>
        <w:jc w:val="both"/>
        <w:rPr>
          <w:rFonts w:ascii="Arial" w:hAnsi="Arial" w:cs="Arial"/>
          <w:color w:val="000000" w:themeColor="text1"/>
          <w:sz w:val="22"/>
          <w:lang w:val="es-ES_tradnl" w:eastAsia="es-CO"/>
        </w:rPr>
      </w:pPr>
      <w:r w:rsidRPr="00F375E2">
        <w:rPr>
          <w:rFonts w:ascii="Arial" w:hAnsi="Arial" w:cs="Arial"/>
          <w:color w:val="000000" w:themeColor="text1"/>
          <w:sz w:val="22"/>
          <w:lang w:val="es-ES_tradnl" w:eastAsia="es-CO"/>
        </w:rPr>
        <w:t>A su vez, la Corte Constitucional, al analizar la constitucionalidad de la Ley de Garantías Electorales, consideró que las prohibiciones consagradas en los artículos 32 y 33 de la ley mencionada no pueden ir en detrimento de intereses públicos. Por lo anterior, la Alta Corte consideró que las excepciones para la prohibición de contratación se encontraban justificadas, declarando su exequibilidad. Así, por ejemplo, la Corte Constitucional explicó que «las excepciones de limitación protegen diversos tipos de urgencias de defensa, salud, educación, infraestructura vial y de servicios públicos y ecológicas tienden a no limitar desproporcionadamente la acción del Estado en el cumplimiento de sus fines, en procura de la igualdad entre candidatos como garantía electoral»</w:t>
      </w:r>
      <w:r w:rsidRPr="00F375E2">
        <w:rPr>
          <w:rStyle w:val="Refdenotaalpie"/>
          <w:rFonts w:ascii="Arial" w:hAnsi="Arial" w:cs="Arial"/>
          <w:color w:val="000000" w:themeColor="text1"/>
          <w:sz w:val="22"/>
          <w:lang w:val="es-ES_tradnl" w:eastAsia="es-CO"/>
        </w:rPr>
        <w:footnoteReference w:id="26"/>
      </w:r>
      <w:r w:rsidRPr="00F375E2">
        <w:rPr>
          <w:rFonts w:ascii="Arial" w:hAnsi="Arial" w:cs="Arial"/>
          <w:color w:val="000000" w:themeColor="text1"/>
          <w:sz w:val="22"/>
          <w:lang w:val="es-ES_tradnl" w:eastAsia="es-CO"/>
        </w:rPr>
        <w:t xml:space="preserve">. </w:t>
      </w:r>
    </w:p>
    <w:p w14:paraId="4BF975E5" w14:textId="27D33C66" w:rsidR="00003882" w:rsidRPr="00C937A8" w:rsidRDefault="00003882" w:rsidP="00C937A8">
      <w:pPr>
        <w:tabs>
          <w:tab w:val="left" w:pos="426"/>
        </w:tabs>
        <w:spacing w:before="240" w:line="276" w:lineRule="auto"/>
        <w:ind w:firstLine="709"/>
        <w:jc w:val="both"/>
        <w:rPr>
          <w:rFonts w:ascii="Arial" w:hAnsi="Arial" w:cs="Arial"/>
          <w:color w:val="000000" w:themeColor="text1"/>
          <w:sz w:val="22"/>
          <w:lang w:val="es-ES_tradnl" w:eastAsia="es-ES_tradnl"/>
        </w:rPr>
      </w:pPr>
      <w:r w:rsidRPr="00F375E2">
        <w:rPr>
          <w:rFonts w:ascii="Arial" w:hAnsi="Arial" w:cs="Arial"/>
          <w:bCs/>
          <w:color w:val="000000" w:themeColor="text1"/>
          <w:sz w:val="22"/>
          <w:lang w:val="es-ES_tradnl"/>
        </w:rPr>
        <w:t>Por tanto, las excepciones a la prohibición contenida en el inciso segundo de artículo 33 de la ley de garantías electorales tienen por finalidad garantizar la prestación ininterrumpida de algunos servicios públicos, que, dada su importancia en el orden interno, se verían irrazonablemente afectados por la restricción explicada. De igual forma, la Sala de Consulta y Servicio Civil del Consejo de Estado, en concepto del 2 de septiembre de 2013</w:t>
      </w:r>
      <w:r w:rsidRPr="00F375E2">
        <w:rPr>
          <w:rFonts w:ascii="Arial" w:hAnsi="Arial" w:cs="Arial"/>
          <w:color w:val="000000" w:themeColor="text1"/>
          <w:sz w:val="22"/>
          <w:lang w:val="es-ES_tradnl"/>
        </w:rPr>
        <w:t xml:space="preserve">, mencionó las excepciones a la prohibición del artículo 33 de la Ley de Garantías </w:t>
      </w:r>
      <w:r w:rsidRPr="00F375E2">
        <w:rPr>
          <w:rFonts w:ascii="Arial" w:hAnsi="Arial" w:cs="Arial"/>
          <w:color w:val="000000" w:themeColor="text1"/>
          <w:sz w:val="22"/>
          <w:lang w:val="es-ES_tradnl"/>
        </w:rPr>
        <w:lastRenderedPageBreak/>
        <w:t xml:space="preserve">Electorales, resaltando el carácter taxativo de la regla de excepción referida, y señalando la independencia de los supuestos establecidos allí, así: </w:t>
      </w:r>
    </w:p>
    <w:p w14:paraId="3C2CADE7" w14:textId="77777777" w:rsidR="00003882" w:rsidRPr="00F375E2" w:rsidRDefault="00003882" w:rsidP="009D07A2">
      <w:pPr>
        <w:tabs>
          <w:tab w:val="left" w:pos="426"/>
        </w:tabs>
        <w:spacing w:before="240"/>
        <w:ind w:right="709"/>
        <w:jc w:val="both"/>
        <w:rPr>
          <w:rFonts w:ascii="Arial" w:hAnsi="Arial" w:cs="Arial"/>
          <w:color w:val="000000" w:themeColor="text1"/>
          <w:sz w:val="21"/>
          <w:szCs w:val="21"/>
          <w:lang w:val="es-ES_tradnl"/>
        </w:rPr>
      </w:pPr>
      <w:r w:rsidRPr="00F375E2">
        <w:rPr>
          <w:rFonts w:ascii="Arial" w:hAnsi="Arial" w:cs="Arial"/>
          <w:color w:val="000000" w:themeColor="text1"/>
          <w:sz w:val="21"/>
          <w:szCs w:val="21"/>
          <w:lang w:val="es-ES_tradnl"/>
        </w:rPr>
        <w:tab/>
      </w:r>
      <w:r w:rsidRPr="00F375E2">
        <w:rPr>
          <w:rFonts w:ascii="Arial" w:hAnsi="Arial" w:cs="Arial"/>
          <w:color w:val="000000" w:themeColor="text1"/>
          <w:sz w:val="21"/>
          <w:szCs w:val="21"/>
          <w:lang w:val="es-ES_tradnl"/>
        </w:rPr>
        <w:tab/>
        <w:t>[…]</w:t>
      </w:r>
    </w:p>
    <w:p w14:paraId="667EACD3" w14:textId="6DC0DE8F" w:rsidR="00003882" w:rsidRPr="00F375E2" w:rsidRDefault="00003882" w:rsidP="00C937A8">
      <w:pPr>
        <w:spacing w:before="240"/>
        <w:ind w:left="709" w:right="709"/>
        <w:jc w:val="both"/>
        <w:rPr>
          <w:rFonts w:ascii="Arial" w:hAnsi="Arial" w:cs="Arial"/>
          <w:i/>
          <w:color w:val="000000" w:themeColor="text1"/>
          <w:sz w:val="21"/>
          <w:szCs w:val="21"/>
          <w:lang w:val="es-ES_tradnl"/>
        </w:rPr>
      </w:pPr>
      <w:r w:rsidRPr="00F375E2">
        <w:rPr>
          <w:rFonts w:ascii="Arial" w:hAnsi="Arial" w:cs="Arial"/>
          <w:i/>
          <w:color w:val="000000" w:themeColor="text1"/>
          <w:sz w:val="21"/>
          <w:szCs w:val="21"/>
          <w:lang w:val="es-ES_tradnl"/>
        </w:rPr>
        <w:t>Las excepciones aplicables a la restricción de contratación pública</w:t>
      </w:r>
    </w:p>
    <w:p w14:paraId="24B90175" w14:textId="77777777" w:rsidR="00003882" w:rsidRPr="00F375E2" w:rsidRDefault="00003882" w:rsidP="009D07A2">
      <w:pPr>
        <w:spacing w:before="240"/>
        <w:ind w:left="709" w:right="709"/>
        <w:jc w:val="both"/>
        <w:rPr>
          <w:rFonts w:ascii="Arial" w:hAnsi="Arial" w:cs="Arial"/>
          <w:color w:val="000000" w:themeColor="text1"/>
          <w:sz w:val="21"/>
          <w:szCs w:val="21"/>
          <w:shd w:val="clear" w:color="auto" w:fill="FFFFFF"/>
          <w:lang w:val="es-ES_tradnl"/>
        </w:rPr>
      </w:pPr>
      <w:r w:rsidRPr="00F375E2">
        <w:rPr>
          <w:rFonts w:ascii="Arial" w:hAnsi="Arial" w:cs="Arial"/>
          <w:color w:val="000000" w:themeColor="text1"/>
          <w:sz w:val="21"/>
          <w:szCs w:val="21"/>
          <w:shd w:val="clear" w:color="auto" w:fill="FFFFFF"/>
          <w:lang w:val="es-ES_tradnl"/>
        </w:rPr>
        <w:t>Ahora bien, las únicas excepciones a las disposiciones previstas en la Ley de Garantías se encuentran numeradas taxativamente en el último inciso del artículo 33 de la ley 996 de 2005, dentro de las que se encuentran:</w:t>
      </w:r>
    </w:p>
    <w:p w14:paraId="1D2518E4" w14:textId="77777777" w:rsidR="00003882" w:rsidRPr="00F375E2" w:rsidRDefault="00003882" w:rsidP="009D07A2">
      <w:pPr>
        <w:spacing w:before="240"/>
        <w:ind w:left="709" w:right="709"/>
        <w:jc w:val="both"/>
        <w:rPr>
          <w:rFonts w:ascii="Arial" w:hAnsi="Arial" w:cs="Arial"/>
          <w:color w:val="000000" w:themeColor="text1"/>
          <w:sz w:val="21"/>
          <w:szCs w:val="21"/>
          <w:shd w:val="clear" w:color="auto" w:fill="FFFFFF"/>
          <w:lang w:val="es-ES_tradnl"/>
        </w:rPr>
      </w:pPr>
      <w:r w:rsidRPr="00F375E2">
        <w:rPr>
          <w:rFonts w:ascii="Arial" w:hAnsi="Arial" w:cs="Arial"/>
          <w:color w:val="000000" w:themeColor="text1"/>
          <w:sz w:val="21"/>
          <w:szCs w:val="21"/>
          <w:shd w:val="clear" w:color="auto" w:fill="FFFFFF"/>
          <w:lang w:val="es-ES_tradnl"/>
        </w:rPr>
        <w:t xml:space="preserve">[…] </w:t>
      </w:r>
    </w:p>
    <w:p w14:paraId="48E20C78" w14:textId="11013FB7" w:rsidR="00003882" w:rsidRPr="00F375E2" w:rsidRDefault="00003882" w:rsidP="00F375E2">
      <w:pPr>
        <w:spacing w:before="240"/>
        <w:ind w:left="709" w:right="709"/>
        <w:jc w:val="both"/>
        <w:rPr>
          <w:rFonts w:ascii="Arial" w:hAnsi="Arial" w:cs="Arial"/>
          <w:color w:val="000000" w:themeColor="text1"/>
          <w:sz w:val="21"/>
          <w:szCs w:val="21"/>
          <w:shd w:val="clear" w:color="auto" w:fill="FFFFFF"/>
          <w:lang w:val="es-ES_tradnl"/>
        </w:rPr>
      </w:pPr>
      <w:r w:rsidRPr="00F375E2">
        <w:rPr>
          <w:rFonts w:ascii="Arial" w:hAnsi="Arial" w:cs="Arial"/>
          <w:color w:val="000000" w:themeColor="text1"/>
          <w:sz w:val="21"/>
          <w:szCs w:val="21"/>
          <w:shd w:val="clear" w:color="auto" w:fill="FFFFFF"/>
          <w:lang w:val="es-ES_tradnl"/>
        </w:rPr>
        <w:t>5. Los que deban realizar las entidades sanitarias y hospitalarias […]</w:t>
      </w:r>
      <w:r w:rsidRPr="00F375E2">
        <w:rPr>
          <w:rStyle w:val="Refdenotaalpie"/>
          <w:rFonts w:ascii="Arial" w:hAnsi="Arial" w:cs="Arial"/>
          <w:color w:val="000000" w:themeColor="text1"/>
          <w:sz w:val="21"/>
          <w:szCs w:val="21"/>
          <w:shd w:val="clear" w:color="auto" w:fill="FFFFFF"/>
          <w:lang w:val="es-ES_tradnl"/>
        </w:rPr>
        <w:footnoteReference w:id="27"/>
      </w:r>
      <w:r w:rsidRPr="00F375E2">
        <w:rPr>
          <w:rFonts w:ascii="Arial" w:hAnsi="Arial" w:cs="Arial"/>
          <w:color w:val="000000" w:themeColor="text1"/>
          <w:sz w:val="21"/>
          <w:szCs w:val="21"/>
          <w:shd w:val="clear" w:color="auto" w:fill="FFFFFF"/>
          <w:lang w:val="es-ES_tradnl"/>
        </w:rPr>
        <w:t>.</w:t>
      </w:r>
    </w:p>
    <w:p w14:paraId="23052346" w14:textId="77777777" w:rsidR="00003882" w:rsidRPr="00F375E2" w:rsidRDefault="00003882" w:rsidP="009D07A2">
      <w:pPr>
        <w:tabs>
          <w:tab w:val="left" w:pos="426"/>
        </w:tabs>
        <w:spacing w:before="240" w:line="276" w:lineRule="auto"/>
        <w:ind w:firstLine="709"/>
        <w:jc w:val="both"/>
        <w:rPr>
          <w:rFonts w:ascii="Arial" w:hAnsi="Arial" w:cs="Arial"/>
          <w:bCs/>
          <w:color w:val="000000" w:themeColor="text1"/>
          <w:sz w:val="22"/>
          <w:lang w:val="es-ES_tradnl"/>
        </w:rPr>
      </w:pPr>
      <w:r w:rsidRPr="00F375E2">
        <w:rPr>
          <w:rFonts w:ascii="Arial" w:hAnsi="Arial" w:cs="Arial"/>
          <w:bCs/>
          <w:color w:val="000000" w:themeColor="text1"/>
          <w:sz w:val="22"/>
          <w:lang w:val="es-ES_tradnl"/>
        </w:rPr>
        <w:t>Lo anterior implica que las excepciones al artículo 33 en comento deben interpretarse y aplicarse manera restrictiva. En otras palabras, que no sería factible hacer interpretaciones extensivas</w:t>
      </w:r>
      <w:r w:rsidRPr="00F375E2">
        <w:rPr>
          <w:rFonts w:ascii="Arial" w:hAnsi="Arial" w:cs="Arial"/>
          <w:bCs/>
          <w:i/>
          <w:iCs/>
          <w:color w:val="000000" w:themeColor="text1"/>
          <w:sz w:val="22"/>
          <w:lang w:val="es-ES_tradnl"/>
        </w:rPr>
        <w:t xml:space="preserve"> </w:t>
      </w:r>
      <w:r w:rsidRPr="00F375E2">
        <w:rPr>
          <w:rFonts w:ascii="Arial" w:hAnsi="Arial" w:cs="Arial"/>
          <w:bCs/>
          <w:color w:val="000000" w:themeColor="text1"/>
          <w:sz w:val="22"/>
          <w:lang w:val="es-ES_tradnl"/>
        </w:rPr>
        <w:t xml:space="preserve">para incluir otros supuestos de hecho similares a las circunstancias previstas en dicho artículo, pues el carácter taxativo implica que solo en los eventos consagrados expresamente en la norma permiten que ciertas entidades estatales se vean exceptuadas de la prohibición. </w:t>
      </w:r>
    </w:p>
    <w:p w14:paraId="1726F971" w14:textId="77777777" w:rsidR="00003882" w:rsidRPr="00F375E2" w:rsidRDefault="00003882" w:rsidP="009D07A2">
      <w:pPr>
        <w:tabs>
          <w:tab w:val="left" w:pos="426"/>
        </w:tabs>
        <w:spacing w:before="240" w:line="276" w:lineRule="auto"/>
        <w:ind w:firstLine="709"/>
        <w:jc w:val="both"/>
        <w:rPr>
          <w:rFonts w:ascii="Arial" w:hAnsi="Arial" w:cs="Arial"/>
          <w:bCs/>
          <w:color w:val="000000" w:themeColor="text1"/>
          <w:sz w:val="22"/>
          <w:lang w:val="es-ES_tradnl"/>
        </w:rPr>
      </w:pPr>
      <w:r w:rsidRPr="00F375E2">
        <w:rPr>
          <w:rFonts w:ascii="Arial" w:hAnsi="Arial" w:cs="Arial"/>
          <w:bCs/>
          <w:color w:val="000000" w:themeColor="text1"/>
          <w:sz w:val="22"/>
          <w:lang w:val="es-ES_tradnl"/>
        </w:rPr>
        <w:t>Para efectos de la consulta es relevante el quinto evento</w:t>
      </w:r>
      <w:r w:rsidRPr="00F375E2">
        <w:rPr>
          <w:rFonts w:ascii="Arial" w:hAnsi="Arial" w:cs="Arial"/>
          <w:bCs/>
          <w:i/>
          <w:color w:val="000000" w:themeColor="text1"/>
          <w:sz w:val="22"/>
          <w:lang w:val="es-ES_tradnl"/>
        </w:rPr>
        <w:t xml:space="preserve"> </w:t>
      </w:r>
      <w:r w:rsidRPr="00F375E2">
        <w:rPr>
          <w:rFonts w:ascii="Arial" w:hAnsi="Arial" w:cs="Arial"/>
          <w:bCs/>
          <w:iCs/>
          <w:color w:val="000000" w:themeColor="text1"/>
          <w:sz w:val="22"/>
          <w:lang w:val="es-ES_tradnl"/>
        </w:rPr>
        <w:t xml:space="preserve">exceptuado de la prohibición, relacionado con la contratación por parte de las </w:t>
      </w:r>
      <w:r w:rsidRPr="00F375E2">
        <w:rPr>
          <w:rFonts w:ascii="Arial" w:hAnsi="Arial" w:cs="Arial"/>
          <w:bCs/>
          <w:i/>
          <w:iCs/>
          <w:color w:val="000000" w:themeColor="text1"/>
          <w:sz w:val="22"/>
          <w:lang w:val="es-ES_tradnl"/>
        </w:rPr>
        <w:t>entidades sanitarias y hospitalarias</w:t>
      </w:r>
      <w:r w:rsidRPr="00F375E2">
        <w:rPr>
          <w:rFonts w:ascii="Arial" w:hAnsi="Arial" w:cs="Arial"/>
          <w:bCs/>
          <w:color w:val="000000" w:themeColor="text1"/>
          <w:sz w:val="22"/>
          <w:lang w:val="es-ES_tradnl"/>
        </w:rPr>
        <w:t xml:space="preserve">. La aplicación de esta excepción a la restricción impuesta como regla general por el primer inciso del artículo 33, permite que las entidades sanitarias y hospitalarias, ante la importancia de los servicios que prestan para el grueso de la ciudadanía, puedan seguir realizando las compras y adquisiciones que requieren para prestarlos, incluso de manera directa, durante los periodos prelectorales, con lo que se busca garantizar que el interés público no se vea afectado por el rigor de la regla general. </w:t>
      </w:r>
    </w:p>
    <w:p w14:paraId="4D3C22B1" w14:textId="77777777" w:rsidR="00003882" w:rsidRPr="00F375E2" w:rsidRDefault="00003882" w:rsidP="009D07A2">
      <w:pPr>
        <w:tabs>
          <w:tab w:val="left" w:pos="426"/>
        </w:tabs>
        <w:spacing w:before="240" w:line="276" w:lineRule="auto"/>
        <w:ind w:firstLine="709"/>
        <w:jc w:val="both"/>
        <w:rPr>
          <w:rFonts w:ascii="Arial" w:eastAsia="Arial" w:hAnsi="Arial" w:cs="Arial"/>
          <w:bCs/>
          <w:color w:val="000000" w:themeColor="text1"/>
          <w:sz w:val="22"/>
          <w:szCs w:val="22"/>
        </w:rPr>
      </w:pPr>
      <w:r w:rsidRPr="00F375E2">
        <w:rPr>
          <w:rFonts w:ascii="Arial" w:hAnsi="Arial" w:cs="Arial"/>
          <w:bCs/>
          <w:color w:val="000000" w:themeColor="text1"/>
          <w:sz w:val="22"/>
          <w:lang w:val="es-ES_tradnl"/>
        </w:rPr>
        <w:t xml:space="preserve">El alcance de esta excepción está determinado por la prestación de servicios sanitarios y hospitalarios, por lo que son las entidades públicas directamente encargadas de prestar estos servicios quienes estarían cobijadas por la excepción. </w:t>
      </w:r>
      <w:r w:rsidRPr="00F375E2">
        <w:rPr>
          <w:rFonts w:ascii="Arial" w:eastAsia="Arial" w:hAnsi="Arial" w:cs="Arial"/>
          <w:bCs/>
          <w:color w:val="000000" w:themeColor="text1"/>
          <w:sz w:val="22"/>
          <w:szCs w:val="22"/>
        </w:rPr>
        <w:t xml:space="preserve">Al respecto conviene diferenciar los conceptos de entidad sanitaria y autoridad sanitaria, ya que, en efecto, el artículo 2.8.8.1.1.3 del Decreto 780 de 2016, «Por medio del cual se expide el Decreto Único Reglamentario del Sector Salud y Protección Social», define las </w:t>
      </w:r>
      <w:r w:rsidRPr="00F375E2">
        <w:rPr>
          <w:rFonts w:ascii="Arial" w:eastAsia="Arial" w:hAnsi="Arial" w:cs="Arial"/>
          <w:bCs/>
          <w:i/>
          <w:iCs/>
          <w:color w:val="000000" w:themeColor="text1"/>
          <w:sz w:val="22"/>
          <w:szCs w:val="22"/>
        </w:rPr>
        <w:t>entidades sanitarias</w:t>
      </w:r>
      <w:r w:rsidRPr="00F375E2">
        <w:rPr>
          <w:rFonts w:ascii="Arial" w:eastAsia="Arial" w:hAnsi="Arial" w:cs="Arial"/>
          <w:bCs/>
          <w:color w:val="000000" w:themeColor="text1"/>
          <w:sz w:val="22"/>
          <w:szCs w:val="22"/>
        </w:rPr>
        <w:t xml:space="preserve"> como «Entidades del Estado que prestan servicios sanitarios o de sanidad con el propósito de preservar la salud humana y la salud pública», mientras que a las </w:t>
      </w:r>
      <w:r w:rsidRPr="00F375E2">
        <w:rPr>
          <w:rFonts w:ascii="Arial" w:eastAsia="Arial" w:hAnsi="Arial" w:cs="Arial"/>
          <w:bCs/>
          <w:i/>
          <w:iCs/>
          <w:color w:val="000000" w:themeColor="text1"/>
          <w:sz w:val="22"/>
          <w:szCs w:val="22"/>
        </w:rPr>
        <w:t>autoridades sanitarias</w:t>
      </w:r>
      <w:r w:rsidRPr="00F375E2">
        <w:rPr>
          <w:rFonts w:ascii="Arial" w:eastAsia="Arial" w:hAnsi="Arial" w:cs="Arial"/>
          <w:bCs/>
          <w:color w:val="000000" w:themeColor="text1"/>
          <w:sz w:val="22"/>
          <w:szCs w:val="22"/>
        </w:rPr>
        <w:t xml:space="preserve"> </w:t>
      </w:r>
      <w:r w:rsidRPr="00F375E2">
        <w:rPr>
          <w:rFonts w:ascii="Arial" w:eastAsia="Arial" w:hAnsi="Arial" w:cs="Arial"/>
          <w:bCs/>
          <w:color w:val="000000" w:themeColor="text1"/>
          <w:sz w:val="22"/>
          <w:szCs w:val="22"/>
        </w:rPr>
        <w:lastRenderedPageBreak/>
        <w:t>como «Entidades jurídicas de carácter público con atribuciones para ejercer funciones de rectoría, regulación, inspección, vigilancia y control de los sectores público y privado en salud y adoptar medidas de prevención y seguimiento que garanticen la protección de la salud pública»</w:t>
      </w:r>
      <w:r w:rsidRPr="00F375E2">
        <w:rPr>
          <w:rStyle w:val="Refdenotaalpie"/>
          <w:rFonts w:ascii="Arial" w:eastAsia="Arial" w:hAnsi="Arial" w:cs="Arial"/>
          <w:bCs/>
          <w:color w:val="000000" w:themeColor="text1"/>
          <w:sz w:val="22"/>
          <w:szCs w:val="22"/>
        </w:rPr>
        <w:footnoteReference w:id="28"/>
      </w:r>
      <w:r w:rsidRPr="00F375E2">
        <w:rPr>
          <w:rFonts w:ascii="Arial" w:eastAsia="Arial" w:hAnsi="Arial" w:cs="Arial"/>
          <w:bCs/>
          <w:color w:val="000000" w:themeColor="text1"/>
          <w:sz w:val="22"/>
          <w:szCs w:val="22"/>
        </w:rPr>
        <w:t>.</w:t>
      </w:r>
    </w:p>
    <w:p w14:paraId="170BB473" w14:textId="77777777" w:rsidR="00003882" w:rsidRPr="00F375E2" w:rsidRDefault="00003882" w:rsidP="009D07A2">
      <w:pPr>
        <w:tabs>
          <w:tab w:val="left" w:pos="426"/>
        </w:tabs>
        <w:spacing w:before="240" w:line="276" w:lineRule="auto"/>
        <w:ind w:firstLine="709"/>
        <w:jc w:val="both"/>
        <w:rPr>
          <w:rFonts w:ascii="Arial" w:eastAsia="Arial" w:hAnsi="Arial" w:cs="Arial"/>
          <w:bCs/>
          <w:color w:val="000000" w:themeColor="text1"/>
          <w:sz w:val="22"/>
          <w:szCs w:val="22"/>
          <w:lang w:val="es-ES_tradnl"/>
        </w:rPr>
      </w:pPr>
      <w:r w:rsidRPr="00F375E2">
        <w:rPr>
          <w:rFonts w:ascii="Arial" w:eastAsia="Arial" w:hAnsi="Arial" w:cs="Arial"/>
          <w:bCs/>
          <w:color w:val="000000" w:themeColor="text1"/>
          <w:sz w:val="22"/>
          <w:szCs w:val="22"/>
        </w:rPr>
        <w:t xml:space="preserve">Vistas las anteriores definiciones, es necesario tener en cuenta que la excepción del artículo 33 de la Ley de Garantías solo aplica a las </w:t>
      </w:r>
      <w:r w:rsidRPr="00F375E2">
        <w:rPr>
          <w:rFonts w:ascii="Arial" w:eastAsia="Arial" w:hAnsi="Arial" w:cs="Arial"/>
          <w:bCs/>
          <w:i/>
          <w:iCs/>
          <w:color w:val="000000" w:themeColor="text1"/>
          <w:sz w:val="22"/>
          <w:szCs w:val="22"/>
        </w:rPr>
        <w:t>entidades sanitarias</w:t>
      </w:r>
      <w:r w:rsidRPr="00F375E2">
        <w:rPr>
          <w:rFonts w:ascii="Arial" w:eastAsia="Arial" w:hAnsi="Arial" w:cs="Arial"/>
          <w:bCs/>
          <w:color w:val="000000" w:themeColor="text1"/>
          <w:sz w:val="22"/>
          <w:szCs w:val="22"/>
        </w:rPr>
        <w:t xml:space="preserve">, no a las </w:t>
      </w:r>
      <w:r w:rsidRPr="00F375E2">
        <w:rPr>
          <w:rFonts w:ascii="Arial" w:eastAsia="Arial" w:hAnsi="Arial" w:cs="Arial"/>
          <w:bCs/>
          <w:i/>
          <w:iCs/>
          <w:color w:val="000000" w:themeColor="text1"/>
          <w:sz w:val="22"/>
          <w:szCs w:val="22"/>
        </w:rPr>
        <w:t>autoridades sanitarias</w:t>
      </w:r>
      <w:r w:rsidRPr="00F375E2">
        <w:rPr>
          <w:rFonts w:ascii="Arial" w:eastAsia="Arial" w:hAnsi="Arial" w:cs="Arial"/>
          <w:bCs/>
          <w:color w:val="000000" w:themeColor="text1"/>
          <w:sz w:val="22"/>
          <w:szCs w:val="22"/>
        </w:rPr>
        <w:t>. Esto por cuanto,</w:t>
      </w:r>
      <w:r w:rsidRPr="00F375E2">
        <w:rPr>
          <w:rFonts w:ascii="Arial" w:eastAsia="Arial" w:hAnsi="Arial" w:cs="Arial"/>
          <w:bCs/>
          <w:color w:val="000000" w:themeColor="text1"/>
          <w:sz w:val="22"/>
          <w:szCs w:val="22"/>
          <w:lang w:val="es-ES_tradnl"/>
        </w:rPr>
        <w:t xml:space="preserve"> para efectos de la excepción del artículo 33 es indiferente que la entidad estatal tenga funciones de </w:t>
      </w:r>
      <w:r w:rsidRPr="00F375E2">
        <w:rPr>
          <w:rFonts w:ascii="Arial" w:eastAsia="Arial" w:hAnsi="Arial" w:cs="Arial"/>
          <w:bCs/>
          <w:i/>
          <w:iCs/>
          <w:color w:val="000000" w:themeColor="text1"/>
          <w:sz w:val="22"/>
          <w:szCs w:val="22"/>
          <w:lang w:val="es-ES_tradnl"/>
        </w:rPr>
        <w:t>autoridad sanitaria</w:t>
      </w:r>
      <w:r w:rsidRPr="00F375E2">
        <w:rPr>
          <w:rFonts w:ascii="Arial" w:eastAsia="Arial" w:hAnsi="Arial" w:cs="Arial"/>
          <w:bCs/>
          <w:color w:val="000000" w:themeColor="text1"/>
          <w:sz w:val="22"/>
          <w:szCs w:val="22"/>
          <w:lang w:val="es-ES_tradnl"/>
        </w:rPr>
        <w:t xml:space="preserve">, pues lo relevante para determinar si la contratación está exceptuada de la prohibición general no es el carácter de autoridad sanitaria, sino que se trate de una </w:t>
      </w:r>
      <w:r w:rsidRPr="00F375E2">
        <w:rPr>
          <w:rFonts w:ascii="Arial" w:eastAsia="Arial" w:hAnsi="Arial" w:cs="Arial"/>
          <w:bCs/>
          <w:i/>
          <w:iCs/>
          <w:color w:val="000000" w:themeColor="text1"/>
          <w:sz w:val="22"/>
          <w:szCs w:val="22"/>
          <w:lang w:val="es-ES_tradnl"/>
        </w:rPr>
        <w:t>entidad sanitaria</w:t>
      </w:r>
      <w:r w:rsidRPr="00F375E2">
        <w:rPr>
          <w:rFonts w:ascii="Arial" w:eastAsia="Arial" w:hAnsi="Arial" w:cs="Arial"/>
          <w:bCs/>
          <w:color w:val="000000" w:themeColor="text1"/>
          <w:sz w:val="22"/>
          <w:szCs w:val="22"/>
          <w:lang w:val="es-ES_tradnl"/>
        </w:rPr>
        <w:t xml:space="preserve">. </w:t>
      </w:r>
    </w:p>
    <w:p w14:paraId="37165294" w14:textId="77777777" w:rsidR="00003882" w:rsidRPr="00F375E2" w:rsidRDefault="00003882" w:rsidP="009D07A2">
      <w:pPr>
        <w:tabs>
          <w:tab w:val="left" w:pos="426"/>
        </w:tabs>
        <w:spacing w:before="240" w:line="276" w:lineRule="auto"/>
        <w:jc w:val="both"/>
        <w:rPr>
          <w:rFonts w:ascii="Arial" w:eastAsia="Calibri" w:hAnsi="Arial" w:cs="Arial"/>
          <w:color w:val="000000" w:themeColor="text1"/>
          <w:sz w:val="22"/>
        </w:rPr>
      </w:pPr>
      <w:r w:rsidRPr="00F375E2">
        <w:rPr>
          <w:rFonts w:ascii="Arial" w:eastAsia="Calibri" w:hAnsi="Arial" w:cs="Arial"/>
          <w:color w:val="000000" w:themeColor="text1"/>
          <w:sz w:val="22"/>
        </w:rPr>
        <w:tab/>
      </w:r>
      <w:r w:rsidRPr="00F375E2">
        <w:rPr>
          <w:rFonts w:ascii="Arial" w:eastAsia="Calibri" w:hAnsi="Arial" w:cs="Arial"/>
          <w:color w:val="000000" w:themeColor="text1"/>
          <w:sz w:val="22"/>
        </w:rPr>
        <w:tab/>
        <w:t>De acuerdo con esto, esta Agencia ha explicado que entidades como las Empresas Sociales del Estado se encuentran cobijadas por la excepción en comento, en la medida en que por expresa disposición de la ley son entidades encargadas de la prestación de servicios de salud</w:t>
      </w:r>
      <w:r w:rsidRPr="00F375E2">
        <w:rPr>
          <w:rStyle w:val="Refdenotaalpie"/>
          <w:rFonts w:ascii="Arial" w:eastAsia="Calibri" w:hAnsi="Arial" w:cs="Arial"/>
          <w:color w:val="000000" w:themeColor="text1"/>
          <w:sz w:val="22"/>
        </w:rPr>
        <w:footnoteReference w:id="29"/>
      </w:r>
      <w:r w:rsidRPr="00F375E2">
        <w:rPr>
          <w:rFonts w:ascii="Arial" w:eastAsia="Calibri" w:hAnsi="Arial" w:cs="Arial"/>
          <w:color w:val="000000" w:themeColor="text1"/>
          <w:sz w:val="22"/>
        </w:rPr>
        <w:t xml:space="preserve">, lo que las ubica dentro de la referida noción de entidad sanitaria. Por el contrario, </w:t>
      </w:r>
      <w:r w:rsidRPr="00F375E2">
        <w:rPr>
          <w:rFonts w:ascii="Arial" w:eastAsia="Arial" w:hAnsi="Arial" w:cs="Arial"/>
          <w:bCs/>
          <w:color w:val="000000" w:themeColor="text1"/>
          <w:sz w:val="22"/>
          <w:szCs w:val="22"/>
        </w:rPr>
        <w:t>respecto de los entes territoriales se ha reconocido que, a pesar de jugar un papel importante en la materia a través de sus secretarías de salud, no prestan un servicio directo, sino que coordinan las políticas de esta naturaleza desde un punto de vista administrativo para efectos del control y vigilancia, por lo que no se encuentran cobijados por la excepción</w:t>
      </w:r>
      <w:r w:rsidRPr="00F375E2">
        <w:rPr>
          <w:rStyle w:val="Refdenotaalpie"/>
          <w:rFonts w:ascii="Arial" w:eastAsia="Arial" w:hAnsi="Arial" w:cs="Arial"/>
          <w:bCs/>
          <w:color w:val="000000" w:themeColor="text1"/>
          <w:sz w:val="22"/>
          <w:szCs w:val="22"/>
        </w:rPr>
        <w:footnoteReference w:id="30"/>
      </w:r>
      <w:r w:rsidRPr="00F375E2">
        <w:rPr>
          <w:rFonts w:ascii="Arial" w:eastAsia="Arial" w:hAnsi="Arial" w:cs="Arial"/>
          <w:bCs/>
          <w:color w:val="000000" w:themeColor="text1"/>
          <w:sz w:val="22"/>
          <w:szCs w:val="22"/>
        </w:rPr>
        <w:t xml:space="preserve">. </w:t>
      </w:r>
    </w:p>
    <w:p w14:paraId="6E6AD772" w14:textId="2A31C1B3" w:rsidR="00003882" w:rsidRPr="00F375E2" w:rsidRDefault="00003882" w:rsidP="009D07A2">
      <w:pPr>
        <w:tabs>
          <w:tab w:val="left" w:pos="426"/>
        </w:tabs>
        <w:spacing w:before="240" w:line="276" w:lineRule="auto"/>
        <w:jc w:val="both"/>
        <w:rPr>
          <w:rFonts w:ascii="Arial" w:hAnsi="Arial" w:cs="Arial"/>
          <w:bCs/>
          <w:color w:val="000000" w:themeColor="text1"/>
          <w:sz w:val="22"/>
          <w:szCs w:val="22"/>
          <w:lang w:val="es-ES_tradnl" w:eastAsia="es-CO"/>
        </w:rPr>
      </w:pPr>
      <w:r w:rsidRPr="00F375E2">
        <w:rPr>
          <w:rFonts w:ascii="Arial" w:eastAsia="Calibri" w:hAnsi="Arial" w:cs="Arial"/>
          <w:color w:val="000000" w:themeColor="text1"/>
          <w:sz w:val="22"/>
        </w:rPr>
        <w:tab/>
      </w:r>
      <w:r w:rsidRPr="00F375E2">
        <w:rPr>
          <w:rFonts w:ascii="Arial" w:eastAsia="Calibri" w:hAnsi="Arial" w:cs="Arial"/>
          <w:color w:val="000000" w:themeColor="text1"/>
          <w:sz w:val="22"/>
        </w:rPr>
        <w:tab/>
      </w:r>
      <w:r w:rsidRPr="00F375E2">
        <w:rPr>
          <w:rFonts w:ascii="Arial" w:hAnsi="Arial" w:cs="Arial"/>
          <w:bCs/>
          <w:color w:val="000000" w:themeColor="text1"/>
          <w:sz w:val="22"/>
          <w:lang w:val="es-ES_tradnl"/>
        </w:rPr>
        <w:t>Por último, es importante advertir que</w:t>
      </w:r>
      <w:r w:rsidRPr="00F375E2">
        <w:rPr>
          <w:rFonts w:ascii="Arial" w:hAnsi="Arial" w:cs="Arial"/>
          <w:bCs/>
          <w:color w:val="000000" w:themeColor="text1"/>
          <w:sz w:val="22"/>
          <w:szCs w:val="22"/>
          <w:lang w:val="es-ES_tradnl" w:eastAsia="es-CO"/>
        </w:rPr>
        <w:t xml:space="preserve">, corresponde a cada entidad estatal realizar el correspondiente análisis para determinar si aplica o no una determinada excepción de acuerdo con la situación fáctica y jurídica particular del caso concreto, para lo cual las consideraciones expuestas en el presente concepto constituyen un instrumento orientador. </w:t>
      </w:r>
      <w:r w:rsidRPr="00F375E2">
        <w:rPr>
          <w:rFonts w:ascii="Arial" w:hAnsi="Arial" w:cs="Arial"/>
          <w:bCs/>
          <w:color w:val="000000" w:themeColor="text1"/>
          <w:sz w:val="22"/>
          <w:szCs w:val="22"/>
          <w:lang w:val="es-ES_tradnl" w:eastAsia="es-CO"/>
        </w:rPr>
        <w:lastRenderedPageBreak/>
        <w:t xml:space="preserve">Si es procedente la excepción, podrá la entidad realizar la contratación directa justificando las razones que avalan su procedencia. Por el contrario, si el estudio determina que no aplica excepción alguna estará vedada la celebración de contratos de manera directa, sin perjuicio de la posibilidad aplicar modalidades competitivas, las cuales no se encuentran restringidas por el artículo 33 de la Ley 996 de 2005, que, según lo explicado, solo restringe procesos de selección sin pluralidad de oferentes. </w:t>
      </w:r>
      <w:r w:rsidR="00604A86" w:rsidRPr="00F375E2">
        <w:rPr>
          <w:rFonts w:ascii="Arial" w:hAnsi="Arial" w:cs="Arial"/>
          <w:bCs/>
          <w:color w:val="000000" w:themeColor="text1"/>
          <w:sz w:val="22"/>
          <w:szCs w:val="22"/>
          <w:lang w:val="es-ES_tradnl" w:eastAsia="es-CO"/>
        </w:rPr>
        <w:t>Lo anterior, sin perjuicio de la prohibición establecida en el parágrafo del artículo 38 de la Ley de Garantías Electorales, que procede a analizarse.</w:t>
      </w:r>
    </w:p>
    <w:bookmarkEnd w:id="27"/>
    <w:bookmarkEnd w:id="28"/>
    <w:p w14:paraId="0CA28636" w14:textId="3C21F4D4" w:rsidR="009F290C" w:rsidRPr="00F375E2" w:rsidRDefault="009F290C" w:rsidP="009D07A2">
      <w:pPr>
        <w:spacing w:before="240" w:line="276" w:lineRule="auto"/>
        <w:jc w:val="both"/>
        <w:rPr>
          <w:rFonts w:ascii="Arial" w:hAnsi="Arial" w:cs="Arial"/>
          <w:b/>
          <w:bCs/>
          <w:color w:val="000000" w:themeColor="text1"/>
          <w:sz w:val="22"/>
        </w:rPr>
      </w:pPr>
      <w:r w:rsidRPr="00F375E2">
        <w:rPr>
          <w:rFonts w:ascii="Arial" w:hAnsi="Arial" w:cs="Arial"/>
          <w:b/>
          <w:color w:val="000000" w:themeColor="text1"/>
          <w:sz w:val="22"/>
          <w:szCs w:val="22"/>
          <w:lang w:val="es-ES_tradnl" w:eastAsia="es-CO"/>
        </w:rPr>
        <w:t xml:space="preserve">2.4. </w:t>
      </w:r>
      <w:bookmarkStart w:id="29" w:name="_Hlk77153296"/>
      <w:r w:rsidRPr="00F375E2">
        <w:rPr>
          <w:rFonts w:ascii="Arial" w:hAnsi="Arial" w:cs="Arial"/>
          <w:b/>
          <w:bCs/>
          <w:color w:val="000000" w:themeColor="text1"/>
          <w:sz w:val="22"/>
          <w:lang w:eastAsia="es-CO"/>
        </w:rPr>
        <w:t xml:space="preserve">Restricciones </w:t>
      </w:r>
      <w:bookmarkStart w:id="30" w:name="_Hlk75643279"/>
      <w:r w:rsidRPr="00F375E2">
        <w:rPr>
          <w:rFonts w:ascii="Arial" w:hAnsi="Arial" w:cs="Arial"/>
          <w:b/>
          <w:bCs/>
          <w:color w:val="000000" w:themeColor="text1"/>
          <w:sz w:val="22"/>
          <w:lang w:eastAsia="es-CO"/>
        </w:rPr>
        <w:t>para la celebración de contratos y convenios interadministrativos en los comicios para cargos de elección popular</w:t>
      </w:r>
      <w:r w:rsidR="00C92ACE" w:rsidRPr="00F375E2">
        <w:rPr>
          <w:rFonts w:ascii="Arial" w:hAnsi="Arial" w:cs="Arial"/>
          <w:b/>
          <w:bCs/>
          <w:color w:val="000000" w:themeColor="text1"/>
          <w:sz w:val="22"/>
          <w:lang w:eastAsia="es-CO"/>
        </w:rPr>
        <w:t xml:space="preserve">: </w:t>
      </w:r>
      <w:r w:rsidR="00C92ACE" w:rsidRPr="00F375E2">
        <w:rPr>
          <w:rFonts w:ascii="Arial" w:hAnsi="Arial" w:cs="Arial"/>
          <w:b/>
          <w:bCs/>
          <w:sz w:val="22"/>
          <w:szCs w:val="22"/>
          <w:lang w:val="es-ES_tradnl" w:eastAsia="es-CO"/>
        </w:rPr>
        <w:t>prohibición del parágrafo del artículo 38 de la Ley 996 de 2005</w:t>
      </w:r>
      <w:r w:rsidRPr="00F375E2">
        <w:rPr>
          <w:rFonts w:ascii="Arial" w:hAnsi="Arial" w:cs="Arial"/>
          <w:b/>
          <w:bCs/>
          <w:color w:val="000000" w:themeColor="text1"/>
          <w:sz w:val="22"/>
          <w:lang w:eastAsia="es-CO"/>
        </w:rPr>
        <w:t xml:space="preserve"> </w:t>
      </w:r>
    </w:p>
    <w:p w14:paraId="52036B01" w14:textId="71725A2D" w:rsidR="009F290C" w:rsidRPr="00F375E2" w:rsidRDefault="009F290C" w:rsidP="009D07A2">
      <w:pPr>
        <w:spacing w:before="240" w:line="276" w:lineRule="auto"/>
        <w:jc w:val="both"/>
        <w:rPr>
          <w:rFonts w:ascii="Arial" w:eastAsia="Calibri" w:hAnsi="Arial" w:cs="Arial"/>
          <w:bCs/>
          <w:color w:val="000000" w:themeColor="text1"/>
          <w:sz w:val="22"/>
        </w:rPr>
      </w:pPr>
      <w:bookmarkStart w:id="31" w:name="_Hlk99720150"/>
      <w:bookmarkEnd w:id="29"/>
      <w:bookmarkEnd w:id="30"/>
      <w:r w:rsidRPr="00F375E2">
        <w:rPr>
          <w:rFonts w:ascii="Arial" w:eastAsia="Calibri" w:hAnsi="Arial" w:cs="Arial"/>
          <w:bCs/>
          <w:color w:val="000000" w:themeColor="text1"/>
          <w:sz w:val="22"/>
        </w:rPr>
        <w:t xml:space="preserve">El parágrafo del artículo 38 de la Ley 996 de 2005 dispone que «[l]os Gobernadores, </w:t>
      </w:r>
      <w:proofErr w:type="gramStart"/>
      <w:r w:rsidRPr="00F375E2">
        <w:rPr>
          <w:rFonts w:ascii="Arial" w:eastAsia="Calibri" w:hAnsi="Arial" w:cs="Arial"/>
          <w:bCs/>
          <w:color w:val="000000" w:themeColor="text1"/>
          <w:sz w:val="22"/>
        </w:rPr>
        <w:t>Alcaldes</w:t>
      </w:r>
      <w:proofErr w:type="gramEnd"/>
      <w:r w:rsidRPr="00F375E2">
        <w:rPr>
          <w:rFonts w:ascii="Arial" w:eastAsia="Calibri" w:hAnsi="Arial" w:cs="Arial"/>
          <w:bCs/>
          <w:color w:val="000000" w:themeColor="text1"/>
          <w:sz w:val="22"/>
        </w:rPr>
        <w:t xml:space="preserve">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F375E2">
        <w:rPr>
          <w:rFonts w:ascii="Arial" w:hAnsi="Arial" w:cs="Arial"/>
          <w:bCs/>
          <w:iCs/>
          <w:color w:val="000000" w:themeColor="text1"/>
          <w:sz w:val="22"/>
          <w:lang w:eastAsia="x-none"/>
        </w:rPr>
        <w:t xml:space="preserve"> 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r w:rsidRPr="00F375E2">
        <w:rPr>
          <w:rStyle w:val="Refdenotaalpie"/>
          <w:rFonts w:ascii="Arial" w:hAnsi="Arial" w:cs="Arial"/>
          <w:bCs/>
          <w:iCs/>
          <w:color w:val="000000" w:themeColor="text1"/>
          <w:sz w:val="22"/>
          <w:lang w:eastAsia="x-none"/>
        </w:rPr>
        <w:footnoteReference w:id="31"/>
      </w:r>
      <w:r w:rsidRPr="00F375E2">
        <w:rPr>
          <w:rFonts w:ascii="Arial" w:hAnsi="Arial" w:cs="Arial"/>
          <w:bCs/>
          <w:iCs/>
          <w:color w:val="000000" w:themeColor="text1"/>
          <w:sz w:val="22"/>
          <w:lang w:eastAsia="x-none"/>
        </w:rPr>
        <w:t>.</w:t>
      </w:r>
      <w:r w:rsidRPr="00F375E2">
        <w:rPr>
          <w:rFonts w:ascii="Arial" w:hAnsi="Arial" w:cs="Arial"/>
          <w:color w:val="000000" w:themeColor="text1"/>
        </w:rPr>
        <w:t xml:space="preserve"> </w:t>
      </w:r>
    </w:p>
    <w:p w14:paraId="682CF7B4" w14:textId="77777777" w:rsidR="009F290C" w:rsidRPr="00F375E2" w:rsidRDefault="009F290C" w:rsidP="009D07A2">
      <w:pPr>
        <w:pStyle w:val="Textoindependiente"/>
        <w:spacing w:before="240" w:beforeAutospacing="0" w:after="0" w:afterAutospacing="0" w:line="276" w:lineRule="auto"/>
        <w:ind w:firstLine="709"/>
        <w:jc w:val="both"/>
        <w:rPr>
          <w:rFonts w:ascii="Arial" w:hAnsi="Arial" w:cs="Arial"/>
          <w:color w:val="000000" w:themeColor="text1"/>
          <w:sz w:val="22"/>
          <w:szCs w:val="22"/>
        </w:rPr>
      </w:pPr>
      <w:r w:rsidRPr="00F375E2">
        <w:rPr>
          <w:rFonts w:ascii="Arial" w:eastAsia="Calibri" w:hAnsi="Arial" w:cs="Arial"/>
          <w:bCs/>
          <w:color w:val="000000" w:themeColor="text1"/>
          <w:sz w:val="22"/>
          <w:szCs w:val="22"/>
        </w:rPr>
        <w:t xml:space="preserve">Ahora bien, </w:t>
      </w:r>
      <w:bookmarkStart w:id="32" w:name="_Hlk78820161"/>
      <w:r w:rsidRPr="00F375E2">
        <w:rPr>
          <w:rFonts w:ascii="Arial" w:eastAsia="Calibri" w:hAnsi="Arial" w:cs="Arial"/>
          <w:bCs/>
          <w:color w:val="000000" w:themeColor="text1"/>
          <w:sz w:val="22"/>
          <w:szCs w:val="22"/>
        </w:rPr>
        <w:t xml:space="preserve">para determinar el alcance de la prohibición consagrada por la Ley de Garantías Electorales, conviene precisar la tipología de convenios o contratos interadministrativos. </w:t>
      </w:r>
      <w:r w:rsidRPr="00F375E2">
        <w:rPr>
          <w:rFonts w:ascii="Arial" w:hAnsi="Arial" w:cs="Arial"/>
          <w:color w:val="000000" w:themeColor="text1"/>
          <w:sz w:val="22"/>
          <w:szCs w:val="22"/>
        </w:rPr>
        <w:t>Aunque la ley no la definió ni desarrolló, el Decreto 1082 de 2015 califica a los convenios o contratos interadministrativos como aquella contratación entre entidades estatales</w:t>
      </w:r>
      <w:r w:rsidRPr="00F375E2">
        <w:rPr>
          <w:rStyle w:val="Refdenotaalpie"/>
          <w:rFonts w:ascii="Arial" w:hAnsi="Arial" w:cs="Arial"/>
          <w:color w:val="000000" w:themeColor="text1"/>
          <w:sz w:val="22"/>
          <w:szCs w:val="22"/>
        </w:rPr>
        <w:footnoteReference w:id="32"/>
      </w:r>
      <w:r w:rsidRPr="00F375E2">
        <w:rPr>
          <w:rFonts w:ascii="Arial" w:hAnsi="Arial" w:cs="Arial"/>
          <w:color w:val="000000" w:themeColor="text1"/>
          <w:sz w:val="22"/>
          <w:szCs w:val="22"/>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F375E2">
        <w:rPr>
          <w:rFonts w:ascii="Arial" w:hAnsi="Arial" w:cs="Arial"/>
          <w:color w:val="000000" w:themeColor="text1"/>
          <w:spacing w:val="-6"/>
          <w:sz w:val="22"/>
          <w:szCs w:val="22"/>
        </w:rPr>
        <w:t xml:space="preserve"> </w:t>
      </w:r>
      <w:r w:rsidRPr="00F375E2">
        <w:rPr>
          <w:rFonts w:ascii="Arial" w:hAnsi="Arial" w:cs="Arial"/>
          <w:color w:val="000000" w:themeColor="text1"/>
          <w:sz w:val="22"/>
          <w:szCs w:val="22"/>
        </w:rPr>
        <w:t>estatales.</w:t>
      </w:r>
    </w:p>
    <w:p w14:paraId="20279546" w14:textId="77777777" w:rsidR="009F290C" w:rsidRPr="00F375E2" w:rsidRDefault="009F290C" w:rsidP="009D07A2">
      <w:pPr>
        <w:pStyle w:val="Textoindependiente"/>
        <w:spacing w:before="240" w:beforeAutospacing="0" w:after="0" w:afterAutospacing="0" w:line="276" w:lineRule="auto"/>
        <w:ind w:firstLine="709"/>
        <w:jc w:val="both"/>
        <w:rPr>
          <w:rFonts w:ascii="Arial" w:hAnsi="Arial" w:cs="Arial"/>
          <w:color w:val="000000" w:themeColor="text1"/>
          <w:sz w:val="22"/>
          <w:szCs w:val="22"/>
        </w:rPr>
      </w:pPr>
      <w:bookmarkStart w:id="33" w:name="_Hlk78820654"/>
      <w:bookmarkEnd w:id="32"/>
      <w:r w:rsidRPr="00F375E2">
        <w:rPr>
          <w:rFonts w:ascii="Arial" w:hAnsi="Arial" w:cs="Arial"/>
          <w:color w:val="000000" w:themeColor="text1"/>
          <w:sz w:val="22"/>
          <w:szCs w:val="22"/>
        </w:rPr>
        <w:lastRenderedPageBreak/>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bookmarkEnd w:id="33"/>
    <w:p w14:paraId="299672F3" w14:textId="77777777" w:rsidR="009F290C" w:rsidRPr="00F375E2" w:rsidRDefault="009F290C" w:rsidP="009D07A2">
      <w:pPr>
        <w:pStyle w:val="Textoindependiente"/>
        <w:spacing w:before="240" w:beforeAutospacing="0" w:after="0" w:afterAutospacing="0" w:line="276" w:lineRule="auto"/>
        <w:ind w:firstLine="709"/>
        <w:jc w:val="both"/>
        <w:rPr>
          <w:rFonts w:ascii="Arial" w:hAnsi="Arial" w:cs="Arial"/>
          <w:color w:val="000000" w:themeColor="text1"/>
          <w:sz w:val="22"/>
          <w:szCs w:val="22"/>
        </w:rPr>
      </w:pPr>
      <w:r w:rsidRPr="00F375E2">
        <w:rPr>
          <w:rFonts w:ascii="Arial" w:hAnsi="Arial" w:cs="Arial"/>
          <w:color w:val="000000" w:themeColor="text1"/>
          <w:sz w:val="22"/>
          <w:szCs w:val="22"/>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F375E2">
        <w:rPr>
          <w:rStyle w:val="Refdenotaalpie"/>
          <w:rFonts w:ascii="Arial" w:hAnsi="Arial" w:cs="Arial"/>
          <w:color w:val="000000" w:themeColor="text1"/>
          <w:sz w:val="22"/>
          <w:szCs w:val="22"/>
        </w:rPr>
        <w:footnoteReference w:id="33"/>
      </w:r>
      <w:r w:rsidRPr="00F375E2">
        <w:rPr>
          <w:rFonts w:ascii="Arial" w:hAnsi="Arial" w:cs="Arial"/>
          <w:color w:val="000000" w:themeColor="text1"/>
          <w:sz w:val="22"/>
          <w:szCs w:val="22"/>
        </w:rPr>
        <w:t>. Nótese que, en este caso, lo que cambia es la modalidad de selección y no la naturaleza de contrato</w:t>
      </w:r>
      <w:r w:rsidRPr="00F375E2">
        <w:rPr>
          <w:rFonts w:ascii="Arial" w:hAnsi="Arial" w:cs="Arial"/>
          <w:color w:val="000000" w:themeColor="text1"/>
          <w:spacing w:val="-18"/>
          <w:sz w:val="22"/>
          <w:szCs w:val="22"/>
        </w:rPr>
        <w:t xml:space="preserve"> </w:t>
      </w:r>
      <w:r w:rsidRPr="00F375E2">
        <w:rPr>
          <w:rFonts w:ascii="Arial" w:hAnsi="Arial" w:cs="Arial"/>
          <w:color w:val="000000" w:themeColor="text1"/>
          <w:sz w:val="22"/>
          <w:szCs w:val="22"/>
        </w:rPr>
        <w:t>interadministrativo.</w:t>
      </w:r>
    </w:p>
    <w:p w14:paraId="0BC4A9ED" w14:textId="77777777" w:rsidR="009F290C" w:rsidRPr="00F375E2" w:rsidRDefault="009F290C" w:rsidP="009D07A2">
      <w:pPr>
        <w:pStyle w:val="Textoindependiente"/>
        <w:spacing w:before="240" w:beforeAutospacing="0" w:after="0" w:afterAutospacing="0" w:line="276" w:lineRule="auto"/>
        <w:ind w:firstLine="709"/>
        <w:jc w:val="both"/>
        <w:rPr>
          <w:rFonts w:ascii="Arial" w:hAnsi="Arial" w:cs="Arial"/>
          <w:color w:val="000000" w:themeColor="text1"/>
          <w:sz w:val="22"/>
          <w:szCs w:val="22"/>
        </w:rPr>
      </w:pPr>
      <w:r w:rsidRPr="00F375E2">
        <w:rPr>
          <w:rFonts w:ascii="Arial" w:hAnsi="Arial" w:cs="Arial"/>
          <w:color w:val="000000" w:themeColor="text1"/>
          <w:sz w:val="22"/>
          <w:szCs w:val="22"/>
        </w:rPr>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F375E2">
        <w:rPr>
          <w:rFonts w:ascii="Arial" w:hAnsi="Arial" w:cs="Arial"/>
          <w:color w:val="000000" w:themeColor="text1"/>
          <w:spacing w:val="-13"/>
          <w:sz w:val="22"/>
          <w:szCs w:val="22"/>
        </w:rPr>
        <w:t xml:space="preserve"> </w:t>
      </w:r>
      <w:r w:rsidRPr="00F375E2">
        <w:rPr>
          <w:rFonts w:ascii="Arial" w:hAnsi="Arial" w:cs="Arial"/>
          <w:color w:val="000000" w:themeColor="text1"/>
          <w:sz w:val="22"/>
          <w:szCs w:val="22"/>
        </w:rPr>
        <w:t>que:</w:t>
      </w:r>
    </w:p>
    <w:p w14:paraId="12B78DD1" w14:textId="77777777" w:rsidR="009F290C" w:rsidRPr="00F375E2" w:rsidRDefault="009F290C" w:rsidP="009D07A2">
      <w:pPr>
        <w:spacing w:before="240"/>
        <w:ind w:left="709" w:right="709"/>
        <w:jc w:val="both"/>
        <w:rPr>
          <w:rFonts w:ascii="Arial" w:hAnsi="Arial" w:cs="Arial"/>
          <w:color w:val="000000" w:themeColor="text1"/>
          <w:sz w:val="21"/>
        </w:rPr>
      </w:pPr>
      <w:r w:rsidRPr="00F375E2">
        <w:rPr>
          <w:rFonts w:ascii="Arial" w:hAnsi="Arial" w:cs="Arial"/>
          <w:color w:val="000000" w:themeColor="text1"/>
          <w:sz w:val="21"/>
        </w:rPr>
        <w:t xml:space="preserve">[…] se puede señalar que los convenios o contratos interadministrativos tienen como características principales las siguientes: (i) 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w:t>
      </w:r>
      <w:r w:rsidRPr="00F375E2">
        <w:rPr>
          <w:rFonts w:ascii="Arial" w:hAnsi="Arial" w:cs="Arial"/>
          <w:color w:val="000000" w:themeColor="text1"/>
          <w:sz w:val="21"/>
        </w:rPr>
        <w:lastRenderedPageBreak/>
        <w:t>consiguiente, también se obligan a las disposiciones que resulten pertinentes del Código Civil y del Código de Comercio; (vi) dan lugar a la creación de obligaciones jurídicamente exigibles; (</w:t>
      </w:r>
      <w:proofErr w:type="spellStart"/>
      <w:r w:rsidRPr="00F375E2">
        <w:rPr>
          <w:rFonts w:ascii="Arial" w:hAnsi="Arial" w:cs="Arial"/>
          <w:color w:val="000000" w:themeColor="text1"/>
          <w:sz w:val="21"/>
        </w:rPr>
        <w:t>vii</w:t>
      </w:r>
      <w:proofErr w:type="spellEnd"/>
      <w:r w:rsidRPr="00F375E2">
        <w:rPr>
          <w:rFonts w:ascii="Arial" w:hAnsi="Arial" w:cs="Arial"/>
          <w:color w:val="000000" w:themeColor="text1"/>
          <w:sz w:val="21"/>
        </w:rPr>
        <w:t>) persiguen  una finalidad común a través de la realización de intereses compartidos entre las entidades vinculadas; (</w:t>
      </w:r>
      <w:proofErr w:type="spellStart"/>
      <w:r w:rsidRPr="00F375E2">
        <w:rPr>
          <w:rFonts w:ascii="Arial" w:hAnsi="Arial" w:cs="Arial"/>
          <w:color w:val="000000" w:themeColor="text1"/>
          <w:sz w:val="21"/>
        </w:rPr>
        <w:t>viii</w:t>
      </w:r>
      <w:proofErr w:type="spellEnd"/>
      <w:r w:rsidRPr="00F375E2">
        <w:rPr>
          <w:rFonts w:ascii="Arial" w:hAnsi="Arial" w:cs="Arial"/>
          <w:color w:val="000000" w:themeColor="text1"/>
          <w:sz w:val="21"/>
        </w:rPr>
        <w:t>) la acción mediante la cual se deben ventilar las diferencias que sobre el particular surjan es la de controversias contractuales</w:t>
      </w:r>
      <w:r w:rsidRPr="00F375E2">
        <w:rPr>
          <w:rStyle w:val="Refdenotaalpie"/>
          <w:rFonts w:ascii="Arial" w:hAnsi="Arial" w:cs="Arial"/>
          <w:color w:val="000000" w:themeColor="text1"/>
          <w:sz w:val="21"/>
        </w:rPr>
        <w:footnoteReference w:id="34"/>
      </w:r>
      <w:r w:rsidRPr="00F375E2">
        <w:rPr>
          <w:rFonts w:ascii="Arial" w:hAnsi="Arial" w:cs="Arial"/>
          <w:color w:val="000000" w:themeColor="text1"/>
          <w:sz w:val="21"/>
        </w:rPr>
        <w:t>.</w:t>
      </w:r>
    </w:p>
    <w:p w14:paraId="26C83E8E" w14:textId="77777777" w:rsidR="009F290C" w:rsidRPr="00F375E2" w:rsidRDefault="009F290C" w:rsidP="009D07A2">
      <w:pPr>
        <w:pStyle w:val="Textoindependiente"/>
        <w:spacing w:before="240" w:beforeAutospacing="0" w:after="0" w:afterAutospacing="0" w:line="276" w:lineRule="auto"/>
        <w:ind w:firstLine="709"/>
        <w:jc w:val="both"/>
        <w:rPr>
          <w:rFonts w:ascii="Arial" w:hAnsi="Arial" w:cs="Arial"/>
          <w:color w:val="000000" w:themeColor="text1"/>
          <w:sz w:val="22"/>
          <w:szCs w:val="22"/>
        </w:rPr>
      </w:pPr>
      <w:r w:rsidRPr="00F375E2">
        <w:rPr>
          <w:rFonts w:ascii="Arial" w:hAnsi="Arial" w:cs="Arial"/>
          <w:color w:val="000000" w:themeColor="text1"/>
          <w:sz w:val="22"/>
          <w:szCs w:val="22"/>
        </w:rPr>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6B1486D4" w14:textId="77777777" w:rsidR="009F290C" w:rsidRPr="00F375E2" w:rsidRDefault="009F290C" w:rsidP="009D07A2">
      <w:pPr>
        <w:pStyle w:val="Textoindependiente"/>
        <w:spacing w:before="240" w:beforeAutospacing="0" w:after="0" w:afterAutospacing="0" w:line="276" w:lineRule="auto"/>
        <w:ind w:firstLine="709"/>
        <w:jc w:val="both"/>
        <w:rPr>
          <w:rFonts w:ascii="Arial" w:hAnsi="Arial" w:cs="Arial"/>
          <w:color w:val="000000" w:themeColor="text1"/>
          <w:sz w:val="22"/>
          <w:szCs w:val="22"/>
        </w:rPr>
      </w:pPr>
      <w:r w:rsidRPr="00F375E2">
        <w:rPr>
          <w:rFonts w:ascii="Arial" w:hAnsi="Arial" w:cs="Arial"/>
          <w:color w:val="000000" w:themeColor="text1"/>
          <w:sz w:val="22"/>
          <w:szCs w:val="22"/>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F375E2">
        <w:rPr>
          <w:rFonts w:ascii="Arial" w:hAnsi="Arial" w:cs="Arial"/>
          <w:color w:val="000000" w:themeColor="text1"/>
          <w:spacing w:val="-3"/>
          <w:sz w:val="22"/>
          <w:szCs w:val="22"/>
        </w:rPr>
        <w:t xml:space="preserve"> </w:t>
      </w:r>
      <w:r w:rsidRPr="00F375E2">
        <w:rPr>
          <w:rFonts w:ascii="Arial" w:hAnsi="Arial" w:cs="Arial"/>
          <w:color w:val="000000" w:themeColor="text1"/>
          <w:sz w:val="22"/>
          <w:szCs w:val="22"/>
        </w:rPr>
        <w:t>estatales.</w:t>
      </w:r>
    </w:p>
    <w:p w14:paraId="0D856A88" w14:textId="77777777" w:rsidR="009F290C" w:rsidRPr="00F375E2" w:rsidRDefault="009F290C" w:rsidP="009D07A2">
      <w:pPr>
        <w:pStyle w:val="Textoindependiente"/>
        <w:spacing w:before="240" w:beforeAutospacing="0" w:after="0" w:afterAutospacing="0" w:line="276" w:lineRule="auto"/>
        <w:ind w:firstLine="709"/>
        <w:jc w:val="both"/>
        <w:rPr>
          <w:rFonts w:ascii="Arial" w:hAnsi="Arial" w:cs="Arial"/>
          <w:color w:val="000000" w:themeColor="text1"/>
          <w:sz w:val="22"/>
          <w:szCs w:val="22"/>
        </w:rPr>
      </w:pPr>
      <w:r w:rsidRPr="00F375E2">
        <w:rPr>
          <w:rFonts w:ascii="Arial" w:hAnsi="Arial" w:cs="Arial"/>
          <w:color w:val="000000" w:themeColor="text1"/>
          <w:sz w:val="22"/>
          <w:szCs w:val="22"/>
        </w:rPr>
        <w:t xml:space="preserve">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w:t>
      </w:r>
      <w:r w:rsidRPr="00F375E2">
        <w:rPr>
          <w:rFonts w:ascii="Arial" w:hAnsi="Arial" w:cs="Arial"/>
          <w:color w:val="000000" w:themeColor="text1"/>
          <w:sz w:val="22"/>
          <w:szCs w:val="22"/>
        </w:rPr>
        <w:lastRenderedPageBreak/>
        <w:t>acuerdos que permitan la autonomía de la voluntad y requieran el cumplimiento de los fines</w:t>
      </w:r>
      <w:r w:rsidRPr="00F375E2">
        <w:rPr>
          <w:rFonts w:ascii="Arial" w:hAnsi="Arial" w:cs="Arial"/>
          <w:color w:val="000000" w:themeColor="text1"/>
          <w:spacing w:val="-4"/>
          <w:sz w:val="22"/>
          <w:szCs w:val="22"/>
        </w:rPr>
        <w:t xml:space="preserve"> </w:t>
      </w:r>
      <w:r w:rsidRPr="00F375E2">
        <w:rPr>
          <w:rFonts w:ascii="Arial" w:hAnsi="Arial" w:cs="Arial"/>
          <w:color w:val="000000" w:themeColor="text1"/>
          <w:sz w:val="22"/>
          <w:szCs w:val="22"/>
        </w:rPr>
        <w:t>estatales.</w:t>
      </w:r>
    </w:p>
    <w:p w14:paraId="52548C17" w14:textId="77777777" w:rsidR="009F290C" w:rsidRPr="00F375E2" w:rsidRDefault="009F290C" w:rsidP="009D07A2">
      <w:pPr>
        <w:pStyle w:val="Textoindependiente"/>
        <w:spacing w:before="240" w:beforeAutospacing="0" w:after="0" w:afterAutospacing="0" w:line="276" w:lineRule="auto"/>
        <w:ind w:firstLine="708"/>
        <w:jc w:val="both"/>
        <w:rPr>
          <w:rFonts w:ascii="Arial" w:hAnsi="Arial" w:cs="Arial"/>
          <w:color w:val="000000" w:themeColor="text1"/>
          <w:sz w:val="22"/>
          <w:szCs w:val="22"/>
        </w:rPr>
      </w:pPr>
      <w:r w:rsidRPr="00F375E2">
        <w:rPr>
          <w:rFonts w:ascii="Arial" w:hAnsi="Arial" w:cs="Arial"/>
          <w:color w:val="000000" w:themeColor="text1"/>
          <w:sz w:val="22"/>
          <w:szCs w:val="22"/>
        </w:rPr>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108F4066" w14:textId="77777777" w:rsidR="009F290C" w:rsidRPr="00F375E2" w:rsidRDefault="009F290C" w:rsidP="009D07A2">
      <w:pPr>
        <w:pStyle w:val="Textoindependiente"/>
        <w:spacing w:before="240" w:beforeAutospacing="0" w:after="0" w:afterAutospacing="0" w:line="276" w:lineRule="auto"/>
        <w:ind w:firstLine="708"/>
        <w:jc w:val="both"/>
        <w:rPr>
          <w:rFonts w:ascii="Arial" w:eastAsia="Calibri" w:hAnsi="Arial" w:cs="Arial"/>
          <w:bCs/>
          <w:color w:val="000000" w:themeColor="text1"/>
          <w:sz w:val="22"/>
          <w:szCs w:val="22"/>
        </w:rPr>
      </w:pPr>
      <w:r w:rsidRPr="00F375E2">
        <w:rPr>
          <w:rFonts w:ascii="Arial" w:hAnsi="Arial" w:cs="Arial"/>
          <w:color w:val="000000" w:themeColor="text1"/>
          <w:sz w:val="22"/>
          <w:szCs w:val="22"/>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F375E2">
        <w:rPr>
          <w:rFonts w:ascii="Arial" w:hAnsi="Arial" w:cs="Arial"/>
          <w:color w:val="000000" w:themeColor="text1"/>
          <w:spacing w:val="-4"/>
          <w:sz w:val="22"/>
          <w:szCs w:val="22"/>
        </w:rPr>
        <w:t xml:space="preserve"> </w:t>
      </w:r>
      <w:r w:rsidRPr="00F375E2">
        <w:rPr>
          <w:rFonts w:ascii="Arial" w:hAnsi="Arial" w:cs="Arial"/>
          <w:color w:val="000000" w:themeColor="text1"/>
          <w:sz w:val="22"/>
          <w:szCs w:val="22"/>
        </w:rPr>
        <w:t>[…]»</w:t>
      </w:r>
      <w:r w:rsidRPr="00F375E2">
        <w:rPr>
          <w:rStyle w:val="Refdenotaalpie"/>
          <w:rFonts w:ascii="Arial" w:hAnsi="Arial" w:cs="Arial"/>
          <w:color w:val="000000" w:themeColor="text1"/>
          <w:sz w:val="22"/>
          <w:szCs w:val="22"/>
        </w:rPr>
        <w:footnoteReference w:id="35"/>
      </w:r>
      <w:r w:rsidRPr="00F375E2">
        <w:rPr>
          <w:rFonts w:ascii="Arial" w:hAnsi="Arial" w:cs="Arial"/>
          <w:color w:val="000000" w:themeColor="text1"/>
          <w:sz w:val="22"/>
          <w:szCs w:val="22"/>
        </w:rPr>
        <w:t>.</w:t>
      </w:r>
      <w:bookmarkStart w:id="34" w:name="_Hlk77171241"/>
    </w:p>
    <w:p w14:paraId="62A64E10" w14:textId="77777777" w:rsidR="009F290C" w:rsidRPr="00F375E2" w:rsidRDefault="009F290C" w:rsidP="009D07A2">
      <w:pPr>
        <w:pStyle w:val="Textoindependiente"/>
        <w:spacing w:before="240" w:beforeAutospacing="0" w:after="0" w:afterAutospacing="0" w:line="276" w:lineRule="auto"/>
        <w:ind w:firstLine="709"/>
        <w:jc w:val="both"/>
        <w:rPr>
          <w:rFonts w:ascii="Arial" w:hAnsi="Arial" w:cs="Arial"/>
          <w:color w:val="000000" w:themeColor="text1"/>
          <w:sz w:val="22"/>
          <w:szCs w:val="22"/>
        </w:rPr>
      </w:pPr>
      <w:r w:rsidRPr="00F375E2">
        <w:rPr>
          <w:rFonts w:ascii="Arial" w:hAnsi="Arial" w:cs="Arial"/>
          <w:color w:val="000000" w:themeColor="text1"/>
          <w:sz w:val="22"/>
          <w:szCs w:val="22"/>
        </w:rPr>
        <w:t>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 en sentencia del 14 de junio de 2019 expresó:</w:t>
      </w:r>
    </w:p>
    <w:p w14:paraId="210DA0D1" w14:textId="77777777" w:rsidR="009F290C" w:rsidRPr="00F375E2" w:rsidRDefault="009F290C" w:rsidP="009D07A2">
      <w:pPr>
        <w:spacing w:before="240"/>
        <w:ind w:left="709" w:right="709"/>
        <w:jc w:val="both"/>
        <w:rPr>
          <w:rFonts w:ascii="Arial" w:hAnsi="Arial" w:cs="Arial"/>
          <w:color w:val="000000" w:themeColor="text1"/>
          <w:sz w:val="21"/>
          <w:szCs w:val="21"/>
          <w:lang w:val="es-ES_tradnl"/>
        </w:rPr>
      </w:pPr>
      <w:r w:rsidRPr="00F375E2">
        <w:rPr>
          <w:rFonts w:ascii="Arial" w:hAnsi="Arial" w:cs="Arial"/>
          <w:color w:val="000000" w:themeColor="text1"/>
          <w:sz w:val="21"/>
          <w:szCs w:val="21"/>
          <w:lang w:val="es-ES_tradnl"/>
        </w:rPr>
        <w:t>La Sala de Consulta y Servicio Civil</w:t>
      </w:r>
      <w:r w:rsidRPr="00F375E2">
        <w:rPr>
          <w:rStyle w:val="Refdenotaalpie"/>
          <w:rFonts w:ascii="Arial" w:hAnsi="Arial" w:cs="Arial"/>
          <w:color w:val="000000" w:themeColor="text1"/>
          <w:sz w:val="21"/>
          <w:szCs w:val="21"/>
          <w:lang w:val="es-ES_tradnl"/>
        </w:rPr>
        <w:footnoteReference w:id="36"/>
      </w:r>
      <w:r w:rsidRPr="00F375E2">
        <w:rPr>
          <w:rFonts w:ascii="Arial" w:hAnsi="Arial" w:cs="Arial"/>
          <w:color w:val="000000" w:themeColor="text1"/>
          <w:sz w:val="21"/>
          <w:szCs w:val="21"/>
          <w:lang w:val="es-ES_tradnl"/>
        </w:rPr>
        <w:t xml:space="preserve"> de esta Corporación se ha referido a los </w:t>
      </w:r>
      <w:r w:rsidRPr="00F375E2">
        <w:rPr>
          <w:rFonts w:ascii="Arial" w:hAnsi="Arial" w:cs="Arial"/>
          <w:i/>
          <w:color w:val="000000" w:themeColor="text1"/>
          <w:sz w:val="21"/>
          <w:szCs w:val="21"/>
          <w:lang w:val="es-ES_tradnl"/>
        </w:rPr>
        <w:t>“convenios interadministrativos”</w:t>
      </w:r>
      <w:r w:rsidRPr="00F375E2">
        <w:rPr>
          <w:rFonts w:ascii="Arial" w:hAnsi="Arial" w:cs="Arial"/>
          <w:color w:val="000000" w:themeColor="text1"/>
          <w:sz w:val="21"/>
          <w:szCs w:val="21"/>
          <w:lang w:val="es-ES_tradnl"/>
        </w:rPr>
        <w:t xml:space="preserve"> a los cuales alude el artículo 95 de la Ley 489 de 1998, calificándolos de </w:t>
      </w:r>
      <w:r w:rsidRPr="00F375E2">
        <w:rPr>
          <w:rFonts w:ascii="Arial" w:hAnsi="Arial" w:cs="Arial"/>
          <w:i/>
          <w:color w:val="000000" w:themeColor="text1"/>
          <w:sz w:val="21"/>
          <w:szCs w:val="21"/>
          <w:lang w:val="es-ES_tradnl"/>
        </w:rPr>
        <w:t xml:space="preserve">“puros” </w:t>
      </w:r>
      <w:r w:rsidRPr="00F375E2">
        <w:rPr>
          <w:rFonts w:ascii="Arial" w:hAnsi="Arial" w:cs="Arial"/>
          <w:color w:val="000000" w:themeColor="text1"/>
          <w:sz w:val="21"/>
          <w:szCs w:val="21"/>
          <w:lang w:val="es-ES_tradnl"/>
        </w:rPr>
        <w:t xml:space="preserve">y entendiendo que estos, además de perseguir la finalidad de cooperación antes indicada, no implican intereses contrapuestos ni tampoco se circunscriben a un </w:t>
      </w:r>
      <w:r w:rsidRPr="00F375E2">
        <w:rPr>
          <w:rFonts w:ascii="Arial" w:hAnsi="Arial" w:cs="Arial"/>
          <w:i/>
          <w:color w:val="000000" w:themeColor="text1"/>
          <w:sz w:val="21"/>
          <w:szCs w:val="21"/>
          <w:lang w:val="es-ES_tradnl"/>
        </w:rPr>
        <w:t>“intercambio patrimonial”</w:t>
      </w:r>
      <w:r w:rsidRPr="00F375E2">
        <w:rPr>
          <w:rFonts w:ascii="Arial" w:hAnsi="Arial" w:cs="Arial"/>
          <w:color w:val="000000" w:themeColor="text1"/>
          <w:sz w:val="21"/>
          <w:szCs w:val="21"/>
          <w:lang w:val="es-ES_tradnl"/>
        </w:rPr>
        <w:t>. Sin perjuicio de lo anterior, en otra oportunidad, la misma Sala</w:t>
      </w:r>
      <w:r w:rsidRPr="00F375E2">
        <w:rPr>
          <w:rStyle w:val="Refdenotaalpie"/>
          <w:rFonts w:ascii="Arial" w:hAnsi="Arial" w:cs="Arial"/>
          <w:color w:val="000000" w:themeColor="text1"/>
          <w:sz w:val="21"/>
          <w:szCs w:val="21"/>
          <w:lang w:val="es-ES_tradnl"/>
        </w:rPr>
        <w:footnoteReference w:id="37"/>
      </w:r>
      <w:r w:rsidRPr="00F375E2">
        <w:rPr>
          <w:rFonts w:ascii="Arial" w:hAnsi="Arial" w:cs="Arial"/>
          <w:color w:val="000000" w:themeColor="text1"/>
          <w:sz w:val="21"/>
          <w:szCs w:val="21"/>
          <w:lang w:val="es-ES_tradnl"/>
        </w:rPr>
        <w:t xml:space="preserve"> había indicado que, si bien en dichos convenios no se daba un </w:t>
      </w:r>
      <w:r w:rsidRPr="00F375E2">
        <w:rPr>
          <w:rFonts w:ascii="Arial" w:hAnsi="Arial" w:cs="Arial"/>
          <w:i/>
          <w:color w:val="000000" w:themeColor="text1"/>
          <w:sz w:val="21"/>
          <w:szCs w:val="21"/>
          <w:lang w:val="es-ES_tradnl"/>
        </w:rPr>
        <w:t xml:space="preserve">“verdadero intercambio de bienes o </w:t>
      </w:r>
      <w:r w:rsidRPr="00F375E2">
        <w:rPr>
          <w:rFonts w:ascii="Arial" w:hAnsi="Arial" w:cs="Arial"/>
          <w:i/>
          <w:color w:val="000000" w:themeColor="text1"/>
          <w:sz w:val="21"/>
          <w:szCs w:val="21"/>
          <w:lang w:val="es-ES_tradnl"/>
        </w:rPr>
        <w:lastRenderedPageBreak/>
        <w:t>servicios (contrato conmutativo)”</w:t>
      </w:r>
      <w:r w:rsidRPr="00F375E2">
        <w:rPr>
          <w:rFonts w:ascii="Arial" w:hAnsi="Arial" w:cs="Arial"/>
          <w:color w:val="000000" w:themeColor="text1"/>
          <w:sz w:val="21"/>
          <w:szCs w:val="21"/>
          <w:lang w:val="es-ES_tradnl"/>
        </w:rPr>
        <w:t>, ello no impedía que se conviniera una remuneración a cargo de alguna(s) entidad(es).</w:t>
      </w:r>
    </w:p>
    <w:p w14:paraId="22DF4613" w14:textId="77777777" w:rsidR="009F290C" w:rsidRPr="00F375E2" w:rsidRDefault="009F290C" w:rsidP="009D07A2">
      <w:pPr>
        <w:pStyle w:val="Textoindependiente"/>
        <w:spacing w:before="240" w:beforeAutospacing="0" w:after="0" w:afterAutospacing="0"/>
        <w:ind w:left="709" w:right="709"/>
        <w:jc w:val="both"/>
        <w:rPr>
          <w:rFonts w:ascii="Arial" w:hAnsi="Arial" w:cs="Arial"/>
          <w:color w:val="000000" w:themeColor="text1"/>
          <w:sz w:val="21"/>
          <w:szCs w:val="21"/>
        </w:rPr>
      </w:pPr>
      <w:r w:rsidRPr="00F375E2">
        <w:rPr>
          <w:rFonts w:ascii="Arial" w:hAnsi="Arial" w:cs="Arial"/>
          <w:color w:val="000000" w:themeColor="text1"/>
          <w:sz w:val="21"/>
          <w:szCs w:val="21"/>
          <w:lang w:val="es-ES_tradnl"/>
        </w:rPr>
        <w:t xml:space="preserve">Lo expuesto evidencia que, en general, las interpretaciones en torno a los </w:t>
      </w:r>
      <w:r w:rsidRPr="00F375E2">
        <w:rPr>
          <w:rFonts w:ascii="Arial" w:hAnsi="Arial" w:cs="Arial"/>
          <w:i/>
          <w:color w:val="000000" w:themeColor="text1"/>
          <w:sz w:val="21"/>
          <w:szCs w:val="21"/>
          <w:lang w:val="es-ES_tradnl"/>
        </w:rPr>
        <w:t>“convenios interadministrativos”</w:t>
      </w:r>
      <w:r w:rsidRPr="00F375E2">
        <w:rPr>
          <w:rFonts w:ascii="Arial" w:hAnsi="Arial" w:cs="Arial"/>
          <w:color w:val="000000" w:themeColor="text1"/>
          <w:sz w:val="21"/>
          <w:szCs w:val="21"/>
          <w:lang w:val="es-ES_tradnl"/>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F375E2">
        <w:rPr>
          <w:rStyle w:val="Refdenotaalpie"/>
          <w:rFonts w:ascii="Arial" w:hAnsi="Arial" w:cs="Arial"/>
          <w:color w:val="000000" w:themeColor="text1"/>
          <w:sz w:val="21"/>
          <w:szCs w:val="21"/>
          <w:lang w:val="es-ES_tradnl"/>
        </w:rPr>
        <w:footnoteReference w:id="38"/>
      </w:r>
      <w:r w:rsidRPr="00F375E2">
        <w:rPr>
          <w:rStyle w:val="Refdenotaalpie"/>
          <w:rFonts w:ascii="Arial" w:hAnsi="Arial" w:cs="Arial"/>
          <w:color w:val="000000" w:themeColor="text1"/>
          <w:sz w:val="21"/>
          <w:szCs w:val="21"/>
          <w:lang w:val="es-ES_tradnl"/>
        </w:rPr>
        <w:footnoteReference w:id="39"/>
      </w:r>
      <w:r w:rsidRPr="00F375E2">
        <w:rPr>
          <w:rFonts w:ascii="Arial" w:hAnsi="Arial" w:cs="Arial"/>
          <w:color w:val="000000" w:themeColor="text1"/>
          <w:sz w:val="21"/>
          <w:szCs w:val="21"/>
          <w:lang w:val="es-ES_tradnl"/>
        </w:rPr>
        <w:t>.</w:t>
      </w:r>
    </w:p>
    <w:p w14:paraId="6A8FF9B4" w14:textId="03F92BC4" w:rsidR="009F290C" w:rsidRPr="00F375E2" w:rsidRDefault="009F290C" w:rsidP="009D07A2">
      <w:pPr>
        <w:pStyle w:val="Textoindependiente"/>
        <w:spacing w:before="240" w:beforeAutospacing="0" w:after="0" w:afterAutospacing="0" w:line="276" w:lineRule="auto"/>
        <w:jc w:val="both"/>
        <w:rPr>
          <w:rFonts w:ascii="Arial" w:hAnsi="Arial" w:cs="Arial"/>
          <w:color w:val="000000" w:themeColor="text1"/>
          <w:sz w:val="22"/>
          <w:szCs w:val="22"/>
        </w:rPr>
      </w:pPr>
      <w:r w:rsidRPr="00F375E2">
        <w:rPr>
          <w:rFonts w:ascii="Arial" w:hAnsi="Arial" w:cs="Arial"/>
          <w:color w:val="000000" w:themeColor="text1"/>
        </w:rPr>
        <w:tab/>
      </w:r>
      <w:r w:rsidRPr="00F375E2">
        <w:rPr>
          <w:rFonts w:ascii="Arial" w:hAnsi="Arial" w:cs="Arial"/>
          <w:color w:val="000000" w:themeColor="text1"/>
          <w:sz w:val="22"/>
          <w:szCs w:val="22"/>
        </w:rPr>
        <w:t>Vale la pena reiterar que el ordenamiento jurídico, en distintas ocasiones utiliza de forma indistinta los conceptos de contrato o convenio para referirse a la misma institución jurídica</w:t>
      </w:r>
      <w:r w:rsidRPr="00F375E2">
        <w:rPr>
          <w:rStyle w:val="Refdenotaalpie"/>
          <w:rFonts w:ascii="Arial" w:hAnsi="Arial" w:cs="Arial"/>
          <w:color w:val="000000" w:themeColor="text1"/>
          <w:sz w:val="22"/>
          <w:szCs w:val="22"/>
        </w:rPr>
        <w:footnoteReference w:id="40"/>
      </w:r>
      <w:r w:rsidRPr="00F375E2">
        <w:rPr>
          <w:rFonts w:ascii="Arial" w:hAnsi="Arial" w:cs="Arial"/>
          <w:color w:val="000000" w:themeColor="text1"/>
          <w:sz w:val="22"/>
          <w:szCs w:val="22"/>
        </w:rPr>
        <w:t>. Incluso, la Corte Constitucional fundamenta la posibilidad de celebrar convenios interadministrativos de forma directa, con fundamento en la causal establecida en la Ley 1150 de 2007 respecto a los contratos interadministrativos</w:t>
      </w:r>
      <w:r w:rsidRPr="00F375E2">
        <w:rPr>
          <w:rStyle w:val="Refdenotaalpie"/>
          <w:rFonts w:ascii="Arial" w:hAnsi="Arial" w:cs="Arial"/>
          <w:color w:val="000000" w:themeColor="text1"/>
          <w:sz w:val="22"/>
          <w:szCs w:val="22"/>
        </w:rPr>
        <w:footnoteReference w:id="41"/>
      </w:r>
      <w:r w:rsidRPr="00F375E2">
        <w:rPr>
          <w:rFonts w:ascii="Arial" w:hAnsi="Arial" w:cs="Arial"/>
          <w:color w:val="000000" w:themeColor="text1"/>
          <w:sz w:val="22"/>
          <w:szCs w:val="22"/>
        </w:rPr>
        <w:t>.</w:t>
      </w:r>
    </w:p>
    <w:p w14:paraId="306B4E13" w14:textId="77777777" w:rsidR="009F290C" w:rsidRPr="00F375E2" w:rsidRDefault="009F290C" w:rsidP="009D07A2">
      <w:pPr>
        <w:pStyle w:val="Textoindependiente"/>
        <w:spacing w:before="240" w:beforeAutospacing="0" w:after="0" w:afterAutospacing="0" w:line="276" w:lineRule="auto"/>
        <w:jc w:val="both"/>
        <w:rPr>
          <w:rFonts w:ascii="Arial" w:hAnsi="Arial" w:cs="Arial"/>
          <w:color w:val="000000" w:themeColor="text1"/>
          <w:sz w:val="22"/>
          <w:szCs w:val="22"/>
        </w:rPr>
      </w:pPr>
      <w:r w:rsidRPr="00F375E2">
        <w:rPr>
          <w:rFonts w:ascii="Arial" w:hAnsi="Arial" w:cs="Arial"/>
          <w:color w:val="000000" w:themeColor="text1"/>
          <w:sz w:val="22"/>
          <w:szCs w:val="22"/>
        </w:rPr>
        <w:tab/>
        <w:t xml:space="preserve">En desarrollo de lo anterior, se destaca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w:t>
      </w:r>
      <w:r w:rsidRPr="00F375E2">
        <w:rPr>
          <w:rFonts w:ascii="Arial" w:hAnsi="Arial" w:cs="Arial"/>
          <w:color w:val="000000" w:themeColor="text1"/>
          <w:sz w:val="22"/>
          <w:szCs w:val="22"/>
        </w:rPr>
        <w:lastRenderedPageBreak/>
        <w:t>con las consideraciones expuestas en este numeral los asimila para efectos de aplicar las disposiciones que tangencialmente se refieren a uno u otro vocablo, por ejemplo, lo que resulta bastante relevante para este concepto, para la aplicación de la Ley de Garantías. En este sentido, la Circular, refiriéndose al parágrafo del artículo 38 de la Ley 996 de 2005, expresa:</w:t>
      </w:r>
    </w:p>
    <w:p w14:paraId="1F9F0705" w14:textId="77777777" w:rsidR="009F290C" w:rsidRPr="00F375E2" w:rsidRDefault="009F290C" w:rsidP="009D07A2">
      <w:pPr>
        <w:spacing w:before="240"/>
        <w:ind w:left="709" w:right="709"/>
        <w:jc w:val="both"/>
        <w:rPr>
          <w:rFonts w:ascii="Arial" w:hAnsi="Arial" w:cs="Arial"/>
          <w:color w:val="000000" w:themeColor="text1"/>
          <w:sz w:val="21"/>
          <w:szCs w:val="21"/>
        </w:rPr>
      </w:pPr>
      <w:r w:rsidRPr="00F375E2">
        <w:rPr>
          <w:rFonts w:ascii="Arial" w:hAnsi="Arial" w:cs="Arial"/>
          <w:color w:val="000000" w:themeColor="text1"/>
          <w:sz w:val="21"/>
          <w:szCs w:val="21"/>
          <w:lang w:val="es-ES_tradnl"/>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F375E2">
        <w:rPr>
          <w:rFonts w:ascii="Arial" w:hAnsi="Arial" w:cs="Arial"/>
          <w:color w:val="000000" w:themeColor="text1"/>
          <w:sz w:val="21"/>
          <w:szCs w:val="21"/>
        </w:rPr>
        <w:t xml:space="preserve">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32DD15AC" w14:textId="77777777" w:rsidR="009F290C" w:rsidRPr="00F375E2" w:rsidRDefault="009F290C" w:rsidP="009D07A2">
      <w:pPr>
        <w:spacing w:before="240"/>
        <w:ind w:left="709" w:right="709"/>
        <w:jc w:val="both"/>
        <w:rPr>
          <w:rFonts w:ascii="Arial" w:hAnsi="Arial" w:cs="Arial"/>
          <w:color w:val="000000" w:themeColor="text1"/>
          <w:sz w:val="21"/>
          <w:szCs w:val="21"/>
        </w:rPr>
      </w:pPr>
      <w:r w:rsidRPr="00F375E2">
        <w:rPr>
          <w:rFonts w:ascii="Arial" w:hAnsi="Arial" w:cs="Arial"/>
          <w:color w:val="000000" w:themeColor="text1"/>
          <w:sz w:val="21"/>
          <w:szCs w:val="21"/>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66952C91" w14:textId="77777777" w:rsidR="009F290C" w:rsidRPr="00F375E2" w:rsidRDefault="009F290C" w:rsidP="009D07A2">
      <w:pPr>
        <w:spacing w:before="240"/>
        <w:ind w:left="709" w:right="709"/>
        <w:jc w:val="both"/>
        <w:rPr>
          <w:rFonts w:ascii="Arial" w:hAnsi="Arial" w:cs="Arial"/>
          <w:color w:val="000000" w:themeColor="text1"/>
        </w:rPr>
      </w:pPr>
      <w:r w:rsidRPr="00F375E2">
        <w:rPr>
          <w:rFonts w:ascii="Arial" w:hAnsi="Arial" w:cs="Arial"/>
          <w:color w:val="000000" w:themeColor="text1"/>
          <w:sz w:val="21"/>
          <w:szCs w:val="21"/>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03DBA2A7" w14:textId="0910C3E4" w:rsidR="009F290C" w:rsidRPr="00F375E2" w:rsidRDefault="009F290C" w:rsidP="009D07A2">
      <w:pPr>
        <w:pStyle w:val="Textoindependiente"/>
        <w:spacing w:before="240" w:beforeAutospacing="0" w:after="0" w:afterAutospacing="0" w:line="276" w:lineRule="auto"/>
        <w:jc w:val="both"/>
        <w:rPr>
          <w:rFonts w:ascii="Arial" w:eastAsia="Calibri" w:hAnsi="Arial" w:cs="Arial"/>
          <w:bCs/>
          <w:color w:val="000000" w:themeColor="text1"/>
          <w:sz w:val="22"/>
          <w:szCs w:val="22"/>
        </w:rPr>
      </w:pPr>
      <w:r w:rsidRPr="00F375E2">
        <w:rPr>
          <w:rFonts w:ascii="Arial" w:hAnsi="Arial" w:cs="Arial"/>
          <w:color w:val="000000" w:themeColor="text1"/>
          <w:sz w:val="25"/>
        </w:rPr>
        <w:tab/>
      </w:r>
      <w:r w:rsidRPr="00F375E2">
        <w:rPr>
          <w:rFonts w:ascii="Arial" w:hAnsi="Arial" w:cs="Arial"/>
          <w:color w:val="000000" w:themeColor="text1"/>
          <w:sz w:val="22"/>
          <w:szCs w:val="22"/>
        </w:rPr>
        <w:t xml:space="preserve">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w:t>
      </w:r>
      <w:r w:rsidR="00C92ACE" w:rsidRPr="00F375E2">
        <w:rPr>
          <w:rFonts w:ascii="Arial" w:hAnsi="Arial" w:cs="Arial"/>
          <w:color w:val="000000" w:themeColor="text1"/>
          <w:sz w:val="22"/>
          <w:szCs w:val="22"/>
        </w:rPr>
        <w:t>asimilaron</w:t>
      </w:r>
      <w:r w:rsidRPr="00F375E2">
        <w:rPr>
          <w:rFonts w:ascii="Arial" w:hAnsi="Arial" w:cs="Arial"/>
          <w:color w:val="000000" w:themeColor="text1"/>
          <w:sz w:val="22"/>
          <w:szCs w:val="22"/>
        </w:rPr>
        <w:t xml:space="preserve"> para la aplicación de la Ley de Garantías.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34"/>
    </w:p>
    <w:p w14:paraId="1BFB8A55" w14:textId="0BA9978E" w:rsidR="009F290C" w:rsidRPr="00F375E2" w:rsidRDefault="009F290C" w:rsidP="009D07A2">
      <w:pPr>
        <w:tabs>
          <w:tab w:val="left" w:pos="426"/>
        </w:tabs>
        <w:spacing w:before="240" w:line="276" w:lineRule="auto"/>
        <w:ind w:firstLine="709"/>
        <w:jc w:val="both"/>
        <w:rPr>
          <w:rFonts w:ascii="Arial" w:hAnsi="Arial" w:cs="Arial"/>
          <w:bCs/>
          <w:color w:val="000000" w:themeColor="text1"/>
          <w:sz w:val="22"/>
          <w:szCs w:val="22"/>
          <w:lang w:eastAsia="es-CO"/>
        </w:rPr>
      </w:pPr>
      <w:r w:rsidRPr="00F375E2">
        <w:rPr>
          <w:rFonts w:ascii="Arial" w:hAnsi="Arial" w:cs="Arial"/>
          <w:bCs/>
          <w:color w:val="000000" w:themeColor="text1"/>
          <w:sz w:val="22"/>
          <w:szCs w:val="22"/>
          <w:lang w:eastAsia="es-CO"/>
        </w:rPr>
        <w:lastRenderedPageBreak/>
        <w:t>Se observa entonces que 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ibidem, no podrá celebrar tales convenios o contratos durante la aplicación de la ley de garantías, toda vez que la citada disposición hace referencia a dicha tipología contractual sin que el legislador hubiere contemplado excepción alguna frente a la modalidad de selección o naturaleza de su objeto</w:t>
      </w:r>
      <w:r w:rsidRPr="00F375E2">
        <w:rPr>
          <w:rFonts w:ascii="Arial" w:hAnsi="Arial" w:cs="Arial"/>
          <w:color w:val="000000" w:themeColor="text1"/>
          <w:sz w:val="22"/>
          <w:szCs w:val="22"/>
          <w:vertAlign w:val="superscript"/>
        </w:rPr>
        <w:footnoteReference w:id="42"/>
      </w:r>
      <w:r w:rsidRPr="00F375E2">
        <w:rPr>
          <w:rFonts w:ascii="Arial" w:hAnsi="Arial" w:cs="Arial"/>
          <w:bCs/>
          <w:color w:val="000000" w:themeColor="text1"/>
          <w:sz w:val="22"/>
          <w:szCs w:val="22"/>
          <w:lang w:eastAsia="es-CO"/>
        </w:rPr>
        <w:t xml:space="preserve">. </w:t>
      </w:r>
      <w:r w:rsidR="003F0295" w:rsidRPr="00F375E2">
        <w:rPr>
          <w:rFonts w:ascii="Arial" w:hAnsi="Arial" w:cs="Arial"/>
          <w:bCs/>
          <w:color w:val="000000" w:themeColor="text1"/>
          <w:sz w:val="22"/>
          <w:szCs w:val="22"/>
          <w:lang w:eastAsia="es-CO"/>
        </w:rPr>
        <w:t>En este sentido, harían parte de la prohibición los municipios y también las Empresas Sociales del Estado del orden territorial.</w:t>
      </w:r>
    </w:p>
    <w:p w14:paraId="1BF6920F" w14:textId="6AC607EB" w:rsidR="009F290C" w:rsidRPr="00F375E2" w:rsidRDefault="009F290C" w:rsidP="009D07A2">
      <w:pPr>
        <w:pStyle w:val="Textoindependiente"/>
        <w:spacing w:before="240" w:beforeAutospacing="0" w:after="0" w:afterAutospacing="0" w:line="276" w:lineRule="auto"/>
        <w:ind w:firstLine="709"/>
        <w:jc w:val="both"/>
        <w:rPr>
          <w:rFonts w:eastAsia="Calibri"/>
          <w:color w:val="000000" w:themeColor="text1"/>
        </w:rPr>
      </w:pPr>
      <w:r w:rsidRPr="00F375E2">
        <w:rPr>
          <w:rFonts w:ascii="Arial" w:hAnsi="Arial" w:cs="Arial"/>
          <w:bCs/>
          <w:color w:val="000000" w:themeColor="text1"/>
          <w:sz w:val="22"/>
        </w:rPr>
        <w:t>En todo caso</w:t>
      </w:r>
      <w:bookmarkStart w:id="35" w:name="_Hlk77154098"/>
      <w:r w:rsidRPr="00F375E2">
        <w:rPr>
          <w:rFonts w:ascii="Arial" w:hAnsi="Arial" w:cs="Arial"/>
          <w:bCs/>
          <w:color w:val="000000" w:themeColor="text1"/>
          <w:sz w:val="22"/>
        </w:rPr>
        <w:t xml:space="preserve">, es importante resaltar que la Sala de Consulta y Servicio Civil del Consejo de Estado se ha pronunciado en el sentido de que </w:t>
      </w:r>
      <w:bookmarkStart w:id="36" w:name="_Hlk78820889"/>
      <w:r w:rsidRPr="00F375E2">
        <w:rPr>
          <w:rFonts w:ascii="Arial" w:hAnsi="Arial" w:cs="Arial"/>
          <w:bCs/>
          <w:color w:val="000000" w:themeColor="text1"/>
          <w:sz w:val="22"/>
        </w:rPr>
        <w:t>no se les aplica la restricción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bookmarkEnd w:id="36"/>
      <w:r w:rsidR="00C92ACE" w:rsidRPr="00F375E2">
        <w:rPr>
          <w:rFonts w:eastAsia="Calibri"/>
          <w:color w:val="000000" w:themeColor="text1"/>
        </w:rPr>
        <w:t xml:space="preserve">, </w:t>
      </w:r>
      <w:r w:rsidR="00C92ACE" w:rsidRPr="00F375E2">
        <w:rPr>
          <w:rFonts w:ascii="Arial" w:eastAsia="Arial" w:hAnsi="Arial" w:cs="Arial"/>
          <w:sz w:val="22"/>
          <w:szCs w:val="22"/>
          <w:lang w:val="es-ES_tradnl" w:eastAsia="es-ES" w:bidi="es-ES"/>
        </w:rPr>
        <w:t>lo que también es señalado en el numeral 15.3 de la Circular Externa Única de Colombia Compra Eficiente, apoyándose en lo indicado por la Sala de Consulta y Servicio Civil del Consejo de Estado</w:t>
      </w:r>
      <w:r w:rsidR="00C92ACE" w:rsidRPr="00F375E2">
        <w:rPr>
          <w:rFonts w:ascii="Arial" w:eastAsia="Arial" w:hAnsi="Arial" w:cs="Arial"/>
          <w:sz w:val="22"/>
          <w:szCs w:val="22"/>
          <w:vertAlign w:val="superscript"/>
          <w:lang w:val="es-ES_tradnl" w:eastAsia="es-ES" w:bidi="es-ES"/>
        </w:rPr>
        <w:footnoteReference w:id="43"/>
      </w:r>
      <w:r w:rsidR="00C92ACE" w:rsidRPr="00F375E2">
        <w:rPr>
          <w:rFonts w:ascii="Arial" w:eastAsia="Arial" w:hAnsi="Arial" w:cs="Arial"/>
          <w:sz w:val="22"/>
          <w:szCs w:val="22"/>
          <w:lang w:val="es-ES_tradnl" w:eastAsia="es-ES" w:bidi="es-ES"/>
        </w:rPr>
        <w:t>.</w:t>
      </w:r>
      <w:bookmarkEnd w:id="35"/>
    </w:p>
    <w:p w14:paraId="0B5723FA" w14:textId="210ADF95" w:rsidR="00C32018" w:rsidRPr="00F375E2" w:rsidRDefault="00E54365" w:rsidP="009D07A2">
      <w:pPr>
        <w:spacing w:before="240" w:line="360" w:lineRule="auto"/>
        <w:rPr>
          <w:rFonts w:ascii="Arial" w:eastAsia="Calibri" w:hAnsi="Arial" w:cs="Arial"/>
          <w:b/>
          <w:noProof/>
          <w:color w:val="000000" w:themeColor="text1"/>
          <w:sz w:val="22"/>
          <w:szCs w:val="22"/>
          <w:lang w:val="es-ES_tradnl"/>
        </w:rPr>
      </w:pPr>
      <w:bookmarkStart w:id="37" w:name="_1y810tw" w:colFirst="0" w:colLast="0"/>
      <w:bookmarkStart w:id="38" w:name="_2xcytpi" w:colFirst="0" w:colLast="0"/>
      <w:bookmarkStart w:id="39" w:name="_1ci93xb" w:colFirst="0" w:colLast="0"/>
      <w:bookmarkStart w:id="40" w:name="_3whwml4" w:colFirst="0" w:colLast="0"/>
      <w:bookmarkEnd w:id="9"/>
      <w:bookmarkEnd w:id="31"/>
      <w:bookmarkEnd w:id="37"/>
      <w:bookmarkEnd w:id="38"/>
      <w:bookmarkEnd w:id="39"/>
      <w:bookmarkEnd w:id="40"/>
      <w:r w:rsidRPr="00F375E2">
        <w:rPr>
          <w:rFonts w:ascii="Arial" w:eastAsia="Calibri" w:hAnsi="Arial" w:cs="Arial"/>
          <w:b/>
          <w:noProof/>
          <w:color w:val="000000" w:themeColor="text1"/>
          <w:sz w:val="22"/>
          <w:szCs w:val="22"/>
          <w:lang w:val="es-ES_tradnl"/>
        </w:rPr>
        <w:t>3. Respuesta</w:t>
      </w:r>
    </w:p>
    <w:p w14:paraId="7D00CB79" w14:textId="77F61D07" w:rsidR="009A430E" w:rsidRPr="00F375E2" w:rsidRDefault="00C32018" w:rsidP="00F375E2">
      <w:pPr>
        <w:spacing w:before="240"/>
        <w:ind w:left="709" w:right="709"/>
        <w:jc w:val="both"/>
        <w:rPr>
          <w:rFonts w:ascii="Arial" w:hAnsi="Arial" w:cs="Arial"/>
          <w:color w:val="000000" w:themeColor="text1"/>
          <w:sz w:val="21"/>
          <w:szCs w:val="21"/>
          <w:lang w:val="es-ES_tradnl"/>
        </w:rPr>
      </w:pPr>
      <w:r w:rsidRPr="00F375E2">
        <w:rPr>
          <w:rFonts w:ascii="Arial" w:hAnsi="Arial" w:cs="Arial"/>
          <w:color w:val="000000" w:themeColor="text1"/>
          <w:sz w:val="21"/>
          <w:szCs w:val="21"/>
          <w:lang w:val="es-ES_tradnl"/>
        </w:rPr>
        <w:t>«[…]</w:t>
      </w:r>
      <w:r w:rsidR="00966479" w:rsidRPr="00F375E2">
        <w:rPr>
          <w:rFonts w:ascii="Arial" w:hAnsi="Arial" w:cs="Arial"/>
          <w:color w:val="000000" w:themeColor="text1"/>
          <w:sz w:val="21"/>
          <w:szCs w:val="21"/>
          <w:lang w:val="es-ES_tradnl"/>
        </w:rPr>
        <w:t xml:space="preserve"> La presente es con el fin de consultar si una entidad territorial en especial el Municipio, puede realizar contratos o convenios con la única empresa social del estado radicada en su territorio, cuyo objeto radicaría en la prestación de servicios de salud a la población pobre, convenio que se financiaría con recursos del sistema general de participaciones, en el entendido que actualmente </w:t>
      </w:r>
      <w:proofErr w:type="spellStart"/>
      <w:r w:rsidR="00966479" w:rsidRPr="00F375E2">
        <w:rPr>
          <w:rFonts w:ascii="Arial" w:hAnsi="Arial" w:cs="Arial"/>
          <w:color w:val="000000" w:themeColor="text1"/>
          <w:sz w:val="21"/>
          <w:szCs w:val="21"/>
          <w:lang w:val="es-ES_tradnl"/>
        </w:rPr>
        <w:t>esta</w:t>
      </w:r>
      <w:proofErr w:type="spellEnd"/>
      <w:r w:rsidR="00966479" w:rsidRPr="00F375E2">
        <w:rPr>
          <w:rFonts w:ascii="Arial" w:hAnsi="Arial" w:cs="Arial"/>
          <w:color w:val="000000" w:themeColor="text1"/>
          <w:sz w:val="21"/>
          <w:szCs w:val="21"/>
          <w:lang w:val="es-ES_tradnl"/>
        </w:rPr>
        <w:t xml:space="preserve"> en curso la ley de garantías electorales que prohibe tales convenios o contratos interadministrativos entre entidades territoriales hasta el mes de junio de presentarse segunda vuelta para elegir presidente.</w:t>
      </w:r>
    </w:p>
    <w:p w14:paraId="459C6163" w14:textId="07101731" w:rsidR="00C32018" w:rsidRPr="00F375E2" w:rsidRDefault="00966479" w:rsidP="009D07A2">
      <w:pPr>
        <w:spacing w:before="240"/>
        <w:ind w:left="709" w:right="709"/>
        <w:jc w:val="both"/>
        <w:rPr>
          <w:rFonts w:ascii="Arial" w:hAnsi="Arial" w:cs="Arial"/>
          <w:color w:val="000000" w:themeColor="text1"/>
          <w:sz w:val="21"/>
          <w:szCs w:val="21"/>
          <w:lang w:val="es-ES_tradnl"/>
        </w:rPr>
      </w:pPr>
      <w:proofErr w:type="gramStart"/>
      <w:r w:rsidRPr="00F375E2">
        <w:rPr>
          <w:rFonts w:ascii="Arial" w:hAnsi="Arial" w:cs="Arial"/>
          <w:color w:val="000000" w:themeColor="text1"/>
          <w:sz w:val="21"/>
          <w:szCs w:val="21"/>
          <w:lang w:val="es-ES_tradnl"/>
        </w:rPr>
        <w:t xml:space="preserve">Sabemos que la excepción a la aplicación de la ley de garantías se presenta en las entidades de salud, pero no es claro cuando quien tiene que adelantar el </w:t>
      </w:r>
      <w:r w:rsidRPr="00F375E2">
        <w:rPr>
          <w:rFonts w:ascii="Arial" w:hAnsi="Arial" w:cs="Arial"/>
          <w:color w:val="000000" w:themeColor="text1"/>
          <w:sz w:val="21"/>
          <w:szCs w:val="21"/>
          <w:lang w:val="es-ES_tradnl"/>
        </w:rPr>
        <w:lastRenderedPageBreak/>
        <w:t>convenio o contrato interadministrativo es El Municipio, también gozaría de tal excepción?</w:t>
      </w:r>
      <w:proofErr w:type="gramEnd"/>
      <w:r w:rsidRPr="00F375E2">
        <w:rPr>
          <w:rFonts w:ascii="Arial" w:hAnsi="Arial" w:cs="Arial"/>
          <w:color w:val="000000" w:themeColor="text1"/>
          <w:sz w:val="21"/>
          <w:szCs w:val="21"/>
          <w:lang w:val="es-ES_tradnl"/>
        </w:rPr>
        <w:t xml:space="preserve">, por tratarse de un convenio para </w:t>
      </w:r>
      <w:proofErr w:type="spellStart"/>
      <w:r w:rsidRPr="00F375E2">
        <w:rPr>
          <w:rFonts w:ascii="Arial" w:hAnsi="Arial" w:cs="Arial"/>
          <w:color w:val="000000" w:themeColor="text1"/>
          <w:sz w:val="21"/>
          <w:szCs w:val="21"/>
          <w:lang w:val="es-ES_tradnl"/>
        </w:rPr>
        <w:t>prestara</w:t>
      </w:r>
      <w:proofErr w:type="spellEnd"/>
      <w:r w:rsidRPr="00F375E2">
        <w:rPr>
          <w:rFonts w:ascii="Arial" w:hAnsi="Arial" w:cs="Arial"/>
          <w:color w:val="000000" w:themeColor="text1"/>
          <w:sz w:val="21"/>
          <w:szCs w:val="21"/>
          <w:lang w:val="es-ES_tradnl"/>
        </w:rPr>
        <w:t xml:space="preserve"> servicios de salud a una población que lo requiere, sin tener que esperar a que pasen las elecciones»</w:t>
      </w:r>
    </w:p>
    <w:bookmarkEnd w:id="8"/>
    <w:p w14:paraId="3679B6BD" w14:textId="621B409F" w:rsidR="00CC475C" w:rsidRPr="00F375E2" w:rsidRDefault="003F0295" w:rsidP="009D07A2">
      <w:pPr>
        <w:spacing w:before="240" w:line="276" w:lineRule="auto"/>
        <w:jc w:val="both"/>
        <w:rPr>
          <w:rFonts w:ascii="Arial" w:hAnsi="Arial" w:cs="Arial"/>
          <w:color w:val="000000" w:themeColor="text1"/>
          <w:sz w:val="22"/>
          <w:szCs w:val="22"/>
          <w:shd w:val="clear" w:color="auto" w:fill="FFFFFF"/>
          <w:lang w:val="es-ES_tradnl"/>
        </w:rPr>
      </w:pPr>
      <w:r w:rsidRPr="00F375E2">
        <w:rPr>
          <w:rFonts w:ascii="Arial" w:eastAsia="Arial" w:hAnsi="Arial" w:cs="Arial"/>
          <w:color w:val="000000" w:themeColor="text1"/>
          <w:sz w:val="22"/>
          <w:szCs w:val="22"/>
          <w:lang w:val="es-ES_tradnl"/>
        </w:rPr>
        <w:t xml:space="preserve">De acuerdo con </w:t>
      </w:r>
      <w:r w:rsidR="00CC475C" w:rsidRPr="00F375E2">
        <w:rPr>
          <w:rFonts w:ascii="Arial" w:eastAsia="Arial" w:hAnsi="Arial" w:cs="Arial"/>
          <w:color w:val="000000" w:themeColor="text1"/>
          <w:sz w:val="22"/>
          <w:szCs w:val="22"/>
          <w:lang w:val="es-ES_tradnl"/>
        </w:rPr>
        <w:t>las consideraciones anteriores</w:t>
      </w:r>
      <w:r w:rsidR="00CC475C" w:rsidRPr="00F375E2">
        <w:rPr>
          <w:rFonts w:ascii="Arial" w:hAnsi="Arial" w:cs="Arial"/>
          <w:color w:val="000000" w:themeColor="text1"/>
          <w:sz w:val="22"/>
          <w:szCs w:val="22"/>
          <w:shd w:val="clear" w:color="auto" w:fill="FFFFFF"/>
          <w:lang w:val="es-ES_tradnl"/>
        </w:rPr>
        <w:t xml:space="preserve">, se concluye que en la actualidad se encuentran vigentes los artículos 33 y 38 de la Ley 996 de 2005, que consagran, respectivamente, prohibiciones para </w:t>
      </w:r>
      <w:r w:rsidRPr="00F375E2">
        <w:rPr>
          <w:rFonts w:ascii="Arial" w:hAnsi="Arial" w:cs="Arial"/>
          <w:color w:val="000000" w:themeColor="text1"/>
          <w:sz w:val="22"/>
          <w:szCs w:val="22"/>
          <w:shd w:val="clear" w:color="auto" w:fill="FFFFFF"/>
          <w:lang w:val="es-ES_tradnl"/>
        </w:rPr>
        <w:t>celebrar contratos mediante contratación directa</w:t>
      </w:r>
      <w:r w:rsidR="00CC475C" w:rsidRPr="00F375E2">
        <w:rPr>
          <w:rFonts w:ascii="Arial" w:hAnsi="Arial" w:cs="Arial"/>
          <w:color w:val="000000" w:themeColor="text1"/>
          <w:sz w:val="22"/>
          <w:szCs w:val="22"/>
          <w:shd w:val="clear" w:color="auto" w:fill="FFFFFF"/>
          <w:lang w:val="es-ES_tradnl"/>
        </w:rPr>
        <w:t xml:space="preserve"> y</w:t>
      </w:r>
      <w:r w:rsidRPr="00F375E2">
        <w:rPr>
          <w:rFonts w:ascii="Arial" w:hAnsi="Arial" w:cs="Arial"/>
          <w:color w:val="000000" w:themeColor="text1"/>
          <w:sz w:val="22"/>
          <w:szCs w:val="22"/>
          <w:shd w:val="clear" w:color="auto" w:fill="FFFFFF"/>
          <w:lang w:val="es-ES_tradnl"/>
        </w:rPr>
        <w:t xml:space="preserve"> </w:t>
      </w:r>
      <w:r w:rsidR="00CC475C" w:rsidRPr="00F375E2">
        <w:rPr>
          <w:rFonts w:ascii="Arial" w:hAnsi="Arial" w:cs="Arial"/>
          <w:color w:val="000000" w:themeColor="text1"/>
          <w:sz w:val="22"/>
          <w:szCs w:val="22"/>
          <w:shd w:val="clear" w:color="auto" w:fill="FFFFFF"/>
          <w:lang w:val="es-ES_tradnl"/>
        </w:rPr>
        <w:t xml:space="preserve">para celebrar contratos </w:t>
      </w:r>
      <w:r w:rsidRPr="00F375E2">
        <w:rPr>
          <w:rFonts w:ascii="Arial" w:hAnsi="Arial" w:cs="Arial"/>
          <w:color w:val="000000" w:themeColor="text1"/>
          <w:sz w:val="22"/>
          <w:szCs w:val="22"/>
          <w:shd w:val="clear" w:color="auto" w:fill="FFFFFF"/>
          <w:lang w:val="es-ES_tradnl"/>
        </w:rPr>
        <w:t xml:space="preserve">o convenios </w:t>
      </w:r>
      <w:r w:rsidR="00CC475C" w:rsidRPr="00F375E2">
        <w:rPr>
          <w:rFonts w:ascii="Arial" w:hAnsi="Arial" w:cs="Arial"/>
          <w:color w:val="000000" w:themeColor="text1"/>
          <w:sz w:val="22"/>
          <w:szCs w:val="22"/>
          <w:shd w:val="clear" w:color="auto" w:fill="FFFFFF"/>
          <w:lang w:val="es-ES_tradnl"/>
        </w:rPr>
        <w:t xml:space="preserve">interadministrativos. </w:t>
      </w:r>
    </w:p>
    <w:p w14:paraId="7F7CB9CA" w14:textId="69A6FE04" w:rsidR="00CC475C" w:rsidRPr="00F375E2" w:rsidRDefault="00CC475C" w:rsidP="009D07A2">
      <w:pPr>
        <w:tabs>
          <w:tab w:val="left" w:pos="6237"/>
        </w:tabs>
        <w:spacing w:before="240" w:line="276" w:lineRule="auto"/>
        <w:ind w:firstLine="709"/>
        <w:jc w:val="both"/>
        <w:rPr>
          <w:rFonts w:ascii="Arial" w:eastAsia="Arial" w:hAnsi="Arial" w:cs="Arial"/>
          <w:bCs/>
          <w:color w:val="000000" w:themeColor="text1"/>
          <w:sz w:val="22"/>
          <w:szCs w:val="22"/>
        </w:rPr>
      </w:pPr>
      <w:r w:rsidRPr="00F375E2">
        <w:rPr>
          <w:rFonts w:ascii="Arial" w:eastAsia="Arial" w:hAnsi="Arial" w:cs="Arial"/>
          <w:color w:val="000000" w:themeColor="text1"/>
          <w:sz w:val="22"/>
          <w:szCs w:val="22"/>
          <w:lang w:val="es-ES_tradnl"/>
        </w:rPr>
        <w:t>Por su parte, la prohibición a la contratación directa</w:t>
      </w:r>
      <w:r w:rsidR="00A920C4" w:rsidRPr="00F375E2">
        <w:rPr>
          <w:rFonts w:ascii="Arial" w:eastAsia="Arial" w:hAnsi="Arial" w:cs="Arial"/>
          <w:color w:val="000000" w:themeColor="text1"/>
          <w:sz w:val="22"/>
          <w:szCs w:val="22"/>
          <w:lang w:val="es-ES_tradnl"/>
        </w:rPr>
        <w:t>,</w:t>
      </w:r>
      <w:r w:rsidRPr="00F375E2">
        <w:rPr>
          <w:rFonts w:ascii="Arial" w:eastAsia="Arial" w:hAnsi="Arial" w:cs="Arial"/>
          <w:color w:val="000000" w:themeColor="text1"/>
          <w:sz w:val="22"/>
          <w:szCs w:val="22"/>
          <w:lang w:val="es-ES_tradnl"/>
        </w:rPr>
        <w:t xml:space="preserve"> contenida en el artículo 33 de la Ley de Garantías Electorales</w:t>
      </w:r>
      <w:r w:rsidR="00A920C4" w:rsidRPr="00F375E2">
        <w:rPr>
          <w:rFonts w:ascii="Arial" w:eastAsia="Arial" w:hAnsi="Arial" w:cs="Arial"/>
          <w:color w:val="000000" w:themeColor="text1"/>
          <w:sz w:val="22"/>
          <w:szCs w:val="22"/>
          <w:lang w:val="es-ES_tradnl"/>
        </w:rPr>
        <w:t>,</w:t>
      </w:r>
      <w:r w:rsidRPr="00F375E2">
        <w:rPr>
          <w:rFonts w:ascii="Arial" w:eastAsia="Arial" w:hAnsi="Arial" w:cs="Arial"/>
          <w:color w:val="000000" w:themeColor="text1"/>
          <w:sz w:val="22"/>
          <w:szCs w:val="22"/>
          <w:lang w:val="es-ES_tradnl"/>
        </w:rPr>
        <w:t xml:space="preserve"> restringe a todos los entes del Estado para celebrar contratos que no se encuentre antecedida por algún tipo de convocatoria pública y posibilidad de concurrencia de proponentes, lo que implica materialmente una contratación directa.</w:t>
      </w:r>
      <w:bookmarkStart w:id="41" w:name="_Hlk50986665"/>
      <w:bookmarkStart w:id="42" w:name="_Hlk52766744"/>
      <w:r w:rsidRPr="00F375E2">
        <w:rPr>
          <w:rFonts w:ascii="Arial" w:eastAsia="Arial" w:hAnsi="Arial" w:cs="Arial"/>
          <w:color w:val="000000" w:themeColor="text1"/>
          <w:sz w:val="22"/>
          <w:szCs w:val="22"/>
          <w:lang w:val="es-ES_tradnl"/>
        </w:rPr>
        <w:t xml:space="preserve"> No obstante, e</w:t>
      </w:r>
      <w:r w:rsidRPr="00F375E2">
        <w:rPr>
          <w:rFonts w:ascii="Arial" w:eastAsia="Arial" w:hAnsi="Arial" w:cs="Arial"/>
          <w:color w:val="000000" w:themeColor="text1"/>
          <w:sz w:val="22"/>
          <w:szCs w:val="22"/>
        </w:rPr>
        <w:t xml:space="preserve">l inciso segundo del artículo 33 dispone de dos (2) grandes grupos de excepciones a la prohibición de contratar directamente en la época preelectoral. </w:t>
      </w:r>
      <w:r w:rsidRPr="00F375E2">
        <w:rPr>
          <w:rFonts w:ascii="Arial" w:eastAsia="Arial" w:hAnsi="Arial" w:cs="Arial"/>
          <w:i/>
          <w:iCs/>
          <w:color w:val="000000" w:themeColor="text1"/>
          <w:sz w:val="22"/>
          <w:szCs w:val="22"/>
        </w:rPr>
        <w:t>Por un lado</w:t>
      </w:r>
      <w:r w:rsidRPr="00F375E2">
        <w:rPr>
          <w:rFonts w:ascii="Arial" w:eastAsia="Arial" w:hAnsi="Arial" w:cs="Arial"/>
          <w:color w:val="000000" w:themeColor="text1"/>
          <w:sz w:val="22"/>
          <w:szCs w:val="22"/>
        </w:rPr>
        <w:t xml:space="preserve">, las que atienden el ejercicio de cierta función o la atención de determinada actividad particular y sin importar la calidad del ente que la cumpla o desarrolle. </w:t>
      </w:r>
      <w:r w:rsidRPr="00F375E2">
        <w:rPr>
          <w:rFonts w:ascii="Arial" w:eastAsia="Arial" w:hAnsi="Arial" w:cs="Arial"/>
          <w:i/>
          <w:iCs/>
          <w:color w:val="000000" w:themeColor="text1"/>
          <w:sz w:val="22"/>
          <w:szCs w:val="22"/>
        </w:rPr>
        <w:t>Por otra parte</w:t>
      </w:r>
      <w:r w:rsidRPr="00F375E2">
        <w:rPr>
          <w:rFonts w:ascii="Arial" w:eastAsia="Arial" w:hAnsi="Arial" w:cs="Arial"/>
          <w:color w:val="000000" w:themeColor="text1"/>
          <w:sz w:val="22"/>
          <w:szCs w:val="22"/>
        </w:rPr>
        <w:t xml:space="preserve">, las que aluden a las </w:t>
      </w:r>
      <w:r w:rsidRPr="00F375E2">
        <w:rPr>
          <w:rFonts w:ascii="Arial" w:eastAsia="Arial" w:hAnsi="Arial" w:cs="Arial"/>
          <w:i/>
          <w:iCs/>
          <w:color w:val="000000" w:themeColor="text1"/>
          <w:sz w:val="22"/>
          <w:szCs w:val="22"/>
        </w:rPr>
        <w:t>entidades sanitarias y hospitalarias</w:t>
      </w:r>
      <w:r w:rsidRPr="00F375E2">
        <w:rPr>
          <w:rFonts w:ascii="Arial" w:eastAsia="Arial" w:hAnsi="Arial" w:cs="Arial"/>
          <w:color w:val="000000" w:themeColor="text1"/>
          <w:sz w:val="22"/>
          <w:szCs w:val="22"/>
        </w:rPr>
        <w:t xml:space="preserve"> acudiendo a un criterio eminentemente subjetivo, pese a que no limita la excepción a un tipo de entidad en particular, sino que ata su aplicación a la naturaleza del respectivo ente. </w:t>
      </w:r>
      <w:r w:rsidR="00A920C4" w:rsidRPr="00F375E2">
        <w:rPr>
          <w:rFonts w:ascii="Arial" w:eastAsia="Arial" w:hAnsi="Arial" w:cs="Arial"/>
          <w:color w:val="000000" w:themeColor="text1"/>
          <w:sz w:val="22"/>
          <w:szCs w:val="22"/>
        </w:rPr>
        <w:t xml:space="preserve">En efecto, el inciso segundo del artículo 33 de la Ley de Garantías Electorales exceptúa de dicha prohibición </w:t>
      </w:r>
      <w:r w:rsidR="00A920C4" w:rsidRPr="00F375E2">
        <w:rPr>
          <w:rFonts w:ascii="Arial" w:hAnsi="Arial" w:cs="Arial"/>
          <w:color w:val="000000" w:themeColor="text1"/>
          <w:sz w:val="22"/>
          <w:szCs w:val="22"/>
          <w:lang w:eastAsia="x-none"/>
        </w:rPr>
        <w:t xml:space="preserve">lo referente a i) la defensa y seguridad del Estado; </w:t>
      </w:r>
      <w:proofErr w:type="spellStart"/>
      <w:r w:rsidR="00A920C4" w:rsidRPr="00F375E2">
        <w:rPr>
          <w:rFonts w:ascii="Arial" w:hAnsi="Arial" w:cs="Arial"/>
          <w:color w:val="000000" w:themeColor="text1"/>
          <w:sz w:val="22"/>
          <w:szCs w:val="22"/>
          <w:lang w:eastAsia="x-none"/>
        </w:rPr>
        <w:t>ii</w:t>
      </w:r>
      <w:proofErr w:type="spellEnd"/>
      <w:r w:rsidR="00A920C4" w:rsidRPr="00F375E2">
        <w:rPr>
          <w:rFonts w:ascii="Arial" w:hAnsi="Arial" w:cs="Arial"/>
          <w:color w:val="000000" w:themeColor="text1"/>
          <w:sz w:val="22"/>
          <w:szCs w:val="22"/>
          <w:lang w:eastAsia="x-none"/>
        </w:rPr>
        <w:t xml:space="preserve">) los contratos de crédito público; </w:t>
      </w:r>
      <w:proofErr w:type="spellStart"/>
      <w:r w:rsidR="00A920C4" w:rsidRPr="00F375E2">
        <w:rPr>
          <w:rFonts w:ascii="Arial" w:hAnsi="Arial" w:cs="Arial"/>
          <w:color w:val="000000" w:themeColor="text1"/>
          <w:sz w:val="22"/>
          <w:szCs w:val="22"/>
          <w:lang w:eastAsia="x-none"/>
        </w:rPr>
        <w:t>iii</w:t>
      </w:r>
      <w:proofErr w:type="spellEnd"/>
      <w:r w:rsidR="00A920C4" w:rsidRPr="00F375E2">
        <w:rPr>
          <w:rFonts w:ascii="Arial" w:hAnsi="Arial" w:cs="Arial"/>
          <w:color w:val="000000" w:themeColor="text1"/>
          <w:sz w:val="22"/>
          <w:szCs w:val="22"/>
          <w:lang w:eastAsia="x-none"/>
        </w:rPr>
        <w:t xml:space="preserve">) los requeridos para cubrir las emergencias educativas, sanitarias y desastres; </w:t>
      </w:r>
      <w:proofErr w:type="spellStart"/>
      <w:r w:rsidR="00A920C4" w:rsidRPr="00F375E2">
        <w:rPr>
          <w:rFonts w:ascii="Arial" w:hAnsi="Arial" w:cs="Arial"/>
          <w:color w:val="000000" w:themeColor="text1"/>
          <w:sz w:val="22"/>
          <w:szCs w:val="22"/>
          <w:lang w:eastAsia="x-none"/>
        </w:rPr>
        <w:t>iv</w:t>
      </w:r>
      <w:proofErr w:type="spellEnd"/>
      <w:r w:rsidR="00A920C4" w:rsidRPr="00F375E2">
        <w:rPr>
          <w:rFonts w:ascii="Arial" w:hAnsi="Arial" w:cs="Arial"/>
          <w:color w:val="000000" w:themeColor="text1"/>
          <w:sz w:val="22"/>
          <w:szCs w:val="22"/>
          <w:lang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r w:rsidR="00ED3168" w:rsidRPr="00F375E2">
        <w:rPr>
          <w:rFonts w:ascii="Arial" w:hAnsi="Arial" w:cs="Arial"/>
          <w:color w:val="000000" w:themeColor="text1"/>
          <w:sz w:val="22"/>
          <w:szCs w:val="22"/>
          <w:lang w:eastAsia="x-none"/>
        </w:rPr>
        <w:t>, como se expuso de forma más detallada en las consideraciones.</w:t>
      </w:r>
    </w:p>
    <w:p w14:paraId="6EF075F0" w14:textId="00C5301B" w:rsidR="00CC475C" w:rsidRPr="00F375E2" w:rsidRDefault="00E431A8" w:rsidP="009D07A2">
      <w:pPr>
        <w:spacing w:before="240" w:line="276" w:lineRule="auto"/>
        <w:ind w:firstLine="709"/>
        <w:jc w:val="both"/>
        <w:rPr>
          <w:rFonts w:ascii="Arial" w:eastAsia="Arial" w:hAnsi="Arial" w:cs="Arial"/>
          <w:bCs/>
          <w:color w:val="000000" w:themeColor="text1"/>
          <w:sz w:val="22"/>
          <w:szCs w:val="22"/>
        </w:rPr>
      </w:pPr>
      <w:r w:rsidRPr="00F375E2">
        <w:rPr>
          <w:rFonts w:ascii="Arial" w:eastAsia="Arial" w:hAnsi="Arial" w:cs="Arial"/>
          <w:bCs/>
          <w:color w:val="000000" w:themeColor="text1"/>
          <w:sz w:val="22"/>
          <w:szCs w:val="22"/>
        </w:rPr>
        <w:t>No obstante</w:t>
      </w:r>
      <w:r w:rsidR="00C937A8">
        <w:rPr>
          <w:rFonts w:ascii="Arial" w:eastAsia="Arial" w:hAnsi="Arial" w:cs="Arial"/>
          <w:bCs/>
          <w:color w:val="000000" w:themeColor="text1"/>
          <w:sz w:val="22"/>
          <w:szCs w:val="22"/>
        </w:rPr>
        <w:t>,</w:t>
      </w:r>
      <w:r w:rsidRPr="00F375E2">
        <w:rPr>
          <w:rFonts w:ascii="Arial" w:eastAsia="Arial" w:hAnsi="Arial" w:cs="Arial"/>
          <w:bCs/>
          <w:color w:val="000000" w:themeColor="text1"/>
          <w:sz w:val="22"/>
          <w:szCs w:val="22"/>
        </w:rPr>
        <w:t xml:space="preserve"> la prohibición anterior, </w:t>
      </w:r>
      <w:r w:rsidR="00CC475C" w:rsidRPr="00F375E2">
        <w:rPr>
          <w:rFonts w:ascii="Arial" w:eastAsia="Arial" w:hAnsi="Arial" w:cs="Arial"/>
          <w:bCs/>
          <w:color w:val="000000" w:themeColor="text1"/>
          <w:sz w:val="22"/>
          <w:szCs w:val="22"/>
        </w:rPr>
        <w:t xml:space="preserve">debe tenerse presente que por su parte </w:t>
      </w:r>
      <w:r w:rsidR="00ED3168" w:rsidRPr="00F375E2">
        <w:rPr>
          <w:rFonts w:ascii="Arial" w:eastAsia="Arial" w:hAnsi="Arial" w:cs="Arial"/>
          <w:bCs/>
          <w:color w:val="000000" w:themeColor="text1"/>
          <w:sz w:val="22"/>
          <w:szCs w:val="22"/>
        </w:rPr>
        <w:t xml:space="preserve">el </w:t>
      </w:r>
      <w:r w:rsidR="00CC475C" w:rsidRPr="00F375E2">
        <w:rPr>
          <w:rFonts w:ascii="Arial" w:hAnsi="Arial" w:cs="Arial"/>
          <w:bCs/>
          <w:color w:val="000000" w:themeColor="text1"/>
          <w:sz w:val="22"/>
          <w:szCs w:val="22"/>
          <w:lang w:val="es-ES_tradnl" w:eastAsia="es-CO"/>
        </w:rPr>
        <w:t xml:space="preserve">artículo 38 de la Ley 996 de 2005 prohíbe a los alcaldes, gobernadores, secretarios, gerentes y directores de las entidades del orden municipal, departamental o distrital celebrar convenios y contratos interadministrativos para la ejecución de recursos públicos dentro de los cuatro (4) meses anteriores a las elecciones. En este sentido, se aclara que lo que define los convenios interadministrativos y, por tanto, el alcance de la prohibición se refiere a los contratos o convenios celebrados entre entidades públicas, por lo que si una o ambas partes de la relación contractual es una entidad de aquellas incluidas en el parágrafo </w:t>
      </w:r>
      <w:r w:rsidR="00CC475C" w:rsidRPr="00F375E2">
        <w:rPr>
          <w:rFonts w:ascii="Arial" w:hAnsi="Arial" w:cs="Arial"/>
          <w:bCs/>
          <w:i/>
          <w:iCs/>
          <w:color w:val="000000" w:themeColor="text1"/>
          <w:sz w:val="22"/>
          <w:szCs w:val="22"/>
          <w:lang w:val="es-ES_tradnl" w:eastAsia="es-CO"/>
        </w:rPr>
        <w:t>ibidem</w:t>
      </w:r>
      <w:r w:rsidR="00CC475C" w:rsidRPr="00F375E2">
        <w:rPr>
          <w:rFonts w:ascii="Arial" w:hAnsi="Arial" w:cs="Arial"/>
          <w:bCs/>
          <w:color w:val="000000" w:themeColor="text1"/>
          <w:sz w:val="22"/>
          <w:szCs w:val="22"/>
          <w:lang w:val="es-ES_tradnl" w:eastAsia="es-CO"/>
        </w:rPr>
        <w:t xml:space="preserve">, no podrá celebrar tales convenios o contratos interadministrativos durante la aplicación de la </w:t>
      </w:r>
      <w:r w:rsidR="00CC475C" w:rsidRPr="00F375E2">
        <w:rPr>
          <w:rFonts w:ascii="Arial" w:hAnsi="Arial" w:cs="Arial"/>
          <w:bCs/>
          <w:color w:val="000000" w:themeColor="text1"/>
          <w:sz w:val="22"/>
          <w:szCs w:val="22"/>
          <w:lang w:val="es-ES_tradnl" w:eastAsia="es-CO"/>
        </w:rPr>
        <w:lastRenderedPageBreak/>
        <w:t>ley de garantías, toda vez que la citada disposición hace referencia a dicha tipología contractual sin que el legislador hubiere contemplado excepción alguna frente a la modalidad de selección o naturaleza de su objeto. No obstante, se reitera que la prohibición del parágrafo del artículo 38 solo aplica a los contratos suscritos entre entidades públicas, en las cuales alguna de ellas sea de las incluidas en la norma citada.</w:t>
      </w:r>
      <w:r w:rsidRPr="00F375E2">
        <w:rPr>
          <w:rFonts w:ascii="Arial" w:hAnsi="Arial" w:cs="Arial"/>
          <w:bCs/>
          <w:color w:val="000000" w:themeColor="text1"/>
          <w:sz w:val="22"/>
          <w:szCs w:val="22"/>
          <w:lang w:val="es-ES_tradnl" w:eastAsia="es-CO"/>
        </w:rPr>
        <w:t xml:space="preserve"> Además, conviene precisar que harían parte de la prohibición los municipios y las Empresas Sociales del Estado del orden territorial</w:t>
      </w:r>
      <w:r w:rsidR="00ED3168" w:rsidRPr="00F375E2">
        <w:rPr>
          <w:rFonts w:ascii="Arial" w:hAnsi="Arial" w:cs="Arial"/>
          <w:bCs/>
          <w:color w:val="000000" w:themeColor="text1"/>
          <w:sz w:val="22"/>
          <w:szCs w:val="22"/>
          <w:lang w:val="es-ES_tradnl" w:eastAsia="es-CO"/>
        </w:rPr>
        <w:t>, por hacer parte de las autoridades enlistadas en la prohibición del parágrafo del artículo 38.</w:t>
      </w:r>
    </w:p>
    <w:p w14:paraId="2A04C560" w14:textId="37C495AC" w:rsidR="00CC475C" w:rsidRPr="00F375E2" w:rsidRDefault="00CC475C" w:rsidP="00F375E2">
      <w:pPr>
        <w:spacing w:before="240" w:line="276" w:lineRule="auto"/>
        <w:ind w:firstLine="708"/>
        <w:jc w:val="both"/>
        <w:rPr>
          <w:rFonts w:ascii="Arial" w:eastAsia="Arial" w:hAnsi="Arial" w:cs="Arial"/>
          <w:color w:val="000000" w:themeColor="text1"/>
          <w:sz w:val="22"/>
          <w:szCs w:val="22"/>
          <w:lang w:val="es-ES_tradnl"/>
        </w:rPr>
      </w:pPr>
      <w:r w:rsidRPr="00F375E2">
        <w:rPr>
          <w:rFonts w:ascii="Arial" w:hAnsi="Arial" w:cs="Arial"/>
          <w:bCs/>
          <w:color w:val="000000" w:themeColor="text1"/>
          <w:sz w:val="22"/>
          <w:szCs w:val="22"/>
          <w:lang w:val="es-ES_tradnl" w:eastAsia="es-CO"/>
        </w:rPr>
        <w:t>Finalmente se precisa que corresponde a cada entidad estatal realizar el correspondiente análisis para determinar</w:t>
      </w:r>
      <w:r w:rsidR="00ED3168" w:rsidRPr="00F375E2">
        <w:rPr>
          <w:rFonts w:ascii="Arial" w:hAnsi="Arial" w:cs="Arial"/>
          <w:bCs/>
          <w:color w:val="000000" w:themeColor="text1"/>
          <w:sz w:val="22"/>
          <w:szCs w:val="22"/>
          <w:lang w:val="es-ES_tradnl" w:eastAsia="es-CO"/>
        </w:rPr>
        <w:t xml:space="preserve"> la procedencia de celebrar algún contrato en particular</w:t>
      </w:r>
      <w:r w:rsidRPr="00F375E2">
        <w:rPr>
          <w:rFonts w:ascii="Arial" w:hAnsi="Arial" w:cs="Arial"/>
          <w:bCs/>
          <w:color w:val="000000" w:themeColor="text1"/>
          <w:sz w:val="22"/>
          <w:szCs w:val="22"/>
          <w:lang w:val="es-ES_tradnl" w:eastAsia="es-CO"/>
        </w:rPr>
        <w:t xml:space="preserve">, para lo cual las consideraciones expuestas en el presente concepto constituyen un instrumento orientador. Por </w:t>
      </w:r>
      <w:r w:rsidR="00ED3168" w:rsidRPr="00F375E2">
        <w:rPr>
          <w:rFonts w:ascii="Arial" w:hAnsi="Arial" w:cs="Arial"/>
          <w:bCs/>
          <w:color w:val="000000" w:themeColor="text1"/>
          <w:sz w:val="22"/>
          <w:szCs w:val="22"/>
          <w:lang w:val="es-ES_tradnl" w:eastAsia="es-CO"/>
        </w:rPr>
        <w:t xml:space="preserve">lo </w:t>
      </w:r>
      <w:r w:rsidRPr="00F375E2">
        <w:rPr>
          <w:rFonts w:ascii="Arial" w:hAnsi="Arial" w:cs="Arial"/>
          <w:bCs/>
          <w:color w:val="000000" w:themeColor="text1"/>
          <w:sz w:val="22"/>
          <w:szCs w:val="22"/>
          <w:lang w:val="es-ES_tradnl" w:eastAsia="es-CO"/>
        </w:rPr>
        <w:t>demás</w:t>
      </w:r>
      <w:r w:rsidR="00ED3168" w:rsidRPr="00F375E2">
        <w:rPr>
          <w:rFonts w:ascii="Arial" w:hAnsi="Arial" w:cs="Arial"/>
          <w:bCs/>
          <w:color w:val="000000" w:themeColor="text1"/>
          <w:sz w:val="22"/>
          <w:szCs w:val="22"/>
          <w:lang w:val="es-ES_tradnl" w:eastAsia="es-CO"/>
        </w:rPr>
        <w:t>,</w:t>
      </w:r>
      <w:r w:rsidRPr="00F375E2">
        <w:rPr>
          <w:rFonts w:ascii="Arial" w:hAnsi="Arial" w:cs="Arial"/>
          <w:bCs/>
          <w:color w:val="000000" w:themeColor="text1"/>
          <w:sz w:val="22"/>
          <w:szCs w:val="22"/>
          <w:lang w:val="es-ES_tradnl" w:eastAsia="es-CO"/>
        </w:rPr>
        <w:t xml:space="preserve"> se </w:t>
      </w:r>
      <w:r w:rsidR="00ED3168" w:rsidRPr="00F375E2">
        <w:rPr>
          <w:rFonts w:ascii="Arial" w:hAnsi="Arial" w:cs="Arial"/>
          <w:bCs/>
          <w:color w:val="000000" w:themeColor="text1"/>
          <w:sz w:val="22"/>
          <w:szCs w:val="22"/>
          <w:lang w:val="es-ES_tradnl" w:eastAsia="es-CO"/>
        </w:rPr>
        <w:t xml:space="preserve">reitera </w:t>
      </w:r>
      <w:r w:rsidRPr="00F375E2">
        <w:rPr>
          <w:rFonts w:ascii="Arial" w:hAnsi="Arial" w:cs="Arial"/>
          <w:bCs/>
          <w:color w:val="000000" w:themeColor="text1"/>
          <w:sz w:val="22"/>
          <w:szCs w:val="22"/>
          <w:lang w:val="es-ES_tradnl" w:eastAsia="es-CO"/>
        </w:rPr>
        <w:t xml:space="preserve">que los límites de </w:t>
      </w:r>
      <w:r w:rsidRPr="00F375E2">
        <w:rPr>
          <w:rFonts w:ascii="Arial" w:eastAsia="Arial" w:hAnsi="Arial" w:cs="Arial"/>
          <w:color w:val="000000" w:themeColor="text1"/>
          <w:sz w:val="22"/>
          <w:szCs w:val="22"/>
          <w:lang w:val="es-ES_tradnl"/>
        </w:rPr>
        <w:t xml:space="preserve">la competencia consultiva atribuida por </w:t>
      </w:r>
      <w:r w:rsidR="00ED3168" w:rsidRPr="00F375E2">
        <w:rPr>
          <w:rFonts w:ascii="Arial" w:eastAsia="Arial" w:hAnsi="Arial" w:cs="Arial"/>
          <w:color w:val="000000" w:themeColor="text1"/>
          <w:sz w:val="22"/>
          <w:szCs w:val="22"/>
          <w:lang w:val="es-ES_tradnl"/>
        </w:rPr>
        <w:t xml:space="preserve">el </w:t>
      </w:r>
      <w:r w:rsidR="00ED3168" w:rsidRPr="00F375E2">
        <w:rPr>
          <w:rFonts w:ascii="Arial" w:hAnsi="Arial" w:cs="Arial"/>
          <w:color w:val="000000" w:themeColor="text1"/>
          <w:sz w:val="22"/>
          <w:szCs w:val="22"/>
          <w:lang w:val="es-ES_tradnl"/>
        </w:rPr>
        <w:t>numeral 8 del artículo 11 y el numeral 5 del artículo 3 del Decreto Ley 4170 de 2011</w:t>
      </w:r>
      <w:r w:rsidRPr="00F375E2">
        <w:rPr>
          <w:rFonts w:ascii="Arial" w:eastAsia="Arial" w:hAnsi="Arial" w:cs="Arial"/>
          <w:color w:val="000000" w:themeColor="text1"/>
          <w:sz w:val="22"/>
          <w:szCs w:val="22"/>
          <w:lang w:val="es-ES_tradnl"/>
        </w:rPr>
        <w:t xml:space="preserve">, no le permiten a esta Agencia </w:t>
      </w:r>
      <w:r w:rsidR="00ED3168" w:rsidRPr="00F375E2">
        <w:rPr>
          <w:rFonts w:ascii="Arial" w:eastAsia="Arial" w:hAnsi="Arial" w:cs="Arial"/>
          <w:color w:val="000000" w:themeColor="text1"/>
          <w:sz w:val="22"/>
          <w:szCs w:val="22"/>
          <w:lang w:val="es-ES_tradnl"/>
        </w:rPr>
        <w:t xml:space="preserve">señalar qué contratos particulares puede o no celebrar una entidad estatal </w:t>
      </w:r>
      <w:r w:rsidRPr="00F375E2">
        <w:rPr>
          <w:rFonts w:ascii="Arial" w:eastAsia="Arial" w:hAnsi="Arial" w:cs="Arial"/>
          <w:color w:val="000000" w:themeColor="text1"/>
          <w:sz w:val="22"/>
          <w:szCs w:val="22"/>
          <w:lang w:val="es-ES_tradnl"/>
        </w:rPr>
        <w:t xml:space="preserve">en el marco de su gestión contractual. </w:t>
      </w:r>
    </w:p>
    <w:p w14:paraId="1414ADB9" w14:textId="77777777" w:rsidR="00CC475C" w:rsidRPr="00F375E2" w:rsidRDefault="00CC475C" w:rsidP="009D07A2">
      <w:pPr>
        <w:spacing w:before="240" w:line="300" w:lineRule="auto"/>
        <w:jc w:val="both"/>
        <w:rPr>
          <w:rFonts w:ascii="Arial" w:eastAsia="Arial" w:hAnsi="Arial" w:cs="Arial"/>
          <w:color w:val="000000" w:themeColor="text1"/>
          <w:sz w:val="22"/>
          <w:szCs w:val="22"/>
          <w:lang w:val="es-ES_tradnl"/>
        </w:rPr>
      </w:pPr>
      <w:r w:rsidRPr="00F375E2">
        <w:rPr>
          <w:rFonts w:ascii="Arial" w:eastAsia="Arial" w:hAnsi="Arial" w:cs="Arial"/>
          <w:color w:val="000000" w:themeColor="text1"/>
          <w:sz w:val="22"/>
          <w:szCs w:val="22"/>
          <w:lang w:val="es-ES_tradnl"/>
        </w:rPr>
        <w:t>Este concepto tiene el alcance previsto en el artículo 28 del Código de Procedimiento Administrativo y de lo Contencioso Administrativo.</w:t>
      </w:r>
    </w:p>
    <w:p w14:paraId="78594E5F" w14:textId="77777777" w:rsidR="00CC475C" w:rsidRPr="00F375E2" w:rsidRDefault="00CC475C" w:rsidP="00CC475C">
      <w:pPr>
        <w:spacing w:before="120" w:line="300" w:lineRule="auto"/>
        <w:jc w:val="both"/>
        <w:rPr>
          <w:rFonts w:ascii="Arial" w:hAnsi="Arial" w:cs="Arial"/>
          <w:color w:val="000000" w:themeColor="text1"/>
          <w:sz w:val="22"/>
          <w:szCs w:val="22"/>
          <w:lang w:val="es-ES_tradnl" w:eastAsia="es-CO"/>
        </w:rPr>
      </w:pPr>
      <w:r w:rsidRPr="00F375E2">
        <w:rPr>
          <w:rFonts w:ascii="Arial" w:hAnsi="Arial" w:cs="Arial"/>
          <w:color w:val="000000" w:themeColor="text1"/>
          <w:sz w:val="22"/>
          <w:szCs w:val="22"/>
          <w:lang w:val="es-ES_tradnl" w:eastAsia="es-CO"/>
        </w:rPr>
        <w:t>Atentamente,</w:t>
      </w:r>
    </w:p>
    <w:bookmarkEnd w:id="41"/>
    <w:bookmarkEnd w:id="42"/>
    <w:p w14:paraId="59247FFF" w14:textId="615CC167" w:rsidR="00BD0B11" w:rsidRDefault="00BD0B11" w:rsidP="00CC475C">
      <w:pPr>
        <w:jc w:val="center"/>
        <w:rPr>
          <w:rFonts w:ascii="Arial" w:hAnsi="Arial" w:cs="Arial"/>
          <w:color w:val="000000" w:themeColor="text1"/>
          <w:sz w:val="22"/>
          <w:szCs w:val="22"/>
          <w:lang w:val="es-ES_tradnl" w:eastAsia="es-CO"/>
        </w:rPr>
      </w:pPr>
      <w:r w:rsidRPr="00827DBF">
        <w:rPr>
          <w:rFonts w:ascii="Arial" w:hAnsi="Arial" w:cs="Arial"/>
          <w:noProof/>
          <w:color w:val="000000" w:themeColor="text1"/>
          <w:sz w:val="22"/>
        </w:rPr>
        <w:drawing>
          <wp:anchor distT="0" distB="0" distL="114300" distR="114300" simplePos="0" relativeHeight="251659264" behindDoc="0" locked="0" layoutInCell="1" allowOverlap="1" wp14:anchorId="0F27A370" wp14:editId="2A700B74">
            <wp:simplePos x="0" y="0"/>
            <wp:positionH relativeFrom="margin">
              <wp:posOffset>1704975</wp:posOffset>
            </wp:positionH>
            <wp:positionV relativeFrom="paragraph">
              <wp:posOffset>46990</wp:posOffset>
            </wp:positionV>
            <wp:extent cx="2193290" cy="930910"/>
            <wp:effectExtent l="0" t="0" r="0" b="2540"/>
            <wp:wrapSquare wrapText="bothSides"/>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193290" cy="930910"/>
                    </a:xfrm>
                    <a:prstGeom prst="rect">
                      <a:avLst/>
                    </a:prstGeom>
                  </pic:spPr>
                </pic:pic>
              </a:graphicData>
            </a:graphic>
            <wp14:sizeRelH relativeFrom="page">
              <wp14:pctWidth>0</wp14:pctWidth>
            </wp14:sizeRelH>
            <wp14:sizeRelV relativeFrom="page">
              <wp14:pctHeight>0</wp14:pctHeight>
            </wp14:sizeRelV>
          </wp:anchor>
        </w:drawing>
      </w:r>
    </w:p>
    <w:p w14:paraId="41A1BF0D" w14:textId="2AFF5C95" w:rsidR="00BD0B11" w:rsidRDefault="00BD0B11" w:rsidP="00CC475C">
      <w:pPr>
        <w:jc w:val="center"/>
        <w:rPr>
          <w:rFonts w:ascii="Arial" w:hAnsi="Arial" w:cs="Arial"/>
          <w:color w:val="000000" w:themeColor="text1"/>
          <w:sz w:val="22"/>
          <w:szCs w:val="22"/>
          <w:lang w:val="es-ES_tradnl" w:eastAsia="es-CO"/>
        </w:rPr>
      </w:pPr>
    </w:p>
    <w:p w14:paraId="16F74007" w14:textId="77777777" w:rsidR="00BD0B11" w:rsidRDefault="00BD0B11" w:rsidP="00CC475C">
      <w:pPr>
        <w:jc w:val="center"/>
        <w:rPr>
          <w:rFonts w:ascii="Arial" w:hAnsi="Arial" w:cs="Arial"/>
          <w:color w:val="000000" w:themeColor="text1"/>
          <w:sz w:val="22"/>
          <w:szCs w:val="22"/>
          <w:lang w:val="es-ES_tradnl" w:eastAsia="es-CO"/>
        </w:rPr>
      </w:pPr>
    </w:p>
    <w:p w14:paraId="4D69006B" w14:textId="5FAADD33" w:rsidR="00BD0B11" w:rsidRDefault="00BD0B11" w:rsidP="00CC475C">
      <w:pPr>
        <w:jc w:val="center"/>
        <w:rPr>
          <w:rFonts w:ascii="Arial" w:hAnsi="Arial" w:cs="Arial"/>
          <w:color w:val="000000" w:themeColor="text1"/>
          <w:sz w:val="22"/>
          <w:szCs w:val="22"/>
          <w:lang w:val="es-ES_tradnl" w:eastAsia="es-CO"/>
        </w:rPr>
      </w:pPr>
    </w:p>
    <w:p w14:paraId="09897E77" w14:textId="77777777" w:rsidR="00BD0B11" w:rsidRDefault="00BD0B11" w:rsidP="00CC475C">
      <w:pPr>
        <w:jc w:val="center"/>
        <w:rPr>
          <w:rFonts w:ascii="Arial" w:hAnsi="Arial" w:cs="Arial"/>
          <w:color w:val="000000" w:themeColor="text1"/>
          <w:sz w:val="22"/>
          <w:szCs w:val="22"/>
          <w:lang w:val="es-ES_tradnl" w:eastAsia="es-CO"/>
        </w:rPr>
      </w:pPr>
    </w:p>
    <w:p w14:paraId="0160254A" w14:textId="77777777" w:rsidR="00BD0B11" w:rsidRDefault="00BD0B11" w:rsidP="00CC475C">
      <w:pPr>
        <w:jc w:val="center"/>
        <w:rPr>
          <w:rFonts w:ascii="Arial" w:hAnsi="Arial" w:cs="Arial"/>
          <w:color w:val="000000" w:themeColor="text1"/>
          <w:sz w:val="22"/>
          <w:szCs w:val="22"/>
          <w:lang w:val="es-ES_tradnl" w:eastAsia="es-CO"/>
        </w:rPr>
      </w:pPr>
    </w:p>
    <w:p w14:paraId="15208D3F" w14:textId="2E8C8F28" w:rsidR="00CC475C" w:rsidRPr="00F375E2" w:rsidRDefault="00CC475C" w:rsidP="00CC475C">
      <w:pPr>
        <w:jc w:val="center"/>
        <w:rPr>
          <w:rFonts w:ascii="Arial" w:hAnsi="Arial" w:cs="Arial"/>
          <w:color w:val="000000" w:themeColor="text1"/>
          <w:sz w:val="22"/>
          <w:szCs w:val="22"/>
          <w:lang w:val="es-ES_tradnl" w:eastAsia="es-CO"/>
        </w:rPr>
      </w:pPr>
    </w:p>
    <w:tbl>
      <w:tblPr>
        <w:tblStyle w:val="Tablaconcuadrcula1"/>
        <w:tblpPr w:leftFromText="141" w:rightFromText="141" w:vertAnchor="text" w:horzAnchor="margin" w:tblpY="2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9F7970" w:rsidRPr="00F375E2" w14:paraId="780EED91" w14:textId="77777777" w:rsidTr="00B27DDD">
        <w:trPr>
          <w:trHeight w:val="286"/>
        </w:trPr>
        <w:tc>
          <w:tcPr>
            <w:tcW w:w="817" w:type="dxa"/>
            <w:vAlign w:val="center"/>
          </w:tcPr>
          <w:p w14:paraId="1CD771BF" w14:textId="77777777" w:rsidR="00CC475C" w:rsidRPr="00F375E2" w:rsidRDefault="00CC475C" w:rsidP="00B27DDD">
            <w:pPr>
              <w:rPr>
                <w:rFonts w:ascii="Arial" w:hAnsi="Arial" w:cs="Arial"/>
                <w:color w:val="000000" w:themeColor="text1"/>
                <w:sz w:val="16"/>
                <w:szCs w:val="16"/>
                <w:lang w:eastAsia="es-ES"/>
              </w:rPr>
            </w:pPr>
            <w:r w:rsidRPr="00F375E2">
              <w:rPr>
                <w:rFonts w:ascii="Arial" w:hAnsi="Arial" w:cs="Arial"/>
                <w:color w:val="000000" w:themeColor="text1"/>
                <w:sz w:val="16"/>
                <w:szCs w:val="16"/>
                <w:lang w:eastAsia="es-ES"/>
              </w:rPr>
              <w:t>Elaboró:</w:t>
            </w:r>
          </w:p>
        </w:tc>
        <w:tc>
          <w:tcPr>
            <w:tcW w:w="4445" w:type="dxa"/>
            <w:tcBorders>
              <w:bottom w:val="dotted" w:sz="4" w:space="0" w:color="7F7F7F"/>
            </w:tcBorders>
            <w:vAlign w:val="center"/>
          </w:tcPr>
          <w:p w14:paraId="10336749" w14:textId="559654E4" w:rsidR="00CC475C" w:rsidRPr="00F375E2" w:rsidRDefault="00CC475C" w:rsidP="00B27DDD">
            <w:pPr>
              <w:rPr>
                <w:rFonts w:ascii="Arial" w:hAnsi="Arial" w:cs="Arial"/>
                <w:color w:val="000000" w:themeColor="text1"/>
                <w:sz w:val="16"/>
                <w:szCs w:val="16"/>
                <w:lang w:eastAsia="es-ES"/>
              </w:rPr>
            </w:pPr>
            <w:r w:rsidRPr="00F375E2">
              <w:rPr>
                <w:rFonts w:ascii="Arial" w:hAnsi="Arial" w:cs="Arial"/>
                <w:color w:val="000000" w:themeColor="text1"/>
                <w:sz w:val="16"/>
                <w:szCs w:val="16"/>
                <w:lang w:eastAsia="es-ES"/>
              </w:rPr>
              <w:t xml:space="preserve">Diana Fabiola Herrera Hernández </w:t>
            </w:r>
          </w:p>
          <w:p w14:paraId="1F0E0628" w14:textId="77777777" w:rsidR="00CC475C" w:rsidRPr="00F375E2" w:rsidRDefault="00CC475C" w:rsidP="00B27DDD">
            <w:pPr>
              <w:rPr>
                <w:rFonts w:ascii="Arial" w:hAnsi="Arial" w:cs="Arial"/>
                <w:color w:val="000000" w:themeColor="text1"/>
                <w:sz w:val="16"/>
                <w:szCs w:val="16"/>
                <w:lang w:eastAsia="es-ES"/>
              </w:rPr>
            </w:pPr>
            <w:r w:rsidRPr="00F375E2">
              <w:rPr>
                <w:rFonts w:ascii="Arial" w:hAnsi="Arial" w:cs="Arial"/>
                <w:color w:val="000000" w:themeColor="text1"/>
                <w:sz w:val="16"/>
                <w:szCs w:val="16"/>
                <w:lang w:eastAsia="es-ES"/>
              </w:rPr>
              <w:t>Contratista de la Subdirección de Gestión Contractual</w:t>
            </w:r>
          </w:p>
        </w:tc>
      </w:tr>
      <w:tr w:rsidR="009F7970" w:rsidRPr="00F375E2" w14:paraId="6FDB8DE1" w14:textId="77777777" w:rsidTr="00B27DDD">
        <w:trPr>
          <w:trHeight w:val="299"/>
        </w:trPr>
        <w:tc>
          <w:tcPr>
            <w:tcW w:w="817" w:type="dxa"/>
            <w:vAlign w:val="center"/>
          </w:tcPr>
          <w:p w14:paraId="6FBCC6FD" w14:textId="77777777" w:rsidR="00CC475C" w:rsidRPr="00F375E2" w:rsidRDefault="00CC475C" w:rsidP="00B27DDD">
            <w:pPr>
              <w:rPr>
                <w:rFonts w:ascii="Arial" w:hAnsi="Arial" w:cs="Arial"/>
                <w:color w:val="000000" w:themeColor="text1"/>
                <w:sz w:val="16"/>
                <w:szCs w:val="16"/>
                <w:lang w:eastAsia="es-ES"/>
              </w:rPr>
            </w:pPr>
            <w:r w:rsidRPr="00F375E2">
              <w:rPr>
                <w:rFonts w:ascii="Arial" w:hAnsi="Arial" w:cs="Arial"/>
                <w:color w:val="000000" w:themeColor="text1"/>
                <w:sz w:val="16"/>
                <w:szCs w:val="16"/>
                <w:lang w:eastAsia="es-ES"/>
              </w:rPr>
              <w:t>Revisó:</w:t>
            </w:r>
          </w:p>
        </w:tc>
        <w:tc>
          <w:tcPr>
            <w:tcW w:w="4445" w:type="dxa"/>
            <w:tcBorders>
              <w:top w:val="dotted" w:sz="4" w:space="0" w:color="7F7F7F"/>
              <w:bottom w:val="dotted" w:sz="4" w:space="0" w:color="7F7F7F"/>
            </w:tcBorders>
            <w:vAlign w:val="center"/>
          </w:tcPr>
          <w:p w14:paraId="382AC6BB" w14:textId="788A5EB0" w:rsidR="00CC475C" w:rsidRPr="00F375E2" w:rsidRDefault="00127C32" w:rsidP="00B27DDD">
            <w:pPr>
              <w:rPr>
                <w:rFonts w:ascii="Arial" w:hAnsi="Arial" w:cs="Arial"/>
                <w:color w:val="000000" w:themeColor="text1"/>
                <w:sz w:val="16"/>
                <w:szCs w:val="16"/>
                <w:lang w:eastAsia="es-ES"/>
              </w:rPr>
            </w:pPr>
            <w:r w:rsidRPr="00F375E2">
              <w:rPr>
                <w:rFonts w:ascii="Arial" w:hAnsi="Arial" w:cs="Arial"/>
                <w:color w:val="000000" w:themeColor="text1"/>
                <w:sz w:val="16"/>
                <w:szCs w:val="16"/>
                <w:lang w:eastAsia="es-ES"/>
              </w:rPr>
              <w:t>Sebastián Ramírez Grisales</w:t>
            </w:r>
          </w:p>
          <w:p w14:paraId="5C16C049" w14:textId="6F5F70EF" w:rsidR="00CC475C" w:rsidRPr="00F375E2" w:rsidRDefault="00127C32" w:rsidP="00B27DDD">
            <w:pPr>
              <w:rPr>
                <w:rFonts w:ascii="Arial" w:hAnsi="Arial" w:cs="Arial"/>
                <w:color w:val="000000" w:themeColor="text1"/>
                <w:sz w:val="16"/>
                <w:szCs w:val="16"/>
                <w:lang w:eastAsia="es-ES"/>
              </w:rPr>
            </w:pPr>
            <w:r w:rsidRPr="00F375E2">
              <w:rPr>
                <w:rFonts w:ascii="Arial" w:hAnsi="Arial" w:cs="Arial"/>
                <w:color w:val="000000" w:themeColor="text1"/>
                <w:sz w:val="16"/>
                <w:szCs w:val="16"/>
                <w:lang w:eastAsia="es-ES"/>
              </w:rPr>
              <w:t>Contratista</w:t>
            </w:r>
            <w:r w:rsidR="00CC475C" w:rsidRPr="00F375E2">
              <w:rPr>
                <w:rFonts w:ascii="Arial" w:hAnsi="Arial" w:cs="Arial"/>
                <w:color w:val="000000" w:themeColor="text1"/>
                <w:sz w:val="16"/>
                <w:szCs w:val="16"/>
                <w:lang w:eastAsia="es-ES"/>
              </w:rPr>
              <w:t xml:space="preserve"> de la Subdirección de Gestión Contractual</w:t>
            </w:r>
          </w:p>
        </w:tc>
      </w:tr>
      <w:tr w:rsidR="009F7970" w:rsidRPr="009F7970" w14:paraId="06893C0B" w14:textId="77777777" w:rsidTr="00B27DDD">
        <w:trPr>
          <w:trHeight w:val="272"/>
        </w:trPr>
        <w:tc>
          <w:tcPr>
            <w:tcW w:w="817" w:type="dxa"/>
            <w:vAlign w:val="center"/>
          </w:tcPr>
          <w:p w14:paraId="54DED704" w14:textId="77777777" w:rsidR="00CC475C" w:rsidRPr="00F375E2" w:rsidRDefault="00CC475C" w:rsidP="00B27DDD">
            <w:pPr>
              <w:rPr>
                <w:rFonts w:ascii="Arial" w:hAnsi="Arial" w:cs="Arial"/>
                <w:color w:val="000000" w:themeColor="text1"/>
                <w:sz w:val="16"/>
                <w:szCs w:val="16"/>
                <w:lang w:eastAsia="es-ES"/>
              </w:rPr>
            </w:pPr>
            <w:r w:rsidRPr="00F375E2">
              <w:rPr>
                <w:rFonts w:ascii="Arial" w:hAnsi="Arial" w:cs="Arial"/>
                <w:color w:val="000000" w:themeColor="text1"/>
                <w:sz w:val="16"/>
                <w:szCs w:val="16"/>
                <w:lang w:eastAsia="es-ES"/>
              </w:rPr>
              <w:t>Aprobó:</w:t>
            </w:r>
          </w:p>
        </w:tc>
        <w:tc>
          <w:tcPr>
            <w:tcW w:w="4445" w:type="dxa"/>
            <w:tcBorders>
              <w:top w:val="dotted" w:sz="4" w:space="0" w:color="7F7F7F"/>
              <w:bottom w:val="dotted" w:sz="4" w:space="0" w:color="7F7F7F"/>
            </w:tcBorders>
            <w:vAlign w:val="center"/>
          </w:tcPr>
          <w:p w14:paraId="03EB8C0C" w14:textId="77777777" w:rsidR="00CC475C" w:rsidRPr="00F375E2" w:rsidRDefault="00CC475C" w:rsidP="00B27DDD">
            <w:pPr>
              <w:rPr>
                <w:rFonts w:ascii="Arial" w:hAnsi="Arial" w:cs="Arial"/>
                <w:color w:val="000000" w:themeColor="text1"/>
                <w:sz w:val="16"/>
                <w:szCs w:val="16"/>
                <w:lang w:eastAsia="es-ES"/>
              </w:rPr>
            </w:pPr>
            <w:r w:rsidRPr="00F375E2">
              <w:rPr>
                <w:rFonts w:ascii="Arial" w:hAnsi="Arial" w:cs="Arial"/>
                <w:color w:val="000000" w:themeColor="text1"/>
                <w:sz w:val="16"/>
                <w:szCs w:val="16"/>
                <w:lang w:eastAsia="es-ES"/>
              </w:rPr>
              <w:t>Jorge Augusto Tirado Navarro</w:t>
            </w:r>
          </w:p>
          <w:p w14:paraId="7E6868CB" w14:textId="77777777" w:rsidR="00CC475C" w:rsidRPr="009F7970" w:rsidRDefault="00CC475C" w:rsidP="00B27DDD">
            <w:pPr>
              <w:rPr>
                <w:rFonts w:ascii="Arial" w:hAnsi="Arial" w:cs="Arial"/>
                <w:color w:val="000000" w:themeColor="text1"/>
                <w:sz w:val="16"/>
                <w:szCs w:val="16"/>
                <w:lang w:eastAsia="es-ES"/>
              </w:rPr>
            </w:pPr>
            <w:r w:rsidRPr="00F375E2">
              <w:rPr>
                <w:rFonts w:ascii="Arial" w:hAnsi="Arial" w:cs="Arial"/>
                <w:color w:val="000000" w:themeColor="text1"/>
                <w:sz w:val="16"/>
                <w:szCs w:val="16"/>
                <w:lang w:eastAsia="es-ES"/>
              </w:rPr>
              <w:t>Subdirector de Gestión Contractual ANCP – CCE</w:t>
            </w:r>
          </w:p>
        </w:tc>
      </w:tr>
    </w:tbl>
    <w:p w14:paraId="59D1350E" w14:textId="77777777" w:rsidR="00CC475C" w:rsidRPr="009F7970" w:rsidRDefault="00CC475C" w:rsidP="00CC475C">
      <w:pPr>
        <w:rPr>
          <w:rFonts w:ascii="Arial" w:hAnsi="Arial" w:cs="Arial"/>
          <w:color w:val="000000" w:themeColor="text1"/>
          <w:sz w:val="22"/>
          <w:szCs w:val="22"/>
          <w:lang w:val="es-ES_tradnl"/>
        </w:rPr>
      </w:pPr>
    </w:p>
    <w:p w14:paraId="46A2D6C9" w14:textId="77777777" w:rsidR="00123BE2" w:rsidRPr="009F7970" w:rsidRDefault="00123BE2" w:rsidP="0022167B">
      <w:pPr>
        <w:rPr>
          <w:rFonts w:ascii="Arial" w:hAnsi="Arial" w:cs="Arial"/>
          <w:color w:val="000000" w:themeColor="text1"/>
          <w:sz w:val="22"/>
          <w:szCs w:val="22"/>
          <w:lang w:val="es-ES_tradnl"/>
        </w:rPr>
      </w:pPr>
    </w:p>
    <w:sectPr w:rsidR="00123BE2" w:rsidRPr="009F7970" w:rsidSect="009D07A2">
      <w:headerReference w:type="default" r:id="rId13"/>
      <w:footerReference w:type="default" r:id="rId14"/>
      <w:pgSz w:w="12240" w:h="15840"/>
      <w:pgMar w:top="2041" w:right="1701" w:bottom="1474"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47F1A" w14:textId="77777777" w:rsidR="00C64743" w:rsidRDefault="00C64743">
      <w:r>
        <w:separator/>
      </w:r>
    </w:p>
  </w:endnote>
  <w:endnote w:type="continuationSeparator" w:id="0">
    <w:p w14:paraId="202B6E7D" w14:textId="77777777" w:rsidR="00C64743" w:rsidRDefault="00C64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5F905D24" w:rsidR="00EF64D8" w:rsidRPr="008217B7" w:rsidRDefault="00EF64D8"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2801C7">
      <w:rPr>
        <w:rFonts w:ascii="Arial" w:hAnsi="Arial" w:cs="Arial"/>
        <w:b/>
        <w:bCs/>
        <w:noProof/>
        <w:color w:val="7F7F7F" w:themeColor="text1" w:themeTint="80"/>
        <w:sz w:val="16"/>
        <w:szCs w:val="16"/>
      </w:rPr>
      <w:t>9</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2801C7">
      <w:rPr>
        <w:rFonts w:ascii="Arial" w:hAnsi="Arial" w:cs="Arial"/>
        <w:b/>
        <w:bCs/>
        <w:noProof/>
        <w:color w:val="7F7F7F" w:themeColor="text1" w:themeTint="80"/>
        <w:sz w:val="16"/>
        <w:szCs w:val="16"/>
      </w:rPr>
      <w:t>16</w:t>
    </w:r>
    <w:r w:rsidRPr="00084B97">
      <w:rPr>
        <w:rFonts w:ascii="Arial" w:hAnsi="Arial" w:cs="Arial"/>
        <w:b/>
        <w:bCs/>
        <w:color w:val="7F7F7F" w:themeColor="text1" w:themeTint="80"/>
        <w:sz w:val="16"/>
        <w:szCs w:val="16"/>
      </w:rPr>
      <w:fldChar w:fldCharType="end"/>
    </w:r>
  </w:p>
  <w:p w14:paraId="48FC6A04" w14:textId="5FD1A7C9" w:rsidR="00EF64D8" w:rsidRDefault="434D2F1C" w:rsidP="00322937">
    <w:pPr>
      <w:pStyle w:val="Piedepgina"/>
      <w:jc w:val="center"/>
      <w:rPr>
        <w:lang w:val="es-ES"/>
      </w:rPr>
    </w:pPr>
    <w:r>
      <w:rPr>
        <w:noProof/>
        <w:lang w:val="es-CO" w:eastAsia="es-CO"/>
      </w:rPr>
      <w:drawing>
        <wp:inline distT="0" distB="0" distL="0" distR="0" wp14:anchorId="608B196D" wp14:editId="40ED6A14">
          <wp:extent cx="3700130" cy="519139"/>
          <wp:effectExtent l="0" t="0" r="0" b="0"/>
          <wp:docPr id="35860387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C0EFC49" w14:textId="77777777" w:rsidR="00EF64D8" w:rsidRPr="007B0854" w:rsidRDefault="00EF64D8"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FD8B1" w14:textId="77777777" w:rsidR="00C64743" w:rsidRDefault="00C64743">
      <w:r>
        <w:separator/>
      </w:r>
    </w:p>
  </w:footnote>
  <w:footnote w:type="continuationSeparator" w:id="0">
    <w:p w14:paraId="0D2B3981" w14:textId="77777777" w:rsidR="00C64743" w:rsidRDefault="00C64743">
      <w:r>
        <w:continuationSeparator/>
      </w:r>
    </w:p>
  </w:footnote>
  <w:footnote w:id="1">
    <w:p w14:paraId="10FA3736" w14:textId="5E20058D" w:rsidR="0032144D" w:rsidRPr="00E80894" w:rsidRDefault="0032144D" w:rsidP="00E80894">
      <w:pPr>
        <w:pStyle w:val="Textonotapie"/>
        <w:spacing w:before="0" w:after="0" w:line="240" w:lineRule="auto"/>
        <w:ind w:firstLine="709"/>
        <w:rPr>
          <w:rFonts w:ascii="Arial" w:hAnsi="Arial" w:cs="Arial"/>
          <w:color w:val="000000" w:themeColor="text1"/>
          <w:sz w:val="19"/>
          <w:szCs w:val="19"/>
        </w:rPr>
      </w:pPr>
      <w:r w:rsidRPr="00E80894">
        <w:rPr>
          <w:rStyle w:val="Refdenotaalpie"/>
          <w:rFonts w:ascii="Arial" w:hAnsi="Arial" w:cs="Arial"/>
          <w:color w:val="000000" w:themeColor="text1"/>
          <w:sz w:val="19"/>
          <w:szCs w:val="19"/>
        </w:rPr>
        <w:footnoteRef/>
      </w:r>
      <w:r w:rsidRPr="00E80894">
        <w:rPr>
          <w:rFonts w:ascii="Arial" w:hAnsi="Arial" w:cs="Arial"/>
          <w:color w:val="000000" w:themeColor="text1"/>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E80894">
        <w:rPr>
          <w:rFonts w:ascii="Arial" w:hAnsi="Arial" w:cs="Arial"/>
          <w:i/>
          <w:iCs/>
          <w:color w:val="000000" w:themeColor="text1"/>
          <w:sz w:val="19"/>
          <w:szCs w:val="19"/>
        </w:rPr>
        <w:t xml:space="preserve">ibidem </w:t>
      </w:r>
      <w:r w:rsidRPr="00E80894">
        <w:rPr>
          <w:rFonts w:ascii="Arial" w:hAnsi="Arial" w:cs="Arial"/>
          <w:color w:val="000000" w:themeColor="text1"/>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55010927" w14:textId="77777777" w:rsidR="00960E56" w:rsidRPr="00E80894" w:rsidRDefault="00960E56" w:rsidP="00E80894">
      <w:pPr>
        <w:pStyle w:val="Textonotapie"/>
        <w:spacing w:before="0" w:after="0" w:line="240" w:lineRule="auto"/>
        <w:ind w:firstLine="709"/>
        <w:rPr>
          <w:rFonts w:ascii="Arial" w:hAnsi="Arial" w:cs="Arial"/>
          <w:color w:val="000000" w:themeColor="text1"/>
          <w:sz w:val="19"/>
          <w:szCs w:val="19"/>
        </w:rPr>
      </w:pPr>
    </w:p>
    <w:p w14:paraId="23C90D30" w14:textId="77777777" w:rsidR="00960E56" w:rsidRPr="00E80894" w:rsidRDefault="00960E56" w:rsidP="00E80894">
      <w:pPr>
        <w:pStyle w:val="Textonotapie"/>
        <w:spacing w:before="0" w:after="0" w:line="240" w:lineRule="auto"/>
        <w:ind w:firstLine="709"/>
        <w:rPr>
          <w:rFonts w:ascii="Arial" w:hAnsi="Arial" w:cs="Arial"/>
          <w:color w:val="000000" w:themeColor="text1"/>
          <w:sz w:val="19"/>
          <w:szCs w:val="19"/>
        </w:rPr>
      </w:pPr>
      <w:r w:rsidRPr="00E80894">
        <w:rPr>
          <w:rStyle w:val="Refdenotaalpie"/>
          <w:rFonts w:ascii="Arial" w:hAnsi="Arial" w:cs="Arial"/>
          <w:color w:val="000000" w:themeColor="text1"/>
          <w:sz w:val="19"/>
          <w:szCs w:val="19"/>
        </w:rPr>
        <w:footnoteRef/>
      </w:r>
      <w:r w:rsidRPr="00E80894">
        <w:rPr>
          <w:rFonts w:ascii="Arial" w:hAnsi="Arial" w:cs="Arial"/>
          <w:color w:val="000000" w:themeColor="text1"/>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22E36715" w14:textId="41CFC460" w:rsidR="00960E56" w:rsidRPr="00E80894" w:rsidRDefault="00960E56" w:rsidP="001F528D">
      <w:pPr>
        <w:pStyle w:val="Textonotapie"/>
        <w:spacing w:before="0" w:after="0" w:line="240" w:lineRule="auto"/>
        <w:ind w:firstLine="709"/>
        <w:rPr>
          <w:rFonts w:ascii="Arial" w:hAnsi="Arial" w:cs="Arial"/>
          <w:color w:val="000000" w:themeColor="text1"/>
          <w:sz w:val="19"/>
          <w:szCs w:val="19"/>
        </w:rPr>
      </w:pPr>
      <w:r w:rsidRPr="00E80894">
        <w:rPr>
          <w:rFonts w:ascii="Arial" w:hAnsi="Arial" w:cs="Arial"/>
          <w:color w:val="000000" w:themeColor="text1"/>
          <w:sz w:val="19"/>
          <w:szCs w:val="19"/>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footnote>
  <w:footnote w:id="3">
    <w:p w14:paraId="6E03AA6C" w14:textId="5AAD64F3" w:rsidR="00960E56" w:rsidRPr="00E80894" w:rsidRDefault="00960E56" w:rsidP="001F528D">
      <w:pPr>
        <w:pStyle w:val="Textonotapie"/>
        <w:spacing w:before="0" w:after="0" w:line="240" w:lineRule="auto"/>
        <w:ind w:firstLine="709"/>
        <w:rPr>
          <w:rFonts w:ascii="Arial" w:hAnsi="Arial" w:cs="Arial"/>
          <w:color w:val="000000" w:themeColor="text1"/>
          <w:sz w:val="19"/>
          <w:szCs w:val="19"/>
        </w:rPr>
      </w:pPr>
      <w:r w:rsidRPr="00E80894">
        <w:rPr>
          <w:rStyle w:val="Refdenotaalpie"/>
          <w:rFonts w:ascii="Arial" w:hAnsi="Arial" w:cs="Arial"/>
          <w:color w:val="000000" w:themeColor="text1"/>
          <w:sz w:val="19"/>
          <w:szCs w:val="19"/>
        </w:rPr>
        <w:footnoteRef/>
      </w:r>
      <w:r w:rsidRPr="00E80894">
        <w:rPr>
          <w:rFonts w:ascii="Arial" w:hAnsi="Arial" w:cs="Arial"/>
          <w:color w:val="000000" w:themeColor="text1"/>
          <w:sz w:val="19"/>
          <w:szCs w:val="19"/>
        </w:rPr>
        <w:t xml:space="preserve"> Gaceta del Congreso de la República No. 71 del 2005.</w:t>
      </w:r>
    </w:p>
  </w:footnote>
  <w:footnote w:id="4">
    <w:p w14:paraId="32794570" w14:textId="4906A275" w:rsidR="00960E56" w:rsidRPr="00E80894" w:rsidRDefault="00960E56" w:rsidP="001F528D">
      <w:pPr>
        <w:pStyle w:val="Textonotapie"/>
        <w:spacing w:before="0" w:after="0" w:line="240" w:lineRule="auto"/>
        <w:ind w:firstLine="709"/>
        <w:rPr>
          <w:rFonts w:ascii="Arial" w:hAnsi="Arial" w:cs="Arial"/>
          <w:color w:val="000000" w:themeColor="text1"/>
          <w:sz w:val="19"/>
          <w:szCs w:val="19"/>
        </w:rPr>
      </w:pPr>
      <w:r w:rsidRPr="00E80894">
        <w:rPr>
          <w:rStyle w:val="Refdenotaalpie"/>
          <w:rFonts w:ascii="Arial" w:hAnsi="Arial" w:cs="Arial"/>
          <w:color w:val="000000" w:themeColor="text1"/>
          <w:sz w:val="19"/>
          <w:szCs w:val="19"/>
        </w:rPr>
        <w:footnoteRef/>
      </w:r>
      <w:r w:rsidRPr="00E80894">
        <w:rPr>
          <w:rFonts w:ascii="Arial" w:hAnsi="Arial" w:cs="Arial"/>
          <w:color w:val="000000" w:themeColor="text1"/>
          <w:sz w:val="19"/>
          <w:szCs w:val="19"/>
        </w:rPr>
        <w:t xml:space="preserve"> Corte Constitucional. Sentencia C-1153 de 2005, M.P. Marco Gerardo Monroy Cabra.</w:t>
      </w:r>
    </w:p>
  </w:footnote>
  <w:footnote w:id="5">
    <w:p w14:paraId="7169B70C" w14:textId="77777777" w:rsidR="00960E56" w:rsidRPr="00E80894" w:rsidRDefault="00960E56" w:rsidP="00E80894">
      <w:pPr>
        <w:pStyle w:val="Textonotapie"/>
        <w:spacing w:before="0" w:after="0" w:line="240" w:lineRule="auto"/>
        <w:ind w:firstLine="709"/>
        <w:rPr>
          <w:rFonts w:ascii="Arial" w:hAnsi="Arial" w:cs="Arial"/>
          <w:color w:val="000000" w:themeColor="text1"/>
          <w:sz w:val="19"/>
          <w:szCs w:val="19"/>
        </w:rPr>
      </w:pPr>
      <w:r w:rsidRPr="00E80894">
        <w:rPr>
          <w:rStyle w:val="Refdenotaalpie"/>
          <w:rFonts w:ascii="Arial" w:hAnsi="Arial" w:cs="Arial"/>
          <w:color w:val="000000" w:themeColor="text1"/>
          <w:sz w:val="19"/>
          <w:szCs w:val="19"/>
        </w:rPr>
        <w:footnoteRef/>
      </w:r>
      <w:r w:rsidRPr="00E80894">
        <w:rPr>
          <w:rFonts w:ascii="Arial" w:hAnsi="Arial" w:cs="Arial"/>
          <w:color w:val="000000" w:themeColor="text1"/>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7FA02DA2" w14:textId="77777777" w:rsidR="00960E56" w:rsidRPr="00E80894" w:rsidRDefault="00960E56" w:rsidP="00E80894">
      <w:pPr>
        <w:pStyle w:val="Textonotapie"/>
        <w:spacing w:before="0" w:after="0" w:line="240" w:lineRule="auto"/>
        <w:ind w:firstLine="709"/>
        <w:rPr>
          <w:rFonts w:ascii="Arial" w:hAnsi="Arial" w:cs="Arial"/>
          <w:color w:val="000000" w:themeColor="text1"/>
          <w:sz w:val="19"/>
          <w:szCs w:val="19"/>
        </w:rPr>
      </w:pPr>
    </w:p>
  </w:footnote>
  <w:footnote w:id="6">
    <w:p w14:paraId="3F039DCE" w14:textId="5E340187" w:rsidR="00960E56" w:rsidRPr="00E80894" w:rsidRDefault="00960E56" w:rsidP="00E80894">
      <w:pPr>
        <w:pStyle w:val="Textonotapie"/>
        <w:spacing w:before="0" w:after="0" w:line="240" w:lineRule="auto"/>
        <w:ind w:firstLine="709"/>
        <w:rPr>
          <w:rFonts w:ascii="Arial" w:hAnsi="Arial" w:cs="Arial"/>
          <w:color w:val="000000" w:themeColor="text1"/>
          <w:sz w:val="19"/>
          <w:szCs w:val="19"/>
          <w:lang w:val="es-CO"/>
        </w:rPr>
      </w:pPr>
      <w:r w:rsidRPr="00E80894">
        <w:rPr>
          <w:rStyle w:val="Refdenotaalpie"/>
          <w:rFonts w:ascii="Arial" w:hAnsi="Arial" w:cs="Arial"/>
          <w:color w:val="000000" w:themeColor="text1"/>
          <w:sz w:val="19"/>
          <w:szCs w:val="19"/>
        </w:rPr>
        <w:footnoteRef/>
      </w:r>
      <w:r w:rsidRPr="00E80894">
        <w:rPr>
          <w:rFonts w:ascii="Arial" w:hAnsi="Arial" w:cs="Arial"/>
          <w:color w:val="000000" w:themeColor="text1"/>
          <w:sz w:val="19"/>
          <w:szCs w:val="19"/>
          <w:lang w:val="es-CO"/>
        </w:rPr>
        <w:t xml:space="preserve"> Consejo de Estado.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08C9CEB7" w14:textId="77777777" w:rsidR="00960E56" w:rsidRPr="00E80894" w:rsidRDefault="00960E56" w:rsidP="00E80894">
      <w:pPr>
        <w:pStyle w:val="Textonotapie"/>
        <w:spacing w:before="0" w:after="0" w:line="240" w:lineRule="auto"/>
        <w:ind w:firstLine="709"/>
        <w:rPr>
          <w:rFonts w:ascii="Arial" w:hAnsi="Arial" w:cs="Arial"/>
          <w:color w:val="000000" w:themeColor="text1"/>
          <w:sz w:val="19"/>
          <w:szCs w:val="19"/>
          <w:lang w:val="es-CO"/>
        </w:rPr>
      </w:pPr>
    </w:p>
  </w:footnote>
  <w:footnote w:id="7">
    <w:p w14:paraId="410C0504" w14:textId="77777777" w:rsidR="00960E56" w:rsidRPr="00E80894" w:rsidRDefault="00960E56" w:rsidP="00E80894">
      <w:pPr>
        <w:pStyle w:val="Textonotapie"/>
        <w:spacing w:before="0" w:after="0" w:line="240" w:lineRule="auto"/>
        <w:ind w:firstLine="709"/>
        <w:rPr>
          <w:rFonts w:ascii="Arial" w:hAnsi="Arial" w:cs="Arial"/>
          <w:color w:val="000000" w:themeColor="text1"/>
          <w:sz w:val="19"/>
          <w:szCs w:val="19"/>
        </w:rPr>
      </w:pPr>
      <w:r w:rsidRPr="00E80894">
        <w:rPr>
          <w:rStyle w:val="Refdenotaalpie"/>
          <w:rFonts w:ascii="Arial" w:hAnsi="Arial" w:cs="Arial"/>
          <w:color w:val="000000" w:themeColor="text1"/>
          <w:sz w:val="19"/>
          <w:szCs w:val="19"/>
        </w:rPr>
        <w:footnoteRef/>
      </w:r>
      <w:r w:rsidRPr="00E80894">
        <w:rPr>
          <w:rFonts w:ascii="Arial" w:hAnsi="Arial" w:cs="Arial"/>
          <w:color w:val="000000" w:themeColor="text1"/>
          <w:sz w:val="19"/>
          <w:szCs w:val="19"/>
        </w:rPr>
        <w:t xml:space="preserve"> Consejo de Estado, Sala de Consulta y Servicio Civil de fecha 24 de julio de 2013, radicado 2166, </w:t>
      </w:r>
      <w:r w:rsidRPr="00E80894">
        <w:rPr>
          <w:rFonts w:ascii="Arial" w:hAnsi="Arial" w:cs="Arial"/>
          <w:color w:val="000000" w:themeColor="text1"/>
          <w:sz w:val="19"/>
          <w:szCs w:val="19"/>
        </w:rPr>
        <w:t xml:space="preserve">Consejero Ponente: Álvaro </w:t>
      </w:r>
      <w:r w:rsidRPr="00E80894">
        <w:rPr>
          <w:rFonts w:ascii="Arial" w:hAnsi="Arial" w:cs="Arial"/>
          <w:color w:val="000000" w:themeColor="text1"/>
          <w:sz w:val="19"/>
          <w:szCs w:val="19"/>
        </w:rPr>
        <w:t xml:space="preserve">Namén Vargas.  </w:t>
      </w:r>
    </w:p>
  </w:footnote>
  <w:footnote w:id="8">
    <w:p w14:paraId="05294FAF" w14:textId="77777777" w:rsidR="00960E56" w:rsidRPr="00E80894" w:rsidRDefault="00960E56" w:rsidP="00E80894">
      <w:pPr>
        <w:ind w:firstLine="709"/>
        <w:jc w:val="both"/>
        <w:rPr>
          <w:rFonts w:ascii="Arial" w:hAnsi="Arial" w:cs="Arial"/>
          <w:color w:val="000000" w:themeColor="text1"/>
          <w:sz w:val="19"/>
          <w:szCs w:val="19"/>
        </w:rPr>
      </w:pPr>
      <w:r w:rsidRPr="00E80894">
        <w:rPr>
          <w:rStyle w:val="Refdenotaalpie"/>
          <w:rFonts w:ascii="Arial" w:hAnsi="Arial" w:cs="Arial"/>
          <w:color w:val="000000" w:themeColor="text1"/>
          <w:sz w:val="19"/>
          <w:szCs w:val="19"/>
        </w:rPr>
        <w:footnoteRef/>
      </w:r>
      <w:r w:rsidRPr="00E80894">
        <w:rPr>
          <w:rFonts w:ascii="Arial" w:hAnsi="Arial" w:cs="Arial"/>
          <w:color w:val="000000" w:themeColor="text1"/>
          <w:sz w:val="19"/>
          <w:szCs w:val="19"/>
        </w:rPr>
        <w:t xml:space="preserve"> </w:t>
      </w:r>
      <w:r w:rsidRPr="00E80894">
        <w:rPr>
          <w:rFonts w:ascii="Arial" w:eastAsia="Calibri" w:hAnsi="Arial" w:cs="Arial"/>
          <w:bCs/>
          <w:color w:val="000000" w:themeColor="text1"/>
          <w:sz w:val="19"/>
          <w:szCs w:val="19"/>
        </w:rPr>
        <w:t>«</w:t>
      </w:r>
      <w:r w:rsidRPr="00E80894">
        <w:rPr>
          <w:rFonts w:ascii="Arial" w:hAnsi="Arial" w:cs="Arial"/>
          <w:color w:val="000000" w:themeColor="text1"/>
          <w:sz w:val="19"/>
          <w:szCs w:val="19"/>
        </w:rPr>
        <w:t>Artículo 33. Restricciones a la contratación pública. Durante los cuatro (4) meses anteriores a la elección presidencial y hasta la realización de la elección en la segunda vuelta, si fuere el caso, queda prohibida la contratación directa por parte de todos los entes del Estado.</w:t>
      </w:r>
    </w:p>
    <w:p w14:paraId="1CE2AF43" w14:textId="77777777" w:rsidR="00960E56" w:rsidRPr="00E80894" w:rsidRDefault="00960E56" w:rsidP="00E80894">
      <w:pPr>
        <w:ind w:firstLine="709"/>
        <w:jc w:val="both"/>
        <w:rPr>
          <w:rFonts w:ascii="Arial" w:hAnsi="Arial" w:cs="Arial"/>
          <w:color w:val="000000" w:themeColor="text1"/>
          <w:sz w:val="19"/>
          <w:szCs w:val="19"/>
        </w:rPr>
      </w:pPr>
      <w:r w:rsidRPr="00E80894">
        <w:rPr>
          <w:rFonts w:ascii="Arial" w:eastAsia="Calibri" w:hAnsi="Arial" w:cs="Arial"/>
          <w:bCs/>
          <w:color w:val="000000" w:themeColor="text1"/>
          <w:sz w:val="19"/>
          <w:szCs w:val="19"/>
        </w:rPr>
        <w:t>»</w:t>
      </w:r>
      <w:r w:rsidRPr="00E80894">
        <w:rPr>
          <w:rFonts w:ascii="Arial" w:hAnsi="Arial" w:cs="Arial"/>
          <w:color w:val="000000" w:themeColor="text1"/>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E80894">
        <w:rPr>
          <w:rFonts w:ascii="Arial" w:eastAsia="Calibri" w:hAnsi="Arial" w:cs="Arial"/>
          <w:bCs/>
          <w:color w:val="000000" w:themeColor="text1"/>
          <w:sz w:val="19"/>
          <w:szCs w:val="19"/>
        </w:rPr>
        <w:t>»</w:t>
      </w:r>
      <w:r w:rsidRPr="00E80894">
        <w:rPr>
          <w:rFonts w:ascii="Arial" w:hAnsi="Arial" w:cs="Arial"/>
          <w:color w:val="000000" w:themeColor="text1"/>
          <w:sz w:val="19"/>
          <w:szCs w:val="19"/>
        </w:rPr>
        <w:t>.</w:t>
      </w:r>
    </w:p>
    <w:p w14:paraId="3F6A6A24" w14:textId="77777777" w:rsidR="00960E56" w:rsidRPr="00E80894" w:rsidRDefault="00960E56" w:rsidP="00E80894">
      <w:pPr>
        <w:ind w:firstLine="709"/>
        <w:jc w:val="both"/>
        <w:rPr>
          <w:rFonts w:ascii="Arial" w:hAnsi="Arial" w:cs="Arial"/>
          <w:color w:val="000000" w:themeColor="text1"/>
          <w:sz w:val="19"/>
          <w:szCs w:val="19"/>
        </w:rPr>
      </w:pPr>
    </w:p>
  </w:footnote>
  <w:footnote w:id="9">
    <w:p w14:paraId="7076C7E2" w14:textId="77777777" w:rsidR="00960E56" w:rsidRPr="00E80894" w:rsidRDefault="00960E56" w:rsidP="00E80894">
      <w:pPr>
        <w:pStyle w:val="NormalWeb"/>
        <w:spacing w:before="0" w:beforeAutospacing="0" w:after="0" w:afterAutospacing="0" w:line="240" w:lineRule="auto"/>
        <w:ind w:firstLine="709"/>
        <w:rPr>
          <w:rFonts w:ascii="Arial" w:hAnsi="Arial" w:cs="Arial"/>
          <w:color w:val="000000" w:themeColor="text1"/>
          <w:sz w:val="19"/>
          <w:szCs w:val="19"/>
          <w:lang w:val="es-MX"/>
        </w:rPr>
      </w:pPr>
      <w:r w:rsidRPr="00E80894">
        <w:rPr>
          <w:rStyle w:val="Refdenotaalpie"/>
          <w:rFonts w:ascii="Arial" w:hAnsi="Arial" w:cs="Arial"/>
          <w:color w:val="000000" w:themeColor="text1"/>
          <w:sz w:val="19"/>
          <w:szCs w:val="19"/>
        </w:rPr>
        <w:footnoteRef/>
      </w:r>
      <w:r w:rsidRPr="00E80894">
        <w:rPr>
          <w:rFonts w:ascii="Arial" w:hAnsi="Arial" w:cs="Arial"/>
          <w:color w:val="000000" w:themeColor="text1"/>
          <w:sz w:val="19"/>
          <w:szCs w:val="19"/>
        </w:rPr>
        <w:t xml:space="preserve"> </w:t>
      </w:r>
      <w:r w:rsidRPr="00E80894">
        <w:rPr>
          <w:rFonts w:ascii="Arial" w:eastAsia="Calibri" w:hAnsi="Arial" w:cs="Arial"/>
          <w:bCs/>
          <w:color w:val="000000" w:themeColor="text1"/>
          <w:sz w:val="19"/>
          <w:szCs w:val="19"/>
        </w:rPr>
        <w:t>«</w:t>
      </w:r>
      <w:r w:rsidRPr="00E80894">
        <w:rPr>
          <w:rFonts w:ascii="Arial" w:hAnsi="Arial" w:cs="Arial"/>
          <w:color w:val="000000" w:themeColor="text1"/>
          <w:sz w:val="19"/>
          <w:szCs w:val="19"/>
          <w:lang w:val="es-MX"/>
        </w:rPr>
        <w:t>Artículo 38. Prohibiciones para los servidores públicos. A los empleados del Estado les está prohibido:</w:t>
      </w:r>
    </w:p>
    <w:p w14:paraId="17DF1D05" w14:textId="77777777" w:rsidR="00960E56" w:rsidRPr="00E80894" w:rsidRDefault="00960E56" w:rsidP="00E80894">
      <w:pPr>
        <w:pStyle w:val="NormalWeb"/>
        <w:spacing w:before="0" w:beforeAutospacing="0" w:after="0" w:afterAutospacing="0" w:line="240" w:lineRule="auto"/>
        <w:ind w:firstLine="709"/>
        <w:rPr>
          <w:rFonts w:ascii="Arial" w:hAnsi="Arial" w:cs="Arial"/>
          <w:color w:val="000000" w:themeColor="text1"/>
          <w:sz w:val="19"/>
          <w:szCs w:val="19"/>
          <w:lang w:val="es-MX"/>
        </w:rPr>
      </w:pPr>
      <w:r w:rsidRPr="00E80894">
        <w:rPr>
          <w:rFonts w:ascii="Arial" w:eastAsia="Calibri" w:hAnsi="Arial" w:cs="Arial"/>
          <w:bCs/>
          <w:color w:val="000000" w:themeColor="text1"/>
          <w:sz w:val="19"/>
          <w:szCs w:val="19"/>
        </w:rPr>
        <w:t>»</w:t>
      </w:r>
      <w:r w:rsidRPr="00E80894">
        <w:rPr>
          <w:rFonts w:ascii="Arial" w:hAnsi="Arial" w:cs="Arial"/>
          <w:color w:val="000000" w:themeColor="text1"/>
          <w:sz w:val="19"/>
          <w:szCs w:val="19"/>
          <w:lang w:val="es-MX"/>
        </w:rPr>
        <w:t xml:space="preserve"> […]</w:t>
      </w:r>
    </w:p>
    <w:p w14:paraId="6568FC4A" w14:textId="77777777" w:rsidR="00960E56" w:rsidRPr="00E80894" w:rsidRDefault="00960E56" w:rsidP="00E80894">
      <w:pPr>
        <w:ind w:firstLine="709"/>
        <w:jc w:val="both"/>
        <w:rPr>
          <w:rFonts w:ascii="Arial" w:hAnsi="Arial" w:cs="Arial"/>
          <w:color w:val="000000" w:themeColor="text1"/>
          <w:sz w:val="19"/>
          <w:szCs w:val="19"/>
          <w:lang w:val="es-MX"/>
        </w:rPr>
      </w:pPr>
      <w:r w:rsidRPr="00E80894">
        <w:rPr>
          <w:rFonts w:ascii="Arial" w:eastAsia="Calibri" w:hAnsi="Arial" w:cs="Arial"/>
          <w:bCs/>
          <w:color w:val="000000" w:themeColor="text1"/>
          <w:sz w:val="19"/>
          <w:szCs w:val="19"/>
        </w:rPr>
        <w:t>»</w:t>
      </w:r>
      <w:r w:rsidRPr="00E80894">
        <w:rPr>
          <w:rStyle w:val="baj"/>
          <w:rFonts w:ascii="Arial" w:hAnsi="Arial" w:cs="Arial"/>
          <w:color w:val="000000" w:themeColor="text1"/>
          <w:sz w:val="19"/>
          <w:szCs w:val="19"/>
          <w:lang w:val="es-MX"/>
        </w:rPr>
        <w:t xml:space="preserve"> Parágrafo.</w:t>
      </w:r>
      <w:r w:rsidRPr="00E80894">
        <w:rPr>
          <w:rFonts w:ascii="Arial" w:hAnsi="Arial" w:cs="Arial"/>
          <w:color w:val="000000" w:themeColor="text1"/>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E80894">
        <w:rPr>
          <w:rFonts w:ascii="Arial" w:eastAsia="Calibri" w:hAnsi="Arial" w:cs="Arial"/>
          <w:bCs/>
          <w:color w:val="000000" w:themeColor="text1"/>
          <w:sz w:val="19"/>
          <w:szCs w:val="19"/>
        </w:rPr>
        <w:t>»</w:t>
      </w:r>
      <w:r w:rsidRPr="00E80894">
        <w:rPr>
          <w:rFonts w:ascii="Arial" w:hAnsi="Arial" w:cs="Arial"/>
          <w:color w:val="000000" w:themeColor="text1"/>
          <w:sz w:val="19"/>
          <w:szCs w:val="19"/>
          <w:lang w:val="es-MX"/>
        </w:rPr>
        <w:t>.</w:t>
      </w:r>
    </w:p>
    <w:p w14:paraId="07A39AEC" w14:textId="77777777" w:rsidR="00960E56" w:rsidRPr="00E80894" w:rsidRDefault="00960E56" w:rsidP="00E80894">
      <w:pPr>
        <w:ind w:firstLine="709"/>
        <w:jc w:val="both"/>
        <w:rPr>
          <w:rFonts w:ascii="Arial" w:hAnsi="Arial" w:cs="Arial"/>
          <w:color w:val="000000" w:themeColor="text1"/>
          <w:sz w:val="19"/>
          <w:szCs w:val="19"/>
          <w:lang w:val="es-MX"/>
        </w:rPr>
      </w:pPr>
    </w:p>
  </w:footnote>
  <w:footnote w:id="10">
    <w:p w14:paraId="2A7B02C3" w14:textId="77777777" w:rsidR="00960E56" w:rsidRPr="00E80894" w:rsidRDefault="00960E56" w:rsidP="00E80894">
      <w:pPr>
        <w:ind w:firstLine="709"/>
        <w:jc w:val="both"/>
        <w:rPr>
          <w:rFonts w:ascii="Arial" w:hAnsi="Arial" w:cs="Arial"/>
          <w:color w:val="000000" w:themeColor="text1"/>
          <w:sz w:val="19"/>
          <w:szCs w:val="19"/>
          <w:lang w:val="es-ES"/>
        </w:rPr>
      </w:pPr>
      <w:r w:rsidRPr="00E80894">
        <w:rPr>
          <w:rStyle w:val="Refdenotaalpie"/>
          <w:rFonts w:ascii="Arial" w:hAnsi="Arial" w:cs="Arial"/>
          <w:color w:val="000000" w:themeColor="text1"/>
          <w:sz w:val="19"/>
          <w:szCs w:val="19"/>
        </w:rPr>
        <w:footnoteRef/>
      </w:r>
      <w:r w:rsidRPr="00E80894">
        <w:rPr>
          <w:rFonts w:ascii="Arial" w:hAnsi="Arial" w:cs="Arial"/>
          <w:color w:val="000000" w:themeColor="text1"/>
          <w:sz w:val="19"/>
          <w:szCs w:val="19"/>
        </w:rPr>
        <w:t xml:space="preserve"> Consejo de Estado. Sala de Consulta y Servicio Civil. Concepto del 17 de febrero de 2015. C.P. William Zambrano Cetina. Radicación No. 11001-03-06-000-2015-00164-00(2269).</w:t>
      </w:r>
    </w:p>
  </w:footnote>
  <w:footnote w:id="11">
    <w:p w14:paraId="78ACF005" w14:textId="77777777" w:rsidR="009F290C" w:rsidRPr="00E80894" w:rsidRDefault="009F290C" w:rsidP="00E80894">
      <w:pPr>
        <w:pStyle w:val="Textonotapie"/>
        <w:spacing w:before="0" w:after="0" w:line="240" w:lineRule="auto"/>
        <w:ind w:firstLine="709"/>
        <w:rPr>
          <w:rFonts w:ascii="Arial" w:hAnsi="Arial" w:cs="Arial"/>
          <w:color w:val="000000" w:themeColor="text1"/>
          <w:sz w:val="19"/>
          <w:szCs w:val="19"/>
        </w:rPr>
      </w:pPr>
      <w:r w:rsidRPr="00E80894">
        <w:rPr>
          <w:rStyle w:val="Refdenotaalpie"/>
          <w:rFonts w:ascii="Arial" w:hAnsi="Arial" w:cs="Arial"/>
          <w:color w:val="000000" w:themeColor="text1"/>
          <w:sz w:val="19"/>
          <w:szCs w:val="19"/>
        </w:rPr>
        <w:footnoteRef/>
      </w:r>
      <w:r w:rsidRPr="00E80894">
        <w:rPr>
          <w:rFonts w:ascii="Arial" w:hAnsi="Arial" w:cs="Arial"/>
          <w:color w:val="000000" w:themeColor="text1"/>
          <w:sz w:val="19"/>
          <w:szCs w:val="19"/>
        </w:rPr>
        <w:t xml:space="preserve"> </w:t>
      </w:r>
      <w:bookmarkStart w:id="11" w:name="_Hlk74272731"/>
      <w:r w:rsidRPr="00E80894">
        <w:rPr>
          <w:rFonts w:ascii="Arial" w:hAnsi="Arial" w:cs="Arial"/>
          <w:color w:val="000000" w:themeColor="text1"/>
          <w:sz w:val="19"/>
          <w:szCs w:val="19"/>
        </w:rPr>
        <w:t>«</w:t>
      </w:r>
      <w:bookmarkEnd w:id="11"/>
      <w:r w:rsidRPr="00E80894">
        <w:rPr>
          <w:rFonts w:ascii="Arial" w:hAnsi="Arial" w:cs="Arial"/>
          <w:color w:val="000000" w:themeColor="text1"/>
          <w:sz w:val="19"/>
          <w:szCs w:val="19"/>
          <w:lang w:val="es-ES"/>
        </w:rPr>
        <w:t xml:space="preserve">[25] </w:t>
      </w:r>
      <w:r w:rsidRPr="00E80894">
        <w:rPr>
          <w:rFonts w:ascii="Arial" w:hAnsi="Arial" w:cs="Arial"/>
          <w:color w:val="000000" w:themeColor="text1"/>
          <w:sz w:val="19"/>
          <w:szCs w:val="19"/>
        </w:rPr>
        <w:t>Cfr. Consejo de Estado. Sección Tercera. Sentencia de 3 de diciembre de 2007. Radicados: 24.715, 25.206, 25.409, 24.524, 27.834, 25.410, 26.105, 28.244, 31.447 -acumulados-</w:t>
      </w:r>
      <w:bookmarkStart w:id="12" w:name="_Hlk74271358"/>
      <w:r w:rsidRPr="00E80894">
        <w:rPr>
          <w:rFonts w:ascii="Arial" w:hAnsi="Arial" w:cs="Arial"/>
          <w:color w:val="000000" w:themeColor="text1"/>
          <w:sz w:val="19"/>
          <w:szCs w:val="19"/>
        </w:rPr>
        <w:t>»</w:t>
      </w:r>
      <w:bookmarkEnd w:id="12"/>
      <w:r w:rsidRPr="00E80894">
        <w:rPr>
          <w:rFonts w:ascii="Arial" w:hAnsi="Arial" w:cs="Arial"/>
          <w:color w:val="000000" w:themeColor="text1"/>
          <w:sz w:val="19"/>
          <w:szCs w:val="19"/>
        </w:rPr>
        <w:t>.</w:t>
      </w:r>
    </w:p>
  </w:footnote>
  <w:footnote w:id="12">
    <w:p w14:paraId="1D80F9C3" w14:textId="77777777" w:rsidR="009F290C" w:rsidRPr="00E80894" w:rsidRDefault="009F290C" w:rsidP="00E80894">
      <w:pPr>
        <w:pStyle w:val="Textonotapie"/>
        <w:spacing w:before="0" w:after="0" w:line="240" w:lineRule="auto"/>
        <w:ind w:firstLine="709"/>
        <w:rPr>
          <w:rFonts w:ascii="Arial" w:hAnsi="Arial" w:cs="Arial"/>
          <w:color w:val="000000" w:themeColor="text1"/>
          <w:sz w:val="19"/>
          <w:szCs w:val="19"/>
        </w:rPr>
      </w:pPr>
      <w:r w:rsidRPr="00E80894">
        <w:rPr>
          <w:rStyle w:val="Refdenotaalpie"/>
          <w:rFonts w:ascii="Arial" w:hAnsi="Arial" w:cs="Arial"/>
          <w:color w:val="000000" w:themeColor="text1"/>
          <w:sz w:val="19"/>
          <w:szCs w:val="19"/>
        </w:rPr>
        <w:footnoteRef/>
      </w:r>
      <w:r w:rsidRPr="00E80894">
        <w:rPr>
          <w:rFonts w:ascii="Arial" w:hAnsi="Arial" w:cs="Arial"/>
          <w:color w:val="000000" w:themeColor="text1"/>
          <w:sz w:val="19"/>
          <w:szCs w:val="19"/>
        </w:rPr>
        <w:t xml:space="preserve"> </w:t>
      </w:r>
      <w:bookmarkStart w:id="14" w:name="_Hlk74294506"/>
      <w:r w:rsidRPr="00E80894">
        <w:rPr>
          <w:rFonts w:ascii="Arial" w:hAnsi="Arial" w:cs="Arial"/>
          <w:color w:val="000000" w:themeColor="text1"/>
          <w:sz w:val="19"/>
          <w:szCs w:val="19"/>
        </w:rPr>
        <w:t>«</w:t>
      </w:r>
      <w:r w:rsidRPr="00E80894">
        <w:rPr>
          <w:rFonts w:ascii="Arial" w:hAnsi="Arial" w:cs="Arial"/>
          <w:color w:val="000000" w:themeColor="text1"/>
          <w:sz w:val="19"/>
          <w:szCs w:val="19"/>
          <w:lang w:val="es-ES"/>
        </w:rPr>
        <w:t xml:space="preserve">[26] </w:t>
      </w:r>
      <w:bookmarkEnd w:id="14"/>
      <w:r w:rsidRPr="00E80894">
        <w:rPr>
          <w:rFonts w:ascii="Arial" w:hAnsi="Arial" w:cs="Arial"/>
          <w:color w:val="000000" w:themeColor="text1"/>
          <w:sz w:val="19"/>
          <w:szCs w:val="19"/>
        </w:rPr>
        <w:t>Al respecto ver el concepto 1712 de 2 de febrero de 2006. Consejo de Estado Sala de Consulta y Servicio Civil».</w:t>
      </w:r>
    </w:p>
  </w:footnote>
  <w:footnote w:id="13">
    <w:p w14:paraId="77FA70BF" w14:textId="77777777" w:rsidR="009F290C" w:rsidRPr="00E80894" w:rsidRDefault="009F290C" w:rsidP="00E80894">
      <w:pPr>
        <w:pStyle w:val="Textonotapie"/>
        <w:spacing w:before="0" w:after="0" w:line="240" w:lineRule="auto"/>
        <w:ind w:firstLine="709"/>
        <w:rPr>
          <w:rFonts w:ascii="Arial" w:hAnsi="Arial" w:cs="Arial"/>
          <w:color w:val="000000" w:themeColor="text1"/>
          <w:sz w:val="19"/>
          <w:szCs w:val="19"/>
        </w:rPr>
      </w:pPr>
      <w:r w:rsidRPr="00E80894">
        <w:rPr>
          <w:rStyle w:val="Refdenotaalpie"/>
          <w:rFonts w:ascii="Arial" w:hAnsi="Arial" w:cs="Arial"/>
          <w:color w:val="000000" w:themeColor="text1"/>
          <w:sz w:val="19"/>
          <w:szCs w:val="19"/>
        </w:rPr>
        <w:footnoteRef/>
      </w:r>
      <w:r w:rsidRPr="00E80894">
        <w:rPr>
          <w:rFonts w:ascii="Arial" w:hAnsi="Arial" w:cs="Arial"/>
          <w:color w:val="000000" w:themeColor="text1"/>
          <w:sz w:val="19"/>
          <w:szCs w:val="19"/>
        </w:rPr>
        <w:t xml:space="preserve"> Consejo de Estado. Sala de Consulta y Servicio Civil. Concepto del 2 de septiembre de 2013. Radicación número: 11001-03-06-000-2013-00412-00 (2168). Consejero Ponente: Álvaro </w:t>
      </w:r>
      <w:r w:rsidRPr="00E80894">
        <w:rPr>
          <w:rFonts w:ascii="Arial" w:hAnsi="Arial" w:cs="Arial"/>
          <w:color w:val="000000" w:themeColor="text1"/>
          <w:sz w:val="19"/>
          <w:szCs w:val="19"/>
        </w:rPr>
        <w:t>Namén Vargas.</w:t>
      </w:r>
    </w:p>
  </w:footnote>
  <w:footnote w:id="14">
    <w:p w14:paraId="31D6D1EE" w14:textId="77777777" w:rsidR="009F7970" w:rsidRPr="00E80894" w:rsidRDefault="009F7970" w:rsidP="00E80894">
      <w:pPr>
        <w:pStyle w:val="Textonotapie"/>
        <w:spacing w:before="0" w:after="0" w:line="240" w:lineRule="auto"/>
        <w:ind w:firstLine="709"/>
        <w:rPr>
          <w:rFonts w:ascii="Arial" w:hAnsi="Arial" w:cs="Arial"/>
          <w:color w:val="000000" w:themeColor="text1"/>
          <w:sz w:val="19"/>
          <w:szCs w:val="19"/>
          <w:lang w:val="es-ES"/>
        </w:rPr>
      </w:pPr>
      <w:r w:rsidRPr="00E80894">
        <w:rPr>
          <w:rStyle w:val="Refdenotaalpie"/>
          <w:rFonts w:ascii="Arial" w:hAnsi="Arial" w:cs="Arial"/>
          <w:color w:val="000000" w:themeColor="text1"/>
          <w:sz w:val="19"/>
          <w:szCs w:val="19"/>
        </w:rPr>
        <w:footnoteRef/>
      </w:r>
      <w:r w:rsidRPr="00E80894">
        <w:rPr>
          <w:rFonts w:ascii="Arial" w:hAnsi="Arial" w:cs="Arial"/>
          <w:color w:val="000000" w:themeColor="text1"/>
          <w:sz w:val="19"/>
          <w:szCs w:val="19"/>
        </w:rPr>
        <w:t xml:space="preserve"> </w:t>
      </w:r>
      <w:r w:rsidRPr="00E80894">
        <w:rPr>
          <w:rFonts w:ascii="Arial" w:hAnsi="Arial" w:cs="Arial"/>
          <w:color w:val="000000" w:themeColor="text1"/>
          <w:sz w:val="19"/>
          <w:szCs w:val="19"/>
          <w:lang w:val="es-ES"/>
        </w:rPr>
        <w:t xml:space="preserve">Artículo 2. </w:t>
      </w:r>
    </w:p>
    <w:p w14:paraId="19406683" w14:textId="77777777" w:rsidR="009F7970" w:rsidRPr="00E80894" w:rsidRDefault="009F7970" w:rsidP="00E80894">
      <w:pPr>
        <w:pStyle w:val="Textonotapie"/>
        <w:spacing w:before="0" w:after="0" w:line="240" w:lineRule="auto"/>
        <w:ind w:firstLine="709"/>
        <w:rPr>
          <w:rFonts w:ascii="Arial" w:hAnsi="Arial" w:cs="Arial"/>
          <w:color w:val="000000" w:themeColor="text1"/>
          <w:sz w:val="19"/>
          <w:szCs w:val="19"/>
          <w:lang w:val="es-ES"/>
        </w:rPr>
      </w:pPr>
    </w:p>
  </w:footnote>
  <w:footnote w:id="15">
    <w:p w14:paraId="56A97B44" w14:textId="77777777" w:rsidR="009F7970" w:rsidRPr="00E80894" w:rsidRDefault="009F7970" w:rsidP="00E80894">
      <w:pPr>
        <w:pStyle w:val="Textonotapie"/>
        <w:spacing w:before="0" w:after="0" w:line="240" w:lineRule="auto"/>
        <w:ind w:firstLine="709"/>
        <w:rPr>
          <w:rFonts w:ascii="Arial" w:hAnsi="Arial" w:cs="Arial"/>
          <w:color w:val="000000" w:themeColor="text1"/>
          <w:sz w:val="19"/>
          <w:szCs w:val="19"/>
          <w:lang w:val="es-ES"/>
        </w:rPr>
      </w:pPr>
      <w:r w:rsidRPr="00E80894">
        <w:rPr>
          <w:rStyle w:val="Refdenotaalpie"/>
          <w:rFonts w:ascii="Arial" w:hAnsi="Arial" w:cs="Arial"/>
          <w:color w:val="000000" w:themeColor="text1"/>
          <w:sz w:val="19"/>
          <w:szCs w:val="19"/>
        </w:rPr>
        <w:footnoteRef/>
      </w:r>
      <w:r w:rsidRPr="00E80894">
        <w:rPr>
          <w:rFonts w:ascii="Arial" w:hAnsi="Arial" w:cs="Arial"/>
          <w:color w:val="000000" w:themeColor="text1"/>
          <w:sz w:val="19"/>
          <w:szCs w:val="19"/>
        </w:rPr>
        <w:t xml:space="preserve"> </w:t>
      </w:r>
      <w:r w:rsidRPr="00E80894">
        <w:rPr>
          <w:rFonts w:ascii="Arial" w:hAnsi="Arial" w:cs="Arial"/>
          <w:i/>
          <w:color w:val="000000" w:themeColor="text1"/>
          <w:sz w:val="19"/>
          <w:szCs w:val="19"/>
          <w:lang w:val="es-ES"/>
        </w:rPr>
        <w:t>Ídem</w:t>
      </w:r>
      <w:r w:rsidRPr="00E80894">
        <w:rPr>
          <w:rFonts w:ascii="Arial" w:hAnsi="Arial" w:cs="Arial"/>
          <w:color w:val="000000" w:themeColor="text1"/>
          <w:sz w:val="19"/>
          <w:szCs w:val="19"/>
          <w:lang w:val="es-ES"/>
        </w:rPr>
        <w:t>.</w:t>
      </w:r>
    </w:p>
    <w:p w14:paraId="3EEACB13" w14:textId="77777777" w:rsidR="009F7970" w:rsidRPr="00E80894" w:rsidRDefault="009F7970" w:rsidP="00E80894">
      <w:pPr>
        <w:pStyle w:val="Textonotapie"/>
        <w:spacing w:before="0" w:after="0" w:line="240" w:lineRule="auto"/>
        <w:ind w:firstLine="709"/>
        <w:rPr>
          <w:rFonts w:ascii="Arial" w:hAnsi="Arial" w:cs="Arial"/>
          <w:color w:val="000000" w:themeColor="text1"/>
          <w:sz w:val="19"/>
          <w:szCs w:val="19"/>
          <w:lang w:val="es-ES"/>
        </w:rPr>
      </w:pPr>
    </w:p>
  </w:footnote>
  <w:footnote w:id="16">
    <w:p w14:paraId="7343F3F3" w14:textId="77777777" w:rsidR="009F290C" w:rsidRPr="00E80894" w:rsidRDefault="009F290C" w:rsidP="00E80894">
      <w:pPr>
        <w:pStyle w:val="Textonotapie"/>
        <w:spacing w:before="0" w:after="0" w:line="240" w:lineRule="auto"/>
        <w:ind w:firstLine="709"/>
        <w:rPr>
          <w:rFonts w:ascii="Arial" w:hAnsi="Arial" w:cs="Arial"/>
          <w:color w:val="000000" w:themeColor="text1"/>
          <w:sz w:val="19"/>
          <w:szCs w:val="19"/>
          <w:lang w:val="es-ES"/>
        </w:rPr>
      </w:pPr>
      <w:r w:rsidRPr="00E80894">
        <w:rPr>
          <w:rStyle w:val="Refdenotaalpie"/>
          <w:rFonts w:ascii="Arial" w:hAnsi="Arial" w:cs="Arial"/>
          <w:color w:val="000000" w:themeColor="text1"/>
          <w:sz w:val="19"/>
          <w:szCs w:val="19"/>
        </w:rPr>
        <w:footnoteRef/>
      </w:r>
      <w:r w:rsidRPr="00E80894">
        <w:rPr>
          <w:rStyle w:val="Refdenotaalpie"/>
          <w:rFonts w:ascii="Arial" w:hAnsi="Arial" w:cs="Arial"/>
          <w:color w:val="000000" w:themeColor="text1"/>
          <w:sz w:val="19"/>
          <w:szCs w:val="19"/>
        </w:rPr>
        <w:t xml:space="preserve"> </w:t>
      </w:r>
      <w:bookmarkStart w:id="15" w:name="_Hlk74297130"/>
      <w:r w:rsidRPr="00E80894">
        <w:rPr>
          <w:rFonts w:ascii="Arial" w:hAnsi="Arial" w:cs="Arial"/>
          <w:color w:val="000000" w:themeColor="text1"/>
          <w:sz w:val="19"/>
          <w:szCs w:val="19"/>
          <w:lang w:val="es-ES"/>
        </w:rPr>
        <w:t>«</w:t>
      </w:r>
      <w:bookmarkEnd w:id="15"/>
      <w:r w:rsidRPr="00E80894">
        <w:rPr>
          <w:rFonts w:ascii="Arial" w:hAnsi="Arial" w:cs="Arial"/>
          <w:color w:val="000000" w:themeColor="text1"/>
          <w:sz w:val="19"/>
          <w:szCs w:val="19"/>
          <w:lang w:val="es-ES"/>
        </w:rPr>
        <w:t xml:space="preserve">[…] A este respecto, cabe recordar que el artículo 860 del Código de Comercio regula la licitación en el derecho privado». </w:t>
      </w:r>
    </w:p>
  </w:footnote>
  <w:footnote w:id="17">
    <w:p w14:paraId="10F2A6D8" w14:textId="77777777" w:rsidR="009F290C" w:rsidRPr="00E80894" w:rsidRDefault="009F290C" w:rsidP="00E80894">
      <w:pPr>
        <w:shd w:val="clear" w:color="auto" w:fill="FFFFFF"/>
        <w:ind w:firstLine="709"/>
        <w:jc w:val="both"/>
        <w:rPr>
          <w:rFonts w:ascii="Arial" w:hAnsi="Arial" w:cs="Arial"/>
          <w:color w:val="000000" w:themeColor="text1"/>
          <w:sz w:val="19"/>
          <w:szCs w:val="19"/>
          <w:lang w:val="es-ES"/>
        </w:rPr>
      </w:pPr>
      <w:r w:rsidRPr="00E80894">
        <w:rPr>
          <w:rStyle w:val="Refdenotaalpie"/>
          <w:rFonts w:ascii="Arial" w:hAnsi="Arial" w:cs="Arial"/>
          <w:color w:val="000000" w:themeColor="text1"/>
          <w:sz w:val="19"/>
          <w:szCs w:val="19"/>
        </w:rPr>
        <w:footnoteRef/>
      </w:r>
      <w:r w:rsidRPr="00E80894">
        <w:rPr>
          <w:rStyle w:val="Refdenotaalpie"/>
          <w:rFonts w:ascii="Arial" w:hAnsi="Arial" w:cs="Arial"/>
          <w:color w:val="000000" w:themeColor="text1"/>
          <w:sz w:val="19"/>
          <w:szCs w:val="19"/>
        </w:rPr>
        <w:t xml:space="preserve"> </w:t>
      </w:r>
      <w:r w:rsidRPr="00E80894">
        <w:rPr>
          <w:rFonts w:ascii="Arial" w:hAnsi="Arial" w:cs="Arial"/>
          <w:color w:val="000000" w:themeColor="text1"/>
          <w:sz w:val="19"/>
          <w:szCs w:val="19"/>
          <w:lang w:val="es-ES"/>
        </w:rPr>
        <w:t xml:space="preserve">Consejo de Estado. Sala de Consulta y Servicio Civil, Concepto de 8 de mayo de 2018. Radicación Número: 11001-03-06-000-2018-00095-00(2382). Consejero Ponente: Álvaro </w:t>
      </w:r>
      <w:r w:rsidRPr="00E80894">
        <w:rPr>
          <w:rFonts w:ascii="Arial" w:hAnsi="Arial" w:cs="Arial"/>
          <w:color w:val="000000" w:themeColor="text1"/>
          <w:sz w:val="19"/>
          <w:szCs w:val="19"/>
          <w:lang w:val="es-ES"/>
        </w:rPr>
        <w:t>Namén Vargas.</w:t>
      </w:r>
    </w:p>
  </w:footnote>
  <w:footnote w:id="18">
    <w:p w14:paraId="47F75FCB" w14:textId="77777777" w:rsidR="009F290C" w:rsidRPr="00E80894" w:rsidRDefault="009F290C" w:rsidP="00E80894">
      <w:pPr>
        <w:pStyle w:val="Textonotapie"/>
        <w:spacing w:before="0" w:after="0" w:line="240" w:lineRule="auto"/>
        <w:ind w:firstLine="709"/>
        <w:rPr>
          <w:rFonts w:ascii="Arial" w:hAnsi="Arial" w:cs="Arial"/>
          <w:color w:val="000000" w:themeColor="text1"/>
          <w:sz w:val="19"/>
          <w:szCs w:val="19"/>
        </w:rPr>
      </w:pPr>
      <w:r w:rsidRPr="00E80894">
        <w:rPr>
          <w:rStyle w:val="Refdenotaalpie"/>
          <w:rFonts w:ascii="Arial" w:hAnsi="Arial" w:cs="Arial"/>
          <w:color w:val="000000" w:themeColor="text1"/>
          <w:sz w:val="19"/>
          <w:szCs w:val="19"/>
        </w:rPr>
        <w:footnoteRef/>
      </w:r>
      <w:r w:rsidRPr="00E80894">
        <w:rPr>
          <w:rFonts w:ascii="Arial" w:hAnsi="Arial" w:cs="Arial"/>
          <w:color w:val="000000" w:themeColor="text1"/>
          <w:sz w:val="19"/>
          <w:szCs w:val="19"/>
        </w:rPr>
        <w:t xml:space="preserve"> Consejo de Estado. Sala de Consulta y Servicio Civil. Concepto del 08 de mayo de 2018. </w:t>
      </w:r>
      <w:r w:rsidRPr="00E80894">
        <w:rPr>
          <w:rFonts w:ascii="Arial" w:hAnsi="Arial" w:cs="Arial"/>
          <w:color w:val="000000" w:themeColor="text1"/>
          <w:sz w:val="19"/>
          <w:szCs w:val="19"/>
        </w:rPr>
        <w:t>Exp. 2.382. C.P. Álvaro Namén Vargas.</w:t>
      </w:r>
    </w:p>
  </w:footnote>
  <w:footnote w:id="19">
    <w:p w14:paraId="442901FC" w14:textId="3B7C695A" w:rsidR="00BD5F2C" w:rsidRPr="00E80894" w:rsidRDefault="009F290C" w:rsidP="00E80894">
      <w:pPr>
        <w:pStyle w:val="Textonotapie"/>
        <w:spacing w:before="0" w:after="0" w:line="240" w:lineRule="auto"/>
        <w:ind w:firstLine="708"/>
        <w:rPr>
          <w:rFonts w:ascii="Arial" w:hAnsi="Arial" w:cs="Arial"/>
          <w:color w:val="000000" w:themeColor="text1"/>
          <w:sz w:val="19"/>
          <w:szCs w:val="19"/>
        </w:rPr>
      </w:pPr>
      <w:r w:rsidRPr="00E80894">
        <w:rPr>
          <w:rStyle w:val="Refdenotaalpie"/>
          <w:rFonts w:ascii="Arial" w:hAnsi="Arial" w:cs="Arial"/>
          <w:color w:val="000000" w:themeColor="text1"/>
          <w:sz w:val="19"/>
          <w:szCs w:val="19"/>
        </w:rPr>
        <w:footnoteRef/>
      </w:r>
      <w:r w:rsidRPr="00E80894">
        <w:rPr>
          <w:rFonts w:ascii="Arial" w:hAnsi="Arial" w:cs="Arial"/>
          <w:color w:val="000000" w:themeColor="text1"/>
          <w:sz w:val="19"/>
          <w:szCs w:val="19"/>
        </w:rPr>
        <w:t xml:space="preserve"> Agencia Nacional de </w:t>
      </w:r>
      <w:r w:rsidR="00C863ED" w:rsidRPr="00E80894">
        <w:rPr>
          <w:rFonts w:ascii="Arial" w:hAnsi="Arial" w:cs="Arial"/>
          <w:color w:val="000000" w:themeColor="text1"/>
          <w:sz w:val="19"/>
          <w:szCs w:val="19"/>
        </w:rPr>
        <w:t>C</w:t>
      </w:r>
      <w:r w:rsidRPr="00E80894">
        <w:rPr>
          <w:rFonts w:ascii="Arial" w:hAnsi="Arial" w:cs="Arial"/>
          <w:color w:val="000000" w:themeColor="text1"/>
          <w:sz w:val="19"/>
          <w:szCs w:val="19"/>
        </w:rPr>
        <w:t>ontratación Pública – Colombia Compra Eficiente. Circular No. 3 del 16 de agosto de 2013.</w:t>
      </w:r>
      <w:r w:rsidR="00BD5F2C" w:rsidRPr="00E80894">
        <w:rPr>
          <w:rFonts w:ascii="Arial" w:hAnsi="Arial" w:cs="Arial"/>
          <w:color w:val="000000" w:themeColor="text1"/>
          <w:sz w:val="19"/>
          <w:szCs w:val="19"/>
        </w:rPr>
        <w:t xml:space="preserve"> </w:t>
      </w:r>
      <w:r w:rsidRPr="00E80894">
        <w:rPr>
          <w:rFonts w:ascii="Arial" w:hAnsi="Arial" w:cs="Arial"/>
          <w:color w:val="000000" w:themeColor="text1"/>
          <w:sz w:val="19"/>
          <w:szCs w:val="19"/>
        </w:rPr>
        <w:t xml:space="preserve">Recuperada de: </w:t>
      </w:r>
      <w:hyperlink r:id="rId1" w:history="1">
        <w:r w:rsidRPr="00E80894">
          <w:rPr>
            <w:sz w:val="19"/>
            <w:szCs w:val="19"/>
          </w:rPr>
          <w:t>https://colombiacompra.gov.co/sites/cce_public/files/cce_circulares/20130816circular3leygarantias.pdf</w:t>
        </w:r>
      </w:hyperlink>
      <w:r w:rsidRPr="00E80894">
        <w:rPr>
          <w:rFonts w:ascii="Arial" w:hAnsi="Arial" w:cs="Arial"/>
          <w:color w:val="000000" w:themeColor="text1"/>
          <w:sz w:val="19"/>
          <w:szCs w:val="19"/>
        </w:rPr>
        <w:t xml:space="preserve"> </w:t>
      </w:r>
    </w:p>
    <w:p w14:paraId="6BE5B819" w14:textId="77777777" w:rsidR="009F290C" w:rsidRPr="00E80894" w:rsidRDefault="009F290C" w:rsidP="00E80894">
      <w:pPr>
        <w:pStyle w:val="Textonotapie"/>
        <w:spacing w:before="0" w:after="0" w:line="240" w:lineRule="auto"/>
        <w:ind w:firstLine="708"/>
        <w:rPr>
          <w:rFonts w:ascii="Arial" w:hAnsi="Arial" w:cs="Arial"/>
          <w:color w:val="000000" w:themeColor="text1"/>
          <w:sz w:val="19"/>
          <w:szCs w:val="19"/>
        </w:rPr>
      </w:pPr>
    </w:p>
  </w:footnote>
  <w:footnote w:id="20">
    <w:p w14:paraId="50B002C7" w14:textId="15DF92F8" w:rsidR="00C863ED" w:rsidRPr="00E80894" w:rsidRDefault="00C863ED" w:rsidP="00E80894">
      <w:pPr>
        <w:pStyle w:val="Textonotapie"/>
        <w:spacing w:before="0" w:after="0" w:line="240" w:lineRule="auto"/>
        <w:ind w:firstLine="708"/>
        <w:rPr>
          <w:rFonts w:ascii="Arial" w:hAnsi="Arial" w:cs="Arial"/>
          <w:sz w:val="19"/>
          <w:szCs w:val="19"/>
          <w:lang w:val="es-CO"/>
        </w:rPr>
      </w:pPr>
      <w:r w:rsidRPr="00E80894">
        <w:rPr>
          <w:rStyle w:val="Refdenotaalpie"/>
          <w:rFonts w:ascii="Arial" w:hAnsi="Arial" w:cs="Arial"/>
          <w:sz w:val="19"/>
          <w:szCs w:val="19"/>
        </w:rPr>
        <w:footnoteRef/>
      </w:r>
      <w:r w:rsidRPr="00E80894">
        <w:rPr>
          <w:rFonts w:ascii="Arial" w:hAnsi="Arial" w:cs="Arial"/>
          <w:sz w:val="19"/>
          <w:szCs w:val="19"/>
        </w:rPr>
        <w:t xml:space="preserve"> </w:t>
      </w:r>
      <w:r w:rsidRPr="00E80894">
        <w:rPr>
          <w:rFonts w:ascii="Arial" w:hAnsi="Arial" w:cs="Arial"/>
          <w:color w:val="000000" w:themeColor="text1"/>
          <w:sz w:val="19"/>
          <w:szCs w:val="19"/>
        </w:rPr>
        <w:t xml:space="preserve">Agencia Nacional de Contratación Pública – Colombia Compra </w:t>
      </w:r>
      <w:r w:rsidRPr="00E80894">
        <w:rPr>
          <w:rFonts w:ascii="Arial" w:hAnsi="Arial" w:cs="Arial"/>
          <w:color w:val="000000" w:themeColor="text1"/>
          <w:sz w:val="19"/>
          <w:szCs w:val="19"/>
        </w:rPr>
        <w:t xml:space="preserve">Eficiente.Circular Externa Única, actualizada el 16 de abril de 2019. Numeral 15.5. Disponible en: </w:t>
      </w:r>
      <w:r w:rsidRPr="00E80894">
        <w:rPr>
          <w:rFonts w:ascii="Arial" w:hAnsi="Arial" w:cs="Arial"/>
          <w:sz w:val="19"/>
          <w:szCs w:val="19"/>
        </w:rPr>
        <w:t>https://www.colombiacompra.gov.co/sites/cce_public/files/cce_circulares/cce_circular_unica.pdf</w:t>
      </w:r>
    </w:p>
  </w:footnote>
  <w:footnote w:id="21">
    <w:p w14:paraId="66D48AFE" w14:textId="77777777" w:rsidR="009F290C" w:rsidRPr="00E80894" w:rsidRDefault="009F290C" w:rsidP="00E80894">
      <w:pPr>
        <w:ind w:firstLine="709"/>
        <w:jc w:val="both"/>
        <w:rPr>
          <w:rFonts w:ascii="Arial" w:hAnsi="Arial" w:cs="Arial"/>
          <w:color w:val="000000" w:themeColor="text1"/>
          <w:sz w:val="19"/>
          <w:szCs w:val="19"/>
        </w:rPr>
      </w:pPr>
      <w:r w:rsidRPr="00E80894">
        <w:rPr>
          <w:rStyle w:val="Refdenotaalpie"/>
          <w:rFonts w:ascii="Arial" w:hAnsi="Arial" w:cs="Arial"/>
          <w:color w:val="000000" w:themeColor="text1"/>
          <w:sz w:val="19"/>
          <w:szCs w:val="19"/>
        </w:rPr>
        <w:footnoteRef/>
      </w:r>
      <w:r w:rsidRPr="00E80894">
        <w:rPr>
          <w:rFonts w:ascii="Arial" w:hAnsi="Arial" w:cs="Arial"/>
          <w:color w:val="000000" w:themeColor="text1"/>
          <w:sz w:val="19"/>
          <w:szCs w:val="19"/>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2">
    <w:p w14:paraId="02E5327B" w14:textId="77777777" w:rsidR="009F290C" w:rsidRPr="00E80894" w:rsidRDefault="009F290C" w:rsidP="00E80894">
      <w:pPr>
        <w:pStyle w:val="Textonotapie"/>
        <w:spacing w:before="0" w:after="0" w:line="240" w:lineRule="auto"/>
        <w:ind w:firstLine="709"/>
        <w:rPr>
          <w:rFonts w:ascii="Arial" w:hAnsi="Arial" w:cs="Arial"/>
          <w:color w:val="000000" w:themeColor="text1"/>
          <w:sz w:val="19"/>
          <w:szCs w:val="19"/>
        </w:rPr>
      </w:pPr>
      <w:r w:rsidRPr="00E80894">
        <w:rPr>
          <w:rStyle w:val="Refdenotaalpie"/>
          <w:rFonts w:ascii="Arial" w:hAnsi="Arial" w:cs="Arial"/>
          <w:color w:val="000000" w:themeColor="text1"/>
          <w:sz w:val="19"/>
          <w:szCs w:val="19"/>
        </w:rPr>
        <w:footnoteRef/>
      </w:r>
      <w:r w:rsidRPr="00E80894">
        <w:rPr>
          <w:rFonts w:ascii="Arial" w:hAnsi="Arial" w:cs="Arial"/>
          <w:color w:val="000000" w:themeColor="text1"/>
          <w:sz w:val="19"/>
          <w:szCs w:val="19"/>
        </w:rPr>
        <w:t xml:space="preserve"> </w:t>
      </w:r>
      <w:bookmarkStart w:id="24" w:name="_Hlk75633115"/>
      <w:r w:rsidRPr="00E80894">
        <w:rPr>
          <w:rFonts w:ascii="Arial" w:hAnsi="Arial" w:cs="Arial"/>
          <w:color w:val="000000" w:themeColor="text1"/>
          <w:sz w:val="19"/>
          <w:szCs w:val="19"/>
        </w:rPr>
        <w:t xml:space="preserve">Consejo de Estado. Sala de Consulta y Servicio Civil. Concepto </w:t>
      </w:r>
      <w:bookmarkEnd w:id="24"/>
      <w:r w:rsidRPr="00E80894">
        <w:rPr>
          <w:rFonts w:ascii="Arial" w:hAnsi="Arial" w:cs="Arial"/>
          <w:color w:val="000000" w:themeColor="text1"/>
          <w:sz w:val="19"/>
          <w:szCs w:val="19"/>
        </w:rPr>
        <w:t>de 6 de abril de 2006. Radicación Número: 11001-03-06-000-2006-00038-00(1738). Consejero Ponente: Enrique José Arboleda Perdomo:</w:t>
      </w:r>
      <w:r w:rsidRPr="00E80894">
        <w:rPr>
          <w:rFonts w:ascii="Arial" w:eastAsia="Times New Roman" w:hAnsi="Arial" w:cs="Arial"/>
          <w:bCs/>
          <w:color w:val="000000" w:themeColor="text1"/>
          <w:sz w:val="19"/>
          <w:szCs w:val="19"/>
          <w:lang w:eastAsia="x-none"/>
        </w:rPr>
        <w:t xml:space="preserve"> «</w:t>
      </w:r>
      <w:r w:rsidRPr="00E80894">
        <w:rPr>
          <w:rFonts w:ascii="Arial" w:hAnsi="Arial" w:cs="Arial"/>
          <w:color w:val="000000" w:themeColor="text1"/>
          <w:sz w:val="19"/>
          <w:szCs w:val="19"/>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E80894">
        <w:rPr>
          <w:rFonts w:ascii="Arial" w:eastAsia="Times New Roman" w:hAnsi="Arial" w:cs="Arial"/>
          <w:bCs/>
          <w:color w:val="000000" w:themeColor="text1"/>
          <w:sz w:val="19"/>
          <w:szCs w:val="19"/>
          <w:lang w:eastAsia="x-none"/>
        </w:rPr>
        <w:t>».</w:t>
      </w:r>
    </w:p>
  </w:footnote>
  <w:footnote w:id="23">
    <w:p w14:paraId="2DCE43FE" w14:textId="77777777" w:rsidR="009F290C" w:rsidRPr="00E80894" w:rsidRDefault="009F290C" w:rsidP="00E80894">
      <w:pPr>
        <w:pStyle w:val="Textonotapie"/>
        <w:spacing w:before="0" w:after="0" w:line="240" w:lineRule="auto"/>
        <w:ind w:firstLine="709"/>
        <w:rPr>
          <w:rFonts w:ascii="Arial" w:hAnsi="Arial" w:cs="Arial"/>
          <w:color w:val="000000" w:themeColor="text1"/>
          <w:sz w:val="19"/>
          <w:szCs w:val="19"/>
        </w:rPr>
      </w:pPr>
      <w:r w:rsidRPr="00E80894">
        <w:rPr>
          <w:rStyle w:val="Refdenotaalpie"/>
          <w:rFonts w:ascii="Arial" w:hAnsi="Arial" w:cs="Arial"/>
          <w:color w:val="000000" w:themeColor="text1"/>
          <w:sz w:val="19"/>
          <w:szCs w:val="19"/>
        </w:rPr>
        <w:footnoteRef/>
      </w:r>
      <w:r w:rsidRPr="00E80894">
        <w:rPr>
          <w:rFonts w:ascii="Arial" w:hAnsi="Arial" w:cs="Arial"/>
          <w:color w:val="000000" w:themeColor="text1"/>
          <w:sz w:val="19"/>
          <w:szCs w:val="19"/>
        </w:rPr>
        <w:t xml:space="preserve"> Consejo de Estado. Sala de Consulta y Servicio Civil. Concepto de 6 de abril de 2006. Radicación Número: 11001-03-06-000-2006-00038-00(1738). Consejero Ponente: Enrique José Arboleda Perdomo.</w:t>
      </w:r>
    </w:p>
  </w:footnote>
  <w:footnote w:id="24">
    <w:p w14:paraId="5D1340AA" w14:textId="77777777" w:rsidR="009F290C" w:rsidRPr="00E80894" w:rsidRDefault="009F290C" w:rsidP="00E80894">
      <w:pPr>
        <w:pStyle w:val="Textonotapie"/>
        <w:spacing w:before="0" w:after="0" w:line="240" w:lineRule="auto"/>
        <w:ind w:firstLine="709"/>
        <w:rPr>
          <w:rFonts w:ascii="Arial" w:hAnsi="Arial" w:cs="Arial"/>
          <w:color w:val="000000" w:themeColor="text1"/>
          <w:sz w:val="19"/>
          <w:szCs w:val="19"/>
        </w:rPr>
      </w:pPr>
      <w:r w:rsidRPr="00E80894">
        <w:rPr>
          <w:rStyle w:val="Refdenotaalpie"/>
          <w:rFonts w:ascii="Arial" w:hAnsi="Arial" w:cs="Arial"/>
          <w:color w:val="000000" w:themeColor="text1"/>
          <w:sz w:val="19"/>
          <w:szCs w:val="19"/>
        </w:rPr>
        <w:footnoteRef/>
      </w:r>
      <w:r w:rsidRPr="00E80894">
        <w:rPr>
          <w:rFonts w:ascii="Arial" w:hAnsi="Arial" w:cs="Arial"/>
          <w:color w:val="000000" w:themeColor="text1"/>
          <w:sz w:val="19"/>
          <w:szCs w:val="19"/>
        </w:rPr>
        <w:t xml:space="preserve"> Consejo de Estado. Sala de Consulta y Servicio Civil, ídem.</w:t>
      </w:r>
    </w:p>
  </w:footnote>
  <w:footnote w:id="25">
    <w:p w14:paraId="678BD20B" w14:textId="77777777" w:rsidR="00003882" w:rsidRPr="00E80894" w:rsidRDefault="00003882" w:rsidP="00E80894">
      <w:pPr>
        <w:pStyle w:val="Textonotapie"/>
        <w:spacing w:before="0" w:after="0" w:line="240" w:lineRule="auto"/>
        <w:ind w:firstLine="708"/>
        <w:rPr>
          <w:rFonts w:ascii="Arial" w:hAnsi="Arial" w:cs="Arial"/>
          <w:color w:val="000000" w:themeColor="text1"/>
          <w:sz w:val="19"/>
          <w:szCs w:val="19"/>
        </w:rPr>
      </w:pPr>
      <w:r w:rsidRPr="00E80894">
        <w:rPr>
          <w:rStyle w:val="Refdenotaalpie"/>
          <w:rFonts w:ascii="Arial" w:hAnsi="Arial" w:cs="Arial"/>
          <w:color w:val="000000" w:themeColor="text1"/>
          <w:sz w:val="19"/>
          <w:szCs w:val="19"/>
        </w:rPr>
        <w:footnoteRef/>
      </w:r>
      <w:r w:rsidRPr="00E80894">
        <w:rPr>
          <w:rFonts w:ascii="Arial" w:hAnsi="Arial" w:cs="Arial"/>
          <w:color w:val="000000" w:themeColor="text1"/>
          <w:sz w:val="19"/>
          <w:szCs w:val="19"/>
        </w:rPr>
        <w:t xml:space="preserve"> Consejo de Estado. Sala de Consulta y Servicio Civil. Concepto del 18 de febrero 2010. Rad. 11001-03-06-000-2010-00006-00 (1985). C.P. Enrique José Arboleda Perdomo.</w:t>
      </w:r>
    </w:p>
    <w:p w14:paraId="7A05DB71" w14:textId="77777777" w:rsidR="00003882" w:rsidRPr="00E80894" w:rsidRDefault="00003882" w:rsidP="00E80894">
      <w:pPr>
        <w:pStyle w:val="Textonotapie"/>
        <w:spacing w:before="0" w:after="0" w:line="240" w:lineRule="auto"/>
        <w:ind w:firstLine="708"/>
        <w:rPr>
          <w:rFonts w:ascii="Arial" w:hAnsi="Arial" w:cs="Arial"/>
          <w:color w:val="000000" w:themeColor="text1"/>
          <w:sz w:val="19"/>
          <w:szCs w:val="19"/>
        </w:rPr>
      </w:pPr>
    </w:p>
  </w:footnote>
  <w:footnote w:id="26">
    <w:p w14:paraId="4DC06A06" w14:textId="77777777" w:rsidR="00003882" w:rsidRPr="00E80894" w:rsidRDefault="00003882" w:rsidP="00E80894">
      <w:pPr>
        <w:pStyle w:val="Textonotapie"/>
        <w:spacing w:before="0" w:after="0" w:line="240" w:lineRule="auto"/>
        <w:ind w:firstLine="708"/>
        <w:rPr>
          <w:rFonts w:ascii="Arial" w:hAnsi="Arial" w:cs="Arial"/>
          <w:color w:val="000000" w:themeColor="text1"/>
          <w:sz w:val="19"/>
          <w:szCs w:val="19"/>
        </w:rPr>
      </w:pPr>
      <w:r w:rsidRPr="00E80894">
        <w:rPr>
          <w:rStyle w:val="Refdenotaalpie"/>
          <w:rFonts w:ascii="Arial" w:hAnsi="Arial" w:cs="Arial"/>
          <w:color w:val="000000" w:themeColor="text1"/>
          <w:sz w:val="19"/>
          <w:szCs w:val="19"/>
        </w:rPr>
        <w:footnoteRef/>
      </w:r>
      <w:r w:rsidRPr="00E80894">
        <w:rPr>
          <w:rFonts w:ascii="Arial" w:hAnsi="Arial" w:cs="Arial"/>
          <w:color w:val="000000" w:themeColor="text1"/>
          <w:sz w:val="19"/>
          <w:szCs w:val="19"/>
        </w:rPr>
        <w:t xml:space="preserve"> Corte Constitucional. Sentencia C-1153 de 2005 M.P. Marco Gerardo Monroy Cabra. </w:t>
      </w:r>
    </w:p>
  </w:footnote>
  <w:footnote w:id="27">
    <w:p w14:paraId="69B03847" w14:textId="77777777" w:rsidR="00003882" w:rsidRPr="00E80894" w:rsidRDefault="00003882" w:rsidP="00E80894">
      <w:pPr>
        <w:pStyle w:val="Textonotapie"/>
        <w:spacing w:before="0" w:after="0" w:line="240" w:lineRule="auto"/>
        <w:ind w:firstLine="708"/>
        <w:rPr>
          <w:rFonts w:ascii="Arial" w:hAnsi="Arial" w:cs="Arial"/>
          <w:color w:val="000000" w:themeColor="text1"/>
          <w:sz w:val="19"/>
          <w:szCs w:val="19"/>
        </w:rPr>
      </w:pPr>
      <w:r w:rsidRPr="00E80894">
        <w:rPr>
          <w:rStyle w:val="Refdenotaalpie"/>
          <w:rFonts w:ascii="Arial" w:hAnsi="Arial" w:cs="Arial"/>
          <w:color w:val="000000" w:themeColor="text1"/>
          <w:sz w:val="19"/>
          <w:szCs w:val="19"/>
        </w:rPr>
        <w:footnoteRef/>
      </w:r>
      <w:r w:rsidRPr="00E80894">
        <w:rPr>
          <w:rFonts w:ascii="Arial" w:hAnsi="Arial" w:cs="Arial"/>
          <w:color w:val="000000" w:themeColor="text1"/>
          <w:sz w:val="19"/>
          <w:szCs w:val="19"/>
        </w:rPr>
        <w:t xml:space="preserve"> Consejo de Estado. Sala de Consulta y Servicio Civil. Concepto del 02 de septiembre de 2013. Rad. 11001-03-06-000-2013-00412-00 (2168). C.P. Álvaro </w:t>
      </w:r>
      <w:r w:rsidRPr="00E80894">
        <w:rPr>
          <w:rFonts w:ascii="Arial" w:hAnsi="Arial" w:cs="Arial"/>
          <w:color w:val="000000" w:themeColor="text1"/>
          <w:sz w:val="19"/>
          <w:szCs w:val="19"/>
        </w:rPr>
        <w:t>Namén Vargas.</w:t>
      </w:r>
    </w:p>
    <w:p w14:paraId="286BDC4D" w14:textId="77777777" w:rsidR="00003882" w:rsidRPr="00E80894" w:rsidRDefault="00003882" w:rsidP="00E80894">
      <w:pPr>
        <w:pStyle w:val="Textonotapie"/>
        <w:spacing w:before="0" w:after="0" w:line="240" w:lineRule="auto"/>
        <w:rPr>
          <w:rFonts w:ascii="Arial" w:hAnsi="Arial" w:cs="Arial"/>
          <w:color w:val="000000" w:themeColor="text1"/>
          <w:sz w:val="19"/>
          <w:szCs w:val="19"/>
        </w:rPr>
      </w:pPr>
    </w:p>
  </w:footnote>
  <w:footnote w:id="28">
    <w:p w14:paraId="4CEF4E03" w14:textId="77777777" w:rsidR="00003882" w:rsidRPr="00E80894" w:rsidRDefault="00003882" w:rsidP="00E80894">
      <w:pPr>
        <w:pStyle w:val="Textonotapie"/>
        <w:spacing w:before="0" w:after="0" w:line="240" w:lineRule="auto"/>
        <w:ind w:firstLine="708"/>
        <w:rPr>
          <w:rFonts w:ascii="Arial" w:hAnsi="Arial" w:cs="Arial"/>
          <w:color w:val="000000" w:themeColor="text1"/>
          <w:sz w:val="19"/>
          <w:szCs w:val="19"/>
        </w:rPr>
      </w:pPr>
      <w:r w:rsidRPr="00E80894">
        <w:rPr>
          <w:rStyle w:val="Refdenotaalpie"/>
          <w:rFonts w:ascii="Arial" w:hAnsi="Arial" w:cs="Arial"/>
          <w:color w:val="000000" w:themeColor="text1"/>
          <w:sz w:val="19"/>
          <w:szCs w:val="19"/>
        </w:rPr>
        <w:footnoteRef/>
      </w:r>
      <w:r w:rsidRPr="00E80894">
        <w:rPr>
          <w:rFonts w:ascii="Arial" w:hAnsi="Arial" w:cs="Arial"/>
          <w:color w:val="000000" w:themeColor="text1"/>
          <w:sz w:val="19"/>
          <w:szCs w:val="19"/>
        </w:rPr>
        <w:t xml:space="preserve"> El artículo 2.8.8.1.4.2 del Decreto 780 de 2016 dispone que «Para efectos de la aplicación del presente Capítulo, entiéndase por Autoridades Sanitarias del </w:t>
      </w:r>
      <w:r w:rsidRPr="00E80894">
        <w:rPr>
          <w:rFonts w:ascii="Arial" w:hAnsi="Arial" w:cs="Arial"/>
          <w:color w:val="000000" w:themeColor="text1"/>
          <w:sz w:val="19"/>
          <w:szCs w:val="19"/>
        </w:rPr>
        <w:t xml:space="preserve">Sivigila, el Ministerio de Salud y Protección Social; el Instituto Nacional de Salud (INS); el Instituto Nacional de Vigilancia de Medicamentos y Alimentos (Invima), las Direcciones Territoriales de Salud, </w:t>
      </w:r>
      <w:r w:rsidRPr="00E80894">
        <w:rPr>
          <w:rFonts w:ascii="Arial" w:hAnsi="Arial" w:cs="Arial"/>
          <w:i/>
          <w:iCs/>
          <w:color w:val="000000" w:themeColor="text1"/>
          <w:sz w:val="19"/>
          <w:szCs w:val="19"/>
        </w:rPr>
        <w:t>y todas aquellas entidades que de acuerdo con la ley ejerzan funciones de vigilancia y control sanitario</w:t>
      </w:r>
      <w:r w:rsidRPr="00E80894">
        <w:rPr>
          <w:rFonts w:ascii="Arial" w:hAnsi="Arial" w:cs="Arial"/>
          <w:color w:val="000000" w:themeColor="text1"/>
          <w:sz w:val="19"/>
          <w:szCs w:val="19"/>
        </w:rPr>
        <w:t xml:space="preserve">, las cuales deben adoptar medidas sanitarias que garanticen la protección de la salud pública y el cumplimiento de lo dispuesto en esta norma, así como adelantar los procedimientos y aplicar las sanciones a que hubiere lugar» (Énfasis fuera de texto).  </w:t>
      </w:r>
    </w:p>
  </w:footnote>
  <w:footnote w:id="29">
    <w:p w14:paraId="1390B357" w14:textId="77777777" w:rsidR="00003882" w:rsidRPr="00E80894" w:rsidRDefault="00003882" w:rsidP="00E80894">
      <w:pPr>
        <w:pStyle w:val="Textonotapie"/>
        <w:spacing w:before="0" w:after="0" w:line="240" w:lineRule="auto"/>
        <w:ind w:firstLine="708"/>
        <w:rPr>
          <w:rFonts w:ascii="Arial" w:hAnsi="Arial" w:cs="Arial"/>
          <w:color w:val="000000" w:themeColor="text1"/>
          <w:sz w:val="19"/>
          <w:szCs w:val="19"/>
        </w:rPr>
      </w:pPr>
      <w:r w:rsidRPr="00E80894">
        <w:rPr>
          <w:rStyle w:val="Refdenotaalpie"/>
          <w:rFonts w:ascii="Arial" w:hAnsi="Arial" w:cs="Arial"/>
          <w:color w:val="000000" w:themeColor="text1"/>
          <w:sz w:val="19"/>
          <w:szCs w:val="19"/>
        </w:rPr>
        <w:footnoteRef/>
      </w:r>
      <w:r w:rsidRPr="00E80894">
        <w:rPr>
          <w:rFonts w:ascii="Arial" w:hAnsi="Arial" w:cs="Arial"/>
          <w:color w:val="000000" w:themeColor="text1"/>
          <w:sz w:val="19"/>
          <w:szCs w:val="19"/>
        </w:rPr>
        <w:t>Ley 100 de 1993: «Artículo 194. Naturaleza. La prestación de servicios de salud en forma directa por la Nación o por las entidades territoriales, se hará a través de las Empresas Sociales del Estado, que constituyen una categoría especial de entidad pública descentralizada, con personería jurídica, patrimonio propio y autonomía administrativa, creadas por la Ley o por las asambleas o concejos, según el caso, sometidas al régimen jurídico previsto en este capítulo».</w:t>
      </w:r>
    </w:p>
    <w:p w14:paraId="313CD9D0" w14:textId="77777777" w:rsidR="00003882" w:rsidRPr="00E80894" w:rsidRDefault="00003882" w:rsidP="00E80894">
      <w:pPr>
        <w:pStyle w:val="Textonotapie"/>
        <w:spacing w:before="0" w:after="0" w:line="240" w:lineRule="auto"/>
        <w:ind w:firstLine="708"/>
        <w:rPr>
          <w:rFonts w:ascii="Arial" w:hAnsi="Arial" w:cs="Arial"/>
          <w:color w:val="000000" w:themeColor="text1"/>
          <w:sz w:val="19"/>
          <w:szCs w:val="19"/>
        </w:rPr>
      </w:pPr>
    </w:p>
  </w:footnote>
  <w:footnote w:id="30">
    <w:p w14:paraId="067CC5CD" w14:textId="77777777" w:rsidR="00003882" w:rsidRPr="00E80894" w:rsidRDefault="00003882" w:rsidP="00E80894">
      <w:pPr>
        <w:pStyle w:val="Textonotapie"/>
        <w:spacing w:before="0" w:after="0" w:line="240" w:lineRule="auto"/>
        <w:ind w:firstLine="708"/>
        <w:rPr>
          <w:rFonts w:ascii="Arial" w:hAnsi="Arial" w:cs="Arial"/>
          <w:color w:val="000000" w:themeColor="text1"/>
          <w:sz w:val="19"/>
          <w:szCs w:val="19"/>
        </w:rPr>
      </w:pPr>
      <w:r w:rsidRPr="00E80894">
        <w:rPr>
          <w:rStyle w:val="Refdenotaalpie"/>
          <w:rFonts w:ascii="Arial" w:hAnsi="Arial" w:cs="Arial"/>
          <w:color w:val="000000" w:themeColor="text1"/>
          <w:sz w:val="19"/>
          <w:szCs w:val="19"/>
        </w:rPr>
        <w:footnoteRef/>
      </w:r>
      <w:r w:rsidRPr="00E80894">
        <w:rPr>
          <w:rFonts w:ascii="Arial" w:hAnsi="Arial" w:cs="Arial"/>
          <w:color w:val="000000" w:themeColor="text1"/>
          <w:sz w:val="19"/>
          <w:szCs w:val="19"/>
        </w:rPr>
        <w:t xml:space="preserve"> Agencia Nacional de Contratación Pública – Colombia Compra Eficiente. Concepto C-014 del 18 de febrero de 2022. Radicado de entrada No. P20220106000098. Radicado de salida No. RS20220218001642</w:t>
      </w:r>
    </w:p>
    <w:p w14:paraId="7BBCF6A7" w14:textId="77777777" w:rsidR="00003882" w:rsidRPr="00E80894" w:rsidRDefault="00003882" w:rsidP="00E80894">
      <w:pPr>
        <w:pStyle w:val="Textonotapie"/>
        <w:spacing w:before="0" w:after="0" w:line="240" w:lineRule="auto"/>
        <w:ind w:firstLine="708"/>
        <w:rPr>
          <w:rFonts w:ascii="Arial" w:hAnsi="Arial" w:cs="Arial"/>
          <w:color w:val="000000" w:themeColor="text1"/>
          <w:sz w:val="19"/>
          <w:szCs w:val="19"/>
        </w:rPr>
      </w:pPr>
    </w:p>
  </w:footnote>
  <w:footnote w:id="31">
    <w:p w14:paraId="46A49EFC" w14:textId="77777777" w:rsidR="009F290C" w:rsidRPr="00E80894" w:rsidRDefault="009F290C" w:rsidP="00E80894">
      <w:pPr>
        <w:pStyle w:val="Textonotapie"/>
        <w:spacing w:before="0" w:after="0" w:line="240" w:lineRule="auto"/>
        <w:ind w:firstLine="709"/>
        <w:rPr>
          <w:rFonts w:ascii="Arial" w:hAnsi="Arial" w:cs="Arial"/>
          <w:color w:val="000000" w:themeColor="text1"/>
          <w:sz w:val="19"/>
          <w:szCs w:val="19"/>
        </w:rPr>
      </w:pPr>
      <w:r w:rsidRPr="00E80894">
        <w:rPr>
          <w:rStyle w:val="Refdenotaalpie"/>
          <w:rFonts w:ascii="Arial" w:hAnsi="Arial" w:cs="Arial"/>
          <w:color w:val="000000" w:themeColor="text1"/>
          <w:sz w:val="19"/>
          <w:szCs w:val="19"/>
        </w:rPr>
        <w:footnoteRef/>
      </w:r>
      <w:r w:rsidRPr="00E80894">
        <w:rPr>
          <w:rFonts w:ascii="Arial" w:hAnsi="Arial" w:cs="Arial"/>
          <w:color w:val="000000" w:themeColor="text1"/>
          <w:sz w:val="19"/>
          <w:szCs w:val="19"/>
        </w:rPr>
        <w:t xml:space="preserve"> Consejo de Estado. Sala de Consulta y Servicio Civil. Concepto de 20 de febrero de2006. Radicación 11001-03-06-000-2006-00023-00(1724). Consejero Ponente: Flavio Augusto Rodríguez Arce.</w:t>
      </w:r>
    </w:p>
  </w:footnote>
  <w:footnote w:id="32">
    <w:p w14:paraId="34741299" w14:textId="77777777" w:rsidR="009F290C" w:rsidRPr="00E80894" w:rsidRDefault="009F290C" w:rsidP="00E80894">
      <w:pPr>
        <w:ind w:firstLine="709"/>
        <w:jc w:val="both"/>
        <w:rPr>
          <w:rFonts w:ascii="Arial" w:hAnsi="Arial" w:cs="Arial"/>
          <w:color w:val="000000" w:themeColor="text1"/>
          <w:sz w:val="19"/>
          <w:szCs w:val="19"/>
        </w:rPr>
      </w:pPr>
      <w:r w:rsidRPr="00E80894">
        <w:rPr>
          <w:rStyle w:val="Refdenotaalpie"/>
          <w:rFonts w:ascii="Arial" w:hAnsi="Arial" w:cs="Arial"/>
          <w:color w:val="000000" w:themeColor="text1"/>
          <w:sz w:val="19"/>
          <w:szCs w:val="19"/>
        </w:rPr>
        <w:footnoteRef/>
      </w:r>
      <w:r w:rsidRPr="00E80894">
        <w:rPr>
          <w:rFonts w:ascii="Arial" w:hAnsi="Arial" w:cs="Arial"/>
          <w:color w:val="000000" w:themeColor="text1"/>
          <w:sz w:val="19"/>
          <w:szCs w:val="19"/>
        </w:rPr>
        <w:t xml:space="preserve"> Decreto 1082 de 2015: «Artículo 2.2.1.2.1.4.4. Convenios o contratos interadministrativos. La modalidad de selección para la contratación entre Entidades Estatales es la contratación directa; </w:t>
      </w:r>
      <w:r w:rsidRPr="00E80894">
        <w:rPr>
          <w:rFonts w:ascii="Arial" w:hAnsi="Arial" w:cs="Arial"/>
          <w:color w:val="000000" w:themeColor="text1"/>
          <w:sz w:val="19"/>
          <w:szCs w:val="19"/>
        </w:rPr>
        <w:t>y en consecuencia, le es aplicable lo establecido en el artículo 2.2.1.2.1.4.1 del presente decreto.</w:t>
      </w:r>
    </w:p>
    <w:p w14:paraId="63FA4462" w14:textId="77777777" w:rsidR="009F290C" w:rsidRPr="00E80894" w:rsidRDefault="009F290C" w:rsidP="00E80894">
      <w:pPr>
        <w:ind w:firstLine="709"/>
        <w:jc w:val="both"/>
        <w:rPr>
          <w:rFonts w:ascii="Arial" w:hAnsi="Arial" w:cs="Arial"/>
          <w:color w:val="000000" w:themeColor="text1"/>
          <w:sz w:val="19"/>
          <w:szCs w:val="19"/>
        </w:rPr>
      </w:pPr>
      <w:r w:rsidRPr="00E80894">
        <w:rPr>
          <w:rFonts w:ascii="Arial" w:hAnsi="Arial" w:cs="Arial"/>
          <w:color w:val="000000" w:themeColor="text1"/>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E80894">
        <w:rPr>
          <w:rFonts w:ascii="Arial" w:hAnsi="Arial" w:cs="Arial"/>
          <w:color w:val="000000" w:themeColor="text1"/>
          <w:spacing w:val="-1"/>
          <w:sz w:val="19"/>
          <w:szCs w:val="19"/>
        </w:rPr>
        <w:t xml:space="preserve"> </w:t>
      </w:r>
      <w:r w:rsidRPr="00E80894">
        <w:rPr>
          <w:rFonts w:ascii="Arial" w:hAnsi="Arial" w:cs="Arial"/>
          <w:color w:val="000000" w:themeColor="text1"/>
          <w:sz w:val="19"/>
          <w:szCs w:val="19"/>
        </w:rPr>
        <w:t>Estatales».</w:t>
      </w:r>
    </w:p>
  </w:footnote>
  <w:footnote w:id="33">
    <w:p w14:paraId="131E4469" w14:textId="77777777" w:rsidR="009F290C" w:rsidRPr="00E80894" w:rsidRDefault="009F290C" w:rsidP="00E80894">
      <w:pPr>
        <w:ind w:firstLine="709"/>
        <w:jc w:val="both"/>
        <w:rPr>
          <w:rFonts w:ascii="Arial" w:hAnsi="Arial" w:cs="Arial"/>
          <w:color w:val="000000" w:themeColor="text1"/>
          <w:sz w:val="19"/>
          <w:szCs w:val="19"/>
        </w:rPr>
      </w:pPr>
      <w:r w:rsidRPr="00E80894">
        <w:rPr>
          <w:rStyle w:val="Refdenotaalpie"/>
          <w:rFonts w:ascii="Arial" w:hAnsi="Arial" w:cs="Arial"/>
          <w:color w:val="000000" w:themeColor="text1"/>
          <w:sz w:val="19"/>
          <w:szCs w:val="19"/>
        </w:rPr>
        <w:footnoteRef/>
      </w:r>
      <w:r w:rsidRPr="00E80894">
        <w:rPr>
          <w:rFonts w:ascii="Arial" w:hAnsi="Arial" w:cs="Arial"/>
          <w:color w:val="000000" w:themeColor="text1"/>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E80894">
        <w:rPr>
          <w:rFonts w:ascii="Arial" w:hAnsi="Arial" w:cs="Arial"/>
          <w:color w:val="000000" w:themeColor="text1"/>
          <w:spacing w:val="-6"/>
          <w:sz w:val="19"/>
          <w:szCs w:val="19"/>
        </w:rPr>
        <w:t xml:space="preserve"> </w:t>
      </w:r>
      <w:r w:rsidRPr="00E80894">
        <w:rPr>
          <w:rFonts w:ascii="Arial" w:hAnsi="Arial" w:cs="Arial"/>
          <w:color w:val="000000" w:themeColor="text1"/>
          <w:sz w:val="19"/>
          <w:szCs w:val="19"/>
        </w:rPr>
        <w:t>artículo».</w:t>
      </w:r>
    </w:p>
  </w:footnote>
  <w:footnote w:id="34">
    <w:p w14:paraId="0B333DB3" w14:textId="77777777" w:rsidR="009F290C" w:rsidRPr="00E80894" w:rsidRDefault="009F290C" w:rsidP="00E80894">
      <w:pPr>
        <w:ind w:firstLine="709"/>
        <w:jc w:val="both"/>
        <w:rPr>
          <w:rFonts w:ascii="Arial" w:hAnsi="Arial" w:cs="Arial"/>
          <w:color w:val="000000" w:themeColor="text1"/>
          <w:sz w:val="19"/>
          <w:szCs w:val="19"/>
        </w:rPr>
      </w:pPr>
      <w:r w:rsidRPr="00E80894">
        <w:rPr>
          <w:rStyle w:val="Refdenotaalpie"/>
          <w:rFonts w:ascii="Arial" w:hAnsi="Arial" w:cs="Arial"/>
          <w:color w:val="000000" w:themeColor="text1"/>
          <w:sz w:val="19"/>
          <w:szCs w:val="19"/>
        </w:rPr>
        <w:footnoteRef/>
      </w:r>
      <w:r w:rsidRPr="00E80894">
        <w:rPr>
          <w:rFonts w:ascii="Arial" w:hAnsi="Arial" w:cs="Arial"/>
          <w:color w:val="000000" w:themeColor="text1"/>
          <w:position w:val="7"/>
          <w:sz w:val="19"/>
          <w:szCs w:val="19"/>
        </w:rPr>
        <w:t xml:space="preserve"> </w:t>
      </w:r>
      <w:r w:rsidRPr="00E80894">
        <w:rPr>
          <w:rFonts w:ascii="Arial" w:hAnsi="Arial" w:cs="Arial"/>
          <w:color w:val="000000" w:themeColor="text1"/>
          <w:sz w:val="19"/>
          <w:szCs w:val="19"/>
        </w:rPr>
        <w:t>Consejo de Estado. Sección Tercera. Sentencia del 23 de junio de 2010. Radicación No. 66001-23-31-000-1998-00261-01(17.860). Consejero Ponente: Mauricio Fajardo Gómez.</w:t>
      </w:r>
    </w:p>
  </w:footnote>
  <w:footnote w:id="35">
    <w:p w14:paraId="47D2AF6E" w14:textId="77777777" w:rsidR="009F290C" w:rsidRPr="00E80894" w:rsidRDefault="009F290C" w:rsidP="00E80894">
      <w:pPr>
        <w:ind w:firstLine="709"/>
        <w:jc w:val="both"/>
        <w:rPr>
          <w:rFonts w:ascii="Arial" w:hAnsi="Arial" w:cs="Arial"/>
          <w:color w:val="000000" w:themeColor="text1"/>
          <w:sz w:val="19"/>
          <w:szCs w:val="19"/>
        </w:rPr>
      </w:pPr>
      <w:r w:rsidRPr="00E80894">
        <w:rPr>
          <w:rStyle w:val="Refdenotaalpie"/>
          <w:rFonts w:ascii="Arial" w:hAnsi="Arial" w:cs="Arial"/>
          <w:color w:val="000000" w:themeColor="text1"/>
          <w:sz w:val="19"/>
          <w:szCs w:val="19"/>
        </w:rPr>
        <w:footnoteRef/>
      </w:r>
      <w:r w:rsidRPr="00E80894">
        <w:rPr>
          <w:rFonts w:ascii="Arial" w:hAnsi="Arial" w:cs="Arial"/>
          <w:color w:val="000000" w:themeColor="text1"/>
          <w:sz w:val="19"/>
          <w:szCs w:val="19"/>
        </w:rPr>
        <w:t xml:space="preserve"> Consejo de Estado. Sección Tercera. Subsección C. Sentencia del 11 de diciembre de 2019. </w:t>
      </w:r>
      <w:r w:rsidRPr="00E80894">
        <w:rPr>
          <w:rFonts w:ascii="Arial" w:hAnsi="Arial" w:cs="Arial"/>
          <w:color w:val="000000" w:themeColor="text1"/>
          <w:sz w:val="19"/>
          <w:szCs w:val="19"/>
        </w:rPr>
        <w:t>Exp. 46.986. C.P. Jaime Enrique Rodríguez Navas.</w:t>
      </w:r>
    </w:p>
  </w:footnote>
  <w:footnote w:id="36">
    <w:p w14:paraId="78A0D9A9" w14:textId="77777777" w:rsidR="009F290C" w:rsidRPr="00E80894" w:rsidRDefault="009F290C" w:rsidP="00E80894">
      <w:pPr>
        <w:pStyle w:val="Textonotapie"/>
        <w:spacing w:before="0" w:after="0" w:line="240" w:lineRule="auto"/>
        <w:ind w:firstLine="708"/>
        <w:rPr>
          <w:rFonts w:ascii="Arial" w:hAnsi="Arial" w:cs="Arial"/>
          <w:color w:val="000000" w:themeColor="text1"/>
          <w:sz w:val="19"/>
          <w:szCs w:val="19"/>
        </w:rPr>
      </w:pPr>
      <w:r w:rsidRPr="00E80894">
        <w:rPr>
          <w:rStyle w:val="Refdenotaalpie"/>
          <w:rFonts w:ascii="Arial" w:hAnsi="Arial" w:cs="Arial"/>
          <w:color w:val="000000" w:themeColor="text1"/>
          <w:sz w:val="19"/>
          <w:szCs w:val="19"/>
        </w:rPr>
        <w:footnoteRef/>
      </w:r>
      <w:r w:rsidRPr="00E80894">
        <w:rPr>
          <w:rFonts w:ascii="Arial" w:hAnsi="Arial" w:cs="Arial"/>
          <w:color w:val="000000" w:themeColor="text1"/>
          <w:sz w:val="19"/>
          <w:szCs w:val="19"/>
        </w:rPr>
        <w:t xml:space="preserve"> [Referencia propia de la cita] «CE. SCSC. Concepto de 1 de noviembre de 2016 [Rad. 11001-03-06-000-2016-00125-00(2305)]. MP. Germán Alberto Bula Escobar».</w:t>
      </w:r>
    </w:p>
  </w:footnote>
  <w:footnote w:id="37">
    <w:p w14:paraId="4DCB2C45" w14:textId="77777777" w:rsidR="009F290C" w:rsidRPr="00E80894" w:rsidRDefault="009F290C" w:rsidP="00E80894">
      <w:pPr>
        <w:pStyle w:val="Textonotapie"/>
        <w:spacing w:before="0" w:after="0" w:line="240" w:lineRule="auto"/>
        <w:ind w:firstLine="708"/>
        <w:rPr>
          <w:rFonts w:ascii="Arial" w:hAnsi="Arial" w:cs="Arial"/>
          <w:color w:val="000000" w:themeColor="text1"/>
          <w:sz w:val="19"/>
          <w:szCs w:val="19"/>
        </w:rPr>
      </w:pPr>
      <w:r w:rsidRPr="00E80894">
        <w:rPr>
          <w:rStyle w:val="Refdenotaalpie"/>
          <w:rFonts w:ascii="Arial" w:hAnsi="Arial" w:cs="Arial"/>
          <w:color w:val="000000" w:themeColor="text1"/>
          <w:sz w:val="19"/>
          <w:szCs w:val="19"/>
        </w:rPr>
        <w:footnoteRef/>
      </w:r>
      <w:r w:rsidRPr="00E80894">
        <w:rPr>
          <w:rFonts w:ascii="Arial" w:hAnsi="Arial" w:cs="Arial"/>
          <w:color w:val="000000" w:themeColor="text1"/>
          <w:sz w:val="19"/>
          <w:szCs w:val="19"/>
        </w:rPr>
        <w:t xml:space="preserve"> [Referencia propia de la cita] «CE. SCSC. Concepto de 30 de abril de 2008 [Rad. 11001-03-06-000-2008-00013-00(1881)]. MP. Enrique José Arboleda Perdomo. En esta oportunidad, la Sala indicó que el contenido </w:t>
      </w:r>
      <w:r w:rsidRPr="00E80894">
        <w:rPr>
          <w:rFonts w:ascii="Arial" w:hAnsi="Arial" w:cs="Arial"/>
          <w:i/>
          <w:color w:val="000000" w:themeColor="text1"/>
          <w:sz w:val="19"/>
          <w:szCs w:val="19"/>
        </w:rPr>
        <w:t>“obligacional”</w:t>
      </w:r>
      <w:r w:rsidRPr="00E80894">
        <w:rPr>
          <w:rFonts w:ascii="Arial" w:hAnsi="Arial" w:cs="Arial"/>
          <w:color w:val="000000" w:themeColor="text1"/>
          <w:sz w:val="19"/>
          <w:szCs w:val="19"/>
        </w:rPr>
        <w:t xml:space="preserve"> de los convenios se estructura definiendo el resultado querido por las partes y los medios que cada entidad despliega para la obtención del respectivo objeto».</w:t>
      </w:r>
    </w:p>
  </w:footnote>
  <w:footnote w:id="38">
    <w:p w14:paraId="066E20EC" w14:textId="77777777" w:rsidR="009F290C" w:rsidRPr="00E80894" w:rsidRDefault="009F290C" w:rsidP="00E80894">
      <w:pPr>
        <w:pStyle w:val="Textonotapie"/>
        <w:spacing w:before="0" w:after="0" w:line="240" w:lineRule="auto"/>
        <w:ind w:firstLine="708"/>
        <w:rPr>
          <w:rFonts w:ascii="Arial" w:hAnsi="Arial" w:cs="Arial"/>
          <w:color w:val="000000" w:themeColor="text1"/>
          <w:sz w:val="19"/>
          <w:szCs w:val="19"/>
        </w:rPr>
      </w:pPr>
      <w:r w:rsidRPr="00E80894">
        <w:rPr>
          <w:rStyle w:val="Refdenotaalpie"/>
          <w:rFonts w:ascii="Arial" w:hAnsi="Arial" w:cs="Arial"/>
          <w:color w:val="000000" w:themeColor="text1"/>
          <w:sz w:val="19"/>
          <w:szCs w:val="19"/>
        </w:rPr>
        <w:footnoteRef/>
      </w:r>
      <w:r w:rsidRPr="00E80894">
        <w:rPr>
          <w:rFonts w:ascii="Arial" w:hAnsi="Arial" w:cs="Arial"/>
          <w:color w:val="000000" w:themeColor="text1"/>
          <w:sz w:val="19"/>
          <w:szCs w:val="19"/>
        </w:rPr>
        <w:t xml:space="preserve"> [Referencia propia de la cita] «La normativa vigente del EGCAP </w:t>
      </w:r>
      <w:r w:rsidRPr="00E80894">
        <w:rPr>
          <w:rFonts w:ascii="Arial" w:hAnsi="Arial" w:cs="Arial"/>
          <w:i/>
          <w:color w:val="000000" w:themeColor="text1"/>
          <w:sz w:val="19"/>
          <w:szCs w:val="19"/>
        </w:rPr>
        <w:t>[literal c) del numeral 4. del artículo 2 de la Ley 1150/07]</w:t>
      </w:r>
      <w:r w:rsidRPr="00E80894">
        <w:rPr>
          <w:rFonts w:ascii="Arial" w:hAnsi="Arial" w:cs="Arial"/>
          <w:color w:val="000000" w:themeColor="text1"/>
          <w:sz w:val="19"/>
          <w:szCs w:val="19"/>
        </w:rPr>
        <w:t xml:space="preserve"> se refiere a </w:t>
      </w:r>
      <w:r w:rsidRPr="00E80894">
        <w:rPr>
          <w:rFonts w:ascii="Arial" w:hAnsi="Arial" w:cs="Arial"/>
          <w:i/>
          <w:color w:val="000000" w:themeColor="text1"/>
          <w:sz w:val="19"/>
          <w:szCs w:val="19"/>
        </w:rPr>
        <w:t>“contratos interadministrativos”</w:t>
      </w:r>
      <w:r w:rsidRPr="00E80894">
        <w:rPr>
          <w:rFonts w:ascii="Arial" w:hAnsi="Arial" w:cs="Arial"/>
          <w:color w:val="000000" w:themeColor="text1"/>
          <w:sz w:val="19"/>
          <w:szCs w:val="19"/>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footnote>
  <w:footnote w:id="39">
    <w:p w14:paraId="49F1A6A5" w14:textId="77777777" w:rsidR="009F290C" w:rsidRPr="00E80894" w:rsidRDefault="009F290C" w:rsidP="00E80894">
      <w:pPr>
        <w:pStyle w:val="Textonotapie"/>
        <w:spacing w:before="0" w:after="0" w:line="240" w:lineRule="auto"/>
        <w:ind w:firstLine="708"/>
        <w:rPr>
          <w:rFonts w:ascii="Arial" w:hAnsi="Arial" w:cs="Arial"/>
          <w:color w:val="000000" w:themeColor="text1"/>
          <w:sz w:val="19"/>
          <w:szCs w:val="19"/>
        </w:rPr>
      </w:pPr>
      <w:r w:rsidRPr="00E80894">
        <w:rPr>
          <w:rStyle w:val="Refdenotaalpie"/>
          <w:rFonts w:ascii="Arial" w:hAnsi="Arial" w:cs="Arial"/>
          <w:color w:val="000000" w:themeColor="text1"/>
          <w:sz w:val="19"/>
          <w:szCs w:val="19"/>
        </w:rPr>
        <w:footnoteRef/>
      </w:r>
      <w:r w:rsidRPr="00E80894">
        <w:rPr>
          <w:rFonts w:ascii="Arial" w:hAnsi="Arial" w:cs="Arial"/>
          <w:color w:val="000000" w:themeColor="text1"/>
          <w:sz w:val="19"/>
          <w:szCs w:val="19"/>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w:t>
      </w:r>
      <w:r w:rsidRPr="00E80894">
        <w:rPr>
          <w:rFonts w:ascii="Arial" w:hAnsi="Arial" w:cs="Arial"/>
          <w:color w:val="000000" w:themeColor="text1"/>
          <w:sz w:val="19"/>
          <w:szCs w:val="19"/>
        </w:rPr>
        <w:t>Exp. 2.257. M.P. Álvaro Namén Vargas).</w:t>
      </w:r>
    </w:p>
  </w:footnote>
  <w:footnote w:id="40">
    <w:p w14:paraId="5692E886" w14:textId="77777777" w:rsidR="009F290C" w:rsidRPr="00E80894" w:rsidRDefault="009F290C" w:rsidP="00E80894">
      <w:pPr>
        <w:pStyle w:val="Textonotapie"/>
        <w:spacing w:before="0" w:after="0" w:line="240" w:lineRule="auto"/>
        <w:ind w:firstLine="708"/>
        <w:rPr>
          <w:rFonts w:ascii="Arial" w:hAnsi="Arial" w:cs="Arial"/>
          <w:color w:val="000000" w:themeColor="text1"/>
          <w:sz w:val="19"/>
          <w:szCs w:val="19"/>
        </w:rPr>
      </w:pPr>
      <w:r w:rsidRPr="00E80894">
        <w:rPr>
          <w:rStyle w:val="Refdenotaalpie"/>
          <w:rFonts w:ascii="Arial" w:hAnsi="Arial" w:cs="Arial"/>
          <w:color w:val="000000" w:themeColor="text1"/>
          <w:sz w:val="19"/>
          <w:szCs w:val="19"/>
        </w:rPr>
        <w:footnoteRef/>
      </w:r>
      <w:r w:rsidRPr="00E80894">
        <w:rPr>
          <w:rFonts w:ascii="Arial" w:hAnsi="Arial" w:cs="Arial"/>
          <w:color w:val="000000" w:themeColor="text1"/>
          <w:sz w:val="19"/>
          <w:szCs w:val="19"/>
        </w:rPr>
        <w:t xml:space="preserve"> Es lo que sucede, por ejemplo, con el Decreto 092 de 2017, que en su desarrollo hace referencia tanto a los «contratos» como a los «convenios». </w:t>
      </w:r>
    </w:p>
  </w:footnote>
  <w:footnote w:id="41">
    <w:p w14:paraId="5CEF3BB0" w14:textId="77777777" w:rsidR="009F290C" w:rsidRPr="00E80894" w:rsidRDefault="009F290C" w:rsidP="00E80894">
      <w:pPr>
        <w:pStyle w:val="Textonotapie"/>
        <w:spacing w:before="0" w:after="0" w:line="240" w:lineRule="auto"/>
        <w:ind w:firstLine="708"/>
        <w:rPr>
          <w:rFonts w:ascii="Arial" w:hAnsi="Arial" w:cs="Arial"/>
          <w:color w:val="000000" w:themeColor="text1"/>
          <w:sz w:val="19"/>
          <w:szCs w:val="19"/>
          <w:lang w:val="es-CO"/>
        </w:rPr>
      </w:pPr>
      <w:r w:rsidRPr="00E80894">
        <w:rPr>
          <w:rStyle w:val="Refdenotaalpie"/>
          <w:rFonts w:ascii="Arial" w:hAnsi="Arial" w:cs="Arial"/>
          <w:color w:val="000000" w:themeColor="text1"/>
          <w:sz w:val="19"/>
          <w:szCs w:val="19"/>
        </w:rPr>
        <w:footnoteRef/>
      </w:r>
      <w:r w:rsidRPr="00E80894">
        <w:rPr>
          <w:rFonts w:ascii="Arial" w:hAnsi="Arial" w:cs="Arial"/>
          <w:color w:val="000000" w:themeColor="text1"/>
          <w:sz w:val="19"/>
          <w:szCs w:val="19"/>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42">
    <w:p w14:paraId="60D1B510" w14:textId="77777777" w:rsidR="009F290C" w:rsidRPr="00E80894" w:rsidRDefault="009F290C" w:rsidP="00E80894">
      <w:pPr>
        <w:pStyle w:val="Textonotapie"/>
        <w:spacing w:before="0" w:after="0" w:line="240" w:lineRule="auto"/>
        <w:ind w:firstLine="708"/>
        <w:rPr>
          <w:rFonts w:ascii="Arial" w:hAnsi="Arial" w:cs="Arial"/>
          <w:color w:val="000000" w:themeColor="text1"/>
          <w:sz w:val="19"/>
          <w:szCs w:val="19"/>
        </w:rPr>
      </w:pPr>
      <w:r w:rsidRPr="00E80894">
        <w:rPr>
          <w:rStyle w:val="Refdenotaalpie"/>
          <w:rFonts w:ascii="Arial" w:hAnsi="Arial" w:cs="Arial"/>
          <w:color w:val="000000" w:themeColor="text1"/>
          <w:sz w:val="19"/>
          <w:szCs w:val="19"/>
        </w:rPr>
        <w:footnoteRef/>
      </w:r>
      <w:r w:rsidRPr="00E80894">
        <w:rPr>
          <w:rFonts w:ascii="Arial" w:hAnsi="Arial" w:cs="Arial"/>
          <w:color w:val="000000" w:themeColor="text1"/>
          <w:sz w:val="19"/>
          <w:szCs w:val="19"/>
        </w:rPr>
        <w:t xml:space="preserve"> Lo anterior, salvo que se traten de organismos internacionales que se rijan por normas internacionales y se financien con cargo a recursos de esos organismos (Cfr. Colombia Compra Eficiente. Concepto C-559 del 31 de agosto de 2021). </w:t>
      </w:r>
    </w:p>
  </w:footnote>
  <w:footnote w:id="43">
    <w:p w14:paraId="63544974" w14:textId="77777777" w:rsidR="00C92ACE" w:rsidRPr="00E80894" w:rsidRDefault="00C92ACE" w:rsidP="00E80894">
      <w:pPr>
        <w:pStyle w:val="Textonotapie"/>
        <w:spacing w:before="0" w:after="0" w:line="240" w:lineRule="auto"/>
        <w:ind w:firstLine="709"/>
        <w:rPr>
          <w:rFonts w:ascii="Arial" w:hAnsi="Arial" w:cs="Arial"/>
          <w:sz w:val="19"/>
          <w:szCs w:val="19"/>
        </w:rPr>
      </w:pPr>
    </w:p>
    <w:p w14:paraId="3392C135" w14:textId="77777777" w:rsidR="00C92ACE" w:rsidRPr="00E80894" w:rsidRDefault="00C92ACE" w:rsidP="00E80894">
      <w:pPr>
        <w:pStyle w:val="Textonotapie"/>
        <w:spacing w:before="0" w:after="0" w:line="240" w:lineRule="auto"/>
        <w:ind w:firstLine="709"/>
        <w:rPr>
          <w:rFonts w:ascii="Arial" w:hAnsi="Arial" w:cs="Arial"/>
          <w:color w:val="000000" w:themeColor="text1"/>
          <w:sz w:val="19"/>
          <w:szCs w:val="19"/>
        </w:rPr>
      </w:pPr>
      <w:r w:rsidRPr="00E80894">
        <w:rPr>
          <w:rStyle w:val="Refdenotaalpie"/>
          <w:rFonts w:ascii="Arial" w:hAnsi="Arial" w:cs="Arial"/>
          <w:sz w:val="19"/>
          <w:szCs w:val="19"/>
        </w:rPr>
        <w:footnoteRef/>
      </w:r>
      <w:r w:rsidRPr="00E80894">
        <w:rPr>
          <w:rFonts w:ascii="Arial" w:hAnsi="Arial" w:cs="Arial"/>
          <w:sz w:val="19"/>
          <w:szCs w:val="19"/>
        </w:rPr>
        <w:t xml:space="preserve"> Consejo de Estado. Sala de Consulta y Servicio Civil. Concepto del 15 de noviembre de 2007. Expediente número 1863. Consejero Ponente: Luis Fernando Álvarez Jaramillo. </w:t>
      </w:r>
      <w:r w:rsidRPr="00E80894">
        <w:rPr>
          <w:rFonts w:ascii="Arial" w:hAnsi="Arial" w:cs="Arial"/>
          <w:color w:val="000000" w:themeColor="text1"/>
          <w:sz w:val="19"/>
          <w:szCs w:val="19"/>
        </w:rPr>
        <w:t xml:space="preserve">Igualmente, Cfr. </w:t>
      </w:r>
      <w:r w:rsidRPr="00E80894">
        <w:rPr>
          <w:rFonts w:ascii="Arial" w:hAnsi="Arial" w:cs="Arial"/>
          <w:sz w:val="19"/>
          <w:szCs w:val="19"/>
        </w:rPr>
        <w:t>Agencia Nacional de Contratación Pública – Colombia Compra Eficiente. Circular Externa Única. Numeral 15.3.</w:t>
      </w:r>
    </w:p>
    <w:p w14:paraId="200ACE78" w14:textId="77777777" w:rsidR="00C92ACE" w:rsidRPr="00E80894" w:rsidRDefault="00C92ACE" w:rsidP="00E80894">
      <w:pPr>
        <w:pStyle w:val="Textonotapie"/>
        <w:spacing w:before="0" w:after="0" w:line="240" w:lineRule="auto"/>
        <w:ind w:firstLine="709"/>
        <w:rPr>
          <w:rFonts w:ascii="Arial" w:hAnsi="Arial" w:cs="Arial"/>
          <w:sz w:val="19"/>
          <w:szCs w:val="19"/>
        </w:rPr>
      </w:pPr>
    </w:p>
    <w:p w14:paraId="599F9E9E" w14:textId="77777777" w:rsidR="00C92ACE" w:rsidRPr="00E80894" w:rsidRDefault="00C92ACE" w:rsidP="00E80894">
      <w:pPr>
        <w:pStyle w:val="Textonotapie"/>
        <w:spacing w:before="0" w:after="0" w:line="240" w:lineRule="auto"/>
        <w:ind w:firstLine="709"/>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F64D8" w:rsidRDefault="00EF64D8">
    <w:pPr>
      <w:pStyle w:val="Encabezado"/>
    </w:pPr>
    <w:r>
      <w:rPr>
        <w:noProof/>
        <w:lang w:val="es-CO" w:eastAsia="es-CO"/>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C73F5C"/>
    <w:multiLevelType w:val="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2F02B9"/>
    <w:multiLevelType w:val="hybridMultilevel"/>
    <w:tmpl w:val="64F6ABC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B8A2D41"/>
    <w:multiLevelType w:val="hybridMultilevel"/>
    <w:tmpl w:val="B8CC0D42"/>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 w15:restartNumberingAfterBreak="0">
    <w:nsid w:val="29380B19"/>
    <w:multiLevelType w:val="hybridMultilevel"/>
    <w:tmpl w:val="1F66EDE8"/>
    <w:lvl w:ilvl="0" w:tplc="60226B48">
      <w:start w:val="1"/>
      <w:numFmt w:val="decimal"/>
      <w:lvlText w:val="%1."/>
      <w:lvlJc w:val="left"/>
      <w:pPr>
        <w:ind w:left="1069" w:hanging="36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 w15:restartNumberingAfterBreak="0">
    <w:nsid w:val="2C625574"/>
    <w:multiLevelType w:val="hybridMultilevel"/>
    <w:tmpl w:val="7EA03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CF3319"/>
    <w:multiLevelType w:val="hybridMultilevel"/>
    <w:tmpl w:val="D42C505A"/>
    <w:lvl w:ilvl="0" w:tplc="FC5637A6">
      <w:start w:val="1"/>
      <w:numFmt w:val="decimal"/>
      <w:lvlText w:val="%1."/>
      <w:lvlJc w:val="left"/>
      <w:pPr>
        <w:ind w:left="720" w:hanging="360"/>
      </w:pPr>
      <w:rPr>
        <w:rFonts w:ascii="Calibri" w:hAnsi="Calibri" w:cs="Calibri"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3B1499"/>
    <w:multiLevelType w:val="hybridMultilevel"/>
    <w:tmpl w:val="B5BA0E08"/>
    <w:lvl w:ilvl="0" w:tplc="EC46EAB4">
      <w:start w:val="1"/>
      <w:numFmt w:val="lowerRoman"/>
      <w:lvlText w:val="%1)"/>
      <w:lvlJc w:val="left"/>
      <w:pPr>
        <w:ind w:left="1429" w:hanging="72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7B7BA6"/>
    <w:multiLevelType w:val="hybridMultilevel"/>
    <w:tmpl w:val="0A9A12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5C1658E"/>
    <w:multiLevelType w:val="hybridMultilevel"/>
    <w:tmpl w:val="6BB45F22"/>
    <w:lvl w:ilvl="0" w:tplc="324E2A2C">
      <w:start w:val="1"/>
      <w:numFmt w:val="upperRoman"/>
      <w:lvlText w:val="%1."/>
      <w:lvlJc w:val="right"/>
      <w:pPr>
        <w:ind w:left="1429" w:hanging="360"/>
      </w:pPr>
      <w:rPr>
        <w:sz w:val="22"/>
        <w:szCs w:val="22"/>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2" w15:restartNumberingAfterBreak="0">
    <w:nsid w:val="3642528B"/>
    <w:multiLevelType w:val="hybridMultilevel"/>
    <w:tmpl w:val="D408B580"/>
    <w:lvl w:ilvl="0" w:tplc="15DE398A">
      <w:start w:val="1"/>
      <w:numFmt w:val="lowerLetter"/>
      <w:lvlText w:val="%1)"/>
      <w:lvlJc w:val="left"/>
      <w:pPr>
        <w:ind w:left="1069" w:hanging="36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3" w15:restartNumberingAfterBreak="0">
    <w:nsid w:val="3DF77F05"/>
    <w:multiLevelType w:val="hybridMultilevel"/>
    <w:tmpl w:val="0E90E834"/>
    <w:lvl w:ilvl="0" w:tplc="073E4240">
      <w:start w:val="1"/>
      <w:numFmt w:val="lowerRoman"/>
      <w:lvlText w:val="%1)"/>
      <w:lvlJc w:val="left"/>
      <w:pPr>
        <w:ind w:left="1429" w:hanging="72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4" w15:restartNumberingAfterBreak="0">
    <w:nsid w:val="444D0259"/>
    <w:multiLevelType w:val="hybridMultilevel"/>
    <w:tmpl w:val="77FC860C"/>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32B27AF"/>
    <w:multiLevelType w:val="hybridMultilevel"/>
    <w:tmpl w:val="BA34E780"/>
    <w:lvl w:ilvl="0" w:tplc="56241FF8">
      <w:start w:val="1"/>
      <w:numFmt w:val="lowerLetter"/>
      <w:lvlText w:val="%1)"/>
      <w:lvlJc w:val="left"/>
      <w:pPr>
        <w:ind w:left="1069" w:hanging="36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9" w15:restartNumberingAfterBreak="0">
    <w:nsid w:val="6A9B7B46"/>
    <w:multiLevelType w:val="hybridMultilevel"/>
    <w:tmpl w:val="103E82C4"/>
    <w:lvl w:ilvl="0" w:tplc="0C0A0013">
      <w:start w:val="1"/>
      <w:numFmt w:val="upperRoman"/>
      <w:lvlText w:val="%1."/>
      <w:lvlJc w:val="righ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6FEE5641"/>
    <w:multiLevelType w:val="hybridMultilevel"/>
    <w:tmpl w:val="CE064F6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0966857"/>
    <w:multiLevelType w:val="hybridMultilevel"/>
    <w:tmpl w:val="2EB8A274"/>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3" w15:restartNumberingAfterBreak="0">
    <w:nsid w:val="7C703690"/>
    <w:multiLevelType w:val="hybridMultilevel"/>
    <w:tmpl w:val="F9862F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266112881">
    <w:abstractNumId w:val="10"/>
  </w:num>
  <w:num w:numId="2" w16cid:durableId="176508438">
    <w:abstractNumId w:val="8"/>
  </w:num>
  <w:num w:numId="3" w16cid:durableId="783228293">
    <w:abstractNumId w:val="15"/>
  </w:num>
  <w:num w:numId="4" w16cid:durableId="180440169">
    <w:abstractNumId w:val="16"/>
  </w:num>
  <w:num w:numId="5" w16cid:durableId="159196182">
    <w:abstractNumId w:val="20"/>
  </w:num>
  <w:num w:numId="6" w16cid:durableId="167163585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9403010">
    <w:abstractNumId w:val="17"/>
  </w:num>
  <w:num w:numId="8" w16cid:durableId="403383885">
    <w:abstractNumId w:val="5"/>
  </w:num>
  <w:num w:numId="9" w16cid:durableId="1132212436">
    <w:abstractNumId w:val="1"/>
  </w:num>
  <w:num w:numId="10" w16cid:durableId="1679580103">
    <w:abstractNumId w:val="6"/>
  </w:num>
  <w:num w:numId="11" w16cid:durableId="1450314619">
    <w:abstractNumId w:val="2"/>
  </w:num>
  <w:num w:numId="12" w16cid:durableId="879362334">
    <w:abstractNumId w:val="9"/>
  </w:num>
  <w:num w:numId="13" w16cid:durableId="1194805675">
    <w:abstractNumId w:val="3"/>
  </w:num>
  <w:num w:numId="14" w16cid:durableId="1374116934">
    <w:abstractNumId w:val="18"/>
  </w:num>
  <w:num w:numId="15" w16cid:durableId="1057439600">
    <w:abstractNumId w:val="14"/>
  </w:num>
  <w:num w:numId="16" w16cid:durableId="1978340728">
    <w:abstractNumId w:val="12"/>
  </w:num>
  <w:num w:numId="17" w16cid:durableId="884216526">
    <w:abstractNumId w:val="22"/>
  </w:num>
  <w:num w:numId="18" w16cid:durableId="1464539760">
    <w:abstractNumId w:val="4"/>
  </w:num>
  <w:num w:numId="19" w16cid:durableId="1687977974">
    <w:abstractNumId w:val="11"/>
  </w:num>
  <w:num w:numId="20" w16cid:durableId="551380406">
    <w:abstractNumId w:val="13"/>
  </w:num>
  <w:num w:numId="21" w16cid:durableId="1439788626">
    <w:abstractNumId w:val="19"/>
  </w:num>
  <w:num w:numId="22" w16cid:durableId="872036610">
    <w:abstractNumId w:val="7"/>
  </w:num>
  <w:num w:numId="23" w16cid:durableId="206767772">
    <w:abstractNumId w:val="23"/>
  </w:num>
  <w:num w:numId="24" w16cid:durableId="119978099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416"/>
    <w:rsid w:val="0000126D"/>
    <w:rsid w:val="000019A6"/>
    <w:rsid w:val="000025E0"/>
    <w:rsid w:val="000034EE"/>
    <w:rsid w:val="00003882"/>
    <w:rsid w:val="000070A8"/>
    <w:rsid w:val="0001231C"/>
    <w:rsid w:val="000135A1"/>
    <w:rsid w:val="00013B4E"/>
    <w:rsid w:val="00013F7C"/>
    <w:rsid w:val="00015BF3"/>
    <w:rsid w:val="00015E80"/>
    <w:rsid w:val="00015F78"/>
    <w:rsid w:val="000164B2"/>
    <w:rsid w:val="000169A0"/>
    <w:rsid w:val="00016D26"/>
    <w:rsid w:val="00016D2E"/>
    <w:rsid w:val="00017245"/>
    <w:rsid w:val="00017253"/>
    <w:rsid w:val="00017C1D"/>
    <w:rsid w:val="000205F1"/>
    <w:rsid w:val="000210DF"/>
    <w:rsid w:val="0002271C"/>
    <w:rsid w:val="000229A9"/>
    <w:rsid w:val="00023CD9"/>
    <w:rsid w:val="00024653"/>
    <w:rsid w:val="000268E2"/>
    <w:rsid w:val="0002739B"/>
    <w:rsid w:val="000300C6"/>
    <w:rsid w:val="00030271"/>
    <w:rsid w:val="00032989"/>
    <w:rsid w:val="00032A51"/>
    <w:rsid w:val="00033802"/>
    <w:rsid w:val="00033C14"/>
    <w:rsid w:val="00033D8C"/>
    <w:rsid w:val="00034398"/>
    <w:rsid w:val="00034663"/>
    <w:rsid w:val="00040044"/>
    <w:rsid w:val="000414BE"/>
    <w:rsid w:val="000432DF"/>
    <w:rsid w:val="00044D8C"/>
    <w:rsid w:val="0004669F"/>
    <w:rsid w:val="000502EC"/>
    <w:rsid w:val="00050C64"/>
    <w:rsid w:val="0005181E"/>
    <w:rsid w:val="00053136"/>
    <w:rsid w:val="000540E1"/>
    <w:rsid w:val="00054817"/>
    <w:rsid w:val="0005748B"/>
    <w:rsid w:val="000636F3"/>
    <w:rsid w:val="000641A8"/>
    <w:rsid w:val="0006467C"/>
    <w:rsid w:val="0006474E"/>
    <w:rsid w:val="00065205"/>
    <w:rsid w:val="00066517"/>
    <w:rsid w:val="00071132"/>
    <w:rsid w:val="00071351"/>
    <w:rsid w:val="000716B2"/>
    <w:rsid w:val="0007405A"/>
    <w:rsid w:val="00074BEE"/>
    <w:rsid w:val="00074D1E"/>
    <w:rsid w:val="00075D07"/>
    <w:rsid w:val="00075FA6"/>
    <w:rsid w:val="00076387"/>
    <w:rsid w:val="00076B31"/>
    <w:rsid w:val="000770DB"/>
    <w:rsid w:val="0008228E"/>
    <w:rsid w:val="000822A6"/>
    <w:rsid w:val="00082CE0"/>
    <w:rsid w:val="000847E8"/>
    <w:rsid w:val="00084B97"/>
    <w:rsid w:val="00086D8D"/>
    <w:rsid w:val="000877B5"/>
    <w:rsid w:val="000902BC"/>
    <w:rsid w:val="00091AC6"/>
    <w:rsid w:val="00092542"/>
    <w:rsid w:val="00092617"/>
    <w:rsid w:val="00092B6A"/>
    <w:rsid w:val="000942EB"/>
    <w:rsid w:val="000943FC"/>
    <w:rsid w:val="00095B25"/>
    <w:rsid w:val="00096C01"/>
    <w:rsid w:val="0009763D"/>
    <w:rsid w:val="000A4DD7"/>
    <w:rsid w:val="000A5915"/>
    <w:rsid w:val="000B076C"/>
    <w:rsid w:val="000B0E61"/>
    <w:rsid w:val="000B103F"/>
    <w:rsid w:val="000B14BA"/>
    <w:rsid w:val="000B2D9A"/>
    <w:rsid w:val="000B5C13"/>
    <w:rsid w:val="000C00A2"/>
    <w:rsid w:val="000C1515"/>
    <w:rsid w:val="000C3232"/>
    <w:rsid w:val="000C394F"/>
    <w:rsid w:val="000C3F9B"/>
    <w:rsid w:val="000C4E3E"/>
    <w:rsid w:val="000C5512"/>
    <w:rsid w:val="000C5766"/>
    <w:rsid w:val="000C5D99"/>
    <w:rsid w:val="000D1837"/>
    <w:rsid w:val="000D186A"/>
    <w:rsid w:val="000D25BC"/>
    <w:rsid w:val="000D49F7"/>
    <w:rsid w:val="000D7953"/>
    <w:rsid w:val="000D7A0F"/>
    <w:rsid w:val="000E03D6"/>
    <w:rsid w:val="000E0DED"/>
    <w:rsid w:val="000E3909"/>
    <w:rsid w:val="000E6563"/>
    <w:rsid w:val="000E739D"/>
    <w:rsid w:val="000F091C"/>
    <w:rsid w:val="000F14E8"/>
    <w:rsid w:val="000F2AA2"/>
    <w:rsid w:val="000F2EE1"/>
    <w:rsid w:val="000F4695"/>
    <w:rsid w:val="000F7FC3"/>
    <w:rsid w:val="00100857"/>
    <w:rsid w:val="00100D69"/>
    <w:rsid w:val="00101018"/>
    <w:rsid w:val="00103915"/>
    <w:rsid w:val="001041A9"/>
    <w:rsid w:val="001072DB"/>
    <w:rsid w:val="001078AA"/>
    <w:rsid w:val="00110CE1"/>
    <w:rsid w:val="001112FD"/>
    <w:rsid w:val="0011178C"/>
    <w:rsid w:val="00111CDF"/>
    <w:rsid w:val="001124EB"/>
    <w:rsid w:val="00113157"/>
    <w:rsid w:val="00114327"/>
    <w:rsid w:val="00114900"/>
    <w:rsid w:val="0011520A"/>
    <w:rsid w:val="001155B8"/>
    <w:rsid w:val="00116C84"/>
    <w:rsid w:val="0011766B"/>
    <w:rsid w:val="00120D67"/>
    <w:rsid w:val="001214BC"/>
    <w:rsid w:val="001218B7"/>
    <w:rsid w:val="00122B23"/>
    <w:rsid w:val="00122B9A"/>
    <w:rsid w:val="00123BE2"/>
    <w:rsid w:val="00124A82"/>
    <w:rsid w:val="00127C32"/>
    <w:rsid w:val="00130457"/>
    <w:rsid w:val="001326C7"/>
    <w:rsid w:val="00132E6E"/>
    <w:rsid w:val="001336B2"/>
    <w:rsid w:val="00133F8F"/>
    <w:rsid w:val="00134D65"/>
    <w:rsid w:val="0013770F"/>
    <w:rsid w:val="001377EC"/>
    <w:rsid w:val="00137E66"/>
    <w:rsid w:val="00137FFA"/>
    <w:rsid w:val="0014071F"/>
    <w:rsid w:val="00141B41"/>
    <w:rsid w:val="00141CCA"/>
    <w:rsid w:val="00141E25"/>
    <w:rsid w:val="0014214B"/>
    <w:rsid w:val="00142560"/>
    <w:rsid w:val="001429C2"/>
    <w:rsid w:val="00143D03"/>
    <w:rsid w:val="00144D68"/>
    <w:rsid w:val="00150CB3"/>
    <w:rsid w:val="00151129"/>
    <w:rsid w:val="00151936"/>
    <w:rsid w:val="00152FDA"/>
    <w:rsid w:val="00154785"/>
    <w:rsid w:val="00155B3D"/>
    <w:rsid w:val="00155C13"/>
    <w:rsid w:val="00156216"/>
    <w:rsid w:val="00160CB0"/>
    <w:rsid w:val="00161A37"/>
    <w:rsid w:val="001643A4"/>
    <w:rsid w:val="00165347"/>
    <w:rsid w:val="00165995"/>
    <w:rsid w:val="00171685"/>
    <w:rsid w:val="0017335A"/>
    <w:rsid w:val="00173B85"/>
    <w:rsid w:val="00180188"/>
    <w:rsid w:val="001824DD"/>
    <w:rsid w:val="001827CB"/>
    <w:rsid w:val="00182A86"/>
    <w:rsid w:val="00182EEE"/>
    <w:rsid w:val="0018335C"/>
    <w:rsid w:val="001833D0"/>
    <w:rsid w:val="0018635C"/>
    <w:rsid w:val="00190961"/>
    <w:rsid w:val="00191C4D"/>
    <w:rsid w:val="00192CDC"/>
    <w:rsid w:val="00192CE0"/>
    <w:rsid w:val="0019438D"/>
    <w:rsid w:val="001961C8"/>
    <w:rsid w:val="00197BB3"/>
    <w:rsid w:val="001A0A19"/>
    <w:rsid w:val="001A0E7A"/>
    <w:rsid w:val="001A1753"/>
    <w:rsid w:val="001A217F"/>
    <w:rsid w:val="001A40A1"/>
    <w:rsid w:val="001A556D"/>
    <w:rsid w:val="001A69BA"/>
    <w:rsid w:val="001A78DE"/>
    <w:rsid w:val="001A7FD7"/>
    <w:rsid w:val="001B0444"/>
    <w:rsid w:val="001B0BE3"/>
    <w:rsid w:val="001B2F08"/>
    <w:rsid w:val="001B39FA"/>
    <w:rsid w:val="001B5217"/>
    <w:rsid w:val="001B5D90"/>
    <w:rsid w:val="001B6E10"/>
    <w:rsid w:val="001C01AF"/>
    <w:rsid w:val="001C24BF"/>
    <w:rsid w:val="001C47C8"/>
    <w:rsid w:val="001C6F95"/>
    <w:rsid w:val="001C763E"/>
    <w:rsid w:val="001D0C03"/>
    <w:rsid w:val="001D1560"/>
    <w:rsid w:val="001D17C2"/>
    <w:rsid w:val="001D2F93"/>
    <w:rsid w:val="001D2FC9"/>
    <w:rsid w:val="001D30D8"/>
    <w:rsid w:val="001D33DD"/>
    <w:rsid w:val="001D4EA4"/>
    <w:rsid w:val="001D567B"/>
    <w:rsid w:val="001D612F"/>
    <w:rsid w:val="001E01F9"/>
    <w:rsid w:val="001E074F"/>
    <w:rsid w:val="001E1959"/>
    <w:rsid w:val="001E1D46"/>
    <w:rsid w:val="001E1EEE"/>
    <w:rsid w:val="001E2866"/>
    <w:rsid w:val="001E2A7A"/>
    <w:rsid w:val="001E4B0D"/>
    <w:rsid w:val="001E7D79"/>
    <w:rsid w:val="001F21B5"/>
    <w:rsid w:val="001F3DEF"/>
    <w:rsid w:val="001F4D43"/>
    <w:rsid w:val="001F4F5C"/>
    <w:rsid w:val="001F528D"/>
    <w:rsid w:val="001F5388"/>
    <w:rsid w:val="001F5745"/>
    <w:rsid w:val="001F5F41"/>
    <w:rsid w:val="001F6290"/>
    <w:rsid w:val="001F6378"/>
    <w:rsid w:val="001F7341"/>
    <w:rsid w:val="001F774C"/>
    <w:rsid w:val="0020001F"/>
    <w:rsid w:val="0020059F"/>
    <w:rsid w:val="00200651"/>
    <w:rsid w:val="002025CC"/>
    <w:rsid w:val="0020324E"/>
    <w:rsid w:val="00203B55"/>
    <w:rsid w:val="00203E16"/>
    <w:rsid w:val="00204675"/>
    <w:rsid w:val="00205185"/>
    <w:rsid w:val="00205753"/>
    <w:rsid w:val="00205CAE"/>
    <w:rsid w:val="0020632A"/>
    <w:rsid w:val="002075B6"/>
    <w:rsid w:val="002076CC"/>
    <w:rsid w:val="00210366"/>
    <w:rsid w:val="00210A2D"/>
    <w:rsid w:val="00210DF2"/>
    <w:rsid w:val="002110EB"/>
    <w:rsid w:val="00211338"/>
    <w:rsid w:val="00213541"/>
    <w:rsid w:val="0021518A"/>
    <w:rsid w:val="00215618"/>
    <w:rsid w:val="00215B97"/>
    <w:rsid w:val="00216AAF"/>
    <w:rsid w:val="00216AEE"/>
    <w:rsid w:val="00216E64"/>
    <w:rsid w:val="002177D9"/>
    <w:rsid w:val="00217988"/>
    <w:rsid w:val="00217C7F"/>
    <w:rsid w:val="00220120"/>
    <w:rsid w:val="00220E20"/>
    <w:rsid w:val="0022167B"/>
    <w:rsid w:val="002232F5"/>
    <w:rsid w:val="00223B3D"/>
    <w:rsid w:val="002249BC"/>
    <w:rsid w:val="002270C0"/>
    <w:rsid w:val="002309D1"/>
    <w:rsid w:val="00230F89"/>
    <w:rsid w:val="00233909"/>
    <w:rsid w:val="002339D3"/>
    <w:rsid w:val="00234113"/>
    <w:rsid w:val="00234B84"/>
    <w:rsid w:val="00234C1A"/>
    <w:rsid w:val="0023589B"/>
    <w:rsid w:val="002364D4"/>
    <w:rsid w:val="0023691B"/>
    <w:rsid w:val="002379B1"/>
    <w:rsid w:val="002409B6"/>
    <w:rsid w:val="00243EE8"/>
    <w:rsid w:val="002456DB"/>
    <w:rsid w:val="00246944"/>
    <w:rsid w:val="00247C35"/>
    <w:rsid w:val="0025069C"/>
    <w:rsid w:val="0025151A"/>
    <w:rsid w:val="002534F1"/>
    <w:rsid w:val="002538B5"/>
    <w:rsid w:val="00254711"/>
    <w:rsid w:val="00255215"/>
    <w:rsid w:val="00255D2C"/>
    <w:rsid w:val="00256CE7"/>
    <w:rsid w:val="002576FD"/>
    <w:rsid w:val="002627A8"/>
    <w:rsid w:val="0026362F"/>
    <w:rsid w:val="00263755"/>
    <w:rsid w:val="0026403D"/>
    <w:rsid w:val="002647F7"/>
    <w:rsid w:val="00264E94"/>
    <w:rsid w:val="002654C1"/>
    <w:rsid w:val="0026616C"/>
    <w:rsid w:val="00267A47"/>
    <w:rsid w:val="00267C8B"/>
    <w:rsid w:val="00267DDA"/>
    <w:rsid w:val="002708A2"/>
    <w:rsid w:val="00271043"/>
    <w:rsid w:val="002725EE"/>
    <w:rsid w:val="002737FD"/>
    <w:rsid w:val="00273E83"/>
    <w:rsid w:val="00274DDF"/>
    <w:rsid w:val="00275E86"/>
    <w:rsid w:val="002801C7"/>
    <w:rsid w:val="00285503"/>
    <w:rsid w:val="00285AC8"/>
    <w:rsid w:val="00285AC9"/>
    <w:rsid w:val="00286089"/>
    <w:rsid w:val="00287343"/>
    <w:rsid w:val="00287741"/>
    <w:rsid w:val="00290E9F"/>
    <w:rsid w:val="002914E1"/>
    <w:rsid w:val="00291C4F"/>
    <w:rsid w:val="00291FE3"/>
    <w:rsid w:val="002938BD"/>
    <w:rsid w:val="00293BBD"/>
    <w:rsid w:val="002941C6"/>
    <w:rsid w:val="00296B40"/>
    <w:rsid w:val="002A2E12"/>
    <w:rsid w:val="002A3C35"/>
    <w:rsid w:val="002A4F9E"/>
    <w:rsid w:val="002A5498"/>
    <w:rsid w:val="002A5F87"/>
    <w:rsid w:val="002A695B"/>
    <w:rsid w:val="002B3433"/>
    <w:rsid w:val="002B41FB"/>
    <w:rsid w:val="002B4390"/>
    <w:rsid w:val="002B55C7"/>
    <w:rsid w:val="002C216A"/>
    <w:rsid w:val="002C28E1"/>
    <w:rsid w:val="002C2B56"/>
    <w:rsid w:val="002C2D1E"/>
    <w:rsid w:val="002C32E1"/>
    <w:rsid w:val="002C40FB"/>
    <w:rsid w:val="002C4C0C"/>
    <w:rsid w:val="002C57C8"/>
    <w:rsid w:val="002C6821"/>
    <w:rsid w:val="002D08FE"/>
    <w:rsid w:val="002D155C"/>
    <w:rsid w:val="002D2CD0"/>
    <w:rsid w:val="002D3589"/>
    <w:rsid w:val="002D481A"/>
    <w:rsid w:val="002D65E2"/>
    <w:rsid w:val="002D7275"/>
    <w:rsid w:val="002E06A1"/>
    <w:rsid w:val="002E7979"/>
    <w:rsid w:val="002F334B"/>
    <w:rsid w:val="002F4470"/>
    <w:rsid w:val="002F61C9"/>
    <w:rsid w:val="002F7BD7"/>
    <w:rsid w:val="003016E2"/>
    <w:rsid w:val="003033BA"/>
    <w:rsid w:val="00304580"/>
    <w:rsid w:val="00304B38"/>
    <w:rsid w:val="0030589C"/>
    <w:rsid w:val="00306C30"/>
    <w:rsid w:val="00307067"/>
    <w:rsid w:val="003073C0"/>
    <w:rsid w:val="00307855"/>
    <w:rsid w:val="003078D7"/>
    <w:rsid w:val="003108EF"/>
    <w:rsid w:val="00310BC8"/>
    <w:rsid w:val="0031206F"/>
    <w:rsid w:val="00312204"/>
    <w:rsid w:val="00312D89"/>
    <w:rsid w:val="00314C7D"/>
    <w:rsid w:val="00316214"/>
    <w:rsid w:val="003162C8"/>
    <w:rsid w:val="00316B16"/>
    <w:rsid w:val="00321018"/>
    <w:rsid w:val="0032144D"/>
    <w:rsid w:val="00322937"/>
    <w:rsid w:val="0032350A"/>
    <w:rsid w:val="003238A9"/>
    <w:rsid w:val="00327549"/>
    <w:rsid w:val="00327CEB"/>
    <w:rsid w:val="00330722"/>
    <w:rsid w:val="00334638"/>
    <w:rsid w:val="00337158"/>
    <w:rsid w:val="003404C6"/>
    <w:rsid w:val="0034096E"/>
    <w:rsid w:val="0034177C"/>
    <w:rsid w:val="00341D52"/>
    <w:rsid w:val="003429F6"/>
    <w:rsid w:val="00344B03"/>
    <w:rsid w:val="00345705"/>
    <w:rsid w:val="0034680A"/>
    <w:rsid w:val="00347024"/>
    <w:rsid w:val="00350AA9"/>
    <w:rsid w:val="00350DA7"/>
    <w:rsid w:val="00353653"/>
    <w:rsid w:val="00353DD5"/>
    <w:rsid w:val="00353EE8"/>
    <w:rsid w:val="00355084"/>
    <w:rsid w:val="00355E8C"/>
    <w:rsid w:val="00357167"/>
    <w:rsid w:val="00361495"/>
    <w:rsid w:val="00364EF6"/>
    <w:rsid w:val="003652E7"/>
    <w:rsid w:val="00365559"/>
    <w:rsid w:val="00366283"/>
    <w:rsid w:val="00366693"/>
    <w:rsid w:val="00366F76"/>
    <w:rsid w:val="00367828"/>
    <w:rsid w:val="00371F43"/>
    <w:rsid w:val="00372E26"/>
    <w:rsid w:val="003734CE"/>
    <w:rsid w:val="003754D2"/>
    <w:rsid w:val="003757C2"/>
    <w:rsid w:val="00376930"/>
    <w:rsid w:val="00381C32"/>
    <w:rsid w:val="00384C43"/>
    <w:rsid w:val="00385CF3"/>
    <w:rsid w:val="003861CA"/>
    <w:rsid w:val="00386456"/>
    <w:rsid w:val="003901B3"/>
    <w:rsid w:val="003903B0"/>
    <w:rsid w:val="00390C02"/>
    <w:rsid w:val="003912A3"/>
    <w:rsid w:val="0039143D"/>
    <w:rsid w:val="003949EE"/>
    <w:rsid w:val="003964D5"/>
    <w:rsid w:val="00396918"/>
    <w:rsid w:val="003A0878"/>
    <w:rsid w:val="003A0EBE"/>
    <w:rsid w:val="003A3550"/>
    <w:rsid w:val="003A4CA4"/>
    <w:rsid w:val="003A581E"/>
    <w:rsid w:val="003A5E90"/>
    <w:rsid w:val="003A6751"/>
    <w:rsid w:val="003A7F89"/>
    <w:rsid w:val="003B027A"/>
    <w:rsid w:val="003B2341"/>
    <w:rsid w:val="003B267F"/>
    <w:rsid w:val="003B415C"/>
    <w:rsid w:val="003B4202"/>
    <w:rsid w:val="003B43DB"/>
    <w:rsid w:val="003B49DA"/>
    <w:rsid w:val="003B73DE"/>
    <w:rsid w:val="003C01B1"/>
    <w:rsid w:val="003C6CBA"/>
    <w:rsid w:val="003C75FC"/>
    <w:rsid w:val="003D1BE9"/>
    <w:rsid w:val="003D33FF"/>
    <w:rsid w:val="003D3D29"/>
    <w:rsid w:val="003D3D9D"/>
    <w:rsid w:val="003D43B0"/>
    <w:rsid w:val="003D45AC"/>
    <w:rsid w:val="003D527E"/>
    <w:rsid w:val="003D7E29"/>
    <w:rsid w:val="003E0D9E"/>
    <w:rsid w:val="003E1992"/>
    <w:rsid w:val="003E4819"/>
    <w:rsid w:val="003E4A30"/>
    <w:rsid w:val="003E6423"/>
    <w:rsid w:val="003E6884"/>
    <w:rsid w:val="003E7AA5"/>
    <w:rsid w:val="003F00C3"/>
    <w:rsid w:val="003F0161"/>
    <w:rsid w:val="003F0295"/>
    <w:rsid w:val="003F18DE"/>
    <w:rsid w:val="003F1D3C"/>
    <w:rsid w:val="0040246E"/>
    <w:rsid w:val="004030F2"/>
    <w:rsid w:val="00405913"/>
    <w:rsid w:val="00406251"/>
    <w:rsid w:val="00406A1A"/>
    <w:rsid w:val="00407705"/>
    <w:rsid w:val="0040799E"/>
    <w:rsid w:val="004102D2"/>
    <w:rsid w:val="004129BB"/>
    <w:rsid w:val="00413C8D"/>
    <w:rsid w:val="00413E61"/>
    <w:rsid w:val="00414152"/>
    <w:rsid w:val="00415151"/>
    <w:rsid w:val="00415DDE"/>
    <w:rsid w:val="00416308"/>
    <w:rsid w:val="004168FD"/>
    <w:rsid w:val="00416996"/>
    <w:rsid w:val="00417025"/>
    <w:rsid w:val="00417620"/>
    <w:rsid w:val="00421624"/>
    <w:rsid w:val="00421DF6"/>
    <w:rsid w:val="004228D3"/>
    <w:rsid w:val="00423405"/>
    <w:rsid w:val="00423F66"/>
    <w:rsid w:val="00423F9F"/>
    <w:rsid w:val="00425D74"/>
    <w:rsid w:val="00425FD7"/>
    <w:rsid w:val="00427F2F"/>
    <w:rsid w:val="00430D86"/>
    <w:rsid w:val="00432AD1"/>
    <w:rsid w:val="00432B52"/>
    <w:rsid w:val="00433494"/>
    <w:rsid w:val="00434140"/>
    <w:rsid w:val="00435826"/>
    <w:rsid w:val="0043612C"/>
    <w:rsid w:val="004375AF"/>
    <w:rsid w:val="004376B9"/>
    <w:rsid w:val="00437BA7"/>
    <w:rsid w:val="00440848"/>
    <w:rsid w:val="00441DC6"/>
    <w:rsid w:val="00441EE4"/>
    <w:rsid w:val="004422D6"/>
    <w:rsid w:val="0044490E"/>
    <w:rsid w:val="00446E21"/>
    <w:rsid w:val="00447165"/>
    <w:rsid w:val="00447729"/>
    <w:rsid w:val="00452F9A"/>
    <w:rsid w:val="00457110"/>
    <w:rsid w:val="00460D1C"/>
    <w:rsid w:val="00463B6A"/>
    <w:rsid w:val="00464311"/>
    <w:rsid w:val="00466026"/>
    <w:rsid w:val="0046603E"/>
    <w:rsid w:val="00466082"/>
    <w:rsid w:val="0046653B"/>
    <w:rsid w:val="0046694E"/>
    <w:rsid w:val="00472B78"/>
    <w:rsid w:val="0047380F"/>
    <w:rsid w:val="0047426F"/>
    <w:rsid w:val="0047453E"/>
    <w:rsid w:val="004746AD"/>
    <w:rsid w:val="00475F18"/>
    <w:rsid w:val="00477514"/>
    <w:rsid w:val="004779F8"/>
    <w:rsid w:val="00480824"/>
    <w:rsid w:val="00480D03"/>
    <w:rsid w:val="00480ECA"/>
    <w:rsid w:val="004861E4"/>
    <w:rsid w:val="0048674D"/>
    <w:rsid w:val="004870BB"/>
    <w:rsid w:val="004872D8"/>
    <w:rsid w:val="0048754A"/>
    <w:rsid w:val="00487C10"/>
    <w:rsid w:val="00490A62"/>
    <w:rsid w:val="0049241A"/>
    <w:rsid w:val="004956F3"/>
    <w:rsid w:val="004974CD"/>
    <w:rsid w:val="004A0085"/>
    <w:rsid w:val="004A0106"/>
    <w:rsid w:val="004A0F49"/>
    <w:rsid w:val="004A34D2"/>
    <w:rsid w:val="004A4F76"/>
    <w:rsid w:val="004A6841"/>
    <w:rsid w:val="004A7B59"/>
    <w:rsid w:val="004B0B42"/>
    <w:rsid w:val="004B353C"/>
    <w:rsid w:val="004B6500"/>
    <w:rsid w:val="004B6E7D"/>
    <w:rsid w:val="004B7D5F"/>
    <w:rsid w:val="004C246A"/>
    <w:rsid w:val="004C31AF"/>
    <w:rsid w:val="004C3ADF"/>
    <w:rsid w:val="004C3BA4"/>
    <w:rsid w:val="004C59F7"/>
    <w:rsid w:val="004C60C5"/>
    <w:rsid w:val="004C755C"/>
    <w:rsid w:val="004C7603"/>
    <w:rsid w:val="004D087D"/>
    <w:rsid w:val="004D22DE"/>
    <w:rsid w:val="004D4A87"/>
    <w:rsid w:val="004D52FA"/>
    <w:rsid w:val="004D53FA"/>
    <w:rsid w:val="004D5756"/>
    <w:rsid w:val="004D63F7"/>
    <w:rsid w:val="004D65AC"/>
    <w:rsid w:val="004D702B"/>
    <w:rsid w:val="004D7944"/>
    <w:rsid w:val="004D7D21"/>
    <w:rsid w:val="004D7D41"/>
    <w:rsid w:val="004D7FB4"/>
    <w:rsid w:val="004E07A4"/>
    <w:rsid w:val="004E0B45"/>
    <w:rsid w:val="004E4C6D"/>
    <w:rsid w:val="004E5463"/>
    <w:rsid w:val="004F1425"/>
    <w:rsid w:val="004F16DB"/>
    <w:rsid w:val="004F30F8"/>
    <w:rsid w:val="004F3492"/>
    <w:rsid w:val="004F3517"/>
    <w:rsid w:val="004F3CDF"/>
    <w:rsid w:val="004F510B"/>
    <w:rsid w:val="004F5B24"/>
    <w:rsid w:val="004F6048"/>
    <w:rsid w:val="0050024A"/>
    <w:rsid w:val="00501473"/>
    <w:rsid w:val="00504A42"/>
    <w:rsid w:val="005051F8"/>
    <w:rsid w:val="0051074C"/>
    <w:rsid w:val="00510CF8"/>
    <w:rsid w:val="005112E4"/>
    <w:rsid w:val="00511922"/>
    <w:rsid w:val="00513AF2"/>
    <w:rsid w:val="00514439"/>
    <w:rsid w:val="00514D99"/>
    <w:rsid w:val="00514E3C"/>
    <w:rsid w:val="00515D32"/>
    <w:rsid w:val="0051759B"/>
    <w:rsid w:val="005216C1"/>
    <w:rsid w:val="00523703"/>
    <w:rsid w:val="00525997"/>
    <w:rsid w:val="00525FE7"/>
    <w:rsid w:val="005265E4"/>
    <w:rsid w:val="00526943"/>
    <w:rsid w:val="00527E3C"/>
    <w:rsid w:val="0053038B"/>
    <w:rsid w:val="0053170C"/>
    <w:rsid w:val="00531D5C"/>
    <w:rsid w:val="00532B96"/>
    <w:rsid w:val="00535106"/>
    <w:rsid w:val="005355D8"/>
    <w:rsid w:val="00535A34"/>
    <w:rsid w:val="0054155D"/>
    <w:rsid w:val="00542B62"/>
    <w:rsid w:val="00542BA7"/>
    <w:rsid w:val="0054413A"/>
    <w:rsid w:val="0054713D"/>
    <w:rsid w:val="005472F5"/>
    <w:rsid w:val="00550567"/>
    <w:rsid w:val="00550D93"/>
    <w:rsid w:val="005514ED"/>
    <w:rsid w:val="00554A77"/>
    <w:rsid w:val="005564CA"/>
    <w:rsid w:val="005601A8"/>
    <w:rsid w:val="00561506"/>
    <w:rsid w:val="0056182B"/>
    <w:rsid w:val="005622EB"/>
    <w:rsid w:val="00562332"/>
    <w:rsid w:val="00565AA1"/>
    <w:rsid w:val="0056728F"/>
    <w:rsid w:val="00567F3B"/>
    <w:rsid w:val="00570F08"/>
    <w:rsid w:val="005721B3"/>
    <w:rsid w:val="00573815"/>
    <w:rsid w:val="005756AA"/>
    <w:rsid w:val="00575A1C"/>
    <w:rsid w:val="0057646F"/>
    <w:rsid w:val="00577148"/>
    <w:rsid w:val="00582AE3"/>
    <w:rsid w:val="00584D9E"/>
    <w:rsid w:val="0058674C"/>
    <w:rsid w:val="0058679D"/>
    <w:rsid w:val="00586BDB"/>
    <w:rsid w:val="005879CA"/>
    <w:rsid w:val="00590380"/>
    <w:rsid w:val="005930B1"/>
    <w:rsid w:val="005940F3"/>
    <w:rsid w:val="00596896"/>
    <w:rsid w:val="00597412"/>
    <w:rsid w:val="005A0414"/>
    <w:rsid w:val="005A119F"/>
    <w:rsid w:val="005A1645"/>
    <w:rsid w:val="005A2130"/>
    <w:rsid w:val="005A4FC5"/>
    <w:rsid w:val="005A6AB9"/>
    <w:rsid w:val="005A7DBD"/>
    <w:rsid w:val="005B1144"/>
    <w:rsid w:val="005B4267"/>
    <w:rsid w:val="005B5BE2"/>
    <w:rsid w:val="005B7143"/>
    <w:rsid w:val="005B753A"/>
    <w:rsid w:val="005C00FA"/>
    <w:rsid w:val="005C343C"/>
    <w:rsid w:val="005C3BE4"/>
    <w:rsid w:val="005C5C9A"/>
    <w:rsid w:val="005C6A48"/>
    <w:rsid w:val="005C6C85"/>
    <w:rsid w:val="005C7184"/>
    <w:rsid w:val="005D1BC0"/>
    <w:rsid w:val="005D3155"/>
    <w:rsid w:val="005D35B6"/>
    <w:rsid w:val="005D36B1"/>
    <w:rsid w:val="005D4AEF"/>
    <w:rsid w:val="005D4E8A"/>
    <w:rsid w:val="005D50CE"/>
    <w:rsid w:val="005D51FA"/>
    <w:rsid w:val="005D5AC2"/>
    <w:rsid w:val="005D5B90"/>
    <w:rsid w:val="005D791B"/>
    <w:rsid w:val="005E01CE"/>
    <w:rsid w:val="005E09A6"/>
    <w:rsid w:val="005E139E"/>
    <w:rsid w:val="005E1974"/>
    <w:rsid w:val="005E3B5B"/>
    <w:rsid w:val="005E4765"/>
    <w:rsid w:val="005E5697"/>
    <w:rsid w:val="005E7B52"/>
    <w:rsid w:val="005F055F"/>
    <w:rsid w:val="005F0F4B"/>
    <w:rsid w:val="005F1B0F"/>
    <w:rsid w:val="005F317C"/>
    <w:rsid w:val="005F37CD"/>
    <w:rsid w:val="005F3CD0"/>
    <w:rsid w:val="005F51FB"/>
    <w:rsid w:val="005F53B6"/>
    <w:rsid w:val="005F599B"/>
    <w:rsid w:val="005F650A"/>
    <w:rsid w:val="005F68F7"/>
    <w:rsid w:val="005F788C"/>
    <w:rsid w:val="0060070B"/>
    <w:rsid w:val="00602708"/>
    <w:rsid w:val="00603E4D"/>
    <w:rsid w:val="00603FBE"/>
    <w:rsid w:val="00604893"/>
    <w:rsid w:val="00604A86"/>
    <w:rsid w:val="00604B04"/>
    <w:rsid w:val="006058F6"/>
    <w:rsid w:val="00611365"/>
    <w:rsid w:val="00611ED9"/>
    <w:rsid w:val="00612C51"/>
    <w:rsid w:val="00612C53"/>
    <w:rsid w:val="00613FDA"/>
    <w:rsid w:val="006146F1"/>
    <w:rsid w:val="00614817"/>
    <w:rsid w:val="00616E1F"/>
    <w:rsid w:val="0061796C"/>
    <w:rsid w:val="00620FE8"/>
    <w:rsid w:val="00621021"/>
    <w:rsid w:val="00621A1E"/>
    <w:rsid w:val="006230B0"/>
    <w:rsid w:val="00623D2C"/>
    <w:rsid w:val="00624498"/>
    <w:rsid w:val="0062724E"/>
    <w:rsid w:val="00630D7C"/>
    <w:rsid w:val="006318E7"/>
    <w:rsid w:val="00631CE1"/>
    <w:rsid w:val="0063224F"/>
    <w:rsid w:val="0063269D"/>
    <w:rsid w:val="00633DBF"/>
    <w:rsid w:val="00633DC6"/>
    <w:rsid w:val="006341BB"/>
    <w:rsid w:val="00635DED"/>
    <w:rsid w:val="0063667E"/>
    <w:rsid w:val="006421F8"/>
    <w:rsid w:val="00643B51"/>
    <w:rsid w:val="006441CE"/>
    <w:rsid w:val="006447B9"/>
    <w:rsid w:val="00644D7F"/>
    <w:rsid w:val="0064514E"/>
    <w:rsid w:val="0064582D"/>
    <w:rsid w:val="00650FE8"/>
    <w:rsid w:val="006518DC"/>
    <w:rsid w:val="00652BAA"/>
    <w:rsid w:val="00653CA3"/>
    <w:rsid w:val="00654069"/>
    <w:rsid w:val="00655371"/>
    <w:rsid w:val="006559E3"/>
    <w:rsid w:val="00657259"/>
    <w:rsid w:val="00657446"/>
    <w:rsid w:val="00660D51"/>
    <w:rsid w:val="00662C7E"/>
    <w:rsid w:val="0066325D"/>
    <w:rsid w:val="00667768"/>
    <w:rsid w:val="006678A3"/>
    <w:rsid w:val="00667E0E"/>
    <w:rsid w:val="00670466"/>
    <w:rsid w:val="0067148D"/>
    <w:rsid w:val="0067157B"/>
    <w:rsid w:val="00672272"/>
    <w:rsid w:val="006728A0"/>
    <w:rsid w:val="006734E6"/>
    <w:rsid w:val="006748E0"/>
    <w:rsid w:val="00674F99"/>
    <w:rsid w:val="006807C6"/>
    <w:rsid w:val="00680B58"/>
    <w:rsid w:val="00681971"/>
    <w:rsid w:val="00681EED"/>
    <w:rsid w:val="00682E7B"/>
    <w:rsid w:val="006852F3"/>
    <w:rsid w:val="006906D4"/>
    <w:rsid w:val="0069141C"/>
    <w:rsid w:val="006919EA"/>
    <w:rsid w:val="00691AAC"/>
    <w:rsid w:val="00692992"/>
    <w:rsid w:val="00692F57"/>
    <w:rsid w:val="00693CE0"/>
    <w:rsid w:val="006954E4"/>
    <w:rsid w:val="00695B70"/>
    <w:rsid w:val="00697665"/>
    <w:rsid w:val="00697742"/>
    <w:rsid w:val="00697C55"/>
    <w:rsid w:val="00697DD0"/>
    <w:rsid w:val="006A0EB7"/>
    <w:rsid w:val="006A13BE"/>
    <w:rsid w:val="006A6ACB"/>
    <w:rsid w:val="006A7BB4"/>
    <w:rsid w:val="006A7CB5"/>
    <w:rsid w:val="006A7FD0"/>
    <w:rsid w:val="006B064B"/>
    <w:rsid w:val="006B08EC"/>
    <w:rsid w:val="006B0C4E"/>
    <w:rsid w:val="006B2398"/>
    <w:rsid w:val="006B24DE"/>
    <w:rsid w:val="006B2D45"/>
    <w:rsid w:val="006B318A"/>
    <w:rsid w:val="006B39D4"/>
    <w:rsid w:val="006B5051"/>
    <w:rsid w:val="006B5FA9"/>
    <w:rsid w:val="006C06E6"/>
    <w:rsid w:val="006C116D"/>
    <w:rsid w:val="006C132E"/>
    <w:rsid w:val="006C1463"/>
    <w:rsid w:val="006C18C1"/>
    <w:rsid w:val="006C1A72"/>
    <w:rsid w:val="006C2816"/>
    <w:rsid w:val="006C2A51"/>
    <w:rsid w:val="006C2B00"/>
    <w:rsid w:val="006C3B52"/>
    <w:rsid w:val="006C6EE9"/>
    <w:rsid w:val="006C771B"/>
    <w:rsid w:val="006C7CD4"/>
    <w:rsid w:val="006C7EC1"/>
    <w:rsid w:val="006C7F3D"/>
    <w:rsid w:val="006D0BAE"/>
    <w:rsid w:val="006D2519"/>
    <w:rsid w:val="006D5552"/>
    <w:rsid w:val="006D5B2B"/>
    <w:rsid w:val="006D7687"/>
    <w:rsid w:val="006D7CF6"/>
    <w:rsid w:val="006E0572"/>
    <w:rsid w:val="006E131E"/>
    <w:rsid w:val="006E170C"/>
    <w:rsid w:val="006E19D3"/>
    <w:rsid w:val="006E1E98"/>
    <w:rsid w:val="006E37FA"/>
    <w:rsid w:val="006E4AF7"/>
    <w:rsid w:val="006E66D9"/>
    <w:rsid w:val="006F3617"/>
    <w:rsid w:val="006F4EB3"/>
    <w:rsid w:val="006F56C4"/>
    <w:rsid w:val="006F6168"/>
    <w:rsid w:val="006F7679"/>
    <w:rsid w:val="00700B57"/>
    <w:rsid w:val="007014F8"/>
    <w:rsid w:val="00705403"/>
    <w:rsid w:val="00705631"/>
    <w:rsid w:val="00706C8B"/>
    <w:rsid w:val="00707531"/>
    <w:rsid w:val="00710134"/>
    <w:rsid w:val="00711205"/>
    <w:rsid w:val="007136AC"/>
    <w:rsid w:val="00715437"/>
    <w:rsid w:val="00715EAA"/>
    <w:rsid w:val="007168C5"/>
    <w:rsid w:val="00716CC3"/>
    <w:rsid w:val="00720050"/>
    <w:rsid w:val="007213F0"/>
    <w:rsid w:val="00722293"/>
    <w:rsid w:val="00723B38"/>
    <w:rsid w:val="00723E02"/>
    <w:rsid w:val="00724D11"/>
    <w:rsid w:val="00725F33"/>
    <w:rsid w:val="00726F60"/>
    <w:rsid w:val="00733A50"/>
    <w:rsid w:val="00733BCA"/>
    <w:rsid w:val="0073441F"/>
    <w:rsid w:val="0073589B"/>
    <w:rsid w:val="00735AEF"/>
    <w:rsid w:val="00740655"/>
    <w:rsid w:val="007412B8"/>
    <w:rsid w:val="00741A9E"/>
    <w:rsid w:val="00742281"/>
    <w:rsid w:val="00742DD2"/>
    <w:rsid w:val="00746E08"/>
    <w:rsid w:val="00747C96"/>
    <w:rsid w:val="007503E9"/>
    <w:rsid w:val="0075094E"/>
    <w:rsid w:val="007522E8"/>
    <w:rsid w:val="00755CC4"/>
    <w:rsid w:val="0075647A"/>
    <w:rsid w:val="007572F9"/>
    <w:rsid w:val="00760166"/>
    <w:rsid w:val="00762948"/>
    <w:rsid w:val="00762F48"/>
    <w:rsid w:val="007634AD"/>
    <w:rsid w:val="00764011"/>
    <w:rsid w:val="0076432E"/>
    <w:rsid w:val="007668D9"/>
    <w:rsid w:val="00766A70"/>
    <w:rsid w:val="0077057C"/>
    <w:rsid w:val="007707A7"/>
    <w:rsid w:val="00770B28"/>
    <w:rsid w:val="00771DF3"/>
    <w:rsid w:val="00773CB2"/>
    <w:rsid w:val="00775563"/>
    <w:rsid w:val="00776689"/>
    <w:rsid w:val="0078122E"/>
    <w:rsid w:val="00783A83"/>
    <w:rsid w:val="00790661"/>
    <w:rsid w:val="00792E66"/>
    <w:rsid w:val="00792F13"/>
    <w:rsid w:val="007930A5"/>
    <w:rsid w:val="00793373"/>
    <w:rsid w:val="00793E57"/>
    <w:rsid w:val="00794007"/>
    <w:rsid w:val="007941F9"/>
    <w:rsid w:val="00795647"/>
    <w:rsid w:val="007973B1"/>
    <w:rsid w:val="007A174B"/>
    <w:rsid w:val="007A3611"/>
    <w:rsid w:val="007A4FE3"/>
    <w:rsid w:val="007A5737"/>
    <w:rsid w:val="007A6125"/>
    <w:rsid w:val="007A76FC"/>
    <w:rsid w:val="007B0854"/>
    <w:rsid w:val="007B1ACE"/>
    <w:rsid w:val="007B27D7"/>
    <w:rsid w:val="007B2D7A"/>
    <w:rsid w:val="007B3B33"/>
    <w:rsid w:val="007B4F45"/>
    <w:rsid w:val="007B4F4C"/>
    <w:rsid w:val="007B5E18"/>
    <w:rsid w:val="007B660A"/>
    <w:rsid w:val="007C0AB3"/>
    <w:rsid w:val="007C15C8"/>
    <w:rsid w:val="007C209F"/>
    <w:rsid w:val="007C22B6"/>
    <w:rsid w:val="007C2357"/>
    <w:rsid w:val="007C24C8"/>
    <w:rsid w:val="007C2D7E"/>
    <w:rsid w:val="007C33A6"/>
    <w:rsid w:val="007C4A1C"/>
    <w:rsid w:val="007C4BE5"/>
    <w:rsid w:val="007C4E7C"/>
    <w:rsid w:val="007C58BD"/>
    <w:rsid w:val="007C5C1C"/>
    <w:rsid w:val="007D00BD"/>
    <w:rsid w:val="007D01F0"/>
    <w:rsid w:val="007D0B72"/>
    <w:rsid w:val="007D3671"/>
    <w:rsid w:val="007D4919"/>
    <w:rsid w:val="007D4DBE"/>
    <w:rsid w:val="007D5C3E"/>
    <w:rsid w:val="007D6C71"/>
    <w:rsid w:val="007D7901"/>
    <w:rsid w:val="007D7DD8"/>
    <w:rsid w:val="007E02AE"/>
    <w:rsid w:val="007E0C58"/>
    <w:rsid w:val="007E1312"/>
    <w:rsid w:val="007E25A3"/>
    <w:rsid w:val="007E3638"/>
    <w:rsid w:val="007E3ACA"/>
    <w:rsid w:val="007E5C16"/>
    <w:rsid w:val="007E676C"/>
    <w:rsid w:val="007E7A93"/>
    <w:rsid w:val="007F15AE"/>
    <w:rsid w:val="007F1C69"/>
    <w:rsid w:val="007F51B0"/>
    <w:rsid w:val="007F54FB"/>
    <w:rsid w:val="007F5623"/>
    <w:rsid w:val="007F573F"/>
    <w:rsid w:val="007F6A64"/>
    <w:rsid w:val="007F6B46"/>
    <w:rsid w:val="007F6D80"/>
    <w:rsid w:val="007F72CB"/>
    <w:rsid w:val="00800C47"/>
    <w:rsid w:val="0080224B"/>
    <w:rsid w:val="0080370F"/>
    <w:rsid w:val="0080514C"/>
    <w:rsid w:val="00806A11"/>
    <w:rsid w:val="00806AD5"/>
    <w:rsid w:val="00810C5F"/>
    <w:rsid w:val="008132FA"/>
    <w:rsid w:val="00813988"/>
    <w:rsid w:val="00814E0D"/>
    <w:rsid w:val="0081553B"/>
    <w:rsid w:val="00815BCC"/>
    <w:rsid w:val="008160B2"/>
    <w:rsid w:val="00817744"/>
    <w:rsid w:val="00817C29"/>
    <w:rsid w:val="0082011E"/>
    <w:rsid w:val="0082065D"/>
    <w:rsid w:val="00820A37"/>
    <w:rsid w:val="008217B7"/>
    <w:rsid w:val="00824BF9"/>
    <w:rsid w:val="00830018"/>
    <w:rsid w:val="00830303"/>
    <w:rsid w:val="0083119B"/>
    <w:rsid w:val="008326A3"/>
    <w:rsid w:val="00833039"/>
    <w:rsid w:val="00835917"/>
    <w:rsid w:val="00836A52"/>
    <w:rsid w:val="00836EAB"/>
    <w:rsid w:val="0083782B"/>
    <w:rsid w:val="008403F6"/>
    <w:rsid w:val="00840960"/>
    <w:rsid w:val="00840A52"/>
    <w:rsid w:val="008420C6"/>
    <w:rsid w:val="008445AD"/>
    <w:rsid w:val="00844864"/>
    <w:rsid w:val="00845AF5"/>
    <w:rsid w:val="00846235"/>
    <w:rsid w:val="00846B3D"/>
    <w:rsid w:val="0085092D"/>
    <w:rsid w:val="00850F79"/>
    <w:rsid w:val="00851723"/>
    <w:rsid w:val="00851D62"/>
    <w:rsid w:val="00853074"/>
    <w:rsid w:val="00853AE0"/>
    <w:rsid w:val="00853AF8"/>
    <w:rsid w:val="00854D44"/>
    <w:rsid w:val="00854DB7"/>
    <w:rsid w:val="00857EEA"/>
    <w:rsid w:val="0086121D"/>
    <w:rsid w:val="00861F54"/>
    <w:rsid w:val="0086218A"/>
    <w:rsid w:val="008632AF"/>
    <w:rsid w:val="00864821"/>
    <w:rsid w:val="008654BA"/>
    <w:rsid w:val="00870AF9"/>
    <w:rsid w:val="00871990"/>
    <w:rsid w:val="00872A2E"/>
    <w:rsid w:val="008749A9"/>
    <w:rsid w:val="00876146"/>
    <w:rsid w:val="0087668B"/>
    <w:rsid w:val="00876868"/>
    <w:rsid w:val="00876C3A"/>
    <w:rsid w:val="008770F7"/>
    <w:rsid w:val="00880378"/>
    <w:rsid w:val="00880D11"/>
    <w:rsid w:val="00881812"/>
    <w:rsid w:val="00881A23"/>
    <w:rsid w:val="00882C43"/>
    <w:rsid w:val="00882F5E"/>
    <w:rsid w:val="0088409B"/>
    <w:rsid w:val="0088434E"/>
    <w:rsid w:val="0088605D"/>
    <w:rsid w:val="00886E97"/>
    <w:rsid w:val="00887C57"/>
    <w:rsid w:val="00890D42"/>
    <w:rsid w:val="00891FB0"/>
    <w:rsid w:val="008927F9"/>
    <w:rsid w:val="0089306D"/>
    <w:rsid w:val="00894211"/>
    <w:rsid w:val="00894D5C"/>
    <w:rsid w:val="0089774F"/>
    <w:rsid w:val="008A18EE"/>
    <w:rsid w:val="008A1C35"/>
    <w:rsid w:val="008A1C99"/>
    <w:rsid w:val="008A1E91"/>
    <w:rsid w:val="008A2523"/>
    <w:rsid w:val="008A2550"/>
    <w:rsid w:val="008A2823"/>
    <w:rsid w:val="008A3153"/>
    <w:rsid w:val="008A383B"/>
    <w:rsid w:val="008A4934"/>
    <w:rsid w:val="008A519B"/>
    <w:rsid w:val="008A7EB2"/>
    <w:rsid w:val="008B1829"/>
    <w:rsid w:val="008B2C6A"/>
    <w:rsid w:val="008B3AED"/>
    <w:rsid w:val="008B5BDA"/>
    <w:rsid w:val="008B6265"/>
    <w:rsid w:val="008B6B7E"/>
    <w:rsid w:val="008C30C7"/>
    <w:rsid w:val="008C34B5"/>
    <w:rsid w:val="008C3736"/>
    <w:rsid w:val="008C4741"/>
    <w:rsid w:val="008C4BF8"/>
    <w:rsid w:val="008C6F87"/>
    <w:rsid w:val="008C7C2E"/>
    <w:rsid w:val="008D1EFE"/>
    <w:rsid w:val="008D271F"/>
    <w:rsid w:val="008D36DB"/>
    <w:rsid w:val="008D46D3"/>
    <w:rsid w:val="008D56BF"/>
    <w:rsid w:val="008D572E"/>
    <w:rsid w:val="008D711B"/>
    <w:rsid w:val="008D7643"/>
    <w:rsid w:val="008D79F4"/>
    <w:rsid w:val="008D7EE7"/>
    <w:rsid w:val="008E1C15"/>
    <w:rsid w:val="008E35DC"/>
    <w:rsid w:val="008E3C08"/>
    <w:rsid w:val="008E4E6A"/>
    <w:rsid w:val="008E5687"/>
    <w:rsid w:val="008E7DBB"/>
    <w:rsid w:val="008F0B5E"/>
    <w:rsid w:val="008F2D5F"/>
    <w:rsid w:val="008F39C7"/>
    <w:rsid w:val="008F538E"/>
    <w:rsid w:val="008F5551"/>
    <w:rsid w:val="008F6CB0"/>
    <w:rsid w:val="008F7712"/>
    <w:rsid w:val="00900304"/>
    <w:rsid w:val="00900817"/>
    <w:rsid w:val="009008CF"/>
    <w:rsid w:val="00900F40"/>
    <w:rsid w:val="009037EE"/>
    <w:rsid w:val="00904534"/>
    <w:rsid w:val="00904785"/>
    <w:rsid w:val="009047C5"/>
    <w:rsid w:val="009065BE"/>
    <w:rsid w:val="00906A56"/>
    <w:rsid w:val="0091187A"/>
    <w:rsid w:val="00911E11"/>
    <w:rsid w:val="009139FF"/>
    <w:rsid w:val="00913DEE"/>
    <w:rsid w:val="00914DA0"/>
    <w:rsid w:val="00914F6A"/>
    <w:rsid w:val="0091577A"/>
    <w:rsid w:val="00915799"/>
    <w:rsid w:val="00915933"/>
    <w:rsid w:val="00915B66"/>
    <w:rsid w:val="00916D58"/>
    <w:rsid w:val="009173EE"/>
    <w:rsid w:val="0091758D"/>
    <w:rsid w:val="00917D8E"/>
    <w:rsid w:val="00920A32"/>
    <w:rsid w:val="00921674"/>
    <w:rsid w:val="009224E5"/>
    <w:rsid w:val="00922597"/>
    <w:rsid w:val="00922786"/>
    <w:rsid w:val="009234B9"/>
    <w:rsid w:val="00923802"/>
    <w:rsid w:val="009246D0"/>
    <w:rsid w:val="00924C63"/>
    <w:rsid w:val="00927D00"/>
    <w:rsid w:val="009350C1"/>
    <w:rsid w:val="009368B9"/>
    <w:rsid w:val="00937020"/>
    <w:rsid w:val="00940DB9"/>
    <w:rsid w:val="009443C9"/>
    <w:rsid w:val="0094567D"/>
    <w:rsid w:val="009458F0"/>
    <w:rsid w:val="00946A8B"/>
    <w:rsid w:val="009471A0"/>
    <w:rsid w:val="00947622"/>
    <w:rsid w:val="00951621"/>
    <w:rsid w:val="00952E98"/>
    <w:rsid w:val="0095385A"/>
    <w:rsid w:val="00955202"/>
    <w:rsid w:val="00955B44"/>
    <w:rsid w:val="00956821"/>
    <w:rsid w:val="00960E56"/>
    <w:rsid w:val="00961359"/>
    <w:rsid w:val="0096437B"/>
    <w:rsid w:val="00964425"/>
    <w:rsid w:val="00964942"/>
    <w:rsid w:val="009658C0"/>
    <w:rsid w:val="00966479"/>
    <w:rsid w:val="00967268"/>
    <w:rsid w:val="00967CD8"/>
    <w:rsid w:val="00970437"/>
    <w:rsid w:val="00971F9D"/>
    <w:rsid w:val="00971FAB"/>
    <w:rsid w:val="009726BB"/>
    <w:rsid w:val="00972851"/>
    <w:rsid w:val="0097606C"/>
    <w:rsid w:val="00976295"/>
    <w:rsid w:val="00980731"/>
    <w:rsid w:val="00981216"/>
    <w:rsid w:val="00982027"/>
    <w:rsid w:val="009820DB"/>
    <w:rsid w:val="0098238F"/>
    <w:rsid w:val="0098489D"/>
    <w:rsid w:val="00984AB9"/>
    <w:rsid w:val="0098623D"/>
    <w:rsid w:val="00987544"/>
    <w:rsid w:val="009900DC"/>
    <w:rsid w:val="009906BE"/>
    <w:rsid w:val="0099095D"/>
    <w:rsid w:val="009916A7"/>
    <w:rsid w:val="00992127"/>
    <w:rsid w:val="009922C8"/>
    <w:rsid w:val="0099237F"/>
    <w:rsid w:val="0099262B"/>
    <w:rsid w:val="00994DF5"/>
    <w:rsid w:val="00994E2D"/>
    <w:rsid w:val="009976EE"/>
    <w:rsid w:val="009A0F94"/>
    <w:rsid w:val="009A2B57"/>
    <w:rsid w:val="009A3569"/>
    <w:rsid w:val="009A3A96"/>
    <w:rsid w:val="009A430E"/>
    <w:rsid w:val="009A4826"/>
    <w:rsid w:val="009A60FC"/>
    <w:rsid w:val="009A758C"/>
    <w:rsid w:val="009B031D"/>
    <w:rsid w:val="009B1789"/>
    <w:rsid w:val="009B4776"/>
    <w:rsid w:val="009B512E"/>
    <w:rsid w:val="009B5190"/>
    <w:rsid w:val="009B61A4"/>
    <w:rsid w:val="009C0D78"/>
    <w:rsid w:val="009C31BE"/>
    <w:rsid w:val="009C37DC"/>
    <w:rsid w:val="009C57EF"/>
    <w:rsid w:val="009C6959"/>
    <w:rsid w:val="009C713B"/>
    <w:rsid w:val="009D07A2"/>
    <w:rsid w:val="009D3CF6"/>
    <w:rsid w:val="009D4945"/>
    <w:rsid w:val="009D4B2F"/>
    <w:rsid w:val="009D5C7D"/>
    <w:rsid w:val="009D6E69"/>
    <w:rsid w:val="009E0147"/>
    <w:rsid w:val="009E0B9D"/>
    <w:rsid w:val="009E30D4"/>
    <w:rsid w:val="009E4C7C"/>
    <w:rsid w:val="009E54F2"/>
    <w:rsid w:val="009E5853"/>
    <w:rsid w:val="009E64D5"/>
    <w:rsid w:val="009F246D"/>
    <w:rsid w:val="009F261D"/>
    <w:rsid w:val="009F290C"/>
    <w:rsid w:val="009F2D3F"/>
    <w:rsid w:val="009F3602"/>
    <w:rsid w:val="009F5096"/>
    <w:rsid w:val="009F55AB"/>
    <w:rsid w:val="009F59C2"/>
    <w:rsid w:val="009F78A0"/>
    <w:rsid w:val="009F7970"/>
    <w:rsid w:val="009F7B76"/>
    <w:rsid w:val="00A0103E"/>
    <w:rsid w:val="00A010FC"/>
    <w:rsid w:val="00A02213"/>
    <w:rsid w:val="00A03425"/>
    <w:rsid w:val="00A04977"/>
    <w:rsid w:val="00A04B5C"/>
    <w:rsid w:val="00A05140"/>
    <w:rsid w:val="00A0528D"/>
    <w:rsid w:val="00A066BD"/>
    <w:rsid w:val="00A10053"/>
    <w:rsid w:val="00A11895"/>
    <w:rsid w:val="00A13886"/>
    <w:rsid w:val="00A14415"/>
    <w:rsid w:val="00A146B7"/>
    <w:rsid w:val="00A16FAB"/>
    <w:rsid w:val="00A1798B"/>
    <w:rsid w:val="00A2084E"/>
    <w:rsid w:val="00A21B32"/>
    <w:rsid w:val="00A228C5"/>
    <w:rsid w:val="00A23693"/>
    <w:rsid w:val="00A23CE5"/>
    <w:rsid w:val="00A2433B"/>
    <w:rsid w:val="00A2439B"/>
    <w:rsid w:val="00A24560"/>
    <w:rsid w:val="00A24834"/>
    <w:rsid w:val="00A27708"/>
    <w:rsid w:val="00A32B79"/>
    <w:rsid w:val="00A3420B"/>
    <w:rsid w:val="00A34538"/>
    <w:rsid w:val="00A350AF"/>
    <w:rsid w:val="00A35AD8"/>
    <w:rsid w:val="00A37C18"/>
    <w:rsid w:val="00A37FB6"/>
    <w:rsid w:val="00A40A28"/>
    <w:rsid w:val="00A42365"/>
    <w:rsid w:val="00A426EC"/>
    <w:rsid w:val="00A462AB"/>
    <w:rsid w:val="00A500EF"/>
    <w:rsid w:val="00A51659"/>
    <w:rsid w:val="00A5350E"/>
    <w:rsid w:val="00A5539A"/>
    <w:rsid w:val="00A568F2"/>
    <w:rsid w:val="00A568F6"/>
    <w:rsid w:val="00A57160"/>
    <w:rsid w:val="00A6121B"/>
    <w:rsid w:val="00A61297"/>
    <w:rsid w:val="00A612F6"/>
    <w:rsid w:val="00A62322"/>
    <w:rsid w:val="00A65AD5"/>
    <w:rsid w:val="00A7090A"/>
    <w:rsid w:val="00A734C1"/>
    <w:rsid w:val="00A73C6F"/>
    <w:rsid w:val="00A74544"/>
    <w:rsid w:val="00A757E2"/>
    <w:rsid w:val="00A76B4F"/>
    <w:rsid w:val="00A771A5"/>
    <w:rsid w:val="00A82473"/>
    <w:rsid w:val="00A83087"/>
    <w:rsid w:val="00A83E55"/>
    <w:rsid w:val="00A83F78"/>
    <w:rsid w:val="00A8570E"/>
    <w:rsid w:val="00A87ECD"/>
    <w:rsid w:val="00A91BEA"/>
    <w:rsid w:val="00A920C4"/>
    <w:rsid w:val="00A944C2"/>
    <w:rsid w:val="00A9502E"/>
    <w:rsid w:val="00A95095"/>
    <w:rsid w:val="00A95142"/>
    <w:rsid w:val="00A957B9"/>
    <w:rsid w:val="00A9641E"/>
    <w:rsid w:val="00A97125"/>
    <w:rsid w:val="00A97234"/>
    <w:rsid w:val="00AA08E7"/>
    <w:rsid w:val="00AA0B78"/>
    <w:rsid w:val="00AA0BE1"/>
    <w:rsid w:val="00AA2094"/>
    <w:rsid w:val="00AA442B"/>
    <w:rsid w:val="00AA669D"/>
    <w:rsid w:val="00AA69BC"/>
    <w:rsid w:val="00AA7403"/>
    <w:rsid w:val="00AA7503"/>
    <w:rsid w:val="00AB0808"/>
    <w:rsid w:val="00AB3212"/>
    <w:rsid w:val="00AB35A6"/>
    <w:rsid w:val="00AB4250"/>
    <w:rsid w:val="00AB5852"/>
    <w:rsid w:val="00AB5969"/>
    <w:rsid w:val="00AB5C7F"/>
    <w:rsid w:val="00AB628F"/>
    <w:rsid w:val="00AB6591"/>
    <w:rsid w:val="00AC146A"/>
    <w:rsid w:val="00AC27E8"/>
    <w:rsid w:val="00AC4829"/>
    <w:rsid w:val="00AC514C"/>
    <w:rsid w:val="00AC5690"/>
    <w:rsid w:val="00AC5F3A"/>
    <w:rsid w:val="00AD1A73"/>
    <w:rsid w:val="00AD45E3"/>
    <w:rsid w:val="00AD615B"/>
    <w:rsid w:val="00AE08F9"/>
    <w:rsid w:val="00AE1539"/>
    <w:rsid w:val="00AE2D2E"/>
    <w:rsid w:val="00AE32F2"/>
    <w:rsid w:val="00AE4B35"/>
    <w:rsid w:val="00AE4C20"/>
    <w:rsid w:val="00AE5ABF"/>
    <w:rsid w:val="00AE61E1"/>
    <w:rsid w:val="00AE6434"/>
    <w:rsid w:val="00AE69A5"/>
    <w:rsid w:val="00AE6C09"/>
    <w:rsid w:val="00AE7779"/>
    <w:rsid w:val="00AF0BEC"/>
    <w:rsid w:val="00AF373E"/>
    <w:rsid w:val="00AF5043"/>
    <w:rsid w:val="00AF561D"/>
    <w:rsid w:val="00B000D8"/>
    <w:rsid w:val="00B012D7"/>
    <w:rsid w:val="00B02774"/>
    <w:rsid w:val="00B04012"/>
    <w:rsid w:val="00B04E6F"/>
    <w:rsid w:val="00B050B8"/>
    <w:rsid w:val="00B05411"/>
    <w:rsid w:val="00B0753B"/>
    <w:rsid w:val="00B07BA8"/>
    <w:rsid w:val="00B12F06"/>
    <w:rsid w:val="00B13EC0"/>
    <w:rsid w:val="00B16829"/>
    <w:rsid w:val="00B179C1"/>
    <w:rsid w:val="00B20525"/>
    <w:rsid w:val="00B20EE9"/>
    <w:rsid w:val="00B21442"/>
    <w:rsid w:val="00B22E22"/>
    <w:rsid w:val="00B2513E"/>
    <w:rsid w:val="00B2548B"/>
    <w:rsid w:val="00B25E66"/>
    <w:rsid w:val="00B27AD4"/>
    <w:rsid w:val="00B30086"/>
    <w:rsid w:val="00B31F22"/>
    <w:rsid w:val="00B32BCD"/>
    <w:rsid w:val="00B35625"/>
    <w:rsid w:val="00B359ED"/>
    <w:rsid w:val="00B36260"/>
    <w:rsid w:val="00B36832"/>
    <w:rsid w:val="00B37C00"/>
    <w:rsid w:val="00B40486"/>
    <w:rsid w:val="00B426AA"/>
    <w:rsid w:val="00B44270"/>
    <w:rsid w:val="00B44AD6"/>
    <w:rsid w:val="00B44E8E"/>
    <w:rsid w:val="00B46C42"/>
    <w:rsid w:val="00B51003"/>
    <w:rsid w:val="00B512FD"/>
    <w:rsid w:val="00B525CB"/>
    <w:rsid w:val="00B5487A"/>
    <w:rsid w:val="00B552B6"/>
    <w:rsid w:val="00B5546E"/>
    <w:rsid w:val="00B5566E"/>
    <w:rsid w:val="00B55851"/>
    <w:rsid w:val="00B5758A"/>
    <w:rsid w:val="00B57B27"/>
    <w:rsid w:val="00B60461"/>
    <w:rsid w:val="00B61B4F"/>
    <w:rsid w:val="00B62A61"/>
    <w:rsid w:val="00B62F95"/>
    <w:rsid w:val="00B633F9"/>
    <w:rsid w:val="00B63872"/>
    <w:rsid w:val="00B63CB2"/>
    <w:rsid w:val="00B641D9"/>
    <w:rsid w:val="00B64EDB"/>
    <w:rsid w:val="00B654E7"/>
    <w:rsid w:val="00B66578"/>
    <w:rsid w:val="00B71C79"/>
    <w:rsid w:val="00B7315F"/>
    <w:rsid w:val="00B750D9"/>
    <w:rsid w:val="00B76967"/>
    <w:rsid w:val="00B77F95"/>
    <w:rsid w:val="00B811E3"/>
    <w:rsid w:val="00B81F6E"/>
    <w:rsid w:val="00B84416"/>
    <w:rsid w:val="00B84BA7"/>
    <w:rsid w:val="00B85186"/>
    <w:rsid w:val="00B85857"/>
    <w:rsid w:val="00B91AF0"/>
    <w:rsid w:val="00B91B8E"/>
    <w:rsid w:val="00B9384C"/>
    <w:rsid w:val="00B93C9A"/>
    <w:rsid w:val="00B94548"/>
    <w:rsid w:val="00B955AB"/>
    <w:rsid w:val="00B95AC8"/>
    <w:rsid w:val="00B9618B"/>
    <w:rsid w:val="00B97E63"/>
    <w:rsid w:val="00BA19D8"/>
    <w:rsid w:val="00BA3286"/>
    <w:rsid w:val="00BA3871"/>
    <w:rsid w:val="00BA4D28"/>
    <w:rsid w:val="00BA4E77"/>
    <w:rsid w:val="00BA61CC"/>
    <w:rsid w:val="00BB00BC"/>
    <w:rsid w:val="00BB0864"/>
    <w:rsid w:val="00BB3B04"/>
    <w:rsid w:val="00BB3EE8"/>
    <w:rsid w:val="00BB584D"/>
    <w:rsid w:val="00BB7084"/>
    <w:rsid w:val="00BB7E79"/>
    <w:rsid w:val="00BC2704"/>
    <w:rsid w:val="00BC3A5B"/>
    <w:rsid w:val="00BC7280"/>
    <w:rsid w:val="00BD09A0"/>
    <w:rsid w:val="00BD0B11"/>
    <w:rsid w:val="00BD120E"/>
    <w:rsid w:val="00BD2036"/>
    <w:rsid w:val="00BD2700"/>
    <w:rsid w:val="00BD47CA"/>
    <w:rsid w:val="00BD5F2C"/>
    <w:rsid w:val="00BD78FE"/>
    <w:rsid w:val="00BE0AD3"/>
    <w:rsid w:val="00BE15DA"/>
    <w:rsid w:val="00BE16E8"/>
    <w:rsid w:val="00BE1CEA"/>
    <w:rsid w:val="00BE5743"/>
    <w:rsid w:val="00BE5EA8"/>
    <w:rsid w:val="00BE642B"/>
    <w:rsid w:val="00BE67A9"/>
    <w:rsid w:val="00BE72D6"/>
    <w:rsid w:val="00BF31BA"/>
    <w:rsid w:val="00BF5E9C"/>
    <w:rsid w:val="00BF6D9D"/>
    <w:rsid w:val="00BF7724"/>
    <w:rsid w:val="00C00B9C"/>
    <w:rsid w:val="00C014AB"/>
    <w:rsid w:val="00C0241E"/>
    <w:rsid w:val="00C02CA7"/>
    <w:rsid w:val="00C0362B"/>
    <w:rsid w:val="00C03773"/>
    <w:rsid w:val="00C0469E"/>
    <w:rsid w:val="00C055D5"/>
    <w:rsid w:val="00C06A57"/>
    <w:rsid w:val="00C06B30"/>
    <w:rsid w:val="00C079D2"/>
    <w:rsid w:val="00C07B9B"/>
    <w:rsid w:val="00C126E0"/>
    <w:rsid w:val="00C1486D"/>
    <w:rsid w:val="00C150F9"/>
    <w:rsid w:val="00C170AF"/>
    <w:rsid w:val="00C17E35"/>
    <w:rsid w:val="00C20738"/>
    <w:rsid w:val="00C20AB9"/>
    <w:rsid w:val="00C220CE"/>
    <w:rsid w:val="00C22BB6"/>
    <w:rsid w:val="00C24150"/>
    <w:rsid w:val="00C245B6"/>
    <w:rsid w:val="00C24D7E"/>
    <w:rsid w:val="00C269AB"/>
    <w:rsid w:val="00C27711"/>
    <w:rsid w:val="00C3033B"/>
    <w:rsid w:val="00C309CE"/>
    <w:rsid w:val="00C32018"/>
    <w:rsid w:val="00C32119"/>
    <w:rsid w:val="00C34208"/>
    <w:rsid w:val="00C366C4"/>
    <w:rsid w:val="00C373C2"/>
    <w:rsid w:val="00C374F0"/>
    <w:rsid w:val="00C404E4"/>
    <w:rsid w:val="00C42508"/>
    <w:rsid w:val="00C42C10"/>
    <w:rsid w:val="00C42D9F"/>
    <w:rsid w:val="00C4437C"/>
    <w:rsid w:val="00C50170"/>
    <w:rsid w:val="00C50A4B"/>
    <w:rsid w:val="00C516B0"/>
    <w:rsid w:val="00C5372F"/>
    <w:rsid w:val="00C54BAF"/>
    <w:rsid w:val="00C55B65"/>
    <w:rsid w:val="00C633A9"/>
    <w:rsid w:val="00C6465E"/>
    <w:rsid w:val="00C64743"/>
    <w:rsid w:val="00C64A86"/>
    <w:rsid w:val="00C64E43"/>
    <w:rsid w:val="00C6552A"/>
    <w:rsid w:val="00C65533"/>
    <w:rsid w:val="00C70B9D"/>
    <w:rsid w:val="00C75629"/>
    <w:rsid w:val="00C758C6"/>
    <w:rsid w:val="00C76212"/>
    <w:rsid w:val="00C76AD9"/>
    <w:rsid w:val="00C77849"/>
    <w:rsid w:val="00C77F03"/>
    <w:rsid w:val="00C818AF"/>
    <w:rsid w:val="00C81ADC"/>
    <w:rsid w:val="00C81F3D"/>
    <w:rsid w:val="00C822C2"/>
    <w:rsid w:val="00C841DD"/>
    <w:rsid w:val="00C843D2"/>
    <w:rsid w:val="00C8458D"/>
    <w:rsid w:val="00C863ED"/>
    <w:rsid w:val="00C8725E"/>
    <w:rsid w:val="00C90701"/>
    <w:rsid w:val="00C9106A"/>
    <w:rsid w:val="00C91242"/>
    <w:rsid w:val="00C91E8D"/>
    <w:rsid w:val="00C92ACE"/>
    <w:rsid w:val="00C937A8"/>
    <w:rsid w:val="00C9585F"/>
    <w:rsid w:val="00C96C1B"/>
    <w:rsid w:val="00C97401"/>
    <w:rsid w:val="00C97AAA"/>
    <w:rsid w:val="00CA059D"/>
    <w:rsid w:val="00CA2C72"/>
    <w:rsid w:val="00CA4651"/>
    <w:rsid w:val="00CA6FB7"/>
    <w:rsid w:val="00CA7385"/>
    <w:rsid w:val="00CB0765"/>
    <w:rsid w:val="00CB0F85"/>
    <w:rsid w:val="00CB2B36"/>
    <w:rsid w:val="00CB2C0F"/>
    <w:rsid w:val="00CB31A0"/>
    <w:rsid w:val="00CB42FC"/>
    <w:rsid w:val="00CB5943"/>
    <w:rsid w:val="00CB619A"/>
    <w:rsid w:val="00CB63B3"/>
    <w:rsid w:val="00CC00CD"/>
    <w:rsid w:val="00CC0339"/>
    <w:rsid w:val="00CC0B3D"/>
    <w:rsid w:val="00CC0E85"/>
    <w:rsid w:val="00CC475C"/>
    <w:rsid w:val="00CC4DF1"/>
    <w:rsid w:val="00CC748E"/>
    <w:rsid w:val="00CD2B8C"/>
    <w:rsid w:val="00CD4A86"/>
    <w:rsid w:val="00CD5576"/>
    <w:rsid w:val="00CD7E27"/>
    <w:rsid w:val="00CE12E2"/>
    <w:rsid w:val="00CE15B5"/>
    <w:rsid w:val="00CE2805"/>
    <w:rsid w:val="00CE4E6E"/>
    <w:rsid w:val="00CE7A1A"/>
    <w:rsid w:val="00CF02E0"/>
    <w:rsid w:val="00CF0701"/>
    <w:rsid w:val="00CF600D"/>
    <w:rsid w:val="00CF7275"/>
    <w:rsid w:val="00CF7A13"/>
    <w:rsid w:val="00D01760"/>
    <w:rsid w:val="00D01EBF"/>
    <w:rsid w:val="00D04192"/>
    <w:rsid w:val="00D06596"/>
    <w:rsid w:val="00D077EB"/>
    <w:rsid w:val="00D078B8"/>
    <w:rsid w:val="00D10800"/>
    <w:rsid w:val="00D12085"/>
    <w:rsid w:val="00D13D5F"/>
    <w:rsid w:val="00D15B95"/>
    <w:rsid w:val="00D16E39"/>
    <w:rsid w:val="00D170B9"/>
    <w:rsid w:val="00D17379"/>
    <w:rsid w:val="00D17985"/>
    <w:rsid w:val="00D1798A"/>
    <w:rsid w:val="00D21C43"/>
    <w:rsid w:val="00D220D3"/>
    <w:rsid w:val="00D2214A"/>
    <w:rsid w:val="00D223B6"/>
    <w:rsid w:val="00D22BEB"/>
    <w:rsid w:val="00D23AD8"/>
    <w:rsid w:val="00D2423E"/>
    <w:rsid w:val="00D24920"/>
    <w:rsid w:val="00D2686C"/>
    <w:rsid w:val="00D2699C"/>
    <w:rsid w:val="00D26B57"/>
    <w:rsid w:val="00D32A50"/>
    <w:rsid w:val="00D350DE"/>
    <w:rsid w:val="00D35709"/>
    <w:rsid w:val="00D35760"/>
    <w:rsid w:val="00D35FC1"/>
    <w:rsid w:val="00D41655"/>
    <w:rsid w:val="00D41EE1"/>
    <w:rsid w:val="00D42298"/>
    <w:rsid w:val="00D4320D"/>
    <w:rsid w:val="00D441AC"/>
    <w:rsid w:val="00D44E97"/>
    <w:rsid w:val="00D460D9"/>
    <w:rsid w:val="00D47709"/>
    <w:rsid w:val="00D506C0"/>
    <w:rsid w:val="00D525F7"/>
    <w:rsid w:val="00D53894"/>
    <w:rsid w:val="00D53C6C"/>
    <w:rsid w:val="00D54876"/>
    <w:rsid w:val="00D54C45"/>
    <w:rsid w:val="00D60327"/>
    <w:rsid w:val="00D641C3"/>
    <w:rsid w:val="00D64981"/>
    <w:rsid w:val="00D650B5"/>
    <w:rsid w:val="00D66C4F"/>
    <w:rsid w:val="00D679D8"/>
    <w:rsid w:val="00D7075B"/>
    <w:rsid w:val="00D710B9"/>
    <w:rsid w:val="00D71D22"/>
    <w:rsid w:val="00D72126"/>
    <w:rsid w:val="00D72E9D"/>
    <w:rsid w:val="00D73FA7"/>
    <w:rsid w:val="00D74765"/>
    <w:rsid w:val="00D7568C"/>
    <w:rsid w:val="00D7727A"/>
    <w:rsid w:val="00D805AB"/>
    <w:rsid w:val="00D82CE5"/>
    <w:rsid w:val="00D84FE0"/>
    <w:rsid w:val="00D85C8F"/>
    <w:rsid w:val="00D87181"/>
    <w:rsid w:val="00D8736E"/>
    <w:rsid w:val="00D90EFA"/>
    <w:rsid w:val="00D914DB"/>
    <w:rsid w:val="00D91B69"/>
    <w:rsid w:val="00D92770"/>
    <w:rsid w:val="00D93287"/>
    <w:rsid w:val="00D93661"/>
    <w:rsid w:val="00D94D04"/>
    <w:rsid w:val="00D95ECB"/>
    <w:rsid w:val="00D970D3"/>
    <w:rsid w:val="00D978B4"/>
    <w:rsid w:val="00D97DDD"/>
    <w:rsid w:val="00D97F9C"/>
    <w:rsid w:val="00DA2124"/>
    <w:rsid w:val="00DA41EF"/>
    <w:rsid w:val="00DA583D"/>
    <w:rsid w:val="00DA5AB1"/>
    <w:rsid w:val="00DA7B6E"/>
    <w:rsid w:val="00DA7CCA"/>
    <w:rsid w:val="00DB0DFA"/>
    <w:rsid w:val="00DB1542"/>
    <w:rsid w:val="00DB28B8"/>
    <w:rsid w:val="00DB3D31"/>
    <w:rsid w:val="00DB4E55"/>
    <w:rsid w:val="00DB6147"/>
    <w:rsid w:val="00DB6234"/>
    <w:rsid w:val="00DB68F9"/>
    <w:rsid w:val="00DB7DAF"/>
    <w:rsid w:val="00DC0208"/>
    <w:rsid w:val="00DC02B2"/>
    <w:rsid w:val="00DC1562"/>
    <w:rsid w:val="00DC29DB"/>
    <w:rsid w:val="00DC2AFD"/>
    <w:rsid w:val="00DC3544"/>
    <w:rsid w:val="00DC3A87"/>
    <w:rsid w:val="00DC4E41"/>
    <w:rsid w:val="00DC62E5"/>
    <w:rsid w:val="00DC743F"/>
    <w:rsid w:val="00DC78DC"/>
    <w:rsid w:val="00DD0BB0"/>
    <w:rsid w:val="00DD32A0"/>
    <w:rsid w:val="00DD3E02"/>
    <w:rsid w:val="00DD3E55"/>
    <w:rsid w:val="00DD451F"/>
    <w:rsid w:val="00DD47A2"/>
    <w:rsid w:val="00DD5A52"/>
    <w:rsid w:val="00DD652D"/>
    <w:rsid w:val="00DD6845"/>
    <w:rsid w:val="00DD6847"/>
    <w:rsid w:val="00DD735D"/>
    <w:rsid w:val="00DD7FA8"/>
    <w:rsid w:val="00DE247F"/>
    <w:rsid w:val="00DE308A"/>
    <w:rsid w:val="00DE3119"/>
    <w:rsid w:val="00DE3139"/>
    <w:rsid w:val="00DE5BCA"/>
    <w:rsid w:val="00DE6872"/>
    <w:rsid w:val="00DF20FB"/>
    <w:rsid w:val="00DF2128"/>
    <w:rsid w:val="00DF236B"/>
    <w:rsid w:val="00DF2804"/>
    <w:rsid w:val="00DF28C7"/>
    <w:rsid w:val="00DF3553"/>
    <w:rsid w:val="00DF3F8D"/>
    <w:rsid w:val="00DF6078"/>
    <w:rsid w:val="00DF64F5"/>
    <w:rsid w:val="00DF6AA5"/>
    <w:rsid w:val="00DF7086"/>
    <w:rsid w:val="00DF7F9E"/>
    <w:rsid w:val="00E00221"/>
    <w:rsid w:val="00E0048D"/>
    <w:rsid w:val="00E018F9"/>
    <w:rsid w:val="00E034F0"/>
    <w:rsid w:val="00E04A52"/>
    <w:rsid w:val="00E057C5"/>
    <w:rsid w:val="00E0677C"/>
    <w:rsid w:val="00E06A8D"/>
    <w:rsid w:val="00E10879"/>
    <w:rsid w:val="00E13AB8"/>
    <w:rsid w:val="00E13D3F"/>
    <w:rsid w:val="00E1640E"/>
    <w:rsid w:val="00E16924"/>
    <w:rsid w:val="00E17EA3"/>
    <w:rsid w:val="00E234D7"/>
    <w:rsid w:val="00E25CB3"/>
    <w:rsid w:val="00E27E15"/>
    <w:rsid w:val="00E3074B"/>
    <w:rsid w:val="00E31A47"/>
    <w:rsid w:val="00E32A49"/>
    <w:rsid w:val="00E335EF"/>
    <w:rsid w:val="00E33B62"/>
    <w:rsid w:val="00E34106"/>
    <w:rsid w:val="00E34DEB"/>
    <w:rsid w:val="00E354CF"/>
    <w:rsid w:val="00E356D7"/>
    <w:rsid w:val="00E36139"/>
    <w:rsid w:val="00E40D14"/>
    <w:rsid w:val="00E4143A"/>
    <w:rsid w:val="00E41823"/>
    <w:rsid w:val="00E41943"/>
    <w:rsid w:val="00E42461"/>
    <w:rsid w:val="00E42761"/>
    <w:rsid w:val="00E431A8"/>
    <w:rsid w:val="00E43624"/>
    <w:rsid w:val="00E44610"/>
    <w:rsid w:val="00E46137"/>
    <w:rsid w:val="00E50774"/>
    <w:rsid w:val="00E510C7"/>
    <w:rsid w:val="00E5199E"/>
    <w:rsid w:val="00E51CF8"/>
    <w:rsid w:val="00E53B77"/>
    <w:rsid w:val="00E54365"/>
    <w:rsid w:val="00E5462E"/>
    <w:rsid w:val="00E56EC0"/>
    <w:rsid w:val="00E57652"/>
    <w:rsid w:val="00E62C10"/>
    <w:rsid w:val="00E631C7"/>
    <w:rsid w:val="00E65BDD"/>
    <w:rsid w:val="00E66455"/>
    <w:rsid w:val="00E701D8"/>
    <w:rsid w:val="00E70C4B"/>
    <w:rsid w:val="00E73728"/>
    <w:rsid w:val="00E73C2F"/>
    <w:rsid w:val="00E73F9E"/>
    <w:rsid w:val="00E742E7"/>
    <w:rsid w:val="00E75BB9"/>
    <w:rsid w:val="00E76013"/>
    <w:rsid w:val="00E76D64"/>
    <w:rsid w:val="00E76DD0"/>
    <w:rsid w:val="00E80894"/>
    <w:rsid w:val="00E81CD9"/>
    <w:rsid w:val="00E81FD0"/>
    <w:rsid w:val="00E87FB5"/>
    <w:rsid w:val="00E91B88"/>
    <w:rsid w:val="00E9622C"/>
    <w:rsid w:val="00E96F1A"/>
    <w:rsid w:val="00EA0C86"/>
    <w:rsid w:val="00EA2015"/>
    <w:rsid w:val="00EA2E7A"/>
    <w:rsid w:val="00EA3761"/>
    <w:rsid w:val="00EA3B8E"/>
    <w:rsid w:val="00EA4714"/>
    <w:rsid w:val="00EA48B9"/>
    <w:rsid w:val="00EA4951"/>
    <w:rsid w:val="00EB03A0"/>
    <w:rsid w:val="00EB0D38"/>
    <w:rsid w:val="00EB23D0"/>
    <w:rsid w:val="00EB2CBD"/>
    <w:rsid w:val="00EB5263"/>
    <w:rsid w:val="00EB5408"/>
    <w:rsid w:val="00EB55EE"/>
    <w:rsid w:val="00EB5A79"/>
    <w:rsid w:val="00EC238B"/>
    <w:rsid w:val="00EC5592"/>
    <w:rsid w:val="00EC5B1B"/>
    <w:rsid w:val="00EC77E0"/>
    <w:rsid w:val="00ED0181"/>
    <w:rsid w:val="00ED05A8"/>
    <w:rsid w:val="00ED0D83"/>
    <w:rsid w:val="00ED18C9"/>
    <w:rsid w:val="00ED1921"/>
    <w:rsid w:val="00ED1A5E"/>
    <w:rsid w:val="00ED1D54"/>
    <w:rsid w:val="00ED21E1"/>
    <w:rsid w:val="00ED2C7A"/>
    <w:rsid w:val="00ED3168"/>
    <w:rsid w:val="00ED5E7E"/>
    <w:rsid w:val="00ED6D48"/>
    <w:rsid w:val="00EE050B"/>
    <w:rsid w:val="00EE084F"/>
    <w:rsid w:val="00EE2C9C"/>
    <w:rsid w:val="00EE336A"/>
    <w:rsid w:val="00EE432C"/>
    <w:rsid w:val="00EE4DB1"/>
    <w:rsid w:val="00EE59B5"/>
    <w:rsid w:val="00EE6A82"/>
    <w:rsid w:val="00EE75CC"/>
    <w:rsid w:val="00EE7C1A"/>
    <w:rsid w:val="00EF0420"/>
    <w:rsid w:val="00EF169E"/>
    <w:rsid w:val="00EF1F7B"/>
    <w:rsid w:val="00EF28A9"/>
    <w:rsid w:val="00EF2D58"/>
    <w:rsid w:val="00EF3258"/>
    <w:rsid w:val="00EF3F42"/>
    <w:rsid w:val="00EF4E3B"/>
    <w:rsid w:val="00EF5547"/>
    <w:rsid w:val="00EF5E27"/>
    <w:rsid w:val="00EF64D8"/>
    <w:rsid w:val="00EF6FEA"/>
    <w:rsid w:val="00EF7AD6"/>
    <w:rsid w:val="00F0076F"/>
    <w:rsid w:val="00F01990"/>
    <w:rsid w:val="00F04156"/>
    <w:rsid w:val="00F04D40"/>
    <w:rsid w:val="00F04D5E"/>
    <w:rsid w:val="00F05E5B"/>
    <w:rsid w:val="00F0608C"/>
    <w:rsid w:val="00F06296"/>
    <w:rsid w:val="00F074DD"/>
    <w:rsid w:val="00F0774D"/>
    <w:rsid w:val="00F077AE"/>
    <w:rsid w:val="00F10954"/>
    <w:rsid w:val="00F11955"/>
    <w:rsid w:val="00F11D29"/>
    <w:rsid w:val="00F128BC"/>
    <w:rsid w:val="00F15639"/>
    <w:rsid w:val="00F16AE2"/>
    <w:rsid w:val="00F172E0"/>
    <w:rsid w:val="00F2035B"/>
    <w:rsid w:val="00F2107D"/>
    <w:rsid w:val="00F21B2C"/>
    <w:rsid w:val="00F21BA2"/>
    <w:rsid w:val="00F21D09"/>
    <w:rsid w:val="00F223B3"/>
    <w:rsid w:val="00F24230"/>
    <w:rsid w:val="00F26F3C"/>
    <w:rsid w:val="00F26F4E"/>
    <w:rsid w:val="00F301AD"/>
    <w:rsid w:val="00F3110C"/>
    <w:rsid w:val="00F33364"/>
    <w:rsid w:val="00F34431"/>
    <w:rsid w:val="00F34C8E"/>
    <w:rsid w:val="00F34CBA"/>
    <w:rsid w:val="00F3533F"/>
    <w:rsid w:val="00F35599"/>
    <w:rsid w:val="00F375E2"/>
    <w:rsid w:val="00F3791E"/>
    <w:rsid w:val="00F42CA4"/>
    <w:rsid w:val="00F4315D"/>
    <w:rsid w:val="00F43A17"/>
    <w:rsid w:val="00F43A68"/>
    <w:rsid w:val="00F476A9"/>
    <w:rsid w:val="00F5101F"/>
    <w:rsid w:val="00F51E02"/>
    <w:rsid w:val="00F520D5"/>
    <w:rsid w:val="00F536CD"/>
    <w:rsid w:val="00F539D8"/>
    <w:rsid w:val="00F55F3A"/>
    <w:rsid w:val="00F574CC"/>
    <w:rsid w:val="00F6029C"/>
    <w:rsid w:val="00F6064F"/>
    <w:rsid w:val="00F61B1D"/>
    <w:rsid w:val="00F61C41"/>
    <w:rsid w:val="00F61F32"/>
    <w:rsid w:val="00F64376"/>
    <w:rsid w:val="00F64812"/>
    <w:rsid w:val="00F65EC5"/>
    <w:rsid w:val="00F6751F"/>
    <w:rsid w:val="00F71AE6"/>
    <w:rsid w:val="00F72DC9"/>
    <w:rsid w:val="00F73D70"/>
    <w:rsid w:val="00F764CE"/>
    <w:rsid w:val="00F77855"/>
    <w:rsid w:val="00F80D0F"/>
    <w:rsid w:val="00F80E8A"/>
    <w:rsid w:val="00F84899"/>
    <w:rsid w:val="00F859F0"/>
    <w:rsid w:val="00F90DB0"/>
    <w:rsid w:val="00F91287"/>
    <w:rsid w:val="00F91CA1"/>
    <w:rsid w:val="00F92D53"/>
    <w:rsid w:val="00F93250"/>
    <w:rsid w:val="00F94805"/>
    <w:rsid w:val="00F94B44"/>
    <w:rsid w:val="00F95598"/>
    <w:rsid w:val="00F95FAB"/>
    <w:rsid w:val="00FA0BE5"/>
    <w:rsid w:val="00FA1420"/>
    <w:rsid w:val="00FA15DA"/>
    <w:rsid w:val="00FA1947"/>
    <w:rsid w:val="00FA28BF"/>
    <w:rsid w:val="00FA3221"/>
    <w:rsid w:val="00FA63A7"/>
    <w:rsid w:val="00FA6B54"/>
    <w:rsid w:val="00FB1473"/>
    <w:rsid w:val="00FB48C5"/>
    <w:rsid w:val="00FB5E3B"/>
    <w:rsid w:val="00FC08AD"/>
    <w:rsid w:val="00FC16AE"/>
    <w:rsid w:val="00FC4AF7"/>
    <w:rsid w:val="00FC5EB6"/>
    <w:rsid w:val="00FD1C4A"/>
    <w:rsid w:val="00FD2088"/>
    <w:rsid w:val="00FD2829"/>
    <w:rsid w:val="00FD2EA3"/>
    <w:rsid w:val="00FD3E1B"/>
    <w:rsid w:val="00FD3F65"/>
    <w:rsid w:val="00FD461D"/>
    <w:rsid w:val="00FD46B4"/>
    <w:rsid w:val="00FD4AA4"/>
    <w:rsid w:val="00FD5F1B"/>
    <w:rsid w:val="00FD6C0B"/>
    <w:rsid w:val="00FD7084"/>
    <w:rsid w:val="00FD7D17"/>
    <w:rsid w:val="00FE07B7"/>
    <w:rsid w:val="00FE094E"/>
    <w:rsid w:val="00FE0B32"/>
    <w:rsid w:val="00FE0F74"/>
    <w:rsid w:val="00FE141E"/>
    <w:rsid w:val="00FE1C75"/>
    <w:rsid w:val="00FE1E34"/>
    <w:rsid w:val="00FE38FF"/>
    <w:rsid w:val="00FE42ED"/>
    <w:rsid w:val="00FE4C26"/>
    <w:rsid w:val="00FE4EF2"/>
    <w:rsid w:val="00FE63C7"/>
    <w:rsid w:val="00FE759E"/>
    <w:rsid w:val="00FE7664"/>
    <w:rsid w:val="00FF1C68"/>
    <w:rsid w:val="00FF4164"/>
    <w:rsid w:val="00FF485B"/>
    <w:rsid w:val="00FF4CB9"/>
    <w:rsid w:val="19D94649"/>
    <w:rsid w:val="3B1BF6E6"/>
    <w:rsid w:val="434D2F1C"/>
    <w:rsid w:val="489DAED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B62"/>
    <w:pPr>
      <w:spacing w:before="0" w:after="0" w:line="240" w:lineRule="auto"/>
      <w:jc w:val="left"/>
    </w:pPr>
    <w:rPr>
      <w:rFonts w:ascii="Times New Roman" w:eastAsia="Times New Roman" w:hAnsi="Times New Roman" w:cs="Times New Roman"/>
      <w:sz w:val="24"/>
      <w:szCs w:val="24"/>
      <w:lang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spacing w:before="120" w:after="120" w:line="276" w:lineRule="auto"/>
      <w:jc w:val="both"/>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pPr>
      <w:spacing w:before="120" w:after="120" w:line="276" w:lineRule="auto"/>
      <w:jc w:val="both"/>
    </w:pPr>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spacing w:before="120" w:after="120" w:line="276" w:lineRule="auto"/>
      <w:jc w:val="both"/>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spacing w:before="120" w:after="120" w:line="276" w:lineRule="auto"/>
      <w:ind w:left="720"/>
      <w:contextualSpacing/>
      <w:jc w:val="both"/>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pPr>
      <w:spacing w:before="120" w:after="120" w:line="276" w:lineRule="auto"/>
      <w:jc w:val="both"/>
    </w:pPr>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line="276" w:lineRule="auto"/>
      <w:jc w:val="both"/>
    </w:pPr>
    <w:rPr>
      <w:lang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pPr>
      <w:spacing w:before="120" w:after="120" w:line="276" w:lineRule="auto"/>
      <w:jc w:val="both"/>
    </w:pPr>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jc w:val="both"/>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Re"/>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984AB9"/>
  </w:style>
  <w:style w:type="character" w:styleId="Textoennegrita">
    <w:name w:val="Strong"/>
    <w:basedOn w:val="Fuentedeprrafopredeter"/>
    <w:uiPriority w:val="22"/>
    <w:qFormat/>
    <w:rsid w:val="00792E66"/>
    <w:rPr>
      <w:b/>
      <w:bCs/>
    </w:rPr>
  </w:style>
  <w:style w:type="character" w:styleId="nfasis">
    <w:name w:val="Emphasis"/>
    <w:basedOn w:val="Fuentedeprrafopredeter"/>
    <w:uiPriority w:val="20"/>
    <w:qFormat/>
    <w:rsid w:val="00792E66"/>
    <w:rPr>
      <w:i/>
      <w:iCs/>
    </w:rPr>
  </w:style>
  <w:style w:type="paragraph" w:customStyle="1" w:styleId="Appelnotedebasde">
    <w:name w:val="Appel note de bas de..."/>
    <w:basedOn w:val="Normal"/>
    <w:link w:val="Refdenotaalpie"/>
    <w:uiPriority w:val="99"/>
    <w:rsid w:val="00E54365"/>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NormalWebCar">
    <w:name w:val="Normal (Web) Car"/>
    <w:link w:val="NormalWeb"/>
    <w:uiPriority w:val="99"/>
    <w:rsid w:val="00A957B9"/>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semiHidden/>
    <w:unhideWhenUsed/>
    <w:rsid w:val="00AE4C20"/>
    <w:rPr>
      <w:color w:val="605E5C"/>
      <w:shd w:val="clear" w:color="auto" w:fill="E1DFDD"/>
    </w:rPr>
  </w:style>
  <w:style w:type="paragraph" w:styleId="Textoindependiente">
    <w:name w:val="Body Text"/>
    <w:basedOn w:val="Normal"/>
    <w:link w:val="TextoindependienteCar"/>
    <w:uiPriority w:val="99"/>
    <w:semiHidden/>
    <w:unhideWhenUsed/>
    <w:rsid w:val="00A16FAB"/>
    <w:pPr>
      <w:spacing w:before="100" w:beforeAutospacing="1" w:after="100" w:afterAutospacing="1"/>
    </w:pPr>
    <w:rPr>
      <w:lang w:eastAsia="es-CO"/>
    </w:rPr>
  </w:style>
  <w:style w:type="character" w:customStyle="1" w:styleId="TextoindependienteCar">
    <w:name w:val="Texto independiente Car"/>
    <w:basedOn w:val="Fuentedeprrafopredeter"/>
    <w:link w:val="Textoindependiente"/>
    <w:uiPriority w:val="99"/>
    <w:semiHidden/>
    <w:rsid w:val="00A16FAB"/>
    <w:rPr>
      <w:rFonts w:ascii="Times New Roman" w:eastAsia="Times New Roman" w:hAnsi="Times New Roman" w:cs="Times New Roman"/>
      <w:sz w:val="24"/>
      <w:szCs w:val="24"/>
      <w:lang w:eastAsia="es-CO"/>
    </w:rPr>
  </w:style>
  <w:style w:type="character" w:customStyle="1" w:styleId="Mencinsinresolver2">
    <w:name w:val="Mención sin resolver2"/>
    <w:basedOn w:val="Fuentedeprrafopredeter"/>
    <w:uiPriority w:val="99"/>
    <w:semiHidden/>
    <w:unhideWhenUsed/>
    <w:rsid w:val="0076432E"/>
    <w:rPr>
      <w:color w:val="605E5C"/>
      <w:shd w:val="clear" w:color="auto" w:fill="E1DFDD"/>
    </w:rPr>
  </w:style>
  <w:style w:type="character" w:styleId="Refdenotaalfinal">
    <w:name w:val="endnote reference"/>
    <w:basedOn w:val="Fuentedeprrafopredeter"/>
    <w:uiPriority w:val="99"/>
    <w:semiHidden/>
    <w:unhideWhenUsed/>
    <w:rsid w:val="00FE1E34"/>
    <w:rPr>
      <w:vertAlign w:val="superscript"/>
    </w:rPr>
  </w:style>
  <w:style w:type="paragraph" w:styleId="Revisin">
    <w:name w:val="Revision"/>
    <w:hidden/>
    <w:uiPriority w:val="99"/>
    <w:semiHidden/>
    <w:rsid w:val="009246D0"/>
    <w:pPr>
      <w:spacing w:before="0" w:after="0" w:line="240" w:lineRule="auto"/>
      <w:jc w:val="left"/>
    </w:pPr>
    <w:rPr>
      <w:rFonts w:ascii="Times New Roman" w:eastAsia="Times New Roman" w:hAnsi="Times New Roman" w:cs="Times New Roman"/>
      <w:sz w:val="24"/>
      <w:szCs w:val="24"/>
      <w:lang w:eastAsia="en-GB"/>
    </w:rPr>
  </w:style>
  <w:style w:type="character" w:styleId="Mencinsinresolver">
    <w:name w:val="Unresolved Mention"/>
    <w:basedOn w:val="Fuentedeprrafopredeter"/>
    <w:uiPriority w:val="99"/>
    <w:semiHidden/>
    <w:unhideWhenUsed/>
    <w:rsid w:val="00B552B6"/>
    <w:rPr>
      <w:color w:val="605E5C"/>
      <w:shd w:val="clear" w:color="auto" w:fill="E1DFDD"/>
    </w:rPr>
  </w:style>
  <w:style w:type="character" w:styleId="Hipervnculovisitado">
    <w:name w:val="FollowedHyperlink"/>
    <w:basedOn w:val="Fuentedeprrafopredeter"/>
    <w:uiPriority w:val="99"/>
    <w:semiHidden/>
    <w:unhideWhenUsed/>
    <w:rsid w:val="00C863ED"/>
    <w:rPr>
      <w:color w:val="F2F2F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6757">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9504353">
      <w:bodyDiv w:val="1"/>
      <w:marLeft w:val="0"/>
      <w:marRight w:val="0"/>
      <w:marTop w:val="0"/>
      <w:marBottom w:val="0"/>
      <w:divBdr>
        <w:top w:val="none" w:sz="0" w:space="0" w:color="auto"/>
        <w:left w:val="none" w:sz="0" w:space="0" w:color="auto"/>
        <w:bottom w:val="none" w:sz="0" w:space="0" w:color="auto"/>
        <w:right w:val="none" w:sz="0" w:space="0" w:color="auto"/>
      </w:divBdr>
    </w:div>
    <w:div w:id="85808315">
      <w:bodyDiv w:val="1"/>
      <w:marLeft w:val="0"/>
      <w:marRight w:val="0"/>
      <w:marTop w:val="0"/>
      <w:marBottom w:val="0"/>
      <w:divBdr>
        <w:top w:val="none" w:sz="0" w:space="0" w:color="auto"/>
        <w:left w:val="none" w:sz="0" w:space="0" w:color="auto"/>
        <w:bottom w:val="none" w:sz="0" w:space="0" w:color="auto"/>
        <w:right w:val="none" w:sz="0" w:space="0" w:color="auto"/>
      </w:divBdr>
    </w:div>
    <w:div w:id="93744512">
      <w:bodyDiv w:val="1"/>
      <w:marLeft w:val="0"/>
      <w:marRight w:val="0"/>
      <w:marTop w:val="0"/>
      <w:marBottom w:val="0"/>
      <w:divBdr>
        <w:top w:val="none" w:sz="0" w:space="0" w:color="auto"/>
        <w:left w:val="none" w:sz="0" w:space="0" w:color="auto"/>
        <w:bottom w:val="none" w:sz="0" w:space="0" w:color="auto"/>
        <w:right w:val="none" w:sz="0" w:space="0" w:color="auto"/>
      </w:divBdr>
    </w:div>
    <w:div w:id="94375242">
      <w:bodyDiv w:val="1"/>
      <w:marLeft w:val="0"/>
      <w:marRight w:val="0"/>
      <w:marTop w:val="0"/>
      <w:marBottom w:val="0"/>
      <w:divBdr>
        <w:top w:val="none" w:sz="0" w:space="0" w:color="auto"/>
        <w:left w:val="none" w:sz="0" w:space="0" w:color="auto"/>
        <w:bottom w:val="none" w:sz="0" w:space="0" w:color="auto"/>
        <w:right w:val="none" w:sz="0" w:space="0" w:color="auto"/>
      </w:divBdr>
    </w:div>
    <w:div w:id="108739752">
      <w:bodyDiv w:val="1"/>
      <w:marLeft w:val="0"/>
      <w:marRight w:val="0"/>
      <w:marTop w:val="0"/>
      <w:marBottom w:val="0"/>
      <w:divBdr>
        <w:top w:val="none" w:sz="0" w:space="0" w:color="auto"/>
        <w:left w:val="none" w:sz="0" w:space="0" w:color="auto"/>
        <w:bottom w:val="none" w:sz="0" w:space="0" w:color="auto"/>
        <w:right w:val="none" w:sz="0" w:space="0" w:color="auto"/>
      </w:divBdr>
    </w:div>
    <w:div w:id="125897397">
      <w:bodyDiv w:val="1"/>
      <w:marLeft w:val="0"/>
      <w:marRight w:val="0"/>
      <w:marTop w:val="0"/>
      <w:marBottom w:val="0"/>
      <w:divBdr>
        <w:top w:val="none" w:sz="0" w:space="0" w:color="auto"/>
        <w:left w:val="none" w:sz="0" w:space="0" w:color="auto"/>
        <w:bottom w:val="none" w:sz="0" w:space="0" w:color="auto"/>
        <w:right w:val="none" w:sz="0" w:space="0" w:color="auto"/>
      </w:divBdr>
    </w:div>
    <w:div w:id="156462446">
      <w:bodyDiv w:val="1"/>
      <w:marLeft w:val="0"/>
      <w:marRight w:val="0"/>
      <w:marTop w:val="0"/>
      <w:marBottom w:val="0"/>
      <w:divBdr>
        <w:top w:val="none" w:sz="0" w:space="0" w:color="auto"/>
        <w:left w:val="none" w:sz="0" w:space="0" w:color="auto"/>
        <w:bottom w:val="none" w:sz="0" w:space="0" w:color="auto"/>
        <w:right w:val="none" w:sz="0" w:space="0" w:color="auto"/>
      </w:divBdr>
    </w:div>
    <w:div w:id="15750103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9442121">
      <w:bodyDiv w:val="1"/>
      <w:marLeft w:val="0"/>
      <w:marRight w:val="0"/>
      <w:marTop w:val="0"/>
      <w:marBottom w:val="0"/>
      <w:divBdr>
        <w:top w:val="none" w:sz="0" w:space="0" w:color="auto"/>
        <w:left w:val="none" w:sz="0" w:space="0" w:color="auto"/>
        <w:bottom w:val="none" w:sz="0" w:space="0" w:color="auto"/>
        <w:right w:val="none" w:sz="0" w:space="0" w:color="auto"/>
      </w:divBdr>
    </w:div>
    <w:div w:id="179929087">
      <w:bodyDiv w:val="1"/>
      <w:marLeft w:val="0"/>
      <w:marRight w:val="0"/>
      <w:marTop w:val="0"/>
      <w:marBottom w:val="0"/>
      <w:divBdr>
        <w:top w:val="none" w:sz="0" w:space="0" w:color="auto"/>
        <w:left w:val="none" w:sz="0" w:space="0" w:color="auto"/>
        <w:bottom w:val="none" w:sz="0" w:space="0" w:color="auto"/>
        <w:right w:val="none" w:sz="0" w:space="0" w:color="auto"/>
      </w:divBdr>
      <w:divsChild>
        <w:div w:id="404572909">
          <w:marLeft w:val="0"/>
          <w:marRight w:val="0"/>
          <w:marTop w:val="0"/>
          <w:marBottom w:val="0"/>
          <w:divBdr>
            <w:top w:val="none" w:sz="0" w:space="0" w:color="auto"/>
            <w:left w:val="none" w:sz="0" w:space="0" w:color="auto"/>
            <w:bottom w:val="none" w:sz="0" w:space="0" w:color="auto"/>
            <w:right w:val="none" w:sz="0" w:space="0" w:color="auto"/>
          </w:divBdr>
        </w:div>
        <w:div w:id="2088721344">
          <w:marLeft w:val="0"/>
          <w:marRight w:val="0"/>
          <w:marTop w:val="0"/>
          <w:marBottom w:val="0"/>
          <w:divBdr>
            <w:top w:val="none" w:sz="0" w:space="0" w:color="auto"/>
            <w:left w:val="none" w:sz="0" w:space="0" w:color="auto"/>
            <w:bottom w:val="none" w:sz="0" w:space="0" w:color="auto"/>
            <w:right w:val="none" w:sz="0" w:space="0" w:color="auto"/>
          </w:divBdr>
        </w:div>
        <w:div w:id="1807044410">
          <w:marLeft w:val="0"/>
          <w:marRight w:val="0"/>
          <w:marTop w:val="0"/>
          <w:marBottom w:val="0"/>
          <w:divBdr>
            <w:top w:val="none" w:sz="0" w:space="0" w:color="auto"/>
            <w:left w:val="none" w:sz="0" w:space="0" w:color="auto"/>
            <w:bottom w:val="none" w:sz="0" w:space="0" w:color="auto"/>
            <w:right w:val="none" w:sz="0" w:space="0" w:color="auto"/>
          </w:divBdr>
        </w:div>
      </w:divsChild>
    </w:div>
    <w:div w:id="2162033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7952074">
      <w:bodyDiv w:val="1"/>
      <w:marLeft w:val="0"/>
      <w:marRight w:val="0"/>
      <w:marTop w:val="0"/>
      <w:marBottom w:val="0"/>
      <w:divBdr>
        <w:top w:val="none" w:sz="0" w:space="0" w:color="auto"/>
        <w:left w:val="none" w:sz="0" w:space="0" w:color="auto"/>
        <w:bottom w:val="none" w:sz="0" w:space="0" w:color="auto"/>
        <w:right w:val="none" w:sz="0" w:space="0" w:color="auto"/>
      </w:divBdr>
    </w:div>
    <w:div w:id="308289970">
      <w:bodyDiv w:val="1"/>
      <w:marLeft w:val="0"/>
      <w:marRight w:val="0"/>
      <w:marTop w:val="0"/>
      <w:marBottom w:val="0"/>
      <w:divBdr>
        <w:top w:val="none" w:sz="0" w:space="0" w:color="auto"/>
        <w:left w:val="none" w:sz="0" w:space="0" w:color="auto"/>
        <w:bottom w:val="none" w:sz="0" w:space="0" w:color="auto"/>
        <w:right w:val="none" w:sz="0" w:space="0" w:color="auto"/>
      </w:divBdr>
    </w:div>
    <w:div w:id="346564690">
      <w:bodyDiv w:val="1"/>
      <w:marLeft w:val="0"/>
      <w:marRight w:val="0"/>
      <w:marTop w:val="0"/>
      <w:marBottom w:val="0"/>
      <w:divBdr>
        <w:top w:val="none" w:sz="0" w:space="0" w:color="auto"/>
        <w:left w:val="none" w:sz="0" w:space="0" w:color="auto"/>
        <w:bottom w:val="none" w:sz="0" w:space="0" w:color="auto"/>
        <w:right w:val="none" w:sz="0" w:space="0" w:color="auto"/>
      </w:divBdr>
    </w:div>
    <w:div w:id="362751634">
      <w:bodyDiv w:val="1"/>
      <w:marLeft w:val="0"/>
      <w:marRight w:val="0"/>
      <w:marTop w:val="0"/>
      <w:marBottom w:val="0"/>
      <w:divBdr>
        <w:top w:val="none" w:sz="0" w:space="0" w:color="auto"/>
        <w:left w:val="none" w:sz="0" w:space="0" w:color="auto"/>
        <w:bottom w:val="none" w:sz="0" w:space="0" w:color="auto"/>
        <w:right w:val="none" w:sz="0" w:space="0" w:color="auto"/>
      </w:divBdr>
    </w:div>
    <w:div w:id="388193450">
      <w:bodyDiv w:val="1"/>
      <w:marLeft w:val="0"/>
      <w:marRight w:val="0"/>
      <w:marTop w:val="0"/>
      <w:marBottom w:val="0"/>
      <w:divBdr>
        <w:top w:val="none" w:sz="0" w:space="0" w:color="auto"/>
        <w:left w:val="none" w:sz="0" w:space="0" w:color="auto"/>
        <w:bottom w:val="none" w:sz="0" w:space="0" w:color="auto"/>
        <w:right w:val="none" w:sz="0" w:space="0" w:color="auto"/>
      </w:divBdr>
    </w:div>
    <w:div w:id="389693172">
      <w:bodyDiv w:val="1"/>
      <w:marLeft w:val="0"/>
      <w:marRight w:val="0"/>
      <w:marTop w:val="0"/>
      <w:marBottom w:val="0"/>
      <w:divBdr>
        <w:top w:val="none" w:sz="0" w:space="0" w:color="auto"/>
        <w:left w:val="none" w:sz="0" w:space="0" w:color="auto"/>
        <w:bottom w:val="none" w:sz="0" w:space="0" w:color="auto"/>
        <w:right w:val="none" w:sz="0" w:space="0" w:color="auto"/>
      </w:divBdr>
      <w:divsChild>
        <w:div w:id="1247421476">
          <w:marLeft w:val="0"/>
          <w:marRight w:val="0"/>
          <w:marTop w:val="0"/>
          <w:marBottom w:val="0"/>
          <w:divBdr>
            <w:top w:val="none" w:sz="0" w:space="0" w:color="auto"/>
            <w:left w:val="none" w:sz="0" w:space="0" w:color="auto"/>
            <w:bottom w:val="none" w:sz="0" w:space="0" w:color="auto"/>
            <w:right w:val="none" w:sz="0" w:space="0" w:color="auto"/>
          </w:divBdr>
        </w:div>
      </w:divsChild>
    </w:div>
    <w:div w:id="394553061">
      <w:bodyDiv w:val="1"/>
      <w:marLeft w:val="0"/>
      <w:marRight w:val="0"/>
      <w:marTop w:val="0"/>
      <w:marBottom w:val="0"/>
      <w:divBdr>
        <w:top w:val="none" w:sz="0" w:space="0" w:color="auto"/>
        <w:left w:val="none" w:sz="0" w:space="0" w:color="auto"/>
        <w:bottom w:val="none" w:sz="0" w:space="0" w:color="auto"/>
        <w:right w:val="none" w:sz="0" w:space="0" w:color="auto"/>
      </w:divBdr>
    </w:div>
    <w:div w:id="410006999">
      <w:bodyDiv w:val="1"/>
      <w:marLeft w:val="0"/>
      <w:marRight w:val="0"/>
      <w:marTop w:val="0"/>
      <w:marBottom w:val="0"/>
      <w:divBdr>
        <w:top w:val="none" w:sz="0" w:space="0" w:color="auto"/>
        <w:left w:val="none" w:sz="0" w:space="0" w:color="auto"/>
        <w:bottom w:val="none" w:sz="0" w:space="0" w:color="auto"/>
        <w:right w:val="none" w:sz="0" w:space="0" w:color="auto"/>
      </w:divBdr>
      <w:divsChild>
        <w:div w:id="1549413466">
          <w:marLeft w:val="0"/>
          <w:marRight w:val="0"/>
          <w:marTop w:val="0"/>
          <w:marBottom w:val="0"/>
          <w:divBdr>
            <w:top w:val="none" w:sz="0" w:space="0" w:color="auto"/>
            <w:left w:val="none" w:sz="0" w:space="0" w:color="auto"/>
            <w:bottom w:val="none" w:sz="0" w:space="0" w:color="auto"/>
            <w:right w:val="none" w:sz="0" w:space="0" w:color="auto"/>
          </w:divBdr>
          <w:divsChild>
            <w:div w:id="1668316938">
              <w:marLeft w:val="0"/>
              <w:marRight w:val="0"/>
              <w:marTop w:val="0"/>
              <w:marBottom w:val="0"/>
              <w:divBdr>
                <w:top w:val="none" w:sz="0" w:space="0" w:color="auto"/>
                <w:left w:val="none" w:sz="0" w:space="0" w:color="auto"/>
                <w:bottom w:val="none" w:sz="0" w:space="0" w:color="auto"/>
                <w:right w:val="none" w:sz="0" w:space="0" w:color="auto"/>
              </w:divBdr>
              <w:divsChild>
                <w:div w:id="97205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03571">
      <w:bodyDiv w:val="1"/>
      <w:marLeft w:val="0"/>
      <w:marRight w:val="0"/>
      <w:marTop w:val="0"/>
      <w:marBottom w:val="0"/>
      <w:divBdr>
        <w:top w:val="none" w:sz="0" w:space="0" w:color="auto"/>
        <w:left w:val="none" w:sz="0" w:space="0" w:color="auto"/>
        <w:bottom w:val="none" w:sz="0" w:space="0" w:color="auto"/>
        <w:right w:val="none" w:sz="0" w:space="0" w:color="auto"/>
      </w:divBdr>
    </w:div>
    <w:div w:id="469787518">
      <w:bodyDiv w:val="1"/>
      <w:marLeft w:val="0"/>
      <w:marRight w:val="0"/>
      <w:marTop w:val="0"/>
      <w:marBottom w:val="0"/>
      <w:divBdr>
        <w:top w:val="none" w:sz="0" w:space="0" w:color="auto"/>
        <w:left w:val="none" w:sz="0" w:space="0" w:color="auto"/>
        <w:bottom w:val="none" w:sz="0" w:space="0" w:color="auto"/>
        <w:right w:val="none" w:sz="0" w:space="0" w:color="auto"/>
      </w:divBdr>
    </w:div>
    <w:div w:id="496309153">
      <w:bodyDiv w:val="1"/>
      <w:marLeft w:val="0"/>
      <w:marRight w:val="0"/>
      <w:marTop w:val="0"/>
      <w:marBottom w:val="0"/>
      <w:divBdr>
        <w:top w:val="none" w:sz="0" w:space="0" w:color="auto"/>
        <w:left w:val="none" w:sz="0" w:space="0" w:color="auto"/>
        <w:bottom w:val="none" w:sz="0" w:space="0" w:color="auto"/>
        <w:right w:val="none" w:sz="0" w:space="0" w:color="auto"/>
      </w:divBdr>
    </w:div>
    <w:div w:id="531654358">
      <w:bodyDiv w:val="1"/>
      <w:marLeft w:val="0"/>
      <w:marRight w:val="0"/>
      <w:marTop w:val="0"/>
      <w:marBottom w:val="0"/>
      <w:divBdr>
        <w:top w:val="none" w:sz="0" w:space="0" w:color="auto"/>
        <w:left w:val="none" w:sz="0" w:space="0" w:color="auto"/>
        <w:bottom w:val="none" w:sz="0" w:space="0" w:color="auto"/>
        <w:right w:val="none" w:sz="0" w:space="0" w:color="auto"/>
      </w:divBdr>
      <w:divsChild>
        <w:div w:id="1821338746">
          <w:marLeft w:val="0"/>
          <w:marRight w:val="0"/>
          <w:marTop w:val="0"/>
          <w:marBottom w:val="0"/>
          <w:divBdr>
            <w:top w:val="none" w:sz="0" w:space="0" w:color="auto"/>
            <w:left w:val="none" w:sz="0" w:space="0" w:color="auto"/>
            <w:bottom w:val="none" w:sz="0" w:space="0" w:color="auto"/>
            <w:right w:val="none" w:sz="0" w:space="0" w:color="auto"/>
          </w:divBdr>
          <w:divsChild>
            <w:div w:id="1848402016">
              <w:marLeft w:val="0"/>
              <w:marRight w:val="0"/>
              <w:marTop w:val="0"/>
              <w:marBottom w:val="0"/>
              <w:divBdr>
                <w:top w:val="none" w:sz="0" w:space="0" w:color="auto"/>
                <w:left w:val="none" w:sz="0" w:space="0" w:color="auto"/>
                <w:bottom w:val="none" w:sz="0" w:space="0" w:color="auto"/>
                <w:right w:val="none" w:sz="0" w:space="0" w:color="auto"/>
              </w:divBdr>
              <w:divsChild>
                <w:div w:id="17512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52670">
      <w:bodyDiv w:val="1"/>
      <w:marLeft w:val="0"/>
      <w:marRight w:val="0"/>
      <w:marTop w:val="0"/>
      <w:marBottom w:val="0"/>
      <w:divBdr>
        <w:top w:val="none" w:sz="0" w:space="0" w:color="auto"/>
        <w:left w:val="none" w:sz="0" w:space="0" w:color="auto"/>
        <w:bottom w:val="none" w:sz="0" w:space="0" w:color="auto"/>
        <w:right w:val="none" w:sz="0" w:space="0" w:color="auto"/>
      </w:divBdr>
    </w:div>
    <w:div w:id="610358860">
      <w:bodyDiv w:val="1"/>
      <w:marLeft w:val="0"/>
      <w:marRight w:val="0"/>
      <w:marTop w:val="0"/>
      <w:marBottom w:val="0"/>
      <w:divBdr>
        <w:top w:val="none" w:sz="0" w:space="0" w:color="auto"/>
        <w:left w:val="none" w:sz="0" w:space="0" w:color="auto"/>
        <w:bottom w:val="none" w:sz="0" w:space="0" w:color="auto"/>
        <w:right w:val="none" w:sz="0" w:space="0" w:color="auto"/>
      </w:divBdr>
    </w:div>
    <w:div w:id="614942659">
      <w:bodyDiv w:val="1"/>
      <w:marLeft w:val="0"/>
      <w:marRight w:val="0"/>
      <w:marTop w:val="0"/>
      <w:marBottom w:val="0"/>
      <w:divBdr>
        <w:top w:val="none" w:sz="0" w:space="0" w:color="auto"/>
        <w:left w:val="none" w:sz="0" w:space="0" w:color="auto"/>
        <w:bottom w:val="none" w:sz="0" w:space="0" w:color="auto"/>
        <w:right w:val="none" w:sz="0" w:space="0" w:color="auto"/>
      </w:divBdr>
    </w:div>
    <w:div w:id="616374217">
      <w:bodyDiv w:val="1"/>
      <w:marLeft w:val="0"/>
      <w:marRight w:val="0"/>
      <w:marTop w:val="0"/>
      <w:marBottom w:val="0"/>
      <w:divBdr>
        <w:top w:val="none" w:sz="0" w:space="0" w:color="auto"/>
        <w:left w:val="none" w:sz="0" w:space="0" w:color="auto"/>
        <w:bottom w:val="none" w:sz="0" w:space="0" w:color="auto"/>
        <w:right w:val="none" w:sz="0" w:space="0" w:color="auto"/>
      </w:divBdr>
    </w:div>
    <w:div w:id="636760311">
      <w:bodyDiv w:val="1"/>
      <w:marLeft w:val="0"/>
      <w:marRight w:val="0"/>
      <w:marTop w:val="0"/>
      <w:marBottom w:val="0"/>
      <w:divBdr>
        <w:top w:val="none" w:sz="0" w:space="0" w:color="auto"/>
        <w:left w:val="none" w:sz="0" w:space="0" w:color="auto"/>
        <w:bottom w:val="none" w:sz="0" w:space="0" w:color="auto"/>
        <w:right w:val="none" w:sz="0" w:space="0" w:color="auto"/>
      </w:divBdr>
    </w:div>
    <w:div w:id="660500369">
      <w:bodyDiv w:val="1"/>
      <w:marLeft w:val="0"/>
      <w:marRight w:val="0"/>
      <w:marTop w:val="0"/>
      <w:marBottom w:val="0"/>
      <w:divBdr>
        <w:top w:val="none" w:sz="0" w:space="0" w:color="auto"/>
        <w:left w:val="none" w:sz="0" w:space="0" w:color="auto"/>
        <w:bottom w:val="none" w:sz="0" w:space="0" w:color="auto"/>
        <w:right w:val="none" w:sz="0" w:space="0" w:color="auto"/>
      </w:divBdr>
    </w:div>
    <w:div w:id="674454366">
      <w:bodyDiv w:val="1"/>
      <w:marLeft w:val="0"/>
      <w:marRight w:val="0"/>
      <w:marTop w:val="0"/>
      <w:marBottom w:val="0"/>
      <w:divBdr>
        <w:top w:val="none" w:sz="0" w:space="0" w:color="auto"/>
        <w:left w:val="none" w:sz="0" w:space="0" w:color="auto"/>
        <w:bottom w:val="none" w:sz="0" w:space="0" w:color="auto"/>
        <w:right w:val="none" w:sz="0" w:space="0" w:color="auto"/>
      </w:divBdr>
    </w:div>
    <w:div w:id="686492545">
      <w:bodyDiv w:val="1"/>
      <w:marLeft w:val="0"/>
      <w:marRight w:val="0"/>
      <w:marTop w:val="0"/>
      <w:marBottom w:val="0"/>
      <w:divBdr>
        <w:top w:val="none" w:sz="0" w:space="0" w:color="auto"/>
        <w:left w:val="none" w:sz="0" w:space="0" w:color="auto"/>
        <w:bottom w:val="none" w:sz="0" w:space="0" w:color="auto"/>
        <w:right w:val="none" w:sz="0" w:space="0" w:color="auto"/>
      </w:divBdr>
    </w:div>
    <w:div w:id="695346960">
      <w:bodyDiv w:val="1"/>
      <w:marLeft w:val="0"/>
      <w:marRight w:val="0"/>
      <w:marTop w:val="0"/>
      <w:marBottom w:val="0"/>
      <w:divBdr>
        <w:top w:val="none" w:sz="0" w:space="0" w:color="auto"/>
        <w:left w:val="none" w:sz="0" w:space="0" w:color="auto"/>
        <w:bottom w:val="none" w:sz="0" w:space="0" w:color="auto"/>
        <w:right w:val="none" w:sz="0" w:space="0" w:color="auto"/>
      </w:divBdr>
      <w:divsChild>
        <w:div w:id="1337732821">
          <w:marLeft w:val="0"/>
          <w:marRight w:val="0"/>
          <w:marTop w:val="0"/>
          <w:marBottom w:val="0"/>
          <w:divBdr>
            <w:top w:val="none" w:sz="0" w:space="0" w:color="auto"/>
            <w:left w:val="none" w:sz="0" w:space="0" w:color="auto"/>
            <w:bottom w:val="none" w:sz="0" w:space="0" w:color="auto"/>
            <w:right w:val="none" w:sz="0" w:space="0" w:color="auto"/>
          </w:divBdr>
          <w:divsChild>
            <w:div w:id="1048838927">
              <w:marLeft w:val="0"/>
              <w:marRight w:val="0"/>
              <w:marTop w:val="0"/>
              <w:marBottom w:val="0"/>
              <w:divBdr>
                <w:top w:val="none" w:sz="0" w:space="0" w:color="auto"/>
                <w:left w:val="none" w:sz="0" w:space="0" w:color="auto"/>
                <w:bottom w:val="none" w:sz="0" w:space="0" w:color="auto"/>
                <w:right w:val="none" w:sz="0" w:space="0" w:color="auto"/>
              </w:divBdr>
              <w:divsChild>
                <w:div w:id="12870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516826">
      <w:bodyDiv w:val="1"/>
      <w:marLeft w:val="0"/>
      <w:marRight w:val="0"/>
      <w:marTop w:val="0"/>
      <w:marBottom w:val="0"/>
      <w:divBdr>
        <w:top w:val="none" w:sz="0" w:space="0" w:color="auto"/>
        <w:left w:val="none" w:sz="0" w:space="0" w:color="auto"/>
        <w:bottom w:val="none" w:sz="0" w:space="0" w:color="auto"/>
        <w:right w:val="none" w:sz="0" w:space="0" w:color="auto"/>
      </w:divBdr>
    </w:div>
    <w:div w:id="704867754">
      <w:bodyDiv w:val="1"/>
      <w:marLeft w:val="0"/>
      <w:marRight w:val="0"/>
      <w:marTop w:val="0"/>
      <w:marBottom w:val="0"/>
      <w:divBdr>
        <w:top w:val="none" w:sz="0" w:space="0" w:color="auto"/>
        <w:left w:val="none" w:sz="0" w:space="0" w:color="auto"/>
        <w:bottom w:val="none" w:sz="0" w:space="0" w:color="auto"/>
        <w:right w:val="none" w:sz="0" w:space="0" w:color="auto"/>
      </w:divBdr>
    </w:div>
    <w:div w:id="758253688">
      <w:bodyDiv w:val="1"/>
      <w:marLeft w:val="0"/>
      <w:marRight w:val="0"/>
      <w:marTop w:val="0"/>
      <w:marBottom w:val="0"/>
      <w:divBdr>
        <w:top w:val="none" w:sz="0" w:space="0" w:color="auto"/>
        <w:left w:val="none" w:sz="0" w:space="0" w:color="auto"/>
        <w:bottom w:val="none" w:sz="0" w:space="0" w:color="auto"/>
        <w:right w:val="none" w:sz="0" w:space="0" w:color="auto"/>
      </w:divBdr>
    </w:div>
    <w:div w:id="761217209">
      <w:bodyDiv w:val="1"/>
      <w:marLeft w:val="0"/>
      <w:marRight w:val="0"/>
      <w:marTop w:val="0"/>
      <w:marBottom w:val="0"/>
      <w:divBdr>
        <w:top w:val="none" w:sz="0" w:space="0" w:color="auto"/>
        <w:left w:val="none" w:sz="0" w:space="0" w:color="auto"/>
        <w:bottom w:val="none" w:sz="0" w:space="0" w:color="auto"/>
        <w:right w:val="none" w:sz="0" w:space="0" w:color="auto"/>
      </w:divBdr>
    </w:div>
    <w:div w:id="780993557">
      <w:bodyDiv w:val="1"/>
      <w:marLeft w:val="0"/>
      <w:marRight w:val="0"/>
      <w:marTop w:val="0"/>
      <w:marBottom w:val="0"/>
      <w:divBdr>
        <w:top w:val="none" w:sz="0" w:space="0" w:color="auto"/>
        <w:left w:val="none" w:sz="0" w:space="0" w:color="auto"/>
        <w:bottom w:val="none" w:sz="0" w:space="0" w:color="auto"/>
        <w:right w:val="none" w:sz="0" w:space="0" w:color="auto"/>
      </w:divBdr>
    </w:div>
    <w:div w:id="783965500">
      <w:bodyDiv w:val="1"/>
      <w:marLeft w:val="0"/>
      <w:marRight w:val="0"/>
      <w:marTop w:val="0"/>
      <w:marBottom w:val="0"/>
      <w:divBdr>
        <w:top w:val="none" w:sz="0" w:space="0" w:color="auto"/>
        <w:left w:val="none" w:sz="0" w:space="0" w:color="auto"/>
        <w:bottom w:val="none" w:sz="0" w:space="0" w:color="auto"/>
        <w:right w:val="none" w:sz="0" w:space="0" w:color="auto"/>
      </w:divBdr>
    </w:div>
    <w:div w:id="816410699">
      <w:bodyDiv w:val="1"/>
      <w:marLeft w:val="0"/>
      <w:marRight w:val="0"/>
      <w:marTop w:val="0"/>
      <w:marBottom w:val="0"/>
      <w:divBdr>
        <w:top w:val="none" w:sz="0" w:space="0" w:color="auto"/>
        <w:left w:val="none" w:sz="0" w:space="0" w:color="auto"/>
        <w:bottom w:val="none" w:sz="0" w:space="0" w:color="auto"/>
        <w:right w:val="none" w:sz="0" w:space="0" w:color="auto"/>
      </w:divBdr>
      <w:divsChild>
        <w:div w:id="232158434">
          <w:marLeft w:val="0"/>
          <w:marRight w:val="0"/>
          <w:marTop w:val="0"/>
          <w:marBottom w:val="0"/>
          <w:divBdr>
            <w:top w:val="none" w:sz="0" w:space="0" w:color="auto"/>
            <w:left w:val="none" w:sz="0" w:space="0" w:color="auto"/>
            <w:bottom w:val="none" w:sz="0" w:space="0" w:color="auto"/>
            <w:right w:val="none" w:sz="0" w:space="0" w:color="auto"/>
          </w:divBdr>
          <w:divsChild>
            <w:div w:id="1337803968">
              <w:marLeft w:val="0"/>
              <w:marRight w:val="0"/>
              <w:marTop w:val="0"/>
              <w:marBottom w:val="0"/>
              <w:divBdr>
                <w:top w:val="none" w:sz="0" w:space="0" w:color="auto"/>
                <w:left w:val="none" w:sz="0" w:space="0" w:color="auto"/>
                <w:bottom w:val="none" w:sz="0" w:space="0" w:color="auto"/>
                <w:right w:val="none" w:sz="0" w:space="0" w:color="auto"/>
              </w:divBdr>
              <w:divsChild>
                <w:div w:id="141158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7151">
      <w:bodyDiv w:val="1"/>
      <w:marLeft w:val="0"/>
      <w:marRight w:val="0"/>
      <w:marTop w:val="0"/>
      <w:marBottom w:val="0"/>
      <w:divBdr>
        <w:top w:val="none" w:sz="0" w:space="0" w:color="auto"/>
        <w:left w:val="none" w:sz="0" w:space="0" w:color="auto"/>
        <w:bottom w:val="none" w:sz="0" w:space="0" w:color="auto"/>
        <w:right w:val="none" w:sz="0" w:space="0" w:color="auto"/>
      </w:divBdr>
    </w:div>
    <w:div w:id="894704546">
      <w:bodyDiv w:val="1"/>
      <w:marLeft w:val="0"/>
      <w:marRight w:val="0"/>
      <w:marTop w:val="0"/>
      <w:marBottom w:val="0"/>
      <w:divBdr>
        <w:top w:val="none" w:sz="0" w:space="0" w:color="auto"/>
        <w:left w:val="none" w:sz="0" w:space="0" w:color="auto"/>
        <w:bottom w:val="none" w:sz="0" w:space="0" w:color="auto"/>
        <w:right w:val="none" w:sz="0" w:space="0" w:color="auto"/>
      </w:divBdr>
    </w:div>
    <w:div w:id="901673658">
      <w:bodyDiv w:val="1"/>
      <w:marLeft w:val="0"/>
      <w:marRight w:val="0"/>
      <w:marTop w:val="0"/>
      <w:marBottom w:val="0"/>
      <w:divBdr>
        <w:top w:val="none" w:sz="0" w:space="0" w:color="auto"/>
        <w:left w:val="none" w:sz="0" w:space="0" w:color="auto"/>
        <w:bottom w:val="none" w:sz="0" w:space="0" w:color="auto"/>
        <w:right w:val="none" w:sz="0" w:space="0" w:color="auto"/>
      </w:divBdr>
    </w:div>
    <w:div w:id="932467858">
      <w:bodyDiv w:val="1"/>
      <w:marLeft w:val="0"/>
      <w:marRight w:val="0"/>
      <w:marTop w:val="0"/>
      <w:marBottom w:val="0"/>
      <w:divBdr>
        <w:top w:val="none" w:sz="0" w:space="0" w:color="auto"/>
        <w:left w:val="none" w:sz="0" w:space="0" w:color="auto"/>
        <w:bottom w:val="none" w:sz="0" w:space="0" w:color="auto"/>
        <w:right w:val="none" w:sz="0" w:space="0" w:color="auto"/>
      </w:divBdr>
    </w:div>
    <w:div w:id="933126585">
      <w:bodyDiv w:val="1"/>
      <w:marLeft w:val="0"/>
      <w:marRight w:val="0"/>
      <w:marTop w:val="0"/>
      <w:marBottom w:val="0"/>
      <w:divBdr>
        <w:top w:val="none" w:sz="0" w:space="0" w:color="auto"/>
        <w:left w:val="none" w:sz="0" w:space="0" w:color="auto"/>
        <w:bottom w:val="none" w:sz="0" w:space="0" w:color="auto"/>
        <w:right w:val="none" w:sz="0" w:space="0" w:color="auto"/>
      </w:divBdr>
    </w:div>
    <w:div w:id="937715469">
      <w:bodyDiv w:val="1"/>
      <w:marLeft w:val="0"/>
      <w:marRight w:val="0"/>
      <w:marTop w:val="0"/>
      <w:marBottom w:val="0"/>
      <w:divBdr>
        <w:top w:val="none" w:sz="0" w:space="0" w:color="auto"/>
        <w:left w:val="none" w:sz="0" w:space="0" w:color="auto"/>
        <w:bottom w:val="none" w:sz="0" w:space="0" w:color="auto"/>
        <w:right w:val="none" w:sz="0" w:space="0" w:color="auto"/>
      </w:divBdr>
    </w:div>
    <w:div w:id="939676729">
      <w:bodyDiv w:val="1"/>
      <w:marLeft w:val="0"/>
      <w:marRight w:val="0"/>
      <w:marTop w:val="0"/>
      <w:marBottom w:val="0"/>
      <w:divBdr>
        <w:top w:val="none" w:sz="0" w:space="0" w:color="auto"/>
        <w:left w:val="none" w:sz="0" w:space="0" w:color="auto"/>
        <w:bottom w:val="none" w:sz="0" w:space="0" w:color="auto"/>
        <w:right w:val="none" w:sz="0" w:space="0" w:color="auto"/>
      </w:divBdr>
    </w:div>
    <w:div w:id="941376504">
      <w:bodyDiv w:val="1"/>
      <w:marLeft w:val="0"/>
      <w:marRight w:val="0"/>
      <w:marTop w:val="0"/>
      <w:marBottom w:val="0"/>
      <w:divBdr>
        <w:top w:val="none" w:sz="0" w:space="0" w:color="auto"/>
        <w:left w:val="none" w:sz="0" w:space="0" w:color="auto"/>
        <w:bottom w:val="none" w:sz="0" w:space="0" w:color="auto"/>
        <w:right w:val="none" w:sz="0" w:space="0" w:color="auto"/>
      </w:divBdr>
    </w:div>
    <w:div w:id="954755376">
      <w:bodyDiv w:val="1"/>
      <w:marLeft w:val="0"/>
      <w:marRight w:val="0"/>
      <w:marTop w:val="0"/>
      <w:marBottom w:val="0"/>
      <w:divBdr>
        <w:top w:val="none" w:sz="0" w:space="0" w:color="auto"/>
        <w:left w:val="none" w:sz="0" w:space="0" w:color="auto"/>
        <w:bottom w:val="none" w:sz="0" w:space="0" w:color="auto"/>
        <w:right w:val="none" w:sz="0" w:space="0" w:color="auto"/>
      </w:divBdr>
    </w:div>
    <w:div w:id="998535819">
      <w:bodyDiv w:val="1"/>
      <w:marLeft w:val="0"/>
      <w:marRight w:val="0"/>
      <w:marTop w:val="0"/>
      <w:marBottom w:val="0"/>
      <w:divBdr>
        <w:top w:val="none" w:sz="0" w:space="0" w:color="auto"/>
        <w:left w:val="none" w:sz="0" w:space="0" w:color="auto"/>
        <w:bottom w:val="none" w:sz="0" w:space="0" w:color="auto"/>
        <w:right w:val="none" w:sz="0" w:space="0" w:color="auto"/>
      </w:divBdr>
      <w:divsChild>
        <w:div w:id="1582371669">
          <w:marLeft w:val="0"/>
          <w:marRight w:val="0"/>
          <w:marTop w:val="120"/>
          <w:marBottom w:val="120"/>
          <w:divBdr>
            <w:top w:val="none" w:sz="0" w:space="0" w:color="auto"/>
            <w:left w:val="none" w:sz="0" w:space="0" w:color="auto"/>
            <w:bottom w:val="none" w:sz="0" w:space="0" w:color="auto"/>
            <w:right w:val="none" w:sz="0" w:space="0" w:color="auto"/>
          </w:divBdr>
          <w:divsChild>
            <w:div w:id="1431854296">
              <w:marLeft w:val="0"/>
              <w:marRight w:val="0"/>
              <w:marTop w:val="0"/>
              <w:marBottom w:val="0"/>
              <w:divBdr>
                <w:top w:val="none" w:sz="0" w:space="0" w:color="auto"/>
                <w:left w:val="none" w:sz="0" w:space="0" w:color="auto"/>
                <w:bottom w:val="none" w:sz="0" w:space="0" w:color="auto"/>
                <w:right w:val="none" w:sz="0" w:space="0" w:color="auto"/>
              </w:divBdr>
            </w:div>
          </w:divsChild>
        </w:div>
        <w:div w:id="190846579">
          <w:marLeft w:val="0"/>
          <w:marRight w:val="0"/>
          <w:marTop w:val="0"/>
          <w:marBottom w:val="120"/>
          <w:divBdr>
            <w:top w:val="none" w:sz="0" w:space="0" w:color="auto"/>
            <w:left w:val="none" w:sz="0" w:space="0" w:color="auto"/>
            <w:bottom w:val="none" w:sz="0" w:space="0" w:color="auto"/>
            <w:right w:val="none" w:sz="0" w:space="0" w:color="auto"/>
          </w:divBdr>
          <w:divsChild>
            <w:div w:id="6472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4996">
      <w:bodyDiv w:val="1"/>
      <w:marLeft w:val="0"/>
      <w:marRight w:val="0"/>
      <w:marTop w:val="0"/>
      <w:marBottom w:val="0"/>
      <w:divBdr>
        <w:top w:val="none" w:sz="0" w:space="0" w:color="auto"/>
        <w:left w:val="none" w:sz="0" w:space="0" w:color="auto"/>
        <w:bottom w:val="none" w:sz="0" w:space="0" w:color="auto"/>
        <w:right w:val="none" w:sz="0" w:space="0" w:color="auto"/>
      </w:divBdr>
    </w:div>
    <w:div w:id="1036738959">
      <w:bodyDiv w:val="1"/>
      <w:marLeft w:val="0"/>
      <w:marRight w:val="0"/>
      <w:marTop w:val="0"/>
      <w:marBottom w:val="0"/>
      <w:divBdr>
        <w:top w:val="none" w:sz="0" w:space="0" w:color="auto"/>
        <w:left w:val="none" w:sz="0" w:space="0" w:color="auto"/>
        <w:bottom w:val="none" w:sz="0" w:space="0" w:color="auto"/>
        <w:right w:val="none" w:sz="0" w:space="0" w:color="auto"/>
      </w:divBdr>
    </w:div>
    <w:div w:id="1046875568">
      <w:bodyDiv w:val="1"/>
      <w:marLeft w:val="0"/>
      <w:marRight w:val="0"/>
      <w:marTop w:val="0"/>
      <w:marBottom w:val="0"/>
      <w:divBdr>
        <w:top w:val="none" w:sz="0" w:space="0" w:color="auto"/>
        <w:left w:val="none" w:sz="0" w:space="0" w:color="auto"/>
        <w:bottom w:val="none" w:sz="0" w:space="0" w:color="auto"/>
        <w:right w:val="none" w:sz="0" w:space="0" w:color="auto"/>
      </w:divBdr>
      <w:divsChild>
        <w:div w:id="1765883146">
          <w:marLeft w:val="0"/>
          <w:marRight w:val="0"/>
          <w:marTop w:val="0"/>
          <w:marBottom w:val="0"/>
          <w:divBdr>
            <w:top w:val="none" w:sz="0" w:space="0" w:color="auto"/>
            <w:left w:val="none" w:sz="0" w:space="0" w:color="auto"/>
            <w:bottom w:val="none" w:sz="0" w:space="0" w:color="auto"/>
            <w:right w:val="none" w:sz="0" w:space="0" w:color="auto"/>
          </w:divBdr>
          <w:divsChild>
            <w:div w:id="1214732987">
              <w:marLeft w:val="0"/>
              <w:marRight w:val="0"/>
              <w:marTop w:val="0"/>
              <w:marBottom w:val="0"/>
              <w:divBdr>
                <w:top w:val="none" w:sz="0" w:space="0" w:color="auto"/>
                <w:left w:val="none" w:sz="0" w:space="0" w:color="auto"/>
                <w:bottom w:val="none" w:sz="0" w:space="0" w:color="auto"/>
                <w:right w:val="none" w:sz="0" w:space="0" w:color="auto"/>
              </w:divBdr>
              <w:divsChild>
                <w:div w:id="589043789">
                  <w:marLeft w:val="0"/>
                  <w:marRight w:val="0"/>
                  <w:marTop w:val="0"/>
                  <w:marBottom w:val="0"/>
                  <w:divBdr>
                    <w:top w:val="none" w:sz="0" w:space="0" w:color="auto"/>
                    <w:left w:val="none" w:sz="0" w:space="0" w:color="auto"/>
                    <w:bottom w:val="none" w:sz="0" w:space="0" w:color="auto"/>
                    <w:right w:val="none" w:sz="0" w:space="0" w:color="auto"/>
                  </w:divBdr>
                  <w:divsChild>
                    <w:div w:id="79174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254862">
      <w:bodyDiv w:val="1"/>
      <w:marLeft w:val="0"/>
      <w:marRight w:val="0"/>
      <w:marTop w:val="0"/>
      <w:marBottom w:val="0"/>
      <w:divBdr>
        <w:top w:val="none" w:sz="0" w:space="0" w:color="auto"/>
        <w:left w:val="none" w:sz="0" w:space="0" w:color="auto"/>
        <w:bottom w:val="none" w:sz="0" w:space="0" w:color="auto"/>
        <w:right w:val="none" w:sz="0" w:space="0" w:color="auto"/>
      </w:divBdr>
    </w:div>
    <w:div w:id="1089816314">
      <w:bodyDiv w:val="1"/>
      <w:marLeft w:val="0"/>
      <w:marRight w:val="0"/>
      <w:marTop w:val="0"/>
      <w:marBottom w:val="0"/>
      <w:divBdr>
        <w:top w:val="none" w:sz="0" w:space="0" w:color="auto"/>
        <w:left w:val="none" w:sz="0" w:space="0" w:color="auto"/>
        <w:bottom w:val="none" w:sz="0" w:space="0" w:color="auto"/>
        <w:right w:val="none" w:sz="0" w:space="0" w:color="auto"/>
      </w:divBdr>
    </w:div>
    <w:div w:id="1099066427">
      <w:bodyDiv w:val="1"/>
      <w:marLeft w:val="0"/>
      <w:marRight w:val="0"/>
      <w:marTop w:val="0"/>
      <w:marBottom w:val="0"/>
      <w:divBdr>
        <w:top w:val="none" w:sz="0" w:space="0" w:color="auto"/>
        <w:left w:val="none" w:sz="0" w:space="0" w:color="auto"/>
        <w:bottom w:val="none" w:sz="0" w:space="0" w:color="auto"/>
        <w:right w:val="none" w:sz="0" w:space="0" w:color="auto"/>
      </w:divBdr>
    </w:div>
    <w:div w:id="1099907042">
      <w:bodyDiv w:val="1"/>
      <w:marLeft w:val="0"/>
      <w:marRight w:val="0"/>
      <w:marTop w:val="0"/>
      <w:marBottom w:val="0"/>
      <w:divBdr>
        <w:top w:val="none" w:sz="0" w:space="0" w:color="auto"/>
        <w:left w:val="none" w:sz="0" w:space="0" w:color="auto"/>
        <w:bottom w:val="none" w:sz="0" w:space="0" w:color="auto"/>
        <w:right w:val="none" w:sz="0" w:space="0" w:color="auto"/>
      </w:divBdr>
      <w:divsChild>
        <w:div w:id="2032756475">
          <w:marLeft w:val="0"/>
          <w:marRight w:val="0"/>
          <w:marTop w:val="0"/>
          <w:marBottom w:val="0"/>
          <w:divBdr>
            <w:top w:val="none" w:sz="0" w:space="0" w:color="auto"/>
            <w:left w:val="none" w:sz="0" w:space="0" w:color="auto"/>
            <w:bottom w:val="none" w:sz="0" w:space="0" w:color="auto"/>
            <w:right w:val="none" w:sz="0" w:space="0" w:color="auto"/>
          </w:divBdr>
          <w:divsChild>
            <w:div w:id="242109588">
              <w:marLeft w:val="0"/>
              <w:marRight w:val="0"/>
              <w:marTop w:val="0"/>
              <w:marBottom w:val="0"/>
              <w:divBdr>
                <w:top w:val="none" w:sz="0" w:space="0" w:color="auto"/>
                <w:left w:val="none" w:sz="0" w:space="0" w:color="auto"/>
                <w:bottom w:val="none" w:sz="0" w:space="0" w:color="auto"/>
                <w:right w:val="none" w:sz="0" w:space="0" w:color="auto"/>
              </w:divBdr>
              <w:divsChild>
                <w:div w:id="55162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50964">
      <w:bodyDiv w:val="1"/>
      <w:marLeft w:val="0"/>
      <w:marRight w:val="0"/>
      <w:marTop w:val="0"/>
      <w:marBottom w:val="0"/>
      <w:divBdr>
        <w:top w:val="none" w:sz="0" w:space="0" w:color="auto"/>
        <w:left w:val="none" w:sz="0" w:space="0" w:color="auto"/>
        <w:bottom w:val="none" w:sz="0" w:space="0" w:color="auto"/>
        <w:right w:val="none" w:sz="0" w:space="0" w:color="auto"/>
      </w:divBdr>
    </w:div>
    <w:div w:id="1129082876">
      <w:bodyDiv w:val="1"/>
      <w:marLeft w:val="0"/>
      <w:marRight w:val="0"/>
      <w:marTop w:val="0"/>
      <w:marBottom w:val="0"/>
      <w:divBdr>
        <w:top w:val="none" w:sz="0" w:space="0" w:color="auto"/>
        <w:left w:val="none" w:sz="0" w:space="0" w:color="auto"/>
        <w:bottom w:val="none" w:sz="0" w:space="0" w:color="auto"/>
        <w:right w:val="none" w:sz="0" w:space="0" w:color="auto"/>
      </w:divBdr>
    </w:div>
    <w:div w:id="1142768902">
      <w:bodyDiv w:val="1"/>
      <w:marLeft w:val="0"/>
      <w:marRight w:val="0"/>
      <w:marTop w:val="0"/>
      <w:marBottom w:val="0"/>
      <w:divBdr>
        <w:top w:val="none" w:sz="0" w:space="0" w:color="auto"/>
        <w:left w:val="none" w:sz="0" w:space="0" w:color="auto"/>
        <w:bottom w:val="none" w:sz="0" w:space="0" w:color="auto"/>
        <w:right w:val="none" w:sz="0" w:space="0" w:color="auto"/>
      </w:divBdr>
      <w:divsChild>
        <w:div w:id="206242">
          <w:marLeft w:val="0"/>
          <w:marRight w:val="0"/>
          <w:marTop w:val="0"/>
          <w:marBottom w:val="0"/>
          <w:divBdr>
            <w:top w:val="none" w:sz="0" w:space="0" w:color="auto"/>
            <w:left w:val="none" w:sz="0" w:space="0" w:color="auto"/>
            <w:bottom w:val="none" w:sz="0" w:space="0" w:color="auto"/>
            <w:right w:val="none" w:sz="0" w:space="0" w:color="auto"/>
          </w:divBdr>
          <w:divsChild>
            <w:div w:id="1143624910">
              <w:marLeft w:val="0"/>
              <w:marRight w:val="0"/>
              <w:marTop w:val="0"/>
              <w:marBottom w:val="0"/>
              <w:divBdr>
                <w:top w:val="none" w:sz="0" w:space="0" w:color="auto"/>
                <w:left w:val="none" w:sz="0" w:space="0" w:color="auto"/>
                <w:bottom w:val="none" w:sz="0" w:space="0" w:color="auto"/>
                <w:right w:val="none" w:sz="0" w:space="0" w:color="auto"/>
              </w:divBdr>
              <w:divsChild>
                <w:div w:id="267198057">
                  <w:marLeft w:val="0"/>
                  <w:marRight w:val="0"/>
                  <w:marTop w:val="0"/>
                  <w:marBottom w:val="0"/>
                  <w:divBdr>
                    <w:top w:val="none" w:sz="0" w:space="0" w:color="auto"/>
                    <w:left w:val="none" w:sz="0" w:space="0" w:color="auto"/>
                    <w:bottom w:val="none" w:sz="0" w:space="0" w:color="auto"/>
                    <w:right w:val="none" w:sz="0" w:space="0" w:color="auto"/>
                  </w:divBdr>
                  <w:divsChild>
                    <w:div w:id="14826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106961">
      <w:bodyDiv w:val="1"/>
      <w:marLeft w:val="0"/>
      <w:marRight w:val="0"/>
      <w:marTop w:val="0"/>
      <w:marBottom w:val="0"/>
      <w:divBdr>
        <w:top w:val="none" w:sz="0" w:space="0" w:color="auto"/>
        <w:left w:val="none" w:sz="0" w:space="0" w:color="auto"/>
        <w:bottom w:val="none" w:sz="0" w:space="0" w:color="auto"/>
        <w:right w:val="none" w:sz="0" w:space="0" w:color="auto"/>
      </w:divBdr>
    </w:div>
    <w:div w:id="1170565204">
      <w:bodyDiv w:val="1"/>
      <w:marLeft w:val="0"/>
      <w:marRight w:val="0"/>
      <w:marTop w:val="0"/>
      <w:marBottom w:val="0"/>
      <w:divBdr>
        <w:top w:val="none" w:sz="0" w:space="0" w:color="auto"/>
        <w:left w:val="none" w:sz="0" w:space="0" w:color="auto"/>
        <w:bottom w:val="none" w:sz="0" w:space="0" w:color="auto"/>
        <w:right w:val="none" w:sz="0" w:space="0" w:color="auto"/>
      </w:divBdr>
    </w:div>
    <w:div w:id="1205874501">
      <w:bodyDiv w:val="1"/>
      <w:marLeft w:val="0"/>
      <w:marRight w:val="0"/>
      <w:marTop w:val="0"/>
      <w:marBottom w:val="0"/>
      <w:divBdr>
        <w:top w:val="none" w:sz="0" w:space="0" w:color="auto"/>
        <w:left w:val="none" w:sz="0" w:space="0" w:color="auto"/>
        <w:bottom w:val="none" w:sz="0" w:space="0" w:color="auto"/>
        <w:right w:val="none" w:sz="0" w:space="0" w:color="auto"/>
      </w:divBdr>
    </w:div>
    <w:div w:id="1261793452">
      <w:bodyDiv w:val="1"/>
      <w:marLeft w:val="0"/>
      <w:marRight w:val="0"/>
      <w:marTop w:val="0"/>
      <w:marBottom w:val="0"/>
      <w:divBdr>
        <w:top w:val="none" w:sz="0" w:space="0" w:color="auto"/>
        <w:left w:val="none" w:sz="0" w:space="0" w:color="auto"/>
        <w:bottom w:val="none" w:sz="0" w:space="0" w:color="auto"/>
        <w:right w:val="none" w:sz="0" w:space="0" w:color="auto"/>
      </w:divBdr>
    </w:div>
    <w:div w:id="1267542854">
      <w:bodyDiv w:val="1"/>
      <w:marLeft w:val="0"/>
      <w:marRight w:val="0"/>
      <w:marTop w:val="0"/>
      <w:marBottom w:val="0"/>
      <w:divBdr>
        <w:top w:val="none" w:sz="0" w:space="0" w:color="auto"/>
        <w:left w:val="none" w:sz="0" w:space="0" w:color="auto"/>
        <w:bottom w:val="none" w:sz="0" w:space="0" w:color="auto"/>
        <w:right w:val="none" w:sz="0" w:space="0" w:color="auto"/>
      </w:divBdr>
    </w:div>
    <w:div w:id="1279216317">
      <w:bodyDiv w:val="1"/>
      <w:marLeft w:val="0"/>
      <w:marRight w:val="0"/>
      <w:marTop w:val="0"/>
      <w:marBottom w:val="0"/>
      <w:divBdr>
        <w:top w:val="none" w:sz="0" w:space="0" w:color="auto"/>
        <w:left w:val="none" w:sz="0" w:space="0" w:color="auto"/>
        <w:bottom w:val="none" w:sz="0" w:space="0" w:color="auto"/>
        <w:right w:val="none" w:sz="0" w:space="0" w:color="auto"/>
      </w:divBdr>
      <w:divsChild>
        <w:div w:id="25912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966155">
      <w:bodyDiv w:val="1"/>
      <w:marLeft w:val="0"/>
      <w:marRight w:val="0"/>
      <w:marTop w:val="0"/>
      <w:marBottom w:val="0"/>
      <w:divBdr>
        <w:top w:val="none" w:sz="0" w:space="0" w:color="auto"/>
        <w:left w:val="none" w:sz="0" w:space="0" w:color="auto"/>
        <w:bottom w:val="none" w:sz="0" w:space="0" w:color="auto"/>
        <w:right w:val="none" w:sz="0" w:space="0" w:color="auto"/>
      </w:divBdr>
    </w:div>
    <w:div w:id="128695894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16910807">
      <w:bodyDiv w:val="1"/>
      <w:marLeft w:val="0"/>
      <w:marRight w:val="0"/>
      <w:marTop w:val="0"/>
      <w:marBottom w:val="0"/>
      <w:divBdr>
        <w:top w:val="none" w:sz="0" w:space="0" w:color="auto"/>
        <w:left w:val="none" w:sz="0" w:space="0" w:color="auto"/>
        <w:bottom w:val="none" w:sz="0" w:space="0" w:color="auto"/>
        <w:right w:val="none" w:sz="0" w:space="0" w:color="auto"/>
      </w:divBdr>
    </w:div>
    <w:div w:id="1341734028">
      <w:bodyDiv w:val="1"/>
      <w:marLeft w:val="0"/>
      <w:marRight w:val="0"/>
      <w:marTop w:val="0"/>
      <w:marBottom w:val="0"/>
      <w:divBdr>
        <w:top w:val="none" w:sz="0" w:space="0" w:color="auto"/>
        <w:left w:val="none" w:sz="0" w:space="0" w:color="auto"/>
        <w:bottom w:val="none" w:sz="0" w:space="0" w:color="auto"/>
        <w:right w:val="none" w:sz="0" w:space="0" w:color="auto"/>
      </w:divBdr>
    </w:div>
    <w:div w:id="1358236228">
      <w:bodyDiv w:val="1"/>
      <w:marLeft w:val="0"/>
      <w:marRight w:val="0"/>
      <w:marTop w:val="0"/>
      <w:marBottom w:val="0"/>
      <w:divBdr>
        <w:top w:val="none" w:sz="0" w:space="0" w:color="auto"/>
        <w:left w:val="none" w:sz="0" w:space="0" w:color="auto"/>
        <w:bottom w:val="none" w:sz="0" w:space="0" w:color="auto"/>
        <w:right w:val="none" w:sz="0" w:space="0" w:color="auto"/>
      </w:divBdr>
    </w:div>
    <w:div w:id="1386833543">
      <w:bodyDiv w:val="1"/>
      <w:marLeft w:val="0"/>
      <w:marRight w:val="0"/>
      <w:marTop w:val="0"/>
      <w:marBottom w:val="0"/>
      <w:divBdr>
        <w:top w:val="none" w:sz="0" w:space="0" w:color="auto"/>
        <w:left w:val="none" w:sz="0" w:space="0" w:color="auto"/>
        <w:bottom w:val="none" w:sz="0" w:space="0" w:color="auto"/>
        <w:right w:val="none" w:sz="0" w:space="0" w:color="auto"/>
      </w:divBdr>
    </w:div>
    <w:div w:id="1432697115">
      <w:bodyDiv w:val="1"/>
      <w:marLeft w:val="0"/>
      <w:marRight w:val="0"/>
      <w:marTop w:val="0"/>
      <w:marBottom w:val="0"/>
      <w:divBdr>
        <w:top w:val="none" w:sz="0" w:space="0" w:color="auto"/>
        <w:left w:val="none" w:sz="0" w:space="0" w:color="auto"/>
        <w:bottom w:val="none" w:sz="0" w:space="0" w:color="auto"/>
        <w:right w:val="none" w:sz="0" w:space="0" w:color="auto"/>
      </w:divBdr>
    </w:div>
    <w:div w:id="1460761140">
      <w:bodyDiv w:val="1"/>
      <w:marLeft w:val="0"/>
      <w:marRight w:val="0"/>
      <w:marTop w:val="0"/>
      <w:marBottom w:val="0"/>
      <w:divBdr>
        <w:top w:val="none" w:sz="0" w:space="0" w:color="auto"/>
        <w:left w:val="none" w:sz="0" w:space="0" w:color="auto"/>
        <w:bottom w:val="none" w:sz="0" w:space="0" w:color="auto"/>
        <w:right w:val="none" w:sz="0" w:space="0" w:color="auto"/>
      </w:divBdr>
    </w:div>
    <w:div w:id="1502820155">
      <w:bodyDiv w:val="1"/>
      <w:marLeft w:val="0"/>
      <w:marRight w:val="0"/>
      <w:marTop w:val="0"/>
      <w:marBottom w:val="0"/>
      <w:divBdr>
        <w:top w:val="none" w:sz="0" w:space="0" w:color="auto"/>
        <w:left w:val="none" w:sz="0" w:space="0" w:color="auto"/>
        <w:bottom w:val="none" w:sz="0" w:space="0" w:color="auto"/>
        <w:right w:val="none" w:sz="0" w:space="0" w:color="auto"/>
      </w:divBdr>
      <w:divsChild>
        <w:div w:id="1332176088">
          <w:marLeft w:val="0"/>
          <w:marRight w:val="0"/>
          <w:marTop w:val="0"/>
          <w:marBottom w:val="0"/>
          <w:divBdr>
            <w:top w:val="none" w:sz="0" w:space="0" w:color="auto"/>
            <w:left w:val="none" w:sz="0" w:space="0" w:color="auto"/>
            <w:bottom w:val="none" w:sz="0" w:space="0" w:color="auto"/>
            <w:right w:val="none" w:sz="0" w:space="0" w:color="auto"/>
          </w:divBdr>
          <w:divsChild>
            <w:div w:id="2085176547">
              <w:marLeft w:val="0"/>
              <w:marRight w:val="0"/>
              <w:marTop w:val="0"/>
              <w:marBottom w:val="0"/>
              <w:divBdr>
                <w:top w:val="none" w:sz="0" w:space="0" w:color="auto"/>
                <w:left w:val="none" w:sz="0" w:space="0" w:color="auto"/>
                <w:bottom w:val="none" w:sz="0" w:space="0" w:color="auto"/>
                <w:right w:val="none" w:sz="0" w:space="0" w:color="auto"/>
              </w:divBdr>
              <w:divsChild>
                <w:div w:id="13598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09482">
      <w:bodyDiv w:val="1"/>
      <w:marLeft w:val="0"/>
      <w:marRight w:val="0"/>
      <w:marTop w:val="0"/>
      <w:marBottom w:val="0"/>
      <w:divBdr>
        <w:top w:val="none" w:sz="0" w:space="0" w:color="auto"/>
        <w:left w:val="none" w:sz="0" w:space="0" w:color="auto"/>
        <w:bottom w:val="none" w:sz="0" w:space="0" w:color="auto"/>
        <w:right w:val="none" w:sz="0" w:space="0" w:color="auto"/>
      </w:divBdr>
    </w:div>
    <w:div w:id="1510022868">
      <w:bodyDiv w:val="1"/>
      <w:marLeft w:val="0"/>
      <w:marRight w:val="0"/>
      <w:marTop w:val="0"/>
      <w:marBottom w:val="0"/>
      <w:divBdr>
        <w:top w:val="none" w:sz="0" w:space="0" w:color="auto"/>
        <w:left w:val="none" w:sz="0" w:space="0" w:color="auto"/>
        <w:bottom w:val="none" w:sz="0" w:space="0" w:color="auto"/>
        <w:right w:val="none" w:sz="0" w:space="0" w:color="auto"/>
      </w:divBdr>
    </w:div>
    <w:div w:id="1513495103">
      <w:bodyDiv w:val="1"/>
      <w:marLeft w:val="0"/>
      <w:marRight w:val="0"/>
      <w:marTop w:val="0"/>
      <w:marBottom w:val="0"/>
      <w:divBdr>
        <w:top w:val="none" w:sz="0" w:space="0" w:color="auto"/>
        <w:left w:val="none" w:sz="0" w:space="0" w:color="auto"/>
        <w:bottom w:val="none" w:sz="0" w:space="0" w:color="auto"/>
        <w:right w:val="none" w:sz="0" w:space="0" w:color="auto"/>
      </w:divBdr>
      <w:divsChild>
        <w:div w:id="651714656">
          <w:marLeft w:val="0"/>
          <w:marRight w:val="0"/>
          <w:marTop w:val="0"/>
          <w:marBottom w:val="0"/>
          <w:divBdr>
            <w:top w:val="none" w:sz="0" w:space="0" w:color="auto"/>
            <w:left w:val="none" w:sz="0" w:space="0" w:color="auto"/>
            <w:bottom w:val="none" w:sz="0" w:space="0" w:color="auto"/>
            <w:right w:val="none" w:sz="0" w:space="0" w:color="auto"/>
          </w:divBdr>
          <w:divsChild>
            <w:div w:id="691537461">
              <w:marLeft w:val="0"/>
              <w:marRight w:val="0"/>
              <w:marTop w:val="0"/>
              <w:marBottom w:val="0"/>
              <w:divBdr>
                <w:top w:val="none" w:sz="0" w:space="0" w:color="auto"/>
                <w:left w:val="none" w:sz="0" w:space="0" w:color="auto"/>
                <w:bottom w:val="none" w:sz="0" w:space="0" w:color="auto"/>
                <w:right w:val="none" w:sz="0" w:space="0" w:color="auto"/>
              </w:divBdr>
              <w:divsChild>
                <w:div w:id="5153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78415">
      <w:bodyDiv w:val="1"/>
      <w:marLeft w:val="0"/>
      <w:marRight w:val="0"/>
      <w:marTop w:val="0"/>
      <w:marBottom w:val="0"/>
      <w:divBdr>
        <w:top w:val="none" w:sz="0" w:space="0" w:color="auto"/>
        <w:left w:val="none" w:sz="0" w:space="0" w:color="auto"/>
        <w:bottom w:val="none" w:sz="0" w:space="0" w:color="auto"/>
        <w:right w:val="none" w:sz="0" w:space="0" w:color="auto"/>
      </w:divBdr>
    </w:div>
    <w:div w:id="1519924469">
      <w:bodyDiv w:val="1"/>
      <w:marLeft w:val="0"/>
      <w:marRight w:val="0"/>
      <w:marTop w:val="0"/>
      <w:marBottom w:val="0"/>
      <w:divBdr>
        <w:top w:val="none" w:sz="0" w:space="0" w:color="auto"/>
        <w:left w:val="none" w:sz="0" w:space="0" w:color="auto"/>
        <w:bottom w:val="none" w:sz="0" w:space="0" w:color="auto"/>
        <w:right w:val="none" w:sz="0" w:space="0" w:color="auto"/>
      </w:divBdr>
    </w:div>
    <w:div w:id="1522891932">
      <w:bodyDiv w:val="1"/>
      <w:marLeft w:val="0"/>
      <w:marRight w:val="0"/>
      <w:marTop w:val="0"/>
      <w:marBottom w:val="0"/>
      <w:divBdr>
        <w:top w:val="none" w:sz="0" w:space="0" w:color="auto"/>
        <w:left w:val="none" w:sz="0" w:space="0" w:color="auto"/>
        <w:bottom w:val="none" w:sz="0" w:space="0" w:color="auto"/>
        <w:right w:val="none" w:sz="0" w:space="0" w:color="auto"/>
      </w:divBdr>
    </w:div>
    <w:div w:id="1553615896">
      <w:bodyDiv w:val="1"/>
      <w:marLeft w:val="0"/>
      <w:marRight w:val="0"/>
      <w:marTop w:val="0"/>
      <w:marBottom w:val="0"/>
      <w:divBdr>
        <w:top w:val="none" w:sz="0" w:space="0" w:color="auto"/>
        <w:left w:val="none" w:sz="0" w:space="0" w:color="auto"/>
        <w:bottom w:val="none" w:sz="0" w:space="0" w:color="auto"/>
        <w:right w:val="none" w:sz="0" w:space="0" w:color="auto"/>
      </w:divBdr>
    </w:div>
    <w:div w:id="1563558216">
      <w:bodyDiv w:val="1"/>
      <w:marLeft w:val="0"/>
      <w:marRight w:val="0"/>
      <w:marTop w:val="0"/>
      <w:marBottom w:val="0"/>
      <w:divBdr>
        <w:top w:val="none" w:sz="0" w:space="0" w:color="auto"/>
        <w:left w:val="none" w:sz="0" w:space="0" w:color="auto"/>
        <w:bottom w:val="none" w:sz="0" w:space="0" w:color="auto"/>
        <w:right w:val="none" w:sz="0" w:space="0" w:color="auto"/>
      </w:divBdr>
    </w:div>
    <w:div w:id="1567372477">
      <w:bodyDiv w:val="1"/>
      <w:marLeft w:val="0"/>
      <w:marRight w:val="0"/>
      <w:marTop w:val="0"/>
      <w:marBottom w:val="0"/>
      <w:divBdr>
        <w:top w:val="none" w:sz="0" w:space="0" w:color="auto"/>
        <w:left w:val="none" w:sz="0" w:space="0" w:color="auto"/>
        <w:bottom w:val="none" w:sz="0" w:space="0" w:color="auto"/>
        <w:right w:val="none" w:sz="0" w:space="0" w:color="auto"/>
      </w:divBdr>
    </w:div>
    <w:div w:id="1594165652">
      <w:bodyDiv w:val="1"/>
      <w:marLeft w:val="0"/>
      <w:marRight w:val="0"/>
      <w:marTop w:val="0"/>
      <w:marBottom w:val="0"/>
      <w:divBdr>
        <w:top w:val="none" w:sz="0" w:space="0" w:color="auto"/>
        <w:left w:val="none" w:sz="0" w:space="0" w:color="auto"/>
        <w:bottom w:val="none" w:sz="0" w:space="0" w:color="auto"/>
        <w:right w:val="none" w:sz="0" w:space="0" w:color="auto"/>
      </w:divBdr>
    </w:div>
    <w:div w:id="1609851624">
      <w:bodyDiv w:val="1"/>
      <w:marLeft w:val="0"/>
      <w:marRight w:val="0"/>
      <w:marTop w:val="0"/>
      <w:marBottom w:val="0"/>
      <w:divBdr>
        <w:top w:val="none" w:sz="0" w:space="0" w:color="auto"/>
        <w:left w:val="none" w:sz="0" w:space="0" w:color="auto"/>
        <w:bottom w:val="none" w:sz="0" w:space="0" w:color="auto"/>
        <w:right w:val="none" w:sz="0" w:space="0" w:color="auto"/>
      </w:divBdr>
    </w:div>
    <w:div w:id="1611543459">
      <w:bodyDiv w:val="1"/>
      <w:marLeft w:val="0"/>
      <w:marRight w:val="0"/>
      <w:marTop w:val="0"/>
      <w:marBottom w:val="0"/>
      <w:divBdr>
        <w:top w:val="none" w:sz="0" w:space="0" w:color="auto"/>
        <w:left w:val="none" w:sz="0" w:space="0" w:color="auto"/>
        <w:bottom w:val="none" w:sz="0" w:space="0" w:color="auto"/>
        <w:right w:val="none" w:sz="0" w:space="0" w:color="auto"/>
      </w:divBdr>
    </w:div>
    <w:div w:id="1617979677">
      <w:bodyDiv w:val="1"/>
      <w:marLeft w:val="0"/>
      <w:marRight w:val="0"/>
      <w:marTop w:val="0"/>
      <w:marBottom w:val="0"/>
      <w:divBdr>
        <w:top w:val="none" w:sz="0" w:space="0" w:color="auto"/>
        <w:left w:val="none" w:sz="0" w:space="0" w:color="auto"/>
        <w:bottom w:val="none" w:sz="0" w:space="0" w:color="auto"/>
        <w:right w:val="none" w:sz="0" w:space="0" w:color="auto"/>
      </w:divBdr>
      <w:divsChild>
        <w:div w:id="1186483161">
          <w:marLeft w:val="0"/>
          <w:marRight w:val="0"/>
          <w:marTop w:val="0"/>
          <w:marBottom w:val="0"/>
          <w:divBdr>
            <w:top w:val="none" w:sz="0" w:space="0" w:color="auto"/>
            <w:left w:val="none" w:sz="0" w:space="0" w:color="auto"/>
            <w:bottom w:val="none" w:sz="0" w:space="0" w:color="auto"/>
            <w:right w:val="none" w:sz="0" w:space="0" w:color="auto"/>
          </w:divBdr>
          <w:divsChild>
            <w:div w:id="1722049108">
              <w:marLeft w:val="0"/>
              <w:marRight w:val="0"/>
              <w:marTop w:val="0"/>
              <w:marBottom w:val="0"/>
              <w:divBdr>
                <w:top w:val="none" w:sz="0" w:space="0" w:color="auto"/>
                <w:left w:val="none" w:sz="0" w:space="0" w:color="auto"/>
                <w:bottom w:val="none" w:sz="0" w:space="0" w:color="auto"/>
                <w:right w:val="none" w:sz="0" w:space="0" w:color="auto"/>
              </w:divBdr>
              <w:divsChild>
                <w:div w:id="1396734033">
                  <w:marLeft w:val="0"/>
                  <w:marRight w:val="0"/>
                  <w:marTop w:val="0"/>
                  <w:marBottom w:val="0"/>
                  <w:divBdr>
                    <w:top w:val="none" w:sz="0" w:space="0" w:color="auto"/>
                    <w:left w:val="none" w:sz="0" w:space="0" w:color="auto"/>
                    <w:bottom w:val="none" w:sz="0" w:space="0" w:color="auto"/>
                    <w:right w:val="none" w:sz="0" w:space="0" w:color="auto"/>
                  </w:divBdr>
                  <w:divsChild>
                    <w:div w:id="12975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971608">
      <w:bodyDiv w:val="1"/>
      <w:marLeft w:val="0"/>
      <w:marRight w:val="0"/>
      <w:marTop w:val="0"/>
      <w:marBottom w:val="0"/>
      <w:divBdr>
        <w:top w:val="none" w:sz="0" w:space="0" w:color="auto"/>
        <w:left w:val="none" w:sz="0" w:space="0" w:color="auto"/>
        <w:bottom w:val="none" w:sz="0" w:space="0" w:color="auto"/>
        <w:right w:val="none" w:sz="0" w:space="0" w:color="auto"/>
      </w:divBdr>
    </w:div>
    <w:div w:id="1682732533">
      <w:bodyDiv w:val="1"/>
      <w:marLeft w:val="0"/>
      <w:marRight w:val="0"/>
      <w:marTop w:val="0"/>
      <w:marBottom w:val="0"/>
      <w:divBdr>
        <w:top w:val="none" w:sz="0" w:space="0" w:color="auto"/>
        <w:left w:val="none" w:sz="0" w:space="0" w:color="auto"/>
        <w:bottom w:val="none" w:sz="0" w:space="0" w:color="auto"/>
        <w:right w:val="none" w:sz="0" w:space="0" w:color="auto"/>
      </w:divBdr>
    </w:div>
    <w:div w:id="1699315397">
      <w:bodyDiv w:val="1"/>
      <w:marLeft w:val="0"/>
      <w:marRight w:val="0"/>
      <w:marTop w:val="0"/>
      <w:marBottom w:val="0"/>
      <w:divBdr>
        <w:top w:val="none" w:sz="0" w:space="0" w:color="auto"/>
        <w:left w:val="none" w:sz="0" w:space="0" w:color="auto"/>
        <w:bottom w:val="none" w:sz="0" w:space="0" w:color="auto"/>
        <w:right w:val="none" w:sz="0" w:space="0" w:color="auto"/>
      </w:divBdr>
    </w:div>
    <w:div w:id="1701280684">
      <w:bodyDiv w:val="1"/>
      <w:marLeft w:val="0"/>
      <w:marRight w:val="0"/>
      <w:marTop w:val="0"/>
      <w:marBottom w:val="0"/>
      <w:divBdr>
        <w:top w:val="none" w:sz="0" w:space="0" w:color="auto"/>
        <w:left w:val="none" w:sz="0" w:space="0" w:color="auto"/>
        <w:bottom w:val="none" w:sz="0" w:space="0" w:color="auto"/>
        <w:right w:val="none" w:sz="0" w:space="0" w:color="auto"/>
      </w:divBdr>
    </w:div>
    <w:div w:id="1724064044">
      <w:bodyDiv w:val="1"/>
      <w:marLeft w:val="0"/>
      <w:marRight w:val="0"/>
      <w:marTop w:val="0"/>
      <w:marBottom w:val="0"/>
      <w:divBdr>
        <w:top w:val="none" w:sz="0" w:space="0" w:color="auto"/>
        <w:left w:val="none" w:sz="0" w:space="0" w:color="auto"/>
        <w:bottom w:val="none" w:sz="0" w:space="0" w:color="auto"/>
        <w:right w:val="none" w:sz="0" w:space="0" w:color="auto"/>
      </w:divBdr>
    </w:div>
    <w:div w:id="1724600835">
      <w:bodyDiv w:val="1"/>
      <w:marLeft w:val="0"/>
      <w:marRight w:val="0"/>
      <w:marTop w:val="0"/>
      <w:marBottom w:val="0"/>
      <w:divBdr>
        <w:top w:val="none" w:sz="0" w:space="0" w:color="auto"/>
        <w:left w:val="none" w:sz="0" w:space="0" w:color="auto"/>
        <w:bottom w:val="none" w:sz="0" w:space="0" w:color="auto"/>
        <w:right w:val="none" w:sz="0" w:space="0" w:color="auto"/>
      </w:divBdr>
    </w:div>
    <w:div w:id="1744134616">
      <w:bodyDiv w:val="1"/>
      <w:marLeft w:val="0"/>
      <w:marRight w:val="0"/>
      <w:marTop w:val="0"/>
      <w:marBottom w:val="0"/>
      <w:divBdr>
        <w:top w:val="none" w:sz="0" w:space="0" w:color="auto"/>
        <w:left w:val="none" w:sz="0" w:space="0" w:color="auto"/>
        <w:bottom w:val="none" w:sz="0" w:space="0" w:color="auto"/>
        <w:right w:val="none" w:sz="0" w:space="0" w:color="auto"/>
      </w:divBdr>
    </w:div>
    <w:div w:id="1744721494">
      <w:bodyDiv w:val="1"/>
      <w:marLeft w:val="0"/>
      <w:marRight w:val="0"/>
      <w:marTop w:val="0"/>
      <w:marBottom w:val="0"/>
      <w:divBdr>
        <w:top w:val="none" w:sz="0" w:space="0" w:color="auto"/>
        <w:left w:val="none" w:sz="0" w:space="0" w:color="auto"/>
        <w:bottom w:val="none" w:sz="0" w:space="0" w:color="auto"/>
        <w:right w:val="none" w:sz="0" w:space="0" w:color="auto"/>
      </w:divBdr>
    </w:div>
    <w:div w:id="1757818829">
      <w:bodyDiv w:val="1"/>
      <w:marLeft w:val="0"/>
      <w:marRight w:val="0"/>
      <w:marTop w:val="0"/>
      <w:marBottom w:val="0"/>
      <w:divBdr>
        <w:top w:val="none" w:sz="0" w:space="0" w:color="auto"/>
        <w:left w:val="none" w:sz="0" w:space="0" w:color="auto"/>
        <w:bottom w:val="none" w:sz="0" w:space="0" w:color="auto"/>
        <w:right w:val="none" w:sz="0" w:space="0" w:color="auto"/>
      </w:divBdr>
    </w:div>
    <w:div w:id="1831631735">
      <w:bodyDiv w:val="1"/>
      <w:marLeft w:val="0"/>
      <w:marRight w:val="0"/>
      <w:marTop w:val="0"/>
      <w:marBottom w:val="0"/>
      <w:divBdr>
        <w:top w:val="none" w:sz="0" w:space="0" w:color="auto"/>
        <w:left w:val="none" w:sz="0" w:space="0" w:color="auto"/>
        <w:bottom w:val="none" w:sz="0" w:space="0" w:color="auto"/>
        <w:right w:val="none" w:sz="0" w:space="0" w:color="auto"/>
      </w:divBdr>
    </w:div>
    <w:div w:id="1869488785">
      <w:bodyDiv w:val="1"/>
      <w:marLeft w:val="0"/>
      <w:marRight w:val="0"/>
      <w:marTop w:val="0"/>
      <w:marBottom w:val="0"/>
      <w:divBdr>
        <w:top w:val="none" w:sz="0" w:space="0" w:color="auto"/>
        <w:left w:val="none" w:sz="0" w:space="0" w:color="auto"/>
        <w:bottom w:val="none" w:sz="0" w:space="0" w:color="auto"/>
        <w:right w:val="none" w:sz="0" w:space="0" w:color="auto"/>
      </w:divBdr>
    </w:div>
    <w:div w:id="1882009544">
      <w:bodyDiv w:val="1"/>
      <w:marLeft w:val="0"/>
      <w:marRight w:val="0"/>
      <w:marTop w:val="0"/>
      <w:marBottom w:val="0"/>
      <w:divBdr>
        <w:top w:val="none" w:sz="0" w:space="0" w:color="auto"/>
        <w:left w:val="none" w:sz="0" w:space="0" w:color="auto"/>
        <w:bottom w:val="none" w:sz="0" w:space="0" w:color="auto"/>
        <w:right w:val="none" w:sz="0" w:space="0" w:color="auto"/>
      </w:divBdr>
    </w:div>
    <w:div w:id="1889685721">
      <w:bodyDiv w:val="1"/>
      <w:marLeft w:val="0"/>
      <w:marRight w:val="0"/>
      <w:marTop w:val="0"/>
      <w:marBottom w:val="0"/>
      <w:divBdr>
        <w:top w:val="none" w:sz="0" w:space="0" w:color="auto"/>
        <w:left w:val="none" w:sz="0" w:space="0" w:color="auto"/>
        <w:bottom w:val="none" w:sz="0" w:space="0" w:color="auto"/>
        <w:right w:val="none" w:sz="0" w:space="0" w:color="auto"/>
      </w:divBdr>
    </w:div>
    <w:div w:id="1941254244">
      <w:bodyDiv w:val="1"/>
      <w:marLeft w:val="0"/>
      <w:marRight w:val="0"/>
      <w:marTop w:val="0"/>
      <w:marBottom w:val="0"/>
      <w:divBdr>
        <w:top w:val="none" w:sz="0" w:space="0" w:color="auto"/>
        <w:left w:val="none" w:sz="0" w:space="0" w:color="auto"/>
        <w:bottom w:val="none" w:sz="0" w:space="0" w:color="auto"/>
        <w:right w:val="none" w:sz="0" w:space="0" w:color="auto"/>
      </w:divBdr>
    </w:div>
    <w:div w:id="1954940571">
      <w:bodyDiv w:val="1"/>
      <w:marLeft w:val="0"/>
      <w:marRight w:val="0"/>
      <w:marTop w:val="0"/>
      <w:marBottom w:val="0"/>
      <w:divBdr>
        <w:top w:val="none" w:sz="0" w:space="0" w:color="auto"/>
        <w:left w:val="none" w:sz="0" w:space="0" w:color="auto"/>
        <w:bottom w:val="none" w:sz="0" w:space="0" w:color="auto"/>
        <w:right w:val="none" w:sz="0" w:space="0" w:color="auto"/>
      </w:divBdr>
    </w:div>
    <w:div w:id="2016108594">
      <w:bodyDiv w:val="1"/>
      <w:marLeft w:val="0"/>
      <w:marRight w:val="0"/>
      <w:marTop w:val="0"/>
      <w:marBottom w:val="0"/>
      <w:divBdr>
        <w:top w:val="none" w:sz="0" w:space="0" w:color="auto"/>
        <w:left w:val="none" w:sz="0" w:space="0" w:color="auto"/>
        <w:bottom w:val="none" w:sz="0" w:space="0" w:color="auto"/>
        <w:right w:val="none" w:sz="0" w:space="0" w:color="auto"/>
      </w:divBdr>
    </w:div>
    <w:div w:id="2041316034">
      <w:bodyDiv w:val="1"/>
      <w:marLeft w:val="0"/>
      <w:marRight w:val="0"/>
      <w:marTop w:val="0"/>
      <w:marBottom w:val="0"/>
      <w:divBdr>
        <w:top w:val="none" w:sz="0" w:space="0" w:color="auto"/>
        <w:left w:val="none" w:sz="0" w:space="0" w:color="auto"/>
        <w:bottom w:val="none" w:sz="0" w:space="0" w:color="auto"/>
        <w:right w:val="none" w:sz="0" w:space="0" w:color="auto"/>
      </w:divBdr>
    </w:div>
    <w:div w:id="2082019158">
      <w:bodyDiv w:val="1"/>
      <w:marLeft w:val="0"/>
      <w:marRight w:val="0"/>
      <w:marTop w:val="0"/>
      <w:marBottom w:val="0"/>
      <w:divBdr>
        <w:top w:val="none" w:sz="0" w:space="0" w:color="auto"/>
        <w:left w:val="none" w:sz="0" w:space="0" w:color="auto"/>
        <w:bottom w:val="none" w:sz="0" w:space="0" w:color="auto"/>
        <w:right w:val="none" w:sz="0" w:space="0" w:color="auto"/>
      </w:divBdr>
    </w:div>
    <w:div w:id="2094011783">
      <w:bodyDiv w:val="1"/>
      <w:marLeft w:val="0"/>
      <w:marRight w:val="0"/>
      <w:marTop w:val="0"/>
      <w:marBottom w:val="0"/>
      <w:divBdr>
        <w:top w:val="none" w:sz="0" w:space="0" w:color="auto"/>
        <w:left w:val="none" w:sz="0" w:space="0" w:color="auto"/>
        <w:bottom w:val="none" w:sz="0" w:space="0" w:color="auto"/>
        <w:right w:val="none" w:sz="0" w:space="0" w:color="auto"/>
      </w:divBdr>
    </w:div>
    <w:div w:id="2097166973">
      <w:bodyDiv w:val="1"/>
      <w:marLeft w:val="0"/>
      <w:marRight w:val="0"/>
      <w:marTop w:val="0"/>
      <w:marBottom w:val="0"/>
      <w:divBdr>
        <w:top w:val="none" w:sz="0" w:space="0" w:color="auto"/>
        <w:left w:val="none" w:sz="0" w:space="0" w:color="auto"/>
        <w:bottom w:val="none" w:sz="0" w:space="0" w:color="auto"/>
        <w:right w:val="none" w:sz="0" w:space="0" w:color="auto"/>
      </w:divBdr>
      <w:divsChild>
        <w:div w:id="1772432827">
          <w:marLeft w:val="0"/>
          <w:marRight w:val="0"/>
          <w:marTop w:val="0"/>
          <w:marBottom w:val="0"/>
          <w:divBdr>
            <w:top w:val="none" w:sz="0" w:space="0" w:color="auto"/>
            <w:left w:val="none" w:sz="0" w:space="0" w:color="auto"/>
            <w:bottom w:val="none" w:sz="0" w:space="0" w:color="auto"/>
            <w:right w:val="none" w:sz="0" w:space="0" w:color="auto"/>
          </w:divBdr>
          <w:divsChild>
            <w:div w:id="835607488">
              <w:marLeft w:val="0"/>
              <w:marRight w:val="0"/>
              <w:marTop w:val="0"/>
              <w:marBottom w:val="0"/>
              <w:divBdr>
                <w:top w:val="none" w:sz="0" w:space="0" w:color="auto"/>
                <w:left w:val="none" w:sz="0" w:space="0" w:color="auto"/>
                <w:bottom w:val="none" w:sz="0" w:space="0" w:color="auto"/>
                <w:right w:val="none" w:sz="0" w:space="0" w:color="auto"/>
              </w:divBdr>
              <w:divsChild>
                <w:div w:id="9163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3238">
      <w:bodyDiv w:val="1"/>
      <w:marLeft w:val="0"/>
      <w:marRight w:val="0"/>
      <w:marTop w:val="0"/>
      <w:marBottom w:val="0"/>
      <w:divBdr>
        <w:top w:val="none" w:sz="0" w:space="0" w:color="auto"/>
        <w:left w:val="none" w:sz="0" w:space="0" w:color="auto"/>
        <w:bottom w:val="none" w:sz="0" w:space="0" w:color="auto"/>
        <w:right w:val="none" w:sz="0" w:space="0" w:color="auto"/>
      </w:divBdr>
    </w:div>
    <w:div w:id="2111855061">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4369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colombiacompra.gov.co/sites/cce_public/files/cce_circulares/20130816circular3leygarantia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DE8EC-B45A-4849-A6E6-4CC5EB28E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D51A68-FED2-4540-A566-D7B47EE01F53}">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AAF0AFB6-3159-40A6-84C9-AF29F4D53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4</TotalTime>
  <Pages>27</Pages>
  <Words>10040</Words>
  <Characters>55226</Characters>
  <Application>Microsoft Office Word</Application>
  <DocSecurity>0</DocSecurity>
  <Lines>460</Lines>
  <Paragraphs>130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65136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Edwin Johan Chocontá Quintero</cp:lastModifiedBy>
  <cp:revision>2</cp:revision>
  <cp:lastPrinted>2020-01-30T15:05:00Z</cp:lastPrinted>
  <dcterms:created xsi:type="dcterms:W3CDTF">2022-05-25T20:45:00Z</dcterms:created>
  <dcterms:modified xsi:type="dcterms:W3CDTF">2022-05-25T20:45:00Z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